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DB5A1" w14:textId="77777777" w:rsidR="0052014F" w:rsidRDefault="00000000">
      <w:pPr>
        <w:pStyle w:val="Heading1"/>
      </w:pPr>
      <w:bookmarkStart w:id="0" w:name="X12eaf8c1ebf31027086bdc6df22ca6f56abce74"/>
      <w:r>
        <w:t>AI‑Assisted Smart Glasses for Blind/Low‑Vision Mobility: A Comprehensive Literature Review</w:t>
      </w:r>
    </w:p>
    <w:p w14:paraId="084ADE81" w14:textId="77777777" w:rsidR="00CE1F89" w:rsidRDefault="00000000">
      <w:pPr>
        <w:pStyle w:val="BodyText"/>
        <w:rPr>
          <w:b/>
          <w:bCs/>
        </w:rPr>
      </w:pPr>
      <w:r>
        <w:rPr>
          <w:b/>
          <w:bCs/>
        </w:rPr>
        <w:t>Student:</w:t>
      </w:r>
      <w:r>
        <w:t xml:space="preserve"> </w:t>
      </w:r>
      <w:proofErr w:type="spellStart"/>
      <w:r>
        <w:t>Asraa</w:t>
      </w:r>
      <w:proofErr w:type="spellEnd"/>
      <w:r>
        <w:t xml:space="preserve"> </w:t>
      </w:r>
      <w:proofErr w:type="spellStart"/>
      <w:r>
        <w:t>Alwattar</w:t>
      </w:r>
      <w:proofErr w:type="spellEnd"/>
    </w:p>
    <w:p w14:paraId="6856B24A" w14:textId="1525B79D" w:rsidR="0052014F" w:rsidRDefault="00CE1F89" w:rsidP="00AA6D48">
      <w:pPr>
        <w:pStyle w:val="BodyText"/>
      </w:pPr>
      <w:r w:rsidRPr="00AA6D48">
        <w:rPr>
          <w:b/>
          <w:bCs/>
        </w:rPr>
        <w:t xml:space="preserve"> </w:t>
      </w:r>
      <w:r w:rsidR="00AA6D48" w:rsidRPr="00AA6D48">
        <w:rPr>
          <w:b/>
          <w:bCs/>
        </w:rPr>
        <w:t xml:space="preserve">ID: </w:t>
      </w:r>
      <w:r w:rsidR="00AA6D48" w:rsidRPr="00AA6D48">
        <w:rPr>
          <w:b/>
          <w:bCs/>
        </w:rPr>
        <w:t>253001066</w:t>
      </w:r>
      <w:r w:rsidRPr="00AA6D48">
        <w:rPr>
          <w:b/>
          <w:bCs/>
        </w:rPr>
        <w:br/>
      </w:r>
      <w:r>
        <w:rPr>
          <w:b/>
          <w:bCs/>
        </w:rPr>
        <w:t>Date:</w:t>
      </w:r>
      <w:r>
        <w:t xml:space="preserve"> 31 October 2025</w:t>
      </w:r>
    </w:p>
    <w:p w14:paraId="61029DCB" w14:textId="77777777" w:rsidR="0052014F" w:rsidRDefault="00000000">
      <w:r>
        <w:pict w14:anchorId="0285359B">
          <v:rect id="_x0000_i1025" style="width:0;height:1.5pt" o:hralign="center" o:hrstd="t" o:hr="t"/>
        </w:pict>
      </w:r>
    </w:p>
    <w:p w14:paraId="3C6C5794" w14:textId="77777777" w:rsidR="0052014F" w:rsidRDefault="00000000">
      <w:pPr>
        <w:pStyle w:val="Heading2"/>
      </w:pPr>
      <w:bookmarkStart w:id="1" w:name="introduction"/>
      <w:r>
        <w:t>1. Introduction</w:t>
      </w:r>
    </w:p>
    <w:p w14:paraId="236892A6" w14:textId="77777777" w:rsidR="0052014F" w:rsidRDefault="00000000">
      <w:pPr>
        <w:pStyle w:val="FirstParagraph"/>
      </w:pPr>
      <w:r>
        <w:t xml:space="preserve">In recent years, the development of wearable, AI‑assisted smart glasses </w:t>
      </w:r>
      <w:proofErr w:type="gramStart"/>
      <w:r>
        <w:t>has</w:t>
      </w:r>
      <w:proofErr w:type="gramEnd"/>
      <w:r>
        <w:t xml:space="preserve"> emerged as a groundbreaking innovation aimed at enhancing independent mobility and facilitating access to vital information for individuals who are blind or have low vision. Traditional aids such as white canes and guide dogs provide considerable assistance in basic navigation. However, they often fall short in delivering a comprehensive understanding of complex environments, particularly in situations involving overcrowded corridors, intricate intersections, or varied signage that can confuse even the most adept users.</w:t>
      </w:r>
    </w:p>
    <w:p w14:paraId="7DCEA186" w14:textId="77777777" w:rsidR="0052014F" w:rsidRDefault="00000000">
      <w:pPr>
        <w:pStyle w:val="BodyText"/>
      </w:pPr>
      <w:r>
        <w:t>These advanced smart‑glasses leverage a combination of on‑device computer vision, audio and haptic feedback, and mobile connectivity to create systems that promise real‑time obstacle detection and lightweight navigation assistance. They also offer contextual explanations of surroundings without compromising user privacy. The integration of such technologies opens up new avenues for enhancing the daily experiences of visually impaired individuals, allowing them to navigate their environments with greater confidence and autonomy.</w:t>
      </w:r>
    </w:p>
    <w:p w14:paraId="7B178CDC" w14:textId="77777777" w:rsidR="0052014F" w:rsidRDefault="00000000">
      <w:pPr>
        <w:pStyle w:val="Heading3"/>
      </w:pPr>
      <w:bookmarkStart w:id="2" w:name="review-focus"/>
      <w:r>
        <w:t>Review Focus</w:t>
      </w:r>
    </w:p>
    <w:p w14:paraId="5183C570" w14:textId="77777777" w:rsidR="0052014F" w:rsidRDefault="00000000">
      <w:pPr>
        <w:pStyle w:val="FirstParagraph"/>
      </w:pPr>
      <w:r>
        <w:t xml:space="preserve">This literature review aims to synthesize peer‑reviewed evidence alongside industry developments to address several pivotal questions: 1. </w:t>
      </w:r>
      <w:r>
        <w:rPr>
          <w:b/>
          <w:bCs/>
        </w:rPr>
        <w:t>Effectiveness:</w:t>
      </w:r>
      <w:r>
        <w:t xml:space="preserve"> How effective are smart glasses and related wearables in reducing collisions and assisting with wayfinding? 2. </w:t>
      </w:r>
      <w:r>
        <w:rPr>
          <w:b/>
          <w:bCs/>
        </w:rPr>
        <w:t>Perception Strategies:</w:t>
      </w:r>
      <w:r>
        <w:t xml:space="preserve"> What on‑device perception strategies are most effective for implementation on glasses‑class hardware? 3. </w:t>
      </w:r>
      <w:r>
        <w:rPr>
          <w:b/>
          <w:bCs/>
        </w:rPr>
        <w:t>Feedback Channels:</w:t>
      </w:r>
      <w:r>
        <w:t xml:space="preserve"> Which feedback channels—audio versus haptics—are most effective in reducing cognitive load during real walking tasks?</w:t>
      </w:r>
    </w:p>
    <w:p w14:paraId="473A3AB8" w14:textId="77777777" w:rsidR="0052014F" w:rsidRDefault="00000000">
      <w:pPr>
        <w:pStyle w:val="Heading3"/>
      </w:pPr>
      <w:bookmarkStart w:id="3" w:name="search-method-brief-overview"/>
      <w:bookmarkEnd w:id="2"/>
      <w:r>
        <w:t>Search Method (Brief Overview)</w:t>
      </w:r>
    </w:p>
    <w:p w14:paraId="1FEB874D" w14:textId="77777777" w:rsidR="0052014F" w:rsidRDefault="00000000">
      <w:pPr>
        <w:pStyle w:val="FirstParagraph"/>
      </w:pPr>
      <w:r>
        <w:t xml:space="preserve">The search for relevant literature was conducted across IEEE Xplore, ACM Digital Library, PubMed, and Google Scholar from October 18 to October 27, 2025. The search terms included: blind navigation, smart glasses, wearable technology, obstacle avoidance, on‑device detection, YOLO, haptic guidance, audio guidance, NASA‑TLX, OrCam, Sound of </w:t>
      </w:r>
      <w:r>
        <w:lastRenderedPageBreak/>
        <w:t>Vision, Envision, Aira. I prioritized peer‑reviewed articles (2014–2025) and studies with human or field evaluations, excluding simulation‑only work.</w:t>
      </w:r>
    </w:p>
    <w:p w14:paraId="29B26260" w14:textId="77777777" w:rsidR="0052014F" w:rsidRDefault="00000000">
      <w:r>
        <w:pict w14:anchorId="4B663634">
          <v:rect id="_x0000_i1026" style="width:0;height:1.5pt" o:hralign="center" o:hrstd="t" o:hr="t"/>
        </w:pict>
      </w:r>
    </w:p>
    <w:p w14:paraId="3B74C8B4" w14:textId="77777777" w:rsidR="0052014F" w:rsidRDefault="00000000">
      <w:pPr>
        <w:pStyle w:val="Heading2"/>
      </w:pPr>
      <w:bookmarkStart w:id="4" w:name="X94ea5f3ee974c69e5340f14dcde904dfcfa40c0"/>
      <w:bookmarkEnd w:id="1"/>
      <w:bookmarkEnd w:id="3"/>
      <w:r>
        <w:t>2. What Smart Glasses Do (Definition &amp; Capabilities)</w:t>
      </w:r>
    </w:p>
    <w:p w14:paraId="0A447457" w14:textId="77777777" w:rsidR="0052014F" w:rsidRDefault="00000000">
      <w:pPr>
        <w:pStyle w:val="FirstParagraph"/>
      </w:pPr>
      <w:r>
        <w:t xml:space="preserve">AI‑assisted smart glasses typically combine a camera, microphone, speakers (or bone‑conduction), inertial sensors, and sometimes depth sensing. On‑device (and occasionally cloud‑assisted) models transform the visual scene into </w:t>
      </w:r>
      <w:r>
        <w:rPr>
          <w:b/>
          <w:bCs/>
        </w:rPr>
        <w:t>audio</w:t>
      </w:r>
      <w:r>
        <w:t xml:space="preserve"> (speech or </w:t>
      </w:r>
      <w:proofErr w:type="spellStart"/>
      <w:r>
        <w:t>earcons</w:t>
      </w:r>
      <w:proofErr w:type="spellEnd"/>
      <w:r>
        <w:t xml:space="preserve">) and/or </w:t>
      </w:r>
      <w:r>
        <w:rPr>
          <w:b/>
          <w:bCs/>
        </w:rPr>
        <w:t>haptic</w:t>
      </w:r>
      <w:r>
        <w:t xml:space="preserve"> cues. Common capabilities: - </w:t>
      </w:r>
      <w:r>
        <w:rPr>
          <w:b/>
          <w:bCs/>
        </w:rPr>
        <w:t>Obstacle awareness &amp; lightweight guidance</w:t>
      </w:r>
      <w:r>
        <w:t xml:space="preserve"> (left/right/stop/close‑hazard patterns) - </w:t>
      </w:r>
      <w:r>
        <w:rPr>
          <w:b/>
          <w:bCs/>
        </w:rPr>
        <w:t>Object recognition</w:t>
      </w:r>
      <w:r>
        <w:t xml:space="preserve"> (doors, stairs, people, vehicles, landmarks) - </w:t>
      </w:r>
      <w:r>
        <w:rPr>
          <w:b/>
          <w:bCs/>
        </w:rPr>
        <w:t>Text‑to‑speech (OCR)</w:t>
      </w:r>
      <w:r>
        <w:t xml:space="preserve"> for menus, documents, and signage - </w:t>
      </w:r>
      <w:r>
        <w:rPr>
          <w:b/>
          <w:bCs/>
        </w:rPr>
        <w:t>Facial/product recognition</w:t>
      </w:r>
      <w:r>
        <w:t xml:space="preserve"> (varies by device &amp; privacy settings) - </w:t>
      </w:r>
      <w:r>
        <w:rPr>
          <w:b/>
          <w:bCs/>
        </w:rPr>
        <w:t>Concise scene description</w:t>
      </w:r>
      <w:r>
        <w:t xml:space="preserve"> on demand - </w:t>
      </w:r>
      <w:r>
        <w:rPr>
          <w:b/>
          <w:bCs/>
        </w:rPr>
        <w:t>Smartphone pairing</w:t>
      </w:r>
      <w:r>
        <w:t xml:space="preserve"> for settings, waypoints, and (opt‑in) location‑share with a caregiver</w:t>
      </w:r>
    </w:p>
    <w:p w14:paraId="7F2FE400" w14:textId="77777777" w:rsidR="0052014F" w:rsidRDefault="00000000">
      <w:pPr>
        <w:pStyle w:val="BodyText"/>
      </w:pPr>
      <w:r>
        <w:rPr>
          <w:b/>
          <w:bCs/>
        </w:rPr>
        <w:t>Representative devices.</w:t>
      </w:r>
      <w:r>
        <w:br/>
        <w:t xml:space="preserve">• </w:t>
      </w:r>
      <w:r>
        <w:rPr>
          <w:b/>
          <w:bCs/>
        </w:rPr>
        <w:t>Envision Glasses</w:t>
      </w:r>
      <w:r>
        <w:t xml:space="preserve"> (on Google Glass) — text reading, object recognition, nav aids, integrations like Be My Eyes.</w:t>
      </w:r>
      <w:r>
        <w:br/>
        <w:t xml:space="preserve">• </w:t>
      </w:r>
      <w:r>
        <w:rPr>
          <w:b/>
          <w:bCs/>
        </w:rPr>
        <w:t xml:space="preserve">OrCam </w:t>
      </w:r>
      <w:proofErr w:type="spellStart"/>
      <w:r>
        <w:rPr>
          <w:b/>
          <w:bCs/>
        </w:rPr>
        <w:t>MyEye</w:t>
      </w:r>
      <w:proofErr w:type="spellEnd"/>
      <w:r>
        <w:t xml:space="preserve"> — clip‑on unit for reading and recognition (text/face/product).</w:t>
      </w:r>
      <w:r>
        <w:br/>
        <w:t xml:space="preserve">• </w:t>
      </w:r>
      <w:r>
        <w:rPr>
          <w:b/>
          <w:bCs/>
        </w:rPr>
        <w:t>Aira</w:t>
      </w:r>
      <w:r>
        <w:t xml:space="preserve"> — remote human‑agent assistance via live video/audio link (smartphone or glasses), often used to complement local AI.</w:t>
      </w:r>
    </w:p>
    <w:p w14:paraId="6B4ACF41" w14:textId="77777777" w:rsidR="0052014F" w:rsidRDefault="00000000">
      <w:r>
        <w:pict w14:anchorId="2B3A39E4">
          <v:rect id="_x0000_i1027" style="width:0;height:1.5pt" o:hralign="center" o:hrstd="t" o:hr="t"/>
        </w:pict>
      </w:r>
    </w:p>
    <w:p w14:paraId="2FFDE92D" w14:textId="77777777" w:rsidR="0052014F" w:rsidRDefault="00000000">
      <w:pPr>
        <w:pStyle w:val="Heading2"/>
      </w:pPr>
      <w:bookmarkStart w:id="5" w:name="summary-key-studies-systems"/>
      <w:bookmarkEnd w:id="4"/>
      <w:r>
        <w:t>3. Summary | Key Studies &amp; Systems</w:t>
      </w:r>
    </w:p>
    <w:p w14:paraId="3AE720DD" w14:textId="77777777" w:rsidR="0052014F" w:rsidRDefault="00000000">
      <w:pPr>
        <w:pStyle w:val="FirstParagraph"/>
      </w:pPr>
      <w:r>
        <w:rPr>
          <w:b/>
          <w:bCs/>
        </w:rPr>
        <w:t>(S1) Sound of Vision (audio‑haptic substitution).</w:t>
      </w:r>
      <w:r>
        <w:br/>
        <w:t>Encodes 3D scene information into audio‑haptic stimuli. Short supervised training enabled users to quickly learn the cue set and improve awareness of obstacles in semi‑controlled, real environments.</w:t>
      </w:r>
    </w:p>
    <w:p w14:paraId="4FE49CFE" w14:textId="77777777" w:rsidR="0052014F" w:rsidRDefault="00000000">
      <w:pPr>
        <w:pStyle w:val="BodyText"/>
      </w:pPr>
      <w:r>
        <w:rPr>
          <w:b/>
          <w:bCs/>
        </w:rPr>
        <w:t>(S2) OrCam (commercial artificial‑vision aid).</w:t>
      </w:r>
      <w:r>
        <w:br/>
        <w:t>Clinical/field reports show improvements in daily functioning, especially reading and identification of objects/faces. Strong on recognition; not primarily designed for continuous step‑by‑step navigation.</w:t>
      </w:r>
    </w:p>
    <w:p w14:paraId="1067ACE5" w14:textId="77777777" w:rsidR="0052014F" w:rsidRDefault="00000000">
      <w:pPr>
        <w:pStyle w:val="BodyText"/>
      </w:pPr>
      <w:r>
        <w:rPr>
          <w:b/>
          <w:bCs/>
        </w:rPr>
        <w:t>(S3) Wearable collision‑warning device.</w:t>
      </w:r>
      <w:r>
        <w:br/>
        <w:t xml:space="preserve">Randomized home‑use evaluation (≈31 participants) found meaningfully </w:t>
      </w:r>
      <w:r>
        <w:rPr>
          <w:b/>
          <w:bCs/>
        </w:rPr>
        <w:t>fewer collisions</w:t>
      </w:r>
      <w:r>
        <w:t xml:space="preserve"> when the warning feature was active vs. inactive—particularly for obstacles above cane height—demonstrating functional safety benefits beyond lab accuracy.</w:t>
      </w:r>
    </w:p>
    <w:p w14:paraId="746080E4" w14:textId="77777777" w:rsidR="0052014F" w:rsidRDefault="00000000">
      <w:pPr>
        <w:pStyle w:val="BodyText"/>
      </w:pPr>
      <w:r>
        <w:rPr>
          <w:b/>
          <w:bCs/>
        </w:rPr>
        <w:t>(S4) On‑device object detection on glasses.</w:t>
      </w:r>
      <w:r>
        <w:br/>
        <w:t>Quantized tiny‑detectors (YOLO‑family “nano/tiny”) achieve real‑time inference on embedded processors (~10–30 FPS on low‑power SoCs), improving latency, battery life, and privacy (no routine cloud video streaming).</w:t>
      </w:r>
    </w:p>
    <w:p w14:paraId="353D9168" w14:textId="77777777" w:rsidR="0052014F" w:rsidRDefault="00000000">
      <w:pPr>
        <w:pStyle w:val="BodyText"/>
      </w:pPr>
      <w:r>
        <w:rPr>
          <w:b/>
          <w:bCs/>
        </w:rPr>
        <w:lastRenderedPageBreak/>
        <w:t>(S5) XR smart‑glasses with YOLOv8n (outdoor mobility).</w:t>
      </w:r>
      <w:r>
        <w:br/>
        <w:t>Field‑oriented prototype detects walkable areas, typical urban obstacles, and public facilities, delivering prompt cues outdoors when models are tuned for efficiency and variable lighting.</w:t>
      </w:r>
    </w:p>
    <w:p w14:paraId="16000FE3" w14:textId="77777777" w:rsidR="0052014F" w:rsidRDefault="00000000">
      <w:pPr>
        <w:pStyle w:val="BodyText"/>
      </w:pPr>
      <w:r>
        <w:rPr>
          <w:b/>
          <w:bCs/>
        </w:rPr>
        <w:t>(S6) Audio vs. haptic guidance (cognitive load).</w:t>
      </w:r>
      <w:r>
        <w:br/>
        <w:t xml:space="preserve">User studies using NASA‑TLX suggest continuous audio can raise cognitive load, while </w:t>
      </w:r>
      <w:r>
        <w:rPr>
          <w:b/>
          <w:bCs/>
        </w:rPr>
        <w:t>haptic cues</w:t>
      </w:r>
      <w:r>
        <w:t xml:space="preserve"> (brief vibration patterns) preserve the auditory channel for environmental awareness and conversation and are often preferred during locomotion.</w:t>
      </w:r>
    </w:p>
    <w:p w14:paraId="1B6E276C" w14:textId="77777777" w:rsidR="0052014F" w:rsidRDefault="00000000">
      <w:r>
        <w:pict w14:anchorId="73CBB7DE">
          <v:rect id="_x0000_i1028" style="width:0;height:1.5pt" o:hralign="center" o:hrstd="t" o:hr="t"/>
        </w:pict>
      </w:r>
    </w:p>
    <w:p w14:paraId="6BEB174C" w14:textId="77777777" w:rsidR="0052014F" w:rsidRDefault="00000000">
      <w:pPr>
        <w:pStyle w:val="Heading2"/>
      </w:pPr>
      <w:bookmarkStart w:id="6" w:name="benefits-from-literature-market-examples"/>
      <w:bookmarkEnd w:id="5"/>
      <w:r>
        <w:t>4. Benefits (From Literature &amp; Market Examples)</w:t>
      </w:r>
    </w:p>
    <w:p w14:paraId="34E9C03D" w14:textId="77777777" w:rsidR="0052014F" w:rsidRDefault="00000000">
      <w:pPr>
        <w:pStyle w:val="Compact"/>
        <w:numPr>
          <w:ilvl w:val="0"/>
          <w:numId w:val="2"/>
        </w:numPr>
      </w:pPr>
      <w:r>
        <w:rPr>
          <w:b/>
          <w:bCs/>
        </w:rPr>
        <w:t>Mobility &amp; independence.</w:t>
      </w:r>
      <w:r>
        <w:t xml:space="preserve"> Real‑time cues about obstacles, paths, and landmarks extend users’ capabilities beyond traditional aids, especially for head‑height hazards.</w:t>
      </w:r>
    </w:p>
    <w:p w14:paraId="0680A0EE" w14:textId="77777777" w:rsidR="0052014F" w:rsidRDefault="00000000">
      <w:pPr>
        <w:pStyle w:val="Compact"/>
        <w:numPr>
          <w:ilvl w:val="0"/>
          <w:numId w:val="2"/>
        </w:numPr>
      </w:pPr>
      <w:r>
        <w:rPr>
          <w:b/>
          <w:bCs/>
        </w:rPr>
        <w:t>Safety.</w:t>
      </w:r>
      <w:r>
        <w:t xml:space="preserve"> Collision warning helps avoid uneven surfaces, stairs, protruding objects, and moving vehicles; some studies report sizable reductions in collision events.</w:t>
      </w:r>
    </w:p>
    <w:p w14:paraId="0FAA89DB" w14:textId="77777777" w:rsidR="0052014F" w:rsidRDefault="00000000">
      <w:pPr>
        <w:pStyle w:val="Compact"/>
        <w:numPr>
          <w:ilvl w:val="0"/>
          <w:numId w:val="2"/>
        </w:numPr>
      </w:pPr>
      <w:r>
        <w:rPr>
          <w:b/>
          <w:bCs/>
        </w:rPr>
        <w:t>Access to information.</w:t>
      </w:r>
      <w:r>
        <w:t xml:space="preserve"> OCR and recognition unlock printed materials and signage in daily life, education, and work.</w:t>
      </w:r>
    </w:p>
    <w:p w14:paraId="1C773D4D" w14:textId="77777777" w:rsidR="0052014F" w:rsidRDefault="00000000">
      <w:pPr>
        <w:pStyle w:val="Compact"/>
        <w:numPr>
          <w:ilvl w:val="0"/>
          <w:numId w:val="2"/>
        </w:numPr>
      </w:pPr>
      <w:r>
        <w:rPr>
          <w:b/>
          <w:bCs/>
        </w:rPr>
        <w:t>Social inclusion.</w:t>
      </w:r>
      <w:r>
        <w:t xml:space="preserve"> Optional facial/product recognition and scene summaries can support certain interactions (subject to consent and context).</w:t>
      </w:r>
    </w:p>
    <w:p w14:paraId="257762EE" w14:textId="77777777" w:rsidR="0052014F" w:rsidRDefault="00000000">
      <w:pPr>
        <w:pStyle w:val="Compact"/>
        <w:numPr>
          <w:ilvl w:val="0"/>
          <w:numId w:val="2"/>
        </w:numPr>
      </w:pPr>
      <w:r>
        <w:rPr>
          <w:b/>
          <w:bCs/>
        </w:rPr>
        <w:t>Customization.</w:t>
      </w:r>
      <w:r>
        <w:t xml:space="preserve"> Users can tune languages, voices, sensitivity, cue types, and privacy settings.</w:t>
      </w:r>
    </w:p>
    <w:p w14:paraId="701B0186" w14:textId="77777777" w:rsidR="0052014F" w:rsidRDefault="00000000">
      <w:r>
        <w:pict w14:anchorId="6959A9E5">
          <v:rect id="_x0000_i1029" style="width:0;height:1.5pt" o:hralign="center" o:hrstd="t" o:hr="t"/>
        </w:pict>
      </w:r>
    </w:p>
    <w:p w14:paraId="5716734E" w14:textId="77777777" w:rsidR="0052014F" w:rsidRDefault="00000000">
      <w:pPr>
        <w:pStyle w:val="Heading2"/>
      </w:pPr>
      <w:bookmarkStart w:id="7" w:name="practical-barriers-realworld-constraints"/>
      <w:bookmarkEnd w:id="6"/>
      <w:r>
        <w:t>5. Practical Barriers (Real‑World Constraints)</w:t>
      </w:r>
    </w:p>
    <w:p w14:paraId="13525A78" w14:textId="77777777" w:rsidR="0052014F" w:rsidRDefault="00000000">
      <w:pPr>
        <w:pStyle w:val="Compact"/>
        <w:numPr>
          <w:ilvl w:val="0"/>
          <w:numId w:val="3"/>
        </w:numPr>
      </w:pPr>
      <w:r>
        <w:rPr>
          <w:b/>
          <w:bCs/>
        </w:rPr>
        <w:t>Cost &amp; access.</w:t>
      </w:r>
      <w:r>
        <w:t xml:space="preserve"> Many commercial devices retail around </w:t>
      </w:r>
      <w:r>
        <w:rPr>
          <w:b/>
          <w:bCs/>
        </w:rPr>
        <w:t>$2,000–$4,000</w:t>
      </w:r>
      <w:r>
        <w:t>, limiting adoption; subsidies and programs improve equity.</w:t>
      </w:r>
    </w:p>
    <w:p w14:paraId="59656CFB" w14:textId="77777777" w:rsidR="0052014F" w:rsidRDefault="00000000">
      <w:pPr>
        <w:pStyle w:val="Compact"/>
        <w:numPr>
          <w:ilvl w:val="0"/>
          <w:numId w:val="3"/>
        </w:numPr>
      </w:pPr>
      <w:r>
        <w:rPr>
          <w:b/>
          <w:bCs/>
        </w:rPr>
        <w:t>Battery life &amp; thermals.</w:t>
      </w:r>
      <w:r>
        <w:t xml:space="preserve"> Compute‑heavy perception and continuous sensing require careful power budgeting and heat management.</w:t>
      </w:r>
    </w:p>
    <w:p w14:paraId="2312CCA6" w14:textId="77777777" w:rsidR="0052014F" w:rsidRDefault="00000000">
      <w:pPr>
        <w:pStyle w:val="Compact"/>
        <w:numPr>
          <w:ilvl w:val="0"/>
          <w:numId w:val="3"/>
        </w:numPr>
      </w:pPr>
      <w:r>
        <w:rPr>
          <w:b/>
          <w:bCs/>
        </w:rPr>
        <w:t>Connectivity dependence (for some features).</w:t>
      </w:r>
      <w:r>
        <w:t xml:space="preserve"> Remote‑agent or cloud functions can degrade with poor networks; critical mobility cues should run locally.</w:t>
      </w:r>
    </w:p>
    <w:p w14:paraId="2341D2A0" w14:textId="77777777" w:rsidR="0052014F" w:rsidRDefault="00000000">
      <w:pPr>
        <w:pStyle w:val="Compact"/>
        <w:numPr>
          <w:ilvl w:val="0"/>
          <w:numId w:val="3"/>
        </w:numPr>
      </w:pPr>
      <w:r>
        <w:rPr>
          <w:b/>
          <w:bCs/>
        </w:rPr>
        <w:t>Privacy, consent, and bystander comfort.</w:t>
      </w:r>
      <w:r>
        <w:t xml:space="preserve"> Always‑on cameras and recognition features require clear consent, strong data protection, and transparent indicators when recording/streaming is active.</w:t>
      </w:r>
    </w:p>
    <w:p w14:paraId="2F3A0131" w14:textId="77777777" w:rsidR="0052014F" w:rsidRDefault="00000000">
      <w:pPr>
        <w:pStyle w:val="Compact"/>
        <w:numPr>
          <w:ilvl w:val="0"/>
          <w:numId w:val="3"/>
        </w:numPr>
      </w:pPr>
      <w:r>
        <w:rPr>
          <w:b/>
          <w:bCs/>
        </w:rPr>
        <w:t>Learnability &amp; cue density.</w:t>
      </w:r>
      <w:r>
        <w:t xml:space="preserve"> Brief onboarding is helpful; compact, consistent cue vocabularies prevent overload.</w:t>
      </w:r>
    </w:p>
    <w:p w14:paraId="5F4C9010" w14:textId="77777777" w:rsidR="0052014F" w:rsidRDefault="00000000">
      <w:r>
        <w:pict w14:anchorId="2FD7A5E9">
          <v:rect id="_x0000_i1030" style="width:0;height:1.5pt" o:hralign="center" o:hrstd="t" o:hr="t"/>
        </w:pict>
      </w:r>
    </w:p>
    <w:p w14:paraId="173F98CC" w14:textId="77777777" w:rsidR="0052014F" w:rsidRDefault="00000000">
      <w:pPr>
        <w:pStyle w:val="Heading2"/>
      </w:pPr>
      <w:bookmarkStart w:id="8" w:name="critical-analysis"/>
      <w:bookmarkEnd w:id="7"/>
      <w:r>
        <w:lastRenderedPageBreak/>
        <w:t>6. Critical Analysis</w:t>
      </w:r>
    </w:p>
    <w:p w14:paraId="7DD57B8F" w14:textId="77777777" w:rsidR="0052014F" w:rsidRDefault="00000000">
      <w:pPr>
        <w:pStyle w:val="FirstParagraph"/>
      </w:pPr>
      <w:r>
        <w:rPr>
          <w:b/>
          <w:bCs/>
        </w:rPr>
        <w:t>Clinical vs. engineering evidence.</w:t>
      </w:r>
      <w:r>
        <w:br/>
        <w:t xml:space="preserve">Commercial/clinical studies document tangible functional outcomes (e.g., quality‑of‑life gains; fewer collisions). Engineering prototypes emphasize frame rate, accuracy, and energy. Strong evidence connects </w:t>
      </w:r>
      <w:r>
        <w:rPr>
          <w:b/>
          <w:bCs/>
        </w:rPr>
        <w:t>technical metrics to user outcomes</w:t>
      </w:r>
      <w:r>
        <w:t xml:space="preserve"> (collisions, time‑to‑goal, perceived effort, SUS usability, NASA‑TLX load).</w:t>
      </w:r>
    </w:p>
    <w:p w14:paraId="01F218A9" w14:textId="77777777" w:rsidR="0052014F" w:rsidRDefault="00000000">
      <w:pPr>
        <w:pStyle w:val="BodyText"/>
      </w:pPr>
      <w:r>
        <w:rPr>
          <w:b/>
          <w:bCs/>
        </w:rPr>
        <w:t>On‑device perception is maturing.</w:t>
      </w:r>
      <w:r>
        <w:br/>
        <w:t>Compact detectors running locally on glasses‑class hardware reduce latency and preserve privacy. Robustness remains a key challenge under glare, night scenes, and motion blur.</w:t>
      </w:r>
    </w:p>
    <w:p w14:paraId="3FA8BAAD" w14:textId="77777777" w:rsidR="0052014F" w:rsidRDefault="00000000">
      <w:pPr>
        <w:pStyle w:val="BodyText"/>
      </w:pPr>
      <w:r>
        <w:rPr>
          <w:b/>
          <w:bCs/>
        </w:rPr>
        <w:t>Guidance channel design.</w:t>
      </w:r>
      <w:r>
        <w:br/>
        <w:t xml:space="preserve">Audio is ideal for rich, on‑demand descriptions (e.g., “door two meters to your right,” reading a sign). For continuous walking, </w:t>
      </w:r>
      <w:r>
        <w:rPr>
          <w:b/>
          <w:bCs/>
        </w:rPr>
        <w:t>haptics‑first</w:t>
      </w:r>
      <w:r>
        <w:t xml:space="preserve"> reduces cognitive load and distraction.</w:t>
      </w:r>
    </w:p>
    <w:p w14:paraId="470E49EE" w14:textId="77777777" w:rsidR="0052014F" w:rsidRDefault="00000000">
      <w:pPr>
        <w:pStyle w:val="BodyText"/>
      </w:pPr>
      <w:r>
        <w:rPr>
          <w:b/>
          <w:bCs/>
        </w:rPr>
        <w:t>Learnability.</w:t>
      </w:r>
      <w:r>
        <w:br/>
        <w:t>Systems like Sound of Vision show users can learn a compact cue set rapidly. Excessive stimuli are counter‑productive; fewer, more informative cues work best.</w:t>
      </w:r>
    </w:p>
    <w:p w14:paraId="0A36FA18" w14:textId="77777777" w:rsidR="0052014F" w:rsidRDefault="00000000">
      <w:pPr>
        <w:pStyle w:val="BodyText"/>
      </w:pPr>
      <w:r>
        <w:rPr>
          <w:b/>
          <w:bCs/>
        </w:rPr>
        <w:t>Gaps.</w:t>
      </w:r>
      <w:r>
        <w:br/>
        <w:t>Longer, mixed indoor–outdoor field studies are rare. Standardized evaluation bundles (collisions, time‑to‑goal, false alerts, SUS, NASA‑TLX) are not consistently reported, hindering cross‑study comparison. Support for Arabic OCR/wayfinding and region‑specific signage remains underexplored.</w:t>
      </w:r>
    </w:p>
    <w:p w14:paraId="7A251AE5" w14:textId="77777777" w:rsidR="0052014F" w:rsidRDefault="00000000">
      <w:r>
        <w:pict w14:anchorId="7F04AED0">
          <v:rect id="_x0000_i1031" style="width:0;height:1.5pt" o:hralign="center" o:hrstd="t" o:hr="t"/>
        </w:pict>
      </w:r>
    </w:p>
    <w:p w14:paraId="7C85BB86" w14:textId="77777777" w:rsidR="0052014F" w:rsidRDefault="00000000">
      <w:pPr>
        <w:pStyle w:val="Heading2"/>
      </w:pPr>
      <w:bookmarkStart w:id="9" w:name="linking-across-the-literature"/>
      <w:bookmarkEnd w:id="8"/>
      <w:r>
        <w:t>7. Linking Across the Literature</w:t>
      </w:r>
    </w:p>
    <w:p w14:paraId="3177F918" w14:textId="77777777" w:rsidR="0052014F" w:rsidRDefault="00000000">
      <w:pPr>
        <w:pStyle w:val="Compact"/>
        <w:numPr>
          <w:ilvl w:val="0"/>
          <w:numId w:val="4"/>
        </w:numPr>
      </w:pPr>
      <w:r>
        <w:rPr>
          <w:b/>
          <w:bCs/>
        </w:rPr>
        <w:t>Wearability + real‑time</w:t>
      </w:r>
      <w:r>
        <w:t xml:space="preserve"> is a shared goal: immediate perception with minimal user burden.</w:t>
      </w:r>
      <w:r>
        <w:br/>
      </w:r>
    </w:p>
    <w:p w14:paraId="629BD978" w14:textId="77777777" w:rsidR="0052014F" w:rsidRDefault="00000000">
      <w:pPr>
        <w:pStyle w:val="Compact"/>
        <w:numPr>
          <w:ilvl w:val="0"/>
          <w:numId w:val="4"/>
        </w:numPr>
      </w:pPr>
      <w:r>
        <w:rPr>
          <w:b/>
          <w:bCs/>
        </w:rPr>
        <w:t>Safety first.</w:t>
      </w:r>
      <w:r>
        <w:t xml:space="preserve"> Outcome measures increasingly track collisions/proximity rather than accuracy alone.</w:t>
      </w:r>
      <w:r>
        <w:br/>
      </w:r>
    </w:p>
    <w:p w14:paraId="0FF2C2F0" w14:textId="77777777" w:rsidR="0052014F" w:rsidRDefault="00000000">
      <w:pPr>
        <w:pStyle w:val="Compact"/>
        <w:numPr>
          <w:ilvl w:val="0"/>
          <w:numId w:val="4"/>
        </w:numPr>
      </w:pPr>
      <w:r>
        <w:rPr>
          <w:b/>
          <w:bCs/>
        </w:rPr>
        <w:t>Hybrid guidance is common.</w:t>
      </w:r>
      <w:r>
        <w:t xml:space="preserve"> Haptics for primary steering; audio on demand for semantics.</w:t>
      </w:r>
      <w:r>
        <w:br/>
      </w:r>
    </w:p>
    <w:p w14:paraId="6F2D2BB4" w14:textId="77777777" w:rsidR="0052014F" w:rsidRDefault="00000000">
      <w:pPr>
        <w:pStyle w:val="Compact"/>
        <w:numPr>
          <w:ilvl w:val="0"/>
          <w:numId w:val="4"/>
        </w:numPr>
      </w:pPr>
      <w:r>
        <w:rPr>
          <w:b/>
          <w:bCs/>
        </w:rPr>
        <w:t>Privacy‑aware design.</w:t>
      </w:r>
      <w:r>
        <w:t xml:space="preserve"> On‑device processing is becoming standard to avoid cloud video and reduce lag.</w:t>
      </w:r>
    </w:p>
    <w:p w14:paraId="32F29346" w14:textId="77777777" w:rsidR="0052014F" w:rsidRDefault="00000000">
      <w:r>
        <w:pict w14:anchorId="71B3533A">
          <v:rect id="_x0000_i1032" style="width:0;height:1.5pt" o:hralign="center" o:hrstd="t" o:hr="t"/>
        </w:pict>
      </w:r>
    </w:p>
    <w:p w14:paraId="1F08BA13" w14:textId="77777777" w:rsidR="0052014F" w:rsidRDefault="00000000">
      <w:pPr>
        <w:pStyle w:val="Heading2"/>
      </w:pPr>
      <w:bookmarkStart w:id="10" w:name="conflicts-between-the-findings"/>
      <w:bookmarkEnd w:id="9"/>
      <w:r>
        <w:lastRenderedPageBreak/>
        <w:t>8. Conflicts Between the Findings</w:t>
      </w:r>
    </w:p>
    <w:p w14:paraId="2CD735FB" w14:textId="77777777" w:rsidR="0052014F" w:rsidRDefault="00000000">
      <w:pPr>
        <w:pStyle w:val="Compact"/>
        <w:numPr>
          <w:ilvl w:val="0"/>
          <w:numId w:val="5"/>
        </w:numPr>
      </w:pPr>
      <w:r>
        <w:rPr>
          <w:b/>
          <w:bCs/>
        </w:rPr>
        <w:t>Best primary channel?</w:t>
      </w:r>
      <w:r>
        <w:t xml:space="preserve"> Recognition‑heavy systems lean on audio; mobility‑centric studies favor haptics. A pragmatic compromise is </w:t>
      </w:r>
      <w:r>
        <w:rPr>
          <w:b/>
          <w:bCs/>
        </w:rPr>
        <w:t>haptics‑first, audio when requested or context‑triggered</w:t>
      </w:r>
      <w:r>
        <w:t>.</w:t>
      </w:r>
    </w:p>
    <w:p w14:paraId="573EB82C" w14:textId="77777777" w:rsidR="0052014F" w:rsidRDefault="00000000">
      <w:pPr>
        <w:pStyle w:val="Compact"/>
        <w:numPr>
          <w:ilvl w:val="0"/>
          <w:numId w:val="5"/>
        </w:numPr>
      </w:pPr>
      <w:r>
        <w:rPr>
          <w:b/>
          <w:bCs/>
        </w:rPr>
        <w:t>Lab metrics vs. lived outcomes.</w:t>
      </w:r>
      <w:r>
        <w:t xml:space="preserve"> High </w:t>
      </w:r>
      <w:proofErr w:type="spellStart"/>
      <w:r>
        <w:t>mAP</w:t>
      </w:r>
      <w:proofErr w:type="spellEnd"/>
      <w:r>
        <w:t>/FPS ≠ safer walking. Studies that measure real mobility outcomes are more persuasive for assistive use.</w:t>
      </w:r>
      <w:r>
        <w:br/>
      </w:r>
    </w:p>
    <w:p w14:paraId="1C2C4F98" w14:textId="77777777" w:rsidR="0052014F" w:rsidRDefault="00000000">
      <w:pPr>
        <w:pStyle w:val="Compact"/>
        <w:numPr>
          <w:ilvl w:val="0"/>
          <w:numId w:val="5"/>
        </w:numPr>
      </w:pPr>
      <w:r>
        <w:rPr>
          <w:b/>
          <w:bCs/>
        </w:rPr>
        <w:t>Recognition vs. navigation.</w:t>
      </w:r>
      <w:r>
        <w:t xml:space="preserve"> A device can “read” well yet still distract if messages are verbose or frequent. Cue economy matters.</w:t>
      </w:r>
    </w:p>
    <w:p w14:paraId="6AF64B5D" w14:textId="77777777" w:rsidR="0052014F" w:rsidRDefault="00000000">
      <w:r>
        <w:pict w14:anchorId="078CC70B">
          <v:rect id="_x0000_i1033" style="width:0;height:1.5pt" o:hralign="center" o:hrstd="t" o:hr="t"/>
        </w:pict>
      </w:r>
    </w:p>
    <w:p w14:paraId="05B62420" w14:textId="77777777" w:rsidR="0052014F" w:rsidRDefault="00000000">
      <w:pPr>
        <w:pStyle w:val="Heading2"/>
      </w:pPr>
      <w:bookmarkStart w:id="11" w:name="synthesis-matrix-condensed"/>
      <w:bookmarkEnd w:id="10"/>
      <w:r>
        <w:t>9. Synthesis Matrix (Condensed)</w:t>
      </w:r>
    </w:p>
    <w:tbl>
      <w:tblPr>
        <w:tblStyle w:val="Table"/>
        <w:tblW w:w="5000" w:type="pct"/>
        <w:tblLayout w:type="fixed"/>
        <w:tblLook w:val="0020" w:firstRow="1" w:lastRow="0" w:firstColumn="0" w:lastColumn="0" w:noHBand="0" w:noVBand="0"/>
      </w:tblPr>
      <w:tblGrid>
        <w:gridCol w:w="1916"/>
        <w:gridCol w:w="1915"/>
        <w:gridCol w:w="1915"/>
        <w:gridCol w:w="1915"/>
        <w:gridCol w:w="1915"/>
      </w:tblGrid>
      <w:tr w:rsidR="0052014F" w14:paraId="2047DE72" w14:textId="77777777" w:rsidTr="0052014F">
        <w:trPr>
          <w:cnfStyle w:val="100000000000" w:firstRow="1" w:lastRow="0" w:firstColumn="0" w:lastColumn="0" w:oddVBand="0" w:evenVBand="0" w:oddHBand="0" w:evenHBand="0" w:firstRowFirstColumn="0" w:firstRowLastColumn="0" w:lastRowFirstColumn="0" w:lastRowLastColumn="0"/>
          <w:tblHeader/>
        </w:trPr>
        <w:tc>
          <w:tcPr>
            <w:tcW w:w="1584" w:type="dxa"/>
          </w:tcPr>
          <w:p w14:paraId="3794A47C" w14:textId="77777777" w:rsidR="0052014F" w:rsidRDefault="00000000">
            <w:pPr>
              <w:pStyle w:val="Compact"/>
            </w:pPr>
            <w:r>
              <w:t>Work</w:t>
            </w:r>
          </w:p>
        </w:tc>
        <w:tc>
          <w:tcPr>
            <w:tcW w:w="1584" w:type="dxa"/>
          </w:tcPr>
          <w:p w14:paraId="5C77001D" w14:textId="77777777" w:rsidR="0052014F" w:rsidRDefault="00000000">
            <w:pPr>
              <w:pStyle w:val="Compact"/>
            </w:pPr>
            <w:r>
              <w:t>Goal</w:t>
            </w:r>
          </w:p>
        </w:tc>
        <w:tc>
          <w:tcPr>
            <w:tcW w:w="1584" w:type="dxa"/>
          </w:tcPr>
          <w:p w14:paraId="5C4C34EC" w14:textId="77777777" w:rsidR="0052014F" w:rsidRDefault="00000000">
            <w:pPr>
              <w:pStyle w:val="Compact"/>
            </w:pPr>
            <w:r>
              <w:t>Setting</w:t>
            </w:r>
          </w:p>
        </w:tc>
        <w:tc>
          <w:tcPr>
            <w:tcW w:w="1584" w:type="dxa"/>
          </w:tcPr>
          <w:p w14:paraId="72971A26" w14:textId="77777777" w:rsidR="0052014F" w:rsidRDefault="00000000">
            <w:pPr>
              <w:pStyle w:val="Compact"/>
            </w:pPr>
            <w:r>
              <w:t>Main outcomes</w:t>
            </w:r>
          </w:p>
        </w:tc>
        <w:tc>
          <w:tcPr>
            <w:tcW w:w="1584" w:type="dxa"/>
          </w:tcPr>
          <w:p w14:paraId="29D30A88" w14:textId="77777777" w:rsidR="0052014F" w:rsidRDefault="00000000">
            <w:pPr>
              <w:pStyle w:val="Compact"/>
            </w:pPr>
            <w:r>
              <w:t>Notable limits</w:t>
            </w:r>
          </w:p>
        </w:tc>
      </w:tr>
      <w:tr w:rsidR="0052014F" w14:paraId="42714107" w14:textId="77777777">
        <w:tc>
          <w:tcPr>
            <w:tcW w:w="1584" w:type="dxa"/>
          </w:tcPr>
          <w:p w14:paraId="002D897E" w14:textId="77777777" w:rsidR="0052014F" w:rsidRDefault="00000000">
            <w:pPr>
              <w:pStyle w:val="Compact"/>
            </w:pPr>
            <w:r>
              <w:t>Sound of Vision</w:t>
            </w:r>
          </w:p>
        </w:tc>
        <w:tc>
          <w:tcPr>
            <w:tcW w:w="1584" w:type="dxa"/>
          </w:tcPr>
          <w:p w14:paraId="6E006496" w14:textId="77777777" w:rsidR="0052014F" w:rsidRDefault="00000000">
            <w:pPr>
              <w:pStyle w:val="Compact"/>
            </w:pPr>
            <w:r>
              <w:t>Audio‑haptic scene substitution</w:t>
            </w:r>
          </w:p>
        </w:tc>
        <w:tc>
          <w:tcPr>
            <w:tcW w:w="1584" w:type="dxa"/>
          </w:tcPr>
          <w:p w14:paraId="201FC914" w14:textId="77777777" w:rsidR="0052014F" w:rsidRDefault="00000000">
            <w:pPr>
              <w:pStyle w:val="Compact"/>
            </w:pPr>
            <w:r>
              <w:t>Semi‑controlled, real</w:t>
            </w:r>
          </w:p>
        </w:tc>
        <w:tc>
          <w:tcPr>
            <w:tcW w:w="1584" w:type="dxa"/>
          </w:tcPr>
          <w:p w14:paraId="7E71CC6B" w14:textId="77777777" w:rsidR="0052014F" w:rsidRDefault="00000000">
            <w:pPr>
              <w:pStyle w:val="Compact"/>
            </w:pPr>
            <w:r>
              <w:t>Fast learnability; richer spatial awareness</w:t>
            </w:r>
          </w:p>
        </w:tc>
        <w:tc>
          <w:tcPr>
            <w:tcW w:w="1584" w:type="dxa"/>
          </w:tcPr>
          <w:p w14:paraId="6EBC2200" w14:textId="77777777" w:rsidR="0052014F" w:rsidRDefault="00000000">
            <w:pPr>
              <w:pStyle w:val="Compact"/>
            </w:pPr>
            <w:r>
              <w:t>Needs brief training; tune cue density</w:t>
            </w:r>
          </w:p>
        </w:tc>
      </w:tr>
      <w:tr w:rsidR="0052014F" w14:paraId="4C5D2655" w14:textId="77777777">
        <w:tc>
          <w:tcPr>
            <w:tcW w:w="1584" w:type="dxa"/>
          </w:tcPr>
          <w:p w14:paraId="0DD87A18" w14:textId="77777777" w:rsidR="0052014F" w:rsidRDefault="00000000">
            <w:pPr>
              <w:pStyle w:val="Compact"/>
            </w:pPr>
            <w:r>
              <w:t>OrCam</w:t>
            </w:r>
          </w:p>
        </w:tc>
        <w:tc>
          <w:tcPr>
            <w:tcW w:w="1584" w:type="dxa"/>
          </w:tcPr>
          <w:p w14:paraId="44D0A84F" w14:textId="77777777" w:rsidR="0052014F" w:rsidRDefault="00000000">
            <w:pPr>
              <w:pStyle w:val="Compact"/>
            </w:pPr>
            <w:r>
              <w:t>Everyday reading/recognition</w:t>
            </w:r>
          </w:p>
        </w:tc>
        <w:tc>
          <w:tcPr>
            <w:tcW w:w="1584" w:type="dxa"/>
          </w:tcPr>
          <w:p w14:paraId="13D5C461" w14:textId="77777777" w:rsidR="0052014F" w:rsidRDefault="00000000">
            <w:pPr>
              <w:pStyle w:val="Compact"/>
            </w:pPr>
            <w:r>
              <w:t>Clinical/field</w:t>
            </w:r>
          </w:p>
        </w:tc>
        <w:tc>
          <w:tcPr>
            <w:tcW w:w="1584" w:type="dxa"/>
          </w:tcPr>
          <w:p w14:paraId="0ADB8360" w14:textId="77777777" w:rsidR="0052014F" w:rsidRDefault="00000000">
            <w:pPr>
              <w:pStyle w:val="Compact"/>
            </w:pPr>
            <w:r>
              <w:t>Improved daily functioning &amp; QoL</w:t>
            </w:r>
          </w:p>
        </w:tc>
        <w:tc>
          <w:tcPr>
            <w:tcW w:w="1584" w:type="dxa"/>
          </w:tcPr>
          <w:p w14:paraId="224BADF4" w14:textId="77777777" w:rsidR="0052014F" w:rsidRDefault="00000000">
            <w:pPr>
              <w:pStyle w:val="Compact"/>
            </w:pPr>
            <w:r>
              <w:t>Not designed for step‑by‑step navigation</w:t>
            </w:r>
          </w:p>
        </w:tc>
      </w:tr>
      <w:tr w:rsidR="0052014F" w14:paraId="7421932C" w14:textId="77777777">
        <w:tc>
          <w:tcPr>
            <w:tcW w:w="1584" w:type="dxa"/>
          </w:tcPr>
          <w:p w14:paraId="2C9469AA" w14:textId="77777777" w:rsidR="0052014F" w:rsidRDefault="00000000">
            <w:pPr>
              <w:pStyle w:val="Compact"/>
            </w:pPr>
            <w:r>
              <w:t>Wearable collision warning</w:t>
            </w:r>
          </w:p>
        </w:tc>
        <w:tc>
          <w:tcPr>
            <w:tcW w:w="1584" w:type="dxa"/>
          </w:tcPr>
          <w:p w14:paraId="54A66FFB" w14:textId="77777777" w:rsidR="0052014F" w:rsidRDefault="00000000">
            <w:pPr>
              <w:pStyle w:val="Compact"/>
            </w:pPr>
            <w:r>
              <w:t>Reduce obstacle impacts</w:t>
            </w:r>
          </w:p>
        </w:tc>
        <w:tc>
          <w:tcPr>
            <w:tcW w:w="1584" w:type="dxa"/>
          </w:tcPr>
          <w:p w14:paraId="1022C621" w14:textId="77777777" w:rsidR="0052014F" w:rsidRDefault="00000000">
            <w:pPr>
              <w:pStyle w:val="Compact"/>
            </w:pPr>
            <w:r>
              <w:t>Home‑use comparison</w:t>
            </w:r>
          </w:p>
        </w:tc>
        <w:tc>
          <w:tcPr>
            <w:tcW w:w="1584" w:type="dxa"/>
          </w:tcPr>
          <w:p w14:paraId="2117A094" w14:textId="77777777" w:rsidR="0052014F" w:rsidRDefault="00000000">
            <w:pPr>
              <w:pStyle w:val="Compact"/>
            </w:pPr>
            <w:r>
              <w:t>Fewer collisions with feature ON</w:t>
            </w:r>
          </w:p>
        </w:tc>
        <w:tc>
          <w:tcPr>
            <w:tcW w:w="1584" w:type="dxa"/>
          </w:tcPr>
          <w:p w14:paraId="22781746" w14:textId="77777777" w:rsidR="0052014F" w:rsidRDefault="00000000">
            <w:pPr>
              <w:pStyle w:val="Compact"/>
            </w:pPr>
            <w:r>
              <w:t>Body‑worn camera; scene diversity varies</w:t>
            </w:r>
          </w:p>
        </w:tc>
      </w:tr>
      <w:tr w:rsidR="0052014F" w14:paraId="5A58AC08" w14:textId="77777777">
        <w:tc>
          <w:tcPr>
            <w:tcW w:w="1584" w:type="dxa"/>
          </w:tcPr>
          <w:p w14:paraId="4717E869" w14:textId="77777777" w:rsidR="0052014F" w:rsidRDefault="00000000">
            <w:pPr>
              <w:pStyle w:val="Compact"/>
            </w:pPr>
            <w:r>
              <w:t>Tiny/on‑device detectors</w:t>
            </w:r>
          </w:p>
        </w:tc>
        <w:tc>
          <w:tcPr>
            <w:tcW w:w="1584" w:type="dxa"/>
          </w:tcPr>
          <w:p w14:paraId="7B3BCD7F" w14:textId="77777777" w:rsidR="0052014F" w:rsidRDefault="00000000">
            <w:pPr>
              <w:pStyle w:val="Compact"/>
            </w:pPr>
            <w:r>
              <w:t>Low‑latency CV on glasses</w:t>
            </w:r>
          </w:p>
        </w:tc>
        <w:tc>
          <w:tcPr>
            <w:tcW w:w="1584" w:type="dxa"/>
          </w:tcPr>
          <w:p w14:paraId="40477AAC" w14:textId="77777777" w:rsidR="0052014F" w:rsidRDefault="00000000">
            <w:pPr>
              <w:pStyle w:val="Compact"/>
            </w:pPr>
            <w:r>
              <w:t>Lab/prototype</w:t>
            </w:r>
          </w:p>
        </w:tc>
        <w:tc>
          <w:tcPr>
            <w:tcW w:w="1584" w:type="dxa"/>
          </w:tcPr>
          <w:p w14:paraId="1139E3F1" w14:textId="77777777" w:rsidR="0052014F" w:rsidRDefault="00000000">
            <w:pPr>
              <w:pStyle w:val="Compact"/>
            </w:pPr>
            <w:r>
              <w:t>Real‑time inference; better privacy/battery</w:t>
            </w:r>
          </w:p>
        </w:tc>
        <w:tc>
          <w:tcPr>
            <w:tcW w:w="1584" w:type="dxa"/>
          </w:tcPr>
          <w:p w14:paraId="74EA44A7" w14:textId="77777777" w:rsidR="0052014F" w:rsidRDefault="00000000">
            <w:pPr>
              <w:pStyle w:val="Compact"/>
            </w:pPr>
            <w:r>
              <w:t>Needs longer, outdoor evaluations</w:t>
            </w:r>
          </w:p>
        </w:tc>
      </w:tr>
      <w:tr w:rsidR="0052014F" w14:paraId="76871C58" w14:textId="77777777">
        <w:tc>
          <w:tcPr>
            <w:tcW w:w="1584" w:type="dxa"/>
          </w:tcPr>
          <w:p w14:paraId="16CCA85E" w14:textId="77777777" w:rsidR="0052014F" w:rsidRDefault="00000000">
            <w:pPr>
              <w:pStyle w:val="Compact"/>
            </w:pPr>
            <w:r>
              <w:t>XR + YOLOv8n</w:t>
            </w:r>
          </w:p>
        </w:tc>
        <w:tc>
          <w:tcPr>
            <w:tcW w:w="1584" w:type="dxa"/>
          </w:tcPr>
          <w:p w14:paraId="4463E27C" w14:textId="77777777" w:rsidR="0052014F" w:rsidRDefault="00000000">
            <w:pPr>
              <w:pStyle w:val="Compact"/>
            </w:pPr>
            <w:r>
              <w:t>Outdoor mobility cues</w:t>
            </w:r>
          </w:p>
        </w:tc>
        <w:tc>
          <w:tcPr>
            <w:tcW w:w="1584" w:type="dxa"/>
          </w:tcPr>
          <w:p w14:paraId="46F47BB3" w14:textId="77777777" w:rsidR="0052014F" w:rsidRDefault="00000000">
            <w:pPr>
              <w:pStyle w:val="Compact"/>
            </w:pPr>
            <w:r>
              <w:t>Field prototype</w:t>
            </w:r>
          </w:p>
        </w:tc>
        <w:tc>
          <w:tcPr>
            <w:tcW w:w="1584" w:type="dxa"/>
          </w:tcPr>
          <w:p w14:paraId="2C3A54E6" w14:textId="77777777" w:rsidR="0052014F" w:rsidRDefault="00000000">
            <w:pPr>
              <w:pStyle w:val="Compact"/>
            </w:pPr>
            <w:r>
              <w:t>Detects walkable areas &amp; obstacles</w:t>
            </w:r>
          </w:p>
        </w:tc>
        <w:tc>
          <w:tcPr>
            <w:tcW w:w="1584" w:type="dxa"/>
          </w:tcPr>
          <w:p w14:paraId="54D7D159" w14:textId="77777777" w:rsidR="0052014F" w:rsidRDefault="00000000">
            <w:pPr>
              <w:pStyle w:val="Compact"/>
            </w:pPr>
            <w:r>
              <w:t>Sensitive to lighting/weather</w:t>
            </w:r>
          </w:p>
        </w:tc>
      </w:tr>
      <w:tr w:rsidR="0052014F" w14:paraId="7B513736" w14:textId="77777777">
        <w:tc>
          <w:tcPr>
            <w:tcW w:w="1584" w:type="dxa"/>
          </w:tcPr>
          <w:p w14:paraId="38575414" w14:textId="77777777" w:rsidR="0052014F" w:rsidRDefault="00000000">
            <w:pPr>
              <w:pStyle w:val="Compact"/>
            </w:pPr>
            <w:r>
              <w:t>Audio vs. haptics</w:t>
            </w:r>
          </w:p>
        </w:tc>
        <w:tc>
          <w:tcPr>
            <w:tcW w:w="1584" w:type="dxa"/>
          </w:tcPr>
          <w:p w14:paraId="094163B4" w14:textId="77777777" w:rsidR="0052014F" w:rsidRDefault="00000000">
            <w:pPr>
              <w:pStyle w:val="Compact"/>
            </w:pPr>
            <w:r>
              <w:t>Lower cognitive load</w:t>
            </w:r>
          </w:p>
        </w:tc>
        <w:tc>
          <w:tcPr>
            <w:tcW w:w="1584" w:type="dxa"/>
          </w:tcPr>
          <w:p w14:paraId="2C9A9B1A" w14:textId="77777777" w:rsidR="0052014F" w:rsidRDefault="00000000">
            <w:pPr>
              <w:pStyle w:val="Compact"/>
            </w:pPr>
            <w:r>
              <w:t>Lab/user studies</w:t>
            </w:r>
          </w:p>
        </w:tc>
        <w:tc>
          <w:tcPr>
            <w:tcW w:w="1584" w:type="dxa"/>
          </w:tcPr>
          <w:p w14:paraId="423CFC74" w14:textId="77777777" w:rsidR="0052014F" w:rsidRDefault="00000000">
            <w:pPr>
              <w:pStyle w:val="Compact"/>
            </w:pPr>
            <w:r>
              <w:t>Haptics often preferred during walking</w:t>
            </w:r>
          </w:p>
        </w:tc>
        <w:tc>
          <w:tcPr>
            <w:tcW w:w="1584" w:type="dxa"/>
          </w:tcPr>
          <w:p w14:paraId="38ADB6F9" w14:textId="77777777" w:rsidR="0052014F" w:rsidRDefault="00000000">
            <w:pPr>
              <w:pStyle w:val="Compact"/>
            </w:pPr>
            <w:r>
              <w:t>Long‑route generalization needs study</w:t>
            </w:r>
          </w:p>
        </w:tc>
      </w:tr>
    </w:tbl>
    <w:p w14:paraId="75BFFAC4" w14:textId="77777777" w:rsidR="0052014F" w:rsidRDefault="00000000">
      <w:r>
        <w:pict w14:anchorId="3EBCA4EC">
          <v:rect id="_x0000_i1034" style="width:0;height:1.5pt" o:hralign="center" o:hrstd="t" o:hr="t"/>
        </w:pict>
      </w:r>
    </w:p>
    <w:p w14:paraId="61041D9F" w14:textId="77777777" w:rsidR="0052014F" w:rsidRDefault="00000000">
      <w:pPr>
        <w:pStyle w:val="Heading2"/>
      </w:pPr>
      <w:bookmarkStart w:id="12" w:name="X6f3d4e3113875dd80bc0b37d4f9bf7e878b15f4"/>
      <w:bookmarkEnd w:id="11"/>
      <w:r>
        <w:t xml:space="preserve">10. As for the MVP Smart‑Glasses Project, </w:t>
      </w:r>
      <w:proofErr w:type="gramStart"/>
      <w:r>
        <w:t>There</w:t>
      </w:r>
      <w:proofErr w:type="gramEnd"/>
      <w:r>
        <w:t xml:space="preserve"> is a Great Deal of Work to Be Done</w:t>
      </w:r>
    </w:p>
    <w:p w14:paraId="75F156AB" w14:textId="77777777" w:rsidR="0052014F" w:rsidRDefault="00000000">
      <w:pPr>
        <w:pStyle w:val="Compact"/>
        <w:numPr>
          <w:ilvl w:val="0"/>
          <w:numId w:val="6"/>
        </w:numPr>
      </w:pPr>
      <w:r>
        <w:rPr>
          <w:b/>
          <w:bCs/>
        </w:rPr>
        <w:t>Guidance policy.</w:t>
      </w:r>
      <w:r>
        <w:t xml:space="preserve"> Use </w:t>
      </w:r>
      <w:r>
        <w:rPr>
          <w:b/>
          <w:bCs/>
        </w:rPr>
        <w:t>haptics as default</w:t>
      </w:r>
      <w:r>
        <w:t xml:space="preserve"> (left/right/stop/close‑hazard), with </w:t>
      </w:r>
      <w:r>
        <w:rPr>
          <w:b/>
          <w:bCs/>
        </w:rPr>
        <w:t>short audio on demand</w:t>
      </w:r>
      <w:r>
        <w:t xml:space="preserve"> (e.g., sign reading, confirmation).</w:t>
      </w:r>
      <w:r>
        <w:br/>
      </w:r>
    </w:p>
    <w:p w14:paraId="4696CC44" w14:textId="77777777" w:rsidR="0052014F" w:rsidRDefault="00000000">
      <w:pPr>
        <w:pStyle w:val="Compact"/>
        <w:numPr>
          <w:ilvl w:val="0"/>
          <w:numId w:val="6"/>
        </w:numPr>
      </w:pPr>
      <w:r>
        <w:rPr>
          <w:b/>
          <w:bCs/>
        </w:rPr>
        <w:lastRenderedPageBreak/>
        <w:t>Perception stack.</w:t>
      </w:r>
      <w:r>
        <w:t xml:space="preserve"> Deploy a quantized tiny detector (e.g., YOLOv8n‑INT8) for doors, stairs, people, vehicles; pair with lightweight depth/proximity checks; keep video on‑device by default.</w:t>
      </w:r>
      <w:r>
        <w:br/>
      </w:r>
    </w:p>
    <w:p w14:paraId="22272725" w14:textId="77777777" w:rsidR="0052014F" w:rsidRDefault="00000000">
      <w:pPr>
        <w:pStyle w:val="Compact"/>
        <w:numPr>
          <w:ilvl w:val="0"/>
          <w:numId w:val="6"/>
        </w:numPr>
      </w:pPr>
      <w:r>
        <w:rPr>
          <w:b/>
          <w:bCs/>
        </w:rPr>
        <w:t>Evaluation bundle.</w:t>
      </w:r>
      <w:r>
        <w:t xml:space="preserve"> Compare </w:t>
      </w:r>
      <w:r>
        <w:rPr>
          <w:b/>
          <w:bCs/>
        </w:rPr>
        <w:t>cane‑only</w:t>
      </w:r>
      <w:r>
        <w:t xml:space="preserve"> vs. </w:t>
      </w:r>
      <w:r>
        <w:rPr>
          <w:b/>
          <w:bCs/>
        </w:rPr>
        <w:t>cane + glasses</w:t>
      </w:r>
      <w:r>
        <w:t xml:space="preserve"> measuring: collisions, time‑to‑goal, false alerts, SUS, and NASA‑TLX. Report both technical and human‑factors results.</w:t>
      </w:r>
      <w:r>
        <w:br/>
      </w:r>
    </w:p>
    <w:p w14:paraId="53157322" w14:textId="77777777" w:rsidR="0052014F" w:rsidRDefault="00000000">
      <w:pPr>
        <w:pStyle w:val="Compact"/>
        <w:numPr>
          <w:ilvl w:val="0"/>
          <w:numId w:val="6"/>
        </w:numPr>
      </w:pPr>
      <w:r>
        <w:rPr>
          <w:b/>
          <w:bCs/>
        </w:rPr>
        <w:t>Privacy &amp; consent.</w:t>
      </w:r>
      <w:r>
        <w:t xml:space="preserve"> No routine cloud streaming; optional caregiver location‑share with explicit consent and clear UI indicators.</w:t>
      </w:r>
    </w:p>
    <w:p w14:paraId="78EEBE22" w14:textId="77777777" w:rsidR="0052014F" w:rsidRDefault="00000000">
      <w:r>
        <w:pict w14:anchorId="660FC6DA">
          <v:rect id="_x0000_i1035" style="width:0;height:1.5pt" o:hralign="center" o:hrstd="t" o:hr="t"/>
        </w:pict>
      </w:r>
    </w:p>
    <w:p w14:paraId="7A0115EF" w14:textId="77777777" w:rsidR="0052014F" w:rsidRDefault="00000000">
      <w:pPr>
        <w:pStyle w:val="Heading2"/>
      </w:pPr>
      <w:bookmarkStart w:id="13" w:name="references-full-urls"/>
      <w:bookmarkEnd w:id="12"/>
      <w:r>
        <w:t>11. References (full URLs)</w:t>
      </w:r>
    </w:p>
    <w:p w14:paraId="16B36E22" w14:textId="760B32A1" w:rsidR="0052014F" w:rsidRDefault="00000000">
      <w:pPr>
        <w:pStyle w:val="Compact"/>
        <w:numPr>
          <w:ilvl w:val="0"/>
          <w:numId w:val="7"/>
        </w:numPr>
      </w:pPr>
      <w:r>
        <w:t xml:space="preserve">Hoffmann, R., et al. “Evaluation of an Audio‑Haptic Sensory Substitution Device for the Visually Impaired.” </w:t>
      </w:r>
      <w:r>
        <w:rPr>
          <w:i/>
          <w:iCs/>
        </w:rPr>
        <w:t>Frontiers in Neuroscience</w:t>
      </w:r>
      <w:r>
        <w:t xml:space="preserve">, 2018. URL: </w:t>
      </w:r>
      <w:hyperlink r:id="rId5" w:history="1">
        <w:r w:rsidR="00CE1F89" w:rsidRPr="00B35DA8">
          <w:rPr>
            <w:rStyle w:val="Hyperlink"/>
          </w:rPr>
          <w:t>https://pmc.ncbi.nlm.nih.gov/articles/PMC6133230/</w:t>
        </w:r>
      </w:hyperlink>
      <w:r w:rsidR="00CE1F89">
        <w:t xml:space="preserve"> </w:t>
      </w:r>
    </w:p>
    <w:p w14:paraId="7C94CF03" w14:textId="6312863B" w:rsidR="0052014F" w:rsidRDefault="00000000">
      <w:pPr>
        <w:pStyle w:val="Compact"/>
        <w:numPr>
          <w:ilvl w:val="0"/>
          <w:numId w:val="7"/>
        </w:numPr>
      </w:pPr>
      <w:r>
        <w:t xml:space="preserve">Boccardo, O., et al. “The Sound of Vision: Usability Study.” </w:t>
      </w:r>
      <w:r>
        <w:rPr>
          <w:i/>
          <w:iCs/>
        </w:rPr>
        <w:t>Electronics</w:t>
      </w:r>
      <w:r>
        <w:t xml:space="preserve">, 2021. URL: </w:t>
      </w:r>
      <w:hyperlink r:id="rId6" w:history="1">
        <w:r w:rsidR="00CE1F89" w:rsidRPr="00B35DA8">
          <w:rPr>
            <w:rStyle w:val="Hyperlink"/>
          </w:rPr>
          <w:t>https://www.mdpi.com/2079-9292/10/14/1619</w:t>
        </w:r>
      </w:hyperlink>
      <w:r w:rsidR="00CE1F89">
        <w:t xml:space="preserve"> </w:t>
      </w:r>
    </w:p>
    <w:p w14:paraId="73D69CEC" w14:textId="3362090D" w:rsidR="0052014F" w:rsidRDefault="00000000">
      <w:pPr>
        <w:pStyle w:val="Compact"/>
        <w:numPr>
          <w:ilvl w:val="0"/>
          <w:numId w:val="7"/>
        </w:numPr>
      </w:pPr>
      <w:r>
        <w:t xml:space="preserve">Koopman, J., et al. “Artificial Vision and the Effectiveness of the OrCam Device for Low‑Vision Patients.” </w:t>
      </w:r>
      <w:r>
        <w:rPr>
          <w:i/>
          <w:iCs/>
        </w:rPr>
        <w:t>British Journal of Ophthalmology</w:t>
      </w:r>
      <w:r>
        <w:t xml:space="preserve">, 2021. URL: </w:t>
      </w:r>
      <w:hyperlink r:id="rId7" w:history="1">
        <w:r w:rsidR="00CE1F89" w:rsidRPr="00B35DA8">
          <w:rPr>
            <w:rStyle w:val="Hyperlink"/>
          </w:rPr>
          <w:t>https://pmc.ncbi.nlm.nih.gov/articles/PMC9292690/</w:t>
        </w:r>
      </w:hyperlink>
      <w:r w:rsidR="00CE1F89">
        <w:t xml:space="preserve"> </w:t>
      </w:r>
    </w:p>
    <w:p w14:paraId="0B4F0D3D" w14:textId="103F859F" w:rsidR="0052014F" w:rsidRDefault="00000000">
      <w:pPr>
        <w:pStyle w:val="Compact"/>
        <w:numPr>
          <w:ilvl w:val="0"/>
          <w:numId w:val="7"/>
        </w:numPr>
      </w:pPr>
      <w:proofErr w:type="spellStart"/>
      <w:r>
        <w:t>Nisanova</w:t>
      </w:r>
      <w:proofErr w:type="spellEnd"/>
      <w:r>
        <w:t xml:space="preserve">, A., et al. “A Feasibility Study on a Portable Vision Reading Device (OrCam Read).” 2024. URL: </w:t>
      </w:r>
      <w:hyperlink r:id="rId8" w:history="1">
        <w:r w:rsidR="00CE1F89" w:rsidRPr="00B35DA8">
          <w:rPr>
            <w:rStyle w:val="Hyperlink"/>
          </w:rPr>
          <w:t>https://www.tandfonline.com/doi/full/10.1080/01658107.2023.2273471</w:t>
        </w:r>
      </w:hyperlink>
      <w:r w:rsidR="00CE1F89">
        <w:t xml:space="preserve"> </w:t>
      </w:r>
    </w:p>
    <w:p w14:paraId="72BB883E" w14:textId="59F47E34" w:rsidR="0052014F" w:rsidRDefault="00000000">
      <w:pPr>
        <w:pStyle w:val="Compact"/>
        <w:numPr>
          <w:ilvl w:val="0"/>
          <w:numId w:val="7"/>
        </w:numPr>
      </w:pPr>
      <w:proofErr w:type="spellStart"/>
      <w:r>
        <w:t>Pundlik</w:t>
      </w:r>
      <w:proofErr w:type="spellEnd"/>
      <w:r>
        <w:t xml:space="preserve">, S., et al. “Home‑Use Evaluation of a Wearable Collision Warning Device for People with Vision Loss.” </w:t>
      </w:r>
      <w:r>
        <w:rPr>
          <w:i/>
          <w:iCs/>
        </w:rPr>
        <w:t>Translational Vision Science &amp; Technology</w:t>
      </w:r>
      <w:r>
        <w:t xml:space="preserve">, 2021. URL: </w:t>
      </w:r>
      <w:hyperlink r:id="rId9" w:history="1">
        <w:r w:rsidR="00CE1F89" w:rsidRPr="00B35DA8">
          <w:rPr>
            <w:rStyle w:val="Hyperlink"/>
          </w:rPr>
          <w:t>https://pmc.ncbi.nlm.nih.gov/articles/PMC8299358/</w:t>
        </w:r>
      </w:hyperlink>
      <w:r w:rsidR="00CE1F89">
        <w:t xml:space="preserve"> </w:t>
      </w:r>
    </w:p>
    <w:p w14:paraId="1F669D60" w14:textId="102E658C" w:rsidR="0052014F" w:rsidRDefault="00000000">
      <w:pPr>
        <w:pStyle w:val="Compact"/>
        <w:numPr>
          <w:ilvl w:val="0"/>
          <w:numId w:val="7"/>
        </w:numPr>
      </w:pPr>
      <w:r>
        <w:t xml:space="preserve">Chen, Y.‑H., et al. “Ultra‑Efficient On‑Device Object Detection on AI‑Integrated Smart Glasses.” </w:t>
      </w:r>
      <w:proofErr w:type="spellStart"/>
      <w:r>
        <w:t>arXiv</w:t>
      </w:r>
      <w:proofErr w:type="spellEnd"/>
      <w:r>
        <w:t xml:space="preserve">, 2023–2024. URL: </w:t>
      </w:r>
      <w:hyperlink r:id="rId10" w:history="1">
        <w:r w:rsidR="00CE1F89" w:rsidRPr="00B35DA8">
          <w:rPr>
            <w:rStyle w:val="Hyperlink"/>
          </w:rPr>
          <w:t>https://arxiv.org/abs/2311.01057</w:t>
        </w:r>
      </w:hyperlink>
      <w:r w:rsidR="00CE1F89">
        <w:t xml:space="preserve"> </w:t>
      </w:r>
    </w:p>
    <w:p w14:paraId="3EB02040" w14:textId="71B44EFC" w:rsidR="0052014F" w:rsidRDefault="00000000">
      <w:pPr>
        <w:pStyle w:val="Compact"/>
        <w:numPr>
          <w:ilvl w:val="0"/>
          <w:numId w:val="7"/>
        </w:numPr>
      </w:pPr>
      <w:r>
        <w:t xml:space="preserve">Jeong, I., et al. “YOLOv8‑Based XR Smart‑Glasses Mobility Assistive System for Outdoor Navigation.” </w:t>
      </w:r>
      <w:r>
        <w:rPr>
          <w:i/>
          <w:iCs/>
        </w:rPr>
        <w:t>Electronics</w:t>
      </w:r>
      <w:r>
        <w:t xml:space="preserve">, 2025. URL: </w:t>
      </w:r>
      <w:hyperlink r:id="rId11" w:history="1">
        <w:r w:rsidR="00CE1F89" w:rsidRPr="00B35DA8">
          <w:rPr>
            <w:rStyle w:val="Hyperlink"/>
          </w:rPr>
          <w:t>https://www.mdpi.com/2079-9292/14/3/425</w:t>
        </w:r>
      </w:hyperlink>
      <w:r w:rsidR="00CE1F89">
        <w:t xml:space="preserve"> </w:t>
      </w:r>
    </w:p>
    <w:p w14:paraId="05D20FD2" w14:textId="4C7ADACA" w:rsidR="0052014F" w:rsidRDefault="00000000">
      <w:pPr>
        <w:pStyle w:val="Compact"/>
        <w:numPr>
          <w:ilvl w:val="0"/>
          <w:numId w:val="7"/>
        </w:numPr>
      </w:pPr>
      <w:r>
        <w:t xml:space="preserve">Martinez, M., et al. “Cognitive Evaluation of Haptic and Audio Feedback in Short‑Range Navigation Tasks.” In </w:t>
      </w:r>
      <w:r>
        <w:rPr>
          <w:i/>
          <w:iCs/>
        </w:rPr>
        <w:t>ICCHP</w:t>
      </w:r>
      <w:r>
        <w:t xml:space="preserve">, 2014. URL: </w:t>
      </w:r>
      <w:hyperlink r:id="rId12" w:history="1">
        <w:r w:rsidR="00CE1F89" w:rsidRPr="00B35DA8">
          <w:rPr>
            <w:rStyle w:val="Hyperlink"/>
          </w:rPr>
          <w:t>https://link.springer.com/chapter/10.1007/978-3-319-08599-9_20</w:t>
        </w:r>
      </w:hyperlink>
      <w:r w:rsidR="00CE1F89">
        <w:t xml:space="preserve"> </w:t>
      </w:r>
    </w:p>
    <w:p w14:paraId="66B59339" w14:textId="73AD6CA7" w:rsidR="0052014F" w:rsidRDefault="00000000">
      <w:pPr>
        <w:pStyle w:val="Compact"/>
        <w:numPr>
          <w:ilvl w:val="0"/>
          <w:numId w:val="7"/>
        </w:numPr>
      </w:pPr>
      <w:r>
        <w:t xml:space="preserve">Zhang, X., et al. “Advancements in Smart Wearable Mobility Aids for Visual Impairments: A Bibliometric Narrative Review.” </w:t>
      </w:r>
      <w:r>
        <w:rPr>
          <w:i/>
          <w:iCs/>
        </w:rPr>
        <w:t>Sensors</w:t>
      </w:r>
      <w:r>
        <w:t xml:space="preserve">, 2024. URL: </w:t>
      </w:r>
      <w:hyperlink r:id="rId13" w:history="1">
        <w:r w:rsidR="00CE1F89" w:rsidRPr="00B35DA8">
          <w:rPr>
            <w:rStyle w:val="Hyperlink"/>
          </w:rPr>
          <w:t>https://www.mdpi.com/1424-8220/24/24/7986</w:t>
        </w:r>
      </w:hyperlink>
      <w:r w:rsidR="00CE1F89">
        <w:t xml:space="preserve"> </w:t>
      </w:r>
    </w:p>
    <w:p w14:paraId="5EDDEACA" w14:textId="1052A5B0" w:rsidR="0052014F" w:rsidRDefault="00000000" w:rsidP="00CE1F89">
      <w:pPr>
        <w:pStyle w:val="FirstParagraph"/>
        <w:ind w:left="720"/>
      </w:pPr>
      <w:r>
        <w:t xml:space="preserve">Industry exemplars (optional): • Envision Glasses — URL: </w:t>
      </w:r>
      <w:hyperlink r:id="rId14" w:history="1">
        <w:r w:rsidR="00CE1F89" w:rsidRPr="00B35DA8">
          <w:rPr>
            <w:rStyle w:val="Hyperlink"/>
          </w:rPr>
          <w:t>https://www.letsenvision.com/en/glasses</w:t>
        </w:r>
      </w:hyperlink>
      <w:r w:rsidR="00CE1F89">
        <w:t xml:space="preserve"> </w:t>
      </w:r>
      <w:r>
        <w:t xml:space="preserve"> • OrCam </w:t>
      </w:r>
      <w:proofErr w:type="spellStart"/>
      <w:r>
        <w:t>MyEye</w:t>
      </w:r>
      <w:proofErr w:type="spellEnd"/>
      <w:r>
        <w:t xml:space="preserve"> — URL: </w:t>
      </w:r>
      <w:hyperlink r:id="rId15" w:history="1">
        <w:r w:rsidR="00CE1F89" w:rsidRPr="00B35DA8">
          <w:rPr>
            <w:rStyle w:val="Hyperlink"/>
          </w:rPr>
          <w:t>https://www.orcam.com/en/myeye/</w:t>
        </w:r>
      </w:hyperlink>
      <w:r w:rsidR="00CE1F89">
        <w:t xml:space="preserve"> </w:t>
      </w:r>
      <w:r>
        <w:t xml:space="preserve"> </w:t>
      </w:r>
      <w:r w:rsidR="00CE1F89">
        <w:t xml:space="preserve"> </w:t>
      </w:r>
      <w:r>
        <w:t xml:space="preserve">• Aira — URL: </w:t>
      </w:r>
      <w:hyperlink r:id="rId16" w:history="1">
        <w:r w:rsidR="00CE1F89" w:rsidRPr="00B35DA8">
          <w:rPr>
            <w:rStyle w:val="Hyperlink"/>
          </w:rPr>
          <w:t>https://aira.io/</w:t>
        </w:r>
      </w:hyperlink>
      <w:r w:rsidR="00CE1F89">
        <w:t xml:space="preserve"> </w:t>
      </w:r>
      <w:bookmarkEnd w:id="0"/>
      <w:bookmarkEnd w:id="13"/>
    </w:p>
    <w:sectPr w:rsidR="0052014F">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C3D4467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35742AC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299A4B0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0A99421"/>
    <w:multiLevelType w:val="multilevel"/>
    <w:tmpl w:val="E8F8043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837117061">
    <w:abstractNumId w:val="0"/>
  </w:num>
  <w:num w:numId="2" w16cid:durableId="142741382">
    <w:abstractNumId w:val="1"/>
  </w:num>
  <w:num w:numId="3" w16cid:durableId="686634514">
    <w:abstractNumId w:val="1"/>
  </w:num>
  <w:num w:numId="4" w16cid:durableId="884321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2429764">
    <w:abstractNumId w:val="1"/>
  </w:num>
  <w:num w:numId="6" w16cid:durableId="941498524">
    <w:abstractNumId w:val="1"/>
  </w:num>
  <w:num w:numId="7" w16cid:durableId="3684538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2"/>
    <w:compatSetting w:name="useWord2013TrackBottomHyphenation" w:uri="http://schemas.microsoft.com/office/word" w:val="1"/>
  </w:compat>
  <w:rsids>
    <w:rsidRoot w:val="0052014F"/>
    <w:rsid w:val="0052014F"/>
    <w:rsid w:val="00AA6D48"/>
    <w:rsid w:val="00B74CBF"/>
    <w:rsid w:val="00CE1F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CA677"/>
  <w15:docId w15:val="{D48DE920-EE64-49C0-9CD2-98E0BB60F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UnresolvedMention">
    <w:name w:val="Unresolved Mention"/>
    <w:basedOn w:val="DefaultParagraphFont"/>
    <w:uiPriority w:val="99"/>
    <w:semiHidden/>
    <w:unhideWhenUsed/>
    <w:rsid w:val="00CE1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1658107.2023.2273471" TargetMode="External"/><Relationship Id="rId13" Type="http://schemas.openxmlformats.org/officeDocument/2006/relationships/hyperlink" Target="https://www.mdpi.com/1424-8220/24/24/798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mc.ncbi.nlm.nih.gov/articles/PMC9292690/" TargetMode="External"/><Relationship Id="rId12" Type="http://schemas.openxmlformats.org/officeDocument/2006/relationships/hyperlink" Target="https://link.springer.com/chapter/10.1007/978-3-319-08599-9_2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ira.io/" TargetMode="External"/><Relationship Id="rId1" Type="http://schemas.openxmlformats.org/officeDocument/2006/relationships/numbering" Target="numbering.xml"/><Relationship Id="rId6" Type="http://schemas.openxmlformats.org/officeDocument/2006/relationships/hyperlink" Target="https://www.mdpi.com/2079-9292/10/14/1619" TargetMode="External"/><Relationship Id="rId11" Type="http://schemas.openxmlformats.org/officeDocument/2006/relationships/hyperlink" Target="https://www.mdpi.com/2079-9292/14/3/425" TargetMode="External"/><Relationship Id="rId5" Type="http://schemas.openxmlformats.org/officeDocument/2006/relationships/hyperlink" Target="https://pmc.ncbi.nlm.nih.gov/articles/PMC6133230/" TargetMode="External"/><Relationship Id="rId15" Type="http://schemas.openxmlformats.org/officeDocument/2006/relationships/hyperlink" Target="https://www.orcam.com/en/myeye/" TargetMode="External"/><Relationship Id="rId10" Type="http://schemas.openxmlformats.org/officeDocument/2006/relationships/hyperlink" Target="https://arxiv.org/abs/2311.01057" TargetMode="External"/><Relationship Id="rId4" Type="http://schemas.openxmlformats.org/officeDocument/2006/relationships/webSettings" Target="webSettings.xml"/><Relationship Id="rId9" Type="http://schemas.openxmlformats.org/officeDocument/2006/relationships/hyperlink" Target="https://pmc.ncbi.nlm.nih.gov/articles/PMC8299358/" TargetMode="External"/><Relationship Id="rId14" Type="http://schemas.openxmlformats.org/officeDocument/2006/relationships/hyperlink" Target="https://www.letsenvision.com/en/gla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1924</Words>
  <Characters>10967</Characters>
  <Application>Microsoft Office Word</Application>
  <DocSecurity>0</DocSecurity>
  <Lines>91</Lines>
  <Paragraphs>25</Paragraphs>
  <ScaleCrop>false</ScaleCrop>
  <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esraa wattar</cp:lastModifiedBy>
  <cp:revision>3</cp:revision>
  <dcterms:created xsi:type="dcterms:W3CDTF">2025-10-27T19:55:00Z</dcterms:created>
  <dcterms:modified xsi:type="dcterms:W3CDTF">2025-11-07T19:48:00Z</dcterms:modified>
</cp:coreProperties>
</file>