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4C8C32D" w:rsidR="009125CE" w:rsidRPr="00FD338A" w:rsidRDefault="00BA7054" w:rsidP="00BA705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FD338A">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D868BD7">
            <wp:simplePos x="0" y="0"/>
            <wp:positionH relativeFrom="margin">
              <wp:posOffset>217170</wp:posOffset>
            </wp:positionH>
            <wp:positionV relativeFrom="margin">
              <wp:posOffset>-179070</wp:posOffset>
            </wp:positionV>
            <wp:extent cx="1624965" cy="1508061"/>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4965" cy="1508061"/>
                    </a:xfrm>
                    <a:prstGeom prst="rect">
                      <a:avLst/>
                    </a:prstGeom>
                  </pic:spPr>
                </pic:pic>
              </a:graphicData>
            </a:graphic>
            <wp14:sizeRelH relativeFrom="margin">
              <wp14:pctWidth>0</wp14:pctWidth>
            </wp14:sizeRelH>
            <wp14:sizeRelV relativeFrom="margin">
              <wp14:pctHeight>0</wp14:pctHeight>
            </wp14:sizeRelV>
          </wp:anchor>
        </w:drawing>
      </w:r>
      <w:r w:rsidR="009125CE" w:rsidRPr="00FD338A">
        <w:rPr>
          <w:rFonts w:ascii="Simplified Arabic" w:hAnsi="Simplified Arabic" w:cs="Simplified Arabic"/>
          <w:b/>
          <w:bCs/>
          <w:color w:val="000000" w:themeColor="text1"/>
          <w:sz w:val="32"/>
          <w:szCs w:val="32"/>
          <w:rtl/>
          <w:lang w:bidi="ar-EG"/>
        </w:rPr>
        <w:t xml:space="preserve">جامعة ميدأوشن </w:t>
      </w:r>
    </w:p>
    <w:p w14:paraId="1E957002" w14:textId="4E253756" w:rsidR="00F546CE" w:rsidRPr="00FD338A" w:rsidRDefault="009125CE" w:rsidP="00BA705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D338A">
        <w:rPr>
          <w:rFonts w:ascii="Simplified Arabic" w:hAnsi="Simplified Arabic" w:cs="Simplified Arabic"/>
          <w:b/>
          <w:bCs/>
          <w:color w:val="000000" w:themeColor="text1"/>
          <w:sz w:val="32"/>
          <w:szCs w:val="32"/>
          <w:lang w:bidi="ar-EG"/>
        </w:rPr>
        <w:t xml:space="preserve"> </w:t>
      </w:r>
      <w:r w:rsidRPr="00FD338A">
        <w:rPr>
          <w:rFonts w:ascii="Simplified Arabic" w:hAnsi="Simplified Arabic" w:cs="Simplified Arabic"/>
          <w:b/>
          <w:bCs/>
          <w:color w:val="000000" w:themeColor="text1"/>
          <w:sz w:val="32"/>
          <w:szCs w:val="32"/>
          <w:rtl/>
          <w:lang w:bidi="ar-EG"/>
        </w:rPr>
        <w:t xml:space="preserve">كلية </w:t>
      </w:r>
      <w:r w:rsidR="008C42C1" w:rsidRPr="00FD338A">
        <w:rPr>
          <w:rFonts w:ascii="Simplified Arabic" w:hAnsi="Simplified Arabic" w:cs="Simplified Arabic"/>
          <w:b/>
          <w:bCs/>
          <w:color w:val="000000" w:themeColor="text1"/>
          <w:sz w:val="32"/>
          <w:szCs w:val="32"/>
          <w:rtl/>
          <w:lang w:bidi="ar-EG"/>
        </w:rPr>
        <w:t>الإدارة</w:t>
      </w:r>
      <w:r w:rsidRPr="00FD338A">
        <w:rPr>
          <w:rFonts w:ascii="Simplified Arabic" w:hAnsi="Simplified Arabic" w:cs="Simplified Arabic"/>
          <w:b/>
          <w:bCs/>
          <w:color w:val="000000" w:themeColor="text1"/>
          <w:sz w:val="32"/>
          <w:szCs w:val="32"/>
          <w:rtl/>
          <w:lang w:bidi="ar-EG"/>
        </w:rPr>
        <w:t xml:space="preserve"> </w:t>
      </w:r>
    </w:p>
    <w:p w14:paraId="0A25F43C" w14:textId="10791A0E" w:rsidR="008C7BB4" w:rsidRPr="00FD338A" w:rsidRDefault="0070623F" w:rsidP="00BA705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D338A">
        <w:rPr>
          <w:rFonts w:ascii="Simplified Arabic" w:hAnsi="Simplified Arabic" w:cs="Simplified Arabic"/>
          <w:b/>
          <w:bCs/>
          <w:color w:val="000000" w:themeColor="text1"/>
          <w:sz w:val="32"/>
          <w:szCs w:val="32"/>
          <w:rtl/>
          <w:lang w:bidi="ar-EG"/>
        </w:rPr>
        <w:t>ماجستير الإدارة العقارية</w:t>
      </w:r>
    </w:p>
    <w:p w14:paraId="6B449BCF" w14:textId="60C4CEDF" w:rsidR="00CC6261" w:rsidRPr="00214FB0" w:rsidRDefault="00214FB0" w:rsidP="00BA7054">
      <w:pPr>
        <w:spacing w:before="100" w:beforeAutospacing="1" w:after="100" w:afterAutospacing="1" w:line="276" w:lineRule="auto"/>
        <w:jc w:val="both"/>
        <w:rPr>
          <w:rFonts w:ascii="Simplified Arabic" w:hAnsi="Simplified Arabic" w:cs="Simplified Arabic"/>
          <w:b/>
          <w:bCs/>
          <w:color w:val="000000" w:themeColor="text1"/>
          <w:sz w:val="24"/>
          <w:szCs w:val="24"/>
          <w:rtl/>
          <w:lang w:bidi="ar-EG"/>
        </w:rPr>
      </w:pPr>
      <w:r w:rsidRPr="00214FB0">
        <w:rPr>
          <w:rFonts w:ascii="Simplified Arabic" w:hAnsi="Simplified Arabic" w:cs="Simplified Arabic" w:hint="cs"/>
          <w:b/>
          <w:bCs/>
          <w:color w:val="000000" w:themeColor="text1"/>
          <w:sz w:val="24"/>
          <w:szCs w:val="24"/>
          <w:rtl/>
          <w:lang w:bidi="ar-EG"/>
        </w:rPr>
        <w:t>الرقم الجامعي :253001600</w:t>
      </w:r>
    </w:p>
    <w:p w14:paraId="0198833D" w14:textId="58994CE4" w:rsidR="00156D45" w:rsidRPr="00FD338A" w:rsidRDefault="00156D45" w:rsidP="00BA7054">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FD338A">
        <w:rPr>
          <w:rFonts w:ascii="Simplified Arabic" w:hAnsi="Simplified Arabic" w:cs="Simplified Arabic"/>
          <w:b/>
          <w:bCs/>
          <w:color w:val="000000" w:themeColor="text1"/>
          <w:sz w:val="40"/>
          <w:szCs w:val="40"/>
          <w:rtl/>
        </w:rPr>
        <w:t xml:space="preserve">أثر تنظيم البيع على الخارطة على ثقة المشترين والشفافية وتقليل </w:t>
      </w:r>
      <w:proofErr w:type="gramStart"/>
      <w:r w:rsidRPr="00FD338A">
        <w:rPr>
          <w:rFonts w:ascii="Simplified Arabic" w:hAnsi="Simplified Arabic" w:cs="Simplified Arabic"/>
          <w:b/>
          <w:bCs/>
          <w:color w:val="000000" w:themeColor="text1"/>
          <w:sz w:val="40"/>
          <w:szCs w:val="40"/>
          <w:rtl/>
        </w:rPr>
        <w:t>مخاطر</w:t>
      </w:r>
      <w:proofErr w:type="gramEnd"/>
      <w:r w:rsidRPr="00FD338A">
        <w:rPr>
          <w:rFonts w:ascii="Simplified Arabic" w:hAnsi="Simplified Arabic" w:cs="Simplified Arabic"/>
          <w:b/>
          <w:bCs/>
          <w:color w:val="000000" w:themeColor="text1"/>
          <w:sz w:val="40"/>
          <w:szCs w:val="40"/>
          <w:rtl/>
        </w:rPr>
        <w:t xml:space="preserve"> التعثر: دراسة ميدانية على مستفيدي مشاريع البيع على الخارطة بالمملكه العربيه السعوديه</w:t>
      </w:r>
      <w:r w:rsidRPr="00FD338A">
        <w:rPr>
          <w:rFonts w:ascii="Simplified Arabic" w:hAnsi="Simplified Arabic" w:cs="Simplified Arabic"/>
          <w:b/>
          <w:bCs/>
          <w:color w:val="000000" w:themeColor="text1"/>
          <w:sz w:val="40"/>
          <w:szCs w:val="40"/>
        </w:rPr>
        <w:t>.</w:t>
      </w:r>
    </w:p>
    <w:p w14:paraId="751A7E65" w14:textId="2DCFA441" w:rsidR="009125CE" w:rsidRPr="00FD338A" w:rsidRDefault="009125CE" w:rsidP="00BA70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D338A">
        <w:rPr>
          <w:rFonts w:ascii="Simplified Arabic" w:hAnsi="Simplified Arabic" w:cs="Simplified Arabic"/>
          <w:b/>
          <w:bCs/>
          <w:color w:val="000000" w:themeColor="text1"/>
          <w:sz w:val="36"/>
          <w:szCs w:val="36"/>
          <w:rtl/>
          <w:lang w:bidi="ar-EG"/>
        </w:rPr>
        <w:t>إعداد الطالب/</w:t>
      </w:r>
    </w:p>
    <w:p w14:paraId="2C623419" w14:textId="3952FE62" w:rsidR="00BA7054" w:rsidRPr="00FD338A" w:rsidRDefault="00214FB0" w:rsidP="00BA70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gramStart"/>
      <w:r>
        <w:rPr>
          <w:rFonts w:ascii="Simplified Arabic" w:hAnsi="Simplified Arabic" w:cs="Simplified Arabic" w:hint="cs"/>
          <w:b/>
          <w:bCs/>
          <w:color w:val="000000" w:themeColor="text1"/>
          <w:sz w:val="36"/>
          <w:szCs w:val="36"/>
          <w:rtl/>
          <w:lang w:bidi="ar-EG"/>
        </w:rPr>
        <w:t>عبدالله</w:t>
      </w:r>
      <w:proofErr w:type="gramEnd"/>
      <w:r>
        <w:rPr>
          <w:rFonts w:ascii="Simplified Arabic" w:hAnsi="Simplified Arabic" w:cs="Simplified Arabic" w:hint="cs"/>
          <w:b/>
          <w:bCs/>
          <w:color w:val="000000" w:themeColor="text1"/>
          <w:sz w:val="36"/>
          <w:szCs w:val="36"/>
          <w:rtl/>
          <w:lang w:bidi="ar-EG"/>
        </w:rPr>
        <w:t xml:space="preserve"> بن وليد الفريح</w:t>
      </w:r>
    </w:p>
    <w:p w14:paraId="4E756EC3" w14:textId="77777777" w:rsidR="00BA7054" w:rsidRPr="00FD338A" w:rsidRDefault="00BA7054" w:rsidP="00BA70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BA7054" w:rsidRPr="00FD338A" w14:paraId="36C76CE1" w14:textId="77777777" w:rsidTr="00BA7054">
        <w:tc>
          <w:tcPr>
            <w:tcW w:w="4530" w:type="dxa"/>
          </w:tcPr>
          <w:p w14:paraId="16D82923" w14:textId="77777777" w:rsidR="00BA7054" w:rsidRPr="00FD338A" w:rsidRDefault="00BA7054" w:rsidP="00BA70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D338A">
              <w:rPr>
                <w:rFonts w:ascii="Simplified Arabic" w:hAnsi="Simplified Arabic" w:cs="Simplified Arabic" w:hint="cs"/>
                <w:b/>
                <w:bCs/>
                <w:color w:val="000000" w:themeColor="text1"/>
                <w:sz w:val="36"/>
                <w:szCs w:val="36"/>
                <w:rtl/>
                <w:lang w:bidi="ar-EG"/>
              </w:rPr>
              <w:t>المشرف الرئيسي/</w:t>
            </w:r>
          </w:p>
        </w:tc>
        <w:tc>
          <w:tcPr>
            <w:tcW w:w="4531" w:type="dxa"/>
          </w:tcPr>
          <w:p w14:paraId="7DAED251" w14:textId="77777777" w:rsidR="00BA7054" w:rsidRPr="00FD338A" w:rsidRDefault="00BA7054" w:rsidP="00BA70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D338A">
              <w:rPr>
                <w:rFonts w:ascii="Simplified Arabic" w:hAnsi="Simplified Arabic" w:cs="Simplified Arabic" w:hint="cs"/>
                <w:b/>
                <w:bCs/>
                <w:color w:val="000000" w:themeColor="text1"/>
                <w:sz w:val="36"/>
                <w:szCs w:val="36"/>
                <w:rtl/>
                <w:lang w:bidi="ar-EG"/>
              </w:rPr>
              <w:t>المشرف الثاني/</w:t>
            </w:r>
          </w:p>
        </w:tc>
      </w:tr>
      <w:tr w:rsidR="00BA7054" w:rsidRPr="00FD338A" w14:paraId="6AB66F9B" w14:textId="77777777" w:rsidTr="00BA7054">
        <w:tc>
          <w:tcPr>
            <w:tcW w:w="4530" w:type="dxa"/>
          </w:tcPr>
          <w:p w14:paraId="1BA8CC88" w14:textId="77777777" w:rsidR="00BA7054" w:rsidRPr="00FD338A" w:rsidRDefault="00BA7054" w:rsidP="00BA70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D338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5BB3A40" w14:textId="77777777" w:rsidR="00BA7054" w:rsidRPr="00FD338A" w:rsidRDefault="00BA7054" w:rsidP="00BA70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gramStart"/>
            <w:r w:rsidRPr="00FD338A">
              <w:rPr>
                <w:rFonts w:ascii="Simplified Arabic" w:eastAsia="Calibri" w:hAnsi="Simplified Arabic" w:cs="Simplified Arabic"/>
                <w:color w:val="000000" w:themeColor="text1"/>
                <w:kern w:val="0"/>
                <w:sz w:val="36"/>
                <w:szCs w:val="36"/>
                <w:rtl/>
                <w:lang w:bidi="ar-EG"/>
                <w14:ligatures w14:val="none"/>
              </w:rPr>
              <w:t>د.فايز</w:t>
            </w:r>
            <w:proofErr w:type="gramEnd"/>
            <w:r w:rsidRPr="00FD338A">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73E47CA6" w14:textId="77777777" w:rsidR="00BA7054" w:rsidRPr="00FD338A" w:rsidRDefault="00BA7054" w:rsidP="00BA70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D338A">
        <w:rPr>
          <w:rFonts w:ascii="Simplified Arabic" w:hAnsi="Simplified Arabic" w:cs="Simplified Arabic"/>
          <w:b/>
          <w:bCs/>
          <w:color w:val="000000" w:themeColor="text1"/>
          <w:sz w:val="36"/>
          <w:szCs w:val="36"/>
          <w:rtl/>
          <w:lang w:bidi="ar-EG"/>
        </w:rPr>
        <w:t>العام الدراسي:</w:t>
      </w:r>
    </w:p>
    <w:p w14:paraId="1F8EE95D" w14:textId="77777777" w:rsidR="00BA7054" w:rsidRPr="00FD338A" w:rsidRDefault="00BA7054" w:rsidP="00BA705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BA7054" w:rsidRPr="00FD338A" w:rsidSect="00BA7054">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134" w:right="1701" w:bottom="1134" w:left="1134" w:header="720" w:footer="720" w:gutter="0"/>
          <w:pgNumType w:fmt="arabicAbjad" w:start="1"/>
          <w:cols w:space="708"/>
          <w:bidi/>
          <w:rtlGutter/>
          <w:docGrid w:linePitch="360"/>
        </w:sectPr>
      </w:pPr>
      <w:r w:rsidRPr="00FD338A">
        <w:rPr>
          <w:rFonts w:ascii="Simplified Arabic" w:hAnsi="Simplified Arabic" w:cs="Simplified Arabic" w:hint="cs"/>
          <w:color w:val="000000" w:themeColor="text1"/>
          <w:sz w:val="36"/>
          <w:szCs w:val="36"/>
          <w:rtl/>
          <w:lang w:bidi="ar-EG"/>
        </w:rPr>
        <w:t xml:space="preserve">1448 </w:t>
      </w:r>
      <w:r w:rsidRPr="00FD338A">
        <w:rPr>
          <w:rFonts w:ascii="Simplified Arabic" w:hAnsi="Simplified Arabic" w:cs="Simplified Arabic"/>
          <w:color w:val="000000" w:themeColor="text1"/>
          <w:sz w:val="36"/>
          <w:szCs w:val="36"/>
          <w:rtl/>
          <w:lang w:bidi="ar-EG"/>
        </w:rPr>
        <w:t>–</w:t>
      </w:r>
      <w:r w:rsidRPr="00FD338A">
        <w:rPr>
          <w:rFonts w:ascii="Simplified Arabic" w:hAnsi="Simplified Arabic" w:cs="Simplified Arabic" w:hint="cs"/>
          <w:color w:val="000000" w:themeColor="text1"/>
          <w:sz w:val="36"/>
          <w:szCs w:val="36"/>
          <w:rtl/>
          <w:lang w:bidi="ar-EG"/>
        </w:rPr>
        <w:t xml:space="preserve"> 2026</w:t>
      </w:r>
    </w:p>
    <w:p w14:paraId="15B930AC" w14:textId="330B525A" w:rsidR="00BA7054" w:rsidRPr="00FD338A" w:rsidRDefault="00BA7054" w:rsidP="00BA7054">
      <w:pPr>
        <w:jc w:val="center"/>
        <w:outlineLvl w:val="0"/>
        <w:rPr>
          <w:rFonts w:ascii="Simplified Arabic" w:eastAsia="Times New Roman" w:hAnsi="Simplified Arabic" w:cs="Simplified Arabic"/>
          <w:b/>
          <w:bCs/>
          <w:color w:val="000000" w:themeColor="text1"/>
          <w:kern w:val="0"/>
          <w:sz w:val="40"/>
          <w:szCs w:val="40"/>
          <w:rtl/>
          <w:lang w:bidi="ar-EG"/>
          <w14:ligatures w14:val="none"/>
        </w:rPr>
      </w:pPr>
      <w:bookmarkStart w:id="0" w:name="_Toc233941103"/>
      <w:bookmarkStart w:id="1" w:name="_Hlk172151144"/>
      <w:bookmarkStart w:id="2" w:name="_Toc169790489"/>
      <w:r w:rsidRPr="00FD338A">
        <w:rPr>
          <w:rFonts w:ascii="Simplified Arabic" w:eastAsia="Times New Roman" w:hAnsi="Simplified Arabic" w:cs="Simplified Arabic" w:hint="cs"/>
          <w:b/>
          <w:bCs/>
          <w:color w:val="000000" w:themeColor="text1"/>
          <w:kern w:val="0"/>
          <w:sz w:val="40"/>
          <w:szCs w:val="40"/>
          <w:rtl/>
          <w:lang w:bidi="ar-EG"/>
          <w14:ligatures w14:val="none"/>
        </w:rPr>
        <w:lastRenderedPageBreak/>
        <w:t>الفصل الأول: الإطار العام للدراسة</w:t>
      </w:r>
      <w:bookmarkEnd w:id="0"/>
    </w:p>
    <w:p w14:paraId="54631C0A" w14:textId="669A350F" w:rsidR="00BA7054" w:rsidRPr="00FD338A" w:rsidRDefault="00BA7054" w:rsidP="00BA7054">
      <w:pPr>
        <w:outlineLvl w:val="1"/>
        <w:rPr>
          <w:rFonts w:ascii="Simplified Arabic" w:eastAsia="Times New Roman" w:hAnsi="Simplified Arabic" w:cs="Simplified Arabic"/>
          <w:b/>
          <w:bCs/>
          <w:color w:val="000000" w:themeColor="text1"/>
          <w:kern w:val="0"/>
          <w:sz w:val="36"/>
          <w:szCs w:val="36"/>
          <w:rtl/>
          <w:lang w:bidi="ar-EG"/>
          <w14:ligatures w14:val="none"/>
        </w:rPr>
      </w:pPr>
      <w:bookmarkStart w:id="3" w:name="_Toc233941104"/>
      <w:r w:rsidRPr="00FD338A">
        <w:rPr>
          <w:rFonts w:ascii="Simplified Arabic" w:eastAsia="Times New Roman" w:hAnsi="Simplified Arabic" w:cs="Simplified Arabic" w:hint="cs"/>
          <w:b/>
          <w:bCs/>
          <w:color w:val="000000" w:themeColor="text1"/>
          <w:kern w:val="0"/>
          <w:sz w:val="36"/>
          <w:szCs w:val="36"/>
          <w:rtl/>
          <w:lang w:bidi="ar-EG"/>
          <w14:ligatures w14:val="none"/>
        </w:rPr>
        <w:t>1.1 المقدمة</w:t>
      </w:r>
      <w:bookmarkEnd w:id="3"/>
    </w:p>
    <w:p w14:paraId="10932041" w14:textId="627E46C8" w:rsidR="00156D45" w:rsidRPr="00FD338A" w:rsidRDefault="00156D45" w:rsidP="00BA7054">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يحظى القطاع العقاري بمكانة محورية في اقتصادات الدول بوصفه رافداً رئيسياً للناتج المحلي الإجمالي ومحرّكاً للتنمية العمرانية والاجتماعية، ويزداد هذا الدور أهمية في الدول التي تشهد تحوّلات تنموية كبرى كالمملكة العربية السعودية التي وضعت رؤيتها 2030 مستهدفاً استراتيجياً يتمثّل في رفع نسبة تملّك الأسر السعودية للمساكن إلى 70%. وقد أفرزت هذه التطلعات أنماطاً تعاقدية حديثة في السوق العقاري، يتصدّرها نمط البيع على الخارطة الذي يقوم على بيع وحدات عقارية قبل اكتمال إنشائها استناداً إلى مخططات ومواصفات مسبقة، وهو النمط الذي تبنّته كثير من التشريعات العقارية في دول الخليج والدول الناشئة بوصفه أداةً لتنشيط الاستثمار العقاري وتوفير خيارات سكنية بأسعار تنافسية</w:t>
      </w:r>
      <w:r w:rsidRPr="00FD338A">
        <w:rPr>
          <w:rFonts w:ascii="Simplified Arabic" w:hAnsi="Simplified Arabic" w:cs="Simplified Arabic"/>
          <w:color w:val="000000" w:themeColor="text1"/>
          <w:sz w:val="28"/>
          <w:szCs w:val="28"/>
        </w:rPr>
        <w:t xml:space="preserve"> (Williams &amp; Smith, 2023).</w:t>
      </w:r>
    </w:p>
    <w:p w14:paraId="77491488" w14:textId="77777777" w:rsidR="00156D45" w:rsidRPr="00FD338A" w:rsidRDefault="00156D45" w:rsidP="00BA7054">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 xml:space="preserve">وقد أولت المملكة العربية السعودية اهتماماً تشريعياً متزايداً بتنظيم هذا النمط من خلال برنامج "وافي" للبيع والتأجير على الخارطة الذي يعمل تحت إشراف الهيئة العامة للعقار، حيث أُصدر نظام بيع وتأجير مشروعات عقارية على الخارطة بقرار مجلس الوزراء رقم (196) لعام </w:t>
      </w:r>
      <w:r w:rsidRPr="00FD338A">
        <w:rPr>
          <w:rFonts w:ascii="Simplified Arabic" w:hAnsi="Simplified Arabic" w:cs="Simplified Arabic"/>
          <w:color w:val="000000" w:themeColor="text1"/>
          <w:sz w:val="28"/>
          <w:szCs w:val="28"/>
        </w:rPr>
        <w:t>1445</w:t>
      </w:r>
      <w:r w:rsidRPr="00FD338A">
        <w:rPr>
          <w:rFonts w:ascii="Simplified Arabic" w:hAnsi="Simplified Arabic" w:cs="Simplified Arabic"/>
          <w:color w:val="000000" w:themeColor="text1"/>
          <w:sz w:val="28"/>
          <w:szCs w:val="28"/>
          <w:rtl/>
        </w:rPr>
        <w:t>هـ، مُتضمِّناً منظومة متكاملة من الأدوات التنظيمية تشمل اشتراطات تأهيل المطوِّرين العقاريين وقيدهم في السجل الرسمي، وإلزامهم بفتح حسابات ضمان مستقلة لإيداع أموال المشترين، واستخدام نموذج العقد المعتمد الذي يتضمّن شروطاً جزائية لحماية حقوق الأطراف، فضلاً عن التزامات الإفصاح عن نِسب الإنجاز والأعباء المقرّرة على المشروع. وتُجسّد هذه الأدوات مجتمعةً إطاراً رقابياً يسعى إلى تحقيق التوازن بين تشجيع الاستثمار العقاري وحماية المتعاملين في السوق (العساف وعجاج، 2025)</w:t>
      </w:r>
      <w:r w:rsidRPr="00FD338A">
        <w:rPr>
          <w:rFonts w:ascii="Simplified Arabic" w:hAnsi="Simplified Arabic" w:cs="Simplified Arabic"/>
          <w:color w:val="000000" w:themeColor="text1"/>
          <w:sz w:val="28"/>
          <w:szCs w:val="28"/>
        </w:rPr>
        <w:t>.</w:t>
      </w:r>
    </w:p>
    <w:p w14:paraId="49A5AB14" w14:textId="5046862E" w:rsidR="00156D45" w:rsidRPr="00FD338A" w:rsidRDefault="00156D45" w:rsidP="00BA7054">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 xml:space="preserve">وتبرز ثقة المشترين بوصفها متغيراً محورياً في نجاح منظومة البيع على الخارطة واستدامتها، إذ يتّسم هذا النمط التعاقدي بفجوة زمنية جوهرية بين لحظة الدفع ولحظة الاستلام، وهو ما يُولّد حالة من عدم تماثل المعلومات بين المطوِّر والمشتري تستوجب وجود آليات تنظيمية فعّالة تُعوّض غياب المنتج المادي الملموس وتُطمئن المشتري بأن حقوقه المالية والتعاقدية مصونة. وقد أشارت الأدبيات إلى أن مستوى الشفافية في الأسواق العقارية يرتبط ارتباطاً وثيقاً بسلوك المتعاملين وقراراتهم الاستثمارية، وأن الأسواق التي تتبنّى أُطراً </w:t>
      </w:r>
      <w:r w:rsidRPr="00FD338A">
        <w:rPr>
          <w:rFonts w:ascii="Simplified Arabic" w:hAnsi="Simplified Arabic" w:cs="Simplified Arabic"/>
          <w:color w:val="000000" w:themeColor="text1"/>
          <w:sz w:val="28"/>
          <w:szCs w:val="28"/>
          <w:rtl/>
        </w:rPr>
        <w:lastRenderedPageBreak/>
        <w:t>تنظيمية واضحة تشهد مستويات أعلى من ثقة المستثمرين والمشترين على حدٍّ سواء</w:t>
      </w:r>
      <w:r w:rsidRPr="00FD338A">
        <w:rPr>
          <w:rFonts w:ascii="Simplified Arabic" w:hAnsi="Simplified Arabic" w:cs="Simplified Arabic"/>
          <w:color w:val="000000" w:themeColor="text1"/>
          <w:sz w:val="28"/>
          <w:szCs w:val="28"/>
        </w:rPr>
        <w:t xml:space="preserve"> (Gholipour</w:t>
      </w:r>
      <w:r w:rsidR="0070623F" w:rsidRPr="00FD338A">
        <w:rPr>
          <w:rFonts w:ascii="Simplified Arabic" w:hAnsi="Simplified Arabic" w:cs="Simplified Arabic"/>
          <w:color w:val="000000" w:themeColor="text1"/>
          <w:sz w:val="28"/>
          <w:szCs w:val="28"/>
        </w:rPr>
        <w:t xml:space="preserve"> </w:t>
      </w:r>
      <w:proofErr w:type="spellStart"/>
      <w:r w:rsidR="0070623F" w:rsidRPr="00FD338A">
        <w:rPr>
          <w:rFonts w:ascii="Simplified Arabic" w:hAnsi="Simplified Arabic" w:cs="Simplified Arabic"/>
          <w:color w:val="000000" w:themeColor="text1"/>
          <w:sz w:val="28"/>
          <w:szCs w:val="28"/>
        </w:rPr>
        <w:t>etal</w:t>
      </w:r>
      <w:proofErr w:type="spellEnd"/>
      <w:r w:rsidR="0070623F" w:rsidRPr="00FD338A">
        <w:rPr>
          <w:rFonts w:ascii="Simplified Arabic" w:hAnsi="Simplified Arabic" w:cs="Simplified Arabic"/>
          <w:color w:val="000000" w:themeColor="text1"/>
          <w:sz w:val="28"/>
          <w:szCs w:val="28"/>
        </w:rPr>
        <w:t>.</w:t>
      </w:r>
      <w:r w:rsidRPr="00FD338A">
        <w:rPr>
          <w:rFonts w:ascii="Simplified Arabic" w:hAnsi="Simplified Arabic" w:cs="Simplified Arabic"/>
          <w:color w:val="000000" w:themeColor="text1"/>
          <w:sz w:val="28"/>
          <w:szCs w:val="28"/>
        </w:rPr>
        <w:t>, 2020).</w:t>
      </w:r>
    </w:p>
    <w:p w14:paraId="73A0F9E6" w14:textId="77777777" w:rsidR="00156D45" w:rsidRPr="00FD338A" w:rsidRDefault="00156D45" w:rsidP="00BA7054">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ويتجاوز مفهوم ثقة المشتري في سياق البيع على الخارطة البُعد النفسي الفردي ليشمل أبعاداً مؤسسية تتعلّق بالثقة في الإطار التنظيمي والرقابي القائم، والثقة في كفاءة المطوِّر وقدرته على الوفاء بالتزاماته، والثقة في عدالة الشروط التعاقدية وفاعلية آليات التعويض عند الإخلال. ويُعدّ فهم محدِّدات هذه الثقة وأبعادها أمراً جوهرياً لتقييم فاعلية الأنظمة العقارية، لا سيما في الأسواق الناشئة التي لا يزال فيها البيع على الخارطة نمطاً حديثاً نسبياً لم يترسّخ بعدُ في الوعي الشرائي للمستهلك بالقدر الكافي</w:t>
      </w:r>
      <w:r w:rsidRPr="00FD338A">
        <w:rPr>
          <w:rFonts w:ascii="Simplified Arabic" w:hAnsi="Simplified Arabic" w:cs="Simplified Arabic"/>
          <w:color w:val="000000" w:themeColor="text1"/>
          <w:sz w:val="28"/>
          <w:szCs w:val="28"/>
        </w:rPr>
        <w:t xml:space="preserve"> (Bharti, Chenchu &amp; Jha, 2024).</w:t>
      </w:r>
    </w:p>
    <w:p w14:paraId="019FF261" w14:textId="501E7C8B" w:rsidR="00156D45" w:rsidRPr="00FD338A" w:rsidRDefault="0070623F" w:rsidP="00BA7054">
      <w:pPr>
        <w:pStyle w:val="a8"/>
        <w:bidi/>
        <w:spacing w:line="276" w:lineRule="auto"/>
        <w:ind w:firstLine="424"/>
        <w:jc w:val="both"/>
        <w:rPr>
          <w:rFonts w:ascii="Simplified Arabic" w:hAnsi="Simplified Arabic" w:cs="Simplified Arabic"/>
          <w:color w:val="000000" w:themeColor="text1"/>
          <w:sz w:val="28"/>
          <w:szCs w:val="28"/>
        </w:rPr>
      </w:pPr>
      <w:proofErr w:type="gramStart"/>
      <w:r w:rsidRPr="00FD338A">
        <w:rPr>
          <w:rFonts w:ascii="Simplified Arabic" w:hAnsi="Simplified Arabic" w:cs="Simplified Arabic"/>
          <w:color w:val="000000" w:themeColor="text1"/>
          <w:sz w:val="28"/>
          <w:szCs w:val="28"/>
          <w:rtl/>
        </w:rPr>
        <w:t>و</w:t>
      </w:r>
      <w:r w:rsidR="00156D45" w:rsidRPr="00FD338A">
        <w:rPr>
          <w:rFonts w:ascii="Simplified Arabic" w:hAnsi="Simplified Arabic" w:cs="Simplified Arabic"/>
          <w:color w:val="000000" w:themeColor="text1"/>
          <w:sz w:val="28"/>
          <w:szCs w:val="28"/>
          <w:rtl/>
        </w:rPr>
        <w:t xml:space="preserve"> يتّضح</w:t>
      </w:r>
      <w:proofErr w:type="gramEnd"/>
      <w:r w:rsidR="00156D45" w:rsidRPr="00FD338A">
        <w:rPr>
          <w:rFonts w:ascii="Simplified Arabic" w:hAnsi="Simplified Arabic" w:cs="Simplified Arabic"/>
          <w:color w:val="000000" w:themeColor="text1"/>
          <w:sz w:val="28"/>
          <w:szCs w:val="28"/>
          <w:rtl/>
        </w:rPr>
        <w:t xml:space="preserve"> أن العلاقة بين تنظيم البيع على الخارطة وثقة المشترين ليست علاقة خطية بسيطة، بل هي علاقة معقّدة تتوسّطها عوامل إدراكية تتعلّق بمدى وعي المشتري بالضمانات المتاحة له ومدى إيمانه بجدّية تطبيقها، وهو ما يستدعي بحثاً تجريبياً يقيس الأثر الفعلي لكل بُعد تنظيمي على حدة في تشكيل هذه الثقة، بدلاً من الاكتفاء بالتحليل النظري للنصوص القانونية (الصندل، 2021)</w:t>
      </w:r>
      <w:r w:rsidR="00156D45" w:rsidRPr="00FD338A">
        <w:rPr>
          <w:rFonts w:ascii="Simplified Arabic" w:hAnsi="Simplified Arabic" w:cs="Simplified Arabic"/>
          <w:color w:val="000000" w:themeColor="text1"/>
          <w:sz w:val="28"/>
          <w:szCs w:val="28"/>
        </w:rPr>
        <w:t>.</w:t>
      </w:r>
    </w:p>
    <w:p w14:paraId="70223699" w14:textId="616DEBAA" w:rsidR="00156D45" w:rsidRPr="00FD338A" w:rsidRDefault="00156D45" w:rsidP="00BA7054">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 xml:space="preserve">وتأسيساً على ما سبق، تأتي هذه الدراسة لتتناول أثر تنظيم البيع على الخارطة بأبعاده </w:t>
      </w:r>
      <w:proofErr w:type="gramStart"/>
      <w:r w:rsidRPr="00FD338A">
        <w:rPr>
          <w:rFonts w:ascii="Simplified Arabic" w:hAnsi="Simplified Arabic" w:cs="Simplified Arabic"/>
          <w:color w:val="000000" w:themeColor="text1"/>
          <w:sz w:val="28"/>
          <w:szCs w:val="28"/>
          <w:rtl/>
        </w:rPr>
        <w:t>الأربعة  الترخيص</w:t>
      </w:r>
      <w:proofErr w:type="gramEnd"/>
      <w:r w:rsidRPr="00FD338A">
        <w:rPr>
          <w:rFonts w:ascii="Simplified Arabic" w:hAnsi="Simplified Arabic" w:cs="Simplified Arabic"/>
          <w:color w:val="000000" w:themeColor="text1"/>
          <w:sz w:val="28"/>
          <w:szCs w:val="28"/>
          <w:rtl/>
        </w:rPr>
        <w:t xml:space="preserve"> وتأهيل المطوِّرين العقاريين، وحساب الضمان والرقابة المالية، والالتزامات التعاقدية وضوابط العقد، والإفصاح والشفافية المعلوماتية على ثقة المشترين في سوق العقار السعودي، ساعيةً إلى تقديم إطار تحليلي متكامل يجمع بين البُعد التنظيمي والبُعد السلوكي الإدراكي في سياق برنامج "وافي"</w:t>
      </w:r>
      <w:r w:rsidR="0070623F" w:rsidRPr="00FD338A">
        <w:rPr>
          <w:rFonts w:ascii="Simplified Arabic" w:hAnsi="Simplified Arabic" w:cs="Simplified Arabic"/>
          <w:color w:val="000000" w:themeColor="text1"/>
          <w:sz w:val="28"/>
          <w:szCs w:val="28"/>
          <w:rtl/>
        </w:rPr>
        <w:t>.</w:t>
      </w:r>
    </w:p>
    <w:p w14:paraId="2DC66E5D" w14:textId="11E224CB" w:rsidR="00BA7054" w:rsidRPr="00FD338A" w:rsidRDefault="00BA7054" w:rsidP="00BA7054">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941105"/>
      <w:bookmarkStart w:id="5" w:name="_Toc169790500"/>
      <w:bookmarkEnd w:id="1"/>
      <w:bookmarkEnd w:id="2"/>
      <w:r w:rsidRPr="00FD338A">
        <w:rPr>
          <w:rFonts w:ascii="Simplified Arabic" w:hAnsi="Simplified Arabic" w:cs="Simplified Arabic"/>
          <w:b/>
          <w:bCs/>
          <w:color w:val="000000" w:themeColor="text1"/>
          <w:sz w:val="36"/>
          <w:szCs w:val="36"/>
          <w:rtl/>
        </w:rPr>
        <w:t>2.1 مشكلة الدراسة</w:t>
      </w:r>
      <w:bookmarkEnd w:id="4"/>
    </w:p>
    <w:p w14:paraId="7A45A034" w14:textId="77777777" w:rsidR="00156D45" w:rsidRPr="00FD338A" w:rsidRDefault="00156D45" w:rsidP="00BA7054">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 xml:space="preserve">يُمثّل قطاع التطوير العقاري أحد الركائز الاستراتيجية لرؤية المملكة العربية السعودية 2030، التي وضعت مستهدفاً طموحاً يتمثّل في رفع نسبة تملّك الأسر السعودية للمساكن إلى 70% بحلول عام </w:t>
      </w:r>
      <w:r w:rsidRPr="00FD338A">
        <w:rPr>
          <w:rFonts w:ascii="Simplified Arabic" w:hAnsi="Simplified Arabic" w:cs="Simplified Arabic"/>
          <w:color w:val="000000" w:themeColor="text1"/>
          <w:sz w:val="28"/>
          <w:szCs w:val="28"/>
        </w:rPr>
        <w:t>2030</w:t>
      </w:r>
      <w:r w:rsidRPr="00FD338A">
        <w:rPr>
          <w:rFonts w:ascii="Simplified Arabic" w:hAnsi="Simplified Arabic" w:cs="Simplified Arabic"/>
          <w:color w:val="000000" w:themeColor="text1"/>
          <w:sz w:val="28"/>
          <w:szCs w:val="28"/>
          <w:rtl/>
        </w:rPr>
        <w:t xml:space="preserve">، وهي نسبة ارتفعت بالفعل من 47% عام 2016 إلى 65.4% بنهاية عام 2024، ثم تجاوزت 66% في عام 2025 وفقاً لتصريح وزير البلديات والإسكان. وفي إطار تحقيق هذا المستهدف، يُعدّ نظام البيع على الخارطة عبر برنامج "وافي" أحد أبرز الممكنات التنظيمية، حيث بلغ عدد المشاريع المرخَّصة بنهاية النصف الأول من عام 2025 نحو (654) مشروعاً عقارياً تضمّ أكثر من (346) ألف وحدة عقارية بقيمة بيعية </w:t>
      </w:r>
      <w:r w:rsidRPr="00FD338A">
        <w:rPr>
          <w:rFonts w:ascii="Simplified Arabic" w:hAnsi="Simplified Arabic" w:cs="Simplified Arabic"/>
          <w:color w:val="000000" w:themeColor="text1"/>
          <w:sz w:val="28"/>
          <w:szCs w:val="28"/>
          <w:rtl/>
        </w:rPr>
        <w:lastRenderedPageBreak/>
        <w:t xml:space="preserve">تقديرية تجاوزت (508) مليارات ريال، فيما سجّل عدد الوحدات القائمة نمواً استثنائياً تجاوز 350% خلال الربع الثالث من عام </w:t>
      </w:r>
      <w:r w:rsidRPr="00FD338A">
        <w:rPr>
          <w:rFonts w:ascii="Simplified Arabic" w:hAnsi="Simplified Arabic" w:cs="Simplified Arabic"/>
          <w:color w:val="000000" w:themeColor="text1"/>
          <w:sz w:val="28"/>
          <w:szCs w:val="28"/>
        </w:rPr>
        <w:t xml:space="preserve">2025 </w:t>
      </w:r>
      <w:r w:rsidRPr="00FD338A">
        <w:rPr>
          <w:rFonts w:ascii="Simplified Arabic" w:hAnsi="Simplified Arabic" w:cs="Simplified Arabic"/>
          <w:color w:val="000000" w:themeColor="text1"/>
          <w:sz w:val="28"/>
          <w:szCs w:val="28"/>
          <w:rtl/>
        </w:rPr>
        <w:t>مقارنةً بالفترة ذاتها من العام السابق</w:t>
      </w:r>
      <w:r w:rsidRPr="00FD338A">
        <w:rPr>
          <w:rFonts w:ascii="Simplified Arabic" w:hAnsi="Simplified Arabic" w:cs="Simplified Arabic"/>
          <w:color w:val="000000" w:themeColor="text1"/>
          <w:sz w:val="28"/>
          <w:szCs w:val="28"/>
        </w:rPr>
        <w:t>.</w:t>
      </w:r>
    </w:p>
    <w:p w14:paraId="5C1FEBC4" w14:textId="77777777" w:rsidR="00156D45" w:rsidRPr="00FD338A" w:rsidRDefault="00156D45" w:rsidP="00BA7054">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غير أن هذا النمو الكمّي المتسارع لا يعكس بالضرورة تنامياً موازياً في ثقة المشترين بهذا النمط من التعاملات العقارية. فالبيع على الخارطة ينطوي بطبيعته على فجوة زمنية جوهرية بين لحظة التعاقد والدفع ولحظة استلام الوحدة العقارية المكتملة، وهو ما يُولّد حالة من عدم تماثل المعلومات بين المطوِّر والمشتري، ويُغذّي مخاوف مشروعة لدى الأخير تتعلّق بتأخّر التسليم، أو تعثّر المشروع، أو عدم مطابقة المواصفات، أو حتى الاحتيال. وتتعزّز هذه المخاوف بشواهد واقعية، إذ رصدت الهيئة العامة للعقار في ديسمبر 2025 مخالفات ارتكبها نحو (25) مطوِّراً عقارياً تمثّلت في مزاولة نشاط البيع على الخارطة دون ترخيص في كلٍّ من الرياض وجدة ومكة المكرمة، كما أحالت مطوِّري (14) مشروعاً عقارياً إلى النيابة العامة بسبب مخالفات شملت استلام مبالغ مالية من المشترين دون الحصول على التراخيص النظامية، مما أدّى إلى تعرّض أموال المشترين لمخاطر حقيقية</w:t>
      </w:r>
      <w:r w:rsidRPr="00FD338A">
        <w:rPr>
          <w:rFonts w:ascii="Simplified Arabic" w:hAnsi="Simplified Arabic" w:cs="Simplified Arabic"/>
          <w:color w:val="000000" w:themeColor="text1"/>
          <w:sz w:val="28"/>
          <w:szCs w:val="28"/>
        </w:rPr>
        <w:t>.</w:t>
      </w:r>
    </w:p>
    <w:p w14:paraId="4FA4A83A" w14:textId="77777777" w:rsidR="00156D45" w:rsidRPr="00FD338A" w:rsidRDefault="00156D45" w:rsidP="00BA7054">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وعلى الرغم من أن المنظِّم السعودي أصدر نظام بيع وتأجير مشروعات عقارية على الخارطة بموجب قرار مجلس الوزراء رقم</w:t>
      </w:r>
      <w:r w:rsidRPr="00FD338A">
        <w:rPr>
          <w:rFonts w:ascii="Simplified Arabic" w:hAnsi="Simplified Arabic" w:cs="Simplified Arabic"/>
          <w:color w:val="000000" w:themeColor="text1"/>
          <w:sz w:val="28"/>
          <w:szCs w:val="28"/>
        </w:rPr>
        <w:t xml:space="preserve"> (196) </w:t>
      </w:r>
      <w:r w:rsidRPr="00FD338A">
        <w:rPr>
          <w:rFonts w:ascii="Simplified Arabic" w:hAnsi="Simplified Arabic" w:cs="Simplified Arabic"/>
          <w:color w:val="000000" w:themeColor="text1"/>
          <w:sz w:val="28"/>
          <w:szCs w:val="28"/>
          <w:rtl/>
        </w:rPr>
        <w:t>لعام 1445هـ ولائحته التنفيذية المحدّثة في يناير 2026، مُتضمِّناً عقوبات رادعة تصل إلى السجن خمس سنوات وغرامة عشرة ملايين ريال، فضلاً عن آليات حماية كحساب الضمان ونموذج العقد المعتمد والشرط الجزائي، إلا أنّ الأدبيات الأكاديمية تكشف عن ندرة ملحوظة في الدراسات التي تتناول العلاقة بين هذه التنظيمات ومخرجاتها السلوكية المتمثّلة في ثقة المشتري الفعلية. فمعظم الدراسات السابقة ركّزت على البُعد القانوني</w:t>
      </w:r>
      <w:r w:rsidRPr="00FD338A">
        <w:rPr>
          <w:rFonts w:ascii="Simplified Arabic" w:hAnsi="Simplified Arabic" w:cs="Simplified Arabic"/>
          <w:color w:val="000000" w:themeColor="text1"/>
          <w:sz w:val="28"/>
          <w:szCs w:val="28"/>
          <w:rtl/>
        </w:rPr>
        <w:noBreakHyphen/>
        <w:t>التشريعي دون قياس أثره الميداني على إدراك المشتري وسلوكه الشرائي، كما أن التفاوت في مستوى التزام المطوِّرين بالضوابط التنظيمية يُثير تساؤلاً مركزياً حول مدى فاعلية هذه التنظيمات في بناء ثقة حقيقية ومستدامة لدى المشترين</w:t>
      </w:r>
      <w:r w:rsidRPr="00FD338A">
        <w:rPr>
          <w:rFonts w:ascii="Simplified Arabic" w:hAnsi="Simplified Arabic" w:cs="Simplified Arabic"/>
          <w:color w:val="000000" w:themeColor="text1"/>
          <w:sz w:val="28"/>
          <w:szCs w:val="28"/>
        </w:rPr>
        <w:t>.</w:t>
      </w:r>
    </w:p>
    <w:p w14:paraId="7AD693BB" w14:textId="77777777" w:rsidR="00156D45" w:rsidRPr="00FD338A" w:rsidRDefault="00156D45" w:rsidP="00BA7054">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من هنا تبرز مشكلة الدراسة الحالية التي تتبلور في التساؤل الجوهري التالي</w:t>
      </w:r>
      <w:r w:rsidRPr="00FD338A">
        <w:rPr>
          <w:rFonts w:ascii="Simplified Arabic" w:hAnsi="Simplified Arabic" w:cs="Simplified Arabic"/>
          <w:color w:val="000000" w:themeColor="text1"/>
          <w:sz w:val="28"/>
          <w:szCs w:val="28"/>
        </w:rPr>
        <w:t xml:space="preserve">: </w:t>
      </w:r>
      <w:r w:rsidRPr="00FD338A">
        <w:rPr>
          <w:rStyle w:val="a9"/>
          <w:rFonts w:ascii="Simplified Arabic" w:hAnsi="Simplified Arabic" w:cs="Simplified Arabic"/>
          <w:b w:val="0"/>
          <w:bCs w:val="0"/>
          <w:color w:val="000000" w:themeColor="text1"/>
          <w:sz w:val="28"/>
          <w:szCs w:val="28"/>
          <w:rtl/>
        </w:rPr>
        <w:t>ما أثر تنظيم البيع على الخارطة بأبعاده (الترخيص وتأهيل المطوِّرين العقاريين، حساب الضمان والرقابة المالية، الالتزامات التعاقدية وضوابط العقد، الإفصاح والشفافية المعلوماتية) على ثقة المشترين في سوق العقار السعودي؟</w:t>
      </w:r>
    </w:p>
    <w:p w14:paraId="0E174192" w14:textId="114E3236" w:rsidR="00BA7054" w:rsidRPr="00FD338A" w:rsidRDefault="00BA7054" w:rsidP="00BA705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941106"/>
      <w:r w:rsidRPr="00FD338A">
        <w:rPr>
          <w:rFonts w:ascii="Simplified Arabic" w:eastAsia="Times New Roman" w:hAnsi="Simplified Arabic" w:cs="Simplified Arabic"/>
          <w:b/>
          <w:bCs/>
          <w:color w:val="000000" w:themeColor="text1"/>
          <w:kern w:val="0"/>
          <w:sz w:val="36"/>
          <w:szCs w:val="36"/>
          <w:rtl/>
          <w14:ligatures w14:val="none"/>
        </w:rPr>
        <w:t>3.1 أهدف الدراسة</w:t>
      </w:r>
      <w:bookmarkEnd w:id="6"/>
    </w:p>
    <w:p w14:paraId="71A972B3" w14:textId="77777777" w:rsidR="00156D45" w:rsidRPr="00FD338A" w:rsidRDefault="00156D45"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تهدف هذه الدراسة إلى التعرّف على أثر تنظيم البيع على الخارطة بأبعاده الأربعة (الترخيص وتأهيل المطوِّرين العقاريين، حساب الضمان والرقابة المالية، الالتزامات التعاقدية وضوابط العقد، الإفصاح والشفافية المعلوماتية) على ثقة المشترين في سوق العقار السعودي في ضوء برنامج "وافي</w:t>
      </w:r>
      <w:r w:rsidRPr="00FD338A">
        <w:rPr>
          <w:rFonts w:ascii="Simplified Arabic" w:eastAsia="Times New Roman" w:hAnsi="Simplified Arabic" w:cs="Simplified Arabic"/>
          <w:color w:val="000000" w:themeColor="text1"/>
          <w:kern w:val="0"/>
          <w:sz w:val="28"/>
          <w:szCs w:val="28"/>
          <w14:ligatures w14:val="none"/>
        </w:rPr>
        <w:t>".</w:t>
      </w:r>
    </w:p>
    <w:p w14:paraId="47924C7D" w14:textId="77777777" w:rsidR="00156D45" w:rsidRPr="00FD338A" w:rsidRDefault="00156D45" w:rsidP="00BA70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FD338A">
        <w:rPr>
          <w:rFonts w:ascii="Simplified Arabic" w:eastAsia="Times New Roman" w:hAnsi="Simplified Arabic" w:cs="Simplified Arabic"/>
          <w:b/>
          <w:bCs/>
          <w:color w:val="000000" w:themeColor="text1"/>
          <w:kern w:val="0"/>
          <w:sz w:val="28"/>
          <w:szCs w:val="28"/>
          <w14:ligatures w14:val="none"/>
        </w:rPr>
        <w:t>:</w:t>
      </w:r>
    </w:p>
    <w:p w14:paraId="528D4242" w14:textId="50F6D091" w:rsidR="00156D45" w:rsidRPr="00FD338A" w:rsidRDefault="00156D45" w:rsidP="001913FE">
      <w:pPr>
        <w:pStyle w:val="a6"/>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الهدف الفرعي الأول</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التعرّف على أثر بُعد الترخيص وتأهيل المطوِّرين العقاريين على ثقة المشترين في سوق العقار السعودي. </w:t>
      </w:r>
    </w:p>
    <w:p w14:paraId="1033B891" w14:textId="27AC3586" w:rsidR="00156D45" w:rsidRPr="00FD338A" w:rsidRDefault="00156D45" w:rsidP="001913FE">
      <w:pPr>
        <w:pStyle w:val="a6"/>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الهدف الفرعي الثاني</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التعرّف على أثر بُعد حساب الضمان والرقابة المالية على ثقة المشترين في سوق العقار السعودي. </w:t>
      </w:r>
    </w:p>
    <w:p w14:paraId="2B3C5D4E" w14:textId="148E3045" w:rsidR="00156D45" w:rsidRPr="00FD338A" w:rsidRDefault="00156D45" w:rsidP="001913FE">
      <w:pPr>
        <w:pStyle w:val="a6"/>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الهدف الفرعي الثالث</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التعرّف على أثر بُعد الالتزامات التعاقدية وضوابط العقد على ثقة المشترين في سوق العقار السعودي. </w:t>
      </w:r>
    </w:p>
    <w:p w14:paraId="45D44FE1" w14:textId="59AE3339" w:rsidR="0070623F" w:rsidRPr="00FD338A" w:rsidRDefault="00156D45" w:rsidP="001913FE">
      <w:pPr>
        <w:pStyle w:val="a6"/>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الهدف الفرعي الرابع</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التعرّف على أثر بُعد الإفصاح والشفافية المعلوماتية على ثقة المشترين في سوق العقار السعودي. </w:t>
      </w:r>
    </w:p>
    <w:p w14:paraId="36D970FC" w14:textId="77777777" w:rsidR="00BA7054" w:rsidRPr="00FD338A" w:rsidRDefault="00BA7054" w:rsidP="00096BB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941107"/>
      <w:r w:rsidRPr="00FD338A">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5008F099" w14:textId="4ED04AD6" w:rsidR="00BA7054" w:rsidRPr="00FD338A" w:rsidRDefault="00BA7054"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D338A">
        <w:rPr>
          <w:rFonts w:ascii="Simplified Arabic" w:eastAsia="Times New Roman" w:hAnsi="Simplified Arabic" w:cs="Simplified Arabic"/>
          <w:b/>
          <w:bCs/>
          <w:color w:val="000000" w:themeColor="text1"/>
          <w:kern w:val="0"/>
          <w:sz w:val="32"/>
          <w:szCs w:val="32"/>
          <w:rtl/>
          <w14:ligatures w14:val="none"/>
        </w:rPr>
        <w:t>السؤال الرئيسي</w:t>
      </w:r>
    </w:p>
    <w:p w14:paraId="20A12D13" w14:textId="77777777" w:rsidR="00156D45" w:rsidRPr="00FD338A" w:rsidRDefault="00156D45" w:rsidP="001913FE">
      <w:pPr>
        <w:pStyle w:val="a6"/>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ما أثر تنظيم البيع على الخارطة بأبعاده </w:t>
      </w:r>
      <w:r w:rsidRPr="00FD338A">
        <w:rPr>
          <w:rFonts w:ascii="Simplified Arabic" w:eastAsia="Times New Roman" w:hAnsi="Simplified Arabic" w:cs="Simplified Arabic"/>
          <w:color w:val="000000" w:themeColor="text1"/>
          <w:kern w:val="0"/>
          <w:sz w:val="28"/>
          <w:szCs w:val="28"/>
          <w14:ligatures w14:val="none"/>
        </w:rPr>
        <w:t>(</w:t>
      </w:r>
      <w:r w:rsidRPr="00FD338A">
        <w:rPr>
          <w:rFonts w:ascii="Simplified Arabic" w:eastAsia="Times New Roman" w:hAnsi="Simplified Arabic" w:cs="Simplified Arabic"/>
          <w:color w:val="000000" w:themeColor="text1"/>
          <w:kern w:val="0"/>
          <w:sz w:val="28"/>
          <w:szCs w:val="28"/>
          <w:rtl/>
          <w14:ligatures w14:val="none"/>
        </w:rPr>
        <w:t>الترخيص وتأهيل المطوِّرين العقاريين، حساب الضمان والرقابة المالية، الالتزامات التعاقدية وضوابط العقد، الإفصاح والشفافية المعلوماتية) على ثقة المشترين في سوق العقار السعودي؟</w:t>
      </w:r>
    </w:p>
    <w:p w14:paraId="624AEBAC" w14:textId="77777777" w:rsidR="00156D45" w:rsidRPr="00FD338A" w:rsidRDefault="00156D45"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914280"/>
      <w:r w:rsidRPr="00FD338A">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6F40010B" w14:textId="380844B5" w:rsidR="00156D45" w:rsidRPr="00FD338A" w:rsidRDefault="00156D45" w:rsidP="001913FE">
      <w:pPr>
        <w:pStyle w:val="a6"/>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السؤال الفرعي الأول</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ما أثر الترخيص وتأهيل المطوِّرين العقاريين على ثقة المشترين في سوق العقار السعودي؟ </w:t>
      </w:r>
    </w:p>
    <w:p w14:paraId="057501DB" w14:textId="30409C5C" w:rsidR="00156D45" w:rsidRPr="00FD338A" w:rsidRDefault="00156D45" w:rsidP="001913FE">
      <w:pPr>
        <w:pStyle w:val="a6"/>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السؤال الفرعي الثاني</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ما أثر حساب الضمان والرقابة المالية على ثقة المشترين في سوق العقار السعودي؟ </w:t>
      </w:r>
    </w:p>
    <w:p w14:paraId="74D4CF99" w14:textId="39BB4FA3" w:rsidR="00156D45" w:rsidRPr="00FD338A" w:rsidRDefault="00156D45" w:rsidP="001913FE">
      <w:pPr>
        <w:pStyle w:val="a6"/>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السؤال الفرعي الثالث</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ما أثر الالتزامات التعاقدية وضوابط العقد على ثقة المشترين في سوق العقار السعودي؟ </w:t>
      </w:r>
    </w:p>
    <w:p w14:paraId="15E7E9D7" w14:textId="61EAEE5D" w:rsidR="00156D45" w:rsidRPr="00FD338A" w:rsidRDefault="00156D45" w:rsidP="001913FE">
      <w:pPr>
        <w:pStyle w:val="a6"/>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السؤال الفرعي الرابع</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ما أثر الإفصاح والشفافية المعلوماتية على ثقة المشترين في سوق العقار السعودي؟ </w:t>
      </w:r>
    </w:p>
    <w:p w14:paraId="2CCBE0A8" w14:textId="77777777" w:rsidR="00096BBC" w:rsidRPr="00FD338A" w:rsidRDefault="00096BBC" w:rsidP="00096BB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941108"/>
      <w:r w:rsidRPr="00FD338A">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713E9DCA" w14:textId="24765AF5" w:rsidR="00096BBC" w:rsidRPr="00FD338A" w:rsidRDefault="00096BBC"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D338A">
        <w:rPr>
          <w:rFonts w:ascii="Simplified Arabic" w:eastAsia="Times New Roman" w:hAnsi="Simplified Arabic" w:cs="Simplified Arabic"/>
          <w:b/>
          <w:bCs/>
          <w:color w:val="000000" w:themeColor="text1"/>
          <w:kern w:val="0"/>
          <w:sz w:val="32"/>
          <w:szCs w:val="32"/>
          <w:rtl/>
          <w14:ligatures w14:val="none"/>
        </w:rPr>
        <w:t>الفرض الرئيسي</w:t>
      </w:r>
    </w:p>
    <w:p w14:paraId="3549886E" w14:textId="77777777" w:rsidR="00156D45" w:rsidRPr="00FD338A" w:rsidRDefault="00156D45" w:rsidP="001913FE">
      <w:pPr>
        <w:pStyle w:val="a6"/>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14:ligatures w14:val="none"/>
        </w:rPr>
        <w:t xml:space="preserve">H1: </w:t>
      </w:r>
      <w:r w:rsidRPr="00FD338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Cambria" w:eastAsia="Times New Roman" w:hAnsi="Cambria" w:cs="Cambria"/>
          <w:color w:val="000000" w:themeColor="text1"/>
          <w:kern w:val="0"/>
          <w:sz w:val="28"/>
          <w:szCs w:val="28"/>
          <w14:ligatures w14:val="none"/>
        </w:rPr>
        <w:t>α</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Times New Roman" w:eastAsia="Times New Roman" w:hAnsi="Times New Roman" w:cs="Times New Roman"/>
          <w:color w:val="000000" w:themeColor="text1"/>
          <w:kern w:val="0"/>
          <w:sz w:val="28"/>
          <w:szCs w:val="28"/>
          <w14:ligatures w14:val="none"/>
        </w:rPr>
        <w:t>≤</w:t>
      </w:r>
      <w:r w:rsidRPr="00FD338A">
        <w:rPr>
          <w:rFonts w:ascii="Simplified Arabic" w:eastAsia="Times New Roman" w:hAnsi="Simplified Arabic" w:cs="Simplified Arabic"/>
          <w:color w:val="000000" w:themeColor="text1"/>
          <w:kern w:val="0"/>
          <w:sz w:val="28"/>
          <w:szCs w:val="28"/>
          <w14:ligatures w14:val="none"/>
        </w:rPr>
        <w:t xml:space="preserve"> 0.05) </w:t>
      </w:r>
      <w:r w:rsidRPr="00FD338A">
        <w:rPr>
          <w:rFonts w:ascii="Simplified Arabic" w:eastAsia="Times New Roman" w:hAnsi="Simplified Arabic" w:cs="Simplified Arabic"/>
          <w:color w:val="000000" w:themeColor="text1"/>
          <w:kern w:val="0"/>
          <w:sz w:val="28"/>
          <w:szCs w:val="28"/>
          <w:rtl/>
          <w14:ligatures w14:val="none"/>
        </w:rPr>
        <w:t>لتنظيم البيع على الخارطة بأبعاده مجتمعةً (الترخيص وتأهيل المطوِّرين، حساب الضمان والرقابة المالية، الالتزامات التعاقدية وضوابط العقد، الإفصاح والشفافية المعلوماتية) على ثقة المشترين في سوق العقار السعودي</w:t>
      </w:r>
      <w:r w:rsidRPr="00FD338A">
        <w:rPr>
          <w:rFonts w:ascii="Simplified Arabic" w:eastAsia="Times New Roman" w:hAnsi="Simplified Arabic" w:cs="Simplified Arabic"/>
          <w:color w:val="000000" w:themeColor="text1"/>
          <w:kern w:val="0"/>
          <w:sz w:val="28"/>
          <w:szCs w:val="28"/>
          <w14:ligatures w14:val="none"/>
        </w:rPr>
        <w:t>.</w:t>
      </w:r>
    </w:p>
    <w:p w14:paraId="6103A4FF" w14:textId="77777777" w:rsidR="00156D45" w:rsidRPr="00FD338A" w:rsidRDefault="00156D45"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914283"/>
      <w:r w:rsidRPr="00FD338A">
        <w:rPr>
          <w:rFonts w:ascii="Simplified Arabic" w:eastAsia="Times New Roman" w:hAnsi="Simplified Arabic" w:cs="Simplified Arabic"/>
          <w:b/>
          <w:bCs/>
          <w:color w:val="000000" w:themeColor="text1"/>
          <w:kern w:val="0"/>
          <w:sz w:val="32"/>
          <w:szCs w:val="32"/>
          <w:rtl/>
          <w14:ligatures w14:val="none"/>
        </w:rPr>
        <w:t>الفروض الفرعية</w:t>
      </w:r>
      <w:bookmarkEnd w:id="10"/>
    </w:p>
    <w:p w14:paraId="63DDBDF3" w14:textId="77777777" w:rsidR="00156D45" w:rsidRPr="00FD338A" w:rsidRDefault="00156D45" w:rsidP="001913FE">
      <w:pPr>
        <w:pStyle w:val="a6"/>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14:ligatures w14:val="none"/>
        </w:rPr>
        <w:t xml:space="preserve">H1a: </w:t>
      </w:r>
      <w:r w:rsidRPr="00FD338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Cambria" w:eastAsia="Times New Roman" w:hAnsi="Cambria" w:cs="Cambria"/>
          <w:color w:val="000000" w:themeColor="text1"/>
          <w:kern w:val="0"/>
          <w:sz w:val="28"/>
          <w:szCs w:val="28"/>
          <w14:ligatures w14:val="none"/>
        </w:rPr>
        <w:t>α</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Times New Roman" w:eastAsia="Times New Roman" w:hAnsi="Times New Roman" w:cs="Times New Roman"/>
          <w:color w:val="000000" w:themeColor="text1"/>
          <w:kern w:val="0"/>
          <w:sz w:val="28"/>
          <w:szCs w:val="28"/>
          <w14:ligatures w14:val="none"/>
        </w:rPr>
        <w:t>≤</w:t>
      </w:r>
      <w:r w:rsidRPr="00FD338A">
        <w:rPr>
          <w:rFonts w:ascii="Simplified Arabic" w:eastAsia="Times New Roman" w:hAnsi="Simplified Arabic" w:cs="Simplified Arabic"/>
          <w:color w:val="000000" w:themeColor="text1"/>
          <w:kern w:val="0"/>
          <w:sz w:val="28"/>
          <w:szCs w:val="28"/>
          <w14:ligatures w14:val="none"/>
        </w:rPr>
        <w:t xml:space="preserve"> 0.05) </w:t>
      </w:r>
      <w:r w:rsidRPr="00FD338A">
        <w:rPr>
          <w:rFonts w:ascii="Simplified Arabic" w:eastAsia="Times New Roman" w:hAnsi="Simplified Arabic" w:cs="Simplified Arabic"/>
          <w:color w:val="000000" w:themeColor="text1"/>
          <w:kern w:val="0"/>
          <w:sz w:val="28"/>
          <w:szCs w:val="28"/>
          <w:rtl/>
          <w14:ligatures w14:val="none"/>
        </w:rPr>
        <w:t>لبُعد الترخيص وتأهيل المطوِّرين العقاريين على ثقة المشترين في سوق العقار السعودي</w:t>
      </w:r>
      <w:r w:rsidRPr="00FD338A">
        <w:rPr>
          <w:rFonts w:ascii="Simplified Arabic" w:eastAsia="Times New Roman" w:hAnsi="Simplified Arabic" w:cs="Simplified Arabic"/>
          <w:color w:val="000000" w:themeColor="text1"/>
          <w:kern w:val="0"/>
          <w:sz w:val="28"/>
          <w:szCs w:val="28"/>
          <w14:ligatures w14:val="none"/>
        </w:rPr>
        <w:t>.</w:t>
      </w:r>
    </w:p>
    <w:p w14:paraId="4CCD0205" w14:textId="77777777" w:rsidR="00156D45" w:rsidRPr="00FD338A" w:rsidRDefault="00156D45" w:rsidP="001913FE">
      <w:pPr>
        <w:pStyle w:val="a6"/>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14:ligatures w14:val="none"/>
        </w:rPr>
        <w:t xml:space="preserve">H1b: </w:t>
      </w:r>
      <w:r w:rsidRPr="00FD338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Cambria" w:eastAsia="Times New Roman" w:hAnsi="Cambria" w:cs="Cambria"/>
          <w:color w:val="000000" w:themeColor="text1"/>
          <w:kern w:val="0"/>
          <w:sz w:val="28"/>
          <w:szCs w:val="28"/>
          <w14:ligatures w14:val="none"/>
        </w:rPr>
        <w:t>α</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Times New Roman" w:eastAsia="Times New Roman" w:hAnsi="Times New Roman" w:cs="Times New Roman"/>
          <w:color w:val="000000" w:themeColor="text1"/>
          <w:kern w:val="0"/>
          <w:sz w:val="28"/>
          <w:szCs w:val="28"/>
          <w14:ligatures w14:val="none"/>
        </w:rPr>
        <w:t>≤</w:t>
      </w:r>
      <w:r w:rsidRPr="00FD338A">
        <w:rPr>
          <w:rFonts w:ascii="Simplified Arabic" w:eastAsia="Times New Roman" w:hAnsi="Simplified Arabic" w:cs="Simplified Arabic"/>
          <w:color w:val="000000" w:themeColor="text1"/>
          <w:kern w:val="0"/>
          <w:sz w:val="28"/>
          <w:szCs w:val="28"/>
          <w14:ligatures w14:val="none"/>
        </w:rPr>
        <w:t xml:space="preserve"> 0.05) </w:t>
      </w:r>
      <w:r w:rsidRPr="00FD338A">
        <w:rPr>
          <w:rFonts w:ascii="Simplified Arabic" w:eastAsia="Times New Roman" w:hAnsi="Simplified Arabic" w:cs="Simplified Arabic"/>
          <w:color w:val="000000" w:themeColor="text1"/>
          <w:kern w:val="0"/>
          <w:sz w:val="28"/>
          <w:szCs w:val="28"/>
          <w:rtl/>
          <w14:ligatures w14:val="none"/>
        </w:rPr>
        <w:t>لبُعد حساب الضمان والرقابة المالية على ثقة المشترين في سوق العقار السعودي</w:t>
      </w:r>
      <w:r w:rsidRPr="00FD338A">
        <w:rPr>
          <w:rFonts w:ascii="Simplified Arabic" w:eastAsia="Times New Roman" w:hAnsi="Simplified Arabic" w:cs="Simplified Arabic"/>
          <w:color w:val="000000" w:themeColor="text1"/>
          <w:kern w:val="0"/>
          <w:sz w:val="28"/>
          <w:szCs w:val="28"/>
          <w14:ligatures w14:val="none"/>
        </w:rPr>
        <w:t>.</w:t>
      </w:r>
    </w:p>
    <w:p w14:paraId="6FD3657C" w14:textId="77777777" w:rsidR="00156D45" w:rsidRPr="00FD338A" w:rsidRDefault="00156D45" w:rsidP="001913FE">
      <w:pPr>
        <w:pStyle w:val="a6"/>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14:ligatures w14:val="none"/>
        </w:rPr>
        <w:t xml:space="preserve">H1c: </w:t>
      </w:r>
      <w:r w:rsidRPr="00FD338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Cambria" w:eastAsia="Times New Roman" w:hAnsi="Cambria" w:cs="Cambria"/>
          <w:color w:val="000000" w:themeColor="text1"/>
          <w:kern w:val="0"/>
          <w:sz w:val="28"/>
          <w:szCs w:val="28"/>
          <w14:ligatures w14:val="none"/>
        </w:rPr>
        <w:t>α</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Times New Roman" w:eastAsia="Times New Roman" w:hAnsi="Times New Roman" w:cs="Times New Roman"/>
          <w:color w:val="000000" w:themeColor="text1"/>
          <w:kern w:val="0"/>
          <w:sz w:val="28"/>
          <w:szCs w:val="28"/>
          <w14:ligatures w14:val="none"/>
        </w:rPr>
        <w:t>≤</w:t>
      </w:r>
      <w:r w:rsidRPr="00FD338A">
        <w:rPr>
          <w:rFonts w:ascii="Simplified Arabic" w:eastAsia="Times New Roman" w:hAnsi="Simplified Arabic" w:cs="Simplified Arabic"/>
          <w:color w:val="000000" w:themeColor="text1"/>
          <w:kern w:val="0"/>
          <w:sz w:val="28"/>
          <w:szCs w:val="28"/>
          <w14:ligatures w14:val="none"/>
        </w:rPr>
        <w:t xml:space="preserve"> 0.05) </w:t>
      </w:r>
      <w:r w:rsidRPr="00FD338A">
        <w:rPr>
          <w:rFonts w:ascii="Simplified Arabic" w:eastAsia="Times New Roman" w:hAnsi="Simplified Arabic" w:cs="Simplified Arabic"/>
          <w:color w:val="000000" w:themeColor="text1"/>
          <w:kern w:val="0"/>
          <w:sz w:val="28"/>
          <w:szCs w:val="28"/>
          <w:rtl/>
          <w14:ligatures w14:val="none"/>
        </w:rPr>
        <w:t>لبُعد الالتزامات التعاقدية وضوابط العقد على ثقة المشترين في سوق العقار السعودي</w:t>
      </w:r>
      <w:r w:rsidRPr="00FD338A">
        <w:rPr>
          <w:rFonts w:ascii="Simplified Arabic" w:eastAsia="Times New Roman" w:hAnsi="Simplified Arabic" w:cs="Simplified Arabic"/>
          <w:color w:val="000000" w:themeColor="text1"/>
          <w:kern w:val="0"/>
          <w:sz w:val="28"/>
          <w:szCs w:val="28"/>
          <w14:ligatures w14:val="none"/>
        </w:rPr>
        <w:t>.</w:t>
      </w:r>
    </w:p>
    <w:p w14:paraId="1BE946ED" w14:textId="77777777" w:rsidR="00156D45" w:rsidRPr="00FD338A" w:rsidRDefault="00156D45" w:rsidP="001913FE">
      <w:pPr>
        <w:pStyle w:val="a6"/>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14:ligatures w14:val="none"/>
        </w:rPr>
        <w:t xml:space="preserve">H1d: </w:t>
      </w:r>
      <w:r w:rsidRPr="00FD338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Cambria" w:eastAsia="Times New Roman" w:hAnsi="Cambria" w:cs="Cambria"/>
          <w:color w:val="000000" w:themeColor="text1"/>
          <w:kern w:val="0"/>
          <w:sz w:val="28"/>
          <w:szCs w:val="28"/>
          <w14:ligatures w14:val="none"/>
        </w:rPr>
        <w:t>α</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Times New Roman" w:eastAsia="Times New Roman" w:hAnsi="Times New Roman" w:cs="Times New Roman"/>
          <w:color w:val="000000" w:themeColor="text1"/>
          <w:kern w:val="0"/>
          <w:sz w:val="28"/>
          <w:szCs w:val="28"/>
          <w14:ligatures w14:val="none"/>
        </w:rPr>
        <w:t>≤</w:t>
      </w:r>
      <w:r w:rsidRPr="00FD338A">
        <w:rPr>
          <w:rFonts w:ascii="Simplified Arabic" w:eastAsia="Times New Roman" w:hAnsi="Simplified Arabic" w:cs="Simplified Arabic"/>
          <w:color w:val="000000" w:themeColor="text1"/>
          <w:kern w:val="0"/>
          <w:sz w:val="28"/>
          <w:szCs w:val="28"/>
          <w14:ligatures w14:val="none"/>
        </w:rPr>
        <w:t xml:space="preserve"> 0.05) </w:t>
      </w:r>
      <w:r w:rsidRPr="00FD338A">
        <w:rPr>
          <w:rFonts w:ascii="Simplified Arabic" w:eastAsia="Times New Roman" w:hAnsi="Simplified Arabic" w:cs="Simplified Arabic"/>
          <w:color w:val="000000" w:themeColor="text1"/>
          <w:kern w:val="0"/>
          <w:sz w:val="28"/>
          <w:szCs w:val="28"/>
          <w:rtl/>
          <w14:ligatures w14:val="none"/>
        </w:rPr>
        <w:t>لبُعد الإفصاح والشفافية المعلوماتية على ثقة المشترين في سوق العقار السعودي</w:t>
      </w:r>
      <w:r w:rsidRPr="00FD338A">
        <w:rPr>
          <w:rFonts w:ascii="Simplified Arabic" w:eastAsia="Times New Roman" w:hAnsi="Simplified Arabic" w:cs="Simplified Arabic"/>
          <w:color w:val="000000" w:themeColor="text1"/>
          <w:kern w:val="0"/>
          <w:sz w:val="28"/>
          <w:szCs w:val="28"/>
          <w14:ligatures w14:val="none"/>
        </w:rPr>
        <w:t>.</w:t>
      </w:r>
    </w:p>
    <w:p w14:paraId="6F417628" w14:textId="77777777" w:rsidR="00096BBC" w:rsidRPr="00FD338A" w:rsidRDefault="00096BBC" w:rsidP="00096BB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41109"/>
      <w:r w:rsidRPr="00FD338A">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40594FC2" w14:textId="3D5EC1C3" w:rsidR="00096BBC" w:rsidRPr="00FD338A" w:rsidRDefault="00096BBC"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D338A">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96F949C" w14:textId="77777777" w:rsidR="00611029" w:rsidRPr="00FD338A" w:rsidRDefault="00156D45" w:rsidP="001913FE">
      <w:pPr>
        <w:pStyle w:val="a6"/>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 xml:space="preserve">تُسهم هذه الدراسة في إثراء الأدب الأكاديمي المتعلّق بتنظيم سوق العقار على الخارطة من خلال تقديم إطار مفاهيمي يربط بين أبعاد التنظيم الأربعة ومخرجات الثقة لدى المشتري، وهو ما لم يُتناوَل بهذا التصنيف المتكامل في الدراسات السابقة التي اقتصر أغلبها على تناول بُعد واحد أو بعدين فقط. </w:t>
      </w:r>
    </w:p>
    <w:p w14:paraId="5A822EC2" w14:textId="77777777" w:rsidR="00611029" w:rsidRPr="00FD338A" w:rsidRDefault="00156D45" w:rsidP="001913FE">
      <w:pPr>
        <w:pStyle w:val="a6"/>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كما تكتسب الدراسة أهميتها النظرية من كونها تختبر مدى انطباق نظريات حماية المستهلك ونظرية الوكالة ونظرية عدم تماثل المعلومات على السياق السعودي الخاص ببرنامج "وافي"، مما يُوفّر أساساً نظرياً يُمكن للباحثين البناء عليه في دراسات مستقبلية تتناول أسواقاً عقارية مشابهة في دول الخليج والدول الناشئة. </w:t>
      </w:r>
    </w:p>
    <w:p w14:paraId="163190B8" w14:textId="77777777" w:rsidR="00611029" w:rsidRPr="00FD338A" w:rsidRDefault="00156D45" w:rsidP="001913FE">
      <w:pPr>
        <w:pStyle w:val="a6"/>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D338A">
        <w:rPr>
          <w:rFonts w:ascii="Simplified Arabic" w:eastAsia="Times New Roman" w:hAnsi="Simplified Arabic" w:cs="Simplified Arabic"/>
          <w:color w:val="000000" w:themeColor="text1"/>
          <w:kern w:val="0"/>
          <w:sz w:val="28"/>
          <w:szCs w:val="28"/>
          <w:rtl/>
          <w14:ligatures w14:val="none"/>
        </w:rPr>
        <w:t>تُسهم الدراسة في سدّ الفجوة البحثية القائمة بشأن العلاقة بين الأطر التنظيمية للبيع على الخارطة والجوانب السلوكية والنفسية المرتبطة بثقة المشتري، إذ تتبنّى مقاربة تجمع بين البُعد القانوني</w:t>
      </w:r>
      <w:r w:rsidRPr="00FD338A">
        <w:rPr>
          <w:rFonts w:ascii="Simplified Arabic" w:eastAsia="Times New Roman" w:hAnsi="Simplified Arabic" w:cs="Simplified Arabic"/>
          <w:color w:val="000000" w:themeColor="text1"/>
          <w:kern w:val="0"/>
          <w:sz w:val="28"/>
          <w:szCs w:val="28"/>
          <w:rtl/>
          <w14:ligatures w14:val="none"/>
        </w:rPr>
        <w:noBreakHyphen/>
        <w:t>التنظيمي والبُعد الإدراكي</w:t>
      </w:r>
      <w:r w:rsidRPr="00FD338A">
        <w:rPr>
          <w:rFonts w:ascii="Simplified Arabic" w:eastAsia="Times New Roman" w:hAnsi="Simplified Arabic" w:cs="Simplified Arabic"/>
          <w:color w:val="000000" w:themeColor="text1"/>
          <w:kern w:val="0"/>
          <w:sz w:val="28"/>
          <w:szCs w:val="28"/>
          <w:rtl/>
          <w14:ligatures w14:val="none"/>
        </w:rPr>
        <w:noBreakHyphen/>
        <w:t>السلوكي</w:t>
      </w:r>
      <w:r w:rsidRPr="00FD338A">
        <w:rPr>
          <w:rFonts w:ascii="Simplified Arabic" w:eastAsia="Times New Roman" w:hAnsi="Simplified Arabic" w:cs="Simplified Arabic"/>
          <w:color w:val="000000" w:themeColor="text1"/>
          <w:kern w:val="0"/>
          <w:sz w:val="28"/>
          <w:szCs w:val="28"/>
          <w14:ligatures w14:val="none"/>
        </w:rPr>
        <w:t xml:space="preserve">. </w:t>
      </w:r>
    </w:p>
    <w:p w14:paraId="0F016F6B" w14:textId="3003A083" w:rsidR="00156D45" w:rsidRPr="00FD338A" w:rsidRDefault="00156D45"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FD338A">
        <w:rPr>
          <w:rFonts w:ascii="Simplified Arabic" w:eastAsia="Times New Roman" w:hAnsi="Simplified Arabic" w:cs="Simplified Arabic"/>
          <w:b/>
          <w:bCs/>
          <w:color w:val="000000" w:themeColor="text1"/>
          <w:kern w:val="0"/>
          <w:sz w:val="32"/>
          <w:szCs w:val="32"/>
          <w:rtl/>
          <w14:ligatures w14:val="none"/>
        </w:rPr>
        <w:t>الأهمية العملية (التطبيقية)</w:t>
      </w:r>
    </w:p>
    <w:p w14:paraId="729C67C0" w14:textId="77777777" w:rsidR="00611029" w:rsidRPr="00FD338A" w:rsidRDefault="00156D45" w:rsidP="001913FE">
      <w:pPr>
        <w:pStyle w:val="a6"/>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تُقدّم الدراسة نتائج وتوصيات يُمكن أن تستفيد منها الهيئة العامة للعقار في تطوير اللائحة التنفيذية لنظام البيع والتأجير على الخارطة وتحسين آليات الرقابة بما يُعزّز فاعلية البرنامج ويرفع نسبة رضا المشترين. كما تُفيد نتائج الدراسة شركات التطوير العقاري في فهم الأبعاد التنظيمية الأكثر تأثيراً في ثقة المشترين، مما يُمكّنها من تركيز جهودها على الامتثال لهذه الأبعاد بوصفه ميزة تنافسية تجذب مزيداً من المشترين وتُعزّز سمعتها في السوق. </w:t>
      </w:r>
    </w:p>
    <w:p w14:paraId="79124237" w14:textId="77777777" w:rsidR="00611029" w:rsidRPr="00FD338A" w:rsidRDefault="00156D45" w:rsidP="001913FE">
      <w:pPr>
        <w:pStyle w:val="a6"/>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D338A">
        <w:rPr>
          <w:rFonts w:ascii="Simplified Arabic" w:eastAsia="Times New Roman" w:hAnsi="Simplified Arabic" w:cs="Simplified Arabic"/>
          <w:color w:val="000000" w:themeColor="text1"/>
          <w:kern w:val="0"/>
          <w:sz w:val="28"/>
          <w:szCs w:val="28"/>
          <w:rtl/>
          <w14:ligatures w14:val="none"/>
        </w:rPr>
        <w:t>وتكتسب الدراسة أهمية عملية إضافية في سياق رؤية المملكة 2030 التي تستهدف رفع نسبة تملّك المساكن إلى 70%، حيث يُعدّ البيع على الخارطة أحد أبرز أدوات تحقيق هذا المستهدف، والتأكد من أن التنظيمات القائمة تبني ثقة حقيقية لدى المشترين يُعدّ شرطاً أساسياً لنجاح هذه الأداة.</w:t>
      </w:r>
    </w:p>
    <w:p w14:paraId="451C1E2F" w14:textId="7DBA52E4" w:rsidR="00156D45" w:rsidRPr="00FD338A" w:rsidRDefault="00156D45" w:rsidP="001913FE">
      <w:pPr>
        <w:pStyle w:val="a6"/>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كذلك تُفيد الدراسة المؤسسات التمويلية والبنوك التي تموّل مشاريع البيع على الخارطة في تقييم مدى متانة الإطار التنظيمي القائم وبالتالي تقدير المخاطر الائتمانية المرتبطة بتمويل هذه المشاريع. وأخيراً، يمكن أن تُسهم نتائج الدراسة في توعية المشترين المحتملين بحقوقهم والضمانات المتاحة لهم ضمن نظام البيع على الخارطة، مما يُعزّز قدرتهم على اتخاذ قرارات شرائية مستنيرة ويُقلّل من النزاعات المحتملة بين أطراف العلاقة التعاقدية</w:t>
      </w:r>
      <w:r w:rsidRPr="00FD338A">
        <w:rPr>
          <w:rFonts w:ascii="Simplified Arabic" w:eastAsia="Times New Roman" w:hAnsi="Simplified Arabic" w:cs="Simplified Arabic"/>
          <w:color w:val="000000" w:themeColor="text1"/>
          <w:kern w:val="0"/>
          <w:sz w:val="28"/>
          <w:szCs w:val="28"/>
          <w14:ligatures w14:val="none"/>
        </w:rPr>
        <w:t>.</w:t>
      </w:r>
    </w:p>
    <w:p w14:paraId="216AF040" w14:textId="77777777" w:rsidR="00096BBC" w:rsidRPr="00FD338A" w:rsidRDefault="00096BBC" w:rsidP="00096BB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941110"/>
      <w:bookmarkStart w:id="13" w:name="_Toc169790501"/>
      <w:bookmarkEnd w:id="5"/>
      <w:r w:rsidRPr="00FD338A">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0C852217" w14:textId="1E8F8FB5" w:rsidR="00096BBC" w:rsidRPr="00FD338A" w:rsidRDefault="00096BBC"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D338A">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المتعلقة بالمتغير المستقل (تنظيم البيع على الخارطة) وعلاقته بمتغيرات أخرى</w:t>
      </w:r>
    </w:p>
    <w:p w14:paraId="08F438E5" w14:textId="77777777" w:rsidR="00096BBC" w:rsidRPr="00FD338A" w:rsidRDefault="00096BBC" w:rsidP="001913F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 (لقم والشثري، 2024) بعنوان "بيع العقار على الخارطة: دراسة فقهية تطبيقية (مخطط الجوهرة بالخرج نموذجًا)</w:t>
      </w:r>
      <w:r w:rsidRPr="00FD338A">
        <w:rPr>
          <w:rFonts w:ascii="Simplified Arabic" w:eastAsia="Times New Roman" w:hAnsi="Simplified Arabic" w:cs="Simplified Arabic"/>
          <w:b/>
          <w:bCs/>
          <w:color w:val="000000" w:themeColor="text1"/>
          <w:kern w:val="0"/>
          <w:sz w:val="28"/>
          <w:szCs w:val="28"/>
          <w14:ligatures w14:val="none"/>
        </w:rPr>
        <w:t>"</w:t>
      </w:r>
    </w:p>
    <w:p w14:paraId="06ABD417" w14:textId="511A6D84" w:rsidR="00096BBC" w:rsidRPr="00FD338A" w:rsidRDefault="00096BBC"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D338A">
        <w:rPr>
          <w:rFonts w:ascii="Simplified Arabic" w:eastAsia="Times New Roman" w:hAnsi="Simplified Arabic" w:cs="Simplified Arabic"/>
          <w:color w:val="000000" w:themeColor="text1"/>
          <w:kern w:val="0"/>
          <w:sz w:val="28"/>
          <w:szCs w:val="28"/>
          <w:rtl/>
          <w14:ligatures w14:val="none"/>
        </w:rPr>
        <w:t>هدفت هذه الدراسة إلى التعرف على الحكم الشرعي لبيع العقار على الخارطة بأبعاده المتمثلة في (التكييف الفقهي لعقد البيع على الخارطة وعلاقته بعقد الاستصناع، وحكم بيع العقار قبل القبض عند جمهور الفقهاء، وآليات دفع الثمن المشروعة من حيث التعجيل والتأجيل والتقسيط) على تنظيم المعاملات العقارية المستجدة وتوفيقها مع أحكام الشريعة الإسلامية، وذلك من خلال تطبيق الأحكام الفقهية على المخططات العقارية الحديثة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واستخدمت الدراسة المنهج الوصفي القائم على استعراض آراء الفقهاء ومذاهبهم في مسائل البيع قبل القبض والاستصناع وتطبيقها على واقع البيع العقاري على الخارطة المعاصر. وتكوّنت عيّنة الدراسة من مخطط الجوهرة بمحافظة الخرج في المملكة العربية السعودية كنموذج تطبيقي واقعي لدراسة الإشكالات الشرعية المرتبطة بتطبيق لائحة بيع العقار على الخارطة (ص ص. 285-304). وتوصلت نتائج الدراسة إلى عدة نتائج جوهرية أبرزها: أن العقار عند جمهور الفقهاء يشمل الأرض وحدها دون ما عليها من بناء، وأنه لا يجوز بيع العقار قبل قبضه عند جمهور العلماء، وأن البيع على الخارطة يدخل في صور عقد الاستصناع المعروف في الفقه الإسلامي مما يجعله مشروعًا، وبناءً على ذلك يجوز تسليم الثمن دفعة واحدة سواء أكانت معجلة أم مؤجلة كما يجوز دفعها على أقساط دورية، ولا حرج شرعي في تأخير السداد بالأقساط حتى يتم قبض المبيع فعليًا</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وأوصى الباحث باعتماد صيغة عقد البيع على الخارطة بوصفه عقدًا مستقلًا وقائمًا بذاته مما يُثري الاقتصاد الإسلامي ويُسهّل معاملات المسلمين المعاصرة، كما أوصى بتوفيق شكل ومضمون عقد البيع على الخارطة المعمول به حاليًا ليلائم أحكام الشريعة الإسلامية ومقاصدها</w:t>
      </w:r>
      <w:r w:rsidRPr="00FD338A">
        <w:rPr>
          <w:rFonts w:ascii="Simplified Arabic" w:eastAsia="Times New Roman" w:hAnsi="Simplified Arabic" w:cs="Simplified Arabic"/>
          <w:color w:val="000000" w:themeColor="text1"/>
          <w:kern w:val="0"/>
          <w:sz w:val="28"/>
          <w:szCs w:val="28"/>
          <w14:ligatures w14:val="none"/>
        </w:rPr>
        <w:t>.</w:t>
      </w:r>
    </w:p>
    <w:p w14:paraId="3BF19C1D" w14:textId="4C833FFA" w:rsidR="00156D45" w:rsidRPr="00FD338A" w:rsidRDefault="00156D45" w:rsidP="001913F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 (الغامدي، 2024) بعنوان "حماية حقوق المشتري في البيع على الخارطة في النظام السعودي</w:t>
      </w:r>
      <w:r w:rsidRPr="00FD338A">
        <w:rPr>
          <w:rFonts w:ascii="Simplified Arabic" w:eastAsia="Times New Roman" w:hAnsi="Simplified Arabic" w:cs="Simplified Arabic"/>
          <w:b/>
          <w:bCs/>
          <w:color w:val="000000" w:themeColor="text1"/>
          <w:kern w:val="0"/>
          <w:sz w:val="28"/>
          <w:szCs w:val="28"/>
          <w14:ligatures w14:val="none"/>
        </w:rPr>
        <w:t>"</w:t>
      </w:r>
    </w:p>
    <w:p w14:paraId="3EFED861"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مدى فعالية النظام السعودي في حماية حقوق المشتري في عقود البيع على الخارطة، بأبعاده المتمثلة في (الحماية الإجرائية المتضمنة إجبار المطور على الخضوع لمراحل إجرائية محددة قبل البيع وأثناءه، والحماية الجنائية من تصرفات المطور المخالفة، وآلية إنشاء حساب بنكي </w:t>
      </w:r>
      <w:r w:rsidRPr="00FD338A">
        <w:rPr>
          <w:rFonts w:ascii="Simplified Arabic" w:eastAsia="Times New Roman" w:hAnsi="Simplified Arabic" w:cs="Simplified Arabic"/>
          <w:color w:val="000000" w:themeColor="text1"/>
          <w:kern w:val="0"/>
          <w:sz w:val="28"/>
          <w:szCs w:val="28"/>
          <w:rtl/>
          <w14:ligatures w14:val="none"/>
        </w:rPr>
        <w:lastRenderedPageBreak/>
        <w:t>خاص بالمشروع لضمان حقوق المشترين) على تعزيز البيئة القانونية الحامية لحقوق المشترين في إطار النهضة الاقتصادية وتحقيق رؤية المملكة 2030. واستخدمت الدراسة المنهج الوصفي التحليلي القائم على دراسة النصوص النظامية وتقييم فعاليتها في تحقيق الحماية المنشودة للمشتري، من خلال تحليل التشريعات والأنظمة واللوائح التنفيذية المنظمة لنشاط بيع الوحدات العقارية على الخارطة في المملكة العربية السعودية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وتكوّنت عيّنة الدراسة من مجموعة النصوص التشريعية والنظامية ذات الصلة بعقد البيع على الخارطة، بما يشمل نظام بيع وتأجير مشروعات عقارية على الخارطة ولوائحه التنفيذية وقرارات الجهات الرقابية المعنية. وتوصلت نتائج الدراسة إلى أن النظام السعودي قد أوجد بيئة قانونية متكاملة تحمي حقوق المشتري عبر عدة آليات فعّالة، أبرزها إجبار المطور العقاري على المرور بمراحل إجرائية محددة وصارمة تشمل الحصول على التراخيص اللازمة قبل الشروع في البيع، وإنشاء حساب بنكي مستقل باسم المشروع العقاري لحفظ أموال المشترين وضمان توجيهها لتنفيذ المشروع. وأوصت الدراسة بضرورة تحديد تعريف واضح ودقيق لعقد البيع على الخارطة يُزيل أي لبس قانوني، وإلزام المطور بنقل ملكية الوحدة العقارية للمشتري فور سداده كامل الثمن دون تأخير، فضلًا عن تجريم بعض الأفعال التي قد يرتكبها المطور كالتصرف بأموال المشترين في غير أغراض المشروع، وتعويض المشترين تعويضًا عادلًا عند حدوث تأخير في تسليم الوحدات العقارية أو عدم نقل الملكية في الموعد المتفق عليه</w:t>
      </w:r>
      <w:r w:rsidRPr="00FD338A">
        <w:rPr>
          <w:rFonts w:ascii="Simplified Arabic" w:eastAsia="Times New Roman" w:hAnsi="Simplified Arabic" w:cs="Simplified Arabic"/>
          <w:color w:val="000000" w:themeColor="text1"/>
          <w:kern w:val="0"/>
          <w:sz w:val="28"/>
          <w:szCs w:val="28"/>
          <w14:ligatures w14:val="none"/>
        </w:rPr>
        <w:t>.</w:t>
      </w:r>
    </w:p>
    <w:p w14:paraId="49BCEEFF" w14:textId="77777777" w:rsidR="00156D45" w:rsidRPr="00FD338A" w:rsidRDefault="00156D45" w:rsidP="001913F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 (شعيب وزكي، 2025) بعنوان "دور حساب ضمان التطوير العقاري في دعم بيع العقار على الخارطة بإمارة دبي</w:t>
      </w:r>
      <w:r w:rsidRPr="00FD338A">
        <w:rPr>
          <w:rFonts w:ascii="Simplified Arabic" w:eastAsia="Times New Roman" w:hAnsi="Simplified Arabic" w:cs="Simplified Arabic"/>
          <w:b/>
          <w:bCs/>
          <w:color w:val="000000" w:themeColor="text1"/>
          <w:kern w:val="0"/>
          <w:sz w:val="28"/>
          <w:szCs w:val="28"/>
          <w14:ligatures w14:val="none"/>
        </w:rPr>
        <w:t>"</w:t>
      </w:r>
    </w:p>
    <w:p w14:paraId="70298340"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الدور الذي يؤديه حساب ضمان التطوير العقاري بأبعاده المتمثلة في (الالتزامات التعاقدية المتبادلة بين المطور وأمين الحساب والمشتري، وآليات الرقابة على عمليات السحب من الحساب وربطها بنسب الإنجاز الفعلية، والإفصاح الإلزامي عن أي رهونات مقررة على المشروع العقاري) على دعم نشاط بيع العقار على الخارطة وتحقيق التوازن بين جذب الاستثمارات وحماية حقوق المشترين والمستثمرين في إمارة دبي. واستخدمت الدراسة المنهج الوصفي التحليلي القائم على استقراء وتحليل التشريعات المحلية الصادرة في إمارة دبي والمتعلقة بتنظيم حسابات ضمان التطوير العقاري، بما في ذلك القوانين والقرارات التنظيمية الصادرة عن دائرة الأراضي والأملاك. وتكوّنت عيّنة الدراسة من منظومة القوانين والقرارات واللوائح التنظيمية الخاصة بحسابات الضمان العقاري في إمارة دبي، والتي أُخضعت للتحليل القانوني المعمّق عبر 36 صفحة بحثية. وتوصلت نتائج الدراسة إلى أن إمارة دبي تشهد نهضة عمرانية غير مسبوقة ومتسارعة تُعدّ الأسرع عالميًا، وأن إلزام المطور العقاري بفتح حساب ضمان </w:t>
      </w:r>
      <w:r w:rsidRPr="00FD338A">
        <w:rPr>
          <w:rFonts w:ascii="Simplified Arabic" w:eastAsia="Times New Roman" w:hAnsi="Simplified Arabic" w:cs="Simplified Arabic"/>
          <w:color w:val="000000" w:themeColor="text1"/>
          <w:kern w:val="0"/>
          <w:sz w:val="28"/>
          <w:szCs w:val="28"/>
          <w:rtl/>
          <w14:ligatures w14:val="none"/>
        </w:rPr>
        <w:lastRenderedPageBreak/>
        <w:t>مستقل باسم المشروع العقاري يُودع فيه المشترون والمستثمرون ومقرضو المطور أموالهم يُمثّل أهم الضمانات القانونية للمحافظة على نجاح الاستثمارات العقارية وريادة الإمارة عالميًا في هذا القطاع. غير أن الدراسة كشفت عن استمرار الحاجة لضبط بعض المسائل الجوهرية المرتبطة بآليات عمل حساب الضمان. وأوصت الدراسة بضرورة ربط عمليات السحب من حساب الضمان بنسبة إنجاز فعلية محددة ومعتمدة من جهة رقابية مستقلة، وإلزام المطور العقاري قانونيًا بإعلام المستثمرين والمشترين بأي رهن مقرر على المشروع سواء أكان هذا الرهن سابقًا أم لاحقًا على إبرام عقد البيع</w:t>
      </w:r>
      <w:r w:rsidRPr="00FD338A">
        <w:rPr>
          <w:rFonts w:ascii="Simplified Arabic" w:eastAsia="Times New Roman" w:hAnsi="Simplified Arabic" w:cs="Simplified Arabic"/>
          <w:color w:val="000000" w:themeColor="text1"/>
          <w:kern w:val="0"/>
          <w:sz w:val="28"/>
          <w:szCs w:val="28"/>
          <w14:ligatures w14:val="none"/>
        </w:rPr>
        <w:t>.</w:t>
      </w:r>
    </w:p>
    <w:p w14:paraId="3FE96B71"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 (العساف وعجاج، 2025) بعنوان "الضمانات المقررة لحماية المشتري في عقد بيع الوحدات العقارية على الخارطة في النظام السعودي</w:t>
      </w:r>
      <w:r w:rsidRPr="00FD338A">
        <w:rPr>
          <w:rFonts w:ascii="Simplified Arabic" w:eastAsia="Times New Roman" w:hAnsi="Simplified Arabic" w:cs="Simplified Arabic"/>
          <w:b/>
          <w:bCs/>
          <w:color w:val="000000" w:themeColor="text1"/>
          <w:kern w:val="0"/>
          <w:sz w:val="28"/>
          <w:szCs w:val="28"/>
          <w14:ligatures w14:val="none"/>
        </w:rPr>
        <w:t>"</w:t>
      </w:r>
    </w:p>
    <w:p w14:paraId="78CB9322"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هدفت هذه الدراسة إلى التعرف على طبيعة الضمانات المقررة لحماية حقوق المشتري بأبعادها المتمثلة في (الضمانات الوقائية التي تسبق وقوع الضرر وتشمل سجل قيد المطورين وجدول المخالفات واشتراطات الترخيص، والضمانات العلاجية التي تعالج الضرر بعد وقوعه وتشمل حساب الضمان والشرط الجزائي وآليات التعويض) على تعزيز ثقة المتعاملين في عقود بيع الوحدات العقارية على الخارطة وفقًا للنظام السعودي، مع تسليط الضوء على الدور الفعلي للجهات الرقابية في تفعيل هذه الضمانات على أرض الواقع. واستخدمت الدراسة المنهج الوصفي التحليلي المعتمد على التحليل القانوني المنهجي للنصوص النظامية واللوائح التنفيذية الصادرة من الجهات المعنية بتنظيم نشاط البيع على الخارطة في المملكة العربية السعودية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وتكوّنت عيّنة الدراسة من الأنظمة واللوائح التنفيذية لبرنامج البيع على الخارطة (وافي) الصادر عن الهيئة العامة للعقار، وقد عالجتها الدراسة في 18 صفحة تحليلية (ص ص. 116-133). وتوصلت نتائج الدراسة إلى أن النظام السعودي قد أرسى منظومة حمائية متكاملة ذات شقّين: وقائي يمنع وقوع الضرر قبل حدوثه من خلال اشتراطات الترخيص وقيد المطورين وتنظيم الإعلانات، وعلاجي يعالج الضرر بعد وقوعه من خلال حساب الضمان والشرط الجزائي وإجراءات التعويض، وأن هذه المنظومة المزدوجة تعزّز بشكل فعّال ثقة المتعاملين في عقود البيع على الخارطة. وأوصت الدراسة بتفعيل رابطة مهنية متكاملة تجمع بين الجهات المعنية كافة لتعزيز تبادل البيانات والمعلومات بشكل منظم ومستمر يضمن حماية المشتري بشكل راسخ وفعّال</w:t>
      </w:r>
      <w:r w:rsidRPr="00FD338A">
        <w:rPr>
          <w:rFonts w:ascii="Simplified Arabic" w:eastAsia="Times New Roman" w:hAnsi="Simplified Arabic" w:cs="Simplified Arabic"/>
          <w:color w:val="000000" w:themeColor="text1"/>
          <w:kern w:val="0"/>
          <w:sz w:val="28"/>
          <w:szCs w:val="28"/>
          <w14:ligatures w14:val="none"/>
        </w:rPr>
        <w:t>.</w:t>
      </w:r>
    </w:p>
    <w:p w14:paraId="6ECFBE33"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 (المطيري، 2025) بعنوان "التنظيم القانوني لبيع العقار على الخريطة في النظام السعودي مقارنة بالقانون الأردني</w:t>
      </w:r>
      <w:r w:rsidRPr="00FD338A">
        <w:rPr>
          <w:rFonts w:ascii="Simplified Arabic" w:eastAsia="Times New Roman" w:hAnsi="Simplified Arabic" w:cs="Simplified Arabic"/>
          <w:b/>
          <w:bCs/>
          <w:color w:val="000000" w:themeColor="text1"/>
          <w:kern w:val="0"/>
          <w:sz w:val="28"/>
          <w:szCs w:val="28"/>
          <w14:ligatures w14:val="none"/>
        </w:rPr>
        <w:t>"</w:t>
      </w:r>
    </w:p>
    <w:p w14:paraId="32C09A19" w14:textId="1DCF71B3"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هدفت هذه الدراسة إلى التعرف على واقع التنظيم القانوني لبيع العقار على الخريطة بأبعاده المتمثلة في (الإطار التشريعي والمؤسسي المنظم لنشاط البيع على الخارطة في كلا البلدين، والتزامات المطور العقاري تجاه المشتري والجهات الرقابية، وحقوق المشتري وضمانات حمايته القانونية، وآليات الرقابة والإشراف الحكومي على نشاط البيع على الخارطة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على مستوى حماية أطراف العلاقة التعاقدية وتحقيق التوازن بين مصالحهم، وذلك بالمقارنة المنهجية بين النظام السعودي والقانون الأردني. واستخدمت الدراسة المنهج الوصفي التحليلي المقارن القائم على استقراء النصوص القانونية والتشريعية في كلا النظامين وتحليلها تحليلًا معمّقًا لاستخلاص أوجه التشابه والاختلاف. وتكوّنت عيّنة الدراسة من التشريعات والأنظمة واللوائح المنظمة لبيع العقار على الخريطة في كلٍّ من المملكة العربية السعودية والمملكة الأردنية الهاشمية. وتوصلت نتائج الدراسة إلى وجود تباين واضح بين النظامين القانونيين في مستوى التنظيم التشريعي لعملية البيع على الخارطة وفي مدى شمولية آليات حماية المشتري المقررة قانونيًا، وأن النظام السعودي يتميز بوجود برنامج مؤسسي متكامل (وافي) يُنظّم عملية البيع على الخارطة بشكل شامل ومنهجي ويُوفّر مستوى أعلى من الحماية للمشترين مقارنة بالتجربة الأردنية. وأوصت الدراسة بضرورة تطوير التشريعات في كلا البلدين لسدّ الثغرات القانونية القائمة وتعزيز حماية المشتري وضمان التوازن العادل بين حقوق جميع أطراف العلاقة التعاقدية. [رسالة ماجستير غير منشورة، جامعة عمان العربية، الأردن</w:t>
      </w:r>
    </w:p>
    <w:p w14:paraId="6A1ED6DF" w14:textId="77777777" w:rsidR="00096BBC" w:rsidRPr="00FD338A" w:rsidRDefault="00096BBC"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(Hajjar, 2022) </w:t>
      </w:r>
      <w:r w:rsidRPr="00FD338A">
        <w:rPr>
          <w:rFonts w:ascii="Simplified Arabic" w:eastAsia="Times New Roman" w:hAnsi="Simplified Arabic" w:cs="Simplified Arabic"/>
          <w:b/>
          <w:bCs/>
          <w:color w:val="000000" w:themeColor="text1"/>
          <w:kern w:val="0"/>
          <w:sz w:val="28"/>
          <w:szCs w:val="28"/>
          <w:rtl/>
          <w14:ligatures w14:val="none"/>
        </w:rPr>
        <w:t>بعنوان</w:t>
      </w:r>
      <w:r w:rsidRPr="00FD338A">
        <w:rPr>
          <w:rFonts w:ascii="Simplified Arabic" w:eastAsia="Times New Roman" w:hAnsi="Simplified Arabic" w:cs="Simplified Arabic"/>
          <w:b/>
          <w:bCs/>
          <w:color w:val="000000" w:themeColor="text1"/>
          <w:kern w:val="0"/>
          <w:sz w:val="28"/>
          <w:szCs w:val="28"/>
          <w14:ligatures w14:val="none"/>
        </w:rPr>
        <w:t xml:space="preserve"> "Pitfalls in the Consumer Protection Mechanism for Off-Plan Building Purchasing"</w:t>
      </w:r>
    </w:p>
    <w:p w14:paraId="3379FE55" w14:textId="1CD76DE0" w:rsidR="00096BBC" w:rsidRPr="00FD338A" w:rsidRDefault="00096BBC"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الثغرات والإشكاليات القائمة في آليات حماية المستهلك بأبعادها المتمثلة في </w:t>
      </w:r>
      <w:r w:rsidRPr="00FD338A">
        <w:rPr>
          <w:rFonts w:ascii="Simplified Arabic" w:eastAsia="Times New Roman" w:hAnsi="Simplified Arabic" w:cs="Simplified Arabic"/>
          <w:color w:val="000000" w:themeColor="text1"/>
          <w:kern w:val="0"/>
          <w:sz w:val="28"/>
          <w:szCs w:val="28"/>
          <w14:ligatures w14:val="none"/>
        </w:rPr>
        <w:t>(</w:t>
      </w:r>
      <w:r w:rsidRPr="00FD338A">
        <w:rPr>
          <w:rFonts w:ascii="Simplified Arabic" w:eastAsia="Times New Roman" w:hAnsi="Simplified Arabic" w:cs="Simplified Arabic"/>
          <w:color w:val="000000" w:themeColor="text1"/>
          <w:kern w:val="0"/>
          <w:sz w:val="28"/>
          <w:szCs w:val="28"/>
          <w:rtl/>
          <w14:ligatures w14:val="none"/>
        </w:rPr>
        <w:t xml:space="preserve">الدوافع الحكومية لتشجيع البيع على الخارطة كأداة لتنشيط قطاع البناء والتشييد وتوفير السكن، والمحفزات الاقتصادية التي تدفع المستثمرين والمشترين للإقبال على شراء عقارات لم تُبنَ بعد، وأوجه القصور والفجوات في الأُطر التشريعية القائمة التي تحمي المستهلك العقاري) على مستوى الحماية الفعلية المتاحة للمشترين في عقود البيع على الخارطة. واستخدمت الدراسة المنهج الوصفي التحليلي النقدي القائم على المراجعة المنهجية للتشريعات والأنظمة والسياسات المتعلقة بحماية المستهلك في سوق العقارات، مع تحليل نقدي لمدى كفاية هذه الأُطر في مواجهة المخاطر الحقيقية التي يتعرض لها المشترون. وتكوّنت عيّنة الدراسة من النصوص القانونية والتشريعية ذات الصلة بنشاط البيع على الخارطة وحماية المستهلك العقاري في عدة دول ذات تجارب متنوعة في هذا المجال. وتوصلت نتائج الدراسة إلى أن الحكومات تدفع بقوة نحو تبنّي نظام البيع على الخارطة كأداة فعّالة لتحفيز قطاع البناء وتمكين المواطنين من تملّك المساكن </w:t>
      </w:r>
      <w:r w:rsidRPr="00FD338A">
        <w:rPr>
          <w:rFonts w:ascii="Simplified Arabic" w:eastAsia="Times New Roman" w:hAnsi="Simplified Arabic" w:cs="Simplified Arabic"/>
          <w:color w:val="000000" w:themeColor="text1"/>
          <w:kern w:val="0"/>
          <w:sz w:val="28"/>
          <w:szCs w:val="28"/>
          <w:rtl/>
          <w14:ligatures w14:val="none"/>
        </w:rPr>
        <w:lastRenderedPageBreak/>
        <w:t>بتكلفة أقل، غير أن آليات حماية المستهلك القائمة فعليًا تعاني من قصور ملحوظ وثغرات جوهرية في مواجهة المخاطر الحقيقية التي يتحملها المشترون كتأخر تسليم المشاريع وعدم مطابقة المواصفات للمتفق عليه وتعثّر المطور ماليًا. وأوصت الدراسة بتعزيز الأُطر التنظيمية لحماية المستهلك وتطوير آليات رقابية أكثر صرامة وفعالية</w:t>
      </w:r>
      <w:r w:rsidRPr="00FD338A">
        <w:rPr>
          <w:rFonts w:ascii="Simplified Arabic" w:eastAsia="Times New Roman" w:hAnsi="Simplified Arabic" w:cs="Simplified Arabic"/>
          <w:color w:val="000000" w:themeColor="text1"/>
          <w:kern w:val="0"/>
          <w:sz w:val="28"/>
          <w:szCs w:val="28"/>
          <w14:ligatures w14:val="none"/>
        </w:rPr>
        <w:t>.</w:t>
      </w:r>
    </w:p>
    <w:p w14:paraId="678C8620"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b/>
          <w:bCs/>
          <w:color w:val="000000" w:themeColor="text1"/>
          <w:kern w:val="0"/>
          <w:sz w:val="28"/>
          <w:szCs w:val="28"/>
          <w14:ligatures w14:val="none"/>
        </w:rPr>
        <w:t>Alqahtany</w:t>
      </w:r>
      <w:proofErr w:type="spellEnd"/>
      <w:r w:rsidRPr="00FD338A">
        <w:rPr>
          <w:rFonts w:ascii="Simplified Arabic" w:eastAsia="Times New Roman" w:hAnsi="Simplified Arabic" w:cs="Simplified Arabic"/>
          <w:b/>
          <w:bCs/>
          <w:color w:val="000000" w:themeColor="text1"/>
          <w:kern w:val="0"/>
          <w:sz w:val="28"/>
          <w:szCs w:val="28"/>
          <w14:ligatures w14:val="none"/>
        </w:rPr>
        <w:t xml:space="preserve"> et al., 2023) </w:t>
      </w:r>
      <w:r w:rsidRPr="00FD338A">
        <w:rPr>
          <w:rFonts w:ascii="Simplified Arabic" w:eastAsia="Times New Roman" w:hAnsi="Simplified Arabic" w:cs="Simplified Arabic"/>
          <w:b/>
          <w:bCs/>
          <w:color w:val="000000" w:themeColor="text1"/>
          <w:kern w:val="0"/>
          <w:sz w:val="28"/>
          <w:szCs w:val="28"/>
          <w:rtl/>
          <w14:ligatures w14:val="none"/>
        </w:rPr>
        <w:t>بعنوان</w:t>
      </w:r>
      <w:r w:rsidRPr="00FD338A">
        <w:rPr>
          <w:rFonts w:ascii="Simplified Arabic" w:eastAsia="Times New Roman" w:hAnsi="Simplified Arabic" w:cs="Simplified Arabic"/>
          <w:b/>
          <w:bCs/>
          <w:color w:val="000000" w:themeColor="text1"/>
          <w:kern w:val="0"/>
          <w:sz w:val="28"/>
          <w:szCs w:val="28"/>
          <w14:ligatures w14:val="none"/>
        </w:rPr>
        <w:t xml:space="preserve"> "Consensus-Based Measures for Improvement of Off-Plan Sales Program of Housing Units in Real Estate Market of Riyadh City"</w:t>
      </w:r>
    </w:p>
    <w:p w14:paraId="15027AA8"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هدفت هذه الدراسة إلى التعرف على التحديات الرئيسية التي تواجه برنامج البيع على الخارطة للوحدات السكنية بأبعادها المتمثلة في (التحديات التمويلية كاشتراط رهن صك الأرض وارتفاع أسعار مواد البناء وصعوبة الحصول على التمويل البنكي، والتحديات التسويقية كضعف إقبال المشترين بسبب طول مدة تنفيذ المشاريع وعدم الثقة في المنتج النهائي) على أداء برنامج البيع على الخارطة في سوق العقارات بمدينة الرياض، مع صياغة تدابير توافقية للتغلب على هذه التحديات. واستخدمت الدراسة المنهج الوصفي التحليلي مستندةً إلى تقنية دلفي</w:t>
      </w:r>
      <w:r w:rsidRPr="00FD338A">
        <w:rPr>
          <w:rFonts w:ascii="Simplified Arabic" w:eastAsia="Times New Roman" w:hAnsi="Simplified Arabic" w:cs="Simplified Arabic"/>
          <w:color w:val="000000" w:themeColor="text1"/>
          <w:kern w:val="0"/>
          <w:sz w:val="28"/>
          <w:szCs w:val="28"/>
          <w14:ligatures w14:val="none"/>
        </w:rPr>
        <w:t xml:space="preserve"> (Delphi Technique) </w:t>
      </w:r>
      <w:r w:rsidRPr="00FD338A">
        <w:rPr>
          <w:rFonts w:ascii="Simplified Arabic" w:eastAsia="Times New Roman" w:hAnsi="Simplified Arabic" w:cs="Simplified Arabic"/>
          <w:color w:val="000000" w:themeColor="text1"/>
          <w:kern w:val="0"/>
          <w:sz w:val="28"/>
          <w:szCs w:val="28"/>
          <w:rtl/>
          <w14:ligatures w14:val="none"/>
        </w:rPr>
        <w:t>التي تقوم على ثلاث جولات متتالية تشمل العصف الذهني ثم التضييق ثم الترتيب، مع حساب عدة مؤشرات إحصائية كالنسبة المئوية للاستجابة والانحراف المعياري والخطأ المعياري والمتوسط الموزون للتحقق من مستوى التوافق. وتكوّنت عيّنة الدراسة من مجموعة من الخبراء والمتخصصين المشاركين فعليًا في برنامج البيع على الخارطة بمدينة الرياض، وقد تم اختيارهم بأسلوب قصدي نظرًا لتخصصهم وخبرتهم العميقة في هذا المجال. وتوصلت نتائج الدراسة إلى وجود عدة تحديات جوهرية تُعيق فعالية البرنامج، أبرزها تحديات تمويلية كاشتراط رهن صك الأرض الذي يُشكّل عائقًا كبيرًا أمام المطورين، وتحديات تسويقية تتمثل في ضعف إقبال المشترين نتيجة طول المدة الزمنية لتنفيذ المشاريع وعدم رؤية المنتج النهائي قبل الشراء، كما أن عدد عقود البيع على الخارطة في الرياض بلغ 204 عقود فقط من أصل 26,012 عقدًا إجماليًا. وأوصت بإيجاد بديل لشرط رهن صك الأرض كوضع تأمين على المشروع أو تقديم ضمان مالي بنكي، وتطوير آليات التسويق لزيادة ثقة المشترين</w:t>
      </w:r>
      <w:r w:rsidRPr="00FD338A">
        <w:rPr>
          <w:rFonts w:ascii="Simplified Arabic" w:eastAsia="Times New Roman" w:hAnsi="Simplified Arabic" w:cs="Simplified Arabic"/>
          <w:color w:val="000000" w:themeColor="text1"/>
          <w:kern w:val="0"/>
          <w:sz w:val="28"/>
          <w:szCs w:val="28"/>
          <w14:ligatures w14:val="none"/>
        </w:rPr>
        <w:t>.</w:t>
      </w:r>
    </w:p>
    <w:p w14:paraId="2165117A" w14:textId="77777777" w:rsidR="00096BBC" w:rsidRPr="00FD338A" w:rsidRDefault="00096BBC"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(Williams &amp; Smith, 2023) </w:t>
      </w:r>
      <w:r w:rsidRPr="00FD338A">
        <w:rPr>
          <w:rFonts w:ascii="Simplified Arabic" w:eastAsia="Times New Roman" w:hAnsi="Simplified Arabic" w:cs="Simplified Arabic"/>
          <w:b/>
          <w:bCs/>
          <w:color w:val="000000" w:themeColor="text1"/>
          <w:kern w:val="0"/>
          <w:sz w:val="28"/>
          <w:szCs w:val="28"/>
          <w:rtl/>
          <w14:ligatures w14:val="none"/>
        </w:rPr>
        <w:t>بعنوان</w:t>
      </w:r>
      <w:r w:rsidRPr="00FD338A">
        <w:rPr>
          <w:rFonts w:ascii="Simplified Arabic" w:eastAsia="Times New Roman" w:hAnsi="Simplified Arabic" w:cs="Simplified Arabic"/>
          <w:b/>
          <w:bCs/>
          <w:color w:val="000000" w:themeColor="text1"/>
          <w:kern w:val="0"/>
          <w:sz w:val="28"/>
          <w:szCs w:val="28"/>
          <w14:ligatures w14:val="none"/>
        </w:rPr>
        <w:t xml:space="preserve"> "Off-Plan Property Sales as an Innovative Financing Option in Real Estate Development"</w:t>
      </w:r>
    </w:p>
    <w:p w14:paraId="3D5C3D07" w14:textId="77777777" w:rsidR="00096BBC" w:rsidRPr="00FD338A" w:rsidRDefault="00096BBC"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هدفت هذه الدراسة إلى التعرف على فعالية البيع على الخارطة كخيار تمويلي مبتكر بأبعاده المتمثلة في (الفعالية التمويلية للبيع على الخارطة مقارنةً بمصادر التمويل التقليدية كالقروض البنكية، والتحديات والمعوقات التي تواجه المطورين في استخدام هذه الآلية، والمخاطر التي يتعرض لها المشترون عند شراء وحدات عقارية لم تُبنَ بعد) على تطوير المشاريع العقارية في كينيا. واستخدمت الدراسة المنهج الوصفي المقطعي مستخدمةً أسلوبًا بحثيًا مختلطًا يجمع بين الاستبانات الموزعة على المطورين والوكلاء العقاريين والمقابلات المعمّقة مع مُخبرين رئيسيين، فضلًا عن الملاحظة الميدانية والتصوير الفوتوغرافي لتوثيق حالة المشاريع. وتكوّنت عيّنة الدراسة من مطورين عقاريين ووكلاء عقارات في مدينة نيروبي تم اختيارهم بأسلوب قصدي، بالإضافة إلى خمسة مشاريع عقارية كدراسات حالة هي</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Loresho</w:t>
      </w:r>
      <w:proofErr w:type="spellEnd"/>
      <w:r w:rsidRPr="00FD338A">
        <w:rPr>
          <w:rFonts w:ascii="Simplified Arabic" w:eastAsia="Times New Roman" w:hAnsi="Simplified Arabic" w:cs="Simplified Arabic"/>
          <w:color w:val="000000" w:themeColor="text1"/>
          <w:kern w:val="0"/>
          <w:sz w:val="28"/>
          <w:szCs w:val="28"/>
          <w14:ligatures w14:val="none"/>
        </w:rPr>
        <w:t xml:space="preserve"> Ridge </w:t>
      </w:r>
      <w:r w:rsidRPr="00FD338A">
        <w:rPr>
          <w:rFonts w:ascii="Simplified Arabic" w:eastAsia="Times New Roman" w:hAnsi="Simplified Arabic" w:cs="Simplified Arabic"/>
          <w:color w:val="000000" w:themeColor="text1"/>
          <w:kern w:val="0"/>
          <w:sz w:val="28"/>
          <w:szCs w:val="28"/>
          <w:rtl/>
          <w14:ligatures w14:val="none"/>
        </w:rPr>
        <w:t>في منطقة</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Loresho</w:t>
      </w:r>
      <w:proofErr w:type="spellEnd"/>
      <w:r w:rsidRPr="00FD338A">
        <w:rPr>
          <w:rFonts w:ascii="Simplified Arabic" w:eastAsia="Times New Roman" w:hAnsi="Simplified Arabic" w:cs="Simplified Arabic"/>
          <w:color w:val="000000" w:themeColor="text1"/>
          <w:kern w:val="0"/>
          <w:sz w:val="28"/>
          <w:szCs w:val="28"/>
          <w:rtl/>
          <w14:ligatures w14:val="none"/>
        </w:rPr>
        <w:t>، و</w:t>
      </w:r>
      <w:r w:rsidRPr="00FD338A">
        <w:rPr>
          <w:rFonts w:ascii="Simplified Arabic" w:eastAsia="Times New Roman" w:hAnsi="Simplified Arabic" w:cs="Simplified Arabic"/>
          <w:color w:val="000000" w:themeColor="text1"/>
          <w:kern w:val="0"/>
          <w:sz w:val="28"/>
          <w:szCs w:val="28"/>
          <w14:ligatures w14:val="none"/>
        </w:rPr>
        <w:t xml:space="preserve">Ramata Greens </w:t>
      </w:r>
      <w:r w:rsidRPr="00FD338A">
        <w:rPr>
          <w:rFonts w:ascii="Simplified Arabic" w:eastAsia="Times New Roman" w:hAnsi="Simplified Arabic" w:cs="Simplified Arabic"/>
          <w:color w:val="000000" w:themeColor="text1"/>
          <w:kern w:val="0"/>
          <w:sz w:val="28"/>
          <w:szCs w:val="28"/>
          <w:rtl/>
          <w14:ligatures w14:val="none"/>
        </w:rPr>
        <w:t>في منطقة</w:t>
      </w:r>
      <w:r w:rsidRPr="00FD338A">
        <w:rPr>
          <w:rFonts w:ascii="Simplified Arabic" w:eastAsia="Times New Roman" w:hAnsi="Simplified Arabic" w:cs="Simplified Arabic"/>
          <w:color w:val="000000" w:themeColor="text1"/>
          <w:kern w:val="0"/>
          <w:sz w:val="28"/>
          <w:szCs w:val="28"/>
          <w14:ligatures w14:val="none"/>
        </w:rPr>
        <w:t xml:space="preserve"> Baba </w:t>
      </w:r>
      <w:proofErr w:type="spellStart"/>
      <w:r w:rsidRPr="00FD338A">
        <w:rPr>
          <w:rFonts w:ascii="Simplified Arabic" w:eastAsia="Times New Roman" w:hAnsi="Simplified Arabic" w:cs="Simplified Arabic"/>
          <w:color w:val="000000" w:themeColor="text1"/>
          <w:kern w:val="0"/>
          <w:sz w:val="28"/>
          <w:szCs w:val="28"/>
          <w14:ligatures w14:val="none"/>
        </w:rPr>
        <w:t>Dogo</w:t>
      </w:r>
      <w:proofErr w:type="spellEnd"/>
      <w:r w:rsidRPr="00FD338A">
        <w:rPr>
          <w:rFonts w:ascii="Simplified Arabic" w:eastAsia="Times New Roman" w:hAnsi="Simplified Arabic" w:cs="Simplified Arabic"/>
          <w:color w:val="000000" w:themeColor="text1"/>
          <w:kern w:val="0"/>
          <w:sz w:val="28"/>
          <w:szCs w:val="28"/>
          <w:rtl/>
          <w14:ligatures w14:val="none"/>
        </w:rPr>
        <w:t>، و</w:t>
      </w:r>
      <w:r w:rsidRPr="00FD338A">
        <w:rPr>
          <w:rFonts w:ascii="Simplified Arabic" w:eastAsia="Times New Roman" w:hAnsi="Simplified Arabic" w:cs="Simplified Arabic"/>
          <w:color w:val="000000" w:themeColor="text1"/>
          <w:kern w:val="0"/>
          <w:sz w:val="28"/>
          <w:szCs w:val="28"/>
          <w14:ligatures w14:val="none"/>
        </w:rPr>
        <w:t xml:space="preserve">Kings Millennium </w:t>
      </w:r>
      <w:r w:rsidRPr="00FD338A">
        <w:rPr>
          <w:rFonts w:ascii="Simplified Arabic" w:eastAsia="Times New Roman" w:hAnsi="Simplified Arabic" w:cs="Simplified Arabic"/>
          <w:color w:val="000000" w:themeColor="text1"/>
          <w:kern w:val="0"/>
          <w:sz w:val="28"/>
          <w:szCs w:val="28"/>
          <w:rtl/>
          <w14:ligatures w14:val="none"/>
        </w:rPr>
        <w:t>في منطقة</w:t>
      </w:r>
      <w:r w:rsidRPr="00FD338A">
        <w:rPr>
          <w:rFonts w:ascii="Simplified Arabic" w:eastAsia="Times New Roman" w:hAnsi="Simplified Arabic" w:cs="Simplified Arabic"/>
          <w:color w:val="000000" w:themeColor="text1"/>
          <w:kern w:val="0"/>
          <w:sz w:val="28"/>
          <w:szCs w:val="28"/>
          <w14:ligatures w14:val="none"/>
        </w:rPr>
        <w:t xml:space="preserve"> Imara Daima</w:t>
      </w:r>
      <w:r w:rsidRPr="00FD338A">
        <w:rPr>
          <w:rFonts w:ascii="Simplified Arabic" w:eastAsia="Times New Roman" w:hAnsi="Simplified Arabic" w:cs="Simplified Arabic"/>
          <w:color w:val="000000" w:themeColor="text1"/>
          <w:kern w:val="0"/>
          <w:sz w:val="28"/>
          <w:szCs w:val="28"/>
          <w:rtl/>
          <w14:ligatures w14:val="none"/>
        </w:rPr>
        <w:t>، و</w:t>
      </w:r>
      <w:r w:rsidRPr="00FD338A">
        <w:rPr>
          <w:rFonts w:ascii="Simplified Arabic" w:eastAsia="Times New Roman" w:hAnsi="Simplified Arabic" w:cs="Simplified Arabic"/>
          <w:color w:val="000000" w:themeColor="text1"/>
          <w:kern w:val="0"/>
          <w:sz w:val="28"/>
          <w:szCs w:val="28"/>
          <w14:ligatures w14:val="none"/>
        </w:rPr>
        <w:t xml:space="preserve">Muthaiga Valley </w:t>
      </w:r>
      <w:r w:rsidRPr="00FD338A">
        <w:rPr>
          <w:rFonts w:ascii="Simplified Arabic" w:eastAsia="Times New Roman" w:hAnsi="Simplified Arabic" w:cs="Simplified Arabic"/>
          <w:color w:val="000000" w:themeColor="text1"/>
          <w:kern w:val="0"/>
          <w:sz w:val="28"/>
          <w:szCs w:val="28"/>
          <w:rtl/>
          <w14:ligatures w14:val="none"/>
        </w:rPr>
        <w:t xml:space="preserve">في منطقة </w:t>
      </w:r>
      <w:r w:rsidRPr="00FD338A">
        <w:rPr>
          <w:rFonts w:ascii="Simplified Arabic" w:eastAsia="Times New Roman" w:hAnsi="Simplified Arabic" w:cs="Simplified Arabic"/>
          <w:color w:val="000000" w:themeColor="text1"/>
          <w:kern w:val="0"/>
          <w:sz w:val="28"/>
          <w:szCs w:val="28"/>
          <w14:ligatures w14:val="none"/>
        </w:rPr>
        <w:t>Parklands</w:t>
      </w:r>
      <w:r w:rsidRPr="00FD338A">
        <w:rPr>
          <w:rFonts w:ascii="Simplified Arabic" w:eastAsia="Times New Roman" w:hAnsi="Simplified Arabic" w:cs="Simplified Arabic"/>
          <w:color w:val="000000" w:themeColor="text1"/>
          <w:kern w:val="0"/>
          <w:sz w:val="28"/>
          <w:szCs w:val="28"/>
          <w:rtl/>
          <w14:ligatures w14:val="none"/>
        </w:rPr>
        <w:t>، و</w:t>
      </w:r>
      <w:r w:rsidRPr="00FD338A">
        <w:rPr>
          <w:rFonts w:ascii="Simplified Arabic" w:eastAsia="Times New Roman" w:hAnsi="Simplified Arabic" w:cs="Simplified Arabic"/>
          <w:color w:val="000000" w:themeColor="text1"/>
          <w:kern w:val="0"/>
          <w:sz w:val="28"/>
          <w:szCs w:val="28"/>
          <w14:ligatures w14:val="none"/>
        </w:rPr>
        <w:t xml:space="preserve">Pearl Heights </w:t>
      </w:r>
      <w:r w:rsidRPr="00FD338A">
        <w:rPr>
          <w:rFonts w:ascii="Simplified Arabic" w:eastAsia="Times New Roman" w:hAnsi="Simplified Arabic" w:cs="Simplified Arabic"/>
          <w:color w:val="000000" w:themeColor="text1"/>
          <w:kern w:val="0"/>
          <w:sz w:val="28"/>
          <w:szCs w:val="28"/>
          <w:rtl/>
          <w14:ligatures w14:val="none"/>
        </w:rPr>
        <w:t>في منطقة</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Kileleshwa</w:t>
      </w:r>
      <w:proofErr w:type="spellEnd"/>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وتوصلت نتائج الدراسة إلى أن البيع على الخارطة يُحقّق وفورات مالية حقيقية تتراوح بين 4% و8.5% من إجمالي تكلفة التطوير من خلال توفير فوائد القروض البنكية، وأن المطورين تمكنوا من تمويل ما بين 24% و41% من التكلفة الإجمالية للمشاريع عبر هذه الآلية، كما أن أسعار الوحدات ارتفعت بنسبة 32%-42% عند اكتمال البناء</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وأوصت بضرورة سنّ قوانين تنظّم البيع على الخارطة وتُلزم المطورين بالحصول على تراخيص</w:t>
      </w:r>
      <w:r w:rsidRPr="00FD338A">
        <w:rPr>
          <w:rFonts w:ascii="Simplified Arabic" w:eastAsia="Times New Roman" w:hAnsi="Simplified Arabic" w:cs="Simplified Arabic"/>
          <w:color w:val="000000" w:themeColor="text1"/>
          <w:kern w:val="0"/>
          <w:sz w:val="28"/>
          <w:szCs w:val="28"/>
          <w14:ligatures w14:val="none"/>
        </w:rPr>
        <w:t>.</w:t>
      </w:r>
    </w:p>
    <w:p w14:paraId="6EEA451F"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(Thuy, 2025) </w:t>
      </w:r>
      <w:r w:rsidRPr="00FD338A">
        <w:rPr>
          <w:rFonts w:ascii="Simplified Arabic" w:eastAsia="Times New Roman" w:hAnsi="Simplified Arabic" w:cs="Simplified Arabic"/>
          <w:b/>
          <w:bCs/>
          <w:color w:val="000000" w:themeColor="text1"/>
          <w:kern w:val="0"/>
          <w:sz w:val="28"/>
          <w:szCs w:val="28"/>
          <w:rtl/>
          <w14:ligatures w14:val="none"/>
        </w:rPr>
        <w:t>بعنوان</w:t>
      </w:r>
      <w:r w:rsidRPr="00FD338A">
        <w:rPr>
          <w:rFonts w:ascii="Simplified Arabic" w:eastAsia="Times New Roman" w:hAnsi="Simplified Arabic" w:cs="Simplified Arabic"/>
          <w:b/>
          <w:bCs/>
          <w:color w:val="000000" w:themeColor="text1"/>
          <w:kern w:val="0"/>
          <w:sz w:val="28"/>
          <w:szCs w:val="28"/>
          <w14:ligatures w14:val="none"/>
        </w:rPr>
        <w:t xml:space="preserve"> "Off-Plan Property Sales: A Comparison Study of Vietnam's and Dubai (UAE)'s Legal Framework"</w:t>
      </w:r>
    </w:p>
    <w:p w14:paraId="2C6AAEF9"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الإطار القانوني المنظم لبيع العقارات على الخارطة بأبعاده المتمثلة في (المتطلبات التشريعية الواجب استيفاؤها قبل الشروع في البيع، وآليات حماية المشتري من </w:t>
      </w:r>
      <w:proofErr w:type="gramStart"/>
      <w:r w:rsidRPr="00FD338A">
        <w:rPr>
          <w:rFonts w:ascii="Simplified Arabic" w:eastAsia="Times New Roman" w:hAnsi="Simplified Arabic" w:cs="Simplified Arabic"/>
          <w:color w:val="000000" w:themeColor="text1"/>
          <w:kern w:val="0"/>
          <w:sz w:val="28"/>
          <w:szCs w:val="28"/>
          <w:rtl/>
          <w14:ligatures w14:val="none"/>
        </w:rPr>
        <w:t>مخاطر</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تعثر المطور أو إخلاله بالتزاماته، وضمانات تنفيذ المشروع العقاري وتسليمه وفقًا للمواصفات المتفق عليها) على مستوى حماية حقوق أطراف العلاقة التعاقدية في كلٍّ من فيتنام وإمارة دبي بدولة الإمارات العربية المتحدة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المقارن القائم على الموازنة المنهجية بين التشريعات العقارية في كلا البلدين من حيث الفلسفة </w:t>
      </w:r>
      <w:proofErr w:type="gramStart"/>
      <w:r w:rsidRPr="00FD338A">
        <w:rPr>
          <w:rFonts w:ascii="Simplified Arabic" w:eastAsia="Times New Roman" w:hAnsi="Simplified Arabic" w:cs="Simplified Arabic"/>
          <w:color w:val="000000" w:themeColor="text1"/>
          <w:kern w:val="0"/>
          <w:sz w:val="28"/>
          <w:szCs w:val="28"/>
          <w:rtl/>
          <w14:ligatures w14:val="none"/>
        </w:rPr>
        <w:t>التشريعية</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ومستوى التنظيم وآليات التنفيذ والرقابة. وتكوّنت عيّنة الدراسة من النصوص القانونية والتشريعية المنظمة لنشاط بيع العقار على الخارطة في كلٍّ من الجمهورية الاشتراكية الفيتنامية وإمارة دبي. وتوصلت نتائج الدراسة إلى وجود فروق جوهرية وملموسة بين النظامين القانونيين في مستوى حماية المشتري ومدى فعالية آليات الرقابة على المطورين العقاريين، </w:t>
      </w:r>
      <w:r w:rsidRPr="00FD338A">
        <w:rPr>
          <w:rFonts w:ascii="Simplified Arabic" w:eastAsia="Times New Roman" w:hAnsi="Simplified Arabic" w:cs="Simplified Arabic"/>
          <w:color w:val="000000" w:themeColor="text1"/>
          <w:kern w:val="0"/>
          <w:sz w:val="28"/>
          <w:szCs w:val="28"/>
          <w:rtl/>
          <w14:ligatures w14:val="none"/>
        </w:rPr>
        <w:lastRenderedPageBreak/>
        <w:t>حيث تبيّن أن تجربة دبي أكثر نضجًا وتقدمًا في تنظيم حسابات الضمان وربط عمليات السحب بنسب الإنجاز الفعلية المعتمدة من جهات رقابية مستقلة، بينما تعاني التجربة الفيتنامية من قصور تشريعي في هذا الجانب. وأوصت الدراسة بضرورة أن تعمل فيتنام على تطوير تشريعاتها العقارية بالاستفادة من التجربة الإماراتية الرائدة في مجال حسابات الضمان والرقابة المؤسسية على المطورين العقاريين</w:t>
      </w:r>
      <w:r w:rsidRPr="00FD338A">
        <w:rPr>
          <w:rFonts w:ascii="Simplified Arabic" w:eastAsia="Times New Roman" w:hAnsi="Simplified Arabic" w:cs="Simplified Arabic"/>
          <w:color w:val="000000" w:themeColor="text1"/>
          <w:kern w:val="0"/>
          <w:sz w:val="28"/>
          <w:szCs w:val="28"/>
          <w14:ligatures w14:val="none"/>
        </w:rPr>
        <w:t>.</w:t>
      </w:r>
    </w:p>
    <w:p w14:paraId="7487404B"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b/>
          <w:bCs/>
          <w:color w:val="000000" w:themeColor="text1"/>
          <w:kern w:val="0"/>
          <w:sz w:val="28"/>
          <w:szCs w:val="28"/>
          <w14:ligatures w14:val="none"/>
        </w:rPr>
        <w:t>Altarawneh</w:t>
      </w:r>
      <w:proofErr w:type="spellEnd"/>
      <w:r w:rsidRPr="00FD338A">
        <w:rPr>
          <w:rFonts w:ascii="Simplified Arabic" w:eastAsia="Times New Roman" w:hAnsi="Simplified Arabic" w:cs="Simplified Arabic"/>
          <w:b/>
          <w:bCs/>
          <w:color w:val="000000" w:themeColor="text1"/>
          <w:kern w:val="0"/>
          <w:sz w:val="28"/>
          <w:szCs w:val="28"/>
          <w14:ligatures w14:val="none"/>
        </w:rPr>
        <w:t xml:space="preserve">, 2024) </w:t>
      </w:r>
      <w:r w:rsidRPr="00FD338A">
        <w:rPr>
          <w:rFonts w:ascii="Simplified Arabic" w:eastAsia="Times New Roman" w:hAnsi="Simplified Arabic" w:cs="Simplified Arabic"/>
          <w:b/>
          <w:bCs/>
          <w:color w:val="000000" w:themeColor="text1"/>
          <w:kern w:val="0"/>
          <w:sz w:val="28"/>
          <w:szCs w:val="28"/>
          <w:rtl/>
          <w14:ligatures w14:val="none"/>
        </w:rPr>
        <w:t>بعنوان "الأبعاد القانونية للوعد ببيع البناء على الخريطة في القانون الأردني</w:t>
      </w:r>
      <w:r w:rsidRPr="00FD338A">
        <w:rPr>
          <w:rFonts w:ascii="Simplified Arabic" w:eastAsia="Times New Roman" w:hAnsi="Simplified Arabic" w:cs="Simplified Arabic"/>
          <w:b/>
          <w:bCs/>
          <w:color w:val="000000" w:themeColor="text1"/>
          <w:kern w:val="0"/>
          <w:sz w:val="28"/>
          <w:szCs w:val="28"/>
          <w14:ligatures w14:val="none"/>
        </w:rPr>
        <w:t>"</w:t>
      </w:r>
    </w:p>
    <w:p w14:paraId="03BA6B3F"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الأبعاد والجوانب القانونية للوعد ببيع البناء على الخريطة بأبعاده المتمثلة في </w:t>
      </w:r>
      <w:r w:rsidRPr="00FD338A">
        <w:rPr>
          <w:rFonts w:ascii="Simplified Arabic" w:eastAsia="Times New Roman" w:hAnsi="Simplified Arabic" w:cs="Simplified Arabic"/>
          <w:color w:val="000000" w:themeColor="text1"/>
          <w:kern w:val="0"/>
          <w:sz w:val="28"/>
          <w:szCs w:val="28"/>
          <w14:ligatures w14:val="none"/>
        </w:rPr>
        <w:t>(</w:t>
      </w:r>
      <w:r w:rsidRPr="00FD338A">
        <w:rPr>
          <w:rFonts w:ascii="Simplified Arabic" w:eastAsia="Times New Roman" w:hAnsi="Simplified Arabic" w:cs="Simplified Arabic"/>
          <w:color w:val="000000" w:themeColor="text1"/>
          <w:kern w:val="0"/>
          <w:sz w:val="28"/>
          <w:szCs w:val="28"/>
          <w:rtl/>
          <w14:ligatures w14:val="none"/>
        </w:rPr>
        <w:t>الطبيعة القانونية للوعد بالبيع على الخريطة ومدى إلزاميته للأطراف المتعاقدة، والالتزامات القانونية المترتبة على كلٍّ من المطور العقاري والمشتري بموجب عقد الوعد بالبيع، والحماية التشريعية المقررة لحقوق المشتري في مرحلة ما قبل إبرام عقد البيع النهائي) على تنظيم العلاقة التعاقدية بين المطور والمشتري وفقًا للقانون الأردني. واستخدمت الدراسة المنهج الوصفي التحليلي القائم على الاستقراء المنهجي للنصوص القانونية الأردنية ذات الصلة بالوعد بالبيع والبيع على الخريطة وتحليلها تحليلًا قانونيًا معمّقًا. وتكوّنت عيّنة الدراسة من التشريعات والقوانين والأنظمة المنظمة لنشاط البيع على الخريطة والوعد بالبيع في المملكة الأردنية الهاشمية. وتوصلت نتائج الدراسة إلى أن الوعد ببيع البناء على الخريطة يُعدّ التزامًا قانونيًا ملزمًا يترتب عليه آثار قانونية محددة ومعتبرة في القانون الأردني، وأن هذا النوع من التعاقدات يحتاج إلى إطار قانوني أكثر وضوحًا وتفصيلًا لسدّ الثغرات التشريعية القائمة التي قد تُستغلّ للإضرار بحقوق المشترين. وأوصت الدراسة بضرورة تطوير الإطار القانوني الأردني وتحديثه بما يكفل توفير حماية أكبر وأشمل لحقوق المشترين في عقود البيع على الخريطة</w:t>
      </w:r>
      <w:r w:rsidRPr="00FD338A">
        <w:rPr>
          <w:rFonts w:ascii="Simplified Arabic" w:eastAsia="Times New Roman" w:hAnsi="Simplified Arabic" w:cs="Simplified Arabic"/>
          <w:color w:val="000000" w:themeColor="text1"/>
          <w:kern w:val="0"/>
          <w:sz w:val="28"/>
          <w:szCs w:val="28"/>
          <w14:ligatures w14:val="none"/>
        </w:rPr>
        <w:t>.</w:t>
      </w:r>
    </w:p>
    <w:p w14:paraId="1CD56FBD" w14:textId="77777777" w:rsidR="00156D45" w:rsidRPr="00FD338A" w:rsidRDefault="00156D45"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914288"/>
      <w:r w:rsidRPr="00FD338A">
        <w:rPr>
          <w:rFonts w:ascii="Simplified Arabic" w:eastAsia="Times New Roman" w:hAnsi="Simplified Arabic" w:cs="Simplified Arabic"/>
          <w:b/>
          <w:bCs/>
          <w:color w:val="000000" w:themeColor="text1"/>
          <w:kern w:val="0"/>
          <w:sz w:val="32"/>
          <w:szCs w:val="32"/>
          <w:rtl/>
          <w14:ligatures w14:val="none"/>
        </w:rPr>
        <w:t xml:space="preserve">المحور الثاني: الدراسات المتعلقة بالمتغير التابع (ثقة المشترين والشفافية وتقليل </w:t>
      </w:r>
      <w:proofErr w:type="gramStart"/>
      <w:r w:rsidRPr="00FD338A">
        <w:rPr>
          <w:rFonts w:ascii="Simplified Arabic" w:eastAsia="Times New Roman" w:hAnsi="Simplified Arabic" w:cs="Simplified Arabic"/>
          <w:b/>
          <w:bCs/>
          <w:color w:val="000000" w:themeColor="text1"/>
          <w:kern w:val="0"/>
          <w:sz w:val="32"/>
          <w:szCs w:val="32"/>
          <w:rtl/>
          <w14:ligatures w14:val="none"/>
        </w:rPr>
        <w:t>مخاطر</w:t>
      </w:r>
      <w:proofErr w:type="gramEnd"/>
      <w:r w:rsidRPr="00FD338A">
        <w:rPr>
          <w:rFonts w:ascii="Simplified Arabic" w:eastAsia="Times New Roman" w:hAnsi="Simplified Arabic" w:cs="Simplified Arabic"/>
          <w:b/>
          <w:bCs/>
          <w:color w:val="000000" w:themeColor="text1"/>
          <w:kern w:val="0"/>
          <w:sz w:val="32"/>
          <w:szCs w:val="32"/>
          <w:rtl/>
          <w14:ligatures w14:val="none"/>
        </w:rPr>
        <w:t xml:space="preserve"> التعثر) وعلاقته بمتغيرات أخرى</w:t>
      </w:r>
      <w:bookmarkEnd w:id="14"/>
    </w:p>
    <w:p w14:paraId="19418FEC"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 (الصندل، 2021) بعنوان "التزامات أطراف حساب ضمان التطوير العقاري: دراسة نقدية</w:t>
      </w:r>
      <w:r w:rsidRPr="00FD338A">
        <w:rPr>
          <w:rFonts w:ascii="Simplified Arabic" w:eastAsia="Times New Roman" w:hAnsi="Simplified Arabic" w:cs="Simplified Arabic"/>
          <w:b/>
          <w:bCs/>
          <w:color w:val="000000" w:themeColor="text1"/>
          <w:kern w:val="0"/>
          <w:sz w:val="28"/>
          <w:szCs w:val="28"/>
          <w14:ligatures w14:val="none"/>
        </w:rPr>
        <w:t>"</w:t>
      </w:r>
    </w:p>
    <w:p w14:paraId="033B0A35"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التزامات أطراف حساب ضمان التطوير العقاري بأبعادها المتمثلة في (التزامات المطور العقاري تجاه حساب الضمان من حيث فتحه وإدارته والإفصاح عن المعلومات المالية، والتزامات أمين الحساب في الرقابة على حركة الأموال والتأكد من توجيهها لأغراض المشروع، </w:t>
      </w:r>
      <w:r w:rsidRPr="00FD338A">
        <w:rPr>
          <w:rFonts w:ascii="Simplified Arabic" w:eastAsia="Times New Roman" w:hAnsi="Simplified Arabic" w:cs="Simplified Arabic"/>
          <w:color w:val="000000" w:themeColor="text1"/>
          <w:kern w:val="0"/>
          <w:sz w:val="28"/>
          <w:szCs w:val="28"/>
          <w:rtl/>
          <w14:ligatures w14:val="none"/>
        </w:rPr>
        <w:lastRenderedPageBreak/>
        <w:t>وحقوق المشترين والمستثمرين في الاطلاع على حالة الحساب ومستوى الإنجاز) على تعزيز الثقة في الاستثمارات العقارية وحماية حقوق المتعاملين في دولة الإمارات العربية المتحدة. واستخدمت الدراسة المنهج الوصفي التحليلي النقدي القائم على فحص وتحليل التشريعات الإماراتية المنظمة لحسابات ضمان التطوير العقاري تحليلًا نقديًا يكشف نقاط القوة وأوجه القصور. وتكوّنت عيّنة الدراسة من القوانين والقرارات التنظيمية الصادرة في دولة الإمارات العربية المتحدة بشأن حسابات ضمان التطوير العقاري، وعالجتها الدراسة عبر 32 صفحة بحثية (ص ص. 147-178). وتوصلت نتائج الدراسة إلى أن التشريعات الإماراتية قد ألزمت المطور العقاري بفتح حساب ضمان عقاري مستقل باسم المشروع كضمانة أساسية لحماية أموال المشترين، إلّا أن الدراسة كشفت عن استمرار الحاجة الماسّة لمعالجة عدة مسائل جوهرية لم تُعالَج بالقدر الكافي. وأوصت الدراسة بضرورة ربط عمليات السحب من حساب الضمان بنسبة إنجاز فعلية محددة ومعتمدة لمنع إساءة استخدام الأموال، وإلزام المطور قانونيًا بإعلام المستثمرين والمشترين بأي رهن مقرر على المشروع سواء أكان سابقًا أم لاحقًا على التعاقد لتعزيز الشفافية والثقة</w:t>
      </w:r>
      <w:r w:rsidRPr="00FD338A">
        <w:rPr>
          <w:rFonts w:ascii="Simplified Arabic" w:eastAsia="Times New Roman" w:hAnsi="Simplified Arabic" w:cs="Simplified Arabic"/>
          <w:color w:val="000000" w:themeColor="text1"/>
          <w:kern w:val="0"/>
          <w:sz w:val="28"/>
          <w:szCs w:val="28"/>
          <w14:ligatures w14:val="none"/>
        </w:rPr>
        <w:t>.</w:t>
      </w:r>
    </w:p>
    <w:p w14:paraId="17A3BE8D" w14:textId="77777777" w:rsidR="00096BBC" w:rsidRPr="00FD338A" w:rsidRDefault="00096BBC"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 (الكرياني، 2023) بعنوان "الآليات الحمائية للمستهلك في المجال العقاري</w:t>
      </w:r>
      <w:r w:rsidRPr="00FD338A">
        <w:rPr>
          <w:rFonts w:ascii="Simplified Arabic" w:eastAsia="Times New Roman" w:hAnsi="Simplified Arabic" w:cs="Simplified Arabic"/>
          <w:b/>
          <w:bCs/>
          <w:color w:val="000000" w:themeColor="text1"/>
          <w:kern w:val="0"/>
          <w:sz w:val="28"/>
          <w:szCs w:val="28"/>
          <w14:ligatures w14:val="none"/>
        </w:rPr>
        <w:t>"</w:t>
      </w:r>
    </w:p>
    <w:p w14:paraId="7FD1E9AE" w14:textId="77777777" w:rsidR="00096BBC" w:rsidRPr="00FD338A" w:rsidRDefault="00096BBC"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هدفت هذه الدراسة إلى التعرف على الآليات القانونية الحمائية المقررة لصالح المستهلك بأبعادها المتمثلة في (ضمانات البائع المقررة قانونًا تجاه المشتري العقاري كضمان الاستحقاق وضمان العيوب الخفية، وحق المستهلك في الإعلام والحصول على كافة المعلومات الجوهرية المتعلقة بالعقار قبل إبرام العقد، وآلية التقييد الاحتياطي كوسيلة لحماية حقوق المشتري في مرحلة ما قبل نقل الملكية النهائي) على مستوى حماية المستهلك في مجال المعاملات العقارية. واستخدمت الدراسة المنهج الوصفي التحليلي القائم على استقراء وتحليل النصوص القانونية والتشريعية ذات الصلة بحماية المستهلك العقاري في المنظومة القانونية المغربية. وتكوّنت عيّنة الدراسة من التشريعات والقوانين المنظمة للمعاملات العقارية وحماية المستهلك، بما في ذلك قانون الالتزامات والعقود ومدونة الحقوق العينية وقانون حماية المستهلك، وعالجتها الدراسة عبر 33 صفحة بحثية (ص ص. 74-106)</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وتوصلت نتائج الدراسة إلى أن الأزمة التي يشهدها السوق العقاري والتي كشف عنها الاتحاد الوطني للمطورين العقاريين تطرح أكثر من تساؤل جوهري حول الوضع القانوني والاقتصادي للمستهلك العقاري، وأن هناك حاجة ماسّة لتعزيز ضمانات حماية المستهلك في المجال العقاري عبر تطوير القوانين القائمة وتحديثها. وأوصت الدراسة بتعزيز التزام البائع بالإفصاح الكامل والشفاف عن جميع المعلومات الجوهرية المتعلقة بالعقار وتفعيل آليات الرقابة القضائية والإدارية لحماية المستهلك العقاري</w:t>
      </w:r>
      <w:r w:rsidRPr="00FD338A">
        <w:rPr>
          <w:rFonts w:ascii="Simplified Arabic" w:eastAsia="Times New Roman" w:hAnsi="Simplified Arabic" w:cs="Simplified Arabic"/>
          <w:color w:val="000000" w:themeColor="text1"/>
          <w:kern w:val="0"/>
          <w:sz w:val="28"/>
          <w:szCs w:val="28"/>
          <w14:ligatures w14:val="none"/>
        </w:rPr>
        <w:t>.</w:t>
      </w:r>
    </w:p>
    <w:p w14:paraId="1BDCDCFA" w14:textId="77777777" w:rsidR="00096BBC" w:rsidRPr="00FD338A" w:rsidRDefault="00096BBC"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lastRenderedPageBreak/>
        <w:t>دراسة (الغامدي، 2024) بعنوان "حماية المشتري في أثناء التعاقد على بيع عقار على الخارطة في النظام السعودي</w:t>
      </w:r>
      <w:r w:rsidRPr="00FD338A">
        <w:rPr>
          <w:rFonts w:ascii="Simplified Arabic" w:eastAsia="Times New Roman" w:hAnsi="Simplified Arabic" w:cs="Simplified Arabic"/>
          <w:b/>
          <w:bCs/>
          <w:color w:val="000000" w:themeColor="text1"/>
          <w:kern w:val="0"/>
          <w:sz w:val="28"/>
          <w:szCs w:val="28"/>
          <w14:ligatures w14:val="none"/>
        </w:rPr>
        <w:t>"</w:t>
      </w:r>
    </w:p>
    <w:p w14:paraId="03161DA5" w14:textId="77777777" w:rsidR="00096BBC" w:rsidRPr="00FD338A" w:rsidRDefault="00096BBC"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هدفت هذه الدراسة إلى التعرف على الضمانات الخاصة التي يتمتع بها المشتري بأبعادها المتمثلة في (الضمانات الإجرائية المتضمنة وجوب حصول المطور العقاري على الترخيص الإداري لممارسة نشاط البيع على الخارطة وتنظيم الإعلان عن مشاريع البناء ووجوب ملكية المطور للأرض والتزام البائع بإعلام المشتري بجوهر العقد وعناصره، والضمانات الموضوعية المتضمنة إفراغ البيع في نموذج العقد المعتمد ومراعاة قواعد حساب الضمان وإنفاذ الشرط الجزائي في مواجهة البائع عند إخلاله بالتزاماته وإضفاء الطابع الآمر على النصوص القانونية) على تعزيز ثقة المشتري في عقد البيع على الخارطة في النظام السعودي. واستخدمت الدراسة المنهج الوصفي التحليلي لتحليل النصوص القانونية المنظمة لعقد البيع على الخارطة. وتكوّنت عيّنة الدراسة من نظام بيع وتأجير مشروعات عقارية على الخارطة ولوائحه التنفيذية والقرارات الرقابية ذات الصلة. وتوصلت نتائج الدراسة إلى أن النظام السعودي أقرّ منظومة متكاملة من الضمانات الإجرائية والموضوعية تُوفّر حماية فعلية للمشتري في مراحل التعاقد المختلفة. وأوصت بإعادة صياغة النصوص الناظمة لعقد بيع الوحدات على الخارطة وتجميعها في تشريع واحد متكامل حؤولًا دون التكرار والتضارب بين النصوص المتفرقة</w:t>
      </w:r>
      <w:r w:rsidRPr="00FD338A">
        <w:rPr>
          <w:rFonts w:ascii="Simplified Arabic" w:eastAsia="Times New Roman" w:hAnsi="Simplified Arabic" w:cs="Simplified Arabic"/>
          <w:color w:val="000000" w:themeColor="text1"/>
          <w:kern w:val="0"/>
          <w:sz w:val="28"/>
          <w:szCs w:val="28"/>
          <w14:ligatures w14:val="none"/>
        </w:rPr>
        <w:t>.</w:t>
      </w:r>
    </w:p>
    <w:p w14:paraId="1991D088"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 (باوزير، 2025) بعنوان "أثر إدارة المخاطر على كفاءة إدارة الممتلكات في السوق العقاري في الرياض</w:t>
      </w:r>
      <w:r w:rsidRPr="00FD338A">
        <w:rPr>
          <w:rFonts w:ascii="Simplified Arabic" w:eastAsia="Times New Roman" w:hAnsi="Simplified Arabic" w:cs="Simplified Arabic"/>
          <w:b/>
          <w:bCs/>
          <w:color w:val="000000" w:themeColor="text1"/>
          <w:kern w:val="0"/>
          <w:sz w:val="28"/>
          <w:szCs w:val="28"/>
          <w14:ligatures w14:val="none"/>
        </w:rPr>
        <w:t>"</w:t>
      </w:r>
    </w:p>
    <w:p w14:paraId="09F9A7E0"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أثر إدارة المخاطر بأبعادها المتمثلة في (التخطيط الاستراتيجي لإدارة المخاطر العقارية، والتسعير والتقييم العقاري في ضوء تحليل المخاطر، والتسويق العقاري وعلاقته بإدارة المخاطر، والصيانة الوقائية والتصحيحية للممتلكات، والتحليل والتوقعات المستقبلية للسوق العقاري) على كفاءة إدارة الممتلكات في السوق العقاري بمدينة الرياض. واستخدمت الدراسة المنهج الوصفي القائم على وصف وتحليل واقع إدارة المخاطر في السوق العقاري في الرياض، معتمدةً على أدوات التحليل الإحصائي للتحقق من فرضيات الدراسة. وتكوّنت عيّنة الدراسة من (151) مفردة من العاملين والمهتمين والمستثمرين في السوق العقاري بمدينة الرياض، وتمّ جمع البيانات الأولية عبر استبانة محكّمة صُمّمت لهذا الغرض ووُزّعت على أفراد العيّنة. وتوصلت نتائج الدراسة إلى وجود تأثيرات إيجابية ذات دلالة إحصائية لإدارة المخاطر على مختلف جوانب إدارة الممتلكات العقارية في مدينة الرياض، بدءًا من التخطيط </w:t>
      </w:r>
      <w:r w:rsidRPr="00FD338A">
        <w:rPr>
          <w:rFonts w:ascii="Simplified Arabic" w:eastAsia="Times New Roman" w:hAnsi="Simplified Arabic" w:cs="Simplified Arabic"/>
          <w:color w:val="000000" w:themeColor="text1"/>
          <w:kern w:val="0"/>
          <w:sz w:val="28"/>
          <w:szCs w:val="28"/>
          <w:rtl/>
          <w14:ligatures w14:val="none"/>
        </w:rPr>
        <w:lastRenderedPageBreak/>
        <w:t>الاستراتيجي الذي يُمكّن من التنبؤ بالمخاطر المحتملة ووضع خطط استباقية لمواجهتها، مرورًا بالتسعير والتقييم الدقيق الذي يأخذ في الاعتبار عوامل المخاطر المؤثرة، وصولًا إلى التسويق والصيانة والتحليل والتوقعات المستقبلية التي تتحسن جميعها بتطبيق ممارسات إدارة المخاطر الفعّالة. وأوصت الدراسة بضرورة تبني استراتيجيات شاملة ومنهجية لإدارة المخاطر في السوق العقاري السعودي لتحسين كفاءة إدارة الممتلكات وتقليل المخاطر المحتملة</w:t>
      </w:r>
      <w:r w:rsidRPr="00FD338A">
        <w:rPr>
          <w:rFonts w:ascii="Simplified Arabic" w:eastAsia="Times New Roman" w:hAnsi="Simplified Arabic" w:cs="Simplified Arabic"/>
          <w:color w:val="000000" w:themeColor="text1"/>
          <w:kern w:val="0"/>
          <w:sz w:val="28"/>
          <w:szCs w:val="28"/>
          <w14:ligatures w14:val="none"/>
        </w:rPr>
        <w:t>.</w:t>
      </w:r>
    </w:p>
    <w:p w14:paraId="5D3DD820" w14:textId="77777777" w:rsidR="00096BBC" w:rsidRPr="00FD338A" w:rsidRDefault="00096BBC"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(Gholipour, </w:t>
      </w:r>
      <w:proofErr w:type="spellStart"/>
      <w:r w:rsidRPr="00FD338A">
        <w:rPr>
          <w:rFonts w:ascii="Simplified Arabic" w:eastAsia="Times New Roman" w:hAnsi="Simplified Arabic" w:cs="Simplified Arabic"/>
          <w:b/>
          <w:bCs/>
          <w:color w:val="000000" w:themeColor="text1"/>
          <w:kern w:val="0"/>
          <w:sz w:val="28"/>
          <w:szCs w:val="28"/>
          <w14:ligatures w14:val="none"/>
        </w:rPr>
        <w:t>Tajaddini</w:t>
      </w:r>
      <w:proofErr w:type="spellEnd"/>
      <w:r w:rsidRPr="00FD338A">
        <w:rPr>
          <w:rFonts w:ascii="Simplified Arabic" w:eastAsia="Times New Roman" w:hAnsi="Simplified Arabic" w:cs="Simplified Arabic"/>
          <w:b/>
          <w:bCs/>
          <w:color w:val="000000" w:themeColor="text1"/>
          <w:kern w:val="0"/>
          <w:sz w:val="28"/>
          <w:szCs w:val="28"/>
          <w14:ligatures w14:val="none"/>
        </w:rPr>
        <w:t xml:space="preserve">, &amp; Pham, 2020) </w:t>
      </w:r>
      <w:r w:rsidRPr="00FD338A">
        <w:rPr>
          <w:rFonts w:ascii="Simplified Arabic" w:eastAsia="Times New Roman" w:hAnsi="Simplified Arabic" w:cs="Simplified Arabic"/>
          <w:b/>
          <w:bCs/>
          <w:color w:val="000000" w:themeColor="text1"/>
          <w:kern w:val="0"/>
          <w:sz w:val="28"/>
          <w:szCs w:val="28"/>
          <w:rtl/>
          <w14:ligatures w14:val="none"/>
        </w:rPr>
        <w:t>بعنوان</w:t>
      </w:r>
      <w:r w:rsidRPr="00FD338A">
        <w:rPr>
          <w:rFonts w:ascii="Simplified Arabic" w:eastAsia="Times New Roman" w:hAnsi="Simplified Arabic" w:cs="Simplified Arabic"/>
          <w:b/>
          <w:bCs/>
          <w:color w:val="000000" w:themeColor="text1"/>
          <w:kern w:val="0"/>
          <w:sz w:val="28"/>
          <w:szCs w:val="28"/>
          <w14:ligatures w14:val="none"/>
        </w:rPr>
        <w:t xml:space="preserve"> "Real Estate Market Transparency and Default on Mortgages"</w:t>
      </w:r>
    </w:p>
    <w:p w14:paraId="61375BA3" w14:textId="77777777" w:rsidR="00096BBC" w:rsidRPr="00FD338A" w:rsidRDefault="00096BBC"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D338A">
        <w:rPr>
          <w:rFonts w:ascii="Simplified Arabic" w:eastAsia="Times New Roman" w:hAnsi="Simplified Arabic" w:cs="Simplified Arabic"/>
          <w:color w:val="000000" w:themeColor="text1"/>
          <w:kern w:val="0"/>
          <w:sz w:val="28"/>
          <w:szCs w:val="28"/>
          <w:rtl/>
          <w14:ligatures w14:val="none"/>
        </w:rPr>
        <w:t>هدفت هذه الدراسة إلى التعرف على طبيعة العلاقة بين شفافية سوق العقارات بأبعادها المتمثلة في (مؤشر الشفافية العقارية المطوّر من شركة</w:t>
      </w:r>
      <w:r w:rsidRPr="00FD338A">
        <w:rPr>
          <w:rFonts w:ascii="Simplified Arabic" w:eastAsia="Times New Roman" w:hAnsi="Simplified Arabic" w:cs="Simplified Arabic"/>
          <w:color w:val="000000" w:themeColor="text1"/>
          <w:kern w:val="0"/>
          <w:sz w:val="28"/>
          <w:szCs w:val="28"/>
          <w14:ligatures w14:val="none"/>
        </w:rPr>
        <w:t xml:space="preserve"> Jones Lang LaSalle </w:t>
      </w:r>
      <w:r w:rsidRPr="00FD338A">
        <w:rPr>
          <w:rFonts w:ascii="Simplified Arabic" w:eastAsia="Times New Roman" w:hAnsi="Simplified Arabic" w:cs="Simplified Arabic"/>
          <w:color w:val="000000" w:themeColor="text1"/>
          <w:kern w:val="0"/>
          <w:sz w:val="28"/>
          <w:szCs w:val="28"/>
          <w:rtl/>
          <w14:ligatures w14:val="none"/>
        </w:rPr>
        <w:t>الذي يقيس مستوى انفتاح السوق ووضوح إطاره القانوني والتنظيمي، ومستوى الإفصاح المعلوماتي وتوفّر البيانات العقارية الموثوقة، والبيئة القانونية والتنظيمية ومدى اتساقها في تطبيق القواعد واحترام حقوق الملكية) على معدلات التعثر في سداد القروض العقارية عبر 46 دولة حول العالم. واستخدمت الدراسة المنهج الكمّي التحليلي مستخدمةً بيانات بانل غير متوازنة تغطي الفترة الزمنية من 2006 إلى 2016 بستّ موجات ثنائية السنوات، مع تطبيق عدة نماذج تقديرية تشمل نماذج التأثيرات الثابتة للدولة والسنة</w:t>
      </w:r>
      <w:r w:rsidRPr="00FD338A">
        <w:rPr>
          <w:rFonts w:ascii="Simplified Arabic" w:eastAsia="Times New Roman" w:hAnsi="Simplified Arabic" w:cs="Simplified Arabic"/>
          <w:color w:val="000000" w:themeColor="text1"/>
          <w:kern w:val="0"/>
          <w:sz w:val="28"/>
          <w:szCs w:val="28"/>
          <w14:ligatures w14:val="none"/>
        </w:rPr>
        <w:t xml:space="preserve"> (Country and Year Fixed Effects) </w:t>
      </w:r>
      <w:r w:rsidRPr="00FD338A">
        <w:rPr>
          <w:rFonts w:ascii="Simplified Arabic" w:eastAsia="Times New Roman" w:hAnsi="Simplified Arabic" w:cs="Simplified Arabic"/>
          <w:color w:val="000000" w:themeColor="text1"/>
          <w:kern w:val="0"/>
          <w:sz w:val="28"/>
          <w:szCs w:val="28"/>
          <w:rtl/>
          <w14:ligatures w14:val="none"/>
        </w:rPr>
        <w:t>وطريقة العزوم المعمّمة</w:t>
      </w:r>
      <w:r w:rsidRPr="00FD338A">
        <w:rPr>
          <w:rFonts w:ascii="Simplified Arabic" w:eastAsia="Times New Roman" w:hAnsi="Simplified Arabic" w:cs="Simplified Arabic"/>
          <w:color w:val="000000" w:themeColor="text1"/>
          <w:kern w:val="0"/>
          <w:sz w:val="28"/>
          <w:szCs w:val="28"/>
          <w14:ligatures w14:val="none"/>
        </w:rPr>
        <w:t xml:space="preserve"> (GMM) </w:t>
      </w:r>
      <w:r w:rsidRPr="00FD338A">
        <w:rPr>
          <w:rFonts w:ascii="Simplified Arabic" w:eastAsia="Times New Roman" w:hAnsi="Simplified Arabic" w:cs="Simplified Arabic"/>
          <w:color w:val="000000" w:themeColor="text1"/>
          <w:kern w:val="0"/>
          <w:sz w:val="28"/>
          <w:szCs w:val="28"/>
          <w:rtl/>
          <w14:ligatures w14:val="none"/>
        </w:rPr>
        <w:t>لضمان متانة النتائج. وتكوّنت عيّنة الدراسة من بيانات (46) دولة تغطي اقتصادات متقدمة وناشئة خلال الفترة 2006-2016</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سلبية ذات دلالة إحصائية قوية بين شفافية سوق العقارات والتعثر في سداد القروض العقارية، بمعنى أن الدول التي تتمتع بمستويات أعلى من الشفافية العقارية تشهد معدلات أقل من التعثر في سداد القروض، وأن هذه العلاقة تبرز بشكل أوضح وأقوى في الاقتصادات الناشئة مقارنةً بالدول مرتفعة الدخل. وأوصت بأن تواصل الحكومات جهودها في تعزيز شفافية أسواقها العقارية كأداة فعّالة ومباشرة للحدّ من معدلات التعثر</w:t>
      </w:r>
    </w:p>
    <w:p w14:paraId="19F3EFCD" w14:textId="77777777" w:rsidR="00096BBC" w:rsidRPr="00FD338A" w:rsidRDefault="00096BBC"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(Bharti, Chenchu, &amp; Jha, 2024) </w:t>
      </w:r>
      <w:r w:rsidRPr="00FD338A">
        <w:rPr>
          <w:rFonts w:ascii="Simplified Arabic" w:eastAsia="Times New Roman" w:hAnsi="Simplified Arabic" w:cs="Simplified Arabic"/>
          <w:b/>
          <w:bCs/>
          <w:color w:val="000000" w:themeColor="text1"/>
          <w:kern w:val="0"/>
          <w:sz w:val="28"/>
          <w:szCs w:val="28"/>
          <w:rtl/>
          <w14:ligatures w14:val="none"/>
        </w:rPr>
        <w:t>بعنوان</w:t>
      </w:r>
      <w:r w:rsidRPr="00FD338A">
        <w:rPr>
          <w:rFonts w:ascii="Simplified Arabic" w:eastAsia="Times New Roman" w:hAnsi="Simplified Arabic" w:cs="Simplified Arabic"/>
          <w:b/>
          <w:bCs/>
          <w:color w:val="000000" w:themeColor="text1"/>
          <w:kern w:val="0"/>
          <w:sz w:val="28"/>
          <w:szCs w:val="28"/>
          <w14:ligatures w14:val="none"/>
        </w:rPr>
        <w:t xml:space="preserve"> "Revitalizing Real Estate: Decoding Disputes, Propelling Policies, and Pioneering Solutions"</w:t>
      </w:r>
    </w:p>
    <w:p w14:paraId="3E4348C4" w14:textId="77777777" w:rsidR="00096BBC" w:rsidRPr="00FD338A" w:rsidRDefault="00096BBC"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هدفت هذه الدراسة إلى التعرف على مدى فعالية قانون تنظيم وتطوير العقارات الهندي</w:t>
      </w:r>
      <w:r w:rsidRPr="00FD338A">
        <w:rPr>
          <w:rFonts w:ascii="Simplified Arabic" w:eastAsia="Times New Roman" w:hAnsi="Simplified Arabic" w:cs="Simplified Arabic"/>
          <w:color w:val="000000" w:themeColor="text1"/>
          <w:kern w:val="0"/>
          <w:sz w:val="28"/>
          <w:szCs w:val="28"/>
          <w14:ligatures w14:val="none"/>
        </w:rPr>
        <w:t xml:space="preserve"> (RERA) </w:t>
      </w:r>
      <w:r w:rsidRPr="00FD338A">
        <w:rPr>
          <w:rFonts w:ascii="Simplified Arabic" w:eastAsia="Times New Roman" w:hAnsi="Simplified Arabic" w:cs="Simplified Arabic"/>
          <w:color w:val="000000" w:themeColor="text1"/>
          <w:kern w:val="0"/>
          <w:sz w:val="28"/>
          <w:szCs w:val="28"/>
          <w:rtl/>
          <w14:ligatures w14:val="none"/>
        </w:rPr>
        <w:t xml:space="preserve">بأبعاده المتمثلة في (مستوى الشفافية والمساءلة الذي أحدثه القانون في القطاع العقاري ودوره في تقليل النزاعات، ومدى وعي أصحاب المصلحة بالسياسات العقارية وآليات الحماية المتاحة لهم، وفعالية آليات </w:t>
      </w:r>
      <w:r w:rsidRPr="00FD338A">
        <w:rPr>
          <w:rFonts w:ascii="Simplified Arabic" w:eastAsia="Times New Roman" w:hAnsi="Simplified Arabic" w:cs="Simplified Arabic"/>
          <w:color w:val="000000" w:themeColor="text1"/>
          <w:kern w:val="0"/>
          <w:sz w:val="28"/>
          <w:szCs w:val="28"/>
          <w:rtl/>
          <w14:ligatures w14:val="none"/>
        </w:rPr>
        <w:lastRenderedPageBreak/>
        <w:t>تسوية النزاعات المنصوص عليها في القانون بما في ذلك دور المحكمة الاستئنافية) على أداء القطاع العقاري وتقليل تأخر المشاريع الناجم عن النزاعات في منطقة العاصمة الوطنية دلهي</w:t>
      </w:r>
      <w:r w:rsidRPr="00FD338A">
        <w:rPr>
          <w:rFonts w:ascii="Simplified Arabic" w:eastAsia="Times New Roman" w:hAnsi="Simplified Arabic" w:cs="Simplified Arabic"/>
          <w:color w:val="000000" w:themeColor="text1"/>
          <w:kern w:val="0"/>
          <w:sz w:val="28"/>
          <w:szCs w:val="28"/>
          <w14:ligatures w14:val="none"/>
        </w:rPr>
        <w:t xml:space="preserve"> (NCR Delhi) </w:t>
      </w:r>
      <w:r w:rsidRPr="00FD338A">
        <w:rPr>
          <w:rFonts w:ascii="Simplified Arabic" w:eastAsia="Times New Roman" w:hAnsi="Simplified Arabic" w:cs="Simplified Arabic"/>
          <w:color w:val="000000" w:themeColor="text1"/>
          <w:kern w:val="0"/>
          <w:sz w:val="28"/>
          <w:szCs w:val="28"/>
          <w:rtl/>
          <w14:ligatures w14:val="none"/>
        </w:rPr>
        <w:t>بالهند. واستخدمت الدراسة منهجًا بحثيًا منظّمًا ومتعدد الأدوات يجمع بين المراجعة المنهجية الشاملة للأدبيات ذات الصلة، ودراسات الحالة التفصيلية لمشاريع عقارية فعلية، والمسوح الاستبيانية المصممة خصيصًا ومُوجّهة بشكل منفصل لفئتين من أصحاب المصلحة هما المطورون العقاريون والعملاء (المشترون). وتكوّنت عيّنة الدراسة من مطوّرين عقاريين وعملاء في قطاع العقارات بمنطقة</w:t>
      </w:r>
      <w:r w:rsidRPr="00FD338A">
        <w:rPr>
          <w:rFonts w:ascii="Simplified Arabic" w:eastAsia="Times New Roman" w:hAnsi="Simplified Arabic" w:cs="Simplified Arabic"/>
          <w:color w:val="000000" w:themeColor="text1"/>
          <w:kern w:val="0"/>
          <w:sz w:val="28"/>
          <w:szCs w:val="28"/>
          <w14:ligatures w14:val="none"/>
        </w:rPr>
        <w:t xml:space="preserve"> NCR Delhi </w:t>
      </w:r>
      <w:r w:rsidRPr="00FD338A">
        <w:rPr>
          <w:rFonts w:ascii="Simplified Arabic" w:eastAsia="Times New Roman" w:hAnsi="Simplified Arabic" w:cs="Simplified Arabic"/>
          <w:color w:val="000000" w:themeColor="text1"/>
          <w:kern w:val="0"/>
          <w:sz w:val="28"/>
          <w:szCs w:val="28"/>
          <w:rtl/>
          <w14:ligatures w14:val="none"/>
        </w:rPr>
        <w:t>تمّ اختيارهم لتمثيل وجهتي النظر الرئيسيتين في العلاقة التعاقدية. وتوصلت نتائج الدراسة إلى أنه رغم وجود مستوى مقبول من الوعي بسياسات العقارات بين أصحاب المصلحة إلّا أن بعض العناصر الجوهرية كدور المحكمة الاستئنافية غالبًا ما يتم تجاهلها، وأن المطورين يُبرزون التأثيرات الإيجابية للقانون والحصافة المالية التي أحدثها بينما يشدد العملاء على الحاجة الملحّة إلى لوائح أكثر صرامة تضمن الالتزام بمواعيد التسليم والشفافية. وأوصت بإنشاء نظام ترخيص وطني موحّد</w:t>
      </w:r>
      <w:r w:rsidRPr="00FD338A">
        <w:rPr>
          <w:rFonts w:ascii="Simplified Arabic" w:eastAsia="Times New Roman" w:hAnsi="Simplified Arabic" w:cs="Simplified Arabic"/>
          <w:color w:val="000000" w:themeColor="text1"/>
          <w:kern w:val="0"/>
          <w:sz w:val="28"/>
          <w:szCs w:val="28"/>
          <w14:ligatures w14:val="none"/>
        </w:rPr>
        <w:t xml:space="preserve"> (Pan-India) </w:t>
      </w:r>
      <w:r w:rsidRPr="00FD338A">
        <w:rPr>
          <w:rFonts w:ascii="Simplified Arabic" w:eastAsia="Times New Roman" w:hAnsi="Simplified Arabic" w:cs="Simplified Arabic"/>
          <w:color w:val="000000" w:themeColor="text1"/>
          <w:kern w:val="0"/>
          <w:sz w:val="28"/>
          <w:szCs w:val="28"/>
          <w:rtl/>
          <w14:ligatures w14:val="none"/>
        </w:rPr>
        <w:t>ونظام تصنيف كفاءة للمطورين</w:t>
      </w:r>
      <w:r w:rsidRPr="00FD338A">
        <w:rPr>
          <w:rFonts w:ascii="Simplified Arabic" w:eastAsia="Times New Roman" w:hAnsi="Simplified Arabic" w:cs="Simplified Arabic"/>
          <w:color w:val="000000" w:themeColor="text1"/>
          <w:kern w:val="0"/>
          <w:sz w:val="28"/>
          <w:szCs w:val="28"/>
          <w14:ligatures w14:val="none"/>
        </w:rPr>
        <w:t>.</w:t>
      </w:r>
    </w:p>
    <w:p w14:paraId="364B5102" w14:textId="77777777" w:rsidR="00096BBC" w:rsidRPr="00FD338A" w:rsidRDefault="00096BBC"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b/>
          <w:bCs/>
          <w:color w:val="000000" w:themeColor="text1"/>
          <w:kern w:val="0"/>
          <w:sz w:val="28"/>
          <w:szCs w:val="28"/>
          <w14:ligatures w14:val="none"/>
        </w:rPr>
        <w:t>Wiejak</w:t>
      </w:r>
      <w:proofErr w:type="spellEnd"/>
      <w:r w:rsidRPr="00FD338A">
        <w:rPr>
          <w:rFonts w:ascii="Simplified Arabic" w:eastAsia="Times New Roman" w:hAnsi="Simplified Arabic" w:cs="Simplified Arabic"/>
          <w:b/>
          <w:bCs/>
          <w:color w:val="000000" w:themeColor="text1"/>
          <w:kern w:val="0"/>
          <w:sz w:val="28"/>
          <w:szCs w:val="28"/>
          <w14:ligatures w14:val="none"/>
        </w:rPr>
        <w:t xml:space="preserve">-Roy, Ache et al., 2024) </w:t>
      </w:r>
      <w:r w:rsidRPr="00FD338A">
        <w:rPr>
          <w:rFonts w:ascii="Simplified Arabic" w:eastAsia="Times New Roman" w:hAnsi="Simplified Arabic" w:cs="Simplified Arabic"/>
          <w:b/>
          <w:bCs/>
          <w:color w:val="000000" w:themeColor="text1"/>
          <w:kern w:val="0"/>
          <w:sz w:val="28"/>
          <w:szCs w:val="28"/>
          <w:rtl/>
          <w14:ligatures w14:val="none"/>
        </w:rPr>
        <w:t>بعنوان</w:t>
      </w:r>
      <w:r w:rsidRPr="00FD338A">
        <w:rPr>
          <w:rFonts w:ascii="Simplified Arabic" w:eastAsia="Times New Roman" w:hAnsi="Simplified Arabic" w:cs="Simplified Arabic"/>
          <w:b/>
          <w:bCs/>
          <w:color w:val="000000" w:themeColor="text1"/>
          <w:kern w:val="0"/>
          <w:sz w:val="28"/>
          <w:szCs w:val="28"/>
          <w14:ligatures w14:val="none"/>
        </w:rPr>
        <w:t xml:space="preserve"> "Transparency in the Real Estate Market – A Global Comparative Study"</w:t>
      </w:r>
    </w:p>
    <w:p w14:paraId="28993751" w14:textId="07BCAD6E" w:rsidR="00096BBC" w:rsidRPr="00FD338A" w:rsidRDefault="00096BBC"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هدفت هذه الدراسة إلى التعرف على مستوى الشفافية في أسواق العقارات العالمية بأبعادها المتمثلة في (مفهوم الشفافية العقارية وتعريفها من منظور الممارسين والخبراء الدوليين وكيفية إدراكها في سياقات وطنية مختلفة، وآليات قياس الشفافية والمؤشرات المعتمدة لتقييمها ومدى ملاءمتها للواقع المحلي لكل دولة، والفجوات والعجز في الشفافية القائم بين الأسواق العقارية الوطنية المختلفة وأسبابه وتأثيراته على ثقة المستثمرين والمشترين) على أداء أسواق العقارات عالميًا وقدرتها على جذب الاستثمارات وحماية المتعاملين. واستخدمت الدراسة المنهج المقارن العالمي من خلال دراسة مسحية دولية واسعة النطاق موجهة للخبراء والمهنيين في قطاع العقارات حول العالم، في إطار تعاون بحثي مشترك بين جامعة غرب إنجلترا في بريستول</w:t>
      </w:r>
      <w:r w:rsidRPr="00FD338A">
        <w:rPr>
          <w:rFonts w:ascii="Simplified Arabic" w:eastAsia="Times New Roman" w:hAnsi="Simplified Arabic" w:cs="Simplified Arabic"/>
          <w:color w:val="000000" w:themeColor="text1"/>
          <w:kern w:val="0"/>
          <w:sz w:val="28"/>
          <w:szCs w:val="28"/>
          <w14:ligatures w14:val="none"/>
        </w:rPr>
        <w:t xml:space="preserve"> (UWE Bristol) </w:t>
      </w:r>
      <w:r w:rsidRPr="00FD338A">
        <w:rPr>
          <w:rFonts w:ascii="Simplified Arabic" w:eastAsia="Times New Roman" w:hAnsi="Simplified Arabic" w:cs="Simplified Arabic"/>
          <w:color w:val="000000" w:themeColor="text1"/>
          <w:kern w:val="0"/>
          <w:sz w:val="28"/>
          <w:szCs w:val="28"/>
          <w:rtl/>
          <w14:ligatures w14:val="none"/>
        </w:rPr>
        <w:t>والاتحاد الدولي للمساحين</w:t>
      </w:r>
      <w:r w:rsidRPr="00FD338A">
        <w:rPr>
          <w:rFonts w:ascii="Simplified Arabic" w:eastAsia="Times New Roman" w:hAnsi="Simplified Arabic" w:cs="Simplified Arabic"/>
          <w:color w:val="000000" w:themeColor="text1"/>
          <w:kern w:val="0"/>
          <w:sz w:val="28"/>
          <w:szCs w:val="28"/>
          <w14:ligatures w14:val="none"/>
        </w:rPr>
        <w:t xml:space="preserve"> (FIG) </w:t>
      </w:r>
      <w:r w:rsidRPr="00FD338A">
        <w:rPr>
          <w:rFonts w:ascii="Simplified Arabic" w:eastAsia="Times New Roman" w:hAnsi="Simplified Arabic" w:cs="Simplified Arabic"/>
          <w:color w:val="000000" w:themeColor="text1"/>
          <w:kern w:val="0"/>
          <w:sz w:val="28"/>
          <w:szCs w:val="28"/>
          <w:rtl/>
          <w14:ligatures w14:val="none"/>
        </w:rPr>
        <w:t xml:space="preserve">ولجنته التاسعة المتخصصة في تقييم وإدارة العقارات. وتكوّنت عيّنة الدراسة من خبراء ومهنيين متخصصين في أسواق العقارات من عدة دول حول العالم يمثلون تجارب وثقافات عقارية متنوعة. وتوصلت نتائج الدراسة إلى وجود فروق جوهرية وملموسة في مستويات الشفافية بين الأسواق العقارية الوطنية المختلفة، وأن العديد من الأسواق لا سيما في الاقتصادات الناشئة تعاني من عجز واضح في الشفافية يؤثر سلبًا على ثقة المستثمرين والمشترين ويُعيق </w:t>
      </w:r>
      <w:r w:rsidRPr="00FD338A">
        <w:rPr>
          <w:rFonts w:ascii="Simplified Arabic" w:eastAsia="Times New Roman" w:hAnsi="Simplified Arabic" w:cs="Simplified Arabic"/>
          <w:color w:val="000000" w:themeColor="text1"/>
          <w:kern w:val="0"/>
          <w:sz w:val="28"/>
          <w:szCs w:val="28"/>
          <w:rtl/>
          <w14:ligatures w14:val="none"/>
        </w:rPr>
        <w:lastRenderedPageBreak/>
        <w:t>تدفق الاستثمارات العقارية. وأوصت بتطوير أدوات ومعايير قياس موحدة ومتفق عليها دوليًا للشفافية العقارية وتبنّي أفضل الممارسات الدولية</w:t>
      </w:r>
      <w:r w:rsidRPr="00FD338A">
        <w:rPr>
          <w:rFonts w:ascii="Simplified Arabic" w:eastAsia="Times New Roman" w:hAnsi="Simplified Arabic" w:cs="Simplified Arabic"/>
          <w:color w:val="000000" w:themeColor="text1"/>
          <w:kern w:val="0"/>
          <w:sz w:val="28"/>
          <w:szCs w:val="28"/>
          <w14:ligatures w14:val="none"/>
        </w:rPr>
        <w:t>..</w:t>
      </w:r>
    </w:p>
    <w:p w14:paraId="21E6F595"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(Patel &amp; Jha, 2025) </w:t>
      </w:r>
      <w:r w:rsidRPr="00FD338A">
        <w:rPr>
          <w:rFonts w:ascii="Simplified Arabic" w:eastAsia="Times New Roman" w:hAnsi="Simplified Arabic" w:cs="Simplified Arabic"/>
          <w:b/>
          <w:bCs/>
          <w:color w:val="000000" w:themeColor="text1"/>
          <w:kern w:val="0"/>
          <w:sz w:val="28"/>
          <w:szCs w:val="28"/>
          <w:rtl/>
          <w14:ligatures w14:val="none"/>
        </w:rPr>
        <w:t>بعنوان</w:t>
      </w:r>
      <w:r w:rsidRPr="00FD338A">
        <w:rPr>
          <w:rFonts w:ascii="Simplified Arabic" w:eastAsia="Times New Roman" w:hAnsi="Simplified Arabic" w:cs="Simplified Arabic"/>
          <w:b/>
          <w:bCs/>
          <w:color w:val="000000" w:themeColor="text1"/>
          <w:kern w:val="0"/>
          <w:sz w:val="28"/>
          <w:szCs w:val="28"/>
          <w14:ligatures w14:val="none"/>
        </w:rPr>
        <w:t xml:space="preserve"> "Impact of Implementing the Real Estate (Regulation and Development) Act in the Construction Industry"</w:t>
      </w:r>
    </w:p>
    <w:p w14:paraId="34682B99"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هدفت هذه الدراسة إلى التعرف على الآثار الفعلية لتطبيق قانون تنظيم وتطوير العقارات الهندي</w:t>
      </w:r>
      <w:r w:rsidRPr="00FD338A">
        <w:rPr>
          <w:rFonts w:ascii="Simplified Arabic" w:eastAsia="Times New Roman" w:hAnsi="Simplified Arabic" w:cs="Simplified Arabic"/>
          <w:color w:val="000000" w:themeColor="text1"/>
          <w:kern w:val="0"/>
          <w:sz w:val="28"/>
          <w:szCs w:val="28"/>
          <w14:ligatures w14:val="none"/>
        </w:rPr>
        <w:t xml:space="preserve"> (RERA) </w:t>
      </w:r>
      <w:r w:rsidRPr="00FD338A">
        <w:rPr>
          <w:rFonts w:ascii="Simplified Arabic" w:eastAsia="Times New Roman" w:hAnsi="Simplified Arabic" w:cs="Simplified Arabic"/>
          <w:color w:val="000000" w:themeColor="text1"/>
          <w:kern w:val="0"/>
          <w:sz w:val="28"/>
          <w:szCs w:val="28"/>
          <w:rtl/>
          <w14:ligatures w14:val="none"/>
        </w:rPr>
        <w:t>لعام 2016 بأبعاده المتمثلة في (معايير التوحيد المتمحورة حول المستهلك والشفافية ومدى تأثيرها في تعزيز ثقة المشترين، وتصاعد الأسعار واتجاهات السوق الصاعدة وعلاقتها بسلوك المستثمرين، وآليات تسوية النزاعات ودورها في تعزيز المساءلة والحوكمة) على صناعة البناء والتشييد في ولاية غوجارات بالهند</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واستخدمت الدراسة المنهج الكمّي الشامل مستخدمةً ثلاث أدوات تحليلية متكاملة هي: الإحصاء الوصفي لتوصيف خصائص العيّنة، والتحليل العاملي الاستكشافي</w:t>
      </w:r>
      <w:r w:rsidRPr="00FD338A">
        <w:rPr>
          <w:rFonts w:ascii="Simplified Arabic" w:eastAsia="Times New Roman" w:hAnsi="Simplified Arabic" w:cs="Simplified Arabic"/>
          <w:color w:val="000000" w:themeColor="text1"/>
          <w:kern w:val="0"/>
          <w:sz w:val="28"/>
          <w:szCs w:val="28"/>
          <w14:ligatures w14:val="none"/>
        </w:rPr>
        <w:t xml:space="preserve"> (Exploratory Factor Analysis) </w:t>
      </w:r>
      <w:r w:rsidRPr="00FD338A">
        <w:rPr>
          <w:rFonts w:ascii="Simplified Arabic" w:eastAsia="Times New Roman" w:hAnsi="Simplified Arabic" w:cs="Simplified Arabic"/>
          <w:color w:val="000000" w:themeColor="text1"/>
          <w:kern w:val="0"/>
          <w:sz w:val="28"/>
          <w:szCs w:val="28"/>
          <w:rtl/>
          <w14:ligatures w14:val="none"/>
        </w:rPr>
        <w:t>لتجميع المتغيرات في عوامل رئيسية، وعلاقات التفضيل الضبابية</w:t>
      </w:r>
      <w:r w:rsidRPr="00FD338A">
        <w:rPr>
          <w:rFonts w:ascii="Simplified Arabic" w:eastAsia="Times New Roman" w:hAnsi="Simplified Arabic" w:cs="Simplified Arabic"/>
          <w:color w:val="000000" w:themeColor="text1"/>
          <w:kern w:val="0"/>
          <w:sz w:val="28"/>
          <w:szCs w:val="28"/>
          <w14:ligatures w14:val="none"/>
        </w:rPr>
        <w:t xml:space="preserve"> (Fuzzy Preference Relations) </w:t>
      </w:r>
      <w:r w:rsidRPr="00FD338A">
        <w:rPr>
          <w:rFonts w:ascii="Simplified Arabic" w:eastAsia="Times New Roman" w:hAnsi="Simplified Arabic" w:cs="Simplified Arabic"/>
          <w:color w:val="000000" w:themeColor="text1"/>
          <w:kern w:val="0"/>
          <w:sz w:val="28"/>
          <w:szCs w:val="28"/>
          <w:rtl/>
          <w14:ligatures w14:val="none"/>
        </w:rPr>
        <w:t>لترتيب العوامل حسب أهميتها. وتكوّنت عيّنة الدراسة من (96) مستجيبًا من أصحاب المصلحة في قطاع العقارات بولاية غوجارات الهندية تمّ تحديدهم من خلال مراجعة شاملة للأدبيات التي حدّدت (26) سمة تأثيرية للقانون. وتوصلت نتائج الدراسة إلى أن عامل معايير التوحيد المتمحورة حول المستهلك والشفافية هو العامل الأكثر أهمية وتأثيرًا في تعزيز ثقة المشترين وشفافية السوق العقاري، بينما كان عامل تصاعد الأسعار واتجاه السوق الصاعد هو الأقل أهمية. وأوصت بتشديد القواعد المتعلقة بحسابات الضمان وتحسين إدارتها المالية، وتطوير آليات تسوية النزاعات لتكون أكثر كفاءة وسرعة</w:t>
      </w:r>
      <w:r w:rsidRPr="00FD338A">
        <w:rPr>
          <w:rFonts w:ascii="Simplified Arabic" w:eastAsia="Times New Roman" w:hAnsi="Simplified Arabic" w:cs="Simplified Arabic"/>
          <w:color w:val="000000" w:themeColor="text1"/>
          <w:kern w:val="0"/>
          <w:sz w:val="28"/>
          <w:szCs w:val="28"/>
          <w14:ligatures w14:val="none"/>
        </w:rPr>
        <w:t>.</w:t>
      </w:r>
    </w:p>
    <w:p w14:paraId="0EE3CDD0"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دراسة</w:t>
      </w:r>
      <w:r w:rsidRPr="00FD338A">
        <w:rPr>
          <w:rFonts w:ascii="Simplified Arabic" w:eastAsia="Times New Roman" w:hAnsi="Simplified Arabic" w:cs="Simplified Arabic"/>
          <w:b/>
          <w:bCs/>
          <w:color w:val="000000" w:themeColor="text1"/>
          <w:kern w:val="0"/>
          <w:sz w:val="28"/>
          <w:szCs w:val="28"/>
          <w14:ligatures w14:val="none"/>
        </w:rPr>
        <w:t xml:space="preserve"> (Huang, Huang, &amp; Nie, 2025) </w:t>
      </w:r>
      <w:r w:rsidRPr="00FD338A">
        <w:rPr>
          <w:rFonts w:ascii="Simplified Arabic" w:eastAsia="Times New Roman" w:hAnsi="Simplified Arabic" w:cs="Simplified Arabic"/>
          <w:b/>
          <w:bCs/>
          <w:color w:val="000000" w:themeColor="text1"/>
          <w:kern w:val="0"/>
          <w:sz w:val="28"/>
          <w:szCs w:val="28"/>
          <w:rtl/>
          <w14:ligatures w14:val="none"/>
        </w:rPr>
        <w:t>بعنوان</w:t>
      </w:r>
      <w:r w:rsidRPr="00FD338A">
        <w:rPr>
          <w:rFonts w:ascii="Simplified Arabic" w:eastAsia="Times New Roman" w:hAnsi="Simplified Arabic" w:cs="Simplified Arabic"/>
          <w:b/>
          <w:bCs/>
          <w:color w:val="000000" w:themeColor="text1"/>
          <w:kern w:val="0"/>
          <w:sz w:val="28"/>
          <w:szCs w:val="28"/>
          <w14:ligatures w14:val="none"/>
        </w:rPr>
        <w:t xml:space="preserve"> "Housing Presale Systems and Entrepreneurial Default Risk"</w:t>
      </w:r>
    </w:p>
    <w:p w14:paraId="545B6E84"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أثر نظام البيع المسبق للمساكن بأبعاده المتمثلة في (صدمات الطلب السكني السلبية وتأثيرها على أسعار المساكن وسلوك الأُسر الاستهلاكي، ومستوى الرفع المالي لرواد الأعمال في القطاع العقاري وعلاقته باحتمالية التعثر، وديناميكيات أسعار المساكن في ظل نظام البيع المسبق مقارنةً بنظام البيع الفوري) على </w:t>
      </w:r>
      <w:proofErr w:type="gramStart"/>
      <w:r w:rsidRPr="00FD338A">
        <w:rPr>
          <w:rFonts w:ascii="Simplified Arabic" w:eastAsia="Times New Roman" w:hAnsi="Simplified Arabic" w:cs="Simplified Arabic"/>
          <w:color w:val="000000" w:themeColor="text1"/>
          <w:kern w:val="0"/>
          <w:sz w:val="28"/>
          <w:szCs w:val="28"/>
          <w:rtl/>
          <w14:ligatures w14:val="none"/>
        </w:rPr>
        <w:t>مخاطر</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تعثر رواد الأعمال في القطاع العقاري الصيني الذي يشهد تحديات متصاعدة تتمثل في انخفاض أسعار المساكن وارتفاع معدلات التخلف عن السداد</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واستخدمت الدراسة نموذج التوازن العام العشوائي الديناميكي</w:t>
      </w:r>
      <w:r w:rsidRPr="00FD338A">
        <w:rPr>
          <w:rFonts w:ascii="Simplified Arabic" w:eastAsia="Times New Roman" w:hAnsi="Simplified Arabic" w:cs="Simplified Arabic"/>
          <w:color w:val="000000" w:themeColor="text1"/>
          <w:kern w:val="0"/>
          <w:sz w:val="28"/>
          <w:szCs w:val="28"/>
          <w14:ligatures w14:val="none"/>
        </w:rPr>
        <w:t xml:space="preserve"> (DSGE Model) </w:t>
      </w:r>
      <w:r w:rsidRPr="00FD338A">
        <w:rPr>
          <w:rFonts w:ascii="Simplified Arabic" w:eastAsia="Times New Roman" w:hAnsi="Simplified Arabic" w:cs="Simplified Arabic"/>
          <w:color w:val="000000" w:themeColor="text1"/>
          <w:kern w:val="0"/>
          <w:sz w:val="28"/>
          <w:szCs w:val="28"/>
          <w:rtl/>
          <w14:ligatures w14:val="none"/>
        </w:rPr>
        <w:t xml:space="preserve">المتقدم الذي يتضمن أربعة فاعلين </w:t>
      </w:r>
      <w:r w:rsidRPr="00FD338A">
        <w:rPr>
          <w:rFonts w:ascii="Simplified Arabic" w:eastAsia="Times New Roman" w:hAnsi="Simplified Arabic" w:cs="Simplified Arabic"/>
          <w:color w:val="000000" w:themeColor="text1"/>
          <w:kern w:val="0"/>
          <w:sz w:val="28"/>
          <w:szCs w:val="28"/>
          <w:rtl/>
          <w14:ligatures w14:val="none"/>
        </w:rPr>
        <w:lastRenderedPageBreak/>
        <w:t>اقتصاديين هم: الأُسر ورواد الأعمال والبنوك وثلاثة أنواع من الشركات، مع التمييز بين شركات التطوير العقاري ورواد الأعمال الذين يملكونها لالتقاط الديناميكيات المالية الداخلية للقطاع بدقة. وتكوّنت عيّنة الدراسة من البيانات الاقتصادية المعايرة للاقتصاد الصيني وفقًا للأدبيات ذات الصلة، حيث تمّ ضبط المعاملات بناءً على دراسات سابقة معتمدة. وتوصلت نتائج الدراسة إلى ثلاث نتائج رئيسية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 xml:space="preserve">أولها أن انكماش الطلب يُعدّ العامل الأساسي الدافع لانخفاض أسعار المساكن وزيادة معدلات تعثر رواد الأعمال، وثانيها أن ممارسة البيع المسبق المعمول بها حاليًا في الصين تُخفّف بفعالية من الانخفاض المفرط في الأسعار خلال صدمات الطلب السلبية من خلال تيسير التمويل المبكر، وثالثها أن إلغاء نظام البيع المسبق سيؤدي إلى تفاقم </w:t>
      </w:r>
      <w:proofErr w:type="gramStart"/>
      <w:r w:rsidRPr="00FD338A">
        <w:rPr>
          <w:rFonts w:ascii="Simplified Arabic" w:eastAsia="Times New Roman" w:hAnsi="Simplified Arabic" w:cs="Simplified Arabic"/>
          <w:color w:val="000000" w:themeColor="text1"/>
          <w:kern w:val="0"/>
          <w:sz w:val="28"/>
          <w:szCs w:val="28"/>
          <w:rtl/>
          <w14:ligatures w14:val="none"/>
        </w:rPr>
        <w:t>مخاطر</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التعثر. وأوصت بتطوير سياسات تنظيمية متوازنة</w:t>
      </w:r>
      <w:r w:rsidRPr="00FD338A">
        <w:rPr>
          <w:rFonts w:ascii="Simplified Arabic" w:eastAsia="Times New Roman" w:hAnsi="Simplified Arabic" w:cs="Simplified Arabic"/>
          <w:color w:val="000000" w:themeColor="text1"/>
          <w:kern w:val="0"/>
          <w:sz w:val="28"/>
          <w:szCs w:val="28"/>
          <w14:ligatures w14:val="none"/>
        </w:rPr>
        <w:t>.</w:t>
      </w:r>
    </w:p>
    <w:p w14:paraId="6FA6B7BD" w14:textId="3A2E99A2" w:rsidR="00CC6261" w:rsidRPr="00FD338A" w:rsidRDefault="00096BBC" w:rsidP="00096B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15" w:name="_Toc233941111"/>
      <w:r w:rsidRPr="00FD338A">
        <w:rPr>
          <w:rFonts w:ascii="Simplified Arabic" w:eastAsia="Times New Roman" w:hAnsi="Simplified Arabic" w:cs="Simplified Arabic" w:hint="cs"/>
          <w:b/>
          <w:bCs/>
          <w:color w:val="000000" w:themeColor="text1"/>
          <w:kern w:val="36"/>
          <w:sz w:val="36"/>
          <w:szCs w:val="36"/>
          <w:rtl/>
          <w14:ligatures w14:val="none"/>
        </w:rPr>
        <w:t xml:space="preserve">8.1 </w:t>
      </w:r>
      <w:r w:rsidR="00CC6261" w:rsidRPr="00FD338A">
        <w:rPr>
          <w:rFonts w:ascii="Simplified Arabic" w:eastAsia="Times New Roman" w:hAnsi="Simplified Arabic" w:cs="Simplified Arabic"/>
          <w:b/>
          <w:bCs/>
          <w:color w:val="000000" w:themeColor="text1"/>
          <w:kern w:val="36"/>
          <w:sz w:val="36"/>
          <w:szCs w:val="36"/>
          <w:rtl/>
          <w14:ligatures w14:val="none"/>
        </w:rPr>
        <w:t>الفجوة البحثية</w:t>
      </w:r>
      <w:bookmarkEnd w:id="15"/>
    </w:p>
    <w:p w14:paraId="4AACAA47" w14:textId="0A02F9CD" w:rsidR="00156D45" w:rsidRPr="00FD338A" w:rsidRDefault="00156D45" w:rsidP="00096BBC">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تتفق الدراسة الحالية مع عدد من الدراسات السابقة في جوانب متعددة تشمل الهدف والمنهج وبيئة التطبيق. فمن حيث الهدف، تشترك الدراسة الحالية مع دراسة العساف وعجاج (2025) ودراسة الغامدي (2024) في التركيز على الضمانات التنظيمية لحماية المشتري في عقود البيع على الخارطة بالنظام السعودي، كما تلتقي مع دراسة شعيب وزكي (2025) ودراسة الصندل (2021) في تناول دور حساب الضمان كآلية محورية لحماية أموال المشترين وإن اختلفت بيئة التطبيق (دبي والإمارات). وتتفق مع دراسة</w:t>
      </w:r>
      <w:r w:rsidRPr="00FD338A">
        <w:rPr>
          <w:rFonts w:ascii="Simplified Arabic" w:hAnsi="Simplified Arabic" w:cs="Simplified Arabic"/>
          <w:color w:val="000000" w:themeColor="text1"/>
          <w:sz w:val="28"/>
          <w:szCs w:val="28"/>
        </w:rPr>
        <w:t xml:space="preserve"> Bharti, Chenchu </w:t>
      </w:r>
      <w:r w:rsidRPr="00FD338A">
        <w:rPr>
          <w:rFonts w:ascii="Simplified Arabic" w:hAnsi="Simplified Arabic" w:cs="Simplified Arabic"/>
          <w:color w:val="000000" w:themeColor="text1"/>
          <w:sz w:val="28"/>
          <w:szCs w:val="28"/>
          <w:rtl/>
        </w:rPr>
        <w:t>و</w:t>
      </w:r>
      <w:r w:rsidRPr="00FD338A">
        <w:rPr>
          <w:rFonts w:ascii="Simplified Arabic" w:hAnsi="Simplified Arabic" w:cs="Simplified Arabic"/>
          <w:color w:val="000000" w:themeColor="text1"/>
          <w:sz w:val="28"/>
          <w:szCs w:val="28"/>
        </w:rPr>
        <w:t xml:space="preserve">Jha (2024) </w:t>
      </w:r>
      <w:r w:rsidRPr="00FD338A">
        <w:rPr>
          <w:rFonts w:ascii="Simplified Arabic" w:hAnsi="Simplified Arabic" w:cs="Simplified Arabic"/>
          <w:color w:val="000000" w:themeColor="text1"/>
          <w:sz w:val="28"/>
          <w:szCs w:val="28"/>
          <w:rtl/>
        </w:rPr>
        <w:t>ودراسة</w:t>
      </w:r>
      <w:r w:rsidRPr="00FD338A">
        <w:rPr>
          <w:rFonts w:ascii="Simplified Arabic" w:hAnsi="Simplified Arabic" w:cs="Simplified Arabic"/>
          <w:color w:val="000000" w:themeColor="text1"/>
          <w:sz w:val="28"/>
          <w:szCs w:val="28"/>
        </w:rPr>
        <w:t xml:space="preserve"> Patel </w:t>
      </w:r>
      <w:r w:rsidRPr="00FD338A">
        <w:rPr>
          <w:rFonts w:ascii="Simplified Arabic" w:hAnsi="Simplified Arabic" w:cs="Simplified Arabic"/>
          <w:color w:val="000000" w:themeColor="text1"/>
          <w:sz w:val="28"/>
          <w:szCs w:val="28"/>
          <w:rtl/>
        </w:rPr>
        <w:t>و</w:t>
      </w:r>
      <w:r w:rsidRPr="00FD338A">
        <w:rPr>
          <w:rFonts w:ascii="Simplified Arabic" w:hAnsi="Simplified Arabic" w:cs="Simplified Arabic"/>
          <w:color w:val="000000" w:themeColor="text1"/>
          <w:sz w:val="28"/>
          <w:szCs w:val="28"/>
        </w:rPr>
        <w:t xml:space="preserve">Jha (2025) </w:t>
      </w:r>
      <w:r w:rsidRPr="00FD338A">
        <w:rPr>
          <w:rFonts w:ascii="Simplified Arabic" w:hAnsi="Simplified Arabic" w:cs="Simplified Arabic"/>
          <w:color w:val="000000" w:themeColor="text1"/>
          <w:sz w:val="28"/>
          <w:szCs w:val="28"/>
          <w:rtl/>
        </w:rPr>
        <w:t>في دراسة أثر التنظيمات العقارية على ثقة أصحاب المصلحة وإن كانتا تتناولان قانون</w:t>
      </w:r>
      <w:r w:rsidRPr="00FD338A">
        <w:rPr>
          <w:rFonts w:ascii="Simplified Arabic" w:hAnsi="Simplified Arabic" w:cs="Simplified Arabic"/>
          <w:color w:val="000000" w:themeColor="text1"/>
          <w:sz w:val="28"/>
          <w:szCs w:val="28"/>
        </w:rPr>
        <w:t xml:space="preserve"> RERA </w:t>
      </w:r>
      <w:r w:rsidRPr="00FD338A">
        <w:rPr>
          <w:rFonts w:ascii="Simplified Arabic" w:hAnsi="Simplified Arabic" w:cs="Simplified Arabic"/>
          <w:color w:val="000000" w:themeColor="text1"/>
          <w:sz w:val="28"/>
          <w:szCs w:val="28"/>
          <w:rtl/>
        </w:rPr>
        <w:t>في الهند. أما من حيث المنهج، فتتفق الدراسة الحالية مع دراسة باوزير (2025) في استخدام المنهج الوصفي التحليلي والاستبانة كأداة لجمع البيانات من عينة ميدانية، كما تتفق مع دراسة</w:t>
      </w:r>
      <w:r w:rsidRPr="00FD338A">
        <w:rPr>
          <w:rFonts w:ascii="Simplified Arabic" w:hAnsi="Simplified Arabic" w:cs="Simplified Arabic"/>
          <w:color w:val="000000" w:themeColor="text1"/>
          <w:sz w:val="28"/>
          <w:szCs w:val="28"/>
        </w:rPr>
        <w:t xml:space="preserve"> Gholipour, </w:t>
      </w:r>
      <w:proofErr w:type="spellStart"/>
      <w:r w:rsidRPr="00FD338A">
        <w:rPr>
          <w:rFonts w:ascii="Simplified Arabic" w:hAnsi="Simplified Arabic" w:cs="Simplified Arabic"/>
          <w:color w:val="000000" w:themeColor="text1"/>
          <w:sz w:val="28"/>
          <w:szCs w:val="28"/>
        </w:rPr>
        <w:t>Tajaddini</w:t>
      </w:r>
      <w:proofErr w:type="spellEnd"/>
      <w:r w:rsidRPr="00FD338A">
        <w:rPr>
          <w:rFonts w:ascii="Simplified Arabic" w:hAnsi="Simplified Arabic" w:cs="Simplified Arabic"/>
          <w:color w:val="000000" w:themeColor="text1"/>
          <w:sz w:val="28"/>
          <w:szCs w:val="28"/>
        </w:rPr>
        <w:t xml:space="preserve"> </w:t>
      </w:r>
      <w:r w:rsidRPr="00FD338A">
        <w:rPr>
          <w:rFonts w:ascii="Simplified Arabic" w:hAnsi="Simplified Arabic" w:cs="Simplified Arabic"/>
          <w:color w:val="000000" w:themeColor="text1"/>
          <w:sz w:val="28"/>
          <w:szCs w:val="28"/>
          <w:rtl/>
        </w:rPr>
        <w:t>و</w:t>
      </w:r>
      <w:r w:rsidRPr="00FD338A">
        <w:rPr>
          <w:rFonts w:ascii="Simplified Arabic" w:hAnsi="Simplified Arabic" w:cs="Simplified Arabic"/>
          <w:color w:val="000000" w:themeColor="text1"/>
          <w:sz w:val="28"/>
          <w:szCs w:val="28"/>
        </w:rPr>
        <w:t xml:space="preserve">Pham (2020) </w:t>
      </w:r>
      <w:r w:rsidRPr="00FD338A">
        <w:rPr>
          <w:rFonts w:ascii="Simplified Arabic" w:hAnsi="Simplified Arabic" w:cs="Simplified Arabic"/>
          <w:color w:val="000000" w:themeColor="text1"/>
          <w:sz w:val="28"/>
          <w:szCs w:val="28"/>
          <w:rtl/>
        </w:rPr>
        <w:t>في البحث عن العلاقة بين الشفافية في السوق العقاري وسلوك المتعاملين، وتتقاطع مع دراسة</w:t>
      </w:r>
      <w:r w:rsidRPr="00FD338A">
        <w:rPr>
          <w:rFonts w:ascii="Simplified Arabic" w:hAnsi="Simplified Arabic" w:cs="Simplified Arabic"/>
          <w:color w:val="000000" w:themeColor="text1"/>
          <w:sz w:val="28"/>
          <w:szCs w:val="28"/>
        </w:rPr>
        <w:t xml:space="preserve"> </w:t>
      </w:r>
      <w:proofErr w:type="spellStart"/>
      <w:r w:rsidRPr="00FD338A">
        <w:rPr>
          <w:rFonts w:ascii="Simplified Arabic" w:hAnsi="Simplified Arabic" w:cs="Simplified Arabic"/>
          <w:color w:val="000000" w:themeColor="text1"/>
          <w:sz w:val="28"/>
          <w:szCs w:val="28"/>
        </w:rPr>
        <w:t>Alqahtany</w:t>
      </w:r>
      <w:proofErr w:type="spellEnd"/>
      <w:r w:rsidRPr="00FD338A">
        <w:rPr>
          <w:rFonts w:ascii="Simplified Arabic" w:hAnsi="Simplified Arabic" w:cs="Simplified Arabic"/>
          <w:color w:val="000000" w:themeColor="text1"/>
          <w:sz w:val="28"/>
          <w:szCs w:val="28"/>
        </w:rPr>
        <w:t xml:space="preserve"> </w:t>
      </w:r>
      <w:r w:rsidRPr="00FD338A">
        <w:rPr>
          <w:rFonts w:ascii="Simplified Arabic" w:hAnsi="Simplified Arabic" w:cs="Simplified Arabic"/>
          <w:color w:val="000000" w:themeColor="text1"/>
          <w:sz w:val="28"/>
          <w:szCs w:val="28"/>
          <w:rtl/>
        </w:rPr>
        <w:t xml:space="preserve">وآخرين (2023) في التركيز على سوق الرياض العقاري كبيئة تطبيقية رئيسية ضمن المملكة العربية السعودية. كذلك تتفق مع دراسة لقم والشثري (2024) في تناول البُعد الشرعي والتنظيمي لعقد البيع على الخارطة في السياق السعودي، ومع دراسة الكرياني </w:t>
      </w:r>
      <w:r w:rsidRPr="00FD338A">
        <w:rPr>
          <w:rFonts w:ascii="Simplified Arabic" w:hAnsi="Simplified Arabic" w:cs="Simplified Arabic"/>
          <w:color w:val="000000" w:themeColor="text1"/>
          <w:sz w:val="28"/>
          <w:szCs w:val="28"/>
        </w:rPr>
        <w:t xml:space="preserve">(2023) </w:t>
      </w:r>
      <w:r w:rsidRPr="00FD338A">
        <w:rPr>
          <w:rFonts w:ascii="Simplified Arabic" w:hAnsi="Simplified Arabic" w:cs="Simplified Arabic"/>
          <w:color w:val="000000" w:themeColor="text1"/>
          <w:sz w:val="28"/>
          <w:szCs w:val="28"/>
          <w:rtl/>
        </w:rPr>
        <w:t>في التطرّق لآليات حماية المستهلك في المجال العقاري</w:t>
      </w:r>
      <w:r w:rsidRPr="00FD338A">
        <w:rPr>
          <w:rFonts w:ascii="Simplified Arabic" w:hAnsi="Simplified Arabic" w:cs="Simplified Arabic"/>
          <w:color w:val="000000" w:themeColor="text1"/>
          <w:sz w:val="28"/>
          <w:szCs w:val="28"/>
        </w:rPr>
        <w:t>.</w:t>
      </w:r>
    </w:p>
    <w:p w14:paraId="5D0D3CEF" w14:textId="435C60EC" w:rsidR="00156D45" w:rsidRPr="00FD338A" w:rsidRDefault="00156D45" w:rsidP="00096BBC">
      <w:pPr>
        <w:pStyle w:val="a8"/>
        <w:bidi/>
        <w:spacing w:line="276" w:lineRule="auto"/>
        <w:ind w:firstLine="424"/>
        <w:jc w:val="both"/>
        <w:rPr>
          <w:rFonts w:ascii="Simplified Arabic" w:hAnsi="Simplified Arabic" w:cs="Simplified Arabic"/>
          <w:color w:val="000000" w:themeColor="text1"/>
          <w:sz w:val="28"/>
          <w:szCs w:val="28"/>
        </w:rPr>
      </w:pPr>
      <w:r w:rsidRPr="00FD338A">
        <w:rPr>
          <w:rFonts w:ascii="Simplified Arabic" w:hAnsi="Simplified Arabic" w:cs="Simplified Arabic"/>
          <w:color w:val="000000" w:themeColor="text1"/>
          <w:sz w:val="28"/>
          <w:szCs w:val="28"/>
          <w:rtl/>
        </w:rPr>
        <w:t xml:space="preserve">تتميّز الدراسة الحالية عن الدراسات السابقة في عدة جوانب جوهرية. فمن حيث الهدف، ركّزت معظم الدراسات السابقة العربية كدراسة الغامدي (2024) ودراسة العساف وعجاج </w:t>
      </w:r>
      <w:r w:rsidRPr="00FD338A">
        <w:rPr>
          <w:rFonts w:ascii="Simplified Arabic" w:hAnsi="Simplified Arabic" w:cs="Simplified Arabic"/>
          <w:color w:val="000000" w:themeColor="text1"/>
          <w:sz w:val="28"/>
          <w:szCs w:val="28"/>
        </w:rPr>
        <w:t xml:space="preserve">(2025) </w:t>
      </w:r>
      <w:r w:rsidRPr="00FD338A">
        <w:rPr>
          <w:rFonts w:ascii="Simplified Arabic" w:hAnsi="Simplified Arabic" w:cs="Simplified Arabic"/>
          <w:color w:val="000000" w:themeColor="text1"/>
          <w:sz w:val="28"/>
          <w:szCs w:val="28"/>
          <w:rtl/>
        </w:rPr>
        <w:t>ودراسة لقم والشثري (2024) على التحليل القانوني</w:t>
      </w:r>
      <w:r w:rsidRPr="00FD338A">
        <w:rPr>
          <w:rFonts w:ascii="Simplified Arabic" w:hAnsi="Simplified Arabic" w:cs="Simplified Arabic"/>
          <w:color w:val="000000" w:themeColor="text1"/>
          <w:sz w:val="28"/>
          <w:szCs w:val="28"/>
          <w:rtl/>
        </w:rPr>
        <w:noBreakHyphen/>
        <w:t xml:space="preserve">التشريعي للنصوص دون قياس أثرها الميداني على المشترين، بينما تسعى </w:t>
      </w:r>
      <w:r w:rsidRPr="00FD338A">
        <w:rPr>
          <w:rFonts w:ascii="Simplified Arabic" w:hAnsi="Simplified Arabic" w:cs="Simplified Arabic"/>
          <w:color w:val="000000" w:themeColor="text1"/>
          <w:sz w:val="28"/>
          <w:szCs w:val="28"/>
          <w:rtl/>
        </w:rPr>
        <w:lastRenderedPageBreak/>
        <w:t>الدراسة الحالية إلى قياس الأثر الفعلي لأبعاد التنظيم الأربعة (الترخيص وتأهيل المطوِّرين، حساب الضمان والرقابة المالية، الالتزامات التعاقدية وضوابط العقد، الإفصاح والشفافية المعلوماتية) على ثقة المشترين كمتغير سلوكي إدراكي، وهو ما لم تتناوله أيّ من تلك الدراسات بهذا التصنيف الرباعي المتكامل. ومن حيث المنهج، اعتمدت دراسة</w:t>
      </w:r>
      <w:r w:rsidRPr="00FD338A">
        <w:rPr>
          <w:rFonts w:ascii="Simplified Arabic" w:hAnsi="Simplified Arabic" w:cs="Simplified Arabic"/>
          <w:color w:val="000000" w:themeColor="text1"/>
          <w:sz w:val="28"/>
          <w:szCs w:val="28"/>
        </w:rPr>
        <w:t xml:space="preserve"> </w:t>
      </w:r>
      <w:proofErr w:type="spellStart"/>
      <w:r w:rsidRPr="00FD338A">
        <w:rPr>
          <w:rFonts w:ascii="Simplified Arabic" w:hAnsi="Simplified Arabic" w:cs="Simplified Arabic"/>
          <w:color w:val="000000" w:themeColor="text1"/>
          <w:sz w:val="28"/>
          <w:szCs w:val="28"/>
        </w:rPr>
        <w:t>Alqahtany</w:t>
      </w:r>
      <w:proofErr w:type="spellEnd"/>
      <w:r w:rsidRPr="00FD338A">
        <w:rPr>
          <w:rFonts w:ascii="Simplified Arabic" w:hAnsi="Simplified Arabic" w:cs="Simplified Arabic"/>
          <w:color w:val="000000" w:themeColor="text1"/>
          <w:sz w:val="28"/>
          <w:szCs w:val="28"/>
        </w:rPr>
        <w:t xml:space="preserve"> </w:t>
      </w:r>
      <w:r w:rsidRPr="00FD338A">
        <w:rPr>
          <w:rFonts w:ascii="Simplified Arabic" w:hAnsi="Simplified Arabic" w:cs="Simplified Arabic"/>
          <w:color w:val="000000" w:themeColor="text1"/>
          <w:sz w:val="28"/>
          <w:szCs w:val="28"/>
          <w:rtl/>
        </w:rPr>
        <w:t>وآخرين (2023) أسلوب دلفي بثلاث جولات مع خبراء، واستخدمت دراسة</w:t>
      </w:r>
      <w:r w:rsidRPr="00FD338A">
        <w:rPr>
          <w:rFonts w:ascii="Simplified Arabic" w:hAnsi="Simplified Arabic" w:cs="Simplified Arabic"/>
          <w:color w:val="000000" w:themeColor="text1"/>
          <w:sz w:val="28"/>
          <w:szCs w:val="28"/>
        </w:rPr>
        <w:t xml:space="preserve"> Bharti </w:t>
      </w:r>
      <w:r w:rsidRPr="00FD338A">
        <w:rPr>
          <w:rFonts w:ascii="Simplified Arabic" w:hAnsi="Simplified Arabic" w:cs="Simplified Arabic"/>
          <w:color w:val="000000" w:themeColor="text1"/>
          <w:sz w:val="28"/>
          <w:szCs w:val="28"/>
          <w:rtl/>
        </w:rPr>
        <w:t>وآخرين (2024) التحليل العاملي ومقاييس التفضيل الضبابي مع (96) من أصحاب المصلحة في قطاع البناء بالهند، في حين تتبنّى الدراسة الحالية تحليل الانحدار المتعدد لاختبار العلاقة السببية مع عينة أكبر حجماً تبلغ (384) مفردة من المشترين أنفسهم وليس من الخبراء أو المطوِّرين. كما أن دراسة</w:t>
      </w:r>
      <w:r w:rsidRPr="00FD338A">
        <w:rPr>
          <w:rFonts w:ascii="Simplified Arabic" w:hAnsi="Simplified Arabic" w:cs="Simplified Arabic"/>
          <w:color w:val="000000" w:themeColor="text1"/>
          <w:sz w:val="28"/>
          <w:szCs w:val="28"/>
        </w:rPr>
        <w:t xml:space="preserve"> Williams </w:t>
      </w:r>
      <w:r w:rsidRPr="00FD338A">
        <w:rPr>
          <w:rFonts w:ascii="Simplified Arabic" w:hAnsi="Simplified Arabic" w:cs="Simplified Arabic"/>
          <w:color w:val="000000" w:themeColor="text1"/>
          <w:sz w:val="28"/>
          <w:szCs w:val="28"/>
          <w:rtl/>
        </w:rPr>
        <w:t>و</w:t>
      </w:r>
      <w:r w:rsidRPr="00FD338A">
        <w:rPr>
          <w:rFonts w:ascii="Simplified Arabic" w:hAnsi="Simplified Arabic" w:cs="Simplified Arabic"/>
          <w:color w:val="000000" w:themeColor="text1"/>
          <w:sz w:val="28"/>
          <w:szCs w:val="28"/>
        </w:rPr>
        <w:t xml:space="preserve">Smith (2023) </w:t>
      </w:r>
      <w:r w:rsidRPr="00FD338A">
        <w:rPr>
          <w:rFonts w:ascii="Simplified Arabic" w:hAnsi="Simplified Arabic" w:cs="Simplified Arabic"/>
          <w:color w:val="000000" w:themeColor="text1"/>
          <w:sz w:val="28"/>
          <w:szCs w:val="28"/>
          <w:rtl/>
        </w:rPr>
        <w:t>ركّزت على البُعد التمويلي للبيع على الخارطة في كينيا، ودراسة</w:t>
      </w:r>
      <w:r w:rsidRPr="00FD338A">
        <w:rPr>
          <w:rFonts w:ascii="Simplified Arabic" w:hAnsi="Simplified Arabic" w:cs="Simplified Arabic"/>
          <w:color w:val="000000" w:themeColor="text1"/>
          <w:sz w:val="28"/>
          <w:szCs w:val="28"/>
        </w:rPr>
        <w:t xml:space="preserve"> Gholipour </w:t>
      </w:r>
      <w:r w:rsidRPr="00FD338A">
        <w:rPr>
          <w:rFonts w:ascii="Simplified Arabic" w:hAnsi="Simplified Arabic" w:cs="Simplified Arabic"/>
          <w:color w:val="000000" w:themeColor="text1"/>
          <w:sz w:val="28"/>
          <w:szCs w:val="28"/>
          <w:rtl/>
        </w:rPr>
        <w:t>وآخرين</w:t>
      </w:r>
      <w:r w:rsidRPr="00FD338A">
        <w:rPr>
          <w:rFonts w:ascii="Simplified Arabic" w:hAnsi="Simplified Arabic" w:cs="Simplified Arabic"/>
          <w:color w:val="000000" w:themeColor="text1"/>
          <w:sz w:val="28"/>
          <w:szCs w:val="28"/>
        </w:rPr>
        <w:t xml:space="preserve"> (2020) </w:t>
      </w:r>
      <w:r w:rsidRPr="00FD338A">
        <w:rPr>
          <w:rFonts w:ascii="Simplified Arabic" w:hAnsi="Simplified Arabic" w:cs="Simplified Arabic"/>
          <w:color w:val="000000" w:themeColor="text1"/>
          <w:sz w:val="28"/>
          <w:szCs w:val="28"/>
          <w:rtl/>
        </w:rPr>
        <w:t>تناولت الشفافية وعلاقتها بالتعثّر في الرهون العقارية عبر (46) دولة ببيانات ثانوية، بينما تجمع الدراسة الحالية بين البُعد التنظيمي والسلوكي ببيانات أولية ميدانية في بيئة سعودية تحديداً. ومن حيث بيئة التطبيق، طُبّقت دراسة شعيب وزكي (2025) والصندل (2021) في إمارة دبي والإمارات، ودراسة الكرياني (2023) في المغرب، ودراسة عبد الرزاق (2025) في العراق والجزائر مقارنةً بالسعودية، بينما تُطبَّق الدراسة الحالية حصرياً في ثلاث مدن سعودية رئيسية (الرياض، جدة، الدمام) في ضوء برنامج "وافي" المحدّث وفقاً لنظام 1445هـ، وهو ما يمنحها خصوصية سياقية لم تتوفّر في الدراسات السابقة</w:t>
      </w:r>
      <w:r w:rsidRPr="00FD338A">
        <w:rPr>
          <w:rFonts w:ascii="Simplified Arabic" w:hAnsi="Simplified Arabic" w:cs="Simplified Arabic"/>
          <w:color w:val="000000" w:themeColor="text1"/>
          <w:sz w:val="28"/>
          <w:szCs w:val="28"/>
        </w:rPr>
        <w:t>.</w:t>
      </w:r>
    </w:p>
    <w:p w14:paraId="75444242" w14:textId="139E25F7" w:rsidR="00096BBC" w:rsidRPr="00FD338A" w:rsidRDefault="00096BBC" w:rsidP="00096B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6" w:name="_Toc233941112"/>
      <w:bookmarkStart w:id="17" w:name="_Toc169790502"/>
      <w:bookmarkEnd w:id="13"/>
      <w:r w:rsidRPr="00FD338A">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p>
    <w:p w14:paraId="1D687566" w14:textId="77777777" w:rsidR="00611029" w:rsidRPr="00FD338A" w:rsidRDefault="00611029"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البيع على الخارطة</w:t>
      </w:r>
      <w:r w:rsidRPr="00FD338A">
        <w:rPr>
          <w:rFonts w:ascii="Simplified Arabic" w:eastAsia="Times New Roman" w:hAnsi="Simplified Arabic" w:cs="Simplified Arabic"/>
          <w:color w:val="000000" w:themeColor="text1"/>
          <w:kern w:val="0"/>
          <w:sz w:val="28"/>
          <w:szCs w:val="28"/>
          <w14:ligatures w14:val="none"/>
        </w:rPr>
        <w:t xml:space="preserve"> (Off-Plan Sale): </w:t>
      </w:r>
      <w:r w:rsidRPr="00FD338A">
        <w:rPr>
          <w:rFonts w:ascii="Simplified Arabic" w:eastAsia="Times New Roman" w:hAnsi="Simplified Arabic" w:cs="Simplified Arabic"/>
          <w:color w:val="000000" w:themeColor="text1"/>
          <w:kern w:val="0"/>
          <w:sz w:val="28"/>
          <w:szCs w:val="28"/>
          <w:rtl/>
          <w14:ligatures w14:val="none"/>
        </w:rPr>
        <w:t xml:space="preserve">عرّفت المادة الأولى من نظام بيع وتأجير مشروعات عقارية على الخارطة الصادر بقرار مجلس الوزراء رقم (196) لعام 1445هـ المشروعَ العقاري بأنه </w:t>
      </w:r>
      <w:r w:rsidRPr="00FD338A">
        <w:rPr>
          <w:rFonts w:ascii="Simplified Arabic" w:eastAsia="Times New Roman" w:hAnsi="Simplified Arabic" w:cs="Simplified Arabic"/>
          <w:color w:val="000000" w:themeColor="text1"/>
          <w:kern w:val="0"/>
          <w:sz w:val="28"/>
          <w:szCs w:val="28"/>
          <w14:ligatures w14:val="none"/>
        </w:rPr>
        <w:t>"</w:t>
      </w:r>
      <w:r w:rsidRPr="00FD338A">
        <w:rPr>
          <w:rFonts w:ascii="Simplified Arabic" w:eastAsia="Times New Roman" w:hAnsi="Simplified Arabic" w:cs="Simplified Arabic"/>
          <w:color w:val="000000" w:themeColor="text1"/>
          <w:kern w:val="0"/>
          <w:sz w:val="28"/>
          <w:szCs w:val="28"/>
          <w:rtl/>
          <w14:ligatures w14:val="none"/>
        </w:rPr>
        <w:t>مشروع عقاري يراد تطويره لبيع أو تأجير أراضٍ مطورة أو وحدات عقارية على الخارطة، قبل البدء في تنفيذه أو في أثناء أعمال الإنشاء والتطوير بحسب التصميم أو المخطط المتفق عليه". ويُعرَّف إجرائياً في هذه الدراسة بأنه عقد يتمّ بموجبه بيع وحدة عقارية لم تُنشأ بعد أو في مرحلة الإنشاء، استناداً إلى تصاميم ومخططات معتمدة، ضمن مشروعات مرخَّصة من برنامج "وافي</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التابع للهيئة العامة للعقار</w:t>
      </w:r>
      <w:r w:rsidRPr="00FD338A">
        <w:rPr>
          <w:rFonts w:ascii="Simplified Arabic" w:eastAsia="Times New Roman" w:hAnsi="Simplified Arabic" w:cs="Simplified Arabic"/>
          <w:color w:val="000000" w:themeColor="text1"/>
          <w:kern w:val="0"/>
          <w:sz w:val="28"/>
          <w:szCs w:val="28"/>
          <w14:ligatures w14:val="none"/>
        </w:rPr>
        <w:t>.</w:t>
      </w:r>
    </w:p>
    <w:p w14:paraId="4B6C986E" w14:textId="77777777" w:rsidR="00611029" w:rsidRPr="00FD338A" w:rsidRDefault="00611029"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تنظيم البيع على الخارطة</w:t>
      </w:r>
      <w:r w:rsidRPr="00FD338A">
        <w:rPr>
          <w:rFonts w:ascii="Simplified Arabic" w:eastAsia="Times New Roman" w:hAnsi="Simplified Arabic" w:cs="Simplified Arabic"/>
          <w:color w:val="000000" w:themeColor="text1"/>
          <w:kern w:val="0"/>
          <w:sz w:val="28"/>
          <w:szCs w:val="28"/>
          <w14:ligatures w14:val="none"/>
        </w:rPr>
        <w:t xml:space="preserve"> (Off-Plan Sales Regulation): </w:t>
      </w:r>
      <w:r w:rsidRPr="00FD338A">
        <w:rPr>
          <w:rFonts w:ascii="Simplified Arabic" w:eastAsia="Times New Roman" w:hAnsi="Simplified Arabic" w:cs="Simplified Arabic"/>
          <w:color w:val="000000" w:themeColor="text1"/>
          <w:kern w:val="0"/>
          <w:sz w:val="28"/>
          <w:szCs w:val="28"/>
          <w:rtl/>
          <w14:ligatures w14:val="none"/>
        </w:rPr>
        <w:t xml:space="preserve">يُقصد به مجموعة القواعد القانونية والإجرائية والرقابية التي وضعها المنظِّم السعودي لحوكمة عمليات بيع الوحدات العقارية قبل اكتمال إنشائها، بهدف حفظ حقوق المتعاملين ورفع موثوقية السوق العقاري (العساف وعجاج، </w:t>
      </w:r>
      <w:r w:rsidRPr="00FD338A">
        <w:rPr>
          <w:rFonts w:ascii="Simplified Arabic" w:eastAsia="Times New Roman" w:hAnsi="Simplified Arabic" w:cs="Simplified Arabic"/>
          <w:color w:val="000000" w:themeColor="text1"/>
          <w:kern w:val="0"/>
          <w:sz w:val="28"/>
          <w:szCs w:val="28"/>
          <w14:ligatures w14:val="none"/>
        </w:rPr>
        <w:t xml:space="preserve">2025). </w:t>
      </w:r>
      <w:r w:rsidRPr="00FD338A">
        <w:rPr>
          <w:rFonts w:ascii="Simplified Arabic" w:eastAsia="Times New Roman" w:hAnsi="Simplified Arabic" w:cs="Simplified Arabic"/>
          <w:color w:val="000000" w:themeColor="text1"/>
          <w:kern w:val="0"/>
          <w:sz w:val="28"/>
          <w:szCs w:val="28"/>
          <w:rtl/>
          <w14:ligatures w14:val="none"/>
        </w:rPr>
        <w:t xml:space="preserve">ويُقاس في هذه </w:t>
      </w:r>
      <w:r w:rsidRPr="00FD338A">
        <w:rPr>
          <w:rFonts w:ascii="Simplified Arabic" w:eastAsia="Times New Roman" w:hAnsi="Simplified Arabic" w:cs="Simplified Arabic"/>
          <w:color w:val="000000" w:themeColor="text1"/>
          <w:kern w:val="0"/>
          <w:sz w:val="28"/>
          <w:szCs w:val="28"/>
          <w:rtl/>
          <w14:ligatures w14:val="none"/>
        </w:rPr>
        <w:lastRenderedPageBreak/>
        <w:t>الدراسة من خلال أربعة أبعاد هي: الترخيص وتأهيل المطوِّرين العقاريين، وحساب الضمان والرقابة المالية، والالتزامات التعاقدية وضوابط العقد، والإفصاح والشفافية المعلوماتية</w:t>
      </w:r>
      <w:r w:rsidRPr="00FD338A">
        <w:rPr>
          <w:rFonts w:ascii="Simplified Arabic" w:eastAsia="Times New Roman" w:hAnsi="Simplified Arabic" w:cs="Simplified Arabic"/>
          <w:color w:val="000000" w:themeColor="text1"/>
          <w:kern w:val="0"/>
          <w:sz w:val="28"/>
          <w:szCs w:val="28"/>
          <w14:ligatures w14:val="none"/>
        </w:rPr>
        <w:t>.</w:t>
      </w:r>
    </w:p>
    <w:p w14:paraId="20208DA7" w14:textId="4AE3A597" w:rsidR="00611029" w:rsidRPr="00FD338A" w:rsidRDefault="00611029"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الترخيص وتأهيل المطوِّرين العقاريين</w:t>
      </w:r>
      <w:r w:rsidRPr="00FD338A">
        <w:rPr>
          <w:rFonts w:ascii="Simplified Arabic" w:eastAsia="Times New Roman" w:hAnsi="Simplified Arabic" w:cs="Simplified Arabic"/>
          <w:color w:val="000000" w:themeColor="text1"/>
          <w:kern w:val="0"/>
          <w:sz w:val="28"/>
          <w:szCs w:val="28"/>
          <w14:ligatures w14:val="none"/>
        </w:rPr>
        <w:t xml:space="preserve"> (Developer Licensing and Qualification): </w:t>
      </w:r>
      <w:r w:rsidRPr="00FD338A">
        <w:rPr>
          <w:rFonts w:ascii="Simplified Arabic" w:eastAsia="Times New Roman" w:hAnsi="Simplified Arabic" w:cs="Simplified Arabic"/>
          <w:color w:val="000000" w:themeColor="text1"/>
          <w:kern w:val="0"/>
          <w:sz w:val="28"/>
          <w:szCs w:val="28"/>
          <w:rtl/>
          <w14:ligatures w14:val="none"/>
        </w:rPr>
        <w:t>يُشير إلى منظومة الاشتراطات التي يجب على المطوِّر العقاري استيفاؤها قبل مزاولة نشاط البيع على الخارطة، وتشمل القيد في سجل المطوِّرين لدى الهيئة العامة للعقار، والحصول على السجل التجاري وعضوية الغرفة التجارية، وتقديم السجل الائتماني ودراسة الجدوى الاقتصادية، والحصول على الترخيص الخاص بالمشروع وفقاً للمادة السادسة من النظام (الغامدي، 2024)</w:t>
      </w:r>
      <w:r w:rsidRPr="00FD338A">
        <w:rPr>
          <w:rFonts w:ascii="Simplified Arabic" w:eastAsia="Times New Roman" w:hAnsi="Simplified Arabic" w:cs="Simplified Arabic"/>
          <w:color w:val="000000" w:themeColor="text1"/>
          <w:kern w:val="0"/>
          <w:sz w:val="28"/>
          <w:szCs w:val="28"/>
          <w14:ligatures w14:val="none"/>
        </w:rPr>
        <w:t>.</w:t>
      </w:r>
    </w:p>
    <w:p w14:paraId="1BE70368" w14:textId="77777777" w:rsidR="00611029" w:rsidRPr="00FD338A" w:rsidRDefault="00611029"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حساب الضمان والرقابة المالية</w:t>
      </w:r>
      <w:r w:rsidRPr="00FD338A">
        <w:rPr>
          <w:rFonts w:ascii="Simplified Arabic" w:eastAsia="Times New Roman" w:hAnsi="Simplified Arabic" w:cs="Simplified Arabic"/>
          <w:color w:val="000000" w:themeColor="text1"/>
          <w:kern w:val="0"/>
          <w:sz w:val="28"/>
          <w:szCs w:val="28"/>
          <w14:ligatures w14:val="none"/>
        </w:rPr>
        <w:t xml:space="preserve"> (Escrow Account and Financial Oversight): </w:t>
      </w:r>
      <w:r w:rsidRPr="00FD338A">
        <w:rPr>
          <w:rFonts w:ascii="Simplified Arabic" w:eastAsia="Times New Roman" w:hAnsi="Simplified Arabic" w:cs="Simplified Arabic"/>
          <w:color w:val="000000" w:themeColor="text1"/>
          <w:kern w:val="0"/>
          <w:sz w:val="28"/>
          <w:szCs w:val="28"/>
          <w:rtl/>
          <w14:ligatures w14:val="none"/>
        </w:rPr>
        <w:t xml:space="preserve">عرّفت المادة الأولى من النظام حساب الضمان بأنه "حساب بنكي خاص بالمشروع العقاري، تودع فيه المبالغ التي دفعها الممولون للمشروع العقاري، أو المشترون، أو المستأجرون من المشروع". ويُخصَّص هذا الحساب حصرياً لأغراض الصرف على المشروع المرخَّص، ولا يجوز الحجز عليه لمصلحة دائني المطوِّر، ويكون الصرف منه بموجب وثيقة يوقّعها المطوِّر والمكتب الاستشاري والمحاسب القانوني وفقاً للمواد من التاسعة إلى الرابعة عشرة من النظام (شعيب وزكي، </w:t>
      </w:r>
      <w:r w:rsidRPr="00FD338A">
        <w:rPr>
          <w:rFonts w:ascii="Simplified Arabic" w:eastAsia="Times New Roman" w:hAnsi="Simplified Arabic" w:cs="Simplified Arabic"/>
          <w:color w:val="000000" w:themeColor="text1"/>
          <w:kern w:val="0"/>
          <w:sz w:val="28"/>
          <w:szCs w:val="28"/>
          <w14:ligatures w14:val="none"/>
        </w:rPr>
        <w:t>2025).</w:t>
      </w:r>
    </w:p>
    <w:p w14:paraId="087A680E" w14:textId="77777777" w:rsidR="00611029" w:rsidRPr="00FD338A" w:rsidRDefault="00611029"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الالتزامات التعاقدية وضوابط العقد</w:t>
      </w:r>
      <w:r w:rsidRPr="00FD338A">
        <w:rPr>
          <w:rFonts w:ascii="Simplified Arabic" w:eastAsia="Times New Roman" w:hAnsi="Simplified Arabic" w:cs="Simplified Arabic"/>
          <w:color w:val="000000" w:themeColor="text1"/>
          <w:kern w:val="0"/>
          <w:sz w:val="28"/>
          <w:szCs w:val="28"/>
          <w14:ligatures w14:val="none"/>
        </w:rPr>
        <w:t xml:space="preserve"> (Contractual Obligations and Contract Controls): </w:t>
      </w:r>
      <w:r w:rsidRPr="00FD338A">
        <w:rPr>
          <w:rFonts w:ascii="Simplified Arabic" w:eastAsia="Times New Roman" w:hAnsi="Simplified Arabic" w:cs="Simplified Arabic"/>
          <w:color w:val="000000" w:themeColor="text1"/>
          <w:kern w:val="0"/>
          <w:sz w:val="28"/>
          <w:szCs w:val="28"/>
          <w:rtl/>
          <w14:ligatures w14:val="none"/>
        </w:rPr>
        <w:t>تُشير إلى الأحكام التنظيمية التي تحكم العلاقة التعاقدية بين المطوِّر والمشتري، وتشمل إلزام المطوِّر باستخدام نموذج عقد بيع معتمد من الهيئة يتضمّن مواعيد تسليم محددة باليوم، والنص على الشرط الجزائي الذي يُلزم المطوِّر بتعويض المشتري عند التأخير بما لا يقل عن 2% سنوياً من قيمة الأرض المطورة أو أجرة المثل للوحدة العقارية وفقاً للمادة العشرين من النظام، فضلاً عن التأشير على صك ملكية العقار بعدم التصرف فيه حتى اكتمال التطوير وفقاً للمادة الثامنة (لقم والشثري، 2024)</w:t>
      </w:r>
      <w:r w:rsidRPr="00FD338A">
        <w:rPr>
          <w:rFonts w:ascii="Simplified Arabic" w:eastAsia="Times New Roman" w:hAnsi="Simplified Arabic" w:cs="Simplified Arabic"/>
          <w:color w:val="000000" w:themeColor="text1"/>
          <w:kern w:val="0"/>
          <w:sz w:val="28"/>
          <w:szCs w:val="28"/>
          <w14:ligatures w14:val="none"/>
        </w:rPr>
        <w:t>.</w:t>
      </w:r>
    </w:p>
    <w:p w14:paraId="5AF68832" w14:textId="77777777" w:rsidR="00611029" w:rsidRPr="00FD338A" w:rsidRDefault="00611029"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الإفصاح والشفافية المعلوماتية</w:t>
      </w:r>
      <w:r w:rsidRPr="00FD338A">
        <w:rPr>
          <w:rFonts w:ascii="Simplified Arabic" w:eastAsia="Times New Roman" w:hAnsi="Simplified Arabic" w:cs="Simplified Arabic"/>
          <w:color w:val="000000" w:themeColor="text1"/>
          <w:kern w:val="0"/>
          <w:sz w:val="28"/>
          <w:szCs w:val="28"/>
          <w14:ligatures w14:val="none"/>
        </w:rPr>
        <w:t xml:space="preserve"> (Disclosure and Information Transparency): </w:t>
      </w:r>
      <w:r w:rsidRPr="00FD338A">
        <w:rPr>
          <w:rFonts w:ascii="Simplified Arabic" w:eastAsia="Times New Roman" w:hAnsi="Simplified Arabic" w:cs="Simplified Arabic"/>
          <w:color w:val="000000" w:themeColor="text1"/>
          <w:kern w:val="0"/>
          <w:sz w:val="28"/>
          <w:szCs w:val="28"/>
          <w:rtl/>
          <w14:ligatures w14:val="none"/>
        </w:rPr>
        <w:t>يُقصد بها التزامات المطوِّر بتوفير معلومات دقيقة وشاملة وحديثة للمشتري والجهات الرقابية حول المشروع العقاري، وتشمل الإعلان الدقيق عن المشروع ومواصفاته، وتقديم القوائم المالية الدورية المُعدّة من المحاسب القانوني، وتقارير المكتب الاستشاري عن سير الأعمال ونسب الإنجاز، وحق المشتري في الاطلاع على السجلات المحاسبية الخاصة به وفقاً للمادة السابعة عشرة، فضلاً عن إلزام المحاسب القانوني والمكتب الاستشاري بالإبلاغ عن أي مخالفة وفقاً للمادة التاسعة عشرة (الكرياني، 2023)</w:t>
      </w:r>
      <w:r w:rsidRPr="00FD338A">
        <w:rPr>
          <w:rFonts w:ascii="Simplified Arabic" w:eastAsia="Times New Roman" w:hAnsi="Simplified Arabic" w:cs="Simplified Arabic"/>
          <w:color w:val="000000" w:themeColor="text1"/>
          <w:kern w:val="0"/>
          <w:sz w:val="28"/>
          <w:szCs w:val="28"/>
          <w14:ligatures w14:val="none"/>
        </w:rPr>
        <w:t>.</w:t>
      </w:r>
    </w:p>
    <w:p w14:paraId="3ED3DF53" w14:textId="77777777" w:rsidR="00611029" w:rsidRPr="00FD338A" w:rsidRDefault="00611029"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ثقة المشترين</w:t>
      </w:r>
      <w:r w:rsidRPr="00FD338A">
        <w:rPr>
          <w:rFonts w:ascii="Simplified Arabic" w:eastAsia="Times New Roman" w:hAnsi="Simplified Arabic" w:cs="Simplified Arabic"/>
          <w:color w:val="000000" w:themeColor="text1"/>
          <w:kern w:val="0"/>
          <w:sz w:val="28"/>
          <w:szCs w:val="28"/>
          <w14:ligatures w14:val="none"/>
        </w:rPr>
        <w:t xml:space="preserve"> (Buyer Trust): </w:t>
      </w:r>
      <w:r w:rsidRPr="00FD338A">
        <w:rPr>
          <w:rFonts w:ascii="Simplified Arabic" w:eastAsia="Times New Roman" w:hAnsi="Simplified Arabic" w:cs="Simplified Arabic"/>
          <w:color w:val="000000" w:themeColor="text1"/>
          <w:kern w:val="0"/>
          <w:sz w:val="28"/>
          <w:szCs w:val="28"/>
          <w:rtl/>
          <w14:ligatures w14:val="none"/>
        </w:rPr>
        <w:t>تُعرَّف الثقة في الأدبيات بأنها الاستعداد النفسي لدى أحد أطراف العلاقة لقبول حالة الضعف أمام الطرف الآخر استناداً إلى توقعات إيجابية بشأن نواياه وسلوكه</w:t>
      </w:r>
      <w:r w:rsidRPr="00FD338A">
        <w:rPr>
          <w:rFonts w:ascii="Simplified Arabic" w:eastAsia="Times New Roman" w:hAnsi="Simplified Arabic" w:cs="Simplified Arabic"/>
          <w:color w:val="000000" w:themeColor="text1"/>
          <w:kern w:val="0"/>
          <w:sz w:val="28"/>
          <w:szCs w:val="28"/>
          <w14:ligatures w14:val="none"/>
        </w:rPr>
        <w:t xml:space="preserve"> (Mayer, Davis &amp; </w:t>
      </w:r>
      <w:proofErr w:type="spellStart"/>
      <w:r w:rsidRPr="00FD338A">
        <w:rPr>
          <w:rFonts w:ascii="Simplified Arabic" w:eastAsia="Times New Roman" w:hAnsi="Simplified Arabic" w:cs="Simplified Arabic"/>
          <w:color w:val="000000" w:themeColor="text1"/>
          <w:kern w:val="0"/>
          <w:sz w:val="28"/>
          <w:szCs w:val="28"/>
          <w14:ligatures w14:val="none"/>
        </w:rPr>
        <w:t>Schoorman</w:t>
      </w:r>
      <w:proofErr w:type="spellEnd"/>
      <w:r w:rsidRPr="00FD338A">
        <w:rPr>
          <w:rFonts w:ascii="Simplified Arabic" w:eastAsia="Times New Roman" w:hAnsi="Simplified Arabic" w:cs="Simplified Arabic"/>
          <w:color w:val="000000" w:themeColor="text1"/>
          <w:kern w:val="0"/>
          <w:sz w:val="28"/>
          <w:szCs w:val="28"/>
          <w14:ligatures w14:val="none"/>
        </w:rPr>
        <w:t xml:space="preserve">, 1995). </w:t>
      </w:r>
      <w:r w:rsidRPr="00FD338A">
        <w:rPr>
          <w:rFonts w:ascii="Simplified Arabic" w:eastAsia="Times New Roman" w:hAnsi="Simplified Arabic" w:cs="Simplified Arabic"/>
          <w:color w:val="000000" w:themeColor="text1"/>
          <w:kern w:val="0"/>
          <w:sz w:val="28"/>
          <w:szCs w:val="28"/>
          <w:rtl/>
          <w14:ligatures w14:val="none"/>
        </w:rPr>
        <w:t xml:space="preserve">وتُعرَّف إجرائياً في هذه الدراسة بأنها درجة اطمئنان المشتري الفعلي أو المحتمل لوحدة عقارية على الخارطة تجاه قدرة المطوِّر على الوفاء بالتزاماته، وفاعلية الإطار التنظيمي والرقابي في حماية حقوقه المالية والتعاقدية، وعدالة الشروط التعاقدية، وكفاية المعلومات المتاحة له لاتخاذ قرار شرائي مستنير. وتُقاس من خلال (12) فقرة تُغطّي هذه الأبعاد مجتمعة وفق مقياس ليكرت الخماسي </w:t>
      </w:r>
      <w:r w:rsidRPr="00FD338A">
        <w:rPr>
          <w:rFonts w:ascii="Simplified Arabic" w:eastAsia="Times New Roman" w:hAnsi="Simplified Arabic" w:cs="Simplified Arabic"/>
          <w:color w:val="000000" w:themeColor="text1"/>
          <w:kern w:val="0"/>
          <w:sz w:val="28"/>
          <w:szCs w:val="28"/>
          <w14:ligatures w14:val="none"/>
        </w:rPr>
        <w:t>(</w:t>
      </w:r>
      <w:proofErr w:type="spellStart"/>
      <w:r w:rsidRPr="00FD338A">
        <w:rPr>
          <w:rFonts w:ascii="Simplified Arabic" w:eastAsia="Times New Roman" w:hAnsi="Simplified Arabic" w:cs="Simplified Arabic"/>
          <w:color w:val="000000" w:themeColor="text1"/>
          <w:kern w:val="0"/>
          <w:sz w:val="28"/>
          <w:szCs w:val="28"/>
          <w14:ligatures w14:val="none"/>
        </w:rPr>
        <w:t>Wiejak</w:t>
      </w:r>
      <w:proofErr w:type="spellEnd"/>
      <w:r w:rsidRPr="00FD338A">
        <w:rPr>
          <w:rFonts w:ascii="Simplified Arabic" w:eastAsia="Times New Roman" w:hAnsi="Simplified Arabic" w:cs="Simplified Arabic"/>
          <w:color w:val="000000" w:themeColor="text1"/>
          <w:kern w:val="0"/>
          <w:sz w:val="28"/>
          <w:szCs w:val="28"/>
          <w14:ligatures w14:val="none"/>
        </w:rPr>
        <w:t>-Roy et al., 2024).</w:t>
      </w:r>
    </w:p>
    <w:p w14:paraId="58791C3E" w14:textId="27A78A43" w:rsidR="00156D45" w:rsidRPr="00FD338A" w:rsidRDefault="00611029"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lang w:bidi="ar-EG"/>
          <w14:ligatures w14:val="none"/>
        </w:rPr>
        <w:t>و</w:t>
      </w:r>
      <w:r w:rsidR="00156D45" w:rsidRPr="00FD338A">
        <w:rPr>
          <w:rFonts w:ascii="Simplified Arabic" w:eastAsia="Times New Roman" w:hAnsi="Simplified Arabic" w:cs="Simplified Arabic"/>
          <w:color w:val="000000" w:themeColor="text1"/>
          <w:kern w:val="0"/>
          <w:sz w:val="28"/>
          <w:szCs w:val="28"/>
          <w:rtl/>
          <w14:ligatures w14:val="none"/>
        </w:rPr>
        <w:t>تستند هذه الدراسة في تأطيرها النظري إلى ثلاث نظريات رئيسية تُفسّر العلاقة بين تنظيم البيع على الخارطة وثقة المشترين</w:t>
      </w:r>
      <w:r w:rsidR="00156D45" w:rsidRPr="00FD338A">
        <w:rPr>
          <w:rFonts w:ascii="Simplified Arabic" w:eastAsia="Times New Roman" w:hAnsi="Simplified Arabic" w:cs="Simplified Arabic"/>
          <w:color w:val="000000" w:themeColor="text1"/>
          <w:kern w:val="0"/>
          <w:sz w:val="28"/>
          <w:szCs w:val="28"/>
          <w14:ligatures w14:val="none"/>
        </w:rPr>
        <w:t xml:space="preserve">. </w:t>
      </w:r>
      <w:r w:rsidR="00156D45" w:rsidRPr="00FD338A">
        <w:rPr>
          <w:rFonts w:ascii="Simplified Arabic" w:eastAsia="Times New Roman" w:hAnsi="Simplified Arabic" w:cs="Simplified Arabic"/>
          <w:color w:val="000000" w:themeColor="text1"/>
          <w:kern w:val="0"/>
          <w:sz w:val="28"/>
          <w:szCs w:val="28"/>
          <w:rtl/>
          <w14:ligatures w14:val="none"/>
        </w:rPr>
        <w:t>النظرية الأولى هي نظرية الوكالة</w:t>
      </w:r>
      <w:r w:rsidR="00156D45" w:rsidRPr="00FD338A">
        <w:rPr>
          <w:rFonts w:ascii="Simplified Arabic" w:eastAsia="Times New Roman" w:hAnsi="Simplified Arabic" w:cs="Simplified Arabic"/>
          <w:color w:val="000000" w:themeColor="text1"/>
          <w:kern w:val="0"/>
          <w:sz w:val="28"/>
          <w:szCs w:val="28"/>
          <w14:ligatures w14:val="none"/>
        </w:rPr>
        <w:t xml:space="preserve"> (Agency Theory) </w:t>
      </w:r>
      <w:r w:rsidR="00156D45" w:rsidRPr="00FD338A">
        <w:rPr>
          <w:rFonts w:ascii="Simplified Arabic" w:eastAsia="Times New Roman" w:hAnsi="Simplified Arabic" w:cs="Simplified Arabic"/>
          <w:color w:val="000000" w:themeColor="text1"/>
          <w:kern w:val="0"/>
          <w:sz w:val="28"/>
          <w:szCs w:val="28"/>
          <w:rtl/>
          <w14:ligatures w14:val="none"/>
        </w:rPr>
        <w:t>التي طوّرها</w:t>
      </w:r>
      <w:r w:rsidR="00156D45" w:rsidRPr="00FD338A">
        <w:rPr>
          <w:rFonts w:ascii="Simplified Arabic" w:eastAsia="Times New Roman" w:hAnsi="Simplified Arabic" w:cs="Simplified Arabic"/>
          <w:color w:val="000000" w:themeColor="text1"/>
          <w:kern w:val="0"/>
          <w:sz w:val="28"/>
          <w:szCs w:val="28"/>
          <w14:ligatures w14:val="none"/>
        </w:rPr>
        <w:t xml:space="preserve"> Jensen </w:t>
      </w:r>
      <w:r w:rsidR="00156D45" w:rsidRPr="00FD338A">
        <w:rPr>
          <w:rFonts w:ascii="Simplified Arabic" w:eastAsia="Times New Roman" w:hAnsi="Simplified Arabic" w:cs="Simplified Arabic"/>
          <w:color w:val="000000" w:themeColor="text1"/>
          <w:kern w:val="0"/>
          <w:sz w:val="28"/>
          <w:szCs w:val="28"/>
          <w:rtl/>
          <w14:ligatures w14:val="none"/>
        </w:rPr>
        <w:t>و</w:t>
      </w:r>
      <w:r w:rsidR="00156D45" w:rsidRPr="00FD338A">
        <w:rPr>
          <w:rFonts w:ascii="Simplified Arabic" w:eastAsia="Times New Roman" w:hAnsi="Simplified Arabic" w:cs="Simplified Arabic"/>
          <w:color w:val="000000" w:themeColor="text1"/>
          <w:kern w:val="0"/>
          <w:sz w:val="28"/>
          <w:szCs w:val="28"/>
          <w14:ligatures w14:val="none"/>
        </w:rPr>
        <w:t xml:space="preserve">Meckling </w:t>
      </w:r>
      <w:r w:rsidR="00156D45" w:rsidRPr="00FD338A">
        <w:rPr>
          <w:rFonts w:ascii="Simplified Arabic" w:eastAsia="Times New Roman" w:hAnsi="Simplified Arabic" w:cs="Simplified Arabic"/>
          <w:color w:val="000000" w:themeColor="text1"/>
          <w:kern w:val="0"/>
          <w:sz w:val="28"/>
          <w:szCs w:val="28"/>
          <w:rtl/>
          <w14:ligatures w14:val="none"/>
        </w:rPr>
        <w:t>عام 1976، وتقوم على فكرة أن العلاقة التعاقدية بين الموكِّل (المشتري) والوكيل (المطوِّر العقاري) تنطوي بطبيعتها على تضارب محتمل في المصالح، حيث يمتلك المطوِّر معلومات تفصيلية عن المشروع وتكاليفه الحقيقية ومعدلات إنجازه لا يمتلكها المشتري، مما يُولّد ما يُعرف بمشكلة الخطر الأخلاقي</w:t>
      </w:r>
      <w:r w:rsidR="00156D45" w:rsidRPr="00FD338A">
        <w:rPr>
          <w:rFonts w:ascii="Simplified Arabic" w:eastAsia="Times New Roman" w:hAnsi="Simplified Arabic" w:cs="Simplified Arabic"/>
          <w:color w:val="000000" w:themeColor="text1"/>
          <w:kern w:val="0"/>
          <w:sz w:val="28"/>
          <w:szCs w:val="28"/>
          <w14:ligatures w14:val="none"/>
        </w:rPr>
        <w:t xml:space="preserve"> (Moral Hazard) </w:t>
      </w:r>
      <w:r w:rsidR="00156D45" w:rsidRPr="00FD338A">
        <w:rPr>
          <w:rFonts w:ascii="Simplified Arabic" w:eastAsia="Times New Roman" w:hAnsi="Simplified Arabic" w:cs="Simplified Arabic"/>
          <w:color w:val="000000" w:themeColor="text1"/>
          <w:kern w:val="0"/>
          <w:sz w:val="28"/>
          <w:szCs w:val="28"/>
          <w:rtl/>
          <w14:ligatures w14:val="none"/>
        </w:rPr>
        <w:t>التي قد تدفع المطوِّر إلى تقليل جودة التنفيذ أو تأخير التسليم أو تحويل الأموال لأغراض أخرى. وتُفسّر هذه النظرية الحاجة إلى آليات رقابية كحساب الضمان والمحاسب القانوني والاستشاري الهندسي بوصفها أدوات لتقليص تكاليف الوكالة وضبط سلوك المطوِّر بما يتوافق مع مصلحة المشتري (الصندل، 2021)</w:t>
      </w:r>
      <w:r w:rsidR="00156D45" w:rsidRPr="00FD338A">
        <w:rPr>
          <w:rFonts w:ascii="Simplified Arabic" w:eastAsia="Times New Roman" w:hAnsi="Simplified Arabic" w:cs="Simplified Arabic"/>
          <w:color w:val="000000" w:themeColor="text1"/>
          <w:kern w:val="0"/>
          <w:sz w:val="28"/>
          <w:szCs w:val="28"/>
          <w14:ligatures w14:val="none"/>
        </w:rPr>
        <w:t>.</w:t>
      </w:r>
    </w:p>
    <w:p w14:paraId="393D62FC"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النظرية الثانية هي نظرية عدم تماثل المعلومات </w:t>
      </w:r>
      <w:r w:rsidRPr="00FD338A">
        <w:rPr>
          <w:rFonts w:ascii="Simplified Arabic" w:eastAsia="Times New Roman" w:hAnsi="Simplified Arabic" w:cs="Simplified Arabic"/>
          <w:color w:val="000000" w:themeColor="text1"/>
          <w:kern w:val="0"/>
          <w:sz w:val="28"/>
          <w:szCs w:val="28"/>
          <w14:ligatures w14:val="none"/>
        </w:rPr>
        <w:t xml:space="preserve">(Information Asymmetry Theory) </w:t>
      </w:r>
      <w:r w:rsidRPr="00FD338A">
        <w:rPr>
          <w:rFonts w:ascii="Simplified Arabic" w:eastAsia="Times New Roman" w:hAnsi="Simplified Arabic" w:cs="Simplified Arabic"/>
          <w:color w:val="000000" w:themeColor="text1"/>
          <w:kern w:val="0"/>
          <w:sz w:val="28"/>
          <w:szCs w:val="28"/>
          <w:rtl/>
          <w14:ligatures w14:val="none"/>
        </w:rPr>
        <w:t>التي أسّس لها</w:t>
      </w:r>
      <w:r w:rsidRPr="00FD338A">
        <w:rPr>
          <w:rFonts w:ascii="Simplified Arabic" w:eastAsia="Times New Roman" w:hAnsi="Simplified Arabic" w:cs="Simplified Arabic"/>
          <w:color w:val="000000" w:themeColor="text1"/>
          <w:kern w:val="0"/>
          <w:sz w:val="28"/>
          <w:szCs w:val="28"/>
          <w14:ligatures w14:val="none"/>
        </w:rPr>
        <w:t xml:space="preserve"> Akerlof </w:t>
      </w:r>
      <w:r w:rsidRPr="00FD338A">
        <w:rPr>
          <w:rFonts w:ascii="Simplified Arabic" w:eastAsia="Times New Roman" w:hAnsi="Simplified Arabic" w:cs="Simplified Arabic"/>
          <w:color w:val="000000" w:themeColor="text1"/>
          <w:kern w:val="0"/>
          <w:sz w:val="28"/>
          <w:szCs w:val="28"/>
          <w:rtl/>
          <w14:ligatures w14:val="none"/>
        </w:rPr>
        <w:t>عام 1970 في نموذجه الشهير "سوق الليمون"، وتُفترض أن أحد طرفي المعاملة يمتلك معلومات أكثر أو أدق من الطرف الآخر، وهو ما ينطبق تماماً على سياق البيع على الخارطة حيث يمتلك المطوِّر معرفة كاملة بحالة المشروع ومخاطره بينما لا يستطيع المشتري التحقق من جودة المنتج قبل اكتماله. ويُنتج هذا التفاوت المعلوماتي مشكلة الاختيار العكسي</w:t>
      </w:r>
      <w:r w:rsidRPr="00FD338A">
        <w:rPr>
          <w:rFonts w:ascii="Simplified Arabic" w:eastAsia="Times New Roman" w:hAnsi="Simplified Arabic" w:cs="Simplified Arabic"/>
          <w:color w:val="000000" w:themeColor="text1"/>
          <w:kern w:val="0"/>
          <w:sz w:val="28"/>
          <w:szCs w:val="28"/>
          <w14:ligatures w14:val="none"/>
        </w:rPr>
        <w:t xml:space="preserve"> (Adverse Selection) </w:t>
      </w:r>
      <w:r w:rsidRPr="00FD338A">
        <w:rPr>
          <w:rFonts w:ascii="Simplified Arabic" w:eastAsia="Times New Roman" w:hAnsi="Simplified Arabic" w:cs="Simplified Arabic"/>
          <w:color w:val="000000" w:themeColor="text1"/>
          <w:kern w:val="0"/>
          <w:sz w:val="28"/>
          <w:szCs w:val="28"/>
          <w:rtl/>
          <w14:ligatures w14:val="none"/>
        </w:rPr>
        <w:t>التي قد تُؤدي إلى عزوف المشترين عن السوق أو قبولهم بمنتجات دون المستوى. وتُبرّر هذه النظرية أهمية آليات الإفصاح والشفافية المعلوماتية كالتقارير الدورية عن نسب الإنجاز والإعلان عن الأعباء المقرّرة على المشروع في تقليص هذه الفجوة المعلوماتية وتعزيز ثقة المشتري</w:t>
      </w:r>
      <w:r w:rsidRPr="00FD338A">
        <w:rPr>
          <w:rFonts w:ascii="Simplified Arabic" w:eastAsia="Times New Roman" w:hAnsi="Simplified Arabic" w:cs="Simplified Arabic"/>
          <w:color w:val="000000" w:themeColor="text1"/>
          <w:kern w:val="0"/>
          <w:sz w:val="28"/>
          <w:szCs w:val="28"/>
          <w14:ligatures w14:val="none"/>
        </w:rPr>
        <w:t xml:space="preserve"> (Gholipour, </w:t>
      </w:r>
      <w:proofErr w:type="spellStart"/>
      <w:r w:rsidRPr="00FD338A">
        <w:rPr>
          <w:rFonts w:ascii="Simplified Arabic" w:eastAsia="Times New Roman" w:hAnsi="Simplified Arabic" w:cs="Simplified Arabic"/>
          <w:color w:val="000000" w:themeColor="text1"/>
          <w:kern w:val="0"/>
          <w:sz w:val="28"/>
          <w:szCs w:val="28"/>
          <w14:ligatures w14:val="none"/>
        </w:rPr>
        <w:t>Tajaddini</w:t>
      </w:r>
      <w:proofErr w:type="spellEnd"/>
      <w:r w:rsidRPr="00FD338A">
        <w:rPr>
          <w:rFonts w:ascii="Simplified Arabic" w:eastAsia="Times New Roman" w:hAnsi="Simplified Arabic" w:cs="Simplified Arabic"/>
          <w:color w:val="000000" w:themeColor="text1"/>
          <w:kern w:val="0"/>
          <w:sz w:val="28"/>
          <w:szCs w:val="28"/>
          <w14:ligatures w14:val="none"/>
        </w:rPr>
        <w:t xml:space="preserve"> &amp; Pham, 2020).</w:t>
      </w:r>
    </w:p>
    <w:p w14:paraId="030B2149"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 xml:space="preserve">أما النظرية الثالثة فهي نظرية الإشارة </w:t>
      </w:r>
      <w:r w:rsidRPr="00FD338A">
        <w:rPr>
          <w:rFonts w:ascii="Simplified Arabic" w:eastAsia="Times New Roman" w:hAnsi="Simplified Arabic" w:cs="Simplified Arabic"/>
          <w:color w:val="000000" w:themeColor="text1"/>
          <w:kern w:val="0"/>
          <w:sz w:val="28"/>
          <w:szCs w:val="28"/>
          <w14:ligatures w14:val="none"/>
        </w:rPr>
        <w:t xml:space="preserve">(Signaling Theory) </w:t>
      </w:r>
      <w:r w:rsidRPr="00FD338A">
        <w:rPr>
          <w:rFonts w:ascii="Simplified Arabic" w:eastAsia="Times New Roman" w:hAnsi="Simplified Arabic" w:cs="Simplified Arabic"/>
          <w:color w:val="000000" w:themeColor="text1"/>
          <w:kern w:val="0"/>
          <w:sz w:val="28"/>
          <w:szCs w:val="28"/>
          <w:rtl/>
          <w14:ligatures w14:val="none"/>
        </w:rPr>
        <w:t>التي طوّرها</w:t>
      </w:r>
      <w:r w:rsidRPr="00FD338A">
        <w:rPr>
          <w:rFonts w:ascii="Simplified Arabic" w:eastAsia="Times New Roman" w:hAnsi="Simplified Arabic" w:cs="Simplified Arabic"/>
          <w:color w:val="000000" w:themeColor="text1"/>
          <w:kern w:val="0"/>
          <w:sz w:val="28"/>
          <w:szCs w:val="28"/>
          <w14:ligatures w14:val="none"/>
        </w:rPr>
        <w:t xml:space="preserve"> Spence </w:t>
      </w:r>
      <w:r w:rsidRPr="00FD338A">
        <w:rPr>
          <w:rFonts w:ascii="Simplified Arabic" w:eastAsia="Times New Roman" w:hAnsi="Simplified Arabic" w:cs="Simplified Arabic"/>
          <w:color w:val="000000" w:themeColor="text1"/>
          <w:kern w:val="0"/>
          <w:sz w:val="28"/>
          <w:szCs w:val="28"/>
          <w:rtl/>
          <w14:ligatures w14:val="none"/>
        </w:rPr>
        <w:t>عام 1973، وتُفسّر كيف يُمكن للطرف الذي يمتلك معلومات أفضل أن يُرسل إشارات موثوقة للطرف الآخر لتقليل حالة عدم اليقين. وفي سياق البيع على الخارطة، تُمثّل حصول المطوِّر على شهادة التأهيل من الهيئة العامة للعقار وقيده في سجل المطوِّرين والتزامه بنموذج العقد المعتمد والحصول على ترخيص المشروع إشاراتٍ إيجابية يُرسلها للمشتري تُدلّل على جدّيته وكفاءته والتزامه بالمعايير التنظيمية، وهو ما يُسهم في تقليل حالة عدم اليقين وبناء الثقة المؤسسية</w:t>
      </w:r>
      <w:r w:rsidRPr="00FD338A">
        <w:rPr>
          <w:rFonts w:ascii="Simplified Arabic" w:eastAsia="Times New Roman" w:hAnsi="Simplified Arabic" w:cs="Simplified Arabic"/>
          <w:color w:val="000000" w:themeColor="text1"/>
          <w:kern w:val="0"/>
          <w:sz w:val="28"/>
          <w:szCs w:val="28"/>
          <w14:ligatures w14:val="none"/>
        </w:rPr>
        <w:t xml:space="preserve"> (Bharti, Chenchu &amp; Jha, 2024).</w:t>
      </w:r>
    </w:p>
    <w:p w14:paraId="7CC33A0E" w14:textId="0A3518DF" w:rsidR="00096BBC" w:rsidRPr="00FD338A" w:rsidRDefault="00096BBC" w:rsidP="00096B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941113"/>
      <w:bookmarkStart w:id="19" w:name="_Toc169790506"/>
      <w:bookmarkEnd w:id="17"/>
      <w:r w:rsidRPr="00FD338A">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8"/>
    </w:p>
    <w:p w14:paraId="05DB4B86"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ستتبنّى هذه الدراسة المنهج الوصفي التحليلي بوصفه المنهج الأنسب لطبيعة الموضوع وأهدافه، إذ سيُستخدم الجانب الوصفي في رصد وتوصيف واقع تنظيم البيع على الخارطة في المملكة العربية السعودية من خلال أبعاده الأربعة (الترخيص وتأهيل المطوِّرين العقاريين، حساب الضمان والرقابة المالية، الالتزامات التعاقدية وضوابط العقد، الإفصاح والشفافية المعلوماتية)، بينما سيُوظَّف الجانب التحليلي في اختبار العلاقات السببية بين هذه الأبعاد والمتغير التابع المتمثّل في ثقة المشترين، وذلك باستخدام أساليب إحصائية استدلالية تُمكّن من التحقق من فروض الدراسة ومن تحديد الأبعاد الأكثر تأثيراً ودلالة إحصائية</w:t>
      </w:r>
      <w:r w:rsidRPr="00FD338A">
        <w:rPr>
          <w:rFonts w:ascii="Simplified Arabic" w:eastAsia="Times New Roman" w:hAnsi="Simplified Arabic" w:cs="Simplified Arabic"/>
          <w:color w:val="000000" w:themeColor="text1"/>
          <w:kern w:val="0"/>
          <w:sz w:val="28"/>
          <w:szCs w:val="28"/>
          <w14:ligatures w14:val="none"/>
        </w:rPr>
        <w:t>.</w:t>
      </w:r>
    </w:p>
    <w:p w14:paraId="48ED0761"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وسيعتمد الباحث في جمع البيانات الأولية على أداة الاستبانة المُصمَّمة وفق مقياس ليكرت الخماسي، حيث ستُوزَّع إلكترونياً على عينة من المشترين الفعليين والمحتملين لوحدات عقارية مطروحة ضمن برنامج "وافي" للبيع على الخارطة في المدن الرئيسية بالمملكة (الرياض، جدة، الدمام)، وسيُستكمل ذلك بمراجعة شاملة للأدبيات النظرية والدراسات السابقة والأنظمة واللوائح ذات الصلة بوصفها مصادر ثانوية تُثري الإطار المفاهيمي للدراسة وتُدعم تفسير نتائجها</w:t>
      </w:r>
      <w:r w:rsidRPr="00FD338A">
        <w:rPr>
          <w:rFonts w:ascii="Simplified Arabic" w:eastAsia="Times New Roman" w:hAnsi="Simplified Arabic" w:cs="Simplified Arabic"/>
          <w:color w:val="000000" w:themeColor="text1"/>
          <w:kern w:val="0"/>
          <w:sz w:val="28"/>
          <w:szCs w:val="28"/>
          <w14:ligatures w14:val="none"/>
        </w:rPr>
        <w:t>.</w:t>
      </w:r>
    </w:p>
    <w:p w14:paraId="7FE2F0F3" w14:textId="7F87C06E" w:rsidR="00156D45" w:rsidRPr="00FD338A" w:rsidRDefault="00096BBC" w:rsidP="00096B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0" w:name="_Toc233941114"/>
      <w:r w:rsidRPr="00FD338A">
        <w:rPr>
          <w:rFonts w:ascii="Simplified Arabic" w:eastAsia="Times New Roman" w:hAnsi="Simplified Arabic" w:cs="Simplified Arabic" w:hint="cs"/>
          <w:b/>
          <w:bCs/>
          <w:color w:val="000000" w:themeColor="text1"/>
          <w:kern w:val="36"/>
          <w:sz w:val="36"/>
          <w:szCs w:val="36"/>
          <w:rtl/>
          <w14:ligatures w14:val="none"/>
        </w:rPr>
        <w:t>11.1</w:t>
      </w:r>
      <w:r w:rsidR="00156D45" w:rsidRPr="00FD338A">
        <w:rPr>
          <w:rFonts w:ascii="Simplified Arabic" w:eastAsia="Times New Roman" w:hAnsi="Simplified Arabic" w:cs="Simplified Arabic"/>
          <w:b/>
          <w:bCs/>
          <w:color w:val="000000" w:themeColor="text1"/>
          <w:kern w:val="36"/>
          <w:sz w:val="36"/>
          <w:szCs w:val="36"/>
          <w:rtl/>
          <w14:ligatures w14:val="none"/>
        </w:rPr>
        <w:t xml:space="preserve"> </w:t>
      </w:r>
      <w:bookmarkStart w:id="21" w:name="_Toc223914291"/>
      <w:r w:rsidR="00156D45" w:rsidRPr="00FD338A">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0"/>
      <w:bookmarkEnd w:id="21"/>
    </w:p>
    <w:p w14:paraId="40428FFD"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المشترين الفعليين والمحتملين للوحدات العقارية المطروحة ضمن مشاريع البيع على الخارطة المرخَّصة من برنامج "وافي" التابع للهيئة العامة للعقار في المملكة العربية السعودية. وبحسب أحدث إحصاءات الهيئة العامة للعقار، بلغ عدد مشاريع البيع على الخارطة المرخَّصة بنهاية النصف الأول من عام 2025 نحو (654) مشروعاً عقارياً، تضمّ أكثر من (346,000) وحدة عقارية بقيمة بيعية تقديرية تجاوزت (508) مليارات ريال، فيما سجّلت منصة "سكني" أكثر من </w:t>
      </w:r>
      <w:r w:rsidRPr="00FD338A">
        <w:rPr>
          <w:rFonts w:ascii="Simplified Arabic" w:eastAsia="Times New Roman" w:hAnsi="Simplified Arabic" w:cs="Simplified Arabic"/>
          <w:color w:val="000000" w:themeColor="text1"/>
          <w:kern w:val="0"/>
          <w:sz w:val="28"/>
          <w:szCs w:val="28"/>
          <w14:ligatures w14:val="none"/>
        </w:rPr>
        <w:lastRenderedPageBreak/>
        <w:t xml:space="preserve">(580,000) </w:t>
      </w:r>
      <w:r w:rsidRPr="00FD338A">
        <w:rPr>
          <w:rFonts w:ascii="Simplified Arabic" w:eastAsia="Times New Roman" w:hAnsi="Simplified Arabic" w:cs="Simplified Arabic"/>
          <w:color w:val="000000" w:themeColor="text1"/>
          <w:kern w:val="0"/>
          <w:sz w:val="28"/>
          <w:szCs w:val="28"/>
          <w:rtl/>
          <w14:ligatures w14:val="none"/>
        </w:rPr>
        <w:t>حجز عبر نظام البيع على الخارطة، وبلغ عدد المطوِّرين العقاريين المؤهَّلين والمسجَّلين أكثر من (3,000) مطوِّر مرخَّص، وهو ما يعكس الحجم الكبير لمجتمع الدراسة وتنوّعه الجغرافي والديموغرافي</w:t>
      </w:r>
      <w:r w:rsidRPr="00FD338A">
        <w:rPr>
          <w:rFonts w:ascii="Simplified Arabic" w:eastAsia="Times New Roman" w:hAnsi="Simplified Arabic" w:cs="Simplified Arabic"/>
          <w:color w:val="000000" w:themeColor="text1"/>
          <w:kern w:val="0"/>
          <w:sz w:val="28"/>
          <w:szCs w:val="28"/>
          <w14:ligatures w14:val="none"/>
        </w:rPr>
        <w:t>.</w:t>
      </w:r>
    </w:p>
    <w:p w14:paraId="549AC489"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ونظراً لصعوبة الحصر الشامل لجميع أفراد المجتمع، سيلجأ الباحث إلى أسلوب العينة العشوائية الطبقية المتناسبة، حيث سيُقسَّم المجتمع إلى ثلاث طبقات جغرافية رئيسية (منطقة الرياض، ومنطقة مكة المكرمة، والمنطقة الشرقية) بوصفها المناطق الأكثر تركُّزاً لمشاريع البيع على الخارطة. وسيُحدَّد حجم العينة المستهدف بنحو (384) مفردة استناداً إلى معادلة ستيفن ثومبسون</w:t>
      </w:r>
      <w:r w:rsidRPr="00FD338A">
        <w:rPr>
          <w:rFonts w:ascii="Simplified Arabic" w:eastAsia="Times New Roman" w:hAnsi="Simplified Arabic" w:cs="Simplified Arabic"/>
          <w:color w:val="000000" w:themeColor="text1"/>
          <w:kern w:val="0"/>
          <w:sz w:val="28"/>
          <w:szCs w:val="28"/>
          <w14:ligatures w14:val="none"/>
        </w:rPr>
        <w:t xml:space="preserve"> (Steven Thompson) </w:t>
      </w:r>
      <w:r w:rsidRPr="00FD338A">
        <w:rPr>
          <w:rFonts w:ascii="Simplified Arabic" w:eastAsia="Times New Roman" w:hAnsi="Simplified Arabic" w:cs="Simplified Arabic"/>
          <w:color w:val="000000" w:themeColor="text1"/>
          <w:kern w:val="0"/>
          <w:sz w:val="28"/>
          <w:szCs w:val="28"/>
          <w:rtl/>
          <w14:ligatures w14:val="none"/>
        </w:rPr>
        <w:t>للمجتمعات الكبيرة عند مستوى ثقة (95%) وهامش خطأ (5%)، مع زيادة العدد المستهدف إلى (450) استبانة لتعويض الاستبانات غير المكتملة أو المستبعدة، على أن تُوزَّع إلكترونياً عبر المنصات العقارية ومجموعات المشترين المسجَّلين في برنامج "وافي</w:t>
      </w:r>
      <w:r w:rsidRPr="00FD338A">
        <w:rPr>
          <w:rFonts w:ascii="Simplified Arabic" w:eastAsia="Times New Roman" w:hAnsi="Simplified Arabic" w:cs="Simplified Arabic"/>
          <w:color w:val="000000" w:themeColor="text1"/>
          <w:kern w:val="0"/>
          <w:sz w:val="28"/>
          <w:szCs w:val="28"/>
          <w14:ligatures w14:val="none"/>
        </w:rPr>
        <w:t>".</w:t>
      </w:r>
    </w:p>
    <w:p w14:paraId="5815E581" w14:textId="374DB7D1" w:rsidR="00156D45" w:rsidRPr="00FD338A" w:rsidRDefault="00096BBC" w:rsidP="00096B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2" w:name="_Toc233941115"/>
      <w:r w:rsidRPr="00FD338A">
        <w:rPr>
          <w:rFonts w:ascii="Simplified Arabic" w:eastAsia="Times New Roman" w:hAnsi="Simplified Arabic" w:cs="Simplified Arabic" w:hint="cs"/>
          <w:b/>
          <w:bCs/>
          <w:color w:val="000000" w:themeColor="text1"/>
          <w:kern w:val="36"/>
          <w:sz w:val="36"/>
          <w:szCs w:val="36"/>
          <w:rtl/>
          <w14:ligatures w14:val="none"/>
        </w:rPr>
        <w:t>12.1</w:t>
      </w:r>
      <w:r w:rsidR="00156D45" w:rsidRPr="00FD338A">
        <w:rPr>
          <w:rFonts w:ascii="Simplified Arabic" w:eastAsia="Times New Roman" w:hAnsi="Simplified Arabic" w:cs="Simplified Arabic"/>
          <w:b/>
          <w:bCs/>
          <w:color w:val="000000" w:themeColor="text1"/>
          <w:kern w:val="36"/>
          <w:sz w:val="36"/>
          <w:szCs w:val="36"/>
          <w:rtl/>
          <w14:ligatures w14:val="none"/>
        </w:rPr>
        <w:t xml:space="preserve"> </w:t>
      </w:r>
      <w:bookmarkStart w:id="23" w:name="_Toc223914292"/>
      <w:r w:rsidR="00156D45" w:rsidRPr="00FD338A">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2"/>
      <w:bookmarkEnd w:id="23"/>
    </w:p>
    <w:p w14:paraId="5B1272A8"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ستعتمد الدراسة على نوعين من مصادر البيانات</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المصادر الثانوية، وتشمل الكتب والمراجع العلمية، والدوريات والمجلات المحكَّمة العربية والأجنبية، والرسائل الجامعية (ماجستير ودكتوراه)، والأنظمة واللوائح التنفيذية ذات الصلة ولا سيّما نظام بيع وتأجير مشروعات عقارية على الخارطة الصادر بقرار مجلس الوزراء رقم (196) لعام 1445هـ ولائحته التنفيذية، فضلاً عن التقارير والإحصاءات الرسمية الصادرة عن الهيئة العامة للعقار ومنصة "سكني" والهيئة العامة للإحصاء، وقواعد البيانات الإلكترونية مثل</w:t>
      </w:r>
      <w:r w:rsidRPr="00FD338A">
        <w:rPr>
          <w:rFonts w:ascii="Simplified Arabic" w:eastAsia="Times New Roman" w:hAnsi="Simplified Arabic" w:cs="Simplified Arabic"/>
          <w:color w:val="000000" w:themeColor="text1"/>
          <w:kern w:val="0"/>
          <w:sz w:val="28"/>
          <w:szCs w:val="28"/>
          <w14:ligatures w14:val="none"/>
        </w:rPr>
        <w:t xml:space="preserve"> (Scopus, Web of Science, Google Scholar, </w:t>
      </w:r>
      <w:r w:rsidRPr="00FD338A">
        <w:rPr>
          <w:rFonts w:ascii="Simplified Arabic" w:eastAsia="Times New Roman" w:hAnsi="Simplified Arabic" w:cs="Simplified Arabic"/>
          <w:color w:val="000000" w:themeColor="text1"/>
          <w:kern w:val="0"/>
          <w:sz w:val="28"/>
          <w:szCs w:val="28"/>
          <w:rtl/>
          <w14:ligatures w14:val="none"/>
        </w:rPr>
        <w:t>دار المنظومة، المعرفة). أما المصادر الأولية فتتمثّل في البيانات التي سيجمعها الباحث ميدانياً من خلال أداة الاستبانة الموجَّهة لعينة الدراسة من المشترين الفعليين والمحتملين</w:t>
      </w:r>
      <w:r w:rsidRPr="00FD338A">
        <w:rPr>
          <w:rFonts w:ascii="Simplified Arabic" w:eastAsia="Times New Roman" w:hAnsi="Simplified Arabic" w:cs="Simplified Arabic"/>
          <w:color w:val="000000" w:themeColor="text1"/>
          <w:kern w:val="0"/>
          <w:sz w:val="28"/>
          <w:szCs w:val="28"/>
          <w14:ligatures w14:val="none"/>
        </w:rPr>
        <w:t>.</w:t>
      </w:r>
    </w:p>
    <w:p w14:paraId="4ECC3B8A" w14:textId="2E39E60A" w:rsidR="00156D45" w:rsidRPr="00FD338A" w:rsidRDefault="00096BBC" w:rsidP="00096B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23914293"/>
      <w:bookmarkStart w:id="25" w:name="_Toc233941116"/>
      <w:r w:rsidRPr="00FD338A">
        <w:rPr>
          <w:rFonts w:ascii="Simplified Arabic" w:eastAsia="Times New Roman" w:hAnsi="Simplified Arabic" w:cs="Simplified Arabic" w:hint="cs"/>
          <w:b/>
          <w:bCs/>
          <w:color w:val="000000" w:themeColor="text1"/>
          <w:kern w:val="36"/>
          <w:sz w:val="36"/>
          <w:szCs w:val="36"/>
          <w:rtl/>
          <w14:ligatures w14:val="none"/>
        </w:rPr>
        <w:t xml:space="preserve">13.1 </w:t>
      </w:r>
      <w:r w:rsidR="00156D45" w:rsidRPr="00FD338A">
        <w:rPr>
          <w:rFonts w:ascii="Simplified Arabic" w:eastAsia="Times New Roman" w:hAnsi="Simplified Arabic" w:cs="Simplified Arabic"/>
          <w:b/>
          <w:bCs/>
          <w:color w:val="000000" w:themeColor="text1"/>
          <w:kern w:val="36"/>
          <w:sz w:val="36"/>
          <w:szCs w:val="36"/>
          <w:rtl/>
          <w14:ligatures w14:val="none"/>
        </w:rPr>
        <w:t>أداة الدراسة</w:t>
      </w:r>
      <w:bookmarkEnd w:id="24"/>
      <w:bookmarkEnd w:id="25"/>
    </w:p>
    <w:p w14:paraId="0C14FD92"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ستُصمَّم استبانة إلكترونية مغلقة وفق مقياس ليكرت الخماسي (موافق بشدة = 5، موافق = 4، محايد = 3، غير موافق = 2، غير موافق بشدة = 1) كأداة رئيسية لجمع البيانات الأولية، وستتكوّن من ثلاثة أقسام على النحو التالي</w:t>
      </w:r>
      <w:r w:rsidRPr="00FD338A">
        <w:rPr>
          <w:rFonts w:ascii="Simplified Arabic" w:eastAsia="Times New Roman" w:hAnsi="Simplified Arabic" w:cs="Simplified Arabic"/>
          <w:color w:val="000000" w:themeColor="text1"/>
          <w:kern w:val="0"/>
          <w:sz w:val="28"/>
          <w:szCs w:val="28"/>
          <w14:ligatures w14:val="none"/>
        </w:rPr>
        <w:t>:</w:t>
      </w:r>
    </w:p>
    <w:p w14:paraId="1C5074C0"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 xml:space="preserve">القسم الأول: البيانات الديموغرافية والشخصية </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سيتضمّن عدداً من الأسئلة المتعلقة بالجنس، والعمر، والمؤهل العلمي، ومنطقة السكن، ومستوى الدخل الشهري، والخبرة السابقة في الشراء على الخارطة</w:t>
      </w:r>
      <w:r w:rsidRPr="00FD338A">
        <w:rPr>
          <w:rFonts w:ascii="Simplified Arabic" w:eastAsia="Times New Roman" w:hAnsi="Simplified Arabic" w:cs="Simplified Arabic"/>
          <w:color w:val="000000" w:themeColor="text1"/>
          <w:kern w:val="0"/>
          <w:sz w:val="28"/>
          <w:szCs w:val="28"/>
          <w14:ligatures w14:val="none"/>
        </w:rPr>
        <w:t>.</w:t>
      </w:r>
    </w:p>
    <w:p w14:paraId="559BB1C1"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القسم الثاني: المتغير المستقل (تنظيم البيع على الخارطة) </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سيتكوّن من (4) أبعاد، يتضمّن كل بُعد (4) فقرات، ليصبح إجمالي فقرات المتغير المستقل (16) فقرة، موزَّعة كالتالي: بُعد الترخيص وتأهيل المطوِّرين العقاريين (4 فقرات)، بُعد حساب الضمان والرقابة المالية (4 فقرات)، بُعد الالتزامات التعاقدية وضوابط العقد (4 فقرات)، وبُعد الإفصاح والشفافية المعلوماتية (4 فقرات)</w:t>
      </w:r>
      <w:r w:rsidRPr="00FD338A">
        <w:rPr>
          <w:rFonts w:ascii="Simplified Arabic" w:eastAsia="Times New Roman" w:hAnsi="Simplified Arabic" w:cs="Simplified Arabic"/>
          <w:color w:val="000000" w:themeColor="text1"/>
          <w:kern w:val="0"/>
          <w:sz w:val="28"/>
          <w:szCs w:val="28"/>
          <w14:ligatures w14:val="none"/>
        </w:rPr>
        <w:t>.</w:t>
      </w:r>
    </w:p>
    <w:p w14:paraId="50FF284E"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القسم الثالث: المتغير التابع (ثقة المشترين) </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سيُقاس كمحور أُحادي يتضمّن (12) فقرة تُغطّي مختلف أوجه ثقة المشتري في المطوِّر العقاري، وفي المشروع ذاته، وفي الإطار التنظيمي والرقابي القائم، وفي قرار الشراء المستقبلي</w:t>
      </w:r>
      <w:r w:rsidRPr="00FD338A">
        <w:rPr>
          <w:rFonts w:ascii="Simplified Arabic" w:eastAsia="Times New Roman" w:hAnsi="Simplified Arabic" w:cs="Simplified Arabic"/>
          <w:color w:val="000000" w:themeColor="text1"/>
          <w:kern w:val="0"/>
          <w:sz w:val="28"/>
          <w:szCs w:val="28"/>
          <w14:ligatures w14:val="none"/>
        </w:rPr>
        <w:t>.</w:t>
      </w:r>
    </w:p>
    <w:p w14:paraId="67BA2774"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وبذلك سيبلغ إجمالي فقرات الاستبانة (28) فقرة (16 فقرة للمتغير المستقل + 12 فقرة للمتغير التابع)، بالإضافة إلى أسئلة القسم الأول الديموغرافية. وسيُخضع الباحث الاستبانة لاختبارات الصدق والثبات قبل التوزيع النهائي، بما يشمل صدق المحتوى من خلال عرضها على مجموعة من المحكِّمين المتخصصين، وصدق الاتساق الداخلي من خلال معامل ارتباط بيرسون، والثبات من خلال معامل ألفا كرونباخ</w:t>
      </w:r>
      <w:r w:rsidRPr="00FD338A">
        <w:rPr>
          <w:rFonts w:ascii="Simplified Arabic" w:eastAsia="Times New Roman" w:hAnsi="Simplified Arabic" w:cs="Simplified Arabic"/>
          <w:color w:val="000000" w:themeColor="text1"/>
          <w:kern w:val="0"/>
          <w:sz w:val="28"/>
          <w:szCs w:val="28"/>
          <w14:ligatures w14:val="none"/>
        </w:rPr>
        <w:t xml:space="preserve"> (Cronbach's Alpha).</w:t>
      </w:r>
    </w:p>
    <w:p w14:paraId="6D088427" w14:textId="291A9763" w:rsidR="00156D45" w:rsidRPr="00FD338A" w:rsidRDefault="00096BBC" w:rsidP="00096B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3914294"/>
      <w:bookmarkStart w:id="27" w:name="_Toc233941117"/>
      <w:r w:rsidRPr="00FD338A">
        <w:rPr>
          <w:rFonts w:ascii="Simplified Arabic" w:eastAsia="Times New Roman" w:hAnsi="Simplified Arabic" w:cs="Simplified Arabic" w:hint="cs"/>
          <w:b/>
          <w:bCs/>
          <w:color w:val="000000" w:themeColor="text1"/>
          <w:kern w:val="36"/>
          <w:sz w:val="36"/>
          <w:szCs w:val="36"/>
          <w:rtl/>
          <w14:ligatures w14:val="none"/>
        </w:rPr>
        <w:t xml:space="preserve">14.1 </w:t>
      </w:r>
      <w:r w:rsidR="00156D45" w:rsidRPr="00FD338A">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6"/>
      <w:bookmarkEnd w:id="27"/>
    </w:p>
    <w:p w14:paraId="7AC2B823" w14:textId="77777777" w:rsidR="00156D45" w:rsidRPr="00FD338A" w:rsidRDefault="00156D45" w:rsidP="00096B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سيُحلَّل البيانات المُجمَّعة باستخدام برنامج الحزمة الإحصائية للعلوم الاجتماعية</w:t>
      </w:r>
      <w:r w:rsidRPr="00FD338A">
        <w:rPr>
          <w:rFonts w:ascii="Simplified Arabic" w:eastAsia="Times New Roman" w:hAnsi="Simplified Arabic" w:cs="Simplified Arabic"/>
          <w:color w:val="000000" w:themeColor="text1"/>
          <w:kern w:val="0"/>
          <w:sz w:val="28"/>
          <w:szCs w:val="28"/>
          <w14:ligatures w14:val="none"/>
        </w:rPr>
        <w:t xml:space="preserve"> (SPSS v.28)</w:t>
      </w:r>
      <w:r w:rsidRPr="00FD338A">
        <w:rPr>
          <w:rFonts w:ascii="Simplified Arabic" w:eastAsia="Times New Roman" w:hAnsi="Simplified Arabic" w:cs="Simplified Arabic"/>
          <w:color w:val="000000" w:themeColor="text1"/>
          <w:kern w:val="0"/>
          <w:sz w:val="28"/>
          <w:szCs w:val="28"/>
          <w:rtl/>
          <w14:ligatures w14:val="none"/>
        </w:rPr>
        <w:t>، وسيُستخدم مجموعة من الأساليب الإحصائية الوصفية والاستدلالية تشمل: التكرارات والنسب المئوية لوصف خصائص عينة الدراسة الديموغرافية، والمتوسطات الحسابية والانحرافات المعيارية لتحديد اتجاهات استجابات أفراد العينة على محاور الاستبانة وترتيب أهميتها النسبية، ومعامل ارتباط بيرسون</w:t>
      </w:r>
      <w:r w:rsidRPr="00FD338A">
        <w:rPr>
          <w:rFonts w:ascii="Simplified Arabic" w:eastAsia="Times New Roman" w:hAnsi="Simplified Arabic" w:cs="Simplified Arabic"/>
          <w:color w:val="000000" w:themeColor="text1"/>
          <w:kern w:val="0"/>
          <w:sz w:val="28"/>
          <w:szCs w:val="28"/>
          <w14:ligatures w14:val="none"/>
        </w:rPr>
        <w:t xml:space="preserve"> (Pearson Correlation) </w:t>
      </w:r>
      <w:r w:rsidRPr="00FD338A">
        <w:rPr>
          <w:rFonts w:ascii="Simplified Arabic" w:eastAsia="Times New Roman" w:hAnsi="Simplified Arabic" w:cs="Simplified Arabic"/>
          <w:color w:val="000000" w:themeColor="text1"/>
          <w:kern w:val="0"/>
          <w:sz w:val="28"/>
          <w:szCs w:val="28"/>
          <w:rtl/>
          <w14:ligatures w14:val="none"/>
        </w:rPr>
        <w:t>لقياس صدق الاتساق الداخلي للأداة ولاستكشاف العلاقات الارتباطية بين المتغيرات، ومعامل ألفا كرونباخ</w:t>
      </w:r>
      <w:r w:rsidRPr="00FD338A">
        <w:rPr>
          <w:rFonts w:ascii="Simplified Arabic" w:eastAsia="Times New Roman" w:hAnsi="Simplified Arabic" w:cs="Simplified Arabic"/>
          <w:color w:val="000000" w:themeColor="text1"/>
          <w:kern w:val="0"/>
          <w:sz w:val="28"/>
          <w:szCs w:val="28"/>
          <w14:ligatures w14:val="none"/>
        </w:rPr>
        <w:t xml:space="preserve"> (Cronbach's Alpha) </w:t>
      </w:r>
      <w:r w:rsidRPr="00FD338A">
        <w:rPr>
          <w:rFonts w:ascii="Simplified Arabic" w:eastAsia="Times New Roman" w:hAnsi="Simplified Arabic" w:cs="Simplified Arabic"/>
          <w:color w:val="000000" w:themeColor="text1"/>
          <w:kern w:val="0"/>
          <w:sz w:val="28"/>
          <w:szCs w:val="28"/>
          <w:rtl/>
          <w14:ligatures w14:val="none"/>
        </w:rPr>
        <w:t>للتحقق من ثبات أداة الدراسة، واختبار التوزيع الطبيعي</w:t>
      </w:r>
      <w:r w:rsidRPr="00FD338A">
        <w:rPr>
          <w:rFonts w:ascii="Simplified Arabic" w:eastAsia="Times New Roman" w:hAnsi="Simplified Arabic" w:cs="Simplified Arabic"/>
          <w:color w:val="000000" w:themeColor="text1"/>
          <w:kern w:val="0"/>
          <w:sz w:val="28"/>
          <w:szCs w:val="28"/>
          <w14:ligatures w14:val="none"/>
        </w:rPr>
        <w:t xml:space="preserve"> (Kolmogorov-Smirnov) </w:t>
      </w:r>
      <w:r w:rsidRPr="00FD338A">
        <w:rPr>
          <w:rFonts w:ascii="Simplified Arabic" w:eastAsia="Times New Roman" w:hAnsi="Simplified Arabic" w:cs="Simplified Arabic"/>
          <w:color w:val="000000" w:themeColor="text1"/>
          <w:kern w:val="0"/>
          <w:sz w:val="28"/>
          <w:szCs w:val="28"/>
          <w:rtl/>
          <w14:ligatures w14:val="none"/>
        </w:rPr>
        <w:t>للتأكد من اعتدالية البيانات قبل تطبيق الاختبارات البارامترية، وتحليل الانحدار المتعدد</w:t>
      </w:r>
      <w:r w:rsidRPr="00FD338A">
        <w:rPr>
          <w:rFonts w:ascii="Simplified Arabic" w:eastAsia="Times New Roman" w:hAnsi="Simplified Arabic" w:cs="Simplified Arabic"/>
          <w:color w:val="000000" w:themeColor="text1"/>
          <w:kern w:val="0"/>
          <w:sz w:val="28"/>
          <w:szCs w:val="28"/>
          <w14:ligatures w14:val="none"/>
        </w:rPr>
        <w:t xml:space="preserve"> (Multiple Regression Analysis) </w:t>
      </w:r>
      <w:r w:rsidRPr="00FD338A">
        <w:rPr>
          <w:rFonts w:ascii="Simplified Arabic" w:eastAsia="Times New Roman" w:hAnsi="Simplified Arabic" w:cs="Simplified Arabic"/>
          <w:color w:val="000000" w:themeColor="text1"/>
          <w:kern w:val="0"/>
          <w:sz w:val="28"/>
          <w:szCs w:val="28"/>
          <w:rtl/>
          <w14:ligatures w14:val="none"/>
        </w:rPr>
        <w:t xml:space="preserve">لاختبار أثر أبعاد المتغير المستقل مجتمعةً ومنفردةً على المتغير التابع واختبار فروض الدراسة، واختبار تحليل التباين الأحادي </w:t>
      </w:r>
      <w:r w:rsidRPr="00FD338A">
        <w:rPr>
          <w:rFonts w:ascii="Simplified Arabic" w:eastAsia="Times New Roman" w:hAnsi="Simplified Arabic" w:cs="Simplified Arabic"/>
          <w:color w:val="000000" w:themeColor="text1"/>
          <w:kern w:val="0"/>
          <w:sz w:val="28"/>
          <w:szCs w:val="28"/>
          <w14:ligatures w14:val="none"/>
        </w:rPr>
        <w:t xml:space="preserve">(One-Way </w:t>
      </w:r>
      <w:r w:rsidRPr="00FD338A">
        <w:rPr>
          <w:rFonts w:ascii="Simplified Arabic" w:eastAsia="Times New Roman" w:hAnsi="Simplified Arabic" w:cs="Simplified Arabic"/>
          <w:color w:val="000000" w:themeColor="text1"/>
          <w:kern w:val="0"/>
          <w:sz w:val="28"/>
          <w:szCs w:val="28"/>
          <w14:ligatures w14:val="none"/>
        </w:rPr>
        <w:lastRenderedPageBreak/>
        <w:t xml:space="preserve">ANOVA) </w:t>
      </w:r>
      <w:r w:rsidRPr="00FD338A">
        <w:rPr>
          <w:rFonts w:ascii="Simplified Arabic" w:eastAsia="Times New Roman" w:hAnsi="Simplified Arabic" w:cs="Simplified Arabic"/>
          <w:color w:val="000000" w:themeColor="text1"/>
          <w:kern w:val="0"/>
          <w:sz w:val="28"/>
          <w:szCs w:val="28"/>
          <w:rtl/>
          <w14:ligatures w14:val="none"/>
        </w:rPr>
        <w:t>واختبار</w:t>
      </w:r>
      <w:r w:rsidRPr="00FD338A">
        <w:rPr>
          <w:rFonts w:ascii="Simplified Arabic" w:eastAsia="Times New Roman" w:hAnsi="Simplified Arabic" w:cs="Simplified Arabic"/>
          <w:color w:val="000000" w:themeColor="text1"/>
          <w:kern w:val="0"/>
          <w:sz w:val="28"/>
          <w:szCs w:val="28"/>
          <w14:ligatures w14:val="none"/>
        </w:rPr>
        <w:t xml:space="preserve"> (T-Test) </w:t>
      </w:r>
      <w:r w:rsidRPr="00FD338A">
        <w:rPr>
          <w:rFonts w:ascii="Simplified Arabic" w:eastAsia="Times New Roman" w:hAnsi="Simplified Arabic" w:cs="Simplified Arabic"/>
          <w:color w:val="000000" w:themeColor="text1"/>
          <w:kern w:val="0"/>
          <w:sz w:val="28"/>
          <w:szCs w:val="28"/>
          <w:rtl/>
          <w14:ligatures w14:val="none"/>
        </w:rPr>
        <w:t>لفحص الفروق في استجابات أفراد العينة وفقاً للمتغيرات الديموغرافية، ومعامل تضخم التباين</w:t>
      </w:r>
      <w:r w:rsidRPr="00FD338A">
        <w:rPr>
          <w:rFonts w:ascii="Simplified Arabic" w:eastAsia="Times New Roman" w:hAnsi="Simplified Arabic" w:cs="Simplified Arabic"/>
          <w:color w:val="000000" w:themeColor="text1"/>
          <w:kern w:val="0"/>
          <w:sz w:val="28"/>
          <w:szCs w:val="28"/>
          <w14:ligatures w14:val="none"/>
        </w:rPr>
        <w:t xml:space="preserve"> (VIF) </w:t>
      </w:r>
      <w:r w:rsidRPr="00FD338A">
        <w:rPr>
          <w:rFonts w:ascii="Simplified Arabic" w:eastAsia="Times New Roman" w:hAnsi="Simplified Arabic" w:cs="Simplified Arabic"/>
          <w:color w:val="000000" w:themeColor="text1"/>
          <w:kern w:val="0"/>
          <w:sz w:val="28"/>
          <w:szCs w:val="28"/>
          <w:rtl/>
          <w14:ligatures w14:val="none"/>
        </w:rPr>
        <w:t xml:space="preserve">ومعامل التسامح </w:t>
      </w:r>
      <w:r w:rsidRPr="00FD338A">
        <w:rPr>
          <w:rFonts w:ascii="Simplified Arabic" w:eastAsia="Times New Roman" w:hAnsi="Simplified Arabic" w:cs="Simplified Arabic"/>
          <w:color w:val="000000" w:themeColor="text1"/>
          <w:kern w:val="0"/>
          <w:sz w:val="28"/>
          <w:szCs w:val="28"/>
          <w14:ligatures w14:val="none"/>
        </w:rPr>
        <w:t xml:space="preserve">(Tolerance) </w:t>
      </w:r>
      <w:r w:rsidRPr="00FD338A">
        <w:rPr>
          <w:rFonts w:ascii="Simplified Arabic" w:eastAsia="Times New Roman" w:hAnsi="Simplified Arabic" w:cs="Simplified Arabic"/>
          <w:color w:val="000000" w:themeColor="text1"/>
          <w:kern w:val="0"/>
          <w:sz w:val="28"/>
          <w:szCs w:val="28"/>
          <w:rtl/>
          <w14:ligatures w14:val="none"/>
        </w:rPr>
        <w:t>للكشف عن مشكلة الازدواج الخطي بين المتغيرات المستقلة</w:t>
      </w:r>
      <w:r w:rsidRPr="00FD338A">
        <w:rPr>
          <w:rFonts w:ascii="Simplified Arabic" w:eastAsia="Times New Roman" w:hAnsi="Simplified Arabic" w:cs="Simplified Arabic"/>
          <w:color w:val="000000" w:themeColor="text1"/>
          <w:kern w:val="0"/>
          <w:sz w:val="28"/>
          <w:szCs w:val="28"/>
          <w14:ligatures w14:val="none"/>
        </w:rPr>
        <w:t>.</w:t>
      </w:r>
    </w:p>
    <w:p w14:paraId="114957EF" w14:textId="1F38089F" w:rsidR="00156D45" w:rsidRPr="00FD338A" w:rsidRDefault="00096BBC" w:rsidP="00096B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33941118"/>
      <w:r w:rsidRPr="00FD338A">
        <w:rPr>
          <w:rFonts w:ascii="Simplified Arabic" w:eastAsia="Times New Roman" w:hAnsi="Simplified Arabic" w:cs="Simplified Arabic" w:hint="cs"/>
          <w:b/>
          <w:bCs/>
          <w:color w:val="000000" w:themeColor="text1"/>
          <w:kern w:val="36"/>
          <w:sz w:val="36"/>
          <w:szCs w:val="36"/>
          <w:rtl/>
          <w14:ligatures w14:val="none"/>
        </w:rPr>
        <w:t>15.1</w:t>
      </w:r>
      <w:r w:rsidR="00156D45" w:rsidRPr="00FD338A">
        <w:rPr>
          <w:rFonts w:ascii="Simplified Arabic" w:eastAsia="Times New Roman" w:hAnsi="Simplified Arabic" w:cs="Simplified Arabic"/>
          <w:b/>
          <w:bCs/>
          <w:color w:val="000000" w:themeColor="text1"/>
          <w:kern w:val="36"/>
          <w:sz w:val="36"/>
          <w:szCs w:val="36"/>
          <w:rtl/>
          <w14:ligatures w14:val="none"/>
        </w:rPr>
        <w:t xml:space="preserve"> </w:t>
      </w:r>
      <w:bookmarkStart w:id="29" w:name="_Toc223914295"/>
      <w:r w:rsidR="00156D45" w:rsidRPr="00FD338A">
        <w:rPr>
          <w:rFonts w:ascii="Simplified Arabic" w:eastAsia="Times New Roman" w:hAnsi="Simplified Arabic" w:cs="Simplified Arabic"/>
          <w:b/>
          <w:bCs/>
          <w:color w:val="000000" w:themeColor="text1"/>
          <w:kern w:val="36"/>
          <w:sz w:val="36"/>
          <w:szCs w:val="36"/>
          <w:rtl/>
          <w14:ligatures w14:val="none"/>
        </w:rPr>
        <w:t>حدود الدراسة</w:t>
      </w:r>
      <w:bookmarkEnd w:id="28"/>
      <w:bookmarkEnd w:id="29"/>
    </w:p>
    <w:p w14:paraId="45BF2478"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الحدود الموضوعية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ستقتصر الدراسة على دراسة أثر تنظيم البيع على الخارطة بأبعاده الأربعة (الترخيص وتأهيل المطوِّرين العقاريين، حساب الضمان والرقابة المالية، الالتزامات التعاقدية وضوابط العقد، الإفصاح والشفافية المعلوماتية) على ثقة المشترين، دون التطرّق إلى متغيرات تابعة أخرى كرضا المشترين أو نية إعادة الشراء أو الأداء المالي للمطوِّرين</w:t>
      </w:r>
      <w:r w:rsidRPr="00FD338A">
        <w:rPr>
          <w:rFonts w:ascii="Simplified Arabic" w:eastAsia="Times New Roman" w:hAnsi="Simplified Arabic" w:cs="Simplified Arabic"/>
          <w:color w:val="000000" w:themeColor="text1"/>
          <w:kern w:val="0"/>
          <w:sz w:val="28"/>
          <w:szCs w:val="28"/>
          <w14:ligatures w14:val="none"/>
        </w:rPr>
        <w:t>.</w:t>
      </w:r>
    </w:p>
    <w:p w14:paraId="50E6F5B8" w14:textId="41B18386"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الحدود المكانية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ستُطبَّق الدراسة في المدن الرئيسية الثلاث الأكثر تركُّزاً لمشاريع البيع على الخارطة في المملكة العربية السعودية، وهي: الرياض، وجدة، والدمام (المنطقة الشرقية</w:t>
      </w:r>
      <w:r w:rsidR="00611029" w:rsidRPr="00FD338A">
        <w:rPr>
          <w:rFonts w:ascii="Simplified Arabic" w:eastAsia="Times New Roman" w:hAnsi="Simplified Arabic" w:cs="Simplified Arabic"/>
          <w:color w:val="000000" w:themeColor="text1"/>
          <w:kern w:val="0"/>
          <w:sz w:val="28"/>
          <w:szCs w:val="28"/>
          <w:rtl/>
          <w14:ligatures w14:val="none"/>
        </w:rPr>
        <w:t>)</w:t>
      </w:r>
    </w:p>
    <w:p w14:paraId="476D83C9" w14:textId="3EDC04EA"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الحدود الزمانية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ستُجرى الدراسة الميدانية (توزيع الاستبانة وجمع البيانات) خلال الفصل الدراسي الثاني من العام الجامعي 202</w:t>
      </w:r>
      <w:r w:rsidR="00611029" w:rsidRPr="00FD338A">
        <w:rPr>
          <w:rFonts w:ascii="Simplified Arabic" w:eastAsia="Times New Roman" w:hAnsi="Simplified Arabic" w:cs="Simplified Arabic"/>
          <w:color w:val="000000" w:themeColor="text1"/>
          <w:kern w:val="0"/>
          <w:sz w:val="28"/>
          <w:szCs w:val="28"/>
          <w:rtl/>
          <w14:ligatures w14:val="none"/>
        </w:rPr>
        <w:t>6</w:t>
      </w:r>
      <w:r w:rsidRPr="00FD338A">
        <w:rPr>
          <w:rFonts w:ascii="Simplified Arabic" w:eastAsia="Times New Roman" w:hAnsi="Simplified Arabic" w:cs="Simplified Arabic"/>
          <w:color w:val="000000" w:themeColor="text1"/>
          <w:kern w:val="0"/>
          <w:sz w:val="28"/>
          <w:szCs w:val="28"/>
          <w:rtl/>
          <w14:ligatures w14:val="none"/>
        </w:rPr>
        <w:t>/202</w:t>
      </w:r>
      <w:r w:rsidR="00611029" w:rsidRPr="00FD338A">
        <w:rPr>
          <w:rFonts w:ascii="Simplified Arabic" w:eastAsia="Times New Roman" w:hAnsi="Simplified Arabic" w:cs="Simplified Arabic"/>
          <w:color w:val="000000" w:themeColor="text1"/>
          <w:kern w:val="0"/>
          <w:sz w:val="28"/>
          <w:szCs w:val="28"/>
          <w:rtl/>
          <w14:ligatures w14:val="none"/>
        </w:rPr>
        <w:t>7</w:t>
      </w:r>
      <w:r w:rsidRPr="00FD338A">
        <w:rPr>
          <w:rFonts w:ascii="Simplified Arabic" w:eastAsia="Times New Roman" w:hAnsi="Simplified Arabic" w:cs="Simplified Arabic"/>
          <w:color w:val="000000" w:themeColor="text1"/>
          <w:kern w:val="0"/>
          <w:sz w:val="28"/>
          <w:szCs w:val="28"/>
          <w:rtl/>
          <w14:ligatures w14:val="none"/>
        </w:rPr>
        <w:t>م</w:t>
      </w:r>
      <w:r w:rsidRPr="00FD338A">
        <w:rPr>
          <w:rFonts w:ascii="Simplified Arabic" w:eastAsia="Times New Roman" w:hAnsi="Simplified Arabic" w:cs="Simplified Arabic"/>
          <w:color w:val="000000" w:themeColor="text1"/>
          <w:kern w:val="0"/>
          <w:sz w:val="28"/>
          <w:szCs w:val="28"/>
          <w14:ligatures w14:val="none"/>
        </w:rPr>
        <w:t>.</w:t>
      </w:r>
    </w:p>
    <w:p w14:paraId="4F659E18" w14:textId="77777777" w:rsidR="00156D45" w:rsidRPr="00FD338A" w:rsidRDefault="00156D45" w:rsidP="001913F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D338A">
        <w:rPr>
          <w:rFonts w:ascii="Simplified Arabic" w:eastAsia="Times New Roman" w:hAnsi="Simplified Arabic" w:cs="Simplified Arabic"/>
          <w:color w:val="000000" w:themeColor="text1"/>
          <w:kern w:val="0"/>
          <w:sz w:val="28"/>
          <w:szCs w:val="28"/>
          <w:rtl/>
          <w14:ligatures w14:val="none"/>
        </w:rPr>
        <w:t>الحدود البشرية</w:t>
      </w:r>
      <w:r w:rsidRPr="00FD338A">
        <w:rPr>
          <w:rFonts w:ascii="Simplified Arabic" w:eastAsia="Times New Roman" w:hAnsi="Simplified Arabic" w:cs="Simplified Arabic"/>
          <w:color w:val="000000" w:themeColor="text1"/>
          <w:kern w:val="0"/>
          <w:sz w:val="28"/>
          <w:szCs w:val="28"/>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t>ستقتصر الدراسة على المشترين الفعليين الذين سبق لهم شراء وحدة عقارية على الخارطة عبر برنامج "وافي"، والمشترين المحتملين الذين يدرسون حالياً خيار الشراء على الخارطة، وذلك من المواطنين والمقيمين في المدن المستهدفة</w:t>
      </w:r>
      <w:r w:rsidRPr="00FD338A">
        <w:rPr>
          <w:rFonts w:ascii="Simplified Arabic" w:eastAsia="Times New Roman" w:hAnsi="Simplified Arabic" w:cs="Simplified Arabic"/>
          <w:color w:val="000000" w:themeColor="text1"/>
          <w:kern w:val="0"/>
          <w:sz w:val="28"/>
          <w:szCs w:val="28"/>
          <w14:ligatures w14:val="none"/>
        </w:rPr>
        <w:t>.</w:t>
      </w:r>
    </w:p>
    <w:p w14:paraId="2AD79C96" w14:textId="262E94A9" w:rsidR="00021997" w:rsidRPr="00FD338A" w:rsidRDefault="00BA7054" w:rsidP="00096BBC">
      <w:pPr>
        <w:jc w:val="center"/>
        <w:outlineLvl w:val="0"/>
        <w:rPr>
          <w:rFonts w:ascii="Simplified Arabic" w:eastAsia="Times New Roman" w:hAnsi="Simplified Arabic" w:cs="Simplified Arabic"/>
          <w:b/>
          <w:bCs/>
          <w:color w:val="000000" w:themeColor="text1"/>
          <w:kern w:val="0"/>
          <w:sz w:val="40"/>
          <w:szCs w:val="40"/>
          <w:rtl/>
          <w14:ligatures w14:val="none"/>
        </w:rPr>
      </w:pPr>
      <w:r w:rsidRPr="00FD338A">
        <w:rPr>
          <w:rFonts w:ascii="Simplified Arabic" w:eastAsia="Times New Roman" w:hAnsi="Simplified Arabic" w:cs="Simplified Arabic"/>
          <w:b/>
          <w:bCs/>
          <w:color w:val="000000" w:themeColor="text1"/>
          <w:kern w:val="0"/>
          <w:sz w:val="40"/>
          <w:szCs w:val="40"/>
          <w:rtl/>
          <w14:ligatures w14:val="none"/>
        </w:rPr>
        <w:br w:type="page"/>
      </w:r>
      <w:bookmarkStart w:id="30" w:name="_Toc233941119"/>
      <w:r w:rsidRPr="00FD338A">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30"/>
    </w:p>
    <w:p w14:paraId="5D44C6B0" w14:textId="77777777" w:rsidR="00021997" w:rsidRPr="00FD338A" w:rsidRDefault="00021997" w:rsidP="00096BB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1" w:name="_Toc233941120"/>
      <w:r w:rsidRPr="00FD338A">
        <w:rPr>
          <w:rFonts w:ascii="Simplified Arabic" w:eastAsia="Times New Roman" w:hAnsi="Simplified Arabic" w:cs="Simplified Arabic"/>
          <w:b/>
          <w:bCs/>
          <w:color w:val="000000" w:themeColor="text1"/>
          <w:kern w:val="0"/>
          <w:sz w:val="36"/>
          <w:szCs w:val="36"/>
          <w:rtl/>
          <w14:ligatures w14:val="none"/>
        </w:rPr>
        <w:t>المبحث الأول: تنظيم البيع على الخارطة</w:t>
      </w:r>
      <w:bookmarkEnd w:id="31"/>
    </w:p>
    <w:p w14:paraId="32873E1B" w14:textId="7B7905F3"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941121"/>
      <w:r w:rsidRPr="00FD338A">
        <w:rPr>
          <w:rFonts w:ascii="Simplified Arabic" w:eastAsia="Times New Roman" w:hAnsi="Simplified Arabic" w:cs="Simplified Arabic" w:hint="cs"/>
          <w:b/>
          <w:bCs/>
          <w:color w:val="000000" w:themeColor="text1"/>
          <w:kern w:val="0"/>
          <w:sz w:val="32"/>
          <w:szCs w:val="32"/>
          <w:rtl/>
          <w14:ligatures w14:val="none"/>
        </w:rPr>
        <w:t xml:space="preserve">1.1.2 </w:t>
      </w:r>
      <w:r w:rsidR="00021997" w:rsidRPr="00FD338A">
        <w:rPr>
          <w:rFonts w:ascii="Simplified Arabic" w:eastAsia="Times New Roman" w:hAnsi="Simplified Arabic" w:cs="Simplified Arabic"/>
          <w:b/>
          <w:bCs/>
          <w:color w:val="000000" w:themeColor="text1"/>
          <w:kern w:val="0"/>
          <w:sz w:val="32"/>
          <w:szCs w:val="32"/>
          <w:rtl/>
          <w14:ligatures w14:val="none"/>
        </w:rPr>
        <w:t>تمهيد</w:t>
      </w:r>
      <w:bookmarkEnd w:id="32"/>
    </w:p>
    <w:p w14:paraId="0966686E"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شهدت الصناعة العقارية خلال العقود الأخيرة تحولات جوهرية في أنماط تمويل المشروعات وتسويقها، إذ لم يعد البيع مقتصرًا على الوحدات المكتملة الجاهزة للتسليم، بل امتد ليشمل بيع الوحدات قبل إنشائها استنادًا إلى مخططات هندسية ومواصفات فنية موثقة. ويُعدّ هذا النمط، المعروف </w:t>
      </w:r>
      <w:proofErr w:type="gramStart"/>
      <w:r w:rsidRPr="00FD338A">
        <w:rPr>
          <w:rFonts w:ascii="Simplified Arabic" w:eastAsia="Times New Roman" w:hAnsi="Simplified Arabic" w:cs="Simplified Arabic"/>
          <w:color w:val="000000" w:themeColor="text1"/>
          <w:kern w:val="0"/>
          <w:sz w:val="28"/>
          <w:szCs w:val="28"/>
          <w:rtl/>
          <w14:ligatures w14:val="none"/>
        </w:rPr>
        <w:t>بـ"</w:t>
      </w:r>
      <w:proofErr w:type="gramEnd"/>
      <w:r w:rsidRPr="00FD338A">
        <w:rPr>
          <w:rFonts w:ascii="Simplified Arabic" w:eastAsia="Times New Roman" w:hAnsi="Simplified Arabic" w:cs="Simplified Arabic"/>
          <w:color w:val="000000" w:themeColor="text1"/>
          <w:kern w:val="0"/>
          <w:sz w:val="28"/>
          <w:szCs w:val="28"/>
          <w:rtl/>
          <w14:ligatures w14:val="none"/>
        </w:rPr>
        <w:t>البيع على الخارطة"، أحد أبرز أدوات التمويل الذاتي للمشروعات العقارية الكبرى، لما يوفره من سيولة مبكرة تُمكّن المطوِّرين من إنجاز مشروعاتهم دون الاعتماد الكلي على التمويل المصرفي التقليدي</w:t>
      </w:r>
      <w:r w:rsidRPr="00FD338A">
        <w:rPr>
          <w:rFonts w:ascii="Simplified Arabic" w:eastAsia="Times New Roman" w:hAnsi="Simplified Arabic" w:cs="Simplified Arabic"/>
          <w:color w:val="000000" w:themeColor="text1"/>
          <w:kern w:val="0"/>
          <w:sz w:val="28"/>
          <w:szCs w:val="28"/>
          <w14:ligatures w14:val="none"/>
        </w:rPr>
        <w:t xml:space="preserve"> (Ondari &amp; Muturi, 2023). </w:t>
      </w:r>
      <w:r w:rsidRPr="00FD338A">
        <w:rPr>
          <w:rFonts w:ascii="Simplified Arabic" w:eastAsia="Times New Roman" w:hAnsi="Simplified Arabic" w:cs="Simplified Arabic"/>
          <w:color w:val="000000" w:themeColor="text1"/>
          <w:kern w:val="0"/>
          <w:sz w:val="28"/>
          <w:szCs w:val="28"/>
          <w:rtl/>
          <w14:ligatures w14:val="none"/>
        </w:rPr>
        <w:t xml:space="preserve">غير أن هذا النمط، على الرغم من مزاياه التمويلية والتنموية، يحمل في طياته </w:t>
      </w:r>
      <w:proofErr w:type="gramStart"/>
      <w:r w:rsidRPr="00FD338A">
        <w:rPr>
          <w:rFonts w:ascii="Simplified Arabic" w:eastAsia="Times New Roman" w:hAnsi="Simplified Arabic" w:cs="Simplified Arabic"/>
          <w:color w:val="000000" w:themeColor="text1"/>
          <w:kern w:val="0"/>
          <w:sz w:val="28"/>
          <w:szCs w:val="28"/>
          <w:rtl/>
          <w14:ligatures w14:val="none"/>
        </w:rPr>
        <w:t>مخاطر</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جسيمة تتصل بعدم اكتمال المشروع، أو التأخر في التسليم، أو الإخلال بالمواصفات المتفق عليها، مما استدعى تدخل المُشرِّع لوضع منظومة تنظيمية متكاملة تضبط هذا النشاط وتحفظ حقوق أطرافه</w:t>
      </w:r>
      <w:r w:rsidRPr="00FD338A">
        <w:rPr>
          <w:rFonts w:ascii="Simplified Arabic" w:eastAsia="Times New Roman" w:hAnsi="Simplified Arabic" w:cs="Simplified Arabic"/>
          <w:color w:val="000000" w:themeColor="text1"/>
          <w:kern w:val="0"/>
          <w:sz w:val="28"/>
          <w:szCs w:val="28"/>
          <w14:ligatures w14:val="none"/>
        </w:rPr>
        <w:t>.</w:t>
      </w:r>
    </w:p>
    <w:p w14:paraId="38C0F68A"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وفي المملكة العربية السعودية، تنامى الاهتمام التشريعي بتنظيم هذا النمط من البيع نظرًا لاتساع السوق العقاري ودوره الحيوي في تحقيق مستهدفات رؤية ٢٠٣٠، ولا سيما ما يتعلق بمشروعات الإسكان الكبرى والتحول العمراني الشامل</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Alqahtany</w:t>
      </w:r>
      <w:proofErr w:type="spellEnd"/>
      <w:r w:rsidRPr="00FD338A">
        <w:rPr>
          <w:rFonts w:ascii="Simplified Arabic" w:eastAsia="Times New Roman" w:hAnsi="Simplified Arabic" w:cs="Simplified Arabic"/>
          <w:color w:val="000000" w:themeColor="text1"/>
          <w:kern w:val="0"/>
          <w:sz w:val="28"/>
          <w:szCs w:val="28"/>
          <w14:ligatures w14:val="none"/>
        </w:rPr>
        <w:t xml:space="preserve"> et al., 2023). </w:t>
      </w:r>
      <w:r w:rsidRPr="00FD338A">
        <w:rPr>
          <w:rFonts w:ascii="Simplified Arabic" w:eastAsia="Times New Roman" w:hAnsi="Simplified Arabic" w:cs="Simplified Arabic"/>
          <w:color w:val="000000" w:themeColor="text1"/>
          <w:kern w:val="0"/>
          <w:sz w:val="28"/>
          <w:szCs w:val="28"/>
          <w:rtl/>
          <w14:ligatures w14:val="none"/>
        </w:rPr>
        <w:t>وقد جاءت الأطر التنظيمية لتؤسس منظومة رقابية تضمن جدية المطوِّر، وتحمي أموال المشترين، وتُرسّخ مبادئ الإفصاح والشفافية، وتضع ضوابط تعاقدية دقيقة تحكم العلاقة بين أطراف عقد البيع على الخارطة</w:t>
      </w:r>
      <w:r w:rsidRPr="00FD338A">
        <w:rPr>
          <w:rFonts w:ascii="Simplified Arabic" w:eastAsia="Times New Roman" w:hAnsi="Simplified Arabic" w:cs="Simplified Arabic"/>
          <w:color w:val="000000" w:themeColor="text1"/>
          <w:kern w:val="0"/>
          <w:sz w:val="28"/>
          <w:szCs w:val="28"/>
          <w14:ligatures w14:val="none"/>
        </w:rPr>
        <w:t>.</w:t>
      </w:r>
    </w:p>
    <w:p w14:paraId="5DBED6E9"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معمّقة لمفهوم تنظيم البيع على الخارطة، وأهميته، وأهدافه، والأبعاد التي يتحدد بها في هذه الدراسة، مع استعراض الاتجاهات الفكرية والتشريعية المختلفة التي تناولت هذا الموضوع، بما يُرسّخ فهمًا نظريًا متكاملًا يُشكّل قاعدة صلبة للجانب التطبيقي من الدراسة</w:t>
      </w:r>
      <w:r w:rsidRPr="00FD338A">
        <w:rPr>
          <w:rFonts w:ascii="Simplified Arabic" w:eastAsia="Times New Roman" w:hAnsi="Simplified Arabic" w:cs="Simplified Arabic"/>
          <w:color w:val="000000" w:themeColor="text1"/>
          <w:kern w:val="0"/>
          <w:sz w:val="28"/>
          <w:szCs w:val="28"/>
          <w14:ligatures w14:val="none"/>
        </w:rPr>
        <w:t>.</w:t>
      </w:r>
    </w:p>
    <w:p w14:paraId="7D478D1F" w14:textId="34CD1049"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941122"/>
      <w:r w:rsidRPr="00FD338A">
        <w:rPr>
          <w:rFonts w:ascii="Simplified Arabic" w:eastAsia="Times New Roman" w:hAnsi="Simplified Arabic" w:cs="Simplified Arabic" w:hint="cs"/>
          <w:b/>
          <w:bCs/>
          <w:color w:val="000000" w:themeColor="text1"/>
          <w:kern w:val="0"/>
          <w:sz w:val="32"/>
          <w:szCs w:val="32"/>
          <w:rtl/>
          <w14:ligatures w14:val="none"/>
        </w:rPr>
        <w:t xml:space="preserve">2.1.2 </w:t>
      </w:r>
      <w:r w:rsidR="00021997" w:rsidRPr="00FD338A">
        <w:rPr>
          <w:rFonts w:ascii="Simplified Arabic" w:eastAsia="Times New Roman" w:hAnsi="Simplified Arabic" w:cs="Simplified Arabic"/>
          <w:b/>
          <w:bCs/>
          <w:color w:val="000000" w:themeColor="text1"/>
          <w:kern w:val="0"/>
          <w:sz w:val="32"/>
          <w:szCs w:val="32"/>
          <w:rtl/>
          <w14:ligatures w14:val="none"/>
        </w:rPr>
        <w:t>مفهوم تنظيم البيع على الخارطة</w:t>
      </w:r>
      <w:bookmarkEnd w:id="33"/>
    </w:p>
    <w:p w14:paraId="3CFDCE5B"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يُمثّل مفهوم البيع على الخارطة نقطة التقاء بين عدة حقول معرفية، إذ تتشابك فيه الاعتبارات القانونية والاقتصادية والإدارية، مما جعل تعريفه محل اجتهاد متعدد بين الباحثين. فقد عرّفه (لقم والشثري، ٢٠٢٤) </w:t>
      </w:r>
      <w:r w:rsidRPr="00FD338A">
        <w:rPr>
          <w:rFonts w:ascii="Simplified Arabic" w:eastAsia="Times New Roman" w:hAnsi="Simplified Arabic" w:cs="Simplified Arabic"/>
          <w:color w:val="000000" w:themeColor="text1"/>
          <w:kern w:val="0"/>
          <w:sz w:val="28"/>
          <w:szCs w:val="28"/>
          <w:rtl/>
          <w14:ligatures w14:val="none"/>
        </w:rPr>
        <w:lastRenderedPageBreak/>
        <w:t>بوصفه عقدًا يلتزم بمقتضاه المطوِّر العقاري بإنشاء وحدة عقارية وفق مخططات ومواصفات محددة سلفًا وتسليمها للمشتري في أجل متفق عليه مقابل ثمن يُدفع كليًا أو جزئيًا قبل الإنجاز، مؤكدَين أن جوهر هذا العقد يقوم على بيع شيء موصوف في الذمة لم يُنشأ بعد. ويلتقي هذا التعريف مع ما ذهب إليه (الحسيني، ٢٠٢١) الذي نظر إلى العقد باعتباره تصرفًا قانونيًا مستحدثًا خرج على القواعد التقليدية لبيع الأعيان الحاضرة، وأخذ صبغة خاصة تستوجب تنظيمًا تشريعيًا يوازن بين مصلحة المطوِّر في الحصول على التمويل ومصلحة المشتري في ضمان تنفيذ الالتزام</w:t>
      </w:r>
      <w:r w:rsidRPr="00FD338A">
        <w:rPr>
          <w:rFonts w:ascii="Simplified Arabic" w:eastAsia="Times New Roman" w:hAnsi="Simplified Arabic" w:cs="Simplified Arabic"/>
          <w:color w:val="000000" w:themeColor="text1"/>
          <w:kern w:val="0"/>
          <w:sz w:val="28"/>
          <w:szCs w:val="28"/>
          <w14:ligatures w14:val="none"/>
        </w:rPr>
        <w:t>.</w:t>
      </w:r>
    </w:p>
    <w:p w14:paraId="6FE248B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وفي سياق مغاير، ركّز (الغامدي، ٢٠٢٤) على البُعد الحمائي في التعريف، إذ رأى أن البيع على الخارطة ليس مجرد صيغة عقدية، بل منظومة قانونية متكاملة تشمل ضوابط الترخيص، ومتطلبات الملاءة، والتزامات الإفصاح، وآليات تسوية النزاعات، بحيث يتحول التنظيم من مجرد ضبط لعلاقة تعاقدية إلى بناء مؤسسي شامل يحكم النشاط برمّته. وفي الاتجاه ذاته، ذهب</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Altarawneh</w:t>
      </w:r>
      <w:proofErr w:type="spellEnd"/>
      <w:r w:rsidRPr="00FD338A">
        <w:rPr>
          <w:rFonts w:ascii="Simplified Arabic" w:eastAsia="Times New Roman" w:hAnsi="Simplified Arabic" w:cs="Simplified Arabic"/>
          <w:color w:val="000000" w:themeColor="text1"/>
          <w:kern w:val="0"/>
          <w:sz w:val="28"/>
          <w:szCs w:val="28"/>
          <w14:ligatures w14:val="none"/>
        </w:rPr>
        <w:t xml:space="preserve">, 2024) </w:t>
      </w:r>
      <w:r w:rsidRPr="00FD338A">
        <w:rPr>
          <w:rFonts w:ascii="Simplified Arabic" w:eastAsia="Times New Roman" w:hAnsi="Simplified Arabic" w:cs="Simplified Arabic"/>
          <w:color w:val="000000" w:themeColor="text1"/>
          <w:kern w:val="0"/>
          <w:sz w:val="28"/>
          <w:szCs w:val="28"/>
          <w:rtl/>
          <w14:ligatures w14:val="none"/>
        </w:rPr>
        <w:t>إلى تعريف هذا النمط باعتباره “وعدًا بالبيع” ينشئ التزامًا مستقبليًا على المطوِّر، ويستمد قوته الإلزامية من نصوص تشريعية خاصة تنظم آثاره وتحكم انقضاءه</w:t>
      </w:r>
      <w:r w:rsidRPr="00FD338A">
        <w:rPr>
          <w:rFonts w:ascii="Simplified Arabic" w:eastAsia="Times New Roman" w:hAnsi="Simplified Arabic" w:cs="Simplified Arabic"/>
          <w:color w:val="000000" w:themeColor="text1"/>
          <w:kern w:val="0"/>
          <w:sz w:val="28"/>
          <w:szCs w:val="28"/>
          <w14:ligatures w14:val="none"/>
        </w:rPr>
        <w:t>.</w:t>
      </w:r>
    </w:p>
    <w:p w14:paraId="570C24D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ومن منظور اقتصادي وإداري، عرّف</w:t>
      </w:r>
      <w:r w:rsidRPr="00FD338A">
        <w:rPr>
          <w:rFonts w:ascii="Simplified Arabic" w:eastAsia="Times New Roman" w:hAnsi="Simplified Arabic" w:cs="Simplified Arabic"/>
          <w:color w:val="000000" w:themeColor="text1"/>
          <w:kern w:val="0"/>
          <w:sz w:val="28"/>
          <w:szCs w:val="28"/>
          <w14:ligatures w14:val="none"/>
        </w:rPr>
        <w:t xml:space="preserve"> (Ondari &amp; Muturi, 2023) </w:t>
      </w:r>
      <w:r w:rsidRPr="00FD338A">
        <w:rPr>
          <w:rFonts w:ascii="Simplified Arabic" w:eastAsia="Times New Roman" w:hAnsi="Simplified Arabic" w:cs="Simplified Arabic"/>
          <w:color w:val="000000" w:themeColor="text1"/>
          <w:kern w:val="0"/>
          <w:sz w:val="28"/>
          <w:szCs w:val="28"/>
          <w:rtl/>
          <w14:ligatures w14:val="none"/>
        </w:rPr>
        <w:t>البيع على الخارطة بوصفه أداة تمويلية مبتكرة تُتيح للمطوِّرين تمويل مشروعاتهم من خلال تحصيل الدفعات المقدمة من المشترين، مما يُخفف الاعتماد على القروض المصرفية ويوزّع المخاطر بين أطراف متعددة. ويُقارب هذا التعريف ما طرحه</w:t>
      </w:r>
      <w:r w:rsidRPr="00FD338A">
        <w:rPr>
          <w:rFonts w:ascii="Simplified Arabic" w:eastAsia="Times New Roman" w:hAnsi="Simplified Arabic" w:cs="Simplified Arabic"/>
          <w:color w:val="000000" w:themeColor="text1"/>
          <w:kern w:val="0"/>
          <w:sz w:val="28"/>
          <w:szCs w:val="28"/>
          <w14:ligatures w14:val="none"/>
        </w:rPr>
        <w:t xml:space="preserve"> (Katwa &amp; </w:t>
      </w:r>
      <w:proofErr w:type="spellStart"/>
      <w:r w:rsidRPr="00FD338A">
        <w:rPr>
          <w:rFonts w:ascii="Simplified Arabic" w:eastAsia="Times New Roman" w:hAnsi="Simplified Arabic" w:cs="Simplified Arabic"/>
          <w:color w:val="000000" w:themeColor="text1"/>
          <w:kern w:val="0"/>
          <w:sz w:val="28"/>
          <w:szCs w:val="28"/>
          <w14:ligatures w14:val="none"/>
        </w:rPr>
        <w:t>Obala</w:t>
      </w:r>
      <w:proofErr w:type="spellEnd"/>
      <w:r w:rsidRPr="00FD338A">
        <w:rPr>
          <w:rFonts w:ascii="Simplified Arabic" w:eastAsia="Times New Roman" w:hAnsi="Simplified Arabic" w:cs="Simplified Arabic"/>
          <w:color w:val="000000" w:themeColor="text1"/>
          <w:kern w:val="0"/>
          <w:sz w:val="28"/>
          <w:szCs w:val="28"/>
          <w14:ligatures w14:val="none"/>
        </w:rPr>
        <w:t xml:space="preserve">, 2023) </w:t>
      </w:r>
      <w:r w:rsidRPr="00FD338A">
        <w:rPr>
          <w:rFonts w:ascii="Simplified Arabic" w:eastAsia="Times New Roman" w:hAnsi="Simplified Arabic" w:cs="Simplified Arabic"/>
          <w:color w:val="000000" w:themeColor="text1"/>
          <w:kern w:val="0"/>
          <w:sz w:val="28"/>
          <w:szCs w:val="28"/>
          <w:rtl/>
          <w14:ligatures w14:val="none"/>
        </w:rPr>
        <w:t>اللذان اعتبرا أن هذا النمط يُمثّل حلًا تمويليًا يُعالج قصور آليات التمويل التقليدية في القطاع العقاري، مع ما يستتبعه من ضرورة وضع إطار تنظيمي يحكم تدفق الأموال ويُوفّر الحماية اللازمة لأطراف العملية</w:t>
      </w:r>
      <w:r w:rsidRPr="00FD338A">
        <w:rPr>
          <w:rFonts w:ascii="Simplified Arabic" w:eastAsia="Times New Roman" w:hAnsi="Simplified Arabic" w:cs="Simplified Arabic"/>
          <w:color w:val="000000" w:themeColor="text1"/>
          <w:kern w:val="0"/>
          <w:sz w:val="28"/>
          <w:szCs w:val="28"/>
          <w14:ligatures w14:val="none"/>
        </w:rPr>
        <w:t>.</w:t>
      </w:r>
    </w:p>
    <w:p w14:paraId="07ED307C"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وقد قدّم (شعيب وزكي، ٢٠٢٥) رؤية أكثر شمولًا حين اعتبرا أن تنظيم البيع على الخارطة يقوم على منظومة من الآليات القانونية والمالية المتكاملة، أبرزها حساب الضمان الذي يُعدّ ركيزة أساسية في هذا التنظيم، إذ يضمن توجيه أموال المشترين نحو الغرض المخصص لها ويحول دون تسربها لغير المشروع. أما (الصندل، ٢٠٢١) فقد نظرت إلى التنظيم من زاوية التزامات الأطراف، مؤكدةً أن جوهر هذا التنظيم يكمن في تحديد دقيق للحقوق والالتزامات المتبادلة بين المطوِّر والمشتري والجهة المشرفة على حساب الضمان، بما يُرسّخ التوازن العقدي ويمنع الإخلال به</w:t>
      </w:r>
      <w:r w:rsidRPr="00FD338A">
        <w:rPr>
          <w:rFonts w:ascii="Simplified Arabic" w:eastAsia="Times New Roman" w:hAnsi="Simplified Arabic" w:cs="Simplified Arabic"/>
          <w:color w:val="000000" w:themeColor="text1"/>
          <w:kern w:val="0"/>
          <w:sz w:val="28"/>
          <w:szCs w:val="28"/>
          <w14:ligatures w14:val="none"/>
        </w:rPr>
        <w:t>.</w:t>
      </w:r>
    </w:p>
    <w:p w14:paraId="3169AE42"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وفي إطار المقاربات المقارنة، عرّف</w:t>
      </w:r>
      <w:r w:rsidRPr="00FD338A">
        <w:rPr>
          <w:rFonts w:ascii="Simplified Arabic" w:eastAsia="Times New Roman" w:hAnsi="Simplified Arabic" w:cs="Simplified Arabic"/>
          <w:color w:val="000000" w:themeColor="text1"/>
          <w:kern w:val="0"/>
          <w:sz w:val="28"/>
          <w:szCs w:val="28"/>
          <w14:ligatures w14:val="none"/>
        </w:rPr>
        <w:t xml:space="preserve"> (Thuy, 2025) </w:t>
      </w:r>
      <w:r w:rsidRPr="00FD338A">
        <w:rPr>
          <w:rFonts w:ascii="Simplified Arabic" w:eastAsia="Times New Roman" w:hAnsi="Simplified Arabic" w:cs="Simplified Arabic"/>
          <w:color w:val="000000" w:themeColor="text1"/>
          <w:kern w:val="0"/>
          <w:sz w:val="28"/>
          <w:szCs w:val="28"/>
          <w:rtl/>
          <w14:ligatures w14:val="none"/>
        </w:rPr>
        <w:t>البيع على الخارطة بوصفه نموذجًا تنظيميًا متعدد المستويات يجمع بين الضوابط الوقائية السابقة على التعاقد، والالتزامات المستمرة أثناء التنفيذ، وآليات المعالجة اللاحقة عند الإخلال، مؤكدًا أن تباين التشريعات الوطنية في هذا الشأن يعكس اختلافًا في فلسفة الحماية وحدودها. كما أشار (المطيري، ٢٠٢٥) إلى أن التنظيم القانوني لهذا النمط ينبغي أن يُنظر إليه كنسق متكامل يجمع بين النصوص الموضوعية والإجرائية، وبين الرقابة الوقائية واللاحقة، لتحقيق حماية فعّالة لأطراف العلاقة</w:t>
      </w:r>
      <w:r w:rsidRPr="00FD338A">
        <w:rPr>
          <w:rFonts w:ascii="Simplified Arabic" w:eastAsia="Times New Roman" w:hAnsi="Simplified Arabic" w:cs="Simplified Arabic"/>
          <w:color w:val="000000" w:themeColor="text1"/>
          <w:kern w:val="0"/>
          <w:sz w:val="28"/>
          <w:szCs w:val="28"/>
          <w14:ligatures w14:val="none"/>
        </w:rPr>
        <w:t>.</w:t>
      </w:r>
    </w:p>
    <w:p w14:paraId="3E4EF012"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ويُلاحظ من استعراض هذه التعريفات وجود اتجاهين رئيسين في مقاربة المفهوم: اتجاه ضيّق يركّز على الطبيعة العقدية للبيع على الخارطة بوصفه تصرفًا قانونيًا خاصًا، واتجاه موسّع ينظر إليه بوصفه منظومة تنظيمية متكاملة تشمل الضبط المؤسسي والمالي والإفصاحي. وفي ضوء ما تقدّم، يرى الباحث أن تنظيم البيع على الخارطة يمكن تعريفه إجرائيًا بأنه: “منظومة متكاملة من الضوابط التشريعية والرقابية والإدارية التي تحكم عملية بيع الوحدات العقارية قبل إنشائها، بحيث تُنظّم دخول المطوِّرين إلى هذا النشاط عبر اشتراطات الترخيص والتأهيل، وتضبط تدفق الأموال من خلال حسابات الضمان والرقابة المالية، وتُحدّد الالتزامات التعاقدية للأطراف بوضوح، وتفرض معايير الإفصاح والشفافية، بما يُحقق التوازن بين تمويل التنمية العقارية وحماية حقوق المشترين”. ويستند هذا التعريف إلى تكامل الأبعاد الأربعة المعتمدة في الدراسة، ويعكس الطبيعة المركّبة لهذا التنظيم بوصفه ظاهرة قانونية واقتصادية وإدارية في آن واحد</w:t>
      </w:r>
      <w:r w:rsidRPr="00FD338A">
        <w:rPr>
          <w:rFonts w:ascii="Simplified Arabic" w:eastAsia="Times New Roman" w:hAnsi="Simplified Arabic" w:cs="Simplified Arabic"/>
          <w:color w:val="000000" w:themeColor="text1"/>
          <w:kern w:val="0"/>
          <w:sz w:val="28"/>
          <w:szCs w:val="28"/>
          <w14:ligatures w14:val="none"/>
        </w:rPr>
        <w:t>.</w:t>
      </w:r>
    </w:p>
    <w:p w14:paraId="755CB110" w14:textId="0CF51195"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941123"/>
      <w:r w:rsidRPr="00FD338A">
        <w:rPr>
          <w:rFonts w:ascii="Simplified Arabic" w:eastAsia="Times New Roman" w:hAnsi="Simplified Arabic" w:cs="Simplified Arabic" w:hint="cs"/>
          <w:b/>
          <w:bCs/>
          <w:color w:val="000000" w:themeColor="text1"/>
          <w:kern w:val="0"/>
          <w:sz w:val="32"/>
          <w:szCs w:val="32"/>
          <w:rtl/>
          <w14:ligatures w14:val="none"/>
        </w:rPr>
        <w:t xml:space="preserve">3.1.2 </w:t>
      </w:r>
      <w:r w:rsidR="00021997" w:rsidRPr="00FD338A">
        <w:rPr>
          <w:rFonts w:ascii="Simplified Arabic" w:eastAsia="Times New Roman" w:hAnsi="Simplified Arabic" w:cs="Simplified Arabic"/>
          <w:b/>
          <w:bCs/>
          <w:color w:val="000000" w:themeColor="text1"/>
          <w:kern w:val="0"/>
          <w:sz w:val="32"/>
          <w:szCs w:val="32"/>
          <w:rtl/>
          <w14:ligatures w14:val="none"/>
        </w:rPr>
        <w:t>أهمية تنظيم البيع على الخارطة</w:t>
      </w:r>
      <w:bookmarkEnd w:id="34"/>
    </w:p>
    <w:p w14:paraId="00019A7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تنبع أهمية تنظيم البيع على الخارطة من الطبيعة الخاصة لهذا النوع من التعاقد، إذ يقوم المشتري بدفع مبالغ مالية كبيرة مقابل وحدة عقارية لم تُنشأ بعد، مما يُفرز حالة من اللايقين تستوجب تدخلًا تنظيميًا يُقلّص الفجوة المعلوماتية بين الأطراف، ويُوفّر الضمانات الكافية لاستمرار المشروع وإنجازه وفق الشروط المتفق عليها. وتتجلى هذه الأهمية على المستويات القانونية والاقتصادية والاجتماعية، بحيث يُشكّل التنظيم أداة استقرار للسوق العقاري ودعامة أساسية لثقة المتعاملين فيه</w:t>
      </w:r>
      <w:r w:rsidRPr="00FD338A">
        <w:rPr>
          <w:rFonts w:ascii="Simplified Arabic" w:eastAsia="Times New Roman" w:hAnsi="Simplified Arabic" w:cs="Simplified Arabic"/>
          <w:color w:val="000000" w:themeColor="text1"/>
          <w:kern w:val="0"/>
          <w:sz w:val="28"/>
          <w:szCs w:val="28"/>
          <w14:ligatures w14:val="none"/>
        </w:rPr>
        <w:t>.</w:t>
      </w:r>
    </w:p>
    <w:p w14:paraId="588E9C9E"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ويشير (المحصلابي، ٢٠٢٣) إلى أن أهمية تنظيم البيع على الخارطة تتمثل في جوانب عدة، أبرزها: أولًا، إرساء منظومة حمائية للمستهلك العقاري تُوازن بين موقفه الضعيف في مواجهة المطوِّر وبين الحاجة إلى تسهيل تدفق الاستثمارات العقارية؛ ثانيًا، الحد من ظاهرة المشروعات المتعثرة التي تُلحق أضرارًا جسيمة بالمشترين وتُضعف ثقتهم في السوق؛ ثالثًا، توفير إطار قانوني واضح يُقلّل من النزاعات القضائية ويُسرّع </w:t>
      </w:r>
      <w:r w:rsidRPr="00FD338A">
        <w:rPr>
          <w:rFonts w:ascii="Simplified Arabic" w:eastAsia="Times New Roman" w:hAnsi="Simplified Arabic" w:cs="Simplified Arabic"/>
          <w:color w:val="000000" w:themeColor="text1"/>
          <w:kern w:val="0"/>
          <w:sz w:val="28"/>
          <w:szCs w:val="28"/>
          <w:rtl/>
          <w14:ligatures w14:val="none"/>
        </w:rPr>
        <w:lastRenderedPageBreak/>
        <w:t>الفصل فيها عند وقوعها؛ رابعًا، تعزيز الشفافية في المعاملات العقارية بما يُسهم في استقرار الأسعار وترشيد المنافسة بين المطوِّرين</w:t>
      </w:r>
      <w:r w:rsidRPr="00FD338A">
        <w:rPr>
          <w:rFonts w:ascii="Simplified Arabic" w:eastAsia="Times New Roman" w:hAnsi="Simplified Arabic" w:cs="Simplified Arabic"/>
          <w:color w:val="000000" w:themeColor="text1"/>
          <w:kern w:val="0"/>
          <w:sz w:val="28"/>
          <w:szCs w:val="28"/>
          <w14:ligatures w14:val="none"/>
        </w:rPr>
        <w:t>.</w:t>
      </w:r>
    </w:p>
    <w:p w14:paraId="721B42BF"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ويرى (العساف وعجاج، ٢٠٢٥) أن أهمية هذا التنظيم تظهر في كونه يُؤسّس لضمانات متعددة الطبقات تحمي المشتري في مختلف مراحل التعاقد، ابتداءً من مرحلة ما قبل التعاقد التي تستوجب التحقق من جدية المطوِّر وأهليته، مرورًا بمرحلة التنفيذ التي تتطلب رقابة مستمرة على سير الأعمال والتصرف في الأموال، وانتهاءً بمرحلة التسليم التي تستدعي التحقق من مطابقة الوحدة للمواصفات المتفق عليها. ويُضيف الباحثان أن هذه الضمانات المتكاملة تُشكّل عنصرًا جوهريًا في بناء بيئة استثمارية جاذبة وموثوقة</w:t>
      </w:r>
      <w:r w:rsidRPr="00FD338A">
        <w:rPr>
          <w:rFonts w:ascii="Simplified Arabic" w:eastAsia="Times New Roman" w:hAnsi="Simplified Arabic" w:cs="Simplified Arabic"/>
          <w:color w:val="000000" w:themeColor="text1"/>
          <w:kern w:val="0"/>
          <w:sz w:val="28"/>
          <w:szCs w:val="28"/>
          <w14:ligatures w14:val="none"/>
        </w:rPr>
        <w:t>.</w:t>
      </w:r>
    </w:p>
    <w:p w14:paraId="1ADC8FED"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ومن منظور اقتصادي، يُشير</w:t>
      </w:r>
      <w:r w:rsidRPr="00FD338A">
        <w:rPr>
          <w:rFonts w:ascii="Simplified Arabic" w:eastAsia="Times New Roman" w:hAnsi="Simplified Arabic" w:cs="Simplified Arabic"/>
          <w:color w:val="000000" w:themeColor="text1"/>
          <w:kern w:val="0"/>
          <w:sz w:val="28"/>
          <w:szCs w:val="28"/>
          <w14:ligatures w14:val="none"/>
        </w:rPr>
        <w:t xml:space="preserve"> (Huang et al., 2025) </w:t>
      </w:r>
      <w:r w:rsidRPr="00FD338A">
        <w:rPr>
          <w:rFonts w:ascii="Simplified Arabic" w:eastAsia="Times New Roman" w:hAnsi="Simplified Arabic" w:cs="Simplified Arabic"/>
          <w:color w:val="000000" w:themeColor="text1"/>
          <w:kern w:val="0"/>
          <w:sz w:val="28"/>
          <w:szCs w:val="28"/>
          <w:rtl/>
          <w14:ligatures w14:val="none"/>
        </w:rPr>
        <w:t xml:space="preserve">إلى أن تنظيم نظام البيع المسبق للوحدات العقارية يكتسب أهمية استثنائية نظرًا لدوره في إدارة </w:t>
      </w:r>
      <w:proofErr w:type="gramStart"/>
      <w:r w:rsidRPr="00FD338A">
        <w:rPr>
          <w:rFonts w:ascii="Simplified Arabic" w:eastAsia="Times New Roman" w:hAnsi="Simplified Arabic" w:cs="Simplified Arabic"/>
          <w:color w:val="000000" w:themeColor="text1"/>
          <w:kern w:val="0"/>
          <w:sz w:val="28"/>
          <w:szCs w:val="28"/>
          <w:rtl/>
          <w14:ligatures w14:val="none"/>
        </w:rPr>
        <w:t>مخاطر</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التعثر التي يمكن أن تُصيب المطوِّرين، ومن ثم انعكاساتها على الاقتصاد الكلي. ويُوضّح الباحثون أن ضعف التنظيم يفتح الباب أمام سلوكيات انتهازية من قِبل بعض المطوِّرين، مثل التوسع في المشروعات دون توفر الملاءة الكافية، أو تحويل الأموال المخصصة لمشروع بعينه إلى مشروعات أخرى، مما يُفرز </w:t>
      </w:r>
      <w:proofErr w:type="gramStart"/>
      <w:r w:rsidRPr="00FD338A">
        <w:rPr>
          <w:rFonts w:ascii="Simplified Arabic" w:eastAsia="Times New Roman" w:hAnsi="Simplified Arabic" w:cs="Simplified Arabic"/>
          <w:color w:val="000000" w:themeColor="text1"/>
          <w:kern w:val="0"/>
          <w:sz w:val="28"/>
          <w:szCs w:val="28"/>
          <w:rtl/>
          <w14:ligatures w14:val="none"/>
        </w:rPr>
        <w:t>مخاطر</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نظامية تُهدد استقرار القطاع العقاري برمّته</w:t>
      </w:r>
      <w:r w:rsidRPr="00FD338A">
        <w:rPr>
          <w:rFonts w:ascii="Simplified Arabic" w:eastAsia="Times New Roman" w:hAnsi="Simplified Arabic" w:cs="Simplified Arabic"/>
          <w:color w:val="000000" w:themeColor="text1"/>
          <w:kern w:val="0"/>
          <w:sz w:val="28"/>
          <w:szCs w:val="28"/>
          <w14:ligatures w14:val="none"/>
        </w:rPr>
        <w:t>.</w:t>
      </w:r>
    </w:p>
    <w:p w14:paraId="1A8A385D"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ويشير</w:t>
      </w:r>
      <w:r w:rsidRPr="00FD338A">
        <w:rPr>
          <w:rFonts w:ascii="Simplified Arabic" w:eastAsia="Times New Roman" w:hAnsi="Simplified Arabic" w:cs="Simplified Arabic"/>
          <w:color w:val="000000" w:themeColor="text1"/>
          <w:kern w:val="0"/>
          <w:sz w:val="28"/>
          <w:szCs w:val="28"/>
          <w14:ligatures w14:val="none"/>
        </w:rPr>
        <w:t xml:space="preserve"> (Bharti et al., 2024) </w:t>
      </w:r>
      <w:r w:rsidRPr="00FD338A">
        <w:rPr>
          <w:rFonts w:ascii="Simplified Arabic" w:eastAsia="Times New Roman" w:hAnsi="Simplified Arabic" w:cs="Simplified Arabic"/>
          <w:color w:val="000000" w:themeColor="text1"/>
          <w:kern w:val="0"/>
          <w:sz w:val="28"/>
          <w:szCs w:val="28"/>
          <w:rtl/>
          <w14:ligatures w14:val="none"/>
        </w:rPr>
        <w:t>إلى أن أهمية التنظيم تتجلى أيضًا في قدرته على معالجة النزاعات العقارية بأسلوب استباقي، من خلال وضع ضوابط واضحة تُقلّص مساحات الغموض في العلاقات التعاقدية، وتُوفّر آليات فعّالة لتسوية الخلافات قبل تفاقمها. ويُضيف الباحثون أن التنظيم الجيد يُسهم في تحويل السوق العقاري من بيئة تسودها الشكوك إلى بيئة قابلة للتنبؤ، مما يُشجع الاستثمار طويل الأجل ويُعزّز كفاءة تخصيص الموارد داخل القطاع</w:t>
      </w:r>
      <w:r w:rsidRPr="00FD338A">
        <w:rPr>
          <w:rFonts w:ascii="Simplified Arabic" w:eastAsia="Times New Roman" w:hAnsi="Simplified Arabic" w:cs="Simplified Arabic"/>
          <w:color w:val="000000" w:themeColor="text1"/>
          <w:kern w:val="0"/>
          <w:sz w:val="28"/>
          <w:szCs w:val="28"/>
          <w14:ligatures w14:val="none"/>
        </w:rPr>
        <w:t>.</w:t>
      </w:r>
    </w:p>
    <w:p w14:paraId="43A10347"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ويذهب</w:t>
      </w:r>
      <w:r w:rsidRPr="00FD338A">
        <w:rPr>
          <w:rFonts w:ascii="Simplified Arabic" w:eastAsia="Times New Roman" w:hAnsi="Simplified Arabic" w:cs="Simplified Arabic"/>
          <w:color w:val="000000" w:themeColor="text1"/>
          <w:kern w:val="0"/>
          <w:sz w:val="28"/>
          <w:szCs w:val="28"/>
          <w14:ligatures w14:val="none"/>
        </w:rPr>
        <w:t xml:space="preserve"> (Patel &amp; Jha, 2025) </w:t>
      </w:r>
      <w:r w:rsidRPr="00FD338A">
        <w:rPr>
          <w:rFonts w:ascii="Simplified Arabic" w:eastAsia="Times New Roman" w:hAnsi="Simplified Arabic" w:cs="Simplified Arabic"/>
          <w:color w:val="000000" w:themeColor="text1"/>
          <w:kern w:val="0"/>
          <w:sz w:val="28"/>
          <w:szCs w:val="28"/>
          <w:rtl/>
          <w14:ligatures w14:val="none"/>
        </w:rPr>
        <w:t>إلى أن الأهمية العملية لتنظيم البيع على الخارطة تتضح في انعكاساته المباشرة على صناعة التشييد، إذ يُعيد التنظيم رسم خريطة العلاقات بين المطوِّرين والمقاولين والممولين والمشترين، ويفرض معايير جديدة للحوكمة والإفصاح، ويُحدث تحولًا في ثقافة الالتزام داخل القطاع. ويؤكد الباحثان أن التنظيم لا يُنتج فقط أثرًا حمائيًا للمشتري، بل يُعيد هيكلة السوق بأكمله بما يُعزّز تنافسيته واستدامته</w:t>
      </w:r>
      <w:r w:rsidRPr="00FD338A">
        <w:rPr>
          <w:rFonts w:ascii="Simplified Arabic" w:eastAsia="Times New Roman" w:hAnsi="Simplified Arabic" w:cs="Simplified Arabic"/>
          <w:color w:val="000000" w:themeColor="text1"/>
          <w:kern w:val="0"/>
          <w:sz w:val="28"/>
          <w:szCs w:val="28"/>
          <w14:ligatures w14:val="none"/>
        </w:rPr>
        <w:t>.</w:t>
      </w:r>
    </w:p>
    <w:p w14:paraId="13079D2D"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ويُبرز (حسن، ٢٠٢٥) بُعدًا آخر لأهمية التنظيم يتصل بحماية المستهلك العقاري من الممارسات الإعلانية المضللة، مؤكدًا أن غياب التنظيم يفتح الباب أمام تسويق مشروعات وهمية أو مبالغ في مواصفاتها، مما يُلحق أضرارًا مادية ومعنوية بالمشترين. ويرى الباحث أن التنظيم الفاعل يُوفّر إطارًا يضبط الرسائل التسويقية، ويُلزم المطوِّرين بتقديم معلومات دقيقة وصادقة، ويفرض جزاءات على من يُخالف ذلك</w:t>
      </w:r>
      <w:r w:rsidRPr="00FD338A">
        <w:rPr>
          <w:rFonts w:ascii="Simplified Arabic" w:eastAsia="Times New Roman" w:hAnsi="Simplified Arabic" w:cs="Simplified Arabic"/>
          <w:color w:val="000000" w:themeColor="text1"/>
          <w:kern w:val="0"/>
          <w:sz w:val="28"/>
          <w:szCs w:val="28"/>
          <w14:ligatures w14:val="none"/>
        </w:rPr>
        <w:t>.</w:t>
      </w:r>
    </w:p>
    <w:p w14:paraId="26258DC8"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ويُضيف</w:t>
      </w:r>
      <w:r w:rsidRPr="00FD338A">
        <w:rPr>
          <w:rFonts w:ascii="Simplified Arabic" w:eastAsia="Times New Roman" w:hAnsi="Simplified Arabic" w:cs="Simplified Arabic"/>
          <w:color w:val="000000" w:themeColor="text1"/>
          <w:kern w:val="0"/>
          <w:sz w:val="28"/>
          <w:szCs w:val="28"/>
          <w14:ligatures w14:val="none"/>
        </w:rPr>
        <w:t xml:space="preserve"> (Rasul, 2025) </w:t>
      </w:r>
      <w:r w:rsidRPr="00FD338A">
        <w:rPr>
          <w:rFonts w:ascii="Simplified Arabic" w:eastAsia="Times New Roman" w:hAnsi="Simplified Arabic" w:cs="Simplified Arabic"/>
          <w:color w:val="000000" w:themeColor="text1"/>
          <w:kern w:val="0"/>
          <w:sz w:val="28"/>
          <w:szCs w:val="28"/>
          <w:rtl/>
          <w14:ligatures w14:val="none"/>
        </w:rPr>
        <w:t>أن أهمية التنظيم تتجسّد في توفير حماية قانونية شاملة للمشتري تمتد على طول دورة حياة العقد، بدءًا من مرحلة التفاوض، ومرورًا بمرحلتَي التوقيع والتنفيذ، وانتهاءً بمرحلة ما بعد التسليم. ويُشير الباحث إلى أن هذه الحماية الممتدة تُشكّل عنصرًا حاسمًا في تخفيف حالة عدم التماثل المعلوماتي بين المطوِّر والمشتري، وتُعوّض الأخير عن ضعف موقفه التفاوضي في مواجهة مطوِّر يمتلك خبرة تقنية وقانونية ومالية متفوقة</w:t>
      </w:r>
      <w:r w:rsidRPr="00FD338A">
        <w:rPr>
          <w:rFonts w:ascii="Simplified Arabic" w:eastAsia="Times New Roman" w:hAnsi="Simplified Arabic" w:cs="Simplified Arabic"/>
          <w:color w:val="000000" w:themeColor="text1"/>
          <w:kern w:val="0"/>
          <w:sz w:val="28"/>
          <w:szCs w:val="28"/>
          <w14:ligatures w14:val="none"/>
        </w:rPr>
        <w:t>.</w:t>
      </w:r>
    </w:p>
    <w:p w14:paraId="09BD019C"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ويُلاحظ أن أهمية التنظيم في السياق السعودي تكتسب طابعًا مضاعفًا نظرًا لحجم السوق العقاري وتنوع مشروعاته وتعدد المتعاملين فيه، فضلًا عن ارتباطه بمستهدفات تنموية طموحة تشمل رفع نسب تملّك المساكن وتوسيع قاعدة الاستثمار العقاري. ويرى الباحث أن أهمية هذا التنظيم تتجاوز الأبعاد القانونية الضيقة لتشمل أبعادًا اقتصادية وإدارية واجتماعية، إذ يُشكّل ركيزة أساسية لبناء سوق عقاري متطور يُوازن بين تمكين المطوِّرين وحماية المشترين وضمان استدامة القطاع</w:t>
      </w:r>
      <w:r w:rsidRPr="00FD338A">
        <w:rPr>
          <w:rFonts w:ascii="Simplified Arabic" w:eastAsia="Times New Roman" w:hAnsi="Simplified Arabic" w:cs="Simplified Arabic"/>
          <w:color w:val="000000" w:themeColor="text1"/>
          <w:kern w:val="0"/>
          <w:sz w:val="28"/>
          <w:szCs w:val="28"/>
          <w14:ligatures w14:val="none"/>
        </w:rPr>
        <w:t>.</w:t>
      </w:r>
    </w:p>
    <w:p w14:paraId="32F369E1" w14:textId="27434B50"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941124"/>
      <w:r w:rsidRPr="00FD338A">
        <w:rPr>
          <w:rFonts w:ascii="Simplified Arabic" w:eastAsia="Times New Roman" w:hAnsi="Simplified Arabic" w:cs="Simplified Arabic" w:hint="cs"/>
          <w:b/>
          <w:bCs/>
          <w:color w:val="000000" w:themeColor="text1"/>
          <w:kern w:val="0"/>
          <w:sz w:val="32"/>
          <w:szCs w:val="32"/>
          <w:rtl/>
          <w14:ligatures w14:val="none"/>
        </w:rPr>
        <w:t xml:space="preserve">4.1.2 </w:t>
      </w:r>
      <w:r w:rsidR="00021997" w:rsidRPr="00FD338A">
        <w:rPr>
          <w:rFonts w:ascii="Simplified Arabic" w:eastAsia="Times New Roman" w:hAnsi="Simplified Arabic" w:cs="Simplified Arabic"/>
          <w:b/>
          <w:bCs/>
          <w:color w:val="000000" w:themeColor="text1"/>
          <w:kern w:val="0"/>
          <w:sz w:val="32"/>
          <w:szCs w:val="32"/>
          <w:rtl/>
          <w14:ligatures w14:val="none"/>
        </w:rPr>
        <w:t>أهداف تنظيم البيع على الخارطة</w:t>
      </w:r>
      <w:bookmarkEnd w:id="35"/>
    </w:p>
    <w:p w14:paraId="3F31BD06"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تتعدد أهداف تنظيم البيع على الخارطة بتعدد الزوايا التي يُنظر إليه من خلالها، فهي تجمع بين أهداف حمائية تتصل بضمان حقوق المشترين، وأهداف تنموية تتصل بتحفيز الاستثمار العقاري، وأهداف تنظيمية تتصل بضبط السوق وترشيد سلوك المتعاملين فيه. وقد تناول الباحثون هذه الأهداف من زوايا متنوعة، بحيث يمكن استخلاص جملة من الغايات الجوهرية التي يسعى التنظيم إلى تحقيقها</w:t>
      </w:r>
      <w:r w:rsidRPr="00FD338A">
        <w:rPr>
          <w:rFonts w:ascii="Simplified Arabic" w:eastAsia="Times New Roman" w:hAnsi="Simplified Arabic" w:cs="Simplified Arabic"/>
          <w:color w:val="000000" w:themeColor="text1"/>
          <w:kern w:val="0"/>
          <w:sz w:val="28"/>
          <w:szCs w:val="28"/>
          <w14:ligatures w14:val="none"/>
        </w:rPr>
        <w:t>.</w:t>
      </w:r>
    </w:p>
    <w:p w14:paraId="722D525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ويحدد (الغامدي، ٢٠٢٤) جملة من الأهداف التي يسعى التنظيم إلى تحقيقها، تتمثل في: أولًا، تأمين حقوق المشتري في الحصول على الوحدة العقارية بالمواصفات المتفق عليها وفي الأجل المحدد؛ ثانيًا، وضع ضوابط للأهلية المالية والفنية للمطوِّر بما يضمن قدرته على الوفاء بالتزاماته؛ ثالثًا، تنظيم آليات التصرف في المبالغ المدفوعة من المشترين بحيث لا تُستخدم في غير الغرض المخصص لها؛ رابعًا، توفير آليات للتعويض والمعالجة عند الإخلال بالالتزامات التعاقدية</w:t>
      </w:r>
      <w:r w:rsidRPr="00FD338A">
        <w:rPr>
          <w:rFonts w:ascii="Simplified Arabic" w:eastAsia="Times New Roman" w:hAnsi="Simplified Arabic" w:cs="Simplified Arabic"/>
          <w:color w:val="000000" w:themeColor="text1"/>
          <w:kern w:val="0"/>
          <w:sz w:val="28"/>
          <w:szCs w:val="28"/>
          <w14:ligatures w14:val="none"/>
        </w:rPr>
        <w:t>.</w:t>
      </w:r>
    </w:p>
    <w:p w14:paraId="4FBBBDAC"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ويُشير (شعيب وزكي، ٢٠٢٥) إلى أن التنظيم يستهدف تحقيق جملة من الغايات المتكاملة، أبرزها: بناء بيئة تعاقدية آمنة تُشجّع المشترين على الإقدام على شراء الوحدات قبل إنشائها؛ وتوفير مصدر تمويلي مستقر للمطوِّرين يُمكّنهم من إنجاز مشروعاتهم دون اللجوء الكلي إلى الاقتراض؛ وترسيخ ثقافة الحوكمة المالية في القطاع العقاري من خلال إخضاع تدفق الأموال لرقابة مؤسسية مستقلة؛ ودعم استقرار السوق العقاري من خلال تقليص حالات التعثر والإفلاس</w:t>
      </w:r>
      <w:r w:rsidRPr="00FD338A">
        <w:rPr>
          <w:rFonts w:ascii="Simplified Arabic" w:eastAsia="Times New Roman" w:hAnsi="Simplified Arabic" w:cs="Simplified Arabic"/>
          <w:color w:val="000000" w:themeColor="text1"/>
          <w:kern w:val="0"/>
          <w:sz w:val="28"/>
          <w:szCs w:val="28"/>
          <w14:ligatures w14:val="none"/>
        </w:rPr>
        <w:t>.</w:t>
      </w:r>
    </w:p>
    <w:p w14:paraId="70685E0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ويرى (المطيري، ٢٠٢٥) أن أهداف التنظيم يمكن استخلاصها في المحاور الآتية: أولًا، تحقيق التوازن بين مصالح أطراف العقد بحيث لا يطغى طرف على آخر؛ ثانيًا، الحد من ظاهرة النزاعات القضائية العقارية من خلال وضع قواعد واضحة تحكم العلاقة التعاقدية؛ ثالثًا، تعزيز الثقة في السوق العقاري بوصفها شرطًا لازمًا لاستدامة نموه؛ رابعًا، مواءمة التشريع الوطني مع الممارسات الدولية الفضلى في تنظيم هذا النشاط</w:t>
      </w:r>
      <w:r w:rsidRPr="00FD338A">
        <w:rPr>
          <w:rFonts w:ascii="Simplified Arabic" w:eastAsia="Times New Roman" w:hAnsi="Simplified Arabic" w:cs="Simplified Arabic"/>
          <w:color w:val="000000" w:themeColor="text1"/>
          <w:kern w:val="0"/>
          <w:sz w:val="28"/>
          <w:szCs w:val="28"/>
          <w14:ligatures w14:val="none"/>
        </w:rPr>
        <w:t>.</w:t>
      </w:r>
    </w:p>
    <w:p w14:paraId="6EEB232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ويُوضّح</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Alqahtany</w:t>
      </w:r>
      <w:proofErr w:type="spellEnd"/>
      <w:r w:rsidRPr="00FD338A">
        <w:rPr>
          <w:rFonts w:ascii="Simplified Arabic" w:eastAsia="Times New Roman" w:hAnsi="Simplified Arabic" w:cs="Simplified Arabic"/>
          <w:color w:val="000000" w:themeColor="text1"/>
          <w:kern w:val="0"/>
          <w:sz w:val="28"/>
          <w:szCs w:val="28"/>
          <w14:ligatures w14:val="none"/>
        </w:rPr>
        <w:t xml:space="preserve"> et al., 2023) </w:t>
      </w:r>
      <w:r w:rsidRPr="00FD338A">
        <w:rPr>
          <w:rFonts w:ascii="Simplified Arabic" w:eastAsia="Times New Roman" w:hAnsi="Simplified Arabic" w:cs="Simplified Arabic"/>
          <w:color w:val="000000" w:themeColor="text1"/>
          <w:kern w:val="0"/>
          <w:sz w:val="28"/>
          <w:szCs w:val="28"/>
          <w:rtl/>
          <w14:ligatures w14:val="none"/>
        </w:rPr>
        <w:t>أن التنظيم يسعى إلى تحقيق أهداف عدة، منها: تطوير آليات مؤسسية لضبط برامج البيع على الخارطة بما يستجيب لخصوصية السوق العقاري في الرياض؛ وتوحيد الإجراءات والمعايير التي يخضع لها المطوِّرون بما يُقلّص التباين ويرفع مستوى الحوكمة؛ وتحقيق التوافق بين الأطراف المعنية حول أفضل الممارسات في هذا المجال؛ وتعزيز جودة الوحدات العقارية المسلَّمة من خلال ربط التنظيم بمعايير فنية وهندسية دقيقة</w:t>
      </w:r>
      <w:r w:rsidRPr="00FD338A">
        <w:rPr>
          <w:rFonts w:ascii="Simplified Arabic" w:eastAsia="Times New Roman" w:hAnsi="Simplified Arabic" w:cs="Simplified Arabic"/>
          <w:color w:val="000000" w:themeColor="text1"/>
          <w:kern w:val="0"/>
          <w:sz w:val="28"/>
          <w:szCs w:val="28"/>
          <w14:ligatures w14:val="none"/>
        </w:rPr>
        <w:t>.</w:t>
      </w:r>
    </w:p>
    <w:p w14:paraId="4DAF900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ويُضيف</w:t>
      </w:r>
      <w:r w:rsidRPr="00FD338A">
        <w:rPr>
          <w:rFonts w:ascii="Simplified Arabic" w:eastAsia="Times New Roman" w:hAnsi="Simplified Arabic" w:cs="Simplified Arabic"/>
          <w:color w:val="000000" w:themeColor="text1"/>
          <w:kern w:val="0"/>
          <w:sz w:val="28"/>
          <w:szCs w:val="28"/>
          <w14:ligatures w14:val="none"/>
        </w:rPr>
        <w:t xml:space="preserve"> (Rasul, 2025) </w:t>
      </w:r>
      <w:r w:rsidRPr="00FD338A">
        <w:rPr>
          <w:rFonts w:ascii="Simplified Arabic" w:eastAsia="Times New Roman" w:hAnsi="Simplified Arabic" w:cs="Simplified Arabic"/>
          <w:color w:val="000000" w:themeColor="text1"/>
          <w:kern w:val="0"/>
          <w:sz w:val="28"/>
          <w:szCs w:val="28"/>
          <w:rtl/>
          <w14:ligatures w14:val="none"/>
        </w:rPr>
        <w:t>أن التنظيم يستهدف تقديم حماية قانونية شاملة للمشتري في مواجهة اختلال ميزان القوى التفاوضي بينه وبين المطوِّر، وذلك من خلال: تكريس مبدأ حسن النية في التعاقد؛ وفرض التزامات إفصاح مسبقة على المطوِّر؛ وتقييد شروط الإذعان في العقود؛ وتوفير آليات فسخ العقد وإرجاع المبالغ عند الإخلال الجوهري</w:t>
      </w:r>
      <w:r w:rsidRPr="00FD338A">
        <w:rPr>
          <w:rFonts w:ascii="Simplified Arabic" w:eastAsia="Times New Roman" w:hAnsi="Simplified Arabic" w:cs="Simplified Arabic"/>
          <w:color w:val="000000" w:themeColor="text1"/>
          <w:kern w:val="0"/>
          <w:sz w:val="28"/>
          <w:szCs w:val="28"/>
          <w14:ligatures w14:val="none"/>
        </w:rPr>
        <w:t>.</w:t>
      </w:r>
    </w:p>
    <w:p w14:paraId="6334BA0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ويؤكد (العساف وعجاج، ٢٠٢٥) أن التنظيم يهدف إلى إرساء منظومة ضمانات متعددة الأبعاد تشمل: الضمانات الوقائية التي تحول دون وقوع الإخلال ابتداءً؛ والضمانات الرقابية التي ترصد سير التنفيذ وتكشف المخالفات في وقت مبكر؛ والضمانات العلاجية التي تُوفّر سبل التعويض والإصلاح عند وقوع الضرر. ويرى الباحثان أن تكامل هذه الضمانات هو ما يُحقق الفاعلية المرجوّة من التنظيم</w:t>
      </w:r>
      <w:r w:rsidRPr="00FD338A">
        <w:rPr>
          <w:rFonts w:ascii="Simplified Arabic" w:eastAsia="Times New Roman" w:hAnsi="Simplified Arabic" w:cs="Simplified Arabic"/>
          <w:color w:val="000000" w:themeColor="text1"/>
          <w:kern w:val="0"/>
          <w:sz w:val="28"/>
          <w:szCs w:val="28"/>
          <w14:ligatures w14:val="none"/>
        </w:rPr>
        <w:t>.</w:t>
      </w:r>
    </w:p>
    <w:p w14:paraId="78D075F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ويُشير</w:t>
      </w:r>
      <w:r w:rsidRPr="00FD338A">
        <w:rPr>
          <w:rFonts w:ascii="Simplified Arabic" w:eastAsia="Times New Roman" w:hAnsi="Simplified Arabic" w:cs="Simplified Arabic"/>
          <w:color w:val="000000" w:themeColor="text1"/>
          <w:kern w:val="0"/>
          <w:sz w:val="28"/>
          <w:szCs w:val="28"/>
          <w14:ligatures w14:val="none"/>
        </w:rPr>
        <w:t xml:space="preserve"> (Thuy, 2025) </w:t>
      </w:r>
      <w:r w:rsidRPr="00FD338A">
        <w:rPr>
          <w:rFonts w:ascii="Simplified Arabic" w:eastAsia="Times New Roman" w:hAnsi="Simplified Arabic" w:cs="Simplified Arabic"/>
          <w:color w:val="000000" w:themeColor="text1"/>
          <w:kern w:val="0"/>
          <w:sz w:val="28"/>
          <w:szCs w:val="28"/>
          <w:rtl/>
          <w14:ligatures w14:val="none"/>
        </w:rPr>
        <w:t>إلى أن التنظيم يسعى إلى تحقيق أهداف مقارنة تتصل بمواءمة التشريعات الوطنية مع النماذج الدولية الناجحة، ولا سيما النموذج الإماراتي الذي يُعدّ من أكثر النماذج تطورًا في تنظيم البيع على الخارطة، مع مراعاة الخصوصيات الوطنية لكل تشريع</w:t>
      </w:r>
      <w:r w:rsidRPr="00FD338A">
        <w:rPr>
          <w:rFonts w:ascii="Simplified Arabic" w:eastAsia="Times New Roman" w:hAnsi="Simplified Arabic" w:cs="Simplified Arabic"/>
          <w:color w:val="000000" w:themeColor="text1"/>
          <w:kern w:val="0"/>
          <w:sz w:val="28"/>
          <w:szCs w:val="28"/>
          <w14:ligatures w14:val="none"/>
        </w:rPr>
        <w:t>.</w:t>
      </w:r>
    </w:p>
    <w:p w14:paraId="7049F75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ويرى الباحث أن هذه الأهداف تتكامل فيما بينها لتُشكّل منظومة غايات مترابطة، إذ لا يمكن تحقيق أي منها بمعزل عن الأخرى؛ فالحماية الفعّالة للمشتري لا تتحقق دون ضبط أهلية المطوِّر، وضبط الأهلية لا يُفضي إلى نتائجه المرجوّة دون رقابة على تدفق الأموال، والرقابة المالية تفقد جدواها دون التزامات تعاقدية واضحة، والالتزامات التعاقدية لا تُنفَّذ بفاعلية دون شفافية معلوماتية كاملة. وهذا التكامل بين الأهداف هو ما يُبرّر تبنّي المقاربة الأبعادية المتكاملة في هذه الدراسة</w:t>
      </w:r>
      <w:r w:rsidRPr="00FD338A">
        <w:rPr>
          <w:rFonts w:ascii="Simplified Arabic" w:eastAsia="Times New Roman" w:hAnsi="Simplified Arabic" w:cs="Simplified Arabic"/>
          <w:color w:val="000000" w:themeColor="text1"/>
          <w:kern w:val="0"/>
          <w:sz w:val="28"/>
          <w:szCs w:val="28"/>
          <w14:ligatures w14:val="none"/>
        </w:rPr>
        <w:t>.</w:t>
      </w:r>
    </w:p>
    <w:p w14:paraId="60A1CAFF" w14:textId="09AACC3D"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941125"/>
      <w:r w:rsidRPr="00FD338A">
        <w:rPr>
          <w:rFonts w:ascii="Simplified Arabic" w:eastAsia="Times New Roman" w:hAnsi="Simplified Arabic" w:cs="Simplified Arabic" w:hint="cs"/>
          <w:b/>
          <w:bCs/>
          <w:color w:val="000000" w:themeColor="text1"/>
          <w:kern w:val="0"/>
          <w:sz w:val="32"/>
          <w:szCs w:val="32"/>
          <w:rtl/>
          <w14:ligatures w14:val="none"/>
        </w:rPr>
        <w:t xml:space="preserve">5.1.2 </w:t>
      </w:r>
      <w:r w:rsidR="00021997" w:rsidRPr="00FD338A">
        <w:rPr>
          <w:rFonts w:ascii="Simplified Arabic" w:eastAsia="Times New Roman" w:hAnsi="Simplified Arabic" w:cs="Simplified Arabic"/>
          <w:b/>
          <w:bCs/>
          <w:color w:val="000000" w:themeColor="text1"/>
          <w:kern w:val="0"/>
          <w:sz w:val="32"/>
          <w:szCs w:val="32"/>
          <w:rtl/>
          <w14:ligatures w14:val="none"/>
        </w:rPr>
        <w:t>أبعاد تنظيم البيع على الخارطة</w:t>
      </w:r>
      <w:bookmarkEnd w:id="36"/>
    </w:p>
    <w:p w14:paraId="39F57A1E"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تم تحديد الأبعاد المعتمدة في هذه الدراسة لتنظيم البيع على الخارطة استنادًا إلى استعراض معمّق لعدد من الدراسات النظرية والتطبيقية التي تناولت هذا الموضوع من زوايا مختلفة، ولا سيما دراسات (الغامدي، ٢٠٢٤)، و(العساف وعجاج، ٢٠٢٥)، و(شعيب وزكي، ٢٠٢٥)، و(المطيري، ٢٠٢٥)، و</w:t>
      </w:r>
      <w:r w:rsidRPr="00FD338A">
        <w:rPr>
          <w:rFonts w:ascii="Simplified Arabic" w:eastAsia="Times New Roman" w:hAnsi="Simplified Arabic" w:cs="Simplified Arabic"/>
          <w:color w:val="000000" w:themeColor="text1"/>
          <w:kern w:val="0"/>
          <w:sz w:val="28"/>
          <w:szCs w:val="28"/>
          <w14:ligatures w14:val="none"/>
        </w:rPr>
        <w:t>(</w:t>
      </w:r>
      <w:proofErr w:type="spellStart"/>
      <w:r w:rsidRPr="00FD338A">
        <w:rPr>
          <w:rFonts w:ascii="Simplified Arabic" w:eastAsia="Times New Roman" w:hAnsi="Simplified Arabic" w:cs="Simplified Arabic"/>
          <w:color w:val="000000" w:themeColor="text1"/>
          <w:kern w:val="0"/>
          <w:sz w:val="28"/>
          <w:szCs w:val="28"/>
          <w14:ligatures w14:val="none"/>
        </w:rPr>
        <w:t>Alqahtany</w:t>
      </w:r>
      <w:proofErr w:type="spellEnd"/>
      <w:r w:rsidRPr="00FD338A">
        <w:rPr>
          <w:rFonts w:ascii="Simplified Arabic" w:eastAsia="Times New Roman" w:hAnsi="Simplified Arabic" w:cs="Simplified Arabic"/>
          <w:color w:val="000000" w:themeColor="text1"/>
          <w:kern w:val="0"/>
          <w:sz w:val="28"/>
          <w:szCs w:val="28"/>
          <w14:ligatures w14:val="none"/>
        </w:rPr>
        <w:t xml:space="preserve"> et al., 2023)</w:t>
      </w:r>
      <w:r w:rsidRPr="00FD338A">
        <w:rPr>
          <w:rFonts w:ascii="Simplified Arabic" w:eastAsia="Times New Roman" w:hAnsi="Simplified Arabic" w:cs="Simplified Arabic"/>
          <w:color w:val="000000" w:themeColor="text1"/>
          <w:kern w:val="0"/>
          <w:sz w:val="28"/>
          <w:szCs w:val="28"/>
          <w:rtl/>
          <w14:ligatures w14:val="none"/>
        </w:rPr>
        <w:t>، و</w:t>
      </w:r>
      <w:r w:rsidRPr="00FD338A">
        <w:rPr>
          <w:rFonts w:ascii="Simplified Arabic" w:eastAsia="Times New Roman" w:hAnsi="Simplified Arabic" w:cs="Simplified Arabic"/>
          <w:color w:val="000000" w:themeColor="text1"/>
          <w:kern w:val="0"/>
          <w:sz w:val="28"/>
          <w:szCs w:val="28"/>
          <w14:ligatures w14:val="none"/>
        </w:rPr>
        <w:t>(Thuy, 2025)</w:t>
      </w:r>
      <w:r w:rsidRPr="00FD338A">
        <w:rPr>
          <w:rFonts w:ascii="Simplified Arabic" w:eastAsia="Times New Roman" w:hAnsi="Simplified Arabic" w:cs="Simplified Arabic"/>
          <w:color w:val="000000" w:themeColor="text1"/>
          <w:kern w:val="0"/>
          <w:sz w:val="28"/>
          <w:szCs w:val="28"/>
          <w:rtl/>
          <w14:ligatures w14:val="none"/>
        </w:rPr>
        <w:t>، و</w:t>
      </w:r>
      <w:r w:rsidRPr="00FD338A">
        <w:rPr>
          <w:rFonts w:ascii="Simplified Arabic" w:eastAsia="Times New Roman" w:hAnsi="Simplified Arabic" w:cs="Simplified Arabic"/>
          <w:color w:val="000000" w:themeColor="text1"/>
          <w:kern w:val="0"/>
          <w:sz w:val="28"/>
          <w:szCs w:val="28"/>
          <w14:ligatures w14:val="none"/>
        </w:rPr>
        <w:t>(Rasul, 2025)</w:t>
      </w:r>
      <w:r w:rsidRPr="00FD338A">
        <w:rPr>
          <w:rFonts w:ascii="Simplified Arabic" w:eastAsia="Times New Roman" w:hAnsi="Simplified Arabic" w:cs="Simplified Arabic"/>
          <w:color w:val="000000" w:themeColor="text1"/>
          <w:kern w:val="0"/>
          <w:sz w:val="28"/>
          <w:szCs w:val="28"/>
          <w:rtl/>
          <w14:ligatures w14:val="none"/>
        </w:rPr>
        <w:t>، إذ التقت هذه الدراسات في التأكيد على أربعة محاور جوهرية تُشكّل البنية التنظيمية للبيع على الخارطة: الترخيص وتأهيل المطوِّرين العقاريين، وحساب الضمان والرقابة المالية، والالتزامات التعاقدية وضوابط العقد، والإفصاح والشفافية المعلوماتية. وفيما يلي تفصيل هذه الأبعاد</w:t>
      </w:r>
      <w:r w:rsidRPr="00FD338A">
        <w:rPr>
          <w:rFonts w:ascii="Simplified Arabic" w:eastAsia="Times New Roman" w:hAnsi="Simplified Arabic" w:cs="Simplified Arabic"/>
          <w:color w:val="000000" w:themeColor="text1"/>
          <w:kern w:val="0"/>
          <w:sz w:val="28"/>
          <w:szCs w:val="28"/>
          <w14:ligatures w14:val="none"/>
        </w:rPr>
        <w:t>.</w:t>
      </w:r>
    </w:p>
    <w:p w14:paraId="195AB6CE" w14:textId="77777777" w:rsidR="00021997" w:rsidRPr="00FD338A" w:rsidRDefault="00021997"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البُعد الأول: الترخيص وتأهيل المطوِّرين العقاريين</w:t>
      </w:r>
    </w:p>
    <w:p w14:paraId="4823B183"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يُشكّل الترخيص وتأهيل المطوِّرين خط الدفاع الأول في منظومة تنظيم البيع على الخارطة، إذ يعمل بوصفه مصفاة تنظيمية سابقة على دخول المطوِّر إلى السوق، بحيث لا يُسمح بممارسة هذا النشاط إلا لمن تتوفر فيه اشتراطات الأهلية الفنية والمالية والإدارية. ويقوم هذا البُعد على فلسفة الرقابة الوقائية التي تسعى إلى استبعاد المطوِّرين غير المؤهلين قبل أن يتعاملوا مع أموال المشترين، مما يُقلّل احتمالات التعثر والإخلال بالالتزامات (الغامدي، ٢٠٢٤)</w:t>
      </w:r>
      <w:r w:rsidRPr="00FD338A">
        <w:rPr>
          <w:rFonts w:ascii="Simplified Arabic" w:eastAsia="Times New Roman" w:hAnsi="Simplified Arabic" w:cs="Simplified Arabic"/>
          <w:color w:val="000000" w:themeColor="text1"/>
          <w:kern w:val="0"/>
          <w:sz w:val="28"/>
          <w:szCs w:val="28"/>
          <w14:ligatures w14:val="none"/>
        </w:rPr>
        <w:t>.</w:t>
      </w:r>
    </w:p>
    <w:p w14:paraId="1C5DBCAB"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ويتضمن هذا البُعد جملة من الاشتراطات الفنية التي يتوجب على المطوِّر استيفاؤها، وتشمل: امتلاك الخبرة العملية في مجال التطوير العقاري، وتوفر الكوادر الهندسية والفنية المؤهلة، والقدرة على إدارة </w:t>
      </w:r>
      <w:r w:rsidRPr="00FD338A">
        <w:rPr>
          <w:rFonts w:ascii="Simplified Arabic" w:eastAsia="Times New Roman" w:hAnsi="Simplified Arabic" w:cs="Simplified Arabic"/>
          <w:color w:val="000000" w:themeColor="text1"/>
          <w:kern w:val="0"/>
          <w:sz w:val="28"/>
          <w:szCs w:val="28"/>
          <w:rtl/>
          <w14:ligatures w14:val="none"/>
        </w:rPr>
        <w:lastRenderedPageBreak/>
        <w:t>المشروعات وفق المعايير المهنية المعتمدة. ويرى (المطيري، ٢٠٢٥) أن هذه الاشتراطات تُشكّل ضمانة أساسية لجودة المشروعات ولقدرة المطوِّر على تنفيذ التزاماته بالمواصفات المتفق عليها وفي الآجال المحددة، إذ تُجنّب السوق الدخول العشوائي للأفراد أو الكيانات التي تفتقر إلى الحد الأدنى من الكفاءة</w:t>
      </w:r>
      <w:r w:rsidRPr="00FD338A">
        <w:rPr>
          <w:rFonts w:ascii="Simplified Arabic" w:eastAsia="Times New Roman" w:hAnsi="Simplified Arabic" w:cs="Simplified Arabic"/>
          <w:color w:val="000000" w:themeColor="text1"/>
          <w:kern w:val="0"/>
          <w:sz w:val="28"/>
          <w:szCs w:val="28"/>
          <w14:ligatures w14:val="none"/>
        </w:rPr>
        <w:t>.</w:t>
      </w:r>
    </w:p>
    <w:p w14:paraId="531BA9F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بالتأهيل الفني بُعد التأهيل المالي الذي يشترط أن يمتلك المطوِّر ملاءة مالية كافية تُمكّنه من الوفاء بالتزاماته حتى في حالات التعثر الجزئي أو التأخر في تحصيل الدفعات. ويُوضّح</w:t>
      </w:r>
      <w:r w:rsidRPr="00FD338A">
        <w:rPr>
          <w:rFonts w:ascii="Simplified Arabic" w:eastAsia="Times New Roman" w:hAnsi="Simplified Arabic" w:cs="Simplified Arabic"/>
          <w:color w:val="000000" w:themeColor="text1"/>
          <w:kern w:val="0"/>
          <w:sz w:val="28"/>
          <w:szCs w:val="28"/>
          <w14:ligatures w14:val="none"/>
        </w:rPr>
        <w:t xml:space="preserve"> (Huang et al., 2025) </w:t>
      </w:r>
      <w:r w:rsidRPr="00FD338A">
        <w:rPr>
          <w:rFonts w:ascii="Simplified Arabic" w:eastAsia="Times New Roman" w:hAnsi="Simplified Arabic" w:cs="Simplified Arabic"/>
          <w:color w:val="000000" w:themeColor="text1"/>
          <w:kern w:val="0"/>
          <w:sz w:val="28"/>
          <w:szCs w:val="28"/>
          <w:rtl/>
          <w14:ligatures w14:val="none"/>
        </w:rPr>
        <w:t xml:space="preserve">أن غياب اشتراطات الملاءة المالية يفتح الباب أمام دخول مطوِّرين يعتمدون كليًا على أموال المشترين لتمويل مشروعاتهم، مما يُعرّض تلك المشروعات لمخاطر جسيمة عند أي اضطراب في تدفقات السيولة، ويُفرز </w:t>
      </w:r>
      <w:proofErr w:type="gramStart"/>
      <w:r w:rsidRPr="00FD338A">
        <w:rPr>
          <w:rFonts w:ascii="Simplified Arabic" w:eastAsia="Times New Roman" w:hAnsi="Simplified Arabic" w:cs="Simplified Arabic"/>
          <w:color w:val="000000" w:themeColor="text1"/>
          <w:kern w:val="0"/>
          <w:sz w:val="28"/>
          <w:szCs w:val="28"/>
          <w:rtl/>
          <w14:ligatures w14:val="none"/>
        </w:rPr>
        <w:t>مخاطر</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نظامية تتجاوز أطراف العقد لتطال الاقتصاد الكلي</w:t>
      </w:r>
      <w:r w:rsidRPr="00FD338A">
        <w:rPr>
          <w:rFonts w:ascii="Simplified Arabic" w:eastAsia="Times New Roman" w:hAnsi="Simplified Arabic" w:cs="Simplified Arabic"/>
          <w:color w:val="000000" w:themeColor="text1"/>
          <w:kern w:val="0"/>
          <w:sz w:val="28"/>
          <w:szCs w:val="28"/>
          <w14:ligatures w14:val="none"/>
        </w:rPr>
        <w:t>.</w:t>
      </w:r>
    </w:p>
    <w:p w14:paraId="67533068"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كما يشمل هذا البُعد اشتراطات إدارية وتنظيمية تتصل بالهيكل المؤسسي للمطوِّر وحوكمته الداخلية، بما يضمن وجود نظم رقابة داخلية فعّالة، وسجلات محاسبية منتظمة، وسياسات واضحة لإدارة المخاطر. ويرى (باوزير، ٢٠٢٥) أن إدارة المخاطر تُشكّل عنصرًا جوهريًا في كفاءة إدارة الممتلكات العقارية، وأن التنظيم الجيد للبيع على الخارطة ينبغي أن يشترط توفر قدرات إدارية متقدمة لدى المطوِّرين تُمكّنهم من التعامل مع المخاطر المتنوعة التي تواجه مشروعاتهم، بدءًا من </w:t>
      </w:r>
      <w:proofErr w:type="gramStart"/>
      <w:r w:rsidRPr="00FD338A">
        <w:rPr>
          <w:rFonts w:ascii="Simplified Arabic" w:eastAsia="Times New Roman" w:hAnsi="Simplified Arabic" w:cs="Simplified Arabic"/>
          <w:color w:val="000000" w:themeColor="text1"/>
          <w:kern w:val="0"/>
          <w:sz w:val="28"/>
          <w:szCs w:val="28"/>
          <w:rtl/>
          <w14:ligatures w14:val="none"/>
        </w:rPr>
        <w:t>مخاطر</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السوق والتمويل، وانتهاءً بالمخاطر التشغيلية والقانونية</w:t>
      </w:r>
      <w:r w:rsidRPr="00FD338A">
        <w:rPr>
          <w:rFonts w:ascii="Simplified Arabic" w:eastAsia="Times New Roman" w:hAnsi="Simplified Arabic" w:cs="Simplified Arabic"/>
          <w:color w:val="000000" w:themeColor="text1"/>
          <w:kern w:val="0"/>
          <w:sz w:val="28"/>
          <w:szCs w:val="28"/>
          <w14:ligatures w14:val="none"/>
        </w:rPr>
        <w:t>.</w:t>
      </w:r>
    </w:p>
    <w:p w14:paraId="7D74E5E9" w14:textId="77777777" w:rsidR="00021997" w:rsidRPr="00FD338A" w:rsidRDefault="00021997"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البُعد الثاني: حساب الضمان والرقابة المالية</w:t>
      </w:r>
    </w:p>
    <w:p w14:paraId="08A51D93"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يُمثّل حساب الضمان أحد أهم الابتكارات التنظيمية التي جاءت لمعالجة إشكالية إساءة استخدام أموال المشترين في مشروعات البيع على الخارطة، إذ يعمل بوصفه آلية عزل مالي تحول دون خلط أموال المشترين بأموال المطوِّر الأخرى، وتضمن توجيه هذه الأموال حصريًا نحو تمويل المشروع المخصصة له. ويصف (شعيب وزكي، ٢٠٢٥) هذا الحساب بأنه الركيزة المالية الأساسية لمنظومة البيع على الخارطة، إذ يُوفّر بيئة مالية شفافة تُطمئن المشترين إلى مآلات المبالغ التي يدفعونها، وتُلزم المطوِّر بالانضباط في التصرف بها</w:t>
      </w:r>
      <w:r w:rsidRPr="00FD338A">
        <w:rPr>
          <w:rFonts w:ascii="Simplified Arabic" w:eastAsia="Times New Roman" w:hAnsi="Simplified Arabic" w:cs="Simplified Arabic"/>
          <w:color w:val="000000" w:themeColor="text1"/>
          <w:kern w:val="0"/>
          <w:sz w:val="28"/>
          <w:szCs w:val="28"/>
          <w14:ligatures w14:val="none"/>
        </w:rPr>
        <w:t>.</w:t>
      </w:r>
    </w:p>
    <w:p w14:paraId="416C42AE"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ويقوم هذا البُعد على مبدأ الفصل المؤسسي بين مالكية الأموال وإدارتها؛ فالمبالغ تظل ملكًا للمشترين حتى تحقق الشروط المتفق عليها، بينما تتولى جهة مستقلة (البنك المؤتمن) إدارة الحساب وضبط عمليات السحب منه وفق جدول زمني مرتبط بمراحل إنجاز المشروع. وتُبرز (الصندل، ٢٠٢١) أن هذا الفصل </w:t>
      </w:r>
      <w:r w:rsidRPr="00FD338A">
        <w:rPr>
          <w:rFonts w:ascii="Simplified Arabic" w:eastAsia="Times New Roman" w:hAnsi="Simplified Arabic" w:cs="Simplified Arabic"/>
          <w:color w:val="000000" w:themeColor="text1"/>
          <w:kern w:val="0"/>
          <w:sz w:val="28"/>
          <w:szCs w:val="28"/>
          <w:rtl/>
          <w14:ligatures w14:val="none"/>
        </w:rPr>
        <w:lastRenderedPageBreak/>
        <w:t>المؤسسي يخلق منظومة توازنات دقيقة بين أطراف ثلاثة (المطوِّر، والمشتري، والبنك المؤتمن)، ويُحدّد التزامات كل طرف بدقة، بما يمنع تغوّل طرف على آخر ويُرسّخ الحوكمة المالية للمشروع</w:t>
      </w:r>
      <w:r w:rsidRPr="00FD338A">
        <w:rPr>
          <w:rFonts w:ascii="Simplified Arabic" w:eastAsia="Times New Roman" w:hAnsi="Simplified Arabic" w:cs="Simplified Arabic"/>
          <w:color w:val="000000" w:themeColor="text1"/>
          <w:kern w:val="0"/>
          <w:sz w:val="28"/>
          <w:szCs w:val="28"/>
          <w14:ligatures w14:val="none"/>
        </w:rPr>
        <w:t>.</w:t>
      </w:r>
    </w:p>
    <w:p w14:paraId="7146E27A"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وتمتد فاعلية حساب الضمان إلى ما هو أبعد من مجرد حفظ الأموال، لتشمل رقابة مالية شاملة على مسار المشروع؛ إذ يُشترط لصرف الدفعات للمطوِّر تقديم تقارير هندسية توثّق مراحل الإنجاز، وشهادات فنية تُثبت مطابقة الأعمال للمواصفات المعتمدة. ويُشير</w:t>
      </w:r>
      <w:r w:rsidRPr="00FD338A">
        <w:rPr>
          <w:rFonts w:ascii="Simplified Arabic" w:eastAsia="Times New Roman" w:hAnsi="Simplified Arabic" w:cs="Simplified Arabic"/>
          <w:color w:val="000000" w:themeColor="text1"/>
          <w:kern w:val="0"/>
          <w:sz w:val="28"/>
          <w:szCs w:val="28"/>
          <w14:ligatures w14:val="none"/>
        </w:rPr>
        <w:t xml:space="preserve"> (Ondari &amp; Muturi, 2023) </w:t>
      </w:r>
      <w:r w:rsidRPr="00FD338A">
        <w:rPr>
          <w:rFonts w:ascii="Simplified Arabic" w:eastAsia="Times New Roman" w:hAnsi="Simplified Arabic" w:cs="Simplified Arabic"/>
          <w:color w:val="000000" w:themeColor="text1"/>
          <w:kern w:val="0"/>
          <w:sz w:val="28"/>
          <w:szCs w:val="28"/>
          <w:rtl/>
          <w14:ligatures w14:val="none"/>
        </w:rPr>
        <w:t>إلى أن هذه الرقابة المستمرة تُشكّل صمّام أمان يضمن تناسب الصرف مع التقدم الفعلي في التنفيذ، ويُقلّص احتمالات إساءة استخدام الأموال أو تحويلها لمشروعات أخرى، بما يُعزّز فرص إنجاز المشروع في الأجل المحدد</w:t>
      </w:r>
      <w:r w:rsidRPr="00FD338A">
        <w:rPr>
          <w:rFonts w:ascii="Simplified Arabic" w:eastAsia="Times New Roman" w:hAnsi="Simplified Arabic" w:cs="Simplified Arabic"/>
          <w:color w:val="000000" w:themeColor="text1"/>
          <w:kern w:val="0"/>
          <w:sz w:val="28"/>
          <w:szCs w:val="28"/>
          <w14:ligatures w14:val="none"/>
        </w:rPr>
        <w:t>.</w:t>
      </w:r>
    </w:p>
    <w:p w14:paraId="476B5749"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بحساب الضمان بُعد الرقابة المالية الشاملة التي تتجاوز عمليات الحساب ذاته لتشمل الوضع المالي العام للمطوِّر ومشروعاته الأخرى. ويرى</w:t>
      </w:r>
      <w:r w:rsidRPr="00FD338A">
        <w:rPr>
          <w:rFonts w:ascii="Simplified Arabic" w:eastAsia="Times New Roman" w:hAnsi="Simplified Arabic" w:cs="Simplified Arabic"/>
          <w:color w:val="000000" w:themeColor="text1"/>
          <w:kern w:val="0"/>
          <w:sz w:val="28"/>
          <w:szCs w:val="28"/>
          <w14:ligatures w14:val="none"/>
        </w:rPr>
        <w:t xml:space="preserve"> (Medved, 2025) </w:t>
      </w:r>
      <w:r w:rsidRPr="00FD338A">
        <w:rPr>
          <w:rFonts w:ascii="Simplified Arabic" w:eastAsia="Times New Roman" w:hAnsi="Simplified Arabic" w:cs="Simplified Arabic"/>
          <w:color w:val="000000" w:themeColor="text1"/>
          <w:kern w:val="0"/>
          <w:sz w:val="28"/>
          <w:szCs w:val="28"/>
          <w:rtl/>
          <w14:ligatures w14:val="none"/>
        </w:rPr>
        <w:t>أن الشفافية المالية والاستدامة تتطلبان إطارًا رقابيًا متكاملًا يُتيح الرصد المستمر للمخاطر المالية ويُوفّر آليات للتدخل المبكر عند ظهور مؤشرات التعثر، مؤكدًا أن هذا النوع من الرقابة يُشكّل ضمانة أساسية لاستدامة النماذج التمويلية القائمة على تجميع الأموال من عدة أطراف، كما هو الحال في البيع على الخارطة</w:t>
      </w:r>
      <w:r w:rsidRPr="00FD338A">
        <w:rPr>
          <w:rFonts w:ascii="Simplified Arabic" w:eastAsia="Times New Roman" w:hAnsi="Simplified Arabic" w:cs="Simplified Arabic"/>
          <w:color w:val="000000" w:themeColor="text1"/>
          <w:kern w:val="0"/>
          <w:sz w:val="28"/>
          <w:szCs w:val="28"/>
          <w14:ligatures w14:val="none"/>
        </w:rPr>
        <w:t>.</w:t>
      </w:r>
    </w:p>
    <w:p w14:paraId="7C0053D2" w14:textId="77777777" w:rsidR="00021997" w:rsidRPr="00FD338A" w:rsidRDefault="00021997"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البُعد الثالث: الالتزامات التعاقدية وضوابط العقد</w:t>
      </w:r>
    </w:p>
    <w:p w14:paraId="339CAA5B"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يُعدّ هذا البُعد الحلقة القانونية المركزية في منظومة تنظيم البيع على الخارطة، إذ ينظّم العلاقة التعاقدية بين المطوِّر والمشتري تنظيمًا دقيقًا يُحدّد حقوق كل طرف والتزاماته، ويضع ضوابط شكلية وموضوعية للعقد بما يُقلّص مساحات الغموض ويُوفّر أساسًا واضحًا لتنفيذه أو المساءلة عن الإخلال به. وتُشكّل ضوابط العقد الأداة القانونية التي تُترجم من خلالها السياسات التنظيمية إلى التزامات محددة تنطبق على العلاقة الفردية بين المطوِّر والمشتري</w:t>
      </w:r>
      <w:r w:rsidRPr="00FD338A">
        <w:rPr>
          <w:rFonts w:ascii="Simplified Arabic" w:eastAsia="Times New Roman" w:hAnsi="Simplified Arabic" w:cs="Simplified Arabic"/>
          <w:color w:val="000000" w:themeColor="text1"/>
          <w:kern w:val="0"/>
          <w:sz w:val="28"/>
          <w:szCs w:val="28"/>
          <w14:ligatures w14:val="none"/>
        </w:rPr>
        <w:t>.</w:t>
      </w:r>
    </w:p>
    <w:p w14:paraId="1C4043B2"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وتتناول</w:t>
      </w:r>
      <w:r w:rsidRPr="00FD338A">
        <w:rPr>
          <w:rFonts w:ascii="Simplified Arabic" w:eastAsia="Times New Roman" w:hAnsi="Simplified Arabic" w:cs="Simplified Arabic"/>
          <w:color w:val="000000" w:themeColor="text1"/>
          <w:kern w:val="0"/>
          <w:sz w:val="28"/>
          <w:szCs w:val="28"/>
          <w14:ligatures w14:val="none"/>
        </w:rPr>
        <w:t xml:space="preserve"> (Do et al., 2025) </w:t>
      </w:r>
      <w:r w:rsidRPr="00FD338A">
        <w:rPr>
          <w:rFonts w:ascii="Simplified Arabic" w:eastAsia="Times New Roman" w:hAnsi="Simplified Arabic" w:cs="Simplified Arabic"/>
          <w:color w:val="000000" w:themeColor="text1"/>
          <w:kern w:val="0"/>
          <w:sz w:val="28"/>
          <w:szCs w:val="28"/>
          <w:rtl/>
          <w14:ligatures w14:val="none"/>
        </w:rPr>
        <w:t>هذا البُعد في إطار الدراسة المقارنة بين النموذجَين الفيتنامي والإماراتي، مُبرزةً أن الأنظمة التنظيمية المتقدمة تفرض جملة من الاشتراطات الشكلية على عقد البيع على الخارطة، تشمل: الكتابة والتوثيق الرسمي، وتحديد المواصفات الفنية بدقة، وبيان الثمن وطريقة سداده، وتحديد الأجل المتوقع للتسليم، وإدراج البنود المتعلقة بحالات الإخلال والتعويض. وتُوضّح الباحثات أن هذه الاشتراطات ليست مجرد إجراءات شكلية، بل تُشكّل ضمانات جوهرية تحمي الطرف الأضعف في العقد وتُوفّر أدلة إثبات واضحة عند حدوث النزاعات</w:t>
      </w:r>
      <w:r w:rsidRPr="00FD338A">
        <w:rPr>
          <w:rFonts w:ascii="Simplified Arabic" w:eastAsia="Times New Roman" w:hAnsi="Simplified Arabic" w:cs="Simplified Arabic"/>
          <w:color w:val="000000" w:themeColor="text1"/>
          <w:kern w:val="0"/>
          <w:sz w:val="28"/>
          <w:szCs w:val="28"/>
          <w14:ligatures w14:val="none"/>
        </w:rPr>
        <w:t>.</w:t>
      </w:r>
    </w:p>
    <w:p w14:paraId="6871C6F3"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ويُبرز</w:t>
      </w:r>
      <w:r w:rsidRPr="00FD338A">
        <w:rPr>
          <w:rFonts w:ascii="Simplified Arabic" w:eastAsia="Times New Roman" w:hAnsi="Simplified Arabic" w:cs="Simplified Arabic"/>
          <w:color w:val="000000" w:themeColor="text1"/>
          <w:kern w:val="0"/>
          <w:sz w:val="28"/>
          <w:szCs w:val="28"/>
          <w14:ligatures w14:val="none"/>
        </w:rPr>
        <w:t xml:space="preserve"> (Hajjar, 2022) </w:t>
      </w:r>
      <w:r w:rsidRPr="00FD338A">
        <w:rPr>
          <w:rFonts w:ascii="Simplified Arabic" w:eastAsia="Times New Roman" w:hAnsi="Simplified Arabic" w:cs="Simplified Arabic"/>
          <w:color w:val="000000" w:themeColor="text1"/>
          <w:kern w:val="0"/>
          <w:sz w:val="28"/>
          <w:szCs w:val="28"/>
          <w:rtl/>
          <w14:ligatures w14:val="none"/>
        </w:rPr>
        <w:t>أن الالتزامات التعاقدية في البيع على الخارطة تنطوي على تحديات خاصة تتصل بطبيعة المحل التعاقدي الذي لم يوجد بعد، مما يستدعي وضع قواعد خاصة تُنظّم توزيع المخاطر بين الأطراف، وتُحدّد آثار التغييرات التي قد تطرأ على المشروع خلال مرحلة التنفيذ. ويُشير الباحث إلى أن آليات حماية المستهلك في هذا النوع من العقود ينبغي أن تشمل ضوابط دقيقة تحكم صلاحيات المطوِّر في إدخال تعديلات على المخططات أو المواصفات، وتُقيّد شروط الإذعان التي قد يفرضها على المشترين مستغلًا موقعه التفاوضي المتفوق</w:t>
      </w:r>
      <w:r w:rsidRPr="00FD338A">
        <w:rPr>
          <w:rFonts w:ascii="Simplified Arabic" w:eastAsia="Times New Roman" w:hAnsi="Simplified Arabic" w:cs="Simplified Arabic"/>
          <w:color w:val="000000" w:themeColor="text1"/>
          <w:kern w:val="0"/>
          <w:sz w:val="28"/>
          <w:szCs w:val="28"/>
          <w14:ligatures w14:val="none"/>
        </w:rPr>
        <w:t>.</w:t>
      </w:r>
    </w:p>
    <w:p w14:paraId="6FEA3676"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بهذا البُعد ضبط الشروط الجزائية والتعويضية في العقد، إذ يتوجب أن تتضمن العقود بنودًا واضحة تُحدّد الآثار المترتبة على الإخلال بالالتزامات من أي من الطرفين، سواء تعلّق الأمر بالتأخر في التسليم، أو الإخلال بالمواصفات، أو التأخر في سداد الأقساط. ويرى</w:t>
      </w:r>
      <w:r w:rsidRPr="00FD338A">
        <w:rPr>
          <w:rFonts w:ascii="Simplified Arabic" w:eastAsia="Times New Roman" w:hAnsi="Simplified Arabic" w:cs="Simplified Arabic"/>
          <w:color w:val="000000" w:themeColor="text1"/>
          <w:kern w:val="0"/>
          <w:sz w:val="28"/>
          <w:szCs w:val="28"/>
          <w14:ligatures w14:val="none"/>
        </w:rPr>
        <w:t xml:space="preserve"> (Thanh Doan et al., 2022) </w:t>
      </w:r>
      <w:r w:rsidRPr="00FD338A">
        <w:rPr>
          <w:rFonts w:ascii="Simplified Arabic" w:eastAsia="Times New Roman" w:hAnsi="Simplified Arabic" w:cs="Simplified Arabic"/>
          <w:color w:val="000000" w:themeColor="text1"/>
          <w:kern w:val="0"/>
          <w:sz w:val="28"/>
          <w:szCs w:val="28"/>
          <w:rtl/>
          <w14:ligatures w14:val="none"/>
        </w:rPr>
        <w:t>أن ضبط هذه الشروط يُشكّل عنصرًا حاسمًا في تحقيق التوازن العقدي، إذ إن غياب النصوص التنظيمية التي تُقيّد الشروط التعسفية يفتح الباب أمام مطوِّرين قد يُدرجون في عقودهم بنودًا تُخلي مسؤوليتهم أو تُحمّل المشتري أعباء غير متكافئة، مما يُفرغ الحماية التنظيمية من مضمونها</w:t>
      </w:r>
      <w:r w:rsidRPr="00FD338A">
        <w:rPr>
          <w:rFonts w:ascii="Simplified Arabic" w:eastAsia="Times New Roman" w:hAnsi="Simplified Arabic" w:cs="Simplified Arabic"/>
          <w:color w:val="000000" w:themeColor="text1"/>
          <w:kern w:val="0"/>
          <w:sz w:val="28"/>
          <w:szCs w:val="28"/>
          <w14:ligatures w14:val="none"/>
        </w:rPr>
        <w:t>.</w:t>
      </w:r>
    </w:p>
    <w:p w14:paraId="07383313"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كما يشمل هذا البُعد ضوابط تعديل العقد وفسخه، إذ يتوجب أن يُحدّد التنظيم الحالات التي يجوز فيها لأي من الطرفين طلب تعديل العقد أو فسخه، والإجراءات الواجب اتباعها، والآثار المترتبة على ذلك. ويُشير</w:t>
      </w:r>
      <w:r w:rsidRPr="00FD338A">
        <w:rPr>
          <w:rFonts w:ascii="Simplified Arabic" w:eastAsia="Times New Roman" w:hAnsi="Simplified Arabic" w:cs="Simplified Arabic"/>
          <w:color w:val="000000" w:themeColor="text1"/>
          <w:kern w:val="0"/>
          <w:sz w:val="28"/>
          <w:szCs w:val="28"/>
          <w14:ligatures w14:val="none"/>
        </w:rPr>
        <w:t xml:space="preserve"> (Turner, 2021) </w:t>
      </w:r>
      <w:r w:rsidRPr="00FD338A">
        <w:rPr>
          <w:rFonts w:ascii="Simplified Arabic" w:eastAsia="Times New Roman" w:hAnsi="Simplified Arabic" w:cs="Simplified Arabic"/>
          <w:color w:val="000000" w:themeColor="text1"/>
          <w:kern w:val="0"/>
          <w:sz w:val="28"/>
          <w:szCs w:val="28"/>
          <w:rtl/>
          <w14:ligatures w14:val="none"/>
        </w:rPr>
        <w:t>في سياق مقاربته للعقود الذكية إلى أن التطور التقني يُتيح اليوم إمكانات جديدة لضبط تنفيذ العقود من خلال آليات التنفيذ الذاتي التي تُقلّص مساحات الاجتهاد والتلاعب، وتُوفّر بيئة تعاقدية أكثر انضباطًا، وهو ما يمكن استثماره في تطوير منظومة البيع على الخارطة مستقبلًا</w:t>
      </w:r>
      <w:r w:rsidRPr="00FD338A">
        <w:rPr>
          <w:rFonts w:ascii="Simplified Arabic" w:eastAsia="Times New Roman" w:hAnsi="Simplified Arabic" w:cs="Simplified Arabic"/>
          <w:color w:val="000000" w:themeColor="text1"/>
          <w:kern w:val="0"/>
          <w:sz w:val="28"/>
          <w:szCs w:val="28"/>
          <w14:ligatures w14:val="none"/>
        </w:rPr>
        <w:t>.</w:t>
      </w:r>
    </w:p>
    <w:p w14:paraId="120C0A17" w14:textId="77777777" w:rsidR="00021997" w:rsidRPr="00FD338A" w:rsidRDefault="00021997"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البُعد الرابع: الإفصاح والشفافية المعلوماتية</w:t>
      </w:r>
    </w:p>
    <w:p w14:paraId="72EBD1F2"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يُشكّل الإفصاح والشفافية المعلوماتية البُعد الأكثر ارتباطًا بمعالجة إشكالية عدم التماثل المعلوماتي بين المطوِّر والمشتري، إذ يمتلك المطوِّر معلومات تفصيلية عن المشروع وأوضاعه المالية والفنية، في حين يعتمد المشتري في قراره على ما يُتاح له من معلومات قد تكون منقوصة أو مضللة. ويسعى هذا البُعد إلى تصحيح هذا الاختلال من خلال فرض التزامات إفصاح واضحة تُلزم المطوِّر بتقديم معلومات دقيقة وكاملة عن المشروع في مختلف مراحله</w:t>
      </w:r>
      <w:r w:rsidRPr="00FD338A">
        <w:rPr>
          <w:rFonts w:ascii="Simplified Arabic" w:eastAsia="Times New Roman" w:hAnsi="Simplified Arabic" w:cs="Simplified Arabic"/>
          <w:color w:val="000000" w:themeColor="text1"/>
          <w:kern w:val="0"/>
          <w:sz w:val="28"/>
          <w:szCs w:val="28"/>
          <w14:ligatures w14:val="none"/>
        </w:rPr>
        <w:t>.</w:t>
      </w:r>
    </w:p>
    <w:p w14:paraId="5BE21697"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ويُوضّح</w:t>
      </w:r>
      <w:r w:rsidRPr="00FD338A">
        <w:rPr>
          <w:rFonts w:ascii="Simplified Arabic" w:eastAsia="Times New Roman" w:hAnsi="Simplified Arabic" w:cs="Simplified Arabic"/>
          <w:color w:val="000000" w:themeColor="text1"/>
          <w:kern w:val="0"/>
          <w:sz w:val="28"/>
          <w:szCs w:val="28"/>
          <w14:ligatures w14:val="none"/>
        </w:rPr>
        <w:t xml:space="preserve"> (Ache et al., 2024) </w:t>
      </w:r>
      <w:r w:rsidRPr="00FD338A">
        <w:rPr>
          <w:rFonts w:ascii="Simplified Arabic" w:eastAsia="Times New Roman" w:hAnsi="Simplified Arabic" w:cs="Simplified Arabic"/>
          <w:color w:val="000000" w:themeColor="text1"/>
          <w:kern w:val="0"/>
          <w:sz w:val="28"/>
          <w:szCs w:val="28"/>
          <w:rtl/>
          <w14:ligatures w14:val="none"/>
        </w:rPr>
        <w:t>أن الشفافية في السوق العقاري تُشكّل ركيزة أساسية لبناء أسواق فاعلة وموثوقة، وأن مستويات الشفافية تتباين بين الدول تبعًا لتطور أطرها التنظيمية ومؤسساتها الرقابية. ويُبرز الباحثون أن الشفافية لا تقتصر على إتاحة المعلومات، بل تمتد إلى ضمان دقتها وتحديثها المستمر وسهولة الوصول إليها، بما يُمكّن المشترين والمستثمرين من اتخاذ قرارات مبنية على أساس معرفي سليم</w:t>
      </w:r>
      <w:r w:rsidRPr="00FD338A">
        <w:rPr>
          <w:rFonts w:ascii="Simplified Arabic" w:eastAsia="Times New Roman" w:hAnsi="Simplified Arabic" w:cs="Simplified Arabic"/>
          <w:color w:val="000000" w:themeColor="text1"/>
          <w:kern w:val="0"/>
          <w:sz w:val="28"/>
          <w:szCs w:val="28"/>
          <w14:ligatures w14:val="none"/>
        </w:rPr>
        <w:t>.</w:t>
      </w:r>
    </w:p>
    <w:p w14:paraId="0B898B6E"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وينطوي هذا البُعد على مستويات متعددة من الإفصاح، تشمل: الإفصاح عن هوية المطوِّر ووضعه القانوني والمالي، والإفصاح عن تفاصيل المشروع من حيث الموقع والمخططات والمواصفات، والإفصاح عن الجدول الزمني للتنفيذ ومراحله، والإفصاح عن الشروط التعاقدية بلغة واضحة يفهمها المشتري العادي. ويُشير</w:t>
      </w:r>
      <w:r w:rsidRPr="00FD338A">
        <w:rPr>
          <w:rFonts w:ascii="Simplified Arabic" w:eastAsia="Times New Roman" w:hAnsi="Simplified Arabic" w:cs="Simplified Arabic"/>
          <w:color w:val="000000" w:themeColor="text1"/>
          <w:kern w:val="0"/>
          <w:sz w:val="28"/>
          <w:szCs w:val="28"/>
          <w14:ligatures w14:val="none"/>
        </w:rPr>
        <w:t xml:space="preserve"> (Gholipour et al., 2020) </w:t>
      </w:r>
      <w:r w:rsidRPr="00FD338A">
        <w:rPr>
          <w:rFonts w:ascii="Simplified Arabic" w:eastAsia="Times New Roman" w:hAnsi="Simplified Arabic" w:cs="Simplified Arabic"/>
          <w:color w:val="000000" w:themeColor="text1"/>
          <w:kern w:val="0"/>
          <w:sz w:val="28"/>
          <w:szCs w:val="28"/>
          <w:rtl/>
          <w14:ligatures w14:val="none"/>
        </w:rPr>
        <w:t>إلى أن الشفافية في السوق العقاري ترتبط ارتباطًا وثيقًا بمستويات المخاطر التي يواجهها الممولون والمستثمرون، إذ إن الأسواق الأكثر شفافية تشهد مستويات أقل من التعثر، مما يعكس أهمية الشفافية في تخفيف المخاطر النظامية للسوق</w:t>
      </w:r>
      <w:r w:rsidRPr="00FD338A">
        <w:rPr>
          <w:rFonts w:ascii="Simplified Arabic" w:eastAsia="Times New Roman" w:hAnsi="Simplified Arabic" w:cs="Simplified Arabic"/>
          <w:color w:val="000000" w:themeColor="text1"/>
          <w:kern w:val="0"/>
          <w:sz w:val="28"/>
          <w:szCs w:val="28"/>
          <w14:ligatures w14:val="none"/>
        </w:rPr>
        <w:t>.</w:t>
      </w:r>
    </w:p>
    <w:p w14:paraId="36B6B60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بالإفصاح بُعد مكافحة الممارسات التسويقية المضللة، إذ يُشكّل الإعلان العقاري أحد أهم الأدوات التي يعتمد عليها المطوِّرون في تسويق مشروعاتهم، وقد يتضمن أحيانًا مبالغات أو ادعاءات غير دقيقة تُؤثر على قرار الشراء. ويُوضّح (حسن، ٢٠٢٥) أن حماية المستهلك من الإعلان المضلل في مجال التطوير العقاري تستوجب وضع ضوابط دقيقة تحكم الرسائل الإعلانية، وتُلزم المطوِّرين بتضمين إعلاناتهم معلومات صادقة ومتوافقة مع الواقع، وتفرض جزاءات على المخالفين، بما يُشكّل حماية استباقية للمشتري قبل الدخول في العلاقة التعاقدية</w:t>
      </w:r>
      <w:r w:rsidRPr="00FD338A">
        <w:rPr>
          <w:rFonts w:ascii="Simplified Arabic" w:eastAsia="Times New Roman" w:hAnsi="Simplified Arabic" w:cs="Simplified Arabic"/>
          <w:color w:val="000000" w:themeColor="text1"/>
          <w:kern w:val="0"/>
          <w:sz w:val="28"/>
          <w:szCs w:val="28"/>
          <w14:ligatures w14:val="none"/>
        </w:rPr>
        <w:t>.</w:t>
      </w:r>
    </w:p>
    <w:p w14:paraId="1A71234D"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كما يمتد الإفصاح ليشمل الشفافية أثناء تنفيذ المشروع، إذ يتوجب على المطوِّر تزويد المشترين بتقارير دورية عن مستوى الإنجاز والمستجدات التي تطرأ على المشروع. ويرى</w:t>
      </w:r>
      <w:r w:rsidRPr="00FD338A">
        <w:rPr>
          <w:rFonts w:ascii="Simplified Arabic" w:eastAsia="Times New Roman" w:hAnsi="Simplified Arabic" w:cs="Simplified Arabic"/>
          <w:color w:val="000000" w:themeColor="text1"/>
          <w:kern w:val="0"/>
          <w:sz w:val="28"/>
          <w:szCs w:val="28"/>
          <w14:ligatures w14:val="none"/>
        </w:rPr>
        <w:t xml:space="preserve"> (Thakor &amp; Merton, 2023) </w:t>
      </w:r>
      <w:r w:rsidRPr="00FD338A">
        <w:rPr>
          <w:rFonts w:ascii="Simplified Arabic" w:eastAsia="Times New Roman" w:hAnsi="Simplified Arabic" w:cs="Simplified Arabic"/>
          <w:color w:val="000000" w:themeColor="text1"/>
          <w:kern w:val="0"/>
          <w:sz w:val="28"/>
          <w:szCs w:val="28"/>
          <w:rtl/>
          <w14:ligatures w14:val="none"/>
        </w:rPr>
        <w:t>أن الثقة والشفافية والتعقيد ترتبط في علاقات متبادلة داخل الأسواق المالية والعقارية، إذ كلما ازداد تعقيد المنتج ازدادت الحاجة إلى الشفافية لبناء الثقة، وهو ما ينطبق تمامًا على منتج البيع على الخارطة الذي يتميز بتعقيد قانوني وفني ومالي يُحتّم إخضاعه لمستويات مرتفعة من الإفصاح</w:t>
      </w:r>
      <w:r w:rsidRPr="00FD338A">
        <w:rPr>
          <w:rFonts w:ascii="Simplified Arabic" w:eastAsia="Times New Roman" w:hAnsi="Simplified Arabic" w:cs="Simplified Arabic"/>
          <w:color w:val="000000" w:themeColor="text1"/>
          <w:kern w:val="0"/>
          <w:sz w:val="28"/>
          <w:szCs w:val="28"/>
          <w14:ligatures w14:val="none"/>
        </w:rPr>
        <w:t>.</w:t>
      </w:r>
    </w:p>
    <w:p w14:paraId="6622730B" w14:textId="67D2979A" w:rsidR="00021997" w:rsidRPr="00FD338A" w:rsidRDefault="00096BBC" w:rsidP="00096BBC">
      <w:pPr>
        <w:jc w:val="center"/>
        <w:outlineLvl w:val="1"/>
        <w:rPr>
          <w:rFonts w:ascii="Simplified Arabic" w:eastAsia="Times New Roman" w:hAnsi="Simplified Arabic" w:cs="Simplified Arabic"/>
          <w:b/>
          <w:bCs/>
          <w:color w:val="000000" w:themeColor="text1"/>
          <w:kern w:val="0"/>
          <w:sz w:val="36"/>
          <w:szCs w:val="36"/>
          <w14:ligatures w14:val="none"/>
        </w:rPr>
      </w:pPr>
      <w:r w:rsidRPr="00FD338A">
        <w:rPr>
          <w:rFonts w:ascii="Simplified Arabic" w:eastAsia="Times New Roman" w:hAnsi="Simplified Arabic" w:cs="Simplified Arabic"/>
          <w:b/>
          <w:bCs/>
          <w:color w:val="000000" w:themeColor="text1"/>
          <w:kern w:val="0"/>
          <w:sz w:val="36"/>
          <w:szCs w:val="36"/>
          <w:rtl/>
          <w14:ligatures w14:val="none"/>
        </w:rPr>
        <w:br w:type="page"/>
      </w:r>
      <w:bookmarkStart w:id="37" w:name="_Toc233941126"/>
      <w:r w:rsidR="00021997" w:rsidRPr="00FD338A">
        <w:rPr>
          <w:rFonts w:ascii="Simplified Arabic" w:eastAsia="Times New Roman" w:hAnsi="Simplified Arabic" w:cs="Simplified Arabic"/>
          <w:b/>
          <w:bCs/>
          <w:color w:val="000000" w:themeColor="text1"/>
          <w:kern w:val="0"/>
          <w:sz w:val="36"/>
          <w:szCs w:val="36"/>
          <w:rtl/>
          <w14:ligatures w14:val="none"/>
        </w:rPr>
        <w:lastRenderedPageBreak/>
        <w:t>المبحث الثاني: ثقة المشترين</w:t>
      </w:r>
      <w:bookmarkEnd w:id="37"/>
    </w:p>
    <w:p w14:paraId="52A44975" w14:textId="7F97FDF3"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941127"/>
      <w:r w:rsidRPr="00FD338A">
        <w:rPr>
          <w:rFonts w:ascii="Simplified Arabic" w:eastAsia="Times New Roman" w:hAnsi="Simplified Arabic" w:cs="Simplified Arabic" w:hint="cs"/>
          <w:b/>
          <w:bCs/>
          <w:color w:val="000000" w:themeColor="text1"/>
          <w:kern w:val="0"/>
          <w:sz w:val="32"/>
          <w:szCs w:val="32"/>
          <w:rtl/>
          <w14:ligatures w14:val="none"/>
        </w:rPr>
        <w:t xml:space="preserve">1.2.2 </w:t>
      </w:r>
      <w:r w:rsidR="00021997" w:rsidRPr="00FD338A">
        <w:rPr>
          <w:rFonts w:ascii="Simplified Arabic" w:eastAsia="Times New Roman" w:hAnsi="Simplified Arabic" w:cs="Simplified Arabic"/>
          <w:b/>
          <w:bCs/>
          <w:color w:val="000000" w:themeColor="text1"/>
          <w:kern w:val="0"/>
          <w:sz w:val="32"/>
          <w:szCs w:val="32"/>
          <w:rtl/>
          <w14:ligatures w14:val="none"/>
        </w:rPr>
        <w:t>تمهيد</w:t>
      </w:r>
      <w:bookmarkEnd w:id="38"/>
    </w:p>
    <w:p w14:paraId="03A2ECE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تُمثّل الثقة أحد أبرز المفاهيم التي حظيت باهتمام متزايد في أدبيات الإدارة والتسويق والاقتصاد السلوكي، لما لها من دور محوري في تشكيل قرارات الأفراد وضبط علاقاتهم بالمؤسسات والأسواق. وفي القطاع العقاري تحديدًا، تكتسب الثقة أهمية استثنائية نظرًا لطبيعة السلعة العقارية بوصفها استثمارًا طويل الأجل يتضمن التزامات مالية ضخمة وقرارات مصيرية تمتد آثارها إلى سنوات طويلة، فضلًا عن تعقيد المعاملات العقارية وتعدد أطرافها وتشابك جوانبها القانونية والفنية والمالية</w:t>
      </w:r>
      <w:r w:rsidRPr="00FD338A">
        <w:rPr>
          <w:rFonts w:ascii="Simplified Arabic" w:eastAsia="Times New Roman" w:hAnsi="Simplified Arabic" w:cs="Simplified Arabic"/>
          <w:color w:val="000000" w:themeColor="text1"/>
          <w:kern w:val="0"/>
          <w:sz w:val="28"/>
          <w:szCs w:val="28"/>
          <w14:ligatures w14:val="none"/>
        </w:rPr>
        <w:t>.</w:t>
      </w:r>
    </w:p>
    <w:p w14:paraId="1C66A313"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وتزداد أهمية الثقة في سياق البيع على الخارطة تحديدًا، إذ يُقدم المشتري على شراء وحدة عقارية لم تُنشأ بعد، ويدفع مبالغ مالية ضخمة اعتمادًا على وعود مستقبلية بالتسليم وفق مواصفات محددة. وهذا الطابع الاستشرافي للمعاملة يُنتج حالة من اللايقين تجعل الثقة عنصرًا حاسمًا في اتخاذ قرار الشراء، إذ لا يُقدم المشتري على هذه الخطوة إلا إذا توفرت لديه ثقة كافية في المطوِّر، وفي المشروع، وفي الإطار التنظيمي الذي يحكم المعاملة</w:t>
      </w:r>
      <w:r w:rsidRPr="00FD338A">
        <w:rPr>
          <w:rFonts w:ascii="Simplified Arabic" w:eastAsia="Times New Roman" w:hAnsi="Simplified Arabic" w:cs="Simplified Arabic"/>
          <w:color w:val="000000" w:themeColor="text1"/>
          <w:kern w:val="0"/>
          <w:sz w:val="28"/>
          <w:szCs w:val="28"/>
          <w14:ligatures w14:val="none"/>
        </w:rPr>
        <w:t xml:space="preserve"> (Reddy &amp; </w:t>
      </w:r>
      <w:proofErr w:type="spellStart"/>
      <w:r w:rsidRPr="00FD338A">
        <w:rPr>
          <w:rFonts w:ascii="Simplified Arabic" w:eastAsia="Times New Roman" w:hAnsi="Simplified Arabic" w:cs="Simplified Arabic"/>
          <w:color w:val="000000" w:themeColor="text1"/>
          <w:kern w:val="0"/>
          <w:sz w:val="28"/>
          <w:szCs w:val="28"/>
          <w14:ligatures w14:val="none"/>
        </w:rPr>
        <w:t>Thanigan</w:t>
      </w:r>
      <w:proofErr w:type="spellEnd"/>
      <w:r w:rsidRPr="00FD338A">
        <w:rPr>
          <w:rFonts w:ascii="Simplified Arabic" w:eastAsia="Times New Roman" w:hAnsi="Simplified Arabic" w:cs="Simplified Arabic"/>
          <w:color w:val="000000" w:themeColor="text1"/>
          <w:kern w:val="0"/>
          <w:sz w:val="28"/>
          <w:szCs w:val="28"/>
          <w14:ligatures w14:val="none"/>
        </w:rPr>
        <w:t xml:space="preserve">, 2023). </w:t>
      </w:r>
      <w:r w:rsidRPr="00FD338A">
        <w:rPr>
          <w:rFonts w:ascii="Simplified Arabic" w:eastAsia="Times New Roman" w:hAnsi="Simplified Arabic" w:cs="Simplified Arabic"/>
          <w:color w:val="000000" w:themeColor="text1"/>
          <w:kern w:val="0"/>
          <w:sz w:val="28"/>
          <w:szCs w:val="28"/>
          <w:rtl/>
          <w14:ligatures w14:val="none"/>
        </w:rPr>
        <w:t>ومن ثم فإن دراسة ثقة المشترين في سياق البيع على الخارطة تُشكّل مدخلًا جوهريًا لفهم ديناميكيات السوق العقاري وقدرته على الاستمرار والنمو</w:t>
      </w:r>
      <w:r w:rsidRPr="00FD338A">
        <w:rPr>
          <w:rFonts w:ascii="Simplified Arabic" w:eastAsia="Times New Roman" w:hAnsi="Simplified Arabic" w:cs="Simplified Arabic"/>
          <w:color w:val="000000" w:themeColor="text1"/>
          <w:kern w:val="0"/>
          <w:sz w:val="28"/>
          <w:szCs w:val="28"/>
          <w14:ligatures w14:val="none"/>
        </w:rPr>
        <w:t>.</w:t>
      </w:r>
    </w:p>
    <w:p w14:paraId="288AC4E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معمّقة لمفهوم ثقة المشترين، وأهميته، وأهدافه، والأبعاد التي يتحدد بها في هذه الدراسة، مع استعراض المداخل الفكرية المختلفة التي تناولت هذا المفهوم في السياق العقاري، بما يُرسّخ فهمًا نظريًا متكاملًا للمتغير التابع في الدراسة</w:t>
      </w:r>
      <w:r w:rsidRPr="00FD338A">
        <w:rPr>
          <w:rFonts w:ascii="Simplified Arabic" w:eastAsia="Times New Roman" w:hAnsi="Simplified Arabic" w:cs="Simplified Arabic"/>
          <w:color w:val="000000" w:themeColor="text1"/>
          <w:kern w:val="0"/>
          <w:sz w:val="28"/>
          <w:szCs w:val="28"/>
          <w14:ligatures w14:val="none"/>
        </w:rPr>
        <w:t>.</w:t>
      </w:r>
    </w:p>
    <w:p w14:paraId="6EAFAF52" w14:textId="62039DDA"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941128"/>
      <w:r w:rsidRPr="00FD338A">
        <w:rPr>
          <w:rFonts w:ascii="Simplified Arabic" w:eastAsia="Times New Roman" w:hAnsi="Simplified Arabic" w:cs="Simplified Arabic" w:hint="cs"/>
          <w:b/>
          <w:bCs/>
          <w:color w:val="000000" w:themeColor="text1"/>
          <w:kern w:val="0"/>
          <w:sz w:val="32"/>
          <w:szCs w:val="32"/>
          <w:rtl/>
          <w14:ligatures w14:val="none"/>
        </w:rPr>
        <w:t xml:space="preserve">2.2.2 </w:t>
      </w:r>
      <w:r w:rsidR="00021997" w:rsidRPr="00FD338A">
        <w:rPr>
          <w:rFonts w:ascii="Simplified Arabic" w:eastAsia="Times New Roman" w:hAnsi="Simplified Arabic" w:cs="Simplified Arabic"/>
          <w:b/>
          <w:bCs/>
          <w:color w:val="000000" w:themeColor="text1"/>
          <w:kern w:val="0"/>
          <w:sz w:val="32"/>
          <w:szCs w:val="32"/>
          <w:rtl/>
          <w14:ligatures w14:val="none"/>
        </w:rPr>
        <w:t>مفهوم ثقة المشترين</w:t>
      </w:r>
      <w:bookmarkEnd w:id="39"/>
    </w:p>
    <w:p w14:paraId="64E5D6D8"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يُمثّل مفهوم ثقة المشترين حقلًا معرفيًا متشعبًا تتقاطع فيه إسهامات علم النفس الاجتماعي، والاقتصاد السلوكي، ونظرية التسويق، والاقتصاد المؤسسي، مما جعل تعريفه يتباين تبعًا للزاوية التي يُنظر إليه من خلالها. وفي السياق العقاري تحديدًا، اكتسب المفهوم أبعادًا خاصة تتصل بالطبيعة المركّبة للسلعة العقارية والمخاطر المرتبطة بها</w:t>
      </w:r>
      <w:r w:rsidRPr="00FD338A">
        <w:rPr>
          <w:rFonts w:ascii="Simplified Arabic" w:eastAsia="Times New Roman" w:hAnsi="Simplified Arabic" w:cs="Simplified Arabic"/>
          <w:color w:val="000000" w:themeColor="text1"/>
          <w:kern w:val="0"/>
          <w:sz w:val="28"/>
          <w:szCs w:val="28"/>
          <w14:ligatures w14:val="none"/>
        </w:rPr>
        <w:t>.</w:t>
      </w:r>
    </w:p>
    <w:p w14:paraId="607018A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وقد تناول</w:t>
      </w:r>
      <w:r w:rsidRPr="00FD338A">
        <w:rPr>
          <w:rFonts w:ascii="Simplified Arabic" w:eastAsia="Times New Roman" w:hAnsi="Simplified Arabic" w:cs="Simplified Arabic"/>
          <w:color w:val="000000" w:themeColor="text1"/>
          <w:kern w:val="0"/>
          <w:sz w:val="28"/>
          <w:szCs w:val="28"/>
          <w14:ligatures w14:val="none"/>
        </w:rPr>
        <w:t xml:space="preserve"> (Thakor &amp; Merton, 2023) </w:t>
      </w:r>
      <w:r w:rsidRPr="00FD338A">
        <w:rPr>
          <w:rFonts w:ascii="Simplified Arabic" w:eastAsia="Times New Roman" w:hAnsi="Simplified Arabic" w:cs="Simplified Arabic"/>
          <w:color w:val="000000" w:themeColor="text1"/>
          <w:kern w:val="0"/>
          <w:sz w:val="28"/>
          <w:szCs w:val="28"/>
          <w:rtl/>
          <w14:ligatures w14:val="none"/>
        </w:rPr>
        <w:t xml:space="preserve">مفهوم الثقة بوصفها حالة نفسية تتضمن قبولًا واعيًا للتعرض للمخاطر بناءً على توقعات إيجابية بشأن </w:t>
      </w:r>
      <w:proofErr w:type="gramStart"/>
      <w:r w:rsidRPr="00FD338A">
        <w:rPr>
          <w:rFonts w:ascii="Simplified Arabic" w:eastAsia="Times New Roman" w:hAnsi="Simplified Arabic" w:cs="Simplified Arabic"/>
          <w:color w:val="000000" w:themeColor="text1"/>
          <w:kern w:val="0"/>
          <w:sz w:val="28"/>
          <w:szCs w:val="28"/>
          <w:rtl/>
          <w14:ligatures w14:val="none"/>
        </w:rPr>
        <w:t>نوايا</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الطرف الآخر أو سلوكه، مؤكدَين أن الثقة تنشأ في سياقات تتسم بالتعقيد وعدم اليقين، وأن مستوى التعقيد يزيد من أهمية الثقة بوصفها آلية لتخفيف الأعباء المعرفية على المتعامل. ويُقدّم هذا التعريف مقاربة أساسية لفهم الثقة في السياق العقاري، إذ يتسم البيع على الخارطة بدرجة عالية من التعقيد والغموض بشأن المستقبل</w:t>
      </w:r>
      <w:r w:rsidRPr="00FD338A">
        <w:rPr>
          <w:rFonts w:ascii="Simplified Arabic" w:eastAsia="Times New Roman" w:hAnsi="Simplified Arabic" w:cs="Simplified Arabic"/>
          <w:color w:val="000000" w:themeColor="text1"/>
          <w:kern w:val="0"/>
          <w:sz w:val="28"/>
          <w:szCs w:val="28"/>
          <w14:ligatures w14:val="none"/>
        </w:rPr>
        <w:t>.</w:t>
      </w:r>
    </w:p>
    <w:p w14:paraId="476D8B2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ومن منظور تسويقي، عرّف</w:t>
      </w:r>
      <w:r w:rsidRPr="00FD338A">
        <w:rPr>
          <w:rFonts w:ascii="Simplified Arabic" w:eastAsia="Times New Roman" w:hAnsi="Simplified Arabic" w:cs="Simplified Arabic"/>
          <w:color w:val="000000" w:themeColor="text1"/>
          <w:kern w:val="0"/>
          <w:sz w:val="28"/>
          <w:szCs w:val="28"/>
          <w14:ligatures w14:val="none"/>
        </w:rPr>
        <w:t xml:space="preserve"> (Reddy &amp; </w:t>
      </w:r>
      <w:proofErr w:type="spellStart"/>
      <w:r w:rsidRPr="00FD338A">
        <w:rPr>
          <w:rFonts w:ascii="Simplified Arabic" w:eastAsia="Times New Roman" w:hAnsi="Simplified Arabic" w:cs="Simplified Arabic"/>
          <w:color w:val="000000" w:themeColor="text1"/>
          <w:kern w:val="0"/>
          <w:sz w:val="28"/>
          <w:szCs w:val="28"/>
          <w14:ligatures w14:val="none"/>
        </w:rPr>
        <w:t>Thanigan</w:t>
      </w:r>
      <w:proofErr w:type="spellEnd"/>
      <w:r w:rsidRPr="00FD338A">
        <w:rPr>
          <w:rFonts w:ascii="Simplified Arabic" w:eastAsia="Times New Roman" w:hAnsi="Simplified Arabic" w:cs="Simplified Arabic"/>
          <w:color w:val="000000" w:themeColor="text1"/>
          <w:kern w:val="0"/>
          <w:sz w:val="28"/>
          <w:szCs w:val="28"/>
          <w14:ligatures w14:val="none"/>
        </w:rPr>
        <w:t xml:space="preserve">, 2023) </w:t>
      </w:r>
      <w:r w:rsidRPr="00FD338A">
        <w:rPr>
          <w:rFonts w:ascii="Simplified Arabic" w:eastAsia="Times New Roman" w:hAnsi="Simplified Arabic" w:cs="Simplified Arabic"/>
          <w:color w:val="000000" w:themeColor="text1"/>
          <w:kern w:val="0"/>
          <w:sz w:val="28"/>
          <w:szCs w:val="28"/>
          <w:rtl/>
          <w14:ligatures w14:val="none"/>
        </w:rPr>
        <w:t>ثقة المشترين بوصفها حالة من الاطمئنان النفسي التي يشعر بها المشتري تجاه المنتج أو الخدمة والمزود بها، وتنعكس في نيته الشرائية ورضاه اللاحق وقدرته على تحمل المخاطر المدركة. ويؤكد الباحثان أن الثقة في السوق العقاري ترتبط ارتباطًا وثيقًا بمستوى المعرفة والمعلومات المتوفرة لدى المشتري، إذ تُشكّل هذه المعلومات المادة الخام التي تُبنى عليها التوقعات وتُصاغ منها التقديرات</w:t>
      </w:r>
      <w:r w:rsidRPr="00FD338A">
        <w:rPr>
          <w:rFonts w:ascii="Simplified Arabic" w:eastAsia="Times New Roman" w:hAnsi="Simplified Arabic" w:cs="Simplified Arabic"/>
          <w:color w:val="000000" w:themeColor="text1"/>
          <w:kern w:val="0"/>
          <w:sz w:val="28"/>
          <w:szCs w:val="28"/>
          <w14:ligatures w14:val="none"/>
        </w:rPr>
        <w:t>.</w:t>
      </w:r>
    </w:p>
    <w:p w14:paraId="507FB5D3"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وفي سياق العلاقات التعاقدية العقارية، تناول (الحسيني، ٢٠٢١) مفهوم ثقة المشتري من زاوية قانونية، مُشيرًا إلى أنها تُمثّل قناعة المشتري بأن المطوِّر سيلتزم بتنفيذ التزاماته وفق الشروط المتفق عليها، وبأن الإطار القانوني كفيل بحماية حقوقه في حال وقوع أي إخلال. ويُوضّح الباحث أن هذه القناعة تتشكل من مصادر متعددة تشمل سمعة المطوِّر، والضمانات التعاقدية المدرجة في العقد، والحماية التي يُوفّرها التشريع</w:t>
      </w:r>
      <w:r w:rsidRPr="00FD338A">
        <w:rPr>
          <w:rFonts w:ascii="Simplified Arabic" w:eastAsia="Times New Roman" w:hAnsi="Simplified Arabic" w:cs="Simplified Arabic"/>
          <w:color w:val="000000" w:themeColor="text1"/>
          <w:kern w:val="0"/>
          <w:sz w:val="28"/>
          <w:szCs w:val="28"/>
          <w14:ligatures w14:val="none"/>
        </w:rPr>
        <w:t>.</w:t>
      </w:r>
    </w:p>
    <w:p w14:paraId="4E6F4002"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ويُقدّم (المحصلابي، ٢٠٢٣) مقاربة أوسع لمفهوم الثقة، إذ يربطها بمنظومة الحماية القانونية للمستهلك العقاري، مؤكدًا أن ثقة المشتري لا تنشأ في فراغ، بل تُبنى على بنية مؤسسية وتشريعية تُوفّر ضمانات فاعلة للحقوق. ويرى الباحث أن الثقة تُشكّل نتاجًا للتفاعل بين ثلاثة عناصر: نية المطوِّر وسلوكه، ووعي المشتري وإدراكه، والإطار المؤسسي والقانوني الحاكم</w:t>
      </w:r>
      <w:r w:rsidRPr="00FD338A">
        <w:rPr>
          <w:rFonts w:ascii="Simplified Arabic" w:eastAsia="Times New Roman" w:hAnsi="Simplified Arabic" w:cs="Simplified Arabic"/>
          <w:color w:val="000000" w:themeColor="text1"/>
          <w:kern w:val="0"/>
          <w:sz w:val="28"/>
          <w:szCs w:val="28"/>
          <w14:ligatures w14:val="none"/>
        </w:rPr>
        <w:t>.</w:t>
      </w:r>
    </w:p>
    <w:p w14:paraId="1CF77D32"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ومن منظور مالي، تناول</w:t>
      </w:r>
      <w:r w:rsidRPr="00FD338A">
        <w:rPr>
          <w:rFonts w:ascii="Simplified Arabic" w:eastAsia="Times New Roman" w:hAnsi="Simplified Arabic" w:cs="Simplified Arabic"/>
          <w:color w:val="000000" w:themeColor="text1"/>
          <w:kern w:val="0"/>
          <w:sz w:val="28"/>
          <w:szCs w:val="28"/>
          <w14:ligatures w14:val="none"/>
        </w:rPr>
        <w:t xml:space="preserve"> (Gholipour et al., 2020) </w:t>
      </w:r>
      <w:r w:rsidRPr="00FD338A">
        <w:rPr>
          <w:rFonts w:ascii="Simplified Arabic" w:eastAsia="Times New Roman" w:hAnsi="Simplified Arabic" w:cs="Simplified Arabic"/>
          <w:color w:val="000000" w:themeColor="text1"/>
          <w:kern w:val="0"/>
          <w:sz w:val="28"/>
          <w:szCs w:val="28"/>
          <w:rtl/>
          <w14:ligatures w14:val="none"/>
        </w:rPr>
        <w:t>مفهوم الثقة في السياق العقاري من زاوية علاقتها بمخاطر التعثر، إذ رأى الباحثون أن الثقة في السوق تنعكس في مؤشرات مالية قابلة للقياس، مثل معدلات التعثر عن سداد الرهون العقارية ومستويات الطلب على العقارات. ويُشير هذا الطرح إلى أن الثقة ليست مجرد حالة ذهنية، بل تتجسد في سلوكيات اقتصادية ملموسة يمكن رصدها وقياسها</w:t>
      </w:r>
      <w:r w:rsidRPr="00FD338A">
        <w:rPr>
          <w:rFonts w:ascii="Simplified Arabic" w:eastAsia="Times New Roman" w:hAnsi="Simplified Arabic" w:cs="Simplified Arabic"/>
          <w:color w:val="000000" w:themeColor="text1"/>
          <w:kern w:val="0"/>
          <w:sz w:val="28"/>
          <w:szCs w:val="28"/>
          <w14:ligatures w14:val="none"/>
        </w:rPr>
        <w:t>.</w:t>
      </w:r>
    </w:p>
    <w:p w14:paraId="5D8AB34A"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ويُقارب</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Hashemigohar</w:t>
      </w:r>
      <w:proofErr w:type="spellEnd"/>
      <w:r w:rsidRPr="00FD338A">
        <w:rPr>
          <w:rFonts w:ascii="Simplified Arabic" w:eastAsia="Times New Roman" w:hAnsi="Simplified Arabic" w:cs="Simplified Arabic"/>
          <w:color w:val="000000" w:themeColor="text1"/>
          <w:kern w:val="0"/>
          <w:sz w:val="28"/>
          <w:szCs w:val="28"/>
          <w14:ligatures w14:val="none"/>
        </w:rPr>
        <w:t xml:space="preserve"> et al., 2025) </w:t>
      </w:r>
      <w:r w:rsidRPr="00FD338A">
        <w:rPr>
          <w:rFonts w:ascii="Simplified Arabic" w:eastAsia="Times New Roman" w:hAnsi="Simplified Arabic" w:cs="Simplified Arabic"/>
          <w:color w:val="000000" w:themeColor="text1"/>
          <w:kern w:val="0"/>
          <w:sz w:val="28"/>
          <w:szCs w:val="28"/>
          <w:rtl/>
          <w14:ligatures w14:val="none"/>
        </w:rPr>
        <w:t xml:space="preserve">مفهوم الثقة من زاوية مؤسسية، مؤكدين أن الشفافية المالية والرقابة الداخلية تُشكّل عوامل جوهرية في بناء ثقة أصحاب المصلحة، وأن هذه الثقة تنعكس في </w:t>
      </w:r>
      <w:r w:rsidRPr="00FD338A">
        <w:rPr>
          <w:rFonts w:ascii="Simplified Arabic" w:eastAsia="Times New Roman" w:hAnsi="Simplified Arabic" w:cs="Simplified Arabic"/>
          <w:color w:val="000000" w:themeColor="text1"/>
          <w:kern w:val="0"/>
          <w:sz w:val="28"/>
          <w:szCs w:val="28"/>
          <w:rtl/>
          <w14:ligatures w14:val="none"/>
        </w:rPr>
        <w:lastRenderedPageBreak/>
        <w:t>تقييماتهم للمخاطر وقراراتهم الاستثمارية. ويُوضّح الباحثون أن الثقة تُبنى تدريجيًا من خلال تراكم الأدلة على النزاهة والكفاءة المؤسسية، وتنهار سريعًا عند حدوث أي إخلال جوهري</w:t>
      </w:r>
      <w:r w:rsidRPr="00FD338A">
        <w:rPr>
          <w:rFonts w:ascii="Simplified Arabic" w:eastAsia="Times New Roman" w:hAnsi="Simplified Arabic" w:cs="Simplified Arabic"/>
          <w:color w:val="000000" w:themeColor="text1"/>
          <w:kern w:val="0"/>
          <w:sz w:val="28"/>
          <w:szCs w:val="28"/>
          <w14:ligatures w14:val="none"/>
        </w:rPr>
        <w:t>.</w:t>
      </w:r>
    </w:p>
    <w:p w14:paraId="2D0D0CB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وفي إطار المقاربات القانونية للبيع على الخارطة، يُشير</w:t>
      </w:r>
      <w:r w:rsidRPr="00FD338A">
        <w:rPr>
          <w:rFonts w:ascii="Simplified Arabic" w:eastAsia="Times New Roman" w:hAnsi="Simplified Arabic" w:cs="Simplified Arabic"/>
          <w:color w:val="000000" w:themeColor="text1"/>
          <w:kern w:val="0"/>
          <w:sz w:val="28"/>
          <w:szCs w:val="28"/>
          <w14:ligatures w14:val="none"/>
        </w:rPr>
        <w:t xml:space="preserve"> (Rasul, 2025) </w:t>
      </w:r>
      <w:r w:rsidRPr="00FD338A">
        <w:rPr>
          <w:rFonts w:ascii="Simplified Arabic" w:eastAsia="Times New Roman" w:hAnsi="Simplified Arabic" w:cs="Simplified Arabic"/>
          <w:color w:val="000000" w:themeColor="text1"/>
          <w:kern w:val="0"/>
          <w:sz w:val="28"/>
          <w:szCs w:val="28"/>
          <w:rtl/>
          <w14:ligatures w14:val="none"/>
        </w:rPr>
        <w:t>إلى أن ثقة المشتري تُشكّل نتاجًا للحماية القانونية الشاملة التي يُوفّرها التشريع، وأنها ترتبط بمدى قدرة المشتري على استرداد حقوقه في حالات الإخلال. ويرى الباحث أن الثقة تنمو مع تعزيز آليات الحماية القانونية، وتضعف مع اتساع الفجوات التشريعية والرقابية</w:t>
      </w:r>
      <w:r w:rsidRPr="00FD338A">
        <w:rPr>
          <w:rFonts w:ascii="Simplified Arabic" w:eastAsia="Times New Roman" w:hAnsi="Simplified Arabic" w:cs="Simplified Arabic"/>
          <w:color w:val="000000" w:themeColor="text1"/>
          <w:kern w:val="0"/>
          <w:sz w:val="28"/>
          <w:szCs w:val="28"/>
          <w14:ligatures w14:val="none"/>
        </w:rPr>
        <w:t>.</w:t>
      </w:r>
    </w:p>
    <w:p w14:paraId="68AD21AA"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ويُلاحظ من استعراض هذه التعريفات وجود عدة مداخل لمقاربة مفهوم الثقة في السياق العقاري: المدخل النفسي الذي يُركّز على الحالة الذهنية للمشتري وتوقعاته، والمدخل التسويقي الذي يربط الثقة بقرار الشراء والولاء، والمدخل القانوني الذي يربطها بمنظومة الحماية التشريعية، والمدخل المالي الذي يقيسها من خلال المؤشرات السلوكية والمالية، والمدخل المؤسسي الذي يربطها بجودة الحوكمة والشفافية</w:t>
      </w:r>
      <w:r w:rsidRPr="00FD338A">
        <w:rPr>
          <w:rFonts w:ascii="Simplified Arabic" w:eastAsia="Times New Roman" w:hAnsi="Simplified Arabic" w:cs="Simplified Arabic"/>
          <w:color w:val="000000" w:themeColor="text1"/>
          <w:kern w:val="0"/>
          <w:sz w:val="28"/>
          <w:szCs w:val="28"/>
          <w14:ligatures w14:val="none"/>
        </w:rPr>
        <w:t>.</w:t>
      </w:r>
    </w:p>
    <w:p w14:paraId="54F17383"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وفي ضوء ما تقدّم، يرى الباحث أن ثقة المشترين في سياق البيع على الخارطة يمكن تعريفها إجرائيًا بأنها: “حالة الاطمئنان والقناعة التي يمتلكها المشتري تجاه المطوِّر العقاري والمشروع محل التعاقد والإطار التنظيمي والرقابي الحاكم لهذه العلاقة، والتي تتشكّل بناءً على تقييمه لكفاءة المطوِّر ونزاهته، ولجدوى المشروع وسلامته الفنية والمالية، ولفاعلية الضمانات القانونية المتاحة، بحيث تنعكس هذه الحالة على قراره بالشراء ورغبته في الاستمرار في التعامل مع المطوِّر مستقبلًا”. ويعكس هذا التعريف الطبيعة متعددة الأبعاد للثقة في هذا السياق، ويتوافق مع محاور القياس المعتمدة في الدراسة التي تُغطّي الثقة في المطوِّر، والثقة في المشروع، والثقة في الإطار التنظيمي، والثقة في قرار الشراء المستقبلي</w:t>
      </w:r>
      <w:r w:rsidRPr="00FD338A">
        <w:rPr>
          <w:rFonts w:ascii="Simplified Arabic" w:eastAsia="Times New Roman" w:hAnsi="Simplified Arabic" w:cs="Simplified Arabic"/>
          <w:color w:val="000000" w:themeColor="text1"/>
          <w:kern w:val="0"/>
          <w:sz w:val="28"/>
          <w:szCs w:val="28"/>
          <w14:ligatures w14:val="none"/>
        </w:rPr>
        <w:t>.</w:t>
      </w:r>
    </w:p>
    <w:p w14:paraId="4DE952FD" w14:textId="7FBB5B95"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941129"/>
      <w:r w:rsidRPr="00FD338A">
        <w:rPr>
          <w:rFonts w:ascii="Simplified Arabic" w:eastAsia="Times New Roman" w:hAnsi="Simplified Arabic" w:cs="Simplified Arabic" w:hint="cs"/>
          <w:b/>
          <w:bCs/>
          <w:color w:val="000000" w:themeColor="text1"/>
          <w:kern w:val="0"/>
          <w:sz w:val="32"/>
          <w:szCs w:val="32"/>
          <w:rtl/>
          <w14:ligatures w14:val="none"/>
        </w:rPr>
        <w:t xml:space="preserve">3.2.2 </w:t>
      </w:r>
      <w:r w:rsidR="00021997" w:rsidRPr="00FD338A">
        <w:rPr>
          <w:rFonts w:ascii="Simplified Arabic" w:eastAsia="Times New Roman" w:hAnsi="Simplified Arabic" w:cs="Simplified Arabic"/>
          <w:b/>
          <w:bCs/>
          <w:color w:val="000000" w:themeColor="text1"/>
          <w:kern w:val="0"/>
          <w:sz w:val="32"/>
          <w:szCs w:val="32"/>
          <w:rtl/>
          <w14:ligatures w14:val="none"/>
        </w:rPr>
        <w:t>أهمية ثقة المشترين</w:t>
      </w:r>
      <w:bookmarkEnd w:id="40"/>
    </w:p>
    <w:p w14:paraId="0B218B0E"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تكتسب ثقة المشترين في السوق العقاري أهمية استثنائية تتجاوز حدود العلاقة الفردية بين المطوِّر والمشتري لتشمل السوق العقاري بأكمله والاقتصاد الوطني، إذ تُشكّل الثقة الوقود المحرّك للنشاط العقاري والدعامة التي يقوم عليها استقرار السوق ونموه المستدام. وتتجلى هذه الأهمية على مستويات متعددة تشمل المستوى الفردي للمشتري والمطوِّر، والمستوى القطاعي للسوق العقاري، والمستوى الاقتصادي الكلي</w:t>
      </w:r>
      <w:r w:rsidRPr="00FD338A">
        <w:rPr>
          <w:rFonts w:ascii="Simplified Arabic" w:eastAsia="Times New Roman" w:hAnsi="Simplified Arabic" w:cs="Simplified Arabic"/>
          <w:color w:val="000000" w:themeColor="text1"/>
          <w:kern w:val="0"/>
          <w:sz w:val="28"/>
          <w:szCs w:val="28"/>
          <w14:ligatures w14:val="none"/>
        </w:rPr>
        <w:t>.</w:t>
      </w:r>
    </w:p>
    <w:p w14:paraId="20E0551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ويشير</w:t>
      </w:r>
      <w:r w:rsidRPr="00FD338A">
        <w:rPr>
          <w:rFonts w:ascii="Simplified Arabic" w:eastAsia="Times New Roman" w:hAnsi="Simplified Arabic" w:cs="Simplified Arabic"/>
          <w:color w:val="000000" w:themeColor="text1"/>
          <w:kern w:val="0"/>
          <w:sz w:val="28"/>
          <w:szCs w:val="28"/>
          <w14:ligatures w14:val="none"/>
        </w:rPr>
        <w:t xml:space="preserve"> (Reddy &amp; </w:t>
      </w:r>
      <w:proofErr w:type="spellStart"/>
      <w:r w:rsidRPr="00FD338A">
        <w:rPr>
          <w:rFonts w:ascii="Simplified Arabic" w:eastAsia="Times New Roman" w:hAnsi="Simplified Arabic" w:cs="Simplified Arabic"/>
          <w:color w:val="000000" w:themeColor="text1"/>
          <w:kern w:val="0"/>
          <w:sz w:val="28"/>
          <w:szCs w:val="28"/>
          <w14:ligatures w14:val="none"/>
        </w:rPr>
        <w:t>Thanigan</w:t>
      </w:r>
      <w:proofErr w:type="spellEnd"/>
      <w:r w:rsidRPr="00FD338A">
        <w:rPr>
          <w:rFonts w:ascii="Simplified Arabic" w:eastAsia="Times New Roman" w:hAnsi="Simplified Arabic" w:cs="Simplified Arabic"/>
          <w:color w:val="000000" w:themeColor="text1"/>
          <w:kern w:val="0"/>
          <w:sz w:val="28"/>
          <w:szCs w:val="28"/>
          <w14:ligatures w14:val="none"/>
        </w:rPr>
        <w:t xml:space="preserve">, 2023) </w:t>
      </w:r>
      <w:r w:rsidRPr="00FD338A">
        <w:rPr>
          <w:rFonts w:ascii="Simplified Arabic" w:eastAsia="Times New Roman" w:hAnsi="Simplified Arabic" w:cs="Simplified Arabic"/>
          <w:color w:val="000000" w:themeColor="text1"/>
          <w:kern w:val="0"/>
          <w:sz w:val="28"/>
          <w:szCs w:val="28"/>
          <w:rtl/>
          <w14:ligatures w14:val="none"/>
        </w:rPr>
        <w:t xml:space="preserve">إلى أن أهمية ثقة المشترين تتمثل في جوانب عدة، أبرزها: أولًا، دورها المحوري في تشكيل نية الشراء لدى المستهلك العقاري، إذ لا تكتمل عملية الشراء دون توفر </w:t>
      </w:r>
      <w:r w:rsidRPr="00FD338A">
        <w:rPr>
          <w:rFonts w:ascii="Simplified Arabic" w:eastAsia="Times New Roman" w:hAnsi="Simplified Arabic" w:cs="Simplified Arabic"/>
          <w:color w:val="000000" w:themeColor="text1"/>
          <w:kern w:val="0"/>
          <w:sz w:val="28"/>
          <w:szCs w:val="28"/>
          <w:rtl/>
          <w14:ligatures w14:val="none"/>
        </w:rPr>
        <w:lastRenderedPageBreak/>
        <w:t>مستوى كافٍ من الثقة يُبرّر تحمل المخاطر المرتبطة بالمعاملة؛ ثانيًا، تأثيرها على مستوى الرضا اللاحق للشراء، إذ تنعكس الثقة الأولية على تقييم المشتري لتجربته بعد إتمام المعاملة؛ ثالثًا، دورها في تخفيف المخاطر المدركة، إذ تُشكّل الثقة آلية نفسية تُقلّص القلق المرتبط بعدم اليقين وتُتيح للمشتري اتخاذ قراره بأريحية؛ رابعًا، ارتباطها الوثيق بعمليات البحث عن المعلومات، إذ تُوجّه الثقة سلوك المشتري المعرفي وتُحدّد نطاق ما يبحث عنه من بيانات</w:t>
      </w:r>
      <w:r w:rsidRPr="00FD338A">
        <w:rPr>
          <w:rFonts w:ascii="Simplified Arabic" w:eastAsia="Times New Roman" w:hAnsi="Simplified Arabic" w:cs="Simplified Arabic"/>
          <w:color w:val="000000" w:themeColor="text1"/>
          <w:kern w:val="0"/>
          <w:sz w:val="28"/>
          <w:szCs w:val="28"/>
          <w14:ligatures w14:val="none"/>
        </w:rPr>
        <w:t>.</w:t>
      </w:r>
    </w:p>
    <w:p w14:paraId="592CB48F"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ويرى</w:t>
      </w:r>
      <w:r w:rsidRPr="00FD338A">
        <w:rPr>
          <w:rFonts w:ascii="Simplified Arabic" w:eastAsia="Times New Roman" w:hAnsi="Simplified Arabic" w:cs="Simplified Arabic"/>
          <w:color w:val="000000" w:themeColor="text1"/>
          <w:kern w:val="0"/>
          <w:sz w:val="28"/>
          <w:szCs w:val="28"/>
          <w14:ligatures w14:val="none"/>
        </w:rPr>
        <w:t xml:space="preserve"> (Thakor &amp; Merton, 2023) </w:t>
      </w:r>
      <w:r w:rsidRPr="00FD338A">
        <w:rPr>
          <w:rFonts w:ascii="Simplified Arabic" w:eastAsia="Times New Roman" w:hAnsi="Simplified Arabic" w:cs="Simplified Arabic"/>
          <w:color w:val="000000" w:themeColor="text1"/>
          <w:kern w:val="0"/>
          <w:sz w:val="28"/>
          <w:szCs w:val="28"/>
          <w:rtl/>
          <w14:ligatures w14:val="none"/>
        </w:rPr>
        <w:t>أن أهمية الثقة تظهر في كونها أداة لإدارة التعقيد في المعاملات المالية والاستثمارية، إذ تُتيح للمتعاملين التعامل مع منتجات وخدمات معقدة دون الحاجة إلى امتلاك خبرة متخصصة في كل تفاصيلها. ويُضيف الباحثان أن الثقة تُقلّص تكاليف المعاملات وتُسرّع اتخاذ القرارات، وتُشكّل بديلًا فاعلًا عن الرقابة التفصيلية المستمرة التي يصعب على المشتري الفرد ممارستها</w:t>
      </w:r>
      <w:r w:rsidRPr="00FD338A">
        <w:rPr>
          <w:rFonts w:ascii="Simplified Arabic" w:eastAsia="Times New Roman" w:hAnsi="Simplified Arabic" w:cs="Simplified Arabic"/>
          <w:color w:val="000000" w:themeColor="text1"/>
          <w:kern w:val="0"/>
          <w:sz w:val="28"/>
          <w:szCs w:val="28"/>
          <w14:ligatures w14:val="none"/>
        </w:rPr>
        <w:t>.</w:t>
      </w:r>
    </w:p>
    <w:p w14:paraId="2317B90D"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ومن منظور اقتصادي، يُشير</w:t>
      </w:r>
      <w:r w:rsidRPr="00FD338A">
        <w:rPr>
          <w:rFonts w:ascii="Simplified Arabic" w:eastAsia="Times New Roman" w:hAnsi="Simplified Arabic" w:cs="Simplified Arabic"/>
          <w:color w:val="000000" w:themeColor="text1"/>
          <w:kern w:val="0"/>
          <w:sz w:val="28"/>
          <w:szCs w:val="28"/>
          <w14:ligatures w14:val="none"/>
        </w:rPr>
        <w:t xml:space="preserve"> (Huang et al., 2025) </w:t>
      </w:r>
      <w:r w:rsidRPr="00FD338A">
        <w:rPr>
          <w:rFonts w:ascii="Simplified Arabic" w:eastAsia="Times New Roman" w:hAnsi="Simplified Arabic" w:cs="Simplified Arabic"/>
          <w:color w:val="000000" w:themeColor="text1"/>
          <w:kern w:val="0"/>
          <w:sz w:val="28"/>
          <w:szCs w:val="28"/>
          <w:rtl/>
          <w14:ligatures w14:val="none"/>
        </w:rPr>
        <w:t>إلى أن ثقة المشترين تكتسب أهمية استراتيجية في نظم البيع المسبق للوحدات العقارية، إذ إن هذه النظم تعتمد اعتمادًا جوهريًا على استعداد المشترين للدفع المسبق مقابل وعود مستقبلية، وهو استعداد لا يتحقق إلا في ظل مستوى مرتفع من الثقة. ويُوضّح الباحثون أن انهيار الثقة في هذه النظم قد يُفضي إلى توقف التدفقات المالية للمطوِّرين وإلى موجات من التعثر تُهدد استقرار القطاع العقاري</w:t>
      </w:r>
      <w:r w:rsidRPr="00FD338A">
        <w:rPr>
          <w:rFonts w:ascii="Simplified Arabic" w:eastAsia="Times New Roman" w:hAnsi="Simplified Arabic" w:cs="Simplified Arabic"/>
          <w:color w:val="000000" w:themeColor="text1"/>
          <w:kern w:val="0"/>
          <w:sz w:val="28"/>
          <w:szCs w:val="28"/>
          <w14:ligatures w14:val="none"/>
        </w:rPr>
        <w:t>.</w:t>
      </w:r>
    </w:p>
    <w:p w14:paraId="6022FF2A"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ويُبرز</w:t>
      </w:r>
      <w:r w:rsidRPr="00FD338A">
        <w:rPr>
          <w:rFonts w:ascii="Simplified Arabic" w:eastAsia="Times New Roman" w:hAnsi="Simplified Arabic" w:cs="Simplified Arabic"/>
          <w:color w:val="000000" w:themeColor="text1"/>
          <w:kern w:val="0"/>
          <w:sz w:val="28"/>
          <w:szCs w:val="28"/>
          <w14:ligatures w14:val="none"/>
        </w:rPr>
        <w:t xml:space="preserve"> (Ache et al., 2024) </w:t>
      </w:r>
      <w:r w:rsidRPr="00FD338A">
        <w:rPr>
          <w:rFonts w:ascii="Simplified Arabic" w:eastAsia="Times New Roman" w:hAnsi="Simplified Arabic" w:cs="Simplified Arabic"/>
          <w:color w:val="000000" w:themeColor="text1"/>
          <w:kern w:val="0"/>
          <w:sz w:val="28"/>
          <w:szCs w:val="28"/>
          <w:rtl/>
          <w14:ligatures w14:val="none"/>
        </w:rPr>
        <w:t>أن أهمية الثقة تتصل ارتباطًا وثيقًا بتطور السوق العقاري ومستوى شفافيته، إذ تُشكّل الأسواق ذات مستويات الثقة المرتفعة بيئة جاذبة للاستثمار المحلي والأجنبي، وتُحقق كفاءة أعلى في تخصيص الموارد. ويرى الباحثون أن الثقة تُشكّل رأس مال اجتماعي بالغ الأهمية للأسواق العقارية، وأن بناءها يستغرق وقتًا طويلًا في حين أن تآكلها قد يحدث سريعًا نتيجة أحداث محدودة</w:t>
      </w:r>
      <w:r w:rsidRPr="00FD338A">
        <w:rPr>
          <w:rFonts w:ascii="Simplified Arabic" w:eastAsia="Times New Roman" w:hAnsi="Simplified Arabic" w:cs="Simplified Arabic"/>
          <w:color w:val="000000" w:themeColor="text1"/>
          <w:kern w:val="0"/>
          <w:sz w:val="28"/>
          <w:szCs w:val="28"/>
          <w14:ligatures w14:val="none"/>
        </w:rPr>
        <w:t>.</w:t>
      </w:r>
    </w:p>
    <w:p w14:paraId="39A3C72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ويشير</w:t>
      </w:r>
      <w:r w:rsidRPr="00FD338A">
        <w:rPr>
          <w:rFonts w:ascii="Simplified Arabic" w:eastAsia="Times New Roman" w:hAnsi="Simplified Arabic" w:cs="Simplified Arabic"/>
          <w:color w:val="000000" w:themeColor="text1"/>
          <w:kern w:val="0"/>
          <w:sz w:val="28"/>
          <w:szCs w:val="28"/>
          <w14:ligatures w14:val="none"/>
        </w:rPr>
        <w:t xml:space="preserve"> (Patel &amp; Jha, 2025) </w:t>
      </w:r>
      <w:r w:rsidRPr="00FD338A">
        <w:rPr>
          <w:rFonts w:ascii="Simplified Arabic" w:eastAsia="Times New Roman" w:hAnsi="Simplified Arabic" w:cs="Simplified Arabic"/>
          <w:color w:val="000000" w:themeColor="text1"/>
          <w:kern w:val="0"/>
          <w:sz w:val="28"/>
          <w:szCs w:val="28"/>
          <w:rtl/>
          <w14:ligatures w14:val="none"/>
        </w:rPr>
        <w:t>إلى أن ثقة المشترين تكتسب أهمية استراتيجية في صناعة التشييد، إذ تنعكس على معدلات الطلب واستقرار الأسعار وحجم الاستثمارات في القطاع. ويُوضّح الباحثان أن الأطر التنظيمية الجيدة تُسهم في بناء الثقة من خلال توفير ضمانات مؤسسية وقانونية للمشترين، وأن هذه الثقة تنعكس بدورها على أداء صناعة التشييد بأكملها</w:t>
      </w:r>
      <w:r w:rsidRPr="00FD338A">
        <w:rPr>
          <w:rFonts w:ascii="Simplified Arabic" w:eastAsia="Times New Roman" w:hAnsi="Simplified Arabic" w:cs="Simplified Arabic"/>
          <w:color w:val="000000" w:themeColor="text1"/>
          <w:kern w:val="0"/>
          <w:sz w:val="28"/>
          <w:szCs w:val="28"/>
          <w14:ligatures w14:val="none"/>
        </w:rPr>
        <w:t>.</w:t>
      </w:r>
    </w:p>
    <w:p w14:paraId="5B1ADA6F"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ويرى</w:t>
      </w:r>
      <w:r w:rsidRPr="00FD338A">
        <w:rPr>
          <w:rFonts w:ascii="Simplified Arabic" w:eastAsia="Times New Roman" w:hAnsi="Simplified Arabic" w:cs="Simplified Arabic"/>
          <w:color w:val="000000" w:themeColor="text1"/>
          <w:kern w:val="0"/>
          <w:sz w:val="28"/>
          <w:szCs w:val="28"/>
          <w14:ligatures w14:val="none"/>
        </w:rPr>
        <w:t xml:space="preserve"> (Bharti et al., 2024) </w:t>
      </w:r>
      <w:r w:rsidRPr="00FD338A">
        <w:rPr>
          <w:rFonts w:ascii="Simplified Arabic" w:eastAsia="Times New Roman" w:hAnsi="Simplified Arabic" w:cs="Simplified Arabic"/>
          <w:color w:val="000000" w:themeColor="text1"/>
          <w:kern w:val="0"/>
          <w:sz w:val="28"/>
          <w:szCs w:val="28"/>
          <w:rtl/>
          <w14:ligatures w14:val="none"/>
        </w:rPr>
        <w:t xml:space="preserve">أن أهمية الثقة تتجلى في دورها الوقائي من النزاعات العقارية، إذ تُوفّر الثقة أرضية مشتركة للتفاهم بين المطوِّر والمشتري تُقلّل من احتمالات الخلاف وتُيسّر تسويته عند </w:t>
      </w:r>
      <w:r w:rsidRPr="00FD338A">
        <w:rPr>
          <w:rFonts w:ascii="Simplified Arabic" w:eastAsia="Times New Roman" w:hAnsi="Simplified Arabic" w:cs="Simplified Arabic"/>
          <w:color w:val="000000" w:themeColor="text1"/>
          <w:kern w:val="0"/>
          <w:sz w:val="28"/>
          <w:szCs w:val="28"/>
          <w:rtl/>
          <w14:ligatures w14:val="none"/>
        </w:rPr>
        <w:lastRenderedPageBreak/>
        <w:t>وقوعه. ويُضيف الباحثون أن الثقة تُشكّل بيئة ملائمة لتطوير حلول مبتكرة للنزاعات وتُسهم في تفعيل آليات التسوية الودية بديلًا عن التقاضي الطويل</w:t>
      </w:r>
      <w:r w:rsidRPr="00FD338A">
        <w:rPr>
          <w:rFonts w:ascii="Simplified Arabic" w:eastAsia="Times New Roman" w:hAnsi="Simplified Arabic" w:cs="Simplified Arabic"/>
          <w:color w:val="000000" w:themeColor="text1"/>
          <w:kern w:val="0"/>
          <w:sz w:val="28"/>
          <w:szCs w:val="28"/>
          <w14:ligatures w14:val="none"/>
        </w:rPr>
        <w:t>.</w:t>
      </w:r>
    </w:p>
    <w:p w14:paraId="303ABCED"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ومن منظور حماية المستهلك، يُبرز (المحصلابي، ٢٠٢٣) أن أهمية ثقة المشترين تتمثل في كونها مؤشرًا على فاعلية الآليات الحمائية القانونية، إذ تعكس مستويات الثقة المرتفعة نجاح التشريع والرقابة في توفير الحماية اللازمة، بينما تُشير مستويات الثقة المنخفضة إلى وجود قصور في هذه الآليات يستوجب المعالجة. ويُوضّح الباحث أن الثقة تُشكّل بذلك مقياسًا غير مباشر لجودة المنظومة الحمائية</w:t>
      </w:r>
      <w:r w:rsidRPr="00FD338A">
        <w:rPr>
          <w:rFonts w:ascii="Simplified Arabic" w:eastAsia="Times New Roman" w:hAnsi="Simplified Arabic" w:cs="Simplified Arabic"/>
          <w:color w:val="000000" w:themeColor="text1"/>
          <w:kern w:val="0"/>
          <w:sz w:val="28"/>
          <w:szCs w:val="28"/>
          <w14:ligatures w14:val="none"/>
        </w:rPr>
        <w:t>.</w:t>
      </w:r>
    </w:p>
    <w:p w14:paraId="586E997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ويُشير</w:t>
      </w:r>
      <w:r w:rsidRPr="00FD338A">
        <w:rPr>
          <w:rFonts w:ascii="Simplified Arabic" w:eastAsia="Times New Roman" w:hAnsi="Simplified Arabic" w:cs="Simplified Arabic"/>
          <w:color w:val="000000" w:themeColor="text1"/>
          <w:kern w:val="0"/>
          <w:sz w:val="28"/>
          <w:szCs w:val="28"/>
          <w14:ligatures w14:val="none"/>
        </w:rPr>
        <w:t xml:space="preserve"> (Gholipour et al., 2020) </w:t>
      </w:r>
      <w:r w:rsidRPr="00FD338A">
        <w:rPr>
          <w:rFonts w:ascii="Simplified Arabic" w:eastAsia="Times New Roman" w:hAnsi="Simplified Arabic" w:cs="Simplified Arabic"/>
          <w:color w:val="000000" w:themeColor="text1"/>
          <w:kern w:val="0"/>
          <w:sz w:val="28"/>
          <w:szCs w:val="28"/>
          <w:rtl/>
          <w14:ligatures w14:val="none"/>
        </w:rPr>
        <w:t>إلى أن أهمية الثقة تتجلى في انعكاساتها على المؤشرات المالية للسوق، إذ ترتبط مستويات الثقة عكسيًا بمعدلات التعثر عن سداد الرهون العقارية. ويُوضّح الباحثون أن الثقة تدعم استقرار السوق المالي المرتبط بالعقارات، وتُسهم في تخفيف المخاطر النظامية التي قد تنتقل من القطاع العقاري إلى القطاع المصرفي والاقتصاد الكلي</w:t>
      </w:r>
      <w:r w:rsidRPr="00FD338A">
        <w:rPr>
          <w:rFonts w:ascii="Simplified Arabic" w:eastAsia="Times New Roman" w:hAnsi="Simplified Arabic" w:cs="Simplified Arabic"/>
          <w:color w:val="000000" w:themeColor="text1"/>
          <w:kern w:val="0"/>
          <w:sz w:val="28"/>
          <w:szCs w:val="28"/>
          <w14:ligatures w14:val="none"/>
        </w:rPr>
        <w:t>.</w:t>
      </w:r>
    </w:p>
    <w:p w14:paraId="2601CA5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ويرى الباحث أن أهمية ثقة المشترين في السياق السعودي تكتسب أبعادًا مضاعفة نظرًا للتحولات الكبرى التي يشهدها السوق العقاري في إطار رؤية ٢٠٣٠، والتي تستهدف رفع نسب تملّك المساكن وتوسيع قاعدة الاستثمار العقاري. فبناء ثقة راسخة لدى المشترين يُشكّل شرطًا لازمًا لنجاح هذه المستهدفات، ولاستدامة النمو في القطاع العقاري، ولترسيخ مكانة السوق العقاري السعودي بوصفه سوقًا إقليميًا رائدًا</w:t>
      </w:r>
      <w:r w:rsidRPr="00FD338A">
        <w:rPr>
          <w:rFonts w:ascii="Simplified Arabic" w:eastAsia="Times New Roman" w:hAnsi="Simplified Arabic" w:cs="Simplified Arabic"/>
          <w:color w:val="000000" w:themeColor="text1"/>
          <w:kern w:val="0"/>
          <w:sz w:val="28"/>
          <w:szCs w:val="28"/>
          <w14:ligatures w14:val="none"/>
        </w:rPr>
        <w:t>.</w:t>
      </w:r>
    </w:p>
    <w:p w14:paraId="2DBB2A5E" w14:textId="7B51EBC4"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941130"/>
      <w:r w:rsidRPr="00FD338A">
        <w:rPr>
          <w:rFonts w:ascii="Simplified Arabic" w:eastAsia="Times New Roman" w:hAnsi="Simplified Arabic" w:cs="Simplified Arabic" w:hint="cs"/>
          <w:b/>
          <w:bCs/>
          <w:color w:val="000000" w:themeColor="text1"/>
          <w:kern w:val="0"/>
          <w:sz w:val="32"/>
          <w:szCs w:val="32"/>
          <w:rtl/>
          <w14:ligatures w14:val="none"/>
        </w:rPr>
        <w:t xml:space="preserve">4.2.2 </w:t>
      </w:r>
      <w:r w:rsidR="00021997" w:rsidRPr="00FD338A">
        <w:rPr>
          <w:rFonts w:ascii="Simplified Arabic" w:eastAsia="Times New Roman" w:hAnsi="Simplified Arabic" w:cs="Simplified Arabic"/>
          <w:b/>
          <w:bCs/>
          <w:color w:val="000000" w:themeColor="text1"/>
          <w:kern w:val="0"/>
          <w:sz w:val="32"/>
          <w:szCs w:val="32"/>
          <w:rtl/>
          <w14:ligatures w14:val="none"/>
        </w:rPr>
        <w:t>أهداف دراسة ثقة المشترين وتعزيزها</w:t>
      </w:r>
      <w:bookmarkEnd w:id="41"/>
    </w:p>
    <w:p w14:paraId="005520AF"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تتعدد الأهداف التي يسعى الباحثون والممارسون إلى تحقيقها من خلال دراسة ثقة المشترين وتعزيزها في السوق العقاري، وتتوزع هذه الأهداف بين مستويات نظرية وتطبيقية تتكامل فيما بينها لتُشكّل منظومة غايات شاملة. وقد تناول الباحثون هذه الأهداف من زوايا متعددة تعكس تنوع المقاربات الفكرية للمفهوم</w:t>
      </w:r>
      <w:r w:rsidRPr="00FD338A">
        <w:rPr>
          <w:rFonts w:ascii="Simplified Arabic" w:eastAsia="Times New Roman" w:hAnsi="Simplified Arabic" w:cs="Simplified Arabic"/>
          <w:color w:val="000000" w:themeColor="text1"/>
          <w:kern w:val="0"/>
          <w:sz w:val="28"/>
          <w:szCs w:val="28"/>
          <w14:ligatures w14:val="none"/>
        </w:rPr>
        <w:t>.</w:t>
      </w:r>
    </w:p>
    <w:p w14:paraId="5CD3867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ويحدد</w:t>
      </w:r>
      <w:r w:rsidRPr="00FD338A">
        <w:rPr>
          <w:rFonts w:ascii="Simplified Arabic" w:eastAsia="Times New Roman" w:hAnsi="Simplified Arabic" w:cs="Simplified Arabic"/>
          <w:color w:val="000000" w:themeColor="text1"/>
          <w:kern w:val="0"/>
          <w:sz w:val="28"/>
          <w:szCs w:val="28"/>
          <w14:ligatures w14:val="none"/>
        </w:rPr>
        <w:t xml:space="preserve"> (Reddy &amp; </w:t>
      </w:r>
      <w:proofErr w:type="spellStart"/>
      <w:r w:rsidRPr="00FD338A">
        <w:rPr>
          <w:rFonts w:ascii="Simplified Arabic" w:eastAsia="Times New Roman" w:hAnsi="Simplified Arabic" w:cs="Simplified Arabic"/>
          <w:color w:val="000000" w:themeColor="text1"/>
          <w:kern w:val="0"/>
          <w:sz w:val="28"/>
          <w:szCs w:val="28"/>
          <w14:ligatures w14:val="none"/>
        </w:rPr>
        <w:t>Thanigan</w:t>
      </w:r>
      <w:proofErr w:type="spellEnd"/>
      <w:r w:rsidRPr="00FD338A">
        <w:rPr>
          <w:rFonts w:ascii="Simplified Arabic" w:eastAsia="Times New Roman" w:hAnsi="Simplified Arabic" w:cs="Simplified Arabic"/>
          <w:color w:val="000000" w:themeColor="text1"/>
          <w:kern w:val="0"/>
          <w:sz w:val="28"/>
          <w:szCs w:val="28"/>
          <w14:ligatures w14:val="none"/>
        </w:rPr>
        <w:t xml:space="preserve">, 2023) </w:t>
      </w:r>
      <w:r w:rsidRPr="00FD338A">
        <w:rPr>
          <w:rFonts w:ascii="Simplified Arabic" w:eastAsia="Times New Roman" w:hAnsi="Simplified Arabic" w:cs="Simplified Arabic"/>
          <w:color w:val="000000" w:themeColor="text1"/>
          <w:kern w:val="0"/>
          <w:sz w:val="28"/>
          <w:szCs w:val="28"/>
          <w:rtl/>
          <w14:ligatures w14:val="none"/>
        </w:rPr>
        <w:t>جملة من الأهداف المرتبطة بدراسة ثقة المشترين، تتمثل في: أولًا، فهم العوامل المحدِّدة لنية الشراء لدى المستهلك العقاري ورسم خرائط دقيقة لعلاقاتها المتبادلة؛ ثانيًا، تحديد دور المعرفة والمعلومات في تشكيل ثقة المشتري وتوجيه قراره؛ ثالثًا، الكشف عن آليات تخفيف المخاطر المدركة لدى المشترين وتوظيفها في تعزيز ثقتهم؛ رابعًا، تطوير نماذج تفسيرية للسلوك الشرائي في القطاع العقاري تأخذ في الحسبان خصوصية السلعة العقارية</w:t>
      </w:r>
      <w:r w:rsidRPr="00FD338A">
        <w:rPr>
          <w:rFonts w:ascii="Simplified Arabic" w:eastAsia="Times New Roman" w:hAnsi="Simplified Arabic" w:cs="Simplified Arabic"/>
          <w:color w:val="000000" w:themeColor="text1"/>
          <w:kern w:val="0"/>
          <w:sz w:val="28"/>
          <w:szCs w:val="28"/>
          <w14:ligatures w14:val="none"/>
        </w:rPr>
        <w:t>.</w:t>
      </w:r>
    </w:p>
    <w:p w14:paraId="39DA08C7"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ويُشير (المحصلابي، ٢٠٢٣) إلى أن دراسة ثقة المشترين تستهدف تحقيق جملة من الغايات، أبرزها: تقييم فاعلية الآليات الحمائية القائمة من خلال قياس انعكاساتها على مستويات ثقة المشترين؛ والكشف عن نقاط الضعف في المنظومة القانونية التي تُضعف الثقة وتستوجب المعالجة؛ وتحديد الاحتياجات التشريعية والمؤسسية اللازمة لتعزيز الثقة؛ ودعم صانعي القرار بأدلة علمية تُوجّه سياساتهم في حماية المستهلك العقاري</w:t>
      </w:r>
      <w:r w:rsidRPr="00FD338A">
        <w:rPr>
          <w:rFonts w:ascii="Simplified Arabic" w:eastAsia="Times New Roman" w:hAnsi="Simplified Arabic" w:cs="Simplified Arabic"/>
          <w:color w:val="000000" w:themeColor="text1"/>
          <w:kern w:val="0"/>
          <w:sz w:val="28"/>
          <w:szCs w:val="28"/>
          <w14:ligatures w14:val="none"/>
        </w:rPr>
        <w:t>.</w:t>
      </w:r>
    </w:p>
    <w:p w14:paraId="7C8F8D16"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ويرى</w:t>
      </w:r>
      <w:r w:rsidRPr="00FD338A">
        <w:rPr>
          <w:rFonts w:ascii="Simplified Arabic" w:eastAsia="Times New Roman" w:hAnsi="Simplified Arabic" w:cs="Simplified Arabic"/>
          <w:color w:val="000000" w:themeColor="text1"/>
          <w:kern w:val="0"/>
          <w:sz w:val="28"/>
          <w:szCs w:val="28"/>
          <w14:ligatures w14:val="none"/>
        </w:rPr>
        <w:t xml:space="preserve"> (Ache et al., 2024) </w:t>
      </w:r>
      <w:r w:rsidRPr="00FD338A">
        <w:rPr>
          <w:rFonts w:ascii="Simplified Arabic" w:eastAsia="Times New Roman" w:hAnsi="Simplified Arabic" w:cs="Simplified Arabic"/>
          <w:color w:val="000000" w:themeColor="text1"/>
          <w:kern w:val="0"/>
          <w:sz w:val="28"/>
          <w:szCs w:val="28"/>
          <w:rtl/>
          <w14:ligatures w14:val="none"/>
        </w:rPr>
        <w:t>أن الأهداف المرتبطة بدراسة الثقة تشمل: قياس مستويات الشفافية في الأسواق العقارية والمقارنة بينها؛ وتحديد الفجوات بين النماذج الوطنية والممارسات الدولية الفضلى؛ وتطوير مؤشرات موحدة لتقييم أداء الأسواق العقارية؛ وتوجيه السياسات نحو تعزيز الشفافية بوصفها ركيزة لبناء الثقة</w:t>
      </w:r>
      <w:r w:rsidRPr="00FD338A">
        <w:rPr>
          <w:rFonts w:ascii="Simplified Arabic" w:eastAsia="Times New Roman" w:hAnsi="Simplified Arabic" w:cs="Simplified Arabic"/>
          <w:color w:val="000000" w:themeColor="text1"/>
          <w:kern w:val="0"/>
          <w:sz w:val="28"/>
          <w:szCs w:val="28"/>
          <w14:ligatures w14:val="none"/>
        </w:rPr>
        <w:t>.</w:t>
      </w:r>
    </w:p>
    <w:p w14:paraId="2A247A2F"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ويُوضّح</w:t>
      </w:r>
      <w:r w:rsidRPr="00FD338A">
        <w:rPr>
          <w:rFonts w:ascii="Simplified Arabic" w:eastAsia="Times New Roman" w:hAnsi="Simplified Arabic" w:cs="Simplified Arabic"/>
          <w:color w:val="000000" w:themeColor="text1"/>
          <w:kern w:val="0"/>
          <w:sz w:val="28"/>
          <w:szCs w:val="28"/>
          <w14:ligatures w14:val="none"/>
        </w:rPr>
        <w:t xml:space="preserve"> (Patel &amp; Jha, 2025) </w:t>
      </w:r>
      <w:r w:rsidRPr="00FD338A">
        <w:rPr>
          <w:rFonts w:ascii="Simplified Arabic" w:eastAsia="Times New Roman" w:hAnsi="Simplified Arabic" w:cs="Simplified Arabic"/>
          <w:color w:val="000000" w:themeColor="text1"/>
          <w:kern w:val="0"/>
          <w:sz w:val="28"/>
          <w:szCs w:val="28"/>
          <w:rtl/>
          <w14:ligatures w14:val="none"/>
        </w:rPr>
        <w:t>أن دراسة الثقة تسعى إلى تحقيق أهداف تطبيقية تتصل بتقييم أثر الأطر التنظيمية على أداء صناعة التشييد، وتحديد آليات التدخل التنظيمي الأكثر فاعلية في تعزيز الثقة، وتوجيه المطوِّرين نحو ممارسات أكثر شفافية والتزامًا، وتمكين المشترين من اتخاذ قرارات مبنية على معرفة كافية</w:t>
      </w:r>
      <w:r w:rsidRPr="00FD338A">
        <w:rPr>
          <w:rFonts w:ascii="Simplified Arabic" w:eastAsia="Times New Roman" w:hAnsi="Simplified Arabic" w:cs="Simplified Arabic"/>
          <w:color w:val="000000" w:themeColor="text1"/>
          <w:kern w:val="0"/>
          <w:sz w:val="28"/>
          <w:szCs w:val="28"/>
          <w14:ligatures w14:val="none"/>
        </w:rPr>
        <w:t>.</w:t>
      </w:r>
    </w:p>
    <w:p w14:paraId="547013D9"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ويُشير</w:t>
      </w:r>
      <w:r w:rsidRPr="00FD338A">
        <w:rPr>
          <w:rFonts w:ascii="Simplified Arabic" w:eastAsia="Times New Roman" w:hAnsi="Simplified Arabic" w:cs="Simplified Arabic"/>
          <w:color w:val="000000" w:themeColor="text1"/>
          <w:kern w:val="0"/>
          <w:sz w:val="28"/>
          <w:szCs w:val="28"/>
          <w14:ligatures w14:val="none"/>
        </w:rPr>
        <w:t xml:space="preserve"> (Rasul, 2025) </w:t>
      </w:r>
      <w:r w:rsidRPr="00FD338A">
        <w:rPr>
          <w:rFonts w:ascii="Simplified Arabic" w:eastAsia="Times New Roman" w:hAnsi="Simplified Arabic" w:cs="Simplified Arabic"/>
          <w:color w:val="000000" w:themeColor="text1"/>
          <w:kern w:val="0"/>
          <w:sz w:val="28"/>
          <w:szCs w:val="28"/>
          <w:rtl/>
          <w14:ligatures w14:val="none"/>
        </w:rPr>
        <w:t>إلى أن دراسة الثقة تستهدف تحليل العلاقة بين الحماية القانونية للمشتري وثقته في السوق، والكشف عن آليات ترسيخ الثقة من خلال التشريع والرقابة، وتقييم فاعلية النماذج القانونية المختلفة في بناء الثقة، ومقارنة التجارب الوطنية لاستخلاص الدروس المستفادة</w:t>
      </w:r>
      <w:r w:rsidRPr="00FD338A">
        <w:rPr>
          <w:rFonts w:ascii="Simplified Arabic" w:eastAsia="Times New Roman" w:hAnsi="Simplified Arabic" w:cs="Simplified Arabic"/>
          <w:color w:val="000000" w:themeColor="text1"/>
          <w:kern w:val="0"/>
          <w:sz w:val="28"/>
          <w:szCs w:val="28"/>
          <w14:ligatures w14:val="none"/>
        </w:rPr>
        <w:t>.</w:t>
      </w:r>
    </w:p>
    <w:p w14:paraId="6AB63D34"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ويُضيف</w:t>
      </w:r>
      <w:r w:rsidRPr="00FD338A">
        <w:rPr>
          <w:rFonts w:ascii="Simplified Arabic" w:eastAsia="Times New Roman" w:hAnsi="Simplified Arabic" w:cs="Simplified Arabic"/>
          <w:color w:val="000000" w:themeColor="text1"/>
          <w:kern w:val="0"/>
          <w:sz w:val="28"/>
          <w:szCs w:val="28"/>
          <w14:ligatures w14:val="none"/>
        </w:rPr>
        <w:t xml:space="preserve"> (Thakor &amp; Merton, 2023) </w:t>
      </w:r>
      <w:r w:rsidRPr="00FD338A">
        <w:rPr>
          <w:rFonts w:ascii="Simplified Arabic" w:eastAsia="Times New Roman" w:hAnsi="Simplified Arabic" w:cs="Simplified Arabic"/>
          <w:color w:val="000000" w:themeColor="text1"/>
          <w:kern w:val="0"/>
          <w:sz w:val="28"/>
          <w:szCs w:val="28"/>
          <w:rtl/>
          <w14:ligatures w14:val="none"/>
        </w:rPr>
        <w:t>أن دراسة الثقة تسعى إلى تحقيق أهداف نظرية تتصل بفهم العلاقة بين الثقة والشفافية والتعقيد، وتطوير نماذج تُفسّر تشكّل الثقة في السياقات المالية والاستثمارية، وتحليل الآثار الاقتصادية للثقة على كفاءة الأسواق، وتوجيه سياسات الإفصاح المؤسسي نحو تعزيز الثقة</w:t>
      </w:r>
      <w:r w:rsidRPr="00FD338A">
        <w:rPr>
          <w:rFonts w:ascii="Simplified Arabic" w:eastAsia="Times New Roman" w:hAnsi="Simplified Arabic" w:cs="Simplified Arabic"/>
          <w:color w:val="000000" w:themeColor="text1"/>
          <w:kern w:val="0"/>
          <w:sz w:val="28"/>
          <w:szCs w:val="28"/>
          <w14:ligatures w14:val="none"/>
        </w:rPr>
        <w:t>.</w:t>
      </w:r>
    </w:p>
    <w:p w14:paraId="6C56D7C5"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ويرى</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Hashemigohar</w:t>
      </w:r>
      <w:proofErr w:type="spellEnd"/>
      <w:r w:rsidRPr="00FD338A">
        <w:rPr>
          <w:rFonts w:ascii="Simplified Arabic" w:eastAsia="Times New Roman" w:hAnsi="Simplified Arabic" w:cs="Simplified Arabic"/>
          <w:color w:val="000000" w:themeColor="text1"/>
          <w:kern w:val="0"/>
          <w:sz w:val="28"/>
          <w:szCs w:val="28"/>
          <w14:ligatures w14:val="none"/>
        </w:rPr>
        <w:t xml:space="preserve"> et al., 2025) </w:t>
      </w:r>
      <w:r w:rsidRPr="00FD338A">
        <w:rPr>
          <w:rFonts w:ascii="Simplified Arabic" w:eastAsia="Times New Roman" w:hAnsi="Simplified Arabic" w:cs="Simplified Arabic"/>
          <w:color w:val="000000" w:themeColor="text1"/>
          <w:kern w:val="0"/>
          <w:sz w:val="28"/>
          <w:szCs w:val="28"/>
          <w:rtl/>
          <w14:ligatures w14:val="none"/>
        </w:rPr>
        <w:t>أن الدراسة تستهدف الكشف عن العوامل المؤسسية المؤثرة في بناء الثقة، لا سيما دور الرقابة الداخلية والشفافية المالية، وتحديد الآليات التي يمكن من خلالها تعزيز الثقة عبر تحسين البنية الحوكمية للمؤسسات، وتوجيه المستثمرين نحو التقييم السليم للمخاطر</w:t>
      </w:r>
      <w:r w:rsidRPr="00FD338A">
        <w:rPr>
          <w:rFonts w:ascii="Simplified Arabic" w:eastAsia="Times New Roman" w:hAnsi="Simplified Arabic" w:cs="Simplified Arabic"/>
          <w:color w:val="000000" w:themeColor="text1"/>
          <w:kern w:val="0"/>
          <w:sz w:val="28"/>
          <w:szCs w:val="28"/>
          <w14:ligatures w14:val="none"/>
        </w:rPr>
        <w:t>.</w:t>
      </w:r>
    </w:p>
    <w:p w14:paraId="5AA07F46"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ويُشير</w:t>
      </w:r>
      <w:r w:rsidRPr="00FD338A">
        <w:rPr>
          <w:rFonts w:ascii="Simplified Arabic" w:eastAsia="Times New Roman" w:hAnsi="Simplified Arabic" w:cs="Simplified Arabic"/>
          <w:color w:val="000000" w:themeColor="text1"/>
          <w:kern w:val="0"/>
          <w:sz w:val="28"/>
          <w:szCs w:val="28"/>
          <w14:ligatures w14:val="none"/>
        </w:rPr>
        <w:t xml:space="preserve"> (Medved, 2025) </w:t>
      </w:r>
      <w:r w:rsidRPr="00FD338A">
        <w:rPr>
          <w:rFonts w:ascii="Simplified Arabic" w:eastAsia="Times New Roman" w:hAnsi="Simplified Arabic" w:cs="Simplified Arabic"/>
          <w:color w:val="000000" w:themeColor="text1"/>
          <w:kern w:val="0"/>
          <w:sz w:val="28"/>
          <w:szCs w:val="28"/>
          <w:rtl/>
          <w14:ligatures w14:val="none"/>
        </w:rPr>
        <w:t>إلى أن دراسة الثقة تستهدف تطوير أطر متكاملة تجمع بين الشفافية وتقاسم المخاطر والاستدامة المالية، وتحديد آليات التسعير الديناميكي التي تعكس المخاطر بشكل عادل، وتعزيز قدرة الأسواق على استيعاب الصدمات والحفاظ على ثقة المتعاملين فيها</w:t>
      </w:r>
      <w:r w:rsidRPr="00FD338A">
        <w:rPr>
          <w:rFonts w:ascii="Simplified Arabic" w:eastAsia="Times New Roman" w:hAnsi="Simplified Arabic" w:cs="Simplified Arabic"/>
          <w:color w:val="000000" w:themeColor="text1"/>
          <w:kern w:val="0"/>
          <w:sz w:val="28"/>
          <w:szCs w:val="28"/>
          <w14:ligatures w14:val="none"/>
        </w:rPr>
        <w:t>.</w:t>
      </w:r>
    </w:p>
    <w:p w14:paraId="5A3F910C"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ويرى الباحث أن هذه الأهداف تتكامل في إطار غاية أشمل، وهي بناء منظومة معرفية تُتيح فهمًا عميقًا لظاهرة الثقة في السوق العقاري، وتُوجّه السياسات التنظيمية نحو تعزيزها، وتُمكّن المطوِّرين من اعتماد ممارسات تُدعّمها، وتُساعد المشترين على اتخاذ قرارات رشيدة مبنية على أساس معرفي سليم</w:t>
      </w:r>
      <w:r w:rsidRPr="00FD338A">
        <w:rPr>
          <w:rFonts w:ascii="Simplified Arabic" w:eastAsia="Times New Roman" w:hAnsi="Simplified Arabic" w:cs="Simplified Arabic"/>
          <w:color w:val="000000" w:themeColor="text1"/>
          <w:kern w:val="0"/>
          <w:sz w:val="28"/>
          <w:szCs w:val="28"/>
          <w14:ligatures w14:val="none"/>
        </w:rPr>
        <w:t>.</w:t>
      </w:r>
    </w:p>
    <w:p w14:paraId="53AC536C" w14:textId="0FE37E3B" w:rsidR="00021997" w:rsidRPr="00FD338A" w:rsidRDefault="00096BBC" w:rsidP="00096B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941131"/>
      <w:r w:rsidRPr="00FD338A">
        <w:rPr>
          <w:rFonts w:ascii="Simplified Arabic" w:eastAsia="Times New Roman" w:hAnsi="Simplified Arabic" w:cs="Simplified Arabic" w:hint="cs"/>
          <w:b/>
          <w:bCs/>
          <w:color w:val="000000" w:themeColor="text1"/>
          <w:kern w:val="0"/>
          <w:sz w:val="32"/>
          <w:szCs w:val="32"/>
          <w:rtl/>
          <w14:ligatures w14:val="none"/>
        </w:rPr>
        <w:t xml:space="preserve">5.2.2 </w:t>
      </w:r>
      <w:r w:rsidR="00021997" w:rsidRPr="00FD338A">
        <w:rPr>
          <w:rFonts w:ascii="Simplified Arabic" w:eastAsia="Times New Roman" w:hAnsi="Simplified Arabic" w:cs="Simplified Arabic"/>
          <w:b/>
          <w:bCs/>
          <w:color w:val="000000" w:themeColor="text1"/>
          <w:kern w:val="0"/>
          <w:sz w:val="32"/>
          <w:szCs w:val="32"/>
          <w:rtl/>
          <w14:ligatures w14:val="none"/>
        </w:rPr>
        <w:t>أبعاد ثقة المشترين</w:t>
      </w:r>
      <w:bookmarkEnd w:id="42"/>
    </w:p>
    <w:p w14:paraId="15093CD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تم تحديد الأبعاد المعتمدة في هذه الدراسة لثقة المشترين استنادًا إلى استعراض معمّق لعدد من الدراسات النظرية والتطبيقية التي تناولت مفهوم الثقة في السياق العقاري والمالي، ولا سيما دراسات</w:t>
      </w:r>
      <w:r w:rsidRPr="00FD338A">
        <w:rPr>
          <w:rFonts w:ascii="Simplified Arabic" w:eastAsia="Times New Roman" w:hAnsi="Simplified Arabic" w:cs="Simplified Arabic"/>
          <w:color w:val="000000" w:themeColor="text1"/>
          <w:kern w:val="0"/>
          <w:sz w:val="28"/>
          <w:szCs w:val="28"/>
          <w14:ligatures w14:val="none"/>
        </w:rPr>
        <w:t xml:space="preserve"> (Reddy &amp; </w:t>
      </w:r>
      <w:proofErr w:type="spellStart"/>
      <w:r w:rsidRPr="00FD338A">
        <w:rPr>
          <w:rFonts w:ascii="Simplified Arabic" w:eastAsia="Times New Roman" w:hAnsi="Simplified Arabic" w:cs="Simplified Arabic"/>
          <w:color w:val="000000" w:themeColor="text1"/>
          <w:kern w:val="0"/>
          <w:sz w:val="28"/>
          <w:szCs w:val="28"/>
          <w14:ligatures w14:val="none"/>
        </w:rPr>
        <w:t>Thanigan</w:t>
      </w:r>
      <w:proofErr w:type="spellEnd"/>
      <w:r w:rsidRPr="00FD338A">
        <w:rPr>
          <w:rFonts w:ascii="Simplified Arabic" w:eastAsia="Times New Roman" w:hAnsi="Simplified Arabic" w:cs="Simplified Arabic"/>
          <w:color w:val="000000" w:themeColor="text1"/>
          <w:kern w:val="0"/>
          <w:sz w:val="28"/>
          <w:szCs w:val="28"/>
          <w14:ligatures w14:val="none"/>
        </w:rPr>
        <w:t>, 2023)</w:t>
      </w:r>
      <w:r w:rsidRPr="00FD338A">
        <w:rPr>
          <w:rFonts w:ascii="Simplified Arabic" w:eastAsia="Times New Roman" w:hAnsi="Simplified Arabic" w:cs="Simplified Arabic"/>
          <w:color w:val="000000" w:themeColor="text1"/>
          <w:kern w:val="0"/>
          <w:sz w:val="28"/>
          <w:szCs w:val="28"/>
          <w:rtl/>
          <w14:ligatures w14:val="none"/>
        </w:rPr>
        <w:t>، و</w:t>
      </w:r>
      <w:r w:rsidRPr="00FD338A">
        <w:rPr>
          <w:rFonts w:ascii="Simplified Arabic" w:eastAsia="Times New Roman" w:hAnsi="Simplified Arabic" w:cs="Simplified Arabic"/>
          <w:color w:val="000000" w:themeColor="text1"/>
          <w:kern w:val="0"/>
          <w:sz w:val="28"/>
          <w:szCs w:val="28"/>
          <w14:ligatures w14:val="none"/>
        </w:rPr>
        <w:t>(Thakor &amp; Merton, 2023)</w:t>
      </w:r>
      <w:r w:rsidRPr="00FD338A">
        <w:rPr>
          <w:rFonts w:ascii="Simplified Arabic" w:eastAsia="Times New Roman" w:hAnsi="Simplified Arabic" w:cs="Simplified Arabic"/>
          <w:color w:val="000000" w:themeColor="text1"/>
          <w:kern w:val="0"/>
          <w:sz w:val="28"/>
          <w:szCs w:val="28"/>
          <w:rtl/>
          <w14:ligatures w14:val="none"/>
        </w:rPr>
        <w:t>، و</w:t>
      </w:r>
      <w:r w:rsidRPr="00FD338A">
        <w:rPr>
          <w:rFonts w:ascii="Simplified Arabic" w:eastAsia="Times New Roman" w:hAnsi="Simplified Arabic" w:cs="Simplified Arabic"/>
          <w:color w:val="000000" w:themeColor="text1"/>
          <w:kern w:val="0"/>
          <w:sz w:val="28"/>
          <w:szCs w:val="28"/>
          <w14:ligatures w14:val="none"/>
        </w:rPr>
        <w:t>(</w:t>
      </w:r>
      <w:proofErr w:type="spellStart"/>
      <w:r w:rsidRPr="00FD338A">
        <w:rPr>
          <w:rFonts w:ascii="Simplified Arabic" w:eastAsia="Times New Roman" w:hAnsi="Simplified Arabic" w:cs="Simplified Arabic"/>
          <w:color w:val="000000" w:themeColor="text1"/>
          <w:kern w:val="0"/>
          <w:sz w:val="28"/>
          <w:szCs w:val="28"/>
          <w14:ligatures w14:val="none"/>
        </w:rPr>
        <w:t>Hashemigohar</w:t>
      </w:r>
      <w:proofErr w:type="spellEnd"/>
      <w:r w:rsidRPr="00FD338A">
        <w:rPr>
          <w:rFonts w:ascii="Simplified Arabic" w:eastAsia="Times New Roman" w:hAnsi="Simplified Arabic" w:cs="Simplified Arabic"/>
          <w:color w:val="000000" w:themeColor="text1"/>
          <w:kern w:val="0"/>
          <w:sz w:val="28"/>
          <w:szCs w:val="28"/>
          <w14:ligatures w14:val="none"/>
        </w:rPr>
        <w:t xml:space="preserve"> et al., 2025)</w:t>
      </w:r>
      <w:r w:rsidRPr="00FD338A">
        <w:rPr>
          <w:rFonts w:ascii="Simplified Arabic" w:eastAsia="Times New Roman" w:hAnsi="Simplified Arabic" w:cs="Simplified Arabic"/>
          <w:color w:val="000000" w:themeColor="text1"/>
          <w:kern w:val="0"/>
          <w:sz w:val="28"/>
          <w:szCs w:val="28"/>
          <w:rtl/>
          <w14:ligatures w14:val="none"/>
        </w:rPr>
        <w:t>، و</w:t>
      </w:r>
      <w:r w:rsidRPr="00FD338A">
        <w:rPr>
          <w:rFonts w:ascii="Simplified Arabic" w:eastAsia="Times New Roman" w:hAnsi="Simplified Arabic" w:cs="Simplified Arabic"/>
          <w:color w:val="000000" w:themeColor="text1"/>
          <w:kern w:val="0"/>
          <w:sz w:val="28"/>
          <w:szCs w:val="28"/>
          <w14:ligatures w14:val="none"/>
        </w:rPr>
        <w:t>(Rasul, 2025)</w:t>
      </w:r>
      <w:r w:rsidRPr="00FD338A">
        <w:rPr>
          <w:rFonts w:ascii="Simplified Arabic" w:eastAsia="Times New Roman" w:hAnsi="Simplified Arabic" w:cs="Simplified Arabic"/>
          <w:color w:val="000000" w:themeColor="text1"/>
          <w:kern w:val="0"/>
          <w:sz w:val="28"/>
          <w:szCs w:val="28"/>
          <w:rtl/>
          <w14:ligatures w14:val="none"/>
        </w:rPr>
        <w:t>، و(المحصلابي، ٢٠٢٣)، و</w:t>
      </w:r>
      <w:r w:rsidRPr="00FD338A">
        <w:rPr>
          <w:rFonts w:ascii="Simplified Arabic" w:eastAsia="Times New Roman" w:hAnsi="Simplified Arabic" w:cs="Simplified Arabic"/>
          <w:color w:val="000000" w:themeColor="text1"/>
          <w:kern w:val="0"/>
          <w:sz w:val="28"/>
          <w:szCs w:val="28"/>
          <w14:ligatures w14:val="none"/>
        </w:rPr>
        <w:t>(Ache et al., 2024)</w:t>
      </w:r>
      <w:r w:rsidRPr="00FD338A">
        <w:rPr>
          <w:rFonts w:ascii="Simplified Arabic" w:eastAsia="Times New Roman" w:hAnsi="Simplified Arabic" w:cs="Simplified Arabic"/>
          <w:color w:val="000000" w:themeColor="text1"/>
          <w:kern w:val="0"/>
          <w:sz w:val="28"/>
          <w:szCs w:val="28"/>
          <w:rtl/>
          <w14:ligatures w14:val="none"/>
        </w:rPr>
        <w:t>، و(العساف وعجاج، ٢٠٢٥)، إذ التقت هذه الدراسات في التأكيد على أن ثقة المشترين تتجسد في أربعة محاور رئيسة تُمثّل مجالات تشكّل الثقة وتجلياتها: الثقة في المطوِّر العقاري، والثقة في المشروع ذاته، والثقة في الإطار التنظيمي والرقابي، والثقة في قرار الشراء المستقبلي. وفيما يلي تفصيل هذه الأبعاد</w:t>
      </w:r>
      <w:r w:rsidRPr="00FD338A">
        <w:rPr>
          <w:rFonts w:ascii="Simplified Arabic" w:eastAsia="Times New Roman" w:hAnsi="Simplified Arabic" w:cs="Simplified Arabic"/>
          <w:color w:val="000000" w:themeColor="text1"/>
          <w:kern w:val="0"/>
          <w:sz w:val="28"/>
          <w:szCs w:val="28"/>
          <w14:ligatures w14:val="none"/>
        </w:rPr>
        <w:t>.</w:t>
      </w:r>
    </w:p>
    <w:p w14:paraId="1E6EC497" w14:textId="77777777" w:rsidR="00021997" w:rsidRPr="00FD338A" w:rsidRDefault="00021997"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البُعد الأول: الثقة في المطوِّر العقاري</w:t>
      </w:r>
    </w:p>
    <w:p w14:paraId="1A78A435"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يُشكّل هذا البُعد الحلقة الأولى في منظومة ثقة المشتري، إذ يُوجّه المشتري تقييمه في المقام الأول إلى الطرف الذي سيتعامل معه مباشرة، وهو المطوِّر العقاري. وتتشكل الثقة في المطوِّر من خلال جملة من العناصر التي تُقيَّم تقييمًا شاملًا لتُنتج انطباعًا كليًا يحكم قرار المشتري بالتعامل معه أو الإحجام عن ذلك</w:t>
      </w:r>
      <w:r w:rsidRPr="00FD338A">
        <w:rPr>
          <w:rFonts w:ascii="Simplified Arabic" w:eastAsia="Times New Roman" w:hAnsi="Simplified Arabic" w:cs="Simplified Arabic"/>
          <w:color w:val="000000" w:themeColor="text1"/>
          <w:kern w:val="0"/>
          <w:sz w:val="28"/>
          <w:szCs w:val="28"/>
          <w14:ligatures w14:val="none"/>
        </w:rPr>
        <w:t>.</w:t>
      </w:r>
    </w:p>
    <w:p w14:paraId="21404672"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هذا البُعد ارتباطًا وثيقًا بمفاهيم السمعة والكفاءة والنزاهة المؤسسية. ويُوضّح</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Hashemigohar</w:t>
      </w:r>
      <w:proofErr w:type="spellEnd"/>
      <w:r w:rsidRPr="00FD338A">
        <w:rPr>
          <w:rFonts w:ascii="Simplified Arabic" w:eastAsia="Times New Roman" w:hAnsi="Simplified Arabic" w:cs="Simplified Arabic"/>
          <w:color w:val="000000" w:themeColor="text1"/>
          <w:kern w:val="0"/>
          <w:sz w:val="28"/>
          <w:szCs w:val="28"/>
          <w14:ligatures w14:val="none"/>
        </w:rPr>
        <w:t xml:space="preserve"> et al., 2025) </w:t>
      </w:r>
      <w:r w:rsidRPr="00FD338A">
        <w:rPr>
          <w:rFonts w:ascii="Simplified Arabic" w:eastAsia="Times New Roman" w:hAnsi="Simplified Arabic" w:cs="Simplified Arabic"/>
          <w:color w:val="000000" w:themeColor="text1"/>
          <w:kern w:val="0"/>
          <w:sz w:val="28"/>
          <w:szCs w:val="28"/>
          <w:rtl/>
          <w14:ligatures w14:val="none"/>
        </w:rPr>
        <w:t>أن الثقة في الكيانات المؤسسية تُبنى على تراكم الأدلة المتعلقة بأدائها المالي وسلوكها التنظيمي ومستوى شفافيتها، وأن الرقابة الداخلية الفاعلة تُشكّل عاملًا معدلًا في العلاقة بين الشفافية المالية ومخاطر التعثر، مما يعني أن المطوِّرين الذين يمتلكون منظومات رقابة داخلية قوية يُنتجون ثقة أعلى لدى المشترين</w:t>
      </w:r>
      <w:r w:rsidRPr="00FD338A">
        <w:rPr>
          <w:rFonts w:ascii="Simplified Arabic" w:eastAsia="Times New Roman" w:hAnsi="Simplified Arabic" w:cs="Simplified Arabic"/>
          <w:color w:val="000000" w:themeColor="text1"/>
          <w:kern w:val="0"/>
          <w:sz w:val="28"/>
          <w:szCs w:val="28"/>
          <w14:ligatures w14:val="none"/>
        </w:rPr>
        <w:t>.</w:t>
      </w:r>
    </w:p>
    <w:p w14:paraId="39DB37F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ويُشير (باوزير، ٢٠٢٥) إلى أن كفاءة إدارة الممتلكات ترتبط ارتباطًا وثيقًا بجودة إدارة المخاطر لدى المؤسسات العقارية، وأن المطوِّرين الذين يمتلكون قدرات متقدمة في تحديد المخاطر وتقييمها ومعالجتها يُوفّرون بيئة تعاقدية أكثر أمنًا للمشترين، ويُنتجون بالتالي مستويات أعلى من الثقة. ويُبرز الباحث أن إدارة المخاطر لا تُشكّل مجرد وظيفة داخلية للمطوِّر، بل تنعكس بشكل مباشر على تجربة المشتري وثقته</w:t>
      </w:r>
      <w:r w:rsidRPr="00FD338A">
        <w:rPr>
          <w:rFonts w:ascii="Simplified Arabic" w:eastAsia="Times New Roman" w:hAnsi="Simplified Arabic" w:cs="Simplified Arabic"/>
          <w:color w:val="000000" w:themeColor="text1"/>
          <w:kern w:val="0"/>
          <w:sz w:val="28"/>
          <w:szCs w:val="28"/>
          <w14:ligatures w14:val="none"/>
        </w:rPr>
        <w:t>.</w:t>
      </w:r>
    </w:p>
    <w:p w14:paraId="29FDD8B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كما تتشكل الثقة في المطوِّر من خلال تاريخه المهني وسجلّه في تنفيذ المشروعات السابقة، وقدرته على الالتزام بمواعيد التسليم، ومطابقة الوحدات المسلَّمة للمواصفات المتفق عليها. ويرى</w:t>
      </w:r>
      <w:r w:rsidRPr="00FD338A">
        <w:rPr>
          <w:rFonts w:ascii="Simplified Arabic" w:eastAsia="Times New Roman" w:hAnsi="Simplified Arabic" w:cs="Simplified Arabic"/>
          <w:color w:val="000000" w:themeColor="text1"/>
          <w:kern w:val="0"/>
          <w:sz w:val="28"/>
          <w:szCs w:val="28"/>
          <w14:ligatures w14:val="none"/>
        </w:rPr>
        <w:t xml:space="preserve"> (Bharti et al., 2024) </w:t>
      </w:r>
      <w:r w:rsidRPr="00FD338A">
        <w:rPr>
          <w:rFonts w:ascii="Simplified Arabic" w:eastAsia="Times New Roman" w:hAnsi="Simplified Arabic" w:cs="Simplified Arabic"/>
          <w:color w:val="000000" w:themeColor="text1"/>
          <w:kern w:val="0"/>
          <w:sz w:val="28"/>
          <w:szCs w:val="28"/>
          <w:rtl/>
          <w14:ligatures w14:val="none"/>
        </w:rPr>
        <w:t>أن السجل التاريخي للمطوِّر يُشكّل مؤشرًا استرشاديًا مهمًا للمشترين المحتملين، وأن المطوِّرين الذين يمتلكون سجلات نظيفة من النزاعات القضائية والمشروعات المتعثرة يتمتعون بثقة أعلى من نظرائهم</w:t>
      </w:r>
      <w:r w:rsidRPr="00FD338A">
        <w:rPr>
          <w:rFonts w:ascii="Simplified Arabic" w:eastAsia="Times New Roman" w:hAnsi="Simplified Arabic" w:cs="Simplified Arabic"/>
          <w:color w:val="000000" w:themeColor="text1"/>
          <w:kern w:val="0"/>
          <w:sz w:val="28"/>
          <w:szCs w:val="28"/>
          <w14:ligatures w14:val="none"/>
        </w:rPr>
        <w:t>.</w:t>
      </w:r>
    </w:p>
    <w:p w14:paraId="0A6EC45D"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بالثقة في المطوِّر بُعد الثقة في نزاهته وحسن نيته في التعامل. ويُشير (حسن، ٢٠٢٥) إلى أن الممارسات التسويقية المضللة تُشكّل أحد أخطر التهديدات لثقة المشترين، إذ إن اكتشاف المشتري لأي مبالغة أو تضليل في الإعلانات العقارية يُحدث ضررًا بالغًا بثقته في المطوِّر يصعب إصلاحه لاحقًا. ويرى الباحث أن نزاهة الرسائل التسويقية تُشكّل مؤشرًا مبكرًا على النزاهة المؤسسية الشاملة للمطوِّر</w:t>
      </w:r>
      <w:r w:rsidRPr="00FD338A">
        <w:rPr>
          <w:rFonts w:ascii="Simplified Arabic" w:eastAsia="Times New Roman" w:hAnsi="Simplified Arabic" w:cs="Simplified Arabic"/>
          <w:color w:val="000000" w:themeColor="text1"/>
          <w:kern w:val="0"/>
          <w:sz w:val="28"/>
          <w:szCs w:val="28"/>
          <w14:ligatures w14:val="none"/>
        </w:rPr>
        <w:t>.</w:t>
      </w:r>
    </w:p>
    <w:p w14:paraId="566FD0E4" w14:textId="77777777" w:rsidR="00021997" w:rsidRPr="00FD338A" w:rsidRDefault="00021997"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البُعد الثاني: الثقة في المشروع ذاته</w:t>
      </w:r>
    </w:p>
    <w:p w14:paraId="1AADA202"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يُمثّل المشروع بحد ذاته موضوعًا مستقلًا للثقة، بمعزل نسبي عن الثقة في المطوِّر، إذ قد يثق المشتري في المطوِّر بوجه عام لكنه قد يتشكك في جدوى مشروع </w:t>
      </w:r>
      <w:proofErr w:type="gramStart"/>
      <w:r w:rsidRPr="00FD338A">
        <w:rPr>
          <w:rFonts w:ascii="Simplified Arabic" w:eastAsia="Times New Roman" w:hAnsi="Simplified Arabic" w:cs="Simplified Arabic"/>
          <w:color w:val="000000" w:themeColor="text1"/>
          <w:kern w:val="0"/>
          <w:sz w:val="28"/>
          <w:szCs w:val="28"/>
          <w:rtl/>
          <w14:ligatures w14:val="none"/>
        </w:rPr>
        <w:t>بعينه</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أو سلامته الفنية أو ملاءمة موقعه أو معقولية أسعاره. ومن ثم فإن الثقة في المشروع تُشكّل بُعدًا مستقلًا يستوجب التحليل</w:t>
      </w:r>
      <w:r w:rsidRPr="00FD338A">
        <w:rPr>
          <w:rFonts w:ascii="Simplified Arabic" w:eastAsia="Times New Roman" w:hAnsi="Simplified Arabic" w:cs="Simplified Arabic"/>
          <w:color w:val="000000" w:themeColor="text1"/>
          <w:kern w:val="0"/>
          <w:sz w:val="28"/>
          <w:szCs w:val="28"/>
          <w14:ligatures w14:val="none"/>
        </w:rPr>
        <w:t>.</w:t>
      </w:r>
    </w:p>
    <w:p w14:paraId="122CDEC7"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وتتشكل الثقة في المشروع من خلال جملة من العناصر التقنية والاقتصادية، تشمل: جودة التصميم الهندسي، وموقع المشروع ومدى ملاءمته، ومعقولية الأسعار قياسًا بالسوق، وواقعية الجدول الزمني للتنفيذ، ومطابقة المشروع للتراخيص والاشتراطات النظامية. ويرى</w:t>
      </w:r>
      <w:r w:rsidRPr="00FD338A">
        <w:rPr>
          <w:rFonts w:ascii="Simplified Arabic" w:eastAsia="Times New Roman" w:hAnsi="Simplified Arabic" w:cs="Simplified Arabic"/>
          <w:color w:val="000000" w:themeColor="text1"/>
          <w:kern w:val="0"/>
          <w:sz w:val="28"/>
          <w:szCs w:val="28"/>
          <w14:ligatures w14:val="none"/>
        </w:rPr>
        <w:t xml:space="preserve"> (</w:t>
      </w:r>
      <w:proofErr w:type="spellStart"/>
      <w:r w:rsidRPr="00FD338A">
        <w:rPr>
          <w:rFonts w:ascii="Simplified Arabic" w:eastAsia="Times New Roman" w:hAnsi="Simplified Arabic" w:cs="Simplified Arabic"/>
          <w:color w:val="000000" w:themeColor="text1"/>
          <w:kern w:val="0"/>
          <w:sz w:val="28"/>
          <w:szCs w:val="28"/>
          <w14:ligatures w14:val="none"/>
        </w:rPr>
        <w:t>Alqahtany</w:t>
      </w:r>
      <w:proofErr w:type="spellEnd"/>
      <w:r w:rsidRPr="00FD338A">
        <w:rPr>
          <w:rFonts w:ascii="Simplified Arabic" w:eastAsia="Times New Roman" w:hAnsi="Simplified Arabic" w:cs="Simplified Arabic"/>
          <w:color w:val="000000" w:themeColor="text1"/>
          <w:kern w:val="0"/>
          <w:sz w:val="28"/>
          <w:szCs w:val="28"/>
          <w14:ligatures w14:val="none"/>
        </w:rPr>
        <w:t xml:space="preserve"> et al., 2023) </w:t>
      </w:r>
      <w:r w:rsidRPr="00FD338A">
        <w:rPr>
          <w:rFonts w:ascii="Simplified Arabic" w:eastAsia="Times New Roman" w:hAnsi="Simplified Arabic" w:cs="Simplified Arabic"/>
          <w:color w:val="000000" w:themeColor="text1"/>
          <w:kern w:val="0"/>
          <w:sz w:val="28"/>
          <w:szCs w:val="28"/>
          <w:rtl/>
          <w14:ligatures w14:val="none"/>
        </w:rPr>
        <w:t>أن جودة المشروعات وسلامتها الفنية تُشكّل ركيزة أساسية في بناء ثقة المشترين، وأن اعتماد معايير موحدة لتقييم المشروعات يُسهم في تقليص التباين ورفع مستوى الثقة العامة في السوق</w:t>
      </w:r>
      <w:r w:rsidRPr="00FD338A">
        <w:rPr>
          <w:rFonts w:ascii="Simplified Arabic" w:eastAsia="Times New Roman" w:hAnsi="Simplified Arabic" w:cs="Simplified Arabic"/>
          <w:color w:val="000000" w:themeColor="text1"/>
          <w:kern w:val="0"/>
          <w:sz w:val="28"/>
          <w:szCs w:val="28"/>
          <w14:ligatures w14:val="none"/>
        </w:rPr>
        <w:t>.</w:t>
      </w:r>
    </w:p>
    <w:p w14:paraId="5E6B26AC"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بهذا البُعد الثقة في استمرارية المشروع وإنجازه في الأجل المحدد، وهي ثقة تتشكل من خلال تقييم المشتري لعوامل عدة، منها: مصادر التمويل المتاحة للمشروع، ومدى استقلاليته المالية، وحجم المخاطر التي قد تُعرّضه للتعثر. ويُشير</w:t>
      </w:r>
      <w:r w:rsidRPr="00FD338A">
        <w:rPr>
          <w:rFonts w:ascii="Simplified Arabic" w:eastAsia="Times New Roman" w:hAnsi="Simplified Arabic" w:cs="Simplified Arabic"/>
          <w:color w:val="000000" w:themeColor="text1"/>
          <w:kern w:val="0"/>
          <w:sz w:val="28"/>
          <w:szCs w:val="28"/>
          <w14:ligatures w14:val="none"/>
        </w:rPr>
        <w:t xml:space="preserve"> (Huang et al., 2025) </w:t>
      </w:r>
      <w:r w:rsidRPr="00FD338A">
        <w:rPr>
          <w:rFonts w:ascii="Simplified Arabic" w:eastAsia="Times New Roman" w:hAnsi="Simplified Arabic" w:cs="Simplified Arabic"/>
          <w:color w:val="000000" w:themeColor="text1"/>
          <w:kern w:val="0"/>
          <w:sz w:val="28"/>
          <w:szCs w:val="28"/>
          <w:rtl/>
          <w14:ligatures w14:val="none"/>
        </w:rPr>
        <w:t xml:space="preserve">إلى أن نظم البيع المسبق تُنتج </w:t>
      </w:r>
      <w:proofErr w:type="gramStart"/>
      <w:r w:rsidRPr="00FD338A">
        <w:rPr>
          <w:rFonts w:ascii="Simplified Arabic" w:eastAsia="Times New Roman" w:hAnsi="Simplified Arabic" w:cs="Simplified Arabic"/>
          <w:color w:val="000000" w:themeColor="text1"/>
          <w:kern w:val="0"/>
          <w:sz w:val="28"/>
          <w:szCs w:val="28"/>
          <w:rtl/>
          <w14:ligatures w14:val="none"/>
        </w:rPr>
        <w:t>مخاطر</w:t>
      </w:r>
      <w:proofErr w:type="gramEnd"/>
      <w:r w:rsidRPr="00FD338A">
        <w:rPr>
          <w:rFonts w:ascii="Simplified Arabic" w:eastAsia="Times New Roman" w:hAnsi="Simplified Arabic" w:cs="Simplified Arabic"/>
          <w:color w:val="000000" w:themeColor="text1"/>
          <w:kern w:val="0"/>
          <w:sz w:val="28"/>
          <w:szCs w:val="28"/>
          <w:rtl/>
          <w14:ligatures w14:val="none"/>
        </w:rPr>
        <w:t xml:space="preserve"> </w:t>
      </w:r>
      <w:r w:rsidRPr="00FD338A">
        <w:rPr>
          <w:rFonts w:ascii="Simplified Arabic" w:eastAsia="Times New Roman" w:hAnsi="Simplified Arabic" w:cs="Simplified Arabic"/>
          <w:color w:val="000000" w:themeColor="text1"/>
          <w:kern w:val="0"/>
          <w:sz w:val="28"/>
          <w:szCs w:val="28"/>
          <w:rtl/>
          <w14:ligatures w14:val="none"/>
        </w:rPr>
        <w:lastRenderedPageBreak/>
        <w:t>تعثر خاصة تستوجب أدوات تنظيمية متخصصة، وأن ثقة المشترين في استمرارية المشروع ترتبط ارتباطًا وثيقًا بجودة هذه الأدوات وفاعليتها في تخفيف المخاطر</w:t>
      </w:r>
      <w:r w:rsidRPr="00FD338A">
        <w:rPr>
          <w:rFonts w:ascii="Simplified Arabic" w:eastAsia="Times New Roman" w:hAnsi="Simplified Arabic" w:cs="Simplified Arabic"/>
          <w:color w:val="000000" w:themeColor="text1"/>
          <w:kern w:val="0"/>
          <w:sz w:val="28"/>
          <w:szCs w:val="28"/>
          <w14:ligatures w14:val="none"/>
        </w:rPr>
        <w:t>.</w:t>
      </w:r>
    </w:p>
    <w:p w14:paraId="4FB77F08"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ويشمل هذا البُعد أيضًا الثقة في مطابقة الوحدة المسلَّمة للمواصفات المتفق عليها. ويرى (لقم والشثري، ٢٠٢٤) أن جوهر عقد البيع على الخارطة يقوم على وصف الوحدة في الذمة، وأن تحقق التطابق بين الوصف والواقع عند التسليم يُشكّل اختبارًا حاسمًا لثقة المشتري في المطوِّر والمشروع معًا. ويُضيف الباحثان أن أي انحراف عن المواصفات، حتى لو كان جزئيًا، قد يُلحق ضررًا كبيرًا بثقة المشتري ويُفضي إلى نزاعات يصعب تسويتها وديًا</w:t>
      </w:r>
      <w:r w:rsidRPr="00FD338A">
        <w:rPr>
          <w:rFonts w:ascii="Simplified Arabic" w:eastAsia="Times New Roman" w:hAnsi="Simplified Arabic" w:cs="Simplified Arabic"/>
          <w:color w:val="000000" w:themeColor="text1"/>
          <w:kern w:val="0"/>
          <w:sz w:val="28"/>
          <w:szCs w:val="28"/>
          <w14:ligatures w14:val="none"/>
        </w:rPr>
        <w:t>.</w:t>
      </w:r>
    </w:p>
    <w:p w14:paraId="4D913AFC"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بالثقة في المشروع بُعد الثقة في القيمة الاستثمارية للوحدة، إذ لا ينظر المشتري إلى الوحدة بوصفها سكنًا فحسب، بل بوصفها استثمارًا يتوقع أن يحقق عوائد ماليًا ملموسة على المدى المتوسط والطويل. ويُشير</w:t>
      </w:r>
      <w:r w:rsidRPr="00FD338A">
        <w:rPr>
          <w:rFonts w:ascii="Simplified Arabic" w:eastAsia="Times New Roman" w:hAnsi="Simplified Arabic" w:cs="Simplified Arabic"/>
          <w:color w:val="000000" w:themeColor="text1"/>
          <w:kern w:val="0"/>
          <w:sz w:val="28"/>
          <w:szCs w:val="28"/>
          <w14:ligatures w14:val="none"/>
        </w:rPr>
        <w:t xml:space="preserve"> (Katwa &amp; </w:t>
      </w:r>
      <w:proofErr w:type="spellStart"/>
      <w:r w:rsidRPr="00FD338A">
        <w:rPr>
          <w:rFonts w:ascii="Simplified Arabic" w:eastAsia="Times New Roman" w:hAnsi="Simplified Arabic" w:cs="Simplified Arabic"/>
          <w:color w:val="000000" w:themeColor="text1"/>
          <w:kern w:val="0"/>
          <w:sz w:val="28"/>
          <w:szCs w:val="28"/>
          <w14:ligatures w14:val="none"/>
        </w:rPr>
        <w:t>Obala</w:t>
      </w:r>
      <w:proofErr w:type="spellEnd"/>
      <w:r w:rsidRPr="00FD338A">
        <w:rPr>
          <w:rFonts w:ascii="Simplified Arabic" w:eastAsia="Times New Roman" w:hAnsi="Simplified Arabic" w:cs="Simplified Arabic"/>
          <w:color w:val="000000" w:themeColor="text1"/>
          <w:kern w:val="0"/>
          <w:sz w:val="28"/>
          <w:szCs w:val="28"/>
          <w14:ligatures w14:val="none"/>
        </w:rPr>
        <w:t xml:space="preserve">, 2023) </w:t>
      </w:r>
      <w:r w:rsidRPr="00FD338A">
        <w:rPr>
          <w:rFonts w:ascii="Simplified Arabic" w:eastAsia="Times New Roman" w:hAnsi="Simplified Arabic" w:cs="Simplified Arabic"/>
          <w:color w:val="000000" w:themeColor="text1"/>
          <w:kern w:val="0"/>
          <w:sz w:val="28"/>
          <w:szCs w:val="28"/>
          <w:rtl/>
          <w14:ligatures w14:val="none"/>
        </w:rPr>
        <w:t>إلى أن البيع على الخارطة يُقدّم فرصًا استثمارية للمشترين المبكرين نظرًا لأسعاره التنافسية في مراحله الأولى، وأن الثقة في القيمة الاستثمارية للمشروع تُشكّل عاملًا محفزًا رئيسًا للشراء</w:t>
      </w:r>
      <w:r w:rsidRPr="00FD338A">
        <w:rPr>
          <w:rFonts w:ascii="Simplified Arabic" w:eastAsia="Times New Roman" w:hAnsi="Simplified Arabic" w:cs="Simplified Arabic"/>
          <w:color w:val="000000" w:themeColor="text1"/>
          <w:kern w:val="0"/>
          <w:sz w:val="28"/>
          <w:szCs w:val="28"/>
          <w14:ligatures w14:val="none"/>
        </w:rPr>
        <w:t>.</w:t>
      </w:r>
    </w:p>
    <w:p w14:paraId="5790B0A9" w14:textId="77777777" w:rsidR="00021997" w:rsidRPr="00FD338A" w:rsidRDefault="00021997"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البُعد الثالث: الثقة في الإطار التنظيمي والرقابي القائم</w:t>
      </w:r>
    </w:p>
    <w:p w14:paraId="64D6187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يُشكّل هذا البُعد الحاضنة المؤسسية للثقة، إذ إن ثقة المشتري في المطوِّر والمشروع لا تكتمل دون ثقة موازية في الإطار التنظيمي والرقابي الذي يحكم المعاملة برمّتها. وتتشكل هذه الثقة من خلال قناعة المشتري بأن التشريع كفيل بحماية حقوقه، وأن الجهات الرقابية فاعلة في تطبيق النصوص، وأن آليات المعالجة والتعويض متاحة وفعّالة عند الإخلال</w:t>
      </w:r>
      <w:r w:rsidRPr="00FD338A">
        <w:rPr>
          <w:rFonts w:ascii="Simplified Arabic" w:eastAsia="Times New Roman" w:hAnsi="Simplified Arabic" w:cs="Simplified Arabic"/>
          <w:color w:val="000000" w:themeColor="text1"/>
          <w:kern w:val="0"/>
          <w:sz w:val="28"/>
          <w:szCs w:val="28"/>
          <w14:ligatures w14:val="none"/>
        </w:rPr>
        <w:t>.</w:t>
      </w:r>
    </w:p>
    <w:p w14:paraId="047460C0"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ويُبرز (الغامدي، ٢٠٢٤) أن حماية حقوق المشتري في البيع على الخارطة تستوجب منظومة تشريعية متكاملة تُوفّر ضمانات على مختلف المستويات، وأن ثقة المشتري في هذه المنظومة ترتبط بشموليتها ووضوح نصوصها وفاعلية تطبيقها. ويُوضّح الباحث أن الفجوات التشريعية أو ضعف التطبيق يُنتجان مباشرة تراجعًا في ثقة المشترين ينعكس على نشاط السوق</w:t>
      </w:r>
      <w:r w:rsidRPr="00FD338A">
        <w:rPr>
          <w:rFonts w:ascii="Simplified Arabic" w:eastAsia="Times New Roman" w:hAnsi="Simplified Arabic" w:cs="Simplified Arabic"/>
          <w:color w:val="000000" w:themeColor="text1"/>
          <w:kern w:val="0"/>
          <w:sz w:val="28"/>
          <w:szCs w:val="28"/>
          <w14:ligatures w14:val="none"/>
        </w:rPr>
        <w:t>.</w:t>
      </w:r>
    </w:p>
    <w:p w14:paraId="7FB053FA"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 xml:space="preserve">ويرى (المطيري، ٢٠٢٥) أن الثقة في الإطار التنظيمي تتشكل من خلال تقييم المشتري لعناصر عدة، تشمل: وضوح النصوص القانونية وشموليتها، وفاعلية الجهات المشرفة على تنفيذ التشريع، وسرعة الإجراءات وتيسير الوصول إلى العدالة، وقوة الجزاءات المفروضة على المخالفين. ويُضيف الباحث أن </w:t>
      </w:r>
      <w:r w:rsidRPr="00FD338A">
        <w:rPr>
          <w:rFonts w:ascii="Simplified Arabic" w:eastAsia="Times New Roman" w:hAnsi="Simplified Arabic" w:cs="Simplified Arabic"/>
          <w:color w:val="000000" w:themeColor="text1"/>
          <w:kern w:val="0"/>
          <w:sz w:val="28"/>
          <w:szCs w:val="28"/>
          <w:rtl/>
          <w14:ligatures w14:val="none"/>
        </w:rPr>
        <w:lastRenderedPageBreak/>
        <w:t>هذه الثقة تُشكّل عنصرًا حاسمًا في قرار المشتري، إذ إن التشريع الجيد على الورق لا يكفي إن لم يقترن بتطبيق فعال</w:t>
      </w:r>
      <w:r w:rsidRPr="00FD338A">
        <w:rPr>
          <w:rFonts w:ascii="Simplified Arabic" w:eastAsia="Times New Roman" w:hAnsi="Simplified Arabic" w:cs="Simplified Arabic"/>
          <w:color w:val="000000" w:themeColor="text1"/>
          <w:kern w:val="0"/>
          <w:sz w:val="28"/>
          <w:szCs w:val="28"/>
          <w14:ligatures w14:val="none"/>
        </w:rPr>
        <w:t>.</w:t>
      </w:r>
    </w:p>
    <w:p w14:paraId="2A92A0CC"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ويشمل هذا البُعد الثقة في آليات حماية الأموال المدفوعة، ولا سيما نظام حساب الضمان. وتُشير (الصندل، ٢٠٢١) إلى أن التزامات أطراف حساب الضمان تُشكّل شبكة أمان متكاملة لأموال المشترين، وأن ثقة المشتري في هذا النظام ترتبط بمدى وضوح هذه الالتزامات وفاعلية تطبيقها. وتُبرز الباحثة أن الغموض في تحديد التزامات البنك المؤتمن أو المطوِّر قد يُفرغ الحماية من مضمونها ويُضعف ثقة المشترين</w:t>
      </w:r>
      <w:r w:rsidRPr="00FD338A">
        <w:rPr>
          <w:rFonts w:ascii="Simplified Arabic" w:eastAsia="Times New Roman" w:hAnsi="Simplified Arabic" w:cs="Simplified Arabic"/>
          <w:color w:val="000000" w:themeColor="text1"/>
          <w:kern w:val="0"/>
          <w:sz w:val="28"/>
          <w:szCs w:val="28"/>
          <w14:ligatures w14:val="none"/>
        </w:rPr>
        <w:t>.</w:t>
      </w:r>
    </w:p>
    <w:p w14:paraId="562F791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بالثقة في الإطار التنظيمي الثقة في وجود ضمانات كافية لحماية المشتري في مختلف مراحل التعاقد. ويرى (العساف وعجاج، ٢٠٢٥) أن الضمانات المقررة للمشتري في عقد البيع على الوحدات العقارية على الخارطة تتوزع على مستويات ثلاثة (وقائية ورقابية وعلاجية)، وأن ثقة المشتري تتحقق حين يستشعر تكامل هذه المستويات وترابطها، وحين يُدرك أن الإطار التنظيمي لا يترك ثغرة يمكن أن يُستغل من خلالها</w:t>
      </w:r>
      <w:r w:rsidRPr="00FD338A">
        <w:rPr>
          <w:rFonts w:ascii="Simplified Arabic" w:eastAsia="Times New Roman" w:hAnsi="Simplified Arabic" w:cs="Simplified Arabic"/>
          <w:color w:val="000000" w:themeColor="text1"/>
          <w:kern w:val="0"/>
          <w:sz w:val="28"/>
          <w:szCs w:val="28"/>
          <w14:ligatures w14:val="none"/>
        </w:rPr>
        <w:t>.</w:t>
      </w:r>
    </w:p>
    <w:p w14:paraId="76445B89"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ويمتد هذا البُعد ليشمل الثقة في آليات معالجة النزاعات وتسويتها. ويُشير</w:t>
      </w:r>
      <w:r w:rsidRPr="00FD338A">
        <w:rPr>
          <w:rFonts w:ascii="Simplified Arabic" w:eastAsia="Times New Roman" w:hAnsi="Simplified Arabic" w:cs="Simplified Arabic"/>
          <w:color w:val="000000" w:themeColor="text1"/>
          <w:kern w:val="0"/>
          <w:sz w:val="28"/>
          <w:szCs w:val="28"/>
          <w14:ligatures w14:val="none"/>
        </w:rPr>
        <w:t xml:space="preserve"> (Bharti et al., 2024) </w:t>
      </w:r>
      <w:r w:rsidRPr="00FD338A">
        <w:rPr>
          <w:rFonts w:ascii="Simplified Arabic" w:eastAsia="Times New Roman" w:hAnsi="Simplified Arabic" w:cs="Simplified Arabic"/>
          <w:color w:val="000000" w:themeColor="text1"/>
          <w:kern w:val="0"/>
          <w:sz w:val="28"/>
          <w:szCs w:val="28"/>
          <w:rtl/>
          <w14:ligatures w14:val="none"/>
        </w:rPr>
        <w:t>إلى أن ثقة المتعاملين في السوق العقاري ترتبط ارتباطًا وثيقًا بفاعلية آليات تسوية النزاعات، وأن توفر آليات سريعة ومتخصصة ومنخفضة التكلفة يُشكّل ضمانة للثقة، بينما يُنتج طول الإجراءات القضائية وارتفاع تكاليفها تراجعًا ملموسًا في ثقة المشترين</w:t>
      </w:r>
      <w:r w:rsidRPr="00FD338A">
        <w:rPr>
          <w:rFonts w:ascii="Simplified Arabic" w:eastAsia="Times New Roman" w:hAnsi="Simplified Arabic" w:cs="Simplified Arabic"/>
          <w:color w:val="000000" w:themeColor="text1"/>
          <w:kern w:val="0"/>
          <w:sz w:val="28"/>
          <w:szCs w:val="28"/>
          <w14:ligatures w14:val="none"/>
        </w:rPr>
        <w:t>.</w:t>
      </w:r>
    </w:p>
    <w:p w14:paraId="37789938" w14:textId="77777777" w:rsidR="00021997" w:rsidRPr="00FD338A" w:rsidRDefault="00021997" w:rsidP="00096BB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D338A">
        <w:rPr>
          <w:rFonts w:ascii="Simplified Arabic" w:eastAsia="Times New Roman" w:hAnsi="Simplified Arabic" w:cs="Simplified Arabic"/>
          <w:b/>
          <w:bCs/>
          <w:color w:val="000000" w:themeColor="text1"/>
          <w:kern w:val="0"/>
          <w:sz w:val="28"/>
          <w:szCs w:val="28"/>
          <w:rtl/>
          <w14:ligatures w14:val="none"/>
        </w:rPr>
        <w:t>البُعد الرابع: الثقة في قرار الشراء المستقبلي</w:t>
      </w:r>
    </w:p>
    <w:p w14:paraId="289ADC53"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يُمثّل هذا البُعد التجلي السلوكي للثقة، إذ ينعكس مجمل عناصر الثقة في نية المشتري بشأن التعامل مستقبلًا مع المطوِّر ذاته أو مع السوق بوجه عام. وتتضمن هذه الثقة القناعة بصواب قرار الشراء الحالي، والاستعداد للتعامل مع المطوِّر ذاته في مشروعات لاحقة، والاستعداد لترشيح المطوِّر لآخرين، والنية العامة للاستمرار في الاستثمار في السوق العقاري</w:t>
      </w:r>
      <w:r w:rsidRPr="00FD338A">
        <w:rPr>
          <w:rFonts w:ascii="Simplified Arabic" w:eastAsia="Times New Roman" w:hAnsi="Simplified Arabic" w:cs="Simplified Arabic"/>
          <w:color w:val="000000" w:themeColor="text1"/>
          <w:kern w:val="0"/>
          <w:sz w:val="28"/>
          <w:szCs w:val="28"/>
          <w14:ligatures w14:val="none"/>
        </w:rPr>
        <w:t>.</w:t>
      </w:r>
    </w:p>
    <w:p w14:paraId="580333F8"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ويُشير</w:t>
      </w:r>
      <w:r w:rsidRPr="00FD338A">
        <w:rPr>
          <w:rFonts w:ascii="Simplified Arabic" w:eastAsia="Times New Roman" w:hAnsi="Simplified Arabic" w:cs="Simplified Arabic"/>
          <w:color w:val="000000" w:themeColor="text1"/>
          <w:kern w:val="0"/>
          <w:sz w:val="28"/>
          <w:szCs w:val="28"/>
          <w14:ligatures w14:val="none"/>
        </w:rPr>
        <w:t xml:space="preserve"> (Reddy &amp; </w:t>
      </w:r>
      <w:proofErr w:type="spellStart"/>
      <w:r w:rsidRPr="00FD338A">
        <w:rPr>
          <w:rFonts w:ascii="Simplified Arabic" w:eastAsia="Times New Roman" w:hAnsi="Simplified Arabic" w:cs="Simplified Arabic"/>
          <w:color w:val="000000" w:themeColor="text1"/>
          <w:kern w:val="0"/>
          <w:sz w:val="28"/>
          <w:szCs w:val="28"/>
          <w14:ligatures w14:val="none"/>
        </w:rPr>
        <w:t>Thanigan</w:t>
      </w:r>
      <w:proofErr w:type="spellEnd"/>
      <w:r w:rsidRPr="00FD338A">
        <w:rPr>
          <w:rFonts w:ascii="Simplified Arabic" w:eastAsia="Times New Roman" w:hAnsi="Simplified Arabic" w:cs="Simplified Arabic"/>
          <w:color w:val="000000" w:themeColor="text1"/>
          <w:kern w:val="0"/>
          <w:sz w:val="28"/>
          <w:szCs w:val="28"/>
          <w14:ligatures w14:val="none"/>
        </w:rPr>
        <w:t xml:space="preserve">, 2023) </w:t>
      </w:r>
      <w:r w:rsidRPr="00FD338A">
        <w:rPr>
          <w:rFonts w:ascii="Simplified Arabic" w:eastAsia="Times New Roman" w:hAnsi="Simplified Arabic" w:cs="Simplified Arabic"/>
          <w:color w:val="000000" w:themeColor="text1"/>
          <w:kern w:val="0"/>
          <w:sz w:val="28"/>
          <w:szCs w:val="28"/>
          <w:rtl/>
          <w14:ligatures w14:val="none"/>
        </w:rPr>
        <w:t>إلى أن نية الشراء ورضا المشتري وتخفيف المخاطر تُشكّل نتائج مترابطة للثقة المتشكلة لدى المشتري، وأن هذه النتائج تنعكس في سلوك المشتري المستقبلي وتُشكّل مؤشرات مهمة لتقييم فاعلية عملية البيع. ويُوضّح الباحثان أن الثقة تُنتج دورة إيجابية من الرضا والولاء والترشيح تُعزّز موقع المطوِّر في السوق وتُوسّع قاعدة عملائه</w:t>
      </w:r>
      <w:r w:rsidRPr="00FD338A">
        <w:rPr>
          <w:rFonts w:ascii="Simplified Arabic" w:eastAsia="Times New Roman" w:hAnsi="Simplified Arabic" w:cs="Simplified Arabic"/>
          <w:color w:val="000000" w:themeColor="text1"/>
          <w:kern w:val="0"/>
          <w:sz w:val="28"/>
          <w:szCs w:val="28"/>
          <w14:ligatures w14:val="none"/>
        </w:rPr>
        <w:t>.</w:t>
      </w:r>
    </w:p>
    <w:p w14:paraId="0DED867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lastRenderedPageBreak/>
        <w:t>ويرى</w:t>
      </w:r>
      <w:r w:rsidRPr="00FD338A">
        <w:rPr>
          <w:rFonts w:ascii="Simplified Arabic" w:eastAsia="Times New Roman" w:hAnsi="Simplified Arabic" w:cs="Simplified Arabic"/>
          <w:color w:val="000000" w:themeColor="text1"/>
          <w:kern w:val="0"/>
          <w:sz w:val="28"/>
          <w:szCs w:val="28"/>
          <w14:ligatures w14:val="none"/>
        </w:rPr>
        <w:t xml:space="preserve"> (Thakor &amp; Merton, 2023) </w:t>
      </w:r>
      <w:r w:rsidRPr="00FD338A">
        <w:rPr>
          <w:rFonts w:ascii="Simplified Arabic" w:eastAsia="Times New Roman" w:hAnsi="Simplified Arabic" w:cs="Simplified Arabic"/>
          <w:color w:val="000000" w:themeColor="text1"/>
          <w:kern w:val="0"/>
          <w:sz w:val="28"/>
          <w:szCs w:val="28"/>
          <w:rtl/>
          <w14:ligatures w14:val="none"/>
        </w:rPr>
        <w:t>أن الثقة تُنتج آثارًا سلوكية ممتدة تتجاوز المعاملة الفردية لتشمل استعداد المشتري للتعامل مع أطراف أخرى في السوق، ولقبول منتجات وخدمات أكثر تعقيدًا، ولاستثمار جهد أقل في البحث والتحقق قبل اتخاذ القرار. ويُشكّل هذا الأثر التراكمي للثقة رأس مال اجتماعيًا يُعزّز كفاءة السوق ويُقلّص تكاليف المعاملات فيه</w:t>
      </w:r>
      <w:r w:rsidRPr="00FD338A">
        <w:rPr>
          <w:rFonts w:ascii="Simplified Arabic" w:eastAsia="Times New Roman" w:hAnsi="Simplified Arabic" w:cs="Simplified Arabic"/>
          <w:color w:val="000000" w:themeColor="text1"/>
          <w:kern w:val="0"/>
          <w:sz w:val="28"/>
          <w:szCs w:val="28"/>
          <w14:ligatures w14:val="none"/>
        </w:rPr>
        <w:t>.</w:t>
      </w:r>
    </w:p>
    <w:p w14:paraId="6C4B4C41"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ويشمل هذا البُعد الاستعداد للترشيح والتوصية، إذ إن المشتري الذي يمتلك ثقة راسخة يُصبح داعمًا نشطًا للمطوِّر من خلال ترشيحه للآخرين ومشاركة تجربته الإيجابية. ويرى</w:t>
      </w:r>
      <w:r w:rsidRPr="00FD338A">
        <w:rPr>
          <w:rFonts w:ascii="Simplified Arabic" w:eastAsia="Times New Roman" w:hAnsi="Simplified Arabic" w:cs="Simplified Arabic"/>
          <w:color w:val="000000" w:themeColor="text1"/>
          <w:kern w:val="0"/>
          <w:sz w:val="28"/>
          <w:szCs w:val="28"/>
          <w14:ligatures w14:val="none"/>
        </w:rPr>
        <w:t xml:space="preserve"> (Medved, 2025) </w:t>
      </w:r>
      <w:r w:rsidRPr="00FD338A">
        <w:rPr>
          <w:rFonts w:ascii="Simplified Arabic" w:eastAsia="Times New Roman" w:hAnsi="Simplified Arabic" w:cs="Simplified Arabic"/>
          <w:color w:val="000000" w:themeColor="text1"/>
          <w:kern w:val="0"/>
          <w:sz w:val="28"/>
          <w:szCs w:val="28"/>
          <w:rtl/>
          <w14:ligatures w14:val="none"/>
        </w:rPr>
        <w:t>أن الثقة تُنتج بيئة داعمة للاستدامة المالية للمؤسسات، إذ يُشكّل العملاء الحاليون قناة تسويقية فاعلة تُقلّل الحاجة إلى الاستثمار المكثف في التسويق الخارجي، وتُتيح بناء قاعدة عملاء متنامية بشكل عضوي</w:t>
      </w:r>
      <w:r w:rsidRPr="00FD338A">
        <w:rPr>
          <w:rFonts w:ascii="Simplified Arabic" w:eastAsia="Times New Roman" w:hAnsi="Simplified Arabic" w:cs="Simplified Arabic"/>
          <w:color w:val="000000" w:themeColor="text1"/>
          <w:kern w:val="0"/>
          <w:sz w:val="28"/>
          <w:szCs w:val="28"/>
          <w14:ligatures w14:val="none"/>
        </w:rPr>
        <w:t>.</w:t>
      </w:r>
    </w:p>
    <w:p w14:paraId="1FB94417" w14:textId="77777777" w:rsidR="00021997" w:rsidRPr="00FD338A" w:rsidRDefault="00021997" w:rsidP="00BA705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D338A">
        <w:rPr>
          <w:rFonts w:ascii="Simplified Arabic" w:eastAsia="Times New Roman" w:hAnsi="Simplified Arabic" w:cs="Simplified Arabic"/>
          <w:color w:val="000000" w:themeColor="text1"/>
          <w:kern w:val="0"/>
          <w:sz w:val="28"/>
          <w:szCs w:val="28"/>
          <w:rtl/>
          <w14:ligatures w14:val="none"/>
        </w:rPr>
        <w:t>ويرتبط بهذا البُعد الاستعداد للاستثمار المستقبلي في مشروعات المطوِّر ذاته، وهو مؤشر بالغ الأهمية على عمق الثقة المتشكلة. ويُشير</w:t>
      </w:r>
      <w:r w:rsidRPr="00FD338A">
        <w:rPr>
          <w:rFonts w:ascii="Simplified Arabic" w:eastAsia="Times New Roman" w:hAnsi="Simplified Arabic" w:cs="Simplified Arabic"/>
          <w:color w:val="000000" w:themeColor="text1"/>
          <w:kern w:val="0"/>
          <w:sz w:val="28"/>
          <w:szCs w:val="28"/>
          <w14:ligatures w14:val="none"/>
        </w:rPr>
        <w:t xml:space="preserve"> (Ondari &amp; Muturi, 2023) </w:t>
      </w:r>
      <w:r w:rsidRPr="00FD338A">
        <w:rPr>
          <w:rFonts w:ascii="Simplified Arabic" w:eastAsia="Times New Roman" w:hAnsi="Simplified Arabic" w:cs="Simplified Arabic"/>
          <w:color w:val="000000" w:themeColor="text1"/>
          <w:kern w:val="0"/>
          <w:sz w:val="28"/>
          <w:szCs w:val="28"/>
          <w:rtl/>
          <w14:ligatures w14:val="none"/>
        </w:rPr>
        <w:t>إلى أن نجاح نموذج البيع على الخارطة يعتمد اعتمادًا جوهريًا على قدرة المطوِّرين على بناء علاقات طويلة الأمد مع عملائهم تتخطى المشروع الواحد، وأن هذه العلاقات تُشكّل مصدرًا مستقرًا للتمويل يُقلّل اعتمادهم على البحث المستمر عن عملاء جدد</w:t>
      </w:r>
      <w:r w:rsidRPr="00FD338A">
        <w:rPr>
          <w:rFonts w:ascii="Simplified Arabic" w:eastAsia="Times New Roman" w:hAnsi="Simplified Arabic" w:cs="Simplified Arabic"/>
          <w:color w:val="000000" w:themeColor="text1"/>
          <w:kern w:val="0"/>
          <w:sz w:val="28"/>
          <w:szCs w:val="28"/>
          <w14:ligatures w14:val="none"/>
        </w:rPr>
        <w:t>.</w:t>
      </w:r>
    </w:p>
    <w:p w14:paraId="15DF1891" w14:textId="16CF4E78" w:rsidR="00C13921" w:rsidRPr="00FD338A" w:rsidRDefault="00096BBC" w:rsidP="00C61906">
      <w:pPr>
        <w:jc w:val="center"/>
        <w:outlineLvl w:val="0"/>
        <w:rPr>
          <w:rFonts w:ascii="Simplified Arabic" w:hAnsi="Simplified Arabic" w:cs="Simplified Arabic"/>
          <w:b/>
          <w:bCs/>
          <w:color w:val="000000" w:themeColor="text1"/>
          <w:szCs w:val="28"/>
          <w:rtl/>
        </w:rPr>
        <w:sectPr w:rsidR="00C13921" w:rsidRPr="00FD338A" w:rsidSect="00BA7054">
          <w:footerReference w:type="default" r:id="rId15"/>
          <w:pgSz w:w="11906" w:h="16838" w:code="9"/>
          <w:pgMar w:top="1134" w:right="1701" w:bottom="1134" w:left="1134" w:header="720" w:footer="720" w:gutter="0"/>
          <w:pgNumType w:start="1"/>
          <w:cols w:space="708"/>
          <w:bidi/>
          <w:rtlGutter/>
          <w:docGrid w:linePitch="360"/>
        </w:sectPr>
      </w:pPr>
      <w:r w:rsidRPr="00FD338A">
        <w:rPr>
          <w:rFonts w:ascii="Simplified Arabic" w:eastAsia="Times New Roman" w:hAnsi="Simplified Arabic" w:cs="Simplified Arabic"/>
          <w:b/>
          <w:bCs/>
          <w:color w:val="000000" w:themeColor="text1"/>
          <w:kern w:val="0"/>
          <w:sz w:val="40"/>
          <w:szCs w:val="40"/>
          <w:rtl/>
          <w14:ligatures w14:val="none"/>
        </w:rPr>
        <w:br w:type="page"/>
      </w:r>
      <w:bookmarkEnd w:id="19"/>
    </w:p>
    <w:p w14:paraId="29D4231B" w14:textId="02BF7F49" w:rsidR="0081623B" w:rsidRPr="00FD338A" w:rsidRDefault="00E27D3B" w:rsidP="00BA705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D338A">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344BCF2">
            <wp:simplePos x="0" y="0"/>
            <wp:positionH relativeFrom="column">
              <wp:posOffset>4095750</wp:posOffset>
            </wp:positionH>
            <wp:positionV relativeFrom="paragraph">
              <wp:posOffset>0</wp:posOffset>
            </wp:positionV>
            <wp:extent cx="1544955" cy="1430655"/>
            <wp:effectExtent l="0" t="0" r="0" b="0"/>
            <wp:wrapTight wrapText="bothSides">
              <wp:wrapPolygon edited="0">
                <wp:start x="0" y="0"/>
                <wp:lineTo x="0" y="21284"/>
                <wp:lineTo x="21307" y="21284"/>
                <wp:lineTo x="2130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44955" cy="14306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FD338A">
        <w:rPr>
          <w:rFonts w:asciiTheme="majorBidi" w:eastAsia="Calibri" w:hAnsiTheme="majorBidi" w:cstheme="majorBidi"/>
          <w:b/>
          <w:bCs/>
          <w:color w:val="000000" w:themeColor="text1"/>
          <w:kern w:val="0"/>
          <w:sz w:val="32"/>
          <w:szCs w:val="32"/>
          <w:lang w:bidi="ar-EG"/>
          <w14:ligatures w14:val="none"/>
        </w:rPr>
        <w:t>Mid</w:t>
      </w:r>
      <w:r w:rsidR="000D353F" w:rsidRPr="00FD338A">
        <w:rPr>
          <w:rFonts w:asciiTheme="majorBidi" w:eastAsia="Calibri" w:hAnsiTheme="majorBidi" w:cstheme="majorBidi"/>
          <w:b/>
          <w:bCs/>
          <w:color w:val="000000" w:themeColor="text1"/>
          <w:kern w:val="0"/>
          <w:sz w:val="32"/>
          <w:szCs w:val="32"/>
          <w:lang w:bidi="ar-EG"/>
          <w14:ligatures w14:val="none"/>
        </w:rPr>
        <w:t xml:space="preserve"> </w:t>
      </w:r>
      <w:r w:rsidR="0081623B" w:rsidRPr="00FD338A">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FD338A" w:rsidRDefault="0081623B" w:rsidP="00BA705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D338A">
        <w:rPr>
          <w:rFonts w:asciiTheme="majorBidi" w:eastAsia="Calibri" w:hAnsiTheme="majorBidi" w:cstheme="majorBidi"/>
          <w:b/>
          <w:bCs/>
          <w:color w:val="000000" w:themeColor="text1"/>
          <w:kern w:val="0"/>
          <w:sz w:val="32"/>
          <w:szCs w:val="32"/>
          <w:lang w:bidi="ar-EG"/>
          <w14:ligatures w14:val="none"/>
        </w:rPr>
        <w:t>College of Management</w:t>
      </w:r>
    </w:p>
    <w:p w14:paraId="0F638714" w14:textId="77777777" w:rsidR="00611029" w:rsidRPr="00FD338A" w:rsidRDefault="00611029" w:rsidP="00BA705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FD338A">
        <w:rPr>
          <w:rFonts w:asciiTheme="majorBidi" w:eastAsia="Calibri" w:hAnsiTheme="majorBidi" w:cstheme="majorBidi"/>
          <w:b/>
          <w:bCs/>
          <w:color w:val="000000" w:themeColor="text1"/>
          <w:kern w:val="0"/>
          <w:sz w:val="32"/>
          <w:szCs w:val="32"/>
          <w:lang w:bidi="ar-EG"/>
          <w14:ligatures w14:val="none"/>
        </w:rPr>
        <w:t>Master of Real Estate Management</w:t>
      </w:r>
    </w:p>
    <w:p w14:paraId="0CBE22B0" w14:textId="3F117465" w:rsidR="00CC6261" w:rsidRPr="00FD338A" w:rsidRDefault="003E0E80" w:rsidP="00C1392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r w:rsidRPr="00FD338A">
        <w:rPr>
          <w:rFonts w:ascii="Simplified Arabic" w:eastAsia="Calibri" w:hAnsi="Simplified Arabic" w:cs="Simplified Arabic"/>
          <w:color w:val="000000" w:themeColor="text1"/>
          <w:kern w:val="0"/>
          <w:sz w:val="28"/>
          <w:szCs w:val="28"/>
          <w14:ligatures w14:val="none"/>
        </w:rPr>
        <w:t xml:space="preserve"> </w:t>
      </w:r>
    </w:p>
    <w:p w14:paraId="60F1CEDF" w14:textId="3013161A" w:rsidR="0025395E" w:rsidRPr="00FD338A" w:rsidRDefault="00156D45" w:rsidP="00C139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FD338A">
        <w:rPr>
          <w:rFonts w:asciiTheme="majorBidi" w:eastAsia="Calibri" w:hAnsiTheme="majorBidi" w:cstheme="majorBidi"/>
          <w:b/>
          <w:bCs/>
          <w:color w:val="000000" w:themeColor="text1"/>
          <w:kern w:val="0"/>
          <w:sz w:val="40"/>
          <w:szCs w:val="40"/>
          <w:lang w:bidi="ar-EG"/>
          <w14:ligatures w14:val="none"/>
        </w:rPr>
        <w:t>The Impact of Off-Plan Sales Regulation on Buyer Trust, Transparency, and Default Risk Reduction: A Field Study on Beneficiaries of Off-Plan Projects in the Kingdom of Saudi Arabia</w:t>
      </w:r>
    </w:p>
    <w:p w14:paraId="7D3AC206" w14:textId="77777777" w:rsidR="00C13921" w:rsidRPr="00FD338A" w:rsidRDefault="00C13921" w:rsidP="00BA705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3C60462" w14:textId="77777777" w:rsidR="0025395E" w:rsidRPr="00FD338A" w:rsidRDefault="0025395E" w:rsidP="00C139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FD338A">
        <w:rPr>
          <w:rFonts w:asciiTheme="majorBidi" w:eastAsia="Calibri" w:hAnsiTheme="majorBidi" w:cstheme="majorBidi"/>
          <w:b/>
          <w:bCs/>
          <w:color w:val="000000" w:themeColor="text1"/>
          <w:kern w:val="0"/>
          <w:sz w:val="36"/>
          <w:szCs w:val="36"/>
          <w:lang w:bidi="ar-EG"/>
          <w14:ligatures w14:val="none"/>
        </w:rPr>
        <w:t>Prepared by</w:t>
      </w:r>
    </w:p>
    <w:p w14:paraId="5D534CF5" w14:textId="6359CDD3" w:rsidR="00C13921" w:rsidRPr="00FD338A" w:rsidRDefault="00214FB0" w:rsidP="00C139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b/>
          <w:bCs/>
          <w:color w:val="000000" w:themeColor="text1"/>
          <w:kern w:val="0"/>
          <w:sz w:val="36"/>
          <w:szCs w:val="36"/>
          <w:lang w:bidi="ar-EG"/>
          <w14:ligatures w14:val="none"/>
        </w:rPr>
        <w:t>Abdullah Waleed Alfriah</w:t>
      </w:r>
    </w:p>
    <w:p w14:paraId="5FBC49B1" w14:textId="77777777" w:rsidR="00C13921" w:rsidRPr="00FD338A" w:rsidRDefault="00C13921" w:rsidP="00C139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D338A" w:rsidRPr="00FD338A" w14:paraId="367FA747" w14:textId="77777777" w:rsidTr="009277E2">
        <w:tc>
          <w:tcPr>
            <w:tcW w:w="4530" w:type="dxa"/>
          </w:tcPr>
          <w:p w14:paraId="74744695" w14:textId="77777777" w:rsidR="00C13921" w:rsidRPr="00FD338A" w:rsidRDefault="00C13921"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D338A">
              <w:rPr>
                <w:rFonts w:asciiTheme="majorBidi" w:eastAsia="Calibri" w:hAnsiTheme="majorBidi" w:cstheme="majorBidi"/>
                <w:b/>
                <w:bCs/>
                <w:color w:val="000000" w:themeColor="text1"/>
                <w:kern w:val="0"/>
                <w:sz w:val="36"/>
                <w:szCs w:val="36"/>
                <w:lang w:bidi="ar-EG"/>
                <w14:ligatures w14:val="none"/>
              </w:rPr>
              <w:t>Main supervisor</w:t>
            </w:r>
            <w:r w:rsidRPr="00FD338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BC4C328" w14:textId="77777777" w:rsidR="00C13921" w:rsidRPr="00FD338A" w:rsidRDefault="00C13921"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D338A">
              <w:rPr>
                <w:rFonts w:asciiTheme="majorBidi" w:eastAsia="Calibri" w:hAnsiTheme="majorBidi" w:cstheme="majorBidi"/>
                <w:b/>
                <w:bCs/>
                <w:color w:val="000000" w:themeColor="text1"/>
                <w:kern w:val="0"/>
                <w:sz w:val="36"/>
                <w:szCs w:val="36"/>
                <w:lang w:bidi="ar-EG"/>
                <w14:ligatures w14:val="none"/>
              </w:rPr>
              <w:t>Second supervisor</w:t>
            </w:r>
            <w:r w:rsidRPr="00FD338A">
              <w:rPr>
                <w:rFonts w:asciiTheme="majorBidi" w:eastAsia="Calibri" w:hAnsiTheme="majorBidi" w:cstheme="majorBidi"/>
                <w:b/>
                <w:bCs/>
                <w:color w:val="000000" w:themeColor="text1"/>
                <w:kern w:val="0"/>
                <w:sz w:val="36"/>
                <w:szCs w:val="36"/>
                <w:rtl/>
                <w:lang w:bidi="ar-EG"/>
                <w14:ligatures w14:val="none"/>
              </w:rPr>
              <w:t>/</w:t>
            </w:r>
          </w:p>
        </w:tc>
      </w:tr>
      <w:tr w:rsidR="00FD338A" w:rsidRPr="00FD338A" w14:paraId="42C90A8F" w14:textId="77777777" w:rsidTr="009277E2">
        <w:tc>
          <w:tcPr>
            <w:tcW w:w="4530" w:type="dxa"/>
          </w:tcPr>
          <w:p w14:paraId="5A412F26" w14:textId="77777777" w:rsidR="00C13921" w:rsidRPr="00FD338A" w:rsidRDefault="00C13921"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D338A">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1BAB546" w14:textId="77777777" w:rsidR="00C13921" w:rsidRPr="00FD338A" w:rsidRDefault="00C13921" w:rsidP="009277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D338A">
              <w:rPr>
                <w:rFonts w:asciiTheme="majorBidi" w:eastAsia="Calibri" w:hAnsiTheme="majorBidi" w:cstheme="majorBidi"/>
                <w:color w:val="000000" w:themeColor="text1"/>
                <w:kern w:val="0"/>
                <w:sz w:val="36"/>
                <w:szCs w:val="36"/>
                <w:lang w:bidi="ar-EG"/>
                <w14:ligatures w14:val="none"/>
              </w:rPr>
              <w:t>Dr. Fayez Jarad</w:t>
            </w:r>
          </w:p>
        </w:tc>
      </w:tr>
    </w:tbl>
    <w:p w14:paraId="35A6D868" w14:textId="77777777" w:rsidR="00C13921" w:rsidRPr="00FD338A" w:rsidRDefault="00C13921" w:rsidP="00C13921">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FD338A">
        <w:rPr>
          <w:rFonts w:asciiTheme="majorBidi" w:eastAsia="Calibri" w:hAnsiTheme="majorBidi" w:cstheme="majorBidi"/>
          <w:color w:val="000000" w:themeColor="text1"/>
          <w:kern w:val="0"/>
          <w:sz w:val="36"/>
          <w:szCs w:val="36"/>
          <w:rtl/>
          <w:lang w:bidi="ar-EG"/>
          <w14:ligatures w14:val="none"/>
        </w:rPr>
        <w:t>1448 – 2026</w:t>
      </w:r>
    </w:p>
    <w:p w14:paraId="5563E5D0" w14:textId="77777777" w:rsidR="00C13921" w:rsidRPr="00FD338A" w:rsidRDefault="00C13921" w:rsidP="00C139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66F508BA" w14:textId="77777777" w:rsidR="00156D45" w:rsidRPr="00FD338A" w:rsidRDefault="00156D45" w:rsidP="00BA705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150BB566" w:rsidR="009125CE" w:rsidRPr="00FD338A" w:rsidRDefault="009125CE" w:rsidP="00BA705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FD338A" w:rsidSect="00BA7054">
      <w:footerReference w:type="default" r:id="rId17"/>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8F713" w14:textId="77777777" w:rsidR="00244B77" w:rsidRDefault="00244B77" w:rsidP="009125CE">
      <w:pPr>
        <w:spacing w:after="0" w:line="240" w:lineRule="auto"/>
      </w:pPr>
      <w:r>
        <w:separator/>
      </w:r>
    </w:p>
  </w:endnote>
  <w:endnote w:type="continuationSeparator" w:id="0">
    <w:p w14:paraId="45A1A15E" w14:textId="77777777" w:rsidR="00244B77" w:rsidRDefault="00244B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F3426" w14:textId="77777777" w:rsidR="00214FB0" w:rsidRDefault="00214FB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EF448" w14:textId="77777777" w:rsidR="00214FB0" w:rsidRDefault="00214FB0">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C56C9" w14:textId="77777777" w:rsidR="00214FB0" w:rsidRDefault="00214FB0">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976797918"/>
      <w:docPartObj>
        <w:docPartGallery w:val="Page Numbers (Bottom of Page)"/>
        <w:docPartUnique/>
      </w:docPartObj>
    </w:sdtPr>
    <w:sdtEndPr>
      <w:rPr>
        <w:noProof/>
      </w:rPr>
    </w:sdtEndPr>
    <w:sdtContent>
      <w:p w14:paraId="10EFB537" w14:textId="77777777" w:rsidR="00BA7054" w:rsidRPr="00BA7054" w:rsidRDefault="00BA7054" w:rsidP="00BA7054">
        <w:pPr>
          <w:pStyle w:val="a4"/>
          <w:tabs>
            <w:tab w:val="left" w:pos="4127"/>
            <w:tab w:val="center" w:pos="4535"/>
          </w:tabs>
          <w:rPr>
            <w:rFonts w:ascii="Simplified Arabic" w:hAnsi="Simplified Arabic" w:cs="Simplified Arabic"/>
            <w:b/>
            <w:bCs/>
            <w:sz w:val="24"/>
            <w:szCs w:val="24"/>
          </w:rPr>
        </w:pPr>
        <w:r w:rsidRPr="00BA7054">
          <w:rPr>
            <w:rFonts w:ascii="Simplified Arabic" w:hAnsi="Simplified Arabic" w:cs="Simplified Arabic"/>
            <w:b/>
            <w:bCs/>
            <w:sz w:val="24"/>
            <w:szCs w:val="24"/>
            <w:rtl/>
          </w:rPr>
          <w:tab/>
        </w:r>
        <w:r w:rsidRPr="00BA7054">
          <w:rPr>
            <w:rFonts w:ascii="Simplified Arabic" w:hAnsi="Simplified Arabic" w:cs="Simplified Arabic"/>
            <w:b/>
            <w:bCs/>
            <w:sz w:val="24"/>
            <w:szCs w:val="24"/>
            <w:rtl/>
          </w:rPr>
          <w:tab/>
        </w:r>
        <w:r w:rsidRPr="00BA7054">
          <w:rPr>
            <w:rFonts w:ascii="Simplified Arabic" w:hAnsi="Simplified Arabic" w:cs="Simplified Arabic"/>
            <w:b/>
            <w:bCs/>
            <w:sz w:val="24"/>
            <w:szCs w:val="24"/>
            <w:rtl/>
          </w:rPr>
          <w:tab/>
        </w:r>
        <w:r w:rsidRPr="00BA7054">
          <w:rPr>
            <w:rFonts w:ascii="Simplified Arabic" w:hAnsi="Simplified Arabic" w:cs="Simplified Arabic"/>
            <w:b/>
            <w:bCs/>
            <w:sz w:val="24"/>
            <w:szCs w:val="24"/>
          </w:rPr>
          <w:fldChar w:fldCharType="begin"/>
        </w:r>
        <w:r w:rsidRPr="00BA7054">
          <w:rPr>
            <w:rFonts w:ascii="Simplified Arabic" w:hAnsi="Simplified Arabic" w:cs="Simplified Arabic"/>
            <w:b/>
            <w:bCs/>
            <w:sz w:val="24"/>
            <w:szCs w:val="24"/>
          </w:rPr>
          <w:instrText xml:space="preserve"> PAGE   \* MERGEFORMAT </w:instrText>
        </w:r>
        <w:r w:rsidRPr="00BA7054">
          <w:rPr>
            <w:rFonts w:ascii="Simplified Arabic" w:hAnsi="Simplified Arabic" w:cs="Simplified Arabic"/>
            <w:b/>
            <w:bCs/>
            <w:sz w:val="24"/>
            <w:szCs w:val="24"/>
          </w:rPr>
          <w:fldChar w:fldCharType="separate"/>
        </w:r>
        <w:r w:rsidR="00C61906">
          <w:rPr>
            <w:rFonts w:ascii="Simplified Arabic" w:hAnsi="Simplified Arabic" w:cs="Simplified Arabic"/>
            <w:b/>
            <w:bCs/>
            <w:noProof/>
            <w:sz w:val="24"/>
            <w:szCs w:val="24"/>
            <w:rtl/>
          </w:rPr>
          <w:t>47</w:t>
        </w:r>
        <w:r w:rsidRPr="00BA7054">
          <w:rPr>
            <w:rFonts w:ascii="Simplified Arabic" w:hAnsi="Simplified Arabic" w:cs="Simplified Arabic"/>
            <w:b/>
            <w:bCs/>
            <w:noProof/>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25A26" w14:textId="6A275A49" w:rsidR="00C13921" w:rsidRPr="00BA7054" w:rsidRDefault="00C13921" w:rsidP="00C13921">
    <w:pPr>
      <w:pStyle w:val="a4"/>
      <w:tabs>
        <w:tab w:val="left" w:pos="4127"/>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16B10" w14:textId="77777777" w:rsidR="00244B77" w:rsidRDefault="00244B77" w:rsidP="009125CE">
      <w:pPr>
        <w:spacing w:after="0" w:line="240" w:lineRule="auto"/>
      </w:pPr>
      <w:r>
        <w:separator/>
      </w:r>
    </w:p>
  </w:footnote>
  <w:footnote w:type="continuationSeparator" w:id="0">
    <w:p w14:paraId="04E1CF03" w14:textId="77777777" w:rsidR="00244B77" w:rsidRDefault="00244B77"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3D08A" w14:textId="77777777" w:rsidR="00214FB0" w:rsidRDefault="00214FB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DEC00" w14:textId="668A30D5" w:rsidR="00214FB0" w:rsidRDefault="00214FB0">
    <w:pPr>
      <w:pStyle w:val="a3"/>
    </w:pPr>
    <w:r>
      <w:rPr>
        <w:noProof/>
      </w:rPr>
      <mc:AlternateContent>
        <mc:Choice Requires="wps">
          <w:drawing>
            <wp:anchor distT="0" distB="0" distL="114300" distR="114300" simplePos="0" relativeHeight="251659264" behindDoc="0" locked="0" layoutInCell="1" allowOverlap="1" wp14:anchorId="5E804D1E" wp14:editId="13E5147F">
              <wp:simplePos x="0" y="0"/>
              <wp:positionH relativeFrom="page">
                <wp:align>left</wp:align>
              </wp:positionH>
              <wp:positionV relativeFrom="page">
                <wp:align>top</wp:align>
              </wp:positionV>
              <wp:extent cx="2540000" cy="317500"/>
              <wp:effectExtent l="0" t="0" r="0" b="0"/>
              <wp:wrapNone/>
              <wp:docPr id="1265863059" name="GVHeader_Section1_1315602946"/>
              <wp:cNvGraphicFramePr/>
              <a:graphic xmlns:a="http://schemas.openxmlformats.org/drawingml/2006/main">
                <a:graphicData uri="http://schemas.microsoft.com/office/word/2010/wordprocessingShape">
                  <wps:wsp>
                    <wps:cNvSpPr txBox="1"/>
                    <wps:spPr>
                      <a:xfrm>
                        <a:off x="0" y="0"/>
                        <a:ext cx="2540000" cy="317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1D5A821" w14:textId="6F7EDDFB" w:rsidR="00214FB0" w:rsidRDefault="00214FB0" w:rsidP="00214FB0">
                          <w:pPr>
                            <w:bidi w:val="0"/>
                          </w:pPr>
                          <w:r w:rsidRPr="00214FB0">
                            <w:rPr>
                              <w:rFonts w:ascii="Calibri" w:hAnsi="Calibri" w:cs="Calibri"/>
                              <w:b/>
                              <w:bCs/>
                              <w:color w:val="F30000"/>
                              <w:sz w:val="20"/>
                              <w:szCs w:val="20"/>
                            </w:rPr>
                            <w:t xml:space="preserve">Secret - </w:t>
                          </w:r>
                          <w:r w:rsidRPr="00214FB0">
                            <w:rPr>
                              <w:rFonts w:ascii="Calibri" w:hAnsi="Calibri" w:cs="Calibri"/>
                              <w:b/>
                              <w:bCs/>
                              <w:color w:val="F30000"/>
                              <w:sz w:val="20"/>
                              <w:szCs w:val="20"/>
                              <w:rtl/>
                            </w:rPr>
                            <w:t>سري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E804D1E" id="_x0000_t202" coordsize="21600,21600" o:spt="202" path="m,l,21600r21600,l21600,xe">
              <v:stroke joinstyle="miter"/>
              <v:path gradientshapeok="t" o:connecttype="rect"/>
            </v:shapetype>
            <v:shape id="GVHeader_Section1_1315602946" o:spid="_x0000_s1026" type="#_x0000_t202" style="position:absolute;left:0;text-align:left;margin-left:0;margin-top:0;width:200pt;height:25pt;z-index:251659264;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iEFwIAACwEAAAOAAAAZHJzL2Uyb0RvYy54bWysU11v2yAUfZ+0/4B4X+ykSbtZcaqsVaZJ&#10;UVspnfpMMMSWgMuAxM5+/S7Y+VC3p2l+wBfu5X6cc5jfd1qRg3C+AVPS8SinRBgOVWN2Jf3xuvr0&#10;mRIfmKmYAiNKehSe3i8+fpi3thATqEFVwhFMYnzR2pLWIdgiyzyvhWZ+BFYYdEpwmgXcul1WOdZi&#10;dq2ySZ7fZi24yjrgwns8feyddJHySyl4eJbSi0BUSbG3kFaX1m1cs8WcFTvHbN3woQ32D11o1hgs&#10;ek71yAIje9f8kUo33IEHGUYcdAZSNlykGXCacf5umk3NrEizIDjenmHy/y8tfzps7IsjofsKHRIY&#10;AWmtLzwexnk66XT8Y6cE/Qjh8Qyb6ALheDiZTXP8KOHouxnfzdDGNNnltnU+fBOgSTRK6pCWhBY7&#10;rH3oQ08hsZiBVaNUokYZ0pb09maWpwtnDyZXBmtceo1W6LbdMMAWqiPO5aCn3Fu+arD4mvnwwhxy&#10;jP2ibsMzLlIBFoHBoqQG9+tv5zEeoUcvJS1qpqT+5545QYn6bpCUL+PpNIosbaazuwlu3LVne+0x&#10;e/0AKMsxvhDLkxnjgzqZ0oF+Q3kvY1V0McOxdknDyXwIvZLxeXCxXKYglJVlYW02lsfUEc4I7Wv3&#10;xpwd8A/I3BOc1MWKdzT0sfGmt8t9QDISRxHgHtUBd5RkYnl4PlHz1/sUdXnki98AAAD//wMAUEsD&#10;BBQABgAIAAAAIQA2TY5F1wAAAAQBAAAPAAAAZHJzL2Rvd25yZXYueG1sTI/BasMwEETvhfyD2EIv&#10;pZES2lIcyyEEfA5x+gGKtbWdSitjybH799n00l52GWaZfZNvZ+/EFYfYBdKwWioQSHWwHTUaPk/l&#10;yweImAxZ4wKhhh+MsC0WD7nJbJjoiNcqNYJDKGZGQ5tSn0kZ6xa9icvQI7H3FQZvEsuhkXYwE4d7&#10;J9dKvUtvOuIPrelx32L9XY1eQ1hPz+5Yrcr9YbqU6jDiqYqo9dPjvNuASDinv2O44zM6FMx0DiPZ&#10;KJwGLpJ+J3uvSrE8a3jjLYtc/ocvbgAAAP//AwBQSwECLQAUAAYACAAAACEAtoM4kv4AAADhAQAA&#10;EwAAAAAAAAAAAAAAAAAAAAAAW0NvbnRlbnRfVHlwZXNdLnhtbFBLAQItABQABgAIAAAAIQA4/SH/&#10;1gAAAJQBAAALAAAAAAAAAAAAAAAAAC8BAABfcmVscy8ucmVsc1BLAQItABQABgAIAAAAIQATHoiE&#10;FwIAACwEAAAOAAAAAAAAAAAAAAAAAC4CAABkcnMvZTJvRG9jLnhtbFBLAQItABQABgAIAAAAIQA2&#10;TY5F1wAAAAQBAAAPAAAAAAAAAAAAAAAAAHEEAABkcnMvZG93bnJldi54bWxQSwUGAAAAAAQABADz&#10;AAAAdQUAAAAA&#10;" filled="f" stroked="f" strokeweight=".5pt">
              <v:fill o:detectmouseclick="t"/>
              <v:textbox style="mso-fit-shape-to-text:t">
                <w:txbxContent>
                  <w:p w14:paraId="21D5A821" w14:textId="6F7EDDFB" w:rsidR="00214FB0" w:rsidRDefault="00214FB0" w:rsidP="00214FB0">
                    <w:pPr>
                      <w:bidi w:val="0"/>
                    </w:pPr>
                    <w:r w:rsidRPr="00214FB0">
                      <w:rPr>
                        <w:rFonts w:ascii="Calibri" w:hAnsi="Calibri" w:cs="Calibri"/>
                        <w:b/>
                        <w:bCs/>
                        <w:color w:val="F30000"/>
                        <w:sz w:val="20"/>
                        <w:szCs w:val="20"/>
                      </w:rPr>
                      <w:t xml:space="preserve">Secret - </w:t>
                    </w:r>
                    <w:r w:rsidRPr="00214FB0">
                      <w:rPr>
                        <w:rFonts w:ascii="Calibri" w:hAnsi="Calibri" w:cs="Calibri"/>
                        <w:b/>
                        <w:bCs/>
                        <w:color w:val="F30000"/>
                        <w:sz w:val="20"/>
                        <w:szCs w:val="20"/>
                        <w:rtl/>
                      </w:rPr>
                      <w:t>سري</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2D8B" w14:textId="77777777" w:rsidR="00214FB0" w:rsidRDefault="00214F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C6EB6"/>
    <w:multiLevelType w:val="hybridMultilevel"/>
    <w:tmpl w:val="7E0E3B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6D324E"/>
    <w:multiLevelType w:val="multilevel"/>
    <w:tmpl w:val="67D24F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2830BD"/>
    <w:multiLevelType w:val="multilevel"/>
    <w:tmpl w:val="67D24F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DD2B6F"/>
    <w:multiLevelType w:val="multilevel"/>
    <w:tmpl w:val="67D24F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6E0C3F"/>
    <w:multiLevelType w:val="multilevel"/>
    <w:tmpl w:val="67D24F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FF2E18"/>
    <w:multiLevelType w:val="hybridMultilevel"/>
    <w:tmpl w:val="BBDEA4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D97A15"/>
    <w:multiLevelType w:val="multilevel"/>
    <w:tmpl w:val="67D24F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9629844">
    <w:abstractNumId w:val="6"/>
  </w:num>
  <w:num w:numId="2" w16cid:durableId="1204098072">
    <w:abstractNumId w:val="4"/>
  </w:num>
  <w:num w:numId="3" w16cid:durableId="1680422709">
    <w:abstractNumId w:val="1"/>
  </w:num>
  <w:num w:numId="4" w16cid:durableId="1717121175">
    <w:abstractNumId w:val="2"/>
  </w:num>
  <w:num w:numId="5" w16cid:durableId="2123305458">
    <w:abstractNumId w:val="3"/>
  </w:num>
  <w:num w:numId="6" w16cid:durableId="407312950">
    <w:abstractNumId w:val="0"/>
  </w:num>
  <w:num w:numId="7" w16cid:durableId="46978534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 w:val="Secret - سري"/>
    <w:docVar w:name="ClassificationTagSetId" w:val="e16409a7-1700-4153-9090-3955bc2f0ae8"/>
    <w:docVar w:name="ComplianceTagSetId" w:val="f14fc1f1-8950-40d5-8a29-45909da947d6"/>
    <w:docVar w:name="FileId" w:val="351a6fdf-9fe4-4e5c-9e68-dae937ff6969"/>
    <w:docVar w:name="GVData" w:val="eyJPUyI6IldpbmRvd3MiLCJkb2NJRCI6IjM1MWE2ZmRmLTlmZTQtNGU1Yy05ZTY4LWRhZTkzN2ZmNjk2OSIsImRvY1N0YXRlIjoie1wiQ3VycmVudFN0YXRlXCI6XCJ7XFxcIkZpcnN0UGFnZURpZmZlcmVudFxcXCI6ZmFsc2UsXFxcIkRpZmZlcmVudE9kZEFuZEV2"/>
    <w:docVar w:name="GVData0" w:val="ZW5QYWdlc1xcXCI6ZmFsc2UsXFxcIlBhZ2VDb3VudFxcXCI6NTAsXFxcIkhlYWRlck1ldGFkYXRhXFxcIjpcXFwiPHNwYW4gc3R5bGU9XFxcXFxcXCJjb2xvcjojRjMwMDAwO1xcXFxcXFwiPjxzdHJvbmc+U2VjcmV0IC0g2LPYsdmKPC9zdHJvbmc+PC9zcGFuPlxc"/>
    <w:docVar w:name="GVData1" w:val="XCIsXFxcIlRoaXJkUGFydHlIZWFkZXJNZXRhZGF0YVxcXCI6XFxcIlxcXCIsXFxcIkdWSGVhZGVyRXhpc3RzXFxcIjpmYWxzZSxcXFwiTm9uR1ZIZWFkZXJFeGlzdHNcXFwiOmZhbHNlLFxcXCJGbG9hdGluZ0hlYWRlckV4aXN0c1xcXCI6dHJ1ZSxcXFwiTm9uR1ZI"/>
    <w:docVar w:name="GVData10" w:val="ZGVyVHlwZXNBbGxvd2VkXFxcIjpbMCwxXSxcXFwiSGVhZGVyVXBkYXRlVHlwZVxcXCI6MSxcXFwiRm9vdGVyRW5hYmxlZFxcXCI6ZmFsc2UsXFxcIkZvb3RlclxcXCI6XFxcIlxcXCIsXFxcIkZvb3RlcnNcXFwiOltcXFwiXFxcIl0sXFxcIkZvb3RlclR5cGVcXFwi"/>
    <w:docVar w:name="GVData11" w:val="OjIsXFxcIkZvb3RlclR5cGVzQWxsb3dlZFxcXCI6WzJdLFxcXCJGb290ZXJVcGRhdGVUeXBlXFxcIjowLFxcXCJXYXRlcm1hcmtcXFwiOlxcXCJcXFwiLFxcXCJXYXRlcm1hcmtFbmFibGVkXFxcIjpmYWxzZSxcXFwiU2hvdWxkV3JpdGVXYXRlcm1hcmtcXFwiOmZh"/>
    <w:docVar w:name="GVData12" w:val="bHNlLFxcXCJXYXRlcm1hcmtVcGRhdGVUeXBlXFxcIjoxLFxcXCJQb3dlcnBvaW50VGl0bGVcXFwiOm51bGwsXFxcIlBvd2VycG9pbnRTdWJpdGxlXFxcIjpudWxsfVwiLFwiU3RhdGVcIjpcIntcXFwiRmlyc3RQYWdlRGlmZmVyZW50XFxcIjpmYWxzZSxcXFwiRGlm"/>
    <w:docVar w:name="GVData13" w:val="ZmVyZW50T2RkQW5kRXZlblBhZ2VzXFxcIjpmYWxzZSxcXFwiUGFnZUNvdW50XFxcIjo1MCxcXFwiSGVhZGVyTWV0YWRhdGFcXFwiOlxcXCI8c3BhbiBzdHlsZT1cXFxcXFxcImNvbG9yOiNGMzAwMDA7XFxcXFxcXCI+PHN0cm9uZz5TZWNyZXQgLSDYs9ix2Yo8L3N0"/>
    <w:docVar w:name="GVData14" w:val="cm9uZz48L3NwYW4+XFxcIixcXFwiVGhpcmRQYXJ0eUhlYWRlck1ldGFkYXRhXFxcIjpcXFwiXFxcIixcXFwiR1ZIZWFkZXJFeGlzdHNcXFwiOmZhbHNlLFxcXCJOb25HVkhlYWRlckV4aXN0c1xcXCI6ZmFsc2UsXFxcIkZsb2F0aW5nSGVhZGVyRXhpc3RzXFxcIjp0"/>
    <w:docVar w:name="GVData15" w:val="cnVlLFxcXCJOb25HVkhlYWRlclNoYXBlRXhpc3RzXFxcIjpmYWxzZSxcXFwiVGhpcmRQYXJ0eUhlYWRlcnNcXFwiOltdLFxcXCJGb290ZXJNZXRhZGF0YVxcXCI6XFxcIlxcXCIsXFxcIlRoaXJkUGFydHlGb290ZXJNZXRhZGF0YVxcXCI6XFxcIlxcXCIsXFxcIkdW"/>
    <w:docVar w:name="GVData16" w:val="Rm9vdGVyRXhpc3RzXFxcIjpmYWxzZSxcXFwiTm9uR1ZGb290ZXJFeGlzdHNcXFwiOmZhbHNlLFxcXCJGbG9hdGluZ0Zvb3RlckV4aXN0c1xcXCI6ZmFsc2UsXFxcIk5vbkdWRm9vdGVyU2hhcGVFeGlzdHNcXFwiOmZhbHNlLFxcXCJUaGlyZFBhcnR5Rm9vdGVyc1xc"/>
    <w:docVar w:name="GVData17" w:val="XCI6W10sXFxcIldhdGVybWFya01ldGFkYXRhXFxcIjpcXFwiXFxcIixcXFwiV2F0ZXJtYXJrRXhpc3RzXFxcIjpmYWxzZSxcXFwiUG93ZXJwb2ludFRpdGxlTWV0YWRhdGFcXFwiOm51bGwsXFxcIlBvd2VycG9pbnRTdWJ0aXRsZU1ldGFkYXRhXFxcIjpudWxsLFxc"/>
    <w:docVar w:name="GVData18" w:val="XCJUaGlyZFBhcnR5TWV0YWRhdGFGb3VuZFxcXCI6ZmFsc2V9XCJ9IiwicGFyZW50TGluZUlkcyI6IltcImRkYWJkZDgzLTI4MDAtNDQ0Ni04NDcyLTNhMjJlNWU5ZjI2NlwiLFwiMWM2YzdmYTktZjZhZC00ZDkxLWI5YzctMTE5ODVjOTc5NjcwXCJdIiwid3JpdHRl"/>
    <w:docVar w:name="GVData19" w:val="bktleXMiOiJbXCJndmRvY2lkXCIsXCJDbGFzc2lmaWNhdGlvblRhZ1NldElkXCIsXCJDbGFzc2lmaWNhdGlvblwiLFwiQ29tcGxpYW5jZVRhZ1NldElkXCIsXCJGaWxlSWRcIixcIlVzZXJJZFwiLFwiVGFnRGF0ZVRpbWVcIl0iLCJub09mR3ZEYXRhRW50cmllcyI6"/>
    <w:docVar w:name="GVData2" w:val="ZWFkZXJTaGFwZUV4aXN0c1xcXCI6ZmFsc2UsXFxcIlRoaXJkUGFydHlIZWFkZXJzXFxcIjpbXSxcXFwiRm9vdGVyTWV0YWRhdGFcXFwiOlxcXCJcXFwiLFxcXCJUaGlyZFBhcnR5Rm9vdGVyTWV0YWRhdGFcXFwiOlxcXCJcXFwiLFxcXCJHVkZvb3RlckV4aXN0c1xc"/>
    <w:docVar w:name="GVData20" w:val="IjIwIiwibGluZUlkIjoiYzc5NWIzYjctMGY2ZC00NjAzLWI5MDQtMmVjNTY1NDc4YTE2IiwidGFnc2V0X2UxNjQwOWE3XzE3MDBfNDE1M185MDkwXzM5NTViYzJmMGFlOF9jbGFzc2lmaWNhdGlvbiI6IlNlY3JldCAtINiz2LHZiiJ9"/>
    <w:docVar w:name="GVData21" w:val="(end)"/>
    <w:docVar w:name="GVData3" w:val="XCI6ZmFsc2UsXFxcIk5vbkdWRm9vdGVyRXhpc3RzXFxcIjpmYWxzZSxcXFwiRmxvYXRpbmdGb290ZXJFeGlzdHNcXFwiOmZhbHNlLFxcXCJOb25HVkZvb3RlclNoYXBlRXhpc3RzXFxcIjpmYWxzZSxcXFwiVGhpcmRQYXJ0eUZvb3RlcnNcXFwiOltdLFxcXCJXYXRl"/>
    <w:docVar w:name="GVData4" w:val="cm1hcmtNZXRhZGF0YVxcXCI6XFxcIlxcXCIsXFxcIldhdGVybWFya0V4aXN0c1xcXCI6ZmFsc2UsXFxcIlBvd2VycG9pbnRUaXRsZU1ldGFkYXRhXFxcIjpudWxsLFxcXCJQb3dlcnBvaW50U3VidGl0bGVNZXRhZGF0YVxcXCI6bnVsbCxcXFwiVGhpcmRQYXJ0eU1l"/>
    <w:docVar w:name="GVData5" w:val="dGFkYXRhRm91bmRcXFwiOmZhbHNlfVwiLFwiSGVhZGVyXCI6XCI8c3BhbiBzdHlsZT1cXFwiY29sb3I6I0YzMDAwMDtcXFwiPjxzdHJvbmc+U2VjcmV0IC0g2LPYsdmKPC9zdHJvbmc+PC9zcGFuPlwiLFwiT3B0aW9uc1wiOlwie1xcXCJQb3B1cENvbmZpZ3VyYXRp"/>
    <w:docVar w:name="GVData6" w:val="b25cXFwiOntcXFwiQWx3YXlzU2hvd1BvcHVwXFxcIjpmYWxzZSxcXFwiRW5mb3JjZUhlYWRlckZvb3RlclR5cGVcXFwiOnRydWUsXFxcIkhlYWRlclBsYWNlbWVudFR5cGVcXFwiOjEsXFxcIkZvb3RlclBsYWNlbWVudFR5cGVcXFwiOjEsXFxcIkVuZm9yY2VMYXlv"/>
    <w:docVar w:name="GVData7" w:val="dXRPcHRpb25cXFwiOnRydWUsXFxcIkxheW91dE9wdGlvblxcXCI6MCxcXFwiVHJpZ2dlck51bWJlclxcXCI6MCxcXFwiRnJvbUluZGV4XFxcIjowLFxcXCJUb0luZGV4XFxcIjowLFxcXCJFbmZvcmNlT3ZlcndyaXRlT3B0aW9uXFxcIjp0cnVlLFxcXCJPdmVyd3Jp"/>
    <w:docVar w:name="GVData8" w:val="dGVPcHRpb25cXFwiOlxcXCJhcHBlbmRcXFwifSxcXFwiSGVhZGVyRW5hYmxlZFxcXCI6ZmFsc2UsXFxcIkhlYWRlclxcXCI6XFxcIjxzcGFuIHN0eWxlPVxcXFxcXFwiY29sb3I6I0YzMDAwMDtcXFxcXFxcIj48c3Ryb25nPlNlY3JldCAtINiz2LHZijwvc3Ryb25n"/>
    <w:docVar w:name="GVData9" w:val="Pjwvc3Bhbj5cXFwiLFxcXCJIZWFkZXJzXFxcIjpbXFxcIjxzcGFuIHN0eWxlPVxcXFxcXFwiY29sb3I6I0YzMDAwMDtcXFxcXFxcIj48c3Ryb25nPlNlY3JldCAtINiz2LHZijwvc3Ryb25nPjwvc3Bhbj5cXFwiXSxcXFwiSGVhZGVyVHlwZVxcXCI6MSxcXFwiSGVh"/>
    <w:docVar w:name="gvdocid" w:val="351a6fdf-9fe4-4e5c-9e68-dae937ff6969"/>
    <w:docVar w:name="TagDateTime" w:val="2026-07-14T07:18:49Z"/>
    <w:docVar w:name="UserId" w:val="Abdullah Alfraih"/>
  </w:docVars>
  <w:rsids>
    <w:rsidRoot w:val="00F546CE"/>
    <w:rsid w:val="00000980"/>
    <w:rsid w:val="00001295"/>
    <w:rsid w:val="00003B61"/>
    <w:rsid w:val="00011F23"/>
    <w:rsid w:val="000125CD"/>
    <w:rsid w:val="00012629"/>
    <w:rsid w:val="0001391F"/>
    <w:rsid w:val="000146E6"/>
    <w:rsid w:val="00014C60"/>
    <w:rsid w:val="000204A8"/>
    <w:rsid w:val="00020F7B"/>
    <w:rsid w:val="00021997"/>
    <w:rsid w:val="00022B3A"/>
    <w:rsid w:val="00023A70"/>
    <w:rsid w:val="0004554E"/>
    <w:rsid w:val="00052AB0"/>
    <w:rsid w:val="00053122"/>
    <w:rsid w:val="000543EF"/>
    <w:rsid w:val="000602CA"/>
    <w:rsid w:val="000610C9"/>
    <w:rsid w:val="00061FA2"/>
    <w:rsid w:val="00064FF1"/>
    <w:rsid w:val="00067938"/>
    <w:rsid w:val="0007370A"/>
    <w:rsid w:val="000769E1"/>
    <w:rsid w:val="00081557"/>
    <w:rsid w:val="000842EB"/>
    <w:rsid w:val="00093973"/>
    <w:rsid w:val="00094E98"/>
    <w:rsid w:val="00096BBC"/>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272B"/>
    <w:rsid w:val="000F44B4"/>
    <w:rsid w:val="001038CB"/>
    <w:rsid w:val="00110487"/>
    <w:rsid w:val="0012342D"/>
    <w:rsid w:val="001306F3"/>
    <w:rsid w:val="00131E44"/>
    <w:rsid w:val="00136A9D"/>
    <w:rsid w:val="00143989"/>
    <w:rsid w:val="00150B32"/>
    <w:rsid w:val="001510C1"/>
    <w:rsid w:val="00152611"/>
    <w:rsid w:val="00153B41"/>
    <w:rsid w:val="00156D45"/>
    <w:rsid w:val="00170871"/>
    <w:rsid w:val="00174E80"/>
    <w:rsid w:val="00175050"/>
    <w:rsid w:val="00180436"/>
    <w:rsid w:val="0018142E"/>
    <w:rsid w:val="001840E8"/>
    <w:rsid w:val="001856D4"/>
    <w:rsid w:val="001867D0"/>
    <w:rsid w:val="00186C33"/>
    <w:rsid w:val="001902DB"/>
    <w:rsid w:val="001913FE"/>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14FB0"/>
    <w:rsid w:val="0021718D"/>
    <w:rsid w:val="00217ADA"/>
    <w:rsid w:val="0022009F"/>
    <w:rsid w:val="00223AE0"/>
    <w:rsid w:val="002304C2"/>
    <w:rsid w:val="00234450"/>
    <w:rsid w:val="00244894"/>
    <w:rsid w:val="00244B77"/>
    <w:rsid w:val="00250D99"/>
    <w:rsid w:val="00251BCA"/>
    <w:rsid w:val="0025395E"/>
    <w:rsid w:val="00256363"/>
    <w:rsid w:val="00260558"/>
    <w:rsid w:val="0026283D"/>
    <w:rsid w:val="00270FB5"/>
    <w:rsid w:val="00274BDE"/>
    <w:rsid w:val="002766BC"/>
    <w:rsid w:val="00280068"/>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05B9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C0751"/>
    <w:rsid w:val="005D0E3A"/>
    <w:rsid w:val="005D25AE"/>
    <w:rsid w:val="005D2620"/>
    <w:rsid w:val="005D5DB7"/>
    <w:rsid w:val="005E37C2"/>
    <w:rsid w:val="005E4AF3"/>
    <w:rsid w:val="005F2722"/>
    <w:rsid w:val="006020A6"/>
    <w:rsid w:val="006044AD"/>
    <w:rsid w:val="00611029"/>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23F"/>
    <w:rsid w:val="00706E7F"/>
    <w:rsid w:val="0071504C"/>
    <w:rsid w:val="00716E25"/>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A7054"/>
    <w:rsid w:val="00BB1144"/>
    <w:rsid w:val="00BB3514"/>
    <w:rsid w:val="00BC24EE"/>
    <w:rsid w:val="00BC454D"/>
    <w:rsid w:val="00BC61BD"/>
    <w:rsid w:val="00BD03D1"/>
    <w:rsid w:val="00BD590D"/>
    <w:rsid w:val="00BE2024"/>
    <w:rsid w:val="00BF35D5"/>
    <w:rsid w:val="00C01C2B"/>
    <w:rsid w:val="00C1175F"/>
    <w:rsid w:val="00C11CB2"/>
    <w:rsid w:val="00C13921"/>
    <w:rsid w:val="00C16713"/>
    <w:rsid w:val="00C16D65"/>
    <w:rsid w:val="00C20A1C"/>
    <w:rsid w:val="00C23616"/>
    <w:rsid w:val="00C23A70"/>
    <w:rsid w:val="00C32E49"/>
    <w:rsid w:val="00C35B07"/>
    <w:rsid w:val="00C35BBA"/>
    <w:rsid w:val="00C43D61"/>
    <w:rsid w:val="00C45767"/>
    <w:rsid w:val="00C46354"/>
    <w:rsid w:val="00C61906"/>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E78"/>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55B8D"/>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E0BB8"/>
    <w:rsid w:val="00EE0BD0"/>
    <w:rsid w:val="00EE7B86"/>
    <w:rsid w:val="00EF118F"/>
    <w:rsid w:val="00EF5F43"/>
    <w:rsid w:val="00F00AAD"/>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338A"/>
    <w:rsid w:val="00FD4AA8"/>
    <w:rsid w:val="00FD4AC0"/>
    <w:rsid w:val="00FD5F5A"/>
    <w:rsid w:val="00FD73AE"/>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paragraph" w:customStyle="1" w:styleId="msonormal0">
    <w:name w:val="msonormal"/>
    <w:basedOn w:val="a"/>
    <w:rsid w:val="0002199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4">
    <w:name w:val="Grid Table 1 Light Accent 4"/>
    <w:basedOn w:val="a1"/>
    <w:uiPriority w:val="46"/>
    <w:rsid w:val="00BA7054"/>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6-3">
    <w:name w:val="Grid Table 6 Colorful Accent 3"/>
    <w:basedOn w:val="a1"/>
    <w:uiPriority w:val="51"/>
    <w:rsid w:val="00C1392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2843007">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2125272">
      <w:bodyDiv w:val="1"/>
      <w:marLeft w:val="0"/>
      <w:marRight w:val="0"/>
      <w:marTop w:val="0"/>
      <w:marBottom w:val="0"/>
      <w:divBdr>
        <w:top w:val="none" w:sz="0" w:space="0" w:color="auto"/>
        <w:left w:val="none" w:sz="0" w:space="0" w:color="auto"/>
        <w:bottom w:val="none" w:sz="0" w:space="0" w:color="auto"/>
        <w:right w:val="none" w:sz="0" w:space="0" w:color="auto"/>
      </w:divBdr>
    </w:div>
    <w:div w:id="662926694">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3281495">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788470128">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789403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301453">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05061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731786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3800419">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68D4C7-4472-4556-A56C-0D8ECFD3C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14644</Words>
  <Characters>81199</Characters>
  <Application>Microsoft Office Word</Application>
  <DocSecurity>0</DocSecurity>
  <Lines>1166</Lines>
  <Paragraphs>267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W. Alfraih</cp:lastModifiedBy>
  <cp:revision>4</cp:revision>
  <cp:lastPrinted>2026-07-03T00:24:00Z</cp:lastPrinted>
  <dcterms:created xsi:type="dcterms:W3CDTF">2026-07-03T00:23:00Z</dcterms:created>
  <dcterms:modified xsi:type="dcterms:W3CDTF">2026-07-14T07:18:00Z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ocid">
    <vt:lpwstr>351a6fdf-9fe4-4e5c-9e68-dae937ff6969</vt:lpwstr>
  </property>
  <property fmtid="{D5CDD505-2E9C-101B-9397-08002B2CF9AE}" pid="4" name="ClassificationTagSetId">
    <vt:lpwstr>e16409a7-1700-4153-9090-3955bc2f0ae8</vt:lpwstr>
  </property>
  <property fmtid="{D5CDD505-2E9C-101B-9397-08002B2CF9AE}" pid="5" name="ComplianceTagSetId">
    <vt:lpwstr>f14fc1f1-8950-40d5-8a29-45909da947d6</vt:lpwstr>
  </property>
  <property fmtid="{D5CDD505-2E9C-101B-9397-08002B2CF9AE}" pid="6" name="FileId">
    <vt:lpwstr>351a6fdf-9fe4-4e5c-9e68-dae937ff6969</vt:lpwstr>
  </property>
  <property fmtid="{D5CDD505-2E9C-101B-9397-08002B2CF9AE}" pid="7" name="UserId">
    <vt:lpwstr>Abdullah Alfraih</vt:lpwstr>
  </property>
  <property fmtid="{D5CDD505-2E9C-101B-9397-08002B2CF9AE}" pid="8" name="TagDateTime">
    <vt:lpwstr>2026-07-14T07:18:49Z</vt:lpwstr>
  </property>
  <property fmtid="{D5CDD505-2E9C-101B-9397-08002B2CF9AE}" pid="9" name="GVData">
    <vt:lpwstr>eyJPUyI6IldpbmRvd3MiLCJkb2NJRCI6IjM1MWE2ZmRmLTlmZTQtNGU1Yy05ZTY4LWRhZTkzN2ZmNjk2OSIsImRvY1N0YXRlIjoie1wiQ3VycmVudFN0YXRlXCI6XCJ7XFxcIkZpcnN0UGFnZURpZmZlcmVudFxcXCI6ZmFsc2UsXFxcIkRpZmZlcmVudE9kZEFuZEV2</vt:lpwstr>
  </property>
  <property fmtid="{D5CDD505-2E9C-101B-9397-08002B2CF9AE}" pid="10" name="GVData0">
    <vt:lpwstr>ZW5QYWdlc1xcXCI6ZmFsc2UsXFxcIlBhZ2VDb3VudFxcXCI6NTAsXFxcIkhlYWRlck1ldGFkYXRhXFxcIjpcXFwiPHNwYW4gc3R5bGU9XFxcXFxcXCJjb2xvcjojRjMwMDAwO1xcXFxcXFwiPjxzdHJvbmc+U2VjcmV0IC0g2LPYsdmKPC9zdHJvbmc+PC9zcGFuPlxc</vt:lpwstr>
  </property>
  <property fmtid="{D5CDD505-2E9C-101B-9397-08002B2CF9AE}" pid="11" name="GVData1">
    <vt:lpwstr>XCIsXFxcIlRoaXJkUGFydHlIZWFkZXJNZXRhZGF0YVxcXCI6XFxcIlxcXCIsXFxcIkdWSGVhZGVyRXhpc3RzXFxcIjpmYWxzZSxcXFwiTm9uR1ZIZWFkZXJFeGlzdHNcXFwiOmZhbHNlLFxcXCJGbG9hdGluZ0hlYWRlckV4aXN0c1xcXCI6dHJ1ZSxcXFwiTm9uR1ZI</vt:lpwstr>
  </property>
  <property fmtid="{D5CDD505-2E9C-101B-9397-08002B2CF9AE}" pid="12" name="GVData2">
    <vt:lpwstr>ZWFkZXJTaGFwZUV4aXN0c1xcXCI6ZmFsc2UsXFxcIlRoaXJkUGFydHlIZWFkZXJzXFxcIjpbXSxcXFwiRm9vdGVyTWV0YWRhdGFcXFwiOlxcXCJcXFwiLFxcXCJUaGlyZFBhcnR5Rm9vdGVyTWV0YWRhdGFcXFwiOlxcXCJcXFwiLFxcXCJHVkZvb3RlckV4aXN0c1xc</vt:lpwstr>
  </property>
  <property fmtid="{D5CDD505-2E9C-101B-9397-08002B2CF9AE}" pid="13" name="GVData3">
    <vt:lpwstr>XCI6ZmFsc2UsXFxcIk5vbkdWRm9vdGVyRXhpc3RzXFxcIjpmYWxzZSxcXFwiRmxvYXRpbmdGb290ZXJFeGlzdHNcXFwiOmZhbHNlLFxcXCJOb25HVkZvb3RlclNoYXBlRXhpc3RzXFxcIjpmYWxzZSxcXFwiVGhpcmRQYXJ0eUZvb3RlcnNcXFwiOltdLFxcXCJXYXRl</vt:lpwstr>
  </property>
  <property fmtid="{D5CDD505-2E9C-101B-9397-08002B2CF9AE}" pid="14" name="GVData4">
    <vt:lpwstr>cm1hcmtNZXRhZGF0YVxcXCI6XFxcIlxcXCIsXFxcIldhdGVybWFya0V4aXN0c1xcXCI6ZmFsc2UsXFxcIlBvd2VycG9pbnRUaXRsZU1ldGFkYXRhXFxcIjpudWxsLFxcXCJQb3dlcnBvaW50U3VidGl0bGVNZXRhZGF0YVxcXCI6bnVsbCxcXFwiVGhpcmRQYXJ0eU1l</vt:lpwstr>
  </property>
  <property fmtid="{D5CDD505-2E9C-101B-9397-08002B2CF9AE}" pid="15" name="GVData5">
    <vt:lpwstr>dGFkYXRhRm91bmRcXFwiOmZhbHNlfVwiLFwiSGVhZGVyXCI6XCI8c3BhbiBzdHlsZT1cXFwiY29sb3I6I0YzMDAwMDtcXFwiPjxzdHJvbmc+U2VjcmV0IC0g2LPYsdmKPC9zdHJvbmc+PC9zcGFuPlwiLFwiT3B0aW9uc1wiOlwie1xcXCJQb3B1cENvbmZpZ3VyYXRp</vt:lpwstr>
  </property>
  <property fmtid="{D5CDD505-2E9C-101B-9397-08002B2CF9AE}" pid="16" name="GVData6">
    <vt:lpwstr>b25cXFwiOntcXFwiQWx3YXlzU2hvd1BvcHVwXFxcIjpmYWxzZSxcXFwiRW5mb3JjZUhlYWRlckZvb3RlclR5cGVcXFwiOnRydWUsXFxcIkhlYWRlclBsYWNlbWVudFR5cGVcXFwiOjEsXFxcIkZvb3RlclBsYWNlbWVudFR5cGVcXFwiOjEsXFxcIkVuZm9yY2VMYXlv</vt:lpwstr>
  </property>
  <property fmtid="{D5CDD505-2E9C-101B-9397-08002B2CF9AE}" pid="17" name="GVData7">
    <vt:lpwstr>dXRPcHRpb25cXFwiOnRydWUsXFxcIkxheW91dE9wdGlvblxcXCI6MCxcXFwiVHJpZ2dlck51bWJlclxcXCI6MCxcXFwiRnJvbUluZGV4XFxcIjowLFxcXCJUb0luZGV4XFxcIjowLFxcXCJFbmZvcmNlT3ZlcndyaXRlT3B0aW9uXFxcIjp0cnVlLFxcXCJPdmVyd3Jp</vt:lpwstr>
  </property>
  <property fmtid="{D5CDD505-2E9C-101B-9397-08002B2CF9AE}" pid="18" name="Classification">
    <vt:lpwstr>Secret - سري</vt:lpwstr>
  </property>
  <property fmtid="{D5CDD505-2E9C-101B-9397-08002B2CF9AE}" pid="19" name="GVData8">
    <vt:lpwstr>dGVPcHRpb25cXFwiOlxcXCJhcHBlbmRcXFwifSxcXFwiSGVhZGVyRW5hYmxlZFxcXCI6ZmFsc2UsXFxcIkhlYWRlclxcXCI6XFxcIjxzcGFuIHN0eWxlPVxcXFxcXFwiY29sb3I6I0YzMDAwMDtcXFxcXFxcIj48c3Ryb25nPlNlY3JldCAtINiz2LHZijwvc3Ryb25n</vt:lpwstr>
  </property>
  <property fmtid="{D5CDD505-2E9C-101B-9397-08002B2CF9AE}" pid="20" name="GVData9">
    <vt:lpwstr>Pjwvc3Bhbj5cXFwiLFxcXCJIZWFkZXJzXFxcIjpbXFxcIjxzcGFuIHN0eWxlPVxcXFxcXFwiY29sb3I6I0YzMDAwMDtcXFxcXFxcIj48c3Ryb25nPlNlY3JldCAtINiz2LHZijwvc3Ryb25nPjwvc3Bhbj5cXFwiXSxcXFwiSGVhZGVyVHlwZVxcXCI6MSxcXFwiSGVh</vt:lpwstr>
  </property>
  <property fmtid="{D5CDD505-2E9C-101B-9397-08002B2CF9AE}" pid="21" name="GVData10">
    <vt:lpwstr>ZGVyVHlwZXNBbGxvd2VkXFxcIjpbMCwxXSxcXFwiSGVhZGVyVXBkYXRlVHlwZVxcXCI6MSxcXFwiRm9vdGVyRW5hYmxlZFxcXCI6ZmFsc2UsXFxcIkZvb3RlclxcXCI6XFxcIlxcXCIsXFxcIkZvb3RlcnNcXFwiOltcXFwiXFxcIl0sXFxcIkZvb3RlclR5cGVcXFwi</vt:lpwstr>
  </property>
  <property fmtid="{D5CDD505-2E9C-101B-9397-08002B2CF9AE}" pid="22" name="GVData11">
    <vt:lpwstr>OjIsXFxcIkZvb3RlclR5cGVzQWxsb3dlZFxcXCI6WzJdLFxcXCJGb290ZXJVcGRhdGVUeXBlXFxcIjowLFxcXCJXYXRlcm1hcmtcXFwiOlxcXCJcXFwiLFxcXCJXYXRlcm1hcmtFbmFibGVkXFxcIjpmYWxzZSxcXFwiU2hvdWxkV3JpdGVXYXRlcm1hcmtcXFwiOmZh</vt:lpwstr>
  </property>
  <property fmtid="{D5CDD505-2E9C-101B-9397-08002B2CF9AE}" pid="23" name="GVData12">
    <vt:lpwstr>bHNlLFxcXCJXYXRlcm1hcmtVcGRhdGVUeXBlXFxcIjoxLFxcXCJQb3dlcnBvaW50VGl0bGVcXFwiOm51bGwsXFxcIlBvd2VycG9pbnRTdWJpdGxlXFxcIjpudWxsfVwiLFwiU3RhdGVcIjpcIntcXFwiRmlyc3RQYWdlRGlmZmVyZW50XFxcIjpmYWxzZSxcXFwiRGlm</vt:lpwstr>
  </property>
  <property fmtid="{D5CDD505-2E9C-101B-9397-08002B2CF9AE}" pid="24" name="GVData13">
    <vt:lpwstr>ZmVyZW50T2RkQW5kRXZlblBhZ2VzXFxcIjpmYWxzZSxcXFwiUGFnZUNvdW50XFxcIjo1MCxcXFwiSGVhZGVyTWV0YWRhdGFcXFwiOlxcXCI8c3BhbiBzdHlsZT1cXFxcXFxcImNvbG9yOiNGMzAwMDA7XFxcXFxcXCI+PHN0cm9uZz5TZWNyZXQgLSDYs9ix2Yo8L3N0</vt:lpwstr>
  </property>
  <property fmtid="{D5CDD505-2E9C-101B-9397-08002B2CF9AE}" pid="25" name="GVData14">
    <vt:lpwstr>cm9uZz48L3NwYW4+XFxcIixcXFwiVGhpcmRQYXJ0eUhlYWRlck1ldGFkYXRhXFxcIjpcXFwiXFxcIixcXFwiR1ZIZWFkZXJFeGlzdHNcXFwiOmZhbHNlLFxcXCJOb25HVkhlYWRlckV4aXN0c1xcXCI6ZmFsc2UsXFxcIkZsb2F0aW5nSGVhZGVyRXhpc3RzXFxcIjp0</vt:lpwstr>
  </property>
  <property fmtid="{D5CDD505-2E9C-101B-9397-08002B2CF9AE}" pid="26" name="GVData15">
    <vt:lpwstr>cnVlLFxcXCJOb25HVkhlYWRlclNoYXBlRXhpc3RzXFxcIjpmYWxzZSxcXFwiVGhpcmRQYXJ0eUhlYWRlcnNcXFwiOltdLFxcXCJGb290ZXJNZXRhZGF0YVxcXCI6XFxcIlxcXCIsXFxcIlRoaXJkUGFydHlGb290ZXJNZXRhZGF0YVxcXCI6XFxcIlxcXCIsXFxcIkdW</vt:lpwstr>
  </property>
  <property fmtid="{D5CDD505-2E9C-101B-9397-08002B2CF9AE}" pid="27" name="GVData16">
    <vt:lpwstr>Rm9vdGVyRXhpc3RzXFxcIjpmYWxzZSxcXFwiTm9uR1ZGb290ZXJFeGlzdHNcXFwiOmZhbHNlLFxcXCJGbG9hdGluZ0Zvb3RlckV4aXN0c1xcXCI6ZmFsc2UsXFxcIk5vbkdWRm9vdGVyU2hhcGVFeGlzdHNcXFwiOmZhbHNlLFxcXCJUaGlyZFBhcnR5Rm9vdGVyc1xc</vt:lpwstr>
  </property>
  <property fmtid="{D5CDD505-2E9C-101B-9397-08002B2CF9AE}" pid="28" name="GVData17">
    <vt:lpwstr>XCI6W10sXFxcIldhdGVybWFya01ldGFkYXRhXFxcIjpcXFwiXFxcIixcXFwiV2F0ZXJtYXJrRXhpc3RzXFxcIjpmYWxzZSxcXFwiUG93ZXJwb2ludFRpdGxlTWV0YWRhdGFcXFwiOm51bGwsXFxcIlBvd2VycG9pbnRTdWJ0aXRsZU1ldGFkYXRhXFxcIjpudWxsLFxc</vt:lpwstr>
  </property>
  <property fmtid="{D5CDD505-2E9C-101B-9397-08002B2CF9AE}" pid="29" name="GVData18">
    <vt:lpwstr>XCJUaGlyZFBhcnR5TWV0YWRhdGFGb3VuZFxcXCI6ZmFsc2V9XCJ9IiwicGFyZW50TGluZUlkcyI6IltcImRkYWJkZDgzLTI4MDAtNDQ0Ni04NDcyLTNhMjJlNWU5ZjI2NlwiLFwiMWM2YzdmYTktZjZhZC00ZDkxLWI5YzctMTE5ODVjOTc5NjcwXCJdIiwid3JpdHRl</vt:lpwstr>
  </property>
  <property fmtid="{D5CDD505-2E9C-101B-9397-08002B2CF9AE}" pid="30" name="GVData19">
    <vt:lpwstr>bktleXMiOiJbXCJndmRvY2lkXCIsXCJDbGFzc2lmaWNhdGlvblRhZ1NldElkXCIsXCJDbGFzc2lmaWNhdGlvblwiLFwiQ29tcGxpYW5jZVRhZ1NldElkXCIsXCJGaWxlSWRcIixcIlVzZXJJZFwiLFwiVGFnRGF0ZVRpbWVcIl0iLCJub09mR3ZEYXRhRW50cmllcyI6</vt:lpwstr>
  </property>
  <property fmtid="{D5CDD505-2E9C-101B-9397-08002B2CF9AE}" pid="31" name="GVData20">
    <vt:lpwstr>IjIwIiwibGluZUlkIjoiYzc5NWIzYjctMGY2ZC00NjAzLWI5MDQtMmVjNTY1NDc4YTE2IiwidGFnc2V0X2UxNjQwOWE3XzE3MDBfNDE1M185MDkwXzM5NTViYzJmMGFlOF9jbGFzc2lmaWNhdGlvbiI6IlNlY3JldCAtINiz2LHZiiJ9</vt:lpwstr>
  </property>
  <property fmtid="{D5CDD505-2E9C-101B-9397-08002B2CF9AE}" pid="32" name="GVData21">
    <vt:lpwstr>(end)</vt:lpwstr>
  </property>
</Properties>
</file>