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8B69F" w14:textId="3437DEEF" w:rsidR="00641FBB" w:rsidRPr="005201F9" w:rsidRDefault="00C97B6A" w:rsidP="005201F9">
      <w:pPr>
        <w:bidi/>
        <w:spacing w:line="360" w:lineRule="auto"/>
        <w:jc w:val="center"/>
        <w:rPr>
          <w:rFonts w:ascii="Traditional Arabic" w:hAnsi="Traditional Arabic" w:cs="Traditional Arabic"/>
          <w:rtl/>
        </w:rPr>
      </w:pPr>
      <w:r w:rsidRPr="005201F9">
        <w:rPr>
          <w:rFonts w:ascii="Traditional Arabic" w:hAnsi="Traditional Arabic" w:cs="Traditional Arabic"/>
          <w:noProof/>
          <w:sz w:val="32"/>
          <w:szCs w:val="32"/>
          <w:rtl/>
        </w:rPr>
        <w:drawing>
          <wp:inline distT="0" distB="0" distL="0" distR="0" wp14:anchorId="5E704B58" wp14:editId="23C6CAD9">
            <wp:extent cx="2471738" cy="1019648"/>
            <wp:effectExtent l="0" t="0" r="508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7625" cy="1030327"/>
                    </a:xfrm>
                    <a:prstGeom prst="rect">
                      <a:avLst/>
                    </a:prstGeom>
                  </pic:spPr>
                </pic:pic>
              </a:graphicData>
            </a:graphic>
          </wp:inline>
        </w:drawing>
      </w:r>
    </w:p>
    <w:p w14:paraId="461A202D" w14:textId="09FAB0FC" w:rsidR="00C97B6A" w:rsidRDefault="00542131" w:rsidP="005201F9">
      <w:pPr>
        <w:bidi/>
        <w:spacing w:line="360" w:lineRule="auto"/>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جامعة ميدأوشن</w:t>
      </w:r>
    </w:p>
    <w:p w14:paraId="736835F0" w14:textId="7472D020" w:rsidR="0057485F" w:rsidRPr="0057485F" w:rsidRDefault="0057485F" w:rsidP="0057485F">
      <w:pPr>
        <w:bidi/>
        <w:spacing w:line="360" w:lineRule="auto"/>
        <w:jc w:val="center"/>
        <w:rPr>
          <w:rFonts w:ascii="Traditional Arabic" w:hAnsi="Traditional Arabic" w:cs="Traditional Arabic"/>
          <w:b/>
          <w:bCs/>
          <w:rtl/>
        </w:rPr>
      </w:pPr>
      <w:r>
        <w:rPr>
          <w:rFonts w:ascii="Traditional Arabic" w:hAnsi="Traditional Arabic" w:cs="Traditional Arabic" w:hint="cs"/>
          <w:b/>
          <w:bCs/>
          <w:rtl/>
        </w:rPr>
        <w:t>كلية الإدارة</w:t>
      </w:r>
    </w:p>
    <w:p w14:paraId="01FEE7BD" w14:textId="77777777" w:rsidR="00555657" w:rsidRDefault="00EC2C94" w:rsidP="005201F9">
      <w:pPr>
        <w:bidi/>
        <w:spacing w:line="360" w:lineRule="auto"/>
        <w:jc w:val="center"/>
        <w:rPr>
          <w:rFonts w:ascii="Traditional Arabic" w:hAnsi="Traditional Arabic" w:cs="Traditional Arabic"/>
          <w:b/>
          <w:bCs/>
          <w:sz w:val="36"/>
          <w:szCs w:val="36"/>
          <w:rtl/>
        </w:rPr>
      </w:pPr>
      <w:r w:rsidRPr="00931A95">
        <w:rPr>
          <w:rFonts w:ascii="Traditional Arabic" w:hAnsi="Traditional Arabic" w:cs="Traditional Arabic"/>
          <w:b/>
          <w:bCs/>
          <w:sz w:val="36"/>
          <w:szCs w:val="36"/>
          <w:rtl/>
        </w:rPr>
        <w:t>الدور الوسيط لاندماج الموظفين على العلاقة بين إدارة المواهب وأداء المنظمات:</w:t>
      </w:r>
    </w:p>
    <w:p w14:paraId="5D0F2238" w14:textId="2B0CF436" w:rsidR="00641FBB" w:rsidRPr="00931A95" w:rsidRDefault="00EC2C94" w:rsidP="00555657">
      <w:pPr>
        <w:bidi/>
        <w:spacing w:line="360" w:lineRule="auto"/>
        <w:jc w:val="center"/>
        <w:rPr>
          <w:rFonts w:ascii="Traditional Arabic" w:hAnsi="Traditional Arabic" w:cs="Traditional Arabic"/>
          <w:b/>
          <w:bCs/>
          <w:sz w:val="36"/>
          <w:szCs w:val="36"/>
          <w:rtl/>
        </w:rPr>
      </w:pPr>
      <w:r w:rsidRPr="00931A95">
        <w:rPr>
          <w:rFonts w:ascii="Traditional Arabic" w:hAnsi="Traditional Arabic" w:cs="Traditional Arabic"/>
          <w:b/>
          <w:bCs/>
          <w:sz w:val="36"/>
          <w:szCs w:val="36"/>
          <w:rtl/>
        </w:rPr>
        <w:t>دراسة حالة شركة الدرعية بالرياض</w:t>
      </w:r>
    </w:p>
    <w:p w14:paraId="332D35E3" w14:textId="77777777" w:rsidR="00740968" w:rsidRDefault="00740968" w:rsidP="005201F9">
      <w:pPr>
        <w:bidi/>
        <w:spacing w:line="360" w:lineRule="auto"/>
        <w:jc w:val="center"/>
        <w:rPr>
          <w:rFonts w:ascii="Traditional Arabic" w:hAnsi="Traditional Arabic" w:cs="Traditional Arabic"/>
          <w:rtl/>
        </w:rPr>
      </w:pPr>
    </w:p>
    <w:p w14:paraId="2188E449" w14:textId="26D20AA1" w:rsidR="00482618" w:rsidRPr="00451F82" w:rsidRDefault="00451F82" w:rsidP="00482618">
      <w:pPr>
        <w:bidi/>
        <w:spacing w:line="360" w:lineRule="auto"/>
        <w:jc w:val="center"/>
        <w:rPr>
          <w:rFonts w:ascii="Traditional Arabic" w:hAnsi="Traditional Arabic" w:cs="Traditional Arabic"/>
          <w:b/>
          <w:bCs/>
          <w:sz w:val="28"/>
          <w:szCs w:val="28"/>
          <w:rtl/>
        </w:rPr>
      </w:pPr>
      <w:r w:rsidRPr="00451F82">
        <w:rPr>
          <w:rFonts w:ascii="Traditional Arabic" w:hAnsi="Traditional Arabic" w:cs="Traditional Arabic" w:hint="cs"/>
          <w:b/>
          <w:bCs/>
          <w:sz w:val="28"/>
          <w:szCs w:val="28"/>
          <w:rtl/>
        </w:rPr>
        <w:t>إعداد</w:t>
      </w:r>
    </w:p>
    <w:p w14:paraId="6F16B7DA" w14:textId="62EE9715" w:rsidR="00641FBB" w:rsidRDefault="00641FBB" w:rsidP="005201F9">
      <w:pPr>
        <w:bidi/>
        <w:spacing w:line="360" w:lineRule="auto"/>
        <w:jc w:val="center"/>
        <w:rPr>
          <w:rFonts w:ascii="Traditional Arabic" w:hAnsi="Traditional Arabic" w:cs="Traditional Arabic"/>
          <w:b/>
          <w:bCs/>
          <w:sz w:val="28"/>
          <w:szCs w:val="28"/>
          <w:rtl/>
        </w:rPr>
      </w:pPr>
      <w:r w:rsidRPr="00451F82">
        <w:rPr>
          <w:rFonts w:ascii="Traditional Arabic" w:hAnsi="Traditional Arabic" w:cs="Traditional Arabic"/>
          <w:b/>
          <w:bCs/>
          <w:sz w:val="28"/>
          <w:szCs w:val="28"/>
          <w:rtl/>
        </w:rPr>
        <w:t xml:space="preserve">خالد مطر سائر </w:t>
      </w:r>
      <w:proofErr w:type="spellStart"/>
      <w:r w:rsidRPr="00451F82">
        <w:rPr>
          <w:rFonts w:ascii="Traditional Arabic" w:hAnsi="Traditional Arabic" w:cs="Traditional Arabic"/>
          <w:b/>
          <w:bCs/>
          <w:sz w:val="28"/>
          <w:szCs w:val="28"/>
          <w:rtl/>
        </w:rPr>
        <w:t>المضياني</w:t>
      </w:r>
      <w:proofErr w:type="spellEnd"/>
      <w:r w:rsidRPr="00451F82">
        <w:rPr>
          <w:rFonts w:ascii="Traditional Arabic" w:hAnsi="Traditional Arabic" w:cs="Traditional Arabic"/>
          <w:b/>
          <w:bCs/>
          <w:sz w:val="28"/>
          <w:szCs w:val="28"/>
          <w:rtl/>
        </w:rPr>
        <w:t xml:space="preserve"> العنزي</w:t>
      </w:r>
    </w:p>
    <w:p w14:paraId="716604FB" w14:textId="52678D65" w:rsidR="00B7517D" w:rsidRPr="00B7517D" w:rsidRDefault="00B7517D" w:rsidP="00B7517D">
      <w:pPr>
        <w:bidi/>
        <w:spacing w:line="360" w:lineRule="auto"/>
        <w:jc w:val="center"/>
        <w:rPr>
          <w:rFonts w:ascii="Traditional Arabic" w:hAnsi="Traditional Arabic" w:cs="Traditional Arabic"/>
          <w:b/>
          <w:bCs/>
          <w:rtl/>
        </w:rPr>
      </w:pPr>
      <w:r w:rsidRPr="00B7517D">
        <w:rPr>
          <w:rFonts w:ascii="Traditional Arabic" w:hAnsi="Traditional Arabic" w:cs="Traditional Arabic" w:hint="cs"/>
          <w:b/>
          <w:bCs/>
          <w:rtl/>
        </w:rPr>
        <w:t>المملكة العربية السعودية</w:t>
      </w:r>
    </w:p>
    <w:p w14:paraId="14B5D149" w14:textId="4EBC0179" w:rsidR="00641FBB" w:rsidRDefault="005E69FB" w:rsidP="005201F9">
      <w:pPr>
        <w:bidi/>
        <w:spacing w:line="360" w:lineRule="auto"/>
        <w:jc w:val="center"/>
        <w:rPr>
          <w:rFonts w:ascii="Traditional Arabic" w:hAnsi="Traditional Arabic" w:cs="Traditional Arabic"/>
          <w:b/>
          <w:bCs/>
          <w:sz w:val="28"/>
          <w:szCs w:val="28"/>
          <w:rtl/>
        </w:rPr>
      </w:pPr>
      <w:proofErr w:type="spellStart"/>
      <w:r w:rsidRPr="005E69FB">
        <w:rPr>
          <w:rFonts w:ascii="Traditional Arabic" w:hAnsi="Traditional Arabic" w:cs="Traditional Arabic" w:hint="cs"/>
          <w:b/>
          <w:bCs/>
          <w:sz w:val="28"/>
          <w:szCs w:val="28"/>
          <w:rtl/>
        </w:rPr>
        <w:t>رﺳـــﺎﻟﺔ</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ﻣﻘﺪﻣﺔ</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ﻟﺠﺎﻣﻌﺔ</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ﻣﻴﺪأوﺷـــﻦ</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ﻻﺳـــﺘﻜﻤﺎل</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ﻣﺘﻄﻠﺒـــﺎت</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ﻧﻴﻞ</w:t>
      </w:r>
      <w:proofErr w:type="spellEnd"/>
      <w:r w:rsidRPr="005E69FB">
        <w:rPr>
          <w:rFonts w:ascii="Traditional Arabic" w:hAnsi="Traditional Arabic" w:cs="Traditional Arabic"/>
          <w:b/>
          <w:bCs/>
          <w:sz w:val="28"/>
          <w:szCs w:val="28"/>
          <w:rtl/>
        </w:rPr>
        <w:t xml:space="preserve"> </w:t>
      </w:r>
      <w:proofErr w:type="spellStart"/>
      <w:r w:rsidRPr="005E69FB">
        <w:rPr>
          <w:rFonts w:ascii="Traditional Arabic" w:hAnsi="Traditional Arabic" w:cs="Traditional Arabic" w:hint="cs"/>
          <w:b/>
          <w:bCs/>
          <w:sz w:val="28"/>
          <w:szCs w:val="28"/>
          <w:rtl/>
        </w:rPr>
        <w:t>درﺟﺔ</w:t>
      </w:r>
      <w:proofErr w:type="spellEnd"/>
    </w:p>
    <w:p w14:paraId="45A596AD" w14:textId="105F5CC3" w:rsidR="00DB72F1" w:rsidRPr="005E69FB" w:rsidRDefault="00DB72F1" w:rsidP="00DB72F1">
      <w:pPr>
        <w:bidi/>
        <w:spacing w:line="360" w:lineRule="auto"/>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في</w:t>
      </w:r>
    </w:p>
    <w:p w14:paraId="67631840" w14:textId="3156AA9C" w:rsidR="00740968" w:rsidRDefault="00DB72F1" w:rsidP="005201F9">
      <w:pPr>
        <w:bidi/>
        <w:spacing w:line="360" w:lineRule="auto"/>
        <w:jc w:val="center"/>
        <w:rPr>
          <w:rFonts w:ascii="Traditional Arabic" w:hAnsi="Traditional Arabic" w:cs="Traditional Arabic"/>
          <w:b/>
          <w:bCs/>
          <w:rtl/>
        </w:rPr>
      </w:pPr>
      <w:r w:rsidRPr="005904B2">
        <w:rPr>
          <w:rFonts w:ascii="Traditional Arabic" w:hAnsi="Traditional Arabic" w:cs="Traditional Arabic" w:hint="cs"/>
          <w:b/>
          <w:bCs/>
          <w:rtl/>
        </w:rPr>
        <w:t>دكتوراه</w:t>
      </w:r>
      <w:r w:rsidRPr="005904B2">
        <w:rPr>
          <w:rFonts w:ascii="Traditional Arabic" w:hAnsi="Traditional Arabic" w:cs="Traditional Arabic"/>
          <w:b/>
          <w:bCs/>
          <w:rtl/>
        </w:rPr>
        <w:t xml:space="preserve"> </w:t>
      </w:r>
      <w:r w:rsidRPr="005904B2">
        <w:rPr>
          <w:rFonts w:ascii="Traditional Arabic" w:hAnsi="Traditional Arabic" w:cs="Traditional Arabic" w:hint="cs"/>
          <w:b/>
          <w:bCs/>
          <w:rtl/>
        </w:rPr>
        <w:t>الفلسفة</w:t>
      </w:r>
      <w:r w:rsidRPr="005904B2">
        <w:rPr>
          <w:rFonts w:ascii="Traditional Arabic" w:hAnsi="Traditional Arabic" w:cs="Traditional Arabic"/>
          <w:b/>
          <w:bCs/>
          <w:rtl/>
        </w:rPr>
        <w:t xml:space="preserve"> </w:t>
      </w:r>
      <w:r w:rsidRPr="005904B2">
        <w:rPr>
          <w:rFonts w:ascii="Traditional Arabic" w:hAnsi="Traditional Arabic" w:cs="Traditional Arabic" w:hint="cs"/>
          <w:b/>
          <w:bCs/>
          <w:rtl/>
        </w:rPr>
        <w:t>في</w:t>
      </w:r>
      <w:r w:rsidRPr="005904B2">
        <w:rPr>
          <w:rFonts w:ascii="Traditional Arabic" w:hAnsi="Traditional Arabic" w:cs="Traditional Arabic"/>
          <w:b/>
          <w:bCs/>
          <w:rtl/>
        </w:rPr>
        <w:t xml:space="preserve"> </w:t>
      </w:r>
      <w:r w:rsidRPr="005904B2">
        <w:rPr>
          <w:rFonts w:ascii="Traditional Arabic" w:hAnsi="Traditional Arabic" w:cs="Traditional Arabic" w:hint="cs"/>
          <w:b/>
          <w:bCs/>
          <w:rtl/>
        </w:rPr>
        <w:t>الإدارة</w:t>
      </w:r>
    </w:p>
    <w:p w14:paraId="1F1A6395" w14:textId="36F6FE02" w:rsidR="000A74D3" w:rsidRPr="0023078C" w:rsidRDefault="000A74D3" w:rsidP="000A74D3">
      <w:pPr>
        <w:bidi/>
        <w:spacing w:line="360" w:lineRule="auto"/>
        <w:jc w:val="center"/>
        <w:rPr>
          <w:rFonts w:ascii="Traditional Arabic" w:hAnsi="Traditional Arabic" w:cs="Traditional Arabic"/>
          <w:b/>
          <w:bCs/>
          <w:sz w:val="16"/>
          <w:szCs w:val="16"/>
        </w:rPr>
      </w:pPr>
      <w:r w:rsidRPr="0023078C">
        <w:rPr>
          <w:rFonts w:ascii="Traditional Arabic" w:hAnsi="Traditional Arabic" w:cs="Traditional Arabic" w:hint="cs"/>
          <w:b/>
          <w:bCs/>
          <w:sz w:val="16"/>
          <w:szCs w:val="16"/>
          <w:rtl/>
        </w:rPr>
        <w:t>2026 - 2027</w:t>
      </w:r>
    </w:p>
    <w:p w14:paraId="07ADC490" w14:textId="77777777" w:rsidR="00740968" w:rsidRPr="005201F9" w:rsidRDefault="00740968" w:rsidP="005201F9">
      <w:pPr>
        <w:bidi/>
        <w:spacing w:line="360" w:lineRule="auto"/>
        <w:jc w:val="center"/>
        <w:rPr>
          <w:rFonts w:ascii="Traditional Arabic" w:hAnsi="Traditional Arabic" w:cs="Traditional Arabic"/>
          <w:rtl/>
        </w:rPr>
      </w:pPr>
    </w:p>
    <w:p w14:paraId="073C0F6F" w14:textId="77777777" w:rsidR="00641FBB" w:rsidRPr="005201F9" w:rsidRDefault="00641FBB" w:rsidP="005201F9">
      <w:pPr>
        <w:bidi/>
        <w:spacing w:line="360" w:lineRule="auto"/>
        <w:rPr>
          <w:rFonts w:ascii="Traditional Arabic" w:hAnsi="Traditional Arabic" w:cs="Traditional Arabic"/>
          <w:rtl/>
        </w:rPr>
      </w:pPr>
    </w:p>
    <w:p w14:paraId="08415467" w14:textId="77777777" w:rsidR="00641FBB" w:rsidRPr="005201F9" w:rsidRDefault="00641FBB" w:rsidP="005201F9">
      <w:pPr>
        <w:bidi/>
        <w:spacing w:line="360" w:lineRule="auto"/>
        <w:rPr>
          <w:rFonts w:ascii="Traditional Arabic" w:hAnsi="Traditional Arabic" w:cs="Traditional Arabic"/>
          <w:rtl/>
        </w:rPr>
      </w:pPr>
    </w:p>
    <w:p w14:paraId="34AE5F04" w14:textId="66C98D04" w:rsidR="00845A56" w:rsidRDefault="0060733E" w:rsidP="00845A56">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المستخلص</w:t>
      </w:r>
    </w:p>
    <w:p w14:paraId="15F67B26" w14:textId="77777777" w:rsidR="000022A3" w:rsidRPr="00845A56" w:rsidRDefault="000022A3" w:rsidP="000022A3">
      <w:pPr>
        <w:bidi/>
        <w:spacing w:after="0" w:line="360" w:lineRule="auto"/>
        <w:jc w:val="both"/>
        <w:rPr>
          <w:rFonts w:ascii="Traditional Arabic" w:hAnsi="Traditional Arabic" w:cs="Traditional Arabic"/>
          <w:b/>
          <w:bCs/>
          <w:sz w:val="28"/>
          <w:szCs w:val="28"/>
        </w:rPr>
      </w:pPr>
    </w:p>
    <w:p w14:paraId="207FE92F" w14:textId="77777777" w:rsidR="00845A56" w:rsidRPr="00845A56" w:rsidRDefault="00845A56" w:rsidP="00845A56">
      <w:pPr>
        <w:bidi/>
        <w:spacing w:after="0" w:line="360" w:lineRule="auto"/>
        <w:jc w:val="both"/>
        <w:rPr>
          <w:rFonts w:ascii="Traditional Arabic" w:hAnsi="Traditional Arabic" w:cs="Traditional Arabic"/>
        </w:rPr>
      </w:pPr>
      <w:r w:rsidRPr="00845A56">
        <w:rPr>
          <w:rFonts w:ascii="Traditional Arabic" w:hAnsi="Traditional Arabic" w:cs="Traditional Arabic"/>
          <w:rtl/>
        </w:rPr>
        <w:t>تهدف هذه الدراسة إلى تحليل الدور الوسيط لاندماج الموظفين في العلاقة بين إدارة المواهب والأداء التنظيمي في شركة الدرعية بمدينة الرياض. وتنطلق الدراسة من فجوة بحثية تتمثل في أن العديد من الدراسات السابقة ركزت على قياس الأثر المباشر لإدارة المواهب على الأداء التنظيمي، دون التعمق في دراسة المتغيرات السلوكية التي تفسر آليات انتقال هذا الأثر، ومن أبرزها اندماج الموظفين. وتزداد أهمية هذه الفجوة في السياق السعودي، ولا سيما في الشركات التنموية الكبرى المرتبطة بمستهدفات رؤية المملكة العربية السعودية 2030، والتي تعتمد بدرجة كبيرة على الكفاءات البشرية في تحقيق أهدافها الاستراتيجية</w:t>
      </w:r>
      <w:r w:rsidRPr="00845A56">
        <w:rPr>
          <w:rFonts w:ascii="Traditional Arabic" w:hAnsi="Traditional Arabic" w:cs="Traditional Arabic"/>
        </w:rPr>
        <w:t>.</w:t>
      </w:r>
    </w:p>
    <w:p w14:paraId="6621638C" w14:textId="77777777" w:rsidR="00845A56" w:rsidRPr="00845A56" w:rsidRDefault="00845A56" w:rsidP="00845A56">
      <w:pPr>
        <w:bidi/>
        <w:spacing w:after="0" w:line="360" w:lineRule="auto"/>
        <w:jc w:val="both"/>
        <w:rPr>
          <w:rFonts w:ascii="Traditional Arabic" w:hAnsi="Traditional Arabic" w:cs="Traditional Arabic"/>
        </w:rPr>
      </w:pPr>
      <w:r w:rsidRPr="00845A56">
        <w:rPr>
          <w:rFonts w:ascii="Traditional Arabic" w:hAnsi="Traditional Arabic" w:cs="Traditional Arabic"/>
          <w:rtl/>
        </w:rPr>
        <w:t>وتتمثل الأهمية النظرية للدراسة في تقديم إطار تكاملي يربط بين إدارة المواهب واندماج الموظفين والأداء التنظيمي ضمن نموذج تحليلي واحد، بما يسهم في إثراء أدبيات إدارة الموارد البشرية الاستراتيجية وتوسيع الفهم العلمي للدور الذي يؤديه اندماج الموظفين بوصفه متغيرًا وسيطًا في تفسير العلاقة بين إدارة المواهب والأداء التنظيمي. كما تتجلى أهميتها التطبيقية في توفير مؤشرات علمية ونتائج عملية تساعد صناع القرار وإدارة الموارد البشرية في شركة الدرعية على تطوير ممارسات إدارة المواهب وتعزيز مستويات اندماج الموظفين بما يدعم تحسين الأداء التنظيمي ورفع كفاءة الإنجاز المؤسسي</w:t>
      </w:r>
      <w:r w:rsidRPr="00845A56">
        <w:rPr>
          <w:rFonts w:ascii="Traditional Arabic" w:hAnsi="Traditional Arabic" w:cs="Traditional Arabic"/>
        </w:rPr>
        <w:t>.</w:t>
      </w:r>
    </w:p>
    <w:p w14:paraId="29F4E9E5" w14:textId="77777777" w:rsidR="00845A56" w:rsidRPr="00845A56" w:rsidRDefault="00845A56" w:rsidP="00845A56">
      <w:pPr>
        <w:bidi/>
        <w:spacing w:after="0" w:line="360" w:lineRule="auto"/>
        <w:jc w:val="both"/>
        <w:rPr>
          <w:rFonts w:ascii="Traditional Arabic" w:hAnsi="Traditional Arabic" w:cs="Traditional Arabic"/>
        </w:rPr>
      </w:pPr>
      <w:r w:rsidRPr="00845A56">
        <w:rPr>
          <w:rFonts w:ascii="Traditional Arabic" w:hAnsi="Traditional Arabic" w:cs="Traditional Arabic"/>
          <w:rtl/>
        </w:rPr>
        <w:t>واعتمدت الدراسة المنهج المختلط</w:t>
      </w:r>
      <w:r w:rsidRPr="00845A56">
        <w:rPr>
          <w:rFonts w:ascii="Traditional Arabic" w:hAnsi="Traditional Arabic" w:cs="Traditional Arabic"/>
        </w:rPr>
        <w:t xml:space="preserve"> (Mixed Methods) </w:t>
      </w:r>
      <w:r w:rsidRPr="00845A56">
        <w:rPr>
          <w:rFonts w:ascii="Traditional Arabic" w:hAnsi="Traditional Arabic" w:cs="Traditional Arabic"/>
          <w:rtl/>
        </w:rPr>
        <w:t>الذي يجمع بين المدخلين الكمي والنوعي؛ حيث تم تطبيق الدراسة على مجتمع الدراسة المتمثل في القيادات الإدارية والمشرفين والتنفيذيين والعاملين في إدارة الموارد البشرية بشركة الدرعية باستخدام أسلوب الحصر الشامل. واعتمدت الدراسة على الاستبانة بوصفها الأداة الرئيسة لجمع البيانات الكمية، إضافة إلى المقابلات الشخصية شبه المهيكلة مع عدد من القيادات الإدارية لجمع البيانات النوعية وتفسير النتائج بصورة أكثر عمقًا. وسيتم تحليل البيانات الكمية باستخدام البرنامج الإحصائي</w:t>
      </w:r>
      <w:r w:rsidRPr="00845A56">
        <w:rPr>
          <w:rFonts w:ascii="Traditional Arabic" w:hAnsi="Traditional Arabic" w:cs="Traditional Arabic"/>
        </w:rPr>
        <w:t xml:space="preserve"> (SPSS) </w:t>
      </w:r>
      <w:r w:rsidRPr="00845A56">
        <w:rPr>
          <w:rFonts w:ascii="Traditional Arabic" w:hAnsi="Traditional Arabic" w:cs="Traditional Arabic"/>
          <w:rtl/>
        </w:rPr>
        <w:t>من خلال الإحصاءات الوصفية، واختبارات الصدق والثبات، وتحليل الارتباط، وتحليل الانحدار، وتحليل الوساطة، في حين سيتم تحليل البيانات النوعية وفق أسلوب التحليل الموضوعي</w:t>
      </w:r>
      <w:r w:rsidRPr="00845A56">
        <w:rPr>
          <w:rFonts w:ascii="Traditional Arabic" w:hAnsi="Traditional Arabic" w:cs="Traditional Arabic"/>
        </w:rPr>
        <w:t>.</w:t>
      </w:r>
    </w:p>
    <w:p w14:paraId="33BDCF95" w14:textId="77777777" w:rsidR="00845A56" w:rsidRPr="00845A56" w:rsidRDefault="00845A56" w:rsidP="00845A56">
      <w:pPr>
        <w:bidi/>
        <w:spacing w:after="0" w:line="360" w:lineRule="auto"/>
        <w:jc w:val="both"/>
        <w:rPr>
          <w:rFonts w:ascii="Traditional Arabic" w:hAnsi="Traditional Arabic" w:cs="Traditional Arabic"/>
        </w:rPr>
      </w:pPr>
      <w:r w:rsidRPr="00845A56">
        <w:rPr>
          <w:rFonts w:ascii="Traditional Arabic" w:hAnsi="Traditional Arabic" w:cs="Traditional Arabic"/>
          <w:rtl/>
        </w:rPr>
        <w:t>ومن المتوقع أن تكشف الدراسة عن وجود تأثير إيجابي ذي دلالة إحصائية لإدارة المواهب على الأداء التنظيمي، وأن تسهم ممارسات إدارة المواهب في تعزيز مستويات اندماج الموظفين، وأن يؤدي ارتفاع مستوى اندماج الموظفين إلى تحسين الأداء التنظيمي. كما يُتوقع أن يؤدي اندماج الموظفين دورًا وسيطًا في العلاقة بين إدارة المواهب والأداء التنظيمي، بما يفسر بصورة أعمق آليات تأثير ممارسات إدارة المواهب على نتائج الأداء داخل المنظمات. وتوفر نتائج الدراسة دلالات تطبيقية يمكن الاستفادة منها في تطوير السياسات والممارسات الإدارية المتعلقة بإدارة المواهب والاندماج الوظيفي في شركة الدرعية وفي المنظمات التنموية المماثلة داخل المملكة العربية السعودية</w:t>
      </w:r>
      <w:r w:rsidRPr="00845A56">
        <w:rPr>
          <w:rFonts w:ascii="Traditional Arabic" w:hAnsi="Traditional Arabic" w:cs="Traditional Arabic"/>
        </w:rPr>
        <w:t>.</w:t>
      </w:r>
    </w:p>
    <w:p w14:paraId="0C0F9821" w14:textId="77777777" w:rsidR="00845A56" w:rsidRDefault="00845A56" w:rsidP="00845A56">
      <w:pPr>
        <w:bidi/>
        <w:spacing w:after="0" w:line="360" w:lineRule="auto"/>
        <w:jc w:val="both"/>
        <w:rPr>
          <w:rFonts w:ascii="Traditional Arabic" w:hAnsi="Traditional Arabic" w:cs="Traditional Arabic"/>
          <w:b/>
          <w:bCs/>
          <w:sz w:val="28"/>
          <w:szCs w:val="28"/>
          <w:rtl/>
        </w:rPr>
      </w:pPr>
    </w:p>
    <w:p w14:paraId="13D1555B" w14:textId="056197F7" w:rsidR="00845A56" w:rsidRPr="00845A56" w:rsidRDefault="00845A56" w:rsidP="00845A56">
      <w:pPr>
        <w:bidi/>
        <w:spacing w:after="0" w:line="360" w:lineRule="auto"/>
        <w:jc w:val="both"/>
        <w:rPr>
          <w:rFonts w:ascii="Traditional Arabic" w:hAnsi="Traditional Arabic" w:cs="Traditional Arabic"/>
        </w:rPr>
      </w:pPr>
      <w:r w:rsidRPr="00845A56">
        <w:rPr>
          <w:rFonts w:ascii="Traditional Arabic" w:hAnsi="Traditional Arabic" w:cs="Traditional Arabic"/>
          <w:rtl/>
        </w:rPr>
        <w:t>الكلمات المفتاحية: إدارة المواهب، اندماج الموظفين، الأداء التنظيمي، الدور الوسيط، شركة الدرعية، رؤية المملكة العربية السعودية 2030</w:t>
      </w:r>
      <w:r w:rsidRPr="00845A56">
        <w:rPr>
          <w:rFonts w:ascii="Traditional Arabic" w:hAnsi="Traditional Arabic" w:cs="Traditional Arabic"/>
        </w:rPr>
        <w:t>.</w:t>
      </w:r>
    </w:p>
    <w:p w14:paraId="12AD94EA" w14:textId="77777777" w:rsidR="00845A56" w:rsidRPr="00845A56" w:rsidRDefault="00845A56" w:rsidP="00845A56">
      <w:pPr>
        <w:bidi/>
        <w:spacing w:after="0" w:line="360" w:lineRule="auto"/>
        <w:jc w:val="both"/>
        <w:rPr>
          <w:rFonts w:ascii="Traditional Arabic" w:hAnsi="Traditional Arabic" w:cs="Traditional Arabic"/>
          <w:b/>
          <w:bCs/>
          <w:sz w:val="28"/>
          <w:szCs w:val="28"/>
          <w:rtl/>
        </w:rPr>
      </w:pPr>
    </w:p>
    <w:p w14:paraId="2FDD279C" w14:textId="77777777" w:rsidR="0060733E" w:rsidRDefault="0060733E" w:rsidP="0060733E">
      <w:pPr>
        <w:bidi/>
        <w:spacing w:after="0" w:line="360" w:lineRule="auto"/>
        <w:jc w:val="both"/>
        <w:rPr>
          <w:rFonts w:ascii="Traditional Arabic" w:hAnsi="Traditional Arabic" w:cs="Traditional Arabic"/>
          <w:b/>
          <w:bCs/>
          <w:sz w:val="28"/>
          <w:szCs w:val="28"/>
          <w:rtl/>
        </w:rPr>
      </w:pPr>
    </w:p>
    <w:p w14:paraId="4496BC75" w14:textId="77777777" w:rsidR="00AD2ACA" w:rsidRDefault="00AD2ACA" w:rsidP="00F922BA">
      <w:pPr>
        <w:spacing w:after="0" w:line="360" w:lineRule="auto"/>
        <w:jc w:val="both"/>
        <w:rPr>
          <w:rFonts w:asciiTheme="majorBidi" w:hAnsiTheme="majorBidi" w:cstheme="majorBidi"/>
          <w:b/>
          <w:bCs/>
          <w:sz w:val="28"/>
          <w:szCs w:val="28"/>
        </w:rPr>
      </w:pPr>
    </w:p>
    <w:p w14:paraId="608A23FB" w14:textId="77777777" w:rsidR="00AD2ACA" w:rsidRDefault="00AD2ACA" w:rsidP="00F922BA">
      <w:pPr>
        <w:spacing w:after="0" w:line="360" w:lineRule="auto"/>
        <w:jc w:val="both"/>
        <w:rPr>
          <w:rFonts w:asciiTheme="majorBidi" w:hAnsiTheme="majorBidi" w:cstheme="majorBidi"/>
          <w:b/>
          <w:bCs/>
          <w:sz w:val="28"/>
          <w:szCs w:val="28"/>
        </w:rPr>
      </w:pPr>
    </w:p>
    <w:p w14:paraId="0355D57A" w14:textId="2E93475A" w:rsidR="00F922BA" w:rsidRPr="00F922BA" w:rsidRDefault="0060733E" w:rsidP="00F922BA">
      <w:pPr>
        <w:spacing w:after="0" w:line="360" w:lineRule="auto"/>
        <w:jc w:val="both"/>
        <w:rPr>
          <w:rFonts w:asciiTheme="majorBidi" w:hAnsiTheme="majorBidi" w:cstheme="majorBidi"/>
          <w:b/>
          <w:bCs/>
          <w:sz w:val="28"/>
          <w:szCs w:val="28"/>
        </w:rPr>
      </w:pPr>
      <w:r w:rsidRPr="00F922BA">
        <w:rPr>
          <w:rFonts w:asciiTheme="majorBidi" w:hAnsiTheme="majorBidi" w:cstheme="majorBidi"/>
          <w:b/>
          <w:bCs/>
          <w:sz w:val="28"/>
          <w:szCs w:val="28"/>
        </w:rPr>
        <w:lastRenderedPageBreak/>
        <w:t>Abstract</w:t>
      </w:r>
    </w:p>
    <w:p w14:paraId="2C472FB8" w14:textId="77777777" w:rsidR="000022A3" w:rsidRDefault="000022A3" w:rsidP="00F922BA">
      <w:pPr>
        <w:spacing w:after="0" w:line="360" w:lineRule="auto"/>
        <w:jc w:val="both"/>
        <w:rPr>
          <w:rFonts w:asciiTheme="majorBidi" w:hAnsiTheme="majorBidi" w:cstheme="majorBidi"/>
        </w:rPr>
      </w:pPr>
    </w:p>
    <w:p w14:paraId="0EEB5FF2" w14:textId="2BDF3028" w:rsidR="00F922BA" w:rsidRDefault="00F922BA" w:rsidP="00F922BA">
      <w:pPr>
        <w:spacing w:after="0" w:line="360" w:lineRule="auto"/>
        <w:jc w:val="both"/>
        <w:rPr>
          <w:rFonts w:asciiTheme="majorBidi" w:hAnsiTheme="majorBidi" w:cstheme="majorBidi"/>
        </w:rPr>
      </w:pPr>
      <w:r w:rsidRPr="00F922BA">
        <w:rPr>
          <w:rFonts w:asciiTheme="majorBidi" w:hAnsiTheme="majorBidi" w:cstheme="majorBidi"/>
        </w:rPr>
        <w:t xml:space="preserve">This study aims to examine the mediating role of employee engagement in the relationship between talent management and organizational performance at </w:t>
      </w:r>
      <w:proofErr w:type="spellStart"/>
      <w:r w:rsidRPr="00F922BA">
        <w:rPr>
          <w:rFonts w:asciiTheme="majorBidi" w:hAnsiTheme="majorBidi" w:cstheme="majorBidi"/>
        </w:rPr>
        <w:t>Diriyah</w:t>
      </w:r>
      <w:proofErr w:type="spellEnd"/>
      <w:r w:rsidRPr="00F922BA">
        <w:rPr>
          <w:rFonts w:asciiTheme="majorBidi" w:hAnsiTheme="majorBidi" w:cstheme="majorBidi"/>
        </w:rPr>
        <w:t xml:space="preserve"> Company in Riyadh. The study stems from a research gap identified in previous literature, where many studies have primarily focused on the direct effect of talent management on organizational performance without sufficiently examining the behavioral mechanisms through which this effect is transmitted, particularly employee engagement. This gap becomes more pronounced within the Saudi context, especially in large-scale development organizations associated with Saudi Vision 2030, which rely heavily on highly capable human resources to achieve their strategic objectives.</w:t>
      </w:r>
    </w:p>
    <w:p w14:paraId="0CC9AFB3" w14:textId="77777777" w:rsidR="00AD2ACA" w:rsidRPr="00F922BA" w:rsidRDefault="00AD2ACA" w:rsidP="00F922BA">
      <w:pPr>
        <w:spacing w:after="0" w:line="360" w:lineRule="auto"/>
        <w:jc w:val="both"/>
        <w:rPr>
          <w:rFonts w:asciiTheme="majorBidi" w:hAnsiTheme="majorBidi" w:cstheme="majorBidi"/>
        </w:rPr>
      </w:pPr>
    </w:p>
    <w:p w14:paraId="76CC8A59" w14:textId="77777777" w:rsidR="00F922BA" w:rsidRDefault="00F922BA" w:rsidP="00F922BA">
      <w:pPr>
        <w:spacing w:after="0" w:line="360" w:lineRule="auto"/>
        <w:jc w:val="both"/>
        <w:rPr>
          <w:rFonts w:asciiTheme="majorBidi" w:hAnsiTheme="majorBidi" w:cstheme="majorBidi"/>
        </w:rPr>
      </w:pPr>
      <w:r w:rsidRPr="00F922BA">
        <w:rPr>
          <w:rFonts w:asciiTheme="majorBidi" w:hAnsiTheme="majorBidi" w:cstheme="majorBidi"/>
        </w:rPr>
        <w:t xml:space="preserve">The theoretical significance of this study lies in proposing an integrative framework that links talent management, employee engagement, and organizational performance within a single analytical model, thereby enriching the literature on strategic human resource management and extending the understanding of employee engagement as a mediating variable in organizational performance models. Its practical significance stems from providing evidence-based insights that may assist decision-makers and human resource professionals at </w:t>
      </w:r>
      <w:proofErr w:type="spellStart"/>
      <w:r w:rsidRPr="00F922BA">
        <w:rPr>
          <w:rFonts w:asciiTheme="majorBidi" w:hAnsiTheme="majorBidi" w:cstheme="majorBidi"/>
        </w:rPr>
        <w:t>Diriyah</w:t>
      </w:r>
      <w:proofErr w:type="spellEnd"/>
      <w:r w:rsidRPr="00F922BA">
        <w:rPr>
          <w:rFonts w:asciiTheme="majorBidi" w:hAnsiTheme="majorBidi" w:cstheme="majorBidi"/>
        </w:rPr>
        <w:t xml:space="preserve"> Company in developing talent management practices and enhancing employee engagement to improve organizational performance and institutional effectiveness.</w:t>
      </w:r>
    </w:p>
    <w:p w14:paraId="55E21312" w14:textId="77777777" w:rsidR="00AD2ACA" w:rsidRPr="00F922BA" w:rsidRDefault="00AD2ACA" w:rsidP="00F922BA">
      <w:pPr>
        <w:spacing w:after="0" w:line="360" w:lineRule="auto"/>
        <w:jc w:val="both"/>
        <w:rPr>
          <w:rFonts w:asciiTheme="majorBidi" w:hAnsiTheme="majorBidi" w:cstheme="majorBidi"/>
        </w:rPr>
      </w:pPr>
    </w:p>
    <w:p w14:paraId="1FE46475" w14:textId="77777777" w:rsidR="00F922BA" w:rsidRDefault="00F922BA" w:rsidP="00F922BA">
      <w:pPr>
        <w:spacing w:after="0" w:line="360" w:lineRule="auto"/>
        <w:jc w:val="both"/>
        <w:rPr>
          <w:rFonts w:asciiTheme="majorBidi" w:hAnsiTheme="majorBidi" w:cstheme="majorBidi"/>
        </w:rPr>
      </w:pPr>
      <w:r w:rsidRPr="00F922BA">
        <w:rPr>
          <w:rFonts w:asciiTheme="majorBidi" w:hAnsiTheme="majorBidi" w:cstheme="majorBidi"/>
        </w:rPr>
        <w:t xml:space="preserve">The study adopts a mixed-methods approach that integrates quantitative and qualitative methodologies. The study population consists of managerial leaders, supervisors, executives, and human resource personnel at </w:t>
      </w:r>
      <w:proofErr w:type="spellStart"/>
      <w:r w:rsidRPr="00F922BA">
        <w:rPr>
          <w:rFonts w:asciiTheme="majorBidi" w:hAnsiTheme="majorBidi" w:cstheme="majorBidi"/>
        </w:rPr>
        <w:t>Diriyah</w:t>
      </w:r>
      <w:proofErr w:type="spellEnd"/>
      <w:r w:rsidRPr="00F922BA">
        <w:rPr>
          <w:rFonts w:asciiTheme="majorBidi" w:hAnsiTheme="majorBidi" w:cstheme="majorBidi"/>
        </w:rPr>
        <w:t xml:space="preserve"> Company, using a comprehensive census approach. Data will be collected through a questionnaire as the primary instrument for quantitative data and semi-structured personal interviews with selected managerial leaders to obtain qualitative insights and provide deeper interpretations of the findings. Quantitative data will be analyzed using the Statistical Package for the Social Sciences (SPSS) through descriptive statistics, validity and reliability tests, correlation analysis, regression analysis, and mediation analysis, whereas qualitative data will be analyzed using thematic analysis techniques.</w:t>
      </w:r>
    </w:p>
    <w:p w14:paraId="452A7E37" w14:textId="77777777" w:rsidR="00AD2ACA" w:rsidRPr="00F922BA" w:rsidRDefault="00AD2ACA" w:rsidP="00F922BA">
      <w:pPr>
        <w:spacing w:after="0" w:line="360" w:lineRule="auto"/>
        <w:jc w:val="both"/>
        <w:rPr>
          <w:rFonts w:asciiTheme="majorBidi" w:hAnsiTheme="majorBidi" w:cstheme="majorBidi"/>
        </w:rPr>
      </w:pPr>
    </w:p>
    <w:p w14:paraId="17EE942E" w14:textId="77777777" w:rsidR="00F922BA" w:rsidRPr="00F922BA" w:rsidRDefault="00F922BA" w:rsidP="00F922BA">
      <w:pPr>
        <w:spacing w:after="0" w:line="360" w:lineRule="auto"/>
        <w:jc w:val="both"/>
        <w:rPr>
          <w:rFonts w:asciiTheme="majorBidi" w:hAnsiTheme="majorBidi" w:cstheme="majorBidi"/>
        </w:rPr>
      </w:pPr>
      <w:r w:rsidRPr="00F922BA">
        <w:rPr>
          <w:rFonts w:asciiTheme="majorBidi" w:hAnsiTheme="majorBidi" w:cstheme="majorBidi"/>
        </w:rPr>
        <w:t xml:space="preserve">The study is expected to reveal a statistically significant positive effect of talent management on organizational performance and a positive effect of talent management practices on employee engagement levels. It is also expected that higher employee engagement will contribute to improved organizational performance and that employee engagement will play a mediating role in explaining the relationship between talent management and organizational performance. The findings are anticipated to provide practical implications for improving talent </w:t>
      </w:r>
      <w:r w:rsidRPr="00F922BA">
        <w:rPr>
          <w:rFonts w:asciiTheme="majorBidi" w:hAnsiTheme="majorBidi" w:cstheme="majorBidi"/>
        </w:rPr>
        <w:lastRenderedPageBreak/>
        <w:t xml:space="preserve">management and employee engagement policies and practices at </w:t>
      </w:r>
      <w:proofErr w:type="spellStart"/>
      <w:r w:rsidRPr="00F922BA">
        <w:rPr>
          <w:rFonts w:asciiTheme="majorBidi" w:hAnsiTheme="majorBidi" w:cstheme="majorBidi"/>
        </w:rPr>
        <w:t>Diriyah</w:t>
      </w:r>
      <w:proofErr w:type="spellEnd"/>
      <w:r w:rsidRPr="00F922BA">
        <w:rPr>
          <w:rFonts w:asciiTheme="majorBidi" w:hAnsiTheme="majorBidi" w:cstheme="majorBidi"/>
        </w:rPr>
        <w:t xml:space="preserve"> Company and in similar developmental organizations within the Kingdom of Saudi Arabia.</w:t>
      </w:r>
    </w:p>
    <w:p w14:paraId="2AE872A0" w14:textId="77777777" w:rsidR="00F922BA" w:rsidRDefault="00F922BA" w:rsidP="00F922BA">
      <w:pPr>
        <w:spacing w:after="0" w:line="360" w:lineRule="auto"/>
        <w:jc w:val="both"/>
        <w:rPr>
          <w:rFonts w:asciiTheme="majorBidi" w:hAnsiTheme="majorBidi" w:cstheme="majorBidi"/>
        </w:rPr>
      </w:pPr>
    </w:p>
    <w:p w14:paraId="46E99CEC" w14:textId="77777777" w:rsidR="00F922BA" w:rsidRDefault="00F922BA" w:rsidP="00F922BA">
      <w:pPr>
        <w:spacing w:after="0" w:line="360" w:lineRule="auto"/>
        <w:jc w:val="both"/>
        <w:rPr>
          <w:rFonts w:asciiTheme="majorBidi" w:hAnsiTheme="majorBidi" w:cstheme="majorBidi"/>
        </w:rPr>
      </w:pPr>
    </w:p>
    <w:p w14:paraId="36B75A9D" w14:textId="32822C48" w:rsidR="00F922BA" w:rsidRPr="00F922BA" w:rsidRDefault="00F922BA" w:rsidP="00F922BA">
      <w:pPr>
        <w:spacing w:after="0" w:line="360" w:lineRule="auto"/>
        <w:jc w:val="both"/>
        <w:rPr>
          <w:rFonts w:asciiTheme="majorBidi" w:hAnsiTheme="majorBidi" w:cstheme="majorBidi"/>
        </w:rPr>
      </w:pPr>
      <w:r w:rsidRPr="00F922BA">
        <w:rPr>
          <w:rFonts w:asciiTheme="majorBidi" w:hAnsiTheme="majorBidi" w:cstheme="majorBidi"/>
        </w:rPr>
        <w:t xml:space="preserve">Keywords: Talent Management, Employee Engagement, Organizational Performance, Mediating Role, </w:t>
      </w:r>
      <w:proofErr w:type="spellStart"/>
      <w:r w:rsidRPr="00F922BA">
        <w:rPr>
          <w:rFonts w:asciiTheme="majorBidi" w:hAnsiTheme="majorBidi" w:cstheme="majorBidi"/>
        </w:rPr>
        <w:t>Diriyah</w:t>
      </w:r>
      <w:proofErr w:type="spellEnd"/>
      <w:r w:rsidRPr="00F922BA">
        <w:rPr>
          <w:rFonts w:asciiTheme="majorBidi" w:hAnsiTheme="majorBidi" w:cstheme="majorBidi"/>
        </w:rPr>
        <w:t xml:space="preserve"> Company, Saudi Vision 2030.</w:t>
      </w:r>
    </w:p>
    <w:p w14:paraId="31739518" w14:textId="77777777" w:rsidR="0060733E" w:rsidRDefault="0060733E" w:rsidP="0060733E">
      <w:pPr>
        <w:spacing w:after="0" w:line="360" w:lineRule="auto"/>
        <w:jc w:val="both"/>
        <w:rPr>
          <w:rFonts w:ascii="Traditional Arabic" w:hAnsi="Traditional Arabic" w:cs="Traditional Arabic"/>
          <w:b/>
          <w:bCs/>
          <w:sz w:val="28"/>
          <w:szCs w:val="28"/>
        </w:rPr>
      </w:pPr>
    </w:p>
    <w:p w14:paraId="0B90D958" w14:textId="77777777" w:rsidR="002826A0" w:rsidRDefault="002826A0" w:rsidP="0060733E">
      <w:pPr>
        <w:bidi/>
        <w:spacing w:after="0" w:line="360" w:lineRule="auto"/>
        <w:jc w:val="both"/>
        <w:rPr>
          <w:rFonts w:ascii="Traditional Arabic" w:hAnsi="Traditional Arabic" w:cs="Traditional Arabic"/>
          <w:b/>
          <w:bCs/>
          <w:sz w:val="28"/>
          <w:szCs w:val="28"/>
          <w:rtl/>
        </w:rPr>
      </w:pPr>
    </w:p>
    <w:p w14:paraId="2566C318"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15AE72AA"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021C9AF4"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78C5A81A"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0BBEDCC6"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0B572A22"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2EE0910A"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563560CC"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22EF42F8"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365D22C7"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1A7184C6"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5215841B"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45E42CDA" w14:textId="77777777" w:rsidR="00130CA0" w:rsidRDefault="00130CA0" w:rsidP="00130CA0">
      <w:pPr>
        <w:bidi/>
        <w:spacing w:after="0" w:line="360" w:lineRule="auto"/>
        <w:jc w:val="both"/>
        <w:rPr>
          <w:rFonts w:ascii="Traditional Arabic" w:hAnsi="Traditional Arabic" w:cs="Traditional Arabic"/>
          <w:b/>
          <w:bCs/>
          <w:sz w:val="28"/>
          <w:szCs w:val="28"/>
          <w:rtl/>
        </w:rPr>
      </w:pPr>
    </w:p>
    <w:p w14:paraId="66A174CD" w14:textId="77777777" w:rsidR="00130CA0" w:rsidRDefault="00130CA0" w:rsidP="00130CA0">
      <w:pPr>
        <w:bidi/>
        <w:spacing w:after="0" w:line="360" w:lineRule="auto"/>
        <w:jc w:val="both"/>
        <w:rPr>
          <w:rFonts w:ascii="Traditional Arabic" w:hAnsi="Traditional Arabic" w:cs="Traditional Arabic"/>
          <w:b/>
          <w:bCs/>
          <w:sz w:val="28"/>
          <w:szCs w:val="28"/>
        </w:rPr>
      </w:pPr>
    </w:p>
    <w:p w14:paraId="3A6E1953" w14:textId="77777777" w:rsidR="002826A0" w:rsidRDefault="002826A0" w:rsidP="002826A0">
      <w:pPr>
        <w:bidi/>
        <w:spacing w:after="0" w:line="360" w:lineRule="auto"/>
        <w:jc w:val="both"/>
        <w:rPr>
          <w:rFonts w:ascii="Traditional Arabic" w:hAnsi="Traditional Arabic" w:cs="Traditional Arabic"/>
          <w:b/>
          <w:bCs/>
          <w:sz w:val="28"/>
          <w:szCs w:val="28"/>
        </w:rPr>
      </w:pPr>
    </w:p>
    <w:p w14:paraId="319B2B39" w14:textId="159B2D29" w:rsidR="0060733E" w:rsidRPr="002826A0" w:rsidRDefault="0060733E" w:rsidP="0080536C">
      <w:pPr>
        <w:bidi/>
        <w:spacing w:after="0" w:line="360" w:lineRule="auto"/>
        <w:jc w:val="center"/>
        <w:rPr>
          <w:rFonts w:ascii="Traditional Arabic" w:hAnsi="Traditional Arabic" w:cs="Traditional Arabic"/>
          <w:b/>
          <w:bCs/>
          <w:sz w:val="32"/>
          <w:szCs w:val="32"/>
          <w:rtl/>
        </w:rPr>
      </w:pPr>
      <w:r w:rsidRPr="002826A0">
        <w:rPr>
          <w:rFonts w:ascii="Traditional Arabic" w:hAnsi="Traditional Arabic" w:cs="Traditional Arabic" w:hint="cs"/>
          <w:b/>
          <w:bCs/>
          <w:sz w:val="32"/>
          <w:szCs w:val="32"/>
          <w:rtl/>
        </w:rPr>
        <w:lastRenderedPageBreak/>
        <w:t>قائمة المحتويات</w:t>
      </w:r>
    </w:p>
    <w:p w14:paraId="19B5DE53" w14:textId="1673D32A" w:rsidR="008F3E70" w:rsidRPr="003577EF" w:rsidRDefault="008F3E70" w:rsidP="003577EF">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المستخلص</w:t>
      </w:r>
      <w:r w:rsidR="00FE765B" w:rsidRPr="003577EF">
        <w:rPr>
          <w:rFonts w:ascii="Traditional Arabic" w:hAnsi="Traditional Arabic" w:cs="Traditional Arabic"/>
          <w:b/>
          <w:bCs/>
          <w:rtl/>
        </w:rPr>
        <w:t>:</w:t>
      </w:r>
      <w:r w:rsidR="004D0CEF" w:rsidRPr="003577EF">
        <w:rPr>
          <w:rFonts w:ascii="Traditional Arabic" w:hAnsi="Traditional Arabic" w:cs="Traditional Arabic"/>
          <w:b/>
          <w:bCs/>
          <w:rtl/>
        </w:rPr>
        <w:t xml:space="preserve"> </w:t>
      </w:r>
      <w:r w:rsidR="004D0CEF" w:rsidRPr="003577EF">
        <w:rPr>
          <w:rFonts w:ascii="Traditional Arabic" w:hAnsi="Traditional Arabic" w:cs="Traditional Arabic"/>
          <w:b/>
          <w:bCs/>
          <w:rtl/>
        </w:rPr>
        <w:tab/>
      </w:r>
      <w:r w:rsidR="00130CA0" w:rsidRPr="003577EF">
        <w:rPr>
          <w:rFonts w:ascii="Traditional Arabic" w:hAnsi="Traditional Arabic" w:cs="Traditional Arabic"/>
          <w:b/>
          <w:bCs/>
          <w:rtl/>
        </w:rPr>
        <w:t>2</w:t>
      </w:r>
      <w:r w:rsidR="00FE765B" w:rsidRPr="003577EF">
        <w:rPr>
          <w:rFonts w:ascii="Traditional Arabic" w:hAnsi="Traditional Arabic" w:cs="Traditional Arabic"/>
          <w:b/>
          <w:bCs/>
          <w:rtl/>
        </w:rPr>
        <w:t xml:space="preserve"> </w:t>
      </w:r>
      <w:r w:rsidR="00A16DF4" w:rsidRPr="003577EF">
        <w:rPr>
          <w:rFonts w:ascii="Traditional Arabic" w:hAnsi="Traditional Arabic" w:cs="Traditional Arabic"/>
          <w:b/>
          <w:bCs/>
          <w:rtl/>
        </w:rPr>
        <w:t xml:space="preserve"> </w:t>
      </w:r>
    </w:p>
    <w:p w14:paraId="2C8BF7BD" w14:textId="086EA4CA" w:rsidR="0060733E" w:rsidRPr="003577EF" w:rsidRDefault="008F3E70" w:rsidP="003577EF">
      <w:pPr>
        <w:tabs>
          <w:tab w:val="left" w:leader="dot" w:pos="10080"/>
        </w:tabs>
        <w:bidi/>
        <w:spacing w:after="0" w:line="360" w:lineRule="auto"/>
        <w:rPr>
          <w:rFonts w:asciiTheme="majorBidi" w:hAnsiTheme="majorBidi" w:cstheme="majorBidi"/>
          <w:rtl/>
        </w:rPr>
      </w:pPr>
      <w:r w:rsidRPr="003577EF">
        <w:rPr>
          <w:rFonts w:asciiTheme="majorBidi" w:hAnsiTheme="majorBidi" w:cstheme="majorBidi"/>
        </w:rPr>
        <w:t>Abstract</w:t>
      </w:r>
      <w:r w:rsidR="00FE765B" w:rsidRPr="003577EF">
        <w:rPr>
          <w:rFonts w:asciiTheme="majorBidi" w:hAnsiTheme="majorBidi" w:cstheme="majorBidi"/>
          <w:rtl/>
        </w:rPr>
        <w:t>:</w:t>
      </w:r>
      <w:r w:rsidR="00130CA0" w:rsidRPr="003577EF">
        <w:rPr>
          <w:rFonts w:asciiTheme="majorBidi" w:hAnsiTheme="majorBidi" w:cstheme="majorBidi"/>
          <w:rtl/>
        </w:rPr>
        <w:tab/>
        <w:t>3,4</w:t>
      </w:r>
    </w:p>
    <w:p w14:paraId="0BB4130F" w14:textId="6A80AA58" w:rsidR="00CB1667" w:rsidRDefault="00CB1667" w:rsidP="003577EF">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قائمة الجداول: </w:t>
      </w:r>
      <w:r>
        <w:rPr>
          <w:rFonts w:ascii="Traditional Arabic" w:hAnsi="Traditional Arabic" w:cs="Traditional Arabic"/>
          <w:b/>
          <w:bCs/>
          <w:rtl/>
        </w:rPr>
        <w:tab/>
      </w:r>
      <w:r>
        <w:rPr>
          <w:rFonts w:ascii="Traditional Arabic" w:hAnsi="Traditional Arabic" w:cs="Traditional Arabic" w:hint="cs"/>
          <w:b/>
          <w:bCs/>
          <w:rtl/>
        </w:rPr>
        <w:t>6</w:t>
      </w:r>
    </w:p>
    <w:p w14:paraId="47C8A478" w14:textId="36459E78" w:rsidR="00CB1667" w:rsidRDefault="00CB1667" w:rsidP="00CB166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قائمة الأشكال:</w:t>
      </w:r>
      <w:r>
        <w:rPr>
          <w:rFonts w:ascii="Traditional Arabic" w:hAnsi="Traditional Arabic" w:cs="Traditional Arabic"/>
          <w:b/>
          <w:bCs/>
          <w:rtl/>
        </w:rPr>
        <w:tab/>
      </w:r>
      <w:r>
        <w:rPr>
          <w:rFonts w:ascii="Traditional Arabic" w:hAnsi="Traditional Arabic" w:cs="Traditional Arabic" w:hint="cs"/>
          <w:b/>
          <w:bCs/>
          <w:rtl/>
        </w:rPr>
        <w:t>7</w:t>
      </w:r>
    </w:p>
    <w:p w14:paraId="0AB0C67C" w14:textId="166DC1E4" w:rsidR="00DC4E13" w:rsidRPr="003577EF" w:rsidRDefault="00DC4E13" w:rsidP="00CB1667">
      <w:pPr>
        <w:tabs>
          <w:tab w:val="left" w:leader="dot" w:pos="1008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الفصل الأول: الإطار المنهجي للدراسة</w:t>
      </w:r>
      <w:r w:rsidR="00FE765B" w:rsidRPr="003577EF">
        <w:rPr>
          <w:rFonts w:ascii="Traditional Arabic" w:hAnsi="Traditional Arabic" w:cs="Traditional Arabic"/>
          <w:b/>
          <w:bCs/>
          <w:rtl/>
        </w:rPr>
        <w:t>:</w:t>
      </w:r>
      <w:r w:rsidR="00130CA0" w:rsidRPr="003577EF">
        <w:rPr>
          <w:rFonts w:ascii="Traditional Arabic" w:hAnsi="Traditional Arabic" w:cs="Traditional Arabic"/>
          <w:b/>
          <w:bCs/>
          <w:rtl/>
        </w:rPr>
        <w:tab/>
      </w:r>
      <w:r w:rsidR="002C1C1B" w:rsidRPr="003577EF">
        <w:rPr>
          <w:rFonts w:ascii="Traditional Arabic" w:hAnsi="Traditional Arabic" w:cs="Traditional Arabic"/>
          <w:b/>
          <w:bCs/>
          <w:rtl/>
        </w:rPr>
        <w:t>8</w:t>
      </w:r>
    </w:p>
    <w:p w14:paraId="3ABB2E22" w14:textId="576B9508" w:rsidR="00DC4E13" w:rsidRPr="003577EF" w:rsidRDefault="00DC4E13" w:rsidP="003577EF">
      <w:pPr>
        <w:tabs>
          <w:tab w:val="left" w:leader="dot" w:pos="1008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مقدمة الدراسة</w:t>
      </w:r>
      <w:r w:rsidR="00FE765B" w:rsidRPr="003577EF">
        <w:rPr>
          <w:rFonts w:ascii="Traditional Arabic" w:hAnsi="Traditional Arabic" w:cs="Traditional Arabic"/>
          <w:b/>
          <w:bCs/>
          <w:rtl/>
        </w:rPr>
        <w:t>:</w:t>
      </w:r>
      <w:r w:rsidR="003E4C9F" w:rsidRPr="003577EF">
        <w:rPr>
          <w:rFonts w:ascii="Traditional Arabic" w:hAnsi="Traditional Arabic" w:cs="Traditional Arabic"/>
          <w:b/>
          <w:bCs/>
          <w:rtl/>
        </w:rPr>
        <w:tab/>
      </w:r>
      <w:r w:rsidR="002C1C1B" w:rsidRPr="003577EF">
        <w:rPr>
          <w:rFonts w:ascii="Traditional Arabic" w:hAnsi="Traditional Arabic" w:cs="Traditional Arabic"/>
          <w:b/>
          <w:bCs/>
          <w:rtl/>
        </w:rPr>
        <w:t>8</w:t>
      </w:r>
    </w:p>
    <w:p w14:paraId="78B6BE0E" w14:textId="42DD8F08" w:rsidR="00DC4E13" w:rsidRPr="003577EF" w:rsidRDefault="00DC4E13" w:rsidP="003577EF">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مشكلة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t>9</w:t>
      </w:r>
    </w:p>
    <w:p w14:paraId="15A61E8B" w14:textId="5A9A3246" w:rsidR="00DC4E13" w:rsidRPr="003577EF" w:rsidRDefault="00DC4E13" w:rsidP="003577EF">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تساؤلات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t>9</w:t>
      </w:r>
    </w:p>
    <w:p w14:paraId="20EE6CED" w14:textId="76E04D4A" w:rsidR="00DC4E13" w:rsidRPr="003577EF" w:rsidRDefault="00DC4E13" w:rsidP="00730B19">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أهمية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t>10</w:t>
      </w:r>
    </w:p>
    <w:p w14:paraId="75D57CF0" w14:textId="4F243023" w:rsidR="00DC4E13" w:rsidRPr="003577EF" w:rsidRDefault="00DC4E13" w:rsidP="008C40F6">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النظرية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t>10</w:t>
      </w:r>
    </w:p>
    <w:p w14:paraId="1A26EFE9" w14:textId="631033CA" w:rsidR="00DC4E13" w:rsidRPr="003577EF" w:rsidRDefault="00DC4E13" w:rsidP="008C40F6">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التطبيقية</w:t>
      </w:r>
      <w:r w:rsidR="002C1C1B" w:rsidRPr="003577EF">
        <w:rPr>
          <w:rFonts w:ascii="Traditional Arabic" w:hAnsi="Traditional Arabic" w:cs="Traditional Arabic"/>
          <w:b/>
          <w:bCs/>
          <w:rtl/>
        </w:rPr>
        <w:tab/>
      </w:r>
      <w:r w:rsidR="00D97CB7" w:rsidRPr="003577EF">
        <w:rPr>
          <w:rFonts w:ascii="Traditional Arabic" w:hAnsi="Traditional Arabic" w:cs="Traditional Arabic"/>
          <w:b/>
          <w:bCs/>
          <w:rtl/>
        </w:rPr>
        <w:t>10</w:t>
      </w:r>
    </w:p>
    <w:p w14:paraId="62CE86B3" w14:textId="22C24B12" w:rsidR="00DC4E13" w:rsidRPr="003577EF" w:rsidRDefault="00DC4E13" w:rsidP="008C40F6">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أهداف الدراسة:</w:t>
      </w:r>
      <w:r w:rsidR="00D97CB7" w:rsidRPr="003577EF">
        <w:rPr>
          <w:rFonts w:ascii="Traditional Arabic" w:hAnsi="Traditional Arabic" w:cs="Traditional Arabic"/>
          <w:b/>
          <w:bCs/>
          <w:rtl/>
        </w:rPr>
        <w:tab/>
        <w:t>11</w:t>
      </w:r>
    </w:p>
    <w:p w14:paraId="28125EB1" w14:textId="0E62914C" w:rsidR="00DC4E13" w:rsidRPr="003577EF" w:rsidRDefault="00DC4E13" w:rsidP="008C40F6">
      <w:pPr>
        <w:tabs>
          <w:tab w:val="left" w:leader="dot" w:pos="1008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فروض الدراسة</w:t>
      </w:r>
      <w:r w:rsidR="00D97CB7" w:rsidRPr="003577EF">
        <w:rPr>
          <w:rFonts w:ascii="Traditional Arabic" w:hAnsi="Traditional Arabic" w:cs="Traditional Arabic"/>
          <w:b/>
          <w:bCs/>
          <w:rtl/>
        </w:rPr>
        <w:t>:</w:t>
      </w:r>
      <w:r w:rsidR="00E92092" w:rsidRPr="003577EF">
        <w:rPr>
          <w:rFonts w:ascii="Traditional Arabic" w:hAnsi="Traditional Arabic" w:cs="Traditional Arabic"/>
          <w:b/>
          <w:bCs/>
          <w:rtl/>
        </w:rPr>
        <w:t xml:space="preserve"> </w:t>
      </w:r>
      <w:r w:rsidR="00D97CB7" w:rsidRPr="003577EF">
        <w:rPr>
          <w:rFonts w:ascii="Traditional Arabic" w:hAnsi="Traditional Arabic" w:cs="Traditional Arabic"/>
          <w:b/>
          <w:bCs/>
          <w:rtl/>
        </w:rPr>
        <w:tab/>
        <w:t>11</w:t>
      </w:r>
    </w:p>
    <w:p w14:paraId="7A657171" w14:textId="7CF06E09" w:rsidR="00554EF0" w:rsidRPr="003577EF" w:rsidRDefault="00554EF0" w:rsidP="00730B19">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الأولى: </w:t>
      </w:r>
      <w:r w:rsidR="00E92092" w:rsidRPr="003577EF">
        <w:rPr>
          <w:rFonts w:ascii="Traditional Arabic" w:hAnsi="Traditional Arabic" w:cs="Traditional Arabic"/>
          <w:b/>
          <w:bCs/>
          <w:rtl/>
        </w:rPr>
        <w:tab/>
      </w:r>
      <w:r w:rsidR="008C40F6">
        <w:rPr>
          <w:rFonts w:ascii="Traditional Arabic" w:hAnsi="Traditional Arabic" w:cs="Traditional Arabic" w:hint="cs"/>
          <w:b/>
          <w:bCs/>
          <w:rtl/>
        </w:rPr>
        <w:t>11</w:t>
      </w:r>
    </w:p>
    <w:p w14:paraId="20BDF42A" w14:textId="5A9A1BFC" w:rsidR="00554EF0" w:rsidRPr="003577EF" w:rsidRDefault="00554EF0" w:rsidP="00730B19">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الفرضية الثانية:</w:t>
      </w:r>
      <w:r w:rsidR="00E92092" w:rsidRPr="003577EF">
        <w:rPr>
          <w:rFonts w:ascii="Traditional Arabic" w:hAnsi="Traditional Arabic" w:cs="Traditional Arabic"/>
          <w:b/>
          <w:bCs/>
          <w:rtl/>
        </w:rPr>
        <w:tab/>
      </w:r>
      <w:r w:rsidR="008C40F6">
        <w:rPr>
          <w:rFonts w:ascii="Traditional Arabic" w:hAnsi="Traditional Arabic" w:cs="Traditional Arabic" w:hint="cs"/>
          <w:b/>
          <w:bCs/>
          <w:rtl/>
        </w:rPr>
        <w:t>11</w:t>
      </w:r>
    </w:p>
    <w:p w14:paraId="324CA954" w14:textId="72023AE3" w:rsidR="00554EF0" w:rsidRPr="003577EF" w:rsidRDefault="00554EF0" w:rsidP="00730B19">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الثالثة: </w:t>
      </w:r>
      <w:r w:rsidR="00E92092" w:rsidRPr="003577EF">
        <w:rPr>
          <w:rFonts w:ascii="Traditional Arabic" w:hAnsi="Traditional Arabic" w:cs="Traditional Arabic"/>
          <w:b/>
          <w:bCs/>
          <w:rtl/>
        </w:rPr>
        <w:tab/>
      </w:r>
      <w:r w:rsidR="008C40F6">
        <w:rPr>
          <w:rFonts w:ascii="Traditional Arabic" w:hAnsi="Traditional Arabic" w:cs="Traditional Arabic" w:hint="cs"/>
          <w:b/>
          <w:bCs/>
          <w:rtl/>
        </w:rPr>
        <w:t>11</w:t>
      </w:r>
    </w:p>
    <w:p w14:paraId="4208CC97" w14:textId="11AEB61E" w:rsidR="00554EF0" w:rsidRPr="003577EF" w:rsidRDefault="00554EF0" w:rsidP="00730B19">
      <w:pPr>
        <w:tabs>
          <w:tab w:val="left" w:leader="dot" w:pos="1008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الرابعة: </w:t>
      </w:r>
      <w:r w:rsidR="00E92092" w:rsidRPr="003577EF">
        <w:rPr>
          <w:rFonts w:ascii="Traditional Arabic" w:hAnsi="Traditional Arabic" w:cs="Traditional Arabic"/>
          <w:b/>
          <w:bCs/>
          <w:rtl/>
        </w:rPr>
        <w:tab/>
      </w:r>
      <w:r w:rsidR="008C40F6">
        <w:rPr>
          <w:rFonts w:ascii="Traditional Arabic" w:hAnsi="Traditional Arabic" w:cs="Traditional Arabic" w:hint="cs"/>
          <w:b/>
          <w:bCs/>
          <w:rtl/>
        </w:rPr>
        <w:t>12</w:t>
      </w:r>
    </w:p>
    <w:p w14:paraId="669D84DC" w14:textId="0E9F3BBA" w:rsidR="00554EF0" w:rsidRPr="003577EF" w:rsidRDefault="00554EF0" w:rsidP="003577EF">
      <w:pPr>
        <w:tabs>
          <w:tab w:val="left" w:leader="dot" w:pos="1008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مفاهيم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B442CC">
        <w:rPr>
          <w:rFonts w:ascii="Traditional Arabic" w:hAnsi="Traditional Arabic" w:cs="Traditional Arabic" w:hint="cs"/>
          <w:b/>
          <w:bCs/>
          <w:rtl/>
        </w:rPr>
        <w:t>12</w:t>
      </w:r>
    </w:p>
    <w:p w14:paraId="43FEDB1E" w14:textId="0EB66693" w:rsidR="00554EF0" w:rsidRDefault="00554EF0" w:rsidP="003577EF">
      <w:pPr>
        <w:tabs>
          <w:tab w:val="left" w:leader="dot" w:pos="1008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حدود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B442CC">
        <w:rPr>
          <w:rFonts w:ascii="Traditional Arabic" w:hAnsi="Traditional Arabic" w:cs="Traditional Arabic" w:hint="cs"/>
          <w:b/>
          <w:bCs/>
          <w:rtl/>
        </w:rPr>
        <w:t>13</w:t>
      </w:r>
    </w:p>
    <w:p w14:paraId="3749C24F" w14:textId="71B7F135" w:rsidR="005955C8" w:rsidRPr="005955C8" w:rsidRDefault="005955C8" w:rsidP="005955C8">
      <w:pPr>
        <w:tabs>
          <w:tab w:val="left" w:leader="dot" w:pos="10080"/>
        </w:tabs>
        <w:bidi/>
        <w:spacing w:after="0" w:line="360" w:lineRule="auto"/>
        <w:rPr>
          <w:rFonts w:ascii="Traditional Arabic" w:hAnsi="Traditional Arabic" w:cs="Traditional Arabic"/>
          <w:b/>
          <w:bCs/>
          <w:rtl/>
        </w:rPr>
      </w:pPr>
      <w:r w:rsidRPr="005955C8">
        <w:rPr>
          <w:rFonts w:ascii="Traditional Arabic" w:hAnsi="Traditional Arabic" w:cs="Traditional Arabic" w:hint="cs"/>
          <w:b/>
          <w:bCs/>
          <w:rtl/>
        </w:rPr>
        <w:t>إجراءات ومنهجية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B442CC">
        <w:rPr>
          <w:rFonts w:ascii="Traditional Arabic" w:hAnsi="Traditional Arabic" w:cs="Traditional Arabic" w:hint="cs"/>
          <w:b/>
          <w:bCs/>
          <w:rtl/>
        </w:rPr>
        <w:t>14</w:t>
      </w:r>
    </w:p>
    <w:p w14:paraId="23B01C14" w14:textId="0C6210F2" w:rsidR="005955C8" w:rsidRDefault="005955C8" w:rsidP="005955C8">
      <w:pPr>
        <w:tabs>
          <w:tab w:val="left" w:leader="dot" w:pos="10080"/>
        </w:tabs>
        <w:bidi/>
        <w:spacing w:after="0" w:line="360" w:lineRule="auto"/>
        <w:rPr>
          <w:rFonts w:ascii="Traditional Arabic" w:hAnsi="Traditional Arabic" w:cs="Traditional Arabic"/>
          <w:b/>
          <w:bCs/>
          <w:rtl/>
        </w:rPr>
      </w:pPr>
      <w:r w:rsidRPr="005955C8">
        <w:rPr>
          <w:rFonts w:ascii="Traditional Arabic" w:hAnsi="Traditional Arabic" w:cs="Traditional Arabic"/>
          <w:b/>
          <w:bCs/>
          <w:rtl/>
        </w:rPr>
        <w:t>نموذج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B442CC">
        <w:rPr>
          <w:rFonts w:ascii="Traditional Arabic" w:hAnsi="Traditional Arabic" w:cs="Traditional Arabic" w:hint="cs"/>
          <w:b/>
          <w:bCs/>
          <w:rtl/>
        </w:rPr>
        <w:t>16</w:t>
      </w:r>
    </w:p>
    <w:p w14:paraId="4D7A49B8" w14:textId="4DCBAB1B" w:rsidR="008A0099" w:rsidRPr="008A0099" w:rsidRDefault="008A0099" w:rsidP="008A0099">
      <w:pPr>
        <w:tabs>
          <w:tab w:val="left" w:leader="dot" w:pos="10080"/>
        </w:tabs>
        <w:bidi/>
        <w:spacing w:after="0" w:line="360" w:lineRule="auto"/>
        <w:rPr>
          <w:rFonts w:ascii="Traditional Arabic" w:hAnsi="Traditional Arabic" w:cs="Traditional Arabic"/>
          <w:b/>
          <w:bCs/>
          <w:rtl/>
        </w:rPr>
      </w:pPr>
      <w:r w:rsidRPr="008A0099">
        <w:rPr>
          <w:rFonts w:ascii="Traditional Arabic" w:hAnsi="Traditional Arabic" w:cs="Traditional Arabic"/>
          <w:b/>
          <w:bCs/>
          <w:rtl/>
        </w:rPr>
        <w:t>المراجع والدراسات الأدبية</w:t>
      </w:r>
      <w:r>
        <w:rPr>
          <w:rFonts w:ascii="Traditional Arabic" w:hAnsi="Traditional Arabic" w:cs="Traditional Arabic" w:hint="cs"/>
          <w:b/>
          <w:bCs/>
          <w:rtl/>
        </w:rPr>
        <w:t xml:space="preserve">: </w:t>
      </w:r>
      <w:r>
        <w:rPr>
          <w:rFonts w:ascii="Traditional Arabic" w:hAnsi="Traditional Arabic" w:cs="Traditional Arabic"/>
          <w:b/>
          <w:bCs/>
          <w:rtl/>
        </w:rPr>
        <w:tab/>
      </w:r>
      <w:r w:rsidR="00B442CC">
        <w:rPr>
          <w:rFonts w:ascii="Traditional Arabic" w:hAnsi="Traditional Arabic" w:cs="Traditional Arabic" w:hint="cs"/>
          <w:b/>
          <w:bCs/>
          <w:rtl/>
        </w:rPr>
        <w:t>18</w:t>
      </w:r>
    </w:p>
    <w:p w14:paraId="676AEEFC" w14:textId="7997642A" w:rsidR="008A0099" w:rsidRPr="005201F9" w:rsidRDefault="008A0099" w:rsidP="008A0099">
      <w:pPr>
        <w:tabs>
          <w:tab w:val="left" w:leader="dot" w:pos="10080"/>
        </w:tabs>
        <w:bidi/>
        <w:spacing w:after="0" w:line="360" w:lineRule="auto"/>
        <w:rPr>
          <w:rFonts w:ascii="Traditional Arabic" w:hAnsi="Traditional Arabic" w:cs="Traditional Arabic"/>
          <w:b/>
          <w:bCs/>
          <w:rtl/>
        </w:rPr>
      </w:pPr>
      <w:r w:rsidRPr="005201F9">
        <w:rPr>
          <w:rFonts w:ascii="Traditional Arabic" w:hAnsi="Traditional Arabic" w:cs="Traditional Arabic"/>
          <w:b/>
          <w:bCs/>
          <w:rtl/>
        </w:rPr>
        <w:t>المراجع العربية:</w:t>
      </w:r>
      <w:r>
        <w:rPr>
          <w:rFonts w:ascii="Traditional Arabic" w:hAnsi="Traditional Arabic" w:cs="Traditional Arabic" w:hint="cs"/>
          <w:b/>
          <w:bCs/>
          <w:rtl/>
        </w:rPr>
        <w:t xml:space="preserve"> </w:t>
      </w:r>
      <w:r>
        <w:rPr>
          <w:rFonts w:ascii="Traditional Arabic" w:hAnsi="Traditional Arabic" w:cs="Traditional Arabic"/>
          <w:b/>
          <w:bCs/>
          <w:rtl/>
        </w:rPr>
        <w:tab/>
      </w:r>
      <w:r w:rsidR="00B442CC">
        <w:rPr>
          <w:rFonts w:ascii="Traditional Arabic" w:hAnsi="Traditional Arabic" w:cs="Traditional Arabic" w:hint="cs"/>
          <w:b/>
          <w:bCs/>
          <w:rtl/>
        </w:rPr>
        <w:t>18</w:t>
      </w:r>
    </w:p>
    <w:p w14:paraId="0B08037B" w14:textId="631E59D2" w:rsidR="008A0099" w:rsidRPr="005955C8" w:rsidRDefault="008A0099" w:rsidP="009C045C">
      <w:pPr>
        <w:tabs>
          <w:tab w:val="left" w:leader="dot" w:pos="10080"/>
        </w:tabs>
        <w:bidi/>
        <w:spacing w:after="0" w:line="360" w:lineRule="auto"/>
        <w:rPr>
          <w:rFonts w:ascii="Traditional Arabic" w:hAnsi="Traditional Arabic" w:cs="Traditional Arabic"/>
          <w:b/>
          <w:bCs/>
          <w:rtl/>
        </w:rPr>
      </w:pPr>
      <w:r w:rsidRPr="005201F9">
        <w:rPr>
          <w:rFonts w:ascii="Traditional Arabic" w:hAnsi="Traditional Arabic" w:cs="Traditional Arabic"/>
          <w:b/>
          <w:bCs/>
          <w:rtl/>
        </w:rPr>
        <w:t>المراجع الأجنبية</w:t>
      </w:r>
      <w:r>
        <w:rPr>
          <w:rFonts w:ascii="Traditional Arabic" w:hAnsi="Traditional Arabic" w:cs="Traditional Arabic" w:hint="cs"/>
          <w:b/>
          <w:bCs/>
          <w:rtl/>
        </w:rPr>
        <w:t xml:space="preserve">: </w:t>
      </w:r>
      <w:r>
        <w:rPr>
          <w:rFonts w:ascii="Traditional Arabic" w:hAnsi="Traditional Arabic" w:cs="Traditional Arabic"/>
          <w:b/>
          <w:bCs/>
          <w:rtl/>
        </w:rPr>
        <w:tab/>
      </w:r>
      <w:r w:rsidR="00B442CC">
        <w:rPr>
          <w:rFonts w:ascii="Traditional Arabic" w:hAnsi="Traditional Arabic" w:cs="Traditional Arabic" w:hint="cs"/>
          <w:b/>
          <w:bCs/>
          <w:rtl/>
        </w:rPr>
        <w:t>19</w:t>
      </w:r>
    </w:p>
    <w:p w14:paraId="2CEE55E8" w14:textId="38522648" w:rsidR="0060733E" w:rsidRDefault="0060733E" w:rsidP="00E142FC">
      <w:pPr>
        <w:bidi/>
        <w:spacing w:after="0" w:line="360" w:lineRule="auto"/>
        <w:jc w:val="center"/>
        <w:rPr>
          <w:rFonts w:ascii="Traditional Arabic" w:hAnsi="Traditional Arabic" w:cs="Traditional Arabic"/>
          <w:b/>
          <w:bCs/>
          <w:sz w:val="32"/>
          <w:szCs w:val="32"/>
          <w:rtl/>
        </w:rPr>
      </w:pPr>
      <w:r w:rsidRPr="002826A0">
        <w:rPr>
          <w:rFonts w:ascii="Traditional Arabic" w:hAnsi="Traditional Arabic" w:cs="Traditional Arabic" w:hint="cs"/>
          <w:b/>
          <w:bCs/>
          <w:sz w:val="32"/>
          <w:szCs w:val="32"/>
          <w:rtl/>
        </w:rPr>
        <w:lastRenderedPageBreak/>
        <w:t>قائمة الجداول</w:t>
      </w:r>
    </w:p>
    <w:p w14:paraId="5BE94A30" w14:textId="201E085D" w:rsidR="008D20C7" w:rsidRPr="008D20C7" w:rsidRDefault="008D20C7" w:rsidP="008D20C7">
      <w:pPr>
        <w:tabs>
          <w:tab w:val="left" w:leader="dot" w:pos="10080"/>
        </w:tabs>
        <w:bidi/>
        <w:spacing w:after="0" w:line="360" w:lineRule="auto"/>
        <w:rPr>
          <w:rFonts w:ascii="Traditional Arabic" w:hAnsi="Traditional Arabic" w:cs="Traditional Arabic"/>
          <w:b/>
          <w:bCs/>
          <w:rtl/>
        </w:rPr>
      </w:pPr>
      <w:r w:rsidRPr="008D20C7">
        <w:rPr>
          <w:rFonts w:ascii="Traditional Arabic" w:hAnsi="Traditional Arabic" w:cs="Traditional Arabic" w:hint="cs"/>
          <w:b/>
          <w:bCs/>
          <w:rtl/>
        </w:rPr>
        <w:t>الجدول1</w:t>
      </w:r>
      <w:r>
        <w:rPr>
          <w:rFonts w:ascii="Traditional Arabic" w:hAnsi="Traditional Arabic" w:cs="Traditional Arabic" w:hint="cs"/>
          <w:b/>
          <w:bCs/>
          <w:rtl/>
        </w:rPr>
        <w:t xml:space="preserve">: </w:t>
      </w:r>
      <w:r>
        <w:rPr>
          <w:rFonts w:ascii="Traditional Arabic" w:hAnsi="Traditional Arabic" w:cs="Traditional Arabic"/>
          <w:b/>
          <w:bCs/>
          <w:rtl/>
        </w:rPr>
        <w:tab/>
      </w:r>
    </w:p>
    <w:p w14:paraId="53F1BF69" w14:textId="402917F4" w:rsidR="0060733E" w:rsidRPr="008D20C7" w:rsidRDefault="008D20C7" w:rsidP="008D20C7">
      <w:pPr>
        <w:tabs>
          <w:tab w:val="left" w:leader="dot" w:pos="10080"/>
        </w:tabs>
        <w:bidi/>
        <w:spacing w:after="0" w:line="360" w:lineRule="auto"/>
        <w:rPr>
          <w:rFonts w:ascii="Traditional Arabic" w:hAnsi="Traditional Arabic" w:cs="Traditional Arabic"/>
          <w:b/>
          <w:bCs/>
          <w:rtl/>
        </w:rPr>
      </w:pPr>
      <w:r w:rsidRPr="008D20C7">
        <w:rPr>
          <w:rFonts w:ascii="Traditional Arabic" w:hAnsi="Traditional Arabic" w:cs="Traditional Arabic" w:hint="cs"/>
          <w:b/>
          <w:bCs/>
          <w:rtl/>
        </w:rPr>
        <w:t>الجدول</w:t>
      </w:r>
      <w:r w:rsidRPr="008D20C7">
        <w:rPr>
          <w:rFonts w:ascii="Traditional Arabic" w:hAnsi="Traditional Arabic" w:cs="Traditional Arabic" w:hint="cs"/>
          <w:b/>
          <w:bCs/>
          <w:rtl/>
        </w:rPr>
        <w:t>2</w:t>
      </w:r>
      <w:r>
        <w:rPr>
          <w:rFonts w:ascii="Traditional Arabic" w:hAnsi="Traditional Arabic" w:cs="Traditional Arabic" w:hint="cs"/>
          <w:b/>
          <w:bCs/>
          <w:rtl/>
        </w:rPr>
        <w:t xml:space="preserve">: </w:t>
      </w:r>
      <w:r>
        <w:rPr>
          <w:rFonts w:ascii="Traditional Arabic" w:hAnsi="Traditional Arabic" w:cs="Traditional Arabic"/>
          <w:b/>
          <w:bCs/>
          <w:rtl/>
        </w:rPr>
        <w:tab/>
      </w:r>
    </w:p>
    <w:p w14:paraId="55213C7B" w14:textId="599C32BF" w:rsidR="003E4C9F" w:rsidRPr="008D20C7" w:rsidRDefault="008D20C7" w:rsidP="008D20C7">
      <w:pPr>
        <w:tabs>
          <w:tab w:val="left" w:leader="dot" w:pos="10080"/>
        </w:tabs>
        <w:bidi/>
        <w:spacing w:after="0" w:line="360" w:lineRule="auto"/>
        <w:rPr>
          <w:rFonts w:ascii="Traditional Arabic" w:hAnsi="Traditional Arabic" w:cs="Traditional Arabic"/>
          <w:b/>
          <w:bCs/>
          <w:rtl/>
        </w:rPr>
      </w:pPr>
      <w:r w:rsidRPr="008D20C7">
        <w:rPr>
          <w:rFonts w:ascii="Traditional Arabic" w:hAnsi="Traditional Arabic" w:cs="Traditional Arabic" w:hint="cs"/>
          <w:b/>
          <w:bCs/>
          <w:rtl/>
        </w:rPr>
        <w:t>الجدول</w:t>
      </w:r>
      <w:r w:rsidRPr="008D20C7">
        <w:rPr>
          <w:rFonts w:ascii="Traditional Arabic" w:hAnsi="Traditional Arabic" w:cs="Traditional Arabic" w:hint="cs"/>
          <w:b/>
          <w:bCs/>
          <w:rtl/>
        </w:rPr>
        <w:t>3</w:t>
      </w:r>
      <w:r>
        <w:rPr>
          <w:rFonts w:ascii="Traditional Arabic" w:hAnsi="Traditional Arabic" w:cs="Traditional Arabic" w:hint="cs"/>
          <w:b/>
          <w:bCs/>
          <w:rtl/>
        </w:rPr>
        <w:t xml:space="preserve">: </w:t>
      </w:r>
      <w:r>
        <w:rPr>
          <w:rFonts w:ascii="Traditional Arabic" w:hAnsi="Traditional Arabic" w:cs="Traditional Arabic"/>
          <w:b/>
          <w:bCs/>
          <w:rtl/>
        </w:rPr>
        <w:tab/>
      </w:r>
    </w:p>
    <w:p w14:paraId="424C7F6A" w14:textId="31C858DB" w:rsidR="003E4C9F" w:rsidRPr="008D20C7" w:rsidRDefault="008D20C7" w:rsidP="008D20C7">
      <w:pPr>
        <w:tabs>
          <w:tab w:val="left" w:leader="dot" w:pos="10080"/>
        </w:tabs>
        <w:bidi/>
        <w:spacing w:after="0" w:line="360" w:lineRule="auto"/>
        <w:rPr>
          <w:rFonts w:ascii="Traditional Arabic" w:hAnsi="Traditional Arabic" w:cs="Traditional Arabic"/>
          <w:b/>
          <w:bCs/>
          <w:rtl/>
        </w:rPr>
      </w:pPr>
      <w:r w:rsidRPr="008D20C7">
        <w:rPr>
          <w:rFonts w:ascii="Traditional Arabic" w:hAnsi="Traditional Arabic" w:cs="Traditional Arabic" w:hint="cs"/>
          <w:b/>
          <w:bCs/>
          <w:rtl/>
        </w:rPr>
        <w:t>الجدول</w:t>
      </w:r>
      <w:r w:rsidRPr="008D20C7">
        <w:rPr>
          <w:rFonts w:ascii="Traditional Arabic" w:hAnsi="Traditional Arabic" w:cs="Traditional Arabic" w:hint="cs"/>
          <w:b/>
          <w:bCs/>
          <w:rtl/>
        </w:rPr>
        <w:t>4</w:t>
      </w:r>
      <w:r>
        <w:rPr>
          <w:rFonts w:ascii="Traditional Arabic" w:hAnsi="Traditional Arabic" w:cs="Traditional Arabic" w:hint="cs"/>
          <w:b/>
          <w:bCs/>
          <w:rtl/>
        </w:rPr>
        <w:t xml:space="preserve">: </w:t>
      </w:r>
      <w:r>
        <w:rPr>
          <w:rFonts w:ascii="Traditional Arabic" w:hAnsi="Traditional Arabic" w:cs="Traditional Arabic"/>
          <w:b/>
          <w:bCs/>
          <w:rtl/>
        </w:rPr>
        <w:tab/>
      </w:r>
    </w:p>
    <w:p w14:paraId="03281548" w14:textId="320C582A" w:rsidR="003E4C9F" w:rsidRPr="008D20C7" w:rsidRDefault="008D20C7" w:rsidP="008D20C7">
      <w:pPr>
        <w:tabs>
          <w:tab w:val="left" w:leader="dot" w:pos="10080"/>
        </w:tabs>
        <w:bidi/>
        <w:spacing w:after="0" w:line="360" w:lineRule="auto"/>
        <w:rPr>
          <w:rFonts w:ascii="Traditional Arabic" w:hAnsi="Traditional Arabic" w:cs="Traditional Arabic"/>
          <w:b/>
          <w:bCs/>
          <w:rtl/>
        </w:rPr>
      </w:pPr>
      <w:r w:rsidRPr="008D20C7">
        <w:rPr>
          <w:rFonts w:ascii="Traditional Arabic" w:hAnsi="Traditional Arabic" w:cs="Traditional Arabic" w:hint="cs"/>
          <w:b/>
          <w:bCs/>
          <w:rtl/>
        </w:rPr>
        <w:t>الجدول</w:t>
      </w:r>
      <w:r w:rsidRPr="008D20C7">
        <w:rPr>
          <w:rFonts w:ascii="Traditional Arabic" w:hAnsi="Traditional Arabic" w:cs="Traditional Arabic" w:hint="cs"/>
          <w:b/>
          <w:bCs/>
          <w:rtl/>
        </w:rPr>
        <w:t>5</w:t>
      </w:r>
      <w:r>
        <w:rPr>
          <w:rFonts w:ascii="Traditional Arabic" w:hAnsi="Traditional Arabic" w:cs="Traditional Arabic" w:hint="cs"/>
          <w:b/>
          <w:bCs/>
          <w:rtl/>
        </w:rPr>
        <w:t xml:space="preserve">: </w:t>
      </w:r>
      <w:r>
        <w:rPr>
          <w:rFonts w:ascii="Traditional Arabic" w:hAnsi="Traditional Arabic" w:cs="Traditional Arabic"/>
          <w:b/>
          <w:bCs/>
          <w:rtl/>
        </w:rPr>
        <w:tab/>
      </w:r>
    </w:p>
    <w:p w14:paraId="2BDEC268"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50FC76FA"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79FCA009"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375BB2D2"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026D75F2"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41A5343A"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74EBB78B"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56AD2811"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7953926F"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3F8C1B07"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786A6BB6"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63B457A8"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750E7EA7"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37A0177C" w14:textId="77777777" w:rsidR="003E4C9F" w:rsidRDefault="003E4C9F" w:rsidP="003E4C9F">
      <w:pPr>
        <w:bidi/>
        <w:spacing w:after="0" w:line="360" w:lineRule="auto"/>
        <w:jc w:val="both"/>
        <w:rPr>
          <w:rFonts w:ascii="Traditional Arabic" w:hAnsi="Traditional Arabic" w:cs="Traditional Arabic"/>
          <w:b/>
          <w:bCs/>
          <w:sz w:val="32"/>
          <w:szCs w:val="32"/>
          <w:rtl/>
        </w:rPr>
      </w:pPr>
    </w:p>
    <w:p w14:paraId="16E388F4" w14:textId="481DBB1D" w:rsidR="0060733E" w:rsidRDefault="00486F2D" w:rsidP="004E4893">
      <w:pPr>
        <w:bidi/>
        <w:spacing w:after="0" w:line="360" w:lineRule="auto"/>
        <w:jc w:val="center"/>
        <w:rPr>
          <w:rFonts w:ascii="Traditional Arabic" w:hAnsi="Traditional Arabic" w:cs="Traditional Arabic"/>
          <w:b/>
          <w:bCs/>
          <w:sz w:val="32"/>
          <w:szCs w:val="32"/>
          <w:rtl/>
        </w:rPr>
      </w:pPr>
      <w:r w:rsidRPr="002826A0">
        <w:rPr>
          <w:rFonts w:ascii="Traditional Arabic" w:hAnsi="Traditional Arabic" w:cs="Traditional Arabic" w:hint="cs"/>
          <w:b/>
          <w:bCs/>
          <w:sz w:val="32"/>
          <w:szCs w:val="32"/>
          <w:rtl/>
        </w:rPr>
        <w:lastRenderedPageBreak/>
        <w:t>قائمة الأشكال</w:t>
      </w:r>
    </w:p>
    <w:p w14:paraId="58E9F143" w14:textId="07952F0D" w:rsidR="004E4893" w:rsidRDefault="004E4893" w:rsidP="00101C37">
      <w:pPr>
        <w:tabs>
          <w:tab w:val="left" w:leader="dot" w:pos="10080"/>
        </w:tabs>
        <w:bidi/>
        <w:spacing w:after="0" w:line="360" w:lineRule="auto"/>
        <w:rPr>
          <w:rFonts w:ascii="Traditional Arabic" w:hAnsi="Traditional Arabic" w:cs="Traditional Arabic"/>
          <w:b/>
          <w:bCs/>
          <w:rtl/>
        </w:rPr>
      </w:pPr>
      <w:r w:rsidRPr="00101C37">
        <w:rPr>
          <w:rFonts w:ascii="Traditional Arabic" w:hAnsi="Traditional Arabic" w:cs="Traditional Arabic" w:hint="cs"/>
          <w:b/>
          <w:bCs/>
          <w:rtl/>
        </w:rPr>
        <w:t>الشكل1: نموذج الدراسة</w:t>
      </w:r>
      <w:r w:rsidR="00101C37">
        <w:rPr>
          <w:rFonts w:ascii="Traditional Arabic" w:hAnsi="Traditional Arabic" w:cs="Traditional Arabic" w:hint="cs"/>
          <w:b/>
          <w:bCs/>
          <w:rtl/>
        </w:rPr>
        <w:t xml:space="preserve">: </w:t>
      </w:r>
      <w:r w:rsidR="00101C37">
        <w:rPr>
          <w:rFonts w:ascii="Traditional Arabic" w:hAnsi="Traditional Arabic" w:cs="Traditional Arabic"/>
          <w:b/>
          <w:bCs/>
          <w:rtl/>
        </w:rPr>
        <w:tab/>
      </w:r>
      <w:r w:rsidR="00F27B21">
        <w:rPr>
          <w:rFonts w:ascii="Traditional Arabic" w:hAnsi="Traditional Arabic" w:cs="Traditional Arabic" w:hint="cs"/>
          <w:b/>
          <w:bCs/>
          <w:rtl/>
        </w:rPr>
        <w:t>17</w:t>
      </w:r>
    </w:p>
    <w:p w14:paraId="636F9028" w14:textId="70880686"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الشكل2: </w:t>
      </w:r>
      <w:r>
        <w:rPr>
          <w:rFonts w:ascii="Traditional Arabic" w:hAnsi="Traditional Arabic" w:cs="Traditional Arabic"/>
          <w:b/>
          <w:bCs/>
          <w:rtl/>
        </w:rPr>
        <w:tab/>
      </w:r>
    </w:p>
    <w:p w14:paraId="1C88D657" w14:textId="5C109CD6"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الشكل3: </w:t>
      </w:r>
      <w:r>
        <w:rPr>
          <w:rFonts w:ascii="Traditional Arabic" w:hAnsi="Traditional Arabic" w:cs="Traditional Arabic"/>
          <w:b/>
          <w:bCs/>
          <w:rtl/>
        </w:rPr>
        <w:tab/>
      </w:r>
    </w:p>
    <w:p w14:paraId="4B26C7AE" w14:textId="3D42D7A2" w:rsidR="00486F2D"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الشكل4: </w:t>
      </w:r>
      <w:r>
        <w:rPr>
          <w:rFonts w:ascii="Traditional Arabic" w:hAnsi="Traditional Arabic" w:cs="Traditional Arabic"/>
          <w:b/>
          <w:bCs/>
          <w:rtl/>
        </w:rPr>
        <w:tab/>
      </w:r>
    </w:p>
    <w:p w14:paraId="5343E1DF" w14:textId="7965DE71"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الشكل5</w:t>
      </w:r>
      <w:r w:rsidR="00E142FC">
        <w:rPr>
          <w:rFonts w:ascii="Traditional Arabic" w:hAnsi="Traditional Arabic" w:cs="Traditional Arabic" w:hint="cs"/>
          <w:b/>
          <w:bCs/>
          <w:rtl/>
        </w:rPr>
        <w:t xml:space="preserve">: </w:t>
      </w:r>
      <w:r w:rsidR="00E142FC">
        <w:rPr>
          <w:rFonts w:ascii="Traditional Arabic" w:hAnsi="Traditional Arabic" w:cs="Traditional Arabic"/>
          <w:b/>
          <w:bCs/>
          <w:rtl/>
        </w:rPr>
        <w:tab/>
      </w:r>
    </w:p>
    <w:p w14:paraId="4C814473" w14:textId="25DC2311"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الشكل6</w:t>
      </w:r>
      <w:r w:rsidR="00E142FC">
        <w:rPr>
          <w:rFonts w:ascii="Traditional Arabic" w:hAnsi="Traditional Arabic" w:cs="Traditional Arabic" w:hint="cs"/>
          <w:b/>
          <w:bCs/>
          <w:rtl/>
        </w:rPr>
        <w:t xml:space="preserve">: </w:t>
      </w:r>
      <w:r w:rsidR="00E142FC">
        <w:rPr>
          <w:rFonts w:ascii="Traditional Arabic" w:hAnsi="Traditional Arabic" w:cs="Traditional Arabic"/>
          <w:b/>
          <w:bCs/>
          <w:rtl/>
        </w:rPr>
        <w:tab/>
      </w:r>
    </w:p>
    <w:p w14:paraId="694731EB" w14:textId="7394A208"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الشكل7</w:t>
      </w:r>
      <w:r w:rsidR="00E142FC">
        <w:rPr>
          <w:rFonts w:ascii="Traditional Arabic" w:hAnsi="Traditional Arabic" w:cs="Traditional Arabic" w:hint="cs"/>
          <w:b/>
          <w:bCs/>
          <w:rtl/>
        </w:rPr>
        <w:t xml:space="preserve">: </w:t>
      </w:r>
      <w:r w:rsidR="00E142FC">
        <w:rPr>
          <w:rFonts w:ascii="Traditional Arabic" w:hAnsi="Traditional Arabic" w:cs="Traditional Arabic"/>
          <w:b/>
          <w:bCs/>
          <w:rtl/>
        </w:rPr>
        <w:tab/>
      </w:r>
    </w:p>
    <w:p w14:paraId="7473784E" w14:textId="23BD39E8"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الشكل8</w:t>
      </w:r>
      <w:r w:rsidR="00E142FC">
        <w:rPr>
          <w:rFonts w:ascii="Traditional Arabic" w:hAnsi="Traditional Arabic" w:cs="Traditional Arabic" w:hint="cs"/>
          <w:b/>
          <w:bCs/>
          <w:rtl/>
        </w:rPr>
        <w:t xml:space="preserve">: </w:t>
      </w:r>
      <w:r w:rsidR="00E142FC">
        <w:rPr>
          <w:rFonts w:ascii="Traditional Arabic" w:hAnsi="Traditional Arabic" w:cs="Traditional Arabic"/>
          <w:b/>
          <w:bCs/>
          <w:rtl/>
        </w:rPr>
        <w:tab/>
      </w:r>
    </w:p>
    <w:p w14:paraId="7CA685F0" w14:textId="0703833B"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الشكل9:</w:t>
      </w:r>
      <w:r w:rsidR="00E142FC">
        <w:rPr>
          <w:rFonts w:ascii="Traditional Arabic" w:hAnsi="Traditional Arabic" w:cs="Traditional Arabic" w:hint="cs"/>
          <w:b/>
          <w:bCs/>
          <w:rtl/>
        </w:rPr>
        <w:t xml:space="preserve"> </w:t>
      </w:r>
      <w:r>
        <w:rPr>
          <w:rFonts w:ascii="Traditional Arabic" w:hAnsi="Traditional Arabic" w:cs="Traditional Arabic"/>
          <w:b/>
          <w:bCs/>
          <w:rtl/>
        </w:rPr>
        <w:tab/>
      </w:r>
      <w:r>
        <w:rPr>
          <w:rFonts w:ascii="Traditional Arabic" w:hAnsi="Traditional Arabic" w:cs="Traditional Arabic" w:hint="cs"/>
          <w:b/>
          <w:bCs/>
          <w:rtl/>
        </w:rPr>
        <w:t xml:space="preserve"> </w:t>
      </w:r>
    </w:p>
    <w:p w14:paraId="40D8C12A" w14:textId="68C2F87C"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الشكل10: </w:t>
      </w:r>
      <w:r>
        <w:rPr>
          <w:rFonts w:ascii="Traditional Arabic" w:hAnsi="Traditional Arabic" w:cs="Traditional Arabic"/>
          <w:b/>
          <w:bCs/>
          <w:rtl/>
        </w:rPr>
        <w:tab/>
      </w:r>
    </w:p>
    <w:p w14:paraId="2E93EDFF" w14:textId="2EE11758"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الشكل11: </w:t>
      </w:r>
      <w:r>
        <w:rPr>
          <w:rFonts w:ascii="Traditional Arabic" w:hAnsi="Traditional Arabic" w:cs="Traditional Arabic"/>
          <w:b/>
          <w:bCs/>
          <w:rtl/>
        </w:rPr>
        <w:tab/>
      </w:r>
    </w:p>
    <w:p w14:paraId="0B8E4271" w14:textId="6C7CA2C4"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الشكل12: </w:t>
      </w:r>
      <w:r>
        <w:rPr>
          <w:rFonts w:ascii="Traditional Arabic" w:hAnsi="Traditional Arabic" w:cs="Traditional Arabic"/>
          <w:b/>
          <w:bCs/>
          <w:rtl/>
        </w:rPr>
        <w:tab/>
      </w:r>
    </w:p>
    <w:p w14:paraId="53AC4DAD" w14:textId="2C9DDD25" w:rsid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 xml:space="preserve">الشكل13: </w:t>
      </w:r>
      <w:r>
        <w:rPr>
          <w:rFonts w:ascii="Traditional Arabic" w:hAnsi="Traditional Arabic" w:cs="Traditional Arabic"/>
          <w:b/>
          <w:bCs/>
          <w:rtl/>
        </w:rPr>
        <w:tab/>
      </w:r>
    </w:p>
    <w:p w14:paraId="522C0F84" w14:textId="54506E6D" w:rsidR="00101C37" w:rsidRPr="00101C37" w:rsidRDefault="00101C37" w:rsidP="00101C37">
      <w:pPr>
        <w:tabs>
          <w:tab w:val="left" w:leader="dot" w:pos="10080"/>
        </w:tabs>
        <w:bidi/>
        <w:spacing w:after="0" w:line="360" w:lineRule="auto"/>
        <w:rPr>
          <w:rFonts w:ascii="Traditional Arabic" w:hAnsi="Traditional Arabic" w:cs="Traditional Arabic"/>
          <w:b/>
          <w:bCs/>
          <w:rtl/>
        </w:rPr>
      </w:pPr>
      <w:r>
        <w:rPr>
          <w:rFonts w:ascii="Traditional Arabic" w:hAnsi="Traditional Arabic" w:cs="Traditional Arabic" w:hint="cs"/>
          <w:b/>
          <w:bCs/>
          <w:rtl/>
        </w:rPr>
        <w:t>الشكل14:</w:t>
      </w:r>
      <w:r>
        <w:rPr>
          <w:rFonts w:ascii="Traditional Arabic" w:hAnsi="Traditional Arabic" w:cs="Traditional Arabic"/>
          <w:b/>
          <w:bCs/>
          <w:rtl/>
        </w:rPr>
        <w:tab/>
      </w:r>
    </w:p>
    <w:p w14:paraId="5C678941" w14:textId="77777777" w:rsidR="00486F2D" w:rsidRDefault="00486F2D" w:rsidP="00486F2D">
      <w:pPr>
        <w:bidi/>
        <w:spacing w:after="0" w:line="360" w:lineRule="auto"/>
        <w:jc w:val="both"/>
        <w:rPr>
          <w:rFonts w:ascii="Traditional Arabic" w:hAnsi="Traditional Arabic" w:cs="Traditional Arabic"/>
          <w:b/>
          <w:bCs/>
          <w:sz w:val="28"/>
          <w:szCs w:val="28"/>
          <w:rtl/>
        </w:rPr>
      </w:pPr>
    </w:p>
    <w:p w14:paraId="01B0D9DE" w14:textId="77777777" w:rsidR="00486F2D" w:rsidRDefault="00486F2D" w:rsidP="00486F2D">
      <w:pPr>
        <w:bidi/>
        <w:spacing w:after="0" w:line="360" w:lineRule="auto"/>
        <w:jc w:val="both"/>
        <w:rPr>
          <w:rFonts w:ascii="Traditional Arabic" w:hAnsi="Traditional Arabic" w:cs="Traditional Arabic"/>
          <w:b/>
          <w:bCs/>
          <w:sz w:val="28"/>
          <w:szCs w:val="28"/>
          <w:rtl/>
        </w:rPr>
      </w:pPr>
    </w:p>
    <w:p w14:paraId="18E91333" w14:textId="77777777" w:rsidR="00486F2D" w:rsidRDefault="00486F2D" w:rsidP="00486F2D">
      <w:pPr>
        <w:bidi/>
        <w:spacing w:after="0" w:line="360" w:lineRule="auto"/>
        <w:jc w:val="both"/>
        <w:rPr>
          <w:rFonts w:ascii="Traditional Arabic" w:hAnsi="Traditional Arabic" w:cs="Traditional Arabic"/>
          <w:b/>
          <w:bCs/>
          <w:sz w:val="28"/>
          <w:szCs w:val="28"/>
          <w:rtl/>
        </w:rPr>
      </w:pPr>
    </w:p>
    <w:p w14:paraId="4F301B8B" w14:textId="77777777" w:rsidR="006E28C5" w:rsidRDefault="006E28C5" w:rsidP="00486F2D">
      <w:pPr>
        <w:bidi/>
        <w:spacing w:after="0" w:line="360" w:lineRule="auto"/>
        <w:jc w:val="both"/>
        <w:rPr>
          <w:rFonts w:ascii="Traditional Arabic" w:hAnsi="Traditional Arabic" w:cs="Traditional Arabic"/>
          <w:b/>
          <w:bCs/>
          <w:sz w:val="32"/>
          <w:szCs w:val="32"/>
        </w:rPr>
      </w:pPr>
    </w:p>
    <w:p w14:paraId="4B206673" w14:textId="77777777" w:rsidR="006E28C5" w:rsidRDefault="006E28C5" w:rsidP="006E28C5">
      <w:pPr>
        <w:bidi/>
        <w:spacing w:after="0" w:line="360" w:lineRule="auto"/>
        <w:jc w:val="both"/>
        <w:rPr>
          <w:rFonts w:ascii="Traditional Arabic" w:hAnsi="Traditional Arabic" w:cs="Traditional Arabic"/>
          <w:b/>
          <w:bCs/>
          <w:sz w:val="32"/>
          <w:szCs w:val="32"/>
        </w:rPr>
      </w:pPr>
    </w:p>
    <w:p w14:paraId="6E6130E5" w14:textId="77777777" w:rsidR="006E28C5" w:rsidRDefault="006E28C5" w:rsidP="006E28C5">
      <w:pPr>
        <w:bidi/>
        <w:spacing w:after="0" w:line="360" w:lineRule="auto"/>
        <w:jc w:val="both"/>
        <w:rPr>
          <w:rFonts w:ascii="Traditional Arabic" w:hAnsi="Traditional Arabic" w:cs="Traditional Arabic"/>
          <w:b/>
          <w:bCs/>
          <w:sz w:val="32"/>
          <w:szCs w:val="32"/>
        </w:rPr>
      </w:pPr>
    </w:p>
    <w:p w14:paraId="3A4AE5DF" w14:textId="77777777" w:rsidR="006E28C5" w:rsidRDefault="006E28C5" w:rsidP="006E28C5">
      <w:pPr>
        <w:bidi/>
        <w:spacing w:after="0" w:line="360" w:lineRule="auto"/>
        <w:jc w:val="both"/>
        <w:rPr>
          <w:rFonts w:ascii="Traditional Arabic" w:hAnsi="Traditional Arabic" w:cs="Traditional Arabic"/>
          <w:b/>
          <w:bCs/>
          <w:sz w:val="32"/>
          <w:szCs w:val="32"/>
        </w:rPr>
      </w:pPr>
    </w:p>
    <w:p w14:paraId="45991A42" w14:textId="4F92E330" w:rsidR="00486F2D" w:rsidRPr="00000612" w:rsidRDefault="00486F2D" w:rsidP="003E4C9F">
      <w:pPr>
        <w:bidi/>
        <w:spacing w:after="0" w:line="360" w:lineRule="auto"/>
        <w:jc w:val="both"/>
        <w:rPr>
          <w:rFonts w:ascii="Traditional Arabic" w:hAnsi="Traditional Arabic" w:cs="Traditional Arabic"/>
          <w:b/>
          <w:bCs/>
          <w:sz w:val="32"/>
          <w:szCs w:val="32"/>
          <w:rtl/>
        </w:rPr>
      </w:pPr>
      <w:r w:rsidRPr="00000612">
        <w:rPr>
          <w:rFonts w:ascii="Traditional Arabic" w:hAnsi="Traditional Arabic" w:cs="Traditional Arabic" w:hint="cs"/>
          <w:b/>
          <w:bCs/>
          <w:sz w:val="32"/>
          <w:szCs w:val="32"/>
          <w:rtl/>
        </w:rPr>
        <w:lastRenderedPageBreak/>
        <w:t>الفصل الأول: الإطار المنهجي</w:t>
      </w:r>
      <w:r w:rsidR="00FD38C0" w:rsidRPr="00000612">
        <w:rPr>
          <w:rFonts w:ascii="Traditional Arabic" w:hAnsi="Traditional Arabic" w:cs="Traditional Arabic" w:hint="cs"/>
          <w:b/>
          <w:bCs/>
          <w:sz w:val="32"/>
          <w:szCs w:val="32"/>
          <w:rtl/>
        </w:rPr>
        <w:t xml:space="preserve"> للدراسة</w:t>
      </w:r>
    </w:p>
    <w:p w14:paraId="21738CEA" w14:textId="6F44ECE0" w:rsidR="002F6F39" w:rsidRPr="005201F9" w:rsidRDefault="002F6F39" w:rsidP="0060733E">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t>مقدمة الدراسة</w:t>
      </w:r>
    </w:p>
    <w:p w14:paraId="2053E12E"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يُعد الأداء التنظيمي أحد المفاهيم الأساسية في الدراسات الإدارية، حيث يعكس قدرة المنظمة على تحقيق أهدافها بكفاءة وفعالية من خلال الاستخدام الأمثل للموارد المتاحة. ويشمل الأداء التنظيمي عدة أبعاد، منها جودة العمل، وكفاءة العمليات، وسرعة الإنجاز، ومستوى التنسيق بين الوحدات التنظيمية، مما يجعله مؤشراً رئيساً لقياس نجاح المنظمات واستدامتها (</w:t>
      </w:r>
      <w:r w:rsidRPr="005201F9">
        <w:rPr>
          <w:rFonts w:ascii="Traditional Arabic" w:hAnsi="Traditional Arabic" w:cs="Traditional Arabic"/>
        </w:rPr>
        <w:t xml:space="preserve">Al Aina &amp; </w:t>
      </w:r>
      <w:proofErr w:type="spellStart"/>
      <w:r w:rsidRPr="005201F9">
        <w:rPr>
          <w:rFonts w:ascii="Traditional Arabic" w:hAnsi="Traditional Arabic" w:cs="Traditional Arabic"/>
        </w:rPr>
        <w:t>Atan</w:t>
      </w:r>
      <w:proofErr w:type="spellEnd"/>
      <w:r w:rsidRPr="005201F9">
        <w:rPr>
          <w:rFonts w:ascii="Traditional Arabic" w:hAnsi="Traditional Arabic" w:cs="Traditional Arabic"/>
        </w:rPr>
        <w:t>, 2020</w:t>
      </w:r>
      <w:r w:rsidRPr="005201F9">
        <w:rPr>
          <w:rFonts w:ascii="Traditional Arabic" w:hAnsi="Traditional Arabic" w:cs="Traditional Arabic"/>
          <w:rtl/>
        </w:rPr>
        <w:t>). كما تشير الأدبيات إلى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Menezes et al., 2025; Sinisterra et al., 2024</w:t>
      </w:r>
      <w:r w:rsidRPr="005201F9">
        <w:rPr>
          <w:rFonts w:ascii="Traditional Arabic" w:hAnsi="Traditional Arabic" w:cs="Traditional Arabic"/>
          <w:rtl/>
        </w:rPr>
        <w:t>).</w:t>
      </w:r>
    </w:p>
    <w:p w14:paraId="4CF27242"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وفي هذا السياق، برزت إدارة المواهب كأحد المداخل الاستراتيجية الحديثة التي تسعى المنظمات من خلالها إلى تحسين الأداء التنظيمي، حيث تمثل إدارة المواهب مجموعة من الممارسات التي تهدف إلى استقطاب الكفاءات البشرية المتميزة، وتطويرها، والاحتفاظ بها بما يدعم تحقيق التميز التنظيمي. وتشير الأدبيات الحديثة إلى أن المنظمات التي تتبنى ممارسات فعالة في إدارة المواهب تكون أكثر قدرة على تحقيق مستويات أداء مرتفعة مقارنة بغيرها</w:t>
      </w:r>
      <w:r w:rsidRPr="005201F9">
        <w:rPr>
          <w:rFonts w:ascii="Traditional Arabic" w:hAnsi="Traditional Arabic" w:cs="Traditional Arabic"/>
        </w:rPr>
        <w:t xml:space="preserve"> (Collings et al., 2021; Al </w:t>
      </w:r>
      <w:proofErr w:type="spellStart"/>
      <w:r w:rsidRPr="005201F9">
        <w:rPr>
          <w:rFonts w:ascii="Traditional Arabic" w:hAnsi="Traditional Arabic" w:cs="Traditional Arabic"/>
        </w:rPr>
        <w:t>Ariss</w:t>
      </w:r>
      <w:proofErr w:type="spellEnd"/>
      <w:r w:rsidRPr="005201F9">
        <w:rPr>
          <w:rFonts w:ascii="Traditional Arabic" w:hAnsi="Traditional Arabic" w:cs="Traditional Arabic"/>
        </w:rPr>
        <w:t xml:space="preserve"> et al., 2022).</w:t>
      </w:r>
    </w:p>
    <w:p w14:paraId="0C1631EF"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ومع ذلك، فإن العلاقة بين إدارة المواهب والأداء التنظيمي لا تكون مباشرة دائمًا، بل تتأثر بمجموعة من العوامل السلوكية داخل المنظمة، من أبرزها اندماج الموظفين. ويُعد اندماج الموظفين من المتغيرات السلوكية المهمة التي تعكس مدى ارتباط الأفراد بوظائفهم ومنظماتهم، حيث يسهم في تعزيز مستويات الالتزام والإنتاجية، مما ينعكس إيجابياً على الأداء التنظيمي</w:t>
      </w:r>
      <w:r w:rsidRPr="005201F9">
        <w:rPr>
          <w:rFonts w:ascii="Traditional Arabic" w:hAnsi="Traditional Arabic" w:cs="Traditional Arabic"/>
        </w:rPr>
        <w:t xml:space="preserve"> (Luna-</w:t>
      </w:r>
      <w:proofErr w:type="spellStart"/>
      <w:r w:rsidRPr="005201F9">
        <w:rPr>
          <w:rFonts w:ascii="Traditional Arabic" w:hAnsi="Traditional Arabic" w:cs="Traditional Arabic"/>
        </w:rPr>
        <w:t>Arocas</w:t>
      </w:r>
      <w:proofErr w:type="spellEnd"/>
      <w:r w:rsidRPr="005201F9">
        <w:rPr>
          <w:rFonts w:ascii="Traditional Arabic" w:hAnsi="Traditional Arabic" w:cs="Traditional Arabic"/>
        </w:rPr>
        <w:t xml:space="preserve"> &amp; Morley, 2020; </w:t>
      </w:r>
      <w:proofErr w:type="spellStart"/>
      <w:r w:rsidRPr="005201F9">
        <w:rPr>
          <w:rFonts w:ascii="Traditional Arabic" w:hAnsi="Traditional Arabic" w:cs="Traditional Arabic"/>
        </w:rPr>
        <w:t>Kravariti</w:t>
      </w:r>
      <w:proofErr w:type="spellEnd"/>
      <w:r w:rsidRPr="005201F9">
        <w:rPr>
          <w:rFonts w:ascii="Traditional Arabic" w:hAnsi="Traditional Arabic" w:cs="Traditional Arabic"/>
        </w:rPr>
        <w:t xml:space="preserve"> et al., 2023).</w:t>
      </w:r>
    </w:p>
    <w:p w14:paraId="1FAFF437"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وفي هذا الإطار، تشير الأدبيات الحديثة إلى أن اندماج الموظفين يلعب دوراً وسيطاً مهماً في تفسير العلاقة بين إدارة المواهب والأداء التنظيمي، حيث تسهم ممارسات إدارة المواهب في رفع مستوى اندماج الموظفين، والذي بدوره ينعكس على تحسين الأداء داخل المنظمة</w:t>
      </w:r>
      <w:r w:rsidRPr="005201F9">
        <w:rPr>
          <w:rFonts w:ascii="Traditional Arabic" w:hAnsi="Traditional Arabic" w:cs="Traditional Arabic"/>
        </w:rPr>
        <w:t xml:space="preserve"> (Sinisterra et al., 2024). </w:t>
      </w:r>
      <w:r w:rsidRPr="005201F9">
        <w:rPr>
          <w:rFonts w:ascii="Traditional Arabic" w:hAnsi="Traditional Arabic" w:cs="Traditional Arabic"/>
          <w:rtl/>
        </w:rPr>
        <w:t>ومن ثم، فإن دراسة هذا الدور الوسيط تعد مدخلاً مهماً لفهم طبيعة العلاقة بين هذه المتغيرات بصورة أكثر عمقًا</w:t>
      </w:r>
      <w:r w:rsidRPr="005201F9">
        <w:rPr>
          <w:rFonts w:ascii="Traditional Arabic" w:hAnsi="Traditional Arabic" w:cs="Traditional Arabic"/>
        </w:rPr>
        <w:t>.</w:t>
      </w:r>
    </w:p>
    <w:p w14:paraId="61E17A24"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وفي سياق الشركات التنموية الكبرى، تزداد أهمية إدارة المواهب واندماج الموظفين نظرًا لتعقيد العمليات وتعدد أصحاب المصلحة، مما يجعل الاستثمار في الكفاءات البشرية عاملاً حاسمًا في تحقيق الأداء المستهدف</w:t>
      </w:r>
      <w:r w:rsidRPr="005201F9">
        <w:rPr>
          <w:rFonts w:ascii="Traditional Arabic" w:hAnsi="Traditional Arabic" w:cs="Traditional Arabic"/>
        </w:rPr>
        <w:t xml:space="preserve"> (</w:t>
      </w:r>
      <w:proofErr w:type="spellStart"/>
      <w:r w:rsidRPr="005201F9">
        <w:rPr>
          <w:rFonts w:ascii="Traditional Arabic" w:hAnsi="Traditional Arabic" w:cs="Traditional Arabic"/>
        </w:rPr>
        <w:t>Boselie</w:t>
      </w:r>
      <w:proofErr w:type="spellEnd"/>
      <w:r w:rsidRPr="005201F9">
        <w:rPr>
          <w:rFonts w:ascii="Traditional Arabic" w:hAnsi="Traditional Arabic" w:cs="Traditional Arabic"/>
        </w:rPr>
        <w:t xml:space="preserve"> et al., 2024; </w:t>
      </w:r>
      <w:proofErr w:type="spellStart"/>
      <w:r w:rsidRPr="005201F9">
        <w:rPr>
          <w:rFonts w:ascii="Traditional Arabic" w:hAnsi="Traditional Arabic" w:cs="Traditional Arabic"/>
        </w:rPr>
        <w:t>Alrifae</w:t>
      </w:r>
      <w:proofErr w:type="spellEnd"/>
      <w:r w:rsidRPr="005201F9">
        <w:rPr>
          <w:rFonts w:ascii="Traditional Arabic" w:hAnsi="Traditional Arabic" w:cs="Traditional Arabic"/>
        </w:rPr>
        <w:t xml:space="preserve"> et al., 2025).</w:t>
      </w:r>
    </w:p>
    <w:p w14:paraId="7DDD1081"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وفي سياق المملكة العربية السعودية، ومع توجهات رؤية 2030، تبرز أهمية إدارة المواهب كأحد الممكنات الأساسية لنجاح المشاريع التنموية الكبرى، ويعد مشروع تطوير الدرعية أحد أبرز هذه المشاريع، حيث تعتمد شركة الدرعية على كفاءات بشرية عالية في بيئة عمل ديناميكية ومعقدة. وتشير الدراسات الحديثة إلى أن تطوير ممارسات إدارة المواهب وتعزيز اندماج الموظفين يُعدان من العوامل المؤثرة في تحسين الأداء التنظيمي داخل المنظمات السعودية</w:t>
      </w:r>
      <w:r w:rsidRPr="005201F9">
        <w:rPr>
          <w:rFonts w:ascii="Traditional Arabic" w:hAnsi="Traditional Arabic" w:cs="Traditional Arabic"/>
        </w:rPr>
        <w:t xml:space="preserve"> (</w:t>
      </w:r>
      <w:proofErr w:type="spellStart"/>
      <w:r w:rsidRPr="005201F9">
        <w:rPr>
          <w:rFonts w:ascii="Traditional Arabic" w:hAnsi="Traditional Arabic" w:cs="Traditional Arabic"/>
        </w:rPr>
        <w:t>Kayal</w:t>
      </w:r>
      <w:proofErr w:type="spellEnd"/>
      <w:r w:rsidRPr="005201F9">
        <w:rPr>
          <w:rFonts w:ascii="Traditional Arabic" w:hAnsi="Traditional Arabic" w:cs="Traditional Arabic"/>
        </w:rPr>
        <w:t>, 2025).</w:t>
      </w:r>
    </w:p>
    <w:p w14:paraId="393855A6" w14:textId="77777777" w:rsidR="00D12ED3" w:rsidRPr="005201F9" w:rsidRDefault="00D12ED3" w:rsidP="005201F9">
      <w:pPr>
        <w:bidi/>
        <w:spacing w:line="360" w:lineRule="auto"/>
        <w:rPr>
          <w:rFonts w:ascii="Traditional Arabic" w:hAnsi="Traditional Arabic" w:cs="Traditional Arabic"/>
        </w:rPr>
      </w:pPr>
      <w:r w:rsidRPr="005201F9">
        <w:rPr>
          <w:rFonts w:ascii="Traditional Arabic" w:hAnsi="Traditional Arabic" w:cs="Traditional Arabic"/>
          <w:rtl/>
        </w:rPr>
        <w:t>وعليه، تنطلق هذه الدراسة من محاولة تحليل العلاقة بين إدارة المواهب والأداء التنظيمي، مع التركيز على الدور الوسيط لاندماج الموظفين في هذه العلاقة، وذلك في إطار تطبيقي على شركة الدرعية</w:t>
      </w:r>
      <w:r w:rsidRPr="005201F9">
        <w:rPr>
          <w:rFonts w:ascii="Traditional Arabic" w:hAnsi="Traditional Arabic" w:cs="Traditional Arabic"/>
        </w:rPr>
        <w:t>.</w:t>
      </w:r>
    </w:p>
    <w:p w14:paraId="001AC3D2" w14:textId="39B32670" w:rsidR="00413D0F" w:rsidRPr="005201F9" w:rsidRDefault="00413D0F" w:rsidP="005201F9">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lastRenderedPageBreak/>
        <w:t>مشكلة الدراسة</w:t>
      </w:r>
    </w:p>
    <w:p w14:paraId="1DD71114" w14:textId="77777777" w:rsidR="00413D0F" w:rsidRPr="005201F9" w:rsidRDefault="00413D0F"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تتمثل مشكلة الدراسة في وجود تحديات تتعلق بمستوى الأداء التنظيمي في شركة الدرعية، حيث تتطلب طبيعة المشاريع التنموية الكبرى التي تنفذها الشركة مستويات عالية من الكفاءة والتنسيق وسرعة الإنجاز، الأمر الذي يجعل تحقيق الأداء التنظيمي المتميز تحديًا مستمرًا في ظل بيئة عمل ديناميكية ومعقدة تعتمد بشكل كبير على الكفاءات البشرية</w:t>
      </w:r>
      <w:r w:rsidRPr="005201F9">
        <w:rPr>
          <w:rFonts w:ascii="Traditional Arabic" w:hAnsi="Traditional Arabic" w:cs="Traditional Arabic"/>
        </w:rPr>
        <w:t>.</w:t>
      </w:r>
    </w:p>
    <w:p w14:paraId="2B757C45" w14:textId="016EDC0C" w:rsidR="00413D0F" w:rsidRPr="005201F9" w:rsidRDefault="00413D0F"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ولدى مراجعة الباحث للدراسات السابقة، تبين أن العديد من الدراسات ركزت على ممارسات إدارة الموارد البشرية بصورة عامة، كما اهتمت بعض الدراسات بتحليل تأثير إدارة المواهب على أداء المنظمات، حيث أظهرت هذه الدراسات وجود علاقة إيجابية بين ممارسات إدارة المواهب ومستويات الأداء التنظيمي</w:t>
      </w:r>
      <w:r w:rsidRPr="005201F9">
        <w:rPr>
          <w:rFonts w:ascii="Traditional Arabic" w:hAnsi="Traditional Arabic" w:cs="Traditional Arabic"/>
        </w:rPr>
        <w:t xml:space="preserve"> (Collings et al., 2021; Al </w:t>
      </w:r>
      <w:proofErr w:type="spellStart"/>
      <w:r w:rsidRPr="005201F9">
        <w:rPr>
          <w:rFonts w:ascii="Traditional Arabic" w:hAnsi="Traditional Arabic" w:cs="Traditional Arabic"/>
        </w:rPr>
        <w:t>Ariss</w:t>
      </w:r>
      <w:proofErr w:type="spellEnd"/>
      <w:r w:rsidRPr="005201F9">
        <w:rPr>
          <w:rFonts w:ascii="Traditional Arabic" w:hAnsi="Traditional Arabic" w:cs="Traditional Arabic"/>
        </w:rPr>
        <w:t xml:space="preserve"> et al., 2022).</w:t>
      </w:r>
      <w:r w:rsidR="00651B2B" w:rsidRPr="005201F9">
        <w:rPr>
          <w:rFonts w:ascii="Traditional Arabic" w:hAnsi="Traditional Arabic" w:cs="Traditional Arabic"/>
          <w:rtl/>
        </w:rPr>
        <w:t xml:space="preserve">. </w:t>
      </w:r>
      <w:r w:rsidRPr="005201F9">
        <w:rPr>
          <w:rFonts w:ascii="Traditional Arabic" w:hAnsi="Traditional Arabic" w:cs="Traditional Arabic"/>
          <w:rtl/>
        </w:rPr>
        <w:t>إلا أن هذه الدراسات ركزت في كثير من الأحيان على العلاقة المباشرة بين إدارة المواهب والأداء التنظيمي، دون التعمق في تحليل الآليات التي تنتقل من خلالها تأثيرات إدارة المواهب إلى الأداء، أو دراسة دور المتغيرات السلوكية التي قد تسهم في تفسير هذه العلاقة</w:t>
      </w:r>
      <w:r w:rsidRPr="005201F9">
        <w:rPr>
          <w:rFonts w:ascii="Traditional Arabic" w:hAnsi="Traditional Arabic" w:cs="Traditional Arabic"/>
        </w:rPr>
        <w:t>.</w:t>
      </w:r>
    </w:p>
    <w:p w14:paraId="552D2753" w14:textId="77777777" w:rsidR="00413D0F" w:rsidRPr="005201F9" w:rsidRDefault="00413D0F"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وفي سياق البحث عن تحسين الأداء، تشير الدراسات الحديثة إلى أن الأداء التنظيمي لا يعتمد فقط على توفر الكفاءات، بل يتأثر بدرجة تفاعل هذه الكفاءات واندماجها داخل بيئة العمل، مما يبرز أهمية دراسة تأثير إدارة المواهب على الأداء التنظيمي من خلال التركيز على اندماج الموظفين كمتغير وسيط في هذه العلاقة</w:t>
      </w:r>
      <w:r w:rsidRPr="005201F9">
        <w:rPr>
          <w:rFonts w:ascii="Traditional Arabic" w:hAnsi="Traditional Arabic" w:cs="Traditional Arabic"/>
        </w:rPr>
        <w:t xml:space="preserve"> (Luna-</w:t>
      </w:r>
      <w:proofErr w:type="spellStart"/>
      <w:r w:rsidRPr="005201F9">
        <w:rPr>
          <w:rFonts w:ascii="Traditional Arabic" w:hAnsi="Traditional Arabic" w:cs="Traditional Arabic"/>
        </w:rPr>
        <w:t>Arocas</w:t>
      </w:r>
      <w:proofErr w:type="spellEnd"/>
      <w:r w:rsidRPr="005201F9">
        <w:rPr>
          <w:rFonts w:ascii="Traditional Arabic" w:hAnsi="Traditional Arabic" w:cs="Traditional Arabic"/>
        </w:rPr>
        <w:t xml:space="preserve"> &amp; Morley, 2020; Sinisterra et al., 2024).</w:t>
      </w:r>
    </w:p>
    <w:p w14:paraId="404A8733" w14:textId="752A7709" w:rsidR="00413D0F" w:rsidRPr="005201F9" w:rsidRDefault="00413D0F"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وفي السياق السعودي، وعلى الرغم من الاهتمام المتزايد بتطوير ممارسات إدارة المواهب في ظل التحولات الاقتصادية ورؤية 2030، إلا أن الدراسات التطبيقية التي تربط بين إدارة المواهب واندماج الموظفين والأداء التنظيمي في الشركات التنموية الكبرى، مثل شركة الدرعية، ما تزال محدودة، مما يشير إلى وجود فجوة بحثية تستدعي الدراسة</w:t>
      </w:r>
      <w:r w:rsidRPr="005201F9">
        <w:rPr>
          <w:rFonts w:ascii="Traditional Arabic" w:hAnsi="Traditional Arabic" w:cs="Traditional Arabic"/>
        </w:rPr>
        <w:t>.</w:t>
      </w:r>
    </w:p>
    <w:p w14:paraId="72532AFF" w14:textId="77777777" w:rsidR="00413D0F" w:rsidRDefault="00413D0F" w:rsidP="005201F9">
      <w:pPr>
        <w:bidi/>
        <w:spacing w:after="0" w:line="360" w:lineRule="auto"/>
        <w:jc w:val="both"/>
        <w:rPr>
          <w:rFonts w:ascii="Traditional Arabic" w:hAnsi="Traditional Arabic" w:cs="Traditional Arabic"/>
        </w:rPr>
      </w:pPr>
    </w:p>
    <w:p w14:paraId="46F52DB7" w14:textId="0DA9DB51" w:rsidR="002543C9" w:rsidRPr="005201F9" w:rsidRDefault="002543C9" w:rsidP="002543C9">
      <w:pPr>
        <w:bidi/>
        <w:spacing w:after="0" w:line="360" w:lineRule="auto"/>
        <w:jc w:val="both"/>
        <w:rPr>
          <w:rFonts w:ascii="Traditional Arabic" w:hAnsi="Traditional Arabic" w:cs="Traditional Arabic"/>
        </w:rPr>
      </w:pPr>
      <w:r w:rsidRPr="005201F9">
        <w:rPr>
          <w:rFonts w:ascii="Traditional Arabic" w:hAnsi="Traditional Arabic" w:cs="Traditional Arabic"/>
          <w:b/>
          <w:bCs/>
          <w:sz w:val="28"/>
          <w:szCs w:val="28"/>
          <w:rtl/>
        </w:rPr>
        <w:t>تساؤلات</w:t>
      </w:r>
      <w:r>
        <w:rPr>
          <w:rFonts w:ascii="Traditional Arabic" w:hAnsi="Traditional Arabic" w:cs="Traditional Arabic" w:hint="cs"/>
          <w:b/>
          <w:bCs/>
          <w:sz w:val="28"/>
          <w:szCs w:val="28"/>
          <w:rtl/>
        </w:rPr>
        <w:t xml:space="preserve"> الدراسة</w:t>
      </w:r>
    </w:p>
    <w:p w14:paraId="06318686" w14:textId="6CC37B12" w:rsidR="00413D0F" w:rsidRPr="005201F9" w:rsidRDefault="00413D0F"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وانطلاقًا من ذلك</w:t>
      </w:r>
      <w:r w:rsidR="00E15378">
        <w:rPr>
          <w:rFonts w:ascii="Traditional Arabic" w:hAnsi="Traditional Arabic" w:cs="Traditional Arabic" w:hint="cs"/>
          <w:rtl/>
        </w:rPr>
        <w:t xml:space="preserve"> الذي تم ذكره</w:t>
      </w:r>
      <w:r w:rsidRPr="005201F9">
        <w:rPr>
          <w:rFonts w:ascii="Traditional Arabic" w:hAnsi="Traditional Arabic" w:cs="Traditional Arabic"/>
          <w:rtl/>
        </w:rPr>
        <w:t>، تتحدد مشكلة الدراسة في الإجابة عن التساؤل الرئيس التالي</w:t>
      </w:r>
      <w:r w:rsidRPr="005201F9">
        <w:rPr>
          <w:rFonts w:ascii="Traditional Arabic" w:hAnsi="Traditional Arabic" w:cs="Traditional Arabic"/>
        </w:rPr>
        <w:t>:</w:t>
      </w:r>
    </w:p>
    <w:p w14:paraId="3AD97B18" w14:textId="02E7BF34" w:rsidR="002F6F39" w:rsidRPr="005201F9" w:rsidRDefault="00413D0F"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ما أثر إدارة المواهب على الأداء التنظيمي في شركة الدرعية، وما الدور الوسيط لاندماج الموظفين في هذه العلاقة؟</w:t>
      </w:r>
      <w:r w:rsidR="00B56B72" w:rsidRPr="005201F9">
        <w:rPr>
          <w:rFonts w:ascii="Traditional Arabic" w:hAnsi="Traditional Arabic" w:cs="Traditional Arabic"/>
          <w:rtl/>
        </w:rPr>
        <w:t xml:space="preserve"> </w:t>
      </w:r>
      <w:r w:rsidR="00D91264" w:rsidRPr="005201F9">
        <w:rPr>
          <w:rFonts w:ascii="Traditional Arabic" w:hAnsi="Traditional Arabic" w:cs="Traditional Arabic"/>
          <w:rtl/>
        </w:rPr>
        <w:t xml:space="preserve">والذي ينبثق منه الأسئلة الفرعية: </w:t>
      </w:r>
    </w:p>
    <w:p w14:paraId="27FF3FAF" w14:textId="22FE38CA"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ما</w:t>
      </w:r>
      <w:r w:rsidR="00117040" w:rsidRPr="005201F9">
        <w:rPr>
          <w:rFonts w:ascii="Traditional Arabic" w:hAnsi="Traditional Arabic" w:cs="Traditional Arabic"/>
          <w:rtl/>
        </w:rPr>
        <w:t xml:space="preserve"> هو تأثير</w:t>
      </w:r>
      <w:r w:rsidRPr="005201F9">
        <w:rPr>
          <w:rFonts w:ascii="Traditional Arabic" w:hAnsi="Traditional Arabic" w:cs="Traditional Arabic"/>
          <w:rtl/>
        </w:rPr>
        <w:t xml:space="preserve"> إدارة المواهب على الأداء التنظيمي في شركة الدرعية؟</w:t>
      </w:r>
    </w:p>
    <w:p w14:paraId="063AEB8D" w14:textId="1A4C2016"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إدارة المواهب على اندماج الموظفين في شركة الدرعية؟</w:t>
      </w:r>
    </w:p>
    <w:p w14:paraId="1D6B44EF" w14:textId="0CC846C1"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اندماج الموظفين على الأداء التنظيمي في شركة الدرعية؟</w:t>
      </w:r>
    </w:p>
    <w:p w14:paraId="560D9D89" w14:textId="37404DF5"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ما الدور الوسيط لاندماج الموظفين في العلاقة بين إدارة المواهب والأداء التنظيمي في شركة الدرعية؟</w:t>
      </w:r>
    </w:p>
    <w:p w14:paraId="44541A11" w14:textId="77777777" w:rsidR="002F6F39" w:rsidRPr="005201F9" w:rsidRDefault="002F6F39"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حيث تسعى الدراسة إلى تحليل العلاقة بين هذه المتغيرات باستخدام منهجية تجمع بين الأسلوب الكمي والنوعي، بهدف تقديم فهم أكثر شمولًا لطبيعة هذه العلاقة في بيئة تنظيمية تطبيقية.</w:t>
      </w:r>
    </w:p>
    <w:p w14:paraId="2AE6DFFF" w14:textId="77777777" w:rsidR="003A2DC8" w:rsidRPr="005201F9" w:rsidRDefault="003A2DC8" w:rsidP="005201F9">
      <w:pPr>
        <w:bidi/>
        <w:spacing w:after="0" w:line="360" w:lineRule="auto"/>
        <w:jc w:val="both"/>
        <w:rPr>
          <w:rFonts w:ascii="Traditional Arabic" w:hAnsi="Traditional Arabic" w:cs="Traditional Arabic"/>
          <w:rtl/>
        </w:rPr>
      </w:pPr>
    </w:p>
    <w:p w14:paraId="79546904" w14:textId="77777777" w:rsidR="00A53109" w:rsidRDefault="00A53109" w:rsidP="005201F9">
      <w:pPr>
        <w:bidi/>
        <w:spacing w:line="360" w:lineRule="auto"/>
        <w:rPr>
          <w:rFonts w:ascii="Traditional Arabic" w:hAnsi="Traditional Arabic" w:cs="Traditional Arabic"/>
          <w:rtl/>
        </w:rPr>
      </w:pPr>
    </w:p>
    <w:p w14:paraId="3BBC9F6F" w14:textId="77777777" w:rsidR="00E15378" w:rsidRPr="005201F9" w:rsidRDefault="00E15378" w:rsidP="00E15378">
      <w:pPr>
        <w:bidi/>
        <w:spacing w:line="360" w:lineRule="auto"/>
        <w:rPr>
          <w:rFonts w:ascii="Traditional Arabic" w:hAnsi="Traditional Arabic" w:cs="Traditional Arabic"/>
          <w:rtl/>
        </w:rPr>
      </w:pPr>
    </w:p>
    <w:p w14:paraId="5AD32FD8" w14:textId="77777777" w:rsidR="00D54582" w:rsidRPr="005201F9" w:rsidRDefault="00D54582" w:rsidP="005201F9">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lastRenderedPageBreak/>
        <w:t>أهمية الدراسة</w:t>
      </w:r>
    </w:p>
    <w:p w14:paraId="72DF4E61"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الأهمية النظرية:</w:t>
      </w:r>
      <w:r w:rsidRPr="005201F9">
        <w:rPr>
          <w:rFonts w:ascii="Traditional Arabic" w:hAnsi="Traditional Arabic" w:cs="Traditional Arabic"/>
          <w:rtl/>
        </w:rPr>
        <w:t xml:space="preserve"> تنبع الأهمية النظرية لهذه الدراسة من تناولها لثلاثة مفاهيم محورية في أدبيات الإدارة الحديثة، وهي: إدارة المواهب، واندماج الموظفين، والأداء التنظيمي، حيث تسعى إلى بناء إطار تحليلي يربط بين هذه المفاهيم في نموذج تكاملي يوضح طبيعة العلاقات فيما بينها.</w:t>
      </w:r>
    </w:p>
    <w:p w14:paraId="7BCEC211" w14:textId="77777777" w:rsidR="00D54582" w:rsidRPr="005201F9" w:rsidRDefault="00D54582" w:rsidP="005201F9">
      <w:pPr>
        <w:bidi/>
        <w:spacing w:after="0" w:line="360" w:lineRule="auto"/>
        <w:jc w:val="both"/>
        <w:rPr>
          <w:rFonts w:ascii="Traditional Arabic" w:hAnsi="Traditional Arabic" w:cs="Traditional Arabic"/>
          <w:rtl/>
        </w:rPr>
      </w:pPr>
    </w:p>
    <w:p w14:paraId="45F7F67E"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وتكتسب الدراسة أهميتها من تركيزها على مفهوم إدارة المواهب باعتباره أحد المداخل الاستراتيجية الحديثة في إدارة الموارد البشرية، والذي يسهم في استقطاب الكفاءات وتطويرها والمحافظة عليها بما يعزز من قدرات المنظمة التنافسية (</w:t>
      </w:r>
      <w:r w:rsidRPr="005201F9">
        <w:rPr>
          <w:rFonts w:ascii="Traditional Arabic" w:hAnsi="Traditional Arabic" w:cs="Traditional Arabic"/>
        </w:rPr>
        <w:t xml:space="preserve">Collings et al., 2021; Al </w:t>
      </w:r>
      <w:proofErr w:type="spellStart"/>
      <w:r w:rsidRPr="005201F9">
        <w:rPr>
          <w:rFonts w:ascii="Traditional Arabic" w:hAnsi="Traditional Arabic" w:cs="Traditional Arabic"/>
        </w:rPr>
        <w:t>Ariss</w:t>
      </w:r>
      <w:proofErr w:type="spellEnd"/>
      <w:r w:rsidRPr="005201F9">
        <w:rPr>
          <w:rFonts w:ascii="Traditional Arabic" w:hAnsi="Traditional Arabic" w:cs="Traditional Arabic"/>
        </w:rPr>
        <w:t xml:space="preserve"> et al., 2022</w:t>
      </w:r>
      <w:r w:rsidRPr="005201F9">
        <w:rPr>
          <w:rFonts w:ascii="Traditional Arabic" w:hAnsi="Traditional Arabic" w:cs="Traditional Arabic"/>
          <w:rtl/>
        </w:rPr>
        <w:t>). كما تسلط الدراسة الضوء على مفهوم اندماج الموظفين بوصفه أحد المتغيرات السلوكية المهمة التي تعكس مستوى ارتباط الأفراد بأعمالهم ومنظماتهم، والذي يُعد من العوامل المؤثرة في تحسين الأداء التنظيمي.</w:t>
      </w:r>
    </w:p>
    <w:p w14:paraId="54B82467" w14:textId="77777777" w:rsidR="00D54582" w:rsidRPr="005201F9" w:rsidRDefault="00D54582" w:rsidP="005201F9">
      <w:pPr>
        <w:bidi/>
        <w:spacing w:after="0" w:line="360" w:lineRule="auto"/>
        <w:jc w:val="both"/>
        <w:rPr>
          <w:rFonts w:ascii="Traditional Arabic" w:hAnsi="Traditional Arabic" w:cs="Traditional Arabic"/>
          <w:rtl/>
        </w:rPr>
      </w:pPr>
    </w:p>
    <w:p w14:paraId="37595B16"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كما تبرز أهمية الدراسة في تناول الأداء التنظيمي كأحد المؤشرات الأساسية لقياس كفاءة وفعالية المنظمات، وربط هذا الأداء بكل من ممارسات إدارة المواهب ومستوى اندماج الموظفين. ومن خلال ذلك، تسهم الدراسة في إثراء الأدبيات النظرية عبر توضيح الدور الوسيط لاندماج الموظفين في العلاقة بين إدارة المواهب والأداء التنظيمي، وهو جانب لم يحظَ بالاهتمام الكافي في بعض الدراسات السابقة.</w:t>
      </w:r>
    </w:p>
    <w:p w14:paraId="7A082265"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وبالتالي، فإن الدراسة تسهم نظريًا في:</w:t>
      </w:r>
    </w:p>
    <w:p w14:paraId="251C80DE"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توضيح العلاقة بين إدارة المواهب والأداء التنظيمي.</w:t>
      </w:r>
    </w:p>
    <w:p w14:paraId="51888802"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إبراز دور اندماج الموظفين كمتغير وسيط في تفسير هذه العلاقة.</w:t>
      </w:r>
    </w:p>
    <w:p w14:paraId="7DD699E0"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دعم التكامل بين مفاهيم إدارة الموارد البشرية والسلوك التنظيمي.</w:t>
      </w:r>
    </w:p>
    <w:p w14:paraId="2CDA2ED2"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إثراء الأدبيات العربية بدراسة حديثة تربط بين هذه المتغيرات في نموذج واحد.</w:t>
      </w:r>
    </w:p>
    <w:p w14:paraId="4942FF49" w14:textId="77777777" w:rsidR="00D54582" w:rsidRPr="005201F9" w:rsidRDefault="00D54582" w:rsidP="005201F9">
      <w:pPr>
        <w:bidi/>
        <w:spacing w:line="360" w:lineRule="auto"/>
        <w:rPr>
          <w:rFonts w:ascii="Traditional Arabic" w:hAnsi="Traditional Arabic" w:cs="Traditional Arabic"/>
          <w:b/>
          <w:bCs/>
          <w:sz w:val="28"/>
          <w:szCs w:val="28"/>
          <w:rtl/>
        </w:rPr>
      </w:pPr>
    </w:p>
    <w:p w14:paraId="2A487AEC"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الأهمية التطبيقية:</w:t>
      </w:r>
      <w:r w:rsidRPr="005201F9">
        <w:rPr>
          <w:rFonts w:ascii="Traditional Arabic" w:hAnsi="Traditional Arabic" w:cs="Traditional Arabic"/>
          <w:rtl/>
        </w:rPr>
        <w:t xml:space="preserve"> تكتسب الدراسة أهمية تطبيقية من خلال تطبيقها على شركة الدرعية، باعتبارها إحدى الشركات التنموية الكبرى التي تعتمد على الكفاءات البشرية في تنفيذ مشاريع استراتيجية معقدة، مما يجعل إدارة المواهب واندماج الموظفين من العوامل المؤثرة في مستوى الأداء التنظيمي داخلها.</w:t>
      </w:r>
    </w:p>
    <w:p w14:paraId="39A07CB0"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rtl/>
        </w:rPr>
        <w:t>وتسهم هذه الدراسة في تقديم نتائج يمكن أن تساعد متخذي القرار في الشركة على فهم العلاقة بين ممارسات إدارة المواهب ومستوى اندماج الموظفين، وانعكاس ذلك على الأداء التنظيمي، بما يدعم تطوير سياسات الموارد البشرية وتحسين بيئة العمل.</w:t>
      </w:r>
    </w:p>
    <w:p w14:paraId="5CDC3451" w14:textId="77777777"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rtl/>
        </w:rPr>
        <w:t>كما توفر الدراسة مؤشرات عملية لإدارة الموارد البشرية حول أهمية تعزيز اندماج الموظفين كعامل مهم ومفيد جدا لرفع مستوى الأداء، وتوجيه الجهود نحو بناء بيئة تنظيمية محفزة تسهم في تحقيق أهداف المنظمة بكفاءة أعلى.</w:t>
      </w:r>
    </w:p>
    <w:p w14:paraId="7704DD70" w14:textId="523F7E3C" w:rsidR="00E712CB" w:rsidRPr="005201F9" w:rsidRDefault="00E712CB" w:rsidP="005201F9">
      <w:pPr>
        <w:bidi/>
        <w:spacing w:line="360" w:lineRule="auto"/>
        <w:rPr>
          <w:rFonts w:ascii="Traditional Arabic" w:hAnsi="Traditional Arabic" w:cs="Traditional Arabic"/>
          <w:rtl/>
        </w:rPr>
      </w:pPr>
    </w:p>
    <w:p w14:paraId="748F9F75" w14:textId="5B40A094" w:rsidR="00D54582" w:rsidRPr="005201F9" w:rsidRDefault="00D54582" w:rsidP="005201F9">
      <w:pPr>
        <w:bidi/>
        <w:spacing w:line="360" w:lineRule="auto"/>
        <w:rPr>
          <w:rFonts w:ascii="Traditional Arabic" w:hAnsi="Traditional Arabic" w:cs="Traditional Arabic"/>
          <w:b/>
          <w:bCs/>
          <w:sz w:val="28"/>
          <w:szCs w:val="28"/>
        </w:rPr>
      </w:pPr>
      <w:r w:rsidRPr="005201F9">
        <w:rPr>
          <w:rFonts w:ascii="Traditional Arabic" w:hAnsi="Traditional Arabic" w:cs="Traditional Arabic"/>
          <w:b/>
          <w:bCs/>
          <w:sz w:val="28"/>
          <w:szCs w:val="28"/>
          <w:rtl/>
        </w:rPr>
        <w:lastRenderedPageBreak/>
        <w:t>أهداف الدراسة:</w:t>
      </w:r>
    </w:p>
    <w:p w14:paraId="44E5427D"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الأداء التنظيمي في شركة الدرعية.</w:t>
      </w:r>
    </w:p>
    <w:p w14:paraId="2A34A056"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اندماج الموظفين في شركة الدرعية.</w:t>
      </w:r>
    </w:p>
    <w:p w14:paraId="3FF7BE70"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بيان تأثير اندماج الموظفين على الأداء التنظيمي في شركة الدرعية.</w:t>
      </w:r>
    </w:p>
    <w:p w14:paraId="1E519533"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sz w:val="22"/>
          <w:szCs w:val="22"/>
          <w:rtl/>
        </w:rPr>
      </w:pPr>
      <w:r w:rsidRPr="005201F9">
        <w:rPr>
          <w:rFonts w:ascii="Traditional Arabic" w:hAnsi="Traditional Arabic" w:cs="Traditional Arabic"/>
          <w:rtl/>
        </w:rPr>
        <w:t>تحليل الدور الوسيط لاندماج الموظفين في العلاقة بين إدارة المواهب والأداء التنظيمي في شركة الدرعية.</w:t>
      </w:r>
    </w:p>
    <w:p w14:paraId="3437269F" w14:textId="77777777" w:rsidR="00737DA3" w:rsidRPr="005201F9" w:rsidRDefault="00737DA3" w:rsidP="005201F9">
      <w:pPr>
        <w:bidi/>
        <w:spacing w:line="360" w:lineRule="auto"/>
        <w:rPr>
          <w:rFonts w:ascii="Traditional Arabic" w:hAnsi="Traditional Arabic" w:cs="Traditional Arabic"/>
          <w:rtl/>
        </w:rPr>
      </w:pPr>
    </w:p>
    <w:p w14:paraId="15CE2D78" w14:textId="77777777" w:rsidR="00A26264" w:rsidRPr="005201F9" w:rsidRDefault="00A26264" w:rsidP="005201F9">
      <w:pPr>
        <w:bidi/>
        <w:spacing w:line="360" w:lineRule="auto"/>
        <w:rPr>
          <w:rFonts w:ascii="Traditional Arabic" w:hAnsi="Traditional Arabic" w:cs="Traditional Arabic"/>
          <w:rtl/>
        </w:rPr>
      </w:pPr>
    </w:p>
    <w:p w14:paraId="2ECCBF84" w14:textId="3F837081" w:rsidR="00D54582" w:rsidRPr="005201F9" w:rsidRDefault="00D54582" w:rsidP="005201F9">
      <w:pPr>
        <w:bidi/>
        <w:spacing w:line="360" w:lineRule="auto"/>
        <w:rPr>
          <w:rFonts w:ascii="Traditional Arabic" w:hAnsi="Traditional Arabic" w:cs="Traditional Arabic"/>
          <w:b/>
          <w:bCs/>
          <w:sz w:val="28"/>
          <w:szCs w:val="28"/>
        </w:rPr>
      </w:pPr>
      <w:r w:rsidRPr="005201F9">
        <w:rPr>
          <w:rFonts w:ascii="Traditional Arabic" w:hAnsi="Traditional Arabic" w:cs="Traditional Arabic"/>
          <w:b/>
          <w:bCs/>
          <w:sz w:val="28"/>
          <w:szCs w:val="28"/>
          <w:rtl/>
        </w:rPr>
        <w:t>فر</w:t>
      </w:r>
      <w:r w:rsidR="007F485A">
        <w:rPr>
          <w:rFonts w:ascii="Traditional Arabic" w:hAnsi="Traditional Arabic" w:cs="Traditional Arabic" w:hint="cs"/>
          <w:b/>
          <w:bCs/>
          <w:sz w:val="28"/>
          <w:szCs w:val="28"/>
          <w:rtl/>
        </w:rPr>
        <w:t>وض</w:t>
      </w:r>
      <w:r w:rsidRPr="005201F9">
        <w:rPr>
          <w:rFonts w:ascii="Traditional Arabic" w:hAnsi="Traditional Arabic" w:cs="Traditional Arabic"/>
          <w:b/>
          <w:bCs/>
          <w:sz w:val="28"/>
          <w:szCs w:val="28"/>
          <w:rtl/>
        </w:rPr>
        <w:t xml:space="preserve"> الدراسة:</w:t>
      </w:r>
    </w:p>
    <w:p w14:paraId="7FDBF295" w14:textId="77777777" w:rsidR="00D54582" w:rsidRPr="005201F9" w:rsidRDefault="00D54582" w:rsidP="005201F9">
      <w:pPr>
        <w:bidi/>
        <w:spacing w:line="360" w:lineRule="auto"/>
        <w:rPr>
          <w:rFonts w:ascii="Traditional Arabic" w:hAnsi="Traditional Arabic" w:cs="Traditional Arabic"/>
          <w:b/>
          <w:bCs/>
        </w:rPr>
      </w:pPr>
      <w:r w:rsidRPr="005201F9">
        <w:rPr>
          <w:rFonts w:ascii="Traditional Arabic" w:hAnsi="Traditional Arabic" w:cs="Traditional Arabic"/>
          <w:b/>
          <w:bCs/>
          <w:rtl/>
        </w:rPr>
        <w:t xml:space="preserve">الفرضية الأولى: </w:t>
      </w:r>
      <w:r w:rsidRPr="005201F9">
        <w:rPr>
          <w:rFonts w:ascii="Traditional Arabic" w:hAnsi="Traditional Arabic" w:cs="Traditional Arabic"/>
          <w:rtl/>
        </w:rPr>
        <w:t>إدارة المواهب تؤثر مباشرة على الأداء.</w:t>
      </w:r>
    </w:p>
    <w:p w14:paraId="33F630D8" w14:textId="77777777" w:rsidR="00D54582" w:rsidRPr="005201F9" w:rsidRDefault="00D54582" w:rsidP="005201F9">
      <w:pPr>
        <w:bidi/>
        <w:spacing w:line="360" w:lineRule="auto"/>
        <w:rPr>
          <w:rFonts w:ascii="Traditional Arabic" w:hAnsi="Traditional Arabic" w:cs="Traditional Arabic"/>
          <w:b/>
          <w:bCs/>
          <w:rtl/>
        </w:rPr>
      </w:pPr>
      <w:r w:rsidRPr="005201F9">
        <w:rPr>
          <w:rFonts w:ascii="Traditional Arabic" w:hAnsi="Traditional Arabic" w:cs="Traditional Arabic"/>
          <w:b/>
          <w:bCs/>
          <w:rtl/>
        </w:rPr>
        <w:t xml:space="preserve">العلاقة: </w:t>
      </w:r>
      <w:r w:rsidRPr="005201F9">
        <w:rPr>
          <w:rFonts w:ascii="Traditional Arabic" w:hAnsi="Traditional Arabic" w:cs="Traditional Arabic"/>
          <w:rtl/>
        </w:rPr>
        <w:t>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0F1BAA2B" w14:textId="2C8DC2D6"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66C646E0" w14:textId="07735014"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5F99E1E7" w14:textId="77777777" w:rsidR="00D54582" w:rsidRPr="005201F9" w:rsidRDefault="00D54582" w:rsidP="005201F9">
      <w:pPr>
        <w:bidi/>
        <w:spacing w:line="360" w:lineRule="auto"/>
        <w:jc w:val="both"/>
        <w:rPr>
          <w:rFonts w:ascii="Traditional Arabic" w:hAnsi="Traditional Arabic" w:cs="Traditional Arabic"/>
          <w:rtl/>
        </w:rPr>
      </w:pPr>
    </w:p>
    <w:p w14:paraId="2D7C55A7"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 xml:space="preserve">الفرضية الثانية: </w:t>
      </w:r>
      <w:r w:rsidRPr="005201F9">
        <w:rPr>
          <w:rFonts w:ascii="Traditional Arabic" w:hAnsi="Traditional Arabic" w:cs="Traditional Arabic"/>
          <w:rtl/>
        </w:rPr>
        <w:t>إدارة المواهب تجعل الموظفين أكثر اندماجًا.</w:t>
      </w:r>
    </w:p>
    <w:p w14:paraId="15EEAF61"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العلاقة:</w:t>
      </w:r>
      <w:r w:rsidRPr="005201F9">
        <w:rPr>
          <w:rFonts w:ascii="Traditional Arabic" w:hAnsi="Traditional Arabic" w:cs="Traditional Arabic"/>
          <w:rtl/>
        </w:rPr>
        <w:t xml:space="preserve"> 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w:t>
      </w:r>
    </w:p>
    <w:p w14:paraId="7E955C66" w14:textId="7232EA0D"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75500C12" w14:textId="7D770327"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1AEBFF15" w14:textId="77777777" w:rsidR="00D54582" w:rsidRPr="005201F9" w:rsidRDefault="00D54582" w:rsidP="005201F9">
      <w:pPr>
        <w:bidi/>
        <w:spacing w:line="360" w:lineRule="auto"/>
        <w:jc w:val="both"/>
        <w:rPr>
          <w:rFonts w:ascii="Traditional Arabic" w:hAnsi="Traditional Arabic" w:cs="Traditional Arabic"/>
          <w:rtl/>
        </w:rPr>
      </w:pPr>
    </w:p>
    <w:p w14:paraId="6AA59BDF"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الثالثة:</w:t>
      </w:r>
      <w:r w:rsidRPr="005201F9">
        <w:rPr>
          <w:rFonts w:ascii="Traditional Arabic" w:hAnsi="Traditional Arabic" w:cs="Traditional Arabic"/>
          <w:rtl/>
        </w:rPr>
        <w:t xml:space="preserve"> الموظف المندمج يحسن الأداء.</w:t>
      </w:r>
    </w:p>
    <w:p w14:paraId="6E59B2A5"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العلاقة:</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3903962D" w14:textId="591F07AB"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lastRenderedPageBreak/>
        <w:t>الفرضية الصفرية (</w:t>
      </w:r>
      <w:r w:rsidRPr="005201F9">
        <w:rPr>
          <w:rFonts w:ascii="Traditional Arabic" w:hAnsi="Traditional Arabic" w:cs="Traditional Arabic"/>
          <w:b/>
          <w:bCs/>
        </w:rPr>
        <w:t>H03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CB2FF3A" w14:textId="4C329A4D"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8043447" w14:textId="77777777" w:rsidR="00621060" w:rsidRPr="005201F9" w:rsidRDefault="00621060" w:rsidP="005201F9">
      <w:pPr>
        <w:bidi/>
        <w:spacing w:line="360" w:lineRule="auto"/>
        <w:rPr>
          <w:rFonts w:ascii="Traditional Arabic" w:hAnsi="Traditional Arabic" w:cs="Traditional Arabic"/>
          <w:b/>
          <w:bCs/>
          <w:rtl/>
        </w:rPr>
      </w:pPr>
    </w:p>
    <w:p w14:paraId="69F620DF" w14:textId="4C565B95"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الرابعة:</w:t>
      </w:r>
      <w:r w:rsidRPr="005201F9">
        <w:rPr>
          <w:rFonts w:ascii="Traditional Arabic" w:hAnsi="Traditional Arabic" w:cs="Traditional Arabic"/>
          <w:rtl/>
        </w:rPr>
        <w:t xml:space="preserve"> إدارة المواهب تؤثر على الأداء عن طريق اندماج الموظفين.</w:t>
      </w:r>
    </w:p>
    <w:p w14:paraId="2257EBD2" w14:textId="77777777" w:rsidR="00D54582" w:rsidRPr="005201F9" w:rsidRDefault="00D54582" w:rsidP="005201F9">
      <w:pPr>
        <w:bidi/>
        <w:spacing w:line="360" w:lineRule="auto"/>
        <w:rPr>
          <w:rFonts w:ascii="Traditional Arabic" w:hAnsi="Traditional Arabic" w:cs="Traditional Arabic"/>
          <w:b/>
          <w:bCs/>
          <w:rtl/>
        </w:rPr>
      </w:pPr>
      <w:r w:rsidRPr="005201F9">
        <w:rPr>
          <w:rFonts w:ascii="Traditional Arabic" w:hAnsi="Traditional Arabic" w:cs="Traditional Arabic"/>
          <w:b/>
          <w:bCs/>
          <w:rtl/>
        </w:rPr>
        <w:t xml:space="preserve">العلاقة: </w:t>
      </w:r>
      <w:r w:rsidRPr="005201F9">
        <w:rPr>
          <w:rFonts w:ascii="Traditional Arabic" w:hAnsi="Traditional Arabic" w:cs="Traditional Arabic"/>
          <w:rtl/>
        </w:rPr>
        <w:t>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b/>
          <w:bCs/>
        </w:rPr>
        <w:t xml:space="preserve"> </w:t>
      </w:r>
      <w:r w:rsidRPr="005201F9">
        <w:rPr>
          <w:rFonts w:ascii="Traditional Arabic" w:hAnsi="Traditional Arabic" w:cs="Traditional Arabic"/>
          <w:rtl/>
        </w:rPr>
        <w:t>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4106A5DF" w14:textId="3F4B8847"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67D817FD" w14:textId="5A70465D"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7E300D59" w14:textId="77777777" w:rsidR="00871C05" w:rsidRPr="005201F9" w:rsidRDefault="00871C05" w:rsidP="005201F9">
      <w:pPr>
        <w:bidi/>
        <w:spacing w:line="360" w:lineRule="auto"/>
        <w:rPr>
          <w:rFonts w:ascii="Traditional Arabic" w:hAnsi="Traditional Arabic" w:cs="Traditional Arabic"/>
          <w:rtl/>
        </w:rPr>
      </w:pPr>
    </w:p>
    <w:p w14:paraId="0B733B80" w14:textId="11D3E29A" w:rsidR="00B83912" w:rsidRPr="00A8590F" w:rsidRDefault="00B83912" w:rsidP="005201F9">
      <w:pPr>
        <w:bidi/>
        <w:spacing w:line="360" w:lineRule="auto"/>
        <w:jc w:val="both"/>
        <w:rPr>
          <w:rFonts w:ascii="Traditional Arabic" w:hAnsi="Traditional Arabic" w:cs="Traditional Arabic"/>
          <w:b/>
          <w:bCs/>
          <w:sz w:val="28"/>
          <w:szCs w:val="28"/>
          <w:rtl/>
        </w:rPr>
      </w:pPr>
      <w:r w:rsidRPr="00A8590F">
        <w:rPr>
          <w:rFonts w:ascii="Traditional Arabic" w:hAnsi="Traditional Arabic" w:cs="Traditional Arabic" w:hint="cs"/>
          <w:b/>
          <w:bCs/>
          <w:sz w:val="28"/>
          <w:szCs w:val="28"/>
          <w:rtl/>
        </w:rPr>
        <w:t>مفاهيم الدراسة</w:t>
      </w:r>
    </w:p>
    <w:p w14:paraId="135195CD"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أولاً: إدارة المواهب</w:t>
      </w:r>
    </w:p>
    <w:p w14:paraId="3BEC90B2"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تُعرَّف إدارة المواهب بأنها مجموعة الممارسات والاستراتيجيات التي تعتمدها المنظمة لاستقطاب الكفاءات البشرية المتميزة، وتطويرها، والاحتفاظ بها، بما يسهم في تحقيق الأداء المتميز وتعزيز القدرة التنافسية للمنظمة (</w:t>
      </w:r>
      <w:r w:rsidRPr="005201F9">
        <w:rPr>
          <w:rFonts w:ascii="Traditional Arabic" w:hAnsi="Traditional Arabic" w:cs="Traditional Arabic"/>
        </w:rPr>
        <w:t>Collings et al., 2021</w:t>
      </w:r>
      <w:r w:rsidRPr="005201F9">
        <w:rPr>
          <w:rFonts w:ascii="Traditional Arabic" w:hAnsi="Traditional Arabic" w:cs="Traditional Arabic"/>
          <w:rtl/>
        </w:rPr>
        <w:t>).</w:t>
      </w:r>
    </w:p>
    <w:p w14:paraId="7D77D17B"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كما يشير </w:t>
      </w:r>
      <w:r w:rsidRPr="005201F9">
        <w:rPr>
          <w:rFonts w:ascii="Traditional Arabic" w:hAnsi="Traditional Arabic" w:cs="Traditional Arabic"/>
        </w:rPr>
        <w:t>Resource-Based View</w:t>
      </w:r>
      <w:r w:rsidRPr="005201F9">
        <w:rPr>
          <w:rFonts w:ascii="Traditional Arabic" w:hAnsi="Traditional Arabic" w:cs="Traditional Arabic"/>
          <w:rtl/>
        </w:rPr>
        <w:t xml:space="preserve"> إلى أن الكفاءات البشرية تمثل مورداً استراتيجياً نادراً وقابلاً لخلق ميزة تنافسية مستدامة عندما يتم استثماره بفعالية (</w:t>
      </w:r>
      <w:r w:rsidRPr="005201F9">
        <w:rPr>
          <w:rFonts w:ascii="Traditional Arabic" w:hAnsi="Traditional Arabic" w:cs="Traditional Arabic"/>
        </w:rPr>
        <w:t xml:space="preserve">Al </w:t>
      </w:r>
      <w:proofErr w:type="spellStart"/>
      <w:r w:rsidRPr="005201F9">
        <w:rPr>
          <w:rFonts w:ascii="Traditional Arabic" w:hAnsi="Traditional Arabic" w:cs="Traditional Arabic"/>
        </w:rPr>
        <w:t>Ariss</w:t>
      </w:r>
      <w:proofErr w:type="spellEnd"/>
      <w:r w:rsidRPr="005201F9">
        <w:rPr>
          <w:rFonts w:ascii="Traditional Arabic" w:hAnsi="Traditional Arabic" w:cs="Traditional Arabic"/>
        </w:rPr>
        <w:t xml:space="preserve"> et al., 2022</w:t>
      </w:r>
      <w:r w:rsidRPr="005201F9">
        <w:rPr>
          <w:rFonts w:ascii="Traditional Arabic" w:hAnsi="Traditional Arabic" w:cs="Traditional Arabic"/>
          <w:rtl/>
        </w:rPr>
        <w:t>).</w:t>
      </w:r>
    </w:p>
    <w:p w14:paraId="78AC4D32" w14:textId="77777777" w:rsidR="0012211B" w:rsidRPr="005201F9" w:rsidRDefault="0012211B" w:rsidP="0012211B">
      <w:pPr>
        <w:bidi/>
        <w:spacing w:after="0" w:line="360" w:lineRule="auto"/>
        <w:jc w:val="both"/>
        <w:rPr>
          <w:rFonts w:ascii="Traditional Arabic" w:hAnsi="Traditional Arabic" w:cs="Traditional Arabic"/>
        </w:rPr>
      </w:pPr>
    </w:p>
    <w:p w14:paraId="051A7E90"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بإدارة المواهب في هذه الدراسة: مدى تطبيق شركة الدرعية لممارسات فعالة في استقطاب الكفاءات وتطويرها والاحتفاظ بها، كما يُدركها أفراد العينة، ويتم قياس ذلك من خلال متوسط استجاباتهم على فقرات محور (إدارة المواهب) في الاستبانة.</w:t>
      </w:r>
    </w:p>
    <w:p w14:paraId="6476167A" w14:textId="77777777" w:rsidR="0012211B" w:rsidRPr="005201F9" w:rsidRDefault="0012211B" w:rsidP="0012211B">
      <w:pPr>
        <w:bidi/>
        <w:spacing w:after="0" w:line="360" w:lineRule="auto"/>
        <w:jc w:val="both"/>
        <w:rPr>
          <w:rFonts w:ascii="Traditional Arabic" w:hAnsi="Traditional Arabic" w:cs="Traditional Arabic"/>
        </w:rPr>
      </w:pPr>
    </w:p>
    <w:p w14:paraId="2149410E"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ثانياً: اندماج الموظفين </w:t>
      </w:r>
    </w:p>
    <w:p w14:paraId="12517DCC"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lastRenderedPageBreak/>
        <w:t>التعريف النظري:</w:t>
      </w:r>
      <w:r w:rsidRPr="005201F9">
        <w:rPr>
          <w:rFonts w:ascii="Traditional Arabic" w:hAnsi="Traditional Arabic" w:cs="Traditional Arabic"/>
          <w:rtl/>
        </w:rPr>
        <w:t xml:space="preserve"> يُعرَّف اندماج الموظفين بأنه مستوى الارتباط النفسي والعاطفي الذي يشعر به الموظف تجاه عمله ومنظمته، والذي ينعكس في الحماس، والالتزام، والاستعداد لبذل جهد إضافي لتحقيق أهداف المنظمة (</w:t>
      </w:r>
      <w:r w:rsidRPr="005201F9">
        <w:rPr>
          <w:rFonts w:ascii="Traditional Arabic" w:hAnsi="Traditional Arabic" w:cs="Traditional Arabic"/>
        </w:rPr>
        <w:t>Luna-</w:t>
      </w:r>
      <w:proofErr w:type="spellStart"/>
      <w:r w:rsidRPr="005201F9">
        <w:rPr>
          <w:rFonts w:ascii="Traditional Arabic" w:hAnsi="Traditional Arabic" w:cs="Traditional Arabic"/>
        </w:rPr>
        <w:t>Arocas</w:t>
      </w:r>
      <w:proofErr w:type="spellEnd"/>
      <w:r w:rsidRPr="005201F9">
        <w:rPr>
          <w:rFonts w:ascii="Traditional Arabic" w:hAnsi="Traditional Arabic" w:cs="Traditional Arabic"/>
        </w:rPr>
        <w:t xml:space="preserve"> &amp; Morley, 2020</w:t>
      </w:r>
      <w:r w:rsidRPr="005201F9">
        <w:rPr>
          <w:rFonts w:ascii="Traditional Arabic" w:hAnsi="Traditional Arabic" w:cs="Traditional Arabic"/>
          <w:rtl/>
        </w:rPr>
        <w:t>).</w:t>
      </w:r>
    </w:p>
    <w:p w14:paraId="5B53A811"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rtl/>
        </w:rPr>
        <w:t>كما تشير الدراسات الحديثة إلى أن اندماج الموظفين يمثل أحد العوامل السلوكية الأساسية التي تسهم في تعزيز الأداء التنظيمي، وتفسير تأثير ممارسات إدارة الموارد البشرية على نتائج العمل (</w:t>
      </w:r>
      <w:proofErr w:type="spellStart"/>
      <w:r w:rsidRPr="005201F9">
        <w:rPr>
          <w:rFonts w:ascii="Traditional Arabic" w:hAnsi="Traditional Arabic" w:cs="Traditional Arabic"/>
        </w:rPr>
        <w:t>Kravariti</w:t>
      </w:r>
      <w:proofErr w:type="spellEnd"/>
      <w:r w:rsidRPr="005201F9">
        <w:rPr>
          <w:rFonts w:ascii="Traditional Arabic" w:hAnsi="Traditional Arabic" w:cs="Traditional Arabic"/>
        </w:rPr>
        <w:t xml:space="preserve"> et al., 2023; Sinisterra et al., 2024</w:t>
      </w:r>
      <w:r w:rsidRPr="005201F9">
        <w:rPr>
          <w:rFonts w:ascii="Traditional Arabic" w:hAnsi="Traditional Arabic" w:cs="Traditional Arabic"/>
          <w:rtl/>
        </w:rPr>
        <w:t>).</w:t>
      </w:r>
    </w:p>
    <w:p w14:paraId="33636D6B" w14:textId="77777777" w:rsidR="0012211B" w:rsidRPr="005201F9" w:rsidRDefault="0012211B" w:rsidP="0012211B">
      <w:pPr>
        <w:bidi/>
        <w:spacing w:after="0" w:line="360" w:lineRule="auto"/>
        <w:jc w:val="both"/>
        <w:rPr>
          <w:rFonts w:ascii="Traditional Arabic" w:hAnsi="Traditional Arabic" w:cs="Traditional Arabic"/>
        </w:rPr>
      </w:pPr>
    </w:p>
    <w:p w14:paraId="0869622A"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باندماج الموظفين في هذه الدراسة: مستوى الحماس والالتزام والانتماء الذي يظهره العاملون في شركة الدرعية تجاه أعمالهم، كما يدركه أفراد العينة، ويتم قياسه من خلال متوسط استجاباتهم على فقرات محور (اندماج الموظفين) في الاستبانة.</w:t>
      </w:r>
    </w:p>
    <w:p w14:paraId="4DE792E3" w14:textId="77777777" w:rsidR="0012211B" w:rsidRPr="005201F9" w:rsidRDefault="0012211B" w:rsidP="0012211B">
      <w:pPr>
        <w:bidi/>
        <w:spacing w:after="0" w:line="360" w:lineRule="auto"/>
        <w:jc w:val="both"/>
        <w:rPr>
          <w:rFonts w:ascii="Traditional Arabic" w:hAnsi="Traditional Arabic" w:cs="Traditional Arabic"/>
        </w:rPr>
      </w:pPr>
    </w:p>
    <w:p w14:paraId="47FB000E"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ثالثاً: الأداء التنظيمي </w:t>
      </w:r>
    </w:p>
    <w:p w14:paraId="033E0104"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يُعرَّف الأداء التنظيمي بأنه مستوى كفاءة وفعالية العمليات الداخلية للمنظمة في تحقيق أهدافها، ويشمل جودة الأداء، وكفاءة استخدام الموارد، وسرعة الإنجاز، ومستوى التنسيق بين الإدارات (</w:t>
      </w:r>
      <w:r w:rsidRPr="005201F9">
        <w:rPr>
          <w:rFonts w:ascii="Traditional Arabic" w:hAnsi="Traditional Arabic" w:cs="Traditional Arabic"/>
        </w:rPr>
        <w:t xml:space="preserve">Al Aina &amp; </w:t>
      </w:r>
      <w:proofErr w:type="spellStart"/>
      <w:r w:rsidRPr="005201F9">
        <w:rPr>
          <w:rFonts w:ascii="Traditional Arabic" w:hAnsi="Traditional Arabic" w:cs="Traditional Arabic"/>
        </w:rPr>
        <w:t>Atan</w:t>
      </w:r>
      <w:proofErr w:type="spellEnd"/>
      <w:r w:rsidRPr="005201F9">
        <w:rPr>
          <w:rFonts w:ascii="Traditional Arabic" w:hAnsi="Traditional Arabic" w:cs="Traditional Arabic"/>
        </w:rPr>
        <w:t>, 2020</w:t>
      </w:r>
      <w:r w:rsidRPr="005201F9">
        <w:rPr>
          <w:rFonts w:ascii="Traditional Arabic" w:hAnsi="Traditional Arabic" w:cs="Traditional Arabic"/>
          <w:rtl/>
        </w:rPr>
        <w:t>).</w:t>
      </w:r>
    </w:p>
    <w:p w14:paraId="7CB9A774" w14:textId="77777777" w:rsidR="0012211B" w:rsidRPr="005201F9" w:rsidRDefault="0012211B" w:rsidP="0012211B">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كما تؤكد الأدبيات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 xml:space="preserve">Al Aina &amp; </w:t>
      </w:r>
      <w:proofErr w:type="spellStart"/>
      <w:r w:rsidRPr="005201F9">
        <w:rPr>
          <w:rFonts w:ascii="Traditional Arabic" w:hAnsi="Traditional Arabic" w:cs="Traditional Arabic"/>
        </w:rPr>
        <w:t>Atan</w:t>
      </w:r>
      <w:proofErr w:type="spellEnd"/>
      <w:r w:rsidRPr="005201F9">
        <w:rPr>
          <w:rFonts w:ascii="Traditional Arabic" w:hAnsi="Traditional Arabic" w:cs="Traditional Arabic"/>
        </w:rPr>
        <w:t>, 2020; Menezes et al., 2025; Sinisterra et al., 2024</w:t>
      </w:r>
      <w:r w:rsidRPr="005201F9">
        <w:rPr>
          <w:rFonts w:ascii="Traditional Arabic" w:hAnsi="Traditional Arabic" w:cs="Traditional Arabic"/>
          <w:rtl/>
        </w:rPr>
        <w:t>).</w:t>
      </w:r>
    </w:p>
    <w:p w14:paraId="795A0566" w14:textId="77777777" w:rsidR="0012211B" w:rsidRPr="005201F9" w:rsidRDefault="0012211B" w:rsidP="0012211B">
      <w:pPr>
        <w:bidi/>
        <w:spacing w:after="0" w:line="360" w:lineRule="auto"/>
        <w:jc w:val="both"/>
        <w:rPr>
          <w:rFonts w:ascii="Traditional Arabic" w:hAnsi="Traditional Arabic" w:cs="Traditional Arabic"/>
        </w:rPr>
      </w:pPr>
    </w:p>
    <w:p w14:paraId="0D8E1F5B"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بالأداء التنظيمي في هذه الدراسة: مستوى كفاءة العمليات والأداء داخل شركة الدرعية كما يدركه أفراد العينة، ويتم قياسه من خلال متوسط استجاباتهم على فقرات محور (الأداء التنظيمي) في الاستبانة.</w:t>
      </w:r>
    </w:p>
    <w:p w14:paraId="20559EEE" w14:textId="77777777" w:rsidR="0012211B" w:rsidRPr="005201F9" w:rsidRDefault="0012211B" w:rsidP="0012211B">
      <w:pPr>
        <w:bidi/>
        <w:spacing w:after="0" w:line="360" w:lineRule="auto"/>
        <w:jc w:val="both"/>
        <w:rPr>
          <w:rFonts w:ascii="Traditional Arabic" w:hAnsi="Traditional Arabic" w:cs="Traditional Arabic"/>
        </w:rPr>
      </w:pPr>
    </w:p>
    <w:p w14:paraId="0FBEE522"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رابعاً: شركة الدرعية </w:t>
      </w:r>
    </w:p>
    <w:p w14:paraId="29690692" w14:textId="77777777" w:rsidR="0012211B" w:rsidRDefault="0012211B" w:rsidP="0012211B">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يقصد بشركة الدرعية في هذه الدراسة: الشركة التنموية التابعة لصندوق الاستثمارات العامة في المملكة العربية السعودية، والمسؤولة عن تطوير مشروع الدرعية، والتي تمثل البيئة التطبيقية للدراسة، ويقتصر نطاق الدراسة على العاملين في المستويات الإدارية (مشرفين، مدراء، تنفيذيين، وإدارة الموارد البشرية).</w:t>
      </w:r>
    </w:p>
    <w:p w14:paraId="2EBCC7F0" w14:textId="77777777" w:rsidR="00A8590F" w:rsidRDefault="00A8590F" w:rsidP="00A8590F">
      <w:pPr>
        <w:bidi/>
        <w:spacing w:after="0" w:line="360" w:lineRule="auto"/>
        <w:jc w:val="both"/>
        <w:rPr>
          <w:rFonts w:ascii="Traditional Arabic" w:hAnsi="Traditional Arabic" w:cs="Traditional Arabic"/>
          <w:rtl/>
        </w:rPr>
      </w:pPr>
    </w:p>
    <w:p w14:paraId="55771CCE" w14:textId="58CB6704" w:rsidR="00A8590F" w:rsidRDefault="00A8590F" w:rsidP="00A8590F">
      <w:pPr>
        <w:bidi/>
        <w:spacing w:after="0" w:line="360" w:lineRule="auto"/>
        <w:jc w:val="both"/>
        <w:rPr>
          <w:rFonts w:ascii="Traditional Arabic" w:hAnsi="Traditional Arabic" w:cs="Traditional Arabic"/>
          <w:b/>
          <w:bCs/>
          <w:sz w:val="28"/>
          <w:szCs w:val="28"/>
          <w:rtl/>
        </w:rPr>
      </w:pPr>
      <w:r w:rsidRPr="00A8590F">
        <w:rPr>
          <w:rFonts w:ascii="Traditional Arabic" w:hAnsi="Traditional Arabic" w:cs="Traditional Arabic" w:hint="cs"/>
          <w:b/>
          <w:bCs/>
          <w:sz w:val="28"/>
          <w:szCs w:val="28"/>
          <w:rtl/>
        </w:rPr>
        <w:t>حدود الدراسة</w:t>
      </w:r>
    </w:p>
    <w:p w14:paraId="11E25058"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 xml:space="preserve">أولاً: الحدود المكانية: </w:t>
      </w:r>
      <w:r w:rsidRPr="005201F9">
        <w:rPr>
          <w:rFonts w:ascii="Traditional Arabic" w:hAnsi="Traditional Arabic" w:cs="Traditional Arabic"/>
          <w:rtl/>
        </w:rPr>
        <w:t>تقتصر هذه الدراسة مكانيًا على شركة الدرعية في المملكة العربية السعودية، باعتبارها بيئة تطبيقية تمثل نموذجًا للشركات التنموية الكبرى ذات الطابع الاستراتيجي، والتي تعتمد على كفاءات بشرية عالية في إدارة مشاريع معقدة ومتعددة الأطراف.</w:t>
      </w:r>
    </w:p>
    <w:p w14:paraId="323109C6"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rtl/>
        </w:rPr>
        <w:lastRenderedPageBreak/>
        <w:t>ويأتي اختيار هذا النطاق المكاني نظرًا لملاءمته لموضوع الدراسة، حيث تتجلى أهمية إدارة المواهب بصورة واضحة في المنظمات التي ترتبط بتحقيق مستهدفات تنموية كبرى ضمن رؤية 2030، وهو ما يجعل نتائج الدراسة مرتبطة بالسياق التنظيمي لهذه الشركة تحديدًا.</w:t>
      </w:r>
    </w:p>
    <w:p w14:paraId="1C041ECD"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 xml:space="preserve">ثانياً: الحدود الزمانية: </w:t>
      </w:r>
      <w:r w:rsidRPr="005201F9">
        <w:rPr>
          <w:rFonts w:ascii="Traditional Arabic" w:hAnsi="Traditional Arabic" w:cs="Traditional Arabic"/>
          <w:rtl/>
        </w:rPr>
        <w:t>تقتصر الدراسة زمانيًا على الفترة التي يتم فيها جمع البيانات وتحليلها خلال عام 2027، بحيث تعكس النتائج إدراك أفراد العينة لواقع سياسات قبول وعدم قبول الموهوبين وتأثيرها على الأداء والنتائج خلال فترة التطبيق.</w:t>
      </w:r>
    </w:p>
    <w:p w14:paraId="5AB8A0BA"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ثالثاً: الحدود البشرية:</w:t>
      </w:r>
      <w:r w:rsidRPr="005201F9">
        <w:rPr>
          <w:rFonts w:ascii="Traditional Arabic" w:hAnsi="Traditional Arabic" w:cs="Traditional Arabic"/>
          <w:rtl/>
        </w:rPr>
        <w:t xml:space="preserve"> تقتصر الدراسة بشريًا على الفئات الإدارية التالية داخل شركة الدرعية:</w:t>
      </w:r>
    </w:p>
    <w:p w14:paraId="77FAEFA9"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 المشرفون</w:t>
      </w:r>
      <w:r w:rsidRPr="005201F9">
        <w:rPr>
          <w:rFonts w:ascii="Traditional Arabic" w:hAnsi="Traditional Arabic" w:cs="Traditional Arabic"/>
          <w:rtl/>
        </w:rPr>
        <w:tab/>
        <w:t>- المدراء</w:t>
      </w:r>
      <w:r w:rsidRPr="005201F9">
        <w:rPr>
          <w:rFonts w:ascii="Traditional Arabic" w:hAnsi="Traditional Arabic" w:cs="Traditional Arabic"/>
          <w:rtl/>
        </w:rPr>
        <w:tab/>
      </w:r>
      <w:r w:rsidRPr="005201F9">
        <w:rPr>
          <w:rFonts w:ascii="Traditional Arabic" w:hAnsi="Traditional Arabic" w:cs="Traditional Arabic"/>
          <w:rtl/>
        </w:rPr>
        <w:tab/>
        <w:t>- التنفيذيون</w:t>
      </w:r>
      <w:r w:rsidRPr="005201F9">
        <w:rPr>
          <w:rFonts w:ascii="Traditional Arabic" w:hAnsi="Traditional Arabic" w:cs="Traditional Arabic"/>
          <w:rtl/>
        </w:rPr>
        <w:tab/>
        <w:t>- إدارة الموارد البشرية</w:t>
      </w:r>
    </w:p>
    <w:p w14:paraId="70C91C67"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ويرجع ذلك إلى:</w:t>
      </w:r>
    </w:p>
    <w:p w14:paraId="6E539EEA"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 دورهم المباشر في عمليات الاستقطاب والتعيين</w:t>
      </w:r>
      <w:r w:rsidRPr="005201F9">
        <w:rPr>
          <w:rFonts w:ascii="Traditional Arabic" w:hAnsi="Traditional Arabic" w:cs="Traditional Arabic"/>
          <w:rtl/>
        </w:rPr>
        <w:tab/>
      </w:r>
      <w:r w:rsidRPr="005201F9">
        <w:rPr>
          <w:rFonts w:ascii="Traditional Arabic" w:hAnsi="Traditional Arabic" w:cs="Traditional Arabic"/>
          <w:rtl/>
        </w:rPr>
        <w:tab/>
        <w:t>- اطلاعهم على مؤشرات الأداء التنظيمي</w:t>
      </w:r>
    </w:p>
    <w:p w14:paraId="19046ED2"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 مشاركتهم في تقييم النتائج الاستراتيجية</w:t>
      </w:r>
    </w:p>
    <w:p w14:paraId="06D79064" w14:textId="77777777" w:rsidR="00B429D5" w:rsidRPr="005201F9" w:rsidRDefault="00B429D5" w:rsidP="00B429D5">
      <w:pPr>
        <w:bidi/>
        <w:spacing w:line="360" w:lineRule="auto"/>
        <w:rPr>
          <w:rFonts w:ascii="Traditional Arabic" w:hAnsi="Traditional Arabic" w:cs="Traditional Arabic"/>
          <w:rtl/>
        </w:rPr>
      </w:pPr>
      <w:r w:rsidRPr="005201F9">
        <w:rPr>
          <w:rFonts w:ascii="Traditional Arabic" w:hAnsi="Traditional Arabic" w:cs="Traditional Arabic"/>
          <w:rtl/>
        </w:rPr>
        <w:t>ولا تشمل الدراسة الموظفين غير الإداريين أو العاملين الميدانيين، نظرًا لعدم ارتباطهم المباشر بقرارات قبول الكفاءات أو تقييم النتائج الاستراتيجية.</w:t>
      </w:r>
    </w:p>
    <w:p w14:paraId="15F26979" w14:textId="77777777" w:rsidR="00B429D5" w:rsidRPr="00A8590F" w:rsidRDefault="00B429D5" w:rsidP="00B429D5">
      <w:pPr>
        <w:bidi/>
        <w:spacing w:after="0" w:line="360" w:lineRule="auto"/>
        <w:jc w:val="both"/>
        <w:rPr>
          <w:rFonts w:ascii="Traditional Arabic" w:hAnsi="Traditional Arabic" w:cs="Traditional Arabic"/>
          <w:b/>
          <w:bCs/>
          <w:sz w:val="28"/>
          <w:szCs w:val="28"/>
          <w:rtl/>
        </w:rPr>
      </w:pPr>
    </w:p>
    <w:p w14:paraId="686C06E6" w14:textId="78344697" w:rsidR="0012211B" w:rsidRPr="00797703" w:rsidRDefault="00797703" w:rsidP="0012211B">
      <w:pPr>
        <w:bidi/>
        <w:spacing w:line="360" w:lineRule="auto"/>
        <w:jc w:val="both"/>
        <w:rPr>
          <w:rFonts w:ascii="Traditional Arabic" w:hAnsi="Traditional Arabic" w:cs="Traditional Arabic"/>
          <w:b/>
          <w:bCs/>
          <w:sz w:val="28"/>
          <w:szCs w:val="28"/>
          <w:rtl/>
        </w:rPr>
      </w:pPr>
      <w:r w:rsidRPr="00797703">
        <w:rPr>
          <w:rFonts w:ascii="Traditional Arabic" w:hAnsi="Traditional Arabic" w:cs="Traditional Arabic" w:hint="cs"/>
          <w:b/>
          <w:bCs/>
          <w:sz w:val="28"/>
          <w:szCs w:val="28"/>
          <w:rtl/>
        </w:rPr>
        <w:t>إجراءات ومنهجية الدراسة</w:t>
      </w:r>
    </w:p>
    <w:p w14:paraId="72E8A6C8"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b/>
          <w:bCs/>
          <w:rtl/>
        </w:rPr>
        <w:t xml:space="preserve">أولاً: نوع الدراسة ومنهجيتها: </w:t>
      </w:r>
      <w:r w:rsidRPr="005201F9">
        <w:rPr>
          <w:rFonts w:ascii="Traditional Arabic" w:hAnsi="Traditional Arabic" w:cs="Traditional Arabic"/>
          <w:rtl/>
        </w:rPr>
        <w:t>تنتمي هذه الدراسة إلى البحوث التطبيقية التي تعتمد على المنهج المختلط (</w:t>
      </w:r>
      <w:r w:rsidRPr="005201F9">
        <w:rPr>
          <w:rFonts w:ascii="Traditional Arabic" w:hAnsi="Traditional Arabic" w:cs="Traditional Arabic"/>
        </w:rPr>
        <w:t>Mixed Methods</w:t>
      </w:r>
      <w:r w:rsidRPr="005201F9">
        <w:rPr>
          <w:rFonts w:ascii="Traditional Arabic" w:hAnsi="Traditional Arabic" w:cs="Traditional Arabic"/>
          <w:rtl/>
        </w:rPr>
        <w:t xml:space="preserve">)، حيث تجمع بين الأسلوب الكمي والأسلوب النوعي. ويهدف الجانب الكمي إلى قياس العلاقات بين متغيرات الدراسة باستخدام الاستبانة وتحليل البيانات عبر برنامج </w:t>
      </w:r>
      <w:r w:rsidRPr="005201F9">
        <w:rPr>
          <w:rFonts w:ascii="Traditional Arabic" w:hAnsi="Traditional Arabic" w:cs="Traditional Arabic"/>
        </w:rPr>
        <w:t>SPSS</w:t>
      </w:r>
      <w:r w:rsidRPr="005201F9">
        <w:rPr>
          <w:rFonts w:ascii="Traditional Arabic" w:hAnsi="Traditional Arabic" w:cs="Traditional Arabic"/>
          <w:rtl/>
        </w:rPr>
        <w:t>، في حين يهدف الجانب النوعي إلى تعميق الفهم من خلال إجراء مقابلات مع عينة من القيادات الإدارية، بالإضافة إلى الملاحظة المباشرة داخل بيئة العمل</w:t>
      </w:r>
      <w:r w:rsidRPr="005201F9">
        <w:rPr>
          <w:rFonts w:ascii="Traditional Arabic" w:hAnsi="Traditional Arabic" w:cs="Traditional Arabic"/>
        </w:rPr>
        <w:t>.</w:t>
      </w:r>
    </w:p>
    <w:p w14:paraId="62533194"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b/>
          <w:bCs/>
          <w:rtl/>
        </w:rPr>
        <w:t xml:space="preserve">ثانياً: مجتمع الدراسة: </w:t>
      </w:r>
      <w:r w:rsidRPr="005201F9">
        <w:rPr>
          <w:rFonts w:ascii="Traditional Arabic" w:hAnsi="Traditional Arabic" w:cs="Traditional Arabic"/>
          <w:rtl/>
        </w:rPr>
        <w:t>سيتم اعتماد أسلوب الحصر الشامل لكافة أفراد المجتمع نظرًا لكون الدراسة دراسة حالة على منظمة واحدة</w:t>
      </w:r>
      <w:r w:rsidRPr="005201F9">
        <w:rPr>
          <w:rFonts w:ascii="Traditional Arabic" w:hAnsi="Traditional Arabic" w:cs="Traditional Arabic"/>
        </w:rPr>
        <w:t>.</w:t>
      </w:r>
      <w:r w:rsidRPr="005201F9">
        <w:rPr>
          <w:rFonts w:ascii="Traditional Arabic" w:hAnsi="Traditional Arabic" w:cs="Traditional Arabic"/>
          <w:rtl/>
        </w:rPr>
        <w:t xml:space="preserve"> ويتكون مجتمع الدراسة من المشرفين، والمدراء، والتنفيذيين، وإدارة الموارد البشرية في شركة الدرعية. هذا يعزز دقة القياس وموضوعية البيانات. ويرجع اختيار هذه الفئات إلى: </w:t>
      </w:r>
    </w:p>
    <w:p w14:paraId="2CA1DC66"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rtl/>
        </w:rPr>
        <w:t xml:space="preserve">- دورهم المباشر في قرارات الاستقطاب والتعيين </w:t>
      </w:r>
      <w:r w:rsidRPr="005201F9">
        <w:rPr>
          <w:rFonts w:ascii="Traditional Arabic" w:hAnsi="Traditional Arabic" w:cs="Traditional Arabic"/>
          <w:rtl/>
        </w:rPr>
        <w:tab/>
      </w:r>
      <w:r w:rsidRPr="005201F9">
        <w:rPr>
          <w:rFonts w:ascii="Traditional Arabic" w:hAnsi="Traditional Arabic" w:cs="Traditional Arabic"/>
          <w:rtl/>
        </w:rPr>
        <w:tab/>
        <w:t>- مشاركتهم في تقييم الأداء التنظيمي</w:t>
      </w:r>
    </w:p>
    <w:p w14:paraId="58910288"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rtl/>
        </w:rPr>
        <w:t>- إدراكهم لمستوى الأداء التنظيمي</w:t>
      </w:r>
      <w:r w:rsidRPr="005201F9">
        <w:rPr>
          <w:rFonts w:ascii="Traditional Arabic" w:hAnsi="Traditional Arabic" w:cs="Traditional Arabic"/>
          <w:rtl/>
        </w:rPr>
        <w:tab/>
      </w:r>
      <w:r w:rsidRPr="005201F9">
        <w:rPr>
          <w:rFonts w:ascii="Traditional Arabic" w:hAnsi="Traditional Arabic" w:cs="Traditional Arabic"/>
          <w:rtl/>
        </w:rPr>
        <w:tab/>
      </w:r>
      <w:r w:rsidRPr="005201F9">
        <w:rPr>
          <w:rFonts w:ascii="Traditional Arabic" w:hAnsi="Traditional Arabic" w:cs="Traditional Arabic"/>
          <w:rtl/>
        </w:rPr>
        <w:tab/>
      </w:r>
      <w:r w:rsidRPr="005201F9">
        <w:rPr>
          <w:rFonts w:ascii="Traditional Arabic" w:hAnsi="Traditional Arabic" w:cs="Traditional Arabic"/>
          <w:rtl/>
        </w:rPr>
        <w:tab/>
      </w:r>
    </w:p>
    <w:p w14:paraId="4E1AEE34" w14:textId="77777777" w:rsidR="003A1F12" w:rsidRPr="005201F9" w:rsidRDefault="003A1F12" w:rsidP="003A1F12">
      <w:pPr>
        <w:bidi/>
        <w:spacing w:line="360" w:lineRule="auto"/>
        <w:jc w:val="both"/>
        <w:rPr>
          <w:rFonts w:ascii="Traditional Arabic" w:hAnsi="Traditional Arabic" w:cs="Traditional Arabic"/>
        </w:rPr>
      </w:pPr>
    </w:p>
    <w:p w14:paraId="7A310FB6" w14:textId="77777777" w:rsidR="003A1F12" w:rsidRPr="005201F9" w:rsidRDefault="003A1F12" w:rsidP="003A1F12">
      <w:pPr>
        <w:bidi/>
        <w:spacing w:line="360" w:lineRule="auto"/>
        <w:jc w:val="lowKashida"/>
        <w:rPr>
          <w:rFonts w:ascii="Traditional Arabic" w:hAnsi="Traditional Arabic" w:cs="Traditional Arabic"/>
        </w:rPr>
      </w:pPr>
      <w:r w:rsidRPr="005201F9">
        <w:rPr>
          <w:rFonts w:ascii="Traditional Arabic" w:hAnsi="Traditional Arabic" w:cs="Traditional Arabic"/>
          <w:b/>
          <w:bCs/>
          <w:rtl/>
        </w:rPr>
        <w:lastRenderedPageBreak/>
        <w:t xml:space="preserve">ثالثاً: عينة الدراسة وحجمها: </w:t>
      </w:r>
      <w:r w:rsidRPr="005201F9">
        <w:rPr>
          <w:rFonts w:ascii="Traditional Arabic" w:hAnsi="Traditional Arabic" w:cs="Traditional Arabic"/>
          <w:rtl/>
        </w:rPr>
        <w:t>نظرًا لطبيعة الدراسة كدراسة حالة، سيتم استخدام أسلوب الحصر الشامل، إن أمكن، لكافة القيادات الإدارية والمشرفين في شركة الدرعية والبالغ عددهم (250)، بهدف تحقيق أعلى درجة من الدقة والتمثيل. وهو الأسلوب الذي يُعد من أكثر الأساليب دقة في الدراسات التطبيقية، مما يسهم في تعزيز موثوقية النتائج وقابليتها للتعميم داخل نطاق المنظمة</w:t>
      </w:r>
      <w:r w:rsidRPr="005201F9">
        <w:rPr>
          <w:rFonts w:ascii="Traditional Arabic" w:hAnsi="Traditional Arabic" w:cs="Traditional Arabic"/>
        </w:rPr>
        <w:t>.</w:t>
      </w:r>
    </w:p>
    <w:p w14:paraId="4734BC9E" w14:textId="77777777" w:rsidR="003A1F12" w:rsidRPr="005201F9" w:rsidRDefault="003A1F12" w:rsidP="003A1F12">
      <w:pPr>
        <w:bidi/>
        <w:spacing w:line="360" w:lineRule="auto"/>
        <w:jc w:val="both"/>
        <w:rPr>
          <w:rFonts w:ascii="Traditional Arabic" w:hAnsi="Traditional Arabic" w:cs="Traditional Arabic"/>
        </w:rPr>
      </w:pPr>
    </w:p>
    <w:p w14:paraId="4D34CAD8" w14:textId="77777777" w:rsidR="003A1F12" w:rsidRPr="005201F9" w:rsidRDefault="003A1F12" w:rsidP="003A1F12">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حجم العينة المقترح:</w:t>
      </w:r>
      <w:r w:rsidRPr="005201F9">
        <w:rPr>
          <w:rFonts w:ascii="Traditional Arabic" w:hAnsi="Traditional Arabic" w:cs="Traditional Arabic"/>
          <w:rtl/>
        </w:rPr>
        <w:t xml:space="preserve"> وفقًا لقاعدة التحليل الإحصائي في الانحدار المتعدد، يُفضل ألا يقل حجم العينة عن 10–15 مفردة لكل متغير مستقل. وبما أن الدراسة تحتوي على متغير مستقل (إدارة المواهب)، ومتغير وسيط (اندماج الموظفين)، ومتغير تابع (الأداء التنظيمي)، فإن الحد الأدنى المقبول هو 100 مبحوثا، بينما حجم العينة في هذا البحث (250) مشاركًا لزيادة القوة الإحصائية ودقة النتائج. </w:t>
      </w:r>
    </w:p>
    <w:p w14:paraId="7D56AB50" w14:textId="77777777" w:rsidR="003A1F12" w:rsidRPr="005201F9" w:rsidRDefault="003A1F12" w:rsidP="003A1F12">
      <w:pPr>
        <w:bidi/>
        <w:spacing w:line="360" w:lineRule="auto"/>
        <w:jc w:val="both"/>
        <w:rPr>
          <w:rFonts w:ascii="Traditional Arabic" w:hAnsi="Traditional Arabic" w:cs="Traditional Arabic"/>
        </w:rPr>
      </w:pPr>
    </w:p>
    <w:p w14:paraId="00F71D05"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b/>
          <w:bCs/>
          <w:rtl/>
        </w:rPr>
        <w:t>رابعاً: أداة الدراسة: تعتمد</w:t>
      </w:r>
      <w:r w:rsidRPr="005201F9">
        <w:rPr>
          <w:rFonts w:ascii="Traditional Arabic" w:hAnsi="Traditional Arabic" w:cs="Traditional Arabic"/>
          <w:rtl/>
        </w:rPr>
        <w:t xml:space="preserve"> الدراسة على مجموعة من الأدوات تشمل:</w:t>
      </w:r>
    </w:p>
    <w:p w14:paraId="2320ED29"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rtl/>
        </w:rPr>
        <w:t>1- الاستبانة: لقياس متغيرات الدراسة، وتتكون من ثلاثة محاور رئيسة:</w:t>
      </w:r>
    </w:p>
    <w:p w14:paraId="4136F50B"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rtl/>
        </w:rPr>
        <w:t>*إدارة المواهب (</w:t>
      </w:r>
      <w:r w:rsidRPr="005201F9">
        <w:rPr>
          <w:rFonts w:ascii="Traditional Arabic" w:hAnsi="Traditional Arabic" w:cs="Traditional Arabic"/>
        </w:rPr>
        <w:t>4</w:t>
      </w:r>
      <w:r w:rsidRPr="005201F9">
        <w:rPr>
          <w:rFonts w:ascii="Traditional Arabic" w:hAnsi="Traditional Arabic" w:cs="Traditional Arabic"/>
          <w:rtl/>
        </w:rPr>
        <w:t>–</w:t>
      </w:r>
      <w:r w:rsidRPr="005201F9">
        <w:rPr>
          <w:rFonts w:ascii="Traditional Arabic" w:hAnsi="Traditional Arabic" w:cs="Traditional Arabic"/>
        </w:rPr>
        <w:t>5</w:t>
      </w:r>
      <w:r w:rsidRPr="005201F9">
        <w:rPr>
          <w:rFonts w:ascii="Traditional Arabic" w:hAnsi="Traditional Arabic" w:cs="Traditional Arabic"/>
          <w:rtl/>
        </w:rPr>
        <w:t xml:space="preserve"> فقرات)</w:t>
      </w:r>
      <w:r w:rsidRPr="005201F9">
        <w:rPr>
          <w:rFonts w:ascii="Traditional Arabic" w:hAnsi="Traditional Arabic" w:cs="Traditional Arabic"/>
          <w:rtl/>
        </w:rPr>
        <w:tab/>
        <w:t>*اندماج الموظفين (</w:t>
      </w:r>
      <w:r w:rsidRPr="005201F9">
        <w:rPr>
          <w:rFonts w:ascii="Traditional Arabic" w:hAnsi="Traditional Arabic" w:cs="Traditional Arabic"/>
        </w:rPr>
        <w:t>4</w:t>
      </w:r>
      <w:r w:rsidRPr="005201F9">
        <w:rPr>
          <w:rFonts w:ascii="Traditional Arabic" w:hAnsi="Traditional Arabic" w:cs="Traditional Arabic"/>
          <w:rtl/>
        </w:rPr>
        <w:t>–</w:t>
      </w:r>
      <w:r w:rsidRPr="005201F9">
        <w:rPr>
          <w:rFonts w:ascii="Traditional Arabic" w:hAnsi="Traditional Arabic" w:cs="Traditional Arabic"/>
        </w:rPr>
        <w:t>5</w:t>
      </w:r>
      <w:r w:rsidRPr="005201F9">
        <w:rPr>
          <w:rFonts w:ascii="Traditional Arabic" w:hAnsi="Traditional Arabic" w:cs="Traditional Arabic"/>
          <w:rtl/>
        </w:rPr>
        <w:t xml:space="preserve"> فقرات)</w:t>
      </w:r>
      <w:r w:rsidRPr="005201F9">
        <w:rPr>
          <w:rFonts w:ascii="Traditional Arabic" w:hAnsi="Traditional Arabic" w:cs="Traditional Arabic"/>
          <w:rtl/>
        </w:rPr>
        <w:tab/>
        <w:t>*الأداء التنظيمي (</w:t>
      </w:r>
      <w:r w:rsidRPr="005201F9">
        <w:rPr>
          <w:rFonts w:ascii="Traditional Arabic" w:hAnsi="Traditional Arabic" w:cs="Traditional Arabic"/>
        </w:rPr>
        <w:t>4</w:t>
      </w:r>
      <w:r w:rsidRPr="005201F9">
        <w:rPr>
          <w:rFonts w:ascii="Traditional Arabic" w:hAnsi="Traditional Arabic" w:cs="Traditional Arabic"/>
          <w:rtl/>
        </w:rPr>
        <w:t>–</w:t>
      </w:r>
      <w:r w:rsidRPr="005201F9">
        <w:rPr>
          <w:rFonts w:ascii="Traditional Arabic" w:hAnsi="Traditional Arabic" w:cs="Traditional Arabic"/>
        </w:rPr>
        <w:t>5</w:t>
      </w:r>
      <w:r w:rsidRPr="005201F9">
        <w:rPr>
          <w:rFonts w:ascii="Traditional Arabic" w:hAnsi="Traditional Arabic" w:cs="Traditional Arabic"/>
          <w:rtl/>
        </w:rPr>
        <w:t xml:space="preserve"> فقرات)</w:t>
      </w:r>
    </w:p>
    <w:p w14:paraId="74638058" w14:textId="77777777" w:rsidR="003A1F12" w:rsidRPr="005201F9" w:rsidRDefault="003A1F12" w:rsidP="003A1F12">
      <w:pPr>
        <w:bidi/>
        <w:spacing w:line="360" w:lineRule="auto"/>
        <w:jc w:val="both"/>
        <w:rPr>
          <w:rFonts w:ascii="Traditional Arabic" w:hAnsi="Traditional Arabic" w:cs="Traditional Arabic"/>
        </w:rPr>
      </w:pPr>
      <w:r w:rsidRPr="005201F9">
        <w:rPr>
          <w:rFonts w:ascii="Traditional Arabic" w:hAnsi="Traditional Arabic" w:cs="Traditional Arabic"/>
          <w:rtl/>
        </w:rPr>
        <w:t>2- المقابلات: سيتم إجراء مقابلات شبه مهيكلة مع عدد من القيادات الإدارية لفهم أعمق لممارسات إدارة المواهب ومستوى اندماج الموظفين.</w:t>
      </w:r>
    </w:p>
    <w:p w14:paraId="283FB44B"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 xml:space="preserve">3- الملاحظة: من خلال متابعة بيئة العمل واستخلاص مؤشرات نوعية داعمة للنتائج الكمية. وتستخدم الاستبانة مقياس </w:t>
      </w:r>
      <w:proofErr w:type="spellStart"/>
      <w:r w:rsidRPr="005201F9">
        <w:rPr>
          <w:rFonts w:ascii="Traditional Arabic" w:hAnsi="Traditional Arabic" w:cs="Traditional Arabic"/>
          <w:rtl/>
        </w:rPr>
        <w:t>ليكرت</w:t>
      </w:r>
      <w:proofErr w:type="spellEnd"/>
      <w:r w:rsidRPr="005201F9">
        <w:rPr>
          <w:rFonts w:ascii="Traditional Arabic" w:hAnsi="Traditional Arabic" w:cs="Traditional Arabic"/>
          <w:rtl/>
        </w:rPr>
        <w:t xml:space="preserve"> الخماسي:</w:t>
      </w:r>
    </w:p>
    <w:p w14:paraId="2EF472B2"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 xml:space="preserve">1 = أعارض بشدة </w:t>
      </w:r>
      <w:r w:rsidRPr="005201F9">
        <w:rPr>
          <w:rFonts w:ascii="Traditional Arabic" w:hAnsi="Traditional Arabic" w:cs="Traditional Arabic"/>
          <w:rtl/>
        </w:rPr>
        <w:tab/>
        <w:t>2 = أعارض</w:t>
      </w:r>
      <w:r w:rsidRPr="005201F9">
        <w:rPr>
          <w:rFonts w:ascii="Traditional Arabic" w:hAnsi="Traditional Arabic" w:cs="Traditional Arabic"/>
          <w:rtl/>
        </w:rPr>
        <w:tab/>
        <w:t>3 = محايد</w:t>
      </w:r>
      <w:r w:rsidRPr="005201F9">
        <w:rPr>
          <w:rFonts w:ascii="Traditional Arabic" w:hAnsi="Traditional Arabic" w:cs="Traditional Arabic"/>
          <w:rtl/>
        </w:rPr>
        <w:tab/>
        <w:t>4 = أوافق</w:t>
      </w:r>
      <w:r w:rsidRPr="005201F9">
        <w:rPr>
          <w:rFonts w:ascii="Traditional Arabic" w:hAnsi="Traditional Arabic" w:cs="Traditional Arabic"/>
          <w:rtl/>
        </w:rPr>
        <w:tab/>
        <w:t>5 = أوافق بشدة</w:t>
      </w:r>
    </w:p>
    <w:p w14:paraId="72E0DB25" w14:textId="77777777" w:rsidR="003A1F12" w:rsidRPr="005201F9" w:rsidRDefault="003A1F12" w:rsidP="003A1F12">
      <w:pPr>
        <w:bidi/>
        <w:spacing w:line="360" w:lineRule="auto"/>
        <w:rPr>
          <w:rFonts w:ascii="Traditional Arabic" w:hAnsi="Traditional Arabic" w:cs="Traditional Arabic"/>
        </w:rPr>
      </w:pPr>
    </w:p>
    <w:p w14:paraId="37441B65" w14:textId="77777777" w:rsidR="003A1F12" w:rsidRPr="005201F9" w:rsidRDefault="003A1F12" w:rsidP="003A1F12">
      <w:pPr>
        <w:bidi/>
        <w:spacing w:line="360" w:lineRule="auto"/>
        <w:rPr>
          <w:rFonts w:ascii="Traditional Arabic" w:hAnsi="Traditional Arabic" w:cs="Traditional Arabic"/>
          <w:b/>
          <w:bCs/>
          <w:rtl/>
        </w:rPr>
      </w:pPr>
      <w:r w:rsidRPr="005201F9">
        <w:rPr>
          <w:rFonts w:ascii="Traditional Arabic" w:hAnsi="Traditional Arabic" w:cs="Traditional Arabic"/>
          <w:b/>
          <w:bCs/>
          <w:rtl/>
        </w:rPr>
        <w:t>خامساً: صدق الأداة</w:t>
      </w:r>
    </w:p>
    <w:p w14:paraId="4ADBBC65"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سيتم التحقق من صدق الأداة من خلال:</w:t>
      </w:r>
    </w:p>
    <w:p w14:paraId="6AD74C33"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 الصدق الظاهري: عرض الاستبانة على مجموعة من المحكمين المتخصصين في إدارة الموارد البشرية والإدارة الاستراتيجية.</w:t>
      </w:r>
    </w:p>
    <w:p w14:paraId="609334BD"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 صدق الاتساق الداخلي، باستخدام معامل ارتباط بيرسون بين كل فقرة والمحور التابع له.</w:t>
      </w:r>
    </w:p>
    <w:p w14:paraId="0A5B2C60" w14:textId="77777777" w:rsidR="003A1F12" w:rsidRPr="005201F9" w:rsidRDefault="003A1F12" w:rsidP="003A1F12">
      <w:pPr>
        <w:bidi/>
        <w:spacing w:line="360" w:lineRule="auto"/>
        <w:rPr>
          <w:rFonts w:ascii="Traditional Arabic" w:hAnsi="Traditional Arabic" w:cs="Traditional Arabic"/>
        </w:rPr>
      </w:pPr>
    </w:p>
    <w:p w14:paraId="66C22010" w14:textId="77777777" w:rsidR="003A1F12" w:rsidRPr="005201F9" w:rsidRDefault="003A1F12" w:rsidP="003A1F12">
      <w:pPr>
        <w:bidi/>
        <w:spacing w:line="360" w:lineRule="auto"/>
        <w:rPr>
          <w:rFonts w:ascii="Traditional Arabic" w:hAnsi="Traditional Arabic" w:cs="Traditional Arabic"/>
          <w:b/>
          <w:bCs/>
          <w:rtl/>
        </w:rPr>
      </w:pPr>
      <w:r w:rsidRPr="005201F9">
        <w:rPr>
          <w:rFonts w:ascii="Traditional Arabic" w:hAnsi="Traditional Arabic" w:cs="Traditional Arabic"/>
          <w:b/>
          <w:bCs/>
          <w:rtl/>
        </w:rPr>
        <w:t>سادساً: ثبات الأداة</w:t>
      </w:r>
    </w:p>
    <w:p w14:paraId="4054E0B3"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lastRenderedPageBreak/>
        <w:t xml:space="preserve">سيتم اختبار ثبات الأداة باستخدام معامل ألفا </w:t>
      </w:r>
      <w:proofErr w:type="spellStart"/>
      <w:r w:rsidRPr="005201F9">
        <w:rPr>
          <w:rFonts w:ascii="Traditional Arabic" w:hAnsi="Traditional Arabic" w:cs="Traditional Arabic"/>
          <w:rtl/>
        </w:rPr>
        <w:t>كرونباخ</w:t>
      </w:r>
      <w:proofErr w:type="spellEnd"/>
      <w:r w:rsidRPr="005201F9">
        <w:rPr>
          <w:rFonts w:ascii="Traditional Arabic" w:hAnsi="Traditional Arabic" w:cs="Traditional Arabic"/>
          <w:rtl/>
        </w:rPr>
        <w:t xml:space="preserve">، ويُعد معامل ثبات </w:t>
      </w:r>
      <w:r w:rsidRPr="005201F9">
        <w:rPr>
          <w:rFonts w:ascii="Times New Roman" w:hAnsi="Times New Roman" w:cs="Times New Roman" w:hint="cs"/>
          <w:rtl/>
        </w:rPr>
        <w:t>≥</w:t>
      </w:r>
      <w:r w:rsidRPr="005201F9">
        <w:rPr>
          <w:rFonts w:ascii="Traditional Arabic" w:hAnsi="Traditional Arabic" w:cs="Traditional Arabic"/>
          <w:rtl/>
        </w:rPr>
        <w:t xml:space="preserve"> 0.70 مقبولًا في الدراسات الاجتماعية.</w:t>
      </w:r>
    </w:p>
    <w:p w14:paraId="133D1988" w14:textId="77777777" w:rsidR="003A1F12" w:rsidRPr="005201F9" w:rsidRDefault="003A1F12" w:rsidP="003A1F12">
      <w:pPr>
        <w:bidi/>
        <w:spacing w:line="360" w:lineRule="auto"/>
        <w:rPr>
          <w:rFonts w:ascii="Traditional Arabic" w:hAnsi="Traditional Arabic" w:cs="Traditional Arabic"/>
        </w:rPr>
      </w:pPr>
    </w:p>
    <w:p w14:paraId="2A093C77" w14:textId="77777777" w:rsidR="003A1F12" w:rsidRPr="005201F9" w:rsidRDefault="003A1F12" w:rsidP="003A1F12">
      <w:pPr>
        <w:bidi/>
        <w:spacing w:line="360" w:lineRule="auto"/>
        <w:rPr>
          <w:rFonts w:ascii="Traditional Arabic" w:hAnsi="Traditional Arabic" w:cs="Traditional Arabic"/>
          <w:b/>
          <w:bCs/>
          <w:rtl/>
        </w:rPr>
      </w:pPr>
      <w:r w:rsidRPr="005201F9">
        <w:rPr>
          <w:rFonts w:ascii="Traditional Arabic" w:hAnsi="Traditional Arabic" w:cs="Traditional Arabic"/>
          <w:b/>
          <w:bCs/>
          <w:rtl/>
        </w:rPr>
        <w:t>سابعاً: إجراءات جمع البيانات</w:t>
      </w:r>
    </w:p>
    <w:p w14:paraId="3F6174B3" w14:textId="77777777" w:rsidR="003A1F12" w:rsidRPr="005201F9" w:rsidRDefault="003A1F12" w:rsidP="003A1F12">
      <w:pPr>
        <w:bidi/>
        <w:spacing w:line="360" w:lineRule="auto"/>
        <w:rPr>
          <w:rFonts w:ascii="Traditional Arabic" w:hAnsi="Traditional Arabic" w:cs="Traditional Arabic"/>
        </w:rPr>
      </w:pPr>
      <w:r w:rsidRPr="005201F9">
        <w:rPr>
          <w:rFonts w:ascii="Traditional Arabic" w:hAnsi="Traditional Arabic" w:cs="Traditional Arabic"/>
          <w:rtl/>
        </w:rPr>
        <w:t>سوف يتم توزيع الاستبانة إلكترونيًا عبر نموذج قوقل. مع التأكيد على سرية المعلومات وعدم استخدامها إلا لأغراض البحث العلمي. وتحديد فترة زمنية لجمع البيانات.</w:t>
      </w:r>
    </w:p>
    <w:p w14:paraId="18C6DE35" w14:textId="77777777" w:rsidR="003A1F12" w:rsidRPr="005201F9" w:rsidRDefault="003A1F12" w:rsidP="003A1F12">
      <w:pPr>
        <w:bidi/>
        <w:spacing w:line="360" w:lineRule="auto"/>
        <w:rPr>
          <w:rFonts w:ascii="Traditional Arabic" w:hAnsi="Traditional Arabic" w:cs="Traditional Arabic"/>
        </w:rPr>
      </w:pPr>
    </w:p>
    <w:p w14:paraId="20474F4D" w14:textId="77777777" w:rsidR="003A1F12" w:rsidRPr="005201F9" w:rsidRDefault="003A1F12" w:rsidP="003A1F12">
      <w:pPr>
        <w:bidi/>
        <w:spacing w:line="360" w:lineRule="auto"/>
        <w:rPr>
          <w:rFonts w:ascii="Traditional Arabic" w:hAnsi="Traditional Arabic" w:cs="Traditional Arabic"/>
          <w:b/>
          <w:bCs/>
          <w:rtl/>
        </w:rPr>
      </w:pPr>
      <w:r w:rsidRPr="005201F9">
        <w:rPr>
          <w:rFonts w:ascii="Traditional Arabic" w:hAnsi="Traditional Arabic" w:cs="Traditional Arabic"/>
          <w:b/>
          <w:bCs/>
          <w:rtl/>
        </w:rPr>
        <w:t>ثامناً: أساليب التحليل الإحصائي</w:t>
      </w:r>
    </w:p>
    <w:p w14:paraId="6ABA11B7" w14:textId="77777777" w:rsidR="003A1F12" w:rsidRPr="005201F9" w:rsidRDefault="003A1F12" w:rsidP="002F4F22">
      <w:pPr>
        <w:bidi/>
        <w:spacing w:line="360" w:lineRule="auto"/>
        <w:rPr>
          <w:rFonts w:ascii="Traditional Arabic" w:hAnsi="Traditional Arabic" w:cs="Traditional Arabic"/>
        </w:rPr>
      </w:pPr>
      <w:r w:rsidRPr="005201F9">
        <w:rPr>
          <w:rFonts w:ascii="Traditional Arabic" w:hAnsi="Traditional Arabic" w:cs="Traditional Arabic"/>
          <w:rtl/>
        </w:rPr>
        <w:t xml:space="preserve">سيتم استخدام البرنامج الإحصائي </w:t>
      </w:r>
      <w:r w:rsidRPr="005201F9">
        <w:rPr>
          <w:rFonts w:ascii="Traditional Arabic" w:hAnsi="Traditional Arabic" w:cs="Traditional Arabic"/>
        </w:rPr>
        <w:t>SPSS</w:t>
      </w:r>
      <w:r w:rsidRPr="005201F9">
        <w:rPr>
          <w:rFonts w:ascii="Traditional Arabic" w:hAnsi="Traditional Arabic" w:cs="Traditional Arabic"/>
          <w:rtl/>
        </w:rPr>
        <w:t xml:space="preserve"> لتحليل البيانات عبر:</w:t>
      </w:r>
    </w:p>
    <w:p w14:paraId="7F468406" w14:textId="77777777" w:rsidR="003A1F12" w:rsidRPr="005201F9" w:rsidRDefault="003A1F12" w:rsidP="002F4F22">
      <w:pPr>
        <w:bidi/>
        <w:spacing w:line="360" w:lineRule="auto"/>
        <w:rPr>
          <w:rFonts w:ascii="Traditional Arabic" w:hAnsi="Traditional Arabic" w:cs="Traditional Arabic"/>
        </w:rPr>
      </w:pPr>
      <w:r w:rsidRPr="005201F9">
        <w:rPr>
          <w:rFonts w:ascii="Traditional Arabic" w:hAnsi="Traditional Arabic" w:cs="Traditional Arabic"/>
          <w:rtl/>
        </w:rPr>
        <w:t>- الإحصاءات الوصفية (المتوسطات، الانحراف المعياري)</w:t>
      </w:r>
    </w:p>
    <w:p w14:paraId="4F43E59F" w14:textId="77777777" w:rsidR="003A1F12" w:rsidRPr="005201F9" w:rsidRDefault="003A1F12" w:rsidP="002F4F22">
      <w:pPr>
        <w:bidi/>
        <w:spacing w:line="360" w:lineRule="auto"/>
        <w:rPr>
          <w:rFonts w:ascii="Traditional Arabic" w:hAnsi="Traditional Arabic" w:cs="Traditional Arabic"/>
        </w:rPr>
      </w:pPr>
      <w:r w:rsidRPr="005201F9">
        <w:rPr>
          <w:rFonts w:ascii="Traditional Arabic" w:hAnsi="Traditional Arabic" w:cs="Traditional Arabic"/>
          <w:rtl/>
        </w:rPr>
        <w:t>- اختبار الثبات (</w:t>
      </w:r>
      <w:r w:rsidRPr="005201F9">
        <w:rPr>
          <w:rFonts w:ascii="Traditional Arabic" w:hAnsi="Traditional Arabic" w:cs="Traditional Arabic"/>
        </w:rPr>
        <w:t>Cronbach Alpha</w:t>
      </w:r>
      <w:r w:rsidRPr="005201F9">
        <w:rPr>
          <w:rFonts w:ascii="Traditional Arabic" w:hAnsi="Traditional Arabic" w:cs="Traditional Arabic"/>
          <w:rtl/>
        </w:rPr>
        <w:t>)</w:t>
      </w:r>
    </w:p>
    <w:p w14:paraId="7ACCDFF2" w14:textId="77777777" w:rsidR="003A1F12" w:rsidRPr="005201F9" w:rsidRDefault="003A1F12" w:rsidP="002F4F22">
      <w:pPr>
        <w:bidi/>
        <w:spacing w:line="360" w:lineRule="auto"/>
        <w:rPr>
          <w:rFonts w:ascii="Traditional Arabic" w:hAnsi="Traditional Arabic" w:cs="Traditional Arabic"/>
        </w:rPr>
      </w:pPr>
      <w:r w:rsidRPr="005201F9">
        <w:rPr>
          <w:rFonts w:ascii="Traditional Arabic" w:hAnsi="Traditional Arabic" w:cs="Traditional Arabic"/>
          <w:rtl/>
        </w:rPr>
        <w:t>- معامل ارتباط بيرسون</w:t>
      </w:r>
    </w:p>
    <w:p w14:paraId="20B8494B" w14:textId="77777777" w:rsidR="003A1F12" w:rsidRPr="005201F9" w:rsidRDefault="003A1F12" w:rsidP="002F4F22">
      <w:pPr>
        <w:bidi/>
        <w:spacing w:line="360" w:lineRule="auto"/>
        <w:rPr>
          <w:rFonts w:ascii="Traditional Arabic" w:hAnsi="Traditional Arabic" w:cs="Traditional Arabic"/>
          <w:rtl/>
        </w:rPr>
      </w:pPr>
      <w:r w:rsidRPr="005201F9">
        <w:rPr>
          <w:rFonts w:ascii="Traditional Arabic" w:hAnsi="Traditional Arabic" w:cs="Traditional Arabic"/>
          <w:rtl/>
        </w:rPr>
        <w:t>- تحليل الانحدار الخطي المتعدد اختبار مستوى الدلالة عند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w:t>
      </w:r>
    </w:p>
    <w:p w14:paraId="58E077D2" w14:textId="77777777" w:rsidR="003A1F12" w:rsidRPr="005201F9" w:rsidRDefault="003A1F12" w:rsidP="002F4F22">
      <w:pPr>
        <w:bidi/>
        <w:spacing w:line="360" w:lineRule="auto"/>
        <w:rPr>
          <w:rFonts w:ascii="Traditional Arabic" w:hAnsi="Traditional Arabic" w:cs="Traditional Arabic"/>
          <w:rtl/>
        </w:rPr>
      </w:pPr>
      <w:r w:rsidRPr="005201F9">
        <w:rPr>
          <w:rFonts w:ascii="Traditional Arabic" w:hAnsi="Traditional Arabic" w:cs="Traditional Arabic"/>
          <w:rtl/>
        </w:rPr>
        <w:t>- بالإضافة إلى استخدام تحليل الوساطة</w:t>
      </w:r>
      <w:r w:rsidRPr="005201F9">
        <w:rPr>
          <w:rFonts w:ascii="Traditional Arabic" w:hAnsi="Traditional Arabic" w:cs="Traditional Arabic"/>
        </w:rPr>
        <w:t xml:space="preserve"> (Mediation Analysis) </w:t>
      </w:r>
      <w:r w:rsidRPr="005201F9">
        <w:rPr>
          <w:rFonts w:ascii="Traditional Arabic" w:hAnsi="Traditional Arabic" w:cs="Traditional Arabic"/>
          <w:rtl/>
        </w:rPr>
        <w:t>لاختبار الدور الوسيط لاندماج الموظفين</w:t>
      </w:r>
      <w:r w:rsidRPr="005201F9">
        <w:rPr>
          <w:rFonts w:ascii="Traditional Arabic" w:hAnsi="Traditional Arabic" w:cs="Traditional Arabic"/>
        </w:rPr>
        <w:t>.</w:t>
      </w:r>
    </w:p>
    <w:p w14:paraId="50EB48C5" w14:textId="77777777" w:rsidR="00B83912" w:rsidRDefault="00B83912" w:rsidP="00B83912">
      <w:pPr>
        <w:bidi/>
        <w:spacing w:line="360" w:lineRule="auto"/>
        <w:jc w:val="both"/>
        <w:rPr>
          <w:rFonts w:ascii="Traditional Arabic" w:hAnsi="Traditional Arabic" w:cs="Traditional Arabic"/>
          <w:b/>
          <w:bCs/>
          <w:rtl/>
        </w:rPr>
      </w:pPr>
    </w:p>
    <w:p w14:paraId="15DE1B9F" w14:textId="77777777" w:rsidR="002F4F22" w:rsidRDefault="0007781D" w:rsidP="00B83912">
      <w:pPr>
        <w:bidi/>
        <w:spacing w:line="360" w:lineRule="auto"/>
        <w:jc w:val="both"/>
        <w:rPr>
          <w:rFonts w:ascii="Traditional Arabic" w:hAnsi="Traditional Arabic" w:cs="Traditional Arabic"/>
          <w:b/>
          <w:bCs/>
          <w:sz w:val="28"/>
          <w:szCs w:val="28"/>
          <w:rtl/>
        </w:rPr>
      </w:pPr>
      <w:r w:rsidRPr="002F4F22">
        <w:rPr>
          <w:rFonts w:ascii="Traditional Arabic" w:hAnsi="Traditional Arabic" w:cs="Traditional Arabic"/>
          <w:b/>
          <w:bCs/>
          <w:sz w:val="28"/>
          <w:szCs w:val="28"/>
          <w:rtl/>
        </w:rPr>
        <w:t>نموذج الدراسة</w:t>
      </w:r>
    </w:p>
    <w:p w14:paraId="360884A6" w14:textId="76D9A00D" w:rsidR="0007781D" w:rsidRPr="005201F9" w:rsidRDefault="0007781D" w:rsidP="002F4F22">
      <w:pPr>
        <w:bidi/>
        <w:spacing w:line="360" w:lineRule="auto"/>
        <w:jc w:val="both"/>
        <w:rPr>
          <w:rFonts w:ascii="Traditional Arabic" w:hAnsi="Traditional Arabic" w:cs="Traditional Arabic"/>
        </w:rPr>
      </w:pPr>
      <w:r w:rsidRPr="005201F9">
        <w:rPr>
          <w:rFonts w:ascii="Traditional Arabic" w:hAnsi="Traditional Arabic" w:cs="Traditional Arabic"/>
          <w:b/>
          <w:bCs/>
        </w:rPr>
        <w:t xml:space="preserve"> </w:t>
      </w:r>
      <w:r w:rsidRPr="005201F9">
        <w:rPr>
          <w:rFonts w:ascii="Traditional Arabic" w:hAnsi="Traditional Arabic" w:cs="Traditional Arabic"/>
          <w:rtl/>
        </w:rPr>
        <w:t>يعتمد نموذج الدراسة الحالية على افتراض أن إدارة المواهب تمثل مدخلاً استراتيجياً يؤثر في الأداء التنظيمي بشكل مباشر وغير مباشر من خلال اندماج الموظفين كمتغير وسيط. ويستند هذا النموذج إلى أدبيات إدارة الموارد البشرية الاستراتيجية التي تؤكد أن فعالية ممارسات إدارة المواهب تسهم في تعزيز اندماج الموظفين، مما ينعكس إيجابياً على الأداء التنظيمي (</w:t>
      </w:r>
      <w:r w:rsidRPr="005201F9">
        <w:rPr>
          <w:rFonts w:ascii="Traditional Arabic" w:hAnsi="Traditional Arabic" w:cs="Traditional Arabic"/>
        </w:rPr>
        <w:t xml:space="preserve">Collings et al., 2021; Al </w:t>
      </w:r>
      <w:proofErr w:type="spellStart"/>
      <w:r w:rsidRPr="005201F9">
        <w:rPr>
          <w:rFonts w:ascii="Traditional Arabic" w:hAnsi="Traditional Arabic" w:cs="Traditional Arabic"/>
        </w:rPr>
        <w:t>Ariss</w:t>
      </w:r>
      <w:proofErr w:type="spellEnd"/>
      <w:r w:rsidRPr="005201F9">
        <w:rPr>
          <w:rFonts w:ascii="Traditional Arabic" w:hAnsi="Traditional Arabic" w:cs="Traditional Arabic"/>
        </w:rPr>
        <w:t xml:space="preserve"> et al., 2022</w:t>
      </w:r>
      <w:r w:rsidRPr="005201F9">
        <w:rPr>
          <w:rFonts w:ascii="Traditional Arabic" w:hAnsi="Traditional Arabic" w:cs="Traditional Arabic"/>
          <w:rtl/>
        </w:rPr>
        <w:t>). كما يدعم منظور الموارد القائمة على المنظمة</w:t>
      </w:r>
      <w:r w:rsidR="00034136" w:rsidRPr="005201F9">
        <w:rPr>
          <w:rFonts w:ascii="Traditional Arabic" w:hAnsi="Traditional Arabic" w:cs="Traditional Arabic"/>
          <w:rtl/>
        </w:rPr>
        <w:t xml:space="preserve"> هذا التوجه</w:t>
      </w:r>
      <w:r w:rsidRPr="005201F9">
        <w:rPr>
          <w:rFonts w:ascii="Traditional Arabic" w:hAnsi="Traditional Arabic" w:cs="Traditional Arabic"/>
          <w:rtl/>
        </w:rPr>
        <w:t xml:space="preserve">، </w:t>
      </w:r>
      <w:r w:rsidRPr="005201F9">
        <w:rPr>
          <w:rFonts w:ascii="Traditional Arabic" w:hAnsi="Traditional Arabic" w:cs="Traditional Arabic"/>
        </w:rPr>
        <w:t>Resources Based View</w:t>
      </w:r>
      <w:r w:rsidRPr="005201F9">
        <w:rPr>
          <w:rFonts w:ascii="Traditional Arabic" w:hAnsi="Traditional Arabic" w:cs="Traditional Arabic"/>
          <w:rtl/>
        </w:rPr>
        <w:t xml:space="preserve"> (</w:t>
      </w:r>
      <w:r w:rsidRPr="005201F9">
        <w:rPr>
          <w:rFonts w:ascii="Traditional Arabic" w:hAnsi="Traditional Arabic" w:cs="Traditional Arabic"/>
        </w:rPr>
        <w:t>RBV</w:t>
      </w:r>
      <w:r w:rsidR="00034136" w:rsidRPr="005201F9">
        <w:rPr>
          <w:rFonts w:ascii="Traditional Arabic" w:hAnsi="Traditional Arabic" w:cs="Traditional Arabic"/>
          <w:rtl/>
        </w:rPr>
        <w:t>)،</w:t>
      </w:r>
      <w:r w:rsidRPr="005201F9">
        <w:rPr>
          <w:rFonts w:ascii="Traditional Arabic" w:hAnsi="Traditional Arabic" w:cs="Traditional Arabic"/>
          <w:rtl/>
        </w:rPr>
        <w:t xml:space="preserve"> حيث تُعد الكفاءات البشرية مورداً استراتيجياً يحقق ميزة تنافسية مستدامة عند استثماره بفعالية.</w:t>
      </w:r>
    </w:p>
    <w:p w14:paraId="7FD5ADD7" w14:textId="77777777" w:rsidR="0007781D" w:rsidRPr="005201F9" w:rsidRDefault="0007781D" w:rsidP="005201F9">
      <w:pPr>
        <w:bidi/>
        <w:spacing w:line="360" w:lineRule="auto"/>
        <w:jc w:val="both"/>
        <w:rPr>
          <w:rFonts w:ascii="Traditional Arabic" w:hAnsi="Traditional Arabic" w:cs="Traditional Arabic"/>
          <w:rtl/>
        </w:rPr>
      </w:pPr>
      <w:r w:rsidRPr="005201F9">
        <w:rPr>
          <w:rFonts w:ascii="Traditional Arabic" w:hAnsi="Traditional Arabic" w:cs="Traditional Arabic"/>
          <w:rtl/>
        </w:rPr>
        <w:t>ويتكون نموذج الدراسة من ثلاث متغيرات رئيسة، وهي: إدارة المواهب كمتغير مستقل، واندماج الموظفين كمتغير وسيط، والأداء التنظيمي كمتغير تابع.</w:t>
      </w:r>
    </w:p>
    <w:p w14:paraId="1384EC8D" w14:textId="6D73A347" w:rsidR="0001549B" w:rsidRDefault="0001549B" w:rsidP="005201F9">
      <w:pPr>
        <w:bidi/>
        <w:spacing w:line="360" w:lineRule="auto"/>
        <w:jc w:val="center"/>
        <w:rPr>
          <w:rFonts w:ascii="Traditional Arabic" w:hAnsi="Traditional Arabic" w:cs="Traditional Arabic"/>
          <w:rtl/>
        </w:rPr>
      </w:pPr>
      <w:r w:rsidRPr="005201F9">
        <w:rPr>
          <w:rFonts w:ascii="Traditional Arabic" w:hAnsi="Traditional Arabic" w:cs="Traditional Arabic"/>
          <w:noProof/>
        </w:rPr>
        <w:lastRenderedPageBreak/>
        <w:drawing>
          <wp:inline distT="0" distB="0" distL="0" distR="0" wp14:anchorId="084BD4A1" wp14:editId="4FDB7882">
            <wp:extent cx="3328416" cy="850392"/>
            <wp:effectExtent l="76200" t="76200" r="139065" b="140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8416" cy="8503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EE2704" w14:textId="004FE4EC" w:rsidR="00FE5DC2" w:rsidRPr="005201F9" w:rsidRDefault="004E4893" w:rsidP="00FE5DC2">
      <w:pPr>
        <w:bidi/>
        <w:spacing w:line="360" w:lineRule="auto"/>
        <w:jc w:val="center"/>
        <w:rPr>
          <w:rFonts w:ascii="Traditional Arabic" w:hAnsi="Traditional Arabic" w:cs="Traditional Arabic"/>
          <w:rtl/>
        </w:rPr>
      </w:pPr>
      <w:r>
        <w:rPr>
          <w:rFonts w:ascii="Traditional Arabic" w:hAnsi="Traditional Arabic" w:cs="Traditional Arabic" w:hint="cs"/>
          <w:rtl/>
        </w:rPr>
        <w:t>الشكل1: نموذج الدراسة</w:t>
      </w:r>
    </w:p>
    <w:p w14:paraId="437B13A1" w14:textId="77777777" w:rsidR="0007781D" w:rsidRPr="005201F9" w:rsidRDefault="0007781D" w:rsidP="005201F9">
      <w:pPr>
        <w:bidi/>
        <w:spacing w:line="360" w:lineRule="auto"/>
        <w:rPr>
          <w:rFonts w:ascii="Traditional Arabic" w:hAnsi="Traditional Arabic" w:cs="Traditional Arabic"/>
          <w:rtl/>
        </w:rPr>
      </w:pPr>
    </w:p>
    <w:p w14:paraId="14CFE4CB" w14:textId="77777777" w:rsidR="0007781D" w:rsidRPr="005201F9" w:rsidRDefault="0007781D" w:rsidP="005201F9">
      <w:pPr>
        <w:spacing w:line="360" w:lineRule="auto"/>
        <w:rPr>
          <w:rFonts w:ascii="Traditional Arabic" w:hAnsi="Traditional Arabic" w:cs="Traditional Arabic"/>
        </w:rPr>
      </w:pPr>
    </w:p>
    <w:p w14:paraId="051A54E4" w14:textId="77777777" w:rsidR="001B1D3A" w:rsidRPr="005201F9" w:rsidRDefault="001B1D3A" w:rsidP="005201F9">
      <w:pPr>
        <w:bidi/>
        <w:spacing w:line="360" w:lineRule="auto"/>
        <w:rPr>
          <w:rFonts w:ascii="Traditional Arabic" w:hAnsi="Traditional Arabic" w:cs="Traditional Arabic"/>
          <w:rtl/>
        </w:rPr>
      </w:pPr>
    </w:p>
    <w:p w14:paraId="2E01C07D" w14:textId="77777777" w:rsidR="009A29A2" w:rsidRPr="005201F9" w:rsidRDefault="009A29A2" w:rsidP="005201F9">
      <w:pPr>
        <w:bidi/>
        <w:spacing w:line="360" w:lineRule="auto"/>
        <w:rPr>
          <w:rFonts w:ascii="Traditional Arabic" w:hAnsi="Traditional Arabic" w:cs="Traditional Arabic"/>
          <w:rtl/>
        </w:rPr>
      </w:pPr>
    </w:p>
    <w:p w14:paraId="51525A96" w14:textId="77777777" w:rsidR="00C863A2" w:rsidRDefault="00C863A2" w:rsidP="005201F9">
      <w:pPr>
        <w:bidi/>
        <w:spacing w:after="0" w:line="360" w:lineRule="auto"/>
        <w:jc w:val="both"/>
        <w:rPr>
          <w:rFonts w:ascii="Traditional Arabic" w:hAnsi="Traditional Arabic" w:cs="Traditional Arabic"/>
          <w:b/>
          <w:bCs/>
          <w:sz w:val="28"/>
          <w:szCs w:val="28"/>
          <w:rtl/>
        </w:rPr>
      </w:pPr>
    </w:p>
    <w:p w14:paraId="032569AC" w14:textId="77777777" w:rsidR="00C863A2" w:rsidRDefault="00C863A2" w:rsidP="00C863A2">
      <w:pPr>
        <w:bidi/>
        <w:spacing w:after="0" w:line="360" w:lineRule="auto"/>
        <w:jc w:val="both"/>
        <w:rPr>
          <w:rFonts w:ascii="Traditional Arabic" w:hAnsi="Traditional Arabic" w:cs="Traditional Arabic"/>
          <w:b/>
          <w:bCs/>
          <w:sz w:val="28"/>
          <w:szCs w:val="28"/>
          <w:rtl/>
        </w:rPr>
      </w:pPr>
    </w:p>
    <w:p w14:paraId="1DC680DE" w14:textId="77777777" w:rsidR="00C863A2" w:rsidRDefault="00C863A2" w:rsidP="00C863A2">
      <w:pPr>
        <w:bidi/>
        <w:spacing w:after="0" w:line="360" w:lineRule="auto"/>
        <w:jc w:val="both"/>
        <w:rPr>
          <w:rFonts w:ascii="Traditional Arabic" w:hAnsi="Traditional Arabic" w:cs="Traditional Arabic"/>
          <w:b/>
          <w:bCs/>
          <w:sz w:val="28"/>
          <w:szCs w:val="28"/>
          <w:rtl/>
        </w:rPr>
      </w:pPr>
    </w:p>
    <w:p w14:paraId="3FB4DE55" w14:textId="77777777" w:rsidR="00C863A2" w:rsidRDefault="00C863A2" w:rsidP="00C863A2">
      <w:pPr>
        <w:bidi/>
        <w:spacing w:after="0" w:line="360" w:lineRule="auto"/>
        <w:jc w:val="both"/>
        <w:rPr>
          <w:rFonts w:ascii="Traditional Arabic" w:hAnsi="Traditional Arabic" w:cs="Traditional Arabic"/>
          <w:b/>
          <w:bCs/>
          <w:sz w:val="28"/>
          <w:szCs w:val="28"/>
          <w:rtl/>
        </w:rPr>
      </w:pPr>
    </w:p>
    <w:p w14:paraId="72CB3911" w14:textId="77777777" w:rsidR="000278BF" w:rsidRPr="005201F9" w:rsidRDefault="000278BF" w:rsidP="005201F9">
      <w:pPr>
        <w:bidi/>
        <w:spacing w:line="360" w:lineRule="auto"/>
        <w:rPr>
          <w:rFonts w:ascii="Traditional Arabic" w:hAnsi="Traditional Arabic" w:cs="Traditional Arabic"/>
          <w:rtl/>
        </w:rPr>
      </w:pPr>
    </w:p>
    <w:p w14:paraId="2A3E07BC" w14:textId="77777777" w:rsidR="001B1D3A" w:rsidRPr="005201F9" w:rsidRDefault="001B1D3A" w:rsidP="005201F9">
      <w:pPr>
        <w:bidi/>
        <w:spacing w:line="360" w:lineRule="auto"/>
        <w:rPr>
          <w:rFonts w:ascii="Traditional Arabic" w:hAnsi="Traditional Arabic" w:cs="Traditional Arabic"/>
          <w:rtl/>
        </w:rPr>
      </w:pPr>
    </w:p>
    <w:p w14:paraId="76B1EA5B" w14:textId="77777777" w:rsidR="00A30BAD" w:rsidRPr="005201F9" w:rsidRDefault="00A30BAD" w:rsidP="005201F9">
      <w:pPr>
        <w:bidi/>
        <w:spacing w:line="360" w:lineRule="auto"/>
        <w:rPr>
          <w:rFonts w:ascii="Traditional Arabic" w:hAnsi="Traditional Arabic" w:cs="Traditional Arabic"/>
          <w:rtl/>
        </w:rPr>
      </w:pPr>
    </w:p>
    <w:p w14:paraId="1481308A" w14:textId="77777777" w:rsidR="007253BD" w:rsidRDefault="007253BD" w:rsidP="005201F9">
      <w:pPr>
        <w:bidi/>
        <w:spacing w:line="360" w:lineRule="auto"/>
        <w:rPr>
          <w:rFonts w:ascii="Traditional Arabic" w:hAnsi="Traditional Arabic" w:cs="Traditional Arabic"/>
          <w:b/>
          <w:bCs/>
          <w:sz w:val="32"/>
          <w:szCs w:val="32"/>
          <w:rtl/>
        </w:rPr>
      </w:pPr>
    </w:p>
    <w:p w14:paraId="36ED63CC" w14:textId="77777777" w:rsidR="007253BD" w:rsidRDefault="007253BD" w:rsidP="007253BD">
      <w:pPr>
        <w:bidi/>
        <w:spacing w:line="360" w:lineRule="auto"/>
        <w:rPr>
          <w:rFonts w:ascii="Traditional Arabic" w:hAnsi="Traditional Arabic" w:cs="Traditional Arabic"/>
          <w:b/>
          <w:bCs/>
          <w:sz w:val="32"/>
          <w:szCs w:val="32"/>
          <w:rtl/>
        </w:rPr>
      </w:pPr>
    </w:p>
    <w:p w14:paraId="2BF0EED6" w14:textId="77777777" w:rsidR="007253BD" w:rsidRDefault="007253BD" w:rsidP="007253BD">
      <w:pPr>
        <w:bidi/>
        <w:spacing w:line="360" w:lineRule="auto"/>
        <w:rPr>
          <w:rFonts w:ascii="Traditional Arabic" w:hAnsi="Traditional Arabic" w:cs="Traditional Arabic"/>
          <w:b/>
          <w:bCs/>
          <w:sz w:val="32"/>
          <w:szCs w:val="32"/>
          <w:rtl/>
        </w:rPr>
      </w:pPr>
    </w:p>
    <w:p w14:paraId="37CF01CC" w14:textId="77777777" w:rsidR="007253BD" w:rsidRDefault="007253BD" w:rsidP="007253BD">
      <w:pPr>
        <w:bidi/>
        <w:spacing w:line="360" w:lineRule="auto"/>
        <w:rPr>
          <w:rFonts w:ascii="Traditional Arabic" w:hAnsi="Traditional Arabic" w:cs="Traditional Arabic"/>
          <w:b/>
          <w:bCs/>
          <w:sz w:val="32"/>
          <w:szCs w:val="32"/>
          <w:rtl/>
        </w:rPr>
      </w:pPr>
    </w:p>
    <w:p w14:paraId="4947705B" w14:textId="6D78367B" w:rsidR="00E30EA5" w:rsidRPr="007253BD" w:rsidRDefault="00E712CB" w:rsidP="00226EAB">
      <w:pPr>
        <w:bidi/>
        <w:spacing w:line="360" w:lineRule="auto"/>
        <w:jc w:val="center"/>
        <w:rPr>
          <w:rFonts w:ascii="Traditional Arabic" w:hAnsi="Traditional Arabic" w:cs="Traditional Arabic"/>
          <w:b/>
          <w:bCs/>
          <w:sz w:val="32"/>
          <w:szCs w:val="32"/>
          <w:rtl/>
        </w:rPr>
      </w:pPr>
      <w:r w:rsidRPr="007253BD">
        <w:rPr>
          <w:rFonts w:ascii="Traditional Arabic" w:hAnsi="Traditional Arabic" w:cs="Traditional Arabic"/>
          <w:b/>
          <w:bCs/>
          <w:sz w:val="32"/>
          <w:szCs w:val="32"/>
          <w:rtl/>
        </w:rPr>
        <w:lastRenderedPageBreak/>
        <w:t>المراجع</w:t>
      </w:r>
      <w:r w:rsidR="00F26A4A" w:rsidRPr="007253BD">
        <w:rPr>
          <w:rFonts w:ascii="Traditional Arabic" w:hAnsi="Traditional Arabic" w:cs="Traditional Arabic"/>
          <w:b/>
          <w:bCs/>
          <w:sz w:val="32"/>
          <w:szCs w:val="32"/>
          <w:rtl/>
        </w:rPr>
        <w:t xml:space="preserve"> والدراسات الأدبية</w:t>
      </w:r>
    </w:p>
    <w:p w14:paraId="6545AEA0" w14:textId="77777777" w:rsidR="00D26B97" w:rsidRPr="007253BD" w:rsidRDefault="00D26B97" w:rsidP="005201F9">
      <w:pPr>
        <w:bidi/>
        <w:spacing w:after="0" w:line="360" w:lineRule="auto"/>
        <w:rPr>
          <w:rFonts w:ascii="Traditional Arabic" w:hAnsi="Traditional Arabic" w:cs="Traditional Arabic"/>
          <w:b/>
          <w:bCs/>
          <w:sz w:val="28"/>
          <w:szCs w:val="28"/>
          <w:rtl/>
        </w:rPr>
      </w:pPr>
      <w:r w:rsidRPr="007253BD">
        <w:rPr>
          <w:rFonts w:ascii="Traditional Arabic" w:hAnsi="Traditional Arabic" w:cs="Traditional Arabic"/>
          <w:b/>
          <w:bCs/>
          <w:sz w:val="28"/>
          <w:szCs w:val="28"/>
          <w:rtl/>
        </w:rPr>
        <w:t>المراجع العربية:</w:t>
      </w:r>
    </w:p>
    <w:p w14:paraId="3D4917D4"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الأيوبي، م. م. ع.، &amp; سلمان، م. ح. (2020). إدارة المواهب كمدخل إلى تطوير الأداء المؤسسي في الكليات التقنية بقطاع غزة.</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المجلة العربية لضمان جودة التعليم الجامعي</w:t>
      </w:r>
      <w:r w:rsidRPr="005201F9">
        <w:rPr>
          <w:rFonts w:ascii="Traditional Arabic" w:hAnsi="Traditional Arabic" w:cs="Traditional Arabic"/>
          <w:rtl/>
        </w:rPr>
        <w:t>، 13(45).</w:t>
      </w:r>
      <w:r w:rsidRPr="005201F9">
        <w:rPr>
          <w:rFonts w:ascii="Traditional Arabic" w:hAnsi="Traditional Arabic" w:cs="Traditional Arabic"/>
        </w:rPr>
        <w:br/>
      </w:r>
      <w:hyperlink r:id="rId10" w:history="1">
        <w:r w:rsidRPr="005201F9">
          <w:rPr>
            <w:rStyle w:val="Hyperlink"/>
            <w:rFonts w:ascii="Traditional Arabic" w:hAnsi="Traditional Arabic" w:cs="Traditional Arabic"/>
          </w:rPr>
          <w:t>https://search.shamaa.org/PDF/Articles/YEAjqahe/45AjqaheVol13No45Y2020/ajqahe_2020-v13-n45_065-096.pdf</w:t>
        </w:r>
      </w:hyperlink>
    </w:p>
    <w:p w14:paraId="3823E27A"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أبو جامع، إ. أ.، بنات، س. ي.، &amp; وهبة، ف. ع. (2023). مستوى إدارة مواهب الموارد البشرية في الجامعات الأردنية الخاصة في ظل العصر الرقمي. </w:t>
      </w:r>
      <w:r w:rsidRPr="005201F9">
        <w:rPr>
          <w:rFonts w:ascii="Traditional Arabic" w:hAnsi="Traditional Arabic" w:cs="Traditional Arabic"/>
          <w:b/>
          <w:bCs/>
          <w:i/>
          <w:iCs/>
        </w:rPr>
        <w:t>Journal of Educational and Psychological Sciences</w:t>
      </w:r>
      <w:r w:rsidRPr="005201F9">
        <w:rPr>
          <w:rFonts w:ascii="Traditional Arabic" w:hAnsi="Traditional Arabic" w:cs="Traditional Arabic"/>
          <w:b/>
          <w:bCs/>
        </w:rPr>
        <w:t>,</w:t>
      </w:r>
      <w:r w:rsidRPr="005201F9">
        <w:rPr>
          <w:rFonts w:ascii="Traditional Arabic" w:hAnsi="Traditional Arabic" w:cs="Traditional Arabic"/>
        </w:rPr>
        <w:t xml:space="preserve"> 7(3)</w:t>
      </w:r>
      <w:r w:rsidRPr="005201F9">
        <w:rPr>
          <w:rFonts w:ascii="Traditional Arabic" w:hAnsi="Traditional Arabic" w:cs="Traditional Arabic"/>
          <w:rtl/>
        </w:rPr>
        <w:t>.</w:t>
      </w:r>
    </w:p>
    <w:p w14:paraId="53B44094" w14:textId="77777777" w:rsidR="00D26B97" w:rsidRPr="005201F9" w:rsidRDefault="00000000" w:rsidP="005201F9">
      <w:pPr>
        <w:bidi/>
        <w:spacing w:after="0" w:line="360" w:lineRule="auto"/>
        <w:rPr>
          <w:rFonts w:ascii="Traditional Arabic" w:hAnsi="Traditional Arabic" w:cs="Traditional Arabic"/>
          <w:rtl/>
        </w:rPr>
      </w:pPr>
      <w:hyperlink r:id="rId11" w:history="1">
        <w:r w:rsidR="00D26B97" w:rsidRPr="005201F9">
          <w:rPr>
            <w:rStyle w:val="Hyperlink"/>
            <w:rFonts w:ascii="Traditional Arabic" w:hAnsi="Traditional Arabic" w:cs="Traditional Arabic"/>
          </w:rPr>
          <w:t>https://www.journals.ajsrp.com/index.php/jeps/article/download/6050/5795</w:t>
        </w:r>
      </w:hyperlink>
    </w:p>
    <w:p w14:paraId="451E5AF0"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الحربي، س. ب. غ.، &amp; جعفري، ع. ب. ع. (2022). أثر إدارة المواهب على التعاقب الوظيفي في القطاع الصحي (الشؤون الصحية بالرياض). </w:t>
      </w:r>
      <w:r w:rsidRPr="005201F9">
        <w:rPr>
          <w:rFonts w:ascii="Traditional Arabic" w:hAnsi="Traditional Arabic" w:cs="Traditional Arabic"/>
          <w:b/>
          <w:bCs/>
          <w:i/>
          <w:iCs/>
          <w:rtl/>
        </w:rPr>
        <w:t>المجلة العلمية للبحوث والدراسات التجارية</w:t>
      </w:r>
      <w:r w:rsidRPr="005201F9">
        <w:rPr>
          <w:rFonts w:ascii="Traditional Arabic" w:hAnsi="Traditional Arabic" w:cs="Traditional Arabic"/>
          <w:b/>
          <w:bCs/>
          <w:rtl/>
        </w:rPr>
        <w:t>،</w:t>
      </w:r>
      <w:r w:rsidRPr="005201F9">
        <w:rPr>
          <w:rFonts w:ascii="Traditional Arabic" w:hAnsi="Traditional Arabic" w:cs="Traditional Arabic"/>
          <w:rtl/>
        </w:rPr>
        <w:t xml:space="preserve"> 36(4).</w:t>
      </w:r>
    </w:p>
    <w:p w14:paraId="3893759D" w14:textId="77777777" w:rsidR="00D26B97" w:rsidRPr="005201F9" w:rsidRDefault="00000000" w:rsidP="005201F9">
      <w:pPr>
        <w:bidi/>
        <w:spacing w:after="0" w:line="360" w:lineRule="auto"/>
        <w:rPr>
          <w:rFonts w:ascii="Traditional Arabic" w:hAnsi="Traditional Arabic" w:cs="Traditional Arabic"/>
          <w:rtl/>
        </w:rPr>
      </w:pPr>
      <w:hyperlink r:id="rId12" w:history="1">
        <w:r w:rsidR="00D26B97" w:rsidRPr="005201F9">
          <w:rPr>
            <w:rStyle w:val="Hyperlink"/>
            <w:rFonts w:ascii="Traditional Arabic" w:hAnsi="Traditional Arabic" w:cs="Traditional Arabic"/>
          </w:rPr>
          <w:t>https://sjrbs.journals.ekb.eg/article_274096_7f82f33deb578578145798409abd7fdf.pdf</w:t>
        </w:r>
      </w:hyperlink>
    </w:p>
    <w:p w14:paraId="0C13EC5E"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الرشيدي، ي. خ. ح. (2024). دور تطبيق استراتيجيات إدارة المواهب في تحقيق التميز المؤسسي: دراسة تطبيقية على وزارة التربية بدولة الكويت. </w:t>
      </w:r>
      <w:r w:rsidRPr="005201F9">
        <w:rPr>
          <w:rFonts w:ascii="Traditional Arabic" w:hAnsi="Traditional Arabic" w:cs="Traditional Arabic"/>
          <w:b/>
          <w:bCs/>
          <w:i/>
          <w:iCs/>
          <w:rtl/>
        </w:rPr>
        <w:t>المجلة التربوية، كلية التربية، جامعة سوهاج.</w:t>
      </w:r>
    </w:p>
    <w:p w14:paraId="735F8DF0" w14:textId="77777777" w:rsidR="00D26B97" w:rsidRPr="005201F9" w:rsidRDefault="00000000" w:rsidP="005201F9">
      <w:pPr>
        <w:bidi/>
        <w:spacing w:after="0" w:line="360" w:lineRule="auto"/>
        <w:rPr>
          <w:rFonts w:ascii="Traditional Arabic" w:hAnsi="Traditional Arabic" w:cs="Traditional Arabic"/>
          <w:rtl/>
        </w:rPr>
      </w:pPr>
      <w:hyperlink r:id="rId13" w:history="1">
        <w:r w:rsidR="00D26B97" w:rsidRPr="005201F9">
          <w:rPr>
            <w:rStyle w:val="Hyperlink"/>
            <w:rFonts w:ascii="Traditional Arabic" w:hAnsi="Traditional Arabic" w:cs="Traditional Arabic"/>
          </w:rPr>
          <w:t>https://edusohag.journals.ekb.eg/article_380780_471cf5c517c641b0abff4846e2bcfc0b.pdf</w:t>
        </w:r>
      </w:hyperlink>
    </w:p>
    <w:p w14:paraId="33D52E71"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الشهري، ف. ع. (2022). دور إدارة المواهب في تعزيز الأداء الإبداعي في وزارة الخارجية بمدينة جدة لعام 2022.</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مجلة العلوم الاقتصادية والإدارية والقانونية</w:t>
      </w:r>
      <w:r w:rsidRPr="005201F9">
        <w:rPr>
          <w:rFonts w:ascii="Traditional Arabic" w:hAnsi="Traditional Arabic" w:cs="Traditional Arabic"/>
          <w:b/>
          <w:bCs/>
          <w:rtl/>
        </w:rPr>
        <w:t>،</w:t>
      </w:r>
      <w:r w:rsidRPr="005201F9">
        <w:rPr>
          <w:rFonts w:ascii="Traditional Arabic" w:hAnsi="Traditional Arabic" w:cs="Traditional Arabic"/>
          <w:rtl/>
        </w:rPr>
        <w:t xml:space="preserve"> 6(21)، 119–144.</w:t>
      </w:r>
    </w:p>
    <w:p w14:paraId="14638171" w14:textId="77777777" w:rsidR="00D26B97" w:rsidRPr="005201F9" w:rsidRDefault="00000000" w:rsidP="005201F9">
      <w:pPr>
        <w:bidi/>
        <w:spacing w:after="0" w:line="360" w:lineRule="auto"/>
        <w:rPr>
          <w:rFonts w:ascii="Traditional Arabic" w:hAnsi="Traditional Arabic" w:cs="Traditional Arabic"/>
          <w:rtl/>
        </w:rPr>
      </w:pPr>
      <w:hyperlink r:id="rId14" w:history="1">
        <w:r w:rsidR="00D26B97" w:rsidRPr="005201F9">
          <w:rPr>
            <w:rStyle w:val="Hyperlink"/>
            <w:rFonts w:ascii="Traditional Arabic" w:hAnsi="Traditional Arabic" w:cs="Traditional Arabic"/>
          </w:rPr>
          <w:t>https://www.journals.ajsrp.com/index.php/jeals/article/download/5516/5260</w:t>
        </w:r>
      </w:hyperlink>
    </w:p>
    <w:p w14:paraId="48697E1A" w14:textId="77777777" w:rsidR="00D26B97" w:rsidRPr="005201F9" w:rsidRDefault="00D26B97" w:rsidP="005201F9">
      <w:pPr>
        <w:bidi/>
        <w:spacing w:after="0" w:line="360" w:lineRule="auto"/>
        <w:rPr>
          <w:rFonts w:ascii="Traditional Arabic" w:hAnsi="Traditional Arabic" w:cs="Traditional Arabic"/>
          <w:b/>
          <w:bCs/>
          <w:rtl/>
        </w:rPr>
      </w:pPr>
      <w:r w:rsidRPr="005201F9">
        <w:rPr>
          <w:rFonts w:ascii="Traditional Arabic" w:hAnsi="Traditional Arabic" w:cs="Traditional Arabic"/>
          <w:rtl/>
        </w:rPr>
        <w:t>العتيبي، ر. ب. غ. ا. (2024). علاقة إدارة المواهب في تعزيز السلوك الإبداعي لدى العاملين بشركة الاتصالات السعودية "موبايلي</w:t>
      </w:r>
      <w:r w:rsidRPr="005201F9">
        <w:rPr>
          <w:rFonts w:ascii="Traditional Arabic" w:hAnsi="Traditional Arabic" w:cs="Traditional Arabic"/>
          <w:b/>
          <w:bCs/>
          <w:rtl/>
        </w:rPr>
        <w:t>".</w:t>
      </w:r>
      <w:r w:rsidRPr="005201F9">
        <w:rPr>
          <w:rFonts w:ascii="Traditional Arabic" w:hAnsi="Traditional Arabic" w:cs="Traditional Arabic"/>
          <w:b/>
          <w:bCs/>
          <w:i/>
          <w:iCs/>
          <w:rtl/>
        </w:rPr>
        <w:t xml:space="preserve"> جامعة شقراء، كلية العلوم والدراسات الإنسانية.</w:t>
      </w:r>
    </w:p>
    <w:p w14:paraId="1217922D" w14:textId="77777777" w:rsidR="00D26B97" w:rsidRPr="005201F9" w:rsidRDefault="00000000" w:rsidP="005201F9">
      <w:pPr>
        <w:bidi/>
        <w:spacing w:after="0" w:line="360" w:lineRule="auto"/>
        <w:rPr>
          <w:rFonts w:ascii="Traditional Arabic" w:hAnsi="Traditional Arabic" w:cs="Traditional Arabic"/>
          <w:rtl/>
        </w:rPr>
      </w:pPr>
      <w:hyperlink r:id="rId15" w:history="1">
        <w:r w:rsidR="00D26B97" w:rsidRPr="005201F9">
          <w:rPr>
            <w:rStyle w:val="Hyperlink"/>
            <w:rFonts w:ascii="Traditional Arabic" w:hAnsi="Traditional Arabic" w:cs="Traditional Arabic"/>
          </w:rPr>
          <w:t>https://www.jces.journals.ekb.eg/article_390228_98d1a33235382d190451148efea3c59d.pdf</w:t>
        </w:r>
      </w:hyperlink>
    </w:p>
    <w:p w14:paraId="2D4F7CF3"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الكيلاني، ر. خ.، وهبة، م.، &amp; الخولي، س. (2021). أثر إدارة المواهب على الأداء المؤسسي (دراسة تطبيقية على هيئة أبحاث العلوم الطبيعية والتكنولوجيا).</w:t>
      </w:r>
    </w:p>
    <w:p w14:paraId="5D793D62" w14:textId="77777777" w:rsidR="00D26B97" w:rsidRPr="005201F9" w:rsidRDefault="00000000" w:rsidP="005201F9">
      <w:pPr>
        <w:bidi/>
        <w:spacing w:after="0" w:line="360" w:lineRule="auto"/>
        <w:rPr>
          <w:rFonts w:ascii="Traditional Arabic" w:hAnsi="Traditional Arabic" w:cs="Traditional Arabic"/>
          <w:rtl/>
        </w:rPr>
      </w:pPr>
      <w:hyperlink r:id="rId16" w:history="1">
        <w:r w:rsidR="00D26B97" w:rsidRPr="005201F9">
          <w:rPr>
            <w:rStyle w:val="Hyperlink"/>
            <w:rFonts w:ascii="Traditional Arabic" w:hAnsi="Traditional Arabic" w:cs="Traditional Arabic"/>
          </w:rPr>
          <w:t>https://jces.journals.ekb.eg/article_168682_eecafa389d3a4360904413163ed6e2b8.pdf</w:t>
        </w:r>
      </w:hyperlink>
    </w:p>
    <w:p w14:paraId="0F34C0E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lastRenderedPageBreak/>
        <w:t xml:space="preserve">عبد الرحمن، ن. ع. ر.، شحته، ر. ع. م.، &amp; الطبال، ع. ا. ع. ا. (2022). الاتجاهات الحديثة في إدارة الموارد البشرية: مدخل إدارة المواهب "دراسة نظرية". </w:t>
      </w:r>
      <w:r w:rsidRPr="005201F9">
        <w:rPr>
          <w:rFonts w:ascii="Traditional Arabic" w:hAnsi="Traditional Arabic" w:cs="Traditional Arabic"/>
          <w:b/>
          <w:bCs/>
          <w:i/>
          <w:iCs/>
          <w:rtl/>
        </w:rPr>
        <w:t>مجلة البحوث الإدارية والمالية والكمية</w:t>
      </w:r>
      <w:r w:rsidRPr="005201F9">
        <w:rPr>
          <w:rFonts w:ascii="Traditional Arabic" w:hAnsi="Traditional Arabic" w:cs="Traditional Arabic"/>
          <w:b/>
          <w:bCs/>
          <w:rtl/>
        </w:rPr>
        <w:t xml:space="preserve">. </w:t>
      </w:r>
    </w:p>
    <w:p w14:paraId="75D931C3" w14:textId="77777777" w:rsidR="00D26B97" w:rsidRPr="005201F9" w:rsidRDefault="00000000" w:rsidP="005201F9">
      <w:pPr>
        <w:bidi/>
        <w:spacing w:after="0" w:line="360" w:lineRule="auto"/>
        <w:rPr>
          <w:rFonts w:ascii="Traditional Arabic" w:hAnsi="Traditional Arabic" w:cs="Traditional Arabic"/>
          <w:rtl/>
        </w:rPr>
      </w:pPr>
      <w:hyperlink r:id="rId17" w:history="1">
        <w:r w:rsidR="00D26B97" w:rsidRPr="005201F9">
          <w:rPr>
            <w:rStyle w:val="Hyperlink"/>
            <w:rFonts w:ascii="Traditional Arabic" w:hAnsi="Traditional Arabic" w:cs="Traditional Arabic"/>
          </w:rPr>
          <w:t>https://safq.journals.ekb.eg/article_229990.html</w:t>
        </w:r>
      </w:hyperlink>
    </w:p>
    <w:p w14:paraId="2856E97F"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عبد الهادي، ج. م. (2020). أثر إدارة المواهب على تحسين الأداء الوظيفي: دراسة تطبيقية على الشركة المصرية للاتصالات.</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المجلة العلمية للدراسات التجارية والبيئية.</w:t>
      </w:r>
      <w:r w:rsidRPr="005201F9">
        <w:rPr>
          <w:rFonts w:ascii="Traditional Arabic" w:hAnsi="Traditional Arabic" w:cs="Traditional Arabic"/>
        </w:rPr>
        <w:br/>
      </w:r>
      <w:hyperlink r:id="rId18" w:history="1">
        <w:r w:rsidRPr="005201F9">
          <w:rPr>
            <w:rStyle w:val="Hyperlink"/>
            <w:rFonts w:ascii="Traditional Arabic" w:hAnsi="Traditional Arabic" w:cs="Traditional Arabic"/>
          </w:rPr>
          <w:t>https://journals.ekb.eg/article_143664.html</w:t>
        </w:r>
      </w:hyperlink>
    </w:p>
    <w:p w14:paraId="2948771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مهدي، ش. م. إ. (2023). أثر الالتزام التنظيمي على العلاقة بين ممارسات إدارة المواهب والأداء الوظيفي: دراسة تطبيقية على العاملين بالتمريض في المستشفيات التعليمية في مصر. </w:t>
      </w:r>
      <w:r w:rsidRPr="005201F9">
        <w:rPr>
          <w:rFonts w:ascii="Traditional Arabic" w:hAnsi="Traditional Arabic" w:cs="Traditional Arabic"/>
          <w:b/>
          <w:bCs/>
          <w:i/>
          <w:iCs/>
          <w:rtl/>
        </w:rPr>
        <w:t>المجلة العلمية للدراسات والبحوث المالية والتجارية</w:t>
      </w:r>
      <w:r w:rsidRPr="005201F9">
        <w:rPr>
          <w:rFonts w:ascii="Traditional Arabic" w:hAnsi="Traditional Arabic" w:cs="Traditional Arabic"/>
          <w:rtl/>
        </w:rPr>
        <w:t>، 4(1)، 497–546.</w:t>
      </w:r>
    </w:p>
    <w:p w14:paraId="5C0D91E8" w14:textId="77777777" w:rsidR="00D26B97" w:rsidRPr="005201F9" w:rsidRDefault="00000000" w:rsidP="005201F9">
      <w:pPr>
        <w:bidi/>
        <w:spacing w:after="0" w:line="360" w:lineRule="auto"/>
        <w:rPr>
          <w:rFonts w:ascii="Traditional Arabic" w:hAnsi="Traditional Arabic" w:cs="Traditional Arabic"/>
          <w:rtl/>
        </w:rPr>
      </w:pPr>
      <w:hyperlink r:id="rId19" w:history="1">
        <w:r w:rsidR="00D26B97" w:rsidRPr="005201F9">
          <w:rPr>
            <w:rStyle w:val="Hyperlink"/>
            <w:rFonts w:ascii="Traditional Arabic" w:hAnsi="Traditional Arabic" w:cs="Traditional Arabic"/>
          </w:rPr>
          <w:t>https://cfdj.journals.ekb.eg/article_259980_dd499ee2ce5f82cd597a60197262f2d7.pdf</w:t>
        </w:r>
      </w:hyperlink>
    </w:p>
    <w:p w14:paraId="0FA3685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يوسف، د. ط. م. (2022). آليات تفعيل إدارة المواهب للقيادات الإدارية بجامعة المنيا على ضوء مدخل التطوير التنظيمي. </w:t>
      </w:r>
      <w:r w:rsidRPr="005201F9">
        <w:rPr>
          <w:rFonts w:ascii="Traditional Arabic" w:hAnsi="Traditional Arabic" w:cs="Traditional Arabic"/>
          <w:b/>
          <w:bCs/>
          <w:i/>
          <w:iCs/>
          <w:rtl/>
        </w:rPr>
        <w:t>دراسات تربوية واجتماعية،</w:t>
      </w:r>
      <w:r w:rsidRPr="005201F9">
        <w:rPr>
          <w:rFonts w:ascii="Traditional Arabic" w:hAnsi="Traditional Arabic" w:cs="Traditional Arabic"/>
          <w:rtl/>
        </w:rPr>
        <w:t xml:space="preserve"> 28(12)، 99–226.</w:t>
      </w:r>
      <w:r w:rsidRPr="005201F9">
        <w:rPr>
          <w:rFonts w:ascii="Traditional Arabic" w:hAnsi="Traditional Arabic" w:cs="Traditional Arabic"/>
        </w:rPr>
        <w:br/>
      </w:r>
      <w:hyperlink r:id="rId20" w:history="1">
        <w:r w:rsidRPr="005201F9">
          <w:rPr>
            <w:rStyle w:val="Hyperlink"/>
            <w:rFonts w:ascii="Traditional Arabic" w:hAnsi="Traditional Arabic" w:cs="Traditional Arabic"/>
          </w:rPr>
          <w:t>https://search.shamaa.org/PDF/Articles/EGDti/DtiVol28No12P4Y2022/dti_2022-v28-n12-p4_099-226.pdf</w:t>
        </w:r>
      </w:hyperlink>
    </w:p>
    <w:p w14:paraId="0AE6C380" w14:textId="77777777" w:rsidR="00D26B97" w:rsidRPr="005201F9" w:rsidRDefault="00D26B97" w:rsidP="005201F9">
      <w:pPr>
        <w:bidi/>
        <w:spacing w:after="0" w:line="360" w:lineRule="auto"/>
        <w:rPr>
          <w:rFonts w:ascii="Traditional Arabic" w:hAnsi="Traditional Arabic" w:cs="Traditional Arabic"/>
          <w:rtl/>
        </w:rPr>
      </w:pPr>
    </w:p>
    <w:p w14:paraId="1C864A83" w14:textId="77777777" w:rsidR="00D26B97" w:rsidRPr="007253BD" w:rsidRDefault="00D26B97" w:rsidP="005201F9">
      <w:pPr>
        <w:bidi/>
        <w:spacing w:line="360" w:lineRule="auto"/>
        <w:rPr>
          <w:rFonts w:ascii="Traditional Arabic" w:hAnsi="Traditional Arabic" w:cs="Traditional Arabic"/>
          <w:b/>
          <w:bCs/>
          <w:sz w:val="28"/>
          <w:szCs w:val="28"/>
          <w:rtl/>
        </w:rPr>
      </w:pPr>
      <w:r w:rsidRPr="007253BD">
        <w:rPr>
          <w:rFonts w:ascii="Traditional Arabic" w:hAnsi="Traditional Arabic" w:cs="Traditional Arabic"/>
          <w:b/>
          <w:bCs/>
          <w:sz w:val="28"/>
          <w:szCs w:val="28"/>
          <w:rtl/>
        </w:rPr>
        <w:t>المراجع الأجنبية</w:t>
      </w:r>
    </w:p>
    <w:p w14:paraId="076F1FF3" w14:textId="77777777" w:rsidR="00D26B97" w:rsidRPr="005201F9" w:rsidRDefault="00D26B97" w:rsidP="005201F9">
      <w:pPr>
        <w:bidi/>
        <w:spacing w:line="360" w:lineRule="auto"/>
        <w:jc w:val="right"/>
        <w:rPr>
          <w:rFonts w:ascii="Traditional Arabic" w:hAnsi="Traditional Arabic" w:cs="Traditional Arabic"/>
          <w:b/>
          <w:bCs/>
        </w:rPr>
      </w:pPr>
    </w:p>
    <w:p w14:paraId="4D29561D"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Al Aina, R., &amp; </w:t>
      </w:r>
      <w:proofErr w:type="spellStart"/>
      <w:r w:rsidRPr="00746944">
        <w:rPr>
          <w:rFonts w:asciiTheme="majorBidi" w:hAnsiTheme="majorBidi" w:cstheme="majorBidi"/>
        </w:rPr>
        <w:t>Atan</w:t>
      </w:r>
      <w:proofErr w:type="spellEnd"/>
      <w:r w:rsidRPr="00746944">
        <w:rPr>
          <w:rFonts w:asciiTheme="majorBidi" w:hAnsiTheme="majorBidi" w:cstheme="majorBidi"/>
        </w:rPr>
        <w:t xml:space="preserve">, T. (2020). The impact of implementing talent management practices on sustainable organizational performance. </w:t>
      </w:r>
      <w:r w:rsidRPr="00746944">
        <w:rPr>
          <w:rFonts w:asciiTheme="majorBidi" w:hAnsiTheme="majorBidi" w:cstheme="majorBidi"/>
          <w:b/>
          <w:bCs/>
          <w:i/>
          <w:iCs/>
        </w:rPr>
        <w:t>Sustainability.</w:t>
      </w:r>
    </w:p>
    <w:p w14:paraId="45D97026" w14:textId="77777777" w:rsidR="00D26B97" w:rsidRPr="00746944" w:rsidRDefault="00000000" w:rsidP="00746944">
      <w:pPr>
        <w:spacing w:line="360" w:lineRule="auto"/>
        <w:rPr>
          <w:rFonts w:asciiTheme="majorBidi" w:hAnsiTheme="majorBidi" w:cstheme="majorBidi"/>
          <w:rtl/>
        </w:rPr>
      </w:pPr>
      <w:hyperlink r:id="rId21" w:history="1">
        <w:r w:rsidR="00D26B97" w:rsidRPr="00746944">
          <w:rPr>
            <w:rStyle w:val="Hyperlink"/>
            <w:rFonts w:asciiTheme="majorBidi" w:hAnsiTheme="majorBidi" w:cstheme="majorBidi"/>
          </w:rPr>
          <w:t>https://www.mdpi.com/2071-1050/12/20/8372</w:t>
        </w:r>
      </w:hyperlink>
    </w:p>
    <w:p w14:paraId="41B044EF"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Al </w:t>
      </w:r>
      <w:proofErr w:type="spellStart"/>
      <w:r w:rsidRPr="00746944">
        <w:rPr>
          <w:rFonts w:asciiTheme="majorBidi" w:hAnsiTheme="majorBidi" w:cstheme="majorBidi"/>
        </w:rPr>
        <w:t>Ariss</w:t>
      </w:r>
      <w:proofErr w:type="spellEnd"/>
      <w:r w:rsidRPr="00746944">
        <w:rPr>
          <w:rFonts w:asciiTheme="majorBidi" w:hAnsiTheme="majorBidi" w:cstheme="majorBidi"/>
        </w:rPr>
        <w:t xml:space="preserve">, A., Cascio, W. F., &amp; Paauwe, J. (2014). Talent management: Current theories and future research directions. </w:t>
      </w:r>
      <w:r w:rsidRPr="00746944">
        <w:rPr>
          <w:rFonts w:asciiTheme="majorBidi" w:hAnsiTheme="majorBidi" w:cstheme="majorBidi"/>
          <w:b/>
          <w:bCs/>
          <w:i/>
          <w:iCs/>
        </w:rPr>
        <w:t>Journal of World Business</w:t>
      </w:r>
      <w:r w:rsidRPr="00746944">
        <w:rPr>
          <w:rFonts w:asciiTheme="majorBidi" w:hAnsiTheme="majorBidi" w:cstheme="majorBidi"/>
        </w:rPr>
        <w:t xml:space="preserve">, 49(2), 173–179. </w:t>
      </w:r>
    </w:p>
    <w:p w14:paraId="22516A94" w14:textId="77777777" w:rsidR="00D26B97" w:rsidRPr="00746944" w:rsidRDefault="00000000" w:rsidP="00746944">
      <w:pPr>
        <w:spacing w:line="360" w:lineRule="auto"/>
        <w:rPr>
          <w:rFonts w:asciiTheme="majorBidi" w:hAnsiTheme="majorBidi" w:cstheme="majorBidi"/>
          <w:rtl/>
        </w:rPr>
      </w:pPr>
      <w:hyperlink r:id="rId22" w:history="1">
        <w:r w:rsidR="00D26B97" w:rsidRPr="00746944">
          <w:rPr>
            <w:rStyle w:val="Hyperlink"/>
            <w:rFonts w:asciiTheme="majorBidi" w:hAnsiTheme="majorBidi" w:cstheme="majorBidi"/>
          </w:rPr>
          <w:t>https://doi.org/10.1016/j.jwb.2013.11.001</w:t>
        </w:r>
      </w:hyperlink>
    </w:p>
    <w:p w14:paraId="28727CDE" w14:textId="77777777" w:rsidR="00D26B97" w:rsidRPr="00746944" w:rsidRDefault="00D26B97" w:rsidP="00746944">
      <w:pPr>
        <w:spacing w:line="360" w:lineRule="auto"/>
        <w:rPr>
          <w:rFonts w:asciiTheme="majorBidi" w:hAnsiTheme="majorBidi" w:cstheme="majorBidi"/>
          <w:rtl/>
        </w:rPr>
      </w:pPr>
      <w:proofErr w:type="spellStart"/>
      <w:r w:rsidRPr="00746944">
        <w:rPr>
          <w:rFonts w:asciiTheme="majorBidi" w:hAnsiTheme="majorBidi" w:cstheme="majorBidi"/>
        </w:rPr>
        <w:t>Almashyakhi</w:t>
      </w:r>
      <w:proofErr w:type="spellEnd"/>
      <w:r w:rsidRPr="00746944">
        <w:rPr>
          <w:rFonts w:asciiTheme="majorBidi" w:hAnsiTheme="majorBidi" w:cstheme="majorBidi"/>
        </w:rPr>
        <w:t xml:space="preserve">, A. M. (2024). Talent management practices and employee retention: Does it make a difference? </w:t>
      </w:r>
      <w:r w:rsidRPr="00746944">
        <w:rPr>
          <w:rFonts w:asciiTheme="majorBidi" w:hAnsiTheme="majorBidi" w:cstheme="majorBidi"/>
          <w:b/>
          <w:bCs/>
          <w:i/>
          <w:iCs/>
        </w:rPr>
        <w:t>Merits</w:t>
      </w:r>
      <w:r w:rsidRPr="00746944">
        <w:rPr>
          <w:rFonts w:asciiTheme="majorBidi" w:hAnsiTheme="majorBidi" w:cstheme="majorBidi"/>
        </w:rPr>
        <w:t>, 4(4), 453–462.</w:t>
      </w:r>
      <w:r w:rsidRPr="00746944">
        <w:rPr>
          <w:rFonts w:asciiTheme="majorBidi" w:hAnsiTheme="majorBidi" w:cstheme="majorBidi"/>
        </w:rPr>
        <w:br/>
      </w:r>
      <w:hyperlink r:id="rId23" w:history="1">
        <w:r w:rsidRPr="00746944">
          <w:rPr>
            <w:rStyle w:val="Hyperlink"/>
            <w:rFonts w:asciiTheme="majorBidi" w:hAnsiTheme="majorBidi" w:cstheme="majorBidi"/>
          </w:rPr>
          <w:t>https://www.mdpi.com/2673-8104/4/4/32</w:t>
        </w:r>
      </w:hyperlink>
    </w:p>
    <w:p w14:paraId="4B2D26F7" w14:textId="77777777" w:rsidR="00D26B97" w:rsidRPr="00746944" w:rsidRDefault="00D26B97" w:rsidP="00746944">
      <w:pPr>
        <w:spacing w:line="360" w:lineRule="auto"/>
        <w:rPr>
          <w:rFonts w:asciiTheme="majorBidi" w:hAnsiTheme="majorBidi" w:cstheme="majorBidi"/>
          <w:rtl/>
        </w:rPr>
      </w:pPr>
      <w:proofErr w:type="spellStart"/>
      <w:r w:rsidRPr="00746944">
        <w:rPr>
          <w:rFonts w:asciiTheme="majorBidi" w:hAnsiTheme="majorBidi" w:cstheme="majorBidi"/>
        </w:rPr>
        <w:t>Alrifae</w:t>
      </w:r>
      <w:proofErr w:type="spellEnd"/>
      <w:r w:rsidRPr="00746944">
        <w:rPr>
          <w:rFonts w:asciiTheme="majorBidi" w:hAnsiTheme="majorBidi" w:cstheme="majorBidi"/>
        </w:rPr>
        <w:t xml:space="preserve">, A. A. M., </w:t>
      </w:r>
      <w:proofErr w:type="spellStart"/>
      <w:r w:rsidRPr="00746944">
        <w:rPr>
          <w:rFonts w:asciiTheme="majorBidi" w:hAnsiTheme="majorBidi" w:cstheme="majorBidi"/>
        </w:rPr>
        <w:t>Alhabeeb</w:t>
      </w:r>
      <w:proofErr w:type="spellEnd"/>
      <w:r w:rsidRPr="00746944">
        <w:rPr>
          <w:rFonts w:asciiTheme="majorBidi" w:hAnsiTheme="majorBidi" w:cstheme="majorBidi"/>
        </w:rPr>
        <w:t xml:space="preserve">, A. A., </w:t>
      </w:r>
      <w:proofErr w:type="spellStart"/>
      <w:r w:rsidRPr="00746944">
        <w:rPr>
          <w:rFonts w:asciiTheme="majorBidi" w:hAnsiTheme="majorBidi" w:cstheme="majorBidi"/>
        </w:rPr>
        <w:t>Alhanatleh</w:t>
      </w:r>
      <w:proofErr w:type="spellEnd"/>
      <w:r w:rsidRPr="00746944">
        <w:rPr>
          <w:rFonts w:asciiTheme="majorBidi" w:hAnsiTheme="majorBidi" w:cstheme="majorBidi"/>
        </w:rPr>
        <w:t xml:space="preserve">, H., &amp; </w:t>
      </w:r>
      <w:proofErr w:type="spellStart"/>
      <w:r w:rsidRPr="00746944">
        <w:rPr>
          <w:rFonts w:asciiTheme="majorBidi" w:hAnsiTheme="majorBidi" w:cstheme="majorBidi"/>
        </w:rPr>
        <w:t>Alnajdawi</w:t>
      </w:r>
      <w:proofErr w:type="spellEnd"/>
      <w:r w:rsidRPr="00746944">
        <w:rPr>
          <w:rFonts w:asciiTheme="majorBidi" w:hAnsiTheme="majorBidi" w:cstheme="majorBidi"/>
        </w:rPr>
        <w:t xml:space="preserve">, S. M. A. (2025). Exploring the role of succession planning and talent development in enhancing organizational agility: The case of Saudi banking. </w:t>
      </w:r>
      <w:r w:rsidRPr="00746944">
        <w:rPr>
          <w:rFonts w:asciiTheme="majorBidi" w:hAnsiTheme="majorBidi" w:cstheme="majorBidi"/>
          <w:b/>
          <w:bCs/>
          <w:i/>
          <w:iCs/>
        </w:rPr>
        <w:t>Sustainability</w:t>
      </w:r>
      <w:r w:rsidRPr="00746944">
        <w:rPr>
          <w:rFonts w:asciiTheme="majorBidi" w:hAnsiTheme="majorBidi" w:cstheme="majorBidi"/>
        </w:rPr>
        <w:t>, 17(24), 11215.</w:t>
      </w:r>
      <w:r w:rsidRPr="00746944">
        <w:rPr>
          <w:rFonts w:asciiTheme="majorBidi" w:hAnsiTheme="majorBidi" w:cstheme="majorBidi"/>
        </w:rPr>
        <w:br/>
      </w:r>
      <w:hyperlink r:id="rId24" w:history="1">
        <w:r w:rsidRPr="00746944">
          <w:rPr>
            <w:rStyle w:val="Hyperlink"/>
            <w:rFonts w:asciiTheme="majorBidi" w:hAnsiTheme="majorBidi" w:cstheme="majorBidi"/>
          </w:rPr>
          <w:t>https://www.mdpi.com/2071-1050/17/24/11215</w:t>
        </w:r>
      </w:hyperlink>
    </w:p>
    <w:p w14:paraId="1E3CB52A"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lastRenderedPageBreak/>
        <w:t xml:space="preserve">Attar, R. W., </w:t>
      </w:r>
      <w:proofErr w:type="spellStart"/>
      <w:r w:rsidRPr="00746944">
        <w:rPr>
          <w:rFonts w:asciiTheme="majorBidi" w:hAnsiTheme="majorBidi" w:cstheme="majorBidi"/>
        </w:rPr>
        <w:t>Alanazi</w:t>
      </w:r>
      <w:proofErr w:type="spellEnd"/>
      <w:r w:rsidRPr="00746944">
        <w:rPr>
          <w:rFonts w:asciiTheme="majorBidi" w:hAnsiTheme="majorBidi" w:cstheme="majorBidi"/>
        </w:rPr>
        <w:t xml:space="preserve">, A., &amp; </w:t>
      </w:r>
      <w:proofErr w:type="spellStart"/>
      <w:r w:rsidRPr="00746944">
        <w:rPr>
          <w:rFonts w:asciiTheme="majorBidi" w:hAnsiTheme="majorBidi" w:cstheme="majorBidi"/>
        </w:rPr>
        <w:t>Alhazmi</w:t>
      </w:r>
      <w:proofErr w:type="spellEnd"/>
      <w:r w:rsidRPr="00746944">
        <w:rPr>
          <w:rFonts w:asciiTheme="majorBidi" w:hAnsiTheme="majorBidi" w:cstheme="majorBidi"/>
        </w:rPr>
        <w:t xml:space="preserve">, A. H. (2025). Investigating the effect of talent management practices on sustainable competitive advantage in private-sector organizations. </w:t>
      </w:r>
      <w:r w:rsidRPr="00746944">
        <w:rPr>
          <w:rFonts w:asciiTheme="majorBidi" w:hAnsiTheme="majorBidi" w:cstheme="majorBidi"/>
          <w:b/>
          <w:bCs/>
          <w:i/>
          <w:iCs/>
        </w:rPr>
        <w:t>Sustainability,</w:t>
      </w:r>
      <w:r w:rsidRPr="00746944">
        <w:rPr>
          <w:rFonts w:asciiTheme="majorBidi" w:hAnsiTheme="majorBidi" w:cstheme="majorBidi"/>
        </w:rPr>
        <w:t xml:space="preserve"> 17(21), 9909.</w:t>
      </w:r>
      <w:r w:rsidRPr="00746944">
        <w:rPr>
          <w:rFonts w:asciiTheme="majorBidi" w:hAnsiTheme="majorBidi" w:cstheme="majorBidi"/>
        </w:rPr>
        <w:br/>
      </w:r>
      <w:hyperlink r:id="rId25" w:history="1">
        <w:r w:rsidRPr="00746944">
          <w:rPr>
            <w:rStyle w:val="Hyperlink"/>
            <w:rFonts w:asciiTheme="majorBidi" w:hAnsiTheme="majorBidi" w:cstheme="majorBidi"/>
          </w:rPr>
          <w:t>https://www.mdpi.com/2071-1050/17/21/9909</w:t>
        </w:r>
      </w:hyperlink>
    </w:p>
    <w:p w14:paraId="19FEC129"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Collings, D. G., </w:t>
      </w:r>
      <w:proofErr w:type="spellStart"/>
      <w:r w:rsidRPr="00746944">
        <w:rPr>
          <w:rFonts w:asciiTheme="majorBidi" w:hAnsiTheme="majorBidi" w:cstheme="majorBidi"/>
        </w:rPr>
        <w:t>Mellahi</w:t>
      </w:r>
      <w:proofErr w:type="spellEnd"/>
      <w:r w:rsidRPr="00746944">
        <w:rPr>
          <w:rFonts w:asciiTheme="majorBidi" w:hAnsiTheme="majorBidi" w:cstheme="majorBidi"/>
        </w:rPr>
        <w:t xml:space="preserve">, K., &amp; Cascio, W. F. (2019). Global talent management and performance in multinational enterprises: A multilevel perspective. </w:t>
      </w:r>
      <w:r w:rsidRPr="00746944">
        <w:rPr>
          <w:rFonts w:asciiTheme="majorBidi" w:hAnsiTheme="majorBidi" w:cstheme="majorBidi"/>
          <w:b/>
          <w:bCs/>
          <w:i/>
          <w:iCs/>
        </w:rPr>
        <w:t>Journal of Management</w:t>
      </w:r>
      <w:r w:rsidRPr="00746944">
        <w:rPr>
          <w:rFonts w:asciiTheme="majorBidi" w:hAnsiTheme="majorBidi" w:cstheme="majorBidi"/>
        </w:rPr>
        <w:t xml:space="preserve">, 45(2), 540–566. </w:t>
      </w:r>
      <w:hyperlink r:id="rId26" w:history="1">
        <w:r w:rsidRPr="00746944">
          <w:rPr>
            <w:rStyle w:val="Hyperlink"/>
            <w:rFonts w:asciiTheme="majorBidi" w:hAnsiTheme="majorBidi" w:cstheme="majorBidi"/>
          </w:rPr>
          <w:t>https://doi.org/10.1177/0149206318757018</w:t>
        </w:r>
      </w:hyperlink>
    </w:p>
    <w:p w14:paraId="5D44FE83"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Gallardo-Gallardo, E., </w:t>
      </w:r>
      <w:proofErr w:type="spellStart"/>
      <w:r w:rsidRPr="00746944">
        <w:rPr>
          <w:rFonts w:asciiTheme="majorBidi" w:hAnsiTheme="majorBidi" w:cstheme="majorBidi"/>
        </w:rPr>
        <w:t>Thunnissen</w:t>
      </w:r>
      <w:proofErr w:type="spellEnd"/>
      <w:r w:rsidRPr="00746944">
        <w:rPr>
          <w:rFonts w:asciiTheme="majorBidi" w:hAnsiTheme="majorBidi" w:cstheme="majorBidi"/>
        </w:rPr>
        <w:t xml:space="preserve">, M., &amp; Scullion, H. (2020). Talent management: Context matters. </w:t>
      </w:r>
      <w:r w:rsidRPr="00746944">
        <w:rPr>
          <w:rFonts w:asciiTheme="majorBidi" w:hAnsiTheme="majorBidi" w:cstheme="majorBidi"/>
          <w:b/>
          <w:bCs/>
          <w:i/>
          <w:iCs/>
        </w:rPr>
        <w:t>The International Journal of Human Resource Management</w:t>
      </w:r>
      <w:r w:rsidRPr="00746944">
        <w:rPr>
          <w:rFonts w:asciiTheme="majorBidi" w:hAnsiTheme="majorBidi" w:cstheme="majorBidi"/>
        </w:rPr>
        <w:t xml:space="preserve">, 31(4), 457–473. </w:t>
      </w:r>
      <w:hyperlink r:id="rId27" w:history="1">
        <w:r w:rsidRPr="00746944">
          <w:rPr>
            <w:rStyle w:val="Hyperlink"/>
            <w:rFonts w:asciiTheme="majorBidi" w:hAnsiTheme="majorBidi" w:cstheme="majorBidi"/>
          </w:rPr>
          <w:t>https://doi.org/10.1080/09585192.2019.1642645</w:t>
        </w:r>
      </w:hyperlink>
    </w:p>
    <w:p w14:paraId="3AE4BF68" w14:textId="77777777" w:rsidR="00D26B97" w:rsidRPr="00746944" w:rsidRDefault="00D26B97" w:rsidP="00746944">
      <w:pPr>
        <w:spacing w:line="360" w:lineRule="auto"/>
        <w:rPr>
          <w:rFonts w:asciiTheme="majorBidi" w:hAnsiTheme="majorBidi" w:cstheme="majorBidi"/>
        </w:rPr>
      </w:pPr>
      <w:proofErr w:type="spellStart"/>
      <w:r w:rsidRPr="00746944">
        <w:rPr>
          <w:rFonts w:asciiTheme="majorBidi" w:hAnsiTheme="majorBidi" w:cstheme="majorBidi"/>
        </w:rPr>
        <w:t>Kayal</w:t>
      </w:r>
      <w:proofErr w:type="spellEnd"/>
      <w:r w:rsidRPr="00746944">
        <w:rPr>
          <w:rFonts w:asciiTheme="majorBidi" w:hAnsiTheme="majorBidi" w:cstheme="majorBidi"/>
        </w:rPr>
        <w:t xml:space="preserve">, G. G., &amp; </w:t>
      </w:r>
      <w:proofErr w:type="spellStart"/>
      <w:r w:rsidRPr="00746944">
        <w:rPr>
          <w:rFonts w:asciiTheme="majorBidi" w:hAnsiTheme="majorBidi" w:cstheme="majorBidi"/>
        </w:rPr>
        <w:t>Khalife</w:t>
      </w:r>
      <w:proofErr w:type="spellEnd"/>
      <w:r w:rsidRPr="00746944">
        <w:rPr>
          <w:rFonts w:asciiTheme="majorBidi" w:hAnsiTheme="majorBidi" w:cstheme="majorBidi"/>
        </w:rPr>
        <w:t xml:space="preserve">, M. R. (2025). Optimizing quality assurance practices: Exploring the Saudi Arabian perspective and their influence on international accreditation and rankings. </w:t>
      </w:r>
      <w:r w:rsidRPr="00746944">
        <w:rPr>
          <w:rFonts w:asciiTheme="majorBidi" w:hAnsiTheme="majorBidi" w:cstheme="majorBidi"/>
          <w:b/>
          <w:bCs/>
          <w:i/>
          <w:iCs/>
        </w:rPr>
        <w:t>Cogent Education</w:t>
      </w:r>
      <w:r w:rsidRPr="00746944">
        <w:rPr>
          <w:rFonts w:asciiTheme="majorBidi" w:hAnsiTheme="majorBidi" w:cstheme="majorBidi"/>
        </w:rPr>
        <w:t>, 12(1), 2482455.</w:t>
      </w:r>
    </w:p>
    <w:p w14:paraId="748FCE1F" w14:textId="77777777" w:rsidR="00D26B97" w:rsidRPr="00746944" w:rsidRDefault="00000000" w:rsidP="00746944">
      <w:pPr>
        <w:spacing w:line="360" w:lineRule="auto"/>
        <w:rPr>
          <w:rFonts w:asciiTheme="majorBidi" w:hAnsiTheme="majorBidi" w:cstheme="majorBidi"/>
          <w:rtl/>
        </w:rPr>
      </w:pPr>
      <w:hyperlink r:id="rId28" w:history="1">
        <w:r w:rsidR="00D26B97" w:rsidRPr="00746944">
          <w:rPr>
            <w:rStyle w:val="Hyperlink"/>
            <w:rFonts w:asciiTheme="majorBidi" w:hAnsiTheme="majorBidi" w:cstheme="majorBidi"/>
          </w:rPr>
          <w:t>https://doi.org/10.1080/2331186X.2025.2482455</w:t>
        </w:r>
      </w:hyperlink>
    </w:p>
    <w:p w14:paraId="4BE37731" w14:textId="77777777" w:rsidR="00D26B97" w:rsidRPr="00746944" w:rsidRDefault="00D26B97" w:rsidP="00746944">
      <w:pPr>
        <w:spacing w:line="360" w:lineRule="auto"/>
        <w:rPr>
          <w:rFonts w:asciiTheme="majorBidi" w:hAnsiTheme="majorBidi" w:cstheme="majorBidi"/>
        </w:rPr>
      </w:pPr>
      <w:proofErr w:type="spellStart"/>
      <w:r w:rsidRPr="00746944">
        <w:rPr>
          <w:rFonts w:asciiTheme="majorBidi" w:hAnsiTheme="majorBidi" w:cstheme="majorBidi"/>
        </w:rPr>
        <w:t>Kravariti</w:t>
      </w:r>
      <w:proofErr w:type="spellEnd"/>
      <w:r w:rsidRPr="00746944">
        <w:rPr>
          <w:rFonts w:asciiTheme="majorBidi" w:hAnsiTheme="majorBidi" w:cstheme="majorBidi"/>
        </w:rPr>
        <w:t xml:space="preserve">, F., </w:t>
      </w:r>
      <w:proofErr w:type="spellStart"/>
      <w:r w:rsidRPr="00746944">
        <w:rPr>
          <w:rFonts w:asciiTheme="majorBidi" w:hAnsiTheme="majorBidi" w:cstheme="majorBidi"/>
        </w:rPr>
        <w:t>Tasoulis</w:t>
      </w:r>
      <w:proofErr w:type="spellEnd"/>
      <w:r w:rsidRPr="00746944">
        <w:rPr>
          <w:rFonts w:asciiTheme="majorBidi" w:hAnsiTheme="majorBidi" w:cstheme="majorBidi"/>
        </w:rPr>
        <w:t xml:space="preserve">, K., Scullion, H., &amp; Alali, M. K. (2022). Talent management and performance in the public sector: The role of </w:t>
      </w:r>
      <w:proofErr w:type="spellStart"/>
      <w:r w:rsidRPr="00746944">
        <w:rPr>
          <w:rFonts w:asciiTheme="majorBidi" w:hAnsiTheme="majorBidi" w:cstheme="majorBidi"/>
        </w:rPr>
        <w:t>organisational</w:t>
      </w:r>
      <w:proofErr w:type="spellEnd"/>
      <w:r w:rsidRPr="00746944">
        <w:rPr>
          <w:rFonts w:asciiTheme="majorBidi" w:hAnsiTheme="majorBidi" w:cstheme="majorBidi"/>
        </w:rPr>
        <w:t xml:space="preserve"> and line managerial support for development.</w:t>
      </w:r>
      <w:r w:rsidRPr="00746944">
        <w:rPr>
          <w:rFonts w:asciiTheme="majorBidi" w:hAnsiTheme="majorBidi" w:cstheme="majorBidi"/>
          <w:b/>
          <w:bCs/>
          <w:i/>
          <w:iCs/>
        </w:rPr>
        <w:t xml:space="preserve"> The International Journal of Human Resource Management</w:t>
      </w:r>
      <w:r w:rsidRPr="00746944">
        <w:rPr>
          <w:rFonts w:asciiTheme="majorBidi" w:hAnsiTheme="majorBidi" w:cstheme="majorBidi"/>
        </w:rPr>
        <w:t>, 34(9), 1782–1807.</w:t>
      </w:r>
    </w:p>
    <w:p w14:paraId="70607D6C" w14:textId="77777777" w:rsidR="00D26B97" w:rsidRPr="00746944" w:rsidRDefault="00000000" w:rsidP="00746944">
      <w:pPr>
        <w:spacing w:line="360" w:lineRule="auto"/>
        <w:rPr>
          <w:rFonts w:asciiTheme="majorBidi" w:hAnsiTheme="majorBidi" w:cstheme="majorBidi"/>
          <w:rtl/>
        </w:rPr>
      </w:pPr>
      <w:hyperlink r:id="rId29" w:history="1">
        <w:r w:rsidR="00D26B97" w:rsidRPr="00746944">
          <w:rPr>
            <w:rStyle w:val="Hyperlink"/>
            <w:rFonts w:asciiTheme="majorBidi" w:hAnsiTheme="majorBidi" w:cstheme="majorBidi"/>
          </w:rPr>
          <w:t>https://doi.org/10.1080/09585192.2022.2032265</w:t>
        </w:r>
      </w:hyperlink>
    </w:p>
    <w:p w14:paraId="40B88448"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Luna-</w:t>
      </w:r>
      <w:proofErr w:type="spellStart"/>
      <w:r w:rsidRPr="00746944">
        <w:rPr>
          <w:rFonts w:asciiTheme="majorBidi" w:hAnsiTheme="majorBidi" w:cstheme="majorBidi"/>
        </w:rPr>
        <w:t>Arocas</w:t>
      </w:r>
      <w:proofErr w:type="spellEnd"/>
      <w:r w:rsidRPr="00746944">
        <w:rPr>
          <w:rFonts w:asciiTheme="majorBidi" w:hAnsiTheme="majorBidi" w:cstheme="majorBidi"/>
        </w:rPr>
        <w:t xml:space="preserve">, R., &amp; Lara, F. J. (2020). Talent management, affective organizational commitment and service performance in local government. </w:t>
      </w:r>
      <w:r w:rsidRPr="00746944">
        <w:rPr>
          <w:rFonts w:asciiTheme="majorBidi" w:hAnsiTheme="majorBidi" w:cstheme="majorBidi"/>
          <w:b/>
          <w:bCs/>
          <w:i/>
          <w:iCs/>
        </w:rPr>
        <w:t>International Journal of Environmental Research and Public Health</w:t>
      </w:r>
      <w:r w:rsidRPr="00746944">
        <w:rPr>
          <w:rFonts w:asciiTheme="majorBidi" w:hAnsiTheme="majorBidi" w:cstheme="majorBidi"/>
        </w:rPr>
        <w:t>, 17(13), 4827.</w:t>
      </w:r>
    </w:p>
    <w:p w14:paraId="01B7954D" w14:textId="77777777" w:rsidR="00D26B97" w:rsidRPr="00746944" w:rsidRDefault="00000000" w:rsidP="00746944">
      <w:pPr>
        <w:spacing w:line="360" w:lineRule="auto"/>
        <w:rPr>
          <w:rFonts w:asciiTheme="majorBidi" w:hAnsiTheme="majorBidi" w:cstheme="majorBidi"/>
          <w:rtl/>
        </w:rPr>
      </w:pPr>
      <w:hyperlink r:id="rId30" w:history="1">
        <w:r w:rsidR="00D26B97" w:rsidRPr="00746944">
          <w:rPr>
            <w:rStyle w:val="Hyperlink"/>
            <w:rFonts w:asciiTheme="majorBidi" w:hAnsiTheme="majorBidi" w:cstheme="majorBidi"/>
          </w:rPr>
          <w:t>https://doi.org/10.3390/ijerph17134827</w:t>
        </w:r>
      </w:hyperlink>
    </w:p>
    <w:p w14:paraId="7AE767F6"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Martínez-</w:t>
      </w:r>
      <w:proofErr w:type="spellStart"/>
      <w:r w:rsidRPr="00746944">
        <w:rPr>
          <w:rFonts w:asciiTheme="majorBidi" w:hAnsiTheme="majorBidi" w:cstheme="majorBidi"/>
        </w:rPr>
        <w:t>Morán</w:t>
      </w:r>
      <w:proofErr w:type="spellEnd"/>
      <w:r w:rsidRPr="00746944">
        <w:rPr>
          <w:rFonts w:asciiTheme="majorBidi" w:hAnsiTheme="majorBidi" w:cstheme="majorBidi"/>
        </w:rPr>
        <w:t xml:space="preserve">, P. C., </w:t>
      </w:r>
      <w:proofErr w:type="spellStart"/>
      <w:r w:rsidRPr="00746944">
        <w:rPr>
          <w:rFonts w:asciiTheme="majorBidi" w:hAnsiTheme="majorBidi" w:cstheme="majorBidi"/>
        </w:rPr>
        <w:t>Díez</w:t>
      </w:r>
      <w:proofErr w:type="spellEnd"/>
      <w:r w:rsidRPr="00746944">
        <w:rPr>
          <w:rFonts w:asciiTheme="majorBidi" w:hAnsiTheme="majorBidi" w:cstheme="majorBidi"/>
        </w:rPr>
        <w:t xml:space="preserve">, F., </w:t>
      </w:r>
      <w:proofErr w:type="spellStart"/>
      <w:r w:rsidRPr="00746944">
        <w:rPr>
          <w:rFonts w:asciiTheme="majorBidi" w:hAnsiTheme="majorBidi" w:cstheme="majorBidi"/>
        </w:rPr>
        <w:t>Solabarrieta</w:t>
      </w:r>
      <w:proofErr w:type="spellEnd"/>
      <w:r w:rsidRPr="00746944">
        <w:rPr>
          <w:rFonts w:asciiTheme="majorBidi" w:hAnsiTheme="majorBidi" w:cstheme="majorBidi"/>
        </w:rPr>
        <w:t xml:space="preserve">, J., Fernández-Rico, J. M., &amp; </w:t>
      </w:r>
      <w:proofErr w:type="spellStart"/>
      <w:r w:rsidRPr="00746944">
        <w:rPr>
          <w:rFonts w:asciiTheme="majorBidi" w:hAnsiTheme="majorBidi" w:cstheme="majorBidi"/>
        </w:rPr>
        <w:t>Igoa</w:t>
      </w:r>
      <w:proofErr w:type="spellEnd"/>
      <w:r w:rsidRPr="00746944">
        <w:rPr>
          <w:rFonts w:asciiTheme="majorBidi" w:hAnsiTheme="majorBidi" w:cstheme="majorBidi"/>
        </w:rPr>
        <w:t xml:space="preserve">-Iraola, E. (2024). Talent management digitalization and company size as a catalyst. </w:t>
      </w:r>
      <w:r w:rsidRPr="00746944">
        <w:rPr>
          <w:rFonts w:asciiTheme="majorBidi" w:hAnsiTheme="majorBidi" w:cstheme="majorBidi"/>
          <w:b/>
          <w:bCs/>
          <w:i/>
          <w:iCs/>
        </w:rPr>
        <w:t>Systems</w:t>
      </w:r>
      <w:r w:rsidRPr="00746944">
        <w:rPr>
          <w:rFonts w:asciiTheme="majorBidi" w:hAnsiTheme="majorBidi" w:cstheme="majorBidi"/>
        </w:rPr>
        <w:t xml:space="preserve">, 12(5), 168. </w:t>
      </w:r>
      <w:hyperlink r:id="rId31" w:history="1">
        <w:r w:rsidRPr="00746944">
          <w:rPr>
            <w:rStyle w:val="Hyperlink"/>
            <w:rFonts w:asciiTheme="majorBidi" w:hAnsiTheme="majorBidi" w:cstheme="majorBidi"/>
          </w:rPr>
          <w:t>https://doi.org/10.3390/systems12050168</w:t>
        </w:r>
      </w:hyperlink>
    </w:p>
    <w:p w14:paraId="1A8C4308"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Menezes, D. B. S., </w:t>
      </w:r>
      <w:proofErr w:type="spellStart"/>
      <w:r w:rsidRPr="00746944">
        <w:rPr>
          <w:rFonts w:asciiTheme="majorBidi" w:hAnsiTheme="majorBidi" w:cstheme="majorBidi"/>
        </w:rPr>
        <w:t>Gumashvili</w:t>
      </w:r>
      <w:proofErr w:type="spellEnd"/>
      <w:r w:rsidRPr="00746944">
        <w:rPr>
          <w:rFonts w:asciiTheme="majorBidi" w:hAnsiTheme="majorBidi" w:cstheme="majorBidi"/>
        </w:rPr>
        <w:t xml:space="preserve">, M., &amp; </w:t>
      </w:r>
      <w:proofErr w:type="spellStart"/>
      <w:r w:rsidRPr="00746944">
        <w:rPr>
          <w:rFonts w:asciiTheme="majorBidi" w:hAnsiTheme="majorBidi" w:cstheme="majorBidi"/>
        </w:rPr>
        <w:t>Kanokon</w:t>
      </w:r>
      <w:proofErr w:type="spellEnd"/>
      <w:r w:rsidRPr="00746944">
        <w:rPr>
          <w:rFonts w:asciiTheme="majorBidi" w:hAnsiTheme="majorBidi" w:cstheme="majorBidi"/>
        </w:rPr>
        <w:t xml:space="preserve">, K. (2025). The role of talent management in enhancing employee retention: Mediating the influence of psychological empowerment. </w:t>
      </w:r>
      <w:r w:rsidRPr="00746944">
        <w:rPr>
          <w:rFonts w:asciiTheme="majorBidi" w:hAnsiTheme="majorBidi" w:cstheme="majorBidi"/>
          <w:b/>
          <w:bCs/>
          <w:i/>
          <w:iCs/>
        </w:rPr>
        <w:t>Sustainability</w:t>
      </w:r>
      <w:r w:rsidRPr="00746944">
        <w:rPr>
          <w:rFonts w:asciiTheme="majorBidi" w:hAnsiTheme="majorBidi" w:cstheme="majorBidi"/>
        </w:rPr>
        <w:t xml:space="preserve">, 17(7), 3277. </w:t>
      </w:r>
      <w:hyperlink r:id="rId32" w:history="1">
        <w:r w:rsidRPr="00746944">
          <w:rPr>
            <w:rStyle w:val="Hyperlink"/>
            <w:rFonts w:asciiTheme="majorBidi" w:hAnsiTheme="majorBidi" w:cstheme="majorBidi"/>
          </w:rPr>
          <w:t>https://doi.org/10.3390/su17073277</w:t>
        </w:r>
      </w:hyperlink>
    </w:p>
    <w:p w14:paraId="11F43B4A"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Sinisterra, L., </w:t>
      </w:r>
      <w:proofErr w:type="spellStart"/>
      <w:r w:rsidRPr="00746944">
        <w:rPr>
          <w:rFonts w:asciiTheme="majorBidi" w:hAnsiTheme="majorBidi" w:cstheme="majorBidi"/>
        </w:rPr>
        <w:t>Penalver</w:t>
      </w:r>
      <w:proofErr w:type="spellEnd"/>
      <w:r w:rsidRPr="00746944">
        <w:rPr>
          <w:rFonts w:asciiTheme="majorBidi" w:hAnsiTheme="majorBidi" w:cstheme="majorBidi"/>
        </w:rPr>
        <w:t xml:space="preserve">, J., &amp; </w:t>
      </w:r>
      <w:proofErr w:type="spellStart"/>
      <w:r w:rsidRPr="00746944">
        <w:rPr>
          <w:rFonts w:asciiTheme="majorBidi" w:hAnsiTheme="majorBidi" w:cstheme="majorBidi"/>
        </w:rPr>
        <w:t>Salanova</w:t>
      </w:r>
      <w:proofErr w:type="spellEnd"/>
      <w:r w:rsidRPr="00746944">
        <w:rPr>
          <w:rFonts w:asciiTheme="majorBidi" w:hAnsiTheme="majorBidi" w:cstheme="majorBidi"/>
        </w:rPr>
        <w:t xml:space="preserve">, M. (2024). Connecting the organizational incomes and outcomes: A systematic review of the relationship between talent management, employee engagement, and turnover intention. </w:t>
      </w:r>
      <w:r w:rsidRPr="00746944">
        <w:rPr>
          <w:rFonts w:asciiTheme="majorBidi" w:hAnsiTheme="majorBidi" w:cstheme="majorBidi"/>
          <w:b/>
          <w:bCs/>
          <w:i/>
          <w:iCs/>
        </w:rPr>
        <w:t>Frontiers in Psychology</w:t>
      </w:r>
      <w:r w:rsidRPr="00746944">
        <w:rPr>
          <w:rFonts w:asciiTheme="majorBidi" w:hAnsiTheme="majorBidi" w:cstheme="majorBidi"/>
        </w:rPr>
        <w:t>, 15, 1439127.</w:t>
      </w:r>
    </w:p>
    <w:p w14:paraId="61932DE5"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lastRenderedPageBreak/>
        <w:t xml:space="preserve"> </w:t>
      </w:r>
      <w:hyperlink r:id="rId33" w:history="1">
        <w:r w:rsidRPr="00746944">
          <w:rPr>
            <w:rStyle w:val="Hyperlink"/>
            <w:rFonts w:asciiTheme="majorBidi" w:hAnsiTheme="majorBidi" w:cstheme="majorBidi"/>
          </w:rPr>
          <w:t>https://doi.org/10.3389/fpsyg.2024.1439127</w:t>
        </w:r>
      </w:hyperlink>
    </w:p>
    <w:p w14:paraId="665483E1" w14:textId="77777777" w:rsidR="00D26B97" w:rsidRPr="00746944" w:rsidRDefault="00D26B97" w:rsidP="00746944">
      <w:pPr>
        <w:spacing w:line="360" w:lineRule="auto"/>
        <w:rPr>
          <w:rFonts w:asciiTheme="majorBidi" w:hAnsiTheme="majorBidi" w:cstheme="majorBidi"/>
          <w:rtl/>
        </w:rPr>
      </w:pPr>
      <w:proofErr w:type="spellStart"/>
      <w:r w:rsidRPr="00746944">
        <w:rPr>
          <w:rFonts w:asciiTheme="majorBidi" w:hAnsiTheme="majorBidi" w:cstheme="majorBidi"/>
        </w:rPr>
        <w:t>Thunnissen</w:t>
      </w:r>
      <w:proofErr w:type="spellEnd"/>
      <w:r w:rsidRPr="00746944">
        <w:rPr>
          <w:rFonts w:asciiTheme="majorBidi" w:hAnsiTheme="majorBidi" w:cstheme="majorBidi"/>
        </w:rPr>
        <w:t xml:space="preserve">, M., &amp; </w:t>
      </w:r>
      <w:proofErr w:type="spellStart"/>
      <w:r w:rsidRPr="00746944">
        <w:rPr>
          <w:rFonts w:asciiTheme="majorBidi" w:hAnsiTheme="majorBidi" w:cstheme="majorBidi"/>
        </w:rPr>
        <w:t>Boselie</w:t>
      </w:r>
      <w:proofErr w:type="spellEnd"/>
      <w:r w:rsidRPr="00746944">
        <w:rPr>
          <w:rFonts w:asciiTheme="majorBidi" w:hAnsiTheme="majorBidi" w:cstheme="majorBidi"/>
        </w:rPr>
        <w:t>, P. (Eds.). (2024). Talent management in higher education. Emerald Publishing Limited.</w:t>
      </w:r>
    </w:p>
    <w:p w14:paraId="535438D6" w14:textId="77777777" w:rsidR="00D26B97" w:rsidRPr="00746944" w:rsidRDefault="00000000" w:rsidP="00746944">
      <w:pPr>
        <w:spacing w:line="360" w:lineRule="auto"/>
        <w:rPr>
          <w:rFonts w:asciiTheme="majorBidi" w:hAnsiTheme="majorBidi" w:cstheme="majorBidi"/>
          <w:rtl/>
        </w:rPr>
      </w:pPr>
      <w:hyperlink r:id="rId34" w:history="1">
        <w:r w:rsidR="00D26B97" w:rsidRPr="00746944">
          <w:rPr>
            <w:rStyle w:val="Hyperlink"/>
            <w:rFonts w:asciiTheme="majorBidi" w:hAnsiTheme="majorBidi" w:cstheme="majorBidi"/>
            <w:color w:val="auto"/>
          </w:rPr>
          <w:t>https://bookstore.emerald.com/media/openaccess/9781802626858.pdf</w:t>
        </w:r>
      </w:hyperlink>
    </w:p>
    <w:p w14:paraId="61154B5F"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van der Merwe, M., Nel, P., &amp; Hoole, C. (2024). How talent management execution impacts career experiences: Exploring the organization–individual intersect. </w:t>
      </w:r>
      <w:r w:rsidRPr="00746944">
        <w:rPr>
          <w:rFonts w:asciiTheme="majorBidi" w:hAnsiTheme="majorBidi" w:cstheme="majorBidi"/>
          <w:b/>
          <w:bCs/>
          <w:i/>
          <w:iCs/>
        </w:rPr>
        <w:t>Frontiers in Psychology</w:t>
      </w:r>
      <w:r w:rsidRPr="00746944">
        <w:rPr>
          <w:rFonts w:asciiTheme="majorBidi" w:hAnsiTheme="majorBidi" w:cstheme="majorBidi"/>
        </w:rPr>
        <w:t xml:space="preserve">, 15, 1272645. </w:t>
      </w:r>
      <w:hyperlink r:id="rId35" w:history="1">
        <w:r w:rsidRPr="00746944">
          <w:rPr>
            <w:rStyle w:val="Hyperlink"/>
            <w:rFonts w:asciiTheme="majorBidi" w:hAnsiTheme="majorBidi" w:cstheme="majorBidi"/>
          </w:rPr>
          <w:t>https://doi.org/10.3389/fpsyg.2024.1272645</w:t>
        </w:r>
      </w:hyperlink>
    </w:p>
    <w:p w14:paraId="27209DAE" w14:textId="2278AD5B" w:rsidR="00D26B97" w:rsidRPr="00746944" w:rsidRDefault="00D26B97" w:rsidP="00746944">
      <w:pPr>
        <w:spacing w:line="360" w:lineRule="auto"/>
        <w:rPr>
          <w:rStyle w:val="Hyperlink"/>
          <w:rFonts w:asciiTheme="majorBidi" w:hAnsiTheme="majorBidi" w:cstheme="majorBidi"/>
          <w:color w:val="auto"/>
          <w:u w:val="none"/>
          <w:rtl/>
        </w:rPr>
      </w:pPr>
      <w:r w:rsidRPr="00746944">
        <w:rPr>
          <w:rFonts w:asciiTheme="majorBidi" w:hAnsiTheme="majorBidi" w:cstheme="majorBidi"/>
        </w:rPr>
        <w:t xml:space="preserve">Zahrani, A. A. (2026). Developing a new model for talent management and employee performance: The role of training and employee development in the sustainability of organizations. </w:t>
      </w:r>
      <w:r w:rsidRPr="00746944">
        <w:rPr>
          <w:rFonts w:asciiTheme="majorBidi" w:hAnsiTheme="majorBidi" w:cstheme="majorBidi"/>
          <w:b/>
          <w:bCs/>
          <w:i/>
          <w:iCs/>
        </w:rPr>
        <w:t>Frontiers in Sustainability</w:t>
      </w:r>
      <w:r w:rsidRPr="00746944">
        <w:rPr>
          <w:rFonts w:asciiTheme="majorBidi" w:hAnsiTheme="majorBidi" w:cstheme="majorBidi"/>
        </w:rPr>
        <w:t>, 7, 1741640.</w:t>
      </w:r>
      <w:r w:rsidRPr="00746944">
        <w:rPr>
          <w:rFonts w:asciiTheme="majorBidi" w:hAnsiTheme="majorBidi" w:cstheme="majorBidi"/>
        </w:rPr>
        <w:br/>
      </w:r>
      <w:hyperlink r:id="rId36" w:history="1">
        <w:r w:rsidRPr="00746944">
          <w:rPr>
            <w:rStyle w:val="Hyperlink"/>
            <w:rFonts w:asciiTheme="majorBidi" w:hAnsiTheme="majorBidi" w:cstheme="majorBidi"/>
          </w:rPr>
          <w:t>https://www.frontiersin.org/articles/10.3389/frsus.2026.1741640/full</w:t>
        </w:r>
      </w:hyperlink>
    </w:p>
    <w:sectPr w:rsidR="00D26B97" w:rsidRPr="00746944" w:rsidSect="0080536C">
      <w:footerReference w:type="default" r:id="rId3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73E2" w14:textId="77777777" w:rsidR="00A93FE8" w:rsidRDefault="00A93FE8" w:rsidP="00AA0D58">
      <w:pPr>
        <w:spacing w:after="0" w:line="240" w:lineRule="auto"/>
      </w:pPr>
      <w:r>
        <w:separator/>
      </w:r>
    </w:p>
  </w:endnote>
  <w:endnote w:type="continuationSeparator" w:id="0">
    <w:p w14:paraId="12D96573" w14:textId="77777777" w:rsidR="00A93FE8" w:rsidRDefault="00A93FE8" w:rsidP="00AA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6549"/>
      <w:docPartObj>
        <w:docPartGallery w:val="Page Numbers (Bottom of Page)"/>
        <w:docPartUnique/>
      </w:docPartObj>
    </w:sdtPr>
    <w:sdtEndPr>
      <w:rPr>
        <w:noProof/>
      </w:rPr>
    </w:sdtEndPr>
    <w:sdtContent>
      <w:p w14:paraId="0037C5A6" w14:textId="1895866C" w:rsidR="00AA0D58" w:rsidRDefault="00AA0D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7068C" w14:textId="77777777" w:rsidR="00AA0D58" w:rsidRDefault="00AA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E5F41" w14:textId="77777777" w:rsidR="00A93FE8" w:rsidRDefault="00A93FE8" w:rsidP="00AA0D58">
      <w:pPr>
        <w:spacing w:after="0" w:line="240" w:lineRule="auto"/>
      </w:pPr>
      <w:r>
        <w:separator/>
      </w:r>
    </w:p>
  </w:footnote>
  <w:footnote w:type="continuationSeparator" w:id="0">
    <w:p w14:paraId="05A818E2" w14:textId="77777777" w:rsidR="00A93FE8" w:rsidRDefault="00A93FE8" w:rsidP="00AA0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AFE"/>
    <w:multiLevelType w:val="hybridMultilevel"/>
    <w:tmpl w:val="098E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0241"/>
    <w:multiLevelType w:val="hybridMultilevel"/>
    <w:tmpl w:val="57E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926A7"/>
    <w:multiLevelType w:val="hybridMultilevel"/>
    <w:tmpl w:val="12C0D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911147"/>
    <w:multiLevelType w:val="hybridMultilevel"/>
    <w:tmpl w:val="EC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394861">
    <w:abstractNumId w:val="0"/>
  </w:num>
  <w:num w:numId="2" w16cid:durableId="526874326">
    <w:abstractNumId w:val="2"/>
  </w:num>
  <w:num w:numId="3" w16cid:durableId="1512261252">
    <w:abstractNumId w:val="3"/>
  </w:num>
  <w:num w:numId="4" w16cid:durableId="83448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ED"/>
    <w:rsid w:val="00000612"/>
    <w:rsid w:val="000022A3"/>
    <w:rsid w:val="00005A5E"/>
    <w:rsid w:val="0001549B"/>
    <w:rsid w:val="00016E5C"/>
    <w:rsid w:val="000264F4"/>
    <w:rsid w:val="000278BF"/>
    <w:rsid w:val="00034136"/>
    <w:rsid w:val="00044151"/>
    <w:rsid w:val="0007781D"/>
    <w:rsid w:val="00084D6C"/>
    <w:rsid w:val="0008614F"/>
    <w:rsid w:val="000A741C"/>
    <w:rsid w:val="000A74D3"/>
    <w:rsid w:val="000D213C"/>
    <w:rsid w:val="00101C37"/>
    <w:rsid w:val="00105228"/>
    <w:rsid w:val="00117040"/>
    <w:rsid w:val="0012211B"/>
    <w:rsid w:val="00130CA0"/>
    <w:rsid w:val="0013739F"/>
    <w:rsid w:val="00137F06"/>
    <w:rsid w:val="00142A04"/>
    <w:rsid w:val="001532E6"/>
    <w:rsid w:val="001630B6"/>
    <w:rsid w:val="00192403"/>
    <w:rsid w:val="00194062"/>
    <w:rsid w:val="001942A3"/>
    <w:rsid w:val="001A56B0"/>
    <w:rsid w:val="001A7A87"/>
    <w:rsid w:val="001B1D3A"/>
    <w:rsid w:val="001D1887"/>
    <w:rsid w:val="001E69DC"/>
    <w:rsid w:val="00226EAB"/>
    <w:rsid w:val="0023078C"/>
    <w:rsid w:val="00247D52"/>
    <w:rsid w:val="002543C9"/>
    <w:rsid w:val="00254CC9"/>
    <w:rsid w:val="00276D1F"/>
    <w:rsid w:val="002826A0"/>
    <w:rsid w:val="002833FB"/>
    <w:rsid w:val="002B5B54"/>
    <w:rsid w:val="002C1C1B"/>
    <w:rsid w:val="002D1435"/>
    <w:rsid w:val="002D2700"/>
    <w:rsid w:val="002E094B"/>
    <w:rsid w:val="002F4F22"/>
    <w:rsid w:val="002F6F39"/>
    <w:rsid w:val="0030023A"/>
    <w:rsid w:val="003031B2"/>
    <w:rsid w:val="003139AC"/>
    <w:rsid w:val="00316758"/>
    <w:rsid w:val="0034295A"/>
    <w:rsid w:val="00342AD9"/>
    <w:rsid w:val="0035640B"/>
    <w:rsid w:val="003577EF"/>
    <w:rsid w:val="00360206"/>
    <w:rsid w:val="00373B44"/>
    <w:rsid w:val="003828FF"/>
    <w:rsid w:val="0038421D"/>
    <w:rsid w:val="003A1F12"/>
    <w:rsid w:val="003A2DC8"/>
    <w:rsid w:val="003A3A00"/>
    <w:rsid w:val="003E06C8"/>
    <w:rsid w:val="003E236A"/>
    <w:rsid w:val="003E4C9F"/>
    <w:rsid w:val="003E62E1"/>
    <w:rsid w:val="0040035F"/>
    <w:rsid w:val="00413D0F"/>
    <w:rsid w:val="00415359"/>
    <w:rsid w:val="00441B0E"/>
    <w:rsid w:val="00451F82"/>
    <w:rsid w:val="00454875"/>
    <w:rsid w:val="00455923"/>
    <w:rsid w:val="00464807"/>
    <w:rsid w:val="00482618"/>
    <w:rsid w:val="004861D3"/>
    <w:rsid w:val="00486F2D"/>
    <w:rsid w:val="00497DAC"/>
    <w:rsid w:val="004A05BD"/>
    <w:rsid w:val="004A64E6"/>
    <w:rsid w:val="004D0CEF"/>
    <w:rsid w:val="004E272C"/>
    <w:rsid w:val="004E4893"/>
    <w:rsid w:val="004F7524"/>
    <w:rsid w:val="005201F9"/>
    <w:rsid w:val="00541AF5"/>
    <w:rsid w:val="00542131"/>
    <w:rsid w:val="00554EF0"/>
    <w:rsid w:val="00555657"/>
    <w:rsid w:val="0057485F"/>
    <w:rsid w:val="005904B2"/>
    <w:rsid w:val="005955C8"/>
    <w:rsid w:val="005E69FB"/>
    <w:rsid w:val="006012B3"/>
    <w:rsid w:val="0060733E"/>
    <w:rsid w:val="00611C2A"/>
    <w:rsid w:val="00621060"/>
    <w:rsid w:val="00632F1E"/>
    <w:rsid w:val="00635001"/>
    <w:rsid w:val="00641FBB"/>
    <w:rsid w:val="006506A1"/>
    <w:rsid w:val="00650BF5"/>
    <w:rsid w:val="00651B2B"/>
    <w:rsid w:val="00663F3A"/>
    <w:rsid w:val="00674D1D"/>
    <w:rsid w:val="00674F57"/>
    <w:rsid w:val="00692E11"/>
    <w:rsid w:val="006C7D3E"/>
    <w:rsid w:val="006D5D1F"/>
    <w:rsid w:val="006E28C5"/>
    <w:rsid w:val="006F42B3"/>
    <w:rsid w:val="0070280A"/>
    <w:rsid w:val="0071060A"/>
    <w:rsid w:val="00715561"/>
    <w:rsid w:val="007253BD"/>
    <w:rsid w:val="00730B19"/>
    <w:rsid w:val="00737DA3"/>
    <w:rsid w:val="00740968"/>
    <w:rsid w:val="00740E76"/>
    <w:rsid w:val="0074123D"/>
    <w:rsid w:val="00746944"/>
    <w:rsid w:val="0074711B"/>
    <w:rsid w:val="00751343"/>
    <w:rsid w:val="0075335F"/>
    <w:rsid w:val="00757E84"/>
    <w:rsid w:val="00765C69"/>
    <w:rsid w:val="00774DC9"/>
    <w:rsid w:val="00776063"/>
    <w:rsid w:val="007914E7"/>
    <w:rsid w:val="00797703"/>
    <w:rsid w:val="007A3CED"/>
    <w:rsid w:val="007D72EC"/>
    <w:rsid w:val="007E2DE5"/>
    <w:rsid w:val="007F485A"/>
    <w:rsid w:val="00802B12"/>
    <w:rsid w:val="0080536C"/>
    <w:rsid w:val="0080711D"/>
    <w:rsid w:val="00817C25"/>
    <w:rsid w:val="00822D6F"/>
    <w:rsid w:val="00827FFE"/>
    <w:rsid w:val="00845A56"/>
    <w:rsid w:val="00871C05"/>
    <w:rsid w:val="008A0099"/>
    <w:rsid w:val="008A33F8"/>
    <w:rsid w:val="008A7498"/>
    <w:rsid w:val="008B6F7F"/>
    <w:rsid w:val="008C40F6"/>
    <w:rsid w:val="008C729D"/>
    <w:rsid w:val="008D20C7"/>
    <w:rsid w:val="008D748F"/>
    <w:rsid w:val="008F3E70"/>
    <w:rsid w:val="0090058A"/>
    <w:rsid w:val="00931A95"/>
    <w:rsid w:val="00932F9F"/>
    <w:rsid w:val="00956BC8"/>
    <w:rsid w:val="0097537F"/>
    <w:rsid w:val="009A29A2"/>
    <w:rsid w:val="009B198A"/>
    <w:rsid w:val="009C045C"/>
    <w:rsid w:val="009C6B1D"/>
    <w:rsid w:val="009D7930"/>
    <w:rsid w:val="009F60A9"/>
    <w:rsid w:val="00A01381"/>
    <w:rsid w:val="00A0587A"/>
    <w:rsid w:val="00A0673D"/>
    <w:rsid w:val="00A16DF4"/>
    <w:rsid w:val="00A26264"/>
    <w:rsid w:val="00A30BAD"/>
    <w:rsid w:val="00A3463D"/>
    <w:rsid w:val="00A4042D"/>
    <w:rsid w:val="00A4048A"/>
    <w:rsid w:val="00A443B0"/>
    <w:rsid w:val="00A53109"/>
    <w:rsid w:val="00A61D8F"/>
    <w:rsid w:val="00A8590F"/>
    <w:rsid w:val="00A93FE8"/>
    <w:rsid w:val="00AA0D58"/>
    <w:rsid w:val="00AD2ACA"/>
    <w:rsid w:val="00B1377E"/>
    <w:rsid w:val="00B429D5"/>
    <w:rsid w:val="00B442CC"/>
    <w:rsid w:val="00B47225"/>
    <w:rsid w:val="00B56B72"/>
    <w:rsid w:val="00B629CC"/>
    <w:rsid w:val="00B6487B"/>
    <w:rsid w:val="00B7517D"/>
    <w:rsid w:val="00B83912"/>
    <w:rsid w:val="00B9257C"/>
    <w:rsid w:val="00B967F8"/>
    <w:rsid w:val="00BC3B2A"/>
    <w:rsid w:val="00BD2E96"/>
    <w:rsid w:val="00BF4DE5"/>
    <w:rsid w:val="00C13722"/>
    <w:rsid w:val="00C21FBC"/>
    <w:rsid w:val="00C30B64"/>
    <w:rsid w:val="00C55ADF"/>
    <w:rsid w:val="00C74348"/>
    <w:rsid w:val="00C82970"/>
    <w:rsid w:val="00C863A2"/>
    <w:rsid w:val="00C929A8"/>
    <w:rsid w:val="00C97B6A"/>
    <w:rsid w:val="00CA2B45"/>
    <w:rsid w:val="00CA44C6"/>
    <w:rsid w:val="00CB1667"/>
    <w:rsid w:val="00CC112B"/>
    <w:rsid w:val="00CE16E2"/>
    <w:rsid w:val="00CF42E2"/>
    <w:rsid w:val="00D12ED3"/>
    <w:rsid w:val="00D22FEC"/>
    <w:rsid w:val="00D26B97"/>
    <w:rsid w:val="00D31DC0"/>
    <w:rsid w:val="00D521A8"/>
    <w:rsid w:val="00D54582"/>
    <w:rsid w:val="00D66349"/>
    <w:rsid w:val="00D82417"/>
    <w:rsid w:val="00D91264"/>
    <w:rsid w:val="00D95C81"/>
    <w:rsid w:val="00D97CB7"/>
    <w:rsid w:val="00DA5613"/>
    <w:rsid w:val="00DA7676"/>
    <w:rsid w:val="00DB1F1F"/>
    <w:rsid w:val="00DB72F1"/>
    <w:rsid w:val="00DC4E13"/>
    <w:rsid w:val="00DD6448"/>
    <w:rsid w:val="00DF0D2B"/>
    <w:rsid w:val="00E142FC"/>
    <w:rsid w:val="00E15378"/>
    <w:rsid w:val="00E25049"/>
    <w:rsid w:val="00E30EA5"/>
    <w:rsid w:val="00E33520"/>
    <w:rsid w:val="00E40DC2"/>
    <w:rsid w:val="00E47448"/>
    <w:rsid w:val="00E6563B"/>
    <w:rsid w:val="00E712CB"/>
    <w:rsid w:val="00E83920"/>
    <w:rsid w:val="00E92092"/>
    <w:rsid w:val="00E938B2"/>
    <w:rsid w:val="00EA1AA4"/>
    <w:rsid w:val="00EA3EA2"/>
    <w:rsid w:val="00EA4971"/>
    <w:rsid w:val="00EA5C95"/>
    <w:rsid w:val="00EB745E"/>
    <w:rsid w:val="00EC13BE"/>
    <w:rsid w:val="00EC2C94"/>
    <w:rsid w:val="00EC66BC"/>
    <w:rsid w:val="00F26A4A"/>
    <w:rsid w:val="00F27B21"/>
    <w:rsid w:val="00F367C0"/>
    <w:rsid w:val="00F40B36"/>
    <w:rsid w:val="00F43110"/>
    <w:rsid w:val="00F54FBC"/>
    <w:rsid w:val="00F77167"/>
    <w:rsid w:val="00F87CB1"/>
    <w:rsid w:val="00F90B8B"/>
    <w:rsid w:val="00F922BA"/>
    <w:rsid w:val="00F93F60"/>
    <w:rsid w:val="00FD288C"/>
    <w:rsid w:val="00FD38C0"/>
    <w:rsid w:val="00FD7108"/>
    <w:rsid w:val="00FE4234"/>
    <w:rsid w:val="00FE5DC2"/>
    <w:rsid w:val="00FE76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630E"/>
  <w15:chartTrackingRefBased/>
  <w15:docId w15:val="{C1419440-4E96-47F5-A122-3F5117B1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BB"/>
  </w:style>
  <w:style w:type="paragraph" w:styleId="Heading1">
    <w:name w:val="heading 1"/>
    <w:basedOn w:val="Normal"/>
    <w:next w:val="Normal"/>
    <w:link w:val="Heading1Char"/>
    <w:uiPriority w:val="9"/>
    <w:qFormat/>
    <w:rsid w:val="007A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CED"/>
    <w:rPr>
      <w:rFonts w:eastAsiaTheme="majorEastAsia" w:cstheme="majorBidi"/>
      <w:color w:val="272727" w:themeColor="text1" w:themeTint="D8"/>
    </w:rPr>
  </w:style>
  <w:style w:type="paragraph" w:styleId="Title">
    <w:name w:val="Title"/>
    <w:basedOn w:val="Normal"/>
    <w:next w:val="Normal"/>
    <w:link w:val="TitleChar"/>
    <w:uiPriority w:val="10"/>
    <w:qFormat/>
    <w:rsid w:val="007A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ED"/>
    <w:pPr>
      <w:spacing w:before="160"/>
      <w:jc w:val="center"/>
    </w:pPr>
    <w:rPr>
      <w:i/>
      <w:iCs/>
      <w:color w:val="404040" w:themeColor="text1" w:themeTint="BF"/>
    </w:rPr>
  </w:style>
  <w:style w:type="character" w:customStyle="1" w:styleId="QuoteChar">
    <w:name w:val="Quote Char"/>
    <w:basedOn w:val="DefaultParagraphFont"/>
    <w:link w:val="Quote"/>
    <w:uiPriority w:val="29"/>
    <w:rsid w:val="007A3CED"/>
    <w:rPr>
      <w:i/>
      <w:iCs/>
      <w:color w:val="404040" w:themeColor="text1" w:themeTint="BF"/>
    </w:rPr>
  </w:style>
  <w:style w:type="paragraph" w:styleId="ListParagraph">
    <w:name w:val="List Paragraph"/>
    <w:basedOn w:val="Normal"/>
    <w:uiPriority w:val="34"/>
    <w:qFormat/>
    <w:rsid w:val="007A3CED"/>
    <w:pPr>
      <w:ind w:left="720"/>
      <w:contextualSpacing/>
    </w:pPr>
  </w:style>
  <w:style w:type="character" w:styleId="IntenseEmphasis">
    <w:name w:val="Intense Emphasis"/>
    <w:basedOn w:val="DefaultParagraphFont"/>
    <w:uiPriority w:val="21"/>
    <w:qFormat/>
    <w:rsid w:val="007A3CED"/>
    <w:rPr>
      <w:i/>
      <w:iCs/>
      <w:color w:val="0F4761" w:themeColor="accent1" w:themeShade="BF"/>
    </w:rPr>
  </w:style>
  <w:style w:type="paragraph" w:styleId="IntenseQuote">
    <w:name w:val="Intense Quote"/>
    <w:basedOn w:val="Normal"/>
    <w:next w:val="Normal"/>
    <w:link w:val="IntenseQuoteChar"/>
    <w:uiPriority w:val="30"/>
    <w:qFormat/>
    <w:rsid w:val="007A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ED"/>
    <w:rPr>
      <w:i/>
      <w:iCs/>
      <w:color w:val="0F4761" w:themeColor="accent1" w:themeShade="BF"/>
    </w:rPr>
  </w:style>
  <w:style w:type="character" w:styleId="IntenseReference">
    <w:name w:val="Intense Reference"/>
    <w:basedOn w:val="DefaultParagraphFont"/>
    <w:uiPriority w:val="32"/>
    <w:qFormat/>
    <w:rsid w:val="007A3CED"/>
    <w:rPr>
      <w:b/>
      <w:bCs/>
      <w:smallCaps/>
      <w:color w:val="0F4761" w:themeColor="accent1" w:themeShade="BF"/>
      <w:spacing w:val="5"/>
    </w:rPr>
  </w:style>
  <w:style w:type="character" w:styleId="Hyperlink">
    <w:name w:val="Hyperlink"/>
    <w:basedOn w:val="DefaultParagraphFont"/>
    <w:uiPriority w:val="99"/>
    <w:unhideWhenUsed/>
    <w:rsid w:val="00E712CB"/>
    <w:rPr>
      <w:color w:val="467886" w:themeColor="hyperlink"/>
      <w:u w:val="single"/>
    </w:rPr>
  </w:style>
  <w:style w:type="character" w:styleId="UnresolvedMention">
    <w:name w:val="Unresolved Mention"/>
    <w:basedOn w:val="DefaultParagraphFont"/>
    <w:uiPriority w:val="99"/>
    <w:semiHidden/>
    <w:unhideWhenUsed/>
    <w:rsid w:val="00E712CB"/>
    <w:rPr>
      <w:color w:val="605E5C"/>
      <w:shd w:val="clear" w:color="auto" w:fill="E1DFDD"/>
    </w:rPr>
  </w:style>
  <w:style w:type="character" w:styleId="FollowedHyperlink">
    <w:name w:val="FollowedHyperlink"/>
    <w:basedOn w:val="DefaultParagraphFont"/>
    <w:uiPriority w:val="99"/>
    <w:semiHidden/>
    <w:unhideWhenUsed/>
    <w:rsid w:val="00827FFE"/>
    <w:rPr>
      <w:color w:val="96607D" w:themeColor="followedHyperlink"/>
      <w:u w:val="single"/>
    </w:rPr>
  </w:style>
  <w:style w:type="paragraph" w:styleId="Header">
    <w:name w:val="header"/>
    <w:basedOn w:val="Normal"/>
    <w:link w:val="HeaderChar"/>
    <w:uiPriority w:val="99"/>
    <w:unhideWhenUsed/>
    <w:rsid w:val="00AA0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58"/>
  </w:style>
  <w:style w:type="paragraph" w:styleId="Footer">
    <w:name w:val="footer"/>
    <w:basedOn w:val="Normal"/>
    <w:link w:val="FooterChar"/>
    <w:uiPriority w:val="99"/>
    <w:unhideWhenUsed/>
    <w:rsid w:val="00AA0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432231">
      <w:bodyDiv w:val="1"/>
      <w:marLeft w:val="0"/>
      <w:marRight w:val="0"/>
      <w:marTop w:val="0"/>
      <w:marBottom w:val="0"/>
      <w:divBdr>
        <w:top w:val="none" w:sz="0" w:space="0" w:color="auto"/>
        <w:left w:val="none" w:sz="0" w:space="0" w:color="auto"/>
        <w:bottom w:val="none" w:sz="0" w:space="0" w:color="auto"/>
        <w:right w:val="none" w:sz="0" w:space="0" w:color="auto"/>
      </w:divBdr>
    </w:div>
    <w:div w:id="850218017">
      <w:bodyDiv w:val="1"/>
      <w:marLeft w:val="0"/>
      <w:marRight w:val="0"/>
      <w:marTop w:val="0"/>
      <w:marBottom w:val="0"/>
      <w:divBdr>
        <w:top w:val="none" w:sz="0" w:space="0" w:color="auto"/>
        <w:left w:val="none" w:sz="0" w:space="0" w:color="auto"/>
        <w:bottom w:val="none" w:sz="0" w:space="0" w:color="auto"/>
        <w:right w:val="none" w:sz="0" w:space="0" w:color="auto"/>
      </w:divBdr>
      <w:divsChild>
        <w:div w:id="28805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819783">
      <w:bodyDiv w:val="1"/>
      <w:marLeft w:val="0"/>
      <w:marRight w:val="0"/>
      <w:marTop w:val="0"/>
      <w:marBottom w:val="0"/>
      <w:divBdr>
        <w:top w:val="none" w:sz="0" w:space="0" w:color="auto"/>
        <w:left w:val="none" w:sz="0" w:space="0" w:color="auto"/>
        <w:bottom w:val="none" w:sz="0" w:space="0" w:color="auto"/>
        <w:right w:val="none" w:sz="0" w:space="0" w:color="auto"/>
      </w:divBdr>
    </w:div>
    <w:div w:id="1399211978">
      <w:bodyDiv w:val="1"/>
      <w:marLeft w:val="0"/>
      <w:marRight w:val="0"/>
      <w:marTop w:val="0"/>
      <w:marBottom w:val="0"/>
      <w:divBdr>
        <w:top w:val="none" w:sz="0" w:space="0" w:color="auto"/>
        <w:left w:val="none" w:sz="0" w:space="0" w:color="auto"/>
        <w:bottom w:val="none" w:sz="0" w:space="0" w:color="auto"/>
        <w:right w:val="none" w:sz="0" w:space="0" w:color="auto"/>
      </w:divBdr>
    </w:div>
    <w:div w:id="2024670730">
      <w:bodyDiv w:val="1"/>
      <w:marLeft w:val="0"/>
      <w:marRight w:val="0"/>
      <w:marTop w:val="0"/>
      <w:marBottom w:val="0"/>
      <w:divBdr>
        <w:top w:val="none" w:sz="0" w:space="0" w:color="auto"/>
        <w:left w:val="none" w:sz="0" w:space="0" w:color="auto"/>
        <w:bottom w:val="none" w:sz="0" w:space="0" w:color="auto"/>
        <w:right w:val="none" w:sz="0" w:space="0" w:color="auto"/>
      </w:divBdr>
    </w:div>
    <w:div w:id="2127388299">
      <w:bodyDiv w:val="1"/>
      <w:marLeft w:val="0"/>
      <w:marRight w:val="0"/>
      <w:marTop w:val="0"/>
      <w:marBottom w:val="0"/>
      <w:divBdr>
        <w:top w:val="none" w:sz="0" w:space="0" w:color="auto"/>
        <w:left w:val="none" w:sz="0" w:space="0" w:color="auto"/>
        <w:bottom w:val="none" w:sz="0" w:space="0" w:color="auto"/>
        <w:right w:val="none" w:sz="0" w:space="0" w:color="auto"/>
      </w:divBdr>
      <w:divsChild>
        <w:div w:id="440999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sohag.journals.ekb.eg/article_380780_471cf5c517c641b0abff4846e2bcfc0b.pdf" TargetMode="External"/><Relationship Id="rId18" Type="http://schemas.openxmlformats.org/officeDocument/2006/relationships/hyperlink" Target="https://journals.ekb.eg/article_143664.html" TargetMode="External"/><Relationship Id="rId26" Type="http://schemas.openxmlformats.org/officeDocument/2006/relationships/hyperlink" Target="https://doi.org/10.1177/0149206318757018" TargetMode="External"/><Relationship Id="rId39" Type="http://schemas.openxmlformats.org/officeDocument/2006/relationships/theme" Target="theme/theme1.xml"/><Relationship Id="rId21" Type="http://schemas.openxmlformats.org/officeDocument/2006/relationships/hyperlink" Target="https://www.mdpi.com/2071-1050/12/20/8372" TargetMode="External"/><Relationship Id="rId34" Type="http://schemas.openxmlformats.org/officeDocument/2006/relationships/hyperlink" Target="https://bookstore.emerald.com/media/openaccess/9781802626858.pdf" TargetMode="External"/><Relationship Id="rId7" Type="http://schemas.openxmlformats.org/officeDocument/2006/relationships/endnotes" Target="endnotes.xml"/><Relationship Id="rId12" Type="http://schemas.openxmlformats.org/officeDocument/2006/relationships/hyperlink" Target="https://sjrbs.journals.ekb.eg/article_274096_7f82f33deb578578145798409abd7fdf.pdf" TargetMode="External"/><Relationship Id="rId17" Type="http://schemas.openxmlformats.org/officeDocument/2006/relationships/hyperlink" Target="https://safq.journals.ekb.eg/article_229990.html" TargetMode="External"/><Relationship Id="rId25" Type="http://schemas.openxmlformats.org/officeDocument/2006/relationships/hyperlink" Target="https://www.mdpi.com/2071-1050/17/21/9909" TargetMode="External"/><Relationship Id="rId33" Type="http://schemas.openxmlformats.org/officeDocument/2006/relationships/hyperlink" Target="https://doi.org/10.3389/fpsyg.2024.143912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ces.journals.ekb.eg/article_168682_eecafa389d3a4360904413163ed6e2b8.pdf" TargetMode="External"/><Relationship Id="rId20" Type="http://schemas.openxmlformats.org/officeDocument/2006/relationships/hyperlink" Target="https://search.shamaa.org/PDF/Articles/EGDti/DtiVol28No12P4Y2022/dti_2022-v28-n12-p4_099-226.pdf" TargetMode="External"/><Relationship Id="rId29" Type="http://schemas.openxmlformats.org/officeDocument/2006/relationships/hyperlink" Target="https://doi.org/10.1080/09585192.2022.20322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urnals.ajsrp.com/index.php/jeps/article/download/6050/5795" TargetMode="External"/><Relationship Id="rId24" Type="http://schemas.openxmlformats.org/officeDocument/2006/relationships/hyperlink" Target="https://www.mdpi.com/2071-1050/17/24/11215" TargetMode="External"/><Relationship Id="rId32" Type="http://schemas.openxmlformats.org/officeDocument/2006/relationships/hyperlink" Target="https://doi.org/10.3390/su1707327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ces.journals.ekb.eg/article_390228_98d1a33235382d190451148efea3c59d.pdf" TargetMode="External"/><Relationship Id="rId23" Type="http://schemas.openxmlformats.org/officeDocument/2006/relationships/hyperlink" Target="https://www.mdpi.com/2673-8104/4/4/32" TargetMode="External"/><Relationship Id="rId28" Type="http://schemas.openxmlformats.org/officeDocument/2006/relationships/hyperlink" Target="https://doi.org/10.1080/2331186X.2025.2482455" TargetMode="External"/><Relationship Id="rId36" Type="http://schemas.openxmlformats.org/officeDocument/2006/relationships/hyperlink" Target="https://www.frontiersin.org/articles/10.3389/frsus.2026.1741640/full" TargetMode="External"/><Relationship Id="rId10" Type="http://schemas.openxmlformats.org/officeDocument/2006/relationships/hyperlink" Target="https://search.shamaa.org/PDF/Articles/YEAjqahe/45AjqaheVol13No45Y2020/ajqahe_2020-v13-n45_065-096.pdf" TargetMode="External"/><Relationship Id="rId19" Type="http://schemas.openxmlformats.org/officeDocument/2006/relationships/hyperlink" Target="https://cfdj.journals.ekb.eg/article_259980_dd499ee2ce5f82cd597a60197262f2d7.pdf" TargetMode="External"/><Relationship Id="rId31" Type="http://schemas.openxmlformats.org/officeDocument/2006/relationships/hyperlink" Target="https://doi.org/10.3390/systems120501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ournals.ajsrp.com/index.php/jeals/article/download/5516/5260" TargetMode="External"/><Relationship Id="rId22" Type="http://schemas.openxmlformats.org/officeDocument/2006/relationships/hyperlink" Target="https://doi.org/10.1016/j.jwb.2013.11.001" TargetMode="External"/><Relationship Id="rId27" Type="http://schemas.openxmlformats.org/officeDocument/2006/relationships/hyperlink" Target="https://doi.org/10.1080/09585192.2019.1642645" TargetMode="External"/><Relationship Id="rId30" Type="http://schemas.openxmlformats.org/officeDocument/2006/relationships/hyperlink" Target="https://doi.org/10.3390/ijerph17134827" TargetMode="External"/><Relationship Id="rId35" Type="http://schemas.openxmlformats.org/officeDocument/2006/relationships/hyperlink" Target="https://doi.org/10.3389/fpsyg.2024.127264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C4EC-8D65-45D0-800C-FDB601B8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21</Pages>
  <Words>4766</Words>
  <Characters>27168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 مطر</cp:lastModifiedBy>
  <cp:revision>13</cp:revision>
  <dcterms:created xsi:type="dcterms:W3CDTF">2026-06-27T17:52:00Z</dcterms:created>
  <dcterms:modified xsi:type="dcterms:W3CDTF">2026-06-27T22:05:00Z</dcterms:modified>
</cp:coreProperties>
</file>