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spacing w:before="100" w:beforeAutospacing="1" w:after="100" w:afterAutospacing="1" w:line="276" w:lineRule="auto"/>
        <w:jc w:val="both"/>
        <w:rPr>
          <w:rFonts w:ascii="Simplified Arabic" w:hAnsi="Simplified Arabic" w:cs="Simplified Arabic"/>
          <w:b/>
          <w:bCs/>
          <w:color w:val="000000" w:themeColor="text1"/>
          <w:sz w:val="32"/>
          <w:szCs w:val="32"/>
          <w:lang w:bidi="ar-EG"/>
          <w14:textFill>
            <w14:solidFill>
              <w14:schemeClr w14:val="tx1"/>
            </w14:solidFill>
          </w14:textFill>
        </w:rPr>
      </w:pPr>
      <w:bookmarkStart w:id="54" w:name="_GoBack"/>
      <w:bookmarkEnd w:id="54"/>
      <w:r>
        <w:rPr>
          <w:rFonts w:ascii="Simplified Arabic" w:hAnsi="Simplified Arabic" w:cs="Simplified Arabic"/>
          <w:b/>
          <w:bCs/>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margin">
              <wp:posOffset>95250</wp:posOffset>
            </wp:positionH>
            <wp:positionV relativeFrom="margin">
              <wp:posOffset>-133350</wp:posOffset>
            </wp:positionV>
            <wp:extent cx="1548765" cy="143764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8765" cy="1437343"/>
                    </a:xfrm>
                    <a:prstGeom prst="rect">
                      <a:avLst/>
                    </a:prstGeom>
                  </pic:spPr>
                </pic:pic>
              </a:graphicData>
            </a:graphic>
          </wp:anchor>
        </w:drawing>
      </w:r>
      <w:r>
        <w:rPr>
          <w:rFonts w:ascii="Simplified Arabic" w:hAnsi="Simplified Arabic" w:cs="Simplified Arabic"/>
          <w:b/>
          <w:bCs/>
          <w:color w:val="000000" w:themeColor="text1"/>
          <w:sz w:val="32"/>
          <w:szCs w:val="32"/>
          <w:rtl/>
          <w:lang w:bidi="ar-EG"/>
          <w14:textFill>
            <w14:solidFill>
              <w14:schemeClr w14:val="tx1"/>
            </w14:solidFill>
          </w14:textFill>
        </w:rPr>
        <w:t xml:space="preserve">جامعة ميدأوشن </w:t>
      </w:r>
    </w:p>
    <w:p w14:paraId="1E95700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14:textFill>
            <w14:solidFill>
              <w14:schemeClr w14:val="tx1"/>
            </w14:solidFill>
          </w14:textFill>
        </w:rPr>
      </w:pPr>
      <w:r>
        <w:rPr>
          <w:rFonts w:ascii="Simplified Arabic" w:hAnsi="Simplified Arabic" w:cs="Simplified Arabic"/>
          <w:b/>
          <w:bCs/>
          <w:color w:val="000000" w:themeColor="text1"/>
          <w:sz w:val="32"/>
          <w:szCs w:val="32"/>
          <w:lang w:bidi="ar-EG"/>
          <w14:textFill>
            <w14:solidFill>
              <w14:schemeClr w14:val="tx1"/>
            </w14:solidFill>
          </w14:textFill>
        </w:rPr>
        <w:t xml:space="preserve"> </w:t>
      </w:r>
      <w:r>
        <w:rPr>
          <w:rFonts w:ascii="Simplified Arabic" w:hAnsi="Simplified Arabic" w:cs="Simplified Arabic"/>
          <w:b/>
          <w:bCs/>
          <w:color w:val="000000" w:themeColor="text1"/>
          <w:sz w:val="32"/>
          <w:szCs w:val="32"/>
          <w:rtl/>
          <w:lang w:bidi="ar-EG"/>
          <w14:textFill>
            <w14:solidFill>
              <w14:schemeClr w14:val="tx1"/>
            </w14:solidFill>
          </w14:textFill>
        </w:rPr>
        <w:t xml:space="preserve">كلية الإدارة </w:t>
      </w:r>
    </w:p>
    <w:p w14:paraId="0217C51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14:textFill>
            <w14:solidFill>
              <w14:schemeClr w14:val="tx1"/>
            </w14:solidFill>
          </w14:textFill>
        </w:rPr>
      </w:pPr>
      <w:r>
        <w:rPr>
          <w:rFonts w:ascii="Simplified Arabic" w:hAnsi="Simplified Arabic" w:cs="Simplified Arabic"/>
          <w:b/>
          <w:bCs/>
          <w:color w:val="000000" w:themeColor="text1"/>
          <w:sz w:val="32"/>
          <w:szCs w:val="32"/>
          <w:rtl/>
          <w:lang w:bidi="ar-EG"/>
          <w14:textFill>
            <w14:solidFill>
              <w14:schemeClr w14:val="tx1"/>
            </w14:solidFill>
          </w14:textFill>
        </w:rPr>
        <w:t>تخصص اداره المخاطر</w:t>
      </w:r>
    </w:p>
    <w:p w14:paraId="4976DED4">
      <w:pPr>
        <w:spacing w:before="100" w:beforeAutospacing="1" w:after="100" w:afterAutospacing="1" w:line="276" w:lineRule="auto"/>
        <w:jc w:val="both"/>
        <w:rPr>
          <w:rFonts w:ascii="Simplified Arabic" w:hAnsi="Simplified Arabic" w:cs="Simplified Arabic"/>
          <w:color w:val="000000" w:themeColor="text1"/>
          <w:sz w:val="28"/>
          <w:szCs w:val="28"/>
          <w:lang w:bidi="ar-EG"/>
          <w14:textFill>
            <w14:solidFill>
              <w14:schemeClr w14:val="tx1"/>
            </w14:solidFill>
          </w14:textFill>
        </w:rPr>
      </w:pPr>
    </w:p>
    <w:p w14:paraId="4CF3FB38">
      <w:pPr>
        <w:spacing w:before="100" w:beforeAutospacing="1" w:after="100" w:afterAutospacing="1" w:line="276" w:lineRule="auto"/>
        <w:jc w:val="center"/>
        <w:rPr>
          <w:rFonts w:ascii="Simplified Arabic" w:hAnsi="Simplified Arabic" w:cs="Simplified Arabic"/>
          <w:b/>
          <w:bCs/>
          <w:color w:val="000000" w:themeColor="text1"/>
          <w:sz w:val="40"/>
          <w:szCs w:val="40"/>
          <w14:textFill>
            <w14:solidFill>
              <w14:schemeClr w14:val="tx1"/>
            </w14:solidFill>
          </w14:textFill>
        </w:rPr>
      </w:pPr>
      <w:r>
        <w:rPr>
          <w:rFonts w:ascii="Simplified Arabic" w:hAnsi="Simplified Arabic" w:cs="Simplified Arabic"/>
          <w:b/>
          <w:bCs/>
          <w:color w:val="000000" w:themeColor="text1"/>
          <w:sz w:val="40"/>
          <w:szCs w:val="40"/>
          <w:rtl/>
          <w14:textFill>
            <w14:solidFill>
              <w14:schemeClr w14:val="tx1"/>
            </w14:solidFill>
          </w14:textFill>
        </w:rPr>
        <w:t>أثر إدارة مخاطر البيانات والتقنية على دقة التنبؤات ودعم القرار في الأرصاد الجوية: دراسة ميدانية على العاملين في الأرصاد الجوية بالمملكة العربية السعودية</w:t>
      </w:r>
    </w:p>
    <w:p w14:paraId="751A7E6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14:textFill>
            <w14:solidFill>
              <w14:schemeClr w14:val="tx1"/>
            </w14:solidFill>
          </w14:textFill>
        </w:rPr>
      </w:pPr>
      <w:r>
        <w:rPr>
          <w:rFonts w:ascii="Simplified Arabic" w:hAnsi="Simplified Arabic" w:cs="Simplified Arabic"/>
          <w:b/>
          <w:bCs/>
          <w:color w:val="000000" w:themeColor="text1"/>
          <w:sz w:val="36"/>
          <w:szCs w:val="36"/>
          <w:rtl/>
          <w:lang w:bidi="ar-EG"/>
          <w14:textFill>
            <w14:solidFill>
              <w14:schemeClr w14:val="tx1"/>
            </w14:solidFill>
          </w14:textFill>
        </w:rPr>
        <w:t>إعداد الطالب/</w:t>
      </w:r>
    </w:p>
    <w:p w14:paraId="1C5BDDC4">
      <w:pPr>
        <w:spacing w:before="100" w:beforeAutospacing="1" w:after="100" w:afterAutospacing="1" w:line="276" w:lineRule="auto"/>
        <w:jc w:val="center"/>
        <w:rPr>
          <w:rFonts w:ascii="Simplified Arabic" w:hAnsi="Simplified Arabic" w:cs="Simplified Arabic"/>
          <w:b/>
          <w:bCs/>
          <w:color w:val="000000" w:themeColor="text1"/>
          <w:sz w:val="36"/>
          <w:szCs w:val="36"/>
          <w14:textFill>
            <w14:solidFill>
              <w14:schemeClr w14:val="tx1"/>
            </w14:solidFill>
          </w14:textFill>
        </w:rPr>
      </w:pPr>
      <w:r>
        <w:rPr>
          <w:rFonts w:ascii="Simplified Arabic" w:hAnsi="Simplified Arabic" w:cs="Simplified Arabic"/>
          <w:b/>
          <w:bCs/>
          <w:color w:val="000000" w:themeColor="text1"/>
          <w:sz w:val="36"/>
          <w:szCs w:val="36"/>
          <w:rtl/>
          <w:lang w:bidi="ar-EG"/>
          <w14:textFill>
            <w14:solidFill>
              <w14:schemeClr w14:val="tx1"/>
            </w14:solidFill>
          </w14:textFill>
        </w:rPr>
        <w:t>أنور عبدالعزيز الشيخ / 25300108</w:t>
      </w:r>
    </w:p>
    <w:p w14:paraId="0B57790E">
      <w:pPr>
        <w:spacing w:before="100" w:beforeAutospacing="1" w:after="100" w:afterAutospacing="1" w:line="276" w:lineRule="auto"/>
        <w:jc w:val="center"/>
        <w:rPr>
          <w:rFonts w:ascii="Simplified Arabic" w:hAnsi="Simplified Arabic" w:cs="Simplified Arabic"/>
          <w:b/>
          <w:bCs/>
          <w:color w:val="000000" w:themeColor="text1"/>
          <w:sz w:val="36"/>
          <w:szCs w:val="36"/>
          <w:lang w:bidi="ar-EG"/>
          <w14:textFill>
            <w14:solidFill>
              <w14:schemeClr w14:val="tx1"/>
            </w14:solidFill>
          </w14:textFill>
        </w:rPr>
      </w:pPr>
    </w:p>
    <w:tbl>
      <w:tblPr>
        <w:tblStyle w:val="17"/>
        <w:bidiVisual/>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0"/>
        <w:gridCol w:w="4531"/>
      </w:tblGrid>
      <w:tr w14:paraId="4B92F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64BF23A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14:textFill>
                  <w14:solidFill>
                    <w14:schemeClr w14:val="tx1"/>
                  </w14:solidFill>
                </w14:textFill>
              </w:rPr>
            </w:pPr>
            <w:r>
              <w:rPr>
                <w:rFonts w:hint="cs" w:ascii="Simplified Arabic" w:hAnsi="Simplified Arabic" w:cs="Simplified Arabic"/>
                <w:b/>
                <w:bCs/>
                <w:color w:val="000000" w:themeColor="text1"/>
                <w:sz w:val="36"/>
                <w:szCs w:val="36"/>
                <w:rtl/>
                <w:lang w:bidi="ar-EG"/>
                <w14:textFill>
                  <w14:solidFill>
                    <w14:schemeClr w14:val="tx1"/>
                  </w14:solidFill>
                </w14:textFill>
              </w:rPr>
              <w:t>المشرف الرئيسي/</w:t>
            </w:r>
          </w:p>
        </w:tc>
        <w:tc>
          <w:tcPr>
            <w:tcW w:w="4531" w:type="dxa"/>
          </w:tcPr>
          <w:p w14:paraId="13C6C57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14:textFill>
                  <w14:solidFill>
                    <w14:schemeClr w14:val="tx1"/>
                  </w14:solidFill>
                </w14:textFill>
              </w:rPr>
            </w:pPr>
            <w:r>
              <w:rPr>
                <w:rFonts w:hint="cs" w:ascii="Simplified Arabic" w:hAnsi="Simplified Arabic" w:cs="Simplified Arabic"/>
                <w:b/>
                <w:bCs/>
                <w:color w:val="000000" w:themeColor="text1"/>
                <w:sz w:val="36"/>
                <w:szCs w:val="36"/>
                <w:rtl/>
                <w:lang w:bidi="ar-EG"/>
                <w14:textFill>
                  <w14:solidFill>
                    <w14:schemeClr w14:val="tx1"/>
                  </w14:solidFill>
                </w14:textFill>
              </w:rPr>
              <w:t>المشرف الثاني/</w:t>
            </w:r>
          </w:p>
        </w:tc>
      </w:tr>
      <w:tr w14:paraId="62662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5F6A106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14:textFill>
                  <w14:solidFill>
                    <w14:schemeClr w14:val="tx1"/>
                  </w14:solidFill>
                </w14:textFill>
              </w:rPr>
            </w:pPr>
            <w:r>
              <w:rPr>
                <w:rFonts w:ascii="Simplified Arabic" w:hAnsi="Simplified Arabic" w:eastAsia="Calibri" w:cs="Simplified Arabic"/>
                <w:color w:val="000000" w:themeColor="text1"/>
                <w:kern w:val="0"/>
                <w:sz w:val="36"/>
                <w:szCs w:val="36"/>
                <w:rtl/>
                <w:lang w:bidi="ar-EG"/>
                <w14:textFill>
                  <w14:solidFill>
                    <w14:schemeClr w14:val="tx1"/>
                  </w14:solidFill>
                </w14:textFill>
                <w14:ligatures w14:val="none"/>
              </w:rPr>
              <w:t>د. الفيصل عبد الحميد</w:t>
            </w:r>
          </w:p>
        </w:tc>
        <w:tc>
          <w:tcPr>
            <w:tcW w:w="4531" w:type="dxa"/>
          </w:tcPr>
          <w:p w14:paraId="030498C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14:textFill>
                  <w14:solidFill>
                    <w14:schemeClr w14:val="tx1"/>
                  </w14:solidFill>
                </w14:textFill>
              </w:rPr>
            </w:pPr>
            <w:r>
              <w:rPr>
                <w:rFonts w:ascii="Simplified Arabic" w:hAnsi="Simplified Arabic" w:eastAsia="Calibri" w:cs="Simplified Arabic"/>
                <w:color w:val="000000" w:themeColor="text1"/>
                <w:kern w:val="0"/>
                <w:sz w:val="36"/>
                <w:szCs w:val="36"/>
                <w:rtl/>
                <w:lang w:bidi="ar-EG"/>
                <w14:textFill>
                  <w14:solidFill>
                    <w14:schemeClr w14:val="tx1"/>
                  </w14:solidFill>
                </w14:textFill>
                <w14:ligatures w14:val="none"/>
              </w:rPr>
              <w:t>د.فايز جراد</w:t>
            </w:r>
          </w:p>
        </w:tc>
      </w:tr>
    </w:tbl>
    <w:p w14:paraId="05141D9C">
      <w:pPr>
        <w:spacing w:before="100" w:beforeAutospacing="1" w:after="100" w:afterAutospacing="1" w:line="276" w:lineRule="auto"/>
        <w:jc w:val="center"/>
        <w:rPr>
          <w:rFonts w:ascii="Simplified Arabic" w:hAnsi="Simplified Arabic" w:cs="Simplified Arabic"/>
          <w:b/>
          <w:bCs/>
          <w:color w:val="000000" w:themeColor="text1"/>
          <w:sz w:val="36"/>
          <w:szCs w:val="36"/>
          <w:lang w:bidi="ar-EG"/>
          <w14:textFill>
            <w14:solidFill>
              <w14:schemeClr w14:val="tx1"/>
            </w14:solidFill>
          </w14:textFill>
        </w:rPr>
      </w:pPr>
      <w:r>
        <w:rPr>
          <w:rFonts w:ascii="Simplified Arabic" w:hAnsi="Simplified Arabic" w:cs="Simplified Arabic"/>
          <w:b/>
          <w:bCs/>
          <w:color w:val="000000" w:themeColor="text1"/>
          <w:sz w:val="36"/>
          <w:szCs w:val="36"/>
          <w:rtl/>
          <w:lang w:bidi="ar-EG"/>
          <w14:textFill>
            <w14:solidFill>
              <w14:schemeClr w14:val="tx1"/>
            </w14:solidFill>
          </w14:textFill>
        </w:rPr>
        <w:t>العام الدراسي:</w:t>
      </w:r>
    </w:p>
    <w:p w14:paraId="6FC099FF">
      <w:pPr>
        <w:spacing w:before="100" w:beforeAutospacing="1" w:after="100" w:afterAutospacing="1" w:line="276" w:lineRule="auto"/>
        <w:jc w:val="center"/>
        <w:rPr>
          <w:rFonts w:ascii="Simplified Arabic" w:hAnsi="Simplified Arabic" w:cs="Simplified Arabic"/>
          <w:color w:val="000000" w:themeColor="text1"/>
          <w:sz w:val="36"/>
          <w:szCs w:val="36"/>
          <w:lang w:bidi="ar-EG"/>
          <w14:textFill>
            <w14:solidFill>
              <w14:schemeClr w14:val="tx1"/>
            </w14:solidFill>
          </w14:textFill>
        </w:rPr>
        <w:sectPr>
          <w:footerReference r:id="rId5" w:type="default"/>
          <w:type w:val="continuous"/>
          <w:pgSz w:w="11906" w:h="16838"/>
          <w:pgMar w:top="1134" w:right="1701" w:bottom="1134" w:left="1134" w:header="720" w:footer="720" w:gutter="0"/>
          <w:pgNumType w:fmt="arabicAbjad" w:start="1"/>
          <w:cols w:space="708" w:num="1"/>
          <w:bidi/>
          <w:rtlGutter w:val="1"/>
          <w:docGrid w:linePitch="360" w:charSpace="0"/>
        </w:sectPr>
      </w:pPr>
      <w:r>
        <w:rPr>
          <w:rFonts w:ascii="Simplified Arabic" w:hAnsi="Simplified Arabic" w:cs="Simplified Arabic"/>
          <w:color w:val="000000" w:themeColor="text1"/>
          <w:sz w:val="36"/>
          <w:szCs w:val="36"/>
          <w:lang w:bidi="ar-EG"/>
          <w14:textFill>
            <w14:solidFill>
              <w14:schemeClr w14:val="tx1"/>
            </w14:solidFill>
          </w14:textFill>
        </w:rPr>
        <w:t>1448 – 2026</w:t>
      </w:r>
    </w:p>
    <w:p w14:paraId="35CBC13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14:textFill>
            <w14:solidFill>
              <w14:schemeClr w14:val="tx1"/>
            </w14:solidFill>
          </w14:textFill>
        </w:rPr>
      </w:pPr>
    </w:p>
    <w:p w14:paraId="0AEA3C5E">
      <w:pPr>
        <w:spacing w:before="100" w:beforeAutospacing="1" w:after="100" w:afterAutospacing="1" w:line="276" w:lineRule="auto"/>
        <w:jc w:val="both"/>
        <w:rPr>
          <w:rFonts w:ascii="Simplified Arabic" w:hAnsi="Simplified Arabic" w:cs="Simplified Arabic"/>
          <w:color w:val="000000" w:themeColor="text1"/>
          <w:sz w:val="28"/>
          <w:szCs w:val="28"/>
          <w:rtl/>
          <w:lang w:bidi="ar-EG"/>
          <w14:textFill>
            <w14:solidFill>
              <w14:schemeClr w14:val="tx1"/>
            </w14:solidFill>
          </w14:textFill>
        </w:rPr>
        <w:sectPr>
          <w:footerReference r:id="rId6" w:type="default"/>
          <w:type w:val="continuous"/>
          <w:pgSz w:w="11906" w:h="16838"/>
          <w:pgMar w:top="1134" w:right="1701" w:bottom="1134" w:left="1134" w:header="720" w:footer="720" w:gutter="0"/>
          <w:pgNumType w:fmt="arabicAbjad" w:start="1"/>
          <w:cols w:space="708" w:num="1"/>
          <w:bidi/>
          <w:rtlGutter w:val="1"/>
          <w:docGrid w:linePitch="360" w:charSpace="0"/>
        </w:sectPr>
      </w:pPr>
    </w:p>
    <w:p w14:paraId="1E7B59C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14:textFill>
            <w14:solidFill>
              <w14:schemeClr w14:val="tx1"/>
            </w14:solidFill>
          </w14:textFill>
        </w:rPr>
      </w:pPr>
      <w:bookmarkStart w:id="0" w:name="_Toc233883854"/>
      <w:bookmarkStart w:id="1" w:name="_Hlk172151144"/>
      <w:bookmarkStart w:id="2" w:name="_Toc169790489"/>
      <w:r>
        <w:rPr>
          <w:rFonts w:hint="cs" w:ascii="Simplified Arabic" w:hAnsi="Simplified Arabic" w:cs="Simplified Arabic"/>
          <w:b/>
          <w:bCs/>
          <w:color w:val="000000" w:themeColor="text1"/>
          <w:sz w:val="40"/>
          <w:szCs w:val="40"/>
          <w:rtl/>
          <w14:textFill>
            <w14:solidFill>
              <w14:schemeClr w14:val="tx1"/>
            </w14:solidFill>
          </w14:textFill>
        </w:rPr>
        <w:t>الفصل الأول: الإطار العام للدراسة</w:t>
      </w:r>
      <w:bookmarkEnd w:id="0"/>
    </w:p>
    <w:p w14:paraId="7D2F0F8F">
      <w:pPr>
        <w:pStyle w:val="15"/>
        <w:bidi/>
        <w:spacing w:line="276" w:lineRule="auto"/>
        <w:jc w:val="both"/>
        <w:outlineLvl w:val="1"/>
        <w:rPr>
          <w:rFonts w:ascii="Simplified Arabic" w:hAnsi="Simplified Arabic" w:cs="Simplified Arabic"/>
          <w:b/>
          <w:bCs/>
          <w:color w:val="000000" w:themeColor="text1"/>
          <w:sz w:val="36"/>
          <w:szCs w:val="36"/>
          <w14:textFill>
            <w14:solidFill>
              <w14:schemeClr w14:val="tx1"/>
            </w14:solidFill>
          </w14:textFill>
        </w:rPr>
      </w:pPr>
      <w:bookmarkStart w:id="3" w:name="_Toc233883855"/>
      <w:r>
        <w:rPr>
          <w:rFonts w:hint="cs" w:ascii="Simplified Arabic" w:hAnsi="Simplified Arabic" w:cs="Simplified Arabic"/>
          <w:b/>
          <w:bCs/>
          <w:color w:val="000000" w:themeColor="text1"/>
          <w:sz w:val="36"/>
          <w:szCs w:val="36"/>
          <w:rtl/>
          <w14:textFill>
            <w14:solidFill>
              <w14:schemeClr w14:val="tx1"/>
            </w14:solidFill>
          </w14:textFill>
        </w:rPr>
        <w:t>1.1 المقدمة</w:t>
      </w:r>
      <w:bookmarkEnd w:id="3"/>
    </w:p>
    <w:p w14:paraId="073EF109">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يُعدّ التطور المتسارع في تكنولوجيا المعلومات والاتصالات من أبرز سمات العصر الراهن، إذ أصبحت المؤسسات بمختلف أنواعها تعتمد اعتماداً جوهرياً على البنى التحتية الرقمية والأنظمة التقنية المتقدمة في تسيير عملياتها وتحقيق أهدافها الاستراتيجية. وقد أفرز هذا الاعتماد المتزايد على التكنولوجيا مخاطر متعددة ومتنامية تُهدد أمن البيانات واستمرارية العمليات وسلامة المخرجات، مما جعل إدارة مخاطر تكنولوجيا البيانات ضرورة مؤسسية لا غنى عنها لضمان تحقيق التوازن بين الاستفادة من الإمكانات التقنية والحدّ من تبعاتها السلبية المحتملة. وفي هذا الإطار، أكدت الأدبيات العلمية أن غياب منظومة فعّالة لإدارة المخاطر التقنية يُمثّل تهديداً حقيقياً لجودة البيانات وموثوقية الأنظمة واستقرار المخرجات في المؤسسات المعاصرة</w:t>
      </w:r>
      <w:r>
        <w:rPr>
          <w:rFonts w:ascii="Simplified Arabic" w:hAnsi="Simplified Arabic" w:cs="Simplified Arabic"/>
          <w:color w:val="000000" w:themeColor="text1"/>
          <w:sz w:val="28"/>
          <w:szCs w:val="28"/>
          <w14:textFill>
            <w14:solidFill>
              <w14:schemeClr w14:val="tx1"/>
            </w14:solidFill>
          </w14:textFill>
        </w:rPr>
        <w:t xml:space="preserve"> (Cremer etal., 2022).</w:t>
      </w:r>
    </w:p>
    <w:p w14:paraId="14B1A4D6">
      <w:pPr>
        <w:pStyle w:val="15"/>
        <w:bidi/>
        <w:spacing w:line="276" w:lineRule="auto"/>
        <w:ind w:firstLine="424"/>
        <w:jc w:val="both"/>
        <w:rPr>
          <w:rFonts w:ascii="Simplified Arabic" w:hAnsi="Simplified Arabic" w:cs="Simplified Arabic"/>
          <w:color w:val="000000" w:themeColor="text1"/>
          <w:sz w:val="28"/>
          <w:szCs w:val="28"/>
          <w:rtl/>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 xml:space="preserve">وتبرز إدارة مخاطر تكنولوجيا البيانات بوصفها منظومة متكاملة تشمل عدة أبعاد محورية تتضافر فيما بينها لتوفير بيئة تقنية آمنة ومستقرة؛ إذ يُشكّل تقييم المخاطر التقنية الخطوة الأولى في تحديد التهديدات ونقاط الضعف المحتملة في الأنظمة، فيما يُمثّل أمن البيانات والبنية التحتية خط الدفاع الأساسي لحماية المعلومات من الاختراق أو الفقدان، كما تضطلع حوكمة تكنولوجيا المعلومات بدور محوري في المواءمة بين الاستثمارات التقنية والأهداف المؤسسية، بينما تضمن المراقبة والتحسين المستمر استدامة فاعلية هذه المنظومة وتطويرها بصورة تراكمية (الجبلي، </w:t>
      </w:r>
      <w:r>
        <w:rPr>
          <w:rFonts w:ascii="Simplified Arabic" w:hAnsi="Simplified Arabic" w:cs="Simplified Arabic"/>
          <w:color w:val="000000" w:themeColor="text1"/>
          <w:sz w:val="28"/>
          <w:szCs w:val="28"/>
          <w14:textFill>
            <w14:solidFill>
              <w14:schemeClr w14:val="tx1"/>
            </w14:solidFill>
          </w14:textFill>
        </w:rPr>
        <w:t xml:space="preserve"> (2022</w:t>
      </w:r>
    </w:p>
    <w:p w14:paraId="7E0D72EA">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ومن بين القطاعات الحيوية التي يتجلى فيها أثر إدارة المخاطر التقنية بصورة بالغة الوضوح، يأتي قطاع الأرصاد الجوية الذي يعتمد في جوهر عمله على منظومات تقنية معقدة تشمل شبكات الرصد الآلي والأقمار الاصطناعية والنماذج العددية والحاسبات الفائقة لإنتاج تنبؤات جوية دقيقة تُشكّل ركيزة أساسية لحماية الأرواح والممتلكات،  وقد شهدت السنوات الأخيرة تحولاً نوعياً في أساليب التنبؤ الجوي مع دخول تقنيات الذكاء الاصطناعي والتعلم العميق التي أثبتت قدرات واعدة في معالجة البيانات الجوية الضخمة وتحسين دقة التنبؤات، وإن كانت لا تزال تحتاج إلى مزيد من التطوير لتحقيق الاتساق الفيزيائي وتقدير عدم اليقين، وقد أسهمت النماذج المعتمدة على البيانات في تقليص زمن التنبؤ من ساعات إلى ثوانٍ مع الحفاظ على مستويات دقة تنافسية مقارنة بالنماذج العددية التقليدية</w:t>
      </w:r>
      <w:r>
        <w:rPr>
          <w:rFonts w:ascii="Simplified Arabic" w:hAnsi="Simplified Arabic" w:cs="Simplified Arabic"/>
          <w:color w:val="000000" w:themeColor="text1"/>
          <w:sz w:val="28"/>
          <w:szCs w:val="28"/>
          <w14:textFill>
            <w14:solidFill>
              <w14:schemeClr w14:val="tx1"/>
            </w14:solidFill>
          </w14:textFill>
        </w:rPr>
        <w:t xml:space="preserve"> (Wu &amp; Xue, 2024).</w:t>
      </w:r>
    </w:p>
    <w:p w14:paraId="64FE7EA8">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ويظل التقدم التقني في مجال التنبؤات الجوية مرهوناً بمدى سلامة البيانات المُغذية للنماذج وموثوقية البنية التحتية التقنية التي تعمل من خلالها هذه الأنظمة. فالتحذيرات المبكرة الفعّالة وأنظمة دعم القرار في مؤسسات الأرصاد تعتمد على تدفق مستمر وآمن للبيانات من مصادر متعددة، وأي خلل في هذه المنظومة قد يؤدي إلى تراجع دقة التنبؤات أو تأخر وصول التحذيرات، مما يُعرّض المجتمعات لمخاطر جسيمة. وقد أكدت الدراسات أن فاعلية أنظمة دعم القرار الجوي ترتبط ارتباطاً وثيقاً بجودة البنية التقنية وأمن البيانات التي تعمل من خلالها</w:t>
      </w:r>
      <w:r>
        <w:rPr>
          <w:rFonts w:ascii="Simplified Arabic" w:hAnsi="Simplified Arabic" w:cs="Simplified Arabic"/>
          <w:color w:val="000000" w:themeColor="text1"/>
          <w:sz w:val="28"/>
          <w:szCs w:val="28"/>
          <w14:textFill>
            <w14:solidFill>
              <w14:schemeClr w14:val="tx1"/>
            </w14:solidFill>
          </w14:textFill>
        </w:rPr>
        <w:t xml:space="preserve"> (Na-Yemeh etal., 2022).</w:t>
      </w:r>
    </w:p>
    <w:p w14:paraId="124DD26B">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وتتقاطع إدارة مخاطر تكنولوجيا البيانات مع دقة التنبؤات الجوية ودعم القرار في علاقة عضوية لا يمكن فصل أحد طرفيها عن الآخر؛ فكلما ارتقت ممارسات إدارة المخاطر التقنية من حيث التقييم والتأمين والحوكمة والمراقبة المستمرة، انعكس ذلك إيجاباً على موثوقية البيانات واستقرار الأنظمة ودقة المخرجات التنبؤية وفاعلية أدوات دعم القرار. وهذا ما يجعل دراسة هذه العلاقة في سياق المركز الوطني للأرصاد بالمملكة العربية السعودية ذات أهمية بالغة، لا سيما في ظل التحولات الكبرى التي تشهدها المملكة ضمن رؤية 2030 نحو التحول الرقمي وتعزيز الأمن السيبراني وتطوير القدرات الوطنية في مجال الأرصاد والبيئة</w:t>
      </w:r>
      <w:r>
        <w:rPr>
          <w:rFonts w:ascii="Simplified Arabic" w:hAnsi="Simplified Arabic" w:cs="Simplified Arabic"/>
          <w:color w:val="000000" w:themeColor="text1"/>
          <w:sz w:val="28"/>
          <w:szCs w:val="28"/>
          <w14:textFill>
            <w14:solidFill>
              <w14:schemeClr w14:val="tx1"/>
            </w14:solidFill>
          </w14:textFill>
        </w:rPr>
        <w:t xml:space="preserve"> (Sanjaya etal., 2020).</w:t>
      </w:r>
    </w:p>
    <w:p w14:paraId="5E299D44">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 xml:space="preserve">و تسعى الدراسة الحالية إلى الكشف عن أثر إدارة مخاطر تكنولوجيا البيانات بأبعادها الأربعة </w:t>
      </w:r>
      <w:r>
        <w:rPr>
          <w:rFonts w:hint="cs" w:ascii="Simplified Arabic" w:hAnsi="Simplified Arabic" w:cs="Simplified Arabic"/>
          <w:color w:val="000000" w:themeColor="text1"/>
          <w:sz w:val="28"/>
          <w:szCs w:val="28"/>
          <w:rtl/>
          <w14:textFill>
            <w14:solidFill>
              <w14:schemeClr w14:val="tx1"/>
            </w14:solidFill>
          </w14:textFill>
        </w:rPr>
        <w:t>(</w:t>
      </w:r>
      <w:r>
        <w:rPr>
          <w:rFonts w:ascii="Simplified Arabic" w:hAnsi="Simplified Arabic" w:cs="Simplified Arabic"/>
          <w:color w:val="000000" w:themeColor="text1"/>
          <w:sz w:val="28"/>
          <w:szCs w:val="28"/>
          <w:rtl/>
          <w14:textFill>
            <w14:solidFill>
              <w14:schemeClr w14:val="tx1"/>
            </w14:solidFill>
          </w14:textFill>
        </w:rPr>
        <w:t>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 بما يُسهم في تقديم إطار علمي وعملي يُعزز من كفاءة المنظومة التقنية ويرتقي بجودة الخدمات الجوية المقدمة لمختلف القطاعات والجهات المستفيدة في المملكة .</w:t>
      </w:r>
    </w:p>
    <w:bookmarkEnd w:id="1"/>
    <w:p w14:paraId="4E131E41">
      <w:pPr>
        <w:pStyle w:val="15"/>
        <w:bidi/>
        <w:spacing w:line="276" w:lineRule="auto"/>
        <w:jc w:val="both"/>
        <w:outlineLvl w:val="1"/>
        <w:rPr>
          <w:rFonts w:ascii="Simplified Arabic" w:hAnsi="Simplified Arabic" w:cs="Simplified Arabic"/>
          <w:b/>
          <w:bCs/>
          <w:color w:val="000000" w:themeColor="text1"/>
          <w:sz w:val="36"/>
          <w:szCs w:val="36"/>
          <w:rtl/>
          <w14:textFill>
            <w14:solidFill>
              <w14:schemeClr w14:val="tx1"/>
            </w14:solidFill>
          </w14:textFill>
        </w:rPr>
      </w:pPr>
      <w:bookmarkStart w:id="4" w:name="_Toc233883856"/>
      <w:r>
        <w:rPr>
          <w:rFonts w:ascii="Simplified Arabic" w:hAnsi="Simplified Arabic" w:cs="Simplified Arabic"/>
          <w:b/>
          <w:bCs/>
          <w:color w:val="000000" w:themeColor="text1"/>
          <w:sz w:val="36"/>
          <w:szCs w:val="36"/>
          <w:rtl/>
          <w14:textFill>
            <w14:solidFill>
              <w14:schemeClr w14:val="tx1"/>
            </w14:solidFill>
          </w14:textFill>
        </w:rPr>
        <w:t>2.1 مشكلة الدراسة</w:t>
      </w:r>
      <w:bookmarkEnd w:id="4"/>
    </w:p>
    <w:p w14:paraId="7806B677">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يشهد العالم تحولات تكنولوجية متسارعة فرضت على المؤسسات الحكومية والخدمية إعادة هيكلة منظوماتها التقنية والمعلوماتية بما يتواءم مع متطلبات العصر الرقمي، ولعل قطاع الأرصاد الجوية من أكثر القطاعات التي تتأثر بهذه التحولات نظراً لاعتماده الجوهري على البيانات الضخمة والنماذج العددية المعقدة وشبكات الرصد المتقدمة في إنتاج تنبؤات جوية دقيقة تُشكّل ركيزة أساسية لحماية الأرواح والممتلكات ودعم اتخاذ القرار في قطاعات حيوية متعددة. وفي هذا السياق، تبرز إدارة مخاطر تكنولوجيا البيانات بوصفها ضرورة استراتيجية لا يمكن تجاوزها، إذ إن أي خلل أو قصور في منظومة إدارة المخاطر التقنية قد يُفضي إلى تدهور جودة البيانات المُغذية لنماذج التنبؤ، وتعطّل الأنظمة التشغيلية في أوقات حرجة، واختراق البيانات الجوية الحساسة أو فقدانها، مما ينعكس سلباً على دقة التنبؤات الجوية وفاعلية أنظمة دعم القرار والتحذيرات المبكرة</w:t>
      </w:r>
      <w:r>
        <w:rPr>
          <w:rFonts w:ascii="Simplified Arabic" w:hAnsi="Simplified Arabic" w:cs="Simplified Arabic"/>
          <w:color w:val="000000" w:themeColor="text1"/>
          <w:sz w:val="28"/>
          <w:szCs w:val="28"/>
          <w14:textFill>
            <w14:solidFill>
              <w14:schemeClr w14:val="tx1"/>
            </w14:solidFill>
          </w14:textFill>
        </w:rPr>
        <w:t>.</w:t>
      </w:r>
    </w:p>
    <w:p w14:paraId="3492F17C">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وتكتسب هذه المشكلة أبعاداً خاصة في المملكة العربية السعودية التي تتميز بتنوع جغرافي ومناخي واسع يجعلها عُرضة لظواهر جوية خطرة كالعواصف الرملية والسيول المفاجئة والموجات الحرارية الشديدة، مما يستوجب امتلاك منظومة تنبؤات جوية عالية الدقة مدعومة ببنية تحتية تقنية آمنة ومستقرة. ويُمثّل المركز الوطني للأرصاد الجهة المعنية بتقديم هذه الخدمات الحيوية، وهو ما يضعه أمام تحديات مضاعفة تتعلق بضرورة تأمين بنيته التقنية ومعالجة المخاطر المرتبطة بها في ظل التوسع المتسارع في استخدام تقنيات الذكاء الاصطناعي والحوسبة السحابية وإنترنت الأشياء في عمليات الرصد والتنبؤ</w:t>
      </w:r>
      <w:r>
        <w:rPr>
          <w:rFonts w:ascii="Simplified Arabic" w:hAnsi="Simplified Arabic" w:cs="Simplified Arabic"/>
          <w:color w:val="000000" w:themeColor="text1"/>
          <w:sz w:val="28"/>
          <w:szCs w:val="28"/>
          <w14:textFill>
            <w14:solidFill>
              <w14:schemeClr w14:val="tx1"/>
            </w14:solidFill>
          </w14:textFill>
        </w:rPr>
        <w:t>.</w:t>
      </w:r>
    </w:p>
    <w:p w14:paraId="0446FE70">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وعلى الرغم من الجهود الكبيرة التي يبذلها المركز الوطني للأرصاد في تطوير قدراته التقنية وتحديث أنظمته، إلا أن الملاحظات الميدانية والتقارير الفنية تُشير إلى وجود تحديات لا تزال قائمة تتعلق بتفاوت مستويات دقة التنبؤات في بعض الظواهر الجوية، وتأخر وصول التحذيرات المبكرة في بعض الحالات، وقصور بعض أنظمة دعم القرار عن تلبية احتياجات الجهات المستفيدة بالكفاءة المطلوبة. ويُرجّح أن جزءاً من هذه التحديات يعود إلى عوامل مرتبطة بإدارة المخاطر التقنية، سواء على صعيد تقييم التهديدات المحتملة أو تأمين البيانات والبنية التحتية أو حوكمة تكنولوجيا المعلومات أو آليات المراقبة والتحسين المستمر</w:t>
      </w:r>
      <w:r>
        <w:rPr>
          <w:rFonts w:ascii="Simplified Arabic" w:hAnsi="Simplified Arabic" w:cs="Simplified Arabic"/>
          <w:color w:val="000000" w:themeColor="text1"/>
          <w:sz w:val="28"/>
          <w:szCs w:val="28"/>
          <w14:textFill>
            <w14:solidFill>
              <w14:schemeClr w14:val="tx1"/>
            </w14:solidFill>
          </w14:textFill>
        </w:rPr>
        <w:t>.</w:t>
      </w:r>
    </w:p>
    <w:p w14:paraId="329BC0BE">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 xml:space="preserve">وبمراجعة الأدبيات العلمية والدراسات السابقة، يتبيّن وجود فجوة بحثية واضحة تتمثل في ندرة الدراسات  في حدود علم الباحث </w:t>
      </w:r>
      <w:r>
        <w:rPr>
          <w:rFonts w:ascii="Simplified Arabic" w:hAnsi="Simplified Arabic" w:cs="Simplified Arabic"/>
          <w:color w:val="000000" w:themeColor="text1"/>
          <w:sz w:val="28"/>
          <w:szCs w:val="28"/>
          <w14:textFill>
            <w14:solidFill>
              <w14:schemeClr w14:val="tx1"/>
            </w14:solidFill>
          </w14:textFill>
        </w:rPr>
        <w:t xml:space="preserve"> </w:t>
      </w:r>
      <w:r>
        <w:rPr>
          <w:rFonts w:ascii="Simplified Arabic" w:hAnsi="Simplified Arabic" w:cs="Simplified Arabic"/>
          <w:color w:val="000000" w:themeColor="text1"/>
          <w:sz w:val="28"/>
          <w:szCs w:val="28"/>
          <w:rtl/>
          <w14:textFill>
            <w14:solidFill>
              <w14:schemeClr w14:val="tx1"/>
            </w14:solidFill>
          </w14:textFill>
        </w:rPr>
        <w:t>التي تناولت العلاقة المباشرة بين إدارة مخاطر تكنولوجيا البيانات ودقة التنبؤات الجوية ودعم القرار، لا سيما في السياق العربي والسعودي تحديداً</w:t>
      </w:r>
      <w:r>
        <w:rPr>
          <w:rFonts w:ascii="Simplified Arabic" w:hAnsi="Simplified Arabic" w:cs="Simplified Arabic"/>
          <w:color w:val="000000" w:themeColor="text1"/>
          <w:sz w:val="28"/>
          <w:szCs w:val="28"/>
          <w14:textFill>
            <w14:solidFill>
              <w14:schemeClr w14:val="tx1"/>
            </w14:solidFill>
          </w14:textFill>
        </w:rPr>
        <w:t xml:space="preserve">. </w:t>
      </w:r>
      <w:r>
        <w:rPr>
          <w:rFonts w:ascii="Simplified Arabic" w:hAnsi="Simplified Arabic" w:cs="Simplified Arabic"/>
          <w:color w:val="000000" w:themeColor="text1"/>
          <w:sz w:val="28"/>
          <w:szCs w:val="28"/>
          <w:rtl/>
          <w14:textFill>
            <w14:solidFill>
              <w14:schemeClr w14:val="tx1"/>
            </w14:solidFill>
          </w14:textFill>
        </w:rPr>
        <w:t>فمعظم الدراسات السابقة تناولت إدارة المخاطر التقنية في القطاعات المالية والمصرفية، بينما ظل قطاع الأرصاد الجوية بعيداً عن الاهتمام البحثي في هذا الجانب رغم حساسيته وخطورة تبعات القصور فيه. كما أن الدراسات التي تناولت دقة التنبؤات الجوية ركّزت في غالبيتها على الجوانب الفنية والنمذجة العددية دون التطرق الكافي إلى البعد المؤسسي والتقني المتعلق بإدارة المخاطر وأثره على جودة المخرجات</w:t>
      </w:r>
      <w:r>
        <w:rPr>
          <w:rFonts w:ascii="Simplified Arabic" w:hAnsi="Simplified Arabic" w:cs="Simplified Arabic"/>
          <w:color w:val="000000" w:themeColor="text1"/>
          <w:sz w:val="28"/>
          <w:szCs w:val="28"/>
          <w14:textFill>
            <w14:solidFill>
              <w14:schemeClr w14:val="tx1"/>
            </w14:solidFill>
          </w14:textFill>
        </w:rPr>
        <w:t>.</w:t>
      </w:r>
    </w:p>
    <w:p w14:paraId="1C3DF964">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وانطلاقاً مما سبق، وفي ضوء التوجهات الاستراتيجية لرؤية المملكة 2030 التي تُولي أهمية قصوى للتحول الرقمي وتعزيز الأمن السيبراني ورفع كفاءة المؤسسات الحكومية، تتبلور مشكلة الدراسة الحالية في التساؤل الرئيسي التالي</w:t>
      </w:r>
      <w:r>
        <w:rPr>
          <w:rFonts w:ascii="Simplified Arabic" w:hAnsi="Simplified Arabic" w:cs="Simplified Arabic"/>
          <w:color w:val="000000" w:themeColor="text1"/>
          <w:sz w:val="28"/>
          <w:szCs w:val="28"/>
          <w14:textFill>
            <w14:solidFill>
              <w14:schemeClr w14:val="tx1"/>
            </w14:solidFill>
          </w14:textFill>
        </w:rPr>
        <w:t xml:space="preserve">: </w:t>
      </w:r>
      <w:r>
        <w:rPr>
          <w:rStyle w:val="16"/>
          <w:rFonts w:ascii="Simplified Arabic" w:hAnsi="Simplified Arabic" w:cs="Simplified Arabic"/>
          <w:b w:val="0"/>
          <w:bCs w:val="0"/>
          <w:color w:val="000000" w:themeColor="text1"/>
          <w:sz w:val="28"/>
          <w:szCs w:val="28"/>
          <w:rtl/>
          <w14:textFill>
            <w14:solidFill>
              <w14:schemeClr w14:val="tx1"/>
            </w14:solidFill>
          </w14:textFill>
        </w:rPr>
        <w:t>ما أثر إدارة مخاطر تكنولوجيا البيانات بأبعادها (تقييم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w:t>
      </w:r>
      <w:r>
        <w:rPr>
          <w:rFonts w:ascii="Simplified Arabic" w:hAnsi="Simplified Arabic" w:cs="Simplified Arabic"/>
          <w:color w:val="000000" w:themeColor="text1"/>
          <w:sz w:val="28"/>
          <w:szCs w:val="28"/>
          <w:rtl/>
          <w14:textFill>
            <w14:solidFill>
              <w14:schemeClr w14:val="tx1"/>
            </w14:solidFill>
          </w14:textFill>
        </w:rPr>
        <w:t xml:space="preserve"> </w:t>
      </w:r>
    </w:p>
    <w:bookmarkEnd w:id="2"/>
    <w:p w14:paraId="55F9F2BA">
      <w:pPr>
        <w:pStyle w:val="15"/>
        <w:bidi/>
        <w:spacing w:line="276" w:lineRule="auto"/>
        <w:outlineLvl w:val="1"/>
        <w:rPr>
          <w:rFonts w:ascii="Simplified Arabic" w:hAnsi="Simplified Arabic" w:cs="Simplified Arabic"/>
          <w:b/>
          <w:bCs/>
          <w:color w:val="000000" w:themeColor="text1"/>
          <w:sz w:val="36"/>
          <w:szCs w:val="36"/>
          <w:rtl/>
          <w14:textFill>
            <w14:solidFill>
              <w14:schemeClr w14:val="tx1"/>
            </w14:solidFill>
          </w14:textFill>
        </w:rPr>
      </w:pPr>
      <w:bookmarkStart w:id="5" w:name="_Toc233883857"/>
      <w:bookmarkStart w:id="6" w:name="_Toc169790490"/>
      <w:r>
        <w:rPr>
          <w:rFonts w:ascii="Simplified Arabic" w:hAnsi="Simplified Arabic" w:cs="Simplified Arabic"/>
          <w:b/>
          <w:bCs/>
          <w:color w:val="000000" w:themeColor="text1"/>
          <w:sz w:val="36"/>
          <w:szCs w:val="36"/>
          <w14:textFill>
            <w14:solidFill>
              <w14:schemeClr w14:val="tx1"/>
            </w14:solidFill>
          </w14:textFill>
        </w:rPr>
        <w:t xml:space="preserve">3.1 </w:t>
      </w:r>
      <w:r>
        <w:rPr>
          <w:rFonts w:ascii="Simplified Arabic" w:hAnsi="Simplified Arabic" w:cs="Simplified Arabic"/>
          <w:b/>
          <w:bCs/>
          <w:color w:val="000000" w:themeColor="text1"/>
          <w:sz w:val="36"/>
          <w:szCs w:val="36"/>
          <w:rtl/>
          <w14:textFill>
            <w14:solidFill>
              <w14:schemeClr w14:val="tx1"/>
            </w14:solidFill>
          </w14:textFill>
        </w:rPr>
        <w:t>أهمية الدراسة</w:t>
      </w:r>
      <w:r>
        <w:rPr>
          <w:rFonts w:ascii="Simplified Arabic" w:hAnsi="Simplified Arabic" w:cs="Simplified Arabic"/>
          <w:b/>
          <w:bCs/>
          <w:color w:val="000000" w:themeColor="text1"/>
          <w:sz w:val="36"/>
          <w:szCs w:val="36"/>
          <w14:textFill>
            <w14:solidFill>
              <w14:schemeClr w14:val="tx1"/>
            </w14:solidFill>
          </w14:textFill>
        </w:rPr>
        <w:t>:</w:t>
      </w:r>
      <w:bookmarkEnd w:id="5"/>
    </w:p>
    <w:p w14:paraId="3D6A2D38">
      <w:pPr>
        <w:pStyle w:val="15"/>
        <w:bidi/>
        <w:spacing w:line="276" w:lineRule="auto"/>
        <w:jc w:val="both"/>
        <w:rPr>
          <w:rFonts w:ascii="Simplified Arabic" w:hAnsi="Simplified Arabic" w:cs="Simplified Arabic"/>
          <w:b/>
          <w:bCs/>
          <w:color w:val="000000" w:themeColor="text1"/>
          <w:sz w:val="32"/>
          <w:szCs w:val="32"/>
          <w14:textFill>
            <w14:solidFill>
              <w14:schemeClr w14:val="tx1"/>
            </w14:solidFill>
          </w14:textFill>
        </w:rPr>
      </w:pPr>
      <w:r>
        <w:rPr>
          <w:rFonts w:ascii="Simplified Arabic" w:hAnsi="Simplified Arabic" w:cs="Simplified Arabic"/>
          <w:b/>
          <w:bCs/>
          <w:color w:val="000000" w:themeColor="text1"/>
          <w:sz w:val="32"/>
          <w:szCs w:val="32"/>
          <w:rtl/>
          <w14:textFill>
            <w14:solidFill>
              <w14:schemeClr w14:val="tx1"/>
            </w14:solidFill>
          </w14:textFill>
        </w:rPr>
        <w:t>الأهمية العلمية (النظرية)</w:t>
      </w:r>
    </w:p>
    <w:p w14:paraId="23FA79E8">
      <w:pPr>
        <w:pStyle w:val="15"/>
        <w:numPr>
          <w:ilvl w:val="0"/>
          <w:numId w:val="1"/>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تُعدّ هذه الدراسة من الدراسات الرائدة  في حدود علم الباحث  التي تتناول العلاقة بين إدارة مخاطر تكنولوجيا البيانات ودقة التنبؤات الجوية ودعم القرار في سياق عربي سعودي؛ إذ تكشف مراجعة الأدبيات عن ندرة الدراسات التي ربطت بين هذين المتغيرين في قطاع الأرصاد الجوية بشكل مباشر، مما يمنح هذه الدراسة قيمة علمية تأسيسية في بناء إطار نظري متكامل</w:t>
      </w:r>
      <w:r>
        <w:rPr>
          <w:rFonts w:ascii="Simplified Arabic" w:hAnsi="Simplified Arabic" w:cs="Simplified Arabic"/>
          <w:color w:val="000000" w:themeColor="text1"/>
          <w:sz w:val="28"/>
          <w:szCs w:val="28"/>
          <w14:textFill>
            <w14:solidFill>
              <w14:schemeClr w14:val="tx1"/>
            </w14:solidFill>
          </w14:textFill>
        </w:rPr>
        <w:t>.</w:t>
      </w:r>
    </w:p>
    <w:p w14:paraId="5B237CDE">
      <w:pPr>
        <w:pStyle w:val="15"/>
        <w:numPr>
          <w:ilvl w:val="0"/>
          <w:numId w:val="1"/>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تُسهم الدراسة في بناء نموذج نظري يدمج بين أبعاد إدارة مخاطر التكنولوجيا المستندة إلى أطر معتمدة دولياً وبين مؤشرات دقة التنبؤات الجوية ومتطلبات دعم القرار، مما يُوفر إطاراً مفاهيمياً يمكن للباحثين اللاحقين اختباره وتطويره في بيئات ومؤسسات مختلفة</w:t>
      </w:r>
      <w:r>
        <w:rPr>
          <w:rFonts w:ascii="Simplified Arabic" w:hAnsi="Simplified Arabic" w:cs="Simplified Arabic"/>
          <w:color w:val="000000" w:themeColor="text1"/>
          <w:sz w:val="28"/>
          <w:szCs w:val="28"/>
          <w14:textFill>
            <w14:solidFill>
              <w14:schemeClr w14:val="tx1"/>
            </w14:solidFill>
          </w14:textFill>
        </w:rPr>
        <w:t>.</w:t>
      </w:r>
    </w:p>
    <w:p w14:paraId="7B7A2457">
      <w:pPr>
        <w:pStyle w:val="15"/>
        <w:numPr>
          <w:ilvl w:val="0"/>
          <w:numId w:val="1"/>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تُعزز الدراسة التوجه البحثي البيني الذي يجمع بين تخصصات نظم المعلومات وإدارة المخاطر وعلوم الأرصاد الجوية، مما يفتح آفاقاً بحثية جديدة تتجاوز الحدود التقليدية للتخصص الواحد، ويُسهم في بناء قاعدة معرفية أكثر شمولاً حول البعد التكنولوجي في مؤسسات الأرصاد</w:t>
      </w:r>
      <w:r>
        <w:rPr>
          <w:rFonts w:ascii="Simplified Arabic" w:hAnsi="Simplified Arabic" w:cs="Simplified Arabic"/>
          <w:color w:val="000000" w:themeColor="text1"/>
          <w:sz w:val="28"/>
          <w:szCs w:val="28"/>
          <w14:textFill>
            <w14:solidFill>
              <w14:schemeClr w14:val="tx1"/>
            </w14:solidFill>
          </w14:textFill>
        </w:rPr>
        <w:t>.</w:t>
      </w:r>
    </w:p>
    <w:p w14:paraId="4BD346FC">
      <w:pPr>
        <w:pStyle w:val="15"/>
        <w:numPr>
          <w:ilvl w:val="0"/>
          <w:numId w:val="1"/>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تتجاوز الدراسة التناول التقليدي لعوامل دقة التنبؤات الجوية المتمثل في النماذج العددية والرصدات إلى استكشاف البعد المؤسسي والتقني المتمثل في إدارة المخاطر، مما يُضيف بعداً تفسيرياً جديداً لتباين مستويات الدقة بين مراكز الأرصاد المختلفة</w:t>
      </w:r>
      <w:r>
        <w:rPr>
          <w:rFonts w:ascii="Simplified Arabic" w:hAnsi="Simplified Arabic" w:cs="Simplified Arabic"/>
          <w:color w:val="000000" w:themeColor="text1"/>
          <w:sz w:val="28"/>
          <w:szCs w:val="28"/>
          <w14:textFill>
            <w14:solidFill>
              <w14:schemeClr w14:val="tx1"/>
            </w14:solidFill>
          </w14:textFill>
        </w:rPr>
        <w:t>.</w:t>
      </w:r>
    </w:p>
    <w:p w14:paraId="3CC44D7E">
      <w:pPr>
        <w:pStyle w:val="15"/>
        <w:numPr>
          <w:ilvl w:val="0"/>
          <w:numId w:val="1"/>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تُقدم الدراسة نموذجاً منهجياً يمكن الاحتذاء به في دراسة أثر إدارة المخاطر التقنية على الأداء المؤسسي في القطاعات الحكومية المتخصصة، مما يُسهم في تطوير المنهجيات البحثية في هذا الحقل المعرفي الناشئ</w:t>
      </w:r>
      <w:r>
        <w:rPr>
          <w:rFonts w:ascii="Simplified Arabic" w:hAnsi="Simplified Arabic" w:cs="Simplified Arabic"/>
          <w:color w:val="000000" w:themeColor="text1"/>
          <w:sz w:val="28"/>
          <w:szCs w:val="28"/>
          <w14:textFill>
            <w14:solidFill>
              <w14:schemeClr w14:val="tx1"/>
            </w14:solidFill>
          </w14:textFill>
        </w:rPr>
        <w:t>.</w:t>
      </w:r>
    </w:p>
    <w:p w14:paraId="2B84D34A">
      <w:pPr>
        <w:pStyle w:val="15"/>
        <w:bidi/>
        <w:spacing w:line="276" w:lineRule="auto"/>
        <w:jc w:val="both"/>
        <w:rPr>
          <w:rFonts w:ascii="Simplified Arabic" w:hAnsi="Simplified Arabic" w:cs="Simplified Arabic"/>
          <w:b/>
          <w:bCs/>
          <w:color w:val="000000" w:themeColor="text1"/>
          <w:sz w:val="32"/>
          <w:szCs w:val="32"/>
          <w14:textFill>
            <w14:solidFill>
              <w14:schemeClr w14:val="tx1"/>
            </w14:solidFill>
          </w14:textFill>
        </w:rPr>
      </w:pPr>
      <w:r>
        <w:rPr>
          <w:rFonts w:ascii="Simplified Arabic" w:hAnsi="Simplified Arabic" w:cs="Simplified Arabic"/>
          <w:b/>
          <w:bCs/>
          <w:color w:val="000000" w:themeColor="text1"/>
          <w:sz w:val="32"/>
          <w:szCs w:val="32"/>
          <w:rtl/>
          <w14:textFill>
            <w14:solidFill>
              <w14:schemeClr w14:val="tx1"/>
            </w14:solidFill>
          </w14:textFill>
        </w:rPr>
        <w:t>الأهمية العملية (التطبيقية)</w:t>
      </w:r>
    </w:p>
    <w:p w14:paraId="3F9231CA">
      <w:pPr>
        <w:pStyle w:val="15"/>
        <w:numPr>
          <w:ilvl w:val="0"/>
          <w:numId w:val="2"/>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تُقدم الدراسة توصيات عملية قائمة على أدلة إحصائية تُساعد إدارة المركز الوطني للأرصاد في تحديد أولويات الاستثمار في إدارة المخاطر التقنية، بما يتماشى مع مستهدفات رؤية المملكة 2030 في التحول الرقمي وتطوير القدرات الوطنية في مجال الأرصاد والبيئة</w:t>
      </w:r>
      <w:r>
        <w:rPr>
          <w:rFonts w:ascii="Simplified Arabic" w:hAnsi="Simplified Arabic" w:cs="Simplified Arabic"/>
          <w:color w:val="000000" w:themeColor="text1"/>
          <w:sz w:val="28"/>
          <w:szCs w:val="28"/>
          <w14:textFill>
            <w14:solidFill>
              <w14:schemeClr w14:val="tx1"/>
            </w14:solidFill>
          </w14:textFill>
        </w:rPr>
        <w:t>.</w:t>
      </w:r>
    </w:p>
    <w:p w14:paraId="668CD8F7">
      <w:pPr>
        <w:pStyle w:val="15"/>
        <w:numPr>
          <w:ilvl w:val="0"/>
          <w:numId w:val="2"/>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تُسهم نتائج الدراسة في تعزيز منظومة التحذيرات المبكرة من الظواهر الجوية الخطرة كالعواصف الرملية والسيول والموجات الحرارية، مما ينعكس مباشرة على سلامة المواطنين والمقيمين وحماية البنى التحتية الحيوية في المملكة</w:t>
      </w:r>
      <w:r>
        <w:rPr>
          <w:rFonts w:ascii="Simplified Arabic" w:hAnsi="Simplified Arabic" w:cs="Simplified Arabic"/>
          <w:color w:val="000000" w:themeColor="text1"/>
          <w:sz w:val="28"/>
          <w:szCs w:val="28"/>
          <w14:textFill>
            <w14:solidFill>
              <w14:schemeClr w14:val="tx1"/>
            </w14:solidFill>
          </w14:textFill>
        </w:rPr>
        <w:t>.</w:t>
      </w:r>
    </w:p>
    <w:p w14:paraId="446C599E">
      <w:pPr>
        <w:pStyle w:val="15"/>
        <w:numPr>
          <w:ilvl w:val="0"/>
          <w:numId w:val="2"/>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تُوفر الدراسة خريطة واضحة لأبعاد إدارة المخاطر التقنية الأكثر تأثيراً على دقة التنبؤات، مما يُمكّن المركز من توجيه الموارد المالية والبشرية نحو المجالات ذات العائد الأعلى بدلاً من التوزيع العشوائي للموارد، وهو ما يُحقق كفاءة اقتصادية مرتفعة في ظل محدودية الميزانيات</w:t>
      </w:r>
      <w:r>
        <w:rPr>
          <w:rFonts w:ascii="Simplified Arabic" w:hAnsi="Simplified Arabic" w:cs="Simplified Arabic"/>
          <w:color w:val="000000" w:themeColor="text1"/>
          <w:sz w:val="28"/>
          <w:szCs w:val="28"/>
          <w14:textFill>
            <w14:solidFill>
              <w14:schemeClr w14:val="tx1"/>
            </w14:solidFill>
          </w14:textFill>
        </w:rPr>
        <w:t>.</w:t>
      </w:r>
    </w:p>
    <w:p w14:paraId="7ED8DC99">
      <w:pPr>
        <w:pStyle w:val="15"/>
        <w:numPr>
          <w:ilvl w:val="0"/>
          <w:numId w:val="2"/>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تُساعد نتائج الدراسة في تصميم برامج تدريبية متخصصة للعاملين في المركز الوطني للأرصاد تستهدف تعزيز الوعي بإدارة المخاطر التقنية وربطه بمتطلبات دقة التنبؤات، مما يرفع الكفاءة المؤسسية الشاملة ويُقلل من الأخطاء البشرية في التعامل مع الأنظمة التقنية</w:t>
      </w:r>
      <w:r>
        <w:rPr>
          <w:rFonts w:ascii="Simplified Arabic" w:hAnsi="Simplified Arabic" w:cs="Simplified Arabic"/>
          <w:color w:val="000000" w:themeColor="text1"/>
          <w:sz w:val="28"/>
          <w:szCs w:val="28"/>
          <w14:textFill>
            <w14:solidFill>
              <w14:schemeClr w14:val="tx1"/>
            </w14:solidFill>
          </w14:textFill>
        </w:rPr>
        <w:t>.</w:t>
      </w:r>
    </w:p>
    <w:p w14:paraId="6093E266">
      <w:pPr>
        <w:pStyle w:val="15"/>
        <w:numPr>
          <w:ilvl w:val="0"/>
          <w:numId w:val="2"/>
        </w:numPr>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تُسهم التوصيات العملية للدراسة في رفع تصنيف المركز الوطني للأرصاد ضمن مراكز الأرصاد العالمية من خلال تبني أفضل الممارسات في إدارة المخاطر التقنية، مما يُعزز مكانة المملكة في المحافل الدولية المعنية بالأرصاد الجوية والمناخ</w:t>
      </w:r>
      <w:r>
        <w:rPr>
          <w:rFonts w:ascii="Simplified Arabic" w:hAnsi="Simplified Arabic" w:cs="Simplified Arabic"/>
          <w:color w:val="000000" w:themeColor="text1"/>
          <w:sz w:val="28"/>
          <w:szCs w:val="28"/>
          <w14:textFill>
            <w14:solidFill>
              <w14:schemeClr w14:val="tx1"/>
            </w14:solidFill>
          </w14:textFill>
        </w:rPr>
        <w:t>.</w:t>
      </w:r>
    </w:p>
    <w:bookmarkEnd w:id="6"/>
    <w:p w14:paraId="2AD89F7D">
      <w:pPr>
        <w:pStyle w:val="15"/>
        <w:bidi/>
        <w:spacing w:line="276" w:lineRule="auto"/>
        <w:jc w:val="both"/>
        <w:outlineLvl w:val="1"/>
        <w:rPr>
          <w:rFonts w:ascii="Simplified Arabic" w:hAnsi="Simplified Arabic" w:cs="Simplified Arabic"/>
          <w:b/>
          <w:bCs/>
          <w:color w:val="000000" w:themeColor="text1"/>
          <w:sz w:val="36"/>
          <w:szCs w:val="36"/>
          <w:rtl/>
          <w14:textFill>
            <w14:solidFill>
              <w14:schemeClr w14:val="tx1"/>
            </w14:solidFill>
          </w14:textFill>
        </w:rPr>
      </w:pPr>
      <w:bookmarkStart w:id="7" w:name="_Toc233883858"/>
      <w:bookmarkStart w:id="8" w:name="_Toc169790491"/>
      <w:r>
        <w:rPr>
          <w:rFonts w:ascii="Simplified Arabic" w:hAnsi="Simplified Arabic" w:cs="Simplified Arabic"/>
          <w:b/>
          <w:bCs/>
          <w:color w:val="000000" w:themeColor="text1"/>
          <w:sz w:val="36"/>
          <w:szCs w:val="36"/>
          <w:rtl/>
          <w14:textFill>
            <w14:solidFill>
              <w14:schemeClr w14:val="tx1"/>
            </w14:solidFill>
          </w14:textFill>
        </w:rPr>
        <w:t>4.1 أهداف الدراسة:</w:t>
      </w:r>
      <w:bookmarkEnd w:id="7"/>
    </w:p>
    <w:p w14:paraId="7F3BED96">
      <w:pPr>
        <w:pStyle w:val="15"/>
        <w:bidi/>
        <w:spacing w:line="276" w:lineRule="auto"/>
        <w:ind w:firstLine="424"/>
        <w:jc w:val="both"/>
        <w:rPr>
          <w:rFonts w:ascii="Simplified Arabic" w:hAnsi="Simplified Arabic" w:cs="Simplified Arabic"/>
          <w:color w:val="000000" w:themeColor="text1"/>
          <w:sz w:val="28"/>
          <w:szCs w:val="28"/>
          <w14:textFill>
            <w14:solidFill>
              <w14:schemeClr w14:val="tx1"/>
            </w14:solidFill>
          </w14:textFill>
        </w:rPr>
      </w:pPr>
      <w:r>
        <w:rPr>
          <w:rFonts w:ascii="Simplified Arabic" w:hAnsi="Simplified Arabic" w:cs="Simplified Arabic"/>
          <w:color w:val="000000" w:themeColor="text1"/>
          <w:sz w:val="28"/>
          <w:szCs w:val="28"/>
          <w:rtl/>
          <w14:textFill>
            <w14:solidFill>
              <w14:schemeClr w14:val="tx1"/>
            </w14:solidFill>
          </w14:textFill>
        </w:rPr>
        <w:t xml:space="preserve">تهدف هذه الدراسة إلى التعرف على </w:t>
      </w:r>
      <w:r>
        <w:rPr>
          <w:rStyle w:val="16"/>
          <w:rFonts w:ascii="Simplified Arabic" w:hAnsi="Simplified Arabic" w:cs="Simplified Arabic"/>
          <w:b w:val="0"/>
          <w:bCs w:val="0"/>
          <w:color w:val="000000" w:themeColor="text1"/>
          <w:sz w:val="28"/>
          <w:szCs w:val="28"/>
          <w:rtl/>
          <w14:textFill>
            <w14:solidFill>
              <w14:schemeClr w14:val="tx1"/>
            </w14:solidFill>
          </w14:textFill>
        </w:rPr>
        <w:t>أثر إدارة مخاطر تكنولوجيا البيانات</w:t>
      </w:r>
      <w:r>
        <w:rPr>
          <w:rFonts w:ascii="Simplified Arabic" w:hAnsi="Simplified Arabic" w:cs="Simplified Arabic"/>
          <w:color w:val="000000" w:themeColor="text1"/>
          <w:sz w:val="28"/>
          <w:szCs w:val="28"/>
          <w:rtl/>
          <w14:textFill>
            <w14:solidFill>
              <w14:schemeClr w14:val="tx1"/>
            </w14:solidFill>
          </w14:textFill>
        </w:rPr>
        <w:t xml:space="preserve"> بأبعادها الأربعة (تقييم المخاطر التقنية، أمن البيانات والبنية التحتية، حوكمة تكنولوجيا المعلومات، المراقبة والتحسين المستمر) على </w:t>
      </w:r>
      <w:r>
        <w:rPr>
          <w:rStyle w:val="16"/>
          <w:rFonts w:ascii="Simplified Arabic" w:hAnsi="Simplified Arabic" w:cs="Simplified Arabic"/>
          <w:b w:val="0"/>
          <w:bCs w:val="0"/>
          <w:color w:val="000000" w:themeColor="text1"/>
          <w:sz w:val="28"/>
          <w:szCs w:val="28"/>
          <w:rtl/>
          <w14:textFill>
            <w14:solidFill>
              <w14:schemeClr w14:val="tx1"/>
            </w14:solidFill>
          </w14:textFill>
        </w:rPr>
        <w:t>دقة التنبؤات الجوية ودعم القرار</w:t>
      </w:r>
      <w:r>
        <w:rPr>
          <w:rFonts w:ascii="Simplified Arabic" w:hAnsi="Simplified Arabic" w:cs="Simplified Arabic"/>
          <w:color w:val="000000" w:themeColor="text1"/>
          <w:sz w:val="28"/>
          <w:szCs w:val="28"/>
          <w:rtl/>
          <w14:textFill>
            <w14:solidFill>
              <w14:schemeClr w14:val="tx1"/>
            </w14:solidFill>
          </w14:textFill>
        </w:rPr>
        <w:t xml:space="preserve"> في المركز الوطني للأرصاد بالمملكة العربية السعودية</w:t>
      </w:r>
      <w:r>
        <w:rPr>
          <w:rFonts w:ascii="Simplified Arabic" w:hAnsi="Simplified Arabic" w:cs="Simplified Arabic"/>
          <w:color w:val="000000" w:themeColor="text1"/>
          <w:sz w:val="28"/>
          <w:szCs w:val="28"/>
          <w14:textFill>
            <w14:solidFill>
              <w14:schemeClr w14:val="tx1"/>
            </w14:solidFill>
          </w14:textFill>
        </w:rPr>
        <w:t>.</w:t>
      </w:r>
    </w:p>
    <w:p w14:paraId="301BFD35">
      <w:pPr>
        <w:pStyle w:val="15"/>
        <w:bidi/>
        <w:spacing w:line="276" w:lineRule="auto"/>
        <w:jc w:val="both"/>
        <w:rPr>
          <w:rFonts w:ascii="Simplified Arabic" w:hAnsi="Simplified Arabic" w:cs="Simplified Arabic"/>
          <w:b/>
          <w:bCs/>
          <w:color w:val="000000" w:themeColor="text1"/>
          <w:sz w:val="28"/>
          <w:szCs w:val="28"/>
          <w14:textFill>
            <w14:solidFill>
              <w14:schemeClr w14:val="tx1"/>
            </w14:solidFill>
          </w14:textFill>
        </w:rPr>
      </w:pPr>
      <w:r>
        <w:rPr>
          <w:rFonts w:ascii="Simplified Arabic" w:hAnsi="Simplified Arabic" w:cs="Simplified Arabic"/>
          <w:b/>
          <w:bCs/>
          <w:color w:val="000000" w:themeColor="text1"/>
          <w:sz w:val="28"/>
          <w:szCs w:val="28"/>
          <w:rtl/>
          <w14:textFill>
            <w14:solidFill>
              <w14:schemeClr w14:val="tx1"/>
            </w14:solidFill>
          </w14:textFill>
        </w:rPr>
        <w:t>يتفرع من الهدف الرئيسي الأهداف الفرعية التالية</w:t>
      </w:r>
      <w:r>
        <w:rPr>
          <w:rFonts w:ascii="Simplified Arabic" w:hAnsi="Simplified Arabic" w:cs="Simplified Arabic"/>
          <w:b/>
          <w:bCs/>
          <w:color w:val="000000" w:themeColor="text1"/>
          <w:sz w:val="28"/>
          <w:szCs w:val="28"/>
          <w14:textFill>
            <w14:solidFill>
              <w14:schemeClr w14:val="tx1"/>
            </w14:solidFill>
          </w14:textFill>
        </w:rPr>
        <w:t>:</w:t>
      </w:r>
    </w:p>
    <w:p w14:paraId="3CCDB19F">
      <w:pPr>
        <w:pStyle w:val="15"/>
        <w:numPr>
          <w:ilvl w:val="0"/>
          <w:numId w:val="3"/>
        </w:numPr>
        <w:tabs>
          <w:tab w:val="left" w:pos="424"/>
          <w:tab w:val="clear" w:pos="720"/>
        </w:tabs>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Style w:val="16"/>
          <w:rFonts w:ascii="Simplified Arabic" w:hAnsi="Simplified Arabic" w:cs="Simplified Arabic"/>
          <w:b w:val="0"/>
          <w:bCs w:val="0"/>
          <w:color w:val="000000" w:themeColor="text1"/>
          <w:sz w:val="28"/>
          <w:szCs w:val="28"/>
          <w:rtl/>
          <w14:textFill>
            <w14:solidFill>
              <w14:schemeClr w14:val="tx1"/>
            </w14:solidFill>
          </w14:textFill>
        </w:rPr>
        <w:t>قياس أثر تقييم المخاطر التقنية على دقة التنبؤات الجوية ودعم القرار</w:t>
      </w:r>
      <w:r>
        <w:rPr>
          <w:rFonts w:ascii="Simplified Arabic" w:hAnsi="Simplified Arabic" w:cs="Simplified Arabic"/>
          <w:color w:val="000000" w:themeColor="text1"/>
          <w:sz w:val="28"/>
          <w:szCs w:val="28"/>
          <w:rtl/>
          <w14:textFill>
            <w14:solidFill>
              <w14:schemeClr w14:val="tx1"/>
            </w14:solidFill>
          </w14:textFill>
        </w:rPr>
        <w:t xml:space="preserve"> في المركز الوطني للأرصاد، من خلال التعرف على مدى فاعلية آليات تحديد التهديدات ونقاط الضعف في الأنظمة التقنية المستخدمة في عمليات الرصد والتنبؤ، ومدى انعكاس ذلك على تقليل الأخطاء التشغيلية وتحسين مخرجات النماذج العددية</w:t>
      </w:r>
      <w:r>
        <w:rPr>
          <w:rFonts w:ascii="Simplified Arabic" w:hAnsi="Simplified Arabic" w:cs="Simplified Arabic"/>
          <w:color w:val="000000" w:themeColor="text1"/>
          <w:sz w:val="28"/>
          <w:szCs w:val="28"/>
          <w14:textFill>
            <w14:solidFill>
              <w14:schemeClr w14:val="tx1"/>
            </w14:solidFill>
          </w14:textFill>
        </w:rPr>
        <w:t>.</w:t>
      </w:r>
    </w:p>
    <w:p w14:paraId="3A23F2A9">
      <w:pPr>
        <w:pStyle w:val="15"/>
        <w:numPr>
          <w:ilvl w:val="0"/>
          <w:numId w:val="3"/>
        </w:numPr>
        <w:tabs>
          <w:tab w:val="left" w:pos="424"/>
          <w:tab w:val="clear" w:pos="720"/>
        </w:tabs>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Style w:val="16"/>
          <w:rFonts w:ascii="Simplified Arabic" w:hAnsi="Simplified Arabic" w:cs="Simplified Arabic"/>
          <w:b w:val="0"/>
          <w:bCs w:val="0"/>
          <w:color w:val="000000" w:themeColor="text1"/>
          <w:sz w:val="28"/>
          <w:szCs w:val="28"/>
          <w:rtl/>
          <w14:textFill>
            <w14:solidFill>
              <w14:schemeClr w14:val="tx1"/>
            </w14:solidFill>
          </w14:textFill>
        </w:rPr>
        <w:t>تحديد أثر أمن البيانات والبنية التحتية على دقة التنبؤات الجوية ودعم القرار</w:t>
      </w:r>
      <w:r>
        <w:rPr>
          <w:rFonts w:ascii="Simplified Arabic" w:hAnsi="Simplified Arabic" w:cs="Simplified Arabic"/>
          <w:color w:val="000000" w:themeColor="text1"/>
          <w:sz w:val="28"/>
          <w:szCs w:val="28"/>
          <w:rtl/>
          <w14:textFill>
            <w14:solidFill>
              <w14:schemeClr w14:val="tx1"/>
            </w14:solidFill>
          </w14:textFill>
        </w:rPr>
        <w:t xml:space="preserve"> في المركز الوطني للأرصاد، وذلك بالكشف عن مدى إسهام سياسات حماية البيانات الجوية وتأمين شبكات الاتصال ومراكز البيانات في ضمان سلامة المعلومات المُغذية لنماذج التنبؤ، وأثر ذلك على موثوقية التحذيرات المبكرة وجودة مخرجات دعم القرار</w:t>
      </w:r>
      <w:r>
        <w:rPr>
          <w:rFonts w:ascii="Simplified Arabic" w:hAnsi="Simplified Arabic" w:cs="Simplified Arabic"/>
          <w:color w:val="000000" w:themeColor="text1"/>
          <w:sz w:val="28"/>
          <w:szCs w:val="28"/>
          <w14:textFill>
            <w14:solidFill>
              <w14:schemeClr w14:val="tx1"/>
            </w14:solidFill>
          </w14:textFill>
        </w:rPr>
        <w:t>.</w:t>
      </w:r>
    </w:p>
    <w:p w14:paraId="10210554">
      <w:pPr>
        <w:pStyle w:val="15"/>
        <w:numPr>
          <w:ilvl w:val="0"/>
          <w:numId w:val="3"/>
        </w:numPr>
        <w:tabs>
          <w:tab w:val="left" w:pos="424"/>
          <w:tab w:val="clear" w:pos="720"/>
        </w:tabs>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Style w:val="16"/>
          <w:rFonts w:ascii="Simplified Arabic" w:hAnsi="Simplified Arabic" w:cs="Simplified Arabic"/>
          <w:b w:val="0"/>
          <w:bCs w:val="0"/>
          <w:color w:val="000000" w:themeColor="text1"/>
          <w:sz w:val="28"/>
          <w:szCs w:val="28"/>
          <w:rtl/>
          <w14:textFill>
            <w14:solidFill>
              <w14:schemeClr w14:val="tx1"/>
            </w14:solidFill>
          </w14:textFill>
        </w:rPr>
        <w:t>الكشف عن أثر حوكمة تكنولوجيا المعلومات على دقة التنبؤات الجوية ودعم القرار</w:t>
      </w:r>
      <w:r>
        <w:rPr>
          <w:rFonts w:ascii="Simplified Arabic" w:hAnsi="Simplified Arabic" w:cs="Simplified Arabic"/>
          <w:color w:val="000000" w:themeColor="text1"/>
          <w:sz w:val="28"/>
          <w:szCs w:val="28"/>
          <w:rtl/>
          <w14:textFill>
            <w14:solidFill>
              <w14:schemeClr w14:val="tx1"/>
            </w14:solidFill>
          </w14:textFill>
        </w:rPr>
        <w:t xml:space="preserve"> في المركز الوطني للأرصاد، من خلال فحص مدى تطبيق أطر الحوكمة المعتمدة في توجيه الموارد التقنية وإدارة المخاطر مؤسسياً، وأثر ذلك على المواءمة الاستراتيجية بين الإمكانات التكنولوجية ومتطلبات الدقة في التنبؤات</w:t>
      </w:r>
      <w:r>
        <w:rPr>
          <w:rFonts w:ascii="Simplified Arabic" w:hAnsi="Simplified Arabic" w:cs="Simplified Arabic"/>
          <w:color w:val="000000" w:themeColor="text1"/>
          <w:sz w:val="28"/>
          <w:szCs w:val="28"/>
          <w14:textFill>
            <w14:solidFill>
              <w14:schemeClr w14:val="tx1"/>
            </w14:solidFill>
          </w14:textFill>
        </w:rPr>
        <w:t>.</w:t>
      </w:r>
    </w:p>
    <w:p w14:paraId="5DD62960">
      <w:pPr>
        <w:pStyle w:val="15"/>
        <w:numPr>
          <w:ilvl w:val="0"/>
          <w:numId w:val="3"/>
        </w:numPr>
        <w:tabs>
          <w:tab w:val="left" w:pos="424"/>
          <w:tab w:val="clear" w:pos="720"/>
        </w:tabs>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Style w:val="16"/>
          <w:rFonts w:ascii="Simplified Arabic" w:hAnsi="Simplified Arabic" w:cs="Simplified Arabic"/>
          <w:b w:val="0"/>
          <w:bCs w:val="0"/>
          <w:color w:val="000000" w:themeColor="text1"/>
          <w:sz w:val="28"/>
          <w:szCs w:val="28"/>
          <w:rtl/>
          <w14:textFill>
            <w14:solidFill>
              <w14:schemeClr w14:val="tx1"/>
            </w14:solidFill>
          </w14:textFill>
        </w:rPr>
        <w:t>استكشاف أثر المراقبة والتحسين المستمر على دقة التنبؤات الجوية ودعم القرار</w:t>
      </w:r>
      <w:r>
        <w:rPr>
          <w:rFonts w:ascii="Simplified Arabic" w:hAnsi="Simplified Arabic" w:cs="Simplified Arabic"/>
          <w:color w:val="000000" w:themeColor="text1"/>
          <w:sz w:val="28"/>
          <w:szCs w:val="28"/>
          <w:rtl/>
          <w14:textFill>
            <w14:solidFill>
              <w14:schemeClr w14:val="tx1"/>
            </w14:solidFill>
          </w14:textFill>
        </w:rPr>
        <w:t xml:space="preserve"> في المركز الوطني للأرصاد، وذلك بتقييم فاعلية برامج المتابعة الدورية واختبارات الاختراق والتدقيق المستمر للأنظمة التقنية في تعزيز استقرار منظومة التنبؤ وتطوير أدوات دعم القرار بصورة تراكمية ومستدامة</w:t>
      </w:r>
      <w:r>
        <w:rPr>
          <w:rFonts w:ascii="Simplified Arabic" w:hAnsi="Simplified Arabic" w:cs="Simplified Arabic"/>
          <w:color w:val="000000" w:themeColor="text1"/>
          <w:sz w:val="28"/>
          <w:szCs w:val="28"/>
          <w14:textFill>
            <w14:solidFill>
              <w14:schemeClr w14:val="tx1"/>
            </w14:solidFill>
          </w14:textFill>
        </w:rPr>
        <w:t>.</w:t>
      </w:r>
    </w:p>
    <w:p w14:paraId="632EAF4F">
      <w:pPr>
        <w:pStyle w:val="15"/>
        <w:numPr>
          <w:ilvl w:val="0"/>
          <w:numId w:val="3"/>
        </w:numPr>
        <w:tabs>
          <w:tab w:val="left" w:pos="424"/>
          <w:tab w:val="clear" w:pos="720"/>
        </w:tabs>
        <w:bidi/>
        <w:spacing w:line="276" w:lineRule="auto"/>
        <w:ind w:left="424"/>
        <w:jc w:val="both"/>
        <w:rPr>
          <w:rFonts w:ascii="Simplified Arabic" w:hAnsi="Simplified Arabic" w:cs="Simplified Arabic"/>
          <w:color w:val="000000" w:themeColor="text1"/>
          <w:sz w:val="28"/>
          <w:szCs w:val="28"/>
          <w14:textFill>
            <w14:solidFill>
              <w14:schemeClr w14:val="tx1"/>
            </w14:solidFill>
          </w14:textFill>
        </w:rPr>
      </w:pPr>
      <w:r>
        <w:rPr>
          <w:rStyle w:val="16"/>
          <w:rFonts w:ascii="Simplified Arabic" w:hAnsi="Simplified Arabic" w:cs="Simplified Arabic"/>
          <w:b w:val="0"/>
          <w:bCs w:val="0"/>
          <w:color w:val="000000" w:themeColor="text1"/>
          <w:sz w:val="28"/>
          <w:szCs w:val="28"/>
          <w:rtl/>
          <w14:textFill>
            <w14:solidFill>
              <w14:schemeClr w14:val="tx1"/>
            </w14:solidFill>
          </w14:textFill>
        </w:rPr>
        <w:t>تقديم إطار مقترح</w:t>
      </w:r>
      <w:r>
        <w:rPr>
          <w:rFonts w:ascii="Simplified Arabic" w:hAnsi="Simplified Arabic" w:cs="Simplified Arabic"/>
          <w:color w:val="000000" w:themeColor="text1"/>
          <w:sz w:val="28"/>
          <w:szCs w:val="28"/>
          <w:rtl/>
          <w14:textFill>
            <w14:solidFill>
              <w14:schemeClr w14:val="tx1"/>
            </w14:solidFill>
          </w14:textFill>
        </w:rPr>
        <w:t xml:space="preserve"> يُوضح العلاقة التكاملية بين أبعاد إدارة مخاطر تكنولوجيا البيانات ودقة التنبؤات الجوية ودعم القرار، بما يُسهم في تطوير السياسات والممارسات المؤسسية في المركز الوطني للأرصاد</w:t>
      </w:r>
      <w:r>
        <w:rPr>
          <w:rFonts w:ascii="Simplified Arabic" w:hAnsi="Simplified Arabic" w:cs="Simplified Arabic"/>
          <w:color w:val="000000" w:themeColor="text1"/>
          <w:sz w:val="28"/>
          <w:szCs w:val="28"/>
          <w14:textFill>
            <w14:solidFill>
              <w14:schemeClr w14:val="tx1"/>
            </w14:solidFill>
          </w14:textFill>
        </w:rPr>
        <w:t>.</w:t>
      </w:r>
    </w:p>
    <w:bookmarkEnd w:id="8"/>
    <w:p w14:paraId="48771BEA">
      <w:pPr>
        <w:spacing w:before="100" w:beforeAutospacing="1" w:after="100" w:afterAutospacing="1" w:line="276" w:lineRule="auto"/>
        <w:outlineLvl w:val="1"/>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pPr>
      <w:bookmarkStart w:id="9" w:name="_Toc233883859"/>
      <w:bookmarkStart w:id="10" w:name="_Toc169790498"/>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5.1 تساؤلات الدراسة</w:t>
      </w:r>
      <w:bookmarkEnd w:id="9"/>
    </w:p>
    <w:p w14:paraId="7DD286BF">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السؤال الرئيسي</w:t>
      </w:r>
    </w:p>
    <w:p w14:paraId="2D3F9AB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ما أثر إدارة مخاطر تكنولوجيا البيانات بأبعادها (تقييم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w:t>
      </w:r>
    </w:p>
    <w:p w14:paraId="7C1E9246">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11" w:name="_Toc223910593"/>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الأسئلة الفرعية</w:t>
      </w:r>
      <w:bookmarkEnd w:id="11"/>
    </w:p>
    <w:p w14:paraId="3BDE920C">
      <w:pPr>
        <w:numPr>
          <w:ilvl w:val="0"/>
          <w:numId w:val="4"/>
        </w:numPr>
        <w:tabs>
          <w:tab w:val="left" w:pos="424"/>
          <w:tab w:val="clear" w:pos="720"/>
        </w:tabs>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ما أثر تقييم المخاطر التقنية على دقة التنبؤات الجوية ودعم القرار في المركز الوطني للأرصاد بالمملكة العربية السعودية؟</w:t>
      </w:r>
    </w:p>
    <w:p w14:paraId="6495B1B2">
      <w:pPr>
        <w:numPr>
          <w:ilvl w:val="0"/>
          <w:numId w:val="4"/>
        </w:numPr>
        <w:tabs>
          <w:tab w:val="left" w:pos="424"/>
          <w:tab w:val="clear" w:pos="720"/>
        </w:tabs>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ما أثر أمن البيانات والبنية التحتية على دقة التنبؤات الجوية ودعم القرار في المركز الوطني للأرصاد بالمملكة العربية السعودية؟</w:t>
      </w:r>
    </w:p>
    <w:p w14:paraId="5DCEE39C">
      <w:pPr>
        <w:numPr>
          <w:ilvl w:val="0"/>
          <w:numId w:val="4"/>
        </w:numPr>
        <w:tabs>
          <w:tab w:val="left" w:pos="424"/>
          <w:tab w:val="clear" w:pos="720"/>
        </w:tabs>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ما أثر حوكمة تكنولوجيا المعلومات على دقة التنبؤات الجوية ودعم القرار في المركز الوطني للأرصاد بالمملكة العربية السعودية؟</w:t>
      </w:r>
    </w:p>
    <w:p w14:paraId="64FED1BA">
      <w:pPr>
        <w:numPr>
          <w:ilvl w:val="0"/>
          <w:numId w:val="4"/>
        </w:numPr>
        <w:tabs>
          <w:tab w:val="left" w:pos="424"/>
          <w:tab w:val="clear" w:pos="720"/>
        </w:tabs>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ما أثر المراقبة والتحسين المستمر على دقة التنبؤات الجوية ودعم القرار في المركز الوطني للأرصاد بالمملكة العربية السعودية؟</w:t>
      </w:r>
    </w:p>
    <w:p w14:paraId="64DE80B6">
      <w:pPr>
        <w:numPr>
          <w:ilvl w:val="0"/>
          <w:numId w:val="4"/>
        </w:numPr>
        <w:tabs>
          <w:tab w:val="left" w:pos="424"/>
          <w:tab w:val="clear" w:pos="720"/>
        </w:tabs>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ما التصور المقترح لتعزيز ممارسات إدارة مخاطر تكنولوجيا البيانات بهدف تحسين دقة التنبؤات الجوية ودعم القرار في المركز الوطني للأرصاد؟</w:t>
      </w:r>
    </w:p>
    <w:bookmarkEnd w:id="10"/>
    <w:p w14:paraId="14CDB045">
      <w:pPr>
        <w:spacing w:before="100" w:beforeAutospacing="1" w:after="100" w:afterAutospacing="1" w:line="276" w:lineRule="auto"/>
        <w:outlineLvl w:val="1"/>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pPr>
      <w:bookmarkStart w:id="12" w:name="_Toc233883860"/>
      <w:bookmarkStart w:id="13" w:name="_Toc169790500"/>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6.1 فروض الدراسة:</w:t>
      </w:r>
      <w:bookmarkEnd w:id="12"/>
    </w:p>
    <w:p w14:paraId="1087AD22">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الفرض الرئيسي</w:t>
      </w:r>
    </w:p>
    <w:p w14:paraId="37F14FDE">
      <w:pPr>
        <w:pStyle w:val="23"/>
        <w:numPr>
          <w:ilvl w:val="0"/>
          <w:numId w:val="5"/>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يوجد أثر ذو دلالة إحصائية عند مستوى معنوية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(0.05 </w:t>
      </w:r>
      <w:r>
        <w:rPr>
          <w:rFonts w:ascii="Times New Roman" w:hAnsi="Times New Roman" w:eastAsia="Times New Roman" w:cs="Times New Roman"/>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Cambria" w:hAnsi="Cambria" w:eastAsia="Times New Roman" w:cs="Cambria"/>
          <w:color w:val="000000" w:themeColor="text1"/>
          <w:kern w:val="0"/>
          <w:sz w:val="28"/>
          <w:szCs w:val="28"/>
          <w14:textFill>
            <w14:solidFill>
              <w14:schemeClr w14:val="tx1"/>
            </w14:solidFill>
          </w14:textFill>
          <w14:ligatures w14:val="none"/>
        </w:rPr>
        <w:t>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لإدارة مخاطر تكنولوجيا البيانات بأبعادها مجتمعة (تقييم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F91D0E3">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14" w:name="_Toc223910596"/>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الفروض الفرعية</w:t>
      </w:r>
      <w:bookmarkEnd w:id="14"/>
    </w:p>
    <w:p w14:paraId="58077B1E">
      <w:pPr>
        <w:pStyle w:val="23"/>
        <w:numPr>
          <w:ilvl w:val="0"/>
          <w:numId w:val="5"/>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الفرض الفرعي الأول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يوجد أثر ذو دلالة إحصائية عند مستوى معنوية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(0.05 </w:t>
      </w:r>
      <w:r>
        <w:rPr>
          <w:rFonts w:ascii="Times New Roman" w:hAnsi="Times New Roman" w:eastAsia="Times New Roman" w:cs="Times New Roman"/>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Cambria" w:hAnsi="Cambria" w:eastAsia="Times New Roman" w:cs="Cambria"/>
          <w:color w:val="000000" w:themeColor="text1"/>
          <w:kern w:val="0"/>
          <w:sz w:val="28"/>
          <w:szCs w:val="28"/>
          <w14:textFill>
            <w14:solidFill>
              <w14:schemeClr w14:val="tx1"/>
            </w14:solidFill>
          </w14:textFill>
          <w14:ligatures w14:val="none"/>
        </w:rPr>
        <w:t>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لتقييم المخاطر التقنية على دقة التنبؤات الجوية ودعم القرار في المركز الوطني للأرصاد بالمملكة العربية السعودية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20B01E5">
      <w:pPr>
        <w:pStyle w:val="23"/>
        <w:numPr>
          <w:ilvl w:val="0"/>
          <w:numId w:val="5"/>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الفرض الفرعي الثاني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يوجد أثر ذو دلالة إحصائية عند مستوى معنوية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(0.05 </w:t>
      </w:r>
      <w:r>
        <w:rPr>
          <w:rFonts w:ascii="Times New Roman" w:hAnsi="Times New Roman" w:eastAsia="Times New Roman" w:cs="Times New Roman"/>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Cambria" w:hAnsi="Cambria" w:eastAsia="Times New Roman" w:cs="Cambria"/>
          <w:color w:val="000000" w:themeColor="text1"/>
          <w:kern w:val="0"/>
          <w:sz w:val="28"/>
          <w:szCs w:val="28"/>
          <w14:textFill>
            <w14:solidFill>
              <w14:schemeClr w14:val="tx1"/>
            </w14:solidFill>
          </w14:textFill>
          <w14:ligatures w14:val="none"/>
        </w:rPr>
        <w:t>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لأمن البيانات والبنية التحتية على دقة التنبؤات الجوية ودعم القرار في المركز الوطني للأرصاد بالمملكة العربية السعودية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B54796B">
      <w:pPr>
        <w:pStyle w:val="23"/>
        <w:numPr>
          <w:ilvl w:val="0"/>
          <w:numId w:val="5"/>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الفرض الفرعي الثالث</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يوجد أثر ذو دلالة إحصائية عند مستوى معنوية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(0.05 </w:t>
      </w:r>
      <w:r>
        <w:rPr>
          <w:rFonts w:ascii="Times New Roman" w:hAnsi="Times New Roman" w:eastAsia="Times New Roman" w:cs="Times New Roman"/>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Cambria" w:hAnsi="Cambria" w:eastAsia="Times New Roman" w:cs="Cambria"/>
          <w:color w:val="000000" w:themeColor="text1"/>
          <w:kern w:val="0"/>
          <w:sz w:val="28"/>
          <w:szCs w:val="28"/>
          <w14:textFill>
            <w14:solidFill>
              <w14:schemeClr w14:val="tx1"/>
            </w14:solidFill>
          </w14:textFill>
          <w14:ligatures w14:val="none"/>
        </w:rPr>
        <w:t>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لحوكمة تكنولوجيا المعلومات على دقة التنبؤات الجوية ودعم القرار في المركز الوطني للأرصاد بالمملكة العربية السعودية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2C2E5CC">
      <w:pPr>
        <w:pStyle w:val="23"/>
        <w:numPr>
          <w:ilvl w:val="0"/>
          <w:numId w:val="5"/>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الفرض الفرعي الرابع</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يوجد أثر ذو دلالة إحصائية عند مستوى معنوية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(0.05 </w:t>
      </w:r>
      <w:r>
        <w:rPr>
          <w:rFonts w:ascii="Times New Roman" w:hAnsi="Times New Roman" w:eastAsia="Times New Roman" w:cs="Times New Roman"/>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Cambria" w:hAnsi="Cambria" w:eastAsia="Times New Roman" w:cs="Cambria"/>
          <w:color w:val="000000" w:themeColor="text1"/>
          <w:kern w:val="0"/>
          <w:sz w:val="28"/>
          <w:szCs w:val="28"/>
          <w14:textFill>
            <w14:solidFill>
              <w14:schemeClr w14:val="tx1"/>
            </w14:solidFill>
          </w14:textFill>
          <w14:ligatures w14:val="none"/>
        </w:rPr>
        <w:t>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للمراقبة والتحسين المستمر على دقة التنبؤات الجوية ودعم القرار في المركز الوطني للأرصاد بالمملكة العربية السعودية</w:t>
      </w:r>
    </w:p>
    <w:bookmarkEnd w:id="13"/>
    <w:p w14:paraId="4BC1D21F">
      <w:pPr>
        <w:spacing w:before="100" w:beforeAutospacing="1" w:after="100" w:afterAutospacing="1" w:line="276" w:lineRule="auto"/>
        <w:outlineLvl w:val="1"/>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pPr>
      <w:bookmarkStart w:id="15" w:name="_Toc233883861"/>
      <w:bookmarkStart w:id="16" w:name="_Toc169790501"/>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7.1 الدراسات السابقة:</w:t>
      </w:r>
      <w:bookmarkEnd w:id="15"/>
    </w:p>
    <w:p w14:paraId="19CAF8DE">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المحور الأول: دراسات المتغير المستقل – إدارة مخاطر البيانات والتقنية</w:t>
      </w:r>
    </w:p>
    <w:p w14:paraId="61E1E35E">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خليفة وضيف الله وزين</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(2021): "</w:t>
      </w: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أثر حوكمة تكنولوجيا المعلومات على الحد من مخاطر نظام المعلومات المحاسبي: دراسة ميدانية لعينة من المحاسبين</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31DC746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هدفت الدراسة إلى التعرف على المخاطر التي تواجه نظام المعلومات المحاسبي، ومدى مساهمة تطبيق حوكمة تكنولوجيا المعلومات بأبعادها (التخطيط الاستراتيجي لتقنية المعلومات، إدارة الموارد، قياس الأداء، إدارة المخاطر) في الحد من تلك المخاطر. واستخدمت الدراسة المنهج الوصفي التحليلي من خلال استبانة وُزعت على مستخدمي نظم المعلومات المحاسبية في الشركات ومكاتب المحاسبة خلال الفترة من 14/09/2019 إلى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30/10/2019.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أن نظم المعلومات المحاسبية قد تتعرض لمخاطر أثناء تشغيلها ناتجة في الغالب عن أسباب داخلية، وأن تطبيق حوكمة تكنولوجيا المعلومات يعمل كأداة فعالة للتقليل من هذه المخاطر خاصة في ظل التطورات التكنولوجية المتسارعة. وأوصت الدراسة بضرورة تعزيز تطبيق حوكمة تكنولوجيا المعلومات في المؤسسات لحماية أنظمتها المحاسبية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F144104">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 xml:space="preserve">دراسة الصيد وأبوشناف والتويقري </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(2022): "</w:t>
      </w: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حوكمة تقنية المعلومات للحد من المخاطر السيبرانية وتعزيز أمن المعلومات المحاسبية في المؤسسات الليبية العامة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170EF56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اقتراح نموذج لحوكمة تقنية المعلومات بأبعاده (الحوكمة المؤسسية، لجنة حوكمة تقنية المعلومات، إدارة المخاطر، الرقابة المستمرة، الشفافية والمساءلة، استقلالية المراجع الداخلي) للحد من المخاطر السيبرانية وتعزيز أمن المعلومات المحاسبية في المؤسسات الليبية العامة. واستخدمت الدراسة المنهج الوصفي التحليلي من خلال مراجعة الدراسات السابقة والتقارير والنماذج وأفضل الممارسات والأدبيات ذات العلاقة. وتوصلت نتائج الدراسة إلى أن حوكمة تقنية المعلومات لها دور إيجابي في الحد من المخاطر السيبرانية وتعزيز أمن المعلومات المحاسبية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وأوصت الدراسة بضرورة تبني المؤسسات الليبية العامة لحوكمة تقنية المعلومات وتفعيل آلياتها لمواجهة التهديدات السيبرانية المتزايدة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BFA5511">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الجبلي (2022): "أثر التكامل بين أبعاد</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COBIT5 </w:t>
      </w: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ومكونات الرقابة الداخلية وفقًا لإطار</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COSO </w:t>
      </w: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في الحد من مخاطر المحاسبة السحابية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1D9E2AB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أثر التكامل بين أبعاد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COBIT5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بأبعاده (التخطيط والتنظيم، الاقتناء والتنفيذ، التسليم والدعم، التوجيه والرقابة، المراقبة والتقييم) ومكونات الرقابة الداخلية وفقًا لإطار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COSO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على الحد من مخاطر المحاسبة السحابية، في بيئة الشركات المصرية. واستخدمت الدراسة المنهج الوصفي التحليلي، وتكونت العينة من مجموعة من المحاسبين والمراجعين العاملين في شركات المساهمة المصرية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أن التكامل بين أبعاد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COBIT5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ومكونات الرقابة الداخلية وفقًا لإطار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COSO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يسهم بشكل جوهري وإيجابي في الحد من مخاطر المحاسبة السحابية بأبعادها المختلفة (مخاطر الأمان، مخاطر التشغيل، مخاطر الخصوصية). وأوصت الدراسة بضرورة تبني الشركات لإطار تكاملي يجمع بين حوكمة تكنولوجيا المعلومات والرقابة الداخلية لتعزيز الأمان ومواجهة المخاطر التقنية المستحدثة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21959B8">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العازمي (2022): "تفعيل حوكمة تكنولوجيا المعلومات في تأمين المعلومات المحاسبية من المخاطر الإلكترونية في ظل عصر الرقمنة: دراسة تطبيقية على البنوك التجارية الكويتية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6193CE6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دور تفعيل حوكمة تكنولوجيا المعلومات بأبعادها (التوافق الاستراتيجي، إدارة المخاطر، إدارة الموارد، قياس الأداء، تحقيق القيمة) في تأمين المعلومات المحاسبية من المخاطر الإلكترونية في البنوك التجارية الكويتية في ظل عصر الرقمنة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واستخدمت الدراسة المنهج الوصفي التحليلي، وتكونت العينة من العاملين في أقسام تكنولوجيا المعلومات والمحاسبة والمراجعة في البنوك التجارية الكويتية. وتوصلت نتائج الدراسة إلى وجود أثر ذي دلالة إحصائية لتفعيل حوكمة تكنولوجيا المعلومات بأبعادها المختلفة في تأمين المعلومات المحاسبية من المخاطر الإلكترونية. وأوصت الدراسة بضرورة تبني البنوك الكويتية لأطر حوكمة تقنية المعلومات المعتمدة دوليًا وتحديثها باستمرار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6C3D925">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راجح وسلام (2025): "دور حوكمة تكنولوجيا المعلومات وفق إطار</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COBIT5 </w:t>
      </w: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في الحد من مخاطر المحاسبة السحابية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ميدانية على مجموعة هائل سعيد أنعم وشركاه</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026E5D3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دور حوكمة تكنولوجيا المعلومات وفق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COBIT5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بأبعاده (التخطيط والتنظيم، الاقتناء والتنفيذ، التسليم والدعم، التوجيه والرقابة، المراقبة والتقييم) في الحد من مخاطر المحاسبة السحابية في شركات مجموعة هائل سعيد أنعم وشركاه باليمن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واستخدمت الدراسة المنهج الوصفي التحليلي، وتكونت العينة من (161) موظفًا في شركات المجموعة تم توزيع استبانات عليهم. وتوصلت نتائج الدراسة إلى أن مستوى ممارسة حوكمة تكنولوجيا المعلومات بأبعادها كان مرتفعًا في شركات المجموعة، وأن هذا المستوى المرتفع أسهم بشكل جوهري في تقليل المخاطر المرتبطة بالمحاسبة السحابية. وأوصت الدراسة بضرورة إشراك أصحاب المصلحة في الإجراءات المتعلقة بتقنية المعلومات لتحسين جودة القرارات والحد من المخاطر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81AC9C7">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Sanjaya etal., (2020): </w:t>
      </w:r>
    </w:p>
    <w:p w14:paraId="66BBD44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كيفية تطبيق إدارة مخاطر تكنولوجيا المعلومات وفق معيار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ISO 31000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بأبعاده (تحديد السياق، تحديد المخاطر، تحليل المخاطر، تقييم المخاطر، معالجة المخاطر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بالاعتماد على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ISSAF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لاختبار الاختراق في نظام المعلومات لمفوضية الانتخابات بمدينة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X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 إندونيسيا. واستخدمت الدراسة المنهج التجريبي من خلال تنفيذ اختبارات اختراق فعلية على النظام. وتكونت العينة من نظام تقنية المعلومات الخاص بمفوضية الانتخابات كدراسة حالة واحدة. وتوصلت نتائج الدراسة إلى اكتشاف عدة ثغرات أمنية خطيرة في النظام، وأن تطبيق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ISO 31000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مع اختبار الاختراق وفق</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ISSAF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يوفر منهجية شاملة وفعالة لتحديد المخاطر وتقييمها ومعالجتها. وأوصت الدراسة بضرورة إجراء اختبارات اختراق دورية وتبني معايير إدارة المخاطر الدولية في المؤسسات الحكومية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D547584">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Cremer etal., (2022): "</w:t>
      </w:r>
    </w:p>
    <w:p w14:paraId="4C2D029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مدى توافر البيانات المتعلقة بالمخاطر السيبرانية وأمن المعلومات، بأبعاد تشمل (مصادر المخاطر السيبرانية، آثار المخاطر السيبرانية، مجموعات بيانات الأمن السيبراني) وتأثيرها على إدارة المخاطر وصناعة التأمين السيبراني. واستخدمت الدراسة منهج المراجعة المنهجية المنظمة وفق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PRISMA</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وتكونت العينة من (5219) دراسة أولية تمت تصفيتها وصولًا إلى (255) دراسة نهائية 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(79)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مجموعة بيانات فريدة من أربع قواعد بيانات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(IEEE Xplore, Scopus, SpringerLink, Web of Science).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أن نقص البيانات المتاحة حول المخاطر السيبرانية يمثل مشكلة خطيرة، وأن 58.2% من مجموعات البيانات مصدرها الولايات المتحدة، مع وجود فجوة كبيرة في قواعد البيانات المفتوحة. وأوصت الدراسة بضرورة إتاحة البيانات المفتوحة وتوحيد معايير بيانات المخاطر السيبرانية لدعم البحث العلمي وصناعة التأمين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A23E047">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Al-Dosari &amp; Fetais (2023): </w:t>
      </w:r>
    </w:p>
    <w:p w14:paraId="3D5FCA7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مدى فاعلية أطر إدارة مخاطر تكنولوجيا المعلومات بأبعادها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NIST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ISO/IEC 27001</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COBIT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OCTAVE)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 تعزيز أمن نظم المعلومات في المنشآت الصغيرة والمتوسطة. واستخدمت الدراسة منهج التحليل البعدي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(Meta-Analysis)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للمراجعة المنهجية للأدبيات، وتكونت العينة من (168) مقالة أولية تمت تصفيتها إلى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(29)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دراسة نهائية منشورة بين 2016 و2022 من قواعد بيانات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Google Scholar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IEEE Xplore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Springer Link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Elsevier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Scopus.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أن الأطر الحالية مثل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NIST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ISO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تعاني من التعقيد المفرط وصعوبة التطبيق في المنشآت الصغيرة، وأن النهج الهجين الذي يجمع بين أكثر من إطار يحقق نتائج أفضل. وأوصت الدراسة بتطوير أطر مبسطة ومرنة تناسب خصائص المنشآت الصغيرة والمتوسطة وتراعي العوامل البشرية في إدارة المخاطر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C2E4710">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Li &amp; Wang (2024): </w:t>
      </w:r>
    </w:p>
    <w:p w14:paraId="6668EBD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كيفية تصميم وتنفيذ نظام ذكي لتقييم وإدارة مخاطر أمن البيانات بأبعاده (تحديد مصادر المخاطر، تقييم احتمالية التهديدات، تقييم تأثير الثغرات الأمنية، آليات الاستجابة الآلية) في بيئة المؤسسات الرقمية. واستخدمت الدراسة المنهج التجريبي التطبيقي القائم على تصميم النظام وتطويره واختباره. وتكونت العينة من بيانات أمنية مستخلصة من بيئات مؤسسية مختلفة لاختبار أداء النظام المطور. وتوصلت نتائج الدراسة إلى أن النظام الذكي المقترح يتمتع بقدرة عالية على اكتشاف التهديدات الأمنية وتقييم المخاطر بدقة وسرعة تفوق الأساليب التقليدية، مع توفير آليات استجابة آلية فعالة. وأوصت الدراسة بضرورة اعتماد المؤسسات لأنظمة تقييم المخاطر الذكية المدعومة بالذكاء الاصطناعي لتعزيز حماية البيانات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5B833EE">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Najwa, Miskon, &amp; Okfalisa (2025): </w:t>
      </w:r>
    </w:p>
    <w:p w14:paraId="36AD258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هدفت الدراسة إلى التعرف على اتجاهات البحث وفرصه المستقبلية في مجال إدارة مخاطر نظم وتكنولوجيا المعلومات، بأبعاد تشمل (تقييم المخاطر، التهديدات الأمنية، إدارة المشاريع، أمن المعلومات، الحوكمة) من منظور ببليومتري. واستخدمت الدراسة المنهج الببليومتري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(Bibliometric Analysis)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باستخدام برنامج</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VOSViewer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لتحليل شبكات المصطلحات. وتكونت العينة من (289) ورقة بحثية منشورة في الفترة من 2020 إلى 2025 تم استخراجها من قواعد البيانات العلمية المحكمة. وتوصلت نتائج الدراسة إلى تحديد (145) مصطلحًا مُصنفًا في (7) مجموعات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(Clusters)</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وأن أكثر المصطلحات تكرارًا هي "المشروع" و"التقييم" و"التهديد"، مع تباين نتائج إدارة مخاطر نظم المعلومات حسب ظروف كل حالة. وأوصت الدراسة بضرورة التركيز على البحث في الفجوات المحددة وتطوير أطر إدارة مخاطر ديناميكية تتكيف مع التطورات التكنولوجية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DA24810">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17" w:name="_Toc223910599"/>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المحور الثاني: دراسات المتغير التابع – دقة التنبؤات ودعم القرار في الأرصاد الجوية</w:t>
      </w:r>
      <w:bookmarkEnd w:id="17"/>
    </w:p>
    <w:p w14:paraId="706A06F2">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نجيب (2022): "دور الذكاء الاصطناعي في تحسين إدارة المخاطر وإدارة الكوارث</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2E996E2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دور تقنيات الذكاء الاصطناعي بأبعادها (التعلم الآلي، التحليلات التنبؤية، أنظمة دعم القرار، نمذجة المخاطر) في تحسين إدارة المخاطر والكوارث الطبيعية بما فيها الظواهر الجوية المتطرفة. واستخدمت الدراسة المنهج الوصفي التحليلي من خلال مراجعة الأدبيات والدراسات السابقة ذات الصلة. وتكونت العينة من مجموعة من التجارب والنماذج الدولية في توظيف الذكاء الاصطناعي لإدارة الكوارث. وتوصلت نتائج الدراسة إلى أن الذكاء الاصطناعي يعزز بشكل كبير القدرة على التنبؤ بالكوارث وتحسين استجابة أنظمة الإنذار المبكر وتقليل الخسائر البشرية والمادية. وأوصت الدراسة بضرورة دمج تقنيات الذكاء الاصطناعي في خطط إدارة المخاطر الوطنية وتطوير البنية التحتية الرقمية اللازمة لذلك</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8C6A6F6">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المركز الوطني للأرصاد بالمملكة العربية السعودية (2023): "تطوير منظومة التنبؤات الجوية ودعم القرار في المملكة العربية السعودية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17FFEBF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جهود تطوير منظومة التنبؤات الجوية بأبعادها (توسيع شبكة محطات الرصد، تحديث أنظمة النمذجة العددية، تطبيقات الذكاء الاصطناعي، أنظمة الإنذار المبكر) ودورها في دعم اتخاذ القرار في المملكة العربية السعودية. واستخدمت الدراسة المنهج الوصفي التوثيقي من خلال عرض المشاريع والبرامج المنفذة في المركز الوطني للأرصاد. وتكونت البيانات من تقارير أداء المركز ومخرجات أنظمة التنبؤ والإنذار المبكر. وتوصلت النتائج إلى تحقيق تقدم ملموس في دقة التنبؤات الجوية بعد تحديث منظومة الرصد وتطبيق تقنيات الذكاء الاصطناعي، مع تحسن ملحوظ في سرعة إصدار الإنذارات المبكرة. وأوصت الدراسة بمواصلة الاستثمار في التقنيات الحديثة وتعزيز التعاون الإقليمي والدولي في مجال الأرصاد الجوية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F2EDCBF">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الشهري (2024): "استخدام نماذج أريما في التنبؤ بمعدلات هطول الأمطار في منطقة الباحة بالمملكة العربية السعودية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33D7526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إمكانية استخدام نماذج السلاسل الزمنية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(ARIMA)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بأبعادها (التعريف بالنموذج، تقدير المعلمات، اختبار ملاءمة النموذج، التنبؤ بالقيم المستقبلية) في التنبؤ بمعدلات هطول الأمطار في منطقة الباحة بالمملكة العربية السعودية. واستخدمت الدراسة المنهج الكمي التحليلي القائم على تحليل السلاسل الزمنية. وتكونت العينة من بيانات هطول الأمطار الشهرية المسجلة لمنطقة الباحة خلال الفترة من 1985م إلى 2014م. وتوصلت نتائج الدراسة إلى أن نماذج السلاسل الزمنية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(ARIMA)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قادرة على التنبؤ بالقيم المستقبلية لمعدلات هطول الأمطار بدقة مقبولة، وأنها أداة فعالة خاصة في ظل محدودية البيانات المتاحة. وأوصت الدراسة بتوظيف نماذج</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ARIMA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 التخطيط لإدارة الموارد المائية والتنبؤ بالأحوال المناخية في المملكة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8EB06DC">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مركز تريندز للبحوث والاستشارات (2024): "الذكاء الاصطناعي وتطور التنبؤ بالأحوال الجوية: الفرص والتحديات</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0B72E2D8">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دور تقنيات الذكاء الاصطناعي بأبعادها (التعلم العميق، الشبكات العصبية، تحليل البيانات الضخمة، النمذجة المناخية الذكية) في تطوير دقة التنبؤات الجوية ودعم اتخاذ القرارات المتعلقة بالأحوال المناخية. واستخدمت الدراسة المنهج الوصفي التحليلي من خلال مراجعة وتحليل الأدبيات والتجارب الدولية والعربية في هذا المجال. وتكونت العينة من مجموعة من التقارير والدراسات والتجارب العالمية لهيئات الأرصاد الجوية. وتوصلت نتائج الدراسة إلى أن الذكاء الاصطناعي أحدث نقلة نوعية في دقة التنبؤات الجوية وسرعة إصدارها، إلا أن هناك تحديات تتعلق بجودة البيانات والبنية التحتية الرقمية والكفاءات البشرية. وأوصت الدراسة بتعزيز الاستثمار في البنية التحتية الرقمية وتأهيل الكوادر الوطنية لتوظيف الذكاء الاصطناعي في قطاع الأرصاد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4E2A819">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 هيئة الأرصاد المصرية (2024): "الذكاء الاصطناعي وثورة في التنبؤات الجوية والمائية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3657AF6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أثر توظيف تقنيات الذكاء الاصطناعي بأبعادها (النمذجة العددية المحسّنة، الشبكات العصبية التلافيفية، تحليل صور الأقمار الصناعية، التعلم العميق) في تحسين دقة التنبؤات الجوية والمائية في مصر. واستخدمت الدراسة المنهج الوصفي التحليلي من خلال عرض التجارب التطبيقية لهيئة الأرصاد المصرية. وتكونت البيانات من مخرجات أنظمة التنبؤ الرقمية ومقارنتها بالأرصاد الفعلية. وتوصلت نتائج الدراسة إلى أن تطبيق تقنيات الذكاء الاصطناعي أدى إلى تحسين ملموس في دقة التنبؤات الجوية قصيرة ومتوسطة المدى، وتقليل نسبة الخطأ في التنبؤ بالظواهر الجوية المتطرفة. وأوصت الدراسة بتوسيع نطاق تطبيق تقنيات الذكاء الاصطناعي وتطوير الكوادر البشرية المتخصصة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D4CBD0D">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Schultz etal., (2021): </w:t>
      </w:r>
    </w:p>
    <w:p w14:paraId="03FD990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إمكانية استبدال نماذج التنبؤ العددي بالطقس بنماذج التعلم العميق بأبعاده (الشبكات العصبية التلافيفية، شبكات الذاكرة طويلة المدى، شبكات التوليد التنافسية، التقنيات الهجينة) لتحقيق تنبؤات جوية أسرع وأدق. واستخدمت الدراسة المنهج التحليلي المقارن من خلال مراجعة شاملة لمعمارية نماذج التعلم العميق وتقييم قابليتها للتطبيق على بيانات الأرصاد الجوية. وتكونت العينة من تحليل نماذج التنبؤ العددي الحالية ومقارنتها بنماذج التعلم العميق المتاحة. وتوصلت نتائج الدراسة إلى أن استبدال النماذج العددية بالكامل بنماذج تعلم عميق ليس مستبعدًا مستقبلًا، لكنه يتطلب اختراقات جوهرية في معالجة خصائص البيانات الجوية المعقدة وتحقيق الاتساق الفيزيائي وتقدير عدم اليقين. وأوصت الدراسة بتعزيز التعاون بين علماء الحاسوب وعلماء الأرصاد لتطوير نماذج هجينة تجمع بين مزايا النهجين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199F713">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Na-Yemeh etal., (2022): "</w:t>
      </w:r>
    </w:p>
    <w:p w14:paraId="0AA83759">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أثر نظام دعم القرار الجوي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OK-First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بأبعاده (أدوات الرصد، التدريب والتأهيل، خدمات الدعم الفني، التكامل مع شبكة الأرصاد) على قرارات مسؤولي السلامة العامة في ولاية أوكلاهوما بالولايات المتحدة. واستخدمت الدراسة المنهج المختلط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(Mixed Methods)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الذي يجمع بين التحليل الكمي والنوعي من ثلاثة مصادر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تحليلات استخدام الموقع الإلكتروني، استبانات المستخدمين، مقابلات معمقة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وتكونت العينة من مستخدمي نظام</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OK-First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من مسؤولي السلامة العامة في أوكلاهوما. وتوصلت نتائج الدراسة إلى أن مجموعة متنوعة من الأدوات الجوية ضرورية لاتخاذ القرارات في ظروف الطقس الخطرة، وأن النظام حقق وفورات مالية تُقدر بأكثر من 1.2 مليون دولار خلال 12 شهرًا. وأوصت الدراسة بتعزيز تطوير أنظمة دعم القرار الجوي وتوسيع برامج التدريب</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829BBEE">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Pagano etal., (2024): </w:t>
      </w:r>
    </w:p>
    <w:p w14:paraId="241B995E">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التحديات التي تواجه عمليات التحقق من دقة التنبؤات الجوية وتقييمها بأبعادها (أساليب التحقق غير الملائمة، عدم اكتمال بيانات الرصد، صعوبة تقييم المنتجات الاحتمالية، ربط التحقق بالتطوير المؤسسي، التواصل مع صناع القرار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واستخدمت الدراسة المنهج المسحي القائم على استبانة دولية واسعة النطاق</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وتكونت العينة من ممارسين في هيئات الأرصاد الجوية الوطنية حول العالم</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خمسة محاور رئيسية للتحديات: عدم ملاءمة أساليب التحقق الحالية، وبيانات الرصد غير الكاملة، وصعوبات ربط التحقق بتحسين الخدمات، ونقص الموارد والكفاءات، وضعف التواصل مع المستخدمين النهائيين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وأوصت الدراسة بتطوير منهجيات تحقق جديدة تتناسب مع المنتجات الاحتمالية الحديثة وتعزيز التعاون الدولي في هذا المجال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EAF0DCA">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Ripberger etal., (2022): </w:t>
      </w:r>
    </w:p>
    <w:p w14:paraId="2CB0CB1C">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كيفية تأثير إيصال معلومات الاحتمالات في التنبؤات الجوية بأبعادها (فهم الجمهور للاحتمالات، صيغ عرض المعلومات، تأثير الاحتمالات على القرارات، الفروق الفردية في الاستيعاب) على جودة قرارات المستخدمين. واستخدمت الدراسة منهج المراجعة المنهجية المنظمة الحية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(Living Systematic Review).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وتكونت العينة من (327) دراسة تم تحديدها وتصفيتها من الأدبيات العلمية ذات الصلة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أن الأفراد يتخذون قرارات أفضل عند تزويدهم بمعلومات احتمالية مقارنة بالتنبؤات الحتمية التقليدية، وأن طريقة عرض المعلومات الاحتمالية تؤثر بشكل كبير على فهمها واستخدامها. وأوصت الدراسة بضرورة اعتماد صيغ موحدة ومبسطة لعرض المعلومات الاحتمالية في التنبؤات الجوية لتحسين دعم القرار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DB44127">
      <w:pPr>
        <w:pStyle w:val="23"/>
        <w:numPr>
          <w:ilvl w:val="0"/>
          <w:numId w:val="6"/>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دراسة</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 xml:space="preserve"> Wu &amp; Xue (2024): </w:t>
      </w:r>
    </w:p>
    <w:p w14:paraId="5734292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هدفت الدراسة إلى التعرف على تطور نماذج التنبؤ الجوي والنمذجة المناخية القائمة على البيانات بأبعادها (اختيار مجموعات البيانات، تصميم بنية النموذج، عمليات التدريب، التسريع الحاسوبي، تقييم فاعلية التنبؤ). واستخدمت الدراسة منهج المراجعة الأدبية الشاملة لأبرز النماذج المطورة منذ عام 2018 حتى 2024. وتكونت العينة من تحليل مقارن لنماذج رئيسية تشمل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Pangu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GraphCast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FengWu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FuXi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NeuralGCM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ClimaX.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وتوصلت نتائج الدراسة إلى أن النماذج القائمة على البيانات المدربة على بيانات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ERA5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قادرة على تقديم تنبؤات فعالة بمعامل ارتباط</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(ACC)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أعلى من 0.6 لمدة تصل إلى 15 يومًا بدقة مكانية 0.25 درجة، وأنها تتفوق أو تضاهي أفضل طرق التنبؤ العددي لـ90% من المتغيرات مع تقليل زمن التنبؤ من ساعات إلى ثوانٍ. وأوصت الدراسة ببناء نماذج أكبر ودمج المزيد من القيود الفيزيائية وتطوير أساليب التقييم الشامل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1FC211F">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pPr>
      <w:bookmarkStart w:id="18" w:name="_Toc233883862"/>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8.1 الفجوة البحثية</w:t>
      </w:r>
      <w:bookmarkEnd w:id="18"/>
    </w:p>
    <w:p w14:paraId="6935CCE0">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تتفق الدراسة الحالية مع عدد من الدراسات السابقة في جوانب متعددة تتعلق بالهدف والمنهج وبيئة التطبيق. فمن حيث الهدف، تتفق الدراسة الحالية مع دراسة الجبلي (2022) ودراسة خليفة وضيف الله وزين (2021) ودراسة راح وسلام (2025) ودراسة العازمي (2022) في السعي نحو الكشف عن أثر حوكمة تكنولوجيا المعلومات وإدارة المخاطر التقنية على جودة المخرجات المؤسسية، كما تتفق مع 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Sanjaya et al. (2020)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 التركيز على أطر إدارة المخاطر التقنية المعتمدة دولياً كـ</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ISO 31000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COBIT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NIST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بوصفها أدوات مرجعية لتقييم الممارسات المؤسسية. وفي جانب المتغير التابع، تتفق الدراسة الحالية مع 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 الاهتمام بتحسين دقة التنبؤات الجوية، ومع 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ودراسة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Ripberger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 التركيز على فاعلية أنظمة دعم القرار الجوي وأثرها على المستفيدين. أما من حيث المنهج، فتتفق الدراسة الحالية مع غالبية الدراسات العربية كدراسة الجبلي (2022) ودراسة خليفة وآخرين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ودراسة العازمي (2022) في اعتماد المنهج الوصفي التحليلي واستخدام الاستبانة أداةً رئيسية لجمع البيانات، كما تتفق مع دراسة الشهري (2024) في التطبيق على البيئة السعودية بوصفها بيئة ذات خصوصية مناخية وجغرافية تستوجب دراسات متخصصة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6CC8DB8">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تختلف الدراسة الحالية عن الدراسات السابقة في عدة جوانب جوهرية تمنحها تميزاً وأصالة بحثية. فمن حيث الهدف، ركّزت معظم الدراسات السابقة في جانب المتغير المستقل على قطاعات مالية ومصرفية ومحاسبية؛ إذ طُبقت دراسة الجبلي (2022) على شركات الاتصالات المصرية، ودراسة خليفة وآخرين (2021) على عينة من المحاسبين الجزائريين، ودراسة راح وسلام (2025) على مجموعة هائل سعيد أنعم اليمنية، ودراسة العازمي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على البنوك التجارية الكويتية، ودراسة الصيد وآخرين (2022) على المؤسسات العامة الليبية، في حين تنفرد الدراسة الحالية بتطبيقها على قطاع الأرصاد الجوية المتمثل في المركز الوطني للأرصاد بالمملكة العربية السعودية وهو قطاع لم تتناوله الدراسات السابقة في سياق إدارة المخاطر التقنية. كما أن دراسات المتغير التابع كدراسة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اعتمدت مناهج تحليلية ومراجعات نظرية لنماذج التعلم العميق والتنبؤ المعتمد على البيانات دون ربطها بإدارة المخاطر التقنية، بينما ركّزت دراسة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Pagano et al.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على تحديات التحقق من التنبؤات من منظور فني بحت، وتناولت 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Najwa et al. (2025)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المخاطر السيبرانية من منظور ببليومتري ونظري دون تطبيق ميداني على قطاع بعينه</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وبذلك تتميز الدراسة الحالية بكونها الدراسة الأولى — في حدود علم الباحث</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التي تربط بين إدارة مخاطر تكنولوجيا البيانات بأبعادها الأربعة ودقة التنبؤات الجوية ودعم القرار في بيئة تطبيقية سعودية متخصصة، مما يُسهم في سد فجوة بحثية واضحة في الأدبيات العربية والدولية على حد سواء</w:t>
      </w:r>
    </w:p>
    <w:bookmarkEnd w:id="16"/>
    <w:p w14:paraId="6028FB6C">
      <w:pPr>
        <w:spacing w:before="100" w:beforeAutospacing="1" w:after="100" w:afterAutospacing="1" w:line="276" w:lineRule="auto"/>
        <w:outlineLvl w:val="1"/>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pPr>
      <w:bookmarkStart w:id="19" w:name="_Toc233883863"/>
      <w:bookmarkStart w:id="20" w:name="_Toc169790502"/>
      <w:bookmarkStart w:id="21" w:name="_Toc222622903"/>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9.1 المنطلقات النظرية للدراسة:</w:t>
      </w:r>
      <w:bookmarkEnd w:id="19"/>
    </w:p>
    <w:p w14:paraId="1F4238E6">
      <w:pPr>
        <w:spacing w:before="100" w:beforeAutospacing="1" w:after="100" w:afterAutospacing="1" w:line="276" w:lineRule="auto"/>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أولاً: إدارة مخاطر تكنولوجيا البيانات </w:t>
      </w:r>
    </w:p>
    <w:p w14:paraId="60DE1BBE">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مفهوم إدارة مخاطر تكنولوجيا البيانات</w:t>
      </w:r>
    </w:p>
    <w:p w14:paraId="4B5B0AB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تُعرّف إدارة مخاطر تكنولوجيا البيانات بأنها مجموعة الأنشطة والعمليات المنسّقة التي تهدف إلى تحديد وتحليل وتقييم ومعالجة ومراقبة المخاطر المرتبطة بالأنظمة التقنية والبيانات الرقمية داخل المؤسسة، بما يضمن استمرارية العمليات وسلامة المخرجات وحماية الأصول المعلوماتية. وقد عرّف المعيار الدولي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ISO 31000:2018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المخاطر بأنها "أثر عدم اليقين على الأهداف"، فيما عرّف إدارة المخاطر بأنها "الأنشطة المنسّقة لتوجيه المؤسسة والتحكم فيها فيما يتعلق بالمخاطر". وفي السياق التقني تحديداً، تتسع هذه المخاطر لتشمل التهديدات السيبرانية واختراق البيانات وأعطال الأنظمة وفقدان المعلومات وعدم التوافق التقني، مما يستوجب وجود منظومة إدارة متكاملة تعمل بشكل استباقي ومنهجي. ويُعرّف 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NIST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للأمن السيبراني (النسخة 2.0) إدارة مخاطر الأمن السيبراني بأنها "نهج منظم لإدارة المخاطر من خلال ست وظائف أساسية هي: الحوكمة، والتحديد، والحماية، والكشف، والاستجابة، والتعافي". وتتبنى هذه الدراسة تعريفاً إجرائياً لإدارة مخاطر تكنولوجيا البيانات بوصفها المنظومة المؤسسية المتكاملة التي يتبناها المركز الوطني للأرصاد لتحديد وتقييم ومعالجة ومراقبة المخاطر المرتبطة بأنظمته التقنية وبياناته الجوية، وتتضمن أربعة أبعاد رئيسية تُقاس من خلال استجابات العاملين على فقرات الاستبانة المصممة لهذا الغرض</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EB5FED7">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أبعاد إدارة مخاطر تكنولوجيا البيانات</w:t>
      </w:r>
    </w:p>
    <w:p w14:paraId="26FE767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البُعد الأول — تقييم المخاطر التقنية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يُشير هذا البُعد إلى العملية المنهجية لتحديد التهديدات ونقاط الضعف المحتملة في الأنظمة التقنية، وتحليل احتمالية وقوعها وتقدير أثرها المحتمل على العمليات والمخرجات. ويتضمن ذلك إجراء مسح دوري للثغرات الأمنية، وتصنيف المخاطر وفقاً لمصفوفة الاحتمالية والأثر، وتحديد أولويات المعالجة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ويُعدّ تقييم المخاطر وفقاً لإطار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NIST SP 800-30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عملية تحديد عوامل الخطر التي يمكن أن تؤثر سلباً على قدرة المؤسسة على إنجاز أعمالها". وفي سياق الأرصاد الجوية، يشمل ذلك تقييم المخاطر المتعلقة بشبكات الرصد والمحطات الآلية ووحدات المعالجة ونظم الاتصالات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B129C1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البُعد الثاني — أمن البيانات والبنية التحتية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يُعبّر هذا البُعد عن مجموعة السياسات والإجراءات والتقنيات المُصممة لحماية البيانات من الوصول غير المصرح به أو التعديل أو الفقدان أو التدمير، وتأمين البنية التحتية التقنية (الخوادم، شبكات الاتصال، مراكز البيانات، أنظمة التخزين) من الأعطال والتهديدات الخارجية والداخلية. ويشمل ذلك تطبيق آليات التشفير والنسخ الاحتياطي والتحكم في الوصول وجدران الحماية وأنظمة كشف التسلل. ويكتسب هذا البُعد أهمية خاصة في مؤسسات الأرصاد نظراً لحساسية البيانات الجوية وضرورة توافرها بصورة مستمرة وآنية لتغذية نماذج التنبؤ</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3FB5D1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البُعد الثالث — حوكمة تكنولوجيا المعلومات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تُعرّف حوكمة تكنولوجيا المعلومات بأنها الإطار المؤسسي الذي يضمن توجيه الاستثمارات التقنية ومراقبتها وتقييمها بما يتوافق مع الأهداف الاستراتيجية للمؤسسة. ويتضمن هذا البُعد خمسة مجالات رئيسية وفقاً للأدبيات الأكاديمية هي: المواءمة الاستراتيجية، وتقديم القيمة، وإدارة المخاطر، وإدارة الموارد، وقياس الأداء. وقد طوّرت منظمة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ISACA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إطار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COBIT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بوصفه الإطار الأكثر شمولاً لحوكمة تكنولوجيا المعلومات وإدارتها في المؤسسات، حيث يتضمن في نسخته الأخيرة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(COBIT 2019)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أربعين هدفاً للحوكمة والإدارة مُوزعة على ستة مبادئ أساسية هي: تقديم قيمة لأصحاب المصلحة، والنهج الشمولي، ونظام الحوكمة الديناميكي، وفصل الحوكمة عن الإدارة، والتصميم وفقاً لاحتياجات المؤسسة، والنظام الشامل. وفي سياق الدراسة الحالية يُقصد بحوكمة تكنولوجيا المعلومات مدى تطبيق المركز الوطني للأرصاد لأطر ومعايير الحوكمة التقنية في توجيه الموارد ومراقبة الأداء وإدارة المخاطر بما يخدم أهدافه في تحسين دقة التنبؤات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D3059A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البُعد الرابع — المراقبة والتحسين المستمر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يُعبّر هذا البُعد عن الآليات المؤسسية المُصممة لمتابعة أداء الأنظمة التقنية بشكل دوري ومستمر، والكشف المبكر عن أي انحرافات أو تهديدات ناشئة، وتنفيذ إجراءات تصحيحية وتحسينية بصورة تراكمية. ويشمل ذلك برامج التدقيق الداخلي لأنظمة المعلومات، واختبارات الاختراق الدورية، ومراجعة سجلات الأحداث الأمنية، وقياس مؤشرات الأداء الرئيسية للأنظمة التقنية، فضلاً عن تبني منهجية التحسين المستمر القائمة على دورة (خطط — نفّذ — تحقق — صحّح)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ويُسهم هذا البُعد في ضمان أن منظومة إدارة المخاطر التقنية تتطور باستمرار لمواكبة التهديدات المتجددة والمتطلبات المتغيرة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4B24F19">
      <w:pPr>
        <w:spacing w:before="100" w:beforeAutospacing="1" w:after="100" w:afterAutospacing="1" w:line="276" w:lineRule="auto"/>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ثانياً: دقة التنبؤات الجوية ودعم القرار </w:t>
      </w:r>
    </w:p>
    <w:p w14:paraId="1A15DB32">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مفهوم دقة التنبؤات الجوية</w:t>
      </w:r>
    </w:p>
    <w:p w14:paraId="1106954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تُعرّف دقة التنبؤات الجوية بأنها مقياس كمي ونوعي لمدى تطابق التنبؤات الصادرة عن مركز الأرصاد مع الأرصاد الفعلية المُسجّلة، وتُقاس باستخدام مجموعة من المقاييس الإحصائية المعتمدة دولياً مثل معامل ارتباط الشذوذ</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(ACC)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والجذر التربيعي لمتوسط مربع الخطأ</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(RMSE)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ومعدل الخطأ المطلق</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(MAE)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ودرجة بريير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(Brier Score)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للتنبؤات الاحتمالية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وقد عرّفت المنظمة العالمية للأرصاد الجوية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(WMO)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التحقق من التنبؤات بأنه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عملية تقييم مدى تطابق التنبؤ مع الأرصاد الفعلية"، مُشيرة إلى أن الدقة تُمثّل "المقاييس الكمية التمثيلية لخطأ التنبؤ". وفي السياق الإجرائي لهذه الدراسة، يُقصد بدقة التنبؤات الجوية مستوى الموثوقية والتطابق في التنبؤات الصادرة عن المركز الوطني للأرصاد مع الظروف الجوية الفعلية، كما يُدركها العاملون في المركز ويُقيّمونها من خلال استجاباتهم على فقرات الاستبانة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4996D7B">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مفهوم دعم القرار في مجال الأرصاد الجوية</w:t>
      </w:r>
    </w:p>
    <w:p w14:paraId="4D09D35C">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يُعرّف نظام دعم القرار في مجال الأرصاد الجوية بأنه المنظومة المتكاملة من الأدوات والمعلومات والتحليلات التي تُقدّم لصانعي القرار بيانات جوية مُعالجة ومُفسّرة بصورة تُمكّنهم من اتخاذ قرارات مستنيرة في الوقت المناسب. ويشمل ذلك أنظمة الإنذار المبكر، ونشرات التحذيرات الجوية، والخرائط التفاعلية، والتقارير المتخصصة للقطاعات المختلفة (الطيران، الزراعة، الملاحة البحرية، إدارة الأزمات)، والمنصات الرقمية لإيصال المعلومات الجوية. وتكمن أهمية أنظمة دعم القرار في كونها تُحوّل البيانات الجوية الخام والتنبؤات العددية إلى معلومات قابلة للتطبيق تُساعد الجهات المستفيدة على اتخاذ إجراءات وقائية أو تكيفية مناسبة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bookmarkEnd w:id="20"/>
    <w:bookmarkEnd w:id="21"/>
    <w:p w14:paraId="4ED2E163">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pPr>
      <w:bookmarkStart w:id="22" w:name="_Toc233883864"/>
      <w:bookmarkStart w:id="23" w:name="_Toc169790506"/>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10.1 المنهجية وطرق البحث:</w:t>
      </w:r>
      <w:bookmarkEnd w:id="22"/>
    </w:p>
    <w:p w14:paraId="26D895D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سوف تعتمد هذه الدراسة على المنهج الوصفي التحليلي باعتباره المنهج الأكثر ملاءمة لطبيعة الدراسة وأهدافها، حيث سيُمكّن الباحث من وصف وتحليل أثر إدارة مخاطر تكنولوجيا البيانات بأبعادها الأربعة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 وسيتيح هذا المنهج جمع البيانات الكمية من مفردات العينة وتحليلها إحصائياً لاختبار فروض الدراسة والإجابة عن تساؤلاتها، فضلاً عن الكشف عن العلاقات الارتباطية والسببية بين متغيرات الدراسة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DFA4C39">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كما سيستعين الباحث بأسلوب المسح الميداني الشامل من خلال تصميم استبانة إلكترونية مُحكّمة ستُوزع على العاملين في المركز الوطني للأرصاد ممن تتصل مهامهم الوظيفية بتكنولوجيا المعلومات والأنظمة التقنية والتنبؤات الجوية ودعم القرار، وذلك بهدف الوصول إلى نتائج دقيقة وقابلة للتعميم. وسيُراعى في تطبيق المنهج الالتزام بمعايير الصدق والثبات والموضوعية العلمية لضمان جودة النتائج وموثوقيتها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A35006E">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bookmarkStart w:id="24" w:name="_Toc233883865"/>
      <w:bookmarkStart w:id="25" w:name="_Toc223910605"/>
      <w:r>
        <w:rPr>
          <w:rFonts w:hint="c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 xml:space="preserve">11.1 </w:t>
      </w:r>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مجتمع وعينة الدراسة</w:t>
      </w:r>
      <w:bookmarkEnd w:id="24"/>
      <w:bookmarkEnd w:id="25"/>
    </w:p>
    <w:p w14:paraId="0E5E6384">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سيتكون مجتمع الدراسة من جميع العاملين في المركز الوطني للأرصاد بالمملكة العربية السعودية في التخصصات ذات الصلة بموضوع الدراسة، ويشمل ذلك العاملين في إدارات تكنولوجيا المعلومات وأمن البيانات والتنبؤات الجوية والرصد والمحطات والأنظمة العددية ودعم القرار والتحذيرات المبكرة. ووفقاً للبيانات المتاحة عن الهيكل التنظيمي للمركز الوطني للأرصاد، يُقدّر إجمالي مجتمع الدراسة بنحو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(850)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موظفاً وموظفة يعملون في هذه التخصصات عبر المقر الرئيسي في جدة والفروع الإقليمية المنتشرة في مختلف مناطق المملكة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C86F5D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وبالنظر إلى حجم مجتمع الدراسة، سيلجأ الباحث إلى استخدام أسلوب العينة الطبقية العشوائية التناسبية لضمان تمثيل جميع الإدارات والمستويات الوظيفية تمثيلاً متوازناً. وسيتم تحديد حجم العينة باستخدام معادلة ستيفن ثومبسون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(Steven Thompson)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عند مستوى ثقة (95%) وهامش خطأ (5%)، ليبلغ الحد الأدنى المطلوب للعينة نحو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(265)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مفردة. وسيحرص الباحث على توزيع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(320)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استبانة لتعويض الفاقد المتوقع في الاستبانات غير المكتملة أو غير الصالحة للتحليل الإحصائي، مع مراعاة التوزيع التناسبي على الطبقات الوظيفية المختلفة (إدارة تقنية المعلومات، إدارة التنبؤات الجوية، إدارة الرصد والمحطات، إدارة دعم القرار والتحذيرات المبكرة</w:t>
      </w:r>
    </w:p>
    <w:p w14:paraId="009165B7">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bookmarkStart w:id="26" w:name="_Toc233883866"/>
      <w:bookmarkStart w:id="27" w:name="_Toc223910606"/>
      <w:r>
        <w:rPr>
          <w:rFonts w:hint="c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 xml:space="preserve">12.1 </w:t>
      </w:r>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مصادر جمع البيانات</w:t>
      </w:r>
      <w:bookmarkEnd w:id="26"/>
      <w:bookmarkEnd w:id="27"/>
    </w:p>
    <w:p w14:paraId="64F7CA96">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سيعتمد الباحث على نوعين رئيسيين من مصادر جمع البيانات</w:t>
      </w:r>
      <w:r>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t>:</w:t>
      </w:r>
    </w:p>
    <w:p w14:paraId="1123C3AC">
      <w:pPr>
        <w:pStyle w:val="23"/>
        <w:numPr>
          <w:ilvl w:val="0"/>
          <w:numId w:val="7"/>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المصادر الثانوية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والوثائق الرسمية الصادرة عن المركز الوطني للأرصاد والهيئات الدولية المعنية بالأرصاد الجوية، وقواعد البيانات الإلكترونية مثل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Scopus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Web of Science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Google Scholar</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وذلك بهدف بناء الإطار النظري للدراسة ومراجعة الدراسات السابقة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41660FF">
      <w:pPr>
        <w:pStyle w:val="23"/>
        <w:numPr>
          <w:ilvl w:val="0"/>
          <w:numId w:val="7"/>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المصادر الأولية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وتتمثل في البيانات التي سيجمعها الباحث ميدانياً من خلال الاستبانة الإلكترونية المُصممة خصيصاً لأغراض هذه الدراسة، والتي ستُوزع على مفردات العينة لقياس آرائهم وتصوراتهم حول واقع تطبيق إدارة مخاطر تكنولوجيا البيانات وأثرها على دقة التنبؤات الجوية ودعم القرار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98640A1">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bookmarkStart w:id="28" w:name="_Toc233883867"/>
      <w:bookmarkStart w:id="29" w:name="_Toc223910607"/>
      <w:r>
        <w:rPr>
          <w:rFonts w:hint="c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 xml:space="preserve">13.1 </w:t>
      </w:r>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أداة الدراسة (الاستبانة)</w:t>
      </w:r>
      <w:bookmarkEnd w:id="28"/>
      <w:bookmarkEnd w:id="29"/>
    </w:p>
    <w:p w14:paraId="7E6A0BC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سيُصمم الباحث استبانة إلكترونية تُعدّ الأداة الرئيسية لجمع البيانات الأولية، وستتكون من ثلاثة أقسام رئيسية على النحو التالي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C297ECD">
      <w:pPr>
        <w:pStyle w:val="23"/>
        <w:numPr>
          <w:ilvl w:val="0"/>
          <w:numId w:val="8"/>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bookmarkStart w:id="30" w:name="_Toc223910608"/>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القسم الأول: البيانات الديموغرافية والوظيفية</w:t>
      </w:r>
      <w:bookmarkEnd w:id="30"/>
      <w:r>
        <w:rPr>
          <w:rFonts w:hint="c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سيتضمن هذا القسم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متغيرات تصنيفية تشمل: المؤهل العلمي، سنوات الخبرة، التخصص الوظيفي، والمستوى الإداري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121B305">
      <w:pPr>
        <w:pStyle w:val="23"/>
        <w:numPr>
          <w:ilvl w:val="0"/>
          <w:numId w:val="8"/>
        </w:numPr>
        <w:spacing w:before="100" w:beforeAutospacing="1" w:after="100" w:afterAutospacing="1" w:line="276" w:lineRule="auto"/>
        <w:ind w:left="424"/>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bookmarkStart w:id="31" w:name="_Toc223910609"/>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القسم الثاني: المتغير المستقل — إدارة مخاطر تكنولوجيا البيانات</w:t>
      </w:r>
      <w:bookmarkEnd w:id="31"/>
      <w:r>
        <w:rPr>
          <w:rFonts w:hint="c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سيتكون هذا القسم من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أبعاد، يضم كل بُعد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فقرات، بإجمالي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(16)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فقرة، وذلك على النحو التالي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tbl>
      <w:tblPr>
        <w:tblStyle w:val="35"/>
        <w:bidiVisual/>
        <w:tblW w:w="4808" w:type="dxa"/>
        <w:jc w:val="cente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Layout w:type="autofit"/>
        <w:tblCellMar>
          <w:top w:w="0" w:type="dxa"/>
          <w:left w:w="108" w:type="dxa"/>
          <w:bottom w:w="0" w:type="dxa"/>
          <w:right w:w="108" w:type="dxa"/>
        </w:tblCellMar>
      </w:tblPr>
      <w:tblGrid>
        <w:gridCol w:w="3255"/>
        <w:gridCol w:w="1553"/>
      </w:tblGrid>
      <w:tr w14:paraId="5206ABF4">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03" w:hRule="atLeast"/>
          <w:jc w:val="center"/>
        </w:trPr>
        <w:tc>
          <w:tcPr>
            <w:tcW w:w="0" w:type="auto"/>
            <w:tcBorders>
              <w:bottom w:val="single" w:color="8EAADB" w:themeColor="accent1" w:themeTint="99" w:sz="12" w:space="0"/>
              <w:insideH w:val="single" w:sz="12" w:space="0"/>
            </w:tcBorders>
            <w:vAlign w:val="center"/>
          </w:tcPr>
          <w:p w14:paraId="44DDA813">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البُعد</w:t>
            </w:r>
          </w:p>
        </w:tc>
        <w:tc>
          <w:tcPr>
            <w:tcW w:w="0" w:type="auto"/>
            <w:tcBorders>
              <w:bottom w:val="single" w:color="8EAADB" w:themeColor="accent1" w:themeTint="99" w:sz="12" w:space="0"/>
              <w:insideH w:val="single" w:sz="12" w:space="0"/>
            </w:tcBorders>
            <w:vAlign w:val="center"/>
          </w:tcPr>
          <w:p w14:paraId="0685B1E7">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عدد الفقرات</w:t>
            </w:r>
          </w:p>
        </w:tc>
      </w:tr>
      <w:tr w14:paraId="3A40F046">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15" w:hRule="atLeast"/>
          <w:jc w:val="center"/>
        </w:trPr>
        <w:tc>
          <w:tcPr>
            <w:tcW w:w="0" w:type="auto"/>
            <w:shd w:val="clear" w:color="auto" w:fill="D9E2F3" w:themeFill="accent1" w:themeFillTint="33"/>
            <w:vAlign w:val="center"/>
          </w:tcPr>
          <w:p w14:paraId="64FFA2F4">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تقييم المخاطر التقنية</w:t>
            </w:r>
          </w:p>
        </w:tc>
        <w:tc>
          <w:tcPr>
            <w:tcW w:w="0" w:type="auto"/>
            <w:shd w:val="clear" w:color="auto" w:fill="D9E2F3" w:themeFill="accent1" w:themeFillTint="33"/>
            <w:vAlign w:val="center"/>
          </w:tcPr>
          <w:p w14:paraId="3E1B5963">
            <w:pPr>
              <w:spacing w:before="100" w:beforeAutospacing="1" w:after="100" w:afterAutospacing="1" w:line="276" w:lineRule="auto"/>
              <w:jc w:val="cente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فقرات</w:t>
            </w:r>
          </w:p>
        </w:tc>
      </w:tr>
      <w:tr w14:paraId="5B4F6C10">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03" w:hRule="atLeast"/>
          <w:jc w:val="center"/>
        </w:trPr>
        <w:tc>
          <w:tcPr>
            <w:tcW w:w="0" w:type="auto"/>
            <w:vAlign w:val="center"/>
          </w:tcPr>
          <w:p w14:paraId="684E87F1">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أمن البيانات والبنية التحتية</w:t>
            </w:r>
          </w:p>
        </w:tc>
        <w:tc>
          <w:tcPr>
            <w:tcW w:w="0" w:type="auto"/>
            <w:vAlign w:val="center"/>
          </w:tcPr>
          <w:p w14:paraId="27C21293">
            <w:pPr>
              <w:spacing w:before="100" w:beforeAutospacing="1" w:after="100" w:afterAutospacing="1" w:line="276" w:lineRule="auto"/>
              <w:jc w:val="cente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فقرات</w:t>
            </w:r>
          </w:p>
        </w:tc>
      </w:tr>
      <w:tr w14:paraId="1AE4360B">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03" w:hRule="atLeast"/>
          <w:jc w:val="center"/>
        </w:trPr>
        <w:tc>
          <w:tcPr>
            <w:tcW w:w="0" w:type="auto"/>
            <w:shd w:val="clear" w:color="auto" w:fill="D9E2F3" w:themeFill="accent1" w:themeFillTint="33"/>
            <w:vAlign w:val="center"/>
          </w:tcPr>
          <w:p w14:paraId="10F199C7">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حوكمة تكنولوجيا المعلومات</w:t>
            </w:r>
          </w:p>
        </w:tc>
        <w:tc>
          <w:tcPr>
            <w:tcW w:w="0" w:type="auto"/>
            <w:shd w:val="clear" w:color="auto" w:fill="D9E2F3" w:themeFill="accent1" w:themeFillTint="33"/>
            <w:vAlign w:val="center"/>
          </w:tcPr>
          <w:p w14:paraId="1FA5135A">
            <w:pPr>
              <w:spacing w:before="100" w:beforeAutospacing="1" w:after="100" w:afterAutospacing="1" w:line="276" w:lineRule="auto"/>
              <w:jc w:val="cente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فقرات</w:t>
            </w:r>
          </w:p>
        </w:tc>
      </w:tr>
      <w:tr w14:paraId="06D12301">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15" w:hRule="atLeast"/>
          <w:jc w:val="center"/>
        </w:trPr>
        <w:tc>
          <w:tcPr>
            <w:tcW w:w="0" w:type="auto"/>
            <w:vAlign w:val="center"/>
          </w:tcPr>
          <w:p w14:paraId="3FFA0F60">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المراقبة والتحسين المستمر</w:t>
            </w:r>
          </w:p>
        </w:tc>
        <w:tc>
          <w:tcPr>
            <w:tcW w:w="0" w:type="auto"/>
            <w:vAlign w:val="center"/>
          </w:tcPr>
          <w:p w14:paraId="772CA55F">
            <w:pPr>
              <w:spacing w:before="100" w:beforeAutospacing="1" w:after="100" w:afterAutospacing="1" w:line="276" w:lineRule="auto"/>
              <w:jc w:val="cente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فقرات</w:t>
            </w:r>
          </w:p>
        </w:tc>
      </w:tr>
      <w:tr w14:paraId="4E2E4B2E">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03" w:hRule="atLeast"/>
          <w:jc w:val="center"/>
        </w:trPr>
        <w:tc>
          <w:tcPr>
            <w:tcW w:w="0" w:type="auto"/>
            <w:shd w:val="clear" w:color="auto" w:fill="D9E2F3" w:themeFill="accent1" w:themeFillTint="33"/>
            <w:vAlign w:val="center"/>
          </w:tcPr>
          <w:p w14:paraId="203889A6">
            <w:pPr>
              <w:spacing w:before="100" w:beforeAutospacing="1" w:after="100" w:afterAutospacing="1" w:line="276" w:lineRule="auto"/>
              <w:jc w:val="center"/>
              <w:rPr>
                <w:rFonts w:ascii="Simplified Arabic" w:hAnsi="Simplified Arabic" w:eastAsia="Times New Roman" w:cs="Simplified Arabic"/>
                <w:b w:val="0"/>
                <w:bCs w:val="0"/>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val="0"/>
                <w:bCs w:val="0"/>
                <w:color w:val="000000" w:themeColor="text1"/>
                <w:kern w:val="0"/>
                <w:sz w:val="28"/>
                <w:szCs w:val="28"/>
                <w:rtl/>
                <w14:textFill>
                  <w14:solidFill>
                    <w14:schemeClr w14:val="tx1"/>
                  </w14:solidFill>
                </w14:textFill>
                <w14:ligatures w14:val="none"/>
              </w:rPr>
              <w:t>الإجمالي</w:t>
            </w:r>
          </w:p>
        </w:tc>
        <w:tc>
          <w:tcPr>
            <w:tcW w:w="0" w:type="auto"/>
            <w:shd w:val="clear" w:color="auto" w:fill="D9E2F3" w:themeFill="accent1" w:themeFillTint="33"/>
            <w:vAlign w:val="center"/>
          </w:tcPr>
          <w:p w14:paraId="34056632">
            <w:pPr>
              <w:spacing w:before="100" w:beforeAutospacing="1" w:after="100" w:afterAutospacing="1" w:line="276" w:lineRule="auto"/>
              <w:jc w:val="cente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16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فقرة</w:t>
            </w:r>
          </w:p>
        </w:tc>
      </w:tr>
    </w:tbl>
    <w:p w14:paraId="62D84BCD">
      <w:pPr>
        <w:pStyle w:val="23"/>
        <w:numPr>
          <w:ilvl w:val="0"/>
          <w:numId w:val="9"/>
        </w:numPr>
        <w:spacing w:before="100" w:beforeAutospacing="1" w:after="100" w:afterAutospacing="1" w:line="276" w:lineRule="auto"/>
        <w:ind w:left="424" w:hanging="357"/>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bookmarkStart w:id="32" w:name="_Toc223910610"/>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القسم الثالث: المتغير التابع — دقة التنبؤات الجوية ودعم القرار</w:t>
      </w:r>
      <w:bookmarkEnd w:id="32"/>
      <w:r>
        <w:rPr>
          <w:rFonts w:hint="c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سيتكون هذا القسم من محور واحد أُحادي البُعد يضم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(12)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فقرة تقيس مستوى دقة التنبؤات الجوية وفاعلية أنظمة دعم القرار في المركز الوطني للأرصاد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2F2CE6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ستتكون الاستبانة في صورتها النهائية من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(28)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فقرة موزعة على محاور المتغير المستقل والمتغير التابع، بالإضافة إلى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متغيرات ديموغرافية ووظيفية. وسيُستخدم مقياس ليكرت الخماسي (موافق بشدة = 5، موافق = 4، محايد = 3، غير موافق = 2، غير موافق بشدة = 1) لقياس استجابات المبحوثين على جميع فقرات الاستبانة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510DA69">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bookmarkStart w:id="33" w:name="_Toc223910611"/>
      <w:bookmarkStart w:id="34" w:name="_Toc233883868"/>
      <w:r>
        <w:rPr>
          <w:rFonts w:hint="c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 xml:space="preserve">14.1 </w:t>
      </w:r>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الأساليب الإحصائية المستخدمة</w:t>
      </w:r>
      <w:bookmarkEnd w:id="33"/>
      <w:bookmarkEnd w:id="34"/>
    </w:p>
    <w:p w14:paraId="0297C5F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سيستعين الباحث ببرنامج الحزم الإحصائية للعلوم الاجتماعية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(SPSS V.26)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وبرنامج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(AMOS V.24)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للنمذجة بالمعادلات الهيكلية لتحليل بيانات الدراسة، وسيتم توظيف الأساليب الإحصائية التالية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39243B7">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35" w:name="_Toc223910612"/>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أولاً: أساليب التحقق من صلاحية الأداة</w:t>
      </w:r>
      <w:bookmarkEnd w:id="35"/>
    </w:p>
    <w:p w14:paraId="6D3C72AF">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معامل ألفا كرونباخ</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(Cronbach's Alpha):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سيُستخدم لقياس درجة ثبات أداة الدراسة والتأكد من الاتساق الداخلي لفقرات كل بُعد من أبعاد الاستبانة وللأداة ككل، حيث تُعدّ القيم الأعلى من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(0.70)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مقبولة إحصائياً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308A50D">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معامل ارتباط بيرسون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(Pearson Correlation Coefficient):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سيُستخدم لقياس صدق الاتساق الداخلي من خلال حساب معاملات الارتباط بين درجة كل فقرة والدرجة الكلية للبُعد الذي تنتمي إليه، وبين درجة كل بُعد والدرجة الكلية للاستبانة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DB0B8C4">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التحليل العاملي التوكيدي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(Confirmatory Factor Analysis - CFA):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سيُستخدم باستخدام برنامج</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AMOS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للتحقق من صدق البناء والتأكد من أن البيانات تتوافق مع النموذج النظري المفترض للدراسة، ولتقييم مؤشرات حسن المطابقة مثل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(GFI, CFI, RMSEA, Chi-Square/df).</w:t>
      </w:r>
    </w:p>
    <w:p w14:paraId="3FAD1743">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36" w:name="_Toc223910613"/>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ثانياً: أساليب الإحصاء الوصفي</w:t>
      </w:r>
      <w:bookmarkEnd w:id="36"/>
    </w:p>
    <w:p w14:paraId="6E6239EE">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التكرارات والنسب المئوية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ستُستخدم لوصف خصائص عينة الدراسة وفقاً للمتغيرات الديموغرافية والوظيفية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المؤهل العلمي، سنوات الخبرة، التخصص الوظيفي، المستوى الإداري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955626F">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المتوسطات الحسابية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(Means):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ستُستخدم لتحديد مستوى استجابات أفراد العينة على كل فقرة من فقرات الاستبانة وعلى كل بُعد والأداة ككل، وترتيب الأبعاد والفقرات وفقاً لدرجة الموافقة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BAE29A4">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الانحرافات المعيارية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(Standard Deviations):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ستُستخدم للتعرف على مدى تشتت استجابات أفراد العينة عن المتوسط الحسابي، والكشف عن درجة التجانس أو التباين في الآراء</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380794F">
      <w:pPr>
        <w:pStyle w:val="23"/>
        <w:numPr>
          <w:ilvl w:val="0"/>
          <w:numId w:val="9"/>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الأهمية النسبية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(Relative Importance):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ستُستخدم لترتيب أبعاد المتغير المستقل وفقاً لأهميتها من وجهة نظر المبحوثين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2BA8193">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37" w:name="_Toc223910614"/>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ثالثاً: أساليب الإحصاء الاستدلالي</w:t>
      </w:r>
      <w:bookmarkEnd w:id="37"/>
    </w:p>
    <w:p w14:paraId="0809AEE3">
      <w:pPr>
        <w:pStyle w:val="23"/>
        <w:numPr>
          <w:ilvl w:val="0"/>
          <w:numId w:val="10"/>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تحليل الانحدار الخطي البسيط</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(Simple Linear Regression):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سيُستخدم لاختبار أثر كل بُعد من أبعاد إدارة مخاطر تكنولوجيا البيانات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تقييم المخاطر التقنية، أمن البيانات والبنية التحتية، حوكمة تكنولوجيا المعلومات، المراقبة والتحسين المستمر) منفرداً على دقة التنبؤات الجوية ودعم القرار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686DCB4">
      <w:pPr>
        <w:pStyle w:val="23"/>
        <w:numPr>
          <w:ilvl w:val="0"/>
          <w:numId w:val="10"/>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تحليل الانحدار الخطي المتعدد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(Multiple Linear Regression):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سيُستخدم لاختبار الأثر المشترك لأبعاد إدارة مخاطر تكنولوجيا البيانات مجتمعة على دقة التنبؤات الجوية ودعم القرار، وتحديد الأبعاد الأكثر تأثيراً وقدرة تفسيرية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ECDE5F8">
      <w:pPr>
        <w:pStyle w:val="23"/>
        <w:numPr>
          <w:ilvl w:val="0"/>
          <w:numId w:val="10"/>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معامل التحديد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(R²):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سيُستخدم لتحديد نسبة التباين في المتغير التابع (دقة التنبؤات الجوية ودعم القرار) التي تُفسّرها أبعاد المتغير المستقل (إدارة مخاطر تكنولوجيا البيانات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BFC293F">
      <w:pPr>
        <w:pStyle w:val="23"/>
        <w:numPr>
          <w:ilvl w:val="0"/>
          <w:numId w:val="10"/>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اختبار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(F-Test):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سيُستخدم للتحقق من معنوية نموذج الانحدار الكلي ومدى صلاحيته لتفسير العلاقة بين المتغيرات المستقلة والمتغير التابع</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3C71AAD">
      <w:pPr>
        <w:pStyle w:val="23"/>
        <w:numPr>
          <w:ilvl w:val="0"/>
          <w:numId w:val="10"/>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اختبار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(T-Test)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للعينات المستقلة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سيُستخدم لاختبار دلالة الفروق الإحصائية في استجابات أفراد العينة وفقاً للمتغيرات الديموغرافية ثنائية الفئات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60B4DDA">
      <w:pPr>
        <w:spacing w:before="100" w:beforeAutospacing="1" w:after="100" w:afterAutospacing="1" w:line="276" w:lineRule="auto"/>
        <w:jc w:val="both"/>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bookmarkStart w:id="38" w:name="_Toc223910615"/>
      <w:bookmarkStart w:id="39" w:name="_Toc233883869"/>
      <w:r>
        <w:rPr>
          <w:rFonts w:hint="c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 xml:space="preserve">15.1 </w:t>
      </w:r>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حدود الدراسة</w:t>
      </w:r>
      <w:bookmarkEnd w:id="38"/>
      <w:bookmarkEnd w:id="39"/>
    </w:p>
    <w:p w14:paraId="2AB6A406">
      <w:pPr>
        <w:pStyle w:val="23"/>
        <w:numPr>
          <w:ilvl w:val="0"/>
          <w:numId w:val="11"/>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الحدود الموضوعية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xml:space="preserve">ستقتصر الدراسة على دراسة أثر إدارة مخاطر تكنولوجيا البيانات بأبعادها الأربعة </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تقييم المخاطر التقنية، أمن البيانات والبنية التحتية، حوكمة تكنولوجيا المعلومات، المراقبة والتحسين المستمر) على دقة التنبؤات الجوية ودعم القرار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BBF4F86">
      <w:pPr>
        <w:pStyle w:val="23"/>
        <w:numPr>
          <w:ilvl w:val="0"/>
          <w:numId w:val="11"/>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الحدود المكانية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ستُطبق الدراسة في المركز الوطني للأرصاد بالمملكة العربية السعودية بمقره الرئيسي في مدينة جدة وفروعه الإقليمية المنتشرة في مختلف مناطق المملكة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55A9D40">
      <w:pPr>
        <w:pStyle w:val="23"/>
        <w:numPr>
          <w:ilvl w:val="0"/>
          <w:numId w:val="11"/>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الحدود الزمانية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سيتم جمع البيانات الميدانية خلال الفصل الدراسي الثاني من العام الجامعي 1447/1448هـ الموافق 2025/2026م</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04F645B">
      <w:pPr>
        <w:pStyle w:val="23"/>
        <w:numPr>
          <w:ilvl w:val="0"/>
          <w:numId w:val="11"/>
        </w:numPr>
        <w:spacing w:before="100" w:beforeAutospacing="1" w:after="100" w:afterAutospacing="1" w:line="276" w:lineRule="auto"/>
        <w:ind w:left="424"/>
        <w:jc w:val="both"/>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الحدود البشرية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ستُطبق الدراسة على العاملين في المركز الوطني للأرصاد في التخصصات ذات الصلة بتكنولوجيا المعلومات وأمن البيانات والتنبؤات الجوية والرصد والأنظمة العددية ودعم القرار والتحذيرات المبكرة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68B847E">
      <w:pPr>
        <w:jc w:val="center"/>
        <w:outlineLvl w:val="0"/>
        <w:rPr>
          <w:rFonts w:ascii="Simplified Arabic" w:hAnsi="Simplified Arabic" w:eastAsia="Times New Roman" w:cs="Simplified Arabic"/>
          <w:b/>
          <w:bCs/>
          <w:color w:val="000000" w:themeColor="text1"/>
          <w:kern w:val="0"/>
          <w:sz w:val="40"/>
          <w:szCs w:val="40"/>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40"/>
          <w:szCs w:val="40"/>
          <w:rtl/>
          <w14:textFill>
            <w14:solidFill>
              <w14:schemeClr w14:val="tx1"/>
            </w14:solidFill>
          </w14:textFill>
          <w14:ligatures w14:val="none"/>
        </w:rPr>
        <w:br w:type="page"/>
      </w:r>
      <w:bookmarkStart w:id="40" w:name="_Toc233883870"/>
      <w:r>
        <w:rPr>
          <w:rFonts w:hint="cs" w:ascii="Simplified Arabic" w:hAnsi="Simplified Arabic" w:eastAsia="Times New Roman" w:cs="Simplified Arabic"/>
          <w:b/>
          <w:bCs/>
          <w:color w:val="000000" w:themeColor="text1"/>
          <w:kern w:val="0"/>
          <w:sz w:val="40"/>
          <w:szCs w:val="40"/>
          <w:rtl/>
          <w14:textFill>
            <w14:solidFill>
              <w14:schemeClr w14:val="tx1"/>
            </w14:solidFill>
          </w14:textFill>
          <w14:ligatures w14:val="none"/>
        </w:rPr>
        <w:t>الفصل الثاني: الإطار النظري</w:t>
      </w:r>
      <w:bookmarkEnd w:id="40"/>
    </w:p>
    <w:p w14:paraId="0166A427">
      <w:pPr>
        <w:spacing w:before="100" w:beforeAutospacing="1" w:after="100" w:afterAutospacing="1" w:line="276" w:lineRule="auto"/>
        <w:jc w:val="center"/>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bookmarkStart w:id="41" w:name="_Toc233883871"/>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المبحث الأول: إدارة مخاطر تكنولوجيا البيانات</w:t>
      </w:r>
      <w:bookmarkEnd w:id="41"/>
    </w:p>
    <w:p w14:paraId="59B41F7E">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2" w:name="_Toc233883872"/>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1.1.2 </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تمهيد</w:t>
      </w:r>
      <w:bookmarkEnd w:id="42"/>
    </w:p>
    <w:p w14:paraId="6E290ED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تعيش منظمات الأعمال المعاصرة مرحلة فارقة من التحول الرقمي العميق، حيث انتقل ثقل الموارد المؤسسية من الأصول المادية الملموسة إلى الأصول المعلوماتية والتقنية التي باتت تُشكّل البنية الحاكمة لمنظومة العمل المؤسسي واتخاذ القرار. وفي خضم هذا التحول، تصاعد الاعتماد على تكنولوجيا البيانات بوصفها العصب الذي يربط بين وظائف المنظمة المختلفة ومصدر الميزة التنافسية المستدامة، غير أن هذا الاعتماد المتنامي رافقه اتساع موازٍ في رقعة التهديدات والمخاطر التي تستهدف هذه التكنولوجيا، سواء من حيث الاختراقات السيبرانية أم أعطال البنية التحتية أم فقدان البيانات أم مخاطر الامتثال التشريعي. وقد أفرز هذا الواقع حاجة ملحة إلى منظور إداري متكامل يتعامل مع المخاطر التقنية بوصفها جزءاً عضوياً من إدارة المنظمة، لا بوصفها مسألة فنية محضة تُترك للأقسام التقنية وحدها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w:t>
      </w:r>
    </w:p>
    <w:p w14:paraId="382C6E1C">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هذا المنطلق، انبثقت إدارة مخاطر تكنولوجيا البيانات حقلاً معرفياً وتطبيقياً متخصصاً يسعى إلى تحقيق التوازن بين الاستفادة القصوى من إمكانات التكنولوجيا في تطوير الأداء المؤسسي من جهة، وضبط ما يصاحب هذه الاستفادة من مخاطر محتملة من جهة أخرى. وتزداد أهمية هذا الحقل في المؤسسات ذات الطابع الحيوي كمراكز الأرصاد الجوية، التي تتعامل مع بيانات ضخمة ومعقدة وتُبنى على معالجتها قرارات تمسّ سلامة الأرواح والممتلكات والاقتصاد الوطني، مما يجعل أي خلل تقني أو تهديد أمني قادراً على إحداث آثار تتجاوز حدود المنظمة إلى المجتمع بأسره</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w:t>
      </w:r>
    </w:p>
    <w:p w14:paraId="1B88EDA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ويتناول هذا المبحث الإطار النظري لإدارة مخاطر تكنولوجيا البيانات من خلال استعراض مفهومها وتطوره ومدارسه الفكرية، ثم بيان أهميتها للمنظمات المعاصرة، فاستعراض أهدافها التي تسعى إلى تحقيقها، وانتهاءً بتحليل أبعادها الأربعة التي اعتُمدت في الدراسة الحالية: تقييم المخاطر التقنية، وأمن البيانات والبنية التحتية، وحوكمة تكنولوجيا المعلومات، والمراقبة والتحسين المستمر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F1121F0">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3" w:name="_Toc233883873"/>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2.1.2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مفهوم إدارة مخاطر تكنولوجيا البيانات</w:t>
      </w:r>
      <w:bookmarkEnd w:id="43"/>
    </w:p>
    <w:p w14:paraId="7F4FD5F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تتعدد الزوايا التي عالج الباحثون من خلالها مفهوم إدارة مخاطر تكنولوجيا البيانات، ويعكس هذا التعدد طبيعة المفهوم المركبة التي تتقاطع فيها الأبعاد التقنية والإدارية والتنظيمية والاستراتيجية. وقد عرّفها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(Sanjaya et al., 2020)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بوصفها عملية منهجية منظمة تُعنى بتحديد المخاطر المرتبطة باستخدام تكنولوجيا المعلومات وتقييمها ومعالجتها وفق إطار معياري محدد، بحيث تُترجَم المخاطر إلى مستويات قابلة للقياس تُمكّن المنظمة من اتخاذ قرارات مبنية على الأدلة بشأن أولويات المعالجة. ويُلاحظ في هذا التعريف ميله إلى المنظور المعياري الذي يستند إلى أطر دولية كآيزو 31000، مما يضفي على المفهوم طابعاً إجرائياً منضبطاً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4D0669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وفي إطار أوسع، يطرح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المفهوم بوصفه منظومة متكاملة تتعامل مع المخاطر السيبرانية بوصفها فئة متميزة من المخاطر المؤسسية لها خصوصيتها من حيث صعوبة التنبؤ بها وسرعة تطورها وتشعب آثارها عبر الحدود التنظيمية، مما يستلزم مقاربة ديناميكية تتجاوز المعالجة التقليدية للمخاطر الثابتة. أما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(Arora &amp; Bhardwaj,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فيُقاربان المفهوم من زاوية تقييم التهديدات وتخفيفها، إذ يُعرّفانه بأنه مجموعة الأساليب والإجراءات التي تُمكّن المنظمة من رصد التهديدات المحتملة ضد أنظمتها التقنية، وتقدير حجم الأضرار التي قد تُلحقها، وتصميم آليات للحدّ من احتمالية وقوعها أو تخفيف آثارها حال وقوعها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9FC33B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(El Khatib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بُعداً جديداً للمفهوم حين يربطه بمنظومة البيانات الضخمة، فيُعرّفه بوصفه عملية موجّهة لاستثمار الإمكانات التحليلية للبيانات الضخمة في الكشف المبكر عن المخاطر المؤسسية وتحليل أنماطها وتوقع مساراتها، بما يُحوّل إدارة المخاطر من نشاط تفاعلي يستجيب للأحداث إلى نشاط استباقي يستبق وقوعها. ويعكس هذا التعريف تحولاً نوعياً في فهم المفهوم من كونه أداة دفاعية إلى كونه قدرة استراتيجية تُسهم في تعزيز موقع المنظمة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B5938FE">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مالي مؤسسي، يطرح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(Kamiya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المفهوم بوصفه إطاراً لحماية أصول المنظمة المعلوماتية وسمعتها في مواجهة الهجمات السيبرانية، مع التركيز على الأثر الممتد للحوادث الأمنية على القيمة السوقية للمنظمة وثقة المتعاملين معها. ويُبرز هذا التعريف البعد الاستراتيجي للمفهوم، إذ يتجاوز الحدود التقنية ليُلامس قضايا الحوكمة والمساءلة والإفصاح. وفي السياق ذاته، يُقدّم</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(Settembre-Blundo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المفهوم من زاوية المرونة والاستدامة، فيُعرّفانه بأنه منظومة لاتخاذ القرار في بيئات عدم اليقين، تُمكّن المنظمة من التكيف مع التغيرات المتسارعة في محيطها التقني والتشريعي والسوقي، مع الحفاظ على استمرارية أعمالها وتحقيق أهدافها بعيدة المدى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8EC3A9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ويُكمل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(Najwa et al., 2025)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هذه الصورة بتقديم المفهوم في ضوء التطورات الراهنة لتكنولوجيا المعلومات، حيث يُعرّفه بأنه حقل بحثي وتطبيقي ديناميكي يتطور بتطور التقنيات الناشئة كالحوسبة السحابية والذكاء الاصطناعي وإنترنت الأشياء، ويستوعب ما يصاحب هذه التقنيات من أنماط مستجدة للمخاطر. ويُشير هذا التعريف إلى أن المفهوم ليس بنية معرفية ثابتة، وإنما هو حقل في تطور مستمر يتشكل وفق السياق التقني السائد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991B124">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استقراء التعريفات السابقة، يرى الباحث أن إدارة مخاطر تكنولوجيا البيانات يمكن تعريفها إجرائياً بأنها: “منظومة إدارية متكاملة تتبنّاها المنظمة لتحديد المخاطر المرتبطة بأصولها المعلوماتية وبنيتها التقنية وتحليلها وتقييمها ومعالجتها، من خلال إطار حوكمي يجمع بين السياسات والإجراءات والأدوات التقنية، بهدف ضمان سلامة البيانات وأمنها واستمرارية عمل الأنظمة وكفاءتها، ودعم اتخاذ القرارات المؤسسية في بيئات عدم اليقين”. ويُلاحظ الباحث أن جوهر المفهوم يقوم على ثلاث ركائز متلازمة: الشمولية بحيث يمتد إلى جميع الأصول التقنية لا إلى بعضها، والاستباقية بحيث يستبق المخاطر ولا يستجيب لها بعد وقوعها، والتكامل بحيث يربط المعالجة التقنية بالمعالجة الإدارية والاستراتيجية في وحدة عضوية واحدة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5458193">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4" w:name="_Toc233883874"/>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3.1.2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أهمية إدارة مخاطر تكنولوجيا البيانات</w:t>
      </w:r>
      <w:bookmarkEnd w:id="44"/>
    </w:p>
    <w:p w14:paraId="6688D9E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تنبع أهمية إدارة مخاطر تكنولوجيا البيانات من الموقع المحوري الذي تحتله البيانات والأنظمة المعلوماتية في المنظمات المعاصرة، إذ لم تعد هذه الأصول مجرد أدوات مساندة للعمليات، بل غدت موارد استراتيجية تُبنى عليها القرارات وتُصاغ في ضوئها الميزات التنافسية. ومن ثمّ فإن أي خلل في حمايتها أو في ضبط مخاطرها ينعكس مباشرة على قدرة المنظمة على البقاء والنمو، ويُلقي بظلاله على ثقة المتعاملين معها ومكانتها في السوق. وتتجلى أهمية هذا الحقل في كونه الجسر الذي يربط بين الاستثمار التقني والعائد المؤسسي، إذ بدونه يتحول الاستثمار في التكنولوجيا إلى مصدر للهشاشة بدلاً من أن يكون مصدراً للقوة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(Li &amp; Wang, 2024).</w:t>
      </w:r>
    </w:p>
    <w:p w14:paraId="2B1BD27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ويُشير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إلى أن أهمية إدارة مخاطر تكنولوجيا البيانات تتجلى في جملة من المحاور المتكاملة؛ إذ تُسهم أولاً في حماية الأصول المعلوماتية للمنظمة من التهديدات السيبرانية المتنامية التي تستهدف المؤسسات على اختلاف أحجامها وقطاعاتها، وتعمل ثانياً على تعزيز قدرة المنظمات الصغيرة والمتوسطة بصفة خاصة على الصمود في بيئة رقمية شديدة التعقيد لا تملك فيها الإمكانات الدفاعية المتاحة للمؤسسات الكبرى، وتُؤدي ثالثاً إلى توفير إطار منهجي لاتخاذ القرارات الأمنية يستند إلى تقدير علمي للمخاطر بدلاً من ردود الأفعال الارتجالية، وتُسهم رابعاً في رفع كفاءة استخدام الموارد المخصصة لأمن المعلومات من خلال توجيهها نحو المخاطر الأعلى أولوية، وتعمل خامساً على دعم الامتثال للمتطلبات التشريعية والمعايير الدولية لأمن المعلومات وحماية البيانات الشخصية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566533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ويرى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(Kamiya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تكمن في حماية سمعة المنظمة وقيمتها السوقية، إذ إن الهجمات السيبرانية الناجحة لا تُلحق أضراراً تشغيلية مباشرة فحسب، بل تمتد آثارها إلى ثقة المساهمين والعملاء وشركاء الأعمال، وتُؤثر في الإفصاحات المالية وفي تصنيف المنظمة الائتماني، وقد تمتد تداعياتها لسنوات بعد الحادثة الأمنية. ومن هنا فإن الاستثمار في إدارة مخاطر تكنولوجيا البيانات يُعدّ استثماراً في الحفاظ على رأس المال غير الملموس للمنظمة الذي يُشكّل في كثير من الأحيان الجزء الأكبر من قيمتها الحقيقية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192FDA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(Settembre-Blundo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تتمظهر في تعزيز المرونة المؤسسية والقدرة على اتخاذ القرارات في ظروف عدم اليقين، إذ تُمكّن المنظمة من التكيف مع الصدمات والتقلبات في بيئتها الخارجية مع الحفاظ على استمرارية أعمالها الجوهرية. وفي السياق ذاته، يُبيّن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(Najwa et al., 2025)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تتزايد في ضوء التحول الرقمي المتسارع الذي يدفع المنظمات إلى تبنّي تقنيات ناشئة دون أن يكون لديها الخبرة الكافية بمخاطرها، مما يجعل وجود منظومة لإدارة المخاطر شرطاً لازماً لأي تحول رقمي ناجح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F19007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ويذهب</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(El Khatib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إلى أن أهميتها تتجلى في تمكين المنظمات من الاستفادة من البيانات الضخمة في الكشف المبكر عن أنماط المخاطر وتوقع مساراتها، بما يُحوّل إدارة المخاطر من ممارسة دفاعية إلى ميزة تنافسية. ويرى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(Arora &amp; Bhardwaj,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تمتد إلى القطاعات الحيوية كقطاع السيارات والنقل والبنى التحتية الحساسة، حيث يُمكن أن تترتب على الإخفاق في إدارة المخاطر التقنية خسائر بشرية ومادية جسيمة، مما يجعلها مسؤولية أخلاقية ومجتمعية لا اقتصادية فحسب</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D340CE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ويُلخّص الباحث ما سبق بأن أهمية إدارة مخاطر تكنولوجيا البيانات تتعدد مستوياتها لتشمل المستوى التشغيلي عبر ضمان استمرارية الأنظمة وكفاءتها، والمستوى الاستراتيجي عبر دعم اتخاذ القرار في بيئات معقدة، والمستوى المؤسسي عبر حماية السمعة والقيمة، والمستوى المجتمعي عبر حماية المصالح العامة في القطاعات الحيوية. وفي سياق المركز الوطني للأرصاد بالمملكة العربية السعودية، تتضاعف هذه الأهمية بفعل الطبيعة الحيوية للبيانات التي يتعامل معها المركز والقرارات التي تُبنى عليها، مما يجعل إدارة المخاطر التقنية شرطاً لازماً لتأدية المركز لرسالته الوطنية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0DEF54B">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5" w:name="_Toc233883875"/>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4.1.2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أهداف إدارة مخاطر تكنولوجيا البيانات</w:t>
      </w:r>
      <w:bookmarkEnd w:id="45"/>
    </w:p>
    <w:p w14:paraId="34752B1E">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تتكامل الأهداف التي تسعى إدارة مخاطر تكنولوجيا البيانات إلى تحقيقها في منظومة متناسقة تجمع بين الحماية والتمكين، وبين الاستجابة الآنية والتخطيط بعيد المدى. وقد تباينت الأطروحات الأكاديمية في تحديد هذه الأهداف بحسب الزاوية التي يُعالج منها كل باحث المفهوم، غير أنها تتلاقى في جوهر مشترك يضع حماية الأصول المعلوماتية في صلب الاهتمام، ويُوسّع دائرة الاهتمام لتشمل تمكين المنظمة من تحقيق رسالتها بكفاءة وفاعلية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E03F4E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ويُحدد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(Sanjaya et al., 2020)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أهداف إدارة مخاطر تكنولوجيا البيانات في عدة نقاط؛ تتمثل أولها في توفير إطار منهجي لتحديد المخاطر التقنية المحتملة بصورة شاملة لا تُغفل جانباً من جوانب البنية التقنية للمنظمة، ويأتي ثانيها في تقييم هذه المخاطر تقييماً موضوعياً يستند إلى مؤشرات قابلة للقياس بحيث تُرتّب وفق أولوياتها، ويتمثل ثالثها في تصميم استجابات ملائمة لكل فئة من المخاطر سواء أكانت معالجة أم نقلاً أم قبولاً، ويتجلى رابعها في توثيق الإجراءات والقرارات المتعلقة بإدارة المخاطر بصورة تُمكّن المنظمة من الرجوع إليها ومراجعتها، ويظهر خامسها في ضمان استمرارية الأعمال الجوهرية للمنظمة في مواجهة الحوادث التقنية المتوقعة وغير المتوقعة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8D6A43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ويرى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أهدافها تتسع لتشمل بناء فهم منهجي للمخاطر السيبرانية المعاصرة وأنماطها المتطورة، وتطوير قدرات المنظمة على رصد التهديدات الناشئة قبل أن تتحول إلى حوادث فعلية، وتوفير قاعدة معرفية موثوقة تُسهم في صياغة سياسات الأمن السيبراني على المستويين المؤسسي والوطني، فضلاً عن تعزيز التعاون بين الجهات المعنية بإدارة المخاطر السيبرانية في القطاعين العام والخاص</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D67E16C">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(Li &amp; Wang,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جملة من الأهداف ذات الطابع التطبيقي؛ منها تصميم أنظمة ذكية لتقييم مخاطر أمن البيانات تستفيد من قدرات المعالجة الآلية والتعلم الآلي، وتطوير أدوات تُمكّن المنظمات من إدارة دورة حياة المخاطر من الرصد حتى المعالجة في منصة موحدة، وتقليص الفجوة الزمنية بين اكتشاف المخاطر والاستجابة لها، ورفع كفاءة استخدام الموارد البشرية المتخصصة في أمن المعلومات من خلال الأتمتة الذكية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53FD29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ويُحدد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(Arora &amp; Bhardwaj,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الأهداف من زاوية أكثر تخصصاً تتمثل في تطوير منهجيات دقيقة لتقييم التهديدات في القطاعات الحيوية، وتصميم تدابير تخفيف فعّالة تُراعي خصوصية كل قطاع، وضمان توافر طبقات دفاعية متعددة تُصعّب اختراق الأنظمة، وتعزيز الوعي الأمني بين المستخدمين بوصفهم خط الدفاع الأول. ومن جانب آخر، يطرح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(Settembre-Blundo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أهدافاً ذات طابع استراتيجي تتمثل في دعم اتخاذ القرار في بيئات عدم اليقين، وتعزيز مرونة المنظمة وقدرتها على التكيف مع التغيرات المفاجئة، ودمج الاستدامة في منظومة إدارة المخاطر بحيث تُراعى الأبعاد البيئية والاجتماعية إلى جانب البعد الاقتصادي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C7EA32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ويُكمل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(El Khatib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هذه المنظومة من الأهداف بإضافة بُعد البيانات الضخمة، إذ يرى أن من أهدافها استثمار القدرات التحليلية المتقدمة في الكشف المبكر عن أنماط المخاطر، وتحويل البيانات إلى رؤى استباقية تدعم القرار، وتعزيز الذكاء المؤسسي في مجال إدارة المخاطر. ويتكامل مع ذلك ما يطرحه</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(Najwa et al., 2025)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من أهداف تتعلق بمواكبة التطورات التقنية المتسارعة وبناء قدرات بحثية مؤسسية تُمكّن المنظمة من استيعاب المخاطر المرتبطة بالتقنيات الناشئة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144EC4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ويستخلص الباحث من العرض السابق أن أهداف إدارة مخاطر تكنولوجيا البيانات تتوزع على ثلاثة مستويات متكاملة: مستوى وقائي يتعلق بحماية الأصول من التهديدات قبل وقوعها، ومستوى تشغيلي يتعلق بضمان كفاءة الاستجابة للحوادث وتقليل آثارها، ومستوى استراتيجي يتعلق بتمكين المنظمة من تحقيق رسالتها واستدامة ميزتها التنافسية. ويُمثّل هذا التوزع المتدرج جوهر المقاربة الحديثة لإدارة المخاطر التي تتجاوز المنظور الدفاعي الضيق إلى منظور تمكيني شامل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C29179E">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6" w:name="_Toc233883876"/>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5.1.2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أبعاد إدارة مخاطر تكنولوجيا البيانات</w:t>
      </w:r>
      <w:bookmarkEnd w:id="46"/>
    </w:p>
    <w:p w14:paraId="3F7BC83D">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 تحديد أبعاد إدارة مخاطر تكنولوجيا البيانات في الدراسة الحالية بناءً على ما ورد في دراستَي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(Sanjaya et al., 2020)</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مع الإفادة من الإسهامات المكمّلة لكلٍّ من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(Li &amp; Wang, 2024)</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وذلك بما يتلاءم مع طبيعة المركز الوطني للأرصاد ومتطلبات بيئة عمله التقنية. وقد استقرت الدراسة على أربعة أبعاد رئيسة هي: تقييم المخاطر التقنية، وأمن البيانات والبنية التحتية، وحوكمة تكنولوجيا المعلومات، والمراقبة والتحسين المستمر، وفيما يلي تفصيل لكل بُعد منها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ABD9CB6">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البُعد الأول: تقييم المخاطر التقنية</w:t>
      </w:r>
    </w:p>
    <w:p w14:paraId="2731AFB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يُمثّل تقييم المخاطر التقنية البوابة المنهجية التي تدخل منها المنظمة إلى منظومة إدارة المخاطر، إذ لا يُمكن إدارة ما لم يُعرف، ولا يُمكن معالجة ما لم يُقيَّم. ويتضمن هذا البُعد جملة من العمليات المتسلسلة التي تبدأ بحصر الأصول التقنية للمنظمة وتصنيفها وفق درجة حساسيتها وأهميتها، مروراً بتحديد التهديدات المحتملة لكل أصل وتقدير احتمالية حدوثها وحجم آثارها المحتملة، وانتهاءً بترتيب المخاطر وفق أولوياتها لتوجيه الموارد نحو معالجة الأكثر خطورة منها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(Sanjaya et al., 2020).</w:t>
      </w:r>
    </w:p>
    <w:p w14:paraId="382E986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ويتميز هذا البُعد بطابعه المنهجي الذي يستند إلى أطر معيارية دولية، يأتي في مقدمتها معيار آيزو 31000 الذي يُوفّر هيكلاً مرجعياً متكاملاً لإدارة المخاطر، ومنهجية إطار اختبار الاختراق الأمني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(ISSAF)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التي تُستخدم في تقييم المخاطر التشغيلية. ويُسهم تبنّي هذه الأطر في إضفاء طابع موضوعي على عملية التقييم، يقلّل من تأثير الأحكام الشخصية ويُتيح المقارنة بين تقييمات مختلفة عبر الزمن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(Sanjaya et al., 2020).</w:t>
      </w:r>
    </w:p>
    <w:p w14:paraId="6E9AA074">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تقييم المخاطر التقنية في السياق المعاصر يستلزم تجاوز المقاربات التقليدية إلى مقاربات أكثر ديناميكية، تستوعب الطبيعة المتطورة للمخاطر السيبرانية، وتُدمج البيانات المتاحة عن الحوادث والتهديدات في نماذج تحليلية قادرة على توقع المسارات المحتملة للمخاطر. ويتجلى هذا التطور في الانتقال من التقييمات الدورية ذات الطابع الثابت إلى التقييمات المستمرة التي تتغذى على تدفقات البيانات الآنية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D0A82F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تطبيقي، يُبيّن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(Li &amp; Wang,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تقييم المخاطر التقنية يستفيد اليوم من قدرات الأنظمة الذكية في معالجة كميات هائلة من البيانات حول حالة الأنظمة وسلوك المستخدمين والأنشطة الشبكية، بحيث يتم اكتشاف الأنماط الشاذة التي قد تُشير إلى مخاطر ناشئة قبل أن تتحول إلى حوادث فعلية. ويعكس هذا التحول انتقالاً نوعياً في فلسفة التقييم من النمط الاستجابي إلى النمط الاستباقي القائم على التنبؤ</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74E3AAE">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البُعد الثاني: أمن البيانات والبنية التحتية</w:t>
      </w:r>
    </w:p>
    <w:p w14:paraId="6F2E0AF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يُشكّل أمن البيانات والبنية التحتية الركيزة الحامية التي تقوم عليها سلامة منظومة العمل التقني للمنظمة، ويتضمن هذا البُعد مجموعة من الضوابط والتدابير التي تستهدف صون السرية والسلامة والإتاحة بوصفها الثالوث الكلاسيكي لأمن المعلومات. ويمتد نطاق هذا البُعد ليشمل أمن البيانات في حالاتها الثلاث: أثناء التخزين، وأثناء النقل، وأثناء المعالجة، إلى جانب أمن البنية التحتية المادية والافتراضية التي تستضيف هذه البيانات وتتعامل معها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w:t>
      </w:r>
    </w:p>
    <w:p w14:paraId="546772D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ويتضمن هذا البُعد طبقات متعددة من الضوابط الأمنية تتكامل فيما بينها لتُشكّل ما يُعرف بالدفاع متعدد الطبقات، حيث تتوزع هذه الضوابط على مستوى الشبكة من خلال جدران الحماية وأنظمة كشف التسلل، وعلى مستوى الأنظمة من خلال إدارة الهوية والوصول وتشفير البيانات، وعلى مستوى التطبيقات من خلال ضوابط أمن الكود والاختبارات الأمنية الدورية. ويُسهم هذا التنوع في الضوابط في رفع كلفة الاختراق على المهاجم وزيادة احتمالية اكتشافه قبل أن يصل إلى الأهداف الحساسة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w:t>
      </w:r>
    </w:p>
    <w:p w14:paraId="1FAD2BC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(Arora &amp; Bhardwaj,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أمن البيانات والبنية التحتية في القطاعات الحيوية يتطلب اهتماماً خاصاً بمنهجيات تقييم التهديدات الموجّهة وتدابير التخفيف المتخصصة، إذ إن البيئات التقنية في هذه القطاعات تتميز بخصوصية تجعل الحلول الأمنية العامة غير كافية لمواجهة تهديداتها المحتملة، مما يستلزم تطوير حلول مخصصة تُراعي طبيعة الأنظمة المستخدمة وحساسية البيانات المعالجة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1750EF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الأثر المؤسسي، يُؤكد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(Kamiya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الإخفاق في أمن البيانات والبنية التحتية لا تنحصر آثاره في الجوانب التقنية والتشغيلية، بل تمتد إلى الجوانب المالية والسمعة المؤسسية، مما يجعل الاستثمار في هذا البُعد ذا عائد متعدد الأبعاد. ويعكس هذا المنظور تحول النظر إلى أمن البيانات من كونه مركز تكلفة إلى كونه مركز قيمة يُسهم في حماية الأصول غير الملموسة للمنظمة وتعزيز ثقة المتعاملين معها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2CBF0E0">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البُعد الثالث: حوكمة تكنولوجيا المعلومات</w:t>
      </w:r>
    </w:p>
    <w:p w14:paraId="34E47E5E">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تُمثّل حوكمة تكنولوجيا المعلومات الإطار المؤسسي الذي يضمن مواءمة إدارة المخاطر التقنية مع الأهداف الاستراتيجية للمنظمة، وتُحدد فيه الأدوار والمسؤوليات والسياسات والإجراءات التي تحكم اتخاذ القرارات التقنية وإدارة المخاطر المرتبطة بها. ويتجاوز هذا البُعد المعالجة الفنية للمخاطر إلى تأطيرها ضمن منظومة الحوكمة المؤسسية الشاملة، بحيث تُصبح إدارة المخاطر التقنية جزءاً عضوياً من الإدارة الاستراتيجية للمنظمة وليست شأناً تقنياً مستقلاً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(Najwa et al., 2025).</w:t>
      </w:r>
    </w:p>
    <w:p w14:paraId="3CD0B07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ويتضمن هذا البُعد جملة من العناصر المتكاملة؛ تبدأ بتحديد الأدوار والمسؤوليات الواضحة في إدارة المخاطر التقنية على مختلف المستويات التنظيمية، من مجلس الإدارة الذي يتحمل المسؤولية النهائية، إلى الإدارة التنفيذية التي تُترجم التوجهات إلى استراتيجيات، وصولاً إلى الإدارات التشغيلية التي تُنفّذ الضوابط اليومية. ويتكامل مع ذلك وضع السياسات والإجراءات التي تحكم إدارة المخاطر، ووضع آليات للتقرير والمساءلة تضمن تدفق المعلومات بين المستويات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(Settembre-Blundo et al., 2021).</w:t>
      </w:r>
    </w:p>
    <w:p w14:paraId="2D0DC62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ويُبرز</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(El Khatib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حوكمة تكنولوجيا المعلومات في عصر البيانات الضخمة تتطلب توسيع نطاق الحوكمة لتشمل البيانات بوصفها أصلاً استراتيجياً مستقلاً، يستلزم سياسات خاصة لإدارته من حيث جودته وملكيته وأخلاقيات استخدامه. ويعكس هذا التوسع تطوراً نوعياً في مفهوم الحوكمة، إذ ينتقل من التركيز على البنية التقنية إلى التركيز على البيانات بوصفها جوهر القيمة في المنظمة الرقمية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4779D9D">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ويتكامل هذا المنظور مع ما يطرحه</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من ضرورة بناء أطر حوكمية مكيّفة وفق حجم المنظمة وطبيعة نشاطها، إذ لا تصلح الأطر الموحدة لجميع المنظمات، بل ينبغي تكييف هذه الأطر بما يُراعي الإمكانات المتاحة والمخاطر الخاصة بكل بيئة عمل. ويُسهم هذا التكييف في رفع فاعلية الحوكمة وتجنّب البيروقراطية الزائدة التي قد تُعيق المرونة التشغيلية للمنظمة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BE64289">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البُعد الرابع: المراقبة والتحسين المستمر</w:t>
      </w:r>
    </w:p>
    <w:p w14:paraId="4B936BF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يُشكّل بُعد المراقبة والتحسين المستمر الحلقة الختامية التي تُغلق دورة إدارة المخاطر وتُعيد إطلاقها من جديد، مما يجعل المنظومة بأكملها كياناً ديناميكياً يتطور بتطور البيئة المحيطة. ويستند هذا البُعد إلى فلسفة التحسين المستمر التي تنطلق من قناعة بأن إدارة المخاطر ليست محطة وصول وإنما رحلة لا تنتهي، وأن المخاطر تتطور باستمرار بفعل التطور التقني وتغيّر السياق التشغيلي وظهور تهديدات جديدة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(Li &amp; Wang, 2024).</w:t>
      </w:r>
    </w:p>
    <w:p w14:paraId="71A0E539">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ويتضمن هذا البُعد جملة من الأنشطة المترابطة؛ تتمثل أولها في المراقبة المستمرة للأنظمة والشبكات لرصد المؤشرات التي قد تُنذر بمخاطر ناشئة أو حوادث وشيكة، ويأتي ثانيها في قياس فاعلية الضوابط الأمنية المطبقة من خلال مؤشرات أداء محددة تُتيح الحكم على مدى نجاح هذه الضوابط في تحقيق أهدافها، ويتجلى ثالثها في مراجعة منظومة إدارة المخاطر بصورة دورية لتحديد الفجوات والثغرات وفرص التحسين، ويظهر رابعها في تحديث السياسات والإجراءات وفق مستجدات البيئة التقنية والتشريعية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w:t>
      </w:r>
    </w:p>
    <w:p w14:paraId="4486B26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(Najwa et al., 2025)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المراقبة والتحسين المستمر يستلزمان بناء قاعدة معرفية مؤسسية تُراكم الخبرات المكتسبة من الحوادث السابقة ومن التقييمات الدورية، بحيث تُصبح هذه القاعدة مرجعاً تستفيد منه المنظمة في تحسين ممارساتها وتجنّب تكرار الأخطاء. ويعكس هذا الطرح أهمية البُعد التعلّمي في إدارة المخاطر، إذ تتحول كل حادثة وكل تقييم إلى فرصة للتعلم وتطوير القدرات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E769BBD">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تطبيقي متقدم، يُبيّن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(Li &amp; Wang,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المراقبة والتحسين المستمر يستفيدان اليوم من قدرات الأنظمة الذكية في الرصد الآلي للأنماط الشاذة وتحليل بيانات السجلات الضخمة بسرعة تفوق القدرات البشرية، مما يُتيح اكتشاف المخاطر الدقيقة التي قد تُفلت من المراقبة التقليدية. 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(Settembre-Blundo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التحسين المستمر يكتسب بُعداً استراتيجياً حين يُربط بمفهوم المرونة المؤسسية، إذ إن المنظمة المرنة هي تلك التي تتعلم من تجاربها وتُكيّف منظومة إدارة مخاطرها وفق التغيرات المتسارعة في محيطها، محافظةً على قدرتها على تحقيق أهدافها رغم الاضطرابات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74193B4">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ويرى الباحث أن هذه الأبعاد الأربعة تتكامل في منظومة دائرية لا تكتمل فاعليتها إلا باكتمال حلقاتها، إذ يُغذّي تقييم المخاطر التقنية ضوابط أمن البيانات والبنية التحتية، وتُوجَّه هذه الضوابط بمنظومة حوكمة تكنولوجيا المعلومات، وتتطور المنظومة بأكملها من خلال المراقبة والتحسين المستمر الذي يُعيد تغذية عملية التقييم بمدخلات جديدة. وفي سياق المركز الوطني للأرصاد بالمملكة العربية السعودية، تكتسب هذه الأبعاد أهمية مضاعفة بفعل الطبيعة الحساسة للبيانات الجوية والقرارات المبنية عليها، مما يجعل التكامل بين هذه الأبعاد شرطاً لازماً لضمان دقة التنبؤات وكفاءة دعم القرار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330E255">
      <w:pPr>
        <w:jc w:val="center"/>
        <w:outlineLvl w:val="1"/>
        <w:rPr>
          <w:rFonts w:ascii="Simplified Arabic" w:hAnsi="Simplified Arabic" w:eastAsia="Times New Roman" w:cs="Simplified Arabic"/>
          <w:b/>
          <w:bCs/>
          <w:color w:val="000000" w:themeColor="text1"/>
          <w:kern w:val="0"/>
          <w:sz w:val="36"/>
          <w:szCs w:val="36"/>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br w:type="page"/>
      </w:r>
      <w:bookmarkStart w:id="47" w:name="_Toc233883877"/>
      <w:r>
        <w:rPr>
          <w:rFonts w:ascii="Simplified Arabic" w:hAnsi="Simplified Arabic" w:eastAsia="Times New Roman" w:cs="Simplified Arabic"/>
          <w:b/>
          <w:bCs/>
          <w:color w:val="000000" w:themeColor="text1"/>
          <w:kern w:val="0"/>
          <w:sz w:val="36"/>
          <w:szCs w:val="36"/>
          <w:rtl/>
          <w14:textFill>
            <w14:solidFill>
              <w14:schemeClr w14:val="tx1"/>
            </w14:solidFill>
          </w14:textFill>
          <w14:ligatures w14:val="none"/>
        </w:rPr>
        <w:t>المبحث الثاني: دقة التنبؤات الجوية ودعم القرار</w:t>
      </w:r>
      <w:bookmarkEnd w:id="47"/>
    </w:p>
    <w:p w14:paraId="2567AD93">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8" w:name="_Toc233883878"/>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1.2.2 </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تمهيد</w:t>
      </w:r>
      <w:bookmarkEnd w:id="48"/>
    </w:p>
    <w:p w14:paraId="157A99F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تحتل التنبؤات الجوية موقعاً محورياً في منظومة اتخاذ القرار على المستويين المؤسسي والوطني، إذ تتقاطع مع طيف واسع من القطاعات الحيوية كالطيران والملاحة البحرية والزراعة وإدارة الكوارث والطاقة والنقل، وتُسهم في توجيه القرارات اليومية للأفراد كما توجّه القرارات الاستراتيجية لصانعي السياسات. وقد شهد هذا الحقل في العقود الأخيرة تحولاً جوهرياً بفعل التقدم المتسارع في قدرات الحوسبة والنماذج الرياضية وتقنيات الذكاء الاصطناعي، مما رفع من سقف الدقة المتوقعة وأعاد تشكيل العلاقة بين علم الأرصاد ومستخدمي مخرجاته. ولم تعد التنبؤات الجوية مجرد إخبار عن حالة الطقس المتوقعة، بل تطورت إلى منظومة متكاملة لدعم القرار تُترجم البيانات الجوية إلى رؤى قابلة للتفعيل تخدم احتياجات متعددة لقطاعات متنوعة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w:t>
      </w:r>
    </w:p>
    <w:p w14:paraId="1B70C5F0">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وفي ضوء هذا التطور، ارتبط مفهوم دقة التنبؤات الجوية ارتباطاً عضوياً بمفهوم دعم القرار، إذ لم تعد الدقة قيمة في ذاتها، وإنما اكتسبت قيمتها من قدرتها على توجيه القرارات نحو نتائج أفضل وتقليل المخاطر المرتبطة بالغموض. وقد أبرز هذا الترابط ضرورة مقاربة دقة التنبؤات الجوية ودعم القرار بوصفهما متغيراً مركباً يجمع بين البعد العلمي للتنبؤ والبعد التطبيقي للقرار، بحيث تُقاس فاعلية المنظومة بمدى نجاحها في إنتاج تنبؤات دقيقة من جهة، وفي توصيل هذه التنبؤات إلى صانعي القرار بصورة تُمكّنهم من توظيفها فعلياً من جهة أخرى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w:t>
      </w:r>
    </w:p>
    <w:p w14:paraId="506646AD">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ويُلقي هذا التحول بظلاله على المراكز الوطنية للأرصاد بوصفها الجهات المنوط بها تقديم خدمات التنبؤ الجوي ودعم القرار على المستوى الوطني، إذ تواجه هذه المراكز تحديات مزدوجة تتمثل في رفع دقة تنبؤاتها من خلال تبنّي أحدث التقنيات والمنهجيات، وفي تطوير قدراتها على تحويل هذه التنبؤات إلى مخرجات تخدم احتياجات الجهات المتعاملة معها. ويتناول هذا المبحث الإطار النظري لدقة التنبؤات الجوية ودعم القرار من خلال استعراض مفهومها، ثم بيان أهميتها، فاستعراض أهدافها، وانتهاءً بتحليل أبعادها التطبيقية التي اعتُمدت في الدراسة الحالية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EB2476A">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49" w:name="_Toc233883879"/>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2.2.2 </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مفهوم دقة التنبؤات الجوية ودعم القرار</w:t>
      </w:r>
      <w:bookmarkEnd w:id="49"/>
    </w:p>
    <w:p w14:paraId="186AB548">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تتنوع الزوايا التي عالج بها الباحثون مفهوم دقة التنبؤات الجوية ودعم القرار، ويعكس هذا التنوع طبيعة المفهوم المركبة التي تتقاطع فيها الجوانب العلمية والتقنية والتنظيمية والاتصالية. وقد 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مفهوم دقة التنبؤات الجوية بوصفه عملية تقييم منهجية لمدى مطابقة التنبؤات التشغيلية للظواهر الجوية الفعلية المرصودة، تستند إلى مجموعة من المؤشرات الإحصائية والمعايير الفنية التي تُتيح الحكم الموضوعي على جودة التنبؤ. ويُلاحظ في هذا التعريف ميله إلى المنظور التقييمي الذي يُركّز على القياس بوصفه شرطاً لازماً لتحسين الأداء، كما يُبرز التمييز بين التنبؤ بوصفه إنتاجاً علمياً والدقة بوصفها حكماً تقييمياً على هذا الإنتاج</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0B943B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تواصلي، يطرح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(Ripberger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المفهوم بوصفه منظومة لإيصال المعلومات الاحتمالية المتعلقة بالظواهر الجوية إلى المستخدمين النهائيين بصورة تُتيح لهم فهمها وتوظيفها في قراراتهم. ويتضمن هذا التعريف بعداً جديداً يتجاوز الجانب الفني للتنبؤ إلى الجانب الإدراكي للمستخدم، إذ إن دقة التنبؤ لا تكتمل قيمتها إلا حين يستوعبها المستخدم استيعاباً صحيحاً ويُوظّفها توظيفاً سليماً، مما يُحوّل المفهوم من ناتج علمي إلى عملية اتصالية ذات أبعاد متعددة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E6815B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ويُقارب</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المفهوم من زاوية المنهجيات العلمية المستخدمة في التنبؤ، فيُعرّفه بأنه قدرة المنظومة التنبؤية على إنتاج توقعات تتسم بالموثوقية والدقة من خلال تكامل النماذج العددية التقليدية للتنبؤ الجوي مع تقنيات التعلم العميق الحديثة. ويعكس هذا التعريف منظوراً متطوراً يستوعب التحول النوعي الذي يشهده الحقل بفعل دخول تقنيات الذكاء الاصطناعي ميدان التنبؤ الجوي، ويُبرز الطابع التكاملي للمنظومة التنبؤية المعاصرة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A1674A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بُعداً تطورياً للمفهوم حين يطرحه ضمن سياق التنبؤ الجوي القائم على البيانات والنمذجة المناخية من منظور تطوري، فيُعرّفه بأنه قدرة المنظومة التنبؤية المعاصرة على الاستفادة من تدفقات البيانات الضخمة المستمدة من مصادر متعددة، وتوظيف خوارزميات التعلم الآلي في استخلاص الأنماط منها، وإنتاج تنبؤات تجمع بين الدقة العلمية والكفاءة الحسابية. ويُبرز هذا التعريف تحولاً جوهرياً في فلسفة التنبؤ من الاعتماد الحصري على النمذجة الفيزيائية إلى المقاربات الهجينة التي تُوظّف البيانات بوصفها مصدراً للمعرفة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A8552A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تطبيقي خاص بدعم القرار، يطرح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مفهوم نظام دعم القرار الجوي بوصفه منصة متكاملة تُحوّل البيانات والتنبؤات الجوية إلى مخرجات قابلة للتفعيل من قِبل صانعي القرار في المجالات الحيوية كالسلامة العامة. ويتضمن هذا التعريف عناصر جوهرية ثلاثة هي: مدخلات النظام من البيانات الجوية والتنبؤات، وآليات معالجة هذه المدخلات وفق احتياجات المستخدم، ومخرجات النظام في صورة توصيات وتنبيهات وأدوات داعمة للقرار. ويعكس هذا الطرح مقاربة عملية للمفهوم تربطه بسياقات الاستخدام الفعلي وتقيس قيمته بمدى نجاحه في خدمة هذه السياقات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7BFB3E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أوسع يجمع بين البعدين العلمي والتطبيقي، يُقدّم</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(Chatterjee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المفهوم في سياق تحليلات البيانات الضخمة وأثرها في عمليات اتخاذ القرار والتنبؤ وأداء المنظمات، إذ يُعرّفه بأنه القدرة المؤسسية على توظيف القدرات التحليلية المتقدمة في تحويل البيانات إلى رؤى تنبؤية تدعم اتخاذ القرارات الاستراتيجية والتشغيلية. ويُبرز هذا التعريف الطابع المؤسسي للمفهوم، إذ يربطه بالقدرات التنظيمية للمنظمة وليس بالقدرات التقنية وحدها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0661884">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استقراء التعريفات السابقة، يرى الباحث أن دقة التنبؤات الجوية ودعم القرار يمكن تعريفها إجرائياً بأنها: “منظومة متكاملة تجمع بين القدرة العلمية على إنتاج توقعات جوية موثوقة تستند إلى تكامل النماذج العددية والتقنيات الذكية ومعالجة البيانات الضخمة، والقدرة المؤسسية على تحويل هذه التوقعات إلى مخرجات قابلة للتفعيل يُمكن لصانعي القرار في القطاعات المختلفة توظيفها في اتخاذ قرارات أكثر استنارة، مع توفير الأدوات والآليات اللازمة لإيصال هذه المخرجات في الوقت المناسب وبالصورة الملائمة”. ويرى الباحث أن جوهر المفهوم يقوم على ثلاث ركائز متلازمة: الدقة العلمية بوصفها أساساً لا غنى عنه، والملاءمة بوصفها شرطاً لتحقيق القيمة، والقابلية للتفعيل بوصفها معياراً للنجاح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7C720C5">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50" w:name="_Toc233883880"/>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3.2.2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أهمية دقة التنبؤات الجوية ودعم القرار</w:t>
      </w:r>
      <w:bookmarkEnd w:id="50"/>
    </w:p>
    <w:p w14:paraId="5D4114D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تنبع أهمية دقة التنبؤات الجوية ودعم القرار من الموقع المحوري الذي تحتله المعلومات الجوية في منظومة اتخاذ القرار على المستويين الفردي والمؤسسي، إذ تمتد آثار هذه المعلومات إلى طيف واسع من القطاعات والأنشطة الإنسانية. ولم تعد التنبؤات الجوية مجرد خدمة معلوماتية ذات طابع علمي، بل غدت بنية تحتية حيوية تُبنى عليها قرارات تمسّ سلامة الأرواح والممتلكات والاقتصاد الوطني، مما يجعل الاستثمار في رفع دقتها وتطوير قدرات دعم القرار المرتبطة بها استثماراً ذا عائد مجتمعي شامل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w:t>
      </w:r>
    </w:p>
    <w:p w14:paraId="24C933D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ويُشير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إلى أن أهمية دقة التنبؤات الجوية ودعم القرار تتجلى في جملة من المحاور المتكاملة؛ إذ تُسهم أولاً في تمكين المؤسسات الجوية من تقييم أدائها التشغيلي بصورة موضوعية تستند إلى مؤشرات قابلة للقياس، مما يُتيح تحديد الفجوات وتوجيه جهود التطوير، وتعمل ثانياً على دعم الثقة المؤسسية والمجتمعية في خدمات التنبؤ الجوي من خلال إثبات موثوقية المخرجات بأدلة علمية يمكن التحقق منها، وتُؤدي ثالثاً إلى توفير قاعدة معرفية تُسهم في تطوير النماذج التنبؤية وتحسين قدراتها عبر الزمن، وتُسهم رابعاً في رفع كفاءة استخدام الموارد المخصصة للتنبؤ الجوي من خلال توجيهها نحو المجالات التي تُحقق أعلى عائد، وتعمل خامساً على دعم التعاون الدولي في مجال التنبؤ الجوي من خلال توفير لغة مشتركة لتقييم الأداء</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5D7116E">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ويرى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تكمن في تعزيز قدرات الجهات المعنية بالسلامة العامة على اتخاذ قرارات استباقية في مواجهة الظواهر الجوية الخطرة، إذ تُمكّنها أنظمة دعم القرار الجوي من رصد المخاطر المحتملة في وقت مبكر، وتقدير حجمها ومسارها، واتخاذ التدابير الوقائية الملائمة قبل وقوع الأحداث، مما يُسهم في تقليل الخسائر البشرية والمادية المرتبطة بالكوارث الجوية. ويعكس هذا المنظور البُعد الإنساني والمجتمعي لأهمية دقة التنبؤات الجوية، إذ تتحول من مسألة علمية تقنية إلى ضرورة لحماية الأرواح والممتلكات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36C47DA1">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(Ripberger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تتمظهر في تطوير القدرات الاتصالية لمؤسسات التنبؤ الجوي، إذ إن دقة التنبؤ لا تكتمل قيمتها إلا حين تُوصَل إلى المستخدمين النهائيين بصورة صحيحة يستوعبونها ويُوظّفونها في قراراتهم. وفي هذا السياق، تكتسب أهمية إيصال المعلومات الاحتمالية المتعلقة بالظواهر الجوية بُعداً خاصاً، إذ تتطلب أساليب اتصالية متخصصة تأخذ بعين الاعتبار خصائص الجمهور المستهدف ومستوى فهمه للمفاهيم الاحتمالية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B146D1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ويذهب</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إلى أن أهميتها تتجلى في تمكين المؤسسات الجوية من مواكبة التحولات الجوهرية التي يشهدها حقل التنبؤ الجوي بفعل دخول تقنيات التعلم العميق، إذ إن البقاء في طليعة هذا الحقل يستلزم استثماراً مستمراً في رفع دقة التنبؤات وتطوير قدرات دعم القرار. ويُكمل هذه الصورة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ببيان أن أهمية دقة التنبؤات الجوية تتزايد في ضوء التحول إلى التنبؤ القائم على البيانات، الذي يُتيح إمكانات غير مسبوقة لرفع جودة التنبؤات والاستفادة من تدفقات البيانات الضخمة المستمدة من مصادر متنوعة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9A90E60">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ويُؤكد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(Chatterjee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أهميتها تمتد إلى المستوى المؤسسي حيث تُسهم القدرات التنبؤية المتقدمة في رفع كفاءة اتخاذ القرار وتحسين الأداء المؤسسي، مما يجعل الاستثمار في هذه القدرات استثماراً استراتيجياً يعود بعوائد متعددة على المؤسسات التي تتبنّاها. ويُلخّص الباحث ما سبق بأن أهمية دقة التنبؤات الجوية ودعم القرار تتعدد مستوياتها لتشمل المستوى العلمي عبر تطوير المعرفة وأدوات التقييم، والمستوى المؤسسي عبر رفع كفاءة الأداء وتعزيز الثقة، والمستوى المجتمعي عبر حماية الأرواح والممتلكات، والمستوى الاقتصادي عبر دعم القرارات الاستثمارية والتشغيلية في القطاعات الحساسة للظروف الجوية. وفي سياق المركز الوطني للأرصاد بالمملكة العربية السعودية، تتضاعف هذه الأهمية بفعل التنوع المناخي للمملكة والتحديات الجوية الخاصة بها كالعواصف الرملية والأمطار الغزيرة المفاجئة، مما يجعل دقة التنبؤات وكفاءة دعم القرار من الركائز الأساسية لتأدية المركز لرسالته الوطنية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599539C">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51" w:name="_Toc233883881"/>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4.2.2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أهداف دقة التنبؤات الجوية ودعم القرار</w:t>
      </w:r>
      <w:bookmarkEnd w:id="51"/>
    </w:p>
    <w:p w14:paraId="1629869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تتكامل الأهداف التي تسعى منظومة دقة التنبؤات الجوية ودعم القرار إلى تحقيقها في مجموعة متناسقة من الغايات التي تتوزع بين البعد العلمي والبعد التطبيقي، وتجمع بين التطوير الذاتي للمنظومة وخدمة المستفيدين منها. وقد تباينت الأطروحات الأكاديمية في تحديد هذه الأهداف بحسب الزاوية التي يُعالج منها كل باحث الموضوع، غير أنها تتلاقى في جوهر مشترك يضع تحسين جودة التنبؤات وتعظيم القيمة المضافة لمستخدميها في صلب الاهتمام</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21D906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ويُحدد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أهداف منظومة تقييم دقة التنبؤات الجوية في عدة نقاط متكاملة؛ تتمثل أولها في تطوير منهجيات تقييم موضوعية ومنضبطة تُتيح الحكم على جودة التنبؤات بصورة علمية يمكن التحقق منها، ويأتي ثانيها في تحديد المؤشرات الإحصائية الملائمة لكل نوع من أنواع التنبؤات الجوية بحيث تُراعى خصوصية كل ظاهرة جوية، ويتمثل ثالثها في معالجة التحديات المرتبطة بتقييم التنبؤات التشغيلية في ظل تعقيد الظواهر الجوية وتعدد متغيراتها، ويتجلى رابعها في توفير آليات للتحسين المستمر تستفيد من نتائج التقييم في تطوير النماذج التنبؤية، ويظهر خامسها في بناء قاعدة معرفية تراكمية تُسهم في تطور حقل التنبؤ الجوي على المستويين المؤسسي والدولي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3395359">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ويرى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أهدافها تتسع لتشمل استكشاف الإمكانات التي تتيحها تقنيات التعلم العميق لتجاوز محدودية النماذج العددية التقليدية للتنبؤ الجوي، وتطوير مقاربات هجينة تجمع بين النمذجة الفيزيائية والتعلم الآلي بصورة تستفيد من نقاط قوة كل منهما، وبناء قدرات حسابية متقدمة قادرة على معالجة الكم الهائل من البيانات الجوية بكفاءة، وتعزيز قدرة المنظومة التنبؤية على رصد الظواهر الجوية الخطرة في وقت مبكر بدقة أعلى</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93F634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جملة من الأهداف ذات الطابع التطوري؛ منها الانتقال من النماذج التقليدية إلى النماذج القائمة على البيانات بصورة متدرجة تحافظ على الاستمرارية وتُحقق التطوير في آن، وتوظيف خوارزميات التعلم الآلي المتقدمة في استخلاص الأنماط من البيانات الجوية والمناخية، وتطوير قدرات النمذجة المناخية بصورة تُتيح فهماً أعمق للتغيرات المناخية بعيدة المدى، ودمج مصادر البيانات المتنوعة في منظومة تنبؤية متكاملة تستفيد من تعدد المصادر في رفع الدقة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6FD1AFB4">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ويُحدد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الأهداف من زاوية دعم القرار في مجالات السلامة العامة، وتشمل تصميم أنظمة دعم قرار جوية تُراعي الاحتياجات الخاصة بصانعي القرار في مجالات السلامة، وتطوير واجهات استخدام تُتيح للمستخدمين غير المتخصصين الاستفادة من البيانات الجوية بصورة فعّالة، وتوفير آليات للتنبيه المبكر بالظواهر الجوية الخطرة، وتعزيز التنسيق بين الجهات المعنية بالاستجابة للطوارئ الجوية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5A4E7CB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ومن منظور تواصلي، يطرح</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(Ripberger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أهدافاً تتعلق بتطوير أساليب فعّالة لإيصال المعلومات الاحتمالية المتعلقة بالظواهر الجوية إلى المستخدمين النهائيين، وفهم الكيفية التي يُدرك بها المستخدمون مختلف أشكال المعلومات الاحتمالية، وتصميم رسائل اتصالية تُراعي خصائص الجمهور المستهدف ومستوى فهمه، ومعالجة الفجوة بين الإنتاج العلمي للتنبؤ والاستيعاب الجماهيري له. ومن جانب آخر، يُكمل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(Chatterjee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هذه المنظومة بأهداف ذات طابع مؤسسي تتمثل في توظيف تحليلات البيانات الضخمة في تحسين جودة التنبؤات وقدرات دعم القرار، ورفع كفاءة عمليات اتخاذ القرار في المنظمات المستفيدة من التنبؤات الجوية، وبناء قدرات مؤسسية تحليلية تُمكّن من استخلاص القيمة المضافة من البيانات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013106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ويستخلص الباحث من العرض السابق أن أهداف منظومة دقة التنبؤات الجوية ودعم القرار تتوزع على ثلاثة مستويات متكاملة: مستوى علمي يتعلق بتطوير القدرات التنبؤية وأدوات تقييمها، ومستوى تواصلي يتعلق بإيصال مخرجات التنبؤ إلى المستخدمين بصورة فعّالة، ومستوى تطبيقي يتعلق بتوظيف التنبؤات في دعم القرارات في القطاعات المختلفة. ويُمثّل هذا التوزع المتدرج جوهر المقاربة الحديثة للتنبؤ الجوي التي تتجاوز المنظور العلمي الضيق إلى منظور تكاملي يُلامس احتياجات المجتمع وقطاعاته المتنوعة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46685745">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52" w:name="_Toc233883882"/>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5.2.2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أبعاد دقة التنبؤات الجوية ودعم القرار</w:t>
      </w:r>
      <w:bookmarkEnd w:id="52"/>
    </w:p>
    <w:p w14:paraId="2BE8B97A">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 تحديد أبعاد دقة التنبؤات الجوية ودعم القرار في الدراسة الحالية بناءً على ما ورد في دراسات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(Na-Yemeh et al., 2022)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(Ripberger et al., 2022)</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مع الإفادة من الإسهامات المكمّلة لكلٍّ من</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(Wu &amp; Xue, 2024)</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 وذلك بما يتلاءم مع طبيعة المركز الوطني للأرصاد بالمملكة العربية السعودية ومتطلبات بيئة عمله. وقد استقرت الدراسة على تناول المتغير بوصفه محوراً أحادي البعد يضم اثنتي عشرة فقرة تقيس مستوى دقة التنبؤات الجوية وفاعلية أنظمة دعم القرار، ويمكن تحليل هذا المحور إلى عدة عناصر مفاهيمية متكاملة تُشكّل في مجموعها الإطار التطبيقي للمتغير</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1A2034C5">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الأول: الموثوقية العلمية للتنبؤات الجوية</w:t>
      </w:r>
    </w:p>
    <w:p w14:paraId="60952CED">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تُمثّل الموثوقية العلمية الركيزة الأساس التي تقوم عليها قيمة التنبؤات الجوية، إذ بدونها تفقد التنبؤات معناها وتتحول إلى تكهنات لا قيمة لها في دعم القرار. وتتحقق الموثوقية من خلال الالتزام بالمنهجيات العلمية المعتمدة في إنتاج التنبؤات، بدءاً من جودة البيانات المرصودة وتنوع مصادرها، مروراً بدقة النماذج المستخدمة في معالجة هذه البيانات، وانتهاءً بمنهجية تحليل المخرجات وتفسيرها. ويستلزم تحقيق الموثوقية تكاملاً بين القدرات البشرية للكوادر المتخصصة والقدرات التقنية للأنظمة الحاسوبية، بحيث تتضافر الخبرة العلمية مع التقنيات المتقدمة في إنتاج تنبؤات يمكن الوثوق بها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w:t>
      </w:r>
    </w:p>
    <w:p w14:paraId="55E96540">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(Schultz et al., 2021)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الموثوقية العلمية في الحقبة المعاصرة تكتسب أبعاداً جديدة بفعل دخول تقنيات التعلم العميق ميدان التنبؤ الجوي، إذ إن دمج هذه التقنيات مع النماذج العددية التقليدية يُعزز الموثوقية من خلال الجمع بين الفهم الفيزيائي للظواهر الجوية والقدرات الاستخلاصية للخوارزميات المتقدمة. ويعكس هذا التطور تحولاً نوعياً في فلسفة بناء الموثوقية العلمية للتنبؤات</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5DE2A54">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الثاني: دقة القياس والمؤشرات التقييمية</w:t>
      </w:r>
    </w:p>
    <w:p w14:paraId="670ACFCD">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تُمثّل دقة القياس والمؤشرات التقييمية الأداة التي تُتيح الحكم الموضوعي على جودة التنبؤات الجوية، وتتضمن مجموعة من المعايير الإحصائية والفنية التي تقيس مدى مطابقة التنبؤات للظواهر الجوية الفعلية. ويستلزم تقييم الدقة استخدام مؤشرات متعددة تُراعي تنوع الظواهر الجوية التي يجري التنبؤ بها، إذ تختلف المؤشرات الملائمة لتقييم التنبؤ بدرجات الحرارة عن تلك الملائمة لتقييم التنبؤ بهطول الأمطار أو سرعة الرياح، كما تختلف باختلاف المدى الزمني للتنبؤ من المدى القصير إلى المدى الطويل</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w:t>
      </w:r>
    </w:p>
    <w:p w14:paraId="24D2CBE8">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الثالث: فاعلية أنظمة دعم القرار</w:t>
      </w:r>
    </w:p>
    <w:p w14:paraId="45E5545B">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تُمثّل فاعلية أنظمة دعم القرار البُعد التطبيقي الذي يربط بين الإنتاج العلمي للتنبؤات والاستفادة الفعلية منها، وتتجلى في قدرة هذه الأنظمة على تحويل البيانات والتنبؤات الجوية إلى مخرجات قابلة للتفعيل من قِبل صانعي القرار في القطاعات المختلفة. ويتضمن هذا العنصر تصميم واجهات استخدام ملائمة تأخذ بعين الاعتبار خصائص المستخدمين النهائيين، وتطوير آليات لتخصيص المخرجات وفق احتياجات كل قطاع، وتوفير أدوات تحليلية تُتيح للمستخدمين استكشاف البيانات والتنبؤات بصورة تفاعلية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w:t>
      </w:r>
    </w:p>
    <w:p w14:paraId="09E1EF11">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الرابع: كفاءة إيصال المعلومات الجوية</w:t>
      </w:r>
    </w:p>
    <w:p w14:paraId="3B9D2802">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تُمثّل كفاءة إيصال المعلومات الجوية الجسر الذي تعبر من خلاله التنبؤات من مرحلة الإنتاج إلى مرحلة التوظيف الفعلي، وتُعدّ من أبرز التحديات التي تواجه المؤسسات الجوية في العصر الحالي. وتكتسب هذه الكفاءة أهمية خاصة في إيصال المعلومات الاحتمالية المتعلقة بالظواهر الجوية، إذ تتطلب أساليب اتصالية متخصصة تأخذ بعين الاعتبار خصائص الجمهور المستهدف ومستوى فهمه للمفاهيم الاحتمالية، وتُراعي الفروق بين فئات المستخدمين من حيث احتياجاتهم المعلوماتية وقدراتهم على استيعاب المخرجات الفنية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(Ripberger et al., 2022).</w:t>
      </w:r>
    </w:p>
    <w:p w14:paraId="17149D7C">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الخامس: التكامل مع تقنيات البيانات الضخمة والذكاء الاصطناعي</w:t>
      </w:r>
    </w:p>
    <w:p w14:paraId="0CEA5FD6">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يُمثّل التكامل مع تقنيات البيانات الضخمة والذكاء الاصطناعي البُعد التطوري الذي يفتح آفاقاً جديدة لرفع دقة التنبؤات وتعزيز قدرات دعم القرار. وقد أتاح التحول إلى التنبؤ القائم على البيانات إمكانات غير مسبوقة للاستفادة من تدفقات البيانات الضخمة المستمدة من مصادر متنوعة كالأقمار الصناعية والرادارات ومحطات الرصد الأرضية وأجهزة الاستشعار المنتشرة، مع توظيف خوارزميات التعلم الآلي في استخلاص الأنماط من هذه البيانات وتوليد تنبؤات تجمع بين الدقة العلمية والكفاءة الحسابية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w:t>
      </w:r>
    </w:p>
    <w:p w14:paraId="166B5AA7">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ويُضيف</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(Chatterjee et al., 2023)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أن التكامل مع تحليلات البيانات الضخمة يُتيح تطوير القدرات المؤسسية على تحويل البيانات إلى رؤى تنبؤية تدعم القرار، ويرفع كفاءة عمليات اتخاذ القرار في المنظمات المستفيدة، ويُسهم في تحسين الأداء المؤسسي بصورة شاملة. ويعكس هذا الطرح تحولاً جوهرياً في النظر إلى البيانات بوصفها أصلاً استراتيجياً يمكن استثماره لتعزيز القيمة المضافة لمنظومة التنبؤ الجوي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2F817E34">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السادس: التوقيت الزمني وملاءمة المخرجات</w:t>
      </w:r>
    </w:p>
    <w:p w14:paraId="15D359F3">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يُمثّل التوقيت الزمني وملاءمة المخرجات بُعداً حاسماً في تحديد القيمة الفعلية للتنبؤات الجوية، إذ إن التنبؤ الدقيق الذي يصل متأخراً عن وقت الحاجة إليه يفقد قدراً كبيراً من قيمته، كما أن التنبؤ غير الملائم لاحتياجات المستخدم يُصبح عبئاً معلوماتياً بدلاً من أن يكون أداة مساندة. ويتطلب تحقيق التوقيت المناسب بناء قدرات حسابية متقدمة تُتيح إنتاج التنبؤات بسرعة، وتطوير منظومة لإيصال المخرجات تضمن وصولها في الوقت المناسب، وتصميم آليات للتنبيه المبكر بالظواهر الجوية الخطرة تتيح هامشاً زمنياً كافياً لاتخاذ التدابير الوقائية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(Na-Yemeh et al., 2022).</w:t>
      </w:r>
    </w:p>
    <w:p w14:paraId="682E7693">
      <w:pPr>
        <w:spacing w:before="100" w:beforeAutospacing="1" w:after="100" w:afterAutospacing="1" w:line="276" w:lineRule="auto"/>
        <w:jc w:val="both"/>
        <w:rPr>
          <w:rFonts w:ascii="Simplified Arabic" w:hAnsi="Simplified Arabic" w:eastAsia="Times New Roman" w:cs="Simplified Arabic"/>
          <w:b/>
          <w:bCs/>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b/>
          <w:bCs/>
          <w:color w:val="000000" w:themeColor="text1"/>
          <w:kern w:val="0"/>
          <w:sz w:val="28"/>
          <w:szCs w:val="28"/>
          <w:rtl/>
          <w14:textFill>
            <w14:solidFill>
              <w14:schemeClr w14:val="tx1"/>
            </w14:solidFill>
          </w14:textFill>
          <w14:ligatures w14:val="none"/>
        </w:rPr>
        <w:t>العنصر السابع: التحسين المستمر للمنظومة التنبؤية</w:t>
      </w:r>
    </w:p>
    <w:p w14:paraId="5987C130">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يُمثّل التحسين المستمر للمنظومة التنبؤية البُعد الديناميكي الذي يضمن تطور المنظومة بتطور البيئة العلمية والتقنية المحيطة بها. ويستند هذا البُعد إلى فلسفة قائمة على التعلم من نتائج التقييم الدوري للتنبؤات، وتوظيف هذه النتائج في تحسين النماذج المستخدمة وأساليب المعالجة، ومواكبة التطورات العلمية الجارية في حقل التنبؤ الجوي. ويتطلب التحسين المستمر بناء قاعدة معرفية مؤسسية تُراكم الخبرات، وتطوير الكوادر البشرية بصورة دائمة، والاستثمار في البحث والتطوير بوصفه ركيزة للتميز في حقل التنبؤ الجوي</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(Pagano et al., 2024).</w:t>
      </w:r>
    </w:p>
    <w:p w14:paraId="480B3BD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ويُكمل هذه الصورة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(Wu &amp; Xue, 2024) </w:t>
      </w: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ببيان أن التحسين المستمر في الحقبة المعاصرة يستلزم استيعاب التحولات النوعية التي يشهدها الحقل بفعل دخول تقنيات الذكاء الاصطناعي والبيانات الضخمة، ومواكبة هذه التحولات بصورة تحافظ على الاستمرارية وتُحقق التطوير في آن واحد</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72033BB5">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ويرى الباحث أن هذه العناصر تتكامل في منظومة عضوية تتشكل منها فاعلية المتغير التابع، إذ تُغذّي الموثوقية العلمية دقة المؤشرات التقييمية، وتُترجم هاتان إلى فاعلية في أنظمة دعم القرار، وتُكتمل قيمتها بكفاءة إيصال المعلومات وملاءمة توقيتها، ويُحافظ على ديناميكية المنظومة من خلال التكامل مع التقنيات الحديثة والتحسين المستمر. وفي سياق المركز الوطني للأرصاد بالمملكة العربية السعودية، تكتسب هذه العناصر أهمية مضاعفة بفعل التنوع المناخي للمملكة والتحديات الجوية الخاصة بها، مما يجعل التكامل بين هذه العناصر شرطاً لازماً لتحقيق رسالة المركز في خدمة القطاعات الوطنية المختلفة</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w:t>
      </w:r>
    </w:p>
    <w:p w14:paraId="01168D16">
      <w:pPr>
        <w:spacing w:before="100" w:beforeAutospacing="1" w:after="100" w:afterAutospacing="1" w:line="276" w:lineRule="auto"/>
        <w:jc w:val="both"/>
        <w:outlineLvl w:val="2"/>
        <w:rPr>
          <w:rFonts w:ascii="Simplified Arabic" w:hAnsi="Simplified Arabic" w:eastAsia="Times New Roman" w:cs="Simplified Arabic"/>
          <w:b/>
          <w:bCs/>
          <w:color w:val="000000" w:themeColor="text1"/>
          <w:kern w:val="0"/>
          <w:sz w:val="32"/>
          <w:szCs w:val="32"/>
          <w14:textFill>
            <w14:solidFill>
              <w14:schemeClr w14:val="tx1"/>
            </w14:solidFill>
          </w14:textFill>
          <w14:ligatures w14:val="none"/>
        </w:rPr>
      </w:pPr>
      <w:bookmarkStart w:id="53" w:name="_Toc233883883"/>
      <w:r>
        <w:rPr>
          <w:rFonts w:hint="c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6.2.2</w:t>
      </w:r>
      <w:r>
        <w:rPr>
          <w:rFonts w:ascii="Simplified Arabic" w:hAnsi="Simplified Arabic" w:eastAsia="Times New Roman" w:cs="Simplified Arabic"/>
          <w:b/>
          <w:bCs/>
          <w:color w:val="000000" w:themeColor="text1"/>
          <w:kern w:val="0"/>
          <w:sz w:val="32"/>
          <w:szCs w:val="32"/>
          <w:rtl/>
          <w14:textFill>
            <w14:solidFill>
              <w14:schemeClr w14:val="tx1"/>
            </w14:solidFill>
          </w14:textFill>
          <w14:ligatures w14:val="none"/>
        </w:rPr>
        <w:t xml:space="preserve"> العلاقة بين إدارة مخاطر تكنولوجيا البيانات ودقة التنبؤات الجوية ودعم القرار</w:t>
      </w:r>
      <w:bookmarkEnd w:id="53"/>
    </w:p>
    <w:p w14:paraId="592F420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تنبثق العلاقة بين إدارة مخاطر تكنولوجيا البيانات ودقة التنبؤات الجوية ودعم القرار من الطبيعة التقنية المعلوماتية الكثيفة لمنظومة التنبؤ الجوي، إذ إن إنتاج التنبؤات الدقيقة وتوظيفها في دعم القرار يستلزم منظومة تقنية متكاملة تتعامل مع كميات هائلة من البيانات، وتُشغّل نماذج حسابية معقدة، وتُوصل المخرجات إلى مستخدمين متعددين، وكل عنصر من هذه العناصر يُمثّل نقطة محتملة لمخاطر تقنية قد تُؤثر في جودة المنظومة بأكملها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(Cremer et al., 2022).</w:t>
      </w:r>
    </w:p>
    <w:p w14:paraId="050614B8">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ويُسهم تقييم المخاطر التقنية في حماية المدخلات البيانية للمنظومة التنبؤية من المخاطر التي قد تُؤثر في جودتها، إذ إن دقة التنبؤات تتأثر مباشرة بجودة البيانات المرصودة وموثوقيتها، وأي خلل في منظومة الرصد أو في معالجة البيانات قد ينعكس على دقة المخرجات النهائية. ويُكمل أمن البيانات والبنية التحتية هذه الحماية من خلال صون البيانات وأنظمة المعالجة من التهديدات السيبرانية التي قد تُعطّل عمل المنظومة أو تُحرّف مخرجاتها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(Al-Dosari &amp; Fetais, 2023).</w:t>
      </w:r>
    </w:p>
    <w:p w14:paraId="5555788F">
      <w:pPr>
        <w:spacing w:before="100" w:beforeAutospacing="1" w:after="100" w:afterAutospacing="1" w:line="276" w:lineRule="auto"/>
        <w:ind w:firstLine="424"/>
        <w:jc w:val="both"/>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pPr>
      <w:r>
        <w:rPr>
          <w:rFonts w:ascii="Simplified Arabic" w:hAnsi="Simplified Arabic" w:eastAsia="Times New Roman" w:cs="Simplified Arabic"/>
          <w:color w:val="000000" w:themeColor="text1"/>
          <w:kern w:val="0"/>
          <w:sz w:val="28"/>
          <w:szCs w:val="28"/>
          <w:rtl/>
          <w14:textFill>
            <w14:solidFill>
              <w14:schemeClr w14:val="tx1"/>
            </w14:solidFill>
          </w14:textFill>
          <w14:ligatures w14:val="none"/>
        </w:rPr>
        <w:t>وتُؤطّر حوكمة تكنولوجيا المعلومات هذه المنظومة ضمن إطار مؤسسي يضمن مواءمة الاستثمار التقني مع الأهداف الاستراتيجية للمركز الوطني للأرصاد، ويُحدد الأدوار والمسؤوليات في إدارة المخاطر التقنية، ويضع السياسات التي تحكم استخدام البيانات والأنظمة. ويُكمل بُعد المراقبة والتحسين المستمر هذه الدورة من خلال الرصد الدائم للأداء التقني واستكشاف فرص التطوير، بما يضمن تطور المنظومة التنبؤية بتطور البيئة التقنية المحيطة بها</w:t>
      </w:r>
      <w:r>
        <w:rPr>
          <w:rFonts w:ascii="Simplified Arabic" w:hAnsi="Simplified Arabic" w:eastAsia="Times New Roman" w:cs="Simplified Arabic"/>
          <w:color w:val="000000" w:themeColor="text1"/>
          <w:kern w:val="0"/>
          <w:sz w:val="28"/>
          <w:szCs w:val="28"/>
          <w14:textFill>
            <w14:solidFill>
              <w14:schemeClr w14:val="tx1"/>
            </w14:solidFill>
          </w14:textFill>
          <w14:ligatures w14:val="none"/>
        </w:rPr>
        <w:t xml:space="preserve"> (Settembre-Blundo et al., 2021).</w:t>
      </w:r>
    </w:p>
    <w:p w14:paraId="3D9F466B">
      <w:pPr>
        <w:jc w:val="center"/>
        <w:outlineLvl w:val="0"/>
        <w:rPr>
          <w:rFonts w:ascii="Simplified Arabic" w:hAnsi="Simplified Arabic" w:cs="Simplified Arabic"/>
          <w:b/>
          <w:bCs/>
          <w:color w:val="000000" w:themeColor="text1"/>
          <w:szCs w:val="28"/>
          <w:rtl/>
          <w14:textFill>
            <w14:solidFill>
              <w14:schemeClr w14:val="tx1"/>
            </w14:solidFill>
          </w14:textFill>
        </w:rPr>
        <w:sectPr>
          <w:footerReference r:id="rId7" w:type="default"/>
          <w:pgSz w:w="11906" w:h="16838"/>
          <w:pgMar w:top="1134" w:right="1701" w:bottom="1134" w:left="1134" w:header="720" w:footer="720" w:gutter="0"/>
          <w:pgNumType w:start="1"/>
          <w:cols w:space="708" w:num="1"/>
          <w:bidi/>
          <w:rtlGutter w:val="1"/>
          <w:docGrid w:linePitch="360" w:charSpace="0"/>
        </w:sectPr>
      </w:pPr>
      <w:r>
        <w:rPr>
          <w:rFonts w:ascii="Simplified Arabic" w:hAnsi="Simplified Arabic" w:eastAsia="Times New Roman" w:cs="Simplified Arabic"/>
          <w:b/>
          <w:bCs/>
          <w:color w:val="000000" w:themeColor="text1"/>
          <w:kern w:val="0"/>
          <w:sz w:val="40"/>
          <w:szCs w:val="40"/>
          <w:rtl/>
          <w14:textFill>
            <w14:solidFill>
              <w14:schemeClr w14:val="tx1"/>
            </w14:solidFill>
          </w14:textFill>
          <w14:ligatures w14:val="none"/>
        </w:rPr>
        <w:br w:type="page"/>
      </w:r>
      <w:bookmarkEnd w:id="23"/>
    </w:p>
    <w:p w14:paraId="29D4231B">
      <w:pPr>
        <w:bidi w:val="0"/>
        <w:spacing w:before="100" w:beforeAutospacing="1" w:after="100" w:afterAutospacing="1" w:line="276" w:lineRule="auto"/>
        <w:jc w:val="both"/>
        <w:rPr>
          <w:rFonts w:eastAsia="Calibri" w:asciiTheme="majorBidi" w:hAnsiTheme="majorBidi" w:cstheme="majorBidi"/>
          <w:b/>
          <w:bCs/>
          <w:color w:val="000000" w:themeColor="text1"/>
          <w:kern w:val="0"/>
          <w:sz w:val="32"/>
          <w:szCs w:val="32"/>
          <w:lang w:bidi="ar-EG"/>
          <w14:textFill>
            <w14:solidFill>
              <w14:schemeClr w14:val="tx1"/>
            </w14:solidFill>
          </w14:textFill>
          <w14:ligatures w14:val="none"/>
        </w:rPr>
      </w:pPr>
      <w:r>
        <w:rPr>
          <w:rFonts w:asciiTheme="majorBidi" w:hAnsiTheme="majorBidi" w:cstheme="majorBidi"/>
          <w:b/>
          <w:bCs/>
          <w:color w:val="000000" w:themeColor="text1"/>
          <w:sz w:val="32"/>
          <w:szCs w:val="32"/>
          <w14:textFill>
            <w14:solidFill>
              <w14:schemeClr w14:val="tx1"/>
            </w14:solidFill>
          </w14:textFill>
        </w:rPr>
        <w:drawing>
          <wp:anchor distT="0" distB="0" distL="114300" distR="114300" simplePos="0" relativeHeight="251660288" behindDoc="1" locked="0" layoutInCell="1" allowOverlap="1">
            <wp:simplePos x="0" y="0"/>
            <wp:positionH relativeFrom="column">
              <wp:posOffset>4339590</wp:posOffset>
            </wp:positionH>
            <wp:positionV relativeFrom="paragraph">
              <wp:posOffset>0</wp:posOffset>
            </wp:positionV>
            <wp:extent cx="1464945" cy="1357630"/>
            <wp:effectExtent l="0" t="0" r="1905" b="0"/>
            <wp:wrapTight wrapText="bothSides">
              <wp:wrapPolygon>
                <wp:start x="0" y="0"/>
                <wp:lineTo x="0" y="21216"/>
                <wp:lineTo x="21347" y="21216"/>
                <wp:lineTo x="21347"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337374" name="صورة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464945" cy="1357630"/>
                    </a:xfrm>
                    <a:prstGeom prst="rect">
                      <a:avLst/>
                    </a:prstGeom>
                    <a:noFill/>
                  </pic:spPr>
                </pic:pic>
              </a:graphicData>
            </a:graphic>
          </wp:anchor>
        </w:drawing>
      </w:r>
      <w:r>
        <w:rPr>
          <w:rFonts w:eastAsia="Calibri" w:asciiTheme="majorBidi" w:hAnsiTheme="majorBidi" w:cstheme="majorBidi"/>
          <w:b/>
          <w:bCs/>
          <w:color w:val="000000" w:themeColor="text1"/>
          <w:kern w:val="0"/>
          <w:sz w:val="32"/>
          <w:szCs w:val="32"/>
          <w:lang w:bidi="ar-EG"/>
          <w14:textFill>
            <w14:solidFill>
              <w14:schemeClr w14:val="tx1"/>
            </w14:solidFill>
          </w14:textFill>
          <w14:ligatures w14:val="none"/>
        </w:rPr>
        <w:t>Mid Ocean University</w:t>
      </w:r>
    </w:p>
    <w:p w14:paraId="4A539B4C">
      <w:pPr>
        <w:bidi w:val="0"/>
        <w:spacing w:before="100" w:beforeAutospacing="1" w:after="100" w:afterAutospacing="1" w:line="276" w:lineRule="auto"/>
        <w:jc w:val="both"/>
        <w:rPr>
          <w:rFonts w:eastAsia="Calibri" w:asciiTheme="majorBidi" w:hAnsiTheme="majorBidi" w:cstheme="majorBidi"/>
          <w:b/>
          <w:bCs/>
          <w:color w:val="000000" w:themeColor="text1"/>
          <w:kern w:val="0"/>
          <w:sz w:val="32"/>
          <w:szCs w:val="32"/>
          <w:lang w:bidi="ar-EG"/>
          <w14:textFill>
            <w14:solidFill>
              <w14:schemeClr w14:val="tx1"/>
            </w14:solidFill>
          </w14:textFill>
          <w14:ligatures w14:val="none"/>
        </w:rPr>
      </w:pPr>
      <w:r>
        <w:rPr>
          <w:rFonts w:eastAsia="Calibri" w:asciiTheme="majorBidi" w:hAnsiTheme="majorBidi" w:cstheme="majorBidi"/>
          <w:b/>
          <w:bCs/>
          <w:color w:val="000000" w:themeColor="text1"/>
          <w:kern w:val="0"/>
          <w:sz w:val="32"/>
          <w:szCs w:val="32"/>
          <w:lang w:bidi="ar-EG"/>
          <w14:textFill>
            <w14:solidFill>
              <w14:schemeClr w14:val="tx1"/>
            </w14:solidFill>
          </w14:textFill>
          <w14:ligatures w14:val="none"/>
        </w:rPr>
        <w:t>College of Management</w:t>
      </w:r>
    </w:p>
    <w:p w14:paraId="1F6A29C8">
      <w:pPr>
        <w:bidi w:val="0"/>
        <w:spacing w:before="100" w:beforeAutospacing="1" w:after="100" w:afterAutospacing="1" w:line="276" w:lineRule="auto"/>
        <w:jc w:val="both"/>
        <w:rPr>
          <w:rFonts w:eastAsia="Calibri" w:asciiTheme="majorBidi" w:hAnsiTheme="majorBidi" w:cstheme="majorBidi"/>
          <w:b/>
          <w:bCs/>
          <w:color w:val="000000" w:themeColor="text1"/>
          <w:kern w:val="0"/>
          <w:sz w:val="32"/>
          <w:szCs w:val="32"/>
          <w14:textFill>
            <w14:solidFill>
              <w14:schemeClr w14:val="tx1"/>
            </w14:solidFill>
          </w14:textFill>
          <w14:ligatures w14:val="none"/>
        </w:rPr>
      </w:pPr>
      <w:r>
        <w:rPr>
          <w:rFonts w:eastAsia="Calibri" w:asciiTheme="majorBidi" w:hAnsiTheme="majorBidi" w:cstheme="majorBidi"/>
          <w:b/>
          <w:bCs/>
          <w:color w:val="000000" w:themeColor="text1"/>
          <w:kern w:val="0"/>
          <w:sz w:val="32"/>
          <w:szCs w:val="32"/>
          <w:lang w:bidi="ar-EG"/>
          <w14:textFill>
            <w14:solidFill>
              <w14:schemeClr w14:val="tx1"/>
            </w14:solidFill>
          </w14:textFill>
          <w14:ligatures w14:val="none"/>
        </w:rPr>
        <w:t xml:space="preserve">Department of </w:t>
      </w:r>
      <w:r>
        <w:rPr>
          <w:rFonts w:eastAsia="Calibri" w:asciiTheme="majorBidi" w:hAnsiTheme="majorBidi" w:cstheme="majorBidi"/>
          <w:b/>
          <w:bCs/>
          <w:color w:val="000000" w:themeColor="text1"/>
          <w:kern w:val="0"/>
          <w:sz w:val="32"/>
          <w:szCs w:val="32"/>
          <w14:textFill>
            <w14:solidFill>
              <w14:schemeClr w14:val="tx1"/>
            </w14:solidFill>
          </w14:textFill>
          <w14:ligatures w14:val="none"/>
        </w:rPr>
        <w:t>risk management</w:t>
      </w:r>
    </w:p>
    <w:p w14:paraId="0CBE22B0">
      <w:pPr>
        <w:bidi w:val="0"/>
        <w:spacing w:before="100" w:beforeAutospacing="1" w:after="100" w:afterAutospacing="1" w:line="276" w:lineRule="auto"/>
        <w:jc w:val="both"/>
        <w:rPr>
          <w:rFonts w:ascii="Simplified Arabic" w:hAnsi="Simplified Arabic" w:eastAsia="Calibri" w:cs="Simplified Arabic"/>
          <w:color w:val="000000" w:themeColor="text1"/>
          <w:kern w:val="0"/>
          <w:sz w:val="28"/>
          <w:szCs w:val="28"/>
          <w:lang w:bidi="ar-EG"/>
          <w14:textFill>
            <w14:solidFill>
              <w14:schemeClr w14:val="tx1"/>
            </w14:solidFill>
          </w14:textFill>
          <w14:ligatures w14:val="none"/>
        </w:rPr>
      </w:pPr>
    </w:p>
    <w:p w14:paraId="016F4189">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pPr>
      <w: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t>The Impact of Data and Technology Risk Management on Forecast Accuracy and Decision Support in Meteorology: A Field Study on Meteorological Staff in the Kingdom of Saudi Arabia</w:t>
      </w:r>
    </w:p>
    <w:p w14:paraId="24D1F6A0">
      <w:pPr>
        <w:bidi w:val="0"/>
        <w:spacing w:before="100" w:beforeAutospacing="1" w:after="100" w:afterAutospacing="1" w:line="276" w:lineRule="auto"/>
        <w:jc w:val="both"/>
        <w:rPr>
          <w:rFonts w:ascii="Simplified Arabic" w:hAnsi="Simplified Arabic" w:eastAsia="Calibri" w:cs="Simplified Arabic"/>
          <w:color w:val="000000" w:themeColor="text1"/>
          <w:kern w:val="0"/>
          <w:sz w:val="28"/>
          <w:szCs w:val="28"/>
          <w:lang w:bidi="ar-EG"/>
          <w14:textFill>
            <w14:solidFill>
              <w14:schemeClr w14:val="tx1"/>
            </w14:solidFill>
          </w14:textFill>
          <w14:ligatures w14:val="none"/>
        </w:rPr>
      </w:pPr>
    </w:p>
    <w:p w14:paraId="24532F5F">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rtl/>
          <w:lang w:bidi="ar-EG"/>
          <w14:textFill>
            <w14:solidFill>
              <w14:schemeClr w14:val="tx1"/>
            </w14:solidFill>
          </w14:textFill>
          <w14:ligatures w14:val="none"/>
        </w:rPr>
      </w:pPr>
      <w: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t>Prepared by:</w:t>
      </w:r>
    </w:p>
    <w:p w14:paraId="49F80B24">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rtl/>
          <w:lang w:bidi="ar-EG"/>
          <w14:textFill>
            <w14:solidFill>
              <w14:schemeClr w14:val="tx1"/>
            </w14:solidFill>
          </w14:textFill>
          <w14:ligatures w14:val="none"/>
        </w:rPr>
      </w:pPr>
      <w: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t>ANWAR ABDULAZIZ ALSHAIKH / 253001085</w:t>
      </w:r>
    </w:p>
    <w:p w14:paraId="4BD0305B">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rtl/>
          <w:lang w:bidi="ar-EG"/>
          <w14:textFill>
            <w14:solidFill>
              <w14:schemeClr w14:val="tx1"/>
            </w14:solidFill>
          </w14:textFill>
          <w14:ligatures w14:val="none"/>
        </w:rPr>
      </w:pPr>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0"/>
        <w:gridCol w:w="4531"/>
      </w:tblGrid>
      <w:tr w14:paraId="59682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6B97CB2C">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pPr>
            <w: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t>Main supervisor</w:t>
            </w:r>
            <w:r>
              <w:rPr>
                <w:rFonts w:eastAsia="Calibri" w:asciiTheme="majorBidi" w:hAnsiTheme="majorBidi" w:cstheme="majorBidi"/>
                <w:b/>
                <w:bCs/>
                <w:color w:val="000000" w:themeColor="text1"/>
                <w:kern w:val="0"/>
                <w:sz w:val="36"/>
                <w:szCs w:val="36"/>
                <w:rtl/>
                <w:lang w:bidi="ar-EG"/>
                <w14:textFill>
                  <w14:solidFill>
                    <w14:schemeClr w14:val="tx1"/>
                  </w14:solidFill>
                </w14:textFill>
                <w14:ligatures w14:val="none"/>
              </w:rPr>
              <w:t>/</w:t>
            </w:r>
          </w:p>
        </w:tc>
        <w:tc>
          <w:tcPr>
            <w:tcW w:w="4531" w:type="dxa"/>
          </w:tcPr>
          <w:p w14:paraId="395A547D">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pPr>
            <w: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t>Second supervisor</w:t>
            </w:r>
            <w:r>
              <w:rPr>
                <w:rFonts w:eastAsia="Calibri" w:asciiTheme="majorBidi" w:hAnsiTheme="majorBidi" w:cstheme="majorBidi"/>
                <w:b/>
                <w:bCs/>
                <w:color w:val="000000" w:themeColor="text1"/>
                <w:kern w:val="0"/>
                <w:sz w:val="36"/>
                <w:szCs w:val="36"/>
                <w:rtl/>
                <w:lang w:bidi="ar-EG"/>
                <w14:textFill>
                  <w14:solidFill>
                    <w14:schemeClr w14:val="tx1"/>
                  </w14:solidFill>
                </w14:textFill>
                <w14:ligatures w14:val="none"/>
              </w:rPr>
              <w:t>/</w:t>
            </w:r>
          </w:p>
        </w:tc>
      </w:tr>
      <w:tr w14:paraId="5ED7D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0B0D6D5F">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pPr>
            <w:r>
              <w:rPr>
                <w:rFonts w:eastAsia="Calibri" w:asciiTheme="majorBidi" w:hAnsiTheme="majorBidi" w:cstheme="majorBidi"/>
                <w:color w:val="000000" w:themeColor="text1"/>
                <w:kern w:val="0"/>
                <w:sz w:val="36"/>
                <w:szCs w:val="36"/>
                <w:lang w:bidi="ar-EG"/>
                <w14:textFill>
                  <w14:solidFill>
                    <w14:schemeClr w14:val="tx1"/>
                  </w14:solidFill>
                </w14:textFill>
                <w14:ligatures w14:val="none"/>
              </w:rPr>
              <w:t>Dr. Al-Faisal Abdelhamid</w:t>
            </w:r>
          </w:p>
        </w:tc>
        <w:tc>
          <w:tcPr>
            <w:tcW w:w="4531" w:type="dxa"/>
          </w:tcPr>
          <w:p w14:paraId="1D299222">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pPr>
            <w:r>
              <w:rPr>
                <w:rFonts w:eastAsia="Calibri" w:asciiTheme="majorBidi" w:hAnsiTheme="majorBidi" w:cstheme="majorBidi"/>
                <w:color w:val="000000" w:themeColor="text1"/>
                <w:kern w:val="0"/>
                <w:sz w:val="36"/>
                <w:szCs w:val="36"/>
                <w:lang w:bidi="ar-EG"/>
                <w14:textFill>
                  <w14:solidFill>
                    <w14:schemeClr w14:val="tx1"/>
                  </w14:solidFill>
                </w14:textFill>
                <w14:ligatures w14:val="none"/>
              </w:rPr>
              <w:t>Dr. Fayez Jarad</w:t>
            </w:r>
          </w:p>
        </w:tc>
      </w:tr>
    </w:tbl>
    <w:p w14:paraId="18E55B2F">
      <w:pPr>
        <w:bidi w:val="0"/>
        <w:spacing w:before="100" w:beforeAutospacing="1" w:after="100" w:afterAutospacing="1" w:line="276" w:lineRule="auto"/>
        <w:jc w:val="center"/>
        <w:rPr>
          <w:rFonts w:asciiTheme="majorBidi" w:hAnsiTheme="majorBidi" w:cstheme="majorBidi"/>
          <w:color w:val="000000" w:themeColor="text1"/>
          <w:sz w:val="36"/>
          <w:szCs w:val="36"/>
          <w:rtl/>
          <w14:textFill>
            <w14:solidFill>
              <w14:schemeClr w14:val="tx1"/>
            </w14:solidFill>
          </w14:textFill>
        </w:rPr>
      </w:pPr>
      <w:r>
        <w:rPr>
          <w:rFonts w:eastAsia="Calibri" w:asciiTheme="majorBidi" w:hAnsiTheme="majorBidi" w:cstheme="majorBidi"/>
          <w:color w:val="000000" w:themeColor="text1"/>
          <w:kern w:val="0"/>
          <w:sz w:val="36"/>
          <w:szCs w:val="36"/>
          <w:rtl/>
          <w:lang w:bidi="ar-EG"/>
          <w14:textFill>
            <w14:solidFill>
              <w14:schemeClr w14:val="tx1"/>
            </w14:solidFill>
          </w14:textFill>
          <w14:ligatures w14:val="none"/>
        </w:rPr>
        <w:t>1448 – 2026</w:t>
      </w:r>
    </w:p>
    <w:p w14:paraId="0CDBE974">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textFill>
            <w14:solidFill>
              <w14:schemeClr w14:val="tx1"/>
            </w14:solidFill>
          </w14:textFill>
          <w14:ligatures w14:val="none"/>
        </w:rPr>
      </w:pPr>
    </w:p>
    <w:p w14:paraId="27307412">
      <w:pPr>
        <w:bidi w:val="0"/>
        <w:spacing w:before="100" w:beforeAutospacing="1" w:after="100" w:afterAutospacing="1" w:line="276" w:lineRule="auto"/>
        <w:jc w:val="both"/>
        <w:rPr>
          <w:rFonts w:ascii="Simplified Arabic" w:hAnsi="Simplified Arabic" w:eastAsia="Calibri" w:cs="Simplified Arabic"/>
          <w:color w:val="000000" w:themeColor="text1"/>
          <w:kern w:val="0"/>
          <w:sz w:val="28"/>
          <w:szCs w:val="28"/>
          <w:rtl/>
          <w:lang w:bidi="ar-EG"/>
          <w14:textFill>
            <w14:solidFill>
              <w14:schemeClr w14:val="tx1"/>
            </w14:solidFill>
          </w14:textFill>
          <w14:ligatures w14:val="none"/>
        </w:rPr>
      </w:pPr>
    </w:p>
    <w:p w14:paraId="29509A64">
      <w:pPr>
        <w:bidi w:val="0"/>
        <w:spacing w:before="100" w:beforeAutospacing="1" w:after="100" w:afterAutospacing="1" w:line="276" w:lineRule="auto"/>
        <w:jc w:val="both"/>
        <w:rPr>
          <w:rFonts w:ascii="Simplified Arabic" w:hAnsi="Simplified Arabic" w:eastAsia="Calibri" w:cs="Simplified Arabic"/>
          <w:color w:val="000000" w:themeColor="text1"/>
          <w:kern w:val="0"/>
          <w:sz w:val="28"/>
          <w:szCs w:val="28"/>
          <w:lang w:bidi="ar-EG"/>
          <w14:textFill>
            <w14:solidFill>
              <w14:schemeClr w14:val="tx1"/>
            </w14:solidFill>
          </w14:textFill>
          <w14:ligatures w14:val="none"/>
        </w:rPr>
      </w:pPr>
    </w:p>
    <w:p w14:paraId="6E52896B">
      <w:pPr>
        <w:bidi w:val="0"/>
        <w:spacing w:before="100" w:beforeAutospacing="1" w:after="100" w:afterAutospacing="1" w:line="276" w:lineRule="auto"/>
        <w:jc w:val="both"/>
        <w:rPr>
          <w:rFonts w:ascii="Simplified Arabic" w:hAnsi="Simplified Arabic" w:cs="Simplified Arabic"/>
          <w:color w:val="000000" w:themeColor="text1"/>
          <w:sz w:val="28"/>
          <w:szCs w:val="28"/>
          <w:rtl/>
          <w14:textFill>
            <w14:solidFill>
              <w14:schemeClr w14:val="tx1"/>
            </w14:solidFill>
          </w14:textFill>
        </w:rPr>
      </w:pPr>
    </w:p>
    <w:p w14:paraId="477A12A6">
      <w:pPr>
        <w:bidi w:val="0"/>
        <w:spacing w:before="100" w:beforeAutospacing="1" w:after="100" w:afterAutospacing="1" w:line="276" w:lineRule="auto"/>
        <w:jc w:val="both"/>
        <w:rPr>
          <w:rFonts w:ascii="Simplified Arabic" w:hAnsi="Simplified Arabic" w:cs="Simplified Arabic"/>
          <w:color w:val="000000" w:themeColor="text1"/>
          <w:sz w:val="28"/>
          <w:szCs w:val="28"/>
          <w14:textFill>
            <w14:solidFill>
              <w14:schemeClr w14:val="tx1"/>
            </w14:solidFill>
          </w14:textFill>
        </w:rPr>
      </w:pPr>
    </w:p>
    <w:sectPr>
      <w:footerReference r:id="rId8" w:type="default"/>
      <w:pgSz w:w="11906" w:h="16838"/>
      <w:pgMar w:top="1134" w:right="1701" w:bottom="1134" w:left="1134" w:header="720" w:footer="720" w:gutter="0"/>
      <w:pgNumType w:start="1"/>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书宋-简"/>
    <w:panose1 w:val="00000000000000000000"/>
    <w:charset w:val="86"/>
    <w:family w:val="auto"/>
    <w:pitch w:val="default"/>
    <w:sig w:usb0="00000000" w:usb1="00000000" w:usb2="00000000" w:usb3="00000000" w:csb0="00000000" w:csb1="00000000"/>
  </w:font>
  <w:font w:name="HarmonyOS Sans SC Light">
    <w:panose1 w:val="00000400000000000000"/>
    <w:charset w:val="86"/>
    <w:family w:val="auto"/>
    <w:pitch w:val="default"/>
    <w:sig w:usb0="00000001" w:usb1="08000000" w:usb2="00000016" w:usb3="00000000" w:csb0="00040001" w:csb1="00000000"/>
  </w:font>
  <w:font w:name="书宋-简">
    <w:panose1 w:val="02010600030101010101"/>
    <w:charset w:val="86"/>
    <w:family w:val="auto"/>
    <w:pitch w:val="default"/>
    <w:sig w:usb0="A00002BF" w:usb1="3ACF7CFA" w:usb2="00000016" w:usb3="00000000" w:csb0="00040001" w:csb1="00000000"/>
  </w:font>
  <w:font w:name="Arial">
    <w:altName w:val="Source Sans Pro SemiBold"/>
    <w:panose1 w:val="020B0604020202020204"/>
    <w:charset w:val="00"/>
    <w:family w:val="swiss"/>
    <w:pitch w:val="default"/>
    <w:sig w:usb0="20007A87" w:usb1="80000000" w:usb2="00000008" w:usb3="00000000" w:csb0="000001FF" w:csb1="00000000"/>
  </w:font>
  <w:font w:name="Source Sans Pro SemiBold">
    <w:panose1 w:val="020B0603030403020204"/>
    <w:charset w:val="00"/>
    <w:family w:val="auto"/>
    <w:pitch w:val="default"/>
    <w:sig w:usb0="600002F7" w:usb1="02000001" w:usb2="00000000" w:usb3="00000000" w:csb0="2000019F" w:csb1="00000000"/>
  </w:font>
  <w:font w:name="SimHei">
    <w:altName w:val="Noto Sans CJK SC"/>
    <w:panose1 w:val="02010600030101010101"/>
    <w:charset w:val="00"/>
    <w:family w:val="auto"/>
    <w:pitch w:val="default"/>
    <w:sig w:usb0="00000001" w:usb1="080E0000" w:usb2="00000010" w:usb3="00000000" w:csb0="00040000" w:csb1="00000000"/>
  </w:font>
  <w:font w:name="Noto Sans CJK SC">
    <w:panose1 w:val="020B0500000000000000"/>
    <w:charset w:val="86"/>
    <w:family w:val="auto"/>
    <w:pitch w:val="default"/>
    <w:sig w:usb0="30000083" w:usb1="2BDF3C10" w:usb2="00000016" w:usb3="00000000" w:csb0="602E0107" w:csb1="00000000"/>
  </w:font>
  <w:font w:name="Courier New">
    <w:altName w:val="Droid Sans Mono"/>
    <w:panose1 w:val="02070309020205020404"/>
    <w:charset w:val="00"/>
    <w:family w:val="modern"/>
    <w:pitch w:val="default"/>
    <w:sig w:usb0="20007A87" w:usb1="80000000" w:usb2="00000008" w:usb3="00000000" w:csb0="000001FF" w:csb1="00000000"/>
  </w:font>
  <w:font w:name="Droid Sans Mono">
    <w:panose1 w:val="020B0609030804020204"/>
    <w:charset w:val="00"/>
    <w:family w:val="auto"/>
    <w:pitch w:val="default"/>
    <w:sig w:usb0="E00002EF" w:usb1="4000205B" w:usb2="00000028" w:usb3="00000000" w:csb0="2000019F" w:csb1="00000000"/>
  </w:font>
  <w:font w:name="Wingdings">
    <w:altName w:val="Carrois Gothic SC"/>
    <w:panose1 w:val="05000000000000000000"/>
    <w:charset w:val="00"/>
    <w:family w:val="auto"/>
    <w:pitch w:val="default"/>
    <w:sig w:usb0="00000000" w:usb1="10000000" w:usb2="00000000" w:usb3="00000000" w:csb0="80000000" w:csb1="00000000"/>
  </w:font>
  <w:font w:name="Carrois Gothic SC">
    <w:panose1 w:val="020B0506040000020004"/>
    <w:charset w:val="00"/>
    <w:family w:val="auto"/>
    <w:pitch w:val="default"/>
    <w:sig w:usb0="8000006F" w:usb1="10000002" w:usb2="00000000" w:usb3="00000000" w:csb0="00000001" w:csb1="00000000"/>
  </w:font>
  <w:font w:name="Calibri">
    <w:altName w:val="Pyidaungsu"/>
    <w:panose1 w:val="020F0502020204030204"/>
    <w:charset w:val="86"/>
    <w:family w:val="swiss"/>
    <w:pitch w:val="default"/>
    <w:sig w:usb0="00000000" w:usb1="00000000" w:usb2="00000001" w:usb3="00000000" w:csb0="0000019F" w:csb1="00000000"/>
  </w:font>
  <w:font w:name="Pyidaungsu">
    <w:panose1 w:val="020B0502040204020203"/>
    <w:charset w:val="00"/>
    <w:family w:val="auto"/>
    <w:pitch w:val="default"/>
    <w:sig w:usb0="00000001" w:usb1="10000000" w:usb2="00000400" w:usb3="00000000" w:csb0="00000001" w:csb1="00000000"/>
  </w:font>
  <w:font w:name="SimSun">
    <w:altName w:val="书宋-简"/>
    <w:panose1 w:val="02010600030101010101"/>
    <w:charset w:val="86"/>
    <w:family w:val="auto"/>
    <w:pitch w:val="default"/>
    <w:sig w:usb0="00000000" w:usb1="00000000" w:usb2="00000016" w:usb3="00000000" w:csb0="00040001" w:csb1="00000000"/>
  </w:font>
  <w:font w:name="Calibri">
    <w:altName w:val="HarmonyOS Sans SC Light"/>
    <w:panose1 w:val="00000000000000000000"/>
    <w:charset w:val="00"/>
    <w:family w:val="auto"/>
    <w:pitch w:val="default"/>
    <w:sig w:usb0="00000000" w:usb1="00000000" w:usb2="00000000" w:usb3="00000000" w:csb0="00000000" w:csb1="00000000"/>
  </w:font>
  <w:font w:name="Simplified Arabic">
    <w:altName w:val="Noto Serif Georgian"/>
    <w:panose1 w:val="02020603050405020304"/>
    <w:charset w:val="00"/>
    <w:family w:val="roman"/>
    <w:pitch w:val="default"/>
    <w:sig w:usb0="00000000" w:usb1="00000000" w:usb2="00000008" w:usb3="00000000" w:csb0="00000041" w:csb1="00000000"/>
  </w:font>
  <w:font w:name="Noto Serif Georgian">
    <w:panose1 w:val="02020502060505020204"/>
    <w:charset w:val="00"/>
    <w:family w:val="auto"/>
    <w:pitch w:val="default"/>
    <w:sig w:usb0="84000443" w:usb1="00000002" w:usb2="00000000" w:usb3="00000000" w:csb0="00000001" w:csb1="00000000"/>
  </w:font>
  <w:font w:name="等线 Light">
    <w:altName w:val="HarmonyOS Sans SC Light"/>
    <w:panose1 w:val="00000000000000000000"/>
    <w:charset w:val="00"/>
    <w:family w:val="auto"/>
    <w:pitch w:val="default"/>
    <w:sig w:usb0="00000000" w:usb1="00000000" w:usb2="00000000" w:usb3="00000000" w:csb0="00000000" w:csb1="00000000"/>
  </w:font>
  <w:font w:name="Calibri Light">
    <w:altName w:val="Pyidaungsu"/>
    <w:panose1 w:val="020F0302020204030204"/>
    <w:charset w:val="00"/>
    <w:family w:val="swiss"/>
    <w:pitch w:val="default"/>
    <w:sig w:usb0="00000000" w:usb1="00000000" w:usb2="00000009" w:usb3="00000000" w:csb0="000001FF" w:csb1="00000000"/>
  </w:font>
  <w:font w:name="Wingdings">
    <w:altName w:val="Emoji icon"/>
    <w:panose1 w:val="05000000000000000000"/>
    <w:charset w:val="02"/>
    <w:family w:val="auto"/>
    <w:pitch w:val="default"/>
    <w:sig w:usb0="00000000" w:usb1="00000000" w:usb2="00000000" w:usb3="00000000" w:csb0="80000000" w:csb1="00000000"/>
  </w:font>
  <w:font w:name="Emoji icon">
    <w:panose1 w:val="00000500000000000000"/>
    <w:charset w:val="00"/>
    <w:family w:val="auto"/>
    <w:pitch w:val="default"/>
    <w:sig w:usb0="00000001" w:usb1="00000000" w:usb2="00000000" w:usb3="00000000" w:csb0="00000001" w:csb1="00000000"/>
  </w:font>
  <w:font w:name="Symbol">
    <w:altName w:val="Emoji icon"/>
    <w:panose1 w:val="05050102010706020507"/>
    <w:charset w:val="02"/>
    <w:family w:val="roman"/>
    <w:pitch w:val="default"/>
    <w:sig w:usb0="00000000" w:usb1="00000000" w:usb2="00000000" w:usb3="00000000" w:csb0="80000000" w:csb1="0000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Noto Naskh Arabic">
    <w:panose1 w:val="020B0502040504020204"/>
    <w:charset w:val="00"/>
    <w:family w:val="auto"/>
    <w:pitch w:val="default"/>
    <w:sig w:usb0="80002003" w:usb1="80002000" w:usb2="00000008" w:usb3="00000000" w:csb0="00000041" w:csb1="00080000"/>
  </w:font>
  <w:font w:name="文泉驿正黑">
    <w:panose1 w:val="02000603000000000000"/>
    <w:charset w:val="86"/>
    <w:family w:val="auto"/>
    <w:pitch w:val="default"/>
    <w:sig w:usb0="900002BF" w:usb1="2BDF7DFB" w:usb2="00000036" w:usb3="00000000" w:csb0="603E000D" w:csb1="D2D70000"/>
  </w:font>
  <w:font w:name="DejaVu Sans">
    <w:altName w:val="HarmonyOS Sans SC Ligh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539862772"/>
      <w:docPartObj>
        <w:docPartGallery w:val="AutoText"/>
      </w:docPartObj>
    </w:sdtPr>
    <w:sdtEndPr>
      <w:rPr>
        <w:rtl/>
      </w:rPr>
    </w:sdtEndPr>
    <w:sdtContent>
      <w:p w14:paraId="619FC1C6">
        <w:pPr>
          <w:pStyle w:val="12"/>
          <w:jc w:val="center"/>
        </w:pPr>
      </w:p>
      <w:p w14:paraId="40A39C61">
        <w:pPr>
          <w:pStyle w:val="12"/>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1"/>
      <w:docPartObj>
        <w:docPartGallery w:val="AutoText"/>
      </w:docPartObj>
    </w:sdtPr>
    <w:sdtEndPr>
      <w:rPr>
        <w:rtl/>
      </w:rPr>
    </w:sdtEndPr>
    <w:sdtContent>
      <w:p w14:paraId="5F1A8124">
        <w:pPr>
          <w:pStyle w:val="12"/>
          <w:jc w:val="center"/>
        </w:pPr>
        <w:r>
          <w:fldChar w:fldCharType="begin"/>
        </w:r>
        <w:r>
          <w:instrText xml:space="preserve"> PAGE   \* MERGEFORMAT </w:instrText>
        </w:r>
        <w:r>
          <w:fldChar w:fldCharType="separate"/>
        </w:r>
        <w:r>
          <w:rPr>
            <w:rFonts w:hint="eastAsia"/>
            <w:rtl/>
          </w:rPr>
          <w:t>‌أ</w:t>
        </w:r>
        <w:r>
          <w:fldChar w:fldCharType="end"/>
        </w:r>
      </w:p>
    </w:sdtContent>
  </w:sdt>
  <w:p w14:paraId="13047AE1">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Simplified Arabic" w:hAnsi="Simplified Arabic" w:cs="Simplified Arabic"/>
        <w:b/>
        <w:bCs/>
        <w:sz w:val="24"/>
        <w:szCs w:val="24"/>
        <w:rtl/>
      </w:rPr>
      <w:id w:val="430919883"/>
      <w:docPartObj>
        <w:docPartGallery w:val="AutoText"/>
      </w:docPartObj>
    </w:sdtPr>
    <w:sdtEndPr>
      <w:rPr>
        <w:rFonts w:ascii="Simplified Arabic" w:hAnsi="Simplified Arabic" w:cs="Simplified Arabic"/>
        <w:b/>
        <w:bCs/>
        <w:sz w:val="24"/>
        <w:szCs w:val="24"/>
        <w:rtl/>
      </w:rPr>
    </w:sdtEndPr>
    <w:sdtContent>
      <w:p w14:paraId="76D8AE2C">
        <w:pPr>
          <w:pStyle w:val="12"/>
          <w:jc w:val="center"/>
          <w:rPr>
            <w:rFonts w:ascii="Simplified Arabic" w:hAnsi="Simplified Arabic" w:cs="Simplified Arabic"/>
            <w:b/>
            <w:bCs/>
            <w:sz w:val="24"/>
            <w:szCs w:val="24"/>
          </w:rPr>
        </w:pPr>
        <w:r>
          <w:rPr>
            <w:rFonts w:ascii="Simplified Arabic" w:hAnsi="Simplified Arabic" w:cs="Simplified Arabic"/>
            <w:b/>
            <w:bCs/>
            <w:sz w:val="24"/>
            <w:szCs w:val="24"/>
          </w:rPr>
          <w:fldChar w:fldCharType="begin"/>
        </w:r>
        <w:r>
          <w:rPr>
            <w:rFonts w:ascii="Simplified Arabic" w:hAnsi="Simplified Arabic" w:cs="Simplified Arabic"/>
            <w:b/>
            <w:bCs/>
            <w:sz w:val="24"/>
            <w:szCs w:val="24"/>
          </w:rPr>
          <w:instrText xml:space="preserve"> PAGE   \* MERGEFORMAT </w:instrText>
        </w:r>
        <w:r>
          <w:rPr>
            <w:rFonts w:ascii="Simplified Arabic" w:hAnsi="Simplified Arabic" w:cs="Simplified Arabic"/>
            <w:b/>
            <w:bCs/>
            <w:sz w:val="24"/>
            <w:szCs w:val="24"/>
          </w:rPr>
          <w:fldChar w:fldCharType="separate"/>
        </w:r>
        <w:r>
          <w:rPr>
            <w:rFonts w:ascii="Simplified Arabic" w:hAnsi="Simplified Arabic" w:cs="Simplified Arabic"/>
            <w:b/>
            <w:bCs/>
            <w:sz w:val="24"/>
            <w:szCs w:val="24"/>
            <w:rtl/>
          </w:rPr>
          <w:t>44</w:t>
        </w:r>
        <w:r>
          <w:rPr>
            <w:rFonts w:ascii="Simplified Arabic" w:hAnsi="Simplified Arabic" w:cs="Simplified Arabic"/>
            <w:b/>
            <w:bCs/>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202A2">
    <w:pPr>
      <w:pStyle w:val="12"/>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0135F8"/>
    <w:multiLevelType w:val="multilevel"/>
    <w:tmpl w:val="1B0135F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6C60228"/>
    <w:multiLevelType w:val="multilevel"/>
    <w:tmpl w:val="36C60228"/>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
    <w:nsid w:val="483A1570"/>
    <w:multiLevelType w:val="multilevel"/>
    <w:tmpl w:val="483A157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86E5E8F"/>
    <w:multiLevelType w:val="multilevel"/>
    <w:tmpl w:val="486E5E8F"/>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5133649C"/>
    <w:multiLevelType w:val="multilevel"/>
    <w:tmpl w:val="5133649C"/>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5">
    <w:nsid w:val="69EC4943"/>
    <w:multiLevelType w:val="multilevel"/>
    <w:tmpl w:val="69EC49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C136A68"/>
    <w:multiLevelType w:val="multilevel"/>
    <w:tmpl w:val="6C136A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19B1FF2"/>
    <w:multiLevelType w:val="multilevel"/>
    <w:tmpl w:val="719B1FF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20F031E"/>
    <w:multiLevelType w:val="multilevel"/>
    <w:tmpl w:val="720F031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C004C4E"/>
    <w:multiLevelType w:val="multilevel"/>
    <w:tmpl w:val="7C004C4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E613028"/>
    <w:multiLevelType w:val="multilevel"/>
    <w:tmpl w:val="7E613028"/>
    <w:lvl w:ilvl="0" w:tentative="0">
      <w:start w:val="13"/>
      <w:numFmt w:val="bullet"/>
      <w:lvlText w:val=""/>
      <w:lvlJc w:val="left"/>
      <w:pPr>
        <w:ind w:left="720" w:hanging="360"/>
      </w:pPr>
      <w:rPr>
        <w:rFonts w:hint="default" w:ascii="Wingdings" w:hAnsi="Wingdings"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2"/>
  </w:num>
  <w:num w:numId="4">
    <w:abstractNumId w:val="5"/>
  </w:num>
  <w:num w:numId="5">
    <w:abstractNumId w:val="7"/>
  </w:num>
  <w:num w:numId="6">
    <w:abstractNumId w:val="10"/>
  </w:num>
  <w:num w:numId="7">
    <w:abstractNumId w:val="8"/>
  </w:num>
  <w:num w:numId="8">
    <w:abstractNumId w:val="6"/>
  </w:num>
  <w:num w:numId="9">
    <w:abstractNumId w:val="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1FB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375AF"/>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20F"/>
    <w:rsid w:val="001F46A5"/>
    <w:rsid w:val="00207629"/>
    <w:rsid w:val="0021718D"/>
    <w:rsid w:val="00217ADA"/>
    <w:rsid w:val="00223AE0"/>
    <w:rsid w:val="00223EDB"/>
    <w:rsid w:val="002304C2"/>
    <w:rsid w:val="00234450"/>
    <w:rsid w:val="00244894"/>
    <w:rsid w:val="00246C3F"/>
    <w:rsid w:val="00247647"/>
    <w:rsid w:val="00250D99"/>
    <w:rsid w:val="00251B8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2403"/>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3632"/>
    <w:rsid w:val="00384D34"/>
    <w:rsid w:val="003873E8"/>
    <w:rsid w:val="00396510"/>
    <w:rsid w:val="003A5312"/>
    <w:rsid w:val="003A757C"/>
    <w:rsid w:val="003B30A9"/>
    <w:rsid w:val="003B44D3"/>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B7609"/>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17F5"/>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3340"/>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1D7D"/>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3FD9"/>
    <w:rsid w:val="00D1454F"/>
    <w:rsid w:val="00D216C5"/>
    <w:rsid w:val="00D22171"/>
    <w:rsid w:val="00D274B5"/>
    <w:rsid w:val="00D27AED"/>
    <w:rsid w:val="00D30845"/>
    <w:rsid w:val="00D3210F"/>
    <w:rsid w:val="00D32470"/>
    <w:rsid w:val="00D32D13"/>
    <w:rsid w:val="00D417B5"/>
    <w:rsid w:val="00D5653F"/>
    <w:rsid w:val="00D60743"/>
    <w:rsid w:val="00D75AD3"/>
    <w:rsid w:val="00D853D2"/>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4E64"/>
    <w:rsid w:val="00DF6486"/>
    <w:rsid w:val="00DF6D7E"/>
    <w:rsid w:val="00E0124F"/>
    <w:rsid w:val="00E01CE8"/>
    <w:rsid w:val="00E042AB"/>
    <w:rsid w:val="00E04D94"/>
    <w:rsid w:val="00E07C45"/>
    <w:rsid w:val="00E114AA"/>
    <w:rsid w:val="00E155E5"/>
    <w:rsid w:val="00E17556"/>
    <w:rsid w:val="00E23F5D"/>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14A8"/>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84F"/>
    <w:rsid w:val="00FF0880"/>
    <w:rsid w:val="00FF1D40"/>
    <w:rsid w:val="00FF4634"/>
    <w:rsid w:val="5CDFCD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24"/>
    <w:autoRedefine/>
    <w:qFormat/>
    <w:uiPriority w:val="9"/>
    <w:pPr>
      <w:keepNext/>
      <w:keepLines/>
      <w:spacing w:before="480" w:after="240" w:line="276" w:lineRule="auto"/>
      <w:jc w:val="lowKashida"/>
      <w:outlineLvl w:val="0"/>
    </w:pPr>
    <w:rPr>
      <w:rFonts w:ascii="Simplified Arabic" w:hAnsi="Simplified Arabic" w:cs="Simplified Arabic" w:eastAsiaTheme="majorEastAsia"/>
      <w:b/>
      <w:bCs/>
      <w:sz w:val="32"/>
      <w:szCs w:val="32"/>
    </w:rPr>
  </w:style>
  <w:style w:type="paragraph" w:styleId="3">
    <w:name w:val="heading 2"/>
    <w:basedOn w:val="1"/>
    <w:next w:val="1"/>
    <w:link w:val="2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7"/>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30"/>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31"/>
    <w:semiHidden/>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32"/>
    <w:semiHidden/>
    <w:unhideWhenUsed/>
    <w:qFormat/>
    <w:uiPriority w:val="9"/>
    <w:pPr>
      <w:keepNext/>
      <w:keepLines/>
      <w:spacing w:before="40" w:after="0"/>
      <w:outlineLvl w:val="5"/>
    </w:pPr>
    <w:rPr>
      <w:rFonts w:asciiTheme="majorHAnsi" w:hAnsiTheme="majorHAnsi" w:eastAsiaTheme="majorEastAsia" w:cstheme="majorBidi"/>
      <w:color w:val="203864" w:themeColor="accent1" w:themeShade="8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mphasis"/>
    <w:basedOn w:val="8"/>
    <w:qFormat/>
    <w:uiPriority w:val="20"/>
    <w:rPr>
      <w:i/>
      <w:iCs/>
    </w:rPr>
  </w:style>
  <w:style w:type="character" w:styleId="11">
    <w:name w:val="FollowedHyperlink"/>
    <w:basedOn w:val="8"/>
    <w:semiHidden/>
    <w:unhideWhenUsed/>
    <w:qFormat/>
    <w:uiPriority w:val="99"/>
    <w:rPr>
      <w:color w:val="954F72" w:themeColor="followedHyperlink"/>
      <w:u w:val="single"/>
      <w14:textFill>
        <w14:solidFill>
          <w14:schemeClr w14:val="folHlink"/>
        </w14:solidFill>
      </w14:textFill>
    </w:rPr>
  </w:style>
  <w:style w:type="paragraph" w:styleId="12">
    <w:name w:val="footer"/>
    <w:basedOn w:val="1"/>
    <w:link w:val="22"/>
    <w:unhideWhenUsed/>
    <w:qFormat/>
    <w:uiPriority w:val="99"/>
    <w:pPr>
      <w:tabs>
        <w:tab w:val="center" w:pos="4153"/>
        <w:tab w:val="right" w:pos="8306"/>
      </w:tabs>
      <w:spacing w:after="0" w:line="240" w:lineRule="auto"/>
    </w:pPr>
  </w:style>
  <w:style w:type="paragraph" w:styleId="13">
    <w:name w:val="header"/>
    <w:basedOn w:val="1"/>
    <w:link w:val="21"/>
    <w:unhideWhenUsed/>
    <w:qFormat/>
    <w:uiPriority w:val="99"/>
    <w:pPr>
      <w:tabs>
        <w:tab w:val="center" w:pos="4153"/>
        <w:tab w:val="right" w:pos="8306"/>
      </w:tabs>
      <w:spacing w:after="0" w:line="240" w:lineRule="auto"/>
    </w:pPr>
  </w:style>
  <w:style w:type="character" w:styleId="14">
    <w:name w:val="Hyperlink"/>
    <w:basedOn w:val="8"/>
    <w:unhideWhenUsed/>
    <w:qFormat/>
    <w:uiPriority w:val="99"/>
    <w:rPr>
      <w:color w:val="0563C1" w:themeColor="hyperlink"/>
      <w:u w:val="single"/>
      <w14:textFill>
        <w14:solidFill>
          <w14:schemeClr w14:val="hlink"/>
        </w14:solidFill>
      </w14:textFill>
    </w:rPr>
  </w:style>
  <w:style w:type="paragraph" w:styleId="15">
    <w:name w:val="Normal (Web)"/>
    <w:basedOn w:val="1"/>
    <w:unhideWhenUsed/>
    <w:qFormat/>
    <w:uiPriority w:val="9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16">
    <w:name w:val="Strong"/>
    <w:basedOn w:val="8"/>
    <w:qFormat/>
    <w:uiPriority w:val="22"/>
    <w:rPr>
      <w:b/>
      <w:bCs/>
    </w:rPr>
  </w:style>
  <w:style w:type="table" w:styleId="17">
    <w:name w:val="Table Grid"/>
    <w:basedOn w:val="9"/>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20"/>
    </w:pPr>
  </w:style>
  <w:style w:type="paragraph" w:styleId="20">
    <w:name w:val="toc 3"/>
    <w:basedOn w:val="1"/>
    <w:next w:val="1"/>
    <w:autoRedefine/>
    <w:unhideWhenUsed/>
    <w:qFormat/>
    <w:uiPriority w:val="39"/>
    <w:pPr>
      <w:spacing w:after="100"/>
      <w:ind w:left="440"/>
    </w:pPr>
  </w:style>
  <w:style w:type="character" w:customStyle="1" w:styleId="21">
    <w:name w:val="رأس الصفحة Char"/>
    <w:basedOn w:val="8"/>
    <w:link w:val="13"/>
    <w:qFormat/>
    <w:uiPriority w:val="99"/>
  </w:style>
  <w:style w:type="character" w:customStyle="1" w:styleId="22">
    <w:name w:val="تذييل الصفحة Char"/>
    <w:basedOn w:val="8"/>
    <w:link w:val="12"/>
    <w:qFormat/>
    <w:uiPriority w:val="99"/>
  </w:style>
  <w:style w:type="paragraph" w:styleId="23">
    <w:name w:val="List Paragraph"/>
    <w:basedOn w:val="1"/>
    <w:link w:val="29"/>
    <w:qFormat/>
    <w:uiPriority w:val="34"/>
    <w:pPr>
      <w:ind w:left="720"/>
      <w:contextualSpacing/>
    </w:pPr>
  </w:style>
  <w:style w:type="character" w:customStyle="1" w:styleId="24">
    <w:name w:val="العنوان 1 Char"/>
    <w:basedOn w:val="8"/>
    <w:link w:val="2"/>
    <w:qFormat/>
    <w:uiPriority w:val="9"/>
    <w:rPr>
      <w:rFonts w:ascii="Simplified Arabic" w:hAnsi="Simplified Arabic" w:cs="Simplified Arabic" w:eastAsiaTheme="majorEastAsia"/>
      <w:b/>
      <w:bCs/>
      <w:sz w:val="32"/>
      <w:szCs w:val="32"/>
    </w:rPr>
  </w:style>
  <w:style w:type="character" w:customStyle="1" w:styleId="25">
    <w:name w:val="عنوان 2 Char"/>
    <w:basedOn w:val="8"/>
    <w:link w:val="3"/>
    <w:qFormat/>
    <w:uiPriority w:val="9"/>
    <w:rPr>
      <w:rFonts w:asciiTheme="majorHAnsi" w:hAnsiTheme="majorHAnsi" w:eastAsiaTheme="majorEastAsia" w:cstheme="majorBidi"/>
      <w:color w:val="2F5597" w:themeColor="accent1" w:themeShade="BF"/>
      <w:sz w:val="26"/>
      <w:szCs w:val="26"/>
    </w:rPr>
  </w:style>
  <w:style w:type="paragraph" w:customStyle="1" w:styleId="26">
    <w:name w:val="TOC Heading"/>
    <w:basedOn w:val="2"/>
    <w:next w:val="1"/>
    <w:unhideWhenUsed/>
    <w:qFormat/>
    <w:uiPriority w:val="39"/>
    <w:pPr>
      <w:bidi w:val="0"/>
      <w:spacing w:before="240" w:after="0"/>
      <w:outlineLvl w:val="9"/>
    </w:pPr>
    <w:rPr>
      <w:rFonts w:asciiTheme="majorHAnsi" w:hAnsiTheme="majorHAnsi" w:cstheme="majorBidi"/>
      <w:b w:val="0"/>
      <w:bCs w:val="0"/>
      <w:color w:val="2F5597" w:themeColor="accent1" w:themeShade="BF"/>
      <w:kern w:val="0"/>
      <w14:ligatures w14:val="none"/>
    </w:rPr>
  </w:style>
  <w:style w:type="character" w:customStyle="1" w:styleId="27">
    <w:name w:val="عنوان 3 Char"/>
    <w:basedOn w:val="8"/>
    <w:link w:val="4"/>
    <w:qFormat/>
    <w:uiPriority w:val="9"/>
    <w:rPr>
      <w:rFonts w:asciiTheme="majorHAnsi" w:hAnsiTheme="majorHAnsi" w:eastAsiaTheme="majorEastAsia" w:cstheme="majorBidi"/>
      <w:color w:val="203864" w:themeColor="accent1" w:themeShade="80"/>
      <w:sz w:val="24"/>
      <w:szCs w:val="24"/>
    </w:rPr>
  </w:style>
  <w:style w:type="character" w:customStyle="1" w:styleId="28">
    <w:name w:val="إشارة لم يتم حلها1"/>
    <w:basedOn w:val="8"/>
    <w:semiHidden/>
    <w:unhideWhenUsed/>
    <w:qFormat/>
    <w:uiPriority w:val="99"/>
    <w:rPr>
      <w:color w:val="605E5C"/>
      <w:shd w:val="clear" w:color="auto" w:fill="E1DFDD"/>
    </w:rPr>
  </w:style>
  <w:style w:type="character" w:customStyle="1" w:styleId="29">
    <w:name w:val="سرد الفقرات Char"/>
    <w:link w:val="23"/>
    <w:qFormat/>
    <w:uiPriority w:val="34"/>
  </w:style>
  <w:style w:type="character" w:customStyle="1" w:styleId="30">
    <w:name w:val="عنوان 4 Char"/>
    <w:basedOn w:val="8"/>
    <w:link w:val="5"/>
    <w:semiHidden/>
    <w:qFormat/>
    <w:uiPriority w:val="9"/>
    <w:rPr>
      <w:rFonts w:asciiTheme="majorHAnsi" w:hAnsiTheme="majorHAnsi" w:eastAsiaTheme="majorEastAsia" w:cstheme="majorBidi"/>
      <w:i/>
      <w:iCs/>
      <w:color w:val="2F5597" w:themeColor="accent1" w:themeShade="BF"/>
    </w:rPr>
  </w:style>
  <w:style w:type="character" w:customStyle="1" w:styleId="31">
    <w:name w:val="عنوان 5 Char"/>
    <w:basedOn w:val="8"/>
    <w:link w:val="6"/>
    <w:semiHidden/>
    <w:qFormat/>
    <w:uiPriority w:val="9"/>
    <w:rPr>
      <w:rFonts w:asciiTheme="majorHAnsi" w:hAnsiTheme="majorHAnsi" w:eastAsiaTheme="majorEastAsia" w:cstheme="majorBidi"/>
      <w:color w:val="2F5597" w:themeColor="accent1" w:themeShade="BF"/>
    </w:rPr>
  </w:style>
  <w:style w:type="character" w:customStyle="1" w:styleId="32">
    <w:name w:val="عنوان 6 Char"/>
    <w:basedOn w:val="8"/>
    <w:link w:val="7"/>
    <w:semiHidden/>
    <w:qFormat/>
    <w:uiPriority w:val="9"/>
    <w:rPr>
      <w:rFonts w:asciiTheme="majorHAnsi" w:hAnsiTheme="majorHAnsi" w:eastAsiaTheme="majorEastAsia" w:cstheme="majorBidi"/>
      <w:color w:val="203864" w:themeColor="accent1" w:themeShade="80"/>
    </w:rPr>
  </w:style>
  <w:style w:type="table" w:customStyle="1" w:styleId="33">
    <w:name w:val="Grid Table 4 Accent 3"/>
    <w:basedOn w:val="9"/>
    <w:qFormat/>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paragraph" w:customStyle="1" w:styleId="34">
    <w:name w:val="msonormal"/>
    <w:basedOn w:val="1"/>
    <w:qFormat/>
    <w:uiPriority w:val="0"/>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table" w:customStyle="1" w:styleId="35">
    <w:name w:val="Grid Table 6 Colorful Accent 1"/>
    <w:basedOn w:val="9"/>
    <w:qFormat/>
    <w:uiPriority w:val="51"/>
    <w:pPr>
      <w:spacing w:after="0" w:line="240" w:lineRule="auto"/>
    </w:pPr>
    <w:rPr>
      <w:color w:val="2F5597" w:themeColor="accent1" w:themeShade="BF"/>
    </w:r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6">
    <w:name w:val="Grid Table 6 Colorful Accent 2"/>
    <w:basedOn w:val="9"/>
    <w:qFormat/>
    <w:uiPriority w:val="51"/>
    <w:pPr>
      <w:spacing w:after="0" w:line="240" w:lineRule="auto"/>
    </w:pPr>
    <w:rPr>
      <w:color w:val="C55A11" w:themeColor="accent2" w:themeShade="BF"/>
    </w:r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7">
    <w:name w:val="Grid Table 6 Colorful"/>
    <w:basedOn w:val="9"/>
    <w:qFormat/>
    <w:uiPriority w:val="51"/>
    <w:pPr>
      <w:spacing w:after="0" w:line="240" w:lineRule="auto"/>
    </w:pPr>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8">
    <w:name w:val="Grid Table 6 Colorful Accent 3"/>
    <w:basedOn w:val="9"/>
    <w:qFormat/>
    <w:uiPriority w:val="51"/>
    <w:pPr>
      <w:spacing w:after="0" w:line="240" w:lineRule="auto"/>
    </w:pPr>
    <w:rPr>
      <w:rFonts w:cs="Simplified Arabic"/>
      <w:color w:val="7C7C7C" w:themeColor="accent3" w:themeShade="BF"/>
      <w:sz w:val="28"/>
      <w:szCs w:val="28"/>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4E0D1B-2BAF-4DEF-8383-80635188CD88}">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12797</Words>
  <Characters>72056</Characters>
  <Lines>600</Lines>
  <Paragraphs>169</Paragraphs>
  <TotalTime>2</TotalTime>
  <ScaleCrop>false</ScaleCrop>
  <LinksUpToDate>false</LinksUpToDate>
  <CharactersWithSpaces>84684</CharactersWithSpaces>
  <Application>WPS Office_12.1.2.24819_F1E327BC-269C-435d-A152-05C5408002CA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2026-07-02T16:30:00Z</dcterms:created>
  <dc:creator>marwamostafa2013</dc:creator>
  <cp:lastModifiedBy>hsl</cp:lastModifiedBy>
  <cp:lastPrinted>2026-07-02T16:31:00Z</cp:lastPrinted>
  <dcterms:modified xsi:type="dcterms:W3CDTF">2026-07-10T06:40:56Z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1033-12.1.2.24819</vt:lpwstr>
  </property>
  <property fmtid="{D5CDD505-2E9C-101B-9397-08002B2CF9AE}" pid="4" name="ICV">
    <vt:lpwstr>DB50D048FDC5D52C7823506ACEDAF1F3_43</vt:lpwstr>
  </property>
</Properties>
</file>