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524D0" w:rsidRDefault="009125CE" w:rsidP="00F96B94">
      <w:pPr>
        <w:spacing w:line="360" w:lineRule="auto"/>
        <w:rPr>
          <w:rFonts w:ascii="Simplified Arabic" w:hAnsi="Simplified Arabic" w:cs="Simplified Arabic"/>
          <w:b/>
          <w:bCs/>
          <w:sz w:val="32"/>
          <w:szCs w:val="32"/>
          <w:lang w:bidi="ar-EG"/>
        </w:rPr>
      </w:pPr>
      <w:r w:rsidRPr="00A524D0">
        <w:rPr>
          <w:rFonts w:ascii="Simplified Arabic" w:hAnsi="Simplified Arabic" w:cs="Simplified Arabic" w:hint="cs"/>
          <w:b/>
          <w:bCs/>
          <w:sz w:val="32"/>
          <w:szCs w:val="32"/>
          <w:rtl/>
          <w:lang w:bidi="ar-EG"/>
        </w:rPr>
        <w:t>ج</w:t>
      </w:r>
      <w:r w:rsidRPr="00A524D0">
        <w:rPr>
          <w:rFonts w:ascii="Simplified Arabic" w:hAnsi="Simplified Arabic" w:cs="Simplified Arabic"/>
          <w:b/>
          <w:bCs/>
          <w:sz w:val="32"/>
          <w:szCs w:val="32"/>
          <w:rtl/>
          <w:lang w:bidi="ar-EG"/>
        </w:rPr>
        <w:t xml:space="preserve">امعة ميدأوشن </w:t>
      </w:r>
    </w:p>
    <w:p w14:paraId="15DB0F8E" w14:textId="1E7A5220" w:rsidR="00162056" w:rsidRPr="00A524D0" w:rsidRDefault="009125CE" w:rsidP="00F96B94">
      <w:pPr>
        <w:spacing w:line="360" w:lineRule="auto"/>
        <w:rPr>
          <w:rFonts w:ascii="Simplified Arabic" w:hAnsi="Simplified Arabic" w:cs="Simplified Arabic"/>
          <w:b/>
          <w:bCs/>
          <w:sz w:val="32"/>
          <w:szCs w:val="32"/>
          <w:rtl/>
          <w:lang w:bidi="ar-EG"/>
        </w:rPr>
      </w:pPr>
      <w:r w:rsidRPr="00A524D0">
        <w:rPr>
          <w:rFonts w:ascii="Simplified Arabic" w:hAnsi="Simplified Arabic" w:cs="Simplified Arabic"/>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524D0">
        <w:rPr>
          <w:rFonts w:ascii="Simplified Arabic" w:hAnsi="Simplified Arabic" w:cs="Simplified Arabic"/>
          <w:b/>
          <w:bCs/>
          <w:sz w:val="32"/>
          <w:szCs w:val="32"/>
          <w:rtl/>
          <w:lang w:bidi="ar-EG"/>
        </w:rPr>
        <w:t xml:space="preserve">كلية </w:t>
      </w:r>
      <w:r w:rsidR="00162056" w:rsidRPr="00A524D0">
        <w:rPr>
          <w:rFonts w:ascii="Simplified Arabic" w:hAnsi="Simplified Arabic" w:cs="Simplified Arabic"/>
          <w:b/>
          <w:bCs/>
          <w:sz w:val="32"/>
          <w:szCs w:val="32"/>
          <w:rtl/>
          <w:lang w:bidi="ar-EG"/>
        </w:rPr>
        <w:t xml:space="preserve">الإدارة </w:t>
      </w:r>
    </w:p>
    <w:p w14:paraId="3A7BF367" w14:textId="328EE193" w:rsidR="009125CE" w:rsidRPr="00A524D0" w:rsidRDefault="009125CE" w:rsidP="00F96B94">
      <w:pPr>
        <w:spacing w:line="360" w:lineRule="auto"/>
        <w:rPr>
          <w:rFonts w:ascii="Simplified Arabic" w:hAnsi="Simplified Arabic" w:cs="Simplified Arabic"/>
          <w:b/>
          <w:bCs/>
          <w:sz w:val="32"/>
          <w:szCs w:val="32"/>
          <w:rtl/>
          <w:lang w:bidi="ar-EG"/>
        </w:rPr>
      </w:pPr>
      <w:r w:rsidRPr="00A524D0">
        <w:rPr>
          <w:rFonts w:ascii="Simplified Arabic" w:hAnsi="Simplified Arabic" w:cs="Simplified Arabic"/>
          <w:b/>
          <w:bCs/>
          <w:sz w:val="32"/>
          <w:szCs w:val="32"/>
          <w:rtl/>
          <w:lang w:bidi="ar-EG"/>
        </w:rPr>
        <w:t>قسم / تخصص.</w:t>
      </w:r>
      <w:r w:rsidR="007723BC" w:rsidRPr="00A524D0">
        <w:rPr>
          <w:rFonts w:ascii="Simplified Arabic" w:hAnsi="Simplified Arabic" w:cs="Simplified Arabic"/>
          <w:b/>
          <w:bCs/>
          <w:sz w:val="32"/>
          <w:szCs w:val="32"/>
          <w:rtl/>
          <w:lang w:bidi="ar-EG"/>
        </w:rPr>
        <w:t xml:space="preserve"> </w:t>
      </w:r>
      <w:r w:rsidR="005A2EFA" w:rsidRPr="00A524D0">
        <w:rPr>
          <w:rFonts w:ascii="Simplified Arabic" w:hAnsi="Simplified Arabic" w:cs="Simplified Arabic"/>
          <w:b/>
          <w:bCs/>
          <w:sz w:val="32"/>
          <w:szCs w:val="32"/>
          <w:rtl/>
          <w:lang w:bidi="ar-EG"/>
        </w:rPr>
        <w:t xml:space="preserve">ماجستير </w:t>
      </w:r>
      <w:r w:rsidR="00162056" w:rsidRPr="00A524D0">
        <w:rPr>
          <w:rFonts w:ascii="Simplified Arabic" w:hAnsi="Simplified Arabic" w:cs="Simplified Arabic"/>
          <w:b/>
          <w:bCs/>
          <w:sz w:val="32"/>
          <w:szCs w:val="32"/>
          <w:rtl/>
          <w:lang w:bidi="ar-EG"/>
        </w:rPr>
        <w:t xml:space="preserve">إدارة الأعمال </w:t>
      </w:r>
    </w:p>
    <w:p w14:paraId="13E24DD2" w14:textId="77777777" w:rsidR="0048205B" w:rsidRPr="00A524D0" w:rsidRDefault="0048205B" w:rsidP="004F3C8B">
      <w:pPr>
        <w:spacing w:line="360" w:lineRule="auto"/>
        <w:rPr>
          <w:rFonts w:ascii="Simplified Arabic" w:hAnsi="Simplified Arabic" w:cs="Simplified Arabic"/>
          <w:b/>
          <w:bCs/>
          <w:sz w:val="32"/>
          <w:szCs w:val="32"/>
          <w:rtl/>
          <w:lang w:bidi="ar-EG"/>
        </w:rPr>
      </w:pPr>
    </w:p>
    <w:p w14:paraId="2C66F622" w14:textId="77777777" w:rsidR="0048205B" w:rsidRPr="00A524D0" w:rsidRDefault="0048205B" w:rsidP="00F96B94">
      <w:pPr>
        <w:spacing w:line="360" w:lineRule="auto"/>
        <w:jc w:val="center"/>
        <w:rPr>
          <w:rFonts w:ascii="Simplified Arabic" w:hAnsi="Simplified Arabic" w:cs="Simplified Arabic"/>
          <w:b/>
          <w:bCs/>
          <w:sz w:val="32"/>
          <w:szCs w:val="32"/>
          <w:rtl/>
          <w:lang w:bidi="ar-EG"/>
        </w:rPr>
      </w:pPr>
    </w:p>
    <w:p w14:paraId="08401F45" w14:textId="6BD02D4E" w:rsidR="009125CE" w:rsidRPr="00A524D0" w:rsidRDefault="00A74F76" w:rsidP="00F96B94">
      <w:pPr>
        <w:spacing w:line="360" w:lineRule="auto"/>
        <w:jc w:val="center"/>
        <w:rPr>
          <w:rFonts w:ascii="Simplified Arabic" w:hAnsi="Simplified Arabic" w:cs="Simplified Arabic"/>
          <w:b/>
          <w:bCs/>
          <w:sz w:val="32"/>
          <w:szCs w:val="32"/>
          <w:rtl/>
          <w:lang w:bidi="ar-EG"/>
        </w:rPr>
      </w:pPr>
      <w:r w:rsidRPr="00A524D0">
        <w:rPr>
          <w:rFonts w:ascii="Simplified Arabic" w:hAnsi="Simplified Arabic" w:cs="Simplified Arabic"/>
          <w:b/>
          <w:bCs/>
          <w:sz w:val="32"/>
          <w:szCs w:val="32"/>
          <w:rtl/>
          <w:lang w:bidi="ar-EG"/>
        </w:rPr>
        <w:t>عنوان البحث</w:t>
      </w:r>
    </w:p>
    <w:p w14:paraId="12740327" w14:textId="729C1B5D" w:rsidR="0048205B" w:rsidRPr="00A524D0" w:rsidRDefault="0048205B" w:rsidP="004F3C8B">
      <w:pPr>
        <w:spacing w:line="360" w:lineRule="auto"/>
        <w:jc w:val="center"/>
        <w:rPr>
          <w:rFonts w:ascii="Simplified Arabic" w:hAnsi="Simplified Arabic" w:cs="Simplified Arabic"/>
          <w:sz w:val="32"/>
          <w:szCs w:val="32"/>
          <w:rtl/>
          <w:lang w:bidi="ar-EG"/>
        </w:rPr>
      </w:pPr>
      <w:r w:rsidRPr="00A524D0">
        <w:rPr>
          <w:rFonts w:ascii="Simplified Arabic" w:hAnsi="Simplified Arabic" w:cs="Simplified Arabic"/>
          <w:b/>
          <w:bCs/>
          <w:sz w:val="32"/>
          <w:szCs w:val="32"/>
          <w:rtl/>
          <w:lang w:bidi="ar-EG"/>
        </w:rPr>
        <w:t>دور مؤشرات الأداء البيئية والاجتماعية والحوكمة (</w:t>
      </w:r>
      <w:r w:rsidRPr="00A524D0">
        <w:rPr>
          <w:rFonts w:ascii="Simplified Arabic" w:hAnsi="Simplified Arabic" w:cs="Simplified Arabic"/>
          <w:b/>
          <w:bCs/>
          <w:sz w:val="32"/>
          <w:szCs w:val="32"/>
          <w:lang w:bidi="ar-EG"/>
        </w:rPr>
        <w:t>ESG KPIs</w:t>
      </w:r>
      <w:r w:rsidRPr="00A524D0">
        <w:rPr>
          <w:rFonts w:ascii="Simplified Arabic" w:hAnsi="Simplified Arabic" w:cs="Simplified Arabic"/>
          <w:b/>
          <w:bCs/>
          <w:sz w:val="32"/>
          <w:szCs w:val="32"/>
          <w:rtl/>
          <w:lang w:bidi="ar-EG"/>
        </w:rPr>
        <w:t>) في قياس التزام شركات إدارة المرافق السعودية بالاستدامة</w:t>
      </w:r>
    </w:p>
    <w:p w14:paraId="0D2460F1" w14:textId="0E7146E0" w:rsidR="00B95AAE" w:rsidRPr="00A524D0" w:rsidRDefault="000D7719" w:rsidP="00F96B94">
      <w:pPr>
        <w:spacing w:line="360" w:lineRule="auto"/>
        <w:jc w:val="center"/>
        <w:rPr>
          <w:rFonts w:ascii="Simplified Arabic" w:hAnsi="Simplified Arabic" w:cs="Simplified Arabic"/>
          <w:b/>
          <w:bCs/>
          <w:sz w:val="32"/>
          <w:szCs w:val="32"/>
          <w:rtl/>
          <w:lang w:bidi="ar-EG"/>
        </w:rPr>
      </w:pPr>
      <w:r w:rsidRPr="00A524D0">
        <w:rPr>
          <w:rFonts w:ascii="Simplified Arabic" w:hAnsi="Simplified Arabic" w:cs="Simplified Arabic"/>
          <w:sz w:val="32"/>
          <w:szCs w:val="32"/>
          <w:rtl/>
          <w:lang w:bidi="ar-EG"/>
        </w:rPr>
        <w:t xml:space="preserve">إعداد </w:t>
      </w:r>
      <w:r w:rsidR="00A65238" w:rsidRPr="00A524D0">
        <w:rPr>
          <w:rFonts w:ascii="Simplified Arabic" w:hAnsi="Simplified Arabic" w:cs="Simplified Arabic"/>
          <w:sz w:val="32"/>
          <w:szCs w:val="32"/>
          <w:rtl/>
          <w:lang w:bidi="ar-EG"/>
        </w:rPr>
        <w:t>الطالب</w:t>
      </w:r>
      <w:r w:rsidR="00BD054D" w:rsidRPr="00A524D0">
        <w:rPr>
          <w:rFonts w:ascii="Simplified Arabic" w:hAnsi="Simplified Arabic" w:cs="Simplified Arabic"/>
          <w:sz w:val="32"/>
          <w:szCs w:val="32"/>
          <w:rtl/>
          <w:lang w:bidi="ar-EG"/>
        </w:rPr>
        <w:t xml:space="preserve"> </w:t>
      </w:r>
      <w:r w:rsidRPr="00A524D0">
        <w:rPr>
          <w:rFonts w:ascii="Simplified Arabic" w:hAnsi="Simplified Arabic" w:cs="Simplified Arabic"/>
          <w:sz w:val="32"/>
          <w:szCs w:val="32"/>
          <w:rtl/>
          <w:lang w:bidi="ar-EG"/>
        </w:rPr>
        <w:t xml:space="preserve">/ </w:t>
      </w:r>
      <w:r w:rsidR="007A19ED" w:rsidRPr="00A524D0">
        <w:rPr>
          <w:rFonts w:ascii="Simplified Arabic" w:hAnsi="Simplified Arabic" w:cs="Simplified Arabic"/>
          <w:sz w:val="32"/>
          <w:szCs w:val="32"/>
          <w:rtl/>
          <w:lang w:bidi="ar-EG"/>
        </w:rPr>
        <w:t xml:space="preserve"> </w:t>
      </w:r>
      <w:r w:rsidR="00317A13" w:rsidRPr="00A524D0">
        <w:rPr>
          <w:rFonts w:ascii="Simplified Arabic" w:hAnsi="Simplified Arabic" w:cs="Simplified Arabic"/>
          <w:sz w:val="32"/>
          <w:szCs w:val="32"/>
          <w:rtl/>
          <w:lang w:bidi="ar-EG"/>
        </w:rPr>
        <w:t xml:space="preserve"> </w:t>
      </w:r>
      <w:r w:rsidR="00302233" w:rsidRPr="00A524D0">
        <w:rPr>
          <w:rFonts w:ascii="Simplified Arabic" w:hAnsi="Simplified Arabic" w:cs="Simplified Arabic"/>
          <w:b/>
          <w:bCs/>
          <w:sz w:val="32"/>
          <w:szCs w:val="32"/>
          <w:rtl/>
          <w:lang w:bidi="ar-EG"/>
        </w:rPr>
        <w:t>زاهر احمد الثقفي</w:t>
      </w:r>
    </w:p>
    <w:p w14:paraId="5F4EE2DE" w14:textId="0EFCA3CB" w:rsidR="009125CE" w:rsidRPr="00A524D0" w:rsidRDefault="009125CE" w:rsidP="00F96B94">
      <w:pPr>
        <w:spacing w:line="360" w:lineRule="auto"/>
        <w:jc w:val="center"/>
        <w:rPr>
          <w:rFonts w:ascii="Simplified Arabic" w:hAnsi="Simplified Arabic" w:cs="Simplified Arabic"/>
          <w:b/>
          <w:bCs/>
          <w:sz w:val="32"/>
          <w:szCs w:val="32"/>
          <w:rtl/>
          <w:lang w:bidi="ar-EG"/>
        </w:rPr>
      </w:pPr>
      <w:r w:rsidRPr="00A524D0">
        <w:rPr>
          <w:rFonts w:ascii="Simplified Arabic" w:hAnsi="Simplified Arabic" w:cs="Simplified Arabic"/>
          <w:b/>
          <w:bCs/>
          <w:sz w:val="32"/>
          <w:szCs w:val="32"/>
          <w:rtl/>
          <w:lang w:bidi="ar-EG"/>
        </w:rPr>
        <w:t>إشراف/</w:t>
      </w:r>
    </w:p>
    <w:p w14:paraId="74DDB870" w14:textId="77777777" w:rsidR="005466D9" w:rsidRPr="00A524D0" w:rsidRDefault="005466D9" w:rsidP="00F96B94">
      <w:pPr>
        <w:spacing w:line="360" w:lineRule="auto"/>
        <w:jc w:val="center"/>
        <w:rPr>
          <w:rFonts w:ascii="Simplified Arabic" w:hAnsi="Simplified Arabic" w:cs="Simplified Arabic"/>
          <w:b/>
          <w:bCs/>
          <w:sz w:val="32"/>
          <w:szCs w:val="32"/>
          <w:rtl/>
          <w:lang w:bidi="ar-EG"/>
        </w:rPr>
      </w:pPr>
      <w:r w:rsidRPr="00A524D0">
        <w:rPr>
          <w:rFonts w:ascii="Simplified Arabic" w:hAnsi="Simplified Arabic" w:cs="Simplified Arabic"/>
          <w:b/>
          <w:bCs/>
          <w:sz w:val="32"/>
          <w:szCs w:val="32"/>
          <w:rtl/>
          <w:lang w:bidi="ar-EG"/>
        </w:rPr>
        <w:t>د.الفيصل  عبدالحميد محمد</w:t>
      </w:r>
    </w:p>
    <w:p w14:paraId="2CF3DD6D" w14:textId="62FBA529" w:rsidR="00975E4C" w:rsidRPr="00A524D0" w:rsidRDefault="005466D9" w:rsidP="00F96B94">
      <w:pPr>
        <w:spacing w:line="360" w:lineRule="auto"/>
        <w:jc w:val="center"/>
        <w:rPr>
          <w:rFonts w:ascii="Simplified Arabic" w:hAnsi="Simplified Arabic" w:cs="Simplified Arabic"/>
          <w:b/>
          <w:bCs/>
          <w:sz w:val="32"/>
          <w:szCs w:val="32"/>
          <w:rtl/>
          <w:lang w:bidi="ar-EG"/>
        </w:rPr>
      </w:pPr>
      <w:r w:rsidRPr="00A524D0">
        <w:rPr>
          <w:rFonts w:ascii="Simplified Arabic" w:hAnsi="Simplified Arabic" w:cs="Simplified Arabic"/>
          <w:b/>
          <w:bCs/>
          <w:sz w:val="32"/>
          <w:szCs w:val="32"/>
          <w:rtl/>
          <w:lang w:bidi="ar-EG"/>
        </w:rPr>
        <w:t>دفايز علي الجراد</w:t>
      </w:r>
    </w:p>
    <w:p w14:paraId="020595DB" w14:textId="77777777" w:rsidR="00975E4C" w:rsidRPr="00A524D0" w:rsidRDefault="00975E4C" w:rsidP="00F96B94">
      <w:pPr>
        <w:spacing w:line="360" w:lineRule="auto"/>
        <w:rPr>
          <w:rFonts w:ascii="Simplified Arabic" w:hAnsi="Simplified Arabic" w:cs="Simplified Arabic"/>
          <w:b/>
          <w:bCs/>
          <w:sz w:val="32"/>
          <w:szCs w:val="32"/>
          <w:rtl/>
          <w:lang w:bidi="ar-EG"/>
        </w:rPr>
      </w:pPr>
    </w:p>
    <w:p w14:paraId="4ABCF5F5" w14:textId="7456C4C6" w:rsidR="00A74F76" w:rsidRPr="00A524D0" w:rsidRDefault="009125CE" w:rsidP="00F96B94">
      <w:pPr>
        <w:spacing w:line="360" w:lineRule="auto"/>
        <w:jc w:val="center"/>
        <w:rPr>
          <w:rFonts w:ascii="Simplified Arabic" w:hAnsi="Simplified Arabic" w:cs="Simplified Arabic"/>
          <w:b/>
          <w:bCs/>
          <w:sz w:val="32"/>
          <w:szCs w:val="32"/>
          <w:rtl/>
          <w:lang w:bidi="ar-EG"/>
        </w:rPr>
      </w:pPr>
      <w:r w:rsidRPr="00A524D0">
        <w:rPr>
          <w:rFonts w:ascii="Simplified Arabic" w:hAnsi="Simplified Arabic" w:cs="Simplified Arabic"/>
          <w:b/>
          <w:bCs/>
          <w:sz w:val="32"/>
          <w:szCs w:val="32"/>
          <w:rtl/>
          <w:lang w:bidi="ar-EG"/>
        </w:rPr>
        <w:t>العام الدراسي:</w:t>
      </w:r>
    </w:p>
    <w:p w14:paraId="78C0E591" w14:textId="7B82B551" w:rsidR="00294987" w:rsidRPr="00026AFB" w:rsidRDefault="003C6E9E" w:rsidP="00026AFB">
      <w:pPr>
        <w:spacing w:line="360" w:lineRule="auto"/>
        <w:jc w:val="center"/>
        <w:rPr>
          <w:rFonts w:ascii="Simplified Arabic" w:hAnsi="Simplified Arabic" w:cs="Simplified Arabic"/>
          <w:b/>
          <w:bCs/>
          <w:sz w:val="32"/>
          <w:szCs w:val="32"/>
          <w:lang w:bidi="ar-EG"/>
        </w:rPr>
      </w:pPr>
      <w:r w:rsidRPr="00A524D0">
        <w:rPr>
          <w:rFonts w:ascii="Simplified Arabic" w:hAnsi="Simplified Arabic" w:cs="Simplified Arabic"/>
          <w:b/>
          <w:bCs/>
          <w:sz w:val="32"/>
          <w:szCs w:val="32"/>
          <w:rtl/>
          <w:lang w:bidi="ar-EG"/>
        </w:rPr>
        <w:t>2</w:t>
      </w:r>
      <w:r w:rsidR="007723BC" w:rsidRPr="00A524D0">
        <w:rPr>
          <w:rFonts w:ascii="Simplified Arabic" w:hAnsi="Simplified Arabic" w:cs="Simplified Arabic"/>
          <w:b/>
          <w:bCs/>
          <w:sz w:val="32"/>
          <w:szCs w:val="32"/>
          <w:rtl/>
          <w:lang w:bidi="ar-EG"/>
        </w:rPr>
        <w:t>025</w:t>
      </w:r>
    </w:p>
    <w:p w14:paraId="3555613C" w14:textId="0CBB6742" w:rsidR="00A56F63" w:rsidRPr="00A524D0" w:rsidRDefault="006354D1" w:rsidP="00F96B94">
      <w:pPr>
        <w:spacing w:after="120" w:line="360" w:lineRule="auto"/>
        <w:divId w:val="458381201"/>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lastRenderedPageBreak/>
        <w:t xml:space="preserve">جدول المحتويات </w:t>
      </w:r>
    </w:p>
    <w:tbl>
      <w:tblPr>
        <w:tblStyle w:val="PlainTable1"/>
        <w:bidiVisual/>
        <w:tblW w:w="0" w:type="auto"/>
        <w:tblLook w:val="04A0" w:firstRow="1" w:lastRow="0" w:firstColumn="1" w:lastColumn="0" w:noHBand="0" w:noVBand="1"/>
      </w:tblPr>
      <w:tblGrid>
        <w:gridCol w:w="7840"/>
        <w:gridCol w:w="982"/>
      </w:tblGrid>
      <w:tr w:rsidR="006354D1" w:rsidRPr="00A524D0" w14:paraId="0084541A" w14:textId="77777777" w:rsidTr="00221FF4">
        <w:trPr>
          <w:cnfStyle w:val="100000000000" w:firstRow="1" w:lastRow="0" w:firstColumn="0" w:lastColumn="0" w:oddVBand="0" w:evenVBand="0" w:oddHBand="0"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1FDCB498" w14:textId="13CE392C" w:rsidR="006354D1" w:rsidRPr="00A524D0" w:rsidRDefault="0095700A"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الفصل الأول </w:t>
            </w:r>
          </w:p>
        </w:tc>
        <w:tc>
          <w:tcPr>
            <w:tcW w:w="982" w:type="dxa"/>
          </w:tcPr>
          <w:p w14:paraId="7108FAA4" w14:textId="20530AFC" w:rsidR="006354D1" w:rsidRPr="00A524D0" w:rsidRDefault="0095700A" w:rsidP="00F96B94">
            <w:pPr>
              <w:spacing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w:t>
            </w:r>
          </w:p>
        </w:tc>
      </w:tr>
      <w:tr w:rsidR="0095700A" w:rsidRPr="00A524D0" w14:paraId="0E56053F"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3A08CB78" w14:textId="7BF7E618" w:rsidR="0095700A" w:rsidRPr="00A524D0" w:rsidRDefault="0095700A"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ملخص الدراسة </w:t>
            </w:r>
          </w:p>
        </w:tc>
        <w:tc>
          <w:tcPr>
            <w:tcW w:w="982" w:type="dxa"/>
          </w:tcPr>
          <w:p w14:paraId="7E729F4B" w14:textId="2361E1A9" w:rsidR="0095700A" w:rsidRPr="00A524D0" w:rsidRDefault="0095700A"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w:t>
            </w:r>
          </w:p>
        </w:tc>
      </w:tr>
      <w:tr w:rsidR="0095700A" w:rsidRPr="00A524D0" w14:paraId="7F1A79AF"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6BD235D4" w14:textId="41D691CD" w:rsidR="0095700A" w:rsidRDefault="0095700A"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مقدمة الدراسة </w:t>
            </w:r>
          </w:p>
        </w:tc>
        <w:tc>
          <w:tcPr>
            <w:tcW w:w="982" w:type="dxa"/>
          </w:tcPr>
          <w:p w14:paraId="7A67E71F" w14:textId="7D1AC810" w:rsidR="0095700A" w:rsidRPr="00A524D0" w:rsidRDefault="0095700A"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w:t>
            </w:r>
          </w:p>
        </w:tc>
      </w:tr>
      <w:tr w:rsidR="006354D1" w:rsidRPr="00A524D0" w14:paraId="700BFE15"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6F9B19EC" w14:textId="04B87980" w:rsidR="006354D1" w:rsidRPr="00A524D0" w:rsidRDefault="00221FF4"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مشكلة الدراسة </w:t>
            </w:r>
          </w:p>
        </w:tc>
        <w:tc>
          <w:tcPr>
            <w:tcW w:w="982" w:type="dxa"/>
          </w:tcPr>
          <w:p w14:paraId="2C3E6095" w14:textId="703C23D7" w:rsidR="006354D1" w:rsidRPr="00A524D0" w:rsidRDefault="0095700A"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٧</w:t>
            </w:r>
          </w:p>
        </w:tc>
      </w:tr>
      <w:tr w:rsidR="00221FF4" w:rsidRPr="00A524D0" w14:paraId="3FC67285"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67594648" w14:textId="1FD9E5F8" w:rsidR="00221FF4" w:rsidRPr="00A524D0" w:rsidRDefault="00221FF4"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أهمية الدراسة </w:t>
            </w:r>
          </w:p>
        </w:tc>
        <w:tc>
          <w:tcPr>
            <w:tcW w:w="982" w:type="dxa"/>
          </w:tcPr>
          <w:p w14:paraId="66EA2626" w14:textId="4E8C0D6B" w:rsidR="00221FF4" w:rsidRPr="00A524D0" w:rsidRDefault="0095700A"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٨</w:t>
            </w:r>
          </w:p>
        </w:tc>
      </w:tr>
      <w:tr w:rsidR="00221FF4" w:rsidRPr="00A524D0" w14:paraId="529B7CFA"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6C9165B3" w14:textId="2282926D" w:rsidR="00221FF4" w:rsidRPr="00A524D0" w:rsidRDefault="00221FF4"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أهداف الدراسة </w:t>
            </w:r>
          </w:p>
        </w:tc>
        <w:tc>
          <w:tcPr>
            <w:tcW w:w="982" w:type="dxa"/>
          </w:tcPr>
          <w:p w14:paraId="20F7844F" w14:textId="7181E377" w:rsidR="00221FF4" w:rsidRPr="00A524D0" w:rsidRDefault="0095700A"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١٠</w:t>
            </w:r>
          </w:p>
        </w:tc>
      </w:tr>
      <w:tr w:rsidR="00221FF4" w:rsidRPr="00A524D0" w14:paraId="158E49E2"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35D95268" w14:textId="12A0317F" w:rsidR="00221FF4" w:rsidRPr="00A524D0" w:rsidRDefault="00BB6E70"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تسأولات الدراسة </w:t>
            </w:r>
          </w:p>
        </w:tc>
        <w:tc>
          <w:tcPr>
            <w:tcW w:w="982" w:type="dxa"/>
          </w:tcPr>
          <w:p w14:paraId="6D3B4335" w14:textId="6168643C" w:rsidR="00221FF4" w:rsidRPr="00A524D0" w:rsidRDefault="0095700A"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١١</w:t>
            </w:r>
          </w:p>
        </w:tc>
      </w:tr>
      <w:tr w:rsidR="00BB6E70" w:rsidRPr="00A524D0" w14:paraId="3E7215D2"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14AC6D89" w14:textId="021E5261" w:rsidR="00BB6E70" w:rsidRPr="00A524D0" w:rsidRDefault="00BB6E70"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فرضيات الدراسة </w:t>
            </w:r>
          </w:p>
        </w:tc>
        <w:tc>
          <w:tcPr>
            <w:tcW w:w="982" w:type="dxa"/>
          </w:tcPr>
          <w:p w14:paraId="35F2CB68" w14:textId="590AFAE9" w:rsidR="00BB6E70" w:rsidRPr="00A524D0" w:rsidRDefault="0095700A"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١٢</w:t>
            </w:r>
          </w:p>
        </w:tc>
      </w:tr>
      <w:tr w:rsidR="00BB6E70" w:rsidRPr="00A524D0" w14:paraId="67E6CD7B"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0B891281" w14:textId="39D8714E" w:rsidR="00BB6E70" w:rsidRPr="00A524D0" w:rsidRDefault="00BB6E70"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مصطلحات الدراسة </w:t>
            </w:r>
          </w:p>
        </w:tc>
        <w:tc>
          <w:tcPr>
            <w:tcW w:w="982" w:type="dxa"/>
          </w:tcPr>
          <w:p w14:paraId="2497A021" w14:textId="6A9A4726" w:rsidR="00BB6E70" w:rsidRPr="00A524D0" w:rsidRDefault="0095700A"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١٣</w:t>
            </w:r>
          </w:p>
        </w:tc>
      </w:tr>
      <w:tr w:rsidR="00BB6E70" w:rsidRPr="00A524D0" w14:paraId="4C2423C4"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726EA9EC" w14:textId="3ED75097" w:rsidR="00BB6E70" w:rsidRPr="00A524D0" w:rsidRDefault="00BB6E70"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متغيرات الدراسة </w:t>
            </w:r>
          </w:p>
        </w:tc>
        <w:tc>
          <w:tcPr>
            <w:tcW w:w="982" w:type="dxa"/>
          </w:tcPr>
          <w:p w14:paraId="1A79C26A" w14:textId="5E9BDAEA" w:rsidR="00BB6E70" w:rsidRPr="00A524D0" w:rsidRDefault="0095700A"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١٤</w:t>
            </w:r>
          </w:p>
        </w:tc>
      </w:tr>
      <w:tr w:rsidR="004F3C8B" w:rsidRPr="00A524D0" w14:paraId="7DD5B2F0"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1EDC9582" w14:textId="7E5F0332" w:rsidR="004F3C8B" w:rsidRPr="00A524D0" w:rsidRDefault="004F3C8B"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الفصل الثاني </w:t>
            </w:r>
          </w:p>
        </w:tc>
        <w:tc>
          <w:tcPr>
            <w:tcW w:w="982" w:type="dxa"/>
          </w:tcPr>
          <w:p w14:paraId="0F605626" w14:textId="179E7720" w:rsidR="004F3C8B" w:rsidRPr="00A524D0" w:rsidRDefault="0095700A"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١٥</w:t>
            </w:r>
          </w:p>
        </w:tc>
      </w:tr>
      <w:tr w:rsidR="00BB6E70" w:rsidRPr="00A524D0" w14:paraId="50335028"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06D95485" w14:textId="5F129657" w:rsidR="00BB6E70" w:rsidRPr="00A524D0" w:rsidRDefault="00BB6E70"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الدراسات السابقة </w:t>
            </w:r>
          </w:p>
        </w:tc>
        <w:tc>
          <w:tcPr>
            <w:tcW w:w="982" w:type="dxa"/>
          </w:tcPr>
          <w:p w14:paraId="5A8C3753" w14:textId="752D05AA" w:rsidR="00BB6E70" w:rsidRPr="00A524D0" w:rsidRDefault="0095700A"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١٦</w:t>
            </w:r>
          </w:p>
        </w:tc>
      </w:tr>
      <w:tr w:rsidR="00BB6E70" w:rsidRPr="00A524D0" w14:paraId="78140CC4"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361D92F0" w14:textId="373934ED" w:rsidR="00BB6E70" w:rsidRPr="00A524D0" w:rsidRDefault="00BB6E70"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الإطار النظري </w:t>
            </w:r>
          </w:p>
        </w:tc>
        <w:tc>
          <w:tcPr>
            <w:tcW w:w="982" w:type="dxa"/>
          </w:tcPr>
          <w:p w14:paraId="279AC8BF" w14:textId="5B40DEFA" w:rsidR="00BB6E70" w:rsidRPr="00A524D0" w:rsidRDefault="0095700A"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٢٠</w:t>
            </w:r>
          </w:p>
        </w:tc>
      </w:tr>
      <w:tr w:rsidR="00A529D8" w:rsidRPr="00A524D0" w14:paraId="052CCC2D"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140E5D14" w14:textId="04F2DFAB" w:rsidR="00A529D8" w:rsidRPr="00A524D0" w:rsidRDefault="00D416B0" w:rsidP="00F96B94">
            <w:pPr>
              <w:spacing w:after="120" w:line="360" w:lineRule="auto"/>
              <w:rPr>
                <w:rFonts w:ascii="Simplified Arabic" w:eastAsia="Times New Roman" w:hAnsi="Simplified Arabic" w:cs="Simplified Arabic"/>
                <w:color w:val="1B1C1D"/>
                <w:kern w:val="0"/>
                <w:sz w:val="32"/>
                <w:szCs w:val="32"/>
                <w:rtl/>
                <w14:ligatures w14:val="none"/>
              </w:rPr>
            </w:pPr>
            <w:r w:rsidRPr="00D416B0">
              <w:rPr>
                <w:rFonts w:ascii="Simplified Arabic" w:eastAsia="Times New Roman" w:hAnsi="Simplified Arabic" w:cs="Simplified Arabic" w:hint="cs"/>
                <w:color w:val="1B1C1D"/>
                <w:kern w:val="0"/>
                <w:sz w:val="32"/>
                <w:szCs w:val="32"/>
                <w:rtl/>
                <w14:ligatures w14:val="none"/>
              </w:rPr>
              <w:t>مفهوم</w:t>
            </w:r>
            <w:r w:rsidRPr="00D416B0">
              <w:rPr>
                <w:rFonts w:ascii="Simplified Arabic" w:eastAsia="Times New Roman" w:hAnsi="Simplified Arabic" w:cs="Simplified Arabic"/>
                <w:color w:val="1B1C1D"/>
                <w:kern w:val="0"/>
                <w:sz w:val="32"/>
                <w:szCs w:val="32"/>
                <w:rtl/>
                <w14:ligatures w14:val="none"/>
              </w:rPr>
              <w:t xml:space="preserve"> </w:t>
            </w:r>
            <w:r w:rsidRPr="00D416B0">
              <w:rPr>
                <w:rFonts w:ascii="Simplified Arabic" w:eastAsia="Times New Roman" w:hAnsi="Simplified Arabic" w:cs="Simplified Arabic" w:hint="cs"/>
                <w:color w:val="1B1C1D"/>
                <w:kern w:val="0"/>
                <w:sz w:val="32"/>
                <w:szCs w:val="32"/>
                <w:rtl/>
                <w14:ligatures w14:val="none"/>
              </w:rPr>
              <w:t>وأبعاد</w:t>
            </w:r>
            <w:r w:rsidRPr="00D416B0">
              <w:rPr>
                <w:rFonts w:ascii="Simplified Arabic" w:eastAsia="Times New Roman" w:hAnsi="Simplified Arabic" w:cs="Simplified Arabic"/>
                <w:color w:val="1B1C1D"/>
                <w:kern w:val="0"/>
                <w:sz w:val="32"/>
                <w:szCs w:val="32"/>
                <w:rtl/>
                <w14:ligatures w14:val="none"/>
              </w:rPr>
              <w:t xml:space="preserve"> </w:t>
            </w:r>
            <w:r w:rsidRPr="00D416B0">
              <w:rPr>
                <w:rFonts w:ascii="Simplified Arabic" w:eastAsia="Times New Roman" w:hAnsi="Simplified Arabic" w:cs="Simplified Arabic" w:hint="cs"/>
                <w:color w:val="1B1C1D"/>
                <w:kern w:val="0"/>
                <w:sz w:val="32"/>
                <w:szCs w:val="32"/>
                <w:rtl/>
                <w14:ligatures w14:val="none"/>
              </w:rPr>
              <w:t>الاستدامة</w:t>
            </w:r>
            <w:r w:rsidRPr="00D416B0">
              <w:rPr>
                <w:rFonts w:ascii="Simplified Arabic" w:eastAsia="Times New Roman" w:hAnsi="Simplified Arabic" w:cs="Simplified Arabic"/>
                <w:color w:val="1B1C1D"/>
                <w:kern w:val="0"/>
                <w:sz w:val="32"/>
                <w:szCs w:val="32"/>
                <w:rtl/>
                <w14:ligatures w14:val="none"/>
              </w:rPr>
              <w:t xml:space="preserve"> </w:t>
            </w:r>
            <w:r w:rsidRPr="00D416B0">
              <w:rPr>
                <w:rFonts w:ascii="Simplified Arabic" w:eastAsia="Times New Roman" w:hAnsi="Simplified Arabic" w:cs="Simplified Arabic" w:hint="cs"/>
                <w:color w:val="1B1C1D"/>
                <w:kern w:val="0"/>
                <w:sz w:val="32"/>
                <w:szCs w:val="32"/>
                <w:rtl/>
                <w14:ligatures w14:val="none"/>
              </w:rPr>
              <w:t>المؤسسية</w:t>
            </w:r>
          </w:p>
        </w:tc>
        <w:tc>
          <w:tcPr>
            <w:tcW w:w="982" w:type="dxa"/>
          </w:tcPr>
          <w:p w14:paraId="0615961F" w14:textId="20160396" w:rsidR="00A529D8" w:rsidRPr="00A524D0" w:rsidRDefault="0095700A"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٢٤</w:t>
            </w:r>
          </w:p>
        </w:tc>
      </w:tr>
      <w:tr w:rsidR="00A529D8" w:rsidRPr="00A524D0" w14:paraId="26B4B42C"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008FE8B5" w14:textId="03B9AE6E" w:rsidR="00A529D8" w:rsidRPr="00A524D0" w:rsidRDefault="001A6485"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lastRenderedPageBreak/>
              <w:t>الإطار النظري لمؤشرات الأداء البيئية والاجتماعية والحوكمة (</w:t>
            </w:r>
            <w:r>
              <w:rPr>
                <w:rFonts w:ascii="Simplified Arabic" w:eastAsia="Times New Roman" w:hAnsi="Simplified Arabic" w:cs="Simplified Arabic" w:hint="cs"/>
                <w:color w:val="1B1C1D"/>
                <w:kern w:val="0"/>
                <w:sz w:val="32"/>
                <w:szCs w:val="32"/>
                <w14:ligatures w14:val="none"/>
              </w:rPr>
              <w:t>ESG</w:t>
            </w:r>
            <w:r>
              <w:rPr>
                <w:rFonts w:ascii="Simplified Arabic" w:eastAsia="Times New Roman" w:hAnsi="Simplified Arabic" w:cs="Simplified Arabic" w:hint="cs"/>
                <w:color w:val="1B1C1D"/>
                <w:kern w:val="0"/>
                <w:sz w:val="32"/>
                <w:szCs w:val="32"/>
                <w:rtl/>
                <w14:ligatures w14:val="none"/>
              </w:rPr>
              <w:t>)</w:t>
            </w:r>
          </w:p>
        </w:tc>
        <w:tc>
          <w:tcPr>
            <w:tcW w:w="982" w:type="dxa"/>
          </w:tcPr>
          <w:p w14:paraId="2BDF0AF9" w14:textId="797FC7B0" w:rsidR="00A529D8" w:rsidRPr="00A524D0" w:rsidRDefault="00362127"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٢٧</w:t>
            </w:r>
          </w:p>
        </w:tc>
      </w:tr>
      <w:tr w:rsidR="006D36B1" w:rsidRPr="00A524D0" w14:paraId="151ACEF9"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36F6A660" w14:textId="08EECF76" w:rsidR="006D36B1" w:rsidRPr="00A524D0" w:rsidRDefault="00A529D8" w:rsidP="00F96B94">
            <w:pPr>
              <w:spacing w:after="120" w:line="360" w:lineRule="auto"/>
              <w:rPr>
                <w:rFonts w:ascii="Simplified Arabic" w:eastAsia="Times New Roman" w:hAnsi="Simplified Arabic" w:cs="Simplified Arabic"/>
                <w:color w:val="1B1C1D"/>
                <w:kern w:val="0"/>
                <w:sz w:val="32"/>
                <w:szCs w:val="32"/>
                <w:rtl/>
                <w14:ligatures w14:val="none"/>
              </w:rPr>
            </w:pPr>
            <w:r w:rsidRPr="00A529D8">
              <w:rPr>
                <w:rFonts w:ascii="Simplified Arabic" w:eastAsia="Times New Roman" w:hAnsi="Simplified Arabic" w:cs="Simplified Arabic" w:hint="cs"/>
                <w:color w:val="1B1C1D"/>
                <w:kern w:val="0"/>
                <w:sz w:val="32"/>
                <w:szCs w:val="32"/>
                <w:rtl/>
                <w14:ligatures w14:val="none"/>
              </w:rPr>
              <w:t>القياس</w:t>
            </w:r>
            <w:r w:rsidRPr="00A529D8">
              <w:rPr>
                <w:rFonts w:ascii="Simplified Arabic" w:eastAsia="Times New Roman" w:hAnsi="Simplified Arabic" w:cs="Simplified Arabic"/>
                <w:color w:val="1B1C1D"/>
                <w:kern w:val="0"/>
                <w:sz w:val="32"/>
                <w:szCs w:val="32"/>
                <w:rtl/>
                <w14:ligatures w14:val="none"/>
              </w:rPr>
              <w:t xml:space="preserve"> </w:t>
            </w:r>
            <w:r w:rsidRPr="00A529D8">
              <w:rPr>
                <w:rFonts w:ascii="Simplified Arabic" w:eastAsia="Times New Roman" w:hAnsi="Simplified Arabic" w:cs="Simplified Arabic" w:hint="cs"/>
                <w:color w:val="1B1C1D"/>
                <w:kern w:val="0"/>
                <w:sz w:val="32"/>
                <w:szCs w:val="32"/>
                <w:rtl/>
                <w14:ligatures w14:val="none"/>
              </w:rPr>
              <w:t>والإفصاح</w:t>
            </w:r>
            <w:r w:rsidRPr="00A529D8">
              <w:rPr>
                <w:rFonts w:ascii="Simplified Arabic" w:eastAsia="Times New Roman" w:hAnsi="Simplified Arabic" w:cs="Simplified Arabic"/>
                <w:color w:val="1B1C1D"/>
                <w:kern w:val="0"/>
                <w:sz w:val="32"/>
                <w:szCs w:val="32"/>
                <w:rtl/>
                <w14:ligatures w14:val="none"/>
              </w:rPr>
              <w:t xml:space="preserve"> </w:t>
            </w:r>
            <w:r w:rsidRPr="00A529D8">
              <w:rPr>
                <w:rFonts w:ascii="Simplified Arabic" w:eastAsia="Times New Roman" w:hAnsi="Simplified Arabic" w:cs="Simplified Arabic" w:hint="cs"/>
                <w:color w:val="1B1C1D"/>
                <w:kern w:val="0"/>
                <w:sz w:val="32"/>
                <w:szCs w:val="32"/>
                <w:rtl/>
                <w14:ligatures w14:val="none"/>
              </w:rPr>
              <w:t>عن</w:t>
            </w:r>
            <w:r w:rsidRPr="00A529D8">
              <w:rPr>
                <w:rFonts w:ascii="Simplified Arabic" w:eastAsia="Times New Roman" w:hAnsi="Simplified Arabic" w:cs="Simplified Arabic"/>
                <w:color w:val="1B1C1D"/>
                <w:kern w:val="0"/>
                <w:sz w:val="32"/>
                <w:szCs w:val="32"/>
                <w:rtl/>
                <w14:ligatures w14:val="none"/>
              </w:rPr>
              <w:t xml:space="preserve"> </w:t>
            </w:r>
            <w:r w:rsidRPr="00A529D8">
              <w:rPr>
                <w:rFonts w:ascii="Simplified Arabic" w:eastAsia="Times New Roman" w:hAnsi="Simplified Arabic" w:cs="Simplified Arabic" w:hint="cs"/>
                <w:color w:val="1B1C1D"/>
                <w:kern w:val="0"/>
                <w:sz w:val="32"/>
                <w:szCs w:val="32"/>
                <w:rtl/>
                <w14:ligatures w14:val="none"/>
              </w:rPr>
              <w:t>أداء</w:t>
            </w:r>
            <w:r w:rsidRPr="00A529D8">
              <w:rPr>
                <w:rFonts w:ascii="Simplified Arabic" w:eastAsia="Times New Roman" w:hAnsi="Simplified Arabic" w:cs="Simplified Arabic"/>
                <w:color w:val="1B1C1D"/>
                <w:kern w:val="0"/>
                <w:sz w:val="32"/>
                <w:szCs w:val="32"/>
                <w:rtl/>
                <w14:ligatures w14:val="none"/>
              </w:rPr>
              <w:t xml:space="preserve"> </w:t>
            </w:r>
            <w:r w:rsidRPr="00A529D8">
              <w:rPr>
                <w:rFonts w:ascii="Simplified Arabic" w:eastAsia="Times New Roman" w:hAnsi="Simplified Arabic" w:cs="Simplified Arabic"/>
                <w:color w:val="1B1C1D"/>
                <w:kern w:val="0"/>
                <w:sz w:val="32"/>
                <w:szCs w:val="32"/>
                <w14:ligatures w14:val="none"/>
              </w:rPr>
              <w:t>ESG</w:t>
            </w:r>
          </w:p>
        </w:tc>
        <w:tc>
          <w:tcPr>
            <w:tcW w:w="982" w:type="dxa"/>
          </w:tcPr>
          <w:p w14:paraId="2F596F97" w14:textId="045CFB93" w:rsidR="006D36B1" w:rsidRPr="00A524D0" w:rsidRDefault="00362127"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٢٩</w:t>
            </w:r>
          </w:p>
        </w:tc>
      </w:tr>
      <w:tr w:rsidR="006D36B1" w:rsidRPr="00A524D0" w14:paraId="66046C12"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4A2DA386" w14:textId="0EF75589" w:rsidR="006D36B1" w:rsidRPr="00A524D0" w:rsidRDefault="005D5394" w:rsidP="00F96B94">
            <w:pPr>
              <w:spacing w:after="120" w:line="360" w:lineRule="auto"/>
              <w:rPr>
                <w:rFonts w:ascii="Simplified Arabic" w:eastAsia="Times New Roman" w:hAnsi="Simplified Arabic" w:cs="Simplified Arabic"/>
                <w:color w:val="1B1C1D"/>
                <w:kern w:val="0"/>
                <w:sz w:val="32"/>
                <w:szCs w:val="32"/>
                <w:rtl/>
                <w14:ligatures w14:val="none"/>
              </w:rPr>
            </w:pPr>
            <w:r w:rsidRPr="005D5394">
              <w:rPr>
                <w:rFonts w:ascii="Simplified Arabic" w:eastAsia="Times New Roman" w:hAnsi="Simplified Arabic" w:cs="Simplified Arabic" w:hint="cs"/>
                <w:color w:val="1B1C1D"/>
                <w:kern w:val="0"/>
                <w:sz w:val="32"/>
                <w:szCs w:val="32"/>
                <w:rtl/>
                <w14:ligatures w14:val="none"/>
              </w:rPr>
              <w:t>قطاع</w:t>
            </w:r>
            <w:r w:rsidRPr="005D5394">
              <w:rPr>
                <w:rFonts w:ascii="Simplified Arabic" w:eastAsia="Times New Roman" w:hAnsi="Simplified Arabic" w:cs="Simplified Arabic"/>
                <w:color w:val="1B1C1D"/>
                <w:kern w:val="0"/>
                <w:sz w:val="32"/>
                <w:szCs w:val="32"/>
                <w:rtl/>
                <w14:ligatures w14:val="none"/>
              </w:rPr>
              <w:t xml:space="preserve"> </w:t>
            </w:r>
            <w:r w:rsidRPr="005D5394">
              <w:rPr>
                <w:rFonts w:ascii="Simplified Arabic" w:eastAsia="Times New Roman" w:hAnsi="Simplified Arabic" w:cs="Simplified Arabic" w:hint="cs"/>
                <w:color w:val="1B1C1D"/>
                <w:kern w:val="0"/>
                <w:sz w:val="32"/>
                <w:szCs w:val="32"/>
                <w:rtl/>
                <w14:ligatures w14:val="none"/>
              </w:rPr>
              <w:t>إدارة</w:t>
            </w:r>
            <w:r w:rsidRPr="005D5394">
              <w:rPr>
                <w:rFonts w:ascii="Simplified Arabic" w:eastAsia="Times New Roman" w:hAnsi="Simplified Arabic" w:cs="Simplified Arabic"/>
                <w:color w:val="1B1C1D"/>
                <w:kern w:val="0"/>
                <w:sz w:val="32"/>
                <w:szCs w:val="32"/>
                <w:rtl/>
                <w14:ligatures w14:val="none"/>
              </w:rPr>
              <w:t xml:space="preserve"> </w:t>
            </w:r>
            <w:r w:rsidRPr="005D5394">
              <w:rPr>
                <w:rFonts w:ascii="Simplified Arabic" w:eastAsia="Times New Roman" w:hAnsi="Simplified Arabic" w:cs="Simplified Arabic" w:hint="cs"/>
                <w:color w:val="1B1C1D"/>
                <w:kern w:val="0"/>
                <w:sz w:val="32"/>
                <w:szCs w:val="32"/>
                <w:rtl/>
                <w14:ligatures w14:val="none"/>
              </w:rPr>
              <w:t>المرافق</w:t>
            </w:r>
            <w:r w:rsidRPr="005D5394">
              <w:rPr>
                <w:rFonts w:ascii="Simplified Arabic" w:eastAsia="Times New Roman" w:hAnsi="Simplified Arabic" w:cs="Simplified Arabic"/>
                <w:color w:val="1B1C1D"/>
                <w:kern w:val="0"/>
                <w:sz w:val="32"/>
                <w:szCs w:val="32"/>
                <w:rtl/>
                <w14:ligatures w14:val="none"/>
              </w:rPr>
              <w:t xml:space="preserve"> (</w:t>
            </w:r>
            <w:r w:rsidRPr="005D5394">
              <w:rPr>
                <w:rFonts w:ascii="Simplified Arabic" w:eastAsia="Times New Roman" w:hAnsi="Simplified Arabic" w:cs="Simplified Arabic"/>
                <w:color w:val="1B1C1D"/>
                <w:kern w:val="0"/>
                <w:sz w:val="32"/>
                <w:szCs w:val="32"/>
                <w14:ligatures w14:val="none"/>
              </w:rPr>
              <w:t>Facility Management - FM</w:t>
            </w:r>
            <w:r w:rsidRPr="005D5394">
              <w:rPr>
                <w:rFonts w:ascii="Simplified Arabic" w:eastAsia="Times New Roman" w:hAnsi="Simplified Arabic" w:cs="Simplified Arabic"/>
                <w:color w:val="1B1C1D"/>
                <w:kern w:val="0"/>
                <w:sz w:val="32"/>
                <w:szCs w:val="32"/>
                <w:rtl/>
                <w14:ligatures w14:val="none"/>
              </w:rPr>
              <w:t xml:space="preserve">) </w:t>
            </w:r>
            <w:r w:rsidRPr="005D5394">
              <w:rPr>
                <w:rFonts w:ascii="Simplified Arabic" w:eastAsia="Times New Roman" w:hAnsi="Simplified Arabic" w:cs="Simplified Arabic" w:hint="cs"/>
                <w:color w:val="1B1C1D"/>
                <w:kern w:val="0"/>
                <w:sz w:val="32"/>
                <w:szCs w:val="32"/>
                <w:rtl/>
                <w14:ligatures w14:val="none"/>
              </w:rPr>
              <w:t>والاستدامة</w:t>
            </w:r>
          </w:p>
        </w:tc>
        <w:tc>
          <w:tcPr>
            <w:tcW w:w="982" w:type="dxa"/>
          </w:tcPr>
          <w:p w14:paraId="53E7285D" w14:textId="74B29A2D" w:rsidR="006D36B1" w:rsidRPr="00A524D0" w:rsidRDefault="00362127"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٣١</w:t>
            </w:r>
          </w:p>
        </w:tc>
      </w:tr>
      <w:tr w:rsidR="00B60BC8" w:rsidRPr="00A524D0" w14:paraId="7CBE147D"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0355F62F" w14:textId="6375BEAC" w:rsidR="00B60BC8" w:rsidRPr="00A524D0" w:rsidRDefault="006D36B1" w:rsidP="00F96B94">
            <w:pPr>
              <w:spacing w:after="120" w:line="360" w:lineRule="auto"/>
              <w:rPr>
                <w:rFonts w:ascii="Simplified Arabic" w:eastAsia="Times New Roman" w:hAnsi="Simplified Arabic" w:cs="Simplified Arabic"/>
                <w:color w:val="1B1C1D"/>
                <w:kern w:val="0"/>
                <w:sz w:val="32"/>
                <w:szCs w:val="32"/>
                <w:rtl/>
                <w14:ligatures w14:val="none"/>
              </w:rPr>
            </w:pPr>
            <w:r w:rsidRPr="006D36B1">
              <w:rPr>
                <w:rFonts w:ascii="Simplified Arabic" w:eastAsia="Times New Roman" w:hAnsi="Simplified Arabic" w:cs="Simplified Arabic" w:hint="cs"/>
                <w:color w:val="1B1C1D"/>
                <w:kern w:val="0"/>
                <w:sz w:val="32"/>
                <w:szCs w:val="32"/>
                <w:rtl/>
                <w14:ligatures w14:val="none"/>
              </w:rPr>
              <w:t>تطبيقات</w:t>
            </w:r>
            <w:r w:rsidRPr="006D36B1">
              <w:rPr>
                <w:rFonts w:ascii="Simplified Arabic" w:eastAsia="Times New Roman" w:hAnsi="Simplified Arabic" w:cs="Simplified Arabic"/>
                <w:color w:val="1B1C1D"/>
                <w:kern w:val="0"/>
                <w:sz w:val="32"/>
                <w:szCs w:val="32"/>
                <w:rtl/>
                <w14:ligatures w14:val="none"/>
              </w:rPr>
              <w:t xml:space="preserve"> </w:t>
            </w:r>
            <w:r w:rsidRPr="006D36B1">
              <w:rPr>
                <w:rFonts w:ascii="Simplified Arabic" w:eastAsia="Times New Roman" w:hAnsi="Simplified Arabic" w:cs="Simplified Arabic" w:hint="cs"/>
                <w:color w:val="1B1C1D"/>
                <w:kern w:val="0"/>
                <w:sz w:val="32"/>
                <w:szCs w:val="32"/>
                <w:rtl/>
                <w14:ligatures w14:val="none"/>
              </w:rPr>
              <w:t>مؤشرات</w:t>
            </w:r>
            <w:r w:rsidRPr="006D36B1">
              <w:rPr>
                <w:rFonts w:ascii="Simplified Arabic" w:eastAsia="Times New Roman" w:hAnsi="Simplified Arabic" w:cs="Simplified Arabic"/>
                <w:color w:val="1B1C1D"/>
                <w:kern w:val="0"/>
                <w:sz w:val="32"/>
                <w:szCs w:val="32"/>
                <w:rtl/>
                <w14:ligatures w14:val="none"/>
              </w:rPr>
              <w:t xml:space="preserve"> </w:t>
            </w:r>
            <w:r w:rsidRPr="006D36B1">
              <w:rPr>
                <w:rFonts w:ascii="Simplified Arabic" w:eastAsia="Times New Roman" w:hAnsi="Simplified Arabic" w:cs="Simplified Arabic" w:hint="cs"/>
                <w:color w:val="1B1C1D"/>
                <w:kern w:val="0"/>
                <w:sz w:val="32"/>
                <w:szCs w:val="32"/>
                <w:rtl/>
                <w14:ligatures w14:val="none"/>
              </w:rPr>
              <w:t>الأداء</w:t>
            </w:r>
            <w:r w:rsidRPr="006D36B1">
              <w:rPr>
                <w:rFonts w:ascii="Simplified Arabic" w:eastAsia="Times New Roman" w:hAnsi="Simplified Arabic" w:cs="Simplified Arabic"/>
                <w:color w:val="1B1C1D"/>
                <w:kern w:val="0"/>
                <w:sz w:val="32"/>
                <w:szCs w:val="32"/>
                <w:rtl/>
                <w14:ligatures w14:val="none"/>
              </w:rPr>
              <w:t xml:space="preserve"> </w:t>
            </w:r>
            <w:r w:rsidRPr="006D36B1">
              <w:rPr>
                <w:rFonts w:ascii="Simplified Arabic" w:eastAsia="Times New Roman" w:hAnsi="Simplified Arabic" w:cs="Simplified Arabic" w:hint="cs"/>
                <w:color w:val="1B1C1D"/>
                <w:kern w:val="0"/>
                <w:sz w:val="32"/>
                <w:szCs w:val="32"/>
                <w:rtl/>
                <w14:ligatures w14:val="none"/>
              </w:rPr>
              <w:t>البيئي</w:t>
            </w:r>
            <w:r w:rsidRPr="006D36B1">
              <w:rPr>
                <w:rFonts w:ascii="Simplified Arabic" w:eastAsia="Times New Roman" w:hAnsi="Simplified Arabic" w:cs="Simplified Arabic"/>
                <w:color w:val="1B1C1D"/>
                <w:kern w:val="0"/>
                <w:sz w:val="32"/>
                <w:szCs w:val="32"/>
                <w:rtl/>
                <w14:ligatures w14:val="none"/>
              </w:rPr>
              <w:t xml:space="preserve"> (</w:t>
            </w:r>
            <w:r w:rsidRPr="006D36B1">
              <w:rPr>
                <w:rFonts w:ascii="Simplified Arabic" w:eastAsia="Times New Roman" w:hAnsi="Simplified Arabic" w:cs="Simplified Arabic"/>
                <w:color w:val="1B1C1D"/>
                <w:kern w:val="0"/>
                <w:sz w:val="32"/>
                <w:szCs w:val="32"/>
                <w14:ligatures w14:val="none"/>
              </w:rPr>
              <w:t>E</w:t>
            </w:r>
            <w:r w:rsidRPr="006D36B1">
              <w:rPr>
                <w:rFonts w:ascii="Simplified Arabic" w:eastAsia="Times New Roman" w:hAnsi="Simplified Arabic" w:cs="Simplified Arabic"/>
                <w:color w:val="1B1C1D"/>
                <w:kern w:val="0"/>
                <w:sz w:val="32"/>
                <w:szCs w:val="32"/>
                <w:rtl/>
                <w14:ligatures w14:val="none"/>
              </w:rPr>
              <w:t xml:space="preserve">) </w:t>
            </w:r>
            <w:r w:rsidRPr="006D36B1">
              <w:rPr>
                <w:rFonts w:ascii="Simplified Arabic" w:eastAsia="Times New Roman" w:hAnsi="Simplified Arabic" w:cs="Simplified Arabic" w:hint="cs"/>
                <w:color w:val="1B1C1D"/>
                <w:kern w:val="0"/>
                <w:sz w:val="32"/>
                <w:szCs w:val="32"/>
                <w:rtl/>
                <w14:ligatures w14:val="none"/>
              </w:rPr>
              <w:t>في</w:t>
            </w:r>
            <w:r w:rsidRPr="006D36B1">
              <w:rPr>
                <w:rFonts w:ascii="Simplified Arabic" w:eastAsia="Times New Roman" w:hAnsi="Simplified Arabic" w:cs="Simplified Arabic"/>
                <w:color w:val="1B1C1D"/>
                <w:kern w:val="0"/>
                <w:sz w:val="32"/>
                <w:szCs w:val="32"/>
                <w:rtl/>
                <w14:ligatures w14:val="none"/>
              </w:rPr>
              <w:t xml:space="preserve"> </w:t>
            </w:r>
            <w:r w:rsidRPr="006D36B1">
              <w:rPr>
                <w:rFonts w:ascii="Simplified Arabic" w:eastAsia="Times New Roman" w:hAnsi="Simplified Arabic" w:cs="Simplified Arabic" w:hint="cs"/>
                <w:color w:val="1B1C1D"/>
                <w:kern w:val="0"/>
                <w:sz w:val="32"/>
                <w:szCs w:val="32"/>
                <w:rtl/>
                <w14:ligatures w14:val="none"/>
              </w:rPr>
              <w:t>قطاع</w:t>
            </w:r>
            <w:r w:rsidRPr="006D36B1">
              <w:rPr>
                <w:rFonts w:ascii="Simplified Arabic" w:eastAsia="Times New Roman" w:hAnsi="Simplified Arabic" w:cs="Simplified Arabic"/>
                <w:color w:val="1B1C1D"/>
                <w:kern w:val="0"/>
                <w:sz w:val="32"/>
                <w:szCs w:val="32"/>
                <w:rtl/>
                <w14:ligatures w14:val="none"/>
              </w:rPr>
              <w:t xml:space="preserve"> </w:t>
            </w:r>
            <w:r w:rsidRPr="006D36B1">
              <w:rPr>
                <w:rFonts w:ascii="Simplified Arabic" w:eastAsia="Times New Roman" w:hAnsi="Simplified Arabic" w:cs="Simplified Arabic" w:hint="cs"/>
                <w:color w:val="1B1C1D"/>
                <w:kern w:val="0"/>
                <w:sz w:val="32"/>
                <w:szCs w:val="32"/>
                <w:rtl/>
                <w14:ligatures w14:val="none"/>
              </w:rPr>
              <w:t>إدارة</w:t>
            </w:r>
            <w:r w:rsidRPr="006D36B1">
              <w:rPr>
                <w:rFonts w:ascii="Simplified Arabic" w:eastAsia="Times New Roman" w:hAnsi="Simplified Arabic" w:cs="Simplified Arabic"/>
                <w:color w:val="1B1C1D"/>
                <w:kern w:val="0"/>
                <w:sz w:val="32"/>
                <w:szCs w:val="32"/>
                <w:rtl/>
                <w14:ligatures w14:val="none"/>
              </w:rPr>
              <w:t xml:space="preserve"> </w:t>
            </w:r>
            <w:r w:rsidRPr="006D36B1">
              <w:rPr>
                <w:rFonts w:ascii="Simplified Arabic" w:eastAsia="Times New Roman" w:hAnsi="Simplified Arabic" w:cs="Simplified Arabic" w:hint="cs"/>
                <w:color w:val="1B1C1D"/>
                <w:kern w:val="0"/>
                <w:sz w:val="32"/>
                <w:szCs w:val="32"/>
                <w:rtl/>
                <w14:ligatures w14:val="none"/>
              </w:rPr>
              <w:t>المرافق</w:t>
            </w:r>
          </w:p>
        </w:tc>
        <w:tc>
          <w:tcPr>
            <w:tcW w:w="982" w:type="dxa"/>
          </w:tcPr>
          <w:p w14:paraId="13D2100A" w14:textId="4015F27D" w:rsidR="00B60BC8" w:rsidRPr="00A524D0" w:rsidRDefault="00362127"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٣٣</w:t>
            </w:r>
          </w:p>
        </w:tc>
      </w:tr>
      <w:tr w:rsidR="00B60BC8" w:rsidRPr="00A524D0" w14:paraId="39420839"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158DDA31" w14:textId="55489000" w:rsidR="00B60BC8" w:rsidRPr="00A524D0" w:rsidRDefault="001F0D10" w:rsidP="00F96B94">
            <w:pPr>
              <w:spacing w:after="120" w:line="360" w:lineRule="auto"/>
              <w:rPr>
                <w:rFonts w:ascii="Simplified Arabic" w:eastAsia="Times New Roman" w:hAnsi="Simplified Arabic" w:cs="Simplified Arabic"/>
                <w:color w:val="1B1C1D"/>
                <w:kern w:val="0"/>
                <w:sz w:val="32"/>
                <w:szCs w:val="32"/>
                <w:rtl/>
                <w14:ligatures w14:val="none"/>
              </w:rPr>
            </w:pPr>
            <w:r w:rsidRPr="001F0D10">
              <w:rPr>
                <w:rFonts w:ascii="Simplified Arabic" w:eastAsia="Times New Roman" w:hAnsi="Simplified Arabic" w:cs="Simplified Arabic" w:hint="cs"/>
                <w:color w:val="1B1C1D"/>
                <w:kern w:val="0"/>
                <w:sz w:val="32"/>
                <w:szCs w:val="32"/>
                <w:rtl/>
                <w14:ligatures w14:val="none"/>
              </w:rPr>
              <w:t>تطبيقات</w:t>
            </w:r>
            <w:r w:rsidRPr="001F0D10">
              <w:rPr>
                <w:rFonts w:ascii="Simplified Arabic" w:eastAsia="Times New Roman" w:hAnsi="Simplified Arabic" w:cs="Simplified Arabic"/>
                <w:color w:val="1B1C1D"/>
                <w:kern w:val="0"/>
                <w:sz w:val="32"/>
                <w:szCs w:val="32"/>
                <w:rtl/>
                <w14:ligatures w14:val="none"/>
              </w:rPr>
              <w:t xml:space="preserve"> </w:t>
            </w:r>
            <w:r w:rsidRPr="001F0D10">
              <w:rPr>
                <w:rFonts w:ascii="Simplified Arabic" w:eastAsia="Times New Roman" w:hAnsi="Simplified Arabic" w:cs="Simplified Arabic" w:hint="cs"/>
                <w:color w:val="1B1C1D"/>
                <w:kern w:val="0"/>
                <w:sz w:val="32"/>
                <w:szCs w:val="32"/>
                <w:rtl/>
                <w14:ligatures w14:val="none"/>
              </w:rPr>
              <w:t>مؤشرات</w:t>
            </w:r>
            <w:r w:rsidRPr="001F0D10">
              <w:rPr>
                <w:rFonts w:ascii="Simplified Arabic" w:eastAsia="Times New Roman" w:hAnsi="Simplified Arabic" w:cs="Simplified Arabic"/>
                <w:color w:val="1B1C1D"/>
                <w:kern w:val="0"/>
                <w:sz w:val="32"/>
                <w:szCs w:val="32"/>
                <w:rtl/>
                <w14:ligatures w14:val="none"/>
              </w:rPr>
              <w:t xml:space="preserve"> </w:t>
            </w:r>
            <w:r w:rsidRPr="001F0D10">
              <w:rPr>
                <w:rFonts w:ascii="Simplified Arabic" w:eastAsia="Times New Roman" w:hAnsi="Simplified Arabic" w:cs="Simplified Arabic" w:hint="cs"/>
                <w:color w:val="1B1C1D"/>
                <w:kern w:val="0"/>
                <w:sz w:val="32"/>
                <w:szCs w:val="32"/>
                <w:rtl/>
                <w14:ligatures w14:val="none"/>
              </w:rPr>
              <w:t>الأداء</w:t>
            </w:r>
            <w:r w:rsidRPr="001F0D10">
              <w:rPr>
                <w:rFonts w:ascii="Simplified Arabic" w:eastAsia="Times New Roman" w:hAnsi="Simplified Arabic" w:cs="Simplified Arabic"/>
                <w:color w:val="1B1C1D"/>
                <w:kern w:val="0"/>
                <w:sz w:val="32"/>
                <w:szCs w:val="32"/>
                <w:rtl/>
                <w14:ligatures w14:val="none"/>
              </w:rPr>
              <w:t xml:space="preserve"> </w:t>
            </w:r>
            <w:r w:rsidRPr="001F0D10">
              <w:rPr>
                <w:rFonts w:ascii="Simplified Arabic" w:eastAsia="Times New Roman" w:hAnsi="Simplified Arabic" w:cs="Simplified Arabic" w:hint="cs"/>
                <w:color w:val="1B1C1D"/>
                <w:kern w:val="0"/>
                <w:sz w:val="32"/>
                <w:szCs w:val="32"/>
                <w:rtl/>
                <w14:ligatures w14:val="none"/>
              </w:rPr>
              <w:t>الاجتماعي</w:t>
            </w:r>
            <w:r w:rsidRPr="001F0D10">
              <w:rPr>
                <w:rFonts w:ascii="Simplified Arabic" w:eastAsia="Times New Roman" w:hAnsi="Simplified Arabic" w:cs="Simplified Arabic"/>
                <w:color w:val="1B1C1D"/>
                <w:kern w:val="0"/>
                <w:sz w:val="32"/>
                <w:szCs w:val="32"/>
                <w:rtl/>
                <w14:ligatures w14:val="none"/>
              </w:rPr>
              <w:t xml:space="preserve"> (</w:t>
            </w:r>
            <w:r w:rsidRPr="001F0D10">
              <w:rPr>
                <w:rFonts w:ascii="Simplified Arabic" w:eastAsia="Times New Roman" w:hAnsi="Simplified Arabic" w:cs="Simplified Arabic"/>
                <w:color w:val="1B1C1D"/>
                <w:kern w:val="0"/>
                <w:sz w:val="32"/>
                <w:szCs w:val="32"/>
                <w14:ligatures w14:val="none"/>
              </w:rPr>
              <w:t>S</w:t>
            </w:r>
            <w:r w:rsidRPr="001F0D10">
              <w:rPr>
                <w:rFonts w:ascii="Simplified Arabic" w:eastAsia="Times New Roman" w:hAnsi="Simplified Arabic" w:cs="Simplified Arabic"/>
                <w:color w:val="1B1C1D"/>
                <w:kern w:val="0"/>
                <w:sz w:val="32"/>
                <w:szCs w:val="32"/>
                <w:rtl/>
                <w14:ligatures w14:val="none"/>
              </w:rPr>
              <w:t xml:space="preserve">) </w:t>
            </w:r>
            <w:r w:rsidRPr="001F0D10">
              <w:rPr>
                <w:rFonts w:ascii="Simplified Arabic" w:eastAsia="Times New Roman" w:hAnsi="Simplified Arabic" w:cs="Simplified Arabic" w:hint="cs"/>
                <w:color w:val="1B1C1D"/>
                <w:kern w:val="0"/>
                <w:sz w:val="32"/>
                <w:szCs w:val="32"/>
                <w:rtl/>
                <w14:ligatures w14:val="none"/>
              </w:rPr>
              <w:t>في</w:t>
            </w:r>
            <w:r w:rsidRPr="001F0D10">
              <w:rPr>
                <w:rFonts w:ascii="Simplified Arabic" w:eastAsia="Times New Roman" w:hAnsi="Simplified Arabic" w:cs="Simplified Arabic"/>
                <w:color w:val="1B1C1D"/>
                <w:kern w:val="0"/>
                <w:sz w:val="32"/>
                <w:szCs w:val="32"/>
                <w:rtl/>
                <w14:ligatures w14:val="none"/>
              </w:rPr>
              <w:t xml:space="preserve"> </w:t>
            </w:r>
            <w:r w:rsidRPr="001F0D10">
              <w:rPr>
                <w:rFonts w:ascii="Simplified Arabic" w:eastAsia="Times New Roman" w:hAnsi="Simplified Arabic" w:cs="Simplified Arabic" w:hint="cs"/>
                <w:color w:val="1B1C1D"/>
                <w:kern w:val="0"/>
                <w:sz w:val="32"/>
                <w:szCs w:val="32"/>
                <w:rtl/>
                <w14:ligatures w14:val="none"/>
              </w:rPr>
              <w:t>قطاع</w:t>
            </w:r>
            <w:r w:rsidRPr="001F0D10">
              <w:rPr>
                <w:rFonts w:ascii="Simplified Arabic" w:eastAsia="Times New Roman" w:hAnsi="Simplified Arabic" w:cs="Simplified Arabic"/>
                <w:color w:val="1B1C1D"/>
                <w:kern w:val="0"/>
                <w:sz w:val="32"/>
                <w:szCs w:val="32"/>
                <w:rtl/>
                <w14:ligatures w14:val="none"/>
              </w:rPr>
              <w:t xml:space="preserve"> </w:t>
            </w:r>
            <w:r w:rsidRPr="001F0D10">
              <w:rPr>
                <w:rFonts w:ascii="Simplified Arabic" w:eastAsia="Times New Roman" w:hAnsi="Simplified Arabic" w:cs="Simplified Arabic" w:hint="cs"/>
                <w:color w:val="1B1C1D"/>
                <w:kern w:val="0"/>
                <w:sz w:val="32"/>
                <w:szCs w:val="32"/>
                <w:rtl/>
                <w14:ligatures w14:val="none"/>
              </w:rPr>
              <w:t>إدارة</w:t>
            </w:r>
            <w:r w:rsidRPr="001F0D10">
              <w:rPr>
                <w:rFonts w:ascii="Simplified Arabic" w:eastAsia="Times New Roman" w:hAnsi="Simplified Arabic" w:cs="Simplified Arabic"/>
                <w:color w:val="1B1C1D"/>
                <w:kern w:val="0"/>
                <w:sz w:val="32"/>
                <w:szCs w:val="32"/>
                <w:rtl/>
                <w14:ligatures w14:val="none"/>
              </w:rPr>
              <w:t xml:space="preserve"> </w:t>
            </w:r>
            <w:r w:rsidRPr="001F0D10">
              <w:rPr>
                <w:rFonts w:ascii="Simplified Arabic" w:eastAsia="Times New Roman" w:hAnsi="Simplified Arabic" w:cs="Simplified Arabic" w:hint="cs"/>
                <w:color w:val="1B1C1D"/>
                <w:kern w:val="0"/>
                <w:sz w:val="32"/>
                <w:szCs w:val="32"/>
                <w:rtl/>
                <w14:ligatures w14:val="none"/>
              </w:rPr>
              <w:t>المرافق</w:t>
            </w:r>
          </w:p>
        </w:tc>
        <w:tc>
          <w:tcPr>
            <w:tcW w:w="982" w:type="dxa"/>
          </w:tcPr>
          <w:p w14:paraId="7DF84A29" w14:textId="38EBBEEB" w:rsidR="00B60BC8" w:rsidRPr="00A524D0" w:rsidRDefault="00362127"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٣٥</w:t>
            </w:r>
          </w:p>
        </w:tc>
      </w:tr>
      <w:tr w:rsidR="00B60BC8" w:rsidRPr="00A524D0" w14:paraId="46AECEBF"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41169A21" w14:textId="79ADCE71" w:rsidR="00B60BC8" w:rsidRPr="00A524D0" w:rsidRDefault="004A026B" w:rsidP="00F96B94">
            <w:pPr>
              <w:spacing w:after="120" w:line="360" w:lineRule="auto"/>
              <w:rPr>
                <w:rFonts w:ascii="Simplified Arabic" w:eastAsia="Times New Roman" w:hAnsi="Simplified Arabic" w:cs="Simplified Arabic"/>
                <w:color w:val="1B1C1D"/>
                <w:kern w:val="0"/>
                <w:sz w:val="32"/>
                <w:szCs w:val="32"/>
                <w:rtl/>
                <w14:ligatures w14:val="none"/>
              </w:rPr>
            </w:pPr>
            <w:r w:rsidRPr="004A026B">
              <w:rPr>
                <w:rFonts w:ascii="Simplified Arabic" w:eastAsia="Times New Roman" w:hAnsi="Simplified Arabic" w:cs="Simplified Arabic" w:hint="cs"/>
                <w:color w:val="1B1C1D"/>
                <w:kern w:val="0"/>
                <w:sz w:val="32"/>
                <w:szCs w:val="32"/>
                <w:rtl/>
                <w14:ligatures w14:val="none"/>
              </w:rPr>
              <w:t>تطبيقات</w:t>
            </w:r>
            <w:r w:rsidRPr="004A026B">
              <w:rPr>
                <w:rFonts w:ascii="Simplified Arabic" w:eastAsia="Times New Roman" w:hAnsi="Simplified Arabic" w:cs="Simplified Arabic"/>
                <w:color w:val="1B1C1D"/>
                <w:kern w:val="0"/>
                <w:sz w:val="32"/>
                <w:szCs w:val="32"/>
                <w:rtl/>
                <w14:ligatures w14:val="none"/>
              </w:rPr>
              <w:t xml:space="preserve"> </w:t>
            </w:r>
            <w:r w:rsidRPr="004A026B">
              <w:rPr>
                <w:rFonts w:ascii="Simplified Arabic" w:eastAsia="Times New Roman" w:hAnsi="Simplified Arabic" w:cs="Simplified Arabic" w:hint="cs"/>
                <w:color w:val="1B1C1D"/>
                <w:kern w:val="0"/>
                <w:sz w:val="32"/>
                <w:szCs w:val="32"/>
                <w:rtl/>
                <w14:ligatures w14:val="none"/>
              </w:rPr>
              <w:t>مؤشرات</w:t>
            </w:r>
            <w:r w:rsidRPr="004A026B">
              <w:rPr>
                <w:rFonts w:ascii="Simplified Arabic" w:eastAsia="Times New Roman" w:hAnsi="Simplified Arabic" w:cs="Simplified Arabic"/>
                <w:color w:val="1B1C1D"/>
                <w:kern w:val="0"/>
                <w:sz w:val="32"/>
                <w:szCs w:val="32"/>
                <w:rtl/>
                <w14:ligatures w14:val="none"/>
              </w:rPr>
              <w:t xml:space="preserve"> </w:t>
            </w:r>
            <w:r w:rsidRPr="004A026B">
              <w:rPr>
                <w:rFonts w:ascii="Simplified Arabic" w:eastAsia="Times New Roman" w:hAnsi="Simplified Arabic" w:cs="Simplified Arabic" w:hint="cs"/>
                <w:color w:val="1B1C1D"/>
                <w:kern w:val="0"/>
                <w:sz w:val="32"/>
                <w:szCs w:val="32"/>
                <w:rtl/>
                <w14:ligatures w14:val="none"/>
              </w:rPr>
              <w:t>الحوكمة</w:t>
            </w:r>
            <w:r w:rsidRPr="004A026B">
              <w:rPr>
                <w:rFonts w:ascii="Simplified Arabic" w:eastAsia="Times New Roman" w:hAnsi="Simplified Arabic" w:cs="Simplified Arabic"/>
                <w:color w:val="1B1C1D"/>
                <w:kern w:val="0"/>
                <w:sz w:val="32"/>
                <w:szCs w:val="32"/>
                <w:rtl/>
                <w14:ligatures w14:val="none"/>
              </w:rPr>
              <w:t xml:space="preserve"> (</w:t>
            </w:r>
            <w:r w:rsidRPr="004A026B">
              <w:rPr>
                <w:rFonts w:ascii="Simplified Arabic" w:eastAsia="Times New Roman" w:hAnsi="Simplified Arabic" w:cs="Simplified Arabic"/>
                <w:color w:val="1B1C1D"/>
                <w:kern w:val="0"/>
                <w:sz w:val="32"/>
                <w:szCs w:val="32"/>
                <w14:ligatures w14:val="none"/>
              </w:rPr>
              <w:t>G</w:t>
            </w:r>
            <w:r w:rsidRPr="004A026B">
              <w:rPr>
                <w:rFonts w:ascii="Simplified Arabic" w:eastAsia="Times New Roman" w:hAnsi="Simplified Arabic" w:cs="Simplified Arabic"/>
                <w:color w:val="1B1C1D"/>
                <w:kern w:val="0"/>
                <w:sz w:val="32"/>
                <w:szCs w:val="32"/>
                <w:rtl/>
                <w14:ligatures w14:val="none"/>
              </w:rPr>
              <w:t xml:space="preserve">) </w:t>
            </w:r>
            <w:r w:rsidRPr="004A026B">
              <w:rPr>
                <w:rFonts w:ascii="Simplified Arabic" w:eastAsia="Times New Roman" w:hAnsi="Simplified Arabic" w:cs="Simplified Arabic" w:hint="cs"/>
                <w:color w:val="1B1C1D"/>
                <w:kern w:val="0"/>
                <w:sz w:val="32"/>
                <w:szCs w:val="32"/>
                <w:rtl/>
                <w14:ligatures w14:val="none"/>
              </w:rPr>
              <w:t>في</w:t>
            </w:r>
            <w:r w:rsidRPr="004A026B">
              <w:rPr>
                <w:rFonts w:ascii="Simplified Arabic" w:eastAsia="Times New Roman" w:hAnsi="Simplified Arabic" w:cs="Simplified Arabic"/>
                <w:color w:val="1B1C1D"/>
                <w:kern w:val="0"/>
                <w:sz w:val="32"/>
                <w:szCs w:val="32"/>
                <w:rtl/>
                <w14:ligatures w14:val="none"/>
              </w:rPr>
              <w:t xml:space="preserve"> </w:t>
            </w:r>
            <w:r w:rsidRPr="004A026B">
              <w:rPr>
                <w:rFonts w:ascii="Simplified Arabic" w:eastAsia="Times New Roman" w:hAnsi="Simplified Arabic" w:cs="Simplified Arabic" w:hint="cs"/>
                <w:color w:val="1B1C1D"/>
                <w:kern w:val="0"/>
                <w:sz w:val="32"/>
                <w:szCs w:val="32"/>
                <w:rtl/>
                <w14:ligatures w14:val="none"/>
              </w:rPr>
              <w:t>قطاع</w:t>
            </w:r>
            <w:r w:rsidRPr="004A026B">
              <w:rPr>
                <w:rFonts w:ascii="Simplified Arabic" w:eastAsia="Times New Roman" w:hAnsi="Simplified Arabic" w:cs="Simplified Arabic"/>
                <w:color w:val="1B1C1D"/>
                <w:kern w:val="0"/>
                <w:sz w:val="32"/>
                <w:szCs w:val="32"/>
                <w:rtl/>
                <w14:ligatures w14:val="none"/>
              </w:rPr>
              <w:t xml:space="preserve"> </w:t>
            </w:r>
            <w:r w:rsidRPr="004A026B">
              <w:rPr>
                <w:rFonts w:ascii="Simplified Arabic" w:eastAsia="Times New Roman" w:hAnsi="Simplified Arabic" w:cs="Simplified Arabic" w:hint="cs"/>
                <w:color w:val="1B1C1D"/>
                <w:kern w:val="0"/>
                <w:sz w:val="32"/>
                <w:szCs w:val="32"/>
                <w:rtl/>
                <w14:ligatures w14:val="none"/>
              </w:rPr>
              <w:t>إدارة</w:t>
            </w:r>
            <w:r w:rsidRPr="004A026B">
              <w:rPr>
                <w:rFonts w:ascii="Simplified Arabic" w:eastAsia="Times New Roman" w:hAnsi="Simplified Arabic" w:cs="Simplified Arabic"/>
                <w:color w:val="1B1C1D"/>
                <w:kern w:val="0"/>
                <w:sz w:val="32"/>
                <w:szCs w:val="32"/>
                <w:rtl/>
                <w14:ligatures w14:val="none"/>
              </w:rPr>
              <w:t xml:space="preserve"> </w:t>
            </w:r>
            <w:r w:rsidRPr="004A026B">
              <w:rPr>
                <w:rFonts w:ascii="Simplified Arabic" w:eastAsia="Times New Roman" w:hAnsi="Simplified Arabic" w:cs="Simplified Arabic" w:hint="cs"/>
                <w:color w:val="1B1C1D"/>
                <w:kern w:val="0"/>
                <w:sz w:val="32"/>
                <w:szCs w:val="32"/>
                <w:rtl/>
                <w14:ligatures w14:val="none"/>
              </w:rPr>
              <w:t>المرافق</w:t>
            </w:r>
          </w:p>
        </w:tc>
        <w:tc>
          <w:tcPr>
            <w:tcW w:w="982" w:type="dxa"/>
          </w:tcPr>
          <w:p w14:paraId="1B23C7A5" w14:textId="191C6A92" w:rsidR="00B60BC8" w:rsidRPr="00A524D0" w:rsidRDefault="00362127"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٣٧</w:t>
            </w:r>
          </w:p>
        </w:tc>
      </w:tr>
      <w:tr w:rsidR="002209DA" w:rsidRPr="00A524D0" w14:paraId="421F1854"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4C2E63B2" w14:textId="3C936B16" w:rsidR="002209DA" w:rsidRPr="00A524D0" w:rsidRDefault="00B60BC8" w:rsidP="00F96B94">
            <w:pPr>
              <w:spacing w:after="120" w:line="360" w:lineRule="auto"/>
              <w:rPr>
                <w:rFonts w:ascii="Simplified Arabic" w:eastAsia="Times New Roman" w:hAnsi="Simplified Arabic" w:cs="Simplified Arabic"/>
                <w:color w:val="1B1C1D"/>
                <w:kern w:val="0"/>
                <w:sz w:val="32"/>
                <w:szCs w:val="32"/>
                <w:rtl/>
                <w14:ligatures w14:val="none"/>
              </w:rPr>
            </w:pPr>
            <w:r w:rsidRPr="00B60BC8">
              <w:rPr>
                <w:rFonts w:ascii="Simplified Arabic" w:eastAsia="Times New Roman" w:hAnsi="Simplified Arabic" w:cs="Simplified Arabic" w:hint="cs"/>
                <w:color w:val="1B1C1D"/>
                <w:kern w:val="0"/>
                <w:sz w:val="32"/>
                <w:szCs w:val="32"/>
                <w:rtl/>
                <w14:ligatures w14:val="none"/>
              </w:rPr>
              <w:t>السياق</w:t>
            </w:r>
            <w:r w:rsidRPr="00B60BC8">
              <w:rPr>
                <w:rFonts w:ascii="Simplified Arabic" w:eastAsia="Times New Roman" w:hAnsi="Simplified Arabic" w:cs="Simplified Arabic"/>
                <w:color w:val="1B1C1D"/>
                <w:kern w:val="0"/>
                <w:sz w:val="32"/>
                <w:szCs w:val="32"/>
                <w:rtl/>
                <w14:ligatures w14:val="none"/>
              </w:rPr>
              <w:t xml:space="preserve"> </w:t>
            </w:r>
            <w:r w:rsidRPr="00B60BC8">
              <w:rPr>
                <w:rFonts w:ascii="Simplified Arabic" w:eastAsia="Times New Roman" w:hAnsi="Simplified Arabic" w:cs="Simplified Arabic" w:hint="cs"/>
                <w:color w:val="1B1C1D"/>
                <w:kern w:val="0"/>
                <w:sz w:val="32"/>
                <w:szCs w:val="32"/>
                <w:rtl/>
                <w14:ligatures w14:val="none"/>
              </w:rPr>
              <w:t>السعودي</w:t>
            </w:r>
            <w:r w:rsidRPr="00B60BC8">
              <w:rPr>
                <w:rFonts w:ascii="Simplified Arabic" w:eastAsia="Times New Roman" w:hAnsi="Simplified Arabic" w:cs="Simplified Arabic"/>
                <w:color w:val="1B1C1D"/>
                <w:kern w:val="0"/>
                <w:sz w:val="32"/>
                <w:szCs w:val="32"/>
                <w:rtl/>
                <w14:ligatures w14:val="none"/>
              </w:rPr>
              <w:t xml:space="preserve"> </w:t>
            </w:r>
            <w:r w:rsidRPr="00B60BC8">
              <w:rPr>
                <w:rFonts w:ascii="Simplified Arabic" w:eastAsia="Times New Roman" w:hAnsi="Simplified Arabic" w:cs="Simplified Arabic" w:hint="cs"/>
                <w:color w:val="1B1C1D"/>
                <w:kern w:val="0"/>
                <w:sz w:val="32"/>
                <w:szCs w:val="32"/>
                <w:rtl/>
                <w14:ligatures w14:val="none"/>
              </w:rPr>
              <w:t>وإدارة</w:t>
            </w:r>
            <w:r w:rsidRPr="00B60BC8">
              <w:rPr>
                <w:rFonts w:ascii="Simplified Arabic" w:eastAsia="Times New Roman" w:hAnsi="Simplified Arabic" w:cs="Simplified Arabic"/>
                <w:color w:val="1B1C1D"/>
                <w:kern w:val="0"/>
                <w:sz w:val="32"/>
                <w:szCs w:val="32"/>
                <w:rtl/>
                <w14:ligatures w14:val="none"/>
              </w:rPr>
              <w:t xml:space="preserve"> </w:t>
            </w:r>
            <w:r w:rsidRPr="00B60BC8">
              <w:rPr>
                <w:rFonts w:ascii="Simplified Arabic" w:eastAsia="Times New Roman" w:hAnsi="Simplified Arabic" w:cs="Simplified Arabic" w:hint="cs"/>
                <w:color w:val="1B1C1D"/>
                <w:kern w:val="0"/>
                <w:sz w:val="32"/>
                <w:szCs w:val="32"/>
                <w:rtl/>
                <w14:ligatures w14:val="none"/>
              </w:rPr>
              <w:t>المرافق</w:t>
            </w:r>
            <w:r w:rsidRPr="00B60BC8">
              <w:rPr>
                <w:rFonts w:ascii="Simplified Arabic" w:eastAsia="Times New Roman" w:hAnsi="Simplified Arabic" w:cs="Simplified Arabic"/>
                <w:color w:val="1B1C1D"/>
                <w:kern w:val="0"/>
                <w:sz w:val="32"/>
                <w:szCs w:val="32"/>
                <w:rtl/>
                <w14:ligatures w14:val="none"/>
              </w:rPr>
              <w:t xml:space="preserve"> </w:t>
            </w:r>
            <w:r w:rsidRPr="00B60BC8">
              <w:rPr>
                <w:rFonts w:ascii="Simplified Arabic" w:eastAsia="Times New Roman" w:hAnsi="Simplified Arabic" w:cs="Simplified Arabic" w:hint="cs"/>
                <w:color w:val="1B1C1D"/>
                <w:kern w:val="0"/>
                <w:sz w:val="32"/>
                <w:szCs w:val="32"/>
                <w:rtl/>
                <w14:ligatures w14:val="none"/>
              </w:rPr>
              <w:t>في</w:t>
            </w:r>
            <w:r w:rsidRPr="00B60BC8">
              <w:rPr>
                <w:rFonts w:ascii="Simplified Arabic" w:eastAsia="Times New Roman" w:hAnsi="Simplified Arabic" w:cs="Simplified Arabic"/>
                <w:color w:val="1B1C1D"/>
                <w:kern w:val="0"/>
                <w:sz w:val="32"/>
                <w:szCs w:val="32"/>
                <w:rtl/>
                <w14:ligatures w14:val="none"/>
              </w:rPr>
              <w:t xml:space="preserve"> </w:t>
            </w:r>
            <w:r w:rsidRPr="00B60BC8">
              <w:rPr>
                <w:rFonts w:ascii="Simplified Arabic" w:eastAsia="Times New Roman" w:hAnsi="Simplified Arabic" w:cs="Simplified Arabic" w:hint="cs"/>
                <w:color w:val="1B1C1D"/>
                <w:kern w:val="0"/>
                <w:sz w:val="32"/>
                <w:szCs w:val="32"/>
                <w:rtl/>
                <w14:ligatures w14:val="none"/>
              </w:rPr>
              <w:t>ضوء</w:t>
            </w:r>
            <w:r w:rsidRPr="00B60BC8">
              <w:rPr>
                <w:rFonts w:ascii="Simplified Arabic" w:eastAsia="Times New Roman" w:hAnsi="Simplified Arabic" w:cs="Simplified Arabic"/>
                <w:color w:val="1B1C1D"/>
                <w:kern w:val="0"/>
                <w:sz w:val="32"/>
                <w:szCs w:val="32"/>
                <w:rtl/>
                <w14:ligatures w14:val="none"/>
              </w:rPr>
              <w:t xml:space="preserve"> </w:t>
            </w:r>
            <w:r w:rsidRPr="00B60BC8">
              <w:rPr>
                <w:rFonts w:ascii="Simplified Arabic" w:eastAsia="Times New Roman" w:hAnsi="Simplified Arabic" w:cs="Simplified Arabic" w:hint="cs"/>
                <w:color w:val="1B1C1D"/>
                <w:kern w:val="0"/>
                <w:sz w:val="32"/>
                <w:szCs w:val="32"/>
                <w:rtl/>
                <w14:ligatures w14:val="none"/>
              </w:rPr>
              <w:t>رؤية</w:t>
            </w:r>
            <w:r w:rsidRPr="00B60BC8">
              <w:rPr>
                <w:rFonts w:ascii="Simplified Arabic" w:eastAsia="Times New Roman" w:hAnsi="Simplified Arabic" w:cs="Simplified Arabic"/>
                <w:color w:val="1B1C1D"/>
                <w:kern w:val="0"/>
                <w:sz w:val="32"/>
                <w:szCs w:val="32"/>
                <w:rtl/>
                <w14:ligatures w14:val="none"/>
              </w:rPr>
              <w:t xml:space="preserve"> 2030</w:t>
            </w:r>
          </w:p>
        </w:tc>
        <w:tc>
          <w:tcPr>
            <w:tcW w:w="982" w:type="dxa"/>
          </w:tcPr>
          <w:p w14:paraId="2AB37869" w14:textId="575BBDB0" w:rsidR="002209DA" w:rsidRPr="00A524D0" w:rsidRDefault="00362127"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٣٨</w:t>
            </w:r>
          </w:p>
        </w:tc>
      </w:tr>
      <w:tr w:rsidR="002209DA" w:rsidRPr="00A524D0" w14:paraId="7BD52644"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7A4376EB" w14:textId="07698AF6" w:rsidR="002209DA" w:rsidRPr="00A524D0" w:rsidRDefault="00D6109A" w:rsidP="00F96B94">
            <w:pPr>
              <w:spacing w:after="120" w:line="360" w:lineRule="auto"/>
              <w:rPr>
                <w:rFonts w:ascii="Simplified Arabic" w:eastAsia="Times New Roman" w:hAnsi="Simplified Arabic" w:cs="Simplified Arabic"/>
                <w:color w:val="1B1C1D"/>
                <w:kern w:val="0"/>
                <w:sz w:val="32"/>
                <w:szCs w:val="32"/>
                <w:rtl/>
                <w14:ligatures w14:val="none"/>
              </w:rPr>
            </w:pPr>
            <w:r w:rsidRPr="00D6109A">
              <w:rPr>
                <w:rFonts w:ascii="Simplified Arabic" w:eastAsia="Times New Roman" w:hAnsi="Simplified Arabic" w:cs="Simplified Arabic" w:hint="cs"/>
                <w:color w:val="1B1C1D"/>
                <w:kern w:val="0"/>
                <w:sz w:val="32"/>
                <w:szCs w:val="32"/>
                <w:rtl/>
                <w14:ligatures w14:val="none"/>
              </w:rPr>
              <w:t>التحديات</w:t>
            </w:r>
            <w:r w:rsidRPr="00D6109A">
              <w:rPr>
                <w:rFonts w:ascii="Simplified Arabic" w:eastAsia="Times New Roman" w:hAnsi="Simplified Arabic" w:cs="Simplified Arabic"/>
                <w:color w:val="1B1C1D"/>
                <w:kern w:val="0"/>
                <w:sz w:val="32"/>
                <w:szCs w:val="32"/>
                <w:rtl/>
                <w14:ligatures w14:val="none"/>
              </w:rPr>
              <w:t xml:space="preserve"> </w:t>
            </w:r>
            <w:r w:rsidRPr="00D6109A">
              <w:rPr>
                <w:rFonts w:ascii="Simplified Arabic" w:eastAsia="Times New Roman" w:hAnsi="Simplified Arabic" w:cs="Simplified Arabic" w:hint="cs"/>
                <w:color w:val="1B1C1D"/>
                <w:kern w:val="0"/>
                <w:sz w:val="32"/>
                <w:szCs w:val="32"/>
                <w:rtl/>
                <w14:ligatures w14:val="none"/>
              </w:rPr>
              <w:t>والمعوقات</w:t>
            </w:r>
            <w:r w:rsidRPr="00D6109A">
              <w:rPr>
                <w:rFonts w:ascii="Simplified Arabic" w:eastAsia="Times New Roman" w:hAnsi="Simplified Arabic" w:cs="Simplified Arabic"/>
                <w:color w:val="1B1C1D"/>
                <w:kern w:val="0"/>
                <w:sz w:val="32"/>
                <w:szCs w:val="32"/>
                <w:rtl/>
                <w14:ligatures w14:val="none"/>
              </w:rPr>
              <w:t xml:space="preserve"> </w:t>
            </w:r>
            <w:r w:rsidRPr="00D6109A">
              <w:rPr>
                <w:rFonts w:ascii="Simplified Arabic" w:eastAsia="Times New Roman" w:hAnsi="Simplified Arabic" w:cs="Simplified Arabic" w:hint="cs"/>
                <w:color w:val="1B1C1D"/>
                <w:kern w:val="0"/>
                <w:sz w:val="32"/>
                <w:szCs w:val="32"/>
                <w:rtl/>
                <w14:ligatures w14:val="none"/>
              </w:rPr>
              <w:t>التشغيلية</w:t>
            </w:r>
            <w:r w:rsidRPr="00D6109A">
              <w:rPr>
                <w:rFonts w:ascii="Simplified Arabic" w:eastAsia="Times New Roman" w:hAnsi="Simplified Arabic" w:cs="Simplified Arabic"/>
                <w:color w:val="1B1C1D"/>
                <w:kern w:val="0"/>
                <w:sz w:val="32"/>
                <w:szCs w:val="32"/>
                <w:rtl/>
                <w14:ligatures w14:val="none"/>
              </w:rPr>
              <w:t xml:space="preserve"> </w:t>
            </w:r>
            <w:r w:rsidRPr="00D6109A">
              <w:rPr>
                <w:rFonts w:ascii="Simplified Arabic" w:eastAsia="Times New Roman" w:hAnsi="Simplified Arabic" w:cs="Simplified Arabic" w:hint="cs"/>
                <w:color w:val="1B1C1D"/>
                <w:kern w:val="0"/>
                <w:sz w:val="32"/>
                <w:szCs w:val="32"/>
                <w:rtl/>
                <w14:ligatures w14:val="none"/>
              </w:rPr>
              <w:t>لتطبيق</w:t>
            </w:r>
            <w:r w:rsidRPr="00D6109A">
              <w:rPr>
                <w:rFonts w:ascii="Simplified Arabic" w:eastAsia="Times New Roman" w:hAnsi="Simplified Arabic" w:cs="Simplified Arabic"/>
                <w:color w:val="1B1C1D"/>
                <w:kern w:val="0"/>
                <w:sz w:val="32"/>
                <w:szCs w:val="32"/>
                <w:rtl/>
                <w14:ligatures w14:val="none"/>
              </w:rPr>
              <w:t xml:space="preserve"> </w:t>
            </w:r>
            <w:r w:rsidRPr="00D6109A">
              <w:rPr>
                <w:rFonts w:ascii="Simplified Arabic" w:eastAsia="Times New Roman" w:hAnsi="Simplified Arabic" w:cs="Simplified Arabic" w:hint="cs"/>
                <w:color w:val="1B1C1D"/>
                <w:kern w:val="0"/>
                <w:sz w:val="32"/>
                <w:szCs w:val="32"/>
                <w:rtl/>
                <w14:ligatures w14:val="none"/>
              </w:rPr>
              <w:t>مؤشرات</w:t>
            </w:r>
            <w:r w:rsidRPr="00D6109A">
              <w:rPr>
                <w:rFonts w:ascii="Simplified Arabic" w:eastAsia="Times New Roman" w:hAnsi="Simplified Arabic" w:cs="Simplified Arabic"/>
                <w:color w:val="1B1C1D"/>
                <w:kern w:val="0"/>
                <w:sz w:val="32"/>
                <w:szCs w:val="32"/>
                <w:rtl/>
                <w14:ligatures w14:val="none"/>
              </w:rPr>
              <w:t xml:space="preserve"> </w:t>
            </w:r>
            <w:r w:rsidRPr="00D6109A">
              <w:rPr>
                <w:rFonts w:ascii="Simplified Arabic" w:eastAsia="Times New Roman" w:hAnsi="Simplified Arabic" w:cs="Simplified Arabic"/>
                <w:color w:val="1B1C1D"/>
                <w:kern w:val="0"/>
                <w:sz w:val="32"/>
                <w:szCs w:val="32"/>
                <w14:ligatures w14:val="none"/>
              </w:rPr>
              <w:t>ESG</w:t>
            </w:r>
          </w:p>
        </w:tc>
        <w:tc>
          <w:tcPr>
            <w:tcW w:w="982" w:type="dxa"/>
          </w:tcPr>
          <w:p w14:paraId="09361BCC" w14:textId="23A3CD99" w:rsidR="002209DA" w:rsidRPr="00A524D0" w:rsidRDefault="00362127"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٤٠</w:t>
            </w:r>
          </w:p>
        </w:tc>
      </w:tr>
      <w:tr w:rsidR="002209DA" w:rsidRPr="00A524D0" w14:paraId="4EF7D9CB"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4367C262" w14:textId="02AAC9AD" w:rsidR="002209DA" w:rsidRPr="00A524D0" w:rsidRDefault="00F81512"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الدراسات السابقة المتعلقة بمؤشرات الأداء المستدام</w:t>
            </w:r>
          </w:p>
        </w:tc>
        <w:tc>
          <w:tcPr>
            <w:tcW w:w="982" w:type="dxa"/>
          </w:tcPr>
          <w:p w14:paraId="7E99023D" w14:textId="22874D53" w:rsidR="002209DA" w:rsidRPr="00A524D0" w:rsidRDefault="00362127"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٤١</w:t>
            </w:r>
          </w:p>
        </w:tc>
      </w:tr>
      <w:tr w:rsidR="00362127" w:rsidRPr="00A524D0" w14:paraId="798DDA8A"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2D373BC2" w14:textId="39647191" w:rsidR="00362127" w:rsidRDefault="00362127"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الخاتمة </w:t>
            </w:r>
          </w:p>
        </w:tc>
        <w:tc>
          <w:tcPr>
            <w:tcW w:w="982" w:type="dxa"/>
          </w:tcPr>
          <w:p w14:paraId="3AFC3BC5" w14:textId="24FE0678" w:rsidR="00362127" w:rsidRDefault="00362127"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٤٢</w:t>
            </w:r>
          </w:p>
        </w:tc>
      </w:tr>
      <w:tr w:rsidR="00362127" w:rsidRPr="00A524D0" w14:paraId="1E988C05"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0F7F642B" w14:textId="5FA6A7EE" w:rsidR="00362127" w:rsidRDefault="00362127"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الفصلية الثالث</w:t>
            </w:r>
          </w:p>
        </w:tc>
        <w:tc>
          <w:tcPr>
            <w:tcW w:w="982" w:type="dxa"/>
          </w:tcPr>
          <w:p w14:paraId="25328802" w14:textId="13438AE3" w:rsidR="00362127" w:rsidRDefault="00362127"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٤٣</w:t>
            </w:r>
          </w:p>
        </w:tc>
      </w:tr>
      <w:tr w:rsidR="00BB6E70" w:rsidRPr="00A524D0" w14:paraId="5A1E4E2E"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70509297" w14:textId="6A866E0A" w:rsidR="00BB6E70" w:rsidRPr="00A524D0" w:rsidRDefault="00BB6E70"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منهجية الدراسة </w:t>
            </w:r>
          </w:p>
        </w:tc>
        <w:tc>
          <w:tcPr>
            <w:tcW w:w="982" w:type="dxa"/>
          </w:tcPr>
          <w:p w14:paraId="5E14AC2E" w14:textId="48708AFC" w:rsidR="00BB6E70" w:rsidRPr="00A524D0" w:rsidRDefault="00362127"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٤٤</w:t>
            </w:r>
          </w:p>
        </w:tc>
      </w:tr>
      <w:tr w:rsidR="00A94F7E" w:rsidRPr="00A524D0" w14:paraId="10E8EB3E"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6BAD2DD3" w14:textId="457D98C2" w:rsidR="00A94F7E" w:rsidRPr="00A524D0" w:rsidRDefault="00A94F7E"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مجتمع الدراسة </w:t>
            </w:r>
          </w:p>
        </w:tc>
        <w:tc>
          <w:tcPr>
            <w:tcW w:w="982" w:type="dxa"/>
          </w:tcPr>
          <w:p w14:paraId="6DC3F05C" w14:textId="28111DA1" w:rsidR="00A94F7E" w:rsidRPr="00A524D0" w:rsidRDefault="00362127"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w:t>
            </w:r>
            <w:r w:rsidR="009A53F3">
              <w:rPr>
                <w:rFonts w:ascii="Simplified Arabic" w:eastAsia="Times New Roman" w:hAnsi="Simplified Arabic" w:cs="Simplified Arabic" w:hint="cs"/>
                <w:color w:val="1B1C1D"/>
                <w:kern w:val="0"/>
                <w:sz w:val="32"/>
                <w:szCs w:val="32"/>
                <w:rtl/>
                <w14:ligatures w14:val="none"/>
              </w:rPr>
              <w:t>٤</w:t>
            </w:r>
          </w:p>
        </w:tc>
      </w:tr>
      <w:tr w:rsidR="00BB6E70" w:rsidRPr="00A524D0" w14:paraId="04F51690"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01698F6E" w14:textId="1A82AFFE" w:rsidR="00BB6E70" w:rsidRPr="00A524D0" w:rsidRDefault="00BB6E70"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أدوات جمع البيانات </w:t>
            </w:r>
          </w:p>
        </w:tc>
        <w:tc>
          <w:tcPr>
            <w:tcW w:w="982" w:type="dxa"/>
          </w:tcPr>
          <w:p w14:paraId="49B0212A" w14:textId="713270FE" w:rsidR="00BB6E70" w:rsidRPr="00A524D0" w:rsidRDefault="009A53F3"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٤٥</w:t>
            </w:r>
          </w:p>
        </w:tc>
      </w:tr>
      <w:tr w:rsidR="00BB6E70" w:rsidRPr="00A524D0" w14:paraId="113EEA2A"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37D9C775" w14:textId="1468CB01" w:rsidR="00BB6E70" w:rsidRPr="00A524D0" w:rsidRDefault="00BB6E70"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حدود الدراسة </w:t>
            </w:r>
          </w:p>
        </w:tc>
        <w:tc>
          <w:tcPr>
            <w:tcW w:w="982" w:type="dxa"/>
          </w:tcPr>
          <w:p w14:paraId="38C5A45A" w14:textId="502C51CA" w:rsidR="00BB6E70" w:rsidRPr="00A524D0" w:rsidRDefault="009A53F3"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٤٦</w:t>
            </w:r>
          </w:p>
        </w:tc>
      </w:tr>
      <w:tr w:rsidR="00A94F7E" w:rsidRPr="00A524D0" w14:paraId="14E02224"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7619BA90" w14:textId="14842AB1" w:rsidR="00A94F7E" w:rsidRPr="00A524D0" w:rsidRDefault="00A94F7E"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lastRenderedPageBreak/>
              <w:t xml:space="preserve">الاستبيان </w:t>
            </w:r>
          </w:p>
        </w:tc>
        <w:tc>
          <w:tcPr>
            <w:tcW w:w="982" w:type="dxa"/>
          </w:tcPr>
          <w:p w14:paraId="54171727" w14:textId="7C39BE1F" w:rsidR="00A94F7E" w:rsidRPr="00A524D0" w:rsidRDefault="009A53F3"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٤٧</w:t>
            </w:r>
          </w:p>
        </w:tc>
      </w:tr>
      <w:tr w:rsidR="009A53F3" w:rsidRPr="00A524D0" w14:paraId="5B1A692A"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17C68024" w14:textId="6891CC1E" w:rsidR="009A53F3" w:rsidRDefault="009A53F3"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الفصل الرابع </w:t>
            </w:r>
          </w:p>
        </w:tc>
        <w:tc>
          <w:tcPr>
            <w:tcW w:w="982" w:type="dxa"/>
          </w:tcPr>
          <w:p w14:paraId="352EAFC8" w14:textId="79445E2B" w:rsidR="009A53F3" w:rsidRDefault="009A53F3"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٥٣</w:t>
            </w:r>
          </w:p>
        </w:tc>
      </w:tr>
      <w:tr w:rsidR="00A94F7E" w:rsidRPr="00A524D0" w14:paraId="5E2B7DDC"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0E3B64C5" w14:textId="7B8A8E45" w:rsidR="00A94F7E" w:rsidRDefault="00A94F7E"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التحليل الإحصائي </w:t>
            </w:r>
          </w:p>
        </w:tc>
        <w:tc>
          <w:tcPr>
            <w:tcW w:w="982" w:type="dxa"/>
          </w:tcPr>
          <w:p w14:paraId="17958567" w14:textId="25E84D78" w:rsidR="00A94F7E" w:rsidRPr="00A524D0" w:rsidRDefault="009A53F3"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٥٤</w:t>
            </w:r>
          </w:p>
        </w:tc>
      </w:tr>
      <w:tr w:rsidR="00A94F7E" w:rsidRPr="00A524D0" w14:paraId="43DE51DE"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044B5823" w14:textId="74CEF201" w:rsidR="00A94F7E" w:rsidRDefault="00A94F7E"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النتائج </w:t>
            </w:r>
          </w:p>
        </w:tc>
        <w:tc>
          <w:tcPr>
            <w:tcW w:w="982" w:type="dxa"/>
          </w:tcPr>
          <w:p w14:paraId="5980F906" w14:textId="361CF861" w:rsidR="00A94F7E" w:rsidRPr="00A524D0" w:rsidRDefault="00DB534A"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٦٠</w:t>
            </w:r>
          </w:p>
        </w:tc>
      </w:tr>
      <w:tr w:rsidR="00A94F7E" w:rsidRPr="00A524D0" w14:paraId="10DB99D5"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6E70E2B4" w14:textId="774CE5B7" w:rsidR="00A94F7E" w:rsidRDefault="00A94F7E"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التوصيات </w:t>
            </w:r>
          </w:p>
        </w:tc>
        <w:tc>
          <w:tcPr>
            <w:tcW w:w="982" w:type="dxa"/>
          </w:tcPr>
          <w:p w14:paraId="7BB6049B" w14:textId="6CC4FD59" w:rsidR="00A94F7E" w:rsidRPr="00A524D0" w:rsidRDefault="00DB534A"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٦١</w:t>
            </w:r>
          </w:p>
        </w:tc>
      </w:tr>
      <w:tr w:rsidR="00BB6E70" w:rsidRPr="00A524D0" w14:paraId="0A1FA332"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521EB4EA" w14:textId="4186EEE2" w:rsidR="00BB6E70" w:rsidRPr="00A524D0" w:rsidRDefault="00F20C1C" w:rsidP="00F96B94">
            <w:pPr>
              <w:spacing w:after="120" w:line="360" w:lineRule="auto"/>
              <w:rPr>
                <w:rFonts w:ascii="Simplified Arabic" w:eastAsia="Times New Roman" w:hAnsi="Simplified Arabic" w:cs="Simplified Arabic"/>
                <w:color w:val="1B1C1D"/>
                <w:kern w:val="0"/>
                <w:sz w:val="32"/>
                <w:szCs w:val="32"/>
                <w:rtl/>
                <w14:ligatures w14:val="none"/>
              </w:rPr>
            </w:pPr>
            <w:r w:rsidRPr="00A524D0">
              <w:rPr>
                <w:rFonts w:ascii="Simplified Arabic" w:eastAsia="Times New Roman" w:hAnsi="Simplified Arabic" w:cs="Simplified Arabic"/>
                <w:color w:val="1B1C1D"/>
                <w:kern w:val="0"/>
                <w:sz w:val="32"/>
                <w:szCs w:val="32"/>
                <w:rtl/>
                <w14:ligatures w14:val="none"/>
              </w:rPr>
              <w:t xml:space="preserve">المراجع </w:t>
            </w:r>
          </w:p>
        </w:tc>
        <w:tc>
          <w:tcPr>
            <w:tcW w:w="982" w:type="dxa"/>
          </w:tcPr>
          <w:p w14:paraId="7F0F543D" w14:textId="06928948" w:rsidR="00BB6E70" w:rsidRPr="00A524D0" w:rsidRDefault="00DB534A"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٦٣</w:t>
            </w:r>
          </w:p>
        </w:tc>
      </w:tr>
      <w:tr w:rsidR="00A94F7E" w:rsidRPr="00A524D0" w14:paraId="261D6620" w14:textId="77777777" w:rsidTr="00221FF4">
        <w:trPr>
          <w:cnfStyle w:val="000000100000" w:firstRow="0" w:lastRow="0" w:firstColumn="0" w:lastColumn="0" w:oddVBand="0" w:evenVBand="0" w:oddHBand="1" w:evenHBand="0" w:firstRowFirstColumn="0" w:firstRowLastColumn="0" w:lastRowFirstColumn="0" w:lastRowLastColumn="0"/>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627DC75F" w14:textId="419A485C" w:rsidR="00A94F7E" w:rsidRPr="00A524D0" w:rsidRDefault="00A94F7E"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 xml:space="preserve">الملخص </w:t>
            </w:r>
          </w:p>
        </w:tc>
        <w:tc>
          <w:tcPr>
            <w:tcW w:w="982" w:type="dxa"/>
          </w:tcPr>
          <w:p w14:paraId="0E5676EF" w14:textId="7B86977D" w:rsidR="00A94F7E" w:rsidRPr="00A524D0" w:rsidRDefault="00DB534A" w:rsidP="00F96B94">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٦٨</w:t>
            </w:r>
          </w:p>
        </w:tc>
      </w:tr>
      <w:tr w:rsidR="00A94F7E" w:rsidRPr="00A524D0" w14:paraId="4A45E326" w14:textId="77777777" w:rsidTr="00221FF4">
        <w:trPr>
          <w:divId w:val="458381201"/>
        </w:trPr>
        <w:tc>
          <w:tcPr>
            <w:cnfStyle w:val="001000000000" w:firstRow="0" w:lastRow="0" w:firstColumn="1" w:lastColumn="0" w:oddVBand="0" w:evenVBand="0" w:oddHBand="0" w:evenHBand="0" w:firstRowFirstColumn="0" w:firstRowLastColumn="0" w:lastRowFirstColumn="0" w:lastRowLastColumn="0"/>
            <w:tcW w:w="7840" w:type="dxa"/>
          </w:tcPr>
          <w:p w14:paraId="5DC432D0" w14:textId="6F511823" w:rsidR="00A94F7E" w:rsidRDefault="00A94F7E" w:rsidP="00F96B94">
            <w:pPr>
              <w:spacing w:after="120" w:line="360" w:lineRule="auto"/>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الملاحق</w:t>
            </w:r>
          </w:p>
        </w:tc>
        <w:tc>
          <w:tcPr>
            <w:tcW w:w="982" w:type="dxa"/>
          </w:tcPr>
          <w:p w14:paraId="4ADE3937" w14:textId="2F584DFD" w:rsidR="00A94F7E" w:rsidRPr="00A524D0" w:rsidRDefault="00DB534A" w:rsidP="00F96B94">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kern w:val="0"/>
                <w:sz w:val="32"/>
                <w:szCs w:val="32"/>
                <w:rtl/>
                <w14:ligatures w14:val="none"/>
              </w:rPr>
            </w:pPr>
            <w:r>
              <w:rPr>
                <w:rFonts w:ascii="Simplified Arabic" w:eastAsia="Times New Roman" w:hAnsi="Simplified Arabic" w:cs="Simplified Arabic" w:hint="cs"/>
                <w:color w:val="1B1C1D"/>
                <w:kern w:val="0"/>
                <w:sz w:val="32"/>
                <w:szCs w:val="32"/>
                <w:rtl/>
                <w14:ligatures w14:val="none"/>
              </w:rPr>
              <w:t>٧٠</w:t>
            </w:r>
          </w:p>
        </w:tc>
      </w:tr>
    </w:tbl>
    <w:p w14:paraId="7DDB059B" w14:textId="77777777" w:rsidR="006354D1" w:rsidRPr="00A524D0" w:rsidRDefault="006354D1" w:rsidP="00F96B94">
      <w:pPr>
        <w:spacing w:after="120" w:line="360" w:lineRule="auto"/>
        <w:divId w:val="458381201"/>
        <w:rPr>
          <w:rFonts w:ascii="Simplified Arabic" w:eastAsia="Times New Roman" w:hAnsi="Simplified Arabic" w:cs="Simplified Arabic"/>
          <w:color w:val="1B1C1D"/>
          <w:kern w:val="0"/>
          <w:sz w:val="32"/>
          <w:szCs w:val="32"/>
          <w14:ligatures w14:val="none"/>
        </w:rPr>
      </w:pPr>
    </w:p>
    <w:p w14:paraId="0B313CCA" w14:textId="77777777" w:rsidR="00F20C1C" w:rsidRPr="00A524D0" w:rsidRDefault="00F20C1C" w:rsidP="00F96B94">
      <w:pPr>
        <w:pStyle w:val="Heading2"/>
        <w:spacing w:before="0" w:after="120" w:line="360" w:lineRule="auto"/>
        <w:rPr>
          <w:rFonts w:ascii="Simplified Arabic" w:eastAsia="Times New Roman" w:hAnsi="Simplified Arabic" w:cs="Simplified Arabic"/>
          <w:color w:val="1B1C1D"/>
          <w:rtl/>
        </w:rPr>
      </w:pPr>
    </w:p>
    <w:p w14:paraId="3FCBDCDF" w14:textId="77777777" w:rsidR="00F20C1C" w:rsidRPr="00A524D0" w:rsidRDefault="00F20C1C" w:rsidP="00F96B94">
      <w:pPr>
        <w:spacing w:line="360" w:lineRule="auto"/>
        <w:rPr>
          <w:rFonts w:ascii="Simplified Arabic" w:hAnsi="Simplified Arabic" w:cs="Simplified Arabic"/>
          <w:sz w:val="32"/>
          <w:szCs w:val="32"/>
          <w:rtl/>
        </w:rPr>
      </w:pPr>
    </w:p>
    <w:p w14:paraId="07C26C6A" w14:textId="77777777" w:rsidR="0003758C" w:rsidRPr="00A524D0" w:rsidRDefault="0003758C" w:rsidP="00F96B94">
      <w:pPr>
        <w:spacing w:line="360" w:lineRule="auto"/>
        <w:rPr>
          <w:rFonts w:ascii="Simplified Arabic" w:hAnsi="Simplified Arabic" w:cs="Simplified Arabic"/>
          <w:sz w:val="32"/>
          <w:szCs w:val="32"/>
          <w:rtl/>
        </w:rPr>
      </w:pPr>
    </w:p>
    <w:p w14:paraId="3C90810D" w14:textId="77777777" w:rsidR="0095700A" w:rsidRDefault="0095700A" w:rsidP="00F96B94">
      <w:pPr>
        <w:spacing w:line="360" w:lineRule="auto"/>
        <w:rPr>
          <w:rFonts w:ascii="Simplified Arabic" w:hAnsi="Simplified Arabic" w:cs="Simplified Arabic"/>
          <w:sz w:val="32"/>
          <w:szCs w:val="32"/>
          <w:rtl/>
        </w:rPr>
      </w:pPr>
    </w:p>
    <w:p w14:paraId="325DCA60" w14:textId="77777777" w:rsidR="00026AFB" w:rsidRDefault="00026AFB" w:rsidP="00F96B94">
      <w:pPr>
        <w:spacing w:line="360" w:lineRule="auto"/>
        <w:rPr>
          <w:rFonts w:ascii="Simplified Arabic" w:hAnsi="Simplified Arabic" w:cs="Simplified Arabic"/>
          <w:sz w:val="32"/>
          <w:szCs w:val="32"/>
          <w:rtl/>
        </w:rPr>
      </w:pPr>
    </w:p>
    <w:p w14:paraId="7C78DE25" w14:textId="77777777" w:rsidR="00026AFB" w:rsidRPr="00A524D0" w:rsidRDefault="00026AFB" w:rsidP="00F96B94">
      <w:pPr>
        <w:spacing w:line="360" w:lineRule="auto"/>
        <w:rPr>
          <w:rFonts w:ascii="Simplified Arabic" w:hAnsi="Simplified Arabic" w:cs="Simplified Arabic"/>
          <w:sz w:val="32"/>
          <w:szCs w:val="32"/>
          <w:rtl/>
        </w:rPr>
      </w:pPr>
    </w:p>
    <w:p w14:paraId="5B3F76D0" w14:textId="77777777" w:rsidR="0003758C" w:rsidRPr="00A524D0" w:rsidRDefault="0003758C" w:rsidP="00F96B94">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A524D0">
        <w:rPr>
          <w:rFonts w:ascii="Simplified Arabic" w:eastAsia="Times New Roman" w:hAnsi="Simplified Arabic" w:cs="Simplified Arabic"/>
          <w:color w:val="1F1F1F"/>
          <w:sz w:val="32"/>
          <w:szCs w:val="32"/>
          <w:rtl/>
        </w:rPr>
        <w:lastRenderedPageBreak/>
        <w:t>ملخص الدراسة</w:t>
      </w:r>
    </w:p>
    <w:p w14:paraId="2CBDECD8" w14:textId="77777777" w:rsidR="0003758C" w:rsidRPr="00A524D0" w:rsidRDefault="0003758C" w:rsidP="00F96B94">
      <w:pPr>
        <w:pStyle w:val="NormalWeb"/>
        <w:bidi/>
        <w:spacing w:before="0" w:beforeAutospacing="0" w:after="24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هدفت هذه الدراسة إلى قياس مدى تبني وتطبيق مؤشرات البيئة والمجتمع والحوكمة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وأثرها على تعزيز الالتزام الكلي بالاستدامة في شركات إدارة المرافق (</w:t>
      </w:r>
      <w:r w:rsidRPr="00A524D0">
        <w:rPr>
          <w:rFonts w:ascii="Simplified Arabic" w:hAnsi="Simplified Arabic" w:cs="Simplified Arabic"/>
          <w:color w:val="1F1F1F"/>
          <w:sz w:val="32"/>
          <w:szCs w:val="32"/>
        </w:rPr>
        <w:t>FM</w:t>
      </w:r>
      <w:r w:rsidRPr="00A524D0">
        <w:rPr>
          <w:rFonts w:ascii="Simplified Arabic" w:hAnsi="Simplified Arabic" w:cs="Simplified Arabic"/>
          <w:color w:val="1F1F1F"/>
          <w:sz w:val="32"/>
          <w:szCs w:val="32"/>
          <w:rtl/>
        </w:rPr>
        <w:t>) العاملة بالمملكة العربية السعودية. اعتمدت الدراسة على المنهج الوصفي التحليلي، حيث تم جمع البيانات من خلال استبيان شارك فيه 150 متخصصاً من القيادات العليا وإدارات الاستدامة والعمليات والجودة.</w:t>
      </w:r>
    </w:p>
    <w:p w14:paraId="1B5041F9" w14:textId="77777777" w:rsidR="0003758C" w:rsidRPr="00A524D0" w:rsidRDefault="0003758C" w:rsidP="00F96B94">
      <w:pPr>
        <w:pStyle w:val="NormalWeb"/>
        <w:bidi/>
        <w:spacing w:before="0" w:before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 xml:space="preserve">أظهرت النتائج وجود التزام مرتفع بمعايير الحوكمة والأنظمة المحلية، مع تميز ملحوظ في جوانب السلامة والصحة المهنية (المحور الاجتماعي). وفي المقابل، تم رصد فجوة في مستوى الشفافية المتعلقة بإصدار تقارير الاستدامة الدورية. كما كشفت الدراسة أن التكاليف المالية المرتفعة وصعوبة إدارة البيانات التقنية تمثلان التحدي الأكبر أمام التحول الكامل نحو الاستدامة البيئية، رغم الوعي الاستراتيجي المرتفع بأهمية مؤشرات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xml:space="preserve"> في تعزيز سمعة الشركات وتنافسيتها.</w:t>
      </w:r>
    </w:p>
    <w:p w14:paraId="075E38C7" w14:textId="11A3462C" w:rsidR="00F20C1C" w:rsidRPr="00D416B0" w:rsidRDefault="0003758C" w:rsidP="00D416B0">
      <w:pPr>
        <w:pStyle w:val="NormalWeb"/>
        <w:bidi/>
        <w:spacing w:before="0" w:before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أبرز التوصيات:أوصت الدراسة بضرورة التحول نحو الأتمتة والحلول الرقمية لجمع بيانات الاستدامة بدقة، وتعزيز الإفصاح والشفافية من خلال إصدار تقارير سنوية، بالإضافة إلى أهمية ابتكار حوافز تشريعية لتقليل الأعباء المالية المرتبطة بالتحول الأخضر في هذا القطاع الحيوي.</w:t>
      </w:r>
    </w:p>
    <w:p w14:paraId="2DD82C95" w14:textId="6825B1D3" w:rsidR="009F4519" w:rsidRPr="00A524D0" w:rsidRDefault="009F4519"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lastRenderedPageBreak/>
        <w:t>مقدمة الدراسة</w:t>
      </w:r>
    </w:p>
    <w:p w14:paraId="5933294B" w14:textId="77777777" w:rsidR="009F4519" w:rsidRPr="00A524D0" w:rsidRDefault="009F4519" w:rsidP="00F96B94">
      <w:pPr>
        <w:pStyle w:val="NormalWeb"/>
        <w:bidi/>
        <w:spacing w:before="0" w:beforeAutospacing="0" w:after="24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تُعد المملكة العربية السعودية، في ظل رؤيتها الطموحة 2030، رائدة في تبني مفاهيم التنمية المستدامة والتحول الأخضر، والتي تنعكس بوضوح في المشاريع العملاقة مثل نيوم والبحر الأحمر. وفي هذا السياق، يبرز قطاع إدارة المرافق (</w:t>
      </w:r>
      <w:r w:rsidRPr="00A524D0">
        <w:rPr>
          <w:rFonts w:ascii="Simplified Arabic" w:hAnsi="Simplified Arabic" w:cs="Simplified Arabic"/>
          <w:color w:val="1B1C1D"/>
          <w:sz w:val="32"/>
          <w:szCs w:val="32"/>
        </w:rPr>
        <w:t>Facility Management - FM</w:t>
      </w:r>
      <w:r w:rsidRPr="00A524D0">
        <w:rPr>
          <w:rFonts w:ascii="Simplified Arabic" w:hAnsi="Simplified Arabic" w:cs="Simplified Arabic"/>
          <w:color w:val="1B1C1D"/>
          <w:sz w:val="32"/>
          <w:szCs w:val="32"/>
          <w:rtl/>
        </w:rPr>
        <w:t>) كركيزة أساسية لضمان كفاءة تشغيل الأصول واستدامتها على المدى الطويل. إن إدارة المرافق لم تعد تقتصر على المهام التشغيلية والصيانة الروتينية، بل تحولت لتشمل مسؤولية مباشرة تجاه تقليل البصمة البيئية، وتعزيز رفاهية العاملين والمجتمع، وتطبيق أعلى معايير الحوكمة والشفافية.</w:t>
      </w:r>
    </w:p>
    <w:p w14:paraId="1AC401EF" w14:textId="77777777" w:rsidR="009F4519" w:rsidRPr="00A524D0" w:rsidRDefault="009F4519" w:rsidP="00F96B94">
      <w:pPr>
        <w:pStyle w:val="NormalWeb"/>
        <w:bidi/>
        <w:spacing w:before="0" w:beforeAutospacing="0" w:after="24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ولقياس هذا التحول، ظهرت مؤشرات الأداء البيئية والاجتماعية والحوكمة (</w:t>
      </w:r>
      <w:r w:rsidRPr="00A524D0">
        <w:rPr>
          <w:rFonts w:ascii="Simplified Arabic" w:hAnsi="Simplified Arabic" w:cs="Simplified Arabic"/>
          <w:color w:val="1B1C1D"/>
          <w:sz w:val="32"/>
          <w:szCs w:val="32"/>
        </w:rPr>
        <w:t>ESG KPIs</w:t>
      </w:r>
      <w:r w:rsidRPr="00A524D0">
        <w:rPr>
          <w:rFonts w:ascii="Simplified Arabic" w:hAnsi="Simplified Arabic" w:cs="Simplified Arabic"/>
          <w:color w:val="1B1C1D"/>
          <w:sz w:val="32"/>
          <w:szCs w:val="32"/>
          <w:rtl/>
        </w:rPr>
        <w:t>) كإطار عمل متكامل يوفر مقاييس موضوعية وقابلة للمقارنة لمدى التزام الشركات بالاستدامة. ومع التوسع المتسارع لشركات إدارة المرافق السعودية ودورها المحوري في دعم البنية التحتية للمشاريع الكبرى، يصبح من الضروري فهم وتقييم الدور الفعلي الذي تلعبه هذه المؤشرات في قياس التزام هذه الشركات بمعايير الاستدامة، وما إذا كانت هذه المؤشرات قد تم تكييفها بنجاح لتناسب خصوصية البيئة التشغيلية والمناخية السعودية.</w:t>
      </w:r>
    </w:p>
    <w:p w14:paraId="59AF7FE5" w14:textId="06CCD8D8" w:rsidR="00F20C1C" w:rsidRPr="0095700A" w:rsidRDefault="009F4519" w:rsidP="0095700A">
      <w:pPr>
        <w:pStyle w:val="NormalWeb"/>
        <w:bidi/>
        <w:spacing w:before="0" w:beforeAutospacing="0" w:after="24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تهدف هذه الدراسة إلى استكشاف مدى تبني وتطبيق مؤشرات الأداء البيئية والاجتماعية والحوكمة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في شركات إدارة المرافق السعودية، وتحليل تأثيرها على قياس وتقييم الأداء المستدام الشامل للقطاع.</w:t>
      </w:r>
    </w:p>
    <w:p w14:paraId="26AFFB9F" w14:textId="697C1E9E" w:rsidR="009F4519" w:rsidRPr="00A524D0" w:rsidRDefault="009F4519"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lastRenderedPageBreak/>
        <w:t>مشكلة الدراسة</w:t>
      </w:r>
    </w:p>
    <w:p w14:paraId="4854C7EC" w14:textId="77777777" w:rsidR="009F4519" w:rsidRPr="00A524D0" w:rsidRDefault="009F4519" w:rsidP="00F96B94">
      <w:pPr>
        <w:pStyle w:val="NormalWeb"/>
        <w:bidi/>
        <w:spacing w:before="0" w:beforeAutospacing="0" w:after="24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تتمحور مشكلة الدراسة حول التساؤل عن مدى فعالية ومواءمة مؤشرات الأداء البيئية والاجتماعية والحوكمة (</w:t>
      </w:r>
      <w:r w:rsidRPr="00A524D0">
        <w:rPr>
          <w:rFonts w:ascii="Simplified Arabic" w:hAnsi="Simplified Arabic" w:cs="Simplified Arabic"/>
          <w:color w:val="1B1C1D"/>
          <w:sz w:val="32"/>
          <w:szCs w:val="32"/>
        </w:rPr>
        <w:t>ESG KPIs</w:t>
      </w:r>
      <w:r w:rsidRPr="00A524D0">
        <w:rPr>
          <w:rFonts w:ascii="Simplified Arabic" w:hAnsi="Simplified Arabic" w:cs="Simplified Arabic"/>
          <w:color w:val="1B1C1D"/>
          <w:sz w:val="32"/>
          <w:szCs w:val="32"/>
          <w:rtl/>
        </w:rPr>
        <w:t>) الحالية في توفير قياس موضوعي وموحد لالتزام شركات إدارة المرافق السعودية بتحقيق أهداف الاستدامة، في ظل التباين في حجم ونطاق عمل هذه الشركات وغياب إطار إرشادي وطني متخصص.</w:t>
      </w:r>
    </w:p>
    <w:p w14:paraId="7786754F" w14:textId="77777777" w:rsidR="009F4519" w:rsidRPr="00A524D0" w:rsidRDefault="009F4519" w:rsidP="00F96B94">
      <w:pPr>
        <w:pStyle w:val="NormalWeb"/>
        <w:bidi/>
        <w:spacing w:before="0" w:before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التساؤل الرئيسي:</w:t>
      </w:r>
    </w:p>
    <w:p w14:paraId="7C4F49F6" w14:textId="77777777" w:rsidR="009F4519" w:rsidRPr="00A524D0" w:rsidRDefault="009F4519" w:rsidP="00F96B94">
      <w:pPr>
        <w:pStyle w:val="NormalWeb"/>
        <w:bidi/>
        <w:spacing w:before="0" w:before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ما الدور الذي تلعبه مؤشرات الأداء البيئية والاجتماعية والحوكمة (</w:t>
      </w:r>
      <w:r w:rsidRPr="00A524D0">
        <w:rPr>
          <w:rFonts w:ascii="Simplified Arabic" w:hAnsi="Simplified Arabic" w:cs="Simplified Arabic"/>
          <w:color w:val="1B1C1D"/>
          <w:sz w:val="32"/>
          <w:szCs w:val="32"/>
        </w:rPr>
        <w:t>ESG KPIs</w:t>
      </w:r>
      <w:r w:rsidRPr="00A524D0">
        <w:rPr>
          <w:rFonts w:ascii="Simplified Arabic" w:hAnsi="Simplified Arabic" w:cs="Simplified Arabic"/>
          <w:color w:val="1B1C1D"/>
          <w:sz w:val="32"/>
          <w:szCs w:val="32"/>
          <w:rtl/>
        </w:rPr>
        <w:t>) في قياس التزام شركات إدارة المرافق السعودية بالاستدامة، وما هي التحديات التي تواجه تطبيقها؟</w:t>
      </w:r>
    </w:p>
    <w:p w14:paraId="08D562B9" w14:textId="77777777" w:rsidR="009F4519" w:rsidRPr="00A524D0" w:rsidRDefault="009F4519"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التساؤلات الفرعية المنبثقة:</w:t>
      </w:r>
    </w:p>
    <w:p w14:paraId="7D390C86" w14:textId="77777777" w:rsidR="009F4519" w:rsidRPr="00A524D0" w:rsidRDefault="009F4519" w:rsidP="00F96B94">
      <w:pPr>
        <w:pStyle w:val="NormalWeb"/>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ما هي أبرز مؤشرات الأداء البيئية والاجتماعية والحوكمة (</w:t>
      </w:r>
      <w:r w:rsidRPr="00A524D0">
        <w:rPr>
          <w:rFonts w:ascii="Simplified Arabic" w:hAnsi="Simplified Arabic" w:cs="Simplified Arabic"/>
          <w:color w:val="1B1C1D"/>
          <w:sz w:val="32"/>
          <w:szCs w:val="32"/>
        </w:rPr>
        <w:t>ESG KPIs</w:t>
      </w:r>
      <w:r w:rsidRPr="00A524D0">
        <w:rPr>
          <w:rFonts w:ascii="Simplified Arabic" w:hAnsi="Simplified Arabic" w:cs="Simplified Arabic"/>
          <w:color w:val="1B1C1D"/>
          <w:sz w:val="32"/>
          <w:szCs w:val="32"/>
          <w:rtl/>
        </w:rPr>
        <w:t>) الأكثر تبنياً وتطبيقاً من قبل شركات إدارة المرافق السعودية؟</w:t>
      </w:r>
    </w:p>
    <w:p w14:paraId="10A26F29" w14:textId="77777777" w:rsidR="009F4519" w:rsidRPr="00A524D0" w:rsidRDefault="009F4519" w:rsidP="00F96B94">
      <w:pPr>
        <w:pStyle w:val="NormalWeb"/>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 xml:space="preserve">ما هي أبرز التحديات التشغيلية والإجرائية التي تواجه شركات إدارة المرافق السعودية في عملية دمج وقياس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ضمن أنظمة أدائها؟</w:t>
      </w:r>
    </w:p>
    <w:p w14:paraId="428F42C0" w14:textId="77777777" w:rsidR="009F4519" w:rsidRPr="00A524D0" w:rsidRDefault="009F4519" w:rsidP="00F96B94">
      <w:pPr>
        <w:pStyle w:val="NormalWeb"/>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 xml:space="preserve">هل يوجد اختلاف جوهري في طبيعة وتطبيق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بين شركات إدارة المرافق السعودية العاملة في القطاع الحكومي مقارنة بالقطاع الخاص؟</w:t>
      </w:r>
    </w:p>
    <w:p w14:paraId="0D0084D6" w14:textId="77777777" w:rsidR="009F4519" w:rsidRPr="00A524D0" w:rsidRDefault="009F4519" w:rsidP="00F96B94">
      <w:pPr>
        <w:pStyle w:val="NormalWeb"/>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lastRenderedPageBreak/>
        <w:t xml:space="preserve">ما هو الأثر المتوقع لتطبيق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على تحسين الكفاءة التشغيلية، وتقليل المخاطر، وتعزيز الميزة التنافسية لشركات إدارة المرافق السعودية؟</w:t>
      </w:r>
    </w:p>
    <w:p w14:paraId="67F4CB59" w14:textId="77777777" w:rsidR="009F4519" w:rsidRPr="00A524D0" w:rsidRDefault="009F4519"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أهمية الدراسة</w:t>
      </w:r>
    </w:p>
    <w:p w14:paraId="352A0BB8" w14:textId="77777777" w:rsidR="009F4519" w:rsidRPr="00A524D0" w:rsidRDefault="009F4519" w:rsidP="00F96B94">
      <w:pPr>
        <w:pStyle w:val="Heading3"/>
        <w:spacing w:before="0" w:after="120" w:line="360" w:lineRule="auto"/>
        <w:rPr>
          <w:rFonts w:ascii="Simplified Arabic" w:eastAsia="Times New Roman" w:hAnsi="Simplified Arabic" w:cs="Simplified Arabic"/>
          <w:color w:val="1B1C1D"/>
          <w:sz w:val="32"/>
          <w:szCs w:val="32"/>
          <w:rtl/>
        </w:rPr>
      </w:pPr>
      <w:r w:rsidRPr="00A524D0">
        <w:rPr>
          <w:rFonts w:ascii="Simplified Arabic" w:eastAsia="Times New Roman" w:hAnsi="Simplified Arabic" w:cs="Simplified Arabic"/>
          <w:color w:val="1B1C1D"/>
          <w:sz w:val="32"/>
          <w:szCs w:val="32"/>
          <w:rtl/>
        </w:rPr>
        <w:t>أولاً: الأهمية العلمية (الأكاديمية)</w:t>
      </w:r>
    </w:p>
    <w:p w14:paraId="29106B63" w14:textId="77777777" w:rsidR="009F4519" w:rsidRPr="00A524D0" w:rsidRDefault="009F4519" w:rsidP="00F96B94">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سد الفجوة المعرفية:</w:t>
      </w:r>
      <w:r w:rsidRPr="00A524D0">
        <w:rPr>
          <w:rFonts w:ascii="Simplified Arabic" w:hAnsi="Simplified Arabic" w:cs="Simplified Arabic"/>
          <w:color w:val="1B1C1D"/>
          <w:sz w:val="32"/>
          <w:szCs w:val="32"/>
          <w:rtl/>
        </w:rPr>
        <w:t xml:space="preserve"> تساهم هذه الدراسة في إثراء المكتبة العربية المتخصصة من خلال تناولها لموضوع حديث وحيوي وهو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في قطاع إدارة المرافق، وهو قطاع لم ينل حظه الكافي من البحث العلمي في السياق السعودي والشرق أوسطي.</w:t>
      </w:r>
    </w:p>
    <w:p w14:paraId="75F46AC3" w14:textId="77777777" w:rsidR="009F4519" w:rsidRPr="00A524D0" w:rsidRDefault="009F4519" w:rsidP="00F96B94">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تطوير إطار عمل:</w:t>
      </w:r>
      <w:r w:rsidRPr="00A524D0">
        <w:rPr>
          <w:rFonts w:ascii="Simplified Arabic" w:hAnsi="Simplified Arabic" w:cs="Simplified Arabic"/>
          <w:color w:val="1B1C1D"/>
          <w:sz w:val="32"/>
          <w:szCs w:val="32"/>
          <w:rtl/>
        </w:rPr>
        <w:t xml:space="preserve"> تقديم إطار مفاهيمي مقترح لتكييف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لتلائم خصوصية قطاع إدارة المرافق السعودي، مما يخدم كنموذج مرجعي للأبحاث المستقبلية.</w:t>
      </w:r>
    </w:p>
    <w:p w14:paraId="3CB0A4B7" w14:textId="77777777" w:rsidR="009F4519" w:rsidRPr="00A524D0" w:rsidRDefault="009F4519" w:rsidP="00F96B94">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توفير بيانات إمبريقية:</w:t>
      </w:r>
      <w:r w:rsidRPr="00A524D0">
        <w:rPr>
          <w:rFonts w:ascii="Simplified Arabic" w:hAnsi="Simplified Arabic" w:cs="Simplified Arabic"/>
          <w:color w:val="1B1C1D"/>
          <w:sz w:val="32"/>
          <w:szCs w:val="32"/>
          <w:rtl/>
        </w:rPr>
        <w:t xml:space="preserve"> توفير بيانات وتحليلات تجريبية حول مدى نضج ممارسات الاستدامة في القطاع، والتي يمكن أن يعتمد عليها الباحثون الأكاديميون في دراسات المقارنة والتحليل.</w:t>
      </w:r>
    </w:p>
    <w:p w14:paraId="5FABCD48" w14:textId="77777777" w:rsidR="009F4519" w:rsidRPr="00A524D0" w:rsidRDefault="009F4519" w:rsidP="00F96B94">
      <w:pPr>
        <w:pStyle w:val="Heading3"/>
        <w:spacing w:before="0" w:after="120" w:line="360" w:lineRule="auto"/>
        <w:rPr>
          <w:rFonts w:ascii="Simplified Arabic" w:eastAsia="Times New Roman" w:hAnsi="Simplified Arabic" w:cs="Simplified Arabic"/>
          <w:color w:val="1B1C1D"/>
          <w:sz w:val="32"/>
          <w:szCs w:val="32"/>
          <w:rtl/>
        </w:rPr>
      </w:pPr>
      <w:r w:rsidRPr="00A524D0">
        <w:rPr>
          <w:rFonts w:ascii="Simplified Arabic" w:eastAsia="Times New Roman" w:hAnsi="Simplified Arabic" w:cs="Simplified Arabic"/>
          <w:color w:val="1B1C1D"/>
          <w:sz w:val="32"/>
          <w:szCs w:val="32"/>
          <w:rtl/>
        </w:rPr>
        <w:lastRenderedPageBreak/>
        <w:t>ثانياً: الأهمية العملية (التطبيقية)</w:t>
      </w:r>
    </w:p>
    <w:p w14:paraId="5CEF23F6" w14:textId="77777777" w:rsidR="009F4519" w:rsidRPr="00A524D0" w:rsidRDefault="009F4519" w:rsidP="00F96B94">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توجيه الشركات:</w:t>
      </w:r>
      <w:r w:rsidRPr="00A524D0">
        <w:rPr>
          <w:rFonts w:ascii="Simplified Arabic" w:hAnsi="Simplified Arabic" w:cs="Simplified Arabic"/>
          <w:color w:val="1B1C1D"/>
          <w:sz w:val="32"/>
          <w:szCs w:val="32"/>
          <w:rtl/>
        </w:rPr>
        <w:t xml:space="preserve"> تزويد الإدارة العليا والمهندسين في شركات إدارة المرافق بدليل عملي يحدد مؤشرات الأداء الأكثر تأثيراً في تحقيق الأهداف البيئية والاجتماعية والحوكمية، مما يساعد في توجيه الاستثمارات وجهود التحسين.</w:t>
      </w:r>
    </w:p>
    <w:p w14:paraId="5D438848" w14:textId="77777777" w:rsidR="009F4519" w:rsidRPr="00A524D0" w:rsidRDefault="009F4519" w:rsidP="00F96B94">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دعم صانعي القرار:</w:t>
      </w:r>
      <w:r w:rsidRPr="00A524D0">
        <w:rPr>
          <w:rFonts w:ascii="Simplified Arabic" w:hAnsi="Simplified Arabic" w:cs="Simplified Arabic"/>
          <w:color w:val="1B1C1D"/>
          <w:sz w:val="32"/>
          <w:szCs w:val="32"/>
          <w:rtl/>
        </w:rPr>
        <w:t xml:space="preserve"> مساعدة الهيئات الرقابية والجهات الحكومية المسؤولة عن المشاريع التنموية (في إطار رؤية 2030) في وضع معايير إفصاح أكثر وضوحاً وإلزامية لشركات إدارة المرافق، مما يضمن التزاماً أعلى بالاستدامة.</w:t>
      </w:r>
    </w:p>
    <w:p w14:paraId="02D00BED" w14:textId="77777777" w:rsidR="009F4519" w:rsidRPr="00A524D0" w:rsidRDefault="009F4519" w:rsidP="00F96B94">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تحسين الشفافية والثقة:</w:t>
      </w:r>
      <w:r w:rsidRPr="00A524D0">
        <w:rPr>
          <w:rFonts w:ascii="Simplified Arabic" w:hAnsi="Simplified Arabic" w:cs="Simplified Arabic"/>
          <w:color w:val="1B1C1D"/>
          <w:sz w:val="32"/>
          <w:szCs w:val="32"/>
          <w:rtl/>
        </w:rPr>
        <w:t xml:space="preserve"> تمكين المستثمرين، والبنوك، وأصحاب المصلحة من تقييم الشركات بناءً على أداء غير مالي موثوق به، مما يعزز الشفافية ويجذب التمويل المستدام للقطاع.</w:t>
      </w:r>
    </w:p>
    <w:p w14:paraId="488522C5" w14:textId="4F8570BC" w:rsidR="000C3118" w:rsidRPr="00A524D0" w:rsidRDefault="000C3118" w:rsidP="00F96B94">
      <w:pPr>
        <w:pStyle w:val="NormalWeb"/>
        <w:bidi/>
        <w:spacing w:before="0" w:beforeAutospacing="0" w:after="0" w:afterAutospacing="0" w:line="360" w:lineRule="auto"/>
        <w:divId w:val="391543068"/>
        <w:rPr>
          <w:rFonts w:ascii="Simplified Arabic" w:hAnsi="Simplified Arabic" w:cs="Simplified Arabic"/>
          <w:color w:val="1B1C1D"/>
          <w:sz w:val="32"/>
          <w:szCs w:val="32"/>
          <w:rtl/>
        </w:rPr>
      </w:pPr>
    </w:p>
    <w:p w14:paraId="0A6C0EC9" w14:textId="77777777" w:rsidR="006A4AB7" w:rsidRDefault="006A4AB7"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62D1188" w14:textId="77777777" w:rsidR="0095700A" w:rsidRDefault="0095700A" w:rsidP="0095700A">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58BEB86" w14:textId="77777777" w:rsidR="0095700A" w:rsidRDefault="0095700A" w:rsidP="0095700A">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136AD7E" w14:textId="77777777" w:rsidR="0095700A" w:rsidRDefault="0095700A" w:rsidP="0095700A">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738974DF" w14:textId="77777777" w:rsidR="0095700A" w:rsidRPr="00A524D0" w:rsidRDefault="0095700A" w:rsidP="0095700A">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EB86E89" w14:textId="375D6854" w:rsidR="00D82707" w:rsidRPr="00A524D0" w:rsidRDefault="00D82707"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Pr>
      </w:pPr>
    </w:p>
    <w:p w14:paraId="647560D3" w14:textId="77777777" w:rsidR="00D82707" w:rsidRPr="00A524D0" w:rsidRDefault="00D82707"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lastRenderedPageBreak/>
        <w:t>أهداف الدراسة</w:t>
      </w:r>
    </w:p>
    <w:p w14:paraId="06105D71" w14:textId="77777777" w:rsidR="00D82707" w:rsidRPr="00A524D0" w:rsidRDefault="00D82707" w:rsidP="00F96B94">
      <w:pPr>
        <w:pStyle w:val="NormalWeb"/>
        <w:bidi/>
        <w:spacing w:before="0" w:beforeAutospacing="0" w:after="24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تهدف هذه الدراسة بشكل رئيسي إلى تقييم فعالية تبني مؤشرات الأداء البيئية والاجتماعية والحوكمة (</w:t>
      </w:r>
      <w:r w:rsidRPr="00A524D0">
        <w:rPr>
          <w:rFonts w:ascii="Simplified Arabic" w:hAnsi="Simplified Arabic" w:cs="Simplified Arabic"/>
          <w:color w:val="1B1C1D"/>
          <w:sz w:val="32"/>
          <w:szCs w:val="32"/>
        </w:rPr>
        <w:t>ESG KPIs</w:t>
      </w:r>
      <w:r w:rsidRPr="00A524D0">
        <w:rPr>
          <w:rFonts w:ascii="Simplified Arabic" w:hAnsi="Simplified Arabic" w:cs="Simplified Arabic"/>
          <w:color w:val="1B1C1D"/>
          <w:sz w:val="32"/>
          <w:szCs w:val="32"/>
          <w:rtl/>
        </w:rPr>
        <w:t>) في شركات إدارة المرافق السعودية ودورها في تعزيز وقياس الأداء المستدام.</w:t>
      </w:r>
    </w:p>
    <w:p w14:paraId="3CDD62E9" w14:textId="77777777" w:rsidR="00D82707" w:rsidRPr="00A524D0" w:rsidRDefault="00D82707" w:rsidP="00F96B94">
      <w:pPr>
        <w:pStyle w:val="NormalWeb"/>
        <w:bidi/>
        <w:spacing w:before="0" w:before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الهدف الرئيسي:</w:t>
      </w:r>
    </w:p>
    <w:p w14:paraId="14285A97" w14:textId="77777777" w:rsidR="00D82707" w:rsidRPr="00A524D0" w:rsidRDefault="00D82707" w:rsidP="00F96B94">
      <w:pPr>
        <w:pStyle w:val="NormalWeb"/>
        <w:bidi/>
        <w:spacing w:before="0" w:before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تحديد وتقييم الدور الفعلي لمؤشرات الأداء البيئية والاجتماعية والحوكمة (</w:t>
      </w:r>
      <w:r w:rsidRPr="00A524D0">
        <w:rPr>
          <w:rFonts w:ascii="Simplified Arabic" w:hAnsi="Simplified Arabic" w:cs="Simplified Arabic"/>
          <w:color w:val="1B1C1D"/>
          <w:sz w:val="32"/>
          <w:szCs w:val="32"/>
        </w:rPr>
        <w:t>ESG KPIs</w:t>
      </w:r>
      <w:r w:rsidRPr="00A524D0">
        <w:rPr>
          <w:rFonts w:ascii="Simplified Arabic" w:hAnsi="Simplified Arabic" w:cs="Simplified Arabic"/>
          <w:color w:val="1B1C1D"/>
          <w:sz w:val="32"/>
          <w:szCs w:val="32"/>
          <w:rtl/>
        </w:rPr>
        <w:t>) في قياس مستوى التزام شركات إدارة المرافق السعودية بتحقيق مستهدفات الاستدامة الشاملة.</w:t>
      </w:r>
    </w:p>
    <w:p w14:paraId="6B281371"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الأهداف الفرعية:</w:t>
      </w:r>
    </w:p>
    <w:p w14:paraId="7B7EC5EA" w14:textId="77777777" w:rsidR="00D82707" w:rsidRPr="00A524D0" w:rsidRDefault="00D82707" w:rsidP="00F96B94">
      <w:pPr>
        <w:pStyle w:val="NormalWeb"/>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تحديد قائمة بأكثر مؤشرات الأداء البيئية والاجتماعية والحوكمة (</w:t>
      </w:r>
      <w:r w:rsidRPr="00A524D0">
        <w:rPr>
          <w:rFonts w:ascii="Simplified Arabic" w:hAnsi="Simplified Arabic" w:cs="Simplified Arabic"/>
          <w:color w:val="1B1C1D"/>
          <w:sz w:val="32"/>
          <w:szCs w:val="32"/>
        </w:rPr>
        <w:t>ESG KPIs</w:t>
      </w:r>
      <w:r w:rsidRPr="00A524D0">
        <w:rPr>
          <w:rFonts w:ascii="Simplified Arabic" w:hAnsi="Simplified Arabic" w:cs="Simplified Arabic"/>
          <w:color w:val="1B1C1D"/>
          <w:sz w:val="32"/>
          <w:szCs w:val="32"/>
          <w:rtl/>
        </w:rPr>
        <w:t>) شيوعاً وتبنياً في شركات إدارة المرافق السعودية.</w:t>
      </w:r>
    </w:p>
    <w:p w14:paraId="497BA98E" w14:textId="77777777" w:rsidR="00D82707" w:rsidRPr="00A524D0" w:rsidRDefault="00D82707" w:rsidP="00F96B94">
      <w:pPr>
        <w:pStyle w:val="NormalWeb"/>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 xml:space="preserve">تحليل التحديات التشغيلية والمنهجية الرئيسية التي تعيق التكامل الفعال لمؤشرات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ضمن آليات عمل شركات إدارة المرافق.</w:t>
      </w:r>
    </w:p>
    <w:p w14:paraId="282476B1" w14:textId="77777777" w:rsidR="00D82707" w:rsidRPr="00A524D0" w:rsidRDefault="00D82707" w:rsidP="00F96B94">
      <w:pPr>
        <w:pStyle w:val="NormalWeb"/>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 xml:space="preserve">مقارنة مدى تطبيق وفاعلية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بين شركات إدارة المرافق العاملة في القطاع الحكومي والخاص في المملكة.</w:t>
      </w:r>
    </w:p>
    <w:p w14:paraId="660FC7B8" w14:textId="3011B00D" w:rsidR="00F20C1C" w:rsidRPr="0095700A" w:rsidRDefault="00D82707" w:rsidP="0095700A">
      <w:pPr>
        <w:pStyle w:val="NormalWeb"/>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lastRenderedPageBreak/>
        <w:t xml:space="preserve">تقييم الأثر الملموس لتطبيق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على تحسين الكفاءة التشغيلية والميزة التنافسية لشركات إدارة المرافق السعودية.</w:t>
      </w:r>
    </w:p>
    <w:p w14:paraId="4850B46B" w14:textId="77777777" w:rsidR="00D82707" w:rsidRPr="00A524D0" w:rsidRDefault="00D82707"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تساؤلات الدراسة</w:t>
      </w:r>
    </w:p>
    <w:p w14:paraId="5B263926" w14:textId="77777777" w:rsidR="00D82707" w:rsidRPr="00A524D0" w:rsidRDefault="00D82707" w:rsidP="00F96B94">
      <w:pPr>
        <w:pStyle w:val="NormalWeb"/>
        <w:bidi/>
        <w:spacing w:before="0" w:before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التساؤل الرئيسي:</w:t>
      </w:r>
    </w:p>
    <w:p w14:paraId="646B3D32" w14:textId="77777777" w:rsidR="00D82707" w:rsidRPr="00A524D0" w:rsidRDefault="00D82707" w:rsidP="00F96B94">
      <w:pPr>
        <w:pStyle w:val="NormalWeb"/>
        <w:bidi/>
        <w:spacing w:before="0" w:before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ما الدور الذي تلعبه مؤشرات الأداء البيئية والاجتماعية والحوكمة (</w:t>
      </w:r>
      <w:r w:rsidRPr="00A524D0">
        <w:rPr>
          <w:rFonts w:ascii="Simplified Arabic" w:hAnsi="Simplified Arabic" w:cs="Simplified Arabic"/>
          <w:color w:val="1B1C1D"/>
          <w:sz w:val="32"/>
          <w:szCs w:val="32"/>
        </w:rPr>
        <w:t>ESG KPIs</w:t>
      </w:r>
      <w:r w:rsidRPr="00A524D0">
        <w:rPr>
          <w:rFonts w:ascii="Simplified Arabic" w:hAnsi="Simplified Arabic" w:cs="Simplified Arabic"/>
          <w:color w:val="1B1C1D"/>
          <w:sz w:val="32"/>
          <w:szCs w:val="32"/>
          <w:rtl/>
        </w:rPr>
        <w:t>) في قياس التزام شركات إدارة المرافق السعودية بالاستدامة، وما هي التحديات التي تواجه تطبيقها؟</w:t>
      </w:r>
    </w:p>
    <w:p w14:paraId="01179191"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التساؤلات الفرعية:</w:t>
      </w:r>
    </w:p>
    <w:p w14:paraId="00381875" w14:textId="77777777" w:rsidR="00D82707" w:rsidRPr="00A524D0" w:rsidRDefault="00D82707" w:rsidP="00F96B94">
      <w:pPr>
        <w:pStyle w:val="NormalWeb"/>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ما هي أبرز مؤشرات الأداء البيئية والاجتماعية والحوكمة (</w:t>
      </w:r>
      <w:r w:rsidRPr="00A524D0">
        <w:rPr>
          <w:rFonts w:ascii="Simplified Arabic" w:hAnsi="Simplified Arabic" w:cs="Simplified Arabic"/>
          <w:color w:val="1B1C1D"/>
          <w:sz w:val="32"/>
          <w:szCs w:val="32"/>
        </w:rPr>
        <w:t>ESG KPIs</w:t>
      </w:r>
      <w:r w:rsidRPr="00A524D0">
        <w:rPr>
          <w:rFonts w:ascii="Simplified Arabic" w:hAnsi="Simplified Arabic" w:cs="Simplified Arabic"/>
          <w:color w:val="1B1C1D"/>
          <w:sz w:val="32"/>
          <w:szCs w:val="32"/>
          <w:rtl/>
        </w:rPr>
        <w:t>) الأكثر تبنياً وتطبيقاً من قبل شركات إدارة المرافق السعودية؟</w:t>
      </w:r>
    </w:p>
    <w:p w14:paraId="030EFD80" w14:textId="77777777" w:rsidR="00D82707" w:rsidRPr="00A524D0" w:rsidRDefault="00D82707" w:rsidP="00F96B94">
      <w:pPr>
        <w:pStyle w:val="NormalWeb"/>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 xml:space="preserve">ما هي أبرز التحديات التشغيلية والإجرائية التي تواجه شركات إدارة المرافق السعودية في عملية دمج وقياس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ضمن أنظمة أدائها؟</w:t>
      </w:r>
    </w:p>
    <w:p w14:paraId="711FD0EE" w14:textId="77777777" w:rsidR="00D82707" w:rsidRPr="00A524D0" w:rsidRDefault="00D82707" w:rsidP="00F96B94">
      <w:pPr>
        <w:pStyle w:val="NormalWeb"/>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 xml:space="preserve">هل يوجد اختلاف جوهري في طبيعة وتطبيق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بين شركات إدارة المرافق السعودية العاملة في القطاع الحكومي مقارنة بالقطاع الخاص؟</w:t>
      </w:r>
    </w:p>
    <w:p w14:paraId="6C9F1C16" w14:textId="77777777" w:rsidR="00D82707" w:rsidRPr="00A524D0" w:rsidRDefault="00D82707" w:rsidP="00F96B94">
      <w:pPr>
        <w:pStyle w:val="NormalWeb"/>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 xml:space="preserve">ما هو الأثر المتوقع لتطبيق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على تحسين الكفاءة التشغيلية، وتقليل المخاطر، وتعزيز الميزة التنافسية لشركات إدارة المرافق السعودية؟</w:t>
      </w:r>
    </w:p>
    <w:p w14:paraId="2F057B31" w14:textId="77777777" w:rsidR="00D82707" w:rsidRPr="00A524D0" w:rsidRDefault="00D82707"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lastRenderedPageBreak/>
        <w:t>فرضيات الدراسة</w:t>
      </w:r>
    </w:p>
    <w:p w14:paraId="0053E2BE" w14:textId="77777777" w:rsidR="00D82707" w:rsidRPr="00A524D0" w:rsidRDefault="00D82707" w:rsidP="00F96B94">
      <w:pPr>
        <w:pStyle w:val="NormalWeb"/>
        <w:bidi/>
        <w:spacing w:before="0" w:before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الفرضية الرئيسية:</w:t>
      </w:r>
    </w:p>
    <w:p w14:paraId="2D2E41A1" w14:textId="77777777" w:rsidR="00D82707" w:rsidRPr="00A524D0" w:rsidRDefault="00D82707" w:rsidP="00F96B94">
      <w:pPr>
        <w:pStyle w:val="NormalWeb"/>
        <w:bidi/>
        <w:spacing w:before="0" w:before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توجد علاقة ارتباط ذات دلالة إحصائية بين مستوى تبني وتطبيق مؤشرات الأداء البيئية والاجتماعية والحوكمة (</w:t>
      </w:r>
      <w:r w:rsidRPr="00A524D0">
        <w:rPr>
          <w:rFonts w:ascii="Simplified Arabic" w:hAnsi="Simplified Arabic" w:cs="Simplified Arabic"/>
          <w:color w:val="1B1C1D"/>
          <w:sz w:val="32"/>
          <w:szCs w:val="32"/>
        </w:rPr>
        <w:t>ESG KPIs</w:t>
      </w:r>
      <w:r w:rsidRPr="00A524D0">
        <w:rPr>
          <w:rFonts w:ascii="Simplified Arabic" w:hAnsi="Simplified Arabic" w:cs="Simplified Arabic"/>
          <w:color w:val="1B1C1D"/>
          <w:sz w:val="32"/>
          <w:szCs w:val="32"/>
          <w:rtl/>
        </w:rPr>
        <w:t>) ومستوى التزام شركات إدارة المرافق السعودية بالاستدامة.</w:t>
      </w:r>
    </w:p>
    <w:p w14:paraId="62989694"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الفرضيات الفرعية:</w:t>
      </w:r>
    </w:p>
    <w:p w14:paraId="12D592DF" w14:textId="77777777" w:rsidR="00D82707" w:rsidRPr="00A524D0" w:rsidRDefault="00D82707" w:rsidP="00F96B94">
      <w:pPr>
        <w:pStyle w:val="NormalWeb"/>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 xml:space="preserve">توجد تحديات تشغيلية وإجرائية ذات دلالة إحصائية تواجه شركات إدارة المرافق السعودية في عملية تطبيق وقياس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w:t>
      </w:r>
    </w:p>
    <w:p w14:paraId="26702617" w14:textId="77777777" w:rsidR="00D82707" w:rsidRPr="00A524D0" w:rsidRDefault="00D82707" w:rsidP="00F96B94">
      <w:pPr>
        <w:pStyle w:val="NormalWeb"/>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 xml:space="preserve">توجد فروق ذات دلالة إحصائية في مستوى تطبيق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بين شركات إدارة المرافق العاملة في القطاع الحكومي مقارنة بتلك العاملة في القطاع الخاص في السعودية.</w:t>
      </w:r>
    </w:p>
    <w:p w14:paraId="37721939" w14:textId="77777777" w:rsidR="00D82707" w:rsidRPr="00A524D0" w:rsidRDefault="00D82707" w:rsidP="00F96B94">
      <w:pPr>
        <w:pStyle w:val="NormalWeb"/>
        <w:numPr>
          <w:ilvl w:val="0"/>
          <w:numId w:val="6"/>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 xml:space="preserve">يؤدي تطبيق مؤشرات </w:t>
      </w:r>
      <w:r w:rsidRPr="00A524D0">
        <w:rPr>
          <w:rFonts w:ascii="Simplified Arabic" w:hAnsi="Simplified Arabic" w:cs="Simplified Arabic"/>
          <w:color w:val="1B1C1D"/>
          <w:sz w:val="32"/>
          <w:szCs w:val="32"/>
        </w:rPr>
        <w:t>ESG</w:t>
      </w:r>
      <w:r w:rsidRPr="00A524D0">
        <w:rPr>
          <w:rFonts w:ascii="Simplified Arabic" w:hAnsi="Simplified Arabic" w:cs="Simplified Arabic"/>
          <w:color w:val="1B1C1D"/>
          <w:sz w:val="32"/>
          <w:szCs w:val="32"/>
          <w:rtl/>
        </w:rPr>
        <w:t xml:space="preserve"> إلى تحقيق أثر إيجابي ذي دلالة إحصائية على الكفاءة التشغيلية والميزة التنافسية لشركات إدارة المرافق السعودية.</w:t>
      </w:r>
    </w:p>
    <w:p w14:paraId="2F3E6385" w14:textId="77777777" w:rsidR="00D82707" w:rsidRPr="00A524D0" w:rsidRDefault="00D82707"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مصطلحات الدراسة</w:t>
      </w:r>
    </w:p>
    <w:tbl>
      <w:tblPr>
        <w:bidiVisual/>
        <w:tblW w:w="0" w:type="auto"/>
        <w:tblCellSpacing w:w="15" w:type="dxa"/>
        <w:tblCellMar>
          <w:left w:w="0" w:type="dxa"/>
          <w:right w:w="0" w:type="dxa"/>
        </w:tblCellMar>
        <w:tblLook w:val="04A0" w:firstRow="1" w:lastRow="0" w:firstColumn="1" w:lastColumn="0" w:noHBand="0" w:noVBand="1"/>
      </w:tblPr>
      <w:tblGrid>
        <w:gridCol w:w="3054"/>
        <w:gridCol w:w="5762"/>
      </w:tblGrid>
      <w:tr w:rsidR="00D82707" w:rsidRPr="00A524D0" w14:paraId="061ADFB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7CA78F" w14:textId="77777777" w:rsidR="00D82707" w:rsidRPr="00A524D0" w:rsidRDefault="00D82707" w:rsidP="00F96B94">
            <w:pPr>
              <w:spacing w:line="360" w:lineRule="auto"/>
              <w:rPr>
                <w:rFonts w:ascii="Simplified Arabic" w:eastAsia="Times New Roman" w:hAnsi="Simplified Arabic" w:cs="Simplified Arabic"/>
                <w:color w:val="1B1C1D"/>
                <w:sz w:val="32"/>
                <w:szCs w:val="32"/>
                <w:rtl/>
              </w:rPr>
            </w:pPr>
            <w:r w:rsidRPr="00A524D0">
              <w:rPr>
                <w:rStyle w:val="Strong"/>
                <w:rFonts w:ascii="Simplified Arabic" w:eastAsia="Times New Roman" w:hAnsi="Simplified Arabic" w:cs="Simplified Arabic"/>
                <w:color w:val="1B1C1D"/>
                <w:sz w:val="32"/>
                <w:szCs w:val="32"/>
                <w:bdr w:val="none" w:sz="0" w:space="0" w:color="auto" w:frame="1"/>
                <w:rtl/>
              </w:rPr>
              <w:t>المصطلح (</w:t>
            </w:r>
            <w:r w:rsidRPr="00A524D0">
              <w:rPr>
                <w:rStyle w:val="Strong"/>
                <w:rFonts w:ascii="Simplified Arabic" w:eastAsia="Times New Roman" w:hAnsi="Simplified Arabic" w:cs="Simplified Arabic"/>
                <w:color w:val="1B1C1D"/>
                <w:sz w:val="32"/>
                <w:szCs w:val="32"/>
                <w:bdr w:val="none" w:sz="0" w:space="0" w:color="auto" w:frame="1"/>
              </w:rPr>
              <w:t>Term</w:t>
            </w:r>
            <w:r w:rsidRPr="00A524D0">
              <w:rPr>
                <w:rStyle w:val="Strong"/>
                <w:rFonts w:ascii="Simplified Arabic" w:eastAsia="Times New Roman" w:hAnsi="Simplified Arabic" w:cs="Simplified Arabic"/>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34BBF1" w14:textId="77777777" w:rsidR="00D82707" w:rsidRPr="00A524D0" w:rsidRDefault="00D82707" w:rsidP="00F96B94">
            <w:pPr>
              <w:spacing w:line="360" w:lineRule="auto"/>
              <w:rPr>
                <w:rFonts w:ascii="Simplified Arabic" w:eastAsia="Times New Roman" w:hAnsi="Simplified Arabic" w:cs="Simplified Arabic"/>
                <w:color w:val="1B1C1D"/>
                <w:sz w:val="32"/>
                <w:szCs w:val="32"/>
                <w:rtl/>
              </w:rPr>
            </w:pPr>
            <w:r w:rsidRPr="00A524D0">
              <w:rPr>
                <w:rStyle w:val="Strong"/>
                <w:rFonts w:ascii="Simplified Arabic" w:eastAsia="Times New Roman" w:hAnsi="Simplified Arabic" w:cs="Simplified Arabic"/>
                <w:color w:val="1B1C1D"/>
                <w:sz w:val="32"/>
                <w:szCs w:val="32"/>
                <w:bdr w:val="none" w:sz="0" w:space="0" w:color="auto" w:frame="1"/>
                <w:rtl/>
              </w:rPr>
              <w:t>التعريف الإجرائي (</w:t>
            </w:r>
            <w:r w:rsidRPr="00A524D0">
              <w:rPr>
                <w:rStyle w:val="Strong"/>
                <w:rFonts w:ascii="Simplified Arabic" w:eastAsia="Times New Roman" w:hAnsi="Simplified Arabic" w:cs="Simplified Arabic"/>
                <w:color w:val="1B1C1D"/>
                <w:sz w:val="32"/>
                <w:szCs w:val="32"/>
                <w:bdr w:val="none" w:sz="0" w:space="0" w:color="auto" w:frame="1"/>
              </w:rPr>
              <w:t>Operational Definition</w:t>
            </w:r>
            <w:r w:rsidRPr="00A524D0">
              <w:rPr>
                <w:rStyle w:val="Strong"/>
                <w:rFonts w:ascii="Simplified Arabic" w:eastAsia="Times New Roman" w:hAnsi="Simplified Arabic" w:cs="Simplified Arabic"/>
                <w:color w:val="1B1C1D"/>
                <w:sz w:val="32"/>
                <w:szCs w:val="32"/>
                <w:bdr w:val="none" w:sz="0" w:space="0" w:color="auto" w:frame="1"/>
                <w:rtl/>
              </w:rPr>
              <w:t>)</w:t>
            </w:r>
          </w:p>
        </w:tc>
      </w:tr>
      <w:tr w:rsidR="00D82707" w:rsidRPr="00A524D0" w14:paraId="6795F98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058782"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lastRenderedPageBreak/>
              <w:t>مؤشرات الأداء البيئية والاجتماعية والحوكمة (</w:t>
            </w:r>
            <w:r w:rsidRPr="00A524D0">
              <w:rPr>
                <w:rStyle w:val="Strong"/>
                <w:rFonts w:ascii="Simplified Arabic" w:hAnsi="Simplified Arabic" w:cs="Simplified Arabic"/>
                <w:color w:val="1B1C1D"/>
                <w:sz w:val="32"/>
                <w:szCs w:val="32"/>
                <w:bdr w:val="none" w:sz="0" w:space="0" w:color="auto" w:frame="1"/>
              </w:rPr>
              <w:t>ESG KPIs</w:t>
            </w:r>
            <w:r w:rsidRPr="00A524D0">
              <w:rPr>
                <w:rStyle w:val="Strong"/>
                <w:rFonts w:ascii="Simplified Arabic" w:hAnsi="Simplified Arabic" w:cs="Simplified Arabic"/>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2C751E"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هي مجموعة من المقاييس الكمية والنوعية التي تستخدمها شركات إدارة المرافق السعودية لقياس أدائها في ثلاث مجالات رئيسية: الحفاظ على البيئة، المسؤولية الاجتماعية تجاه العاملين والمجتمع، والالتزام بمعايير الحوكمة والشفافية.</w:t>
            </w:r>
          </w:p>
        </w:tc>
      </w:tr>
      <w:tr w:rsidR="00D82707" w:rsidRPr="00A524D0" w14:paraId="25A8642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91C292"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الاستدامة (</w:t>
            </w:r>
            <w:r w:rsidRPr="00A524D0">
              <w:rPr>
                <w:rStyle w:val="Strong"/>
                <w:rFonts w:ascii="Simplified Arabic" w:hAnsi="Simplified Arabic" w:cs="Simplified Arabic"/>
                <w:color w:val="1B1C1D"/>
                <w:sz w:val="32"/>
                <w:szCs w:val="32"/>
                <w:bdr w:val="none" w:sz="0" w:space="0" w:color="auto" w:frame="1"/>
              </w:rPr>
              <w:t>Sustainability</w:t>
            </w:r>
            <w:r w:rsidRPr="00A524D0">
              <w:rPr>
                <w:rStyle w:val="Strong"/>
                <w:rFonts w:ascii="Simplified Arabic" w:hAnsi="Simplified Arabic" w:cs="Simplified Arabic"/>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E24CC8"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التزام شركات إدارة المرافق بتحقيق التوازن بين المتطلبات الاقتصادية، والمسؤوليات البيئية (مثل ترشيد استهلاك الطاقة والمياه وإدارة النفايات)، والآثار الاجتماعية، لضمان استمرارية الأعمال وكفاءة تشغيل الأصول للأجيال القادمة.</w:t>
            </w:r>
          </w:p>
        </w:tc>
      </w:tr>
      <w:tr w:rsidR="00D82707" w:rsidRPr="00A524D0" w14:paraId="6854601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721A8"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شركات إدارة المرافق السعودية (</w:t>
            </w:r>
            <w:r w:rsidRPr="00A524D0">
              <w:rPr>
                <w:rStyle w:val="Strong"/>
                <w:rFonts w:ascii="Simplified Arabic" w:hAnsi="Simplified Arabic" w:cs="Simplified Arabic"/>
                <w:color w:val="1B1C1D"/>
                <w:sz w:val="32"/>
                <w:szCs w:val="32"/>
                <w:bdr w:val="none" w:sz="0" w:space="0" w:color="auto" w:frame="1"/>
              </w:rPr>
              <w:t>Saudi FM Companies</w:t>
            </w:r>
            <w:r w:rsidRPr="00A524D0">
              <w:rPr>
                <w:rStyle w:val="Strong"/>
                <w:rFonts w:ascii="Simplified Arabic" w:hAnsi="Simplified Arabic" w:cs="Simplified Arabic"/>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72FCAE"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الشركات المسجلة والمرخصة للعمل في المملكة العربية السعودية التي تقدم خدمات إدارة وتشغيل وصيانة المرافق المتكاملة (مثل المباني التجارية والسكنية والحكومية) وتطبق استراتيجيات الاستدامة في عملياتها.</w:t>
            </w:r>
          </w:p>
        </w:tc>
      </w:tr>
    </w:tbl>
    <w:p w14:paraId="07F78477" w14:textId="77777777" w:rsidR="00D82707" w:rsidRPr="00A524D0" w:rsidRDefault="00D82707"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lastRenderedPageBreak/>
        <w:t>متغيرات الدراسة</w:t>
      </w:r>
    </w:p>
    <w:tbl>
      <w:tblPr>
        <w:bidiVisual/>
        <w:tblW w:w="0" w:type="auto"/>
        <w:tblCellSpacing w:w="15" w:type="dxa"/>
        <w:tblCellMar>
          <w:left w:w="0" w:type="dxa"/>
          <w:right w:w="0" w:type="dxa"/>
        </w:tblCellMar>
        <w:tblLook w:val="04A0" w:firstRow="1" w:lastRow="0" w:firstColumn="1" w:lastColumn="0" w:noHBand="0" w:noVBand="1"/>
      </w:tblPr>
      <w:tblGrid>
        <w:gridCol w:w="2633"/>
        <w:gridCol w:w="2233"/>
        <w:gridCol w:w="3950"/>
      </w:tblGrid>
      <w:tr w:rsidR="00D82707" w:rsidRPr="00A524D0" w14:paraId="63468A3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A1737E" w14:textId="77777777" w:rsidR="00D82707" w:rsidRPr="00A524D0" w:rsidRDefault="00D82707" w:rsidP="00F96B94">
            <w:pPr>
              <w:spacing w:line="360" w:lineRule="auto"/>
              <w:rPr>
                <w:rFonts w:ascii="Simplified Arabic" w:eastAsia="Times New Roman" w:hAnsi="Simplified Arabic" w:cs="Simplified Arabic"/>
                <w:color w:val="1B1C1D"/>
                <w:sz w:val="32"/>
                <w:szCs w:val="32"/>
                <w:rtl/>
              </w:rPr>
            </w:pPr>
            <w:r w:rsidRPr="00A524D0">
              <w:rPr>
                <w:rStyle w:val="Strong"/>
                <w:rFonts w:ascii="Simplified Arabic" w:eastAsia="Times New Roman" w:hAnsi="Simplified Arabic" w:cs="Simplified Arabic"/>
                <w:color w:val="1B1C1D"/>
                <w:sz w:val="32"/>
                <w:szCs w:val="32"/>
                <w:bdr w:val="none" w:sz="0" w:space="0" w:color="auto" w:frame="1"/>
                <w:rtl/>
              </w:rPr>
              <w:t>نوع 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D86D54" w14:textId="77777777" w:rsidR="00D82707" w:rsidRPr="00A524D0" w:rsidRDefault="00D82707" w:rsidP="00F96B94">
            <w:pPr>
              <w:spacing w:line="360" w:lineRule="auto"/>
              <w:rPr>
                <w:rFonts w:ascii="Simplified Arabic" w:eastAsia="Times New Roman" w:hAnsi="Simplified Arabic" w:cs="Simplified Arabic"/>
                <w:color w:val="1B1C1D"/>
                <w:sz w:val="32"/>
                <w:szCs w:val="32"/>
                <w:rtl/>
              </w:rPr>
            </w:pPr>
            <w:r w:rsidRPr="00A524D0">
              <w:rPr>
                <w:rStyle w:val="Strong"/>
                <w:rFonts w:ascii="Simplified Arabic" w:eastAsia="Times New Roman" w:hAnsi="Simplified Arabic" w:cs="Simplified Arabic"/>
                <w:color w:val="1B1C1D"/>
                <w:sz w:val="32"/>
                <w:szCs w:val="32"/>
                <w:bdr w:val="none" w:sz="0" w:space="0" w:color="auto" w:frame="1"/>
                <w:rtl/>
              </w:rPr>
              <w:t>اسم 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E73770" w14:textId="77777777" w:rsidR="00D82707" w:rsidRPr="00A524D0" w:rsidRDefault="00D82707" w:rsidP="00F96B94">
            <w:pPr>
              <w:spacing w:line="360" w:lineRule="auto"/>
              <w:rPr>
                <w:rFonts w:ascii="Simplified Arabic" w:eastAsia="Times New Roman" w:hAnsi="Simplified Arabic" w:cs="Simplified Arabic"/>
                <w:color w:val="1B1C1D"/>
                <w:sz w:val="32"/>
                <w:szCs w:val="32"/>
                <w:rtl/>
              </w:rPr>
            </w:pPr>
            <w:r w:rsidRPr="00A524D0">
              <w:rPr>
                <w:rStyle w:val="Strong"/>
                <w:rFonts w:ascii="Simplified Arabic" w:eastAsia="Times New Roman" w:hAnsi="Simplified Arabic" w:cs="Simplified Arabic"/>
                <w:color w:val="1B1C1D"/>
                <w:sz w:val="32"/>
                <w:szCs w:val="32"/>
                <w:bdr w:val="none" w:sz="0" w:space="0" w:color="auto" w:frame="1"/>
                <w:rtl/>
              </w:rPr>
              <w:t>الأبعاد الرئيسية</w:t>
            </w:r>
          </w:p>
        </w:tc>
      </w:tr>
      <w:tr w:rsidR="00D82707" w:rsidRPr="00A524D0" w14:paraId="04A32DB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307715"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المتغير المستقل (</w:t>
            </w:r>
            <w:r w:rsidRPr="00A524D0">
              <w:rPr>
                <w:rStyle w:val="Strong"/>
                <w:rFonts w:ascii="Simplified Arabic" w:hAnsi="Simplified Arabic" w:cs="Simplified Arabic"/>
                <w:color w:val="1B1C1D"/>
                <w:sz w:val="32"/>
                <w:szCs w:val="32"/>
                <w:bdr w:val="none" w:sz="0" w:space="0" w:color="auto" w:frame="1"/>
              </w:rPr>
              <w:t>Independent Variable</w:t>
            </w:r>
            <w:r w:rsidRPr="00A524D0">
              <w:rPr>
                <w:rStyle w:val="Strong"/>
                <w:rFonts w:ascii="Simplified Arabic" w:hAnsi="Simplified Arabic" w:cs="Simplified Arabic"/>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552F13"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مؤشرات الأداء البيئية والاجتماعية والحوكمة (</w:t>
            </w:r>
            <w:r w:rsidRPr="00A524D0">
              <w:rPr>
                <w:rStyle w:val="Strong"/>
                <w:rFonts w:ascii="Simplified Arabic" w:hAnsi="Simplified Arabic" w:cs="Simplified Arabic"/>
                <w:color w:val="1B1C1D"/>
                <w:sz w:val="32"/>
                <w:szCs w:val="32"/>
                <w:bdr w:val="none" w:sz="0" w:space="0" w:color="auto" w:frame="1"/>
              </w:rPr>
              <w:t>ESG KPIs</w:t>
            </w:r>
            <w:r w:rsidRPr="00A524D0">
              <w:rPr>
                <w:rStyle w:val="Strong"/>
                <w:rFonts w:ascii="Simplified Arabic" w:hAnsi="Simplified Arabic" w:cs="Simplified Arabic"/>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FBF2EC"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1. البعد البيئي (</w:t>
            </w:r>
            <w:r w:rsidRPr="00A524D0">
              <w:rPr>
                <w:rFonts w:ascii="Simplified Arabic" w:hAnsi="Simplified Arabic" w:cs="Simplified Arabic"/>
                <w:color w:val="1B1C1D"/>
                <w:sz w:val="32"/>
                <w:szCs w:val="32"/>
              </w:rPr>
              <w:t>E</w:t>
            </w:r>
            <w:r w:rsidRPr="00A524D0">
              <w:rPr>
                <w:rFonts w:ascii="Simplified Arabic" w:hAnsi="Simplified Arabic" w:cs="Simplified Arabic"/>
                <w:color w:val="1B1C1D"/>
                <w:sz w:val="32"/>
                <w:szCs w:val="32"/>
                <w:rtl/>
              </w:rPr>
              <w:t>): (مثل استهلاك الطاقة، إدارة النفايات). 2. البعد الاجتماعي (</w:t>
            </w:r>
            <w:r w:rsidRPr="00A524D0">
              <w:rPr>
                <w:rFonts w:ascii="Simplified Arabic" w:hAnsi="Simplified Arabic" w:cs="Simplified Arabic"/>
                <w:color w:val="1B1C1D"/>
                <w:sz w:val="32"/>
                <w:szCs w:val="32"/>
              </w:rPr>
              <w:t>S</w:t>
            </w:r>
            <w:r w:rsidRPr="00A524D0">
              <w:rPr>
                <w:rFonts w:ascii="Simplified Arabic" w:hAnsi="Simplified Arabic" w:cs="Simplified Arabic"/>
                <w:color w:val="1B1C1D"/>
                <w:sz w:val="32"/>
                <w:szCs w:val="32"/>
                <w:rtl/>
              </w:rPr>
              <w:t>): (مثل صحة وسلامة العاملين، التوطين). 3. بعد الحوكمة (</w:t>
            </w:r>
            <w:r w:rsidRPr="00A524D0">
              <w:rPr>
                <w:rFonts w:ascii="Simplified Arabic" w:hAnsi="Simplified Arabic" w:cs="Simplified Arabic"/>
                <w:color w:val="1B1C1D"/>
                <w:sz w:val="32"/>
                <w:szCs w:val="32"/>
              </w:rPr>
              <w:t>G</w:t>
            </w:r>
            <w:r w:rsidRPr="00A524D0">
              <w:rPr>
                <w:rFonts w:ascii="Simplified Arabic" w:hAnsi="Simplified Arabic" w:cs="Simplified Arabic"/>
                <w:color w:val="1B1C1D"/>
                <w:sz w:val="32"/>
                <w:szCs w:val="32"/>
                <w:rtl/>
              </w:rPr>
              <w:t>): (مثل الشفافية، مكافحة الفساد).</w:t>
            </w:r>
          </w:p>
        </w:tc>
      </w:tr>
      <w:tr w:rsidR="00D82707" w:rsidRPr="00A524D0" w14:paraId="01AD3D7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1D8121"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المتغير التابع (</w:t>
            </w:r>
            <w:r w:rsidRPr="00A524D0">
              <w:rPr>
                <w:rStyle w:val="Strong"/>
                <w:rFonts w:ascii="Simplified Arabic" w:hAnsi="Simplified Arabic" w:cs="Simplified Arabic"/>
                <w:color w:val="1B1C1D"/>
                <w:sz w:val="32"/>
                <w:szCs w:val="32"/>
                <w:bdr w:val="none" w:sz="0" w:space="0" w:color="auto" w:frame="1"/>
              </w:rPr>
              <w:t>Dependent Variable</w:t>
            </w:r>
            <w:r w:rsidRPr="00A524D0">
              <w:rPr>
                <w:rStyle w:val="Strong"/>
                <w:rFonts w:ascii="Simplified Arabic" w:hAnsi="Simplified Arabic" w:cs="Simplified Arabic"/>
                <w:color w:val="1B1C1D"/>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EF7295"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التزام شركات إدارة المرافق السعودية بالاستدامة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0B7C53" w14:textId="77777777" w:rsidR="00D82707" w:rsidRPr="00A524D0" w:rsidRDefault="00D82707" w:rsidP="00F96B94">
            <w:pPr>
              <w:pStyle w:val="NormalWeb"/>
              <w:bidi/>
              <w:spacing w:before="0" w:beforeAutospacing="0" w:after="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مستوى تحقيق الأهداف الاستراتيجية المتعلقة بالاستدامة، ويقاس من خلال الكفاءة التشغيلية والامتثال البيئي والأثر الاجتماعي والميزة التنافسية.</w:t>
            </w:r>
          </w:p>
        </w:tc>
      </w:tr>
    </w:tbl>
    <w:p w14:paraId="3B3047E6" w14:textId="77777777" w:rsidR="000C3118" w:rsidRPr="00A524D0" w:rsidRDefault="000C3118"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781C1DF" w14:textId="77777777" w:rsidR="005A3B1E" w:rsidRPr="00A524D0" w:rsidRDefault="005A3B1E"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5CB5864" w14:textId="77777777" w:rsidR="005A3B1E" w:rsidRPr="00A524D0" w:rsidRDefault="005A3B1E"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5FCA96D" w14:textId="77777777" w:rsidR="000540DE" w:rsidRPr="00A524D0" w:rsidRDefault="000540DE"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007AB476" w14:textId="77777777" w:rsidR="000540DE" w:rsidRPr="00A524D0" w:rsidRDefault="000540DE"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BF9237C" w14:textId="77777777" w:rsidR="000540DE" w:rsidRPr="00A524D0" w:rsidRDefault="000540DE"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437AFA76" w14:textId="77777777" w:rsidR="000540DE" w:rsidRPr="00A524D0" w:rsidRDefault="000540DE"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7425819A" w14:textId="77777777" w:rsidR="007E2E88" w:rsidRDefault="007E2E88"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3B2859D1" w14:textId="77777777" w:rsidR="0095700A" w:rsidRDefault="0095700A" w:rsidP="0095700A">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2C67EBF6" w14:textId="74B92BA8" w:rsidR="0095700A" w:rsidRDefault="0095700A" w:rsidP="0095700A">
      <w:pPr>
        <w:pStyle w:val="Heading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الثاني</w:t>
      </w:r>
    </w:p>
    <w:p w14:paraId="47DAC722" w14:textId="77777777" w:rsidR="0095700A" w:rsidRDefault="0095700A" w:rsidP="0095700A">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040B08E8" w14:textId="77777777" w:rsidR="0095700A" w:rsidRDefault="0095700A" w:rsidP="0095700A">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50DCE490" w14:textId="77777777" w:rsidR="0095700A" w:rsidRDefault="0095700A" w:rsidP="0095700A">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3FBFEE72" w14:textId="77777777" w:rsidR="0095700A" w:rsidRDefault="0095700A" w:rsidP="0095700A">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37AD4DBC" w14:textId="77777777" w:rsidR="0095700A" w:rsidRDefault="0095700A" w:rsidP="0095700A">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2CB368C9" w14:textId="77777777" w:rsidR="0095700A" w:rsidRDefault="0095700A" w:rsidP="0095700A">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7A873FE8" w14:textId="77777777" w:rsidR="0095700A" w:rsidRDefault="0095700A" w:rsidP="0095700A">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21E04AD0" w14:textId="77777777" w:rsidR="0095700A" w:rsidRDefault="0095700A" w:rsidP="0095700A">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3E1858FD" w14:textId="77777777" w:rsidR="000540DE" w:rsidRPr="00A524D0" w:rsidRDefault="000540DE"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43143C75" w14:textId="440B950C" w:rsidR="007E2E88" w:rsidRPr="00A524D0" w:rsidRDefault="007E2E88"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Pr>
      </w:pPr>
      <w:r w:rsidRPr="00A524D0">
        <w:rPr>
          <w:rFonts w:ascii="Simplified Arabic" w:eastAsia="Times New Roman" w:hAnsi="Simplified Arabic" w:cs="Simplified Arabic"/>
          <w:color w:val="1B1C1D"/>
          <w:sz w:val="32"/>
          <w:szCs w:val="32"/>
          <w:rtl/>
        </w:rPr>
        <w:lastRenderedPageBreak/>
        <w:t xml:space="preserve"> الدراسات السابقة (</w:t>
      </w:r>
      <w:r w:rsidRPr="00A524D0">
        <w:rPr>
          <w:rFonts w:ascii="Simplified Arabic" w:eastAsia="Times New Roman" w:hAnsi="Simplified Arabic" w:cs="Simplified Arabic"/>
          <w:color w:val="1B1C1D"/>
          <w:sz w:val="32"/>
          <w:szCs w:val="32"/>
        </w:rPr>
        <w:t>Previous Studies</w:t>
      </w:r>
      <w:r w:rsidRPr="00A524D0">
        <w:rPr>
          <w:rFonts w:ascii="Simplified Arabic" w:eastAsia="Times New Roman" w:hAnsi="Simplified Arabic" w:cs="Simplified Arabic"/>
          <w:color w:val="1B1C1D"/>
          <w:sz w:val="32"/>
          <w:szCs w:val="32"/>
          <w:rtl/>
        </w:rPr>
        <w:t>)</w:t>
      </w:r>
    </w:p>
    <w:p w14:paraId="7A603F93" w14:textId="77777777" w:rsidR="007E2E88" w:rsidRPr="00A524D0" w:rsidRDefault="007E2E88" w:rsidP="00F96B94">
      <w:pPr>
        <w:pStyle w:val="NormalWeb"/>
        <w:bidi/>
        <w:spacing w:before="0" w:beforeAutospacing="0" w:after="24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فيما يلي عرض لأبرز الدراسات السابقة المتعلقة بموضوع الحوكمة والتنمية المستدامة والاستثمار، مرتبة حسب سنة النشر:</w:t>
      </w:r>
    </w:p>
    <w:p w14:paraId="5973D9E5" w14:textId="77777777" w:rsidR="007E2E88" w:rsidRPr="00A524D0" w:rsidRDefault="007E2E88"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1. ابن زروق وآخرون (2020)</w:t>
      </w:r>
    </w:p>
    <w:p w14:paraId="4C7B0AD2" w14:textId="77777777" w:rsidR="007E2E88" w:rsidRPr="00A524D0" w:rsidRDefault="007E2E88" w:rsidP="00F96B94">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هدف الدراسة:</w:t>
      </w:r>
      <w:r w:rsidRPr="00A524D0">
        <w:rPr>
          <w:rFonts w:ascii="Simplified Arabic" w:hAnsi="Simplified Arabic" w:cs="Simplified Arabic"/>
          <w:color w:val="1B1C1D"/>
          <w:sz w:val="32"/>
          <w:szCs w:val="32"/>
          <w:rtl/>
        </w:rPr>
        <w:t xml:space="preserve"> هدفت الدراسة إلى تحليل الإطار المفاهيمي والتطبيقي للحوكمة البيئية في تحقيق التنمية المستدامة، مع التركيز على التجربة السعودية.</w:t>
      </w:r>
    </w:p>
    <w:p w14:paraId="275AF1F5" w14:textId="77777777" w:rsidR="007E2E88" w:rsidRPr="00A524D0" w:rsidRDefault="007E2E88" w:rsidP="00F96B94">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أهم النتائج:</w:t>
      </w:r>
    </w:p>
    <w:p w14:paraId="67010B69" w14:textId="77777777" w:rsidR="007E2E88" w:rsidRPr="00A524D0" w:rsidRDefault="007E2E88" w:rsidP="00F96B94">
      <w:pPr>
        <w:pStyle w:val="NormalWeb"/>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توصلت إلى أن المبادئ البيئية تشكل ركيزة أساسية لاستدامة الموارد الطبيعية.</w:t>
      </w:r>
    </w:p>
    <w:p w14:paraId="2E1F98F5" w14:textId="77777777" w:rsidR="007E2E88" w:rsidRPr="00A524D0" w:rsidRDefault="007E2E88" w:rsidP="00F96B94">
      <w:pPr>
        <w:pStyle w:val="NormalWeb"/>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أظهرت أن تطبيق معايير الحوكمة البيئية في السعودية ساهم في تحسين كفاءة استخدام الموارد بنسبة 28% خلال ثلاث سنوات.</w:t>
      </w:r>
    </w:p>
    <w:p w14:paraId="0D3BB25E" w14:textId="77777777" w:rsidR="007E2E88" w:rsidRPr="00A524D0" w:rsidRDefault="007E2E88" w:rsidP="00F96B94">
      <w:pPr>
        <w:pStyle w:val="NormalWeb"/>
        <w:numPr>
          <w:ilvl w:val="1"/>
          <w:numId w:val="20"/>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أكدت على أهمية البنية التحتية المؤسسية في تفعيل هذه المعايير، وسلطت الضوء على التحديات التي تواجهها الدول النامية في هذا المجال.</w:t>
      </w:r>
    </w:p>
    <w:p w14:paraId="46367EF0" w14:textId="77777777" w:rsidR="007E2E88" w:rsidRPr="00A524D0" w:rsidRDefault="007E2E88"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lastRenderedPageBreak/>
        <w:t>2. الغامدي وآخرون (2024)</w:t>
      </w:r>
    </w:p>
    <w:p w14:paraId="33B09F45" w14:textId="77777777" w:rsidR="007E2E88" w:rsidRPr="00A524D0" w:rsidRDefault="007E2E88" w:rsidP="00F96B94">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هدف الدراسة:</w:t>
      </w:r>
      <w:r w:rsidRPr="00A524D0">
        <w:rPr>
          <w:rFonts w:ascii="Simplified Arabic" w:hAnsi="Simplified Arabic" w:cs="Simplified Arabic"/>
          <w:color w:val="1B1C1D"/>
          <w:sz w:val="32"/>
          <w:szCs w:val="32"/>
          <w:rtl/>
        </w:rPr>
        <w:t xml:space="preserve"> هدفت إلى تحليل العوامل السياسية والأمنية المؤثرة على قرارات الاستثمار الأجنبي في السعودية، مع التركيز على متغيرات محددة مثل التشريعات القانونية ومكافحة الإرهاب.</w:t>
      </w:r>
    </w:p>
    <w:p w14:paraId="19DAEAFE" w14:textId="77777777" w:rsidR="007E2E88" w:rsidRPr="00A524D0" w:rsidRDefault="007E2E88" w:rsidP="00F96B94">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أهم النتائج:</w:t>
      </w:r>
    </w:p>
    <w:p w14:paraId="7E75CC57" w14:textId="77777777" w:rsidR="007E2E88" w:rsidRPr="00A524D0" w:rsidRDefault="007E2E88" w:rsidP="00F96B94">
      <w:pPr>
        <w:pStyle w:val="NormalWeb"/>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كشفت أن 72% من قرارات المستثمرين الأجانب تتأثر بشكل مباشر بدرجة الاستقرار السياسي.</w:t>
      </w:r>
    </w:p>
    <w:p w14:paraId="082D1D0B" w14:textId="77777777" w:rsidR="007E2E88" w:rsidRPr="00A524D0" w:rsidRDefault="007E2E88" w:rsidP="00F96B94">
      <w:pPr>
        <w:pStyle w:val="NormalWeb"/>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أظهرت أن تحسين البيئة التشريعية يزيد من جذب الاستثمارات بنسبة 35% مقارنة بالعوامل الأخرى.</w:t>
      </w:r>
    </w:p>
    <w:p w14:paraId="45BFF701" w14:textId="77777777" w:rsidR="007E2E88" w:rsidRPr="00A524D0" w:rsidRDefault="007E2E88" w:rsidP="00F96B94">
      <w:pPr>
        <w:pStyle w:val="NormalWeb"/>
        <w:numPr>
          <w:ilvl w:val="1"/>
          <w:numId w:val="21"/>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قدمت نموذجاً كمياً لقياس هذه العلاقات في ظل رؤية السعودية 2030.</w:t>
      </w:r>
    </w:p>
    <w:p w14:paraId="7073AA31" w14:textId="77777777" w:rsidR="007E2E88" w:rsidRPr="00A524D0" w:rsidRDefault="007E2E88"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3. سليمان والفايق (2025)</w:t>
      </w:r>
    </w:p>
    <w:p w14:paraId="205508EC" w14:textId="77777777" w:rsidR="007E2E88" w:rsidRPr="00A524D0" w:rsidRDefault="007E2E88" w:rsidP="00F96B94">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هدف الدراسة:</w:t>
      </w:r>
      <w:r w:rsidRPr="00A524D0">
        <w:rPr>
          <w:rFonts w:ascii="Simplified Arabic" w:hAnsi="Simplified Arabic" w:cs="Simplified Arabic"/>
          <w:color w:val="1B1C1D"/>
          <w:sz w:val="32"/>
          <w:szCs w:val="32"/>
          <w:rtl/>
        </w:rPr>
        <w:t xml:space="preserve"> هدفت إلى تقييم شمولي لتجربة السودان في تطبيق مبادئ الحكم الراشد وعلاقتها بأهداف التنمية المستدامة.</w:t>
      </w:r>
    </w:p>
    <w:p w14:paraId="79440798" w14:textId="77777777" w:rsidR="007E2E88" w:rsidRPr="00A524D0" w:rsidRDefault="007E2E88" w:rsidP="00F96B94">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أهم النتائج:</w:t>
      </w:r>
    </w:p>
    <w:p w14:paraId="41E44575" w14:textId="77777777" w:rsidR="007E2E88" w:rsidRPr="00A524D0" w:rsidRDefault="007E2E88" w:rsidP="00F96B94">
      <w:pPr>
        <w:pStyle w:val="NormalWeb"/>
        <w:numPr>
          <w:ilvl w:val="1"/>
          <w:numId w:val="22"/>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أظهرت النتائج تفاوتاً كبيراً في الأداء، حيث حقق السودان تقدماً في مؤشرات المساواة بين الجنسين بنسبة (65%) بينما تراجع في المؤشرات الاقتصادية والبيئية.</w:t>
      </w:r>
    </w:p>
    <w:p w14:paraId="6D498147" w14:textId="77777777" w:rsidR="007E2E88" w:rsidRPr="00A524D0" w:rsidRDefault="007E2E88" w:rsidP="00F96B94">
      <w:pPr>
        <w:pStyle w:val="NormalWeb"/>
        <w:numPr>
          <w:ilvl w:val="1"/>
          <w:numId w:val="22"/>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lastRenderedPageBreak/>
        <w:t>أوضحت أن التحديات الهيكلية في النظام الاقتصادي السوداني تقلل من فعالية آليات الحوكمة.</w:t>
      </w:r>
    </w:p>
    <w:p w14:paraId="37F17096" w14:textId="77777777" w:rsidR="007E2E88" w:rsidRPr="00A524D0" w:rsidRDefault="007E2E88" w:rsidP="00F96B94">
      <w:pPr>
        <w:pStyle w:val="NormalWeb"/>
        <w:numPr>
          <w:ilvl w:val="1"/>
          <w:numId w:val="22"/>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أكدت على ضرورة إجراء إصلاحات مؤسسية متكاملة لتحقيق التنمية المستدامة.</w:t>
      </w:r>
    </w:p>
    <w:p w14:paraId="447904A2" w14:textId="77777777" w:rsidR="007E2E88" w:rsidRPr="00A524D0" w:rsidRDefault="007E2E88"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4. السليمان (2025)</w:t>
      </w:r>
    </w:p>
    <w:p w14:paraId="71B38208" w14:textId="77777777" w:rsidR="007E2E88" w:rsidRPr="00A524D0" w:rsidRDefault="007E2E88" w:rsidP="00F96B94">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هدف الدراسة:</w:t>
      </w:r>
      <w:r w:rsidRPr="00A524D0">
        <w:rPr>
          <w:rFonts w:ascii="Simplified Arabic" w:hAnsi="Simplified Arabic" w:cs="Simplified Arabic"/>
          <w:color w:val="1B1C1D"/>
          <w:sz w:val="32"/>
          <w:szCs w:val="32"/>
          <w:rtl/>
        </w:rPr>
        <w:t xml:space="preserve"> هدفت إلى تحليل معمق لتأثير حوكمة الشركات العائلية على كفاءة إدارة المشاريع في شركة العثيم.</w:t>
      </w:r>
    </w:p>
    <w:p w14:paraId="0E905C2E" w14:textId="77777777" w:rsidR="007E2E88" w:rsidRPr="00A524D0" w:rsidRDefault="007E2E88" w:rsidP="00F96B94">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أهم النتائج:</w:t>
      </w:r>
    </w:p>
    <w:p w14:paraId="532CFA25" w14:textId="77777777" w:rsidR="007E2E88" w:rsidRPr="00A524D0" w:rsidRDefault="007E2E88" w:rsidP="00F96B94">
      <w:pPr>
        <w:pStyle w:val="NormalWeb"/>
        <w:numPr>
          <w:ilvl w:val="1"/>
          <w:numId w:val="23"/>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كشفت أن تطبيق معايير الحوكمة أدى إلى تحسين مؤشرات أداء المشاريع بنسبة 42%.</w:t>
      </w:r>
    </w:p>
    <w:p w14:paraId="7F85486F" w14:textId="77777777" w:rsidR="007E2E88" w:rsidRPr="00A524D0" w:rsidRDefault="007E2E88" w:rsidP="00F96B94">
      <w:pPr>
        <w:pStyle w:val="NormalWeb"/>
        <w:numPr>
          <w:ilvl w:val="1"/>
          <w:numId w:val="23"/>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أشارت إلى وجود تفاوت في تطبيق الأبعاد المختلفة، حيث تفوق بعد المساءلة بنسبة (89%) على الأبعاد الأخرى.</w:t>
      </w:r>
    </w:p>
    <w:p w14:paraId="3738D937" w14:textId="77777777" w:rsidR="007E2E88" w:rsidRPr="00A524D0" w:rsidRDefault="007E2E88" w:rsidP="00F96B94">
      <w:pPr>
        <w:pStyle w:val="NormalWeb"/>
        <w:numPr>
          <w:ilvl w:val="1"/>
          <w:numId w:val="23"/>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قدمت إطاراً متكاملاً لقياس أثر الحوكمة في الشركات العائلية العربية، مع التركيز على الخصائص الثقافية للمنطقة.</w:t>
      </w:r>
    </w:p>
    <w:p w14:paraId="1AF1D572" w14:textId="77777777" w:rsidR="007E2E88" w:rsidRPr="00A524D0" w:rsidRDefault="007E2E88"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lastRenderedPageBreak/>
        <w:t>5. حجازي وآخرون (2025)</w:t>
      </w:r>
    </w:p>
    <w:p w14:paraId="4A962E4F" w14:textId="77777777" w:rsidR="007E2E88" w:rsidRPr="00A524D0" w:rsidRDefault="007E2E88" w:rsidP="00F96B94">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هدف الدراسة:</w:t>
      </w:r>
      <w:r w:rsidRPr="00A524D0">
        <w:rPr>
          <w:rFonts w:ascii="Simplified Arabic" w:hAnsi="Simplified Arabic" w:cs="Simplified Arabic"/>
          <w:color w:val="1B1C1D"/>
          <w:sz w:val="32"/>
          <w:szCs w:val="32"/>
          <w:rtl/>
        </w:rPr>
        <w:t xml:space="preserve"> هدفت إلى تحليل دور آليات حوكمة الشركات في تعزيز التنمية الاقتصادية من خلال دراسة شاملة لقطاعات مختلفة.</w:t>
      </w:r>
    </w:p>
    <w:p w14:paraId="7E7B79DE" w14:textId="77777777" w:rsidR="007E2E88" w:rsidRPr="00A524D0" w:rsidRDefault="007E2E88" w:rsidP="00F96B94">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أهم النتائج:</w:t>
      </w:r>
    </w:p>
    <w:p w14:paraId="61FF2C70" w14:textId="77777777" w:rsidR="007E2E88" w:rsidRPr="00A524D0" w:rsidRDefault="007E2E88" w:rsidP="00F96B94">
      <w:pPr>
        <w:pStyle w:val="NormalWeb"/>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توصلت إلى أن تحسين معايير الشفافية والإفصاح يزيد من ثقة المستثمرين بنسبة 58%.</w:t>
      </w:r>
    </w:p>
    <w:p w14:paraId="1558A905" w14:textId="77777777" w:rsidR="007E2E88" w:rsidRPr="00A524D0" w:rsidRDefault="007E2E88" w:rsidP="00F96B94">
      <w:pPr>
        <w:pStyle w:val="NormalWeb"/>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بينت أن الشركات الملتزمة بالحوكمة حققت معدلات نمو أعلى بنسبة 23% مقارنة بغيرها.</w:t>
      </w:r>
    </w:p>
    <w:p w14:paraId="0558E09D" w14:textId="77777777" w:rsidR="007E2E88" w:rsidRPr="00A524D0" w:rsidRDefault="007E2E88" w:rsidP="00F96B94">
      <w:pPr>
        <w:pStyle w:val="NormalWeb"/>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hAnsi="Simplified Arabic" w:cs="Simplified Arabic"/>
          <w:color w:val="1B1C1D"/>
          <w:sz w:val="32"/>
          <w:szCs w:val="32"/>
          <w:rtl/>
        </w:rPr>
        <w:t>ناقشت التحديات التشريعية والتنظيمية التي تواجه تطبيق الحوكمة في الدول النامية، وقدمت نموذجاً تكاملياً لقياس الأثر الاقتصادي.</w:t>
      </w:r>
    </w:p>
    <w:p w14:paraId="7208F9A8" w14:textId="77777777" w:rsidR="007E2E88" w:rsidRPr="00A524D0" w:rsidRDefault="007E2E88"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104C62F3" w14:textId="77777777" w:rsidR="007E2E88" w:rsidRPr="00A524D0" w:rsidRDefault="007E2E88"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1F805416" w14:textId="77777777" w:rsidR="00CD1853" w:rsidRPr="00A524D0" w:rsidRDefault="00CD1853"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76EFF45B" w14:textId="77777777" w:rsidR="00CD1853" w:rsidRPr="00A524D0" w:rsidRDefault="00CD1853"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7C3615E1" w14:textId="77777777" w:rsidR="00CD1853" w:rsidRPr="00A524D0" w:rsidRDefault="00CD1853"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6580925E" w14:textId="77777777" w:rsidR="00CD1853" w:rsidRPr="00A524D0" w:rsidRDefault="00CD1853"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392D2F18" w14:textId="5D5E9379" w:rsidR="001837C4" w:rsidRPr="00A524D0" w:rsidRDefault="001837C4" w:rsidP="00F96B94">
      <w:pPr>
        <w:pStyle w:val="Heading1"/>
        <w:bidi/>
        <w:spacing w:before="0" w:beforeAutospacing="0" w:after="120" w:afterAutospacing="0" w:line="360" w:lineRule="auto"/>
        <w:rPr>
          <w:rFonts w:ascii="Simplified Arabic" w:hAnsi="Simplified Arabic" w:cs="Simplified Arabic"/>
          <w:color w:val="1B1C1D"/>
          <w:sz w:val="32"/>
          <w:szCs w:val="32"/>
          <w:rtl/>
        </w:rPr>
      </w:pPr>
      <w:r w:rsidRPr="00A524D0">
        <w:rPr>
          <w:rFonts w:ascii="Simplified Arabic" w:eastAsia="Times New Roman" w:hAnsi="Simplified Arabic" w:cs="Simplified Arabic"/>
          <w:color w:val="1B1C1D"/>
          <w:sz w:val="32"/>
          <w:szCs w:val="32"/>
          <w:rtl/>
        </w:rPr>
        <w:lastRenderedPageBreak/>
        <w:t xml:space="preserve"> الإطار النظري </w:t>
      </w:r>
    </w:p>
    <w:p w14:paraId="15748902" w14:textId="77777777" w:rsidR="001837C4" w:rsidRPr="00A524D0" w:rsidRDefault="001837C4"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المحور الأول: مفهوم وأبعاد الاستدامة المؤسسية (</w:t>
      </w:r>
      <w:r w:rsidRPr="00A524D0">
        <w:rPr>
          <w:rFonts w:ascii="Simplified Arabic" w:eastAsia="Times New Roman" w:hAnsi="Simplified Arabic" w:cs="Simplified Arabic"/>
          <w:color w:val="1B1C1D"/>
        </w:rPr>
        <w:t>Corporate Sustainability</w:t>
      </w:r>
      <w:r w:rsidRPr="00A524D0">
        <w:rPr>
          <w:rFonts w:ascii="Simplified Arabic" w:eastAsia="Times New Roman" w:hAnsi="Simplified Arabic" w:cs="Simplified Arabic"/>
          <w:color w:val="1B1C1D"/>
          <w:rtl/>
        </w:rPr>
        <w:t>)</w:t>
      </w:r>
    </w:p>
    <w:p w14:paraId="32B8CAAC" w14:textId="77777777" w:rsidR="001837C4" w:rsidRPr="00A524D0" w:rsidRDefault="001837C4" w:rsidP="00F96B94">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1.1. التطور التاريخي لمفهوم الاستدامة:</w:t>
      </w:r>
      <w:r w:rsidRPr="00A524D0">
        <w:rPr>
          <w:rFonts w:ascii="Simplified Arabic" w:hAnsi="Simplified Arabic" w:cs="Simplified Arabic"/>
          <w:color w:val="1B1C1D"/>
          <w:sz w:val="32"/>
          <w:szCs w:val="32"/>
          <w:rtl/>
        </w:rPr>
        <w:t xml:space="preserve"> من التنمية المستدامة (</w:t>
      </w:r>
      <w:r w:rsidRPr="00A524D0">
        <w:rPr>
          <w:rFonts w:ascii="Simplified Arabic" w:hAnsi="Simplified Arabic" w:cs="Simplified Arabic"/>
          <w:color w:val="1B1C1D"/>
          <w:sz w:val="32"/>
          <w:szCs w:val="32"/>
        </w:rPr>
        <w:t>Brundtland Report</w:t>
      </w:r>
      <w:r w:rsidRPr="00A524D0">
        <w:rPr>
          <w:rFonts w:ascii="Simplified Arabic" w:hAnsi="Simplified Arabic" w:cs="Simplified Arabic"/>
          <w:color w:val="1B1C1D"/>
          <w:sz w:val="32"/>
          <w:szCs w:val="32"/>
          <w:rtl/>
        </w:rPr>
        <w:t>) إلى دمجها في استراتيجيات الأعمال.</w:t>
      </w:r>
    </w:p>
    <w:p w14:paraId="7644041E" w14:textId="77777777" w:rsidR="001837C4" w:rsidRPr="00A524D0" w:rsidRDefault="001837C4" w:rsidP="00F96B94">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1.2. الاستدامة في سياق الشركات:</w:t>
      </w:r>
      <w:r w:rsidRPr="00A524D0">
        <w:rPr>
          <w:rFonts w:ascii="Simplified Arabic" w:hAnsi="Simplified Arabic" w:cs="Simplified Arabic"/>
          <w:color w:val="1B1C1D"/>
          <w:sz w:val="32"/>
          <w:szCs w:val="32"/>
          <w:rtl/>
        </w:rPr>
        <w:t xml:space="preserve"> التوازن بين الأبعاد الاقتصادية، البيئية، والاجتماعية.</w:t>
      </w:r>
    </w:p>
    <w:p w14:paraId="2A5EF8B9" w14:textId="77777777" w:rsidR="001837C4" w:rsidRPr="00A524D0" w:rsidRDefault="001837C4" w:rsidP="00F96B94">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1.3. أهمية الاستدامة للشركات في القرن الحادي والعشرين:</w:t>
      </w:r>
      <w:r w:rsidRPr="00A524D0">
        <w:rPr>
          <w:rFonts w:ascii="Simplified Arabic" w:hAnsi="Simplified Arabic" w:cs="Simplified Arabic"/>
          <w:color w:val="1B1C1D"/>
          <w:sz w:val="32"/>
          <w:szCs w:val="32"/>
          <w:rtl/>
        </w:rPr>
        <w:t xml:space="preserve"> تعزيز السمعة، تقليل المخاطر، وجذب الاستثمار.</w:t>
      </w:r>
    </w:p>
    <w:p w14:paraId="1878946C" w14:textId="77777777" w:rsidR="001837C4" w:rsidRPr="00A524D0" w:rsidRDefault="001837C4"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المحور الثاني: الإطار النظري لمؤشرات الأداء البيئية والاجتماعية والحوكمة (</w:t>
      </w:r>
      <w:r w:rsidRPr="00A524D0">
        <w:rPr>
          <w:rFonts w:ascii="Simplified Arabic" w:eastAsia="Times New Roman" w:hAnsi="Simplified Arabic" w:cs="Simplified Arabic"/>
          <w:color w:val="1B1C1D"/>
        </w:rPr>
        <w:t>ESG</w:t>
      </w:r>
      <w:r w:rsidRPr="00A524D0">
        <w:rPr>
          <w:rFonts w:ascii="Simplified Arabic" w:eastAsia="Times New Roman" w:hAnsi="Simplified Arabic" w:cs="Simplified Arabic"/>
          <w:color w:val="1B1C1D"/>
          <w:rtl/>
        </w:rPr>
        <w:t>)</w:t>
      </w:r>
    </w:p>
    <w:p w14:paraId="64E2A416" w14:textId="77777777" w:rsidR="001837C4" w:rsidRPr="00A524D0" w:rsidRDefault="001837C4" w:rsidP="00F96B94">
      <w:pPr>
        <w:pStyle w:val="NormalWeb"/>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 xml:space="preserve">2.1. تعريف ونشأة مؤشرات </w:t>
      </w:r>
      <w:r w:rsidRPr="00A524D0">
        <w:rPr>
          <w:rStyle w:val="Strong"/>
          <w:rFonts w:ascii="Simplified Arabic" w:hAnsi="Simplified Arabic" w:cs="Simplified Arabic"/>
          <w:color w:val="1B1C1D"/>
          <w:sz w:val="32"/>
          <w:szCs w:val="32"/>
          <w:bdr w:val="none" w:sz="0" w:space="0" w:color="auto" w:frame="1"/>
        </w:rPr>
        <w:t>ESG</w:t>
      </w:r>
      <w:r w:rsidRPr="00A524D0">
        <w:rPr>
          <w:rStyle w:val="Strong"/>
          <w:rFonts w:ascii="Simplified Arabic" w:hAnsi="Simplified Arabic" w:cs="Simplified Arabic"/>
          <w:color w:val="1B1C1D"/>
          <w:sz w:val="32"/>
          <w:szCs w:val="32"/>
          <w:bdr w:val="none" w:sz="0" w:space="0" w:color="auto" w:frame="1"/>
          <w:rtl/>
        </w:rPr>
        <w:t>:</w:t>
      </w:r>
      <w:r w:rsidRPr="00A524D0">
        <w:rPr>
          <w:rFonts w:ascii="Simplified Arabic" w:hAnsi="Simplified Arabic" w:cs="Simplified Arabic"/>
          <w:color w:val="1B1C1D"/>
          <w:sz w:val="32"/>
          <w:szCs w:val="32"/>
          <w:rtl/>
        </w:rPr>
        <w:t xml:space="preserve"> من الاستثمار الأخلاقي إلى التقييم المالي.</w:t>
      </w:r>
    </w:p>
    <w:p w14:paraId="65BDCA50" w14:textId="77777777" w:rsidR="001837C4" w:rsidRPr="00A524D0" w:rsidRDefault="001837C4" w:rsidP="00F96B94">
      <w:pPr>
        <w:pStyle w:val="NormalWeb"/>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 xml:space="preserve">2.2. المكونات الرئيسية لأبعاد </w:t>
      </w:r>
      <w:r w:rsidRPr="00A524D0">
        <w:rPr>
          <w:rStyle w:val="Strong"/>
          <w:rFonts w:ascii="Simplified Arabic" w:hAnsi="Simplified Arabic" w:cs="Simplified Arabic"/>
          <w:color w:val="1B1C1D"/>
          <w:sz w:val="32"/>
          <w:szCs w:val="32"/>
          <w:bdr w:val="none" w:sz="0" w:space="0" w:color="auto" w:frame="1"/>
        </w:rPr>
        <w:t>ESG</w:t>
      </w:r>
      <w:r w:rsidRPr="00A524D0">
        <w:rPr>
          <w:rStyle w:val="Strong"/>
          <w:rFonts w:ascii="Simplified Arabic" w:hAnsi="Simplified Arabic" w:cs="Simplified Arabic"/>
          <w:color w:val="1B1C1D"/>
          <w:sz w:val="32"/>
          <w:szCs w:val="32"/>
          <w:bdr w:val="none" w:sz="0" w:space="0" w:color="auto" w:frame="1"/>
          <w:rtl/>
        </w:rPr>
        <w:t xml:space="preserve"> الثلاثة:</w:t>
      </w:r>
      <w:r w:rsidRPr="00A524D0">
        <w:rPr>
          <w:rFonts w:ascii="Simplified Arabic" w:hAnsi="Simplified Arabic" w:cs="Simplified Arabic"/>
          <w:color w:val="1B1C1D"/>
          <w:sz w:val="32"/>
          <w:szCs w:val="32"/>
          <w:rtl/>
        </w:rPr>
        <w:t xml:space="preserve"> (البيئة، المجتمع، الحوكمة).</w:t>
      </w:r>
    </w:p>
    <w:p w14:paraId="3D075599" w14:textId="77777777" w:rsidR="001837C4" w:rsidRPr="00A524D0" w:rsidRDefault="001837C4" w:rsidP="00F96B94">
      <w:pPr>
        <w:pStyle w:val="NormalWeb"/>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 xml:space="preserve">2.3. العلاقة بين أداء </w:t>
      </w:r>
      <w:r w:rsidRPr="00A524D0">
        <w:rPr>
          <w:rStyle w:val="Strong"/>
          <w:rFonts w:ascii="Simplified Arabic" w:hAnsi="Simplified Arabic" w:cs="Simplified Arabic"/>
          <w:color w:val="1B1C1D"/>
          <w:sz w:val="32"/>
          <w:szCs w:val="32"/>
          <w:bdr w:val="none" w:sz="0" w:space="0" w:color="auto" w:frame="1"/>
        </w:rPr>
        <w:t>ESG</w:t>
      </w:r>
      <w:r w:rsidRPr="00A524D0">
        <w:rPr>
          <w:rStyle w:val="Strong"/>
          <w:rFonts w:ascii="Simplified Arabic" w:hAnsi="Simplified Arabic" w:cs="Simplified Arabic"/>
          <w:color w:val="1B1C1D"/>
          <w:sz w:val="32"/>
          <w:szCs w:val="32"/>
          <w:bdr w:val="none" w:sz="0" w:space="0" w:color="auto" w:frame="1"/>
          <w:rtl/>
        </w:rPr>
        <w:t xml:space="preserve"> والقيمة المالية للشركة (</w:t>
      </w:r>
      <w:r w:rsidRPr="00A524D0">
        <w:rPr>
          <w:rStyle w:val="Strong"/>
          <w:rFonts w:ascii="Simplified Arabic" w:hAnsi="Simplified Arabic" w:cs="Simplified Arabic"/>
          <w:color w:val="1B1C1D"/>
          <w:sz w:val="32"/>
          <w:szCs w:val="32"/>
          <w:bdr w:val="none" w:sz="0" w:space="0" w:color="auto" w:frame="1"/>
        </w:rPr>
        <w:t>Value Creation</w:t>
      </w:r>
      <w:r w:rsidRPr="00A524D0">
        <w:rPr>
          <w:rStyle w:val="Strong"/>
          <w:rFonts w:ascii="Simplified Arabic" w:hAnsi="Simplified Arabic" w:cs="Simplified Arabic"/>
          <w:color w:val="1B1C1D"/>
          <w:sz w:val="32"/>
          <w:szCs w:val="32"/>
          <w:bdr w:val="none" w:sz="0" w:space="0" w:color="auto" w:frame="1"/>
          <w:rtl/>
        </w:rPr>
        <w:t>).</w:t>
      </w:r>
    </w:p>
    <w:p w14:paraId="5D6BB60E" w14:textId="77777777" w:rsidR="001837C4" w:rsidRPr="00A524D0" w:rsidRDefault="001837C4"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 xml:space="preserve">المحور الثالث: القياس والإفصاح عن أداء </w:t>
      </w:r>
      <w:r w:rsidRPr="00A524D0">
        <w:rPr>
          <w:rFonts w:ascii="Simplified Arabic" w:eastAsia="Times New Roman" w:hAnsi="Simplified Arabic" w:cs="Simplified Arabic"/>
          <w:color w:val="1B1C1D"/>
        </w:rPr>
        <w:t>ESG</w:t>
      </w:r>
    </w:p>
    <w:p w14:paraId="0834315F" w14:textId="77777777" w:rsidR="001837C4" w:rsidRPr="00A524D0" w:rsidRDefault="001837C4" w:rsidP="00F96B94">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3.1. أهمية مؤشرات الأداء الرئيسية (</w:t>
      </w:r>
      <w:r w:rsidRPr="00A524D0">
        <w:rPr>
          <w:rStyle w:val="Strong"/>
          <w:rFonts w:ascii="Simplified Arabic" w:hAnsi="Simplified Arabic" w:cs="Simplified Arabic"/>
          <w:color w:val="1B1C1D"/>
          <w:sz w:val="32"/>
          <w:szCs w:val="32"/>
          <w:bdr w:val="none" w:sz="0" w:space="0" w:color="auto" w:frame="1"/>
        </w:rPr>
        <w:t>KPIs</w:t>
      </w:r>
      <w:r w:rsidRPr="00A524D0">
        <w:rPr>
          <w:rStyle w:val="Strong"/>
          <w:rFonts w:ascii="Simplified Arabic" w:hAnsi="Simplified Arabic" w:cs="Simplified Arabic"/>
          <w:color w:val="1B1C1D"/>
          <w:sz w:val="32"/>
          <w:szCs w:val="32"/>
          <w:bdr w:val="none" w:sz="0" w:space="0" w:color="auto" w:frame="1"/>
          <w:rtl/>
        </w:rPr>
        <w:t xml:space="preserve">) في قياس </w:t>
      </w:r>
      <w:r w:rsidRPr="00A524D0">
        <w:rPr>
          <w:rStyle w:val="Strong"/>
          <w:rFonts w:ascii="Simplified Arabic" w:hAnsi="Simplified Arabic" w:cs="Simplified Arabic"/>
          <w:color w:val="1B1C1D"/>
          <w:sz w:val="32"/>
          <w:szCs w:val="32"/>
          <w:bdr w:val="none" w:sz="0" w:space="0" w:color="auto" w:frame="1"/>
        </w:rPr>
        <w:t>ESG</w:t>
      </w:r>
      <w:r w:rsidRPr="00A524D0">
        <w:rPr>
          <w:rStyle w:val="Strong"/>
          <w:rFonts w:ascii="Simplified Arabic" w:hAnsi="Simplified Arabic" w:cs="Simplified Arabic"/>
          <w:color w:val="1B1C1D"/>
          <w:sz w:val="32"/>
          <w:szCs w:val="32"/>
          <w:bdr w:val="none" w:sz="0" w:space="0" w:color="auto" w:frame="1"/>
          <w:rtl/>
        </w:rPr>
        <w:t>:</w:t>
      </w:r>
      <w:r w:rsidRPr="00A524D0">
        <w:rPr>
          <w:rFonts w:ascii="Simplified Arabic" w:hAnsi="Simplified Arabic" w:cs="Simplified Arabic"/>
          <w:color w:val="1B1C1D"/>
          <w:sz w:val="32"/>
          <w:szCs w:val="32"/>
          <w:rtl/>
        </w:rPr>
        <w:t xml:space="preserve"> التحول من المؤشرات النوعية إلى الكمية.</w:t>
      </w:r>
    </w:p>
    <w:p w14:paraId="5556CDC5" w14:textId="77777777" w:rsidR="001837C4" w:rsidRPr="00A524D0" w:rsidRDefault="001837C4" w:rsidP="00F96B94">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3.2. أطر الإفصاح العالمية الرئيسية:</w:t>
      </w:r>
      <w:r w:rsidRPr="00A524D0">
        <w:rPr>
          <w:rFonts w:ascii="Simplified Arabic" w:hAnsi="Simplified Arabic" w:cs="Simplified Arabic"/>
          <w:color w:val="1B1C1D"/>
          <w:sz w:val="32"/>
          <w:szCs w:val="32"/>
          <w:rtl/>
        </w:rPr>
        <w:t xml:space="preserve"> (مثل </w:t>
      </w:r>
      <w:r w:rsidRPr="00A524D0">
        <w:rPr>
          <w:rFonts w:ascii="Simplified Arabic" w:hAnsi="Simplified Arabic" w:cs="Simplified Arabic"/>
          <w:color w:val="1B1C1D"/>
          <w:sz w:val="32"/>
          <w:szCs w:val="32"/>
        </w:rPr>
        <w:t>GRI, SASB, TCFD</w:t>
      </w:r>
      <w:r w:rsidRPr="00A524D0">
        <w:rPr>
          <w:rFonts w:ascii="Simplified Arabic" w:hAnsi="Simplified Arabic" w:cs="Simplified Arabic"/>
          <w:color w:val="1B1C1D"/>
          <w:sz w:val="32"/>
          <w:szCs w:val="32"/>
          <w:rtl/>
        </w:rPr>
        <w:t>) وكيفية تأثيرها على قياس الأداء.</w:t>
      </w:r>
    </w:p>
    <w:p w14:paraId="7E20EA9C" w14:textId="77777777" w:rsidR="001837C4" w:rsidRPr="00A524D0" w:rsidRDefault="001837C4" w:rsidP="00F96B94">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lastRenderedPageBreak/>
        <w:t>3.3. دور التصنيفات والوكالات الدولية (</w:t>
      </w:r>
      <w:r w:rsidRPr="00A524D0">
        <w:rPr>
          <w:rStyle w:val="Strong"/>
          <w:rFonts w:ascii="Simplified Arabic" w:hAnsi="Simplified Arabic" w:cs="Simplified Arabic"/>
          <w:color w:val="1B1C1D"/>
          <w:sz w:val="32"/>
          <w:szCs w:val="32"/>
          <w:bdr w:val="none" w:sz="0" w:space="0" w:color="auto" w:frame="1"/>
        </w:rPr>
        <w:t>ESG Ratings</w:t>
      </w:r>
      <w:r w:rsidRPr="00A524D0">
        <w:rPr>
          <w:rStyle w:val="Strong"/>
          <w:rFonts w:ascii="Simplified Arabic" w:hAnsi="Simplified Arabic" w:cs="Simplified Arabic"/>
          <w:color w:val="1B1C1D"/>
          <w:sz w:val="32"/>
          <w:szCs w:val="32"/>
          <w:bdr w:val="none" w:sz="0" w:space="0" w:color="auto" w:frame="1"/>
          <w:rtl/>
        </w:rPr>
        <w:t>) في تقييم الشركات.</w:t>
      </w:r>
    </w:p>
    <w:p w14:paraId="4FD56007" w14:textId="77777777" w:rsidR="001837C4" w:rsidRPr="00A524D0" w:rsidRDefault="001837C4"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المحور الرابع: قطاع إدارة المرافق (</w:t>
      </w:r>
      <w:r w:rsidRPr="00A524D0">
        <w:rPr>
          <w:rFonts w:ascii="Simplified Arabic" w:eastAsia="Times New Roman" w:hAnsi="Simplified Arabic" w:cs="Simplified Arabic"/>
          <w:color w:val="1B1C1D"/>
        </w:rPr>
        <w:t>Facility Management - FM</w:t>
      </w:r>
      <w:r w:rsidRPr="00A524D0">
        <w:rPr>
          <w:rFonts w:ascii="Simplified Arabic" w:eastAsia="Times New Roman" w:hAnsi="Simplified Arabic" w:cs="Simplified Arabic"/>
          <w:color w:val="1B1C1D"/>
          <w:rtl/>
        </w:rPr>
        <w:t>) والاستدامة</w:t>
      </w:r>
    </w:p>
    <w:p w14:paraId="47D1C209" w14:textId="77777777" w:rsidR="001837C4" w:rsidRPr="00A524D0" w:rsidRDefault="001837C4" w:rsidP="00F96B94">
      <w:pPr>
        <w:pStyle w:val="NormalWeb"/>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4.1. تعريف ومجالات خدمات إدارة المرافق:</w:t>
      </w:r>
      <w:r w:rsidRPr="00A524D0">
        <w:rPr>
          <w:rFonts w:ascii="Simplified Arabic" w:hAnsi="Simplified Arabic" w:cs="Simplified Arabic"/>
          <w:color w:val="1B1C1D"/>
          <w:sz w:val="32"/>
          <w:szCs w:val="32"/>
          <w:rtl/>
        </w:rPr>
        <w:t xml:space="preserve"> الخدمات الأساسية والخدمات الإضافية (مثل إدارة الطاقة والمساحات).</w:t>
      </w:r>
    </w:p>
    <w:p w14:paraId="550DB6C6" w14:textId="77777777" w:rsidR="001837C4" w:rsidRPr="00A524D0" w:rsidRDefault="001837C4" w:rsidP="00F96B94">
      <w:pPr>
        <w:pStyle w:val="NormalWeb"/>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4.2. دور إدارة المرافق في دورة حياة المبنى:</w:t>
      </w:r>
      <w:r w:rsidRPr="00A524D0">
        <w:rPr>
          <w:rFonts w:ascii="Simplified Arabic" w:hAnsi="Simplified Arabic" w:cs="Simplified Arabic"/>
          <w:color w:val="1B1C1D"/>
          <w:sz w:val="32"/>
          <w:szCs w:val="32"/>
          <w:rtl/>
        </w:rPr>
        <w:t xml:space="preserve"> من التصميم إلى التشغيل والصيانة.</w:t>
      </w:r>
    </w:p>
    <w:p w14:paraId="0A29AC2A" w14:textId="77777777" w:rsidR="001837C4" w:rsidRPr="00A524D0" w:rsidRDefault="001837C4" w:rsidP="00F96B94">
      <w:pPr>
        <w:pStyle w:val="NormalWeb"/>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 xml:space="preserve">4.3. الأثر البيئي والاجتماعي الحرج لقطاع </w:t>
      </w:r>
      <w:r w:rsidRPr="00A524D0">
        <w:rPr>
          <w:rStyle w:val="Strong"/>
          <w:rFonts w:ascii="Simplified Arabic" w:hAnsi="Simplified Arabic" w:cs="Simplified Arabic"/>
          <w:color w:val="1B1C1D"/>
          <w:sz w:val="32"/>
          <w:szCs w:val="32"/>
          <w:bdr w:val="none" w:sz="0" w:space="0" w:color="auto" w:frame="1"/>
        </w:rPr>
        <w:t>FM</w:t>
      </w:r>
      <w:r w:rsidRPr="00A524D0">
        <w:rPr>
          <w:rStyle w:val="Strong"/>
          <w:rFonts w:ascii="Simplified Arabic" w:hAnsi="Simplified Arabic" w:cs="Simplified Arabic"/>
          <w:color w:val="1B1C1D"/>
          <w:sz w:val="32"/>
          <w:szCs w:val="32"/>
          <w:bdr w:val="none" w:sz="0" w:space="0" w:color="auto" w:frame="1"/>
          <w:rtl/>
        </w:rPr>
        <w:t>:</w:t>
      </w:r>
      <w:r w:rsidRPr="00A524D0">
        <w:rPr>
          <w:rFonts w:ascii="Simplified Arabic" w:hAnsi="Simplified Arabic" w:cs="Simplified Arabic"/>
          <w:color w:val="1B1C1D"/>
          <w:sz w:val="32"/>
          <w:szCs w:val="32"/>
          <w:rtl/>
        </w:rPr>
        <w:t xml:space="preserve"> (مثل استهلاك المباني للطاقة والموارد، بيئة العمل).</w:t>
      </w:r>
    </w:p>
    <w:p w14:paraId="7BBE7FC0" w14:textId="77777777" w:rsidR="001837C4" w:rsidRPr="00A524D0" w:rsidRDefault="001837C4"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المحور الخامس: تطبيقات مؤشرات الأداء البيئي (</w:t>
      </w:r>
      <w:r w:rsidRPr="00A524D0">
        <w:rPr>
          <w:rFonts w:ascii="Simplified Arabic" w:eastAsia="Times New Roman" w:hAnsi="Simplified Arabic" w:cs="Simplified Arabic"/>
          <w:color w:val="1B1C1D"/>
        </w:rPr>
        <w:t>E</w:t>
      </w:r>
      <w:r w:rsidRPr="00A524D0">
        <w:rPr>
          <w:rFonts w:ascii="Simplified Arabic" w:eastAsia="Times New Roman" w:hAnsi="Simplified Arabic" w:cs="Simplified Arabic"/>
          <w:color w:val="1B1C1D"/>
          <w:rtl/>
        </w:rPr>
        <w:t>) في قطاع إدارة المرافق</w:t>
      </w:r>
    </w:p>
    <w:p w14:paraId="5637E74E" w14:textId="77777777" w:rsidR="001837C4" w:rsidRPr="00A524D0" w:rsidRDefault="001837C4" w:rsidP="00F96B94">
      <w:pPr>
        <w:pStyle w:val="NormalWeb"/>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5.1. مؤشرات كفاءة الطاقة (</w:t>
      </w:r>
      <w:r w:rsidRPr="00A524D0">
        <w:rPr>
          <w:rStyle w:val="Strong"/>
          <w:rFonts w:ascii="Simplified Arabic" w:hAnsi="Simplified Arabic" w:cs="Simplified Arabic"/>
          <w:color w:val="1B1C1D"/>
          <w:sz w:val="32"/>
          <w:szCs w:val="32"/>
          <w:bdr w:val="none" w:sz="0" w:space="0" w:color="auto" w:frame="1"/>
        </w:rPr>
        <w:t>Energy Efficiency KPIs</w:t>
      </w:r>
      <w:r w:rsidRPr="00A524D0">
        <w:rPr>
          <w:rStyle w:val="Strong"/>
          <w:rFonts w:ascii="Simplified Arabic" w:hAnsi="Simplified Arabic" w:cs="Simplified Arabic"/>
          <w:color w:val="1B1C1D"/>
          <w:sz w:val="32"/>
          <w:szCs w:val="32"/>
          <w:bdr w:val="none" w:sz="0" w:space="0" w:color="auto" w:frame="1"/>
          <w:rtl/>
        </w:rPr>
        <w:t>):</w:t>
      </w:r>
      <w:r w:rsidRPr="00A524D0">
        <w:rPr>
          <w:rFonts w:ascii="Simplified Arabic" w:hAnsi="Simplified Arabic" w:cs="Simplified Arabic"/>
          <w:color w:val="1B1C1D"/>
          <w:sz w:val="32"/>
          <w:szCs w:val="32"/>
          <w:rtl/>
        </w:rPr>
        <w:t xml:space="preserve"> قياس استهلاك الطاقة لكل متر مربع (</w:t>
      </w:r>
      <w:r w:rsidRPr="00A524D0">
        <w:rPr>
          <w:rFonts w:ascii="Simplified Arabic" w:hAnsi="Simplified Arabic" w:cs="Simplified Arabic"/>
          <w:color w:val="1B1C1D"/>
          <w:sz w:val="32"/>
          <w:szCs w:val="32"/>
        </w:rPr>
        <w:t>EUI</w:t>
      </w:r>
      <w:r w:rsidRPr="00A524D0">
        <w:rPr>
          <w:rFonts w:ascii="Simplified Arabic" w:hAnsi="Simplified Arabic" w:cs="Simplified Arabic"/>
          <w:color w:val="1B1C1D"/>
          <w:sz w:val="32"/>
          <w:szCs w:val="32"/>
          <w:rtl/>
        </w:rPr>
        <w:t>).</w:t>
      </w:r>
    </w:p>
    <w:p w14:paraId="39B16D3C" w14:textId="77777777" w:rsidR="001837C4" w:rsidRPr="00A524D0" w:rsidRDefault="001837C4" w:rsidP="00F96B94">
      <w:pPr>
        <w:pStyle w:val="NormalWeb"/>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5.2. مؤشرات إدارة المياه (</w:t>
      </w:r>
      <w:r w:rsidRPr="00A524D0">
        <w:rPr>
          <w:rStyle w:val="Strong"/>
          <w:rFonts w:ascii="Simplified Arabic" w:hAnsi="Simplified Arabic" w:cs="Simplified Arabic"/>
          <w:color w:val="1B1C1D"/>
          <w:sz w:val="32"/>
          <w:szCs w:val="32"/>
          <w:bdr w:val="none" w:sz="0" w:space="0" w:color="auto" w:frame="1"/>
        </w:rPr>
        <w:t>Water Management KPIs</w:t>
      </w:r>
      <w:r w:rsidRPr="00A524D0">
        <w:rPr>
          <w:rStyle w:val="Strong"/>
          <w:rFonts w:ascii="Simplified Arabic" w:hAnsi="Simplified Arabic" w:cs="Simplified Arabic"/>
          <w:color w:val="1B1C1D"/>
          <w:sz w:val="32"/>
          <w:szCs w:val="32"/>
          <w:bdr w:val="none" w:sz="0" w:space="0" w:color="auto" w:frame="1"/>
          <w:rtl/>
        </w:rPr>
        <w:t>):</w:t>
      </w:r>
      <w:r w:rsidRPr="00A524D0">
        <w:rPr>
          <w:rFonts w:ascii="Simplified Arabic" w:hAnsi="Simplified Arabic" w:cs="Simplified Arabic"/>
          <w:color w:val="1B1C1D"/>
          <w:sz w:val="32"/>
          <w:szCs w:val="32"/>
          <w:rtl/>
        </w:rPr>
        <w:t xml:space="preserve"> قياس الترشيد والاستخدام وإعادة التدوير.</w:t>
      </w:r>
    </w:p>
    <w:p w14:paraId="66B85EBA" w14:textId="77777777" w:rsidR="001837C4" w:rsidRPr="00A524D0" w:rsidRDefault="001837C4" w:rsidP="00F96B94">
      <w:pPr>
        <w:pStyle w:val="NormalWeb"/>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5.3. مؤشرات إدارة النفايات (</w:t>
      </w:r>
      <w:r w:rsidRPr="00A524D0">
        <w:rPr>
          <w:rStyle w:val="Strong"/>
          <w:rFonts w:ascii="Simplified Arabic" w:hAnsi="Simplified Arabic" w:cs="Simplified Arabic"/>
          <w:color w:val="1B1C1D"/>
          <w:sz w:val="32"/>
          <w:szCs w:val="32"/>
          <w:bdr w:val="none" w:sz="0" w:space="0" w:color="auto" w:frame="1"/>
        </w:rPr>
        <w:t>Waste Management KPIs</w:t>
      </w:r>
      <w:r w:rsidRPr="00A524D0">
        <w:rPr>
          <w:rStyle w:val="Strong"/>
          <w:rFonts w:ascii="Simplified Arabic" w:hAnsi="Simplified Arabic" w:cs="Simplified Arabic"/>
          <w:color w:val="1B1C1D"/>
          <w:sz w:val="32"/>
          <w:szCs w:val="32"/>
          <w:bdr w:val="none" w:sz="0" w:space="0" w:color="auto" w:frame="1"/>
          <w:rtl/>
        </w:rPr>
        <w:t>):</w:t>
      </w:r>
      <w:r w:rsidRPr="00A524D0">
        <w:rPr>
          <w:rFonts w:ascii="Simplified Arabic" w:hAnsi="Simplified Arabic" w:cs="Simplified Arabic"/>
          <w:color w:val="1B1C1D"/>
          <w:sz w:val="32"/>
          <w:szCs w:val="32"/>
          <w:rtl/>
        </w:rPr>
        <w:t xml:space="preserve"> معدلات التحويل عن المكبات وإعادة التدوير.</w:t>
      </w:r>
    </w:p>
    <w:p w14:paraId="4A16EDCC" w14:textId="77777777" w:rsidR="001837C4" w:rsidRPr="00A524D0" w:rsidRDefault="001837C4" w:rsidP="00F96B94">
      <w:pPr>
        <w:pStyle w:val="NormalWeb"/>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5.4. مؤشرات البصمة الكربونية (</w:t>
      </w:r>
      <w:r w:rsidRPr="00A524D0">
        <w:rPr>
          <w:rStyle w:val="Strong"/>
          <w:rFonts w:ascii="Simplified Arabic" w:hAnsi="Simplified Arabic" w:cs="Simplified Arabic"/>
          <w:color w:val="1B1C1D"/>
          <w:sz w:val="32"/>
          <w:szCs w:val="32"/>
          <w:bdr w:val="none" w:sz="0" w:space="0" w:color="auto" w:frame="1"/>
        </w:rPr>
        <w:t>Carbon Footprint KPIs</w:t>
      </w:r>
      <w:r w:rsidRPr="00A524D0">
        <w:rPr>
          <w:rStyle w:val="Strong"/>
          <w:rFonts w:ascii="Simplified Arabic" w:hAnsi="Simplified Arabic" w:cs="Simplified Arabic"/>
          <w:color w:val="1B1C1D"/>
          <w:sz w:val="32"/>
          <w:szCs w:val="32"/>
          <w:bdr w:val="none" w:sz="0" w:space="0" w:color="auto" w:frame="1"/>
          <w:rtl/>
        </w:rPr>
        <w:t>):</w:t>
      </w:r>
      <w:r w:rsidRPr="00A524D0">
        <w:rPr>
          <w:rFonts w:ascii="Simplified Arabic" w:hAnsi="Simplified Arabic" w:cs="Simplified Arabic"/>
          <w:color w:val="1B1C1D"/>
          <w:sz w:val="32"/>
          <w:szCs w:val="32"/>
          <w:rtl/>
        </w:rPr>
        <w:t xml:space="preserve"> قياس انبعاثات النطاق 1 و 2 و 3.</w:t>
      </w:r>
    </w:p>
    <w:p w14:paraId="6CAD77FC" w14:textId="77777777" w:rsidR="001837C4" w:rsidRPr="00A524D0" w:rsidRDefault="001837C4"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lastRenderedPageBreak/>
        <w:t>المحور السادس: تطبيقات مؤشرات الأداء الاجتماعي (</w:t>
      </w:r>
      <w:r w:rsidRPr="00A524D0">
        <w:rPr>
          <w:rFonts w:ascii="Simplified Arabic" w:eastAsia="Times New Roman" w:hAnsi="Simplified Arabic" w:cs="Simplified Arabic"/>
          <w:color w:val="1B1C1D"/>
        </w:rPr>
        <w:t>S</w:t>
      </w:r>
      <w:r w:rsidRPr="00A524D0">
        <w:rPr>
          <w:rFonts w:ascii="Simplified Arabic" w:eastAsia="Times New Roman" w:hAnsi="Simplified Arabic" w:cs="Simplified Arabic"/>
          <w:color w:val="1B1C1D"/>
          <w:rtl/>
        </w:rPr>
        <w:t>) في قطاع إدارة المرافق</w:t>
      </w:r>
    </w:p>
    <w:p w14:paraId="55E0E652" w14:textId="77777777" w:rsidR="001837C4" w:rsidRPr="00A524D0" w:rsidRDefault="001837C4" w:rsidP="00F96B94">
      <w:pPr>
        <w:pStyle w:val="NormalWeb"/>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6.1. مؤشرات صحة وسلامة العاملين (</w:t>
      </w:r>
      <w:r w:rsidRPr="00A524D0">
        <w:rPr>
          <w:rStyle w:val="Strong"/>
          <w:rFonts w:ascii="Simplified Arabic" w:hAnsi="Simplified Arabic" w:cs="Simplified Arabic"/>
          <w:color w:val="1B1C1D"/>
          <w:sz w:val="32"/>
          <w:szCs w:val="32"/>
          <w:bdr w:val="none" w:sz="0" w:space="0" w:color="auto" w:frame="1"/>
        </w:rPr>
        <w:t>HSE KPIs</w:t>
      </w:r>
      <w:r w:rsidRPr="00A524D0">
        <w:rPr>
          <w:rStyle w:val="Strong"/>
          <w:rFonts w:ascii="Simplified Arabic" w:hAnsi="Simplified Arabic" w:cs="Simplified Arabic"/>
          <w:color w:val="1B1C1D"/>
          <w:sz w:val="32"/>
          <w:szCs w:val="32"/>
          <w:bdr w:val="none" w:sz="0" w:space="0" w:color="auto" w:frame="1"/>
          <w:rtl/>
        </w:rPr>
        <w:t>):</w:t>
      </w:r>
      <w:r w:rsidRPr="00A524D0">
        <w:rPr>
          <w:rFonts w:ascii="Simplified Arabic" w:hAnsi="Simplified Arabic" w:cs="Simplified Arabic"/>
          <w:color w:val="1B1C1D"/>
          <w:sz w:val="32"/>
          <w:szCs w:val="32"/>
          <w:rtl/>
        </w:rPr>
        <w:t xml:space="preserve"> معدلات الإصابات الضائعة للوقت ومؤشرات الامتثال.</w:t>
      </w:r>
    </w:p>
    <w:p w14:paraId="2FF0C7A9" w14:textId="77777777" w:rsidR="001837C4" w:rsidRPr="00A524D0" w:rsidRDefault="001837C4" w:rsidP="00F96B94">
      <w:pPr>
        <w:pStyle w:val="NormalWeb"/>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6.2. مؤشرات التنوع والشمول والتوظيف المحلي (التوطين):</w:t>
      </w:r>
      <w:r w:rsidRPr="00A524D0">
        <w:rPr>
          <w:rFonts w:ascii="Simplified Arabic" w:hAnsi="Simplified Arabic" w:cs="Simplified Arabic"/>
          <w:color w:val="1B1C1D"/>
          <w:sz w:val="32"/>
          <w:szCs w:val="32"/>
          <w:rtl/>
        </w:rPr>
        <w:t xml:space="preserve"> نسب التوطين وتمثيل المرأة.</w:t>
      </w:r>
    </w:p>
    <w:p w14:paraId="43285923" w14:textId="77777777" w:rsidR="001837C4" w:rsidRPr="00A524D0" w:rsidRDefault="001837C4" w:rsidP="00F96B94">
      <w:pPr>
        <w:pStyle w:val="NormalWeb"/>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6.3. مؤشرات التدريب وتطوير المهارات:</w:t>
      </w:r>
      <w:r w:rsidRPr="00A524D0">
        <w:rPr>
          <w:rFonts w:ascii="Simplified Arabic" w:hAnsi="Simplified Arabic" w:cs="Simplified Arabic"/>
          <w:color w:val="1B1C1D"/>
          <w:sz w:val="32"/>
          <w:szCs w:val="32"/>
          <w:rtl/>
        </w:rPr>
        <w:t xml:space="preserve"> عدد ساعات التدريب ونصيب الفرد منها.</w:t>
      </w:r>
    </w:p>
    <w:p w14:paraId="7DF07D23" w14:textId="77777777" w:rsidR="001837C4" w:rsidRPr="00A524D0" w:rsidRDefault="001837C4" w:rsidP="00F96B94">
      <w:pPr>
        <w:pStyle w:val="NormalWeb"/>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6.4. مؤشرات الأثر المجتمعي وسلسلة الإمداد المستدامة.</w:t>
      </w:r>
    </w:p>
    <w:p w14:paraId="0DFD975D" w14:textId="77777777" w:rsidR="001837C4" w:rsidRPr="00A524D0" w:rsidRDefault="001837C4"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المحور السابع: تطبيقات مؤشرات الحوكمة (</w:t>
      </w:r>
      <w:r w:rsidRPr="00A524D0">
        <w:rPr>
          <w:rFonts w:ascii="Simplified Arabic" w:eastAsia="Times New Roman" w:hAnsi="Simplified Arabic" w:cs="Simplified Arabic"/>
          <w:color w:val="1B1C1D"/>
        </w:rPr>
        <w:t>G</w:t>
      </w:r>
      <w:r w:rsidRPr="00A524D0">
        <w:rPr>
          <w:rFonts w:ascii="Simplified Arabic" w:eastAsia="Times New Roman" w:hAnsi="Simplified Arabic" w:cs="Simplified Arabic"/>
          <w:color w:val="1B1C1D"/>
          <w:rtl/>
        </w:rPr>
        <w:t>) في قطاع إدارة المرافق</w:t>
      </w:r>
    </w:p>
    <w:p w14:paraId="54A4709F" w14:textId="77777777" w:rsidR="001837C4" w:rsidRPr="00A524D0" w:rsidRDefault="001837C4" w:rsidP="00F96B94">
      <w:pPr>
        <w:pStyle w:val="NormalWeb"/>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7.1. مؤشرات الشفافية والإفصاح المالي وغير المالي.</w:t>
      </w:r>
    </w:p>
    <w:p w14:paraId="4381798D" w14:textId="77777777" w:rsidR="001837C4" w:rsidRPr="00A524D0" w:rsidRDefault="001837C4" w:rsidP="00F96B94">
      <w:pPr>
        <w:pStyle w:val="NormalWeb"/>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7.2. مؤشرات مكافحة الفساد والرشوة والالتزام باللوائح.</w:t>
      </w:r>
    </w:p>
    <w:p w14:paraId="5920DE61" w14:textId="77777777" w:rsidR="001837C4" w:rsidRPr="00A524D0" w:rsidRDefault="001837C4" w:rsidP="00F96B94">
      <w:pPr>
        <w:pStyle w:val="NormalWeb"/>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7.3. مؤشرات هيكلة مجلس الإدارة والاستقلالية والمسؤولية عن الاستدامة.</w:t>
      </w:r>
    </w:p>
    <w:p w14:paraId="5D000601" w14:textId="77777777" w:rsidR="001837C4" w:rsidRPr="00A524D0" w:rsidRDefault="001837C4" w:rsidP="00F96B94">
      <w:pPr>
        <w:pStyle w:val="NormalWeb"/>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7.4. إدارة المخاطر المتعلقة بالاستدامة (</w:t>
      </w:r>
      <w:r w:rsidRPr="00A524D0">
        <w:rPr>
          <w:rStyle w:val="Strong"/>
          <w:rFonts w:ascii="Simplified Arabic" w:hAnsi="Simplified Arabic" w:cs="Simplified Arabic"/>
          <w:color w:val="1B1C1D"/>
          <w:sz w:val="32"/>
          <w:szCs w:val="32"/>
          <w:bdr w:val="none" w:sz="0" w:space="0" w:color="auto" w:frame="1"/>
        </w:rPr>
        <w:t>ESG Risk Management</w:t>
      </w:r>
      <w:r w:rsidRPr="00A524D0">
        <w:rPr>
          <w:rStyle w:val="Strong"/>
          <w:rFonts w:ascii="Simplified Arabic" w:hAnsi="Simplified Arabic" w:cs="Simplified Arabic"/>
          <w:color w:val="1B1C1D"/>
          <w:sz w:val="32"/>
          <w:szCs w:val="32"/>
          <w:bdr w:val="none" w:sz="0" w:space="0" w:color="auto" w:frame="1"/>
          <w:rtl/>
        </w:rPr>
        <w:t>).</w:t>
      </w:r>
    </w:p>
    <w:p w14:paraId="64F33B3D" w14:textId="77777777" w:rsidR="001837C4" w:rsidRPr="00A524D0" w:rsidRDefault="001837C4"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المحور الثامن: السياق السعودي وإدارة المرافق في ضوء رؤية 2030</w:t>
      </w:r>
    </w:p>
    <w:p w14:paraId="62347C0F" w14:textId="77777777" w:rsidR="001837C4" w:rsidRPr="00A524D0" w:rsidRDefault="001837C4" w:rsidP="00F96B94">
      <w:pPr>
        <w:pStyle w:val="NormalWeb"/>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8.1. دور الاستدامة في تحقيق مستهدفات رؤية السعودية 2030:</w:t>
      </w:r>
      <w:r w:rsidRPr="00A524D0">
        <w:rPr>
          <w:rFonts w:ascii="Simplified Arabic" w:hAnsi="Simplified Arabic" w:cs="Simplified Arabic"/>
          <w:color w:val="1B1C1D"/>
          <w:sz w:val="32"/>
          <w:szCs w:val="32"/>
          <w:rtl/>
        </w:rPr>
        <w:t xml:space="preserve"> (البرنامج الوطني لكفاءة الطاقة، المبادرة السعودية الخضراء).</w:t>
      </w:r>
    </w:p>
    <w:p w14:paraId="128830AE" w14:textId="77777777" w:rsidR="001837C4" w:rsidRPr="00A524D0" w:rsidRDefault="001837C4" w:rsidP="00F96B94">
      <w:pPr>
        <w:pStyle w:val="NormalWeb"/>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lastRenderedPageBreak/>
        <w:t xml:space="preserve">8.2. دور هيئات تنظيم السوق السعودية (مثل هيئة السوق المالية) في فرض الإفصاح عن </w:t>
      </w:r>
      <w:r w:rsidRPr="00A524D0">
        <w:rPr>
          <w:rStyle w:val="Strong"/>
          <w:rFonts w:ascii="Simplified Arabic" w:hAnsi="Simplified Arabic" w:cs="Simplified Arabic"/>
          <w:color w:val="1B1C1D"/>
          <w:sz w:val="32"/>
          <w:szCs w:val="32"/>
          <w:bdr w:val="none" w:sz="0" w:space="0" w:color="auto" w:frame="1"/>
        </w:rPr>
        <w:t>ESG</w:t>
      </w:r>
      <w:r w:rsidRPr="00A524D0">
        <w:rPr>
          <w:rStyle w:val="Strong"/>
          <w:rFonts w:ascii="Simplified Arabic" w:hAnsi="Simplified Arabic" w:cs="Simplified Arabic"/>
          <w:color w:val="1B1C1D"/>
          <w:sz w:val="32"/>
          <w:szCs w:val="32"/>
          <w:bdr w:val="none" w:sz="0" w:space="0" w:color="auto" w:frame="1"/>
          <w:rtl/>
        </w:rPr>
        <w:t>.</w:t>
      </w:r>
    </w:p>
    <w:p w14:paraId="0DC045E7" w14:textId="77777777" w:rsidR="001837C4" w:rsidRPr="00A524D0" w:rsidRDefault="001837C4" w:rsidP="00F96B94">
      <w:pPr>
        <w:pStyle w:val="NormalWeb"/>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 xml:space="preserve">8.3. تحديات وفرص تطبيق مؤشرات </w:t>
      </w:r>
      <w:r w:rsidRPr="00A524D0">
        <w:rPr>
          <w:rStyle w:val="Strong"/>
          <w:rFonts w:ascii="Simplified Arabic" w:hAnsi="Simplified Arabic" w:cs="Simplified Arabic"/>
          <w:color w:val="1B1C1D"/>
          <w:sz w:val="32"/>
          <w:szCs w:val="32"/>
          <w:bdr w:val="none" w:sz="0" w:space="0" w:color="auto" w:frame="1"/>
        </w:rPr>
        <w:t>ESG</w:t>
      </w:r>
      <w:r w:rsidRPr="00A524D0">
        <w:rPr>
          <w:rStyle w:val="Strong"/>
          <w:rFonts w:ascii="Simplified Arabic" w:hAnsi="Simplified Arabic" w:cs="Simplified Arabic"/>
          <w:color w:val="1B1C1D"/>
          <w:sz w:val="32"/>
          <w:szCs w:val="32"/>
          <w:bdr w:val="none" w:sz="0" w:space="0" w:color="auto" w:frame="1"/>
          <w:rtl/>
        </w:rPr>
        <w:t xml:space="preserve"> في البيئة التشغيلية والمناخية السعودية (مثل تحديات التبريد الشديد).</w:t>
      </w:r>
    </w:p>
    <w:p w14:paraId="2446555C" w14:textId="77777777" w:rsidR="001837C4" w:rsidRPr="00A524D0" w:rsidRDefault="001837C4"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 xml:space="preserve">المحور التاسع: التحديات والمعوقات التشغيلية لتطبيق مؤشرات </w:t>
      </w:r>
      <w:r w:rsidRPr="00A524D0">
        <w:rPr>
          <w:rFonts w:ascii="Simplified Arabic" w:eastAsia="Times New Roman" w:hAnsi="Simplified Arabic" w:cs="Simplified Arabic"/>
          <w:color w:val="1B1C1D"/>
        </w:rPr>
        <w:t>ESG</w:t>
      </w:r>
    </w:p>
    <w:p w14:paraId="394564DE" w14:textId="77777777" w:rsidR="001837C4" w:rsidRPr="00A524D0" w:rsidRDefault="001837C4" w:rsidP="00F96B94">
      <w:pPr>
        <w:pStyle w:val="NormalWeb"/>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9.1. تحديات جمع البيانات وتوحيدها:</w:t>
      </w:r>
      <w:r w:rsidRPr="00A524D0">
        <w:rPr>
          <w:rFonts w:ascii="Simplified Arabic" w:hAnsi="Simplified Arabic" w:cs="Simplified Arabic"/>
          <w:color w:val="1B1C1D"/>
          <w:sz w:val="32"/>
          <w:szCs w:val="32"/>
          <w:rtl/>
        </w:rPr>
        <w:t xml:space="preserve"> غياب أنظمة إدارة معلومات موحدة للمرافق (</w:t>
      </w:r>
      <w:r w:rsidRPr="00A524D0">
        <w:rPr>
          <w:rFonts w:ascii="Simplified Arabic" w:hAnsi="Simplified Arabic" w:cs="Simplified Arabic"/>
          <w:color w:val="1B1C1D"/>
          <w:sz w:val="32"/>
          <w:szCs w:val="32"/>
        </w:rPr>
        <w:t>FMIS</w:t>
      </w:r>
      <w:r w:rsidRPr="00A524D0">
        <w:rPr>
          <w:rFonts w:ascii="Simplified Arabic" w:hAnsi="Simplified Arabic" w:cs="Simplified Arabic"/>
          <w:color w:val="1B1C1D"/>
          <w:sz w:val="32"/>
          <w:szCs w:val="32"/>
          <w:rtl/>
        </w:rPr>
        <w:t>).</w:t>
      </w:r>
    </w:p>
    <w:p w14:paraId="363B6633" w14:textId="77777777" w:rsidR="001837C4" w:rsidRPr="00A524D0" w:rsidRDefault="001837C4" w:rsidP="00F96B94">
      <w:pPr>
        <w:pStyle w:val="NormalWeb"/>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9.2. التحديات المتعلقة بالتدريب ونقص الكفاءات المتخصصة في الاستدامة.</w:t>
      </w:r>
    </w:p>
    <w:p w14:paraId="1FCC8C4B" w14:textId="77777777" w:rsidR="001837C4" w:rsidRPr="00A524D0" w:rsidRDefault="001837C4" w:rsidP="00F96B94">
      <w:pPr>
        <w:pStyle w:val="NormalWeb"/>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9.3. التكاليف الأولية للتطبيق والاستثمار في التقنيات الخضراء.</w:t>
      </w:r>
    </w:p>
    <w:p w14:paraId="052EE3F4" w14:textId="77777777" w:rsidR="001837C4" w:rsidRPr="00A524D0" w:rsidRDefault="001837C4" w:rsidP="00F96B94">
      <w:pPr>
        <w:pStyle w:val="NormalWeb"/>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 xml:space="preserve">9.4. مقاومة التغيير وغياب الوعي بأهمية </w:t>
      </w:r>
      <w:r w:rsidRPr="00A524D0">
        <w:rPr>
          <w:rStyle w:val="Strong"/>
          <w:rFonts w:ascii="Simplified Arabic" w:hAnsi="Simplified Arabic" w:cs="Simplified Arabic"/>
          <w:color w:val="1B1C1D"/>
          <w:sz w:val="32"/>
          <w:szCs w:val="32"/>
          <w:bdr w:val="none" w:sz="0" w:space="0" w:color="auto" w:frame="1"/>
        </w:rPr>
        <w:t>ESG</w:t>
      </w:r>
      <w:r w:rsidRPr="00A524D0">
        <w:rPr>
          <w:rStyle w:val="Strong"/>
          <w:rFonts w:ascii="Simplified Arabic" w:hAnsi="Simplified Arabic" w:cs="Simplified Arabic"/>
          <w:color w:val="1B1C1D"/>
          <w:sz w:val="32"/>
          <w:szCs w:val="32"/>
          <w:bdr w:val="none" w:sz="0" w:space="0" w:color="auto" w:frame="1"/>
          <w:rtl/>
        </w:rPr>
        <w:t xml:space="preserve"> لدى المستويات التشغيلية.</w:t>
      </w:r>
    </w:p>
    <w:p w14:paraId="72EBBEC9" w14:textId="77777777" w:rsidR="001837C4" w:rsidRPr="00A524D0" w:rsidRDefault="001837C4" w:rsidP="00F96B94">
      <w:pPr>
        <w:pStyle w:val="Heading2"/>
        <w:spacing w:before="0" w:after="120" w:line="360" w:lineRule="auto"/>
        <w:rPr>
          <w:rFonts w:ascii="Simplified Arabic" w:eastAsia="Times New Roman" w:hAnsi="Simplified Arabic" w:cs="Simplified Arabic"/>
          <w:color w:val="1B1C1D"/>
          <w:rtl/>
        </w:rPr>
      </w:pPr>
      <w:r w:rsidRPr="00A524D0">
        <w:rPr>
          <w:rFonts w:ascii="Simplified Arabic" w:eastAsia="Times New Roman" w:hAnsi="Simplified Arabic" w:cs="Simplified Arabic"/>
          <w:color w:val="1B1C1D"/>
          <w:rtl/>
        </w:rPr>
        <w:t>المحور العاشر: الدراسات السابقة المتعلقة بمؤشرات الأداء المستدام (</w:t>
      </w:r>
      <w:r w:rsidRPr="00A524D0">
        <w:rPr>
          <w:rFonts w:ascii="Simplified Arabic" w:eastAsia="Times New Roman" w:hAnsi="Simplified Arabic" w:cs="Simplified Arabic"/>
          <w:color w:val="1B1C1D"/>
        </w:rPr>
        <w:t>Sustainable Performance KPIs</w:t>
      </w:r>
      <w:r w:rsidRPr="00A524D0">
        <w:rPr>
          <w:rFonts w:ascii="Simplified Arabic" w:eastAsia="Times New Roman" w:hAnsi="Simplified Arabic" w:cs="Simplified Arabic"/>
          <w:color w:val="1B1C1D"/>
          <w:rtl/>
        </w:rPr>
        <w:t>)</w:t>
      </w:r>
    </w:p>
    <w:p w14:paraId="5903193B" w14:textId="77777777" w:rsidR="001837C4" w:rsidRPr="00A524D0" w:rsidRDefault="001837C4" w:rsidP="00F96B94">
      <w:pPr>
        <w:pStyle w:val="NormalWeb"/>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 xml:space="preserve">10.1. استعراض الدراسات التي تناولت العلاقة بين </w:t>
      </w:r>
      <w:r w:rsidRPr="00A524D0">
        <w:rPr>
          <w:rStyle w:val="Strong"/>
          <w:rFonts w:ascii="Simplified Arabic" w:hAnsi="Simplified Arabic" w:cs="Simplified Arabic"/>
          <w:color w:val="1B1C1D"/>
          <w:sz w:val="32"/>
          <w:szCs w:val="32"/>
          <w:bdr w:val="none" w:sz="0" w:space="0" w:color="auto" w:frame="1"/>
        </w:rPr>
        <w:t>ESG</w:t>
      </w:r>
      <w:r w:rsidRPr="00A524D0">
        <w:rPr>
          <w:rStyle w:val="Strong"/>
          <w:rFonts w:ascii="Simplified Arabic" w:hAnsi="Simplified Arabic" w:cs="Simplified Arabic"/>
          <w:color w:val="1B1C1D"/>
          <w:sz w:val="32"/>
          <w:szCs w:val="32"/>
          <w:bdr w:val="none" w:sz="0" w:space="0" w:color="auto" w:frame="1"/>
          <w:rtl/>
        </w:rPr>
        <w:t xml:space="preserve"> والأداء المالي في الأسواق الناشئة.</w:t>
      </w:r>
    </w:p>
    <w:p w14:paraId="66EBE225" w14:textId="77777777" w:rsidR="001837C4" w:rsidRPr="00A524D0" w:rsidRDefault="001837C4" w:rsidP="00F96B94">
      <w:pPr>
        <w:pStyle w:val="NormalWeb"/>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t>10.2. تحليل الدراسات التي ركزت على تطوير مؤشرات أداء خاصة بقطاع البناء والتشغيل.</w:t>
      </w:r>
    </w:p>
    <w:p w14:paraId="024F8CFF" w14:textId="77777777" w:rsidR="001837C4" w:rsidRPr="00A524D0" w:rsidRDefault="001837C4" w:rsidP="00F96B94">
      <w:pPr>
        <w:pStyle w:val="NormalWeb"/>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A524D0">
        <w:rPr>
          <w:rStyle w:val="Strong"/>
          <w:rFonts w:ascii="Simplified Arabic" w:hAnsi="Simplified Arabic" w:cs="Simplified Arabic"/>
          <w:color w:val="1B1C1D"/>
          <w:sz w:val="32"/>
          <w:szCs w:val="32"/>
          <w:bdr w:val="none" w:sz="0" w:space="0" w:color="auto" w:frame="1"/>
          <w:rtl/>
        </w:rPr>
        <w:lastRenderedPageBreak/>
        <w:t>10.3. مقارنة الأطر المنهجية والأدوات المستخدمة في الدراسات السابقة لتقييم الاستدامة.</w:t>
      </w:r>
    </w:p>
    <w:p w14:paraId="7430B1AC" w14:textId="77777777" w:rsidR="009B14FF" w:rsidRPr="00A524D0" w:rsidRDefault="009B14FF"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7820E3C8" w14:textId="77777777" w:rsidR="009B14FF" w:rsidRPr="00A524D0" w:rsidRDefault="009B14FF"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t>مقدمة</w:t>
      </w:r>
    </w:p>
    <w:p w14:paraId="20CF5BA1" w14:textId="77777777" w:rsidR="009B14FF" w:rsidRPr="00A524D0" w:rsidRDefault="009B14FF" w:rsidP="00F96B94">
      <w:pPr>
        <w:pStyle w:val="NormalWeb"/>
        <w:bidi/>
        <w:spacing w:before="0" w:beforeAutospacing="0" w:after="24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 xml:space="preserve">لم تعد الاستدامة مجرد خيار أخلاقي للشركات، بل أصبحت ضرورة استراتيجية تفرضها المتغيرات العالمية، والضغوط التنظيمية، وتوقعات المستثمرين. يهدف هذا التقرير إلى شرح مفهوم الاستدامة المؤسسية ومعايير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xml:space="preserve"> كأدوات لضمان البقاء والنمو في القرن الحادي والعشرين.</w:t>
      </w:r>
    </w:p>
    <w:p w14:paraId="4DFAFF96" w14:textId="77777777" w:rsidR="009B14FF" w:rsidRPr="00A524D0" w:rsidRDefault="009B14FF"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t>المحور الأول: مفهوم وأبعاد الاستدامة المؤسسية (</w:t>
      </w:r>
      <w:r w:rsidRPr="00A524D0">
        <w:rPr>
          <w:rFonts w:ascii="Simplified Arabic" w:eastAsia="Times New Roman" w:hAnsi="Simplified Arabic" w:cs="Simplified Arabic"/>
          <w:color w:val="1F1F1F"/>
        </w:rPr>
        <w:t>Corporate Sustainability</w:t>
      </w:r>
      <w:r w:rsidRPr="00A524D0">
        <w:rPr>
          <w:rFonts w:ascii="Simplified Arabic" w:eastAsia="Times New Roman" w:hAnsi="Simplified Arabic" w:cs="Simplified Arabic"/>
          <w:color w:val="1F1F1F"/>
          <w:rtl/>
        </w:rPr>
        <w:t>)</w:t>
      </w:r>
    </w:p>
    <w:p w14:paraId="312BFE00" w14:textId="77777777" w:rsidR="009B14FF" w:rsidRPr="00A524D0" w:rsidRDefault="009B14FF"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1.1. التطور التاريخي لمفهوم الاستدامة</w:t>
      </w:r>
    </w:p>
    <w:p w14:paraId="7FBC1E0A" w14:textId="77777777" w:rsidR="009B14FF" w:rsidRPr="00A524D0" w:rsidRDefault="009B14FF"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بدأ مفهوم الاستدامة كفكرة بيئية وتطور ليصبح ركيزة أساسية في استراتيجيات الأعمال:</w:t>
      </w:r>
    </w:p>
    <w:p w14:paraId="6ED94FE1" w14:textId="77777777" w:rsidR="009B14FF" w:rsidRPr="00A524D0" w:rsidRDefault="009B14FF" w:rsidP="00F96B94">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تقرير برونتلاند (1987):</w:t>
      </w:r>
      <w:r w:rsidRPr="00A524D0">
        <w:rPr>
          <w:rFonts w:ascii="Simplified Arabic" w:hAnsi="Simplified Arabic" w:cs="Simplified Arabic"/>
          <w:color w:val="1F1F1F"/>
          <w:sz w:val="32"/>
          <w:szCs w:val="32"/>
          <w:rtl/>
        </w:rPr>
        <w:t xml:space="preserve"> يُعتبر نقطة الانطلاق الرسمية، حيث عرّف التنمية المستدامة بأنها "التنمية التي تلبي احتياجات الحاضر دون المساس بقدرة الأجيال القادمة على تلبية احتياجاتها".</w:t>
      </w:r>
    </w:p>
    <w:p w14:paraId="21DA5A4F" w14:textId="77777777" w:rsidR="009B14FF" w:rsidRPr="00A524D0" w:rsidRDefault="009B14FF" w:rsidP="00F96B94">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مؤتمر ريو (1992):</w:t>
      </w:r>
      <w:r w:rsidRPr="00A524D0">
        <w:rPr>
          <w:rFonts w:ascii="Simplified Arabic" w:hAnsi="Simplified Arabic" w:cs="Simplified Arabic"/>
          <w:color w:val="1F1F1F"/>
          <w:sz w:val="32"/>
          <w:szCs w:val="32"/>
          <w:rtl/>
        </w:rPr>
        <w:t xml:space="preserve"> ساهم في ربط النمو الاقتصادي بحماية البيئة.</w:t>
      </w:r>
    </w:p>
    <w:p w14:paraId="50C74E02" w14:textId="77777777" w:rsidR="009B14FF" w:rsidRPr="00A524D0" w:rsidRDefault="009B14FF" w:rsidP="00F96B94">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lastRenderedPageBreak/>
        <w:t>التحول نحو الأعمال:</w:t>
      </w:r>
      <w:r w:rsidRPr="00A524D0">
        <w:rPr>
          <w:rFonts w:ascii="Simplified Arabic" w:hAnsi="Simplified Arabic" w:cs="Simplified Arabic"/>
          <w:color w:val="1F1F1F"/>
          <w:sz w:val="32"/>
          <w:szCs w:val="32"/>
          <w:rtl/>
        </w:rPr>
        <w:t xml:space="preserve"> انتقلت الاستدامة من كونها "مسؤولية اجتماعية (</w:t>
      </w:r>
      <w:r w:rsidRPr="00A524D0">
        <w:rPr>
          <w:rFonts w:ascii="Simplified Arabic" w:hAnsi="Simplified Arabic" w:cs="Simplified Arabic"/>
          <w:color w:val="1F1F1F"/>
          <w:sz w:val="32"/>
          <w:szCs w:val="32"/>
        </w:rPr>
        <w:t>CSR</w:t>
      </w:r>
      <w:r w:rsidRPr="00A524D0">
        <w:rPr>
          <w:rFonts w:ascii="Simplified Arabic" w:hAnsi="Simplified Arabic" w:cs="Simplified Arabic"/>
          <w:color w:val="1F1F1F"/>
          <w:sz w:val="32"/>
          <w:szCs w:val="32"/>
          <w:rtl/>
        </w:rPr>
        <w:t>)" اختيارية أو تبرعات خيرية، إلى "استدامة مؤسسية" مدمجة في صلب العمليات، تهدف إلى خلق قيمة طويلة الأمد للمساهمين وجميع أصحاب المصلحة.</w:t>
      </w:r>
    </w:p>
    <w:p w14:paraId="09087D3E" w14:textId="77777777" w:rsidR="009B14FF" w:rsidRPr="00A524D0" w:rsidRDefault="009B14FF"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1.2. الاستدامة في سياق الشركات: التوازن الثلاثي (</w:t>
      </w:r>
      <w:r w:rsidRPr="00A524D0">
        <w:rPr>
          <w:rFonts w:ascii="Simplified Arabic" w:eastAsia="Times New Roman" w:hAnsi="Simplified Arabic" w:cs="Simplified Arabic"/>
          <w:color w:val="1F1F1F"/>
          <w:sz w:val="32"/>
          <w:szCs w:val="32"/>
        </w:rPr>
        <w:t>Triple Bottom Line</w:t>
      </w:r>
      <w:r w:rsidRPr="00A524D0">
        <w:rPr>
          <w:rFonts w:ascii="Simplified Arabic" w:eastAsia="Times New Roman" w:hAnsi="Simplified Arabic" w:cs="Simplified Arabic"/>
          <w:color w:val="1F1F1F"/>
          <w:sz w:val="32"/>
          <w:szCs w:val="32"/>
          <w:rtl/>
        </w:rPr>
        <w:t>)</w:t>
      </w:r>
    </w:p>
    <w:p w14:paraId="25B97730" w14:textId="77777777" w:rsidR="009B14FF" w:rsidRPr="00A524D0" w:rsidRDefault="009B14FF"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تقوم الاستدامة المؤسسية على مبدأ التوازن بين ثلاثة أبعاد رئيسية:</w:t>
      </w:r>
    </w:p>
    <w:p w14:paraId="571E20BD" w14:textId="77777777" w:rsidR="009B14FF" w:rsidRPr="00A524D0" w:rsidRDefault="009B14FF" w:rsidP="00F96B94">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البعد الاقتصادي (</w:t>
      </w:r>
      <w:r w:rsidRPr="00A524D0">
        <w:rPr>
          <w:rStyle w:val="Strong"/>
          <w:rFonts w:ascii="Simplified Arabic" w:hAnsi="Simplified Arabic" w:cs="Simplified Arabic"/>
          <w:color w:val="1F1F1F"/>
          <w:sz w:val="32"/>
          <w:szCs w:val="32"/>
          <w:bdr w:val="none" w:sz="0" w:space="0" w:color="auto" w:frame="1"/>
        </w:rPr>
        <w:t>Profit</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ضمان الربحية والنمو المالي المستقر والشفافية المالية.</w:t>
      </w:r>
    </w:p>
    <w:p w14:paraId="39DAC442" w14:textId="77777777" w:rsidR="009B14FF" w:rsidRPr="00A524D0" w:rsidRDefault="009B14FF" w:rsidP="00F96B94">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البعد البيئي (</w:t>
      </w:r>
      <w:r w:rsidRPr="00A524D0">
        <w:rPr>
          <w:rStyle w:val="Strong"/>
          <w:rFonts w:ascii="Simplified Arabic" w:hAnsi="Simplified Arabic" w:cs="Simplified Arabic"/>
          <w:color w:val="1F1F1F"/>
          <w:sz w:val="32"/>
          <w:szCs w:val="32"/>
          <w:bdr w:val="none" w:sz="0" w:space="0" w:color="auto" w:frame="1"/>
        </w:rPr>
        <w:t>Planet</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تقليل البصمة الكربونية، إدارة النفايات، وكفاءة استهلاك الموارد الطبيعية.</w:t>
      </w:r>
    </w:p>
    <w:p w14:paraId="18A7EA67" w14:textId="77777777" w:rsidR="009B14FF" w:rsidRPr="00A524D0" w:rsidRDefault="009B14FF" w:rsidP="00F96B94">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البعد الاجتماعي (</w:t>
      </w:r>
      <w:r w:rsidRPr="00A524D0">
        <w:rPr>
          <w:rStyle w:val="Strong"/>
          <w:rFonts w:ascii="Simplified Arabic" w:hAnsi="Simplified Arabic" w:cs="Simplified Arabic"/>
          <w:color w:val="1F1F1F"/>
          <w:sz w:val="32"/>
          <w:szCs w:val="32"/>
          <w:bdr w:val="none" w:sz="0" w:space="0" w:color="auto" w:frame="1"/>
        </w:rPr>
        <w:t>People</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رعاية الموظفين، ضمان السلامة المهنية، دعم المجتمعات المحلية، واحترام حقوق الإنسان.</w:t>
      </w:r>
    </w:p>
    <w:p w14:paraId="7CD81D66" w14:textId="77777777" w:rsidR="009B14FF" w:rsidRPr="00A524D0" w:rsidRDefault="009B14FF"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1.3. أهمية الاستدامة للشركات في القرن الحادي والعشرين</w:t>
      </w:r>
    </w:p>
    <w:p w14:paraId="09ECC3CD" w14:textId="77777777" w:rsidR="009B14FF" w:rsidRPr="00A524D0" w:rsidRDefault="009B14FF"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أصبحت الاستدامة محركاً للتنافسية من خلال:</w:t>
      </w:r>
    </w:p>
    <w:p w14:paraId="5B20389B" w14:textId="77777777" w:rsidR="009B14FF" w:rsidRPr="00A524D0" w:rsidRDefault="009B14FF" w:rsidP="00F96B94">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تعزيز السمعة:</w:t>
      </w:r>
      <w:r w:rsidRPr="00A524D0">
        <w:rPr>
          <w:rFonts w:ascii="Simplified Arabic" w:hAnsi="Simplified Arabic" w:cs="Simplified Arabic"/>
          <w:color w:val="1F1F1F"/>
          <w:sz w:val="32"/>
          <w:szCs w:val="32"/>
          <w:rtl/>
        </w:rPr>
        <w:t xml:space="preserve"> بناء الثقة مع المستهلكين الذين يفضلون العلامات التجارية المستدامة.</w:t>
      </w:r>
    </w:p>
    <w:p w14:paraId="7E2887CB" w14:textId="77777777" w:rsidR="009B14FF" w:rsidRPr="00A524D0" w:rsidRDefault="009B14FF" w:rsidP="00F96B94">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تقليل المخاطر:</w:t>
      </w:r>
      <w:r w:rsidRPr="00A524D0">
        <w:rPr>
          <w:rFonts w:ascii="Simplified Arabic" w:hAnsi="Simplified Arabic" w:cs="Simplified Arabic"/>
          <w:color w:val="1F1F1F"/>
          <w:sz w:val="32"/>
          <w:szCs w:val="32"/>
          <w:rtl/>
        </w:rPr>
        <w:t xml:space="preserve"> التنبؤ بالمخاطر البيئية والاجتماعية (مثل التغير المناخي أو الإضرابات العمالية) وإدارتها قبل وقوعها.</w:t>
      </w:r>
    </w:p>
    <w:p w14:paraId="73EE6FC1" w14:textId="77777777" w:rsidR="009B14FF" w:rsidRPr="00A524D0" w:rsidRDefault="009B14FF" w:rsidP="00F96B94">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lastRenderedPageBreak/>
        <w:t>جذب الاستثمار:</w:t>
      </w:r>
      <w:r w:rsidRPr="00A524D0">
        <w:rPr>
          <w:rFonts w:ascii="Simplified Arabic" w:hAnsi="Simplified Arabic" w:cs="Simplified Arabic"/>
          <w:color w:val="1F1F1F"/>
          <w:sz w:val="32"/>
          <w:szCs w:val="32"/>
          <w:rtl/>
        </w:rPr>
        <w:t xml:space="preserve"> تزايد صناديق الاستثمار التي تشترط وجود تقارير استدامة واضحة لضمان أمن رؤوس أموالها.</w:t>
      </w:r>
    </w:p>
    <w:p w14:paraId="1D422671" w14:textId="77777777" w:rsidR="009B14FF" w:rsidRPr="00A524D0" w:rsidRDefault="009B14FF"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t>المحور الثاني: الإطار النظري لمؤشرات الأداء البيئي والاجتماعي والحوكمة (</w:t>
      </w:r>
      <w:r w:rsidRPr="00A524D0">
        <w:rPr>
          <w:rFonts w:ascii="Simplified Arabic" w:eastAsia="Times New Roman" w:hAnsi="Simplified Arabic" w:cs="Simplified Arabic"/>
          <w:color w:val="1F1F1F"/>
        </w:rPr>
        <w:t>ESG</w:t>
      </w:r>
      <w:r w:rsidRPr="00A524D0">
        <w:rPr>
          <w:rFonts w:ascii="Simplified Arabic" w:eastAsia="Times New Roman" w:hAnsi="Simplified Arabic" w:cs="Simplified Arabic"/>
          <w:color w:val="1F1F1F"/>
          <w:rtl/>
        </w:rPr>
        <w:t>)</w:t>
      </w:r>
    </w:p>
    <w:p w14:paraId="0DC9831D" w14:textId="77777777" w:rsidR="009B14FF" w:rsidRPr="00A524D0" w:rsidRDefault="009B14FF"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 xml:space="preserve">2.1. تعريف ونشأة مؤشرات </w:t>
      </w:r>
      <w:r w:rsidRPr="00A524D0">
        <w:rPr>
          <w:rFonts w:ascii="Simplified Arabic" w:eastAsia="Times New Roman" w:hAnsi="Simplified Arabic" w:cs="Simplified Arabic"/>
          <w:color w:val="1F1F1F"/>
          <w:sz w:val="32"/>
          <w:szCs w:val="32"/>
        </w:rPr>
        <w:t>ESG</w:t>
      </w:r>
    </w:p>
    <w:p w14:paraId="06B79CA5" w14:textId="77777777" w:rsidR="009B14FF" w:rsidRPr="00A524D0" w:rsidRDefault="009B14FF" w:rsidP="00F96B94">
      <w:pPr>
        <w:pStyle w:val="NormalWeb"/>
        <w:bidi/>
        <w:spacing w:before="0" w:beforeAutospacing="0" w:after="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 xml:space="preserve">تُعد </w:t>
      </w:r>
      <w:r w:rsidRPr="00A524D0">
        <w:rPr>
          <w:rStyle w:val="Strong"/>
          <w:rFonts w:ascii="Simplified Arabic" w:hAnsi="Simplified Arabic" w:cs="Simplified Arabic"/>
          <w:color w:val="1F1F1F"/>
          <w:sz w:val="32"/>
          <w:szCs w:val="32"/>
          <w:bdr w:val="none" w:sz="0" w:space="0" w:color="auto" w:frame="1"/>
        </w:rPr>
        <w:t>ESG</w:t>
      </w:r>
      <w:r w:rsidRPr="00A524D0">
        <w:rPr>
          <w:rFonts w:ascii="Simplified Arabic" w:hAnsi="Simplified Arabic" w:cs="Simplified Arabic"/>
          <w:color w:val="1F1F1F"/>
          <w:sz w:val="32"/>
          <w:szCs w:val="32"/>
          <w:rtl/>
        </w:rPr>
        <w:t xml:space="preserve"> (</w:t>
      </w:r>
      <w:r w:rsidRPr="00A524D0">
        <w:rPr>
          <w:rFonts w:ascii="Simplified Arabic" w:hAnsi="Simplified Arabic" w:cs="Simplified Arabic"/>
          <w:color w:val="1F1F1F"/>
          <w:sz w:val="32"/>
          <w:szCs w:val="32"/>
        </w:rPr>
        <w:t>Environmental, Social, and Governance</w:t>
      </w:r>
      <w:r w:rsidRPr="00A524D0">
        <w:rPr>
          <w:rFonts w:ascii="Simplified Arabic" w:hAnsi="Simplified Arabic" w:cs="Simplified Arabic"/>
          <w:color w:val="1F1F1F"/>
          <w:sz w:val="32"/>
          <w:szCs w:val="32"/>
          <w:rtl/>
        </w:rPr>
        <w:t>) المعايير التي يستخدمها المستثمرون لتقييم ممارسات الشركة وتأثيرها:</w:t>
      </w:r>
    </w:p>
    <w:p w14:paraId="4D0126C1" w14:textId="77777777" w:rsidR="009B14FF" w:rsidRPr="00A524D0" w:rsidRDefault="009B14FF" w:rsidP="00F96B94">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النشأة:</w:t>
      </w:r>
      <w:r w:rsidRPr="00A524D0">
        <w:rPr>
          <w:rFonts w:ascii="Simplified Arabic" w:hAnsi="Simplified Arabic" w:cs="Simplified Arabic"/>
          <w:color w:val="1F1F1F"/>
          <w:sz w:val="32"/>
          <w:szCs w:val="32"/>
          <w:rtl/>
        </w:rPr>
        <w:t xml:space="preserve"> بدأت كحركة للاستثمار الأخلاقي (تجنب شركات التبغ أو السلاح)، ثم تطورت رسمياً في عام 2004 ضمن مبادرة الأمم المتحدة بعنوان "من يهتم يفوز" (</w:t>
      </w:r>
      <w:r w:rsidRPr="00A524D0">
        <w:rPr>
          <w:rFonts w:ascii="Simplified Arabic" w:hAnsi="Simplified Arabic" w:cs="Simplified Arabic"/>
          <w:color w:val="1F1F1F"/>
          <w:sz w:val="32"/>
          <w:szCs w:val="32"/>
        </w:rPr>
        <w:t>Who Cares Wins</w:t>
      </w:r>
      <w:r w:rsidRPr="00A524D0">
        <w:rPr>
          <w:rFonts w:ascii="Simplified Arabic" w:hAnsi="Simplified Arabic" w:cs="Simplified Arabic"/>
          <w:color w:val="1F1F1F"/>
          <w:sz w:val="32"/>
          <w:szCs w:val="32"/>
          <w:rtl/>
        </w:rPr>
        <w:t>).</w:t>
      </w:r>
    </w:p>
    <w:p w14:paraId="40389886" w14:textId="77777777" w:rsidR="009B14FF" w:rsidRPr="00A524D0" w:rsidRDefault="009B14FF" w:rsidP="00F96B94">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التحول للتقييم المالي:</w:t>
      </w:r>
      <w:r w:rsidRPr="00A524D0">
        <w:rPr>
          <w:rFonts w:ascii="Simplified Arabic" w:hAnsi="Simplified Arabic" w:cs="Simplified Arabic"/>
          <w:color w:val="1F1F1F"/>
          <w:sz w:val="32"/>
          <w:szCs w:val="32"/>
          <w:rtl/>
        </w:rPr>
        <w:t xml:space="preserve"> انتقلت من كونها مجرد "فعل خير" إلى أدوات كمية تُستخدم لتقييم الجدارة الائتمانية والمخاطر المالية للشركات.</w:t>
      </w:r>
    </w:p>
    <w:p w14:paraId="5640216C" w14:textId="77777777" w:rsidR="009B14FF" w:rsidRPr="00A524D0" w:rsidRDefault="009B14FF"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 xml:space="preserve">2.2. المكونات الرئيسية لأبعاد </w:t>
      </w:r>
      <w:r w:rsidRPr="00A524D0">
        <w:rPr>
          <w:rFonts w:ascii="Simplified Arabic" w:eastAsia="Times New Roman" w:hAnsi="Simplified Arabic" w:cs="Simplified Arabic"/>
          <w:color w:val="1F1F1F"/>
          <w:sz w:val="32"/>
          <w:szCs w:val="32"/>
        </w:rPr>
        <w:t>ESG</w:t>
      </w:r>
      <w:r w:rsidRPr="00A524D0">
        <w:rPr>
          <w:rFonts w:ascii="Simplified Arabic" w:eastAsia="Times New Roman" w:hAnsi="Simplified Arabic" w:cs="Simplified Arabic"/>
          <w:color w:val="1F1F1F"/>
          <w:sz w:val="32"/>
          <w:szCs w:val="32"/>
          <w:rtl/>
        </w:rPr>
        <w:t xml:space="preserve"> الثلاثة</w:t>
      </w:r>
    </w:p>
    <w:tbl>
      <w:tblPr>
        <w:bidiVisual/>
        <w:tblW w:w="0" w:type="auto"/>
        <w:tblCellSpacing w:w="15" w:type="dxa"/>
        <w:tblCellMar>
          <w:left w:w="0" w:type="dxa"/>
          <w:right w:w="0" w:type="dxa"/>
        </w:tblCellMar>
        <w:tblLook w:val="04A0" w:firstRow="1" w:lastRow="0" w:firstColumn="1" w:lastColumn="0" w:noHBand="0" w:noVBand="1"/>
      </w:tblPr>
      <w:tblGrid>
        <w:gridCol w:w="1800"/>
        <w:gridCol w:w="7016"/>
      </w:tblGrid>
      <w:tr w:rsidR="009B14FF" w:rsidRPr="00A524D0" w14:paraId="3EDF967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4F16C8" w14:textId="77777777" w:rsidR="009B14FF" w:rsidRPr="00A524D0" w:rsidRDefault="009B14FF" w:rsidP="00F96B94">
            <w:pPr>
              <w:spacing w:line="360" w:lineRule="auto"/>
              <w:rPr>
                <w:rFonts w:ascii="Simplified Arabic" w:eastAsia="Times New Roman" w:hAnsi="Simplified Arabic" w:cs="Simplified Arabic"/>
                <w:color w:val="1F1F1F"/>
                <w:sz w:val="32"/>
                <w:szCs w:val="32"/>
                <w:rtl/>
              </w:rPr>
            </w:pPr>
            <w:r w:rsidRPr="00A524D0">
              <w:rPr>
                <w:rStyle w:val="Strong"/>
                <w:rFonts w:ascii="Simplified Arabic" w:eastAsia="Times New Roman" w:hAnsi="Simplified Arabic" w:cs="Simplified Arabic"/>
                <w:color w:val="1F1F1F"/>
                <w:sz w:val="32"/>
                <w:szCs w:val="32"/>
                <w:bdr w:val="none" w:sz="0" w:space="0" w:color="auto" w:frame="1"/>
                <w:rtl/>
              </w:rPr>
              <w:t>البعد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29DBBB" w14:textId="77777777" w:rsidR="009B14FF" w:rsidRPr="00A524D0" w:rsidRDefault="009B14FF" w:rsidP="00F96B94">
            <w:pPr>
              <w:spacing w:line="360" w:lineRule="auto"/>
              <w:rPr>
                <w:rFonts w:ascii="Simplified Arabic" w:eastAsia="Times New Roman" w:hAnsi="Simplified Arabic" w:cs="Simplified Arabic"/>
                <w:color w:val="1F1F1F"/>
                <w:sz w:val="32"/>
                <w:szCs w:val="32"/>
                <w:rtl/>
              </w:rPr>
            </w:pPr>
            <w:r w:rsidRPr="00A524D0">
              <w:rPr>
                <w:rStyle w:val="Strong"/>
                <w:rFonts w:ascii="Simplified Arabic" w:eastAsia="Times New Roman" w:hAnsi="Simplified Arabic" w:cs="Simplified Arabic"/>
                <w:color w:val="1F1F1F"/>
                <w:sz w:val="32"/>
                <w:szCs w:val="32"/>
                <w:bdr w:val="none" w:sz="0" w:space="0" w:color="auto" w:frame="1"/>
                <w:rtl/>
              </w:rPr>
              <w:t>المكونات الرئيسية</w:t>
            </w:r>
          </w:p>
        </w:tc>
      </w:tr>
      <w:tr w:rsidR="009B14FF" w:rsidRPr="00A524D0" w14:paraId="768B8A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9CEF23" w14:textId="77777777" w:rsidR="009B14FF" w:rsidRPr="00A524D0" w:rsidRDefault="009B14FF" w:rsidP="00F96B94">
            <w:pPr>
              <w:pStyle w:val="NormalWeb"/>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البيئي (</w:t>
            </w:r>
            <w:r w:rsidRPr="00A524D0">
              <w:rPr>
                <w:rStyle w:val="Strong"/>
                <w:rFonts w:ascii="Simplified Arabic" w:hAnsi="Simplified Arabic" w:cs="Simplified Arabic"/>
                <w:color w:val="1F1F1F"/>
                <w:sz w:val="32"/>
                <w:szCs w:val="32"/>
                <w:bdr w:val="none" w:sz="0" w:space="0" w:color="auto" w:frame="1"/>
              </w:rPr>
              <w:t>E</w:t>
            </w:r>
            <w:r w:rsidRPr="00A524D0">
              <w:rPr>
                <w:rStyle w:val="Strong"/>
                <w:rFonts w:ascii="Simplified Arabic"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8ECE41" w14:textId="77777777" w:rsidR="009B14FF" w:rsidRPr="00A524D0" w:rsidRDefault="009B14FF" w:rsidP="00F96B94">
            <w:pPr>
              <w:pStyle w:val="NormalWeb"/>
              <w:bidi/>
              <w:spacing w:before="0" w:beforeAutospacing="0" w:after="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تغير المناخ، انبعاثات الغازات الدفيئة، كفاءة الطاقة، إدارة المياه، التنوع البيولوجي.</w:t>
            </w:r>
          </w:p>
        </w:tc>
      </w:tr>
      <w:tr w:rsidR="009B14FF" w:rsidRPr="00A524D0" w14:paraId="362918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599A31" w14:textId="77777777" w:rsidR="009B14FF" w:rsidRPr="00A524D0" w:rsidRDefault="009B14FF" w:rsidP="00F96B94">
            <w:pPr>
              <w:pStyle w:val="NormalWeb"/>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lastRenderedPageBreak/>
              <w:t>الاجتماعي (</w:t>
            </w:r>
            <w:r w:rsidRPr="00A524D0">
              <w:rPr>
                <w:rStyle w:val="Strong"/>
                <w:rFonts w:ascii="Simplified Arabic" w:hAnsi="Simplified Arabic" w:cs="Simplified Arabic"/>
                <w:color w:val="1F1F1F"/>
                <w:sz w:val="32"/>
                <w:szCs w:val="32"/>
                <w:bdr w:val="none" w:sz="0" w:space="0" w:color="auto" w:frame="1"/>
              </w:rPr>
              <w:t>S</w:t>
            </w:r>
            <w:r w:rsidRPr="00A524D0">
              <w:rPr>
                <w:rStyle w:val="Strong"/>
                <w:rFonts w:ascii="Simplified Arabic"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7D260A" w14:textId="77777777" w:rsidR="009B14FF" w:rsidRPr="00A524D0" w:rsidRDefault="009B14FF" w:rsidP="00F96B94">
            <w:pPr>
              <w:pStyle w:val="NormalWeb"/>
              <w:bidi/>
              <w:spacing w:before="0" w:beforeAutospacing="0" w:after="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علاقات العمل، التنوع والشمول، حقوق الإنسان، حماية البيانات والخصوصية، علاقات المجتمع.</w:t>
            </w:r>
          </w:p>
        </w:tc>
      </w:tr>
      <w:tr w:rsidR="009B14FF" w:rsidRPr="00A524D0" w14:paraId="1C704F6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ED924" w14:textId="77777777" w:rsidR="009B14FF" w:rsidRPr="00A524D0" w:rsidRDefault="009B14FF" w:rsidP="00F96B94">
            <w:pPr>
              <w:pStyle w:val="NormalWeb"/>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الحوكمة (</w:t>
            </w:r>
            <w:r w:rsidRPr="00A524D0">
              <w:rPr>
                <w:rStyle w:val="Strong"/>
                <w:rFonts w:ascii="Simplified Arabic" w:hAnsi="Simplified Arabic" w:cs="Simplified Arabic"/>
                <w:color w:val="1F1F1F"/>
                <w:sz w:val="32"/>
                <w:szCs w:val="32"/>
                <w:bdr w:val="none" w:sz="0" w:space="0" w:color="auto" w:frame="1"/>
              </w:rPr>
              <w:t>G</w:t>
            </w:r>
            <w:r w:rsidRPr="00A524D0">
              <w:rPr>
                <w:rStyle w:val="Strong"/>
                <w:rFonts w:ascii="Simplified Arabic"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2D144B" w14:textId="77777777" w:rsidR="009B14FF" w:rsidRPr="00A524D0" w:rsidRDefault="009B14FF" w:rsidP="00F96B94">
            <w:pPr>
              <w:pStyle w:val="NormalWeb"/>
              <w:bidi/>
              <w:spacing w:before="0" w:beforeAutospacing="0" w:after="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هيكل مجلس الإدارة، أخلاقيات العمل، مكافحة الفساد، تعويضات التنفيذيين، حقوق المساهمين.</w:t>
            </w:r>
          </w:p>
        </w:tc>
      </w:tr>
    </w:tbl>
    <w:p w14:paraId="1BA2C0D7" w14:textId="77777777" w:rsidR="009B14FF" w:rsidRPr="00A524D0" w:rsidRDefault="009B14FF"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 xml:space="preserve">2.3. العلاقة بين أداء </w:t>
      </w:r>
      <w:r w:rsidRPr="00A524D0">
        <w:rPr>
          <w:rFonts w:ascii="Simplified Arabic" w:eastAsia="Times New Roman" w:hAnsi="Simplified Arabic" w:cs="Simplified Arabic"/>
          <w:color w:val="1F1F1F"/>
          <w:sz w:val="32"/>
          <w:szCs w:val="32"/>
        </w:rPr>
        <w:t>ESG</w:t>
      </w:r>
      <w:r w:rsidRPr="00A524D0">
        <w:rPr>
          <w:rFonts w:ascii="Simplified Arabic" w:eastAsia="Times New Roman" w:hAnsi="Simplified Arabic" w:cs="Simplified Arabic"/>
          <w:color w:val="1F1F1F"/>
          <w:sz w:val="32"/>
          <w:szCs w:val="32"/>
          <w:rtl/>
        </w:rPr>
        <w:t xml:space="preserve"> والقيمة المالية للشركة (</w:t>
      </w:r>
      <w:r w:rsidRPr="00A524D0">
        <w:rPr>
          <w:rFonts w:ascii="Simplified Arabic" w:eastAsia="Times New Roman" w:hAnsi="Simplified Arabic" w:cs="Simplified Arabic"/>
          <w:color w:val="1F1F1F"/>
          <w:sz w:val="32"/>
          <w:szCs w:val="32"/>
        </w:rPr>
        <w:t>Value Creation</w:t>
      </w:r>
      <w:r w:rsidRPr="00A524D0">
        <w:rPr>
          <w:rFonts w:ascii="Simplified Arabic" w:eastAsia="Times New Roman" w:hAnsi="Simplified Arabic" w:cs="Simplified Arabic"/>
          <w:color w:val="1F1F1F"/>
          <w:sz w:val="32"/>
          <w:szCs w:val="32"/>
          <w:rtl/>
        </w:rPr>
        <w:t>)</w:t>
      </w:r>
    </w:p>
    <w:p w14:paraId="4DCCC834" w14:textId="77777777" w:rsidR="009B14FF" w:rsidRPr="00A524D0" w:rsidRDefault="009B14FF"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 xml:space="preserve">تؤدي قوة أداء معايير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xml:space="preserve"> إلى "خلق القيمة" من خلال:</w:t>
      </w:r>
    </w:p>
    <w:p w14:paraId="44295366" w14:textId="77777777" w:rsidR="009B14FF" w:rsidRPr="00A524D0" w:rsidRDefault="009B14FF" w:rsidP="00F96B94">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نمو الإيرادات:</w:t>
      </w:r>
      <w:r w:rsidRPr="00A524D0">
        <w:rPr>
          <w:rFonts w:ascii="Simplified Arabic" w:hAnsi="Simplified Arabic" w:cs="Simplified Arabic"/>
          <w:color w:val="1F1F1F"/>
          <w:sz w:val="32"/>
          <w:szCs w:val="32"/>
          <w:rtl/>
        </w:rPr>
        <w:t xml:space="preserve"> الوصول إلى أسواق جديدة وجذب عملاء يهتمون بالاستدامة.</w:t>
      </w:r>
    </w:p>
    <w:p w14:paraId="0071481A" w14:textId="77777777" w:rsidR="009B14FF" w:rsidRPr="00A524D0" w:rsidRDefault="009B14FF" w:rsidP="00F96B94">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خفض التكاليف:</w:t>
      </w:r>
      <w:r w:rsidRPr="00A524D0">
        <w:rPr>
          <w:rFonts w:ascii="Simplified Arabic" w:hAnsi="Simplified Arabic" w:cs="Simplified Arabic"/>
          <w:color w:val="1F1F1F"/>
          <w:sz w:val="32"/>
          <w:szCs w:val="32"/>
          <w:rtl/>
        </w:rPr>
        <w:t xml:space="preserve"> تقليل استهلاك الطاقة والمياه والحد من النفايات يقلل المصاريف التشغيلية.</w:t>
      </w:r>
    </w:p>
    <w:p w14:paraId="14E7AAF8" w14:textId="77777777" w:rsidR="009B14FF" w:rsidRPr="00A524D0" w:rsidRDefault="009B14FF" w:rsidP="00F96B94">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الاستقرار التنظيمي:</w:t>
      </w:r>
      <w:r w:rsidRPr="00A524D0">
        <w:rPr>
          <w:rFonts w:ascii="Simplified Arabic" w:hAnsi="Simplified Arabic" w:cs="Simplified Arabic"/>
          <w:color w:val="1F1F1F"/>
          <w:sz w:val="32"/>
          <w:szCs w:val="32"/>
          <w:rtl/>
        </w:rPr>
        <w:t xml:space="preserve"> تجنب الغرامات والملاحقات القانونية من خلال الالتزام بالمعايير البيئية والاجتماعية.</w:t>
      </w:r>
    </w:p>
    <w:p w14:paraId="1696B54D" w14:textId="77777777" w:rsidR="009B14FF" w:rsidRPr="00A524D0" w:rsidRDefault="009B14FF" w:rsidP="00F96B94">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تحفيز الموظفين:</w:t>
      </w:r>
      <w:r w:rsidRPr="00A524D0">
        <w:rPr>
          <w:rFonts w:ascii="Simplified Arabic" w:hAnsi="Simplified Arabic" w:cs="Simplified Arabic"/>
          <w:color w:val="1F1F1F"/>
          <w:sz w:val="32"/>
          <w:szCs w:val="32"/>
          <w:rtl/>
        </w:rPr>
        <w:t xml:space="preserve"> جذب الكفاءات والاحتفاظ بها، مما يقلل من تكاليف دوران العمالة ويزيد الإنتاجية.</w:t>
      </w:r>
    </w:p>
    <w:p w14:paraId="2889368F" w14:textId="2D7CEB4C" w:rsidR="009B14FF" w:rsidRPr="0095700A" w:rsidRDefault="009B14FF" w:rsidP="0095700A">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تحسين شروط التمويل:</w:t>
      </w:r>
      <w:r w:rsidRPr="00A524D0">
        <w:rPr>
          <w:rFonts w:ascii="Simplified Arabic" w:hAnsi="Simplified Arabic" w:cs="Simplified Arabic"/>
          <w:color w:val="1F1F1F"/>
          <w:sz w:val="32"/>
          <w:szCs w:val="32"/>
          <w:rtl/>
        </w:rPr>
        <w:t xml:space="preserve"> الحصول على قروض بأسعار فائدة أقل وتسهيلات ائتمانية بفضل انخفاض ملف المخاطر.</w:t>
      </w:r>
    </w:p>
    <w:p w14:paraId="67C90B21" w14:textId="549ADE17" w:rsidR="00CE096D" w:rsidRPr="00A524D0" w:rsidRDefault="00CE096D" w:rsidP="00F96B94">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26BCE235" w14:textId="77777777" w:rsidR="00CE096D" w:rsidRPr="00A524D0" w:rsidRDefault="00CE096D"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lastRenderedPageBreak/>
        <w:t xml:space="preserve">المحور الثالث: القياس والإفصاح عن أداء </w:t>
      </w:r>
      <w:r w:rsidRPr="00A524D0">
        <w:rPr>
          <w:rFonts w:ascii="Simplified Arabic" w:eastAsia="Times New Roman" w:hAnsi="Simplified Arabic" w:cs="Simplified Arabic"/>
          <w:color w:val="1F1F1F"/>
        </w:rPr>
        <w:t>ESG</w:t>
      </w:r>
    </w:p>
    <w:p w14:paraId="373ED057" w14:textId="77777777" w:rsidR="00CE096D" w:rsidRPr="00A524D0" w:rsidRDefault="00CE096D"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3.1. أهمية مؤشرات الأداء الرئيسية (</w:t>
      </w:r>
      <w:r w:rsidRPr="00A524D0">
        <w:rPr>
          <w:rFonts w:ascii="Simplified Arabic" w:eastAsia="Times New Roman" w:hAnsi="Simplified Arabic" w:cs="Simplified Arabic"/>
          <w:color w:val="1F1F1F"/>
          <w:sz w:val="32"/>
          <w:szCs w:val="32"/>
        </w:rPr>
        <w:t>KPIs</w:t>
      </w:r>
      <w:r w:rsidRPr="00A524D0">
        <w:rPr>
          <w:rFonts w:ascii="Simplified Arabic" w:eastAsia="Times New Roman" w:hAnsi="Simplified Arabic" w:cs="Simplified Arabic"/>
          <w:color w:val="1F1F1F"/>
          <w:sz w:val="32"/>
          <w:szCs w:val="32"/>
          <w:rtl/>
        </w:rPr>
        <w:t xml:space="preserve">) في قياس </w:t>
      </w:r>
      <w:r w:rsidRPr="00A524D0">
        <w:rPr>
          <w:rFonts w:ascii="Simplified Arabic" w:eastAsia="Times New Roman" w:hAnsi="Simplified Arabic" w:cs="Simplified Arabic"/>
          <w:color w:val="1F1F1F"/>
          <w:sz w:val="32"/>
          <w:szCs w:val="32"/>
        </w:rPr>
        <w:t>ESG</w:t>
      </w:r>
    </w:p>
    <w:p w14:paraId="7FCB5F36" w14:textId="77777777" w:rsidR="00CE096D" w:rsidRPr="00A524D0" w:rsidRDefault="00CE096D"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انتقل العالم من "الوعود اللفظية" إلى "الأرقام المثبتة". لم يعد كافياً أن تقول الشركة إنها "خضراء"، بل يجب أن تثبت ذلك من خلال:</w:t>
      </w:r>
    </w:p>
    <w:p w14:paraId="38109101" w14:textId="77777777" w:rsidR="00CE096D" w:rsidRPr="00A524D0" w:rsidRDefault="00CE096D" w:rsidP="00F96B94">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التحول الكمي:</w:t>
      </w:r>
      <w:r w:rsidRPr="00A524D0">
        <w:rPr>
          <w:rFonts w:ascii="Simplified Arabic" w:hAnsi="Simplified Arabic" w:cs="Simplified Arabic"/>
          <w:color w:val="1F1F1F"/>
          <w:sz w:val="32"/>
          <w:szCs w:val="32"/>
          <w:rtl/>
        </w:rPr>
        <w:t xml:space="preserve"> استخدام بيانات قابلة للقياس مثل (طن من انبعاثات الكربون، لترات استهلاك المياه لكل موظف، نسبة التنوع في مجلس الإدارة).</w:t>
      </w:r>
    </w:p>
    <w:p w14:paraId="6E97ACE6" w14:textId="77777777" w:rsidR="00CE096D" w:rsidRPr="00A524D0" w:rsidRDefault="00CE096D" w:rsidP="00F96B94">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القابلية للمقارنة:</w:t>
      </w:r>
      <w:r w:rsidRPr="00A524D0">
        <w:rPr>
          <w:rFonts w:ascii="Simplified Arabic" w:hAnsi="Simplified Arabic" w:cs="Simplified Arabic"/>
          <w:color w:val="1F1F1F"/>
          <w:sz w:val="32"/>
          <w:szCs w:val="32"/>
          <w:rtl/>
        </w:rPr>
        <w:t xml:space="preserve"> تسمح المؤشرات الكمية للمستثمرين بمقارنة أداء شركة بأخرى في نفس القطاع.</w:t>
      </w:r>
    </w:p>
    <w:p w14:paraId="4BD0F614" w14:textId="77777777" w:rsidR="00CE096D" w:rsidRPr="00A524D0" w:rsidRDefault="00CE096D" w:rsidP="00F96B94">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تحسين اتخاذ القرار:</w:t>
      </w:r>
      <w:r w:rsidRPr="00A524D0">
        <w:rPr>
          <w:rFonts w:ascii="Simplified Arabic" w:hAnsi="Simplified Arabic" w:cs="Simplified Arabic"/>
          <w:color w:val="1F1F1F"/>
          <w:sz w:val="32"/>
          <w:szCs w:val="32"/>
          <w:rtl/>
        </w:rPr>
        <w:t xml:space="preserve"> تساعد البيانات الدقيقة الإدارة العليا في تحديد الفجوات وتوجيه الاستثمارات نحو المجالات التي تحتاج لتحسين.</w:t>
      </w:r>
    </w:p>
    <w:p w14:paraId="2A7D4724" w14:textId="77777777" w:rsidR="00CE096D" w:rsidRPr="00A524D0" w:rsidRDefault="00CE096D"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3.2. أطر الإفصاح العالمية الرئيسية</w:t>
      </w:r>
    </w:p>
    <w:p w14:paraId="231EFCCF" w14:textId="77777777" w:rsidR="00CE096D" w:rsidRPr="00A524D0" w:rsidRDefault="00CE096D"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توجد عدة أطر عمل تنظم كيفية كتابة التقارير لضمان الشفافية:</w:t>
      </w:r>
    </w:p>
    <w:p w14:paraId="76D544AC" w14:textId="77777777" w:rsidR="00CE096D" w:rsidRPr="00A524D0" w:rsidRDefault="00CE096D" w:rsidP="00F96B94">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Pr>
        <w:t>GRI (Global Reporting Initiative)</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الإطار الأكثر شيوعاً عالمياً، يركز على تأثير الشركة على الاقتصاد والبيئة والمجتمع (لأصحاب المصلحة المتعددين).</w:t>
      </w:r>
    </w:p>
    <w:p w14:paraId="6EB87284" w14:textId="77777777" w:rsidR="00CE096D" w:rsidRPr="00A524D0" w:rsidRDefault="00CE096D" w:rsidP="00F96B94">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Pr>
        <w:t>SASB (Sustainability Accounting Standards Board)</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يركز على القضايا المادية ذات الأثر المالي المباشر (للمستثمرين).</w:t>
      </w:r>
    </w:p>
    <w:p w14:paraId="350E31B5" w14:textId="77777777" w:rsidR="00CE096D" w:rsidRPr="00A524D0" w:rsidRDefault="00CE096D" w:rsidP="00F96B94">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Pr>
        <w:lastRenderedPageBreak/>
        <w:t>TCFD (Task Force on Climate-related Financial Disclosures)</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يركز تحديداً على المخاطر والفرص المالية المرتبطة بالتغير المناخي.</w:t>
      </w:r>
    </w:p>
    <w:p w14:paraId="7C95BB0D" w14:textId="77777777" w:rsidR="00CE096D" w:rsidRPr="00A524D0" w:rsidRDefault="00CE096D"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3.3. دور التصنيفات والوكالات الدولية (</w:t>
      </w:r>
      <w:r w:rsidRPr="00A524D0">
        <w:rPr>
          <w:rFonts w:ascii="Simplified Arabic" w:eastAsia="Times New Roman" w:hAnsi="Simplified Arabic" w:cs="Simplified Arabic"/>
          <w:color w:val="1F1F1F"/>
          <w:sz w:val="32"/>
          <w:szCs w:val="32"/>
        </w:rPr>
        <w:t>ESG Ratings</w:t>
      </w:r>
      <w:r w:rsidRPr="00A524D0">
        <w:rPr>
          <w:rFonts w:ascii="Simplified Arabic" w:eastAsia="Times New Roman" w:hAnsi="Simplified Arabic" w:cs="Simplified Arabic"/>
          <w:color w:val="1F1F1F"/>
          <w:sz w:val="32"/>
          <w:szCs w:val="32"/>
          <w:rtl/>
        </w:rPr>
        <w:t>)</w:t>
      </w:r>
    </w:p>
    <w:p w14:paraId="1735DACF" w14:textId="77777777" w:rsidR="00CE096D" w:rsidRPr="00A524D0" w:rsidRDefault="00CE096D"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تقوم وكالات مثل (</w:t>
      </w:r>
      <w:r w:rsidRPr="00A524D0">
        <w:rPr>
          <w:rFonts w:ascii="Simplified Arabic" w:hAnsi="Simplified Arabic" w:cs="Simplified Arabic"/>
          <w:color w:val="1F1F1F"/>
          <w:sz w:val="32"/>
          <w:szCs w:val="32"/>
        </w:rPr>
        <w:t>MSCI, Sustainalytics, Bloomberg</w:t>
      </w:r>
      <w:r w:rsidRPr="00A524D0">
        <w:rPr>
          <w:rFonts w:ascii="Simplified Arabic" w:hAnsi="Simplified Arabic" w:cs="Simplified Arabic"/>
          <w:color w:val="1F1F1F"/>
          <w:sz w:val="32"/>
          <w:szCs w:val="32"/>
          <w:rtl/>
        </w:rPr>
        <w:t>) بتقييم الشركات ومنحها درجات (</w:t>
      </w:r>
      <w:r w:rsidRPr="00A524D0">
        <w:rPr>
          <w:rFonts w:ascii="Simplified Arabic" w:hAnsi="Simplified Arabic" w:cs="Simplified Arabic"/>
          <w:color w:val="1F1F1F"/>
          <w:sz w:val="32"/>
          <w:szCs w:val="32"/>
        </w:rPr>
        <w:t>Ratings</w:t>
      </w:r>
      <w:r w:rsidRPr="00A524D0">
        <w:rPr>
          <w:rFonts w:ascii="Simplified Arabic" w:hAnsi="Simplified Arabic" w:cs="Simplified Arabic"/>
          <w:color w:val="1F1F1F"/>
          <w:sz w:val="32"/>
          <w:szCs w:val="32"/>
          <w:rtl/>
        </w:rPr>
        <w:t>):</w:t>
      </w:r>
    </w:p>
    <w:p w14:paraId="0817FF0F" w14:textId="77777777" w:rsidR="00CE096D" w:rsidRPr="00A524D0" w:rsidRDefault="00CE096D" w:rsidP="00F96B94">
      <w:pPr>
        <w:pStyle w:val="NormalWeb"/>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تعمل هذه الوكالات "كقضاة" مستقلين يحللون تقارير الشركة والبيانات العامة.</w:t>
      </w:r>
    </w:p>
    <w:p w14:paraId="1BA09D58" w14:textId="77777777" w:rsidR="00CE096D" w:rsidRPr="00A524D0" w:rsidRDefault="00CE096D" w:rsidP="00F96B94">
      <w:pPr>
        <w:pStyle w:val="NormalWeb"/>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التصنيف المرتفع يقلل من تكلفة الاقتراض ويزيد من جاذبية أسهم الشركة في المحافظ الاستثمارية العالمية.</w:t>
      </w:r>
    </w:p>
    <w:p w14:paraId="7BC109F7" w14:textId="77777777" w:rsidR="00CE096D" w:rsidRPr="00A524D0" w:rsidRDefault="00CE096D"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t>المحور الرابع: قطاع إدارة المرافق (</w:t>
      </w:r>
      <w:r w:rsidRPr="00A524D0">
        <w:rPr>
          <w:rFonts w:ascii="Simplified Arabic" w:eastAsia="Times New Roman" w:hAnsi="Simplified Arabic" w:cs="Simplified Arabic"/>
          <w:color w:val="1F1F1F"/>
        </w:rPr>
        <w:t>Facility Management - FM</w:t>
      </w:r>
      <w:r w:rsidRPr="00A524D0">
        <w:rPr>
          <w:rFonts w:ascii="Simplified Arabic" w:eastAsia="Times New Roman" w:hAnsi="Simplified Arabic" w:cs="Simplified Arabic"/>
          <w:color w:val="1F1F1F"/>
          <w:rtl/>
        </w:rPr>
        <w:t>) والاستدامة</w:t>
      </w:r>
    </w:p>
    <w:p w14:paraId="37A83022" w14:textId="77777777" w:rsidR="00CE096D" w:rsidRPr="00A524D0" w:rsidRDefault="00CE096D"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4.1. تعريف ومجالات خدمات إدارة المرافق</w:t>
      </w:r>
    </w:p>
    <w:p w14:paraId="4A4B554D" w14:textId="77777777" w:rsidR="00CE096D" w:rsidRPr="00A524D0" w:rsidRDefault="00CE096D"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إدارة المرافق هي المهنة التي تدمج بين الأشخاص والمكان والعملية والتكنولوجيا داخل البيئة العمرانية:</w:t>
      </w:r>
    </w:p>
    <w:p w14:paraId="471459B7" w14:textId="77777777" w:rsidR="00CE096D" w:rsidRPr="00A524D0" w:rsidRDefault="00CE096D" w:rsidP="00F96B94">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الخدمات الأساسية (</w:t>
      </w:r>
      <w:r w:rsidRPr="00A524D0">
        <w:rPr>
          <w:rStyle w:val="Strong"/>
          <w:rFonts w:ascii="Simplified Arabic" w:hAnsi="Simplified Arabic" w:cs="Simplified Arabic"/>
          <w:color w:val="1F1F1F"/>
          <w:sz w:val="32"/>
          <w:szCs w:val="32"/>
          <w:bdr w:val="none" w:sz="0" w:space="0" w:color="auto" w:frame="1"/>
        </w:rPr>
        <w:t>Hard FM</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صيانة الأنظمة الميكانيكية والكهربائية (</w:t>
      </w:r>
      <w:r w:rsidRPr="00A524D0">
        <w:rPr>
          <w:rFonts w:ascii="Simplified Arabic" w:hAnsi="Simplified Arabic" w:cs="Simplified Arabic"/>
          <w:color w:val="1F1F1F"/>
          <w:sz w:val="32"/>
          <w:szCs w:val="32"/>
        </w:rPr>
        <w:t>HVAC</w:t>
      </w:r>
      <w:r w:rsidRPr="00A524D0">
        <w:rPr>
          <w:rFonts w:ascii="Simplified Arabic" w:hAnsi="Simplified Arabic" w:cs="Simplified Arabic"/>
          <w:color w:val="1F1F1F"/>
          <w:sz w:val="32"/>
          <w:szCs w:val="32"/>
          <w:rtl/>
        </w:rPr>
        <w:t>)، والسباكة، والحرائق.</w:t>
      </w:r>
    </w:p>
    <w:p w14:paraId="72C2AD26" w14:textId="77777777" w:rsidR="00CE096D" w:rsidRPr="00A524D0" w:rsidRDefault="00CE096D" w:rsidP="00F96B94">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الخدمات الإضافية (</w:t>
      </w:r>
      <w:r w:rsidRPr="00A524D0">
        <w:rPr>
          <w:rStyle w:val="Strong"/>
          <w:rFonts w:ascii="Simplified Arabic" w:hAnsi="Simplified Arabic" w:cs="Simplified Arabic"/>
          <w:color w:val="1F1F1F"/>
          <w:sz w:val="32"/>
          <w:szCs w:val="32"/>
          <w:bdr w:val="none" w:sz="0" w:space="0" w:color="auto" w:frame="1"/>
        </w:rPr>
        <w:t>Soft FM</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التنظيف، الحراسة، تنسيق الحدائق، وإدارة النفايات.</w:t>
      </w:r>
    </w:p>
    <w:p w14:paraId="31798BAF" w14:textId="77777777" w:rsidR="00CE096D" w:rsidRPr="00A524D0" w:rsidRDefault="00CE096D" w:rsidP="00F96B94">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lastRenderedPageBreak/>
        <w:t>إدارة المساحات والطاقة:</w:t>
      </w:r>
      <w:r w:rsidRPr="00A524D0">
        <w:rPr>
          <w:rFonts w:ascii="Simplified Arabic" w:hAnsi="Simplified Arabic" w:cs="Simplified Arabic"/>
          <w:color w:val="1F1F1F"/>
          <w:sz w:val="32"/>
          <w:szCs w:val="32"/>
          <w:rtl/>
        </w:rPr>
        <w:t xml:space="preserve"> تحسين استغلال المساحات المكتبية وتقليل الفاقد من الطاقة.</w:t>
      </w:r>
    </w:p>
    <w:p w14:paraId="1EF07C3D" w14:textId="77777777" w:rsidR="00CE096D" w:rsidRPr="00A524D0" w:rsidRDefault="00CE096D"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4.2. دور إدارة المرافق في دورة حياة المبنى</w:t>
      </w:r>
    </w:p>
    <w:p w14:paraId="0ADAE477" w14:textId="77777777" w:rsidR="00CE096D" w:rsidRPr="00A524D0" w:rsidRDefault="00CE096D"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لا يقتصر دور مدير المرفق على التشغيل فقط، بل يمتد ليشمل:</w:t>
      </w:r>
    </w:p>
    <w:p w14:paraId="0A7B5478" w14:textId="77777777" w:rsidR="00CE096D" w:rsidRPr="00A524D0" w:rsidRDefault="00CE096D" w:rsidP="00F96B94">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مرحلة التصميم:</w:t>
      </w:r>
      <w:r w:rsidRPr="00A524D0">
        <w:rPr>
          <w:rFonts w:ascii="Simplified Arabic" w:hAnsi="Simplified Arabic" w:cs="Simplified Arabic"/>
          <w:color w:val="1F1F1F"/>
          <w:sz w:val="32"/>
          <w:szCs w:val="32"/>
          <w:rtl/>
        </w:rPr>
        <w:t xml:space="preserve"> تقديم المشورة حول اختيار مواد مستدامة وأنظمة سهلة الصيانة.</w:t>
      </w:r>
    </w:p>
    <w:p w14:paraId="38642BA7" w14:textId="77777777" w:rsidR="00CE096D" w:rsidRPr="00A524D0" w:rsidRDefault="00CE096D" w:rsidP="00F96B94">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مرحلة التشغيل (وهي الأطول):</w:t>
      </w:r>
      <w:r w:rsidRPr="00A524D0">
        <w:rPr>
          <w:rFonts w:ascii="Simplified Arabic" w:hAnsi="Simplified Arabic" w:cs="Simplified Arabic"/>
          <w:color w:val="1F1F1F"/>
          <w:sz w:val="32"/>
          <w:szCs w:val="32"/>
          <w:rtl/>
        </w:rPr>
        <w:t xml:space="preserve"> ضمان عمل المبنى بأقصى كفاءة ممكنة لتقليل استهلاك الموارد.</w:t>
      </w:r>
    </w:p>
    <w:p w14:paraId="75EB7803" w14:textId="77777777" w:rsidR="00CE096D" w:rsidRPr="00A524D0" w:rsidRDefault="00CE096D" w:rsidP="00F96B94">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مرحلة التجديد أو الهدم:</w:t>
      </w:r>
      <w:r w:rsidRPr="00A524D0">
        <w:rPr>
          <w:rFonts w:ascii="Simplified Arabic" w:hAnsi="Simplified Arabic" w:cs="Simplified Arabic"/>
          <w:color w:val="1F1F1F"/>
          <w:sz w:val="32"/>
          <w:szCs w:val="32"/>
          <w:rtl/>
        </w:rPr>
        <w:t xml:space="preserve"> إدارة عمليات إعادة التدوير والتخلص الآمن من المواد.</w:t>
      </w:r>
    </w:p>
    <w:p w14:paraId="6567FCD4" w14:textId="77777777" w:rsidR="00CE096D" w:rsidRPr="00A524D0" w:rsidRDefault="00CE096D"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 xml:space="preserve">4.3. الأثر البيئي والاجتماعي الحرج لقطاع </w:t>
      </w:r>
      <w:r w:rsidRPr="00A524D0">
        <w:rPr>
          <w:rFonts w:ascii="Simplified Arabic" w:eastAsia="Times New Roman" w:hAnsi="Simplified Arabic" w:cs="Simplified Arabic"/>
          <w:color w:val="1F1F1F"/>
          <w:sz w:val="32"/>
          <w:szCs w:val="32"/>
        </w:rPr>
        <w:t>FM</w:t>
      </w:r>
    </w:p>
    <w:p w14:paraId="615B46E0" w14:textId="77777777" w:rsidR="00CE096D" w:rsidRPr="00A524D0" w:rsidRDefault="00CE096D"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يعتبر قطاع إدارة المرافق "الخط الأمامي" لتحقيق الاستدامة للأسباب التالية:</w:t>
      </w:r>
    </w:p>
    <w:p w14:paraId="05BAF4DE" w14:textId="77777777" w:rsidR="00CE096D" w:rsidRPr="00A524D0" w:rsidRDefault="00CE096D" w:rsidP="00F96B94">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استهلاك الطاقة:</w:t>
      </w:r>
      <w:r w:rsidRPr="00A524D0">
        <w:rPr>
          <w:rFonts w:ascii="Simplified Arabic" w:hAnsi="Simplified Arabic" w:cs="Simplified Arabic"/>
          <w:color w:val="1F1F1F"/>
          <w:sz w:val="32"/>
          <w:szCs w:val="32"/>
          <w:rtl/>
        </w:rPr>
        <w:t xml:space="preserve"> المباني مسؤولة عن حوالي 40% من استهلاك الطاقة العالمي و33% من انبعاثات الغازات الدفيئة؛ إدارة المرافق هي المسؤول الأول عن خفض هذه الأرقام.</w:t>
      </w:r>
    </w:p>
    <w:p w14:paraId="705094EE" w14:textId="77777777" w:rsidR="00CE096D" w:rsidRPr="00A524D0" w:rsidRDefault="00CE096D" w:rsidP="00F96B94">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إدارة الموارد:</w:t>
      </w:r>
      <w:r w:rsidRPr="00A524D0">
        <w:rPr>
          <w:rFonts w:ascii="Simplified Arabic" w:hAnsi="Simplified Arabic" w:cs="Simplified Arabic"/>
          <w:color w:val="1F1F1F"/>
          <w:sz w:val="32"/>
          <w:szCs w:val="32"/>
          <w:rtl/>
        </w:rPr>
        <w:t xml:space="preserve"> التحكم في هدر المياه وإدارة النفايات الصلبة.</w:t>
      </w:r>
    </w:p>
    <w:p w14:paraId="5E6E55B6" w14:textId="77777777" w:rsidR="00CE096D" w:rsidRPr="00A524D0" w:rsidRDefault="00CE096D" w:rsidP="00F96B94">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بيئة العمل (الأثر الاجتماعي):</w:t>
      </w:r>
      <w:r w:rsidRPr="00A524D0">
        <w:rPr>
          <w:rFonts w:ascii="Simplified Arabic" w:hAnsi="Simplified Arabic" w:cs="Simplified Arabic"/>
          <w:color w:val="1F1F1F"/>
          <w:sz w:val="32"/>
          <w:szCs w:val="32"/>
          <w:rtl/>
        </w:rPr>
        <w:t xml:space="preserve"> جودة الهواء الداخلي، الإضاءة الصحية، وراحة الموظفين تؤثر مباشرة على الإنتاجية والصحة العامة (</w:t>
      </w:r>
      <w:r w:rsidRPr="00A524D0">
        <w:rPr>
          <w:rFonts w:ascii="Simplified Arabic" w:hAnsi="Simplified Arabic" w:cs="Simplified Arabic"/>
          <w:color w:val="1F1F1F"/>
          <w:sz w:val="32"/>
          <w:szCs w:val="32"/>
        </w:rPr>
        <w:t>Wellness</w:t>
      </w:r>
      <w:r w:rsidRPr="00A524D0">
        <w:rPr>
          <w:rFonts w:ascii="Simplified Arabic" w:hAnsi="Simplified Arabic" w:cs="Simplified Arabic"/>
          <w:color w:val="1F1F1F"/>
          <w:sz w:val="32"/>
          <w:szCs w:val="32"/>
          <w:rtl/>
        </w:rPr>
        <w:t>).</w:t>
      </w:r>
    </w:p>
    <w:p w14:paraId="49DB0C7F" w14:textId="2AD55140" w:rsidR="00CE096D" w:rsidRPr="00A524D0" w:rsidRDefault="00CE096D" w:rsidP="00F96B94">
      <w:pPr>
        <w:pStyle w:val="NormalWeb"/>
        <w:bidi/>
        <w:spacing w:before="0" w:beforeAutospacing="0" w:after="0" w:afterAutospacing="0" w:line="360" w:lineRule="auto"/>
        <w:rPr>
          <w:rFonts w:ascii="Simplified Arabic" w:hAnsi="Simplified Arabic" w:cs="Simplified Arabic"/>
          <w:color w:val="1F1F1F"/>
          <w:sz w:val="32"/>
          <w:szCs w:val="32"/>
          <w:rtl/>
        </w:rPr>
      </w:pPr>
    </w:p>
    <w:p w14:paraId="7785F927" w14:textId="77777777" w:rsidR="009B14FF" w:rsidRPr="00A524D0" w:rsidRDefault="009B14FF"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766A9564" w14:textId="45887178" w:rsidR="00EB7538" w:rsidRPr="00A524D0" w:rsidRDefault="00EB7538" w:rsidP="00F96B94">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71F20DA5" w14:textId="77777777" w:rsidR="00EB7538" w:rsidRPr="00A524D0" w:rsidRDefault="00EB7538"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t>المحور الخامس: تطبيقات مؤشرات الأداء البيئي (</w:t>
      </w:r>
      <w:r w:rsidRPr="00A524D0">
        <w:rPr>
          <w:rFonts w:ascii="Simplified Arabic" w:eastAsia="Times New Roman" w:hAnsi="Simplified Arabic" w:cs="Simplified Arabic"/>
          <w:color w:val="1F1F1F"/>
        </w:rPr>
        <w:t>Environmental - E</w:t>
      </w:r>
      <w:r w:rsidRPr="00A524D0">
        <w:rPr>
          <w:rFonts w:ascii="Simplified Arabic" w:eastAsia="Times New Roman" w:hAnsi="Simplified Arabic" w:cs="Simplified Arabic"/>
          <w:color w:val="1F1F1F"/>
          <w:rtl/>
        </w:rPr>
        <w:t>)</w:t>
      </w:r>
    </w:p>
    <w:p w14:paraId="6E025791" w14:textId="77777777" w:rsidR="00EB7538" w:rsidRPr="00A524D0" w:rsidRDefault="00EB7538" w:rsidP="00F96B94">
      <w:pPr>
        <w:pStyle w:val="NormalWeb"/>
        <w:bidi/>
        <w:spacing w:before="0" w:beforeAutospacing="0" w:after="24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يعتبر البعد البيئي هو الأكثر وضوحاً في قطاع إدارة المرافق، حيث ترتبط العمليات مباشرة باستهلاك الموارد الطبيعية.</w:t>
      </w:r>
    </w:p>
    <w:p w14:paraId="6AE653C7" w14:textId="77777777" w:rsidR="00EB7538" w:rsidRPr="00A524D0" w:rsidRDefault="00EB7538"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5.1. مؤشرات كفاءة الطاقة (</w:t>
      </w:r>
      <w:r w:rsidRPr="00A524D0">
        <w:rPr>
          <w:rFonts w:ascii="Simplified Arabic" w:eastAsia="Times New Roman" w:hAnsi="Simplified Arabic" w:cs="Simplified Arabic"/>
          <w:color w:val="1F1F1F"/>
          <w:sz w:val="32"/>
          <w:szCs w:val="32"/>
        </w:rPr>
        <w:t>Energy Efficiency KPIs</w:t>
      </w:r>
      <w:r w:rsidRPr="00A524D0">
        <w:rPr>
          <w:rFonts w:ascii="Simplified Arabic" w:eastAsia="Times New Roman" w:hAnsi="Simplified Arabic" w:cs="Simplified Arabic"/>
          <w:color w:val="1F1F1F"/>
          <w:sz w:val="32"/>
          <w:szCs w:val="32"/>
          <w:rtl/>
        </w:rPr>
        <w:t>)</w:t>
      </w:r>
    </w:p>
    <w:p w14:paraId="2128EE1C" w14:textId="77777777" w:rsidR="00EB7538" w:rsidRPr="00A524D0" w:rsidRDefault="00EB7538" w:rsidP="00F96B94">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كثافة استهلاك الطاقة (</w:t>
      </w:r>
      <w:r w:rsidRPr="00A524D0">
        <w:rPr>
          <w:rStyle w:val="Strong"/>
          <w:rFonts w:ascii="Simplified Arabic" w:hAnsi="Simplified Arabic" w:cs="Simplified Arabic"/>
          <w:color w:val="1F1F1F"/>
          <w:sz w:val="32"/>
          <w:szCs w:val="32"/>
          <w:bdr w:val="none" w:sz="0" w:space="0" w:color="auto" w:frame="1"/>
        </w:rPr>
        <w:t>EUI</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يتم قياسها بوحدة (</w:t>
      </w:r>
      <w:r w:rsidRPr="00A524D0">
        <w:rPr>
          <w:rFonts w:ascii="Simplified Arabic" w:hAnsi="Simplified Arabic" w:cs="Simplified Arabic"/>
          <w:color w:val="1F1F1F"/>
          <w:sz w:val="32"/>
          <w:szCs w:val="32"/>
        </w:rPr>
        <w:t>kWh/m²</w:t>
      </w:r>
      <w:r w:rsidRPr="00A524D0">
        <w:rPr>
          <w:rFonts w:ascii="Simplified Arabic" w:hAnsi="Simplified Arabic" w:cs="Simplified Arabic"/>
          <w:color w:val="1F1F1F"/>
          <w:sz w:val="32"/>
          <w:szCs w:val="32"/>
          <w:rtl/>
        </w:rPr>
        <w:t>)، وهي المؤشر الأهم لتقييم كفاءة المبنى مقارنة بمساحته.</w:t>
      </w:r>
    </w:p>
    <w:p w14:paraId="3A43628B" w14:textId="77777777" w:rsidR="00EB7538" w:rsidRPr="00A524D0" w:rsidRDefault="00EB7538" w:rsidP="00F96B94">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نسبة الطاقة المتجددة:</w:t>
      </w:r>
      <w:r w:rsidRPr="00A524D0">
        <w:rPr>
          <w:rFonts w:ascii="Simplified Arabic" w:hAnsi="Simplified Arabic" w:cs="Simplified Arabic"/>
          <w:color w:val="1F1F1F"/>
          <w:sz w:val="32"/>
          <w:szCs w:val="32"/>
          <w:rtl/>
        </w:rPr>
        <w:t xml:space="preserve"> قياس كمية الطاقة المولدة من مصادر نظيفة (مثل الألواح الشمسية) مقابل إجمالي الاستهلاك.</w:t>
      </w:r>
    </w:p>
    <w:p w14:paraId="46283514" w14:textId="77777777" w:rsidR="00EB7538" w:rsidRPr="00A524D0" w:rsidRDefault="00EB7538" w:rsidP="00F96B94">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تخفيض الأحمال القصوى:</w:t>
      </w:r>
      <w:r w:rsidRPr="00A524D0">
        <w:rPr>
          <w:rFonts w:ascii="Simplified Arabic" w:hAnsi="Simplified Arabic" w:cs="Simplified Arabic"/>
          <w:color w:val="1F1F1F"/>
          <w:sz w:val="32"/>
          <w:szCs w:val="32"/>
          <w:rtl/>
        </w:rPr>
        <w:t xml:space="preserve"> مراقبة النجاح في تقليل استهلاك الطاقة خلال ساعات الذروة.</w:t>
      </w:r>
    </w:p>
    <w:p w14:paraId="0F891E27" w14:textId="77777777" w:rsidR="00EB7538" w:rsidRPr="00A524D0" w:rsidRDefault="00EB7538"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5.2. مؤشرات إدارة المياه (</w:t>
      </w:r>
      <w:r w:rsidRPr="00A524D0">
        <w:rPr>
          <w:rFonts w:ascii="Simplified Arabic" w:eastAsia="Times New Roman" w:hAnsi="Simplified Arabic" w:cs="Simplified Arabic"/>
          <w:color w:val="1F1F1F"/>
          <w:sz w:val="32"/>
          <w:szCs w:val="32"/>
        </w:rPr>
        <w:t>Water Management KPIs</w:t>
      </w:r>
      <w:r w:rsidRPr="00A524D0">
        <w:rPr>
          <w:rFonts w:ascii="Simplified Arabic" w:eastAsia="Times New Roman" w:hAnsi="Simplified Arabic" w:cs="Simplified Arabic"/>
          <w:color w:val="1F1F1F"/>
          <w:sz w:val="32"/>
          <w:szCs w:val="32"/>
          <w:rtl/>
        </w:rPr>
        <w:t>)</w:t>
      </w:r>
    </w:p>
    <w:p w14:paraId="1A568880" w14:textId="77777777" w:rsidR="00EB7538" w:rsidRPr="00A524D0" w:rsidRDefault="00EB7538" w:rsidP="00F96B94">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كثافة استهلاك المياه:</w:t>
      </w:r>
      <w:r w:rsidRPr="00A524D0">
        <w:rPr>
          <w:rFonts w:ascii="Simplified Arabic" w:hAnsi="Simplified Arabic" w:cs="Simplified Arabic"/>
          <w:color w:val="1F1F1F"/>
          <w:sz w:val="32"/>
          <w:szCs w:val="32"/>
          <w:rtl/>
        </w:rPr>
        <w:t xml:space="preserve"> لتر لكل موظف أو لكل متر مربع يومياً.</w:t>
      </w:r>
    </w:p>
    <w:p w14:paraId="04BF512C" w14:textId="77777777" w:rsidR="00EB7538" w:rsidRPr="00A524D0" w:rsidRDefault="00EB7538" w:rsidP="00F96B94">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معدل إعادة استخدام المياه:</w:t>
      </w:r>
      <w:r w:rsidRPr="00A524D0">
        <w:rPr>
          <w:rFonts w:ascii="Simplified Arabic" w:hAnsi="Simplified Arabic" w:cs="Simplified Arabic"/>
          <w:color w:val="1F1F1F"/>
          <w:sz w:val="32"/>
          <w:szCs w:val="32"/>
          <w:rtl/>
        </w:rPr>
        <w:t xml:space="preserve"> النسبة المئوية للمياه المعالجة (مثل مياه الرمادية) المستخدمة في الري أو صناديق الطرد.</w:t>
      </w:r>
    </w:p>
    <w:p w14:paraId="3A99C114" w14:textId="77777777" w:rsidR="00EB7538" w:rsidRPr="00A524D0" w:rsidRDefault="00EB7538" w:rsidP="00F96B94">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lastRenderedPageBreak/>
        <w:t>كفاءة كشف التسربات:</w:t>
      </w:r>
      <w:r w:rsidRPr="00A524D0">
        <w:rPr>
          <w:rFonts w:ascii="Simplified Arabic" w:hAnsi="Simplified Arabic" w:cs="Simplified Arabic"/>
          <w:color w:val="1F1F1F"/>
          <w:sz w:val="32"/>
          <w:szCs w:val="32"/>
          <w:rtl/>
        </w:rPr>
        <w:t xml:space="preserve"> الوقت المستغرق للاستجابة للتسربات ومعالجتها لتقليل الفقد.</w:t>
      </w:r>
    </w:p>
    <w:p w14:paraId="3790E9AB" w14:textId="77777777" w:rsidR="00EB7538" w:rsidRPr="00A524D0" w:rsidRDefault="00EB7538"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5.3. مؤشرات إدارة النفايات (</w:t>
      </w:r>
      <w:r w:rsidRPr="00A524D0">
        <w:rPr>
          <w:rFonts w:ascii="Simplified Arabic" w:eastAsia="Times New Roman" w:hAnsi="Simplified Arabic" w:cs="Simplified Arabic"/>
          <w:color w:val="1F1F1F"/>
          <w:sz w:val="32"/>
          <w:szCs w:val="32"/>
        </w:rPr>
        <w:t>Waste Management KPIs</w:t>
      </w:r>
      <w:r w:rsidRPr="00A524D0">
        <w:rPr>
          <w:rFonts w:ascii="Simplified Arabic" w:eastAsia="Times New Roman" w:hAnsi="Simplified Arabic" w:cs="Simplified Arabic"/>
          <w:color w:val="1F1F1F"/>
          <w:sz w:val="32"/>
          <w:szCs w:val="32"/>
          <w:rtl/>
        </w:rPr>
        <w:t>)</w:t>
      </w:r>
    </w:p>
    <w:p w14:paraId="4D6110F3" w14:textId="77777777" w:rsidR="00EB7538" w:rsidRPr="00A524D0" w:rsidRDefault="00EB7538" w:rsidP="00F96B94">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معدل التحويل عن المكبات (</w:t>
      </w:r>
      <w:r w:rsidRPr="00A524D0">
        <w:rPr>
          <w:rStyle w:val="Strong"/>
          <w:rFonts w:ascii="Simplified Arabic" w:hAnsi="Simplified Arabic" w:cs="Simplified Arabic"/>
          <w:color w:val="1F1F1F"/>
          <w:sz w:val="32"/>
          <w:szCs w:val="32"/>
          <w:bdr w:val="none" w:sz="0" w:space="0" w:color="auto" w:frame="1"/>
        </w:rPr>
        <w:t>Landfill Diversion Rate</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النسبة المئوية للنفايات التي يتم إعادة تدويرها أو تسميدها بدلاً من إرسالها للمرادم.</w:t>
      </w:r>
    </w:p>
    <w:p w14:paraId="1FD40D3A" w14:textId="77777777" w:rsidR="00EB7538" w:rsidRPr="00A524D0" w:rsidRDefault="00EB7538" w:rsidP="00F96B94">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إجمالي النفايات المتولدة:</w:t>
      </w:r>
      <w:r w:rsidRPr="00A524D0">
        <w:rPr>
          <w:rFonts w:ascii="Simplified Arabic" w:hAnsi="Simplified Arabic" w:cs="Simplified Arabic"/>
          <w:color w:val="1F1F1F"/>
          <w:sz w:val="32"/>
          <w:szCs w:val="32"/>
          <w:rtl/>
        </w:rPr>
        <w:t xml:space="preserve"> قياس الوزن الإجمالي للنفايات الناتجة عن المرفق دورياً.</w:t>
      </w:r>
    </w:p>
    <w:p w14:paraId="250C2078" w14:textId="77777777" w:rsidR="00EB7538" w:rsidRPr="00A524D0" w:rsidRDefault="00EB7538" w:rsidP="00F96B94">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نسبة النفايات الخطرة:</w:t>
      </w:r>
      <w:r w:rsidRPr="00A524D0">
        <w:rPr>
          <w:rFonts w:ascii="Simplified Arabic" w:hAnsi="Simplified Arabic" w:cs="Simplified Arabic"/>
          <w:color w:val="1F1F1F"/>
          <w:sz w:val="32"/>
          <w:szCs w:val="32"/>
          <w:rtl/>
        </w:rPr>
        <w:t xml:space="preserve"> إدارة وفصل النفايات الإلكترونية والكيميائية بشكل آمن.</w:t>
      </w:r>
    </w:p>
    <w:p w14:paraId="5D46707C" w14:textId="77777777" w:rsidR="00EB7538" w:rsidRPr="00A524D0" w:rsidRDefault="00EB7538"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5.4. مؤشرات البصمة الكربونية (</w:t>
      </w:r>
      <w:r w:rsidRPr="00A524D0">
        <w:rPr>
          <w:rFonts w:ascii="Simplified Arabic" w:eastAsia="Times New Roman" w:hAnsi="Simplified Arabic" w:cs="Simplified Arabic"/>
          <w:color w:val="1F1F1F"/>
          <w:sz w:val="32"/>
          <w:szCs w:val="32"/>
        </w:rPr>
        <w:t>Carbon Footprint KPIs</w:t>
      </w:r>
      <w:r w:rsidRPr="00A524D0">
        <w:rPr>
          <w:rFonts w:ascii="Simplified Arabic" w:eastAsia="Times New Roman" w:hAnsi="Simplified Arabic" w:cs="Simplified Arabic"/>
          <w:color w:val="1F1F1F"/>
          <w:sz w:val="32"/>
          <w:szCs w:val="32"/>
          <w:rtl/>
        </w:rPr>
        <w:t>)</w:t>
      </w:r>
    </w:p>
    <w:p w14:paraId="72563D87" w14:textId="77777777" w:rsidR="00EB7538" w:rsidRPr="00A524D0" w:rsidRDefault="00EB7538"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يتم تقسيمها حسب المعايير الدولية إلى ثلاثة نطاقات:</w:t>
      </w:r>
    </w:p>
    <w:p w14:paraId="7183673D" w14:textId="77777777" w:rsidR="00EB7538" w:rsidRPr="00A524D0" w:rsidRDefault="00EB7538" w:rsidP="00F96B94">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النطاق 1 (</w:t>
      </w:r>
      <w:r w:rsidRPr="00A524D0">
        <w:rPr>
          <w:rStyle w:val="Strong"/>
          <w:rFonts w:ascii="Simplified Arabic" w:hAnsi="Simplified Arabic" w:cs="Simplified Arabic"/>
          <w:color w:val="1F1F1F"/>
          <w:sz w:val="32"/>
          <w:szCs w:val="32"/>
          <w:bdr w:val="none" w:sz="0" w:space="0" w:color="auto" w:frame="1"/>
        </w:rPr>
        <w:t>Scope 1</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الانبعاثات المباشرة من غلايات المبنى أو أسطول السيارات التابع للمرفق.</w:t>
      </w:r>
    </w:p>
    <w:p w14:paraId="591C9176" w14:textId="77777777" w:rsidR="00EB7538" w:rsidRPr="00A524D0" w:rsidRDefault="00EB7538" w:rsidP="00F96B94">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النطاق 2 (</w:t>
      </w:r>
      <w:r w:rsidRPr="00A524D0">
        <w:rPr>
          <w:rStyle w:val="Strong"/>
          <w:rFonts w:ascii="Simplified Arabic" w:hAnsi="Simplified Arabic" w:cs="Simplified Arabic"/>
          <w:color w:val="1F1F1F"/>
          <w:sz w:val="32"/>
          <w:szCs w:val="32"/>
          <w:bdr w:val="none" w:sz="0" w:space="0" w:color="auto" w:frame="1"/>
        </w:rPr>
        <w:t>Scope 2</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الانبعاثات غير المباشرة الناتجة عن شراء الكهرباء أو التبريد المركزي.</w:t>
      </w:r>
    </w:p>
    <w:p w14:paraId="380530E9" w14:textId="77777777" w:rsidR="00EB7538" w:rsidRPr="00A524D0" w:rsidRDefault="00EB7538" w:rsidP="00F96B94">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النطاق 3 (</w:t>
      </w:r>
      <w:r w:rsidRPr="00A524D0">
        <w:rPr>
          <w:rStyle w:val="Strong"/>
          <w:rFonts w:ascii="Simplified Arabic" w:hAnsi="Simplified Arabic" w:cs="Simplified Arabic"/>
          <w:color w:val="1F1F1F"/>
          <w:sz w:val="32"/>
          <w:szCs w:val="32"/>
          <w:bdr w:val="none" w:sz="0" w:space="0" w:color="auto" w:frame="1"/>
        </w:rPr>
        <w:t>Scope 3</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الانبعاثات الناتجة عن سلسلة التوريد، تنقل الموظفين، ومعالجة النفايات خارج الموقع.</w:t>
      </w:r>
    </w:p>
    <w:p w14:paraId="3A323AB4" w14:textId="77777777" w:rsidR="00EB7538" w:rsidRPr="00A524D0" w:rsidRDefault="00EB7538"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lastRenderedPageBreak/>
        <w:t>المحور السادس: تطبيقات مؤشرات الأداء الاجتماعي (</w:t>
      </w:r>
      <w:r w:rsidRPr="00A524D0">
        <w:rPr>
          <w:rFonts w:ascii="Simplified Arabic" w:eastAsia="Times New Roman" w:hAnsi="Simplified Arabic" w:cs="Simplified Arabic"/>
          <w:color w:val="1F1F1F"/>
        </w:rPr>
        <w:t>Social - S</w:t>
      </w:r>
      <w:r w:rsidRPr="00A524D0">
        <w:rPr>
          <w:rFonts w:ascii="Simplified Arabic" w:eastAsia="Times New Roman" w:hAnsi="Simplified Arabic" w:cs="Simplified Arabic"/>
          <w:color w:val="1F1F1F"/>
          <w:rtl/>
        </w:rPr>
        <w:t>)</w:t>
      </w:r>
    </w:p>
    <w:p w14:paraId="3402DFFC" w14:textId="77777777" w:rsidR="00EB7538" w:rsidRPr="00A524D0" w:rsidRDefault="00EB7538" w:rsidP="00F96B94">
      <w:pPr>
        <w:pStyle w:val="NormalWeb"/>
        <w:bidi/>
        <w:spacing w:before="0" w:beforeAutospacing="0" w:after="24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يركز هذا المحور على "العنصر البشري"، سواء كانوا الموظفين الذين يقدمون الخدمة أو مستخدمي المبنى.</w:t>
      </w:r>
    </w:p>
    <w:p w14:paraId="6D57A328" w14:textId="77777777" w:rsidR="00EB7538" w:rsidRPr="00A524D0" w:rsidRDefault="00EB7538"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6.1. مؤشرات صحة وسلامة العاملين (</w:t>
      </w:r>
      <w:r w:rsidRPr="00A524D0">
        <w:rPr>
          <w:rFonts w:ascii="Simplified Arabic" w:eastAsia="Times New Roman" w:hAnsi="Simplified Arabic" w:cs="Simplified Arabic"/>
          <w:color w:val="1F1F1F"/>
          <w:sz w:val="32"/>
          <w:szCs w:val="32"/>
        </w:rPr>
        <w:t>HSE KPIs</w:t>
      </w:r>
      <w:r w:rsidRPr="00A524D0">
        <w:rPr>
          <w:rFonts w:ascii="Simplified Arabic" w:eastAsia="Times New Roman" w:hAnsi="Simplified Arabic" w:cs="Simplified Arabic"/>
          <w:color w:val="1F1F1F"/>
          <w:sz w:val="32"/>
          <w:szCs w:val="32"/>
          <w:rtl/>
        </w:rPr>
        <w:t>)</w:t>
      </w:r>
    </w:p>
    <w:p w14:paraId="561B22DA" w14:textId="77777777" w:rsidR="00EB7538" w:rsidRPr="00A524D0" w:rsidRDefault="00EB7538" w:rsidP="00F96B94">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معدل الإصابات الضائعة للوقت (</w:t>
      </w:r>
      <w:r w:rsidRPr="00A524D0">
        <w:rPr>
          <w:rStyle w:val="Strong"/>
          <w:rFonts w:ascii="Simplified Arabic" w:hAnsi="Simplified Arabic" w:cs="Simplified Arabic"/>
          <w:color w:val="1F1F1F"/>
          <w:sz w:val="32"/>
          <w:szCs w:val="32"/>
          <w:bdr w:val="none" w:sz="0" w:space="0" w:color="auto" w:frame="1"/>
        </w:rPr>
        <w:t>LTIFR</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عدد الإصابات التي أدت لغياب الموظف لكل مليون ساعة عمل.</w:t>
      </w:r>
    </w:p>
    <w:p w14:paraId="6A14DFA2" w14:textId="77777777" w:rsidR="00EB7538" w:rsidRPr="00A524D0" w:rsidRDefault="00EB7538" w:rsidP="00F96B94">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معدل الحوادث الوشيكة (</w:t>
      </w:r>
      <w:r w:rsidRPr="00A524D0">
        <w:rPr>
          <w:rStyle w:val="Strong"/>
          <w:rFonts w:ascii="Simplified Arabic" w:hAnsi="Simplified Arabic" w:cs="Simplified Arabic"/>
          <w:color w:val="1F1F1F"/>
          <w:sz w:val="32"/>
          <w:szCs w:val="32"/>
          <w:bdr w:val="none" w:sz="0" w:space="0" w:color="auto" w:frame="1"/>
        </w:rPr>
        <w:t>Near Misses</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رصد الحوادث التي كادت أن تقع، وهو مؤشر استباقي لمنع الكوارث.</w:t>
      </w:r>
    </w:p>
    <w:p w14:paraId="3DD42CE8" w14:textId="77777777" w:rsidR="00EB7538" w:rsidRPr="00A524D0" w:rsidRDefault="00EB7538" w:rsidP="00F96B94">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الامتثال لتدريبات السلامة:</w:t>
      </w:r>
      <w:r w:rsidRPr="00A524D0">
        <w:rPr>
          <w:rFonts w:ascii="Simplified Arabic" w:hAnsi="Simplified Arabic" w:cs="Simplified Arabic"/>
          <w:color w:val="1F1F1F"/>
          <w:sz w:val="32"/>
          <w:szCs w:val="32"/>
          <w:rtl/>
        </w:rPr>
        <w:t xml:space="preserve"> نسبة الموظفين الذين أتموا دورات السلامة والصحة المهنية بنجاح.</w:t>
      </w:r>
    </w:p>
    <w:p w14:paraId="0FCB9F12" w14:textId="77777777" w:rsidR="00EB7538" w:rsidRPr="00A524D0" w:rsidRDefault="00EB7538"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6.2. مؤشرات التنوع والشمول والتوطين</w:t>
      </w:r>
    </w:p>
    <w:p w14:paraId="11A22067" w14:textId="77777777" w:rsidR="00EB7538" w:rsidRPr="00A524D0" w:rsidRDefault="00EB7538" w:rsidP="00F96B94">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نسبة التوطين:</w:t>
      </w:r>
      <w:r w:rsidRPr="00A524D0">
        <w:rPr>
          <w:rFonts w:ascii="Simplified Arabic" w:hAnsi="Simplified Arabic" w:cs="Simplified Arabic"/>
          <w:color w:val="1F1F1F"/>
          <w:sz w:val="32"/>
          <w:szCs w:val="32"/>
          <w:rtl/>
        </w:rPr>
        <w:t xml:space="preserve"> مدى نجاح الشركة في توظيف مواطني الدولة وتدريبهم (مثل "السعودة" في المملكة العربية السعودية).</w:t>
      </w:r>
    </w:p>
    <w:p w14:paraId="13C1BF00" w14:textId="77777777" w:rsidR="00EB7538" w:rsidRPr="00A524D0" w:rsidRDefault="00EB7538" w:rsidP="00F96B94">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تمثيل المرأة:</w:t>
      </w:r>
      <w:r w:rsidRPr="00A524D0">
        <w:rPr>
          <w:rFonts w:ascii="Simplified Arabic" w:hAnsi="Simplified Arabic" w:cs="Simplified Arabic"/>
          <w:color w:val="1F1F1F"/>
          <w:sz w:val="32"/>
          <w:szCs w:val="32"/>
          <w:rtl/>
        </w:rPr>
        <w:t xml:space="preserve"> نسبة النساء في القوى العاملة الإجمالية وفي المناصب القيادية داخل قطاع </w:t>
      </w:r>
      <w:r w:rsidRPr="00A524D0">
        <w:rPr>
          <w:rFonts w:ascii="Simplified Arabic" w:hAnsi="Simplified Arabic" w:cs="Simplified Arabic"/>
          <w:color w:val="1F1F1F"/>
          <w:sz w:val="32"/>
          <w:szCs w:val="32"/>
        </w:rPr>
        <w:t>FM</w:t>
      </w:r>
      <w:r w:rsidRPr="00A524D0">
        <w:rPr>
          <w:rFonts w:ascii="Simplified Arabic" w:hAnsi="Simplified Arabic" w:cs="Simplified Arabic"/>
          <w:color w:val="1F1F1F"/>
          <w:sz w:val="32"/>
          <w:szCs w:val="32"/>
          <w:rtl/>
        </w:rPr>
        <w:t>.</w:t>
      </w:r>
    </w:p>
    <w:p w14:paraId="0AC92397" w14:textId="77777777" w:rsidR="00EB7538" w:rsidRPr="00A524D0" w:rsidRDefault="00EB7538" w:rsidP="00F96B94">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الشمول:</w:t>
      </w:r>
      <w:r w:rsidRPr="00A524D0">
        <w:rPr>
          <w:rFonts w:ascii="Simplified Arabic" w:hAnsi="Simplified Arabic" w:cs="Simplified Arabic"/>
          <w:color w:val="1F1F1F"/>
          <w:sz w:val="32"/>
          <w:szCs w:val="32"/>
          <w:rtl/>
        </w:rPr>
        <w:t xml:space="preserve"> دمج ذوي الاحتياجات الخاصة في بيئة العمل وتوفير المرافق المناسبة لهم.</w:t>
      </w:r>
    </w:p>
    <w:p w14:paraId="6167215C" w14:textId="77777777" w:rsidR="00EB7538" w:rsidRPr="00A524D0" w:rsidRDefault="00EB7538"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lastRenderedPageBreak/>
        <w:t>6.3. مؤشرات التدريب وتطوير المهارات</w:t>
      </w:r>
    </w:p>
    <w:p w14:paraId="4C77A787" w14:textId="77777777" w:rsidR="00EB7538" w:rsidRPr="00A524D0" w:rsidRDefault="00EB7538" w:rsidP="00F96B94">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متوسط ساعات التدريب لكل موظف:</w:t>
      </w:r>
      <w:r w:rsidRPr="00A524D0">
        <w:rPr>
          <w:rFonts w:ascii="Simplified Arabic" w:hAnsi="Simplified Arabic" w:cs="Simplified Arabic"/>
          <w:color w:val="1F1F1F"/>
          <w:sz w:val="32"/>
          <w:szCs w:val="32"/>
          <w:rtl/>
        </w:rPr>
        <w:t xml:space="preserve"> قياس الاستثمار في تطوير مهارات الفنيين والإداريين.</w:t>
      </w:r>
    </w:p>
    <w:p w14:paraId="2562CF78" w14:textId="77777777" w:rsidR="00EB7538" w:rsidRPr="00A524D0" w:rsidRDefault="00EB7538" w:rsidP="00F96B94">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العائد على التدريب:</w:t>
      </w:r>
      <w:r w:rsidRPr="00A524D0">
        <w:rPr>
          <w:rFonts w:ascii="Simplified Arabic" w:hAnsi="Simplified Arabic" w:cs="Simplified Arabic"/>
          <w:color w:val="1F1F1F"/>
          <w:sz w:val="32"/>
          <w:szCs w:val="32"/>
          <w:rtl/>
        </w:rPr>
        <w:t xml:space="preserve"> قياس مدى تحسن الإنتاجية أو انخفاض الأخطاء الفنية بعد الدورات التدريبية.</w:t>
      </w:r>
    </w:p>
    <w:p w14:paraId="5ABDF7DF" w14:textId="77777777" w:rsidR="00EB7538" w:rsidRPr="00A524D0" w:rsidRDefault="00EB7538" w:rsidP="00F96B94">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الشهادات المهنية:</w:t>
      </w:r>
      <w:r w:rsidRPr="00A524D0">
        <w:rPr>
          <w:rFonts w:ascii="Simplified Arabic" w:hAnsi="Simplified Arabic" w:cs="Simplified Arabic"/>
          <w:color w:val="1F1F1F"/>
          <w:sz w:val="32"/>
          <w:szCs w:val="32"/>
          <w:rtl/>
        </w:rPr>
        <w:t xml:space="preserve"> عدد الموظفين الحاصلين على شهادات دولية مثل (</w:t>
      </w:r>
      <w:r w:rsidRPr="00A524D0">
        <w:rPr>
          <w:rFonts w:ascii="Simplified Arabic" w:hAnsi="Simplified Arabic" w:cs="Simplified Arabic"/>
          <w:color w:val="1F1F1F"/>
          <w:sz w:val="32"/>
          <w:szCs w:val="32"/>
        </w:rPr>
        <w:t>IFMA</w:t>
      </w:r>
      <w:r w:rsidRPr="00A524D0">
        <w:rPr>
          <w:rFonts w:ascii="Simplified Arabic" w:hAnsi="Simplified Arabic" w:cs="Simplified Arabic"/>
          <w:color w:val="1F1F1F"/>
          <w:sz w:val="32"/>
          <w:szCs w:val="32"/>
          <w:rtl/>
        </w:rPr>
        <w:t xml:space="preserve"> أو </w:t>
      </w:r>
      <w:r w:rsidRPr="00A524D0">
        <w:rPr>
          <w:rFonts w:ascii="Simplified Arabic" w:hAnsi="Simplified Arabic" w:cs="Simplified Arabic"/>
          <w:color w:val="1F1F1F"/>
          <w:sz w:val="32"/>
          <w:szCs w:val="32"/>
        </w:rPr>
        <w:t>LEED</w:t>
      </w:r>
      <w:r w:rsidRPr="00A524D0">
        <w:rPr>
          <w:rFonts w:ascii="Simplified Arabic" w:hAnsi="Simplified Arabic" w:cs="Simplified Arabic"/>
          <w:color w:val="1F1F1F"/>
          <w:sz w:val="32"/>
          <w:szCs w:val="32"/>
          <w:rtl/>
        </w:rPr>
        <w:t>).</w:t>
      </w:r>
    </w:p>
    <w:p w14:paraId="44DB1894" w14:textId="77777777" w:rsidR="00EB7538" w:rsidRPr="00A524D0" w:rsidRDefault="00EB7538"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6.4. مؤشرات الأثر المجتمعي وسلسلة الإمداد المستدامة</w:t>
      </w:r>
    </w:p>
    <w:p w14:paraId="244AB531" w14:textId="77777777" w:rsidR="00EB7538" w:rsidRPr="00A524D0" w:rsidRDefault="00EB7538" w:rsidP="00F96B94">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دعم الموردين المحليين:</w:t>
      </w:r>
      <w:r w:rsidRPr="00A524D0">
        <w:rPr>
          <w:rFonts w:ascii="Simplified Arabic" w:hAnsi="Simplified Arabic" w:cs="Simplified Arabic"/>
          <w:color w:val="1F1F1F"/>
          <w:sz w:val="32"/>
          <w:szCs w:val="32"/>
          <w:rtl/>
        </w:rPr>
        <w:t xml:space="preserve"> نسبة الإنفاق على الموردين المحليين لتعزيز الاقتصاد الوطني.</w:t>
      </w:r>
    </w:p>
    <w:p w14:paraId="6115E0F4" w14:textId="77777777" w:rsidR="00EB7538" w:rsidRPr="00A524D0" w:rsidRDefault="00EB7538" w:rsidP="00F96B94">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تقييم الموردين بيئياً:</w:t>
      </w:r>
      <w:r w:rsidRPr="00A524D0">
        <w:rPr>
          <w:rFonts w:ascii="Simplified Arabic" w:hAnsi="Simplified Arabic" w:cs="Simplified Arabic"/>
          <w:color w:val="1F1F1F"/>
          <w:sz w:val="32"/>
          <w:szCs w:val="32"/>
          <w:rtl/>
        </w:rPr>
        <w:t xml:space="preserve"> التأكد من أن الموردين يلتزمون بمعايير البيئة والعمل (منع عمالة الأطفال، تقليل التغليف البلاستيكي).</w:t>
      </w:r>
    </w:p>
    <w:p w14:paraId="1F63EDC6" w14:textId="77777777" w:rsidR="00EB7538" w:rsidRPr="00A524D0" w:rsidRDefault="00EB7538" w:rsidP="00F96B94">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المشاركة المجتمعية:</w:t>
      </w:r>
      <w:r w:rsidRPr="00A524D0">
        <w:rPr>
          <w:rFonts w:ascii="Simplified Arabic" w:hAnsi="Simplified Arabic" w:cs="Simplified Arabic"/>
          <w:color w:val="1F1F1F"/>
          <w:sz w:val="32"/>
          <w:szCs w:val="32"/>
          <w:rtl/>
        </w:rPr>
        <w:t xml:space="preserve"> المبادرات التي تقوم بها إدارة المرفق لخدمة الحي أو المجتمع المحيط بالمبنى.</w:t>
      </w:r>
    </w:p>
    <w:p w14:paraId="57A58571" w14:textId="516908EE" w:rsidR="00EB7538" w:rsidRPr="00A524D0" w:rsidRDefault="00EB7538" w:rsidP="00F96B94">
      <w:pPr>
        <w:pStyle w:val="NormalWeb"/>
        <w:bidi/>
        <w:spacing w:before="0" w:beforeAutospacing="0" w:after="0" w:afterAutospacing="0" w:line="360" w:lineRule="auto"/>
        <w:rPr>
          <w:rFonts w:ascii="Simplified Arabic" w:hAnsi="Simplified Arabic" w:cs="Simplified Arabic"/>
          <w:color w:val="1F1F1F"/>
          <w:sz w:val="32"/>
          <w:szCs w:val="32"/>
          <w:rtl/>
        </w:rPr>
      </w:pPr>
    </w:p>
    <w:p w14:paraId="39BC5F61" w14:textId="11DE65E1" w:rsidR="00CF7649" w:rsidRPr="00A524D0" w:rsidRDefault="00CF7649" w:rsidP="00F96B94">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0AA3CF14" w14:textId="77777777" w:rsidR="00CF7649" w:rsidRPr="00A524D0" w:rsidRDefault="00CF7649"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lastRenderedPageBreak/>
        <w:t>المحور السابع: تطبيقات مؤشرات الحوكمة (</w:t>
      </w:r>
      <w:r w:rsidRPr="00A524D0">
        <w:rPr>
          <w:rFonts w:ascii="Simplified Arabic" w:eastAsia="Times New Roman" w:hAnsi="Simplified Arabic" w:cs="Simplified Arabic"/>
          <w:color w:val="1F1F1F"/>
        </w:rPr>
        <w:t>Governance - G</w:t>
      </w:r>
      <w:r w:rsidRPr="00A524D0">
        <w:rPr>
          <w:rFonts w:ascii="Simplified Arabic" w:eastAsia="Times New Roman" w:hAnsi="Simplified Arabic" w:cs="Simplified Arabic"/>
          <w:color w:val="1F1F1F"/>
          <w:rtl/>
        </w:rPr>
        <w:t>) في إدارة المرافق</w:t>
      </w:r>
    </w:p>
    <w:p w14:paraId="494BE6A4" w14:textId="77777777" w:rsidR="00CF7649" w:rsidRPr="00A524D0" w:rsidRDefault="00CF7649" w:rsidP="00F96B94">
      <w:pPr>
        <w:pStyle w:val="NormalWeb"/>
        <w:bidi/>
        <w:spacing w:before="0" w:beforeAutospacing="0" w:after="24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تمثل الحوكمة "النظام القيادي" الذي يضمن أن الأهداف البيئية والاجتماعية ليست مجرد وعود، بل التزامات قانونية وإدارية.</w:t>
      </w:r>
    </w:p>
    <w:p w14:paraId="7FDBFA24" w14:textId="77777777" w:rsidR="00CF7649" w:rsidRPr="00A524D0" w:rsidRDefault="00CF7649"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7.1. مؤشرات الشفافية والإفصاح</w:t>
      </w:r>
    </w:p>
    <w:p w14:paraId="35182BBE" w14:textId="77777777" w:rsidR="00CF7649" w:rsidRPr="00A524D0" w:rsidRDefault="00CF7649" w:rsidP="00F96B94">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دقة التقارير التشغيلية:</w:t>
      </w:r>
      <w:r w:rsidRPr="00A524D0">
        <w:rPr>
          <w:rFonts w:ascii="Simplified Arabic" w:hAnsi="Simplified Arabic" w:cs="Simplified Arabic"/>
          <w:color w:val="1F1F1F"/>
          <w:sz w:val="32"/>
          <w:szCs w:val="32"/>
          <w:rtl/>
        </w:rPr>
        <w:t xml:space="preserve"> مدى مطابقة تقارير استهلاك الطاقة والمياه للواقع الفعلي (التحقق من خلال طرف ثالث).</w:t>
      </w:r>
    </w:p>
    <w:p w14:paraId="7B52EAD1" w14:textId="77777777" w:rsidR="00CF7649" w:rsidRPr="00A524D0" w:rsidRDefault="00CF7649" w:rsidP="00F96B94">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الإفصاح عن العقود:</w:t>
      </w:r>
      <w:r w:rsidRPr="00A524D0">
        <w:rPr>
          <w:rFonts w:ascii="Simplified Arabic" w:hAnsi="Simplified Arabic" w:cs="Simplified Arabic"/>
          <w:color w:val="1F1F1F"/>
          <w:sz w:val="32"/>
          <w:szCs w:val="32"/>
          <w:rtl/>
        </w:rPr>
        <w:t xml:space="preserve"> شفافية معايير اختيار مقاولي الباطن والموردين في قطاع إدارة المرافق.</w:t>
      </w:r>
    </w:p>
    <w:p w14:paraId="3707491D" w14:textId="77777777" w:rsidR="00CF7649" w:rsidRPr="00A524D0" w:rsidRDefault="00CF7649" w:rsidP="00F96B94">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إتاحة المعلومات:</w:t>
      </w:r>
      <w:r w:rsidRPr="00A524D0">
        <w:rPr>
          <w:rFonts w:ascii="Simplified Arabic" w:hAnsi="Simplified Arabic" w:cs="Simplified Arabic"/>
          <w:color w:val="1F1F1F"/>
          <w:sz w:val="32"/>
          <w:szCs w:val="32"/>
          <w:rtl/>
        </w:rPr>
        <w:t xml:space="preserve"> سهولة وصول أصحاب المصلحة (الملاك، المستأجرين، المستثمرين) إلى بيانات الأداء البيئي للمبنى.</w:t>
      </w:r>
    </w:p>
    <w:p w14:paraId="2D8CBAAC" w14:textId="77777777" w:rsidR="00CF7649" w:rsidRPr="00A524D0" w:rsidRDefault="00CF7649"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7.2. مكافحة الفساد والالتزام باللوائح</w:t>
      </w:r>
    </w:p>
    <w:p w14:paraId="0AE229DC" w14:textId="77777777" w:rsidR="00CF7649" w:rsidRPr="00A524D0" w:rsidRDefault="00CF7649" w:rsidP="00F96B94">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سياسات الأخلاقيات:</w:t>
      </w:r>
      <w:r w:rsidRPr="00A524D0">
        <w:rPr>
          <w:rFonts w:ascii="Simplified Arabic" w:hAnsi="Simplified Arabic" w:cs="Simplified Arabic"/>
          <w:color w:val="1F1F1F"/>
          <w:sz w:val="32"/>
          <w:szCs w:val="32"/>
          <w:rtl/>
        </w:rPr>
        <w:t xml:space="preserve"> وجود ميثاق شرف مهني ملزم لجميع الفنيين والإداريين.</w:t>
      </w:r>
    </w:p>
    <w:p w14:paraId="216C9A71" w14:textId="77777777" w:rsidR="00CF7649" w:rsidRPr="00A524D0" w:rsidRDefault="00CF7649" w:rsidP="00F96B94">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قنوات التبليغ (</w:t>
      </w:r>
      <w:r w:rsidRPr="00A524D0">
        <w:rPr>
          <w:rStyle w:val="Strong"/>
          <w:rFonts w:ascii="Simplified Arabic" w:hAnsi="Simplified Arabic" w:cs="Simplified Arabic"/>
          <w:color w:val="1F1F1F"/>
          <w:sz w:val="32"/>
          <w:szCs w:val="32"/>
          <w:bdr w:val="none" w:sz="0" w:space="0" w:color="auto" w:frame="1"/>
        </w:rPr>
        <w:t>Whistleblowing</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توفير آلية آمنة وسرية للتبليغ عن التجاوزات المالية أو الفنية في عقود الصيانة.</w:t>
      </w:r>
    </w:p>
    <w:p w14:paraId="5E6D9965" w14:textId="77777777" w:rsidR="00CF7649" w:rsidRPr="00A524D0" w:rsidRDefault="00CF7649" w:rsidP="00F96B94">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الامتثال القانوني:</w:t>
      </w:r>
      <w:r w:rsidRPr="00A524D0">
        <w:rPr>
          <w:rFonts w:ascii="Simplified Arabic" w:hAnsi="Simplified Arabic" w:cs="Simplified Arabic"/>
          <w:color w:val="1F1F1F"/>
          <w:sz w:val="32"/>
          <w:szCs w:val="32"/>
          <w:rtl/>
        </w:rPr>
        <w:t xml:space="preserve"> نسبة الالتزام بالقوانين المحلية (مثل قوانين الكود العمراني، اشتراطات الدفاع المدني، واللوائح البيئية).</w:t>
      </w:r>
    </w:p>
    <w:p w14:paraId="2DA2A84F" w14:textId="77777777" w:rsidR="00CF7649" w:rsidRPr="00A524D0" w:rsidRDefault="00CF7649"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lastRenderedPageBreak/>
        <w:t>7.3. هيكلة الإدارة والمسؤولية عن الاستدامة</w:t>
      </w:r>
    </w:p>
    <w:p w14:paraId="541FB8C3" w14:textId="77777777" w:rsidR="00CF7649" w:rsidRPr="00A524D0" w:rsidRDefault="00CF7649" w:rsidP="00F96B94">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لجنة الاستدامة:</w:t>
      </w:r>
      <w:r w:rsidRPr="00A524D0">
        <w:rPr>
          <w:rFonts w:ascii="Simplified Arabic" w:hAnsi="Simplified Arabic" w:cs="Simplified Arabic"/>
          <w:color w:val="1F1F1F"/>
          <w:sz w:val="32"/>
          <w:szCs w:val="32"/>
          <w:rtl/>
        </w:rPr>
        <w:t xml:space="preserve"> وجود مسؤول أو لجنة متخصصة داخل هيكل إدارة المرافق تتبع مباشرة لمجلس الإدارة.</w:t>
      </w:r>
    </w:p>
    <w:p w14:paraId="5FFFF76A" w14:textId="77777777" w:rsidR="00CF7649" w:rsidRPr="00A524D0" w:rsidRDefault="00CF7649" w:rsidP="00F96B94">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ربط المكافآت بالأداء:</w:t>
      </w:r>
      <w:r w:rsidRPr="00A524D0">
        <w:rPr>
          <w:rFonts w:ascii="Simplified Arabic" w:hAnsi="Simplified Arabic" w:cs="Simplified Arabic"/>
          <w:color w:val="1F1F1F"/>
          <w:sz w:val="32"/>
          <w:szCs w:val="32"/>
          <w:rtl/>
        </w:rPr>
        <w:t xml:space="preserve"> ربط الحوافز المالية لمديري المرافق بتحقيق مستهدفات خفض استهلاك الطاقة أو تحسين مستويات السلامة.</w:t>
      </w:r>
    </w:p>
    <w:p w14:paraId="79C390E5" w14:textId="77777777" w:rsidR="00CF7649" w:rsidRPr="00A524D0" w:rsidRDefault="00CF7649" w:rsidP="00F96B94">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استقلالية القرار:</w:t>
      </w:r>
      <w:r w:rsidRPr="00A524D0">
        <w:rPr>
          <w:rFonts w:ascii="Simplified Arabic" w:hAnsi="Simplified Arabic" w:cs="Simplified Arabic"/>
          <w:color w:val="1F1F1F"/>
          <w:sz w:val="32"/>
          <w:szCs w:val="32"/>
          <w:rtl/>
        </w:rPr>
        <w:t xml:space="preserve"> ضمان عدم تضارب المصالح عند اتخاذ قرارات الشراء أو الصيانة الكبرى.</w:t>
      </w:r>
    </w:p>
    <w:p w14:paraId="5E9A96E7" w14:textId="77777777" w:rsidR="00CF7649" w:rsidRPr="00A524D0" w:rsidRDefault="00CF7649"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7.4. إدارة مخاطر الاستدامة (</w:t>
      </w:r>
      <w:r w:rsidRPr="00A524D0">
        <w:rPr>
          <w:rFonts w:ascii="Simplified Arabic" w:eastAsia="Times New Roman" w:hAnsi="Simplified Arabic" w:cs="Simplified Arabic"/>
          <w:color w:val="1F1F1F"/>
          <w:sz w:val="32"/>
          <w:szCs w:val="32"/>
        </w:rPr>
        <w:t>ESG Risk Management</w:t>
      </w:r>
      <w:r w:rsidRPr="00A524D0">
        <w:rPr>
          <w:rFonts w:ascii="Simplified Arabic" w:eastAsia="Times New Roman" w:hAnsi="Simplified Arabic" w:cs="Simplified Arabic"/>
          <w:color w:val="1F1F1F"/>
          <w:sz w:val="32"/>
          <w:szCs w:val="32"/>
          <w:rtl/>
        </w:rPr>
        <w:t>)</w:t>
      </w:r>
    </w:p>
    <w:p w14:paraId="6B9C038B" w14:textId="77777777" w:rsidR="00CF7649" w:rsidRPr="00A524D0" w:rsidRDefault="00CF7649" w:rsidP="00F96B94">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تقييم مخاطر المناخ:</w:t>
      </w:r>
      <w:r w:rsidRPr="00A524D0">
        <w:rPr>
          <w:rFonts w:ascii="Simplified Arabic" w:hAnsi="Simplified Arabic" w:cs="Simplified Arabic"/>
          <w:color w:val="1F1F1F"/>
          <w:sz w:val="32"/>
          <w:szCs w:val="32"/>
          <w:rtl/>
        </w:rPr>
        <w:t xml:space="preserve"> تحليل قدرة المبنى على تحمل الظروف المناخية القاسية (مثل العواصف الرملية أو السيول).</w:t>
      </w:r>
    </w:p>
    <w:p w14:paraId="5B40CD5A" w14:textId="77777777" w:rsidR="00CF7649" w:rsidRPr="00A524D0" w:rsidRDefault="00CF7649" w:rsidP="00F96B94">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مخاطر استمرارية الأعمال:</w:t>
      </w:r>
      <w:r w:rsidRPr="00A524D0">
        <w:rPr>
          <w:rFonts w:ascii="Simplified Arabic" w:hAnsi="Simplified Arabic" w:cs="Simplified Arabic"/>
          <w:color w:val="1F1F1F"/>
          <w:sz w:val="32"/>
          <w:szCs w:val="32"/>
          <w:rtl/>
        </w:rPr>
        <w:t xml:space="preserve"> خطط الطوارئ لضمان عمل المرفق في حالات الأزمات البيئية أو التقنية.</w:t>
      </w:r>
    </w:p>
    <w:p w14:paraId="6012D813" w14:textId="77777777" w:rsidR="00CF7649" w:rsidRPr="00A524D0" w:rsidRDefault="00CF7649"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t>المحور الثامن: السياق السعودي وإدارة المرافق في ضوء رؤية 2030</w:t>
      </w:r>
    </w:p>
    <w:p w14:paraId="4DF83DB3" w14:textId="77777777" w:rsidR="00CF7649" w:rsidRPr="00A524D0" w:rsidRDefault="00CF7649" w:rsidP="00F96B94">
      <w:pPr>
        <w:pStyle w:val="NormalWeb"/>
        <w:bidi/>
        <w:spacing w:before="0" w:beforeAutospacing="0" w:after="24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تعد المملكة العربية السعودية اليوم من أكبر المختبرات العالمية لتطبيقات الاستدامة بفضل مشاريعها العملاقة وتوجهاتها الاستراتيجية.</w:t>
      </w:r>
    </w:p>
    <w:p w14:paraId="4763CBFA" w14:textId="77777777" w:rsidR="00CF7649" w:rsidRPr="00A524D0" w:rsidRDefault="00CF7649"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lastRenderedPageBreak/>
        <w:t>8.1. دور الاستدامة في تحقيق مستهدفات رؤية 2030</w:t>
      </w:r>
    </w:p>
    <w:p w14:paraId="5A950864" w14:textId="77777777" w:rsidR="00CF7649" w:rsidRPr="00A524D0" w:rsidRDefault="00CF7649" w:rsidP="00F96B94">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المركز السعودي لكفاءة الطاقة (كفاءة):</w:t>
      </w:r>
      <w:r w:rsidRPr="00A524D0">
        <w:rPr>
          <w:rFonts w:ascii="Simplified Arabic" w:hAnsi="Simplified Arabic" w:cs="Simplified Arabic"/>
          <w:color w:val="1F1F1F"/>
          <w:sz w:val="32"/>
          <w:szCs w:val="32"/>
          <w:rtl/>
        </w:rPr>
        <w:t xml:space="preserve"> يلعب قطاع إدارة المرافق دوراً محورياً في تنفيذ معايير "كفاءة" لتقليل استهلاك الطاقة في المباني القائمة والجديدة.</w:t>
      </w:r>
    </w:p>
    <w:p w14:paraId="226FC49D" w14:textId="77777777" w:rsidR="00CF7649" w:rsidRPr="00A524D0" w:rsidRDefault="00CF7649" w:rsidP="00F96B94">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مبادرة السعودية الخضراء (</w:t>
      </w:r>
      <w:r w:rsidRPr="00A524D0">
        <w:rPr>
          <w:rStyle w:val="Strong"/>
          <w:rFonts w:ascii="Simplified Arabic" w:hAnsi="Simplified Arabic" w:cs="Simplified Arabic"/>
          <w:color w:val="1F1F1F"/>
          <w:sz w:val="32"/>
          <w:szCs w:val="32"/>
          <w:bdr w:val="none" w:sz="0" w:space="0" w:color="auto" w:frame="1"/>
        </w:rPr>
        <w:t>SGI</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تساهم إدارة المرافق من خلال زيادة المساحات الخضراء في المشاريع العمرانية وتقليل الانبعاثات الكربونية للوصول إلى "الحياد الصفر" بحلول 2060.</w:t>
      </w:r>
    </w:p>
    <w:p w14:paraId="34D67E2C" w14:textId="77777777" w:rsidR="00CF7649" w:rsidRPr="00A524D0" w:rsidRDefault="00CF7649"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8.2. دور هيئات تنظيم السوق السعودية</w:t>
      </w:r>
    </w:p>
    <w:p w14:paraId="23B32E3C" w14:textId="77777777" w:rsidR="00CF7649" w:rsidRPr="00A524D0" w:rsidRDefault="00CF7649" w:rsidP="00F96B94">
      <w:pPr>
        <w:pStyle w:val="NormalWeb"/>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هيئة السوق المالية (</w:t>
      </w:r>
      <w:r w:rsidRPr="00A524D0">
        <w:rPr>
          <w:rStyle w:val="Strong"/>
          <w:rFonts w:ascii="Simplified Arabic" w:hAnsi="Simplified Arabic" w:cs="Simplified Arabic"/>
          <w:color w:val="1F1F1F"/>
          <w:sz w:val="32"/>
          <w:szCs w:val="32"/>
          <w:bdr w:val="none" w:sz="0" w:space="0" w:color="auto" w:frame="1"/>
        </w:rPr>
        <w:t>CMA</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إصدار أدلة استرشادية للشركات المدرجة للإفصاح عن ممارسات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مما يضغط على شركات إدارة المرافق الكبرى لتطوير معاييرها.</w:t>
      </w:r>
    </w:p>
    <w:p w14:paraId="2C017BE1" w14:textId="77777777" w:rsidR="00CF7649" w:rsidRPr="00A524D0" w:rsidRDefault="00CF7649" w:rsidP="00F96B94">
      <w:pPr>
        <w:pStyle w:val="NormalWeb"/>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وزارة الشؤون البلدية والقروية والإسكان:</w:t>
      </w:r>
      <w:r w:rsidRPr="00A524D0">
        <w:rPr>
          <w:rFonts w:ascii="Simplified Arabic" w:hAnsi="Simplified Arabic" w:cs="Simplified Arabic"/>
          <w:color w:val="1F1F1F"/>
          <w:sz w:val="32"/>
          <w:szCs w:val="32"/>
          <w:rtl/>
        </w:rPr>
        <w:t xml:space="preserve"> فرض اشتراطات "المباني الخضراء" وكود البناء السعودي الذي يرفع من جودة تشغيل المرافق.</w:t>
      </w:r>
    </w:p>
    <w:p w14:paraId="4FFA3689" w14:textId="77777777" w:rsidR="00CF7649" w:rsidRPr="00A524D0" w:rsidRDefault="00CF7649"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8.3. تحديات وفرص التطبيق في البيئة السعودية</w:t>
      </w:r>
    </w:p>
    <w:p w14:paraId="4D0B10C4" w14:textId="77777777" w:rsidR="00CF7649" w:rsidRPr="00A524D0" w:rsidRDefault="00CF7649" w:rsidP="00F96B94">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تحدي التبريد الشديد:</w:t>
      </w:r>
      <w:r w:rsidRPr="00A524D0">
        <w:rPr>
          <w:rFonts w:ascii="Simplified Arabic" w:hAnsi="Simplified Arabic" w:cs="Simplified Arabic"/>
          <w:color w:val="1F1F1F"/>
          <w:sz w:val="32"/>
          <w:szCs w:val="32"/>
          <w:rtl/>
        </w:rPr>
        <w:t xml:space="preserve"> في مناخ صحراوي، يستهلك التبريد (</w:t>
      </w:r>
      <w:r w:rsidRPr="00A524D0">
        <w:rPr>
          <w:rFonts w:ascii="Simplified Arabic" w:hAnsi="Simplified Arabic" w:cs="Simplified Arabic"/>
          <w:color w:val="1F1F1F"/>
          <w:sz w:val="32"/>
          <w:szCs w:val="32"/>
        </w:rPr>
        <w:t>HVAC</w:t>
      </w:r>
      <w:r w:rsidRPr="00A524D0">
        <w:rPr>
          <w:rFonts w:ascii="Simplified Arabic" w:hAnsi="Simplified Arabic" w:cs="Simplified Arabic"/>
          <w:color w:val="1F1F1F"/>
          <w:sz w:val="32"/>
          <w:szCs w:val="32"/>
          <w:rtl/>
        </w:rPr>
        <w:t>) أكثر من 70% من طاقة المبنى. هنا تبرز فرصة إدارة المرافق في استخدام أنظمة التبريد بالمناطق (</w:t>
      </w:r>
      <w:r w:rsidRPr="00A524D0">
        <w:rPr>
          <w:rFonts w:ascii="Simplified Arabic" w:hAnsi="Simplified Arabic" w:cs="Simplified Arabic"/>
          <w:color w:val="1F1F1F"/>
          <w:sz w:val="32"/>
          <w:szCs w:val="32"/>
        </w:rPr>
        <w:t>District Cooling</w:t>
      </w:r>
      <w:r w:rsidRPr="00A524D0">
        <w:rPr>
          <w:rFonts w:ascii="Simplified Arabic" w:hAnsi="Simplified Arabic" w:cs="Simplified Arabic"/>
          <w:color w:val="1F1F1F"/>
          <w:sz w:val="32"/>
          <w:szCs w:val="32"/>
          <w:rtl/>
        </w:rPr>
        <w:t>) والتحكم الذكي.</w:t>
      </w:r>
    </w:p>
    <w:p w14:paraId="3C8F17BB" w14:textId="77777777" w:rsidR="00CF7649" w:rsidRPr="00A524D0" w:rsidRDefault="00CF7649" w:rsidP="00F96B94">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lastRenderedPageBreak/>
        <w:t>إدارة الموارد المائية:</w:t>
      </w:r>
      <w:r w:rsidRPr="00A524D0">
        <w:rPr>
          <w:rFonts w:ascii="Simplified Arabic" w:hAnsi="Simplified Arabic" w:cs="Simplified Arabic"/>
          <w:color w:val="1F1F1F"/>
          <w:sz w:val="32"/>
          <w:szCs w:val="32"/>
          <w:rtl/>
        </w:rPr>
        <w:t xml:space="preserve"> ندرة المياه تفرض على قطاع </w:t>
      </w:r>
      <w:r w:rsidRPr="00A524D0">
        <w:rPr>
          <w:rFonts w:ascii="Simplified Arabic" w:hAnsi="Simplified Arabic" w:cs="Simplified Arabic"/>
          <w:color w:val="1F1F1F"/>
          <w:sz w:val="32"/>
          <w:szCs w:val="32"/>
        </w:rPr>
        <w:t>FM</w:t>
      </w:r>
      <w:r w:rsidRPr="00A524D0">
        <w:rPr>
          <w:rFonts w:ascii="Simplified Arabic" w:hAnsi="Simplified Arabic" w:cs="Simplified Arabic"/>
          <w:color w:val="1F1F1F"/>
          <w:sz w:val="32"/>
          <w:szCs w:val="32"/>
          <w:rtl/>
        </w:rPr>
        <w:t xml:space="preserve"> في السعودية الابتكار في أنظمة معالجة مياه الصرف الرمادية واستخدامها في الري.</w:t>
      </w:r>
    </w:p>
    <w:p w14:paraId="588E2352" w14:textId="77777777" w:rsidR="00CF7649" w:rsidRPr="00A524D0" w:rsidRDefault="00CF7649" w:rsidP="00F96B94">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التحول الرقمي:</w:t>
      </w:r>
      <w:r w:rsidRPr="00A524D0">
        <w:rPr>
          <w:rFonts w:ascii="Simplified Arabic" w:hAnsi="Simplified Arabic" w:cs="Simplified Arabic"/>
          <w:color w:val="1F1F1F"/>
          <w:sz w:val="32"/>
          <w:szCs w:val="32"/>
          <w:rtl/>
        </w:rPr>
        <w:t xml:space="preserve"> الفرصة الكبيرة تكمن في "المدن الذكية" (مثل نيوم وذا لاين) حيث يتم دمج الذكاء الاصطناعي (</w:t>
      </w:r>
      <w:r w:rsidRPr="00A524D0">
        <w:rPr>
          <w:rFonts w:ascii="Simplified Arabic" w:hAnsi="Simplified Arabic" w:cs="Simplified Arabic"/>
          <w:color w:val="1F1F1F"/>
          <w:sz w:val="32"/>
          <w:szCs w:val="32"/>
        </w:rPr>
        <w:t>AI</w:t>
      </w:r>
      <w:r w:rsidRPr="00A524D0">
        <w:rPr>
          <w:rFonts w:ascii="Simplified Arabic" w:hAnsi="Simplified Arabic" w:cs="Simplified Arabic"/>
          <w:color w:val="1F1F1F"/>
          <w:sz w:val="32"/>
          <w:szCs w:val="32"/>
          <w:rtl/>
        </w:rPr>
        <w:t>) وإنترنت الأشياء (</w:t>
      </w:r>
      <w:r w:rsidRPr="00A524D0">
        <w:rPr>
          <w:rFonts w:ascii="Simplified Arabic" w:hAnsi="Simplified Arabic" w:cs="Simplified Arabic"/>
          <w:color w:val="1F1F1F"/>
          <w:sz w:val="32"/>
          <w:szCs w:val="32"/>
        </w:rPr>
        <w:t>IoT</w:t>
      </w:r>
      <w:r w:rsidRPr="00A524D0">
        <w:rPr>
          <w:rFonts w:ascii="Simplified Arabic" w:hAnsi="Simplified Arabic" w:cs="Simplified Arabic"/>
          <w:color w:val="1F1F1F"/>
          <w:sz w:val="32"/>
          <w:szCs w:val="32"/>
          <w:rtl/>
        </w:rPr>
        <w:t>) في إدارة المرافق لتحقيق أعلى معايير الاستدامة تلقائياً.</w:t>
      </w:r>
    </w:p>
    <w:p w14:paraId="18094B40" w14:textId="77777777" w:rsidR="009B14FF" w:rsidRPr="00A524D0" w:rsidRDefault="009B14FF"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72D70B81" w14:textId="77777777" w:rsidR="009B14FF" w:rsidRPr="00A524D0" w:rsidRDefault="009B14FF" w:rsidP="00F96B94">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4D1201B" w14:textId="77777777" w:rsidR="00400062" w:rsidRPr="00A524D0" w:rsidRDefault="00400062"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t xml:space="preserve">المحور التاسع: التحديات والمعوقات التشغيلية لتطبيق مؤشرات </w:t>
      </w:r>
      <w:r w:rsidRPr="00A524D0">
        <w:rPr>
          <w:rFonts w:ascii="Simplified Arabic" w:eastAsia="Times New Roman" w:hAnsi="Simplified Arabic" w:cs="Simplified Arabic"/>
          <w:color w:val="1F1F1F"/>
        </w:rPr>
        <w:t>ESG</w:t>
      </w:r>
    </w:p>
    <w:p w14:paraId="35C95E50" w14:textId="77777777" w:rsidR="00400062" w:rsidRPr="00A524D0" w:rsidRDefault="00400062" w:rsidP="00F96B94">
      <w:pPr>
        <w:pStyle w:val="NormalWeb"/>
        <w:bidi/>
        <w:spacing w:before="0" w:beforeAutospacing="0" w:after="24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 xml:space="preserve">رغم الفوائد الكبيرة، يواجه تطبيق معايير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xml:space="preserve"> في قطاع إدارة المرافق عقبات واقعية تتطلب حلولاً استراتيجية.</w:t>
      </w:r>
    </w:p>
    <w:p w14:paraId="0933E6E0" w14:textId="77777777" w:rsidR="00400062" w:rsidRPr="00A524D0" w:rsidRDefault="00400062"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9.1. تحديات جمع البيانات وتوحيدها</w:t>
      </w:r>
    </w:p>
    <w:p w14:paraId="272CE19D" w14:textId="77777777" w:rsidR="00400062" w:rsidRPr="00A524D0" w:rsidRDefault="00400062" w:rsidP="00F96B94">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تشتت البيانات:</w:t>
      </w:r>
      <w:r w:rsidRPr="00A524D0">
        <w:rPr>
          <w:rFonts w:ascii="Simplified Arabic" w:hAnsi="Simplified Arabic" w:cs="Simplified Arabic"/>
          <w:color w:val="1F1F1F"/>
          <w:sz w:val="32"/>
          <w:szCs w:val="32"/>
          <w:rtl/>
        </w:rPr>
        <w:t xml:space="preserve"> غالباً ما تكون بيانات الاستهلاك (كهرباء، مياه، نفايات) موزعة بين فواتير ورقية وأنظمة معزولة، مما يصعب عملية التحليل.</w:t>
      </w:r>
    </w:p>
    <w:p w14:paraId="7FD80D63" w14:textId="77777777" w:rsidR="00400062" w:rsidRPr="00A524D0" w:rsidRDefault="00400062" w:rsidP="00F96B94">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غياب الأنظمة الموحدة (</w:t>
      </w:r>
      <w:r w:rsidRPr="00A524D0">
        <w:rPr>
          <w:rStyle w:val="Strong"/>
          <w:rFonts w:ascii="Simplified Arabic" w:hAnsi="Simplified Arabic" w:cs="Simplified Arabic"/>
          <w:color w:val="1F1F1F"/>
          <w:sz w:val="32"/>
          <w:szCs w:val="32"/>
          <w:bdr w:val="none" w:sz="0" w:space="0" w:color="auto" w:frame="1"/>
        </w:rPr>
        <w:t>FMIS</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الكثير من الشركات لا تزال تفتقر إلى أنظمة إدارة مرافق محوسبة (</w:t>
      </w:r>
      <w:r w:rsidRPr="00A524D0">
        <w:rPr>
          <w:rFonts w:ascii="Simplified Arabic" w:hAnsi="Simplified Arabic" w:cs="Simplified Arabic"/>
          <w:color w:val="1F1F1F"/>
          <w:sz w:val="32"/>
          <w:szCs w:val="32"/>
        </w:rPr>
        <w:t>CAFM</w:t>
      </w:r>
      <w:r w:rsidRPr="00A524D0">
        <w:rPr>
          <w:rFonts w:ascii="Simplified Arabic" w:hAnsi="Simplified Arabic" w:cs="Simplified Arabic"/>
          <w:color w:val="1F1F1F"/>
          <w:sz w:val="32"/>
          <w:szCs w:val="32"/>
          <w:rtl/>
        </w:rPr>
        <w:t>) أو أنظمة إدارة طاقة (</w:t>
      </w:r>
      <w:r w:rsidRPr="00A524D0">
        <w:rPr>
          <w:rFonts w:ascii="Simplified Arabic" w:hAnsi="Simplified Arabic" w:cs="Simplified Arabic"/>
          <w:color w:val="1F1F1F"/>
          <w:sz w:val="32"/>
          <w:szCs w:val="32"/>
        </w:rPr>
        <w:t>BMS</w:t>
      </w:r>
      <w:r w:rsidRPr="00A524D0">
        <w:rPr>
          <w:rFonts w:ascii="Simplified Arabic" w:hAnsi="Simplified Arabic" w:cs="Simplified Arabic"/>
          <w:color w:val="1F1F1F"/>
          <w:sz w:val="32"/>
          <w:szCs w:val="32"/>
          <w:rtl/>
        </w:rPr>
        <w:t xml:space="preserve">) قادرة على تصدير تقارير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xml:space="preserve"> تلقائية.</w:t>
      </w:r>
    </w:p>
    <w:p w14:paraId="1E868880" w14:textId="77777777" w:rsidR="00400062" w:rsidRPr="00A524D0" w:rsidRDefault="00400062" w:rsidP="00F96B94">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lastRenderedPageBreak/>
        <w:t>جودة البيانات:</w:t>
      </w:r>
      <w:r w:rsidRPr="00A524D0">
        <w:rPr>
          <w:rFonts w:ascii="Simplified Arabic" w:hAnsi="Simplified Arabic" w:cs="Simplified Arabic"/>
          <w:color w:val="1F1F1F"/>
          <w:sz w:val="32"/>
          <w:szCs w:val="32"/>
          <w:rtl/>
        </w:rPr>
        <w:t xml:space="preserve"> الشكوك حول دقة البيانات التي يتم جمعها يدوياً تضعف من مصداقية تقارير الإفصاح أمام المستثمرين.</w:t>
      </w:r>
    </w:p>
    <w:p w14:paraId="2A2F61CE" w14:textId="77777777" w:rsidR="00400062" w:rsidRPr="00A524D0" w:rsidRDefault="00400062"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9.2. نقص الكفاءات المتخصصة</w:t>
      </w:r>
    </w:p>
    <w:p w14:paraId="76C7E45D" w14:textId="77777777" w:rsidR="00400062" w:rsidRPr="00A524D0" w:rsidRDefault="00400062" w:rsidP="00F96B94">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فجوة المهارات:</w:t>
      </w:r>
      <w:r w:rsidRPr="00A524D0">
        <w:rPr>
          <w:rFonts w:ascii="Simplified Arabic" w:hAnsi="Simplified Arabic" w:cs="Simplified Arabic"/>
          <w:color w:val="1F1F1F"/>
          <w:sz w:val="32"/>
          <w:szCs w:val="32"/>
          <w:rtl/>
        </w:rPr>
        <w:t xml:space="preserve"> هناك نقص واضح في المهنيين الذين يجمعون بين المعرفة التقنية في إدارة المرافق والفهم العميق لمعايير الاستدامة الدولية.</w:t>
      </w:r>
    </w:p>
    <w:p w14:paraId="6D90BD64" w14:textId="77777777" w:rsidR="00400062" w:rsidRPr="00A524D0" w:rsidRDefault="00400062" w:rsidP="00F96B94">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الحاجة للتدريب المستمر:</w:t>
      </w:r>
      <w:r w:rsidRPr="00A524D0">
        <w:rPr>
          <w:rFonts w:ascii="Simplified Arabic" w:hAnsi="Simplified Arabic" w:cs="Simplified Arabic"/>
          <w:color w:val="1F1F1F"/>
          <w:sz w:val="32"/>
          <w:szCs w:val="32"/>
          <w:rtl/>
        </w:rPr>
        <w:t xml:space="preserve"> سرعة تطور معايير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xml:space="preserve"> (مثل تحديثات </w:t>
      </w:r>
      <w:r w:rsidRPr="00A524D0">
        <w:rPr>
          <w:rFonts w:ascii="Simplified Arabic" w:hAnsi="Simplified Arabic" w:cs="Simplified Arabic"/>
          <w:color w:val="1F1F1F"/>
          <w:sz w:val="32"/>
          <w:szCs w:val="32"/>
        </w:rPr>
        <w:t>GRI</w:t>
      </w:r>
      <w:r w:rsidRPr="00A524D0">
        <w:rPr>
          <w:rFonts w:ascii="Simplified Arabic" w:hAnsi="Simplified Arabic" w:cs="Simplified Arabic"/>
          <w:color w:val="1F1F1F"/>
          <w:sz w:val="32"/>
          <w:szCs w:val="32"/>
          <w:rtl/>
        </w:rPr>
        <w:t xml:space="preserve"> أو بروتوكولات الكربون) تتطلب ميزانيات تدريب مرتفعة قد لا تتوفر دائماً.</w:t>
      </w:r>
    </w:p>
    <w:p w14:paraId="64BE9E09" w14:textId="77777777" w:rsidR="00400062" w:rsidRPr="00A524D0" w:rsidRDefault="00400062"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9.3. التكاليف والاستثمار الأولي</w:t>
      </w:r>
    </w:p>
    <w:p w14:paraId="7FC1B115" w14:textId="77777777" w:rsidR="00400062" w:rsidRPr="00A524D0" w:rsidRDefault="00400062" w:rsidP="00F96B94">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عبء النفقات الرأسمالية (</w:t>
      </w:r>
      <w:r w:rsidRPr="00A524D0">
        <w:rPr>
          <w:rStyle w:val="Strong"/>
          <w:rFonts w:ascii="Simplified Arabic" w:hAnsi="Simplified Arabic" w:cs="Simplified Arabic"/>
          <w:color w:val="1F1F1F"/>
          <w:sz w:val="32"/>
          <w:szCs w:val="32"/>
          <w:bdr w:val="none" w:sz="0" w:space="0" w:color="auto" w:frame="1"/>
        </w:rPr>
        <w:t>CAPEX</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التقنيات الخضراء (مثل الحساسات الذكية، أو أنظمة التبريد الموفرة) تتطلب استثماراً أولياً مرتفعاً، مما يجعل الشركات تركز على الربح قصير الأمد وتتجاهل التوفير طويل الأمد.</w:t>
      </w:r>
    </w:p>
    <w:p w14:paraId="44B36F76" w14:textId="77777777" w:rsidR="00400062" w:rsidRPr="00A524D0" w:rsidRDefault="00400062" w:rsidP="00F96B94">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طول فترة استرداد الاستثمار (</w:t>
      </w:r>
      <w:r w:rsidRPr="00A524D0">
        <w:rPr>
          <w:rStyle w:val="Strong"/>
          <w:rFonts w:ascii="Simplified Arabic" w:hAnsi="Simplified Arabic" w:cs="Simplified Arabic"/>
          <w:color w:val="1F1F1F"/>
          <w:sz w:val="32"/>
          <w:szCs w:val="32"/>
          <w:bdr w:val="none" w:sz="0" w:space="0" w:color="auto" w:frame="1"/>
        </w:rPr>
        <w:t>ROI</w:t>
      </w:r>
      <w:r w:rsidRPr="00A524D0">
        <w:rPr>
          <w:rStyle w:val="Strong"/>
          <w:rFonts w:ascii="Simplified Arabic" w:hAnsi="Simplified Arabic" w:cs="Simplified Arabic"/>
          <w:color w:val="1F1F1F"/>
          <w:sz w:val="32"/>
          <w:szCs w:val="32"/>
          <w:bdr w:val="none" w:sz="0" w:space="0" w:color="auto" w:frame="1"/>
          <w:rtl/>
        </w:rPr>
        <w:t>):</w:t>
      </w:r>
      <w:r w:rsidRPr="00A524D0">
        <w:rPr>
          <w:rFonts w:ascii="Simplified Arabic" w:hAnsi="Simplified Arabic" w:cs="Simplified Arabic"/>
          <w:color w:val="1F1F1F"/>
          <w:sz w:val="32"/>
          <w:szCs w:val="32"/>
          <w:rtl/>
        </w:rPr>
        <w:t xml:space="preserve"> قد تستغرق مبادرات الاستدامة سنوات لاستعادة تكلفتها، وهو ما يمثل تحدياً في إقناع أصحاب القرار الماليين.</w:t>
      </w:r>
    </w:p>
    <w:p w14:paraId="32C7CCDF" w14:textId="77777777" w:rsidR="00400062" w:rsidRPr="00A524D0" w:rsidRDefault="00400062"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9.4. مقاومة التغيير وغياب الوعي</w:t>
      </w:r>
    </w:p>
    <w:p w14:paraId="360B5A08" w14:textId="77777777" w:rsidR="00400062" w:rsidRPr="00A524D0" w:rsidRDefault="00400062" w:rsidP="00F96B94">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الثقافة المؤسسية:</w:t>
      </w:r>
      <w:r w:rsidRPr="00A524D0">
        <w:rPr>
          <w:rFonts w:ascii="Simplified Arabic" w:hAnsi="Simplified Arabic" w:cs="Simplified Arabic"/>
          <w:color w:val="1F1F1F"/>
          <w:sz w:val="32"/>
          <w:szCs w:val="32"/>
          <w:rtl/>
        </w:rPr>
        <w:t xml:space="preserve"> غالباً ما يُنظر إلى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xml:space="preserve"> كعبء إداري إضافي من قبل الموظفين الميدانيين.</w:t>
      </w:r>
    </w:p>
    <w:p w14:paraId="6C89C8A2" w14:textId="77777777" w:rsidR="00400062" w:rsidRPr="00A524D0" w:rsidRDefault="00400062" w:rsidP="00F96B94">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lastRenderedPageBreak/>
        <w:t>ضعف الوعي:</w:t>
      </w:r>
      <w:r w:rsidRPr="00A524D0">
        <w:rPr>
          <w:rFonts w:ascii="Simplified Arabic" w:hAnsi="Simplified Arabic" w:cs="Simplified Arabic"/>
          <w:color w:val="1F1F1F"/>
          <w:sz w:val="32"/>
          <w:szCs w:val="32"/>
          <w:rtl/>
        </w:rPr>
        <w:t xml:space="preserve"> غياب فهم العلاقة بين السلوك اليومي (مثل ترك الإضاءة تعمل) والأهداف الكبرى للشركة يؤدي إلى فشل المبادرات رغم وجود التقنيات.</w:t>
      </w:r>
    </w:p>
    <w:p w14:paraId="7CE2E5FC" w14:textId="77777777" w:rsidR="00400062" w:rsidRPr="00A524D0" w:rsidRDefault="00400062" w:rsidP="00F96B94">
      <w:pPr>
        <w:pStyle w:val="Heading2"/>
        <w:spacing w:before="0" w:after="120" w:line="360" w:lineRule="auto"/>
        <w:rPr>
          <w:rFonts w:ascii="Simplified Arabic" w:eastAsia="Times New Roman" w:hAnsi="Simplified Arabic" w:cs="Simplified Arabic"/>
          <w:color w:val="1F1F1F"/>
          <w:rtl/>
        </w:rPr>
      </w:pPr>
      <w:r w:rsidRPr="00A524D0">
        <w:rPr>
          <w:rFonts w:ascii="Simplified Arabic" w:eastAsia="Times New Roman" w:hAnsi="Simplified Arabic" w:cs="Simplified Arabic"/>
          <w:color w:val="1F1F1F"/>
          <w:rtl/>
        </w:rPr>
        <w:t>المحور العاشر: الدراسات السابقة المتعلقة بمؤشرات الأداء المستدام (</w:t>
      </w:r>
      <w:r w:rsidRPr="00A524D0">
        <w:rPr>
          <w:rFonts w:ascii="Simplified Arabic" w:eastAsia="Times New Roman" w:hAnsi="Simplified Arabic" w:cs="Simplified Arabic"/>
          <w:color w:val="1F1F1F"/>
        </w:rPr>
        <w:t>Literature Review</w:t>
      </w:r>
      <w:r w:rsidRPr="00A524D0">
        <w:rPr>
          <w:rFonts w:ascii="Simplified Arabic" w:eastAsia="Times New Roman" w:hAnsi="Simplified Arabic" w:cs="Simplified Arabic"/>
          <w:color w:val="1F1F1F"/>
          <w:rtl/>
        </w:rPr>
        <w:t>)</w:t>
      </w:r>
    </w:p>
    <w:p w14:paraId="279DED68" w14:textId="77777777" w:rsidR="00400062" w:rsidRPr="00A524D0" w:rsidRDefault="00400062" w:rsidP="00F96B94">
      <w:pPr>
        <w:pStyle w:val="NormalWeb"/>
        <w:bidi/>
        <w:spacing w:before="0" w:beforeAutospacing="0" w:after="24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يعتبر البحث العلمي ركيزة أساسية لتطوير نماذج قياس فعالة وموثوقة.</w:t>
      </w:r>
    </w:p>
    <w:p w14:paraId="70A9882B" w14:textId="77777777" w:rsidR="00400062" w:rsidRPr="00A524D0" w:rsidRDefault="00400062"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 xml:space="preserve">10.1. العلاقة بين </w:t>
      </w:r>
      <w:r w:rsidRPr="00A524D0">
        <w:rPr>
          <w:rFonts w:ascii="Simplified Arabic" w:eastAsia="Times New Roman" w:hAnsi="Simplified Arabic" w:cs="Simplified Arabic"/>
          <w:color w:val="1F1F1F"/>
          <w:sz w:val="32"/>
          <w:szCs w:val="32"/>
        </w:rPr>
        <w:t>ESG</w:t>
      </w:r>
      <w:r w:rsidRPr="00A524D0">
        <w:rPr>
          <w:rFonts w:ascii="Simplified Arabic" w:eastAsia="Times New Roman" w:hAnsi="Simplified Arabic" w:cs="Simplified Arabic"/>
          <w:color w:val="1F1F1F"/>
          <w:sz w:val="32"/>
          <w:szCs w:val="32"/>
          <w:rtl/>
        </w:rPr>
        <w:t xml:space="preserve"> والأداء المالي في الأسواق الناشئة</w:t>
      </w:r>
    </w:p>
    <w:p w14:paraId="32D9CE36" w14:textId="77777777" w:rsidR="00400062" w:rsidRPr="00A524D0" w:rsidRDefault="00400062" w:rsidP="00F96B94">
      <w:pPr>
        <w:pStyle w:val="NormalWeb"/>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الإجماع العلمي:</w:t>
      </w:r>
      <w:r w:rsidRPr="00A524D0">
        <w:rPr>
          <w:rFonts w:ascii="Simplified Arabic" w:hAnsi="Simplified Arabic" w:cs="Simplified Arabic"/>
          <w:color w:val="1F1F1F"/>
          <w:sz w:val="32"/>
          <w:szCs w:val="32"/>
          <w:rtl/>
        </w:rPr>
        <w:t xml:space="preserve"> تشير أغلب الدراسات الحديثة إلى وجود علاقة طردية قوية بين الإفصاح عن معايير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xml:space="preserve"> وتحسين القيمة المالية للشركات (</w:t>
      </w:r>
      <w:r w:rsidRPr="00A524D0">
        <w:rPr>
          <w:rFonts w:ascii="Simplified Arabic" w:hAnsi="Simplified Arabic" w:cs="Simplified Arabic"/>
          <w:color w:val="1F1F1F"/>
          <w:sz w:val="32"/>
          <w:szCs w:val="32"/>
        </w:rPr>
        <w:t>Value Creation</w:t>
      </w:r>
      <w:r w:rsidRPr="00A524D0">
        <w:rPr>
          <w:rFonts w:ascii="Simplified Arabic" w:hAnsi="Simplified Arabic" w:cs="Simplified Arabic"/>
          <w:color w:val="1F1F1F"/>
          <w:sz w:val="32"/>
          <w:szCs w:val="32"/>
          <w:rtl/>
        </w:rPr>
        <w:t>).</w:t>
      </w:r>
    </w:p>
    <w:p w14:paraId="68C8B95E" w14:textId="77777777" w:rsidR="00400062" w:rsidRPr="00A524D0" w:rsidRDefault="00400062" w:rsidP="00F96B94">
      <w:pPr>
        <w:pStyle w:val="NormalWeb"/>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في الأسواق الناشئة:</w:t>
      </w:r>
      <w:r w:rsidRPr="00A524D0">
        <w:rPr>
          <w:rFonts w:ascii="Simplified Arabic" w:hAnsi="Simplified Arabic" w:cs="Simplified Arabic"/>
          <w:color w:val="1F1F1F"/>
          <w:sz w:val="32"/>
          <w:szCs w:val="32"/>
          <w:rtl/>
        </w:rPr>
        <w:t xml:space="preserve"> أثبتت الدراسات أن الشركات التي تلتزم بالاستدامة تكون أقل عرضة للتقلبات المالية، وأكثر قدرة على جذب الاستثمارات الأجنبية المباشرة (</w:t>
      </w:r>
      <w:r w:rsidRPr="00A524D0">
        <w:rPr>
          <w:rFonts w:ascii="Simplified Arabic" w:hAnsi="Simplified Arabic" w:cs="Simplified Arabic"/>
          <w:color w:val="1F1F1F"/>
          <w:sz w:val="32"/>
          <w:szCs w:val="32"/>
        </w:rPr>
        <w:t>FDI</w:t>
      </w:r>
      <w:r w:rsidRPr="00A524D0">
        <w:rPr>
          <w:rFonts w:ascii="Simplified Arabic" w:hAnsi="Simplified Arabic" w:cs="Simplified Arabic"/>
          <w:color w:val="1F1F1F"/>
          <w:sz w:val="32"/>
          <w:szCs w:val="32"/>
          <w:rtl/>
        </w:rPr>
        <w:t>) نظراً للشفافية العالية.</w:t>
      </w:r>
    </w:p>
    <w:p w14:paraId="777C3D7C" w14:textId="77777777" w:rsidR="00400062" w:rsidRPr="00A524D0" w:rsidRDefault="00400062"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10.2. تطوير مؤشرات أداء خاصة بقطاع البناء والتشغيل</w:t>
      </w:r>
    </w:p>
    <w:p w14:paraId="744FC54A" w14:textId="77777777" w:rsidR="00400062" w:rsidRPr="00A524D0" w:rsidRDefault="00400062" w:rsidP="00F96B94">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الدراسات القطاعية:</w:t>
      </w:r>
      <w:r w:rsidRPr="00A524D0">
        <w:rPr>
          <w:rFonts w:ascii="Simplified Arabic" w:hAnsi="Simplified Arabic" w:cs="Simplified Arabic"/>
          <w:color w:val="1F1F1F"/>
          <w:sz w:val="32"/>
          <w:szCs w:val="32"/>
          <w:rtl/>
        </w:rPr>
        <w:t xml:space="preserve"> ركزت الأبحاث المتخصصة على أن مؤشرات الأداء التقليدية لا تكفي لقطاع إدارة المرافق، وظهرت نماذج بحثية تدعو لدمج "مؤشرات جودة الحياة" (</w:t>
      </w:r>
      <w:r w:rsidRPr="00A524D0">
        <w:rPr>
          <w:rFonts w:ascii="Simplified Arabic" w:hAnsi="Simplified Arabic" w:cs="Simplified Arabic"/>
          <w:color w:val="1F1F1F"/>
          <w:sz w:val="32"/>
          <w:szCs w:val="32"/>
        </w:rPr>
        <w:t>Well-being KPIs</w:t>
      </w:r>
      <w:r w:rsidRPr="00A524D0">
        <w:rPr>
          <w:rFonts w:ascii="Simplified Arabic" w:hAnsi="Simplified Arabic" w:cs="Simplified Arabic"/>
          <w:color w:val="1F1F1F"/>
          <w:sz w:val="32"/>
          <w:szCs w:val="32"/>
          <w:rtl/>
        </w:rPr>
        <w:t>) ضمن تقييمات المباني.</w:t>
      </w:r>
    </w:p>
    <w:p w14:paraId="3350A2D7" w14:textId="77777777" w:rsidR="00400062" w:rsidRPr="00A524D0" w:rsidRDefault="00400062" w:rsidP="00F96B94">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lastRenderedPageBreak/>
        <w:t>أثر الصيانة الوقائية:</w:t>
      </w:r>
      <w:r w:rsidRPr="00A524D0">
        <w:rPr>
          <w:rFonts w:ascii="Simplified Arabic" w:hAnsi="Simplified Arabic" w:cs="Simplified Arabic"/>
          <w:color w:val="1F1F1F"/>
          <w:sz w:val="32"/>
          <w:szCs w:val="32"/>
          <w:rtl/>
        </w:rPr>
        <w:t xml:space="preserve"> أثبتت الدراسات أن الصيانة القائمة على الحالة (</w:t>
      </w:r>
      <w:r w:rsidRPr="00A524D0">
        <w:rPr>
          <w:rFonts w:ascii="Simplified Arabic" w:hAnsi="Simplified Arabic" w:cs="Simplified Arabic"/>
          <w:color w:val="1F1F1F"/>
          <w:sz w:val="32"/>
          <w:szCs w:val="32"/>
        </w:rPr>
        <w:t>Condition-based Maintenance</w:t>
      </w:r>
      <w:r w:rsidRPr="00A524D0">
        <w:rPr>
          <w:rFonts w:ascii="Simplified Arabic" w:hAnsi="Simplified Arabic" w:cs="Simplified Arabic"/>
          <w:color w:val="1F1F1F"/>
          <w:sz w:val="32"/>
          <w:szCs w:val="32"/>
          <w:rtl/>
        </w:rPr>
        <w:t>) المدعومة بالذكاء الاصطناعي تقلل البصمة الكربونية للمباني بنسب تتراوح بين 15-25%.</w:t>
      </w:r>
    </w:p>
    <w:p w14:paraId="3783EECB" w14:textId="77777777" w:rsidR="00400062" w:rsidRPr="00A524D0" w:rsidRDefault="00400062" w:rsidP="00F96B94">
      <w:pPr>
        <w:pStyle w:val="Heading3"/>
        <w:spacing w:before="0" w:after="120" w:line="360" w:lineRule="auto"/>
        <w:rPr>
          <w:rFonts w:ascii="Simplified Arabic" w:eastAsia="Times New Roman" w:hAnsi="Simplified Arabic" w:cs="Simplified Arabic"/>
          <w:color w:val="1F1F1F"/>
          <w:sz w:val="32"/>
          <w:szCs w:val="32"/>
          <w:rtl/>
        </w:rPr>
      </w:pPr>
      <w:r w:rsidRPr="00A524D0">
        <w:rPr>
          <w:rFonts w:ascii="Simplified Arabic" w:eastAsia="Times New Roman" w:hAnsi="Simplified Arabic" w:cs="Simplified Arabic"/>
          <w:color w:val="1F1F1F"/>
          <w:sz w:val="32"/>
          <w:szCs w:val="32"/>
          <w:rtl/>
        </w:rPr>
        <w:t>10.3. مقارنة الأطر المنهجية والأدوات</w:t>
      </w:r>
    </w:p>
    <w:p w14:paraId="5B6CAFAC" w14:textId="77777777" w:rsidR="00400062" w:rsidRPr="00A524D0" w:rsidRDefault="00400062" w:rsidP="00F96B94">
      <w:pPr>
        <w:pStyle w:val="NormalWeb"/>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تعدد المنهجيات:</w:t>
      </w:r>
      <w:r w:rsidRPr="00A524D0">
        <w:rPr>
          <w:rFonts w:ascii="Simplified Arabic" w:hAnsi="Simplified Arabic" w:cs="Simplified Arabic"/>
          <w:color w:val="1F1F1F"/>
          <w:sz w:val="32"/>
          <w:szCs w:val="32"/>
          <w:rtl/>
        </w:rPr>
        <w:t xml:space="preserve"> قارنت الدراسات بين أدوات التقييم المختلفة مثل (</w:t>
      </w:r>
      <w:r w:rsidRPr="00A524D0">
        <w:rPr>
          <w:rFonts w:ascii="Simplified Arabic" w:hAnsi="Simplified Arabic" w:cs="Simplified Arabic"/>
          <w:color w:val="1F1F1F"/>
          <w:sz w:val="32"/>
          <w:szCs w:val="32"/>
        </w:rPr>
        <w:t>LEED</w:t>
      </w:r>
      <w:r w:rsidRPr="00A524D0">
        <w:rPr>
          <w:rFonts w:ascii="Simplified Arabic" w:hAnsi="Simplified Arabic" w:cs="Simplified Arabic"/>
          <w:color w:val="1F1F1F"/>
          <w:sz w:val="32"/>
          <w:szCs w:val="32"/>
          <w:rtl/>
        </w:rPr>
        <w:t xml:space="preserve"> للتشغيل والصيانة) مقابل (</w:t>
      </w:r>
      <w:r w:rsidRPr="00A524D0">
        <w:rPr>
          <w:rFonts w:ascii="Simplified Arabic" w:hAnsi="Simplified Arabic" w:cs="Simplified Arabic"/>
          <w:color w:val="1F1F1F"/>
          <w:sz w:val="32"/>
          <w:szCs w:val="32"/>
        </w:rPr>
        <w:t>BREEAM</w:t>
      </w:r>
      <w:r w:rsidRPr="00A524D0">
        <w:rPr>
          <w:rFonts w:ascii="Simplified Arabic" w:hAnsi="Simplified Arabic" w:cs="Simplified Arabic"/>
          <w:color w:val="1F1F1F"/>
          <w:sz w:val="32"/>
          <w:szCs w:val="32"/>
          <w:rtl/>
        </w:rPr>
        <w:t>)، وخلصت إلى أن الدمج بين الأطر العالمية والاحتياجات المحلية هو الأسلوب الأكثر نجاحاً.</w:t>
      </w:r>
    </w:p>
    <w:p w14:paraId="26214FF5" w14:textId="57A325FB" w:rsidR="009B14FF" w:rsidRPr="0095700A" w:rsidRDefault="00400062" w:rsidP="0095700A">
      <w:pPr>
        <w:pStyle w:val="NormalWeb"/>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أدوات القياس الرقمية:</w:t>
      </w:r>
      <w:r w:rsidRPr="00A524D0">
        <w:rPr>
          <w:rFonts w:ascii="Simplified Arabic" w:hAnsi="Simplified Arabic" w:cs="Simplified Arabic"/>
          <w:color w:val="1F1F1F"/>
          <w:sz w:val="32"/>
          <w:szCs w:val="32"/>
          <w:rtl/>
        </w:rPr>
        <w:t xml:space="preserve"> ركزت الدراسات الأخيرة على دور "التوأم الرقمي" (</w:t>
      </w:r>
      <w:r w:rsidRPr="00A524D0">
        <w:rPr>
          <w:rFonts w:ascii="Simplified Arabic" w:hAnsi="Simplified Arabic" w:cs="Simplified Arabic"/>
          <w:color w:val="1F1F1F"/>
          <w:sz w:val="32"/>
          <w:szCs w:val="32"/>
        </w:rPr>
        <w:t>Digital Twin</w:t>
      </w:r>
      <w:r w:rsidRPr="00A524D0">
        <w:rPr>
          <w:rFonts w:ascii="Simplified Arabic" w:hAnsi="Simplified Arabic" w:cs="Simplified Arabic"/>
          <w:color w:val="1F1F1F"/>
          <w:sz w:val="32"/>
          <w:szCs w:val="32"/>
          <w:rtl/>
        </w:rPr>
        <w:t xml:space="preserve">) في محاكاة أداء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xml:space="preserve"> قبل التطبيق الفعلي، مما يقلل من مخاطر الفشل التشغيلي.</w:t>
      </w:r>
    </w:p>
    <w:p w14:paraId="6D124AF6" w14:textId="27048484" w:rsidR="00935D0B" w:rsidRPr="00A524D0" w:rsidRDefault="00935D0B" w:rsidP="00F96B94">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A524D0">
        <w:rPr>
          <w:rFonts w:ascii="Simplified Arabic" w:eastAsia="Times New Roman" w:hAnsi="Simplified Arabic" w:cs="Simplified Arabic"/>
          <w:color w:val="1F1F1F"/>
          <w:sz w:val="32"/>
          <w:szCs w:val="32"/>
          <w:rtl/>
        </w:rPr>
        <w:t xml:space="preserve">الخاتمة: </w:t>
      </w:r>
    </w:p>
    <w:p w14:paraId="71D2A066" w14:textId="77777777" w:rsidR="00935D0B" w:rsidRPr="00A524D0" w:rsidRDefault="00935D0B" w:rsidP="00F96B94">
      <w:pPr>
        <w:pStyle w:val="NormalWeb"/>
        <w:bidi/>
        <w:spacing w:before="0" w:beforeAutospacing="0" w:after="24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في ختام هذا الاستعراض الشامل لمحاور الاستدامة المؤسسية ومعايير الأداء البيئي والاجتماعي والحوكمة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يتضح جلياً أننا نعيش مرحلة انتقالية كبرى؛ حيث لم يعد يُنظر إلى الاستدامة كرفاهية مؤسسية أو مجرد بنود في تقارير العلاقات العامة، بل تحولت إلى ركيزة أساسية لضمان الاستمرارية المالية والتشغيلية في عالم يواجه تحديات مناخية واجتماعية غير مسبوقة.</w:t>
      </w:r>
    </w:p>
    <w:p w14:paraId="38604B96" w14:textId="77777777" w:rsidR="00935D0B" w:rsidRPr="00A524D0" w:rsidRDefault="00935D0B" w:rsidP="00F96B94">
      <w:pPr>
        <w:pStyle w:val="NormalWeb"/>
        <w:bidi/>
        <w:spacing w:before="0" w:beforeAutospacing="0" w:after="12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lastRenderedPageBreak/>
        <w:t>إن قطاع إدارة المرافق (</w:t>
      </w:r>
      <w:r w:rsidRPr="00A524D0">
        <w:rPr>
          <w:rFonts w:ascii="Simplified Arabic" w:hAnsi="Simplified Arabic" w:cs="Simplified Arabic"/>
          <w:color w:val="1F1F1F"/>
          <w:sz w:val="32"/>
          <w:szCs w:val="32"/>
        </w:rPr>
        <w:t>Facility Management</w:t>
      </w:r>
      <w:r w:rsidRPr="00A524D0">
        <w:rPr>
          <w:rFonts w:ascii="Simplified Arabic" w:hAnsi="Simplified Arabic" w:cs="Simplified Arabic"/>
          <w:color w:val="1F1F1F"/>
          <w:sz w:val="32"/>
          <w:szCs w:val="32"/>
          <w:rtl/>
        </w:rPr>
        <w:t>) يقع اليوم في "قلب العاصفة" الإيجابية لهذا التحول؛ فهو القطاع المسؤول عن إدارة الأصول التي تستهلك الجزء الأكبر من موارد الكوكب. ومن خلال استعراضنا للمؤشرات التطبيقية، تبين أن دمج معايير (</w:t>
      </w:r>
      <w:r w:rsidRPr="00A524D0">
        <w:rPr>
          <w:rFonts w:ascii="Simplified Arabic" w:hAnsi="Simplified Arabic" w:cs="Simplified Arabic"/>
          <w:color w:val="1F1F1F"/>
          <w:sz w:val="32"/>
          <w:szCs w:val="32"/>
        </w:rPr>
        <w:t>ESG</w:t>
      </w:r>
      <w:r w:rsidRPr="00A524D0">
        <w:rPr>
          <w:rFonts w:ascii="Simplified Arabic" w:hAnsi="Simplified Arabic" w:cs="Simplified Arabic"/>
          <w:color w:val="1F1F1F"/>
          <w:sz w:val="32"/>
          <w:szCs w:val="32"/>
          <w:rtl/>
        </w:rPr>
        <w:t>) في صلب عمليات إدارة المرافق يساهم في:</w:t>
      </w:r>
    </w:p>
    <w:p w14:paraId="61408DEF" w14:textId="77777777" w:rsidR="00935D0B" w:rsidRPr="00A524D0" w:rsidRDefault="00935D0B" w:rsidP="00F96B94">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تحقيق الكفاءة القصوى:</w:t>
      </w:r>
      <w:r w:rsidRPr="00A524D0">
        <w:rPr>
          <w:rFonts w:ascii="Simplified Arabic" w:hAnsi="Simplified Arabic" w:cs="Simplified Arabic"/>
          <w:color w:val="1F1F1F"/>
          <w:sz w:val="32"/>
          <w:szCs w:val="32"/>
          <w:rtl/>
        </w:rPr>
        <w:t xml:space="preserve"> عبر تحويل المباني إلى وحدات ذكية موفرة للطاقة والمياه.</w:t>
      </w:r>
    </w:p>
    <w:p w14:paraId="0491FEDE" w14:textId="77777777" w:rsidR="00935D0B" w:rsidRPr="00A524D0" w:rsidRDefault="00935D0B" w:rsidP="00F96B94">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تعزيز القيمة الإنسانية:</w:t>
      </w:r>
      <w:r w:rsidRPr="00A524D0">
        <w:rPr>
          <w:rFonts w:ascii="Simplified Arabic" w:hAnsi="Simplified Arabic" w:cs="Simplified Arabic"/>
          <w:color w:val="1F1F1F"/>
          <w:sz w:val="32"/>
          <w:szCs w:val="32"/>
          <w:rtl/>
        </w:rPr>
        <w:t xml:space="preserve"> من خلال خلق بيئات عمل صحية وآمنة تدعم الإنتاجية وتحترم التنوع.</w:t>
      </w:r>
    </w:p>
    <w:p w14:paraId="6FEB337B" w14:textId="77777777" w:rsidR="00935D0B" w:rsidRPr="00A524D0" w:rsidRDefault="00935D0B" w:rsidP="00F96B94">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A524D0">
        <w:rPr>
          <w:rStyle w:val="Strong"/>
          <w:rFonts w:ascii="Simplified Arabic" w:hAnsi="Simplified Arabic" w:cs="Simplified Arabic"/>
          <w:color w:val="1F1F1F"/>
          <w:sz w:val="32"/>
          <w:szCs w:val="32"/>
          <w:bdr w:val="none" w:sz="0" w:space="0" w:color="auto" w:frame="1"/>
          <w:rtl/>
        </w:rPr>
        <w:t>ترسيخ الثقة والمصداقية:</w:t>
      </w:r>
      <w:r w:rsidRPr="00A524D0">
        <w:rPr>
          <w:rFonts w:ascii="Simplified Arabic" w:hAnsi="Simplified Arabic" w:cs="Simplified Arabic"/>
          <w:color w:val="1F1F1F"/>
          <w:sz w:val="32"/>
          <w:szCs w:val="32"/>
          <w:rtl/>
        </w:rPr>
        <w:t xml:space="preserve"> عبر تبني نظم حوكمة شفافة ومسؤولة تحمي حقوق المساهمين والمجتمع على حد سواء.</w:t>
      </w:r>
    </w:p>
    <w:p w14:paraId="2D22F5AA" w14:textId="77777777" w:rsidR="00935D0B" w:rsidRPr="00A524D0" w:rsidRDefault="00935D0B" w:rsidP="00F96B94">
      <w:pPr>
        <w:pStyle w:val="NormalWeb"/>
        <w:bidi/>
        <w:spacing w:before="0" w:beforeAutospacing="0" w:after="240" w:afterAutospacing="0" w:line="360" w:lineRule="auto"/>
        <w:rPr>
          <w:rFonts w:ascii="Simplified Arabic" w:hAnsi="Simplified Arabic" w:cs="Simplified Arabic"/>
          <w:color w:val="1F1F1F"/>
          <w:sz w:val="32"/>
          <w:szCs w:val="32"/>
          <w:rtl/>
        </w:rPr>
      </w:pPr>
      <w:r w:rsidRPr="00A524D0">
        <w:rPr>
          <w:rFonts w:ascii="Simplified Arabic" w:hAnsi="Simplified Arabic" w:cs="Simplified Arabic"/>
          <w:color w:val="1F1F1F"/>
          <w:sz w:val="32"/>
          <w:szCs w:val="32"/>
          <w:rtl/>
        </w:rPr>
        <w:t>وبالنظر إلى السياق السعودي، نجد أن "رؤية المملكة 2030" قد وضعت خارطة طريق طموحة جعلت من الاستدامة ممارسة وطنية شاملة. إن التحديات المناخية والتشغيلية في المنطقة لا ينبغي أن تُعامل كعوائق، بل كفرص للابتكار وقيادة التحول الرقمي في قطاع إدارة المرافق، مما يجعل المملكة نموذجاً عالمياً يحتذى به في المبادرات الخضراء.</w:t>
      </w:r>
    </w:p>
    <w:p w14:paraId="7D21E6D2" w14:textId="77777777" w:rsidR="00A524D0" w:rsidRPr="00A524D0" w:rsidRDefault="00A524D0"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718C03A9" w14:textId="77777777" w:rsidR="00A524D0" w:rsidRPr="00A524D0" w:rsidRDefault="00A524D0"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p w14:paraId="67D2806B" w14:textId="77777777" w:rsidR="00A524D0" w:rsidRPr="00A524D0" w:rsidRDefault="00A524D0" w:rsidP="00F96B94">
      <w:pPr>
        <w:pStyle w:val="Heading1"/>
        <w:bidi/>
        <w:spacing w:before="0" w:beforeAutospacing="0" w:after="120" w:afterAutospacing="0" w:line="360" w:lineRule="auto"/>
        <w:rPr>
          <w:rFonts w:ascii="Simplified Arabic" w:eastAsia="Times New Roman" w:hAnsi="Simplified Arabic" w:cs="Simplified Arabic"/>
          <w:color w:val="1B1C1D"/>
          <w:sz w:val="32"/>
          <w:szCs w:val="32"/>
          <w:rtl/>
        </w:rPr>
      </w:pPr>
    </w:p>
    <w:sectPr w:rsidR="00A524D0" w:rsidRPr="00A524D0"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EBC79" w14:textId="77777777" w:rsidR="007E5AD7" w:rsidRDefault="007E5AD7" w:rsidP="009125CE">
      <w:pPr>
        <w:spacing w:after="0" w:line="240" w:lineRule="auto"/>
      </w:pPr>
      <w:r>
        <w:separator/>
      </w:r>
    </w:p>
  </w:endnote>
  <w:endnote w:type="continuationSeparator" w:id="0">
    <w:p w14:paraId="280F84E2" w14:textId="77777777" w:rsidR="007E5AD7" w:rsidRDefault="007E5AD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519397180"/>
      <w:docPartObj>
        <w:docPartGallery w:val="Page Numbers (Bottom of Page)"/>
        <w:docPartUnique/>
      </w:docPartObj>
    </w:sdtPr>
    <w:sdtContent>
      <w:p w14:paraId="6AF56B40" w14:textId="4825E316" w:rsidR="008537EF" w:rsidRDefault="008537EF" w:rsidP="00CA6BEA">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35BFC18B" w14:textId="77777777" w:rsidR="008537EF" w:rsidRDefault="008537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614713395"/>
      <w:docPartObj>
        <w:docPartGallery w:val="Page Numbers (Bottom of Page)"/>
        <w:docPartUnique/>
      </w:docPartObj>
    </w:sdtPr>
    <w:sdtContent>
      <w:p w14:paraId="799D27E3" w14:textId="22ED453B" w:rsidR="008537EF" w:rsidRDefault="008537EF" w:rsidP="00CA6BEA">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38E5230C" w14:textId="77777777" w:rsidR="008537EF" w:rsidRDefault="00853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AE7A7" w14:textId="77777777" w:rsidR="007E5AD7" w:rsidRDefault="007E5AD7" w:rsidP="009125CE">
      <w:pPr>
        <w:spacing w:after="0" w:line="240" w:lineRule="auto"/>
      </w:pPr>
      <w:r>
        <w:separator/>
      </w:r>
    </w:p>
  </w:footnote>
  <w:footnote w:type="continuationSeparator" w:id="0">
    <w:p w14:paraId="47913B8C" w14:textId="77777777" w:rsidR="007E5AD7" w:rsidRDefault="007E5AD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69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A3A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F41B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2B5ED6"/>
    <w:multiLevelType w:val="hybridMultilevel"/>
    <w:tmpl w:val="110AF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2C0B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AB5D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CA38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7001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5A138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6110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FB31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E72B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3F1B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7F59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3941A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B408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0A39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F35D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8D7A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AD43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067E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FE53A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F45C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541E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5D74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AD7A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2339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850B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B36A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9B19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2D6A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6234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B22C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2F08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E433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1426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2079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6D5F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A717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1C1E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D407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F10B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5E5F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4329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A2954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4045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6C2B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8275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FBE79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754A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25B36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7651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BC21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C435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E714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94861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4661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2E2C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6670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1D56B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CC50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92031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D360AC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E1563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7422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18960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B156E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54E07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9A163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A6E2A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835188">
    <w:abstractNumId w:val="9"/>
  </w:num>
  <w:num w:numId="2" w16cid:durableId="2101681368">
    <w:abstractNumId w:val="57"/>
  </w:num>
  <w:num w:numId="3" w16cid:durableId="1080909064">
    <w:abstractNumId w:val="38"/>
  </w:num>
  <w:num w:numId="4" w16cid:durableId="1945570577">
    <w:abstractNumId w:val="11"/>
  </w:num>
  <w:num w:numId="5" w16cid:durableId="674114095">
    <w:abstractNumId w:val="1"/>
  </w:num>
  <w:num w:numId="6" w16cid:durableId="234242601">
    <w:abstractNumId w:val="2"/>
  </w:num>
  <w:num w:numId="7" w16cid:durableId="1148593875">
    <w:abstractNumId w:val="60"/>
  </w:num>
  <w:num w:numId="8" w16cid:durableId="1132675403">
    <w:abstractNumId w:val="34"/>
  </w:num>
  <w:num w:numId="9" w16cid:durableId="165050714">
    <w:abstractNumId w:val="39"/>
  </w:num>
  <w:num w:numId="10" w16cid:durableId="1068724036">
    <w:abstractNumId w:val="21"/>
  </w:num>
  <w:num w:numId="11" w16cid:durableId="269047704">
    <w:abstractNumId w:val="54"/>
  </w:num>
  <w:num w:numId="12" w16cid:durableId="991058581">
    <w:abstractNumId w:val="35"/>
  </w:num>
  <w:num w:numId="13" w16cid:durableId="545028925">
    <w:abstractNumId w:val="41"/>
  </w:num>
  <w:num w:numId="14" w16cid:durableId="1802650256">
    <w:abstractNumId w:val="29"/>
  </w:num>
  <w:num w:numId="15" w16cid:durableId="1542327630">
    <w:abstractNumId w:val="47"/>
  </w:num>
  <w:num w:numId="16" w16cid:durableId="1639071792">
    <w:abstractNumId w:val="7"/>
  </w:num>
  <w:num w:numId="17" w16cid:durableId="752165251">
    <w:abstractNumId w:val="26"/>
  </w:num>
  <w:num w:numId="18" w16cid:durableId="561333264">
    <w:abstractNumId w:val="52"/>
  </w:num>
  <w:num w:numId="19" w16cid:durableId="499858872">
    <w:abstractNumId w:val="51"/>
  </w:num>
  <w:num w:numId="20" w16cid:durableId="389156885">
    <w:abstractNumId w:val="13"/>
  </w:num>
  <w:num w:numId="21" w16cid:durableId="1595279759">
    <w:abstractNumId w:val="28"/>
  </w:num>
  <w:num w:numId="22" w16cid:durableId="348873830">
    <w:abstractNumId w:val="55"/>
  </w:num>
  <w:num w:numId="23" w16cid:durableId="889027459">
    <w:abstractNumId w:val="61"/>
  </w:num>
  <w:num w:numId="24" w16cid:durableId="1258909633">
    <w:abstractNumId w:val="25"/>
  </w:num>
  <w:num w:numId="25" w16cid:durableId="994803116">
    <w:abstractNumId w:val="3"/>
  </w:num>
  <w:num w:numId="26" w16cid:durableId="1618297639">
    <w:abstractNumId w:val="62"/>
  </w:num>
  <w:num w:numId="27" w16cid:durableId="706490895">
    <w:abstractNumId w:val="4"/>
  </w:num>
  <w:num w:numId="28" w16cid:durableId="450823582">
    <w:abstractNumId w:val="14"/>
  </w:num>
  <w:num w:numId="29" w16cid:durableId="1946619648">
    <w:abstractNumId w:val="22"/>
  </w:num>
  <w:num w:numId="30" w16cid:durableId="1132288583">
    <w:abstractNumId w:val="16"/>
  </w:num>
  <w:num w:numId="31" w16cid:durableId="1650089460">
    <w:abstractNumId w:val="20"/>
  </w:num>
  <w:num w:numId="32" w16cid:durableId="1568760233">
    <w:abstractNumId w:val="12"/>
  </w:num>
  <w:num w:numId="33" w16cid:durableId="1757749926">
    <w:abstractNumId w:val="43"/>
  </w:num>
  <w:num w:numId="34" w16cid:durableId="1055084995">
    <w:abstractNumId w:val="67"/>
  </w:num>
  <w:num w:numId="35" w16cid:durableId="2094350911">
    <w:abstractNumId w:val="68"/>
  </w:num>
  <w:num w:numId="36" w16cid:durableId="262762457">
    <w:abstractNumId w:val="36"/>
  </w:num>
  <w:num w:numId="37" w16cid:durableId="910120652">
    <w:abstractNumId w:val="42"/>
  </w:num>
  <w:num w:numId="38" w16cid:durableId="1199666844">
    <w:abstractNumId w:val="10"/>
  </w:num>
  <w:num w:numId="39" w16cid:durableId="1341196010">
    <w:abstractNumId w:val="15"/>
  </w:num>
  <w:num w:numId="40" w16cid:durableId="639924674">
    <w:abstractNumId w:val="58"/>
  </w:num>
  <w:num w:numId="41" w16cid:durableId="87510528">
    <w:abstractNumId w:val="8"/>
  </w:num>
  <w:num w:numId="42" w16cid:durableId="256794975">
    <w:abstractNumId w:val="45"/>
  </w:num>
  <w:num w:numId="43" w16cid:durableId="1297949181">
    <w:abstractNumId w:val="48"/>
  </w:num>
  <w:num w:numId="44" w16cid:durableId="890069608">
    <w:abstractNumId w:val="17"/>
  </w:num>
  <w:num w:numId="45" w16cid:durableId="784694763">
    <w:abstractNumId w:val="65"/>
  </w:num>
  <w:num w:numId="46" w16cid:durableId="997686029">
    <w:abstractNumId w:val="66"/>
  </w:num>
  <w:num w:numId="47" w16cid:durableId="452752886">
    <w:abstractNumId w:val="63"/>
  </w:num>
  <w:num w:numId="48" w16cid:durableId="2094158878">
    <w:abstractNumId w:val="32"/>
  </w:num>
  <w:num w:numId="49" w16cid:durableId="1876429611">
    <w:abstractNumId w:val="53"/>
  </w:num>
  <w:num w:numId="50" w16cid:durableId="1808933916">
    <w:abstractNumId w:val="33"/>
  </w:num>
  <w:num w:numId="51" w16cid:durableId="1515339600">
    <w:abstractNumId w:val="6"/>
  </w:num>
  <w:num w:numId="52" w16cid:durableId="165637929">
    <w:abstractNumId w:val="31"/>
  </w:num>
  <w:num w:numId="53" w16cid:durableId="1838184584">
    <w:abstractNumId w:val="44"/>
  </w:num>
  <w:num w:numId="54" w16cid:durableId="2111319562">
    <w:abstractNumId w:val="46"/>
  </w:num>
  <w:num w:numId="55" w16cid:durableId="648218581">
    <w:abstractNumId w:val="0"/>
  </w:num>
  <w:num w:numId="56" w16cid:durableId="2131976981">
    <w:abstractNumId w:val="19"/>
  </w:num>
  <w:num w:numId="57" w16cid:durableId="54206572">
    <w:abstractNumId w:val="64"/>
  </w:num>
  <w:num w:numId="58" w16cid:durableId="1338311424">
    <w:abstractNumId w:val="69"/>
  </w:num>
  <w:num w:numId="59" w16cid:durableId="464276992">
    <w:abstractNumId w:val="50"/>
  </w:num>
  <w:num w:numId="60" w16cid:durableId="305595217">
    <w:abstractNumId w:val="18"/>
  </w:num>
  <w:num w:numId="61" w16cid:durableId="463424367">
    <w:abstractNumId w:val="56"/>
  </w:num>
  <w:num w:numId="62" w16cid:durableId="157700296">
    <w:abstractNumId w:val="23"/>
  </w:num>
  <w:num w:numId="63" w16cid:durableId="1127895041">
    <w:abstractNumId w:val="49"/>
  </w:num>
  <w:num w:numId="64" w16cid:durableId="1368487944">
    <w:abstractNumId w:val="5"/>
  </w:num>
  <w:num w:numId="65" w16cid:durableId="2074574261">
    <w:abstractNumId w:val="27"/>
  </w:num>
  <w:num w:numId="66" w16cid:durableId="579948990">
    <w:abstractNumId w:val="59"/>
  </w:num>
  <w:num w:numId="67" w16cid:durableId="527987340">
    <w:abstractNumId w:val="24"/>
  </w:num>
  <w:num w:numId="68" w16cid:durableId="561646356">
    <w:abstractNumId w:val="37"/>
  </w:num>
  <w:num w:numId="69" w16cid:durableId="314648706">
    <w:abstractNumId w:val="40"/>
  </w:num>
  <w:num w:numId="70" w16cid:durableId="1421878020">
    <w:abstractNumId w:val="3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AFB"/>
    <w:rsid w:val="0003176F"/>
    <w:rsid w:val="00031B77"/>
    <w:rsid w:val="0003758C"/>
    <w:rsid w:val="00045080"/>
    <w:rsid w:val="00047257"/>
    <w:rsid w:val="000540DE"/>
    <w:rsid w:val="0006567A"/>
    <w:rsid w:val="00066FFF"/>
    <w:rsid w:val="000761D7"/>
    <w:rsid w:val="0007735E"/>
    <w:rsid w:val="00090A42"/>
    <w:rsid w:val="000911C9"/>
    <w:rsid w:val="000A60EE"/>
    <w:rsid w:val="000A7FA9"/>
    <w:rsid w:val="000B26C0"/>
    <w:rsid w:val="000B4DE2"/>
    <w:rsid w:val="000C0B1A"/>
    <w:rsid w:val="000C0C30"/>
    <w:rsid w:val="000C2414"/>
    <w:rsid w:val="000C2E16"/>
    <w:rsid w:val="000C3118"/>
    <w:rsid w:val="000C4254"/>
    <w:rsid w:val="000D0F49"/>
    <w:rsid w:val="000D7719"/>
    <w:rsid w:val="000F1244"/>
    <w:rsid w:val="000F44B4"/>
    <w:rsid w:val="00153601"/>
    <w:rsid w:val="0015604F"/>
    <w:rsid w:val="00162056"/>
    <w:rsid w:val="001666EC"/>
    <w:rsid w:val="0016775D"/>
    <w:rsid w:val="00180DCC"/>
    <w:rsid w:val="001837C4"/>
    <w:rsid w:val="001855FA"/>
    <w:rsid w:val="00185E53"/>
    <w:rsid w:val="001902DB"/>
    <w:rsid w:val="001A54E2"/>
    <w:rsid w:val="001A6485"/>
    <w:rsid w:val="001A7B2A"/>
    <w:rsid w:val="001C2162"/>
    <w:rsid w:val="001C590B"/>
    <w:rsid w:val="001E49A9"/>
    <w:rsid w:val="001F0D10"/>
    <w:rsid w:val="002209DA"/>
    <w:rsid w:val="00221FF4"/>
    <w:rsid w:val="00227131"/>
    <w:rsid w:val="002309F1"/>
    <w:rsid w:val="002310F4"/>
    <w:rsid w:val="002352F2"/>
    <w:rsid w:val="002751E7"/>
    <w:rsid w:val="00283B38"/>
    <w:rsid w:val="00294987"/>
    <w:rsid w:val="002B61E4"/>
    <w:rsid w:val="002C16A9"/>
    <w:rsid w:val="002C4486"/>
    <w:rsid w:val="002D3B53"/>
    <w:rsid w:val="002E6DD1"/>
    <w:rsid w:val="002F16F6"/>
    <w:rsid w:val="002F34B5"/>
    <w:rsid w:val="00300741"/>
    <w:rsid w:val="00302233"/>
    <w:rsid w:val="00317A13"/>
    <w:rsid w:val="00321E85"/>
    <w:rsid w:val="00344A6D"/>
    <w:rsid w:val="00357848"/>
    <w:rsid w:val="00362127"/>
    <w:rsid w:val="00366165"/>
    <w:rsid w:val="003714E5"/>
    <w:rsid w:val="00390986"/>
    <w:rsid w:val="003B13E7"/>
    <w:rsid w:val="003B264A"/>
    <w:rsid w:val="003C6E9E"/>
    <w:rsid w:val="003F26AA"/>
    <w:rsid w:val="00400062"/>
    <w:rsid w:val="00413EDC"/>
    <w:rsid w:val="00416D44"/>
    <w:rsid w:val="00416EF1"/>
    <w:rsid w:val="00417123"/>
    <w:rsid w:val="0042531A"/>
    <w:rsid w:val="00425430"/>
    <w:rsid w:val="004437D6"/>
    <w:rsid w:val="00451F7C"/>
    <w:rsid w:val="00452D38"/>
    <w:rsid w:val="0046540C"/>
    <w:rsid w:val="0048205B"/>
    <w:rsid w:val="004A026B"/>
    <w:rsid w:val="004A686E"/>
    <w:rsid w:val="004A6F27"/>
    <w:rsid w:val="004B002A"/>
    <w:rsid w:val="004B0A67"/>
    <w:rsid w:val="004B7B99"/>
    <w:rsid w:val="004D65BA"/>
    <w:rsid w:val="004D73C9"/>
    <w:rsid w:val="004E3895"/>
    <w:rsid w:val="004E48A2"/>
    <w:rsid w:val="004F068B"/>
    <w:rsid w:val="004F3C8B"/>
    <w:rsid w:val="004F6473"/>
    <w:rsid w:val="00527E2A"/>
    <w:rsid w:val="00532A57"/>
    <w:rsid w:val="00534B0B"/>
    <w:rsid w:val="005466D9"/>
    <w:rsid w:val="005536B0"/>
    <w:rsid w:val="005661E8"/>
    <w:rsid w:val="00566593"/>
    <w:rsid w:val="005708E9"/>
    <w:rsid w:val="00572E83"/>
    <w:rsid w:val="00574861"/>
    <w:rsid w:val="00582BCA"/>
    <w:rsid w:val="00590B27"/>
    <w:rsid w:val="005A1EEA"/>
    <w:rsid w:val="005A2EFA"/>
    <w:rsid w:val="005A3B1E"/>
    <w:rsid w:val="005A43BD"/>
    <w:rsid w:val="005D444D"/>
    <w:rsid w:val="005D5394"/>
    <w:rsid w:val="005E2CD8"/>
    <w:rsid w:val="005F39B9"/>
    <w:rsid w:val="00601425"/>
    <w:rsid w:val="0062761F"/>
    <w:rsid w:val="006354D1"/>
    <w:rsid w:val="00635E31"/>
    <w:rsid w:val="00643965"/>
    <w:rsid w:val="006523E7"/>
    <w:rsid w:val="00653AC8"/>
    <w:rsid w:val="006737E2"/>
    <w:rsid w:val="006737FA"/>
    <w:rsid w:val="0068046F"/>
    <w:rsid w:val="00684EAC"/>
    <w:rsid w:val="006948DE"/>
    <w:rsid w:val="006A4AB7"/>
    <w:rsid w:val="006A53D6"/>
    <w:rsid w:val="006C707A"/>
    <w:rsid w:val="006D36B1"/>
    <w:rsid w:val="006D6824"/>
    <w:rsid w:val="006F1498"/>
    <w:rsid w:val="00701A62"/>
    <w:rsid w:val="00702211"/>
    <w:rsid w:val="00722E55"/>
    <w:rsid w:val="00726B89"/>
    <w:rsid w:val="007350DE"/>
    <w:rsid w:val="00736126"/>
    <w:rsid w:val="00737098"/>
    <w:rsid w:val="00741A6B"/>
    <w:rsid w:val="00746DE2"/>
    <w:rsid w:val="007723BC"/>
    <w:rsid w:val="007A19ED"/>
    <w:rsid w:val="007B0E54"/>
    <w:rsid w:val="007C4FF3"/>
    <w:rsid w:val="007D399D"/>
    <w:rsid w:val="007E2E88"/>
    <w:rsid w:val="007E3A20"/>
    <w:rsid w:val="007E5AD7"/>
    <w:rsid w:val="007F21E8"/>
    <w:rsid w:val="008129E2"/>
    <w:rsid w:val="0082307F"/>
    <w:rsid w:val="00831E89"/>
    <w:rsid w:val="0083450D"/>
    <w:rsid w:val="00841188"/>
    <w:rsid w:val="00851579"/>
    <w:rsid w:val="008537EF"/>
    <w:rsid w:val="00862491"/>
    <w:rsid w:val="00877AAC"/>
    <w:rsid w:val="00892E67"/>
    <w:rsid w:val="008A556C"/>
    <w:rsid w:val="008B4439"/>
    <w:rsid w:val="008C72C0"/>
    <w:rsid w:val="008C7D3C"/>
    <w:rsid w:val="008F1A51"/>
    <w:rsid w:val="008F1EAE"/>
    <w:rsid w:val="008F432C"/>
    <w:rsid w:val="009125CE"/>
    <w:rsid w:val="00922C21"/>
    <w:rsid w:val="009324E0"/>
    <w:rsid w:val="0093288C"/>
    <w:rsid w:val="00935D0B"/>
    <w:rsid w:val="009529CB"/>
    <w:rsid w:val="0095700A"/>
    <w:rsid w:val="00975E4C"/>
    <w:rsid w:val="009922F1"/>
    <w:rsid w:val="009A53F3"/>
    <w:rsid w:val="009B0CCB"/>
    <w:rsid w:val="009B14FF"/>
    <w:rsid w:val="009B6888"/>
    <w:rsid w:val="009B6AED"/>
    <w:rsid w:val="009C0161"/>
    <w:rsid w:val="009D108D"/>
    <w:rsid w:val="009E1436"/>
    <w:rsid w:val="009E5668"/>
    <w:rsid w:val="009E7721"/>
    <w:rsid w:val="009F4519"/>
    <w:rsid w:val="009F5AAF"/>
    <w:rsid w:val="00A043F5"/>
    <w:rsid w:val="00A14304"/>
    <w:rsid w:val="00A30067"/>
    <w:rsid w:val="00A3249C"/>
    <w:rsid w:val="00A37923"/>
    <w:rsid w:val="00A426B5"/>
    <w:rsid w:val="00A524D0"/>
    <w:rsid w:val="00A529D8"/>
    <w:rsid w:val="00A54485"/>
    <w:rsid w:val="00A56F63"/>
    <w:rsid w:val="00A65238"/>
    <w:rsid w:val="00A74F76"/>
    <w:rsid w:val="00A94F7E"/>
    <w:rsid w:val="00AA6A4D"/>
    <w:rsid w:val="00AA79E9"/>
    <w:rsid w:val="00AB0A70"/>
    <w:rsid w:val="00AB792A"/>
    <w:rsid w:val="00AC052E"/>
    <w:rsid w:val="00B038C6"/>
    <w:rsid w:val="00B17654"/>
    <w:rsid w:val="00B2127A"/>
    <w:rsid w:val="00B23276"/>
    <w:rsid w:val="00B27CC8"/>
    <w:rsid w:val="00B27E01"/>
    <w:rsid w:val="00B42E7C"/>
    <w:rsid w:val="00B60BC8"/>
    <w:rsid w:val="00B63B0F"/>
    <w:rsid w:val="00B72B54"/>
    <w:rsid w:val="00B7678A"/>
    <w:rsid w:val="00B800F3"/>
    <w:rsid w:val="00B8664C"/>
    <w:rsid w:val="00B94B66"/>
    <w:rsid w:val="00B95426"/>
    <w:rsid w:val="00B95AAE"/>
    <w:rsid w:val="00B9764D"/>
    <w:rsid w:val="00BB4624"/>
    <w:rsid w:val="00BB6E70"/>
    <w:rsid w:val="00BD054D"/>
    <w:rsid w:val="00BD0B7B"/>
    <w:rsid w:val="00BE7C73"/>
    <w:rsid w:val="00C0552F"/>
    <w:rsid w:val="00C136E2"/>
    <w:rsid w:val="00C262AF"/>
    <w:rsid w:val="00C2639F"/>
    <w:rsid w:val="00C55434"/>
    <w:rsid w:val="00C60A29"/>
    <w:rsid w:val="00C71E18"/>
    <w:rsid w:val="00C8125C"/>
    <w:rsid w:val="00CB467C"/>
    <w:rsid w:val="00CB6BFB"/>
    <w:rsid w:val="00CD1853"/>
    <w:rsid w:val="00CE096D"/>
    <w:rsid w:val="00CE7128"/>
    <w:rsid w:val="00CF05E4"/>
    <w:rsid w:val="00CF7649"/>
    <w:rsid w:val="00D0142F"/>
    <w:rsid w:val="00D0594C"/>
    <w:rsid w:val="00D0705F"/>
    <w:rsid w:val="00D22171"/>
    <w:rsid w:val="00D22E1D"/>
    <w:rsid w:val="00D34B04"/>
    <w:rsid w:val="00D416B0"/>
    <w:rsid w:val="00D579BA"/>
    <w:rsid w:val="00D60868"/>
    <w:rsid w:val="00D6109A"/>
    <w:rsid w:val="00D61823"/>
    <w:rsid w:val="00D67BE6"/>
    <w:rsid w:val="00D80632"/>
    <w:rsid w:val="00D82707"/>
    <w:rsid w:val="00D96C1F"/>
    <w:rsid w:val="00DB388B"/>
    <w:rsid w:val="00DB534A"/>
    <w:rsid w:val="00DC4CAE"/>
    <w:rsid w:val="00DD0D82"/>
    <w:rsid w:val="00DD5F34"/>
    <w:rsid w:val="00DE79A9"/>
    <w:rsid w:val="00DF0452"/>
    <w:rsid w:val="00E22107"/>
    <w:rsid w:val="00E3569B"/>
    <w:rsid w:val="00E37E11"/>
    <w:rsid w:val="00E61986"/>
    <w:rsid w:val="00E71C79"/>
    <w:rsid w:val="00E866FC"/>
    <w:rsid w:val="00E8776F"/>
    <w:rsid w:val="00E92900"/>
    <w:rsid w:val="00EA57B6"/>
    <w:rsid w:val="00EA6B5D"/>
    <w:rsid w:val="00EB7538"/>
    <w:rsid w:val="00EC0FD5"/>
    <w:rsid w:val="00EC3B71"/>
    <w:rsid w:val="00EE51CB"/>
    <w:rsid w:val="00EE6AF0"/>
    <w:rsid w:val="00EF2E44"/>
    <w:rsid w:val="00F12539"/>
    <w:rsid w:val="00F2028B"/>
    <w:rsid w:val="00F20C1C"/>
    <w:rsid w:val="00F26BBF"/>
    <w:rsid w:val="00F42024"/>
    <w:rsid w:val="00F52BBE"/>
    <w:rsid w:val="00F546CE"/>
    <w:rsid w:val="00F81512"/>
    <w:rsid w:val="00F8650C"/>
    <w:rsid w:val="00F86CA5"/>
    <w:rsid w:val="00F878F8"/>
    <w:rsid w:val="00F91F7B"/>
    <w:rsid w:val="00F928BF"/>
    <w:rsid w:val="00F95EFC"/>
    <w:rsid w:val="00F96500"/>
    <w:rsid w:val="00F96B94"/>
    <w:rsid w:val="00FA0FAA"/>
    <w:rsid w:val="00FB36C8"/>
    <w:rsid w:val="00FC1F74"/>
    <w:rsid w:val="00FC5C28"/>
    <w:rsid w:val="00FC6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34B0B"/>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2F2"/>
    <w:rPr>
      <w:rFonts w:eastAsiaTheme="majorEastAsia" w:cstheme="majorBidi"/>
      <w:color w:val="0F4761" w:themeColor="accent1" w:themeShade="BF"/>
      <w:sz w:val="28"/>
      <w:szCs w:val="28"/>
    </w:rPr>
  </w:style>
  <w:style w:type="paragraph" w:styleId="NormalWeb">
    <w:name w:val="Normal (Web)"/>
    <w:basedOn w:val="Normal"/>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6523E7"/>
    <w:rPr>
      <w:b/>
      <w:bCs/>
    </w:rPr>
  </w:style>
  <w:style w:type="paragraph" w:styleId="ListParagraph">
    <w:name w:val="List Paragraph"/>
    <w:basedOn w:val="Normal"/>
    <w:uiPriority w:val="34"/>
    <w:qFormat/>
    <w:rsid w:val="00F878F8"/>
    <w:pPr>
      <w:ind w:left="720"/>
      <w:contextualSpacing/>
    </w:pPr>
  </w:style>
  <w:style w:type="character" w:customStyle="1" w:styleId="mord">
    <w:name w:val="mord"/>
    <w:basedOn w:val="DefaultParagraphFont"/>
    <w:rsid w:val="000761D7"/>
  </w:style>
  <w:style w:type="character" w:customStyle="1" w:styleId="vlist-s">
    <w:name w:val="vlist-s"/>
    <w:basedOn w:val="DefaultParagraphFont"/>
    <w:rsid w:val="000761D7"/>
  </w:style>
  <w:style w:type="character" w:customStyle="1" w:styleId="Heading1Char">
    <w:name w:val="Heading 1 Char"/>
    <w:basedOn w:val="DefaultParagraphFont"/>
    <w:link w:val="Heading1"/>
    <w:uiPriority w:val="9"/>
    <w:rsid w:val="003714E5"/>
    <w:rPr>
      <w:rFonts w:ascii="Times New Roman" w:eastAsiaTheme="minorEastAsia" w:hAnsi="Times New Roman" w:cs="Times New Roman"/>
      <w:b/>
      <w:bCs/>
      <w:kern w:val="36"/>
      <w:sz w:val="48"/>
      <w:szCs w:val="48"/>
      <w14:ligatures w14:val="none"/>
    </w:rPr>
  </w:style>
  <w:style w:type="character" w:styleId="PageNumber">
    <w:name w:val="page number"/>
    <w:basedOn w:val="DefaultParagraphFont"/>
    <w:uiPriority w:val="99"/>
    <w:semiHidden/>
    <w:unhideWhenUsed/>
    <w:rsid w:val="008537EF"/>
  </w:style>
  <w:style w:type="character" w:styleId="Emphasis">
    <w:name w:val="Emphasis"/>
    <w:basedOn w:val="DefaultParagraphFont"/>
    <w:uiPriority w:val="20"/>
    <w:qFormat/>
    <w:rsid w:val="00CB467C"/>
    <w:rPr>
      <w:i/>
      <w:iCs/>
    </w:rPr>
  </w:style>
  <w:style w:type="table" w:styleId="TableGrid">
    <w:name w:val="Table Grid"/>
    <w:basedOn w:val="TableNormal"/>
    <w:uiPriority w:val="39"/>
    <w:rsid w:val="00635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21FF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semiHidden/>
    <w:rsid w:val="00534B0B"/>
    <w:rPr>
      <w:rFonts w:eastAsiaTheme="majorEastAsia"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4618</Words>
  <Characters>26323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Zaher Ahmed Al Yalwi</cp:lastModifiedBy>
  <cp:revision>2</cp:revision>
  <dcterms:created xsi:type="dcterms:W3CDTF">2026-03-08T14:51:00Z</dcterms:created>
  <dcterms:modified xsi:type="dcterms:W3CDTF">2026-03-08T14:51:00Z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