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6D4C6E53" w:rsidP="3967E527" w:rsidRDefault="6D4C6E53" w14:paraId="6F87404D" w14:textId="322BEE07">
      <w:pPr>
        <w:spacing w:before="240" w:beforeAutospacing="off" w:after="240" w:afterAutospacing="off"/>
      </w:pPr>
      <w:r w:rsidRPr="3967E527" w:rsidR="6D4C6E53">
        <w:rPr>
          <w:rFonts w:ascii="Aptos" w:hAnsi="Aptos" w:eastAsia="Aptos" w:cs="Aptos"/>
          <w:b w:val="1"/>
          <w:bCs w:val="1"/>
          <w:noProof w:val="0"/>
          <w:color w:val="000000" w:themeColor="text1" w:themeTint="FF" w:themeShade="FF"/>
          <w:sz w:val="22"/>
          <w:szCs w:val="22"/>
          <w:lang w:val="en-US"/>
        </w:rPr>
        <w:t>Student Name:</w:t>
      </w:r>
      <w:r w:rsidRPr="3967E527" w:rsidR="6D4C6E53">
        <w:rPr>
          <w:rFonts w:ascii="Aptos" w:hAnsi="Aptos" w:eastAsia="Aptos" w:cs="Aptos"/>
          <w:noProof w:val="0"/>
          <w:color w:val="000000" w:themeColor="text1" w:themeTint="FF" w:themeShade="FF"/>
          <w:sz w:val="22"/>
          <w:szCs w:val="22"/>
          <w:lang w:val="en-US"/>
        </w:rPr>
        <w:t xml:space="preserve"> Abdulaziz Mari</w:t>
      </w:r>
      <w:r>
        <w:br/>
      </w:r>
      <w:r w:rsidRPr="3967E527" w:rsidR="6D4C6E53">
        <w:rPr>
          <w:rFonts w:ascii="Aptos" w:hAnsi="Aptos" w:eastAsia="Aptos" w:cs="Aptos"/>
          <w:b w:val="1"/>
          <w:bCs w:val="1"/>
          <w:noProof w:val="0"/>
          <w:color w:val="000000" w:themeColor="text1" w:themeTint="FF" w:themeShade="FF"/>
          <w:sz w:val="22"/>
          <w:szCs w:val="22"/>
          <w:lang w:val="en-US"/>
        </w:rPr>
        <w:t>Partner Name:</w:t>
      </w:r>
      <w:r w:rsidRPr="3967E527" w:rsidR="6D4C6E53">
        <w:rPr>
          <w:rFonts w:ascii="Aptos" w:hAnsi="Aptos" w:eastAsia="Aptos" w:cs="Aptos"/>
          <w:noProof w:val="0"/>
          <w:color w:val="000000" w:themeColor="text1" w:themeTint="FF" w:themeShade="FF"/>
          <w:sz w:val="22"/>
          <w:szCs w:val="22"/>
          <w:lang w:val="en-US"/>
        </w:rPr>
        <w:t xml:space="preserve"> Ali Alzunaydi</w:t>
      </w:r>
      <w:r>
        <w:br/>
      </w:r>
      <w:r w:rsidRPr="3967E527" w:rsidR="6D4C6E53">
        <w:rPr>
          <w:rFonts w:ascii="Aptos" w:hAnsi="Aptos" w:eastAsia="Aptos" w:cs="Aptos"/>
          <w:b w:val="1"/>
          <w:bCs w:val="1"/>
          <w:noProof w:val="0"/>
          <w:color w:val="000000" w:themeColor="text1" w:themeTint="FF" w:themeShade="FF"/>
          <w:sz w:val="22"/>
          <w:szCs w:val="22"/>
          <w:lang w:val="en-US"/>
        </w:rPr>
        <w:t>Project Title:</w:t>
      </w:r>
      <w:r w:rsidRPr="3967E527" w:rsidR="6D4C6E53">
        <w:rPr>
          <w:rFonts w:ascii="Aptos" w:hAnsi="Aptos" w:eastAsia="Aptos" w:cs="Aptos"/>
          <w:noProof w:val="0"/>
          <w:color w:val="000000" w:themeColor="text1" w:themeTint="FF" w:themeShade="FF"/>
          <w:sz w:val="22"/>
          <w:szCs w:val="22"/>
          <w:lang w:val="en-US"/>
        </w:rPr>
        <w:t xml:space="preserve"> AI-Based Predictive Maintenance</w:t>
      </w:r>
      <w:r>
        <w:br/>
      </w:r>
      <w:r w:rsidRPr="3967E527" w:rsidR="6D4C6E53">
        <w:rPr>
          <w:rFonts w:ascii="Aptos" w:hAnsi="Aptos" w:eastAsia="Aptos" w:cs="Aptos"/>
          <w:b w:val="1"/>
          <w:bCs w:val="1"/>
          <w:noProof w:val="0"/>
          <w:color w:val="000000" w:themeColor="text1" w:themeTint="FF" w:themeShade="FF"/>
          <w:sz w:val="22"/>
          <w:szCs w:val="22"/>
          <w:lang w:val="en-US"/>
        </w:rPr>
        <w:t>Assignment:</w:t>
      </w:r>
      <w:r w:rsidRPr="3967E527" w:rsidR="6D4C6E53">
        <w:rPr>
          <w:rFonts w:ascii="Aptos" w:hAnsi="Aptos" w:eastAsia="Aptos" w:cs="Aptos"/>
          <w:noProof w:val="0"/>
          <w:color w:val="000000" w:themeColor="text1" w:themeTint="FF" w:themeShade="FF"/>
          <w:sz w:val="22"/>
          <w:szCs w:val="22"/>
          <w:lang w:val="en-US"/>
        </w:rPr>
        <w:t xml:space="preserve"> Related Work Papers</w:t>
      </w:r>
    </w:p>
    <w:p w:rsidR="3967E527" w:rsidP="3967E527" w:rsidRDefault="3967E527" w14:paraId="5971C659" w14:textId="2FF25822">
      <w:pPr>
        <w:spacing w:before="240" w:after="240"/>
        <w:rPr>
          <w:color w:val="000000" w:themeColor="text1" w:themeTint="FF" w:themeShade="FF"/>
          <w:sz w:val="22"/>
          <w:szCs w:val="22"/>
        </w:rPr>
      </w:pPr>
    </w:p>
    <w:p w:rsidRPr="009A3921" w:rsidR="00B42048" w:rsidP="00B42048" w:rsidRDefault="00B42048" w14:paraId="0B8C4784" w14:textId="3803314E">
      <w:pPr>
        <w:spacing w:before="240" w:after="240"/>
        <w:rPr>
          <w:sz w:val="22"/>
          <w:szCs w:val="22"/>
        </w:rPr>
      </w:pPr>
      <w:r w:rsidRPr="3967E527" w:rsidR="4EEE427E">
        <w:rPr>
          <w:sz w:val="22"/>
          <w:szCs w:val="22"/>
        </w:rPr>
        <w:t>Xiao et al. [</w:t>
      </w:r>
      <w:r w:rsidRPr="3967E527" w:rsidR="1E6A289F">
        <w:rPr>
          <w:sz w:val="22"/>
          <w:szCs w:val="22"/>
        </w:rPr>
        <w:t>1</w:t>
      </w:r>
      <w:r w:rsidRPr="3967E527" w:rsidR="4EEE427E">
        <w:rPr>
          <w:sz w:val="22"/>
          <w:szCs w:val="22"/>
        </w:rPr>
        <w:t xml:space="preserve">] proposed a deep learning model for predicting the Remaining Useful Life (RUL) of </w:t>
      </w:r>
      <w:r w:rsidRPr="3967E527" w:rsidR="4EEE427E">
        <w:rPr>
          <w:sz w:val="22"/>
          <w:szCs w:val="22"/>
        </w:rPr>
        <w:t>aircraft</w:t>
      </w:r>
      <w:r w:rsidRPr="3967E527" w:rsidR="4EEE427E">
        <w:rPr>
          <w:sz w:val="22"/>
          <w:szCs w:val="22"/>
        </w:rPr>
        <w:t xml:space="preserve"> engines, called MDFA. The paper focused on addressing the weaknesses of some CNN and RNN models in handling complex operating conditions, multiple degradation patterns, and long-term dependencies in sensor data. The study used NASA C-MAPSS, N-CMAPSS, and PHM2012 datasets to test the model under different operating conditions. The processing steps included generating RUL labels, using the sliding window technique and applying PCA analysis to select important features, reduce dimensionality and convert sensor data into appropriate time-series inputs for </w:t>
      </w:r>
      <w:r w:rsidRPr="3967E527" w:rsidR="4EEE427E">
        <w:rPr>
          <w:sz w:val="22"/>
          <w:szCs w:val="22"/>
        </w:rPr>
        <w:t>training.The</w:t>
      </w:r>
      <w:r w:rsidRPr="3967E527" w:rsidR="4EEE427E">
        <w:rPr>
          <w:sz w:val="22"/>
          <w:szCs w:val="22"/>
        </w:rPr>
        <w:t xml:space="preserve"> model relies on Multi-Scale Dilated Convolution to extract degradation features from multiple time scales. It also uses Channel Attention and Spatial Attention mechanisms to focus on the most influential sensors and time points, thereby reducing noise. The model was compared to several previous models, such as CNN, DCNN, TCN, </w:t>
      </w:r>
      <w:r w:rsidRPr="3967E527" w:rsidR="4EEE427E">
        <w:rPr>
          <w:sz w:val="22"/>
          <w:szCs w:val="22"/>
        </w:rPr>
        <w:t>TaFCN</w:t>
      </w:r>
      <w:r w:rsidRPr="3967E527" w:rsidR="4EEE427E">
        <w:rPr>
          <w:sz w:val="22"/>
          <w:szCs w:val="22"/>
        </w:rPr>
        <w:t xml:space="preserve">, </w:t>
      </w:r>
      <w:r w:rsidRPr="3967E527" w:rsidR="4EEE427E">
        <w:rPr>
          <w:sz w:val="22"/>
          <w:szCs w:val="22"/>
        </w:rPr>
        <w:t>SeNet</w:t>
      </w:r>
      <w:r w:rsidRPr="3967E527" w:rsidR="4EEE427E">
        <w:rPr>
          <w:sz w:val="22"/>
          <w:szCs w:val="22"/>
        </w:rPr>
        <w:t xml:space="preserve">, GRU, CNN-GRU-Attention, and </w:t>
      </w:r>
      <w:r w:rsidRPr="3967E527" w:rsidR="4EEE427E">
        <w:rPr>
          <w:sz w:val="22"/>
          <w:szCs w:val="22"/>
        </w:rPr>
        <w:t>Transformer.The</w:t>
      </w:r>
      <w:r w:rsidRPr="3967E527" w:rsidR="4EEE427E">
        <w:rPr>
          <w:sz w:val="22"/>
          <w:szCs w:val="22"/>
        </w:rPr>
        <w:t xml:space="preserve"> results showed that the MDFA model achieved the best performance in prediction, with MAE values between 0.018 and 0.026, RMSE values between 0.021 and 0.032, and R² values higher than 0.987 on C-MAPSS and N-CMAPSS datasets. It also achieved </w:t>
      </w:r>
      <w:r w:rsidRPr="3967E527" w:rsidR="4EEE427E">
        <w:rPr>
          <w:sz w:val="22"/>
          <w:szCs w:val="22"/>
        </w:rPr>
        <w:t>good results</w:t>
      </w:r>
      <w:r w:rsidRPr="3967E527" w:rsidR="4EEE427E">
        <w:rPr>
          <w:sz w:val="22"/>
          <w:szCs w:val="22"/>
        </w:rPr>
        <w:t xml:space="preserve"> on PHM2012, with MAE values between 0.023 and 0.026, RMSE values between 0.031 and 0.032, and R² values between 0.987 and 0.995.</w:t>
      </w:r>
    </w:p>
    <w:p w:rsidRPr="009A3921" w:rsidR="00B82404" w:rsidP="00B82404" w:rsidRDefault="00B42048" w14:paraId="3984499E" w14:textId="7855901B">
      <w:pPr>
        <w:spacing w:before="240" w:after="240"/>
        <w:rPr>
          <w:sz w:val="22"/>
          <w:szCs w:val="22"/>
        </w:rPr>
      </w:pPr>
      <w:r w:rsidRPr="3967E527" w:rsidR="4EEE427E">
        <w:rPr>
          <w:sz w:val="22"/>
          <w:szCs w:val="22"/>
        </w:rPr>
        <w:t>Ozkan</w:t>
      </w:r>
      <w:r w:rsidRPr="3967E527" w:rsidR="4EEE427E">
        <w:rPr>
          <w:sz w:val="22"/>
          <w:szCs w:val="22"/>
        </w:rPr>
        <w:t xml:space="preserve"> [</w:t>
      </w:r>
      <w:r w:rsidRPr="3967E527" w:rsidR="5E74B8F7">
        <w:rPr>
          <w:sz w:val="22"/>
          <w:szCs w:val="22"/>
        </w:rPr>
        <w:t>2</w:t>
      </w:r>
      <w:r w:rsidRPr="3967E527" w:rsidR="4EEE427E">
        <w:rPr>
          <w:sz w:val="22"/>
          <w:szCs w:val="22"/>
        </w:rPr>
        <w:t xml:space="preserve">] studied a predictive maintenance framework for </w:t>
      </w:r>
      <w:r w:rsidRPr="3967E527" w:rsidR="4EEE427E">
        <w:rPr>
          <w:sz w:val="22"/>
          <w:szCs w:val="22"/>
        </w:rPr>
        <w:t>aircraft</w:t>
      </w:r>
      <w:r w:rsidRPr="3967E527" w:rsidR="4EEE427E">
        <w:rPr>
          <w:sz w:val="22"/>
          <w:szCs w:val="22"/>
        </w:rPr>
        <w:t xml:space="preserve"> engines that combines Remaining Useful Life (RUL) prediction with dynamic maintenance scheduling. The researcher used the full NASA C-MAPSS dataset, including all subsets (FD001, FD002, FD003, FD004), to </w:t>
      </w:r>
      <w:r w:rsidRPr="3967E527" w:rsidR="4EEE427E">
        <w:rPr>
          <w:sz w:val="22"/>
          <w:szCs w:val="22"/>
        </w:rPr>
        <w:t>represent</w:t>
      </w:r>
      <w:r w:rsidRPr="3967E527" w:rsidR="4EEE427E">
        <w:rPr>
          <w:sz w:val="22"/>
          <w:szCs w:val="22"/>
        </w:rPr>
        <w:t xml:space="preserve"> different operating conditions and failure modes. The paper focused on the problem that traditional maintenance approaches rely on fixed intervals and do not leverage real-time sensor </w:t>
      </w:r>
      <w:r w:rsidRPr="3967E527" w:rsidR="4EEE427E">
        <w:rPr>
          <w:sz w:val="22"/>
          <w:szCs w:val="22"/>
        </w:rPr>
        <w:t>data.To</w:t>
      </w:r>
      <w:r w:rsidRPr="3967E527" w:rsidR="4EEE427E">
        <w:rPr>
          <w:sz w:val="22"/>
          <w:szCs w:val="22"/>
        </w:rPr>
        <w:t xml:space="preserve"> address this, ensemble machine learning models such as </w:t>
      </w:r>
      <w:r w:rsidRPr="3967E527" w:rsidR="4EEE427E">
        <w:rPr>
          <w:sz w:val="22"/>
          <w:szCs w:val="22"/>
        </w:rPr>
        <w:t>LightGBM</w:t>
      </w:r>
      <w:r w:rsidRPr="3967E527" w:rsidR="4EEE427E">
        <w:rPr>
          <w:sz w:val="22"/>
          <w:szCs w:val="22"/>
        </w:rPr>
        <w:t xml:space="preserve">, </w:t>
      </w:r>
      <w:r w:rsidRPr="3967E527" w:rsidR="4EEE427E">
        <w:rPr>
          <w:sz w:val="22"/>
          <w:szCs w:val="22"/>
        </w:rPr>
        <w:t>CatBoost</w:t>
      </w:r>
      <w:r w:rsidRPr="3967E527" w:rsidR="4EEE427E">
        <w:rPr>
          <w:sz w:val="22"/>
          <w:szCs w:val="22"/>
        </w:rPr>
        <w:t xml:space="preserve">, Gradient Boosting, and </w:t>
      </w:r>
      <w:r w:rsidRPr="3967E527" w:rsidR="4EEE427E">
        <w:rPr>
          <w:sz w:val="22"/>
          <w:szCs w:val="22"/>
        </w:rPr>
        <w:t>XGBoost</w:t>
      </w:r>
      <w:r w:rsidRPr="3967E527" w:rsidR="4EEE427E">
        <w:rPr>
          <w:sz w:val="22"/>
          <w:szCs w:val="22"/>
        </w:rPr>
        <w:t xml:space="preserve"> were used, along with other models like SVM, KNN, and Linear Regression. The best </w:t>
      </w:r>
      <w:r w:rsidRPr="3967E527" w:rsidR="4EEE427E">
        <w:rPr>
          <w:sz w:val="22"/>
          <w:szCs w:val="22"/>
        </w:rPr>
        <w:t>hyperparameters</w:t>
      </w:r>
      <w:r w:rsidRPr="3967E527" w:rsidR="4EEE427E">
        <w:rPr>
          <w:sz w:val="22"/>
          <w:szCs w:val="22"/>
        </w:rPr>
        <w:t xml:space="preserve"> were selected using Grid Search CV, and predictions were combined in an ensemble framework to improve accuracy and robustness. A dynamic maintenance scheduling algorithm based on an RUL threshold was also implemented, </w:t>
      </w:r>
      <w:r w:rsidRPr="3967E527" w:rsidR="4EEE427E">
        <w:rPr>
          <w:sz w:val="22"/>
          <w:szCs w:val="22"/>
        </w:rPr>
        <w:t xml:space="preserve">whereby maintenance is triggered when the predicted remaining life drops below 15 cycles. SHAP was used to interpret the models and identify the most influential sensors and operational cycles affecting maintenance </w:t>
      </w:r>
      <w:r w:rsidRPr="3967E527" w:rsidR="4EEE427E">
        <w:rPr>
          <w:sz w:val="22"/>
          <w:szCs w:val="22"/>
        </w:rPr>
        <w:t>decisions.The</w:t>
      </w:r>
      <w:r w:rsidRPr="3967E527" w:rsidR="4EEE427E">
        <w:rPr>
          <w:sz w:val="22"/>
          <w:szCs w:val="22"/>
        </w:rPr>
        <w:t xml:space="preserve"> results showed that </w:t>
      </w:r>
      <w:r w:rsidRPr="3967E527" w:rsidR="4EEE427E">
        <w:rPr>
          <w:sz w:val="22"/>
          <w:szCs w:val="22"/>
        </w:rPr>
        <w:t>LightGBM</w:t>
      </w:r>
      <w:r w:rsidRPr="3967E527" w:rsidR="4EEE427E">
        <w:rPr>
          <w:sz w:val="22"/>
          <w:szCs w:val="22"/>
        </w:rPr>
        <w:t xml:space="preserve">, </w:t>
      </w:r>
      <w:r w:rsidRPr="3967E527" w:rsidR="4EEE427E">
        <w:rPr>
          <w:sz w:val="22"/>
          <w:szCs w:val="22"/>
        </w:rPr>
        <w:t>CatBoost</w:t>
      </w:r>
      <w:r w:rsidRPr="3967E527" w:rsidR="4EEE427E">
        <w:rPr>
          <w:sz w:val="22"/>
          <w:szCs w:val="22"/>
        </w:rPr>
        <w:t xml:space="preserve">, and their ensemble achieved strong performance: the </w:t>
      </w:r>
      <w:r w:rsidRPr="3967E527" w:rsidR="4EEE427E">
        <w:rPr>
          <w:sz w:val="22"/>
          <w:szCs w:val="22"/>
        </w:rPr>
        <w:t>LightGBM</w:t>
      </w:r>
      <w:r w:rsidRPr="3967E527" w:rsidR="4EEE427E">
        <w:rPr>
          <w:sz w:val="22"/>
          <w:szCs w:val="22"/>
        </w:rPr>
        <w:t xml:space="preserve"> and </w:t>
      </w:r>
      <w:r w:rsidRPr="3967E527" w:rsidR="4EEE427E">
        <w:rPr>
          <w:sz w:val="22"/>
          <w:szCs w:val="22"/>
        </w:rPr>
        <w:t>CatBoost</w:t>
      </w:r>
      <w:r w:rsidRPr="3967E527" w:rsidR="4EEE427E">
        <w:rPr>
          <w:sz w:val="22"/>
          <w:szCs w:val="22"/>
        </w:rPr>
        <w:t xml:space="preserve"> models each achieved an RMSE of 6.62 on FD001, and the combination of </w:t>
      </w:r>
      <w:r w:rsidRPr="3967E527" w:rsidR="4EEE427E">
        <w:rPr>
          <w:sz w:val="22"/>
          <w:szCs w:val="22"/>
        </w:rPr>
        <w:t>LightGBM</w:t>
      </w:r>
      <w:r w:rsidRPr="3967E527" w:rsidR="4EEE427E">
        <w:rPr>
          <w:sz w:val="22"/>
          <w:szCs w:val="22"/>
        </w:rPr>
        <w:t xml:space="preserve">, </w:t>
      </w:r>
      <w:r w:rsidRPr="3967E527" w:rsidR="4EEE427E">
        <w:rPr>
          <w:sz w:val="22"/>
          <w:szCs w:val="22"/>
        </w:rPr>
        <w:t>CatBoost</w:t>
      </w:r>
      <w:r w:rsidRPr="3967E527" w:rsidR="4EEE427E">
        <w:rPr>
          <w:sz w:val="22"/>
          <w:szCs w:val="22"/>
        </w:rPr>
        <w:t xml:space="preserve">, and Gradient Boosting achieved an RMSE of 9.71 on FD003. The results were also competitive on FD002 and FD004. This </w:t>
      </w:r>
      <w:r w:rsidRPr="3967E527" w:rsidR="4EEE427E">
        <w:rPr>
          <w:sz w:val="22"/>
          <w:szCs w:val="22"/>
        </w:rPr>
        <w:t>demonstrates</w:t>
      </w:r>
      <w:r w:rsidRPr="3967E527" w:rsidR="4EEE427E">
        <w:rPr>
          <w:sz w:val="22"/>
          <w:szCs w:val="22"/>
        </w:rPr>
        <w:t xml:space="preserve"> that integrating RUL prediction with maintenance scheduling helps improve maintenance decision-making and </w:t>
      </w:r>
      <w:r w:rsidRPr="3967E527" w:rsidR="4EEE427E">
        <w:rPr>
          <w:sz w:val="22"/>
          <w:szCs w:val="22"/>
        </w:rPr>
        <w:t>reduces</w:t>
      </w:r>
      <w:r w:rsidRPr="3967E527" w:rsidR="4EEE427E">
        <w:rPr>
          <w:sz w:val="22"/>
          <w:szCs w:val="22"/>
        </w:rPr>
        <w:t xml:space="preserve"> costs and risks. </w:t>
      </w:r>
    </w:p>
    <w:p w:rsidRPr="009A3921" w:rsidR="00D67E01" w:rsidP="00D67E01" w:rsidRDefault="00D67E01" w14:paraId="684FC06A" w14:textId="6B185A0A">
      <w:pPr>
        <w:spacing w:before="240" w:after="240"/>
        <w:rPr>
          <w:sz w:val="22"/>
          <w:szCs w:val="22"/>
        </w:rPr>
      </w:pPr>
      <w:r w:rsidRPr="3967E527" w:rsidR="46E9566C">
        <w:rPr>
          <w:sz w:val="22"/>
          <w:szCs w:val="22"/>
        </w:rPr>
        <w:t>Ensarioğlu</w:t>
      </w:r>
      <w:r w:rsidRPr="3967E527" w:rsidR="46E9566C">
        <w:rPr>
          <w:sz w:val="22"/>
          <w:szCs w:val="22"/>
        </w:rPr>
        <w:t xml:space="preserve"> et al. [</w:t>
      </w:r>
      <w:r w:rsidRPr="3967E527" w:rsidR="1ACA8B27">
        <w:rPr>
          <w:sz w:val="22"/>
          <w:szCs w:val="22"/>
        </w:rPr>
        <w:t>3</w:t>
      </w:r>
      <w:r w:rsidRPr="3967E527" w:rsidR="46E9566C">
        <w:rPr>
          <w:sz w:val="22"/>
          <w:szCs w:val="22"/>
        </w:rPr>
        <w:t xml:space="preserve">] studied a method for predicting the Remaining Useful Life (RUL) of turbofan engines using deep learning with Change Point Detection and Feature Engineering. The paper emphasized that RUL prediction is one of the most challenging problems in predictive maintenance because sensor data requires thorough preprocessing before model </w:t>
      </w:r>
      <w:r w:rsidRPr="3967E527" w:rsidR="68F13F09">
        <w:rPr>
          <w:sz w:val="22"/>
          <w:szCs w:val="22"/>
        </w:rPr>
        <w:t>training. The</w:t>
      </w:r>
      <w:r w:rsidRPr="3967E527" w:rsidR="46E9566C">
        <w:rPr>
          <w:sz w:val="22"/>
          <w:szCs w:val="22"/>
        </w:rPr>
        <w:t xml:space="preserve"> researchers used the NASA C-MAPSS dataset, specifically FD001, which </w:t>
      </w:r>
      <w:r w:rsidRPr="3967E527" w:rsidR="46E9566C">
        <w:rPr>
          <w:sz w:val="22"/>
          <w:szCs w:val="22"/>
        </w:rPr>
        <w:t>contains</w:t>
      </w:r>
      <w:r w:rsidRPr="3967E527" w:rsidR="46E9566C">
        <w:rPr>
          <w:sz w:val="22"/>
          <w:szCs w:val="22"/>
        </w:rPr>
        <w:t xml:space="preserve"> 100 training trajectories, 100 test trajectories, a single operating condition, and one fault mode. The preprocessing steps included removing constant sensors, selecting 14 important sensors, applying Min-Max normalization to standardize values, and using a low-pass filter to reduce noise. An </w:t>
      </w:r>
      <w:r w:rsidRPr="3967E527" w:rsidR="46E9566C">
        <w:rPr>
          <w:sz w:val="22"/>
          <w:szCs w:val="22"/>
        </w:rPr>
        <w:t>Autoencoder</w:t>
      </w:r>
      <w:r w:rsidRPr="3967E527" w:rsidR="46E9566C">
        <w:rPr>
          <w:sz w:val="22"/>
          <w:szCs w:val="22"/>
        </w:rPr>
        <w:t xml:space="preserve"> was then used to extract a single signal from the sensor data. A new feature called the "difference feature" was also engineered, </w:t>
      </w:r>
      <w:r w:rsidRPr="3967E527" w:rsidR="46E9566C">
        <w:rPr>
          <w:sz w:val="22"/>
          <w:szCs w:val="22"/>
        </w:rPr>
        <w:t>representing</w:t>
      </w:r>
      <w:r w:rsidRPr="3967E527" w:rsidR="46E9566C">
        <w:rPr>
          <w:sz w:val="22"/>
          <w:szCs w:val="22"/>
        </w:rPr>
        <w:t xml:space="preserve"> the difference between each sensor reading at every cycle and its first </w:t>
      </w:r>
      <w:r w:rsidRPr="3967E527" w:rsidR="7684A46A">
        <w:rPr>
          <w:sz w:val="22"/>
          <w:szCs w:val="22"/>
        </w:rPr>
        <w:t>reading. The</w:t>
      </w:r>
      <w:r w:rsidRPr="3967E527" w:rsidR="46E9566C">
        <w:rPr>
          <w:sz w:val="22"/>
          <w:szCs w:val="22"/>
        </w:rPr>
        <w:t xml:space="preserve"> paper applied </w:t>
      </w:r>
      <w:r w:rsidRPr="3967E527" w:rsidR="46E9566C">
        <w:rPr>
          <w:sz w:val="22"/>
          <w:szCs w:val="22"/>
        </w:rPr>
        <w:t>PwL</w:t>
      </w:r>
      <w:r w:rsidRPr="3967E527" w:rsidR="46E9566C">
        <w:rPr>
          <w:sz w:val="22"/>
          <w:szCs w:val="22"/>
        </w:rPr>
        <w:t xml:space="preserve"> labeling with change point detection to </w:t>
      </w:r>
      <w:r w:rsidRPr="3967E527" w:rsidR="46E9566C">
        <w:rPr>
          <w:sz w:val="22"/>
          <w:szCs w:val="22"/>
        </w:rPr>
        <w:t>more accurately determine the starting point of degradation</w:t>
      </w:r>
      <w:r w:rsidRPr="3967E527" w:rsidR="46E9566C">
        <w:rPr>
          <w:sz w:val="22"/>
          <w:szCs w:val="22"/>
        </w:rPr>
        <w:t xml:space="preserve"> for each engine. Subsequently, a 1D CNN-LSTM model was trained: the 1D CNN was used to extract spatial features from the sensor data, while the LSTM captured temporal changes in </w:t>
      </w:r>
      <w:r w:rsidRPr="3967E527" w:rsidR="4BBD0EA9">
        <w:rPr>
          <w:sz w:val="22"/>
          <w:szCs w:val="22"/>
        </w:rPr>
        <w:t>degradation. The</w:t>
      </w:r>
      <w:r w:rsidRPr="3967E527" w:rsidR="46E9566C">
        <w:rPr>
          <w:sz w:val="22"/>
          <w:szCs w:val="22"/>
        </w:rPr>
        <w:t xml:space="preserve"> model was compared with other machine learning and deep learning models, both with and without the new difference feature. The results showed that the 1D CNN-LSTM model with the difference feature achieved the best performance, with an RMSE of 16.1 and a score of 437.2.</w:t>
      </w:r>
    </w:p>
    <w:p w:rsidR="329426DC" w:rsidP="3967E527" w:rsidRDefault="329426DC" w14:paraId="6D73CC07" w14:textId="7B111D56">
      <w:pPr>
        <w:spacing w:before="240" w:after="240"/>
        <w:rPr>
          <w:color w:val="000000" w:themeColor="text1" w:themeTint="FF" w:themeShade="FF"/>
          <w:sz w:val="22"/>
          <w:szCs w:val="22"/>
        </w:rPr>
      </w:pPr>
      <w:r w:rsidRPr="3967E527" w:rsidR="329426DC">
        <w:rPr>
          <w:color w:val="000000" w:themeColor="text1" w:themeTint="FF" w:themeShade="FF"/>
          <w:sz w:val="22"/>
          <w:szCs w:val="22"/>
        </w:rPr>
        <w:t xml:space="preserve">Deng and Zhou [4] proposed a hybrid deep learning framework integrating convolutional neural networks (CNNs), long short-term memory (LSTM) networks, and an attention mechanism to predict the remaining useful life (RUL) of </w:t>
      </w:r>
      <w:r w:rsidRPr="3967E527" w:rsidR="2F0D7B58">
        <w:rPr>
          <w:color w:val="000000" w:themeColor="text1" w:themeTint="FF" w:themeShade="FF"/>
          <w:sz w:val="22"/>
          <w:szCs w:val="22"/>
        </w:rPr>
        <w:t>aeroe-</w:t>
      </w:r>
      <w:r w:rsidRPr="3967E527" w:rsidR="2F0D7B58">
        <w:rPr>
          <w:color w:val="000000" w:themeColor="text1" w:themeTint="FF" w:themeShade="FF"/>
          <w:sz w:val="22"/>
          <w:szCs w:val="22"/>
        </w:rPr>
        <w:t>ngines</w:t>
      </w:r>
      <w:r w:rsidRPr="3967E527" w:rsidR="329426DC">
        <w:rPr>
          <w:color w:val="000000" w:themeColor="text1" w:themeTint="FF" w:themeShade="FF"/>
          <w:sz w:val="22"/>
          <w:szCs w:val="22"/>
        </w:rPr>
        <w:t xml:space="preserve">. The study </w:t>
      </w:r>
      <w:r w:rsidRPr="3967E527" w:rsidR="1F705654">
        <w:rPr>
          <w:color w:val="000000" w:themeColor="text1" w:themeTint="FF" w:themeShade="FF"/>
          <w:sz w:val="22"/>
          <w:szCs w:val="22"/>
        </w:rPr>
        <w:t xml:space="preserve">used </w:t>
      </w:r>
      <w:r w:rsidRPr="3967E527" w:rsidR="329426DC">
        <w:rPr>
          <w:color w:val="000000" w:themeColor="text1" w:themeTint="FF" w:themeShade="FF"/>
          <w:sz w:val="22"/>
          <w:szCs w:val="22"/>
        </w:rPr>
        <w:t xml:space="preserve">the NASA C-MAPSS dataset, which </w:t>
      </w:r>
      <w:r w:rsidRPr="3967E527" w:rsidR="329426DC">
        <w:rPr>
          <w:color w:val="000000" w:themeColor="text1" w:themeTint="FF" w:themeShade="FF"/>
          <w:sz w:val="22"/>
          <w:szCs w:val="22"/>
        </w:rPr>
        <w:t>comprises</w:t>
      </w:r>
      <w:r w:rsidRPr="3967E527" w:rsidR="329426DC">
        <w:rPr>
          <w:color w:val="000000" w:themeColor="text1" w:themeTint="FF" w:themeShade="FF"/>
          <w:sz w:val="22"/>
          <w:szCs w:val="22"/>
        </w:rPr>
        <w:t xml:space="preserve"> sensor measurements collected from </w:t>
      </w:r>
      <w:r w:rsidRPr="3967E527" w:rsidR="329426DC">
        <w:rPr>
          <w:color w:val="000000" w:themeColor="text1" w:themeTint="FF" w:themeShade="FF"/>
          <w:sz w:val="22"/>
          <w:szCs w:val="22"/>
        </w:rPr>
        <w:t>aircraft</w:t>
      </w:r>
      <w:r w:rsidRPr="3967E527" w:rsidR="329426DC">
        <w:rPr>
          <w:color w:val="000000" w:themeColor="text1" w:themeTint="FF" w:themeShade="FF"/>
          <w:sz w:val="22"/>
          <w:szCs w:val="22"/>
        </w:rPr>
        <w:t xml:space="preserve"> turbofan engines throughout the degradation process. The data preprocessing procedure involved feature normalization, RUL label generation, and the transformation of sensor measurements into sequential time-series inputs. Within the proposed architecture, the CNN component was used to extract salient features from the sensor data, the LSTM component was applied to capture temporal degradation patterns, and the attention mechanism was incorporated to enhance the model’s ability to focus on the most informative features for RUL prediction. The proposed approach was evaluated against several baseline models, including CNN, LSTM, CNN-LSTM, BP, GRU, CNN-GRU, DCNN, and TCNN. The results </w:t>
      </w:r>
      <w:r w:rsidRPr="3967E527" w:rsidR="329426DC">
        <w:rPr>
          <w:color w:val="000000" w:themeColor="text1" w:themeTint="FF" w:themeShade="FF"/>
          <w:sz w:val="22"/>
          <w:szCs w:val="22"/>
        </w:rPr>
        <w:t>indicated</w:t>
      </w:r>
      <w:r w:rsidRPr="3967E527" w:rsidR="329426DC">
        <w:rPr>
          <w:color w:val="000000" w:themeColor="text1" w:themeTint="FF" w:themeShade="FF"/>
          <w:sz w:val="22"/>
          <w:szCs w:val="22"/>
        </w:rPr>
        <w:t xml:space="preserve"> that the CNN-LSTM model with an attention mechanism achieved the strongest predictive performance, with RMSE values of 15.977, 14.452, 13.907, and 16.637 on FD001, FD002, FD003, and FD004, respectively.</w:t>
      </w:r>
    </w:p>
    <w:p w:rsidR="3967E527" w:rsidP="3967E527" w:rsidRDefault="3967E527" w14:paraId="290853E0" w14:textId="583289BB">
      <w:pPr>
        <w:spacing w:before="240" w:after="240"/>
        <w:rPr>
          <w:sz w:val="22"/>
          <w:szCs w:val="22"/>
        </w:rPr>
      </w:pPr>
    </w:p>
    <w:p w:rsidRPr="009A3921" w:rsidR="00DF12D9" w:rsidP="3967E527" w:rsidRDefault="00DF12D9" w14:paraId="166D4AA1" w14:textId="784248D1">
      <w:pPr>
        <w:spacing w:before="0" w:beforeAutospacing="off" w:after="0" w:afterAutospacing="off" w:line="300" w:lineRule="auto"/>
        <w:rPr>
          <w:rFonts w:ascii="Aptos" w:hAnsi="Aptos" w:eastAsia="Aptos" w:cs="Aptos"/>
          <w:noProof w:val="0"/>
          <w:color w:val="000000" w:themeColor="text1" w:themeTint="FF" w:themeShade="FF"/>
          <w:sz w:val="22"/>
          <w:szCs w:val="22"/>
          <w:lang w:val="en-US"/>
        </w:rPr>
      </w:pPr>
      <w:r w:rsidRPr="3967E527" w:rsidR="2391C8EE">
        <w:rPr>
          <w:rFonts w:ascii="Aptos" w:hAnsi="Aptos" w:eastAsia="Aptos" w:cs="Aptos"/>
          <w:noProof w:val="0"/>
          <w:color w:val="000000" w:themeColor="text1" w:themeTint="FF" w:themeShade="FF"/>
          <w:sz w:val="22"/>
          <w:szCs w:val="22"/>
          <w:lang w:val="en-US"/>
        </w:rPr>
        <w:t xml:space="preserve">Fan et al. [5] proposed a two-stage attention-based hierarchical Transformer model to predict the Remaining Useful Life (RUL) of turbofan engines. They used the NASA C-MAPSS dataset, which </w:t>
      </w:r>
      <w:r w:rsidRPr="3967E527" w:rsidR="2391C8EE">
        <w:rPr>
          <w:rFonts w:ascii="Aptos" w:hAnsi="Aptos" w:eastAsia="Aptos" w:cs="Aptos"/>
          <w:noProof w:val="0"/>
          <w:color w:val="000000" w:themeColor="text1" w:themeTint="FF" w:themeShade="FF"/>
          <w:sz w:val="22"/>
          <w:szCs w:val="22"/>
          <w:lang w:val="en-US"/>
        </w:rPr>
        <w:t>contains</w:t>
      </w:r>
      <w:r w:rsidRPr="3967E527" w:rsidR="2391C8EE">
        <w:rPr>
          <w:rFonts w:ascii="Aptos" w:hAnsi="Aptos" w:eastAsia="Aptos" w:cs="Aptos"/>
          <w:noProof w:val="0"/>
          <w:color w:val="000000" w:themeColor="text1" w:themeTint="FF" w:themeShade="FF"/>
          <w:sz w:val="22"/>
          <w:szCs w:val="22"/>
          <w:lang w:val="en-US"/>
        </w:rPr>
        <w:t xml:space="preserve"> </w:t>
      </w:r>
      <w:r w:rsidRPr="3967E527" w:rsidR="249453A7">
        <w:rPr>
          <w:rFonts w:ascii="Segoe UI" w:hAnsi="Segoe UI" w:eastAsia="Segoe UI" w:cs="Segoe UI"/>
          <w:noProof w:val="0"/>
          <w:color w:val="000000" w:themeColor="text1" w:themeTint="FF" w:themeShade="FF"/>
          <w:sz w:val="21"/>
          <w:szCs w:val="21"/>
          <w:lang w:val="en-US"/>
        </w:rPr>
        <w:t xml:space="preserve">readings from multiple sensors of </w:t>
      </w:r>
      <w:r w:rsidRPr="3967E527" w:rsidR="249453A7">
        <w:rPr>
          <w:rFonts w:ascii="Segoe UI" w:hAnsi="Segoe UI" w:eastAsia="Segoe UI" w:cs="Segoe UI"/>
          <w:noProof w:val="0"/>
          <w:color w:val="000000" w:themeColor="text1" w:themeTint="FF" w:themeShade="FF"/>
          <w:sz w:val="21"/>
          <w:szCs w:val="21"/>
          <w:lang w:val="en-US"/>
        </w:rPr>
        <w:t>aircraft</w:t>
      </w:r>
      <w:r w:rsidRPr="3967E527" w:rsidR="249453A7">
        <w:rPr>
          <w:rFonts w:ascii="Segoe UI" w:hAnsi="Segoe UI" w:eastAsia="Segoe UI" w:cs="Segoe UI"/>
          <w:noProof w:val="0"/>
          <w:color w:val="000000" w:themeColor="text1" w:themeTint="FF" w:themeShade="FF"/>
          <w:sz w:val="21"/>
          <w:szCs w:val="21"/>
          <w:lang w:val="en-US"/>
        </w:rPr>
        <w:t xml:space="preserve"> engines</w:t>
      </w:r>
      <w:r w:rsidRPr="3967E527" w:rsidR="2391C8EE">
        <w:rPr>
          <w:rFonts w:ascii="Aptos" w:hAnsi="Aptos" w:eastAsia="Aptos" w:cs="Aptos"/>
          <w:noProof w:val="0"/>
          <w:color w:val="000000" w:themeColor="text1" w:themeTint="FF" w:themeShade="FF"/>
          <w:sz w:val="22"/>
          <w:szCs w:val="22"/>
          <w:lang w:val="en-US"/>
        </w:rPr>
        <w:t xml:space="preserve">. The preprocessing steps included arranging engine sensor readings into time-series sequences and preparing the data for RUL regression. The proposed framework, called STAR, used two attention stages to learn both sensor-wise information and temporal information. It also used a hierarchical encoder-decoder structure to capture useful information at different time scales. The proposed model was compared with several existing RUL prediction models, including CNN-based, RNN-based, and Transformer-based models such as DAST, </w:t>
      </w:r>
      <w:r w:rsidRPr="3967E527" w:rsidR="2391C8EE">
        <w:rPr>
          <w:rFonts w:ascii="Aptos" w:hAnsi="Aptos" w:eastAsia="Aptos" w:cs="Aptos"/>
          <w:noProof w:val="0"/>
          <w:color w:val="000000" w:themeColor="text1" w:themeTint="FF" w:themeShade="FF"/>
          <w:sz w:val="22"/>
          <w:szCs w:val="22"/>
          <w:lang w:val="en-US"/>
        </w:rPr>
        <w:t>DLformer</w:t>
      </w:r>
      <w:r w:rsidRPr="3967E527" w:rsidR="2391C8EE">
        <w:rPr>
          <w:rFonts w:ascii="Aptos" w:hAnsi="Aptos" w:eastAsia="Aptos" w:cs="Aptos"/>
          <w:noProof w:val="0"/>
          <w:color w:val="000000" w:themeColor="text1" w:themeTint="FF" w:themeShade="FF"/>
          <w:sz w:val="22"/>
          <w:szCs w:val="22"/>
          <w:lang w:val="en-US"/>
        </w:rPr>
        <w:t xml:space="preserve">, and </w:t>
      </w:r>
      <w:r w:rsidRPr="3967E527" w:rsidR="2391C8EE">
        <w:rPr>
          <w:rFonts w:ascii="Aptos" w:hAnsi="Aptos" w:eastAsia="Aptos" w:cs="Aptos"/>
          <w:noProof w:val="0"/>
          <w:color w:val="000000" w:themeColor="text1" w:themeTint="FF" w:themeShade="FF"/>
          <w:sz w:val="22"/>
          <w:szCs w:val="22"/>
          <w:lang w:val="en-US"/>
        </w:rPr>
        <w:t>BiLSTM</w:t>
      </w:r>
      <w:r w:rsidRPr="3967E527" w:rsidR="2391C8EE">
        <w:rPr>
          <w:rFonts w:ascii="Aptos" w:hAnsi="Aptos" w:eastAsia="Aptos" w:cs="Aptos"/>
          <w:noProof w:val="0"/>
          <w:color w:val="000000" w:themeColor="text1" w:themeTint="FF" w:themeShade="FF"/>
          <w:sz w:val="22"/>
          <w:szCs w:val="22"/>
          <w:lang w:val="en-US"/>
        </w:rPr>
        <w:t xml:space="preserve">-DAE-Transformer. The results showed that STAR achieved </w:t>
      </w:r>
      <w:r w:rsidRPr="3967E527" w:rsidR="2391C8EE">
        <w:rPr>
          <w:rFonts w:ascii="Aptos" w:hAnsi="Aptos" w:eastAsia="Aptos" w:cs="Aptos"/>
          <w:noProof w:val="0"/>
          <w:color w:val="000000" w:themeColor="text1" w:themeTint="FF" w:themeShade="FF"/>
          <w:sz w:val="22"/>
          <w:szCs w:val="22"/>
          <w:lang w:val="en-US"/>
        </w:rPr>
        <w:t>strong performance</w:t>
      </w:r>
      <w:r w:rsidRPr="3967E527" w:rsidR="2391C8EE">
        <w:rPr>
          <w:rFonts w:ascii="Aptos" w:hAnsi="Aptos" w:eastAsia="Aptos" w:cs="Aptos"/>
          <w:noProof w:val="0"/>
          <w:color w:val="000000" w:themeColor="text1" w:themeTint="FF" w:themeShade="FF"/>
          <w:sz w:val="22"/>
          <w:szCs w:val="22"/>
          <w:lang w:val="en-US"/>
        </w:rPr>
        <w:t xml:space="preserve"> on the C-MAPSS subsets and improved RUL prediction compared with several baseline models.</w:t>
      </w:r>
    </w:p>
    <w:p w:rsidRPr="009A3921" w:rsidR="00DF12D9" w:rsidP="3967E527" w:rsidRDefault="00DF12D9" w14:paraId="5DE12DB1" w14:textId="752A236B">
      <w:pPr>
        <w:spacing w:before="240" w:beforeAutospacing="off" w:after="240" w:afterAutospacing="off"/>
        <w:rPr>
          <w:rFonts w:ascii="Aptos" w:hAnsi="Aptos" w:eastAsia="Aptos" w:cs="Aptos"/>
          <w:noProof w:val="0"/>
          <w:color w:val="000000" w:themeColor="text1" w:themeTint="FF" w:themeShade="FF"/>
          <w:sz w:val="22"/>
          <w:szCs w:val="22"/>
          <w:lang w:val="en-US"/>
        </w:rPr>
      </w:pPr>
    </w:p>
    <w:p w:rsidRPr="009A3921" w:rsidR="00DF12D9" w:rsidP="3967E527" w:rsidRDefault="00DF12D9" w14:paraId="5DEDDF6D" w14:textId="295EB2A4">
      <w:pPr>
        <w:pStyle w:val="a"/>
        <w:spacing w:before="240" w:beforeAutospacing="off" w:after="240" w:afterAutospacing="off"/>
        <w:rPr>
          <w:rFonts w:ascii="Aptos" w:hAnsi="Aptos" w:eastAsia="Aptos" w:cs="Aptos"/>
          <w:noProof w:val="0"/>
          <w:color w:val="000000" w:themeColor="text1" w:themeTint="FF" w:themeShade="FF"/>
          <w:sz w:val="22"/>
          <w:szCs w:val="22"/>
          <w:lang w:val="en-US"/>
        </w:rPr>
      </w:pPr>
    </w:p>
    <w:p w:rsidRPr="009A3921" w:rsidR="00DF12D9" w:rsidP="3967E527" w:rsidRDefault="00DF12D9" w14:paraId="5FD4363D" w14:textId="20C2FC93">
      <w:pPr>
        <w:pStyle w:val="a"/>
        <w:spacing w:before="240" w:beforeAutospacing="off" w:after="240" w:afterAutospacing="off"/>
        <w:rPr>
          <w:rFonts w:ascii="Aptos" w:hAnsi="Aptos" w:eastAsia="Aptos" w:cs="Aptos"/>
          <w:noProof w:val="0"/>
          <w:color w:val="000000" w:themeColor="text1" w:themeTint="FF" w:themeShade="FF"/>
          <w:sz w:val="22"/>
          <w:szCs w:val="22"/>
          <w:lang w:val="en-US"/>
        </w:rPr>
      </w:pPr>
      <w:r w:rsidRPr="3967E527" w:rsidR="437B095D">
        <w:rPr>
          <w:rFonts w:ascii="Aptos" w:hAnsi="Aptos" w:eastAsia="Aptos" w:cs="Aptos"/>
          <w:noProof w:val="0"/>
          <w:color w:val="000000" w:themeColor="text1" w:themeTint="FF" w:themeShade="FF"/>
          <w:sz w:val="22"/>
          <w:szCs w:val="22"/>
          <w:lang w:val="en-US"/>
        </w:rPr>
        <w:t>Elsherif et al. [</w:t>
      </w:r>
      <w:r w:rsidRPr="3967E527" w:rsidR="4605C0EB">
        <w:rPr>
          <w:rFonts w:ascii="Aptos" w:hAnsi="Aptos" w:eastAsia="Aptos" w:cs="Aptos"/>
          <w:noProof w:val="0"/>
          <w:color w:val="000000" w:themeColor="text1" w:themeTint="FF" w:themeShade="FF"/>
          <w:sz w:val="22"/>
          <w:szCs w:val="22"/>
          <w:lang w:val="en-US"/>
        </w:rPr>
        <w:t>6</w:t>
      </w:r>
      <w:r w:rsidRPr="3967E527" w:rsidR="437B095D">
        <w:rPr>
          <w:rFonts w:ascii="Aptos" w:hAnsi="Aptos" w:eastAsia="Aptos" w:cs="Aptos"/>
          <w:noProof w:val="0"/>
          <w:color w:val="000000" w:themeColor="text1" w:themeTint="FF" w:themeShade="FF"/>
          <w:sz w:val="22"/>
          <w:szCs w:val="22"/>
          <w:lang w:val="en-US"/>
        </w:rPr>
        <w:t xml:space="preserve">] proposed a hybrid deep learning model called CAELSTM to predict the Remaining Useful Life (RUL) of turbofan engines. They used the NASA C-MAPSS dataset, focusing on the FD001 and FD003 sub-datasets. The preprocessing steps included preparing the sub-datasets and applying a piecewise linear degradation model. The proposed model used a convolutional autoencoder followed by an LSTM layer with an attention mechanism to learn useful degradation features from time-series sensor data. A fully connected layer was also used to process the extracted features before the final RUL prediction. The model was evaluated and compared with other RUL prediction approaches. The results showed that CAELSTM achieved </w:t>
      </w:r>
      <w:r w:rsidRPr="3967E527" w:rsidR="437B095D">
        <w:rPr>
          <w:rFonts w:ascii="Aptos" w:hAnsi="Aptos" w:eastAsia="Aptos" w:cs="Aptos"/>
          <w:noProof w:val="0"/>
          <w:color w:val="000000" w:themeColor="text1" w:themeTint="FF" w:themeShade="FF"/>
          <w:sz w:val="22"/>
          <w:szCs w:val="22"/>
          <w:lang w:val="en-US"/>
        </w:rPr>
        <w:t>strong performance</w:t>
      </w:r>
      <w:r w:rsidRPr="3967E527" w:rsidR="437B095D">
        <w:rPr>
          <w:rFonts w:ascii="Aptos" w:hAnsi="Aptos" w:eastAsia="Aptos" w:cs="Aptos"/>
          <w:noProof w:val="0"/>
          <w:color w:val="000000" w:themeColor="text1" w:themeTint="FF" w:themeShade="FF"/>
          <w:sz w:val="22"/>
          <w:szCs w:val="22"/>
          <w:lang w:val="en-US"/>
        </w:rPr>
        <w:t>, with RMSE values of 14.44 on FD001 and 13.40 on FD003, MAE values of 10.49 on FD001 and 10.68 on FD003, and Score values of 282.38 on FD001 and 264.47 on FD003.</w:t>
      </w:r>
    </w:p>
    <w:p w:rsidRPr="009A3921" w:rsidR="00DF12D9" w:rsidP="3967E527" w:rsidRDefault="00DF12D9" w14:paraId="08DB95A3" w14:textId="1196AE0B">
      <w:pPr>
        <w:pStyle w:val="a"/>
        <w:spacing w:before="240" w:after="240"/>
        <w:rPr>
          <w:sz w:val="22"/>
          <w:szCs w:val="22"/>
          <w:lang w:eastAsia="en-US"/>
        </w:rPr>
      </w:pPr>
    </w:p>
    <w:tbl>
      <w:tblPr>
        <w:tblStyle w:val="a3"/>
        <w:tblW w:w="12808" w:type="dxa"/>
        <w:tblInd w:w="-859" w:type="dxa"/>
        <w:tblBorders>
          <w:top w:val="single" w:color="auto" w:sz="6" w:space="0"/>
          <w:left w:val="single" w:color="auto" w:sz="6" w:space="0"/>
          <w:bottom w:val="single" w:color="auto" w:sz="6" w:space="0"/>
          <w:right w:val="single" w:color="auto" w:sz="6" w:space="0"/>
        </w:tblBorders>
        <w:tblLayout w:type="fixed"/>
        <w:tblLook w:val="06A0" w:firstRow="1" w:lastRow="0" w:firstColumn="1" w:lastColumn="0" w:noHBand="1" w:noVBand="1"/>
      </w:tblPr>
      <w:tblGrid>
        <w:gridCol w:w="1073"/>
        <w:gridCol w:w="2146"/>
        <w:gridCol w:w="1428"/>
        <w:gridCol w:w="1182"/>
        <w:gridCol w:w="2089"/>
        <w:gridCol w:w="1631"/>
        <w:gridCol w:w="3259"/>
      </w:tblGrid>
      <w:tr w:rsidRPr="009A3921" w:rsidR="00A73B8D" w:rsidTr="3967E527" w14:paraId="26DA01A7" w14:textId="77777777">
        <w:trPr>
          <w:trHeight w:val="300"/>
        </w:trPr>
        <w:tc>
          <w:tcPr>
            <w:tcW w:w="1073" w:type="dxa"/>
            <w:tcBorders>
              <w:top w:val="single" w:color="auto" w:sz="6" w:space="0"/>
              <w:left w:val="single" w:color="auto" w:sz="6" w:space="0"/>
              <w:bottom w:val="single" w:color="auto" w:sz="6" w:space="0"/>
              <w:right w:val="single" w:color="auto" w:sz="6" w:space="0"/>
            </w:tcBorders>
            <w:tcMar>
              <w:top w:w="120" w:type="dxa"/>
              <w:left w:w="180" w:type="dxa"/>
              <w:bottom w:w="120" w:type="dxa"/>
              <w:right w:w="180" w:type="dxa"/>
            </w:tcMar>
            <w:vAlign w:val="center"/>
          </w:tcPr>
          <w:p w:rsidRPr="009A3921" w:rsidR="3D50A96E" w:rsidP="3D50A96E" w:rsidRDefault="3D50A96E" w14:paraId="5240755F" w14:textId="13834E8D">
            <w:pPr>
              <w:spacing w:before="240" w:after="240"/>
              <w:jc w:val="center"/>
              <w:rPr>
                <w:sz w:val="22"/>
                <w:szCs w:val="22"/>
              </w:rPr>
            </w:pPr>
            <w:r w:rsidRPr="009A3921">
              <w:rPr>
                <w:b/>
                <w:bCs/>
                <w:color w:val="000000" w:themeColor="text1"/>
                <w:sz w:val="22"/>
                <w:szCs w:val="22"/>
              </w:rPr>
              <w:t>Paper</w:t>
            </w:r>
          </w:p>
        </w:tc>
        <w:tc>
          <w:tcPr>
            <w:tcW w:w="2146" w:type="dxa"/>
            <w:tcBorders>
              <w:top w:val="single" w:color="auto" w:sz="6" w:space="0"/>
              <w:left w:val="single" w:color="auto" w:sz="6" w:space="0"/>
              <w:bottom w:val="single" w:color="auto" w:sz="6" w:space="0"/>
              <w:right w:val="single" w:color="auto" w:sz="6" w:space="0"/>
            </w:tcBorders>
            <w:tcMar>
              <w:top w:w="120" w:type="dxa"/>
              <w:left w:w="180" w:type="dxa"/>
              <w:bottom w:w="120" w:type="dxa"/>
              <w:right w:w="180" w:type="dxa"/>
            </w:tcMar>
            <w:vAlign w:val="center"/>
          </w:tcPr>
          <w:p w:rsidRPr="009A3921" w:rsidR="3D50A96E" w:rsidP="3D50A96E" w:rsidRDefault="3D50A96E" w14:paraId="6ED7AF31" w14:textId="677B1B3A">
            <w:pPr>
              <w:spacing w:before="240" w:after="240"/>
              <w:jc w:val="center"/>
              <w:rPr>
                <w:sz w:val="22"/>
                <w:szCs w:val="22"/>
              </w:rPr>
            </w:pPr>
            <w:r w:rsidRPr="009A3921">
              <w:rPr>
                <w:b/>
                <w:bCs/>
                <w:color w:val="000000" w:themeColor="text1"/>
                <w:sz w:val="22"/>
                <w:szCs w:val="22"/>
              </w:rPr>
              <w:t>All Models</w:t>
            </w:r>
          </w:p>
        </w:tc>
        <w:tc>
          <w:tcPr>
            <w:tcW w:w="1428" w:type="dxa"/>
            <w:tcBorders>
              <w:top w:val="single" w:color="auto" w:sz="6" w:space="0"/>
              <w:left w:val="single" w:color="auto" w:sz="6" w:space="0"/>
              <w:bottom w:val="single" w:color="auto" w:sz="6" w:space="0"/>
              <w:right w:val="single" w:color="auto" w:sz="6" w:space="0"/>
            </w:tcBorders>
            <w:tcMar>
              <w:top w:w="120" w:type="dxa"/>
              <w:left w:w="180" w:type="dxa"/>
              <w:bottom w:w="120" w:type="dxa"/>
              <w:right w:w="180" w:type="dxa"/>
            </w:tcMar>
            <w:vAlign w:val="center"/>
          </w:tcPr>
          <w:p w:rsidRPr="009A3921" w:rsidR="3D50A96E" w:rsidP="3D50A96E" w:rsidRDefault="3D50A96E" w14:paraId="3343E397" w14:textId="439EED0D">
            <w:pPr>
              <w:spacing w:before="240" w:after="240"/>
              <w:jc w:val="center"/>
              <w:rPr>
                <w:sz w:val="22"/>
                <w:szCs w:val="22"/>
              </w:rPr>
            </w:pPr>
            <w:r w:rsidRPr="009A3921">
              <w:rPr>
                <w:b/>
                <w:bCs/>
                <w:color w:val="000000" w:themeColor="text1"/>
                <w:sz w:val="22"/>
                <w:szCs w:val="22"/>
              </w:rPr>
              <w:t>Datasets</w:t>
            </w:r>
          </w:p>
        </w:tc>
        <w:tc>
          <w:tcPr>
            <w:tcW w:w="1182" w:type="dxa"/>
            <w:tcBorders>
              <w:top w:val="single" w:color="auto" w:sz="6" w:space="0"/>
              <w:left w:val="single" w:color="auto" w:sz="6" w:space="0"/>
              <w:bottom w:val="single" w:color="auto" w:sz="6" w:space="0"/>
              <w:right w:val="single" w:color="auto" w:sz="6" w:space="0"/>
            </w:tcBorders>
            <w:tcMar>
              <w:top w:w="120" w:type="dxa"/>
              <w:left w:w="180" w:type="dxa"/>
              <w:bottom w:w="120" w:type="dxa"/>
              <w:right w:w="180" w:type="dxa"/>
            </w:tcMar>
            <w:vAlign w:val="center"/>
          </w:tcPr>
          <w:p w:rsidRPr="009A3921" w:rsidR="3D50A96E" w:rsidP="3D50A96E" w:rsidRDefault="3D50A96E" w14:paraId="2A3184F9" w14:textId="25FF3095">
            <w:pPr>
              <w:spacing w:before="240" w:after="240"/>
              <w:jc w:val="center"/>
              <w:rPr>
                <w:sz w:val="22"/>
                <w:szCs w:val="22"/>
              </w:rPr>
            </w:pPr>
            <w:r w:rsidRPr="009A3921">
              <w:rPr>
                <w:b/>
                <w:bCs/>
                <w:color w:val="000000" w:themeColor="text1"/>
                <w:sz w:val="22"/>
                <w:szCs w:val="22"/>
              </w:rPr>
              <w:t>Dataset Link</w:t>
            </w:r>
          </w:p>
        </w:tc>
        <w:tc>
          <w:tcPr>
            <w:tcW w:w="2089" w:type="dxa"/>
            <w:tcBorders>
              <w:top w:val="single" w:color="auto" w:sz="6" w:space="0"/>
              <w:left w:val="single" w:color="auto" w:sz="6" w:space="0"/>
              <w:bottom w:val="single" w:color="auto" w:sz="6" w:space="0"/>
              <w:right w:val="single" w:color="auto" w:sz="6" w:space="0"/>
            </w:tcBorders>
            <w:tcMar>
              <w:top w:w="120" w:type="dxa"/>
              <w:left w:w="180" w:type="dxa"/>
              <w:bottom w:w="120" w:type="dxa"/>
              <w:right w:w="180" w:type="dxa"/>
            </w:tcMar>
            <w:vAlign w:val="center"/>
          </w:tcPr>
          <w:p w:rsidRPr="009A3921" w:rsidR="3D50A96E" w:rsidP="3D50A96E" w:rsidRDefault="3D50A96E" w14:paraId="4D094145" w14:textId="1C57EDC9">
            <w:pPr>
              <w:spacing w:before="240" w:after="240"/>
              <w:jc w:val="center"/>
              <w:rPr>
                <w:sz w:val="22"/>
                <w:szCs w:val="22"/>
              </w:rPr>
            </w:pPr>
            <w:r w:rsidRPr="009A3921">
              <w:rPr>
                <w:b/>
                <w:bCs/>
                <w:color w:val="000000" w:themeColor="text1"/>
                <w:sz w:val="22"/>
                <w:szCs w:val="22"/>
              </w:rPr>
              <w:t>Limitation</w:t>
            </w:r>
          </w:p>
        </w:tc>
        <w:tc>
          <w:tcPr>
            <w:tcW w:w="1631" w:type="dxa"/>
            <w:tcBorders>
              <w:top w:val="single" w:color="auto" w:sz="6" w:space="0"/>
              <w:left w:val="single" w:color="auto" w:sz="6" w:space="0"/>
              <w:bottom w:val="single" w:color="auto" w:sz="6" w:space="0"/>
              <w:right w:val="single" w:color="auto" w:sz="6" w:space="0"/>
            </w:tcBorders>
            <w:tcMar>
              <w:top w:w="120" w:type="dxa"/>
              <w:left w:w="180" w:type="dxa"/>
              <w:bottom w:w="120" w:type="dxa"/>
              <w:right w:w="180" w:type="dxa"/>
            </w:tcMar>
            <w:vAlign w:val="center"/>
          </w:tcPr>
          <w:p w:rsidRPr="009A3921" w:rsidR="3D50A96E" w:rsidP="3D50A96E" w:rsidRDefault="3D50A96E" w14:paraId="04E5CE55" w14:textId="0C2759BD">
            <w:pPr>
              <w:spacing w:before="240" w:after="240"/>
              <w:jc w:val="center"/>
              <w:rPr>
                <w:sz w:val="22"/>
                <w:szCs w:val="22"/>
              </w:rPr>
            </w:pPr>
            <w:r w:rsidRPr="009A3921">
              <w:rPr>
                <w:b/>
                <w:bCs/>
                <w:color w:val="000000" w:themeColor="text1"/>
                <w:sz w:val="22"/>
                <w:szCs w:val="22"/>
              </w:rPr>
              <w:t>Best Model</w:t>
            </w:r>
          </w:p>
        </w:tc>
        <w:tc>
          <w:tcPr>
            <w:tcW w:w="3259" w:type="dxa"/>
            <w:tcBorders>
              <w:top w:val="single" w:color="auto" w:sz="6" w:space="0"/>
              <w:left w:val="single" w:color="auto" w:sz="6" w:space="0"/>
              <w:bottom w:val="single" w:color="auto" w:sz="6" w:space="0"/>
              <w:right w:val="single" w:color="auto" w:sz="6" w:space="0"/>
            </w:tcBorders>
            <w:tcMar>
              <w:top w:w="120" w:type="dxa"/>
              <w:left w:w="180" w:type="dxa"/>
              <w:bottom w:w="120" w:type="dxa"/>
              <w:right w:w="180" w:type="dxa"/>
            </w:tcMar>
            <w:vAlign w:val="center"/>
          </w:tcPr>
          <w:p w:rsidRPr="009A3921" w:rsidR="3D50A96E" w:rsidP="3D50A96E" w:rsidRDefault="3D50A96E" w14:paraId="54911B58" w14:textId="54495B11">
            <w:pPr>
              <w:spacing w:before="240" w:after="240"/>
              <w:jc w:val="center"/>
              <w:rPr>
                <w:sz w:val="22"/>
                <w:szCs w:val="22"/>
              </w:rPr>
            </w:pPr>
            <w:r w:rsidRPr="009A3921">
              <w:rPr>
                <w:b/>
                <w:bCs/>
                <w:color w:val="000000" w:themeColor="text1"/>
                <w:sz w:val="22"/>
                <w:szCs w:val="22"/>
              </w:rPr>
              <w:t>Results</w:t>
            </w:r>
          </w:p>
        </w:tc>
      </w:tr>
      <w:tr w:rsidRPr="009A3921" w:rsidR="00A73B8D" w:rsidTr="3967E527" w14:paraId="42C588B4" w14:textId="77777777">
        <w:trPr>
          <w:trHeight w:val="300"/>
        </w:trPr>
        <w:tc>
          <w:tcPr>
            <w:tcW w:w="1073" w:type="dxa"/>
            <w:tcBorders>
              <w:top w:val="single" w:color="auto" w:sz="6" w:space="0"/>
              <w:left w:val="single" w:color="auto" w:sz="6" w:space="0"/>
              <w:bottom w:val="single" w:color="auto" w:sz="6" w:space="0"/>
              <w:right w:val="single" w:color="auto" w:sz="6" w:space="0"/>
            </w:tcBorders>
            <w:tcMar>
              <w:top w:w="120" w:type="dxa"/>
              <w:left w:w="180" w:type="dxa"/>
              <w:bottom w:w="120" w:type="dxa"/>
              <w:right w:w="180" w:type="dxa"/>
            </w:tcMar>
            <w:vAlign w:val="center"/>
          </w:tcPr>
          <w:p w:rsidRPr="009A3921" w:rsidR="00B01A4E" w:rsidP="3D50A96E" w:rsidRDefault="00B42048" w14:paraId="4D88CB1D" w14:textId="5547EF7A">
            <w:pPr>
              <w:spacing w:before="240" w:after="240"/>
              <w:rPr>
                <w:color w:val="000000" w:themeColor="text1"/>
                <w:sz w:val="22"/>
                <w:szCs w:val="22"/>
                <w:lang w:val="en-GB"/>
              </w:rPr>
            </w:pPr>
            <w:r w:rsidRPr="3967E527" w:rsidR="4EEE427E">
              <w:rPr>
                <w:sz w:val="22"/>
                <w:szCs w:val="22"/>
              </w:rPr>
              <w:t>Xiao et al [</w:t>
            </w:r>
            <w:r w:rsidRPr="3967E527" w:rsidR="037A514B">
              <w:rPr>
                <w:sz w:val="22"/>
                <w:szCs w:val="22"/>
              </w:rPr>
              <w:t>1</w:t>
            </w:r>
            <w:r w:rsidRPr="3967E527" w:rsidR="4EEE427E">
              <w:rPr>
                <w:sz w:val="22"/>
                <w:szCs w:val="22"/>
              </w:rPr>
              <w:t>]</w:t>
            </w:r>
          </w:p>
        </w:tc>
        <w:tc>
          <w:tcPr>
            <w:tcW w:w="2146" w:type="dxa"/>
            <w:tcBorders>
              <w:top w:val="single" w:color="auto" w:sz="6" w:space="0"/>
              <w:left w:val="single" w:color="auto" w:sz="6" w:space="0"/>
              <w:bottom w:val="single" w:color="auto" w:sz="6" w:space="0"/>
              <w:right w:val="single" w:color="auto" w:sz="6" w:space="0"/>
            </w:tcBorders>
            <w:tcMar>
              <w:top w:w="120" w:type="dxa"/>
              <w:left w:w="180" w:type="dxa"/>
              <w:bottom w:w="120" w:type="dxa"/>
              <w:right w:w="180" w:type="dxa"/>
            </w:tcMar>
            <w:vAlign w:val="center"/>
          </w:tcPr>
          <w:p w:rsidRPr="009A3921" w:rsidR="00B42048" w:rsidP="00B42048" w:rsidRDefault="00B42048" w14:paraId="196CB2FF" w14:textId="77777777">
            <w:pPr>
              <w:spacing w:before="240" w:after="240"/>
              <w:rPr>
                <w:color w:val="000000" w:themeColor="text1"/>
                <w:sz w:val="22"/>
                <w:szCs w:val="22"/>
              </w:rPr>
            </w:pPr>
            <w:r w:rsidRPr="009A3921">
              <w:rPr>
                <w:sz w:val="22"/>
                <w:szCs w:val="22"/>
              </w:rPr>
              <w:t xml:space="preserve">CNN DCNN TCN </w:t>
            </w:r>
            <w:proofErr w:type="spellStart"/>
            <w:r w:rsidRPr="009A3921">
              <w:rPr>
                <w:sz w:val="22"/>
                <w:szCs w:val="22"/>
              </w:rPr>
              <w:t>TaFCN</w:t>
            </w:r>
            <w:proofErr w:type="spellEnd"/>
            <w:r w:rsidRPr="009A3921">
              <w:rPr>
                <w:sz w:val="22"/>
                <w:szCs w:val="22"/>
              </w:rPr>
              <w:t xml:space="preserve"> </w:t>
            </w:r>
            <w:proofErr w:type="spellStart"/>
            <w:r w:rsidRPr="009A3921">
              <w:rPr>
                <w:sz w:val="22"/>
                <w:szCs w:val="22"/>
              </w:rPr>
              <w:t>SeNet</w:t>
            </w:r>
            <w:proofErr w:type="spellEnd"/>
            <w:r w:rsidRPr="009A3921">
              <w:rPr>
                <w:sz w:val="22"/>
                <w:szCs w:val="22"/>
              </w:rPr>
              <w:t xml:space="preserve"> GRU CNN GRU Attention Transformer MDFA</w:t>
            </w:r>
          </w:p>
          <w:p w:rsidRPr="009A3921" w:rsidR="00B01A4E" w:rsidP="3D50A96E" w:rsidRDefault="00B01A4E" w14:paraId="13E4E8AF" w14:textId="77777777">
            <w:pPr>
              <w:spacing w:before="240" w:after="240"/>
              <w:rPr>
                <w:color w:val="000000" w:themeColor="text1"/>
                <w:sz w:val="22"/>
                <w:szCs w:val="22"/>
              </w:rPr>
            </w:pPr>
          </w:p>
        </w:tc>
        <w:tc>
          <w:tcPr>
            <w:tcW w:w="1428" w:type="dxa"/>
            <w:tcBorders>
              <w:top w:val="single" w:color="auto" w:sz="6" w:space="0"/>
              <w:left w:val="single" w:color="auto" w:sz="6" w:space="0"/>
              <w:bottom w:val="single" w:color="auto" w:sz="6" w:space="0"/>
              <w:right w:val="single" w:color="auto" w:sz="6" w:space="0"/>
            </w:tcBorders>
            <w:tcMar>
              <w:top w:w="120" w:type="dxa"/>
              <w:left w:w="180" w:type="dxa"/>
              <w:bottom w:w="120" w:type="dxa"/>
              <w:right w:w="180" w:type="dxa"/>
            </w:tcMar>
            <w:vAlign w:val="center"/>
          </w:tcPr>
          <w:p w:rsidRPr="009A3921" w:rsidR="00B01A4E" w:rsidP="3D50A96E" w:rsidRDefault="00B42048" w14:paraId="4FBF508C" w14:textId="2CB8FC76">
            <w:pPr>
              <w:spacing w:before="240" w:after="240"/>
              <w:rPr>
                <w:color w:val="000000" w:themeColor="text1"/>
                <w:sz w:val="22"/>
                <w:szCs w:val="22"/>
              </w:rPr>
            </w:pPr>
            <w:r w:rsidRPr="009A3921">
              <w:rPr>
                <w:sz w:val="22"/>
                <w:szCs w:val="22"/>
              </w:rPr>
              <w:t>NASA C MAPSS N CMAPSS PHM2012</w:t>
            </w:r>
          </w:p>
        </w:tc>
        <w:tc>
          <w:tcPr>
            <w:tcW w:w="1182" w:type="dxa"/>
            <w:tcBorders>
              <w:top w:val="single" w:color="auto" w:sz="6" w:space="0"/>
              <w:left w:val="single" w:color="auto" w:sz="6" w:space="0"/>
              <w:bottom w:val="single" w:color="auto" w:sz="6" w:space="0"/>
              <w:right w:val="single" w:color="auto" w:sz="6" w:space="0"/>
            </w:tcBorders>
            <w:tcMar>
              <w:top w:w="120" w:type="dxa"/>
              <w:left w:w="180" w:type="dxa"/>
              <w:bottom w:w="120" w:type="dxa"/>
              <w:right w:w="180" w:type="dxa"/>
            </w:tcMar>
            <w:vAlign w:val="center"/>
          </w:tcPr>
          <w:p w:rsidRPr="009A3921" w:rsidR="00B01A4E" w:rsidP="3967E527" w:rsidRDefault="00B42048" w14:paraId="7981F5EE" w14:textId="60AE4248">
            <w:pPr>
              <w:spacing w:before="240" w:beforeAutospacing="off" w:after="240" w:afterAutospacing="off"/>
            </w:pPr>
            <w:hyperlink r:id="Re193014d188e4777">
              <w:r w:rsidRPr="3967E527" w:rsidR="42BC63BE">
                <w:rPr>
                  <w:rStyle w:val="Hyperlink"/>
                  <w:noProof w:val="0"/>
                  <w:color w:val="000000" w:themeColor="text1" w:themeTint="FF" w:themeShade="FF"/>
                  <w:lang w:val="en-US"/>
                </w:rPr>
                <w:t>https://data.nasa.gov/dataset/cmapss-jet-engine-simulated-data</w:t>
              </w:r>
            </w:hyperlink>
          </w:p>
        </w:tc>
        <w:tc>
          <w:tcPr>
            <w:tcW w:w="2089" w:type="dxa"/>
            <w:tcBorders>
              <w:top w:val="single" w:color="auto" w:sz="6" w:space="0"/>
              <w:left w:val="single" w:color="auto" w:sz="6" w:space="0"/>
              <w:bottom w:val="single" w:color="auto" w:sz="6" w:space="0"/>
              <w:right w:val="single" w:color="auto" w:sz="6" w:space="0"/>
            </w:tcBorders>
            <w:tcMar>
              <w:top w:w="120" w:type="dxa"/>
              <w:left w:w="180" w:type="dxa"/>
              <w:bottom w:w="120" w:type="dxa"/>
              <w:right w:w="180" w:type="dxa"/>
            </w:tcMar>
            <w:vAlign w:val="center"/>
          </w:tcPr>
          <w:p w:rsidRPr="009A3921" w:rsidR="00B01A4E" w:rsidP="002E786F" w:rsidRDefault="00B42048" w14:paraId="09C49AF5" w14:textId="676B7C1E">
            <w:pPr>
              <w:spacing w:before="240" w:after="240"/>
              <w:rPr>
                <w:color w:val="000000"/>
                <w:sz w:val="22"/>
                <w:szCs w:val="22"/>
              </w:rPr>
            </w:pPr>
            <w:r w:rsidRPr="009A3921">
              <w:rPr>
                <w:color w:val="000000"/>
                <w:sz w:val="22"/>
                <w:szCs w:val="22"/>
              </w:rPr>
              <w:t>The model requires a large amount of historical sensor data, and it may involve computational complexity due to the multiple convolutions and attention mechanisms.</w:t>
            </w:r>
          </w:p>
        </w:tc>
        <w:tc>
          <w:tcPr>
            <w:tcW w:w="1631" w:type="dxa"/>
            <w:tcBorders>
              <w:top w:val="single" w:color="auto" w:sz="6" w:space="0"/>
              <w:left w:val="single" w:color="auto" w:sz="6" w:space="0"/>
              <w:bottom w:val="single" w:color="auto" w:sz="6" w:space="0"/>
              <w:right w:val="single" w:color="auto" w:sz="6" w:space="0"/>
            </w:tcBorders>
            <w:tcMar>
              <w:top w:w="120" w:type="dxa"/>
              <w:left w:w="180" w:type="dxa"/>
              <w:bottom w:w="120" w:type="dxa"/>
              <w:right w:w="180" w:type="dxa"/>
            </w:tcMar>
            <w:vAlign w:val="center"/>
          </w:tcPr>
          <w:p w:rsidRPr="009A3921" w:rsidR="00B01A4E" w:rsidP="3D50A96E" w:rsidRDefault="00B42048" w14:paraId="56796745" w14:textId="551950CB">
            <w:pPr>
              <w:spacing w:before="240" w:after="240"/>
              <w:rPr>
                <w:color w:val="000000" w:themeColor="text1"/>
                <w:sz w:val="22"/>
                <w:szCs w:val="22"/>
              </w:rPr>
            </w:pPr>
            <w:r w:rsidRPr="009A3921">
              <w:rPr>
                <w:sz w:val="22"/>
                <w:szCs w:val="22"/>
              </w:rPr>
              <w:t>MDFA</w:t>
            </w:r>
          </w:p>
        </w:tc>
        <w:tc>
          <w:tcPr>
            <w:tcW w:w="3259" w:type="dxa"/>
            <w:tcBorders>
              <w:top w:val="single" w:color="auto" w:sz="6" w:space="0"/>
              <w:left w:val="single" w:color="auto" w:sz="6" w:space="0"/>
              <w:bottom w:val="single" w:color="auto" w:sz="6" w:space="0"/>
              <w:right w:val="single" w:color="auto" w:sz="6" w:space="0"/>
            </w:tcBorders>
            <w:tcMar>
              <w:top w:w="120" w:type="dxa"/>
              <w:left w:w="180" w:type="dxa"/>
              <w:bottom w:w="120" w:type="dxa"/>
              <w:right w:w="180" w:type="dxa"/>
            </w:tcMar>
            <w:vAlign w:val="center"/>
          </w:tcPr>
          <w:p w:rsidRPr="009A3921" w:rsidR="00B01A4E" w:rsidP="3D50A96E" w:rsidRDefault="00B42048" w14:paraId="0A7B99BC" w14:textId="0EE5CA12">
            <w:pPr>
              <w:spacing w:before="240" w:after="240"/>
              <w:rPr>
                <w:color w:val="000000" w:themeColor="text1"/>
                <w:sz w:val="22"/>
                <w:szCs w:val="22"/>
              </w:rPr>
            </w:pPr>
            <w:r w:rsidRPr="009A3921">
              <w:rPr>
                <w:color w:val="000000" w:themeColor="text1"/>
                <w:sz w:val="22"/>
                <w:szCs w:val="22"/>
              </w:rPr>
              <w:t>The model achieved MAE values ranging from 0.018 to 0.026, RMSE values from 0.021 to 0.032, and R² values higher than 0.987. On the PHM2012 dataset, it achieved RMSE values between 0.031 and 0.032</w:t>
            </w:r>
          </w:p>
        </w:tc>
      </w:tr>
      <w:tr w:rsidRPr="009A3921" w:rsidR="00A73B8D" w:rsidTr="3967E527" w14:paraId="6A1D0B2B" w14:textId="77777777">
        <w:trPr>
          <w:trHeight w:val="300"/>
        </w:trPr>
        <w:tc>
          <w:tcPr>
            <w:tcW w:w="1073" w:type="dxa"/>
            <w:tcBorders>
              <w:top w:val="single" w:color="auto" w:sz="6" w:space="0"/>
              <w:left w:val="single" w:color="auto" w:sz="6" w:space="0"/>
              <w:bottom w:val="single" w:color="auto" w:sz="6" w:space="0"/>
              <w:right w:val="single" w:color="auto" w:sz="6" w:space="0"/>
            </w:tcBorders>
            <w:tcMar>
              <w:top w:w="120" w:type="dxa"/>
              <w:left w:w="180" w:type="dxa"/>
              <w:bottom w:w="120" w:type="dxa"/>
              <w:right w:w="180" w:type="dxa"/>
            </w:tcMar>
            <w:vAlign w:val="center"/>
          </w:tcPr>
          <w:p w:rsidRPr="009A3921" w:rsidR="00B82404" w:rsidP="00B82404" w:rsidRDefault="00B82404" w14:paraId="2F1A3F34" w14:textId="01713D6E">
            <w:pPr>
              <w:spacing w:before="240" w:after="240"/>
              <w:rPr>
                <w:color w:val="000000" w:themeColor="text1"/>
                <w:sz w:val="22"/>
                <w:szCs w:val="22"/>
              </w:rPr>
            </w:pPr>
            <w:r w:rsidRPr="3967E527" w:rsidR="1BCB6300">
              <w:rPr>
                <w:sz w:val="22"/>
                <w:szCs w:val="22"/>
              </w:rPr>
              <w:t>Ozkan</w:t>
            </w:r>
            <w:r w:rsidRPr="3967E527" w:rsidR="1BCB6300">
              <w:rPr>
                <w:sz w:val="22"/>
                <w:szCs w:val="22"/>
              </w:rPr>
              <w:t xml:space="preserve"> [</w:t>
            </w:r>
            <w:r w:rsidRPr="3967E527" w:rsidR="0FC748CF">
              <w:rPr>
                <w:sz w:val="22"/>
                <w:szCs w:val="22"/>
              </w:rPr>
              <w:t>2</w:t>
            </w:r>
            <w:r w:rsidRPr="3967E527" w:rsidR="1BCB6300">
              <w:rPr>
                <w:sz w:val="22"/>
                <w:szCs w:val="22"/>
              </w:rPr>
              <w:t>]</w:t>
            </w:r>
          </w:p>
        </w:tc>
        <w:tc>
          <w:tcPr>
            <w:tcW w:w="2146" w:type="dxa"/>
            <w:tcBorders>
              <w:top w:val="single" w:color="auto" w:sz="6" w:space="0"/>
              <w:left w:val="single" w:color="auto" w:sz="6" w:space="0"/>
              <w:bottom w:val="single" w:color="auto" w:sz="6" w:space="0"/>
              <w:right w:val="single" w:color="auto" w:sz="6" w:space="0"/>
            </w:tcBorders>
            <w:tcMar>
              <w:top w:w="120" w:type="dxa"/>
              <w:left w:w="180" w:type="dxa"/>
              <w:bottom w:w="120" w:type="dxa"/>
              <w:right w:w="180" w:type="dxa"/>
            </w:tcMar>
            <w:vAlign w:val="center"/>
          </w:tcPr>
          <w:p w:rsidRPr="009A3921" w:rsidR="00B82404" w:rsidP="00B82404" w:rsidRDefault="00B82404" w14:paraId="1CF77141" w14:textId="317BA6D7">
            <w:pPr>
              <w:spacing w:before="240" w:after="240"/>
              <w:rPr>
                <w:color w:val="000000" w:themeColor="text1"/>
                <w:sz w:val="22"/>
                <w:szCs w:val="22"/>
              </w:rPr>
            </w:pPr>
            <w:proofErr w:type="spellStart"/>
            <w:r w:rsidRPr="009A3921">
              <w:rPr>
                <w:color w:val="000000" w:themeColor="text1"/>
                <w:sz w:val="22"/>
                <w:szCs w:val="22"/>
              </w:rPr>
              <w:t>LightGBM</w:t>
            </w:r>
            <w:proofErr w:type="spellEnd"/>
            <w:r w:rsidRPr="009A3921">
              <w:rPr>
                <w:color w:val="000000" w:themeColor="text1"/>
                <w:sz w:val="22"/>
                <w:szCs w:val="22"/>
              </w:rPr>
              <w:t xml:space="preserve"> </w:t>
            </w:r>
            <w:proofErr w:type="spellStart"/>
            <w:r w:rsidRPr="009A3921">
              <w:rPr>
                <w:color w:val="000000" w:themeColor="text1"/>
                <w:sz w:val="22"/>
                <w:szCs w:val="22"/>
              </w:rPr>
              <w:t>CatBoost</w:t>
            </w:r>
            <w:proofErr w:type="spellEnd"/>
            <w:r w:rsidRPr="009A3921">
              <w:rPr>
                <w:color w:val="000000" w:themeColor="text1"/>
                <w:sz w:val="22"/>
                <w:szCs w:val="22"/>
              </w:rPr>
              <w:t xml:space="preserve"> Gradient Boosting </w:t>
            </w:r>
            <w:proofErr w:type="spellStart"/>
            <w:r w:rsidRPr="009A3921">
              <w:rPr>
                <w:color w:val="000000" w:themeColor="text1"/>
                <w:sz w:val="22"/>
                <w:szCs w:val="22"/>
              </w:rPr>
              <w:t>XGBoost</w:t>
            </w:r>
            <w:proofErr w:type="spellEnd"/>
            <w:r w:rsidRPr="009A3921">
              <w:rPr>
                <w:color w:val="000000" w:themeColor="text1"/>
                <w:sz w:val="22"/>
                <w:szCs w:val="22"/>
              </w:rPr>
              <w:t xml:space="preserve"> SVM KNN Linear Regression MLP Random Forest Ridge Regression Bayesian Ridge Regression</w:t>
            </w:r>
          </w:p>
        </w:tc>
        <w:tc>
          <w:tcPr>
            <w:tcW w:w="1428" w:type="dxa"/>
            <w:tcBorders>
              <w:top w:val="single" w:color="auto" w:sz="6" w:space="0"/>
              <w:left w:val="single" w:color="auto" w:sz="6" w:space="0"/>
              <w:bottom w:val="single" w:color="auto" w:sz="6" w:space="0"/>
              <w:right w:val="single" w:color="auto" w:sz="6" w:space="0"/>
            </w:tcBorders>
            <w:tcMar>
              <w:top w:w="120" w:type="dxa"/>
              <w:left w:w="180" w:type="dxa"/>
              <w:bottom w:w="120" w:type="dxa"/>
              <w:right w:w="180" w:type="dxa"/>
            </w:tcMar>
            <w:vAlign w:val="center"/>
          </w:tcPr>
          <w:p w:rsidRPr="009A3921" w:rsidR="00B82404" w:rsidP="00B82404" w:rsidRDefault="00B82404" w14:paraId="5BC08967" w14:textId="36E86074">
            <w:pPr>
              <w:spacing w:before="240" w:after="240"/>
              <w:rPr>
                <w:color w:val="000000" w:themeColor="text1"/>
                <w:sz w:val="22"/>
                <w:szCs w:val="22"/>
              </w:rPr>
            </w:pPr>
            <w:r w:rsidRPr="009A3921">
              <w:rPr>
                <w:color w:val="000000" w:themeColor="text1"/>
                <w:sz w:val="22"/>
                <w:szCs w:val="22"/>
              </w:rPr>
              <w:t>NASA C MAPSS FD001 FD002 FD003 FD004</w:t>
            </w:r>
          </w:p>
        </w:tc>
        <w:tc>
          <w:tcPr>
            <w:tcW w:w="1182" w:type="dxa"/>
            <w:tcBorders>
              <w:top w:val="single" w:color="auto" w:sz="6" w:space="0"/>
              <w:left w:val="single" w:color="auto" w:sz="6" w:space="0"/>
              <w:bottom w:val="single" w:color="auto" w:sz="6" w:space="0"/>
              <w:right w:val="single" w:color="auto" w:sz="6" w:space="0"/>
            </w:tcBorders>
            <w:tcMar>
              <w:top w:w="120" w:type="dxa"/>
              <w:left w:w="180" w:type="dxa"/>
              <w:bottom w:w="120" w:type="dxa"/>
              <w:right w:w="180" w:type="dxa"/>
            </w:tcMar>
            <w:vAlign w:val="center"/>
          </w:tcPr>
          <w:p w:rsidRPr="009A3921" w:rsidR="00B82404" w:rsidP="3967E527" w:rsidRDefault="00B82404" w14:paraId="799F0335" w14:textId="13EFF139">
            <w:pPr>
              <w:spacing w:before="240" w:beforeAutospacing="off" w:after="240" w:afterAutospacing="off"/>
            </w:pPr>
            <w:hyperlink r:id="R5e3769bd17ad494d">
              <w:r w:rsidRPr="3967E527" w:rsidR="00B0EEB8">
                <w:rPr>
                  <w:rStyle w:val="Hyperlink"/>
                  <w:noProof w:val="0"/>
                  <w:color w:val="000000" w:themeColor="text1" w:themeTint="FF" w:themeShade="FF"/>
                  <w:lang w:val="en-US"/>
                </w:rPr>
                <w:t>https://data.nasa.gov/dataset/cmapss-jet-engine-simulated-data</w:t>
              </w:r>
            </w:hyperlink>
          </w:p>
          <w:p w:rsidRPr="009A3921" w:rsidR="00B82404" w:rsidP="00B82404" w:rsidRDefault="00B82404" w14:paraId="04641681" w14:textId="240C1E1A">
            <w:pPr>
              <w:spacing w:before="240" w:after="240"/>
              <w:rPr>
                <w:color w:val="000000" w:themeColor="text1"/>
                <w:sz w:val="22"/>
                <w:szCs w:val="22"/>
              </w:rPr>
            </w:pPr>
          </w:p>
        </w:tc>
        <w:tc>
          <w:tcPr>
            <w:tcW w:w="2089" w:type="dxa"/>
            <w:tcBorders>
              <w:top w:val="single" w:color="auto" w:sz="6" w:space="0"/>
              <w:left w:val="single" w:color="auto" w:sz="6" w:space="0"/>
              <w:bottom w:val="single" w:color="auto" w:sz="6" w:space="0"/>
              <w:right w:val="single" w:color="auto" w:sz="6" w:space="0"/>
            </w:tcBorders>
            <w:tcMar>
              <w:top w:w="120" w:type="dxa"/>
              <w:left w:w="180" w:type="dxa"/>
              <w:bottom w:w="120" w:type="dxa"/>
              <w:right w:w="180" w:type="dxa"/>
            </w:tcMar>
            <w:vAlign w:val="center"/>
          </w:tcPr>
          <w:p w:rsidRPr="009A3921" w:rsidR="00B82404" w:rsidP="00B82404" w:rsidRDefault="00B82404" w14:paraId="0EBFFD6D" w14:textId="45B96B6F">
            <w:pPr>
              <w:spacing w:before="240" w:after="240"/>
              <w:rPr>
                <w:color w:val="000000"/>
                <w:sz w:val="22"/>
                <w:szCs w:val="22"/>
              </w:rPr>
            </w:pPr>
            <w:r w:rsidRPr="009A3921">
              <w:rPr>
                <w:color w:val="000000"/>
                <w:sz w:val="22"/>
                <w:szCs w:val="22"/>
              </w:rPr>
              <w:t>The framework was tested only on the C-MAPSS dataset, and a fixed maintenance threshold of 15 cycles was used. Therefore, it requires validation on real-world data and with different risk policies.</w:t>
            </w:r>
          </w:p>
        </w:tc>
        <w:tc>
          <w:tcPr>
            <w:tcW w:w="1631" w:type="dxa"/>
            <w:tcBorders>
              <w:top w:val="single" w:color="auto" w:sz="6" w:space="0"/>
              <w:left w:val="single" w:color="auto" w:sz="6" w:space="0"/>
              <w:bottom w:val="single" w:color="auto" w:sz="6" w:space="0"/>
              <w:right w:val="single" w:color="auto" w:sz="6" w:space="0"/>
            </w:tcBorders>
            <w:tcMar>
              <w:top w:w="120" w:type="dxa"/>
              <w:left w:w="180" w:type="dxa"/>
              <w:bottom w:w="120" w:type="dxa"/>
              <w:right w:w="180" w:type="dxa"/>
            </w:tcMar>
            <w:vAlign w:val="center"/>
          </w:tcPr>
          <w:p w:rsidRPr="009A3921" w:rsidR="00B82404" w:rsidP="00B82404" w:rsidRDefault="00B82404" w14:paraId="7669F8AA" w14:textId="02171B6E">
            <w:pPr>
              <w:spacing w:before="240" w:after="240"/>
              <w:rPr>
                <w:color w:val="000000" w:themeColor="text1"/>
                <w:sz w:val="22"/>
                <w:szCs w:val="22"/>
              </w:rPr>
            </w:pPr>
            <w:proofErr w:type="spellStart"/>
            <w:r w:rsidRPr="009A3921">
              <w:rPr>
                <w:color w:val="000000" w:themeColor="text1"/>
                <w:sz w:val="22"/>
                <w:szCs w:val="22"/>
              </w:rPr>
              <w:t>LightGBM</w:t>
            </w:r>
            <w:proofErr w:type="spellEnd"/>
            <w:r w:rsidRPr="009A3921">
              <w:rPr>
                <w:color w:val="000000" w:themeColor="text1"/>
                <w:sz w:val="22"/>
                <w:szCs w:val="22"/>
              </w:rPr>
              <w:t xml:space="preserve"> </w:t>
            </w:r>
            <w:proofErr w:type="spellStart"/>
            <w:r w:rsidRPr="009A3921">
              <w:rPr>
                <w:color w:val="000000" w:themeColor="text1"/>
                <w:sz w:val="22"/>
                <w:szCs w:val="22"/>
              </w:rPr>
              <w:t>CatBoost</w:t>
            </w:r>
            <w:proofErr w:type="spellEnd"/>
            <w:r w:rsidRPr="009A3921">
              <w:rPr>
                <w:color w:val="000000" w:themeColor="text1"/>
                <w:sz w:val="22"/>
                <w:szCs w:val="22"/>
              </w:rPr>
              <w:t xml:space="preserve"> ensemble and </w:t>
            </w:r>
            <w:proofErr w:type="spellStart"/>
            <w:r w:rsidRPr="009A3921">
              <w:rPr>
                <w:color w:val="000000" w:themeColor="text1"/>
                <w:sz w:val="22"/>
                <w:szCs w:val="22"/>
              </w:rPr>
              <w:t>LightGBM</w:t>
            </w:r>
            <w:proofErr w:type="spellEnd"/>
            <w:r w:rsidRPr="009A3921">
              <w:rPr>
                <w:color w:val="000000" w:themeColor="text1"/>
                <w:sz w:val="22"/>
                <w:szCs w:val="22"/>
              </w:rPr>
              <w:t xml:space="preserve"> </w:t>
            </w:r>
            <w:proofErr w:type="spellStart"/>
            <w:r w:rsidRPr="009A3921">
              <w:rPr>
                <w:color w:val="000000" w:themeColor="text1"/>
                <w:sz w:val="22"/>
                <w:szCs w:val="22"/>
              </w:rPr>
              <w:t>CatBoost</w:t>
            </w:r>
            <w:proofErr w:type="spellEnd"/>
            <w:r w:rsidRPr="009A3921">
              <w:rPr>
                <w:color w:val="000000" w:themeColor="text1"/>
                <w:sz w:val="22"/>
                <w:szCs w:val="22"/>
              </w:rPr>
              <w:t xml:space="preserve"> Gradient Boosting ensemble</w:t>
            </w:r>
          </w:p>
        </w:tc>
        <w:tc>
          <w:tcPr>
            <w:tcW w:w="3259" w:type="dxa"/>
            <w:tcBorders>
              <w:top w:val="single" w:color="auto" w:sz="6" w:space="0"/>
              <w:left w:val="single" w:color="auto" w:sz="6" w:space="0"/>
              <w:bottom w:val="single" w:color="auto" w:sz="6" w:space="0"/>
              <w:right w:val="single" w:color="auto" w:sz="6" w:space="0"/>
            </w:tcBorders>
            <w:tcMar>
              <w:top w:w="120" w:type="dxa"/>
              <w:left w:w="180" w:type="dxa"/>
              <w:bottom w:w="120" w:type="dxa"/>
              <w:right w:w="180" w:type="dxa"/>
            </w:tcMar>
            <w:vAlign w:val="center"/>
          </w:tcPr>
          <w:p w:rsidRPr="009A3921" w:rsidR="00B82404" w:rsidP="00B82404" w:rsidRDefault="00B82404" w14:paraId="5A758931" w14:textId="4EFF0FD5">
            <w:pPr>
              <w:spacing w:before="240" w:after="240"/>
              <w:rPr>
                <w:color w:val="000000" w:themeColor="text1"/>
                <w:sz w:val="22"/>
                <w:szCs w:val="22"/>
              </w:rPr>
            </w:pPr>
            <w:r w:rsidRPr="009A3921">
              <w:rPr>
                <w:color w:val="000000" w:themeColor="text1"/>
                <w:sz w:val="22"/>
                <w:szCs w:val="22"/>
              </w:rPr>
              <w:t>FD001 RMSE 6 62 RUL Score 2 951 x 10^3 FD003 RMSE 9 71 RUL Score 1 037 x 10^4 FD002 RMSE 10 15 FD004 RMSE 14 12</w:t>
            </w:r>
          </w:p>
        </w:tc>
      </w:tr>
      <w:tr w:rsidRPr="009A3921" w:rsidR="00A73B8D" w:rsidTr="3967E527" w14:paraId="4EA06C94" w14:textId="77777777">
        <w:trPr>
          <w:trHeight w:val="300"/>
        </w:trPr>
        <w:tc>
          <w:tcPr>
            <w:tcW w:w="1073" w:type="dxa"/>
            <w:tcBorders>
              <w:top w:val="single" w:color="auto" w:sz="6" w:space="0"/>
              <w:left w:val="single" w:color="auto" w:sz="6" w:space="0"/>
              <w:bottom w:val="single" w:color="auto" w:sz="6" w:space="0"/>
              <w:right w:val="single" w:color="auto" w:sz="6" w:space="0"/>
            </w:tcBorders>
            <w:tcMar>
              <w:top w:w="120" w:type="dxa"/>
              <w:left w:w="180" w:type="dxa"/>
              <w:bottom w:w="120" w:type="dxa"/>
              <w:right w:w="180" w:type="dxa"/>
            </w:tcMar>
            <w:vAlign w:val="center"/>
          </w:tcPr>
          <w:p w:rsidRPr="009A3921" w:rsidR="00B82404" w:rsidP="00B82404" w:rsidRDefault="00A73B8D" w14:paraId="3CDB9993" w14:textId="08E2B4E1">
            <w:pPr>
              <w:spacing w:before="240" w:after="240"/>
              <w:rPr>
                <w:color w:val="000000" w:themeColor="text1"/>
                <w:sz w:val="22"/>
                <w:szCs w:val="22"/>
              </w:rPr>
            </w:pPr>
            <w:r w:rsidRPr="3967E527" w:rsidR="00F3A651">
              <w:rPr>
                <w:color w:val="000000" w:themeColor="text1" w:themeTint="FF" w:themeShade="FF"/>
                <w:sz w:val="22"/>
                <w:szCs w:val="22"/>
              </w:rPr>
              <w:t>Ensarioğlu</w:t>
            </w:r>
            <w:r w:rsidRPr="3967E527" w:rsidR="00F3A651">
              <w:rPr>
                <w:color w:val="000000" w:themeColor="text1" w:themeTint="FF" w:themeShade="FF"/>
                <w:sz w:val="22"/>
                <w:szCs w:val="22"/>
              </w:rPr>
              <w:t xml:space="preserve"> et al [</w:t>
            </w:r>
            <w:r w:rsidRPr="3967E527" w:rsidR="0C4AA3DF">
              <w:rPr>
                <w:color w:val="000000" w:themeColor="text1" w:themeTint="FF" w:themeShade="FF"/>
                <w:sz w:val="22"/>
                <w:szCs w:val="22"/>
              </w:rPr>
              <w:t>3</w:t>
            </w:r>
            <w:r w:rsidRPr="3967E527" w:rsidR="00F3A651">
              <w:rPr>
                <w:color w:val="000000" w:themeColor="text1" w:themeTint="FF" w:themeShade="FF"/>
                <w:sz w:val="22"/>
                <w:szCs w:val="22"/>
              </w:rPr>
              <w:t>]</w:t>
            </w:r>
          </w:p>
        </w:tc>
        <w:tc>
          <w:tcPr>
            <w:tcW w:w="2146" w:type="dxa"/>
            <w:tcBorders>
              <w:top w:val="single" w:color="auto" w:sz="6" w:space="0"/>
              <w:left w:val="single" w:color="auto" w:sz="6" w:space="0"/>
              <w:bottom w:val="single" w:color="auto" w:sz="6" w:space="0"/>
              <w:right w:val="single" w:color="auto" w:sz="6" w:space="0"/>
            </w:tcBorders>
            <w:tcMar>
              <w:top w:w="120" w:type="dxa"/>
              <w:left w:w="180" w:type="dxa"/>
              <w:bottom w:w="120" w:type="dxa"/>
              <w:right w:w="180" w:type="dxa"/>
            </w:tcMar>
            <w:vAlign w:val="center"/>
          </w:tcPr>
          <w:p w:rsidRPr="009A3921" w:rsidR="00B82404" w:rsidP="00B82404" w:rsidRDefault="00A73B8D" w14:paraId="4F9F727F" w14:textId="564083D7">
            <w:pPr>
              <w:spacing w:before="240" w:after="240"/>
              <w:rPr>
                <w:color w:val="000000" w:themeColor="text1"/>
                <w:sz w:val="22"/>
                <w:szCs w:val="22"/>
              </w:rPr>
            </w:pPr>
            <w:r w:rsidRPr="009A3921">
              <w:rPr>
                <w:color w:val="000000" w:themeColor="text1"/>
                <w:sz w:val="22"/>
                <w:szCs w:val="22"/>
              </w:rPr>
              <w:t xml:space="preserve">1D CNN LSTM 1D CNN LSTM with difference feature machine learning and </w:t>
            </w:r>
            <w:r w:rsidRPr="009A3921">
              <w:rPr>
                <w:color w:val="000000" w:themeColor="text1"/>
                <w:sz w:val="22"/>
                <w:szCs w:val="22"/>
              </w:rPr>
              <w:lastRenderedPageBreak/>
              <w:t>deep learning models</w:t>
            </w:r>
          </w:p>
        </w:tc>
        <w:tc>
          <w:tcPr>
            <w:tcW w:w="1428" w:type="dxa"/>
            <w:tcBorders>
              <w:top w:val="single" w:color="auto" w:sz="6" w:space="0"/>
              <w:left w:val="single" w:color="auto" w:sz="6" w:space="0"/>
              <w:bottom w:val="single" w:color="auto" w:sz="6" w:space="0"/>
              <w:right w:val="single" w:color="auto" w:sz="6" w:space="0"/>
            </w:tcBorders>
            <w:tcMar>
              <w:top w:w="120" w:type="dxa"/>
              <w:left w:w="180" w:type="dxa"/>
              <w:bottom w:w="120" w:type="dxa"/>
              <w:right w:w="180" w:type="dxa"/>
            </w:tcMar>
            <w:vAlign w:val="center"/>
          </w:tcPr>
          <w:p w:rsidRPr="009A3921" w:rsidR="00B82404" w:rsidP="00B82404" w:rsidRDefault="00A73B8D" w14:paraId="32F840AA" w14:textId="09D0932E">
            <w:pPr>
              <w:spacing w:before="240" w:after="240"/>
              <w:rPr>
                <w:color w:val="000000" w:themeColor="text1"/>
                <w:sz w:val="22"/>
                <w:szCs w:val="22"/>
              </w:rPr>
            </w:pPr>
            <w:r w:rsidRPr="009A3921">
              <w:rPr>
                <w:color w:val="000000" w:themeColor="text1"/>
                <w:sz w:val="22"/>
                <w:szCs w:val="22"/>
              </w:rPr>
              <w:lastRenderedPageBreak/>
              <w:t>NASA C MAPSS FD001</w:t>
            </w:r>
          </w:p>
        </w:tc>
        <w:tc>
          <w:tcPr>
            <w:tcW w:w="1182" w:type="dxa"/>
            <w:tcBorders>
              <w:top w:val="single" w:color="auto" w:sz="6" w:space="0"/>
              <w:left w:val="single" w:color="auto" w:sz="6" w:space="0"/>
              <w:bottom w:val="single" w:color="auto" w:sz="6" w:space="0"/>
              <w:right w:val="single" w:color="auto" w:sz="6" w:space="0"/>
            </w:tcBorders>
            <w:tcMar>
              <w:top w:w="120" w:type="dxa"/>
              <w:left w:w="180" w:type="dxa"/>
              <w:bottom w:w="120" w:type="dxa"/>
              <w:right w:w="180" w:type="dxa"/>
            </w:tcMar>
            <w:vAlign w:val="center"/>
          </w:tcPr>
          <w:p w:rsidRPr="009A3921" w:rsidR="00B82404" w:rsidP="3967E527" w:rsidRDefault="00A73B8D" w14:paraId="0555207B" w14:textId="1A0A1E47">
            <w:pPr>
              <w:spacing w:before="240" w:beforeAutospacing="off" w:after="240" w:afterAutospacing="off"/>
            </w:pPr>
            <w:hyperlink r:id="R32959332b72f4809">
              <w:r w:rsidRPr="3967E527" w:rsidR="259551C5">
                <w:rPr>
                  <w:rStyle w:val="Hyperlink"/>
                  <w:noProof w:val="0"/>
                  <w:color w:val="000000" w:themeColor="text1" w:themeTint="FF" w:themeShade="FF"/>
                  <w:lang w:val="en-US"/>
                </w:rPr>
                <w:t>https://data.nasa.gov/dataset/cmapss-jet-engine-simulated-data</w:t>
              </w:r>
            </w:hyperlink>
          </w:p>
          <w:p w:rsidRPr="009A3921" w:rsidR="00B82404" w:rsidP="00B82404" w:rsidRDefault="00A73B8D" w14:paraId="78D57B04" w14:textId="1F546834">
            <w:pPr>
              <w:spacing w:before="240" w:after="240"/>
              <w:rPr>
                <w:color w:val="000000" w:themeColor="text1"/>
                <w:sz w:val="22"/>
                <w:szCs w:val="22"/>
              </w:rPr>
            </w:pPr>
          </w:p>
        </w:tc>
        <w:tc>
          <w:tcPr>
            <w:tcW w:w="2089" w:type="dxa"/>
            <w:tcBorders>
              <w:top w:val="single" w:color="auto" w:sz="6" w:space="0"/>
              <w:left w:val="single" w:color="auto" w:sz="6" w:space="0"/>
              <w:bottom w:val="single" w:color="auto" w:sz="6" w:space="0"/>
              <w:right w:val="single" w:color="auto" w:sz="6" w:space="0"/>
            </w:tcBorders>
            <w:tcMar>
              <w:top w:w="120" w:type="dxa"/>
              <w:left w:w="180" w:type="dxa"/>
              <w:bottom w:w="120" w:type="dxa"/>
              <w:right w:w="180" w:type="dxa"/>
            </w:tcMar>
            <w:vAlign w:val="center"/>
          </w:tcPr>
          <w:p w:rsidRPr="009A3921" w:rsidR="00B82404" w:rsidP="00B82404" w:rsidRDefault="00A73B8D" w14:paraId="30DD50AD" w14:textId="28A794C7">
            <w:pPr>
              <w:spacing w:before="240" w:after="240"/>
              <w:rPr>
                <w:color w:val="000000"/>
                <w:sz w:val="22"/>
                <w:szCs w:val="22"/>
              </w:rPr>
            </w:pPr>
            <w:r w:rsidRPr="009A3921">
              <w:rPr>
                <w:color w:val="000000"/>
                <w:sz w:val="22"/>
                <w:szCs w:val="22"/>
              </w:rPr>
              <w:t xml:space="preserve">The method was tested only on FD001, which represents a single operating condition and a single fault mode. Therefore, it needs to be </w:t>
            </w:r>
            <w:r w:rsidRPr="009A3921">
              <w:rPr>
                <w:color w:val="000000"/>
                <w:sz w:val="22"/>
                <w:szCs w:val="22"/>
              </w:rPr>
              <w:lastRenderedPageBreak/>
              <w:t>validated on more complex datasets with multiple operating conditions and fault modes</w:t>
            </w:r>
          </w:p>
        </w:tc>
        <w:tc>
          <w:tcPr>
            <w:tcW w:w="1631" w:type="dxa"/>
            <w:tcBorders>
              <w:top w:val="single" w:color="auto" w:sz="6" w:space="0"/>
              <w:left w:val="single" w:color="auto" w:sz="6" w:space="0"/>
              <w:bottom w:val="single" w:color="auto" w:sz="6" w:space="0"/>
              <w:right w:val="single" w:color="auto" w:sz="6" w:space="0"/>
            </w:tcBorders>
            <w:tcMar>
              <w:top w:w="120" w:type="dxa"/>
              <w:left w:w="180" w:type="dxa"/>
              <w:bottom w:w="120" w:type="dxa"/>
              <w:right w:w="180" w:type="dxa"/>
            </w:tcMar>
            <w:vAlign w:val="center"/>
          </w:tcPr>
          <w:p w:rsidRPr="009A3921" w:rsidR="00B82404" w:rsidP="00B82404" w:rsidRDefault="00A73B8D" w14:paraId="356CB8DE" w14:textId="61BDEBB9">
            <w:pPr>
              <w:spacing w:before="240" w:after="240"/>
              <w:rPr>
                <w:color w:val="000000" w:themeColor="text1"/>
                <w:sz w:val="22"/>
                <w:szCs w:val="22"/>
              </w:rPr>
            </w:pPr>
            <w:r w:rsidRPr="009A3921">
              <w:rPr>
                <w:color w:val="000000" w:themeColor="text1"/>
                <w:sz w:val="22"/>
                <w:szCs w:val="22"/>
              </w:rPr>
              <w:lastRenderedPageBreak/>
              <w:t xml:space="preserve">1D CNN LSTM with difference feature and change </w:t>
            </w:r>
            <w:r w:rsidRPr="009A3921">
              <w:rPr>
                <w:color w:val="000000" w:themeColor="text1"/>
                <w:sz w:val="22"/>
                <w:szCs w:val="22"/>
              </w:rPr>
              <w:lastRenderedPageBreak/>
              <w:t>point based labeling</w:t>
            </w:r>
          </w:p>
        </w:tc>
        <w:tc>
          <w:tcPr>
            <w:tcW w:w="3259" w:type="dxa"/>
            <w:tcBorders>
              <w:top w:val="single" w:color="auto" w:sz="6" w:space="0"/>
              <w:left w:val="single" w:color="auto" w:sz="6" w:space="0"/>
              <w:bottom w:val="single" w:color="auto" w:sz="6" w:space="0"/>
              <w:right w:val="single" w:color="auto" w:sz="6" w:space="0"/>
            </w:tcBorders>
            <w:tcMar>
              <w:top w:w="120" w:type="dxa"/>
              <w:left w:w="180" w:type="dxa"/>
              <w:bottom w:w="120" w:type="dxa"/>
              <w:right w:w="180" w:type="dxa"/>
            </w:tcMar>
            <w:vAlign w:val="center"/>
          </w:tcPr>
          <w:p w:rsidRPr="009A3921" w:rsidR="00B82404" w:rsidP="00B82404" w:rsidRDefault="00A73B8D" w14:paraId="26FCE315" w14:textId="5E96C185">
            <w:pPr>
              <w:spacing w:before="240" w:after="240"/>
              <w:rPr>
                <w:color w:val="000000" w:themeColor="text1"/>
                <w:sz w:val="22"/>
                <w:szCs w:val="22"/>
              </w:rPr>
            </w:pPr>
            <w:r w:rsidRPr="009A3921">
              <w:rPr>
                <w:color w:val="000000" w:themeColor="text1"/>
                <w:sz w:val="22"/>
                <w:szCs w:val="22"/>
              </w:rPr>
              <w:lastRenderedPageBreak/>
              <w:t>RMSE 16 1 Score 437 2</w:t>
            </w:r>
          </w:p>
        </w:tc>
      </w:tr>
      <w:tr w:rsidRPr="009A3921" w:rsidR="00A73B8D" w:rsidTr="3967E527" w14:paraId="35224B90" w14:textId="77777777">
        <w:trPr>
          <w:trHeight w:val="300"/>
        </w:trPr>
        <w:tc>
          <w:tcPr>
            <w:tcW w:w="1073" w:type="dxa"/>
            <w:tcBorders>
              <w:top w:val="single" w:color="auto" w:sz="6" w:space="0"/>
              <w:left w:val="single" w:color="auto" w:sz="6" w:space="0"/>
              <w:bottom w:val="single" w:color="auto" w:sz="6" w:space="0"/>
              <w:right w:val="single" w:color="auto" w:sz="6" w:space="0"/>
            </w:tcBorders>
            <w:tcMar>
              <w:top w:w="120" w:type="dxa"/>
              <w:left w:w="180" w:type="dxa"/>
              <w:bottom w:w="120" w:type="dxa"/>
              <w:right w:w="180" w:type="dxa"/>
            </w:tcMar>
            <w:vAlign w:val="center"/>
          </w:tcPr>
          <w:p w:rsidRPr="009A3921" w:rsidR="00B82404" w:rsidP="3967E527" w:rsidRDefault="00B82404" w14:paraId="2E75BF39" w14:textId="52221BD3">
            <w:pPr>
              <w:spacing w:before="240" w:after="240"/>
              <w:rPr>
                <w:color w:val="000000" w:themeColor="text1" w:themeTint="FF" w:themeShade="FF"/>
                <w:sz w:val="22"/>
                <w:szCs w:val="22"/>
              </w:rPr>
            </w:pPr>
            <w:r w:rsidRPr="3967E527" w:rsidR="1DD96013">
              <w:rPr>
                <w:color w:val="000000" w:themeColor="text1" w:themeTint="FF" w:themeShade="FF"/>
                <w:sz w:val="22"/>
                <w:szCs w:val="22"/>
              </w:rPr>
              <w:t>Deng and Zhou [</w:t>
            </w:r>
            <w:r w:rsidRPr="3967E527" w:rsidR="714C7602">
              <w:rPr>
                <w:color w:val="000000" w:themeColor="text1" w:themeTint="FF" w:themeShade="FF"/>
                <w:sz w:val="22"/>
                <w:szCs w:val="22"/>
              </w:rPr>
              <w:t>4]</w:t>
            </w:r>
          </w:p>
          <w:p w:rsidRPr="009A3921" w:rsidR="00B82404" w:rsidP="00B82404" w:rsidRDefault="00B82404" w14:paraId="7B723C55" w14:textId="2DB32FDB">
            <w:pPr>
              <w:spacing w:before="240" w:after="240"/>
              <w:rPr>
                <w:color w:val="000000" w:themeColor="text1"/>
                <w:sz w:val="22"/>
                <w:szCs w:val="22"/>
              </w:rPr>
            </w:pPr>
          </w:p>
        </w:tc>
        <w:tc>
          <w:tcPr>
            <w:tcW w:w="2146" w:type="dxa"/>
            <w:tcBorders>
              <w:top w:val="single" w:color="auto" w:sz="6" w:space="0"/>
              <w:left w:val="single" w:color="auto" w:sz="6" w:space="0"/>
              <w:bottom w:val="single" w:color="auto" w:sz="6" w:space="0"/>
              <w:right w:val="single" w:color="auto" w:sz="6" w:space="0"/>
            </w:tcBorders>
            <w:tcMar>
              <w:top w:w="120" w:type="dxa"/>
              <w:left w:w="180" w:type="dxa"/>
              <w:bottom w:w="120" w:type="dxa"/>
              <w:right w:w="180" w:type="dxa"/>
            </w:tcMar>
            <w:vAlign w:val="center"/>
          </w:tcPr>
          <w:p w:rsidRPr="009A3921" w:rsidR="00B82404" w:rsidP="3967E527" w:rsidRDefault="00B82404" w14:paraId="33973A72" w14:textId="0A5CE596">
            <w:pPr>
              <w:spacing w:before="240" w:after="240"/>
              <w:rPr>
                <w:sz w:val="22"/>
                <w:szCs w:val="22"/>
              </w:rPr>
            </w:pPr>
            <w:r w:rsidRPr="3967E527" w:rsidR="1DD96013">
              <w:rPr>
                <w:color w:val="000000" w:themeColor="text1" w:themeTint="FF" w:themeShade="FF"/>
                <w:sz w:val="22"/>
                <w:szCs w:val="22"/>
              </w:rPr>
              <w:t>CNN, LSTM, CNN-LSTM, CNN-LSTM with attention mechanism, BP, GRU, CNN-GRU, DCNN, TCNN</w:t>
            </w:r>
          </w:p>
          <w:p w:rsidRPr="009A3921" w:rsidR="00B82404" w:rsidP="00B82404" w:rsidRDefault="00B82404" w14:paraId="68818F86" w14:textId="70D46FD5">
            <w:pPr>
              <w:spacing w:before="240" w:after="240"/>
              <w:rPr>
                <w:color w:val="000000" w:themeColor="text1"/>
                <w:sz w:val="22"/>
                <w:szCs w:val="22"/>
              </w:rPr>
            </w:pPr>
          </w:p>
        </w:tc>
        <w:tc>
          <w:tcPr>
            <w:tcW w:w="1428" w:type="dxa"/>
            <w:tcBorders>
              <w:top w:val="single" w:color="auto" w:sz="6" w:space="0"/>
              <w:left w:val="single" w:color="auto" w:sz="6" w:space="0"/>
              <w:bottom w:val="single" w:color="auto" w:sz="6" w:space="0"/>
              <w:right w:val="single" w:color="auto" w:sz="6" w:space="0"/>
            </w:tcBorders>
            <w:tcMar>
              <w:top w:w="120" w:type="dxa"/>
              <w:left w:w="180" w:type="dxa"/>
              <w:bottom w:w="120" w:type="dxa"/>
              <w:right w:w="180" w:type="dxa"/>
            </w:tcMar>
            <w:vAlign w:val="center"/>
          </w:tcPr>
          <w:p w:rsidRPr="009A3921" w:rsidR="00B82404" w:rsidP="3967E527" w:rsidRDefault="00B82404" w14:paraId="2A4BB6ED" w14:textId="46752C06">
            <w:pPr>
              <w:spacing w:before="240" w:after="240"/>
              <w:rPr>
                <w:sz w:val="22"/>
                <w:szCs w:val="22"/>
              </w:rPr>
            </w:pPr>
            <w:r w:rsidRPr="3967E527" w:rsidR="5E28102C">
              <w:rPr>
                <w:color w:val="000000" w:themeColor="text1" w:themeTint="FF" w:themeShade="FF"/>
                <w:sz w:val="22"/>
                <w:szCs w:val="22"/>
              </w:rPr>
              <w:t>NASA C-MAPSS</w:t>
            </w:r>
          </w:p>
          <w:p w:rsidRPr="009A3921" w:rsidR="00B82404" w:rsidP="00B82404" w:rsidRDefault="00B82404" w14:paraId="4D6BF141" w14:textId="6C1ADBAA">
            <w:pPr>
              <w:spacing w:before="240" w:after="240"/>
              <w:rPr>
                <w:color w:val="000000" w:themeColor="text1"/>
                <w:sz w:val="22"/>
                <w:szCs w:val="22"/>
              </w:rPr>
            </w:pPr>
          </w:p>
        </w:tc>
        <w:tc>
          <w:tcPr>
            <w:tcW w:w="1182" w:type="dxa"/>
            <w:tcBorders>
              <w:top w:val="single" w:color="auto" w:sz="6" w:space="0"/>
              <w:left w:val="single" w:color="auto" w:sz="6" w:space="0"/>
              <w:bottom w:val="single" w:color="auto" w:sz="6" w:space="0"/>
              <w:right w:val="single" w:color="auto" w:sz="6" w:space="0"/>
            </w:tcBorders>
            <w:tcMar>
              <w:top w:w="120" w:type="dxa"/>
              <w:left w:w="180" w:type="dxa"/>
              <w:bottom w:w="120" w:type="dxa"/>
              <w:right w:w="180" w:type="dxa"/>
            </w:tcMar>
            <w:vAlign w:val="center"/>
          </w:tcPr>
          <w:p w:rsidRPr="009A3921" w:rsidR="00B82404" w:rsidP="3967E527" w:rsidRDefault="00B82404" w14:paraId="7BC0A33B" w14:textId="50A90117">
            <w:pPr>
              <w:spacing w:before="240" w:beforeAutospacing="off" w:after="240" w:afterAutospacing="off"/>
            </w:pPr>
            <w:hyperlink r:id="R049ae388def34703">
              <w:r w:rsidRPr="3967E527" w:rsidR="32E5E416">
                <w:rPr>
                  <w:rStyle w:val="Hyperlink"/>
                  <w:noProof w:val="0"/>
                  <w:color w:val="000000" w:themeColor="text1" w:themeTint="FF" w:themeShade="FF"/>
                  <w:lang w:val="en-US"/>
                </w:rPr>
                <w:t>https://data.nasa.gov/dataset/cmapss-jet-engine-simulated-data</w:t>
              </w:r>
            </w:hyperlink>
          </w:p>
          <w:p w:rsidRPr="009A3921" w:rsidR="00B82404" w:rsidP="00B82404" w:rsidRDefault="00B82404" w14:paraId="411321D4" w14:textId="5F59C051">
            <w:pPr>
              <w:spacing w:before="240" w:after="240"/>
              <w:rPr>
                <w:color w:val="000000" w:themeColor="text1"/>
                <w:sz w:val="22"/>
                <w:szCs w:val="22"/>
              </w:rPr>
            </w:pPr>
          </w:p>
        </w:tc>
        <w:tc>
          <w:tcPr>
            <w:tcW w:w="2089" w:type="dxa"/>
            <w:tcBorders>
              <w:top w:val="single" w:color="auto" w:sz="6" w:space="0"/>
              <w:left w:val="single" w:color="auto" w:sz="6" w:space="0"/>
              <w:bottom w:val="single" w:color="auto" w:sz="6" w:space="0"/>
              <w:right w:val="single" w:color="auto" w:sz="6" w:space="0"/>
            </w:tcBorders>
            <w:tcMar>
              <w:top w:w="120" w:type="dxa"/>
              <w:left w:w="180" w:type="dxa"/>
              <w:bottom w:w="120" w:type="dxa"/>
              <w:right w:w="180" w:type="dxa"/>
            </w:tcMar>
            <w:vAlign w:val="center"/>
          </w:tcPr>
          <w:p w:rsidRPr="009A3921" w:rsidR="00B82404" w:rsidP="3967E527" w:rsidRDefault="00B82404" w14:paraId="1605AC57" w14:textId="57EE3A0B">
            <w:pPr>
              <w:pStyle w:val="a"/>
              <w:spacing w:before="240" w:after="240"/>
              <w:rPr>
                <w:sz w:val="22"/>
                <w:szCs w:val="22"/>
                <w:lang w:eastAsia="en-US"/>
              </w:rPr>
            </w:pPr>
            <w:r w:rsidRPr="3967E527" w:rsidR="5E28102C">
              <w:rPr>
                <w:color w:val="000000" w:themeColor="text1" w:themeTint="FF" w:themeShade="FF"/>
                <w:sz w:val="22"/>
                <w:szCs w:val="22"/>
              </w:rPr>
              <w:t>Although the study emphasized RUL prediction accuracy, it did not incorporate a risk score, maintenance prioritization</w:t>
            </w:r>
            <w:r w:rsidRPr="3967E527" w:rsidR="5E28102C">
              <w:rPr>
                <w:rFonts w:ascii="Aptos" w:hAnsi="Aptos" w:eastAsia="Aptos" w:cs="Aptos"/>
                <w:noProof w:val="0"/>
                <w:color w:val="000000" w:themeColor="text1" w:themeTint="FF" w:themeShade="FF"/>
                <w:sz w:val="22"/>
                <w:szCs w:val="22"/>
                <w:lang w:val="en-US"/>
              </w:rPr>
              <w:t xml:space="preserve"> framework, or actionable maintenance recommendations.</w:t>
            </w:r>
          </w:p>
        </w:tc>
        <w:tc>
          <w:tcPr>
            <w:tcW w:w="1631" w:type="dxa"/>
            <w:tcBorders>
              <w:top w:val="single" w:color="auto" w:sz="6" w:space="0"/>
              <w:left w:val="single" w:color="auto" w:sz="6" w:space="0"/>
              <w:bottom w:val="single" w:color="auto" w:sz="6" w:space="0"/>
              <w:right w:val="single" w:color="auto" w:sz="6" w:space="0"/>
            </w:tcBorders>
            <w:tcMar>
              <w:top w:w="120" w:type="dxa"/>
              <w:left w:w="180" w:type="dxa"/>
              <w:bottom w:w="120" w:type="dxa"/>
              <w:right w:w="180" w:type="dxa"/>
            </w:tcMar>
            <w:vAlign w:val="center"/>
          </w:tcPr>
          <w:p w:rsidRPr="009A3921" w:rsidR="00B82404" w:rsidP="3967E527" w:rsidRDefault="00B82404" w14:paraId="68B69950" w14:textId="63EFD8C8">
            <w:pPr>
              <w:spacing w:before="240" w:after="240"/>
              <w:rPr>
                <w:sz w:val="22"/>
                <w:szCs w:val="22"/>
              </w:rPr>
            </w:pPr>
            <w:r w:rsidRPr="3967E527" w:rsidR="5E28102C">
              <w:rPr>
                <w:color w:val="000000" w:themeColor="text1" w:themeTint="FF" w:themeShade="FF"/>
                <w:sz w:val="22"/>
                <w:szCs w:val="22"/>
              </w:rPr>
              <w:t>CNN-LSTM with attention mechanism</w:t>
            </w:r>
          </w:p>
          <w:p w:rsidRPr="009A3921" w:rsidR="00B82404" w:rsidP="00B82404" w:rsidRDefault="00B82404" w14:paraId="72B155C7" w14:textId="53345769">
            <w:pPr>
              <w:spacing w:before="240" w:after="240"/>
              <w:rPr>
                <w:color w:val="000000" w:themeColor="text1"/>
                <w:sz w:val="22"/>
                <w:szCs w:val="22"/>
              </w:rPr>
            </w:pPr>
          </w:p>
        </w:tc>
        <w:tc>
          <w:tcPr>
            <w:tcW w:w="3259" w:type="dxa"/>
            <w:tcBorders>
              <w:top w:val="single" w:color="auto" w:sz="6" w:space="0"/>
              <w:left w:val="single" w:color="auto" w:sz="6" w:space="0"/>
              <w:bottom w:val="single" w:color="auto" w:sz="6" w:space="0"/>
              <w:right w:val="single" w:color="auto" w:sz="6" w:space="0"/>
            </w:tcBorders>
            <w:tcMar>
              <w:top w:w="120" w:type="dxa"/>
              <w:left w:w="180" w:type="dxa"/>
              <w:bottom w:w="120" w:type="dxa"/>
              <w:right w:w="180" w:type="dxa"/>
            </w:tcMar>
            <w:vAlign w:val="center"/>
          </w:tcPr>
          <w:p w:rsidRPr="009A3921" w:rsidR="00B82404" w:rsidP="3967E527" w:rsidRDefault="00B82404" w14:paraId="5D78E30B" w14:textId="4DCF0DE8">
            <w:pPr>
              <w:spacing w:before="240" w:after="240"/>
              <w:rPr>
                <w:sz w:val="22"/>
                <w:szCs w:val="22"/>
              </w:rPr>
            </w:pPr>
            <w:r w:rsidRPr="3967E527" w:rsidR="5E28102C">
              <w:rPr>
                <w:color w:val="000000" w:themeColor="text1" w:themeTint="FF" w:themeShade="FF"/>
                <w:sz w:val="22"/>
                <w:szCs w:val="22"/>
              </w:rPr>
              <w:t>RMSE: FD001 = 15.977, FD002 = 14.452, FD003 = 13.907, FD004 = 16.637</w:t>
            </w:r>
          </w:p>
          <w:p w:rsidRPr="009A3921" w:rsidR="00B82404" w:rsidP="00B82404" w:rsidRDefault="00B82404" w14:paraId="18349AC6" w14:textId="665A87E8">
            <w:pPr>
              <w:spacing w:before="240" w:after="240"/>
              <w:rPr>
                <w:color w:val="000000" w:themeColor="text1"/>
                <w:sz w:val="22"/>
                <w:szCs w:val="22"/>
              </w:rPr>
            </w:pPr>
          </w:p>
        </w:tc>
      </w:tr>
      <w:tr w:rsidRPr="009A3921" w:rsidR="00A73B8D" w:rsidTr="3967E527" w14:paraId="7FBBF835" w14:textId="77777777">
        <w:trPr>
          <w:trHeight w:val="300"/>
        </w:trPr>
        <w:tc>
          <w:tcPr>
            <w:tcW w:w="1073" w:type="dxa"/>
            <w:tcBorders>
              <w:top w:val="single" w:color="auto" w:sz="6" w:space="0"/>
              <w:left w:val="single" w:color="auto" w:sz="6" w:space="0"/>
              <w:bottom w:val="single" w:color="auto" w:sz="6" w:space="0"/>
              <w:right w:val="single" w:color="auto" w:sz="6" w:space="0"/>
            </w:tcBorders>
            <w:tcMar>
              <w:top w:w="120" w:type="dxa"/>
              <w:left w:w="180" w:type="dxa"/>
              <w:bottom w:w="120" w:type="dxa"/>
              <w:right w:w="180" w:type="dxa"/>
            </w:tcMar>
            <w:vAlign w:val="center"/>
          </w:tcPr>
          <w:p w:rsidR="5407A472" w:rsidP="3967E527" w:rsidRDefault="5407A472" w14:paraId="23ECA898" w14:textId="4183A94C">
            <w:pPr>
              <w:spacing w:before="240" w:after="240"/>
              <w:rPr>
                <w:color w:val="000000" w:themeColor="text1" w:themeTint="FF" w:themeShade="FF"/>
                <w:sz w:val="22"/>
                <w:szCs w:val="22"/>
              </w:rPr>
            </w:pPr>
            <w:r w:rsidRPr="3967E527" w:rsidR="5407A472">
              <w:rPr>
                <w:color w:val="000000" w:themeColor="text1" w:themeTint="FF" w:themeShade="FF"/>
                <w:sz w:val="22"/>
                <w:szCs w:val="22"/>
              </w:rPr>
              <w:t>Fan et al. [5]</w:t>
            </w:r>
          </w:p>
          <w:p w:rsidR="3967E527" w:rsidP="3967E527" w:rsidRDefault="3967E527" w14:paraId="271DA2C7" w14:textId="4E4EBA4F">
            <w:pPr>
              <w:spacing w:before="0" w:beforeAutospacing="off" w:after="0" w:afterAutospacing="off"/>
              <w:rPr>
                <w:color w:val="FFFFFF" w:themeColor="background1" w:themeTint="FF" w:themeShade="FF"/>
              </w:rPr>
            </w:pPr>
          </w:p>
        </w:tc>
        <w:tc>
          <w:tcPr>
            <w:tcW w:w="2146" w:type="dxa"/>
            <w:tcBorders>
              <w:top w:val="single" w:color="auto" w:sz="6" w:space="0"/>
              <w:left w:val="single" w:color="auto" w:sz="6" w:space="0"/>
              <w:bottom w:val="single" w:color="auto" w:sz="6" w:space="0"/>
              <w:right w:val="single" w:color="auto" w:sz="6" w:space="0"/>
            </w:tcBorders>
            <w:shd w:val="clear" w:color="auto" w:fill="FFFFFF" w:themeFill="background1"/>
            <w:tcMar>
              <w:top w:w="120" w:type="dxa"/>
              <w:left w:w="180" w:type="dxa"/>
              <w:bottom w:w="120" w:type="dxa"/>
              <w:right w:w="180" w:type="dxa"/>
            </w:tcMar>
            <w:vAlign w:val="center"/>
          </w:tcPr>
          <w:p w:rsidR="3967E527" w:rsidP="3967E527" w:rsidRDefault="3967E527" w14:paraId="7DF45935" w14:textId="015FFAB9">
            <w:pPr>
              <w:spacing w:before="0" w:beforeAutospacing="off" w:after="0" w:afterAutospacing="off"/>
              <w:rPr>
                <w:color w:val="auto"/>
              </w:rPr>
            </w:pPr>
            <w:r w:rsidRPr="3967E527" w:rsidR="3967E527">
              <w:rPr>
                <w:color w:val="auto"/>
              </w:rPr>
              <w:t>STAR, DAST, DLformer, BiLSTM-DAE-Transformer, CNN-based models, RNN-based models</w:t>
            </w:r>
          </w:p>
        </w:tc>
        <w:tc>
          <w:tcPr>
            <w:tcW w:w="1428" w:type="dxa"/>
            <w:tcBorders>
              <w:top w:val="single" w:color="auto" w:sz="6" w:space="0"/>
              <w:left w:val="single" w:color="auto" w:sz="6" w:space="0"/>
              <w:bottom w:val="single" w:color="auto" w:sz="6" w:space="0"/>
              <w:right w:val="single" w:color="auto" w:sz="6" w:space="0"/>
            </w:tcBorders>
            <w:tcMar>
              <w:top w:w="120" w:type="dxa"/>
              <w:left w:w="180" w:type="dxa"/>
              <w:bottom w:w="120" w:type="dxa"/>
              <w:right w:w="180" w:type="dxa"/>
            </w:tcMar>
            <w:vAlign w:val="center"/>
          </w:tcPr>
          <w:p w:rsidR="3967E527" w:rsidP="3967E527" w:rsidRDefault="3967E527" w14:paraId="37B117F3" w14:textId="5CC74948">
            <w:pPr>
              <w:spacing w:before="0" w:beforeAutospacing="off" w:after="0" w:afterAutospacing="off"/>
              <w:rPr>
                <w:color w:val="auto"/>
              </w:rPr>
            </w:pPr>
            <w:r w:rsidRPr="3967E527" w:rsidR="3967E527">
              <w:rPr>
                <w:color w:val="auto"/>
              </w:rPr>
              <w:t>NASA C-MAPSS</w:t>
            </w:r>
          </w:p>
        </w:tc>
        <w:tc>
          <w:tcPr>
            <w:tcW w:w="1182" w:type="dxa"/>
            <w:tcBorders>
              <w:top w:val="single" w:color="auto" w:sz="6" w:space="0"/>
              <w:left w:val="single" w:color="auto" w:sz="6" w:space="0"/>
              <w:bottom w:val="single" w:color="auto" w:sz="6" w:space="0"/>
              <w:right w:val="single" w:color="auto" w:sz="6" w:space="0"/>
            </w:tcBorders>
            <w:tcMar>
              <w:top w:w="120" w:type="dxa"/>
              <w:left w:w="180" w:type="dxa"/>
              <w:bottom w:w="120" w:type="dxa"/>
              <w:right w:w="180" w:type="dxa"/>
            </w:tcMar>
            <w:vAlign w:val="center"/>
          </w:tcPr>
          <w:p w:rsidRPr="009A3921" w:rsidR="00B82404" w:rsidP="3967E527" w:rsidRDefault="00B82404" w14:paraId="23A8A4D7" w14:textId="514A4518">
            <w:pPr>
              <w:spacing w:before="240" w:beforeAutospacing="off" w:after="240" w:afterAutospacing="off"/>
            </w:pPr>
            <w:hyperlink r:id="Rfda84116a7e14600">
              <w:r w:rsidRPr="3967E527" w:rsidR="0FE07BCE">
                <w:rPr>
                  <w:rStyle w:val="Hyperlink"/>
                  <w:noProof w:val="0"/>
                  <w:color w:val="000000" w:themeColor="text1" w:themeTint="FF" w:themeShade="FF"/>
                  <w:lang w:val="en-US"/>
                </w:rPr>
                <w:t>https://data.nasa.gov/dataset/cmapss-jet-engine-simulated-data</w:t>
              </w:r>
            </w:hyperlink>
          </w:p>
          <w:p w:rsidRPr="009A3921" w:rsidR="00B82404" w:rsidP="00B82404" w:rsidRDefault="00B82404" w14:paraId="2A49A9A8" w14:textId="27F8A5CF">
            <w:pPr>
              <w:spacing w:before="240" w:after="240"/>
              <w:rPr>
                <w:color w:val="000000" w:themeColor="text1"/>
                <w:sz w:val="22"/>
                <w:szCs w:val="22"/>
              </w:rPr>
            </w:pPr>
          </w:p>
        </w:tc>
        <w:tc>
          <w:tcPr>
            <w:tcW w:w="2089" w:type="dxa"/>
            <w:tcBorders>
              <w:top w:val="single" w:color="auto" w:sz="6" w:space="0"/>
              <w:left w:val="single" w:color="auto" w:sz="6" w:space="0"/>
              <w:bottom w:val="single" w:color="auto" w:sz="6" w:space="0"/>
              <w:right w:val="single" w:color="auto" w:sz="6" w:space="0"/>
            </w:tcBorders>
            <w:tcMar>
              <w:top w:w="120" w:type="dxa"/>
              <w:left w:w="180" w:type="dxa"/>
              <w:bottom w:w="120" w:type="dxa"/>
              <w:right w:w="180" w:type="dxa"/>
            </w:tcMar>
            <w:vAlign w:val="center"/>
          </w:tcPr>
          <w:p w:rsidRPr="009A3921" w:rsidR="00B82404" w:rsidP="3967E527" w:rsidRDefault="00B82404" w14:paraId="38B889DE" w14:textId="1ED0F5B6">
            <w:pPr>
              <w:spacing w:before="240" w:beforeAutospacing="off" w:after="240" w:afterAutospacing="off"/>
            </w:pPr>
            <w:r w:rsidRPr="3967E527" w:rsidR="69C6D1FD">
              <w:rPr>
                <w:rFonts w:ascii="Aptos" w:hAnsi="Aptos" w:eastAsia="Aptos" w:cs="Aptos"/>
                <w:noProof w:val="0"/>
                <w:color w:val="000000" w:themeColor="text1" w:themeTint="FF" w:themeShade="FF"/>
                <w:sz w:val="22"/>
                <w:szCs w:val="22"/>
                <w:lang w:val="en-US"/>
              </w:rPr>
              <w:t>The study focused on RUL prediction accuracy, but it did not include risk score, maintenance priority, or maintenance recommendation.</w:t>
            </w:r>
          </w:p>
          <w:p w:rsidRPr="009A3921" w:rsidR="00B82404" w:rsidP="00B82404" w:rsidRDefault="00B82404" w14:paraId="66FE57A3" w14:textId="708B51BC">
            <w:pPr>
              <w:spacing w:before="240" w:after="240"/>
              <w:rPr>
                <w:color w:val="000000"/>
                <w:sz w:val="22"/>
                <w:szCs w:val="22"/>
              </w:rPr>
            </w:pPr>
          </w:p>
        </w:tc>
        <w:tc>
          <w:tcPr>
            <w:tcW w:w="1631" w:type="dxa"/>
            <w:tcBorders>
              <w:top w:val="single" w:color="auto" w:sz="6" w:space="0"/>
              <w:left w:val="single" w:color="auto" w:sz="6" w:space="0"/>
              <w:bottom w:val="single" w:color="auto" w:sz="6" w:space="0"/>
              <w:right w:val="single" w:color="auto" w:sz="6" w:space="0"/>
            </w:tcBorders>
            <w:tcMar>
              <w:top w:w="120" w:type="dxa"/>
              <w:left w:w="180" w:type="dxa"/>
              <w:bottom w:w="120" w:type="dxa"/>
              <w:right w:w="180" w:type="dxa"/>
            </w:tcMar>
            <w:vAlign w:val="center"/>
          </w:tcPr>
          <w:p w:rsidRPr="009A3921" w:rsidR="00B82404" w:rsidP="3967E527" w:rsidRDefault="00B82404" w14:paraId="0FBE178A" w14:textId="0D57BFB3">
            <w:pPr>
              <w:spacing w:before="240" w:beforeAutospacing="off" w:after="240" w:afterAutospacing="off"/>
            </w:pPr>
            <w:r w:rsidRPr="3967E527" w:rsidR="69C6D1FD">
              <w:rPr>
                <w:rFonts w:ascii="Aptos" w:hAnsi="Aptos" w:eastAsia="Aptos" w:cs="Aptos"/>
                <w:noProof w:val="0"/>
                <w:color w:val="000000" w:themeColor="text1" w:themeTint="FF" w:themeShade="FF"/>
                <w:sz w:val="22"/>
                <w:szCs w:val="22"/>
                <w:lang w:val="en-US"/>
              </w:rPr>
              <w:t>STAR hierarchical Transformer</w:t>
            </w:r>
          </w:p>
          <w:p w:rsidRPr="009A3921" w:rsidR="00B82404" w:rsidP="00B82404" w:rsidRDefault="00B82404" w14:paraId="4674FE9A" w14:textId="70DC408B">
            <w:pPr>
              <w:spacing w:before="240" w:after="240"/>
              <w:rPr>
                <w:color w:val="000000" w:themeColor="text1"/>
                <w:sz w:val="22"/>
                <w:szCs w:val="22"/>
              </w:rPr>
            </w:pPr>
          </w:p>
        </w:tc>
        <w:tc>
          <w:tcPr>
            <w:tcW w:w="3259" w:type="dxa"/>
            <w:tcBorders>
              <w:top w:val="single" w:color="auto" w:sz="6" w:space="0"/>
              <w:left w:val="single" w:color="auto" w:sz="6" w:space="0"/>
              <w:bottom w:val="single" w:color="auto" w:sz="6" w:space="0"/>
              <w:right w:val="single" w:color="auto" w:sz="6" w:space="0"/>
            </w:tcBorders>
            <w:tcMar>
              <w:top w:w="120" w:type="dxa"/>
              <w:left w:w="180" w:type="dxa"/>
              <w:bottom w:w="120" w:type="dxa"/>
              <w:right w:w="180" w:type="dxa"/>
            </w:tcMar>
            <w:vAlign w:val="center"/>
          </w:tcPr>
          <w:p w:rsidRPr="009A3921" w:rsidR="00B82404" w:rsidP="3967E527" w:rsidRDefault="00B82404" w14:paraId="30F3668A" w14:textId="59DCD9F0">
            <w:pPr>
              <w:spacing w:before="240" w:beforeAutospacing="off" w:after="240" w:afterAutospacing="off"/>
            </w:pPr>
            <w:r w:rsidRPr="3967E527" w:rsidR="69C6D1FD">
              <w:rPr>
                <w:rFonts w:ascii="Aptos" w:hAnsi="Aptos" w:eastAsia="Aptos" w:cs="Aptos"/>
                <w:noProof w:val="0"/>
                <w:color w:val="000000" w:themeColor="text1" w:themeTint="FF" w:themeShade="FF"/>
                <w:sz w:val="22"/>
                <w:szCs w:val="22"/>
                <w:lang w:val="en-US"/>
              </w:rPr>
              <w:t>Strong RUL prediction performance on C-MAPSS; improved RMSE and Score compared with several baseline models</w:t>
            </w:r>
          </w:p>
          <w:p w:rsidRPr="009A3921" w:rsidR="00B82404" w:rsidP="00B82404" w:rsidRDefault="00B82404" w14:paraId="1158337D" w14:textId="0ABF4B88">
            <w:pPr>
              <w:spacing w:before="240" w:after="240"/>
              <w:rPr>
                <w:color w:val="000000" w:themeColor="text1"/>
                <w:sz w:val="22"/>
                <w:szCs w:val="22"/>
              </w:rPr>
            </w:pPr>
          </w:p>
        </w:tc>
      </w:tr>
      <w:tr w:rsidR="3967E527" w:rsidTr="3967E527" w14:paraId="1E99358D">
        <w:trPr>
          <w:trHeight w:val="300"/>
        </w:trPr>
        <w:tc>
          <w:tcPr>
            <w:tcW w:w="1073" w:type="dxa"/>
            <w:tcBorders>
              <w:top w:val="single" w:color="auto" w:sz="6" w:space="0"/>
              <w:left w:val="single" w:color="auto" w:sz="6" w:space="0"/>
              <w:bottom w:val="single" w:color="auto" w:sz="6" w:space="0"/>
              <w:right w:val="single" w:color="auto" w:sz="6" w:space="0"/>
            </w:tcBorders>
            <w:tcMar>
              <w:top w:w="120" w:type="dxa"/>
              <w:left w:w="180" w:type="dxa"/>
              <w:bottom w:w="120" w:type="dxa"/>
              <w:right w:w="180" w:type="dxa"/>
            </w:tcMar>
            <w:vAlign w:val="center"/>
          </w:tcPr>
          <w:p w:rsidR="3967E527" w:rsidP="3967E527" w:rsidRDefault="3967E527" w14:paraId="46DD200C" w14:textId="30D3FCFE">
            <w:pPr>
              <w:spacing w:before="240" w:beforeAutospacing="off" w:after="240" w:afterAutospacing="off"/>
            </w:pPr>
            <w:r w:rsidRPr="3967E527" w:rsidR="3967E527">
              <w:rPr>
                <w:color w:val="000000" w:themeColor="text1" w:themeTint="FF" w:themeShade="FF"/>
              </w:rPr>
              <w:t>Elsherif et al. [</w:t>
            </w:r>
            <w:r w:rsidRPr="3967E527" w:rsidR="7D527D5E">
              <w:rPr>
                <w:color w:val="000000" w:themeColor="text1" w:themeTint="FF" w:themeShade="FF"/>
              </w:rPr>
              <w:t>6</w:t>
            </w:r>
            <w:r w:rsidRPr="3967E527" w:rsidR="3967E527">
              <w:rPr>
                <w:color w:val="000000" w:themeColor="text1" w:themeTint="FF" w:themeShade="FF"/>
              </w:rPr>
              <w:t>]</w:t>
            </w:r>
          </w:p>
        </w:tc>
        <w:tc>
          <w:tcPr>
            <w:tcW w:w="2146" w:type="dxa"/>
            <w:tcBorders>
              <w:top w:val="single" w:color="auto" w:sz="6" w:space="0"/>
              <w:left w:val="single" w:color="auto" w:sz="6" w:space="0"/>
              <w:bottom w:val="single" w:color="auto" w:sz="6" w:space="0"/>
              <w:right w:val="single" w:color="auto" w:sz="6" w:space="0"/>
            </w:tcBorders>
            <w:tcMar>
              <w:top w:w="120" w:type="dxa"/>
              <w:left w:w="180" w:type="dxa"/>
              <w:bottom w:w="120" w:type="dxa"/>
              <w:right w:w="180" w:type="dxa"/>
            </w:tcMar>
            <w:vAlign w:val="center"/>
          </w:tcPr>
          <w:p w:rsidR="12974B9B" w:rsidP="3967E527" w:rsidRDefault="12974B9B" w14:paraId="3A030F02" w14:textId="2A4672C0">
            <w:pPr>
              <w:spacing w:before="240" w:beforeAutospacing="off" w:after="240" w:afterAutospacing="off"/>
            </w:pPr>
            <w:r w:rsidRPr="3967E527" w:rsidR="12974B9B">
              <w:rPr>
                <w:rFonts w:ascii="Aptos" w:hAnsi="Aptos" w:eastAsia="Aptos" w:cs="Aptos"/>
                <w:noProof w:val="0"/>
                <w:color w:val="000000" w:themeColor="text1" w:themeTint="FF" w:themeShade="FF"/>
                <w:sz w:val="24"/>
                <w:szCs w:val="24"/>
                <w:lang w:val="en-US"/>
              </w:rPr>
              <w:t>CAELSTM, convolutional autoencoder, LSTM with attention mechanism, comparison models from previous studies</w:t>
            </w:r>
          </w:p>
          <w:p w:rsidR="3967E527" w:rsidRDefault="3967E527" w14:paraId="057143D5" w14:textId="77EFC0EC"/>
        </w:tc>
        <w:tc>
          <w:tcPr>
            <w:tcW w:w="1428" w:type="dxa"/>
            <w:tcBorders>
              <w:top w:val="single" w:color="auto" w:sz="6" w:space="0"/>
              <w:left w:val="single" w:color="auto" w:sz="6" w:space="0"/>
              <w:bottom w:val="single" w:color="auto" w:sz="6" w:space="0"/>
              <w:right w:val="single" w:color="auto" w:sz="6" w:space="0"/>
            </w:tcBorders>
            <w:tcMar>
              <w:top w:w="120" w:type="dxa"/>
              <w:left w:w="180" w:type="dxa"/>
              <w:bottom w:w="120" w:type="dxa"/>
              <w:right w:w="180" w:type="dxa"/>
            </w:tcMar>
            <w:vAlign w:val="center"/>
          </w:tcPr>
          <w:p w:rsidR="12974B9B" w:rsidP="3967E527" w:rsidRDefault="12974B9B" w14:paraId="513284BE" w14:textId="7087E293">
            <w:pPr>
              <w:spacing w:before="240" w:beforeAutospacing="off" w:after="240" w:afterAutospacing="off"/>
            </w:pPr>
            <w:r w:rsidRPr="3967E527" w:rsidR="12974B9B">
              <w:rPr>
                <w:rFonts w:ascii="Aptos" w:hAnsi="Aptos" w:eastAsia="Aptos" w:cs="Aptos"/>
                <w:noProof w:val="0"/>
                <w:color w:val="000000" w:themeColor="text1" w:themeTint="FF" w:themeShade="FF"/>
                <w:sz w:val="22"/>
                <w:szCs w:val="22"/>
                <w:lang w:val="en-US"/>
              </w:rPr>
              <w:t>NASA C-MAPSS FD001 and FD003</w:t>
            </w:r>
          </w:p>
          <w:p w:rsidR="3967E527" w:rsidP="3967E527" w:rsidRDefault="3967E527" w14:paraId="14FE4243" w14:textId="0E6CE86A">
            <w:pPr>
              <w:pStyle w:val="a"/>
              <w:rPr>
                <w:color w:val="000000" w:themeColor="text1" w:themeTint="FF" w:themeShade="FF"/>
                <w:sz w:val="22"/>
                <w:szCs w:val="22"/>
              </w:rPr>
            </w:pPr>
          </w:p>
        </w:tc>
        <w:tc>
          <w:tcPr>
            <w:tcW w:w="1182" w:type="dxa"/>
            <w:tcBorders>
              <w:top w:val="single" w:color="auto" w:sz="6" w:space="0"/>
              <w:left w:val="single" w:color="auto" w:sz="6" w:space="0"/>
              <w:bottom w:val="single" w:color="auto" w:sz="6" w:space="0"/>
              <w:right w:val="single" w:color="auto" w:sz="6" w:space="0"/>
            </w:tcBorders>
            <w:tcMar>
              <w:top w:w="120" w:type="dxa"/>
              <w:left w:w="180" w:type="dxa"/>
              <w:bottom w:w="120" w:type="dxa"/>
              <w:right w:w="180" w:type="dxa"/>
            </w:tcMar>
            <w:vAlign w:val="center"/>
          </w:tcPr>
          <w:p w:rsidR="1F26B605" w:rsidP="3967E527" w:rsidRDefault="1F26B605" w14:paraId="3533BE53" w14:textId="511C01F7">
            <w:pPr>
              <w:spacing w:before="240" w:beforeAutospacing="off" w:after="240" w:afterAutospacing="off"/>
            </w:pPr>
            <w:hyperlink r:id="Rff4e567c010a43d7">
              <w:r w:rsidRPr="3967E527" w:rsidR="1F26B605">
                <w:rPr>
                  <w:rStyle w:val="Hyperlink"/>
                  <w:noProof w:val="0"/>
                  <w:color w:val="000000" w:themeColor="text1" w:themeTint="FF" w:themeShade="FF"/>
                  <w:lang w:val="en-US"/>
                </w:rPr>
                <w:t>https://data.nasa.gov/dataset/cmapss-jet-engine-simulated-data</w:t>
              </w:r>
            </w:hyperlink>
          </w:p>
          <w:p w:rsidR="3967E527" w:rsidP="3967E527" w:rsidRDefault="3967E527" w14:paraId="15FC3398" w14:textId="6D68A7AE">
            <w:pPr>
              <w:pStyle w:val="a"/>
              <w:rPr>
                <w:color w:val="000000" w:themeColor="text1" w:themeTint="FF" w:themeShade="FF"/>
                <w:sz w:val="22"/>
                <w:szCs w:val="22"/>
              </w:rPr>
            </w:pPr>
          </w:p>
        </w:tc>
        <w:tc>
          <w:tcPr>
            <w:tcW w:w="2089" w:type="dxa"/>
            <w:tcBorders>
              <w:top w:val="single" w:color="auto" w:sz="6" w:space="0"/>
              <w:left w:val="single" w:color="auto" w:sz="6" w:space="0"/>
              <w:bottom w:val="single" w:color="auto" w:sz="6" w:space="0"/>
              <w:right w:val="single" w:color="auto" w:sz="6" w:space="0"/>
            </w:tcBorders>
            <w:tcMar>
              <w:top w:w="120" w:type="dxa"/>
              <w:left w:w="180" w:type="dxa"/>
              <w:bottom w:w="120" w:type="dxa"/>
              <w:right w:w="180" w:type="dxa"/>
            </w:tcMar>
            <w:vAlign w:val="center"/>
          </w:tcPr>
          <w:p w:rsidR="12974B9B" w:rsidP="3967E527" w:rsidRDefault="12974B9B" w14:paraId="2EF0C45B" w14:textId="3A031431">
            <w:pPr>
              <w:spacing w:before="240" w:beforeAutospacing="off" w:after="240" w:afterAutospacing="off"/>
            </w:pPr>
            <w:r w:rsidRPr="3967E527" w:rsidR="12974B9B">
              <w:rPr>
                <w:rFonts w:ascii="Aptos" w:hAnsi="Aptos" w:eastAsia="Aptos" w:cs="Aptos"/>
                <w:noProof w:val="0"/>
                <w:color w:val="000000" w:themeColor="text1" w:themeTint="FF" w:themeShade="FF"/>
                <w:sz w:val="22"/>
                <w:szCs w:val="22"/>
                <w:lang w:val="en-US"/>
              </w:rPr>
              <w:t>The study focused only on FD001 and FD003, and it did not include risk score, maintenance priority, or maintenance recommendation.</w:t>
            </w:r>
          </w:p>
          <w:p w:rsidR="3967E527" w:rsidP="3967E527" w:rsidRDefault="3967E527" w14:paraId="3C49CB54" w14:textId="0F74B01F">
            <w:pPr>
              <w:pStyle w:val="a"/>
              <w:rPr>
                <w:color w:val="000000" w:themeColor="text1" w:themeTint="FF" w:themeShade="FF"/>
                <w:sz w:val="22"/>
                <w:szCs w:val="22"/>
              </w:rPr>
            </w:pPr>
          </w:p>
        </w:tc>
        <w:tc>
          <w:tcPr>
            <w:tcW w:w="1631" w:type="dxa"/>
            <w:tcBorders>
              <w:top w:val="single" w:color="auto" w:sz="6" w:space="0"/>
              <w:left w:val="single" w:color="auto" w:sz="6" w:space="0"/>
              <w:bottom w:val="single" w:color="auto" w:sz="6" w:space="0"/>
              <w:right w:val="single" w:color="auto" w:sz="6" w:space="0"/>
            </w:tcBorders>
            <w:tcMar>
              <w:top w:w="120" w:type="dxa"/>
              <w:left w:w="180" w:type="dxa"/>
              <w:bottom w:w="120" w:type="dxa"/>
              <w:right w:w="180" w:type="dxa"/>
            </w:tcMar>
            <w:vAlign w:val="center"/>
          </w:tcPr>
          <w:p w:rsidR="12974B9B" w:rsidP="3967E527" w:rsidRDefault="12974B9B" w14:paraId="35684D70" w14:textId="2A31355C">
            <w:pPr>
              <w:spacing w:before="240" w:beforeAutospacing="off" w:after="240" w:afterAutospacing="off"/>
            </w:pPr>
            <w:r w:rsidRPr="3967E527" w:rsidR="12974B9B">
              <w:rPr>
                <w:rFonts w:ascii="Aptos" w:hAnsi="Aptos" w:eastAsia="Aptos" w:cs="Aptos"/>
                <w:noProof w:val="0"/>
                <w:color w:val="000000" w:themeColor="text1" w:themeTint="FF" w:themeShade="FF"/>
                <w:sz w:val="22"/>
                <w:szCs w:val="22"/>
                <w:lang w:val="en-US"/>
              </w:rPr>
              <w:t>CAELSTM</w:t>
            </w:r>
          </w:p>
          <w:p w:rsidR="3967E527" w:rsidP="3967E527" w:rsidRDefault="3967E527" w14:paraId="4714B5A0" w14:textId="245C7638">
            <w:pPr>
              <w:pStyle w:val="a"/>
              <w:rPr>
                <w:color w:val="000000" w:themeColor="text1" w:themeTint="FF" w:themeShade="FF"/>
                <w:sz w:val="22"/>
                <w:szCs w:val="22"/>
              </w:rPr>
            </w:pPr>
          </w:p>
        </w:tc>
        <w:tc>
          <w:tcPr>
            <w:tcW w:w="3259" w:type="dxa"/>
            <w:tcBorders>
              <w:top w:val="single" w:color="auto" w:sz="6" w:space="0"/>
              <w:left w:val="single" w:color="auto" w:sz="6" w:space="0"/>
              <w:bottom w:val="single" w:color="auto" w:sz="6" w:space="0"/>
              <w:right w:val="single" w:color="auto" w:sz="6" w:space="0"/>
            </w:tcBorders>
            <w:tcMar>
              <w:top w:w="120" w:type="dxa"/>
              <w:left w:w="180" w:type="dxa"/>
              <w:bottom w:w="120" w:type="dxa"/>
              <w:right w:w="180" w:type="dxa"/>
            </w:tcMar>
            <w:vAlign w:val="center"/>
          </w:tcPr>
          <w:p w:rsidR="12974B9B" w:rsidP="3967E527" w:rsidRDefault="12974B9B" w14:paraId="6365F2CF" w14:textId="43EF740F">
            <w:pPr>
              <w:spacing w:before="240" w:beforeAutospacing="off" w:after="240" w:afterAutospacing="off"/>
            </w:pPr>
            <w:r w:rsidRPr="3967E527" w:rsidR="12974B9B">
              <w:rPr>
                <w:rFonts w:ascii="Aptos" w:hAnsi="Aptos" w:eastAsia="Aptos" w:cs="Aptos"/>
                <w:noProof w:val="0"/>
                <w:color w:val="000000" w:themeColor="text1" w:themeTint="FF" w:themeShade="FF"/>
                <w:sz w:val="22"/>
                <w:szCs w:val="22"/>
                <w:lang w:val="en-US"/>
              </w:rPr>
              <w:t>RMSE: FD001 = 14.44, FD003 = 13.40; MAE: FD001 = 10.49, FD003 = 10.68; Score: FD001 = 282.38, FD003 = 264.47</w:t>
            </w:r>
          </w:p>
          <w:p w:rsidR="3967E527" w:rsidP="3967E527" w:rsidRDefault="3967E527" w14:paraId="6AB3C653" w14:textId="4C3DB2D7">
            <w:pPr>
              <w:pStyle w:val="a"/>
              <w:rPr>
                <w:color w:val="000000" w:themeColor="text1" w:themeTint="FF" w:themeShade="FF"/>
                <w:sz w:val="22"/>
                <w:szCs w:val="22"/>
              </w:rPr>
            </w:pPr>
          </w:p>
        </w:tc>
      </w:tr>
    </w:tbl>
    <w:p w:rsidRPr="009A3921" w:rsidR="00691A0B" w:rsidP="3D50A96E" w:rsidRDefault="009F4105" w14:paraId="686A38CC" w14:textId="76A0ACFD">
      <w:pPr>
        <w:spacing w:before="240" w:after="240"/>
        <w:rPr>
          <w:sz w:val="22"/>
          <w:szCs w:val="22"/>
        </w:rPr>
      </w:pPr>
      <w:r w:rsidRPr="3967E527" w:rsidR="2FBBC7D1">
        <w:rPr>
          <w:rFonts w:ascii="Aptos" w:hAnsi="Aptos" w:eastAsia="Aptos" w:cs="Aptos"/>
          <w:b w:val="1"/>
          <w:bCs w:val="1"/>
          <w:color w:val="000000" w:themeColor="text1" w:themeTint="FF" w:themeShade="FF"/>
          <w:sz w:val="22"/>
          <w:szCs w:val="22"/>
        </w:rPr>
        <w:t>References</w:t>
      </w:r>
      <w:r w:rsidRPr="3967E527" w:rsidR="030E54EF">
        <w:rPr>
          <w:rFonts w:ascii="Aptos" w:hAnsi="Aptos" w:eastAsia="Aptos" w:cs="Aptos"/>
          <w:b w:val="1"/>
          <w:bCs w:val="1"/>
          <w:color w:val="000000" w:themeColor="text1" w:themeTint="FF" w:themeShade="FF"/>
          <w:sz w:val="22"/>
          <w:szCs w:val="22"/>
        </w:rPr>
        <w:t xml:space="preserve"> </w:t>
      </w:r>
    </w:p>
    <w:p w:rsidRPr="009A3921" w:rsidR="00B82404" w:rsidP="007D77C4" w:rsidRDefault="00B82404" w14:paraId="38B3C5A5" w14:textId="2CE28073">
      <w:pPr>
        <w:spacing w:before="240" w:after="240"/>
        <w:rPr>
          <w:sz w:val="22"/>
          <w:szCs w:val="22"/>
        </w:rPr>
      </w:pPr>
      <w:r w:rsidRPr="3967E527" w:rsidR="1BCB6300">
        <w:rPr>
          <w:sz w:val="22"/>
          <w:szCs w:val="22"/>
        </w:rPr>
        <w:t>[</w:t>
      </w:r>
      <w:r w:rsidRPr="3967E527" w:rsidR="7C513D8D">
        <w:rPr>
          <w:sz w:val="22"/>
          <w:szCs w:val="22"/>
        </w:rPr>
        <w:t>1</w:t>
      </w:r>
      <w:r w:rsidRPr="3967E527" w:rsidR="1BCB6300">
        <w:rPr>
          <w:sz w:val="22"/>
          <w:szCs w:val="22"/>
        </w:rPr>
        <w:t xml:space="preserve">] Xiao, </w:t>
      </w:r>
      <w:r w:rsidRPr="3967E527" w:rsidR="1BCB6300">
        <w:rPr>
          <w:sz w:val="22"/>
          <w:szCs w:val="22"/>
        </w:rPr>
        <w:t>Guosong</w:t>
      </w:r>
      <w:r w:rsidRPr="3967E527" w:rsidR="1BCB6300">
        <w:rPr>
          <w:sz w:val="22"/>
          <w:szCs w:val="22"/>
        </w:rPr>
        <w:t xml:space="preserve">, </w:t>
      </w:r>
      <w:r w:rsidRPr="3967E527" w:rsidR="1BCB6300">
        <w:rPr>
          <w:sz w:val="22"/>
          <w:szCs w:val="22"/>
        </w:rPr>
        <w:t>Chenfeng</w:t>
      </w:r>
      <w:r w:rsidRPr="3967E527" w:rsidR="1BCB6300">
        <w:rPr>
          <w:sz w:val="22"/>
          <w:szCs w:val="22"/>
        </w:rPr>
        <w:t xml:space="preserve"> </w:t>
      </w:r>
      <w:r w:rsidRPr="3967E527" w:rsidR="1BCB6300">
        <w:rPr>
          <w:sz w:val="22"/>
          <w:szCs w:val="22"/>
        </w:rPr>
        <w:t>Jin</w:t>
      </w:r>
      <w:r w:rsidRPr="3967E527" w:rsidR="1BCB6300">
        <w:rPr>
          <w:sz w:val="22"/>
          <w:szCs w:val="22"/>
        </w:rPr>
        <w:t xml:space="preserve">, and </w:t>
      </w:r>
      <w:r w:rsidRPr="3967E527" w:rsidR="1BCB6300">
        <w:rPr>
          <w:sz w:val="22"/>
          <w:szCs w:val="22"/>
        </w:rPr>
        <w:t>Jie</w:t>
      </w:r>
      <w:r w:rsidRPr="3967E527" w:rsidR="1BCB6300">
        <w:rPr>
          <w:sz w:val="22"/>
          <w:szCs w:val="22"/>
        </w:rPr>
        <w:t xml:space="preserve"> Bai. “Remaining Useful Life Prediction for Aero Engines Based on Multi Scale Dilated Fusion Attention Model.” Applied Sciences, vol. 15, no. 17, article 9813, 2025. DOI: 10.3390/app15179813. </w:t>
      </w:r>
    </w:p>
    <w:p w:rsidRPr="009A3921" w:rsidR="00B82404" w:rsidP="007D77C4" w:rsidRDefault="00B82404" w14:paraId="4C8F9396" w14:textId="4C6DC9E2">
      <w:pPr>
        <w:spacing w:before="240" w:after="240"/>
        <w:rPr>
          <w:sz w:val="22"/>
          <w:szCs w:val="22"/>
        </w:rPr>
      </w:pPr>
      <w:r w:rsidRPr="3967E527" w:rsidR="1BCB6300">
        <w:rPr>
          <w:sz w:val="22"/>
          <w:szCs w:val="22"/>
        </w:rPr>
        <w:t>[</w:t>
      </w:r>
      <w:r w:rsidRPr="3967E527" w:rsidR="07A81936">
        <w:rPr>
          <w:sz w:val="22"/>
          <w:szCs w:val="22"/>
        </w:rPr>
        <w:t>2</w:t>
      </w:r>
      <w:r w:rsidRPr="3967E527" w:rsidR="1BCB6300">
        <w:rPr>
          <w:sz w:val="22"/>
          <w:szCs w:val="22"/>
        </w:rPr>
        <w:t xml:space="preserve">] </w:t>
      </w:r>
      <w:r w:rsidRPr="3967E527" w:rsidR="1BCB6300">
        <w:rPr>
          <w:sz w:val="22"/>
          <w:szCs w:val="22"/>
        </w:rPr>
        <w:t>Özcan</w:t>
      </w:r>
      <w:r w:rsidRPr="3967E527" w:rsidR="1BCB6300">
        <w:rPr>
          <w:sz w:val="22"/>
          <w:szCs w:val="22"/>
        </w:rPr>
        <w:t xml:space="preserve"> </w:t>
      </w:r>
      <w:r w:rsidRPr="3967E527" w:rsidR="1BCB6300">
        <w:rPr>
          <w:sz w:val="22"/>
          <w:szCs w:val="22"/>
        </w:rPr>
        <w:t>Hikmetcan</w:t>
      </w:r>
      <w:r w:rsidRPr="3967E527" w:rsidR="1BCB6300">
        <w:rPr>
          <w:sz w:val="22"/>
          <w:szCs w:val="22"/>
        </w:rPr>
        <w:t xml:space="preserve"> “Interpretable ensemble remaining useful life prediction enables dynamic maintenance scheduling for aircraft engines” Scientific Reports </w:t>
      </w:r>
      <w:r w:rsidRPr="3967E527" w:rsidR="1BCB6300">
        <w:rPr>
          <w:sz w:val="22"/>
          <w:szCs w:val="22"/>
        </w:rPr>
        <w:t>vol</w:t>
      </w:r>
      <w:r w:rsidRPr="3967E527" w:rsidR="1BCB6300">
        <w:rPr>
          <w:sz w:val="22"/>
          <w:szCs w:val="22"/>
        </w:rPr>
        <w:t xml:space="preserve"> 15 article 39795 2025 DOI 10 </w:t>
      </w:r>
      <w:r w:rsidRPr="3967E527" w:rsidR="1BCB6300">
        <w:rPr>
          <w:sz w:val="22"/>
          <w:szCs w:val="22"/>
        </w:rPr>
        <w:t>1038 s</w:t>
      </w:r>
      <w:r w:rsidRPr="3967E527" w:rsidR="1BCB6300">
        <w:rPr>
          <w:sz w:val="22"/>
          <w:szCs w:val="22"/>
        </w:rPr>
        <w:t>41598 025 23473 2</w:t>
      </w:r>
    </w:p>
    <w:p w:rsidRPr="009A3921" w:rsidR="00A73B8D" w:rsidP="007D77C4" w:rsidRDefault="00A73B8D" w14:paraId="2DF40DFB" w14:textId="45F5FB89">
      <w:pPr>
        <w:spacing w:before="240" w:after="240"/>
        <w:rPr>
          <w:sz w:val="22"/>
          <w:szCs w:val="22"/>
        </w:rPr>
      </w:pPr>
      <w:r w:rsidRPr="3967E527" w:rsidR="00F3A651">
        <w:rPr>
          <w:sz w:val="22"/>
          <w:szCs w:val="22"/>
        </w:rPr>
        <w:t>[</w:t>
      </w:r>
      <w:r w:rsidRPr="3967E527" w:rsidR="7E6B31FF">
        <w:rPr>
          <w:sz w:val="22"/>
          <w:szCs w:val="22"/>
        </w:rPr>
        <w:t>3</w:t>
      </w:r>
      <w:r w:rsidRPr="3967E527" w:rsidR="00F3A651">
        <w:rPr>
          <w:sz w:val="22"/>
          <w:szCs w:val="22"/>
        </w:rPr>
        <w:t xml:space="preserve">] </w:t>
      </w:r>
      <w:r w:rsidRPr="3967E527" w:rsidR="00F3A651">
        <w:rPr>
          <w:sz w:val="22"/>
          <w:szCs w:val="22"/>
        </w:rPr>
        <w:t>Ensarioğlu</w:t>
      </w:r>
      <w:r w:rsidRPr="3967E527" w:rsidR="00F3A651">
        <w:rPr>
          <w:sz w:val="22"/>
          <w:szCs w:val="22"/>
        </w:rPr>
        <w:t xml:space="preserve"> K </w:t>
      </w:r>
      <w:r w:rsidRPr="3967E527" w:rsidR="00F3A651">
        <w:rPr>
          <w:sz w:val="22"/>
          <w:szCs w:val="22"/>
        </w:rPr>
        <w:t>İnkaya</w:t>
      </w:r>
      <w:r w:rsidRPr="3967E527" w:rsidR="00F3A651">
        <w:rPr>
          <w:sz w:val="22"/>
          <w:szCs w:val="22"/>
        </w:rPr>
        <w:t xml:space="preserve"> T and </w:t>
      </w:r>
      <w:r w:rsidRPr="3967E527" w:rsidR="00F3A651">
        <w:rPr>
          <w:sz w:val="22"/>
          <w:szCs w:val="22"/>
        </w:rPr>
        <w:t>Emel</w:t>
      </w:r>
      <w:r w:rsidRPr="3967E527" w:rsidR="00F3A651">
        <w:rPr>
          <w:sz w:val="22"/>
          <w:szCs w:val="22"/>
        </w:rPr>
        <w:t xml:space="preserve"> E “Remaining Useful Life Estimation of Turbofan Engines with Deep Learning Using Change Point Detection Based Labeling and Feature Engineering” Applied Sciences </w:t>
      </w:r>
      <w:r w:rsidRPr="3967E527" w:rsidR="00F3A651">
        <w:rPr>
          <w:sz w:val="22"/>
          <w:szCs w:val="22"/>
        </w:rPr>
        <w:t>vol</w:t>
      </w:r>
      <w:r w:rsidRPr="3967E527" w:rsidR="00F3A651">
        <w:rPr>
          <w:sz w:val="22"/>
          <w:szCs w:val="22"/>
        </w:rPr>
        <w:t xml:space="preserve"> 13 no 21 article 11893 2023 DOI 10 3390 app132111893 </w:t>
      </w:r>
    </w:p>
    <w:p w:rsidR="50429BC7" w:rsidP="3967E527" w:rsidRDefault="50429BC7" w14:paraId="67BF4EC5" w14:textId="0F38BEBA">
      <w:pPr>
        <w:spacing w:before="240" w:after="240"/>
        <w:rPr>
          <w:rFonts w:ascii="Aptos" w:hAnsi="Aptos" w:eastAsia="Aptos" w:cs="Aptos"/>
          <w:color w:val="000000" w:themeColor="text1" w:themeTint="FF" w:themeShade="FF"/>
          <w:sz w:val="22"/>
          <w:szCs w:val="22"/>
        </w:rPr>
      </w:pPr>
      <w:r w:rsidRPr="3967E527" w:rsidR="50429BC7">
        <w:rPr>
          <w:rFonts w:ascii="Aptos" w:hAnsi="Aptos" w:eastAsia="Aptos" w:cs="Aptos"/>
          <w:color w:val="000000" w:themeColor="text1" w:themeTint="FF" w:themeShade="FF"/>
          <w:sz w:val="22"/>
          <w:szCs w:val="22"/>
        </w:rPr>
        <w:t xml:space="preserve">[4] Deng, </w:t>
      </w:r>
      <w:r w:rsidRPr="3967E527" w:rsidR="50429BC7">
        <w:rPr>
          <w:rFonts w:ascii="Aptos" w:hAnsi="Aptos" w:eastAsia="Aptos" w:cs="Aptos"/>
          <w:color w:val="000000" w:themeColor="text1" w:themeTint="FF" w:themeShade="FF"/>
          <w:sz w:val="22"/>
          <w:szCs w:val="22"/>
        </w:rPr>
        <w:t>Sizhe</w:t>
      </w:r>
      <w:r w:rsidRPr="3967E527" w:rsidR="50429BC7">
        <w:rPr>
          <w:rFonts w:ascii="Aptos" w:hAnsi="Aptos" w:eastAsia="Aptos" w:cs="Aptos"/>
          <w:color w:val="000000" w:themeColor="text1" w:themeTint="FF" w:themeShade="FF"/>
          <w:sz w:val="22"/>
          <w:szCs w:val="22"/>
        </w:rPr>
        <w:t xml:space="preserve">, and Jian Zhou. “Prediction of Remaining Useful Life of </w:t>
      </w:r>
      <w:r w:rsidRPr="3967E527" w:rsidR="50429BC7">
        <w:rPr>
          <w:rFonts w:ascii="Aptos" w:hAnsi="Aptos" w:eastAsia="Aptos" w:cs="Aptos"/>
          <w:color w:val="000000" w:themeColor="text1" w:themeTint="FF" w:themeShade="FF"/>
          <w:sz w:val="22"/>
          <w:szCs w:val="22"/>
        </w:rPr>
        <w:t>Aero-engines</w:t>
      </w:r>
      <w:r w:rsidRPr="3967E527" w:rsidR="50429BC7">
        <w:rPr>
          <w:rFonts w:ascii="Aptos" w:hAnsi="Aptos" w:eastAsia="Aptos" w:cs="Aptos"/>
          <w:color w:val="000000" w:themeColor="text1" w:themeTint="FF" w:themeShade="FF"/>
          <w:sz w:val="22"/>
          <w:szCs w:val="22"/>
        </w:rPr>
        <w:t xml:space="preserve"> Based on CNN-LSTM-Attention.” International Journal of Computational Intelligence Systems, vol. 17, article 232, 2024.</w:t>
      </w:r>
    </w:p>
    <w:p w:rsidR="3967E527" w:rsidP="3967E527" w:rsidRDefault="3967E527" w14:paraId="7A8F1F61" w14:textId="32C168A4">
      <w:pPr>
        <w:spacing w:before="240" w:after="240"/>
        <w:rPr>
          <w:sz w:val="22"/>
          <w:szCs w:val="22"/>
        </w:rPr>
      </w:pPr>
    </w:p>
    <w:p w:rsidRPr="009A3921" w:rsidR="00D2241C" w:rsidP="3967E527" w:rsidRDefault="00D2241C" w14:paraId="75F4B499" w14:textId="6E8349B8">
      <w:pPr>
        <w:spacing w:before="240" w:beforeAutospacing="off" w:after="240" w:afterAutospacing="off"/>
        <w:rPr>
          <w:sz w:val="22"/>
          <w:szCs w:val="22"/>
        </w:rPr>
      </w:pPr>
      <w:r w:rsidRPr="3967E527" w:rsidR="3EA0C6B9">
        <w:rPr>
          <w:rFonts w:ascii="Aptos" w:hAnsi="Aptos" w:eastAsia="Aptos" w:cs="Aptos"/>
          <w:noProof w:val="0"/>
          <w:color w:val="000000" w:themeColor="text1" w:themeTint="FF" w:themeShade="FF"/>
          <w:sz w:val="22"/>
          <w:szCs w:val="22"/>
          <w:lang w:val="en-US"/>
        </w:rPr>
        <w:t xml:space="preserve">[5] Fan, </w:t>
      </w:r>
      <w:r w:rsidRPr="3967E527" w:rsidR="3EA0C6B9">
        <w:rPr>
          <w:rFonts w:ascii="Aptos" w:hAnsi="Aptos" w:eastAsia="Aptos" w:cs="Aptos"/>
          <w:noProof w:val="0"/>
          <w:color w:val="000000" w:themeColor="text1" w:themeTint="FF" w:themeShade="FF"/>
          <w:sz w:val="22"/>
          <w:szCs w:val="22"/>
          <w:lang w:val="en-US"/>
        </w:rPr>
        <w:t>Zhengyang</w:t>
      </w:r>
      <w:r w:rsidRPr="3967E527" w:rsidR="3EA0C6B9">
        <w:rPr>
          <w:rFonts w:ascii="Aptos" w:hAnsi="Aptos" w:eastAsia="Aptos" w:cs="Aptos"/>
          <w:noProof w:val="0"/>
          <w:color w:val="000000" w:themeColor="text1" w:themeTint="FF" w:themeShade="FF"/>
          <w:sz w:val="22"/>
          <w:szCs w:val="22"/>
          <w:lang w:val="en-US"/>
        </w:rPr>
        <w:t>, Wanru Li, and Kuo-Chu Chang. “A Two-Stage Attention-Based Hierarchical Transformer for Turbofan Engine Remaining Useful Life Prediction.” Sensors, vol. 24, no. 3, article 824, 2024.</w:t>
      </w:r>
    </w:p>
    <w:p w:rsidRPr="009A3921" w:rsidR="00D2241C" w:rsidP="007D77C4" w:rsidRDefault="00D2241C" w14:paraId="3211E072" w14:textId="6D3B5822">
      <w:pPr>
        <w:spacing w:before="240" w:after="240"/>
        <w:rPr>
          <w:sz w:val="22"/>
          <w:szCs w:val="22"/>
        </w:rPr>
      </w:pPr>
    </w:p>
    <w:p w:rsidRPr="009A3921" w:rsidR="00D2241C" w:rsidP="3967E527" w:rsidRDefault="00D2241C" w14:paraId="4A6919CA" w14:textId="7F7BF285">
      <w:pPr>
        <w:spacing w:before="240" w:beforeAutospacing="off" w:after="240" w:afterAutospacing="off"/>
        <w:rPr>
          <w:sz w:val="22"/>
          <w:szCs w:val="22"/>
        </w:rPr>
      </w:pPr>
      <w:r w:rsidRPr="3967E527" w:rsidR="6FD6383E">
        <w:rPr>
          <w:sz w:val="22"/>
          <w:szCs w:val="22"/>
        </w:rPr>
        <w:t>[6]</w:t>
      </w:r>
      <w:r w:rsidRPr="3967E527" w:rsidR="58C6D870">
        <w:rPr>
          <w:rFonts w:ascii="Aptos" w:hAnsi="Aptos" w:eastAsia="Aptos" w:cs="Aptos"/>
          <w:noProof w:val="0"/>
          <w:color w:val="000000" w:themeColor="text1" w:themeTint="FF" w:themeShade="FF"/>
          <w:sz w:val="22"/>
          <w:szCs w:val="22"/>
          <w:lang w:val="en-US"/>
        </w:rPr>
        <w:t xml:space="preserve"> Elsherif, Samiha M., Bassel Hafiz, M. A. Makhlouf, and Osama Farouk. “A Deep Learning-Based Prognostic Approach for Predicting Turbofan Engine Degradation and Remaining Useful Life.” Scientific Reports, vol. 15, article 26251, 2025.</w:t>
      </w:r>
    </w:p>
    <w:p w:rsidRPr="009A3921" w:rsidR="00D2241C" w:rsidP="007D77C4" w:rsidRDefault="00D2241C" w14:paraId="461F652F" w14:textId="3B012029">
      <w:pPr>
        <w:spacing w:before="240" w:after="240"/>
        <w:rPr>
          <w:sz w:val="22"/>
          <w:szCs w:val="22"/>
        </w:rPr>
      </w:pPr>
    </w:p>
    <w:p w:rsidRPr="009A3921" w:rsidR="00D2241C" w:rsidP="007D77C4" w:rsidRDefault="00D2241C" w14:paraId="3D79995C" w14:textId="77777777">
      <w:pPr>
        <w:spacing w:before="240" w:after="240"/>
        <w:rPr>
          <w:sz w:val="22"/>
          <w:szCs w:val="22"/>
        </w:rPr>
      </w:pPr>
    </w:p>
    <w:p w:rsidRPr="009A3921" w:rsidR="00D2241C" w:rsidP="007D77C4" w:rsidRDefault="00D2241C" w14:paraId="7CFD3DBA" w14:textId="77777777">
      <w:pPr>
        <w:rPr>
          <w:sz w:val="22"/>
          <w:szCs w:val="22"/>
        </w:rPr>
      </w:pPr>
    </w:p>
    <w:p w:rsidRPr="009A3921" w:rsidR="00D2241C" w:rsidP="007D77C4" w:rsidRDefault="00D2241C" w14:paraId="16A974F5" w14:textId="77777777">
      <w:pPr>
        <w:spacing w:before="240" w:after="240"/>
        <w:rPr>
          <w:sz w:val="22"/>
          <w:szCs w:val="22"/>
        </w:rPr>
      </w:pPr>
    </w:p>
    <w:p w:rsidRPr="009A3921" w:rsidR="00D2241C" w:rsidP="007D77C4" w:rsidRDefault="00D2241C" w14:paraId="6DCF9A85" w14:textId="77777777">
      <w:pPr>
        <w:spacing w:before="240" w:after="240"/>
        <w:rPr>
          <w:sz w:val="22"/>
          <w:szCs w:val="22"/>
        </w:rPr>
      </w:pPr>
    </w:p>
    <w:p w:rsidRPr="009A3921" w:rsidR="00D2241C" w:rsidP="007D77C4" w:rsidRDefault="00D2241C" w14:paraId="5067E251" w14:textId="77777777">
      <w:pPr>
        <w:rPr>
          <w:sz w:val="22"/>
          <w:szCs w:val="22"/>
        </w:rPr>
      </w:pPr>
    </w:p>
    <w:p w:rsidRPr="009A3921" w:rsidR="00D2241C" w:rsidP="3D50A96E" w:rsidRDefault="00D2241C" w14:paraId="5AD470D9" w14:textId="77777777">
      <w:pPr>
        <w:spacing w:before="240" w:after="240"/>
        <w:rPr>
          <w:sz w:val="22"/>
          <w:szCs w:val="22"/>
        </w:rPr>
      </w:pPr>
    </w:p>
    <w:p w:rsidRPr="009A3921" w:rsidR="00691A0B" w:rsidRDefault="00691A0B" w14:paraId="2C078E63" w14:textId="2DE5932C">
      <w:pPr>
        <w:rPr>
          <w:sz w:val="22"/>
          <w:szCs w:val="22"/>
        </w:rPr>
      </w:pPr>
    </w:p>
    <w:sectPr w:rsidRPr="009A3921" w:rsidR="00691A0B">
      <w:pgSz w:w="12240" w:h="15840" w:orient="portrait"/>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Aptos">
    <w:altName w:val="Arial"/>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Aptos Display">
    <w:altName w:val="Arial"/>
    <w:charset w:val="00"/>
    <w:family w:val="swiss"/>
    <w:pitch w:val="variable"/>
    <w:sig w:usb0="20000287" w:usb1="00000003"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dirty"/>
  <w:trackRevisions w:val="false"/>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1B1536DD"/>
    <w:rsid w:val="001073EC"/>
    <w:rsid w:val="00154E06"/>
    <w:rsid w:val="001956B0"/>
    <w:rsid w:val="00213E86"/>
    <w:rsid w:val="00271A83"/>
    <w:rsid w:val="0027594C"/>
    <w:rsid w:val="002E786F"/>
    <w:rsid w:val="00327FD5"/>
    <w:rsid w:val="003C5C19"/>
    <w:rsid w:val="003D15A6"/>
    <w:rsid w:val="004873B0"/>
    <w:rsid w:val="004B37FD"/>
    <w:rsid w:val="00577CE7"/>
    <w:rsid w:val="00616E3F"/>
    <w:rsid w:val="00691A0B"/>
    <w:rsid w:val="007E492D"/>
    <w:rsid w:val="008B7A97"/>
    <w:rsid w:val="00954044"/>
    <w:rsid w:val="009A3921"/>
    <w:rsid w:val="009C20F6"/>
    <w:rsid w:val="009D0E06"/>
    <w:rsid w:val="009F4105"/>
    <w:rsid w:val="00A73B8D"/>
    <w:rsid w:val="00AC657F"/>
    <w:rsid w:val="00B01A4E"/>
    <w:rsid w:val="00B0EEB8"/>
    <w:rsid w:val="00B142A4"/>
    <w:rsid w:val="00B229A5"/>
    <w:rsid w:val="00B42048"/>
    <w:rsid w:val="00B613A2"/>
    <w:rsid w:val="00B66C52"/>
    <w:rsid w:val="00B82404"/>
    <w:rsid w:val="00BB2B1B"/>
    <w:rsid w:val="00BC3EF3"/>
    <w:rsid w:val="00BD59B2"/>
    <w:rsid w:val="00C96AAE"/>
    <w:rsid w:val="00CA74C0"/>
    <w:rsid w:val="00CF6185"/>
    <w:rsid w:val="00D2241C"/>
    <w:rsid w:val="00D51028"/>
    <w:rsid w:val="00D67E01"/>
    <w:rsid w:val="00DF12D9"/>
    <w:rsid w:val="00E055FC"/>
    <w:rsid w:val="00E13ECF"/>
    <w:rsid w:val="00E96384"/>
    <w:rsid w:val="00F23B80"/>
    <w:rsid w:val="00F3A651"/>
    <w:rsid w:val="00FC2DAC"/>
    <w:rsid w:val="02722320"/>
    <w:rsid w:val="030E54EF"/>
    <w:rsid w:val="037A514B"/>
    <w:rsid w:val="0472EF1D"/>
    <w:rsid w:val="07A81936"/>
    <w:rsid w:val="0C4AA3DF"/>
    <w:rsid w:val="0D68A82D"/>
    <w:rsid w:val="0EEFC04F"/>
    <w:rsid w:val="0FC748CF"/>
    <w:rsid w:val="0FE07BCE"/>
    <w:rsid w:val="1071E6AE"/>
    <w:rsid w:val="12974B9B"/>
    <w:rsid w:val="1ACA8B27"/>
    <w:rsid w:val="1B1536DD"/>
    <w:rsid w:val="1BCB6300"/>
    <w:rsid w:val="1DD96013"/>
    <w:rsid w:val="1E6A289F"/>
    <w:rsid w:val="1F26B605"/>
    <w:rsid w:val="1F705654"/>
    <w:rsid w:val="20AEC08F"/>
    <w:rsid w:val="20C26B51"/>
    <w:rsid w:val="2391C8EE"/>
    <w:rsid w:val="249453A7"/>
    <w:rsid w:val="24CD0AD0"/>
    <w:rsid w:val="259551C5"/>
    <w:rsid w:val="25CF75B5"/>
    <w:rsid w:val="26531715"/>
    <w:rsid w:val="274D2B12"/>
    <w:rsid w:val="294BFD58"/>
    <w:rsid w:val="2A35248A"/>
    <w:rsid w:val="2AA9A671"/>
    <w:rsid w:val="2F0D7B58"/>
    <w:rsid w:val="2FBBC7D1"/>
    <w:rsid w:val="329426DC"/>
    <w:rsid w:val="32CC0C67"/>
    <w:rsid w:val="32E5E416"/>
    <w:rsid w:val="35E6725B"/>
    <w:rsid w:val="375B6D2A"/>
    <w:rsid w:val="3967E527"/>
    <w:rsid w:val="3D50A96E"/>
    <w:rsid w:val="3EA0C6B9"/>
    <w:rsid w:val="40E3B41E"/>
    <w:rsid w:val="410A10A9"/>
    <w:rsid w:val="42BC63BE"/>
    <w:rsid w:val="437B095D"/>
    <w:rsid w:val="4605C0EB"/>
    <w:rsid w:val="46E9566C"/>
    <w:rsid w:val="488F5C28"/>
    <w:rsid w:val="4BBD0EA9"/>
    <w:rsid w:val="4DA8A79D"/>
    <w:rsid w:val="4EDFA8E7"/>
    <w:rsid w:val="4EEE427E"/>
    <w:rsid w:val="4EF8837E"/>
    <w:rsid w:val="50429BC7"/>
    <w:rsid w:val="52634FDB"/>
    <w:rsid w:val="52FAB447"/>
    <w:rsid w:val="5407A472"/>
    <w:rsid w:val="5593E228"/>
    <w:rsid w:val="58C6D870"/>
    <w:rsid w:val="590CCE1B"/>
    <w:rsid w:val="5E28102C"/>
    <w:rsid w:val="5E74B8F7"/>
    <w:rsid w:val="606A0C90"/>
    <w:rsid w:val="60D30556"/>
    <w:rsid w:val="61EE9800"/>
    <w:rsid w:val="636182B0"/>
    <w:rsid w:val="63F7AC87"/>
    <w:rsid w:val="6490FB3D"/>
    <w:rsid w:val="655E0E2D"/>
    <w:rsid w:val="68F13F09"/>
    <w:rsid w:val="69C6D1FD"/>
    <w:rsid w:val="6A7626E1"/>
    <w:rsid w:val="6D4C6E53"/>
    <w:rsid w:val="6FD6383E"/>
    <w:rsid w:val="714C7602"/>
    <w:rsid w:val="7240CA0F"/>
    <w:rsid w:val="759F270B"/>
    <w:rsid w:val="75FD7D4D"/>
    <w:rsid w:val="7684A46A"/>
    <w:rsid w:val="78CD4E62"/>
    <w:rsid w:val="7AD16ED6"/>
    <w:rsid w:val="7C513D8D"/>
    <w:rsid w:val="7D527D5E"/>
    <w:rsid w:val="7E6B31FF"/>
    <w:rsid w:val="7EF35699"/>
    <w:rsid w:val="7F44788C"/>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A3AC88E"/>
  <w15:chartTrackingRefBased/>
  <w15:docId w15:val="{14AFFDB2-0484-4FAA-9B12-C73F93B0262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hAnsiTheme="minorHAnsi" w:eastAsiaTheme="minorEastAsia" w:cstheme="minorBidi"/>
        <w:sz w:val="24"/>
        <w:szCs w:val="24"/>
        <w:lang w:val="en-US" w:eastAsia="ja-JP" w:bidi="ar-SA"/>
      </w:rPr>
    </w:rPrDefault>
    <w:pPrDefault>
      <w:pPr>
        <w:spacing w:after="160" w:line="27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a" w:default="1">
    <w:name w:val="Normal"/>
    <w:qFormat/>
  </w:style>
  <w:style w:type="character" w:styleId="a0" w:default="1">
    <w:name w:val="Default Paragraph Font"/>
    <w:uiPriority w:val="1"/>
    <w:semiHidden/>
    <w:unhideWhenUsed/>
  </w:style>
  <w:style w:type="table" w:styleId="a1" w:default="1">
    <w:name w:val="Normal Table"/>
    <w:uiPriority w:val="99"/>
    <w:semiHidden/>
    <w:unhideWhenUsed/>
    <w:tblPr>
      <w:tblInd w:w="0" w:type="dxa"/>
      <w:tblCellMar>
        <w:top w:w="0" w:type="dxa"/>
        <w:left w:w="108" w:type="dxa"/>
        <w:bottom w:w="0" w:type="dxa"/>
        <w:right w:w="108" w:type="dxa"/>
      </w:tblCellMar>
    </w:tblPr>
  </w:style>
  <w:style w:type="numbering" w:styleId="a2" w:default="1">
    <w:name w:val="No List"/>
    <w:uiPriority w:val="99"/>
    <w:semiHidden/>
    <w:unhideWhenUsed/>
  </w:style>
  <w:style w:type="table" w:styleId="a3">
    <w:name w:val="Table Grid"/>
    <w:basedOn w:val="a1"/>
    <w:uiPriority w:val="59"/>
    <w:rsid w:val="00FB4123"/>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Pr>
  </w:style>
  <w:style w:type="character" w:styleId="Hyperlink">
    <w:uiPriority w:val="99"/>
    <w:name w:val="Hyperlink"/>
    <w:basedOn w:val="DefaultParagraphFont"/>
    <w:unhideWhenUsed/>
    <w:rsid w:val="3967E527"/>
    <w:rPr>
      <w:color w:val="467886"/>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8457651">
      <w:bodyDiv w:val="1"/>
      <w:marLeft w:val="0"/>
      <w:marRight w:val="0"/>
      <w:marTop w:val="0"/>
      <w:marBottom w:val="0"/>
      <w:divBdr>
        <w:top w:val="none" w:sz="0" w:space="0" w:color="auto"/>
        <w:left w:val="none" w:sz="0" w:space="0" w:color="auto"/>
        <w:bottom w:val="none" w:sz="0" w:space="0" w:color="auto"/>
        <w:right w:val="none" w:sz="0" w:space="0" w:color="auto"/>
      </w:divBdr>
    </w:div>
    <w:div w:id="546182741">
      <w:bodyDiv w:val="1"/>
      <w:marLeft w:val="0"/>
      <w:marRight w:val="0"/>
      <w:marTop w:val="0"/>
      <w:marBottom w:val="0"/>
      <w:divBdr>
        <w:top w:val="none" w:sz="0" w:space="0" w:color="auto"/>
        <w:left w:val="none" w:sz="0" w:space="0" w:color="auto"/>
        <w:bottom w:val="none" w:sz="0" w:space="0" w:color="auto"/>
        <w:right w:val="none" w:sz="0" w:space="0" w:color="auto"/>
      </w:divBdr>
    </w:div>
    <w:div w:id="861895374">
      <w:bodyDiv w:val="1"/>
      <w:marLeft w:val="0"/>
      <w:marRight w:val="0"/>
      <w:marTop w:val="0"/>
      <w:marBottom w:val="0"/>
      <w:divBdr>
        <w:top w:val="none" w:sz="0" w:space="0" w:color="auto"/>
        <w:left w:val="none" w:sz="0" w:space="0" w:color="auto"/>
        <w:bottom w:val="none" w:sz="0" w:space="0" w:color="auto"/>
        <w:right w:val="none" w:sz="0" w:space="0" w:color="auto"/>
      </w:divBdr>
    </w:div>
    <w:div w:id="206158919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&#65279;<?xml version="1.0" encoding="utf-8"?><Relationships xmlns="http://schemas.openxmlformats.org/package/2006/relationships"><Relationship Type="http://schemas.openxmlformats.org/officeDocument/2006/relationships/webSettings" Target="webSettings.xml" Id="rId3" /><Relationship Type="http://schemas.openxmlformats.org/officeDocument/2006/relationships/settings" Target="settings.xml" Id="rId2" /><Relationship Type="http://schemas.openxmlformats.org/officeDocument/2006/relationships/styles" Target="styles.xml" Id="rId1" /><Relationship Type="http://schemas.openxmlformats.org/officeDocument/2006/relationships/theme" Target="theme/theme1.xml" Id="rId5" /><Relationship Type="http://schemas.openxmlformats.org/officeDocument/2006/relationships/fontTable" Target="fontTable.xml" Id="rId4" /><Relationship Type="http://schemas.openxmlformats.org/officeDocument/2006/relationships/hyperlink" Target="https://data.nasa.gov/dataset/cmapss-jet-engine-simulated-data" TargetMode="External" Id="Re193014d188e4777" /><Relationship Type="http://schemas.openxmlformats.org/officeDocument/2006/relationships/hyperlink" Target="https://data.nasa.gov/dataset/cmapss-jet-engine-simulated-data" TargetMode="External" Id="R5e3769bd17ad494d" /><Relationship Type="http://schemas.openxmlformats.org/officeDocument/2006/relationships/hyperlink" Target="https://data.nasa.gov/dataset/cmapss-jet-engine-simulated-data" TargetMode="External" Id="R32959332b72f4809" /><Relationship Type="http://schemas.openxmlformats.org/officeDocument/2006/relationships/hyperlink" Target="https://data.nasa.gov/dataset/cmapss-jet-engine-simulated-data" TargetMode="External" Id="R049ae388def34703" /><Relationship Type="http://schemas.openxmlformats.org/officeDocument/2006/relationships/hyperlink" Target="https://data.nasa.gov/dataset/cmapss-jet-engine-simulated-data" TargetMode="External" Id="Rfda84116a7e14600" /><Relationship Type="http://schemas.openxmlformats.org/officeDocument/2006/relationships/hyperlink" Target="https://data.nasa.gov/dataset/cmapss-jet-engine-simulated-data" TargetMode="External" Id="Rff4e567c010a43d7" /></Relationships>
</file>

<file path=word/theme/theme1.xml><?xml version="1.0" encoding="utf-8"?>
<a:theme xmlns:a="http://schemas.openxmlformats.org/drawingml/2006/main" xmlns:thm15="http://schemas.microsoft.com/office/thememl/2012/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Aptos" panose="0211000402020202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ap:Template>
  <ap:Application>Microsoft Word for the web</ap:Application>
  <ap:DocSecurity>0</ap:DocSecurity>
  <ap:ScaleCrop>false</ap:ScaleCrop>
  <ap:Company/>
  <ap:SharedDoc>false</ap:SharedDoc>
  <ap:HyperlinksChanged>false</ap:HyperlinksChanged>
  <ap:AppVersion>16.0000</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Abdulaziz Mari</dc:creator>
  <keywords/>
  <dc:description/>
  <lastModifiedBy>Abdulaziz Mari</lastModifiedBy>
  <revision>7</revision>
  <lastPrinted>2026-06-30T20:19:00.0000000Z</lastPrinted>
  <dcterms:created xsi:type="dcterms:W3CDTF">2026-06-30T02:05:00.0000000Z</dcterms:created>
  <dcterms:modified xsi:type="dcterms:W3CDTF">2026-07-02T07:16:27.7356925Z</dcterms:modified>
</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daf2ef22-9606-4319-b5c3-5d3b5ae9baf5</vt:lpwstr>
  </property>
</Properties>
</file>