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0F411" w14:textId="77777777" w:rsidR="004E527C" w:rsidRPr="008D3F9A" w:rsidRDefault="00000000" w:rsidP="008D3F9A">
      <w:pPr>
        <w:bidi/>
        <w:spacing w:after="40"/>
        <w:jc w:val="center"/>
        <w:rPr>
          <w:rFonts w:ascii="Simplified Arabic" w:hAnsi="Simplified Arabic" w:cs="Simplified Arabic"/>
        </w:rPr>
      </w:pPr>
      <w:r w:rsidRPr="008D3F9A">
        <w:rPr>
          <w:rFonts w:ascii="Simplified Arabic" w:hAnsi="Simplified Arabic" w:cs="Simplified Arabic"/>
          <w:b/>
          <w:color w:val="1F4E79"/>
          <w:sz w:val="32"/>
        </w:rPr>
        <w:t>التقرير النهائي لمراجعة الفصل الثاني</w:t>
      </w:r>
    </w:p>
    <w:p w14:paraId="491014CE" w14:textId="77777777" w:rsidR="004E527C" w:rsidRPr="008D3F9A" w:rsidRDefault="00000000" w:rsidP="008D3F9A">
      <w:pPr>
        <w:bidi/>
        <w:jc w:val="center"/>
        <w:rPr>
          <w:rFonts w:ascii="Simplified Arabic" w:hAnsi="Simplified Arabic" w:cs="Simplified Arabic"/>
        </w:rPr>
      </w:pPr>
      <w:r w:rsidRPr="008D3F9A">
        <w:rPr>
          <w:rFonts w:ascii="Simplified Arabic" w:hAnsi="Simplified Arabic" w:cs="Simplified Arabic"/>
          <w:b/>
          <w:color w:val="1F4E79"/>
          <w:sz w:val="26"/>
        </w:rPr>
        <w:t>الإطار النظري والدراسات السابقة</w:t>
      </w:r>
    </w:p>
    <w:tbl>
      <w:tblPr>
        <w:tblStyle w:val="TableGrid"/>
        <w:tblW w:w="0" w:type="auto"/>
        <w:tblLook w:val="04A0" w:firstRow="1" w:lastRow="0" w:firstColumn="1" w:lastColumn="0" w:noHBand="0" w:noVBand="1"/>
      </w:tblPr>
      <w:tblGrid>
        <w:gridCol w:w="7929"/>
        <w:gridCol w:w="1807"/>
      </w:tblGrid>
      <w:tr w:rsidR="004E527C" w:rsidRPr="008D3F9A" w14:paraId="1789AAE1" w14:textId="77777777" w:rsidTr="008D3F9A">
        <w:tc>
          <w:tcPr>
            <w:tcW w:w="7938" w:type="dxa"/>
            <w:vAlign w:val="center"/>
          </w:tcPr>
          <w:p w14:paraId="08FAFA81"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rPr>
              <w:t xml:space="preserve">شليويح </w:t>
            </w:r>
            <w:proofErr w:type="spellStart"/>
            <w:r w:rsidRPr="008D3F9A">
              <w:rPr>
                <w:rFonts w:ascii="Simplified Arabic" w:hAnsi="Simplified Arabic" w:cs="Simplified Arabic"/>
              </w:rPr>
              <w:t>المطيري</w:t>
            </w:r>
            <w:proofErr w:type="spellEnd"/>
          </w:p>
        </w:tc>
        <w:tc>
          <w:tcPr>
            <w:tcW w:w="1808" w:type="dxa"/>
            <w:shd w:val="clear" w:color="auto" w:fill="D9EAF7"/>
            <w:vAlign w:val="center"/>
          </w:tcPr>
          <w:p w14:paraId="1F68EE46"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b/>
              </w:rPr>
              <w:t>اسم الطالب</w:t>
            </w:r>
          </w:p>
        </w:tc>
      </w:tr>
      <w:tr w:rsidR="004E527C" w:rsidRPr="008D3F9A" w14:paraId="764758E0" w14:textId="77777777" w:rsidTr="008D3F9A">
        <w:tc>
          <w:tcPr>
            <w:tcW w:w="7938" w:type="dxa"/>
            <w:vAlign w:val="center"/>
          </w:tcPr>
          <w:p w14:paraId="176D3D1A"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rPr>
              <w:t>التخطيط الاستراتيجي للموارد البشرية وعلاقته بالبراعة التنظيمية في السياق الحكومي</w:t>
            </w:r>
          </w:p>
        </w:tc>
        <w:tc>
          <w:tcPr>
            <w:tcW w:w="1808" w:type="dxa"/>
            <w:shd w:val="clear" w:color="auto" w:fill="D9EAF7"/>
            <w:vAlign w:val="center"/>
          </w:tcPr>
          <w:p w14:paraId="54CDCD3C"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b/>
              </w:rPr>
              <w:t>موضوع الرسالة</w:t>
            </w:r>
          </w:p>
        </w:tc>
      </w:tr>
      <w:tr w:rsidR="004E527C" w:rsidRPr="008D3F9A" w14:paraId="61B49D16" w14:textId="77777777" w:rsidTr="008D3F9A">
        <w:tc>
          <w:tcPr>
            <w:tcW w:w="7938" w:type="dxa"/>
            <w:vAlign w:val="center"/>
          </w:tcPr>
          <w:p w14:paraId="2A2980AA"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rPr>
              <w:t>مقارنة بين تقرير التسليم الثاني والنسخة الحالية (التسليم الثالث) للفصل الثاني</w:t>
            </w:r>
          </w:p>
        </w:tc>
        <w:tc>
          <w:tcPr>
            <w:tcW w:w="1808" w:type="dxa"/>
            <w:shd w:val="clear" w:color="auto" w:fill="D9EAF7"/>
            <w:vAlign w:val="center"/>
          </w:tcPr>
          <w:p w14:paraId="1539B3D5"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b/>
              </w:rPr>
              <w:t>نوع المراجعة</w:t>
            </w:r>
          </w:p>
        </w:tc>
      </w:tr>
      <w:tr w:rsidR="004E527C" w:rsidRPr="008D3F9A" w14:paraId="55E7E927" w14:textId="77777777" w:rsidTr="008D3F9A">
        <w:tc>
          <w:tcPr>
            <w:tcW w:w="7938" w:type="dxa"/>
            <w:vAlign w:val="center"/>
          </w:tcPr>
          <w:p w14:paraId="68FB435C"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rPr>
              <w:t>مقبول مع تعديلات بسيطة</w:t>
            </w:r>
          </w:p>
        </w:tc>
        <w:tc>
          <w:tcPr>
            <w:tcW w:w="1808" w:type="dxa"/>
            <w:shd w:val="clear" w:color="auto" w:fill="D9EAF7"/>
            <w:vAlign w:val="center"/>
          </w:tcPr>
          <w:p w14:paraId="0A540F9E" w14:textId="77777777" w:rsidR="004E527C" w:rsidRPr="008D3F9A" w:rsidRDefault="00000000" w:rsidP="008D3F9A">
            <w:pPr>
              <w:bidi/>
              <w:rPr>
                <w:rFonts w:ascii="Simplified Arabic" w:hAnsi="Simplified Arabic" w:cs="Simplified Arabic"/>
              </w:rPr>
            </w:pPr>
            <w:r w:rsidRPr="008D3F9A">
              <w:rPr>
                <w:rFonts w:ascii="Simplified Arabic" w:hAnsi="Simplified Arabic" w:cs="Simplified Arabic"/>
                <w:b/>
              </w:rPr>
              <w:t>قرار المراجعة</w:t>
            </w:r>
          </w:p>
        </w:tc>
      </w:tr>
    </w:tbl>
    <w:p w14:paraId="3CE86552" w14:textId="77777777" w:rsidR="004E527C" w:rsidRPr="008D3F9A" w:rsidRDefault="004E527C" w:rsidP="008D3F9A">
      <w:pPr>
        <w:bidi/>
        <w:rPr>
          <w:rFonts w:ascii="Simplified Arabic" w:hAnsi="Simplified Arabic" w:cs="Simplified Arabic"/>
        </w:rPr>
      </w:pPr>
    </w:p>
    <w:p w14:paraId="3A83C0B3" w14:textId="77777777" w:rsidR="004E527C" w:rsidRPr="008D3F9A" w:rsidRDefault="00000000" w:rsidP="008D3F9A">
      <w:pPr>
        <w:bidi/>
        <w:spacing w:after="120"/>
        <w:rPr>
          <w:rFonts w:ascii="Simplified Arabic" w:hAnsi="Simplified Arabic" w:cs="Simplified Arabic"/>
        </w:rPr>
      </w:pPr>
      <w:r w:rsidRPr="008D3F9A">
        <w:rPr>
          <w:rFonts w:ascii="Simplified Arabic" w:hAnsi="Simplified Arabic" w:cs="Simplified Arabic"/>
          <w:b/>
          <w:color w:val="1F4E79"/>
          <w:sz w:val="26"/>
        </w:rPr>
        <w:t>أولًا: التقدير العام</w:t>
      </w:r>
    </w:p>
    <w:p w14:paraId="6B84588F" w14:textId="77777777" w:rsidR="004E527C" w:rsidRPr="008D3F9A" w:rsidRDefault="00000000" w:rsidP="008D3F9A">
      <w:pPr>
        <w:bidi/>
        <w:spacing w:after="120"/>
        <w:jc w:val="both"/>
        <w:rPr>
          <w:rFonts w:ascii="Simplified Arabic" w:hAnsi="Simplified Arabic" w:cs="Simplified Arabic"/>
        </w:rPr>
      </w:pPr>
      <w:r w:rsidRPr="008D3F9A">
        <w:rPr>
          <w:rFonts w:ascii="Simplified Arabic" w:hAnsi="Simplified Arabic" w:cs="Simplified Arabic"/>
        </w:rPr>
        <w:t>تُظهر النسخة الحالية (التسليم الثالث) تحسنًا إضافيًا مقارنة بتقرير التسليم الثاني؛ إذ أصبح الإطار النظري المعتمد أكثر وضوحًا، وجرى إبراز العلاقة بين التخطيط الإستراتيجي للموارد البشرية والبراعة التنظيمية بدرجة أفضل، كما ظهرت معالجة أوضح للفجوة التطبيقية في السياق الحكومي، مع إضافة جدول لملخص الدراسات السابقة وأوجه الاستفادة منها. ومع ذلك، ما تزال هناك نقاط محدودة بحاجة إلى صقل نهائي، لكنها لا تمس سلامة البناء العام للفصل ولا تبرر الإبقاء على حكم التعديلات الجوهرية.</w:t>
      </w:r>
    </w:p>
    <w:p w14:paraId="4F46555E" w14:textId="77777777" w:rsidR="004E527C" w:rsidRPr="008D3F9A" w:rsidRDefault="00000000" w:rsidP="008D3F9A">
      <w:pPr>
        <w:bidi/>
        <w:spacing w:after="120"/>
        <w:jc w:val="both"/>
        <w:rPr>
          <w:rFonts w:ascii="Simplified Arabic" w:hAnsi="Simplified Arabic" w:cs="Simplified Arabic"/>
        </w:rPr>
      </w:pPr>
      <w:r w:rsidRPr="008D3F9A">
        <w:rPr>
          <w:rFonts w:ascii="Simplified Arabic" w:hAnsi="Simplified Arabic" w:cs="Simplified Arabic"/>
          <w:b/>
          <w:color w:val="1F4E79"/>
          <w:sz w:val="26"/>
        </w:rPr>
        <w:t>ثانيًا: الملاحظات الجوهرية التي ما تزال قائمة</w:t>
      </w:r>
    </w:p>
    <w:tbl>
      <w:tblPr>
        <w:tblStyle w:val="TableGrid"/>
        <w:bidiVisual/>
        <w:tblW w:w="0" w:type="auto"/>
        <w:tblLook w:val="04A0" w:firstRow="1" w:lastRow="0" w:firstColumn="1" w:lastColumn="0" w:noHBand="0" w:noVBand="1"/>
      </w:tblPr>
      <w:tblGrid>
        <w:gridCol w:w="1581"/>
        <w:gridCol w:w="1529"/>
        <w:gridCol w:w="6626"/>
      </w:tblGrid>
      <w:tr w:rsidR="004E527C" w:rsidRPr="008D3F9A" w14:paraId="62D74315" w14:textId="77777777" w:rsidTr="008D3F9A">
        <w:tc>
          <w:tcPr>
            <w:tcW w:w="1583" w:type="dxa"/>
            <w:shd w:val="clear" w:color="auto" w:fill="D9EAF7"/>
            <w:vAlign w:val="center"/>
          </w:tcPr>
          <w:p w14:paraId="5845D4E2" w14:textId="77777777" w:rsidR="004E527C" w:rsidRPr="008D3F9A" w:rsidRDefault="00000000" w:rsidP="008D3F9A">
            <w:pPr>
              <w:bidi/>
              <w:jc w:val="center"/>
              <w:rPr>
                <w:rFonts w:ascii="Simplified Arabic" w:hAnsi="Simplified Arabic" w:cs="Simplified Arabic"/>
              </w:rPr>
            </w:pPr>
            <w:r w:rsidRPr="008D3F9A">
              <w:rPr>
                <w:rFonts w:ascii="Simplified Arabic" w:hAnsi="Simplified Arabic" w:cs="Simplified Arabic"/>
                <w:b/>
              </w:rPr>
              <w:t>م</w:t>
            </w:r>
          </w:p>
        </w:tc>
        <w:tc>
          <w:tcPr>
            <w:tcW w:w="1530" w:type="dxa"/>
            <w:shd w:val="clear" w:color="auto" w:fill="D9EAF7"/>
            <w:vAlign w:val="center"/>
          </w:tcPr>
          <w:p w14:paraId="0A04C4DC" w14:textId="77777777" w:rsidR="004E527C" w:rsidRPr="008D3F9A" w:rsidRDefault="00000000" w:rsidP="008D3F9A">
            <w:pPr>
              <w:bidi/>
              <w:jc w:val="center"/>
              <w:rPr>
                <w:rFonts w:ascii="Simplified Arabic" w:hAnsi="Simplified Arabic" w:cs="Simplified Arabic"/>
              </w:rPr>
            </w:pPr>
            <w:r w:rsidRPr="008D3F9A">
              <w:rPr>
                <w:rFonts w:ascii="Simplified Arabic" w:hAnsi="Simplified Arabic" w:cs="Simplified Arabic"/>
                <w:b/>
              </w:rPr>
              <w:t>الملاحظة الجوهرية</w:t>
            </w:r>
          </w:p>
        </w:tc>
        <w:tc>
          <w:tcPr>
            <w:tcW w:w="6634" w:type="dxa"/>
            <w:shd w:val="clear" w:color="auto" w:fill="D9EAF7"/>
            <w:vAlign w:val="center"/>
          </w:tcPr>
          <w:p w14:paraId="7400EED4" w14:textId="77777777" w:rsidR="004E527C" w:rsidRPr="008D3F9A" w:rsidRDefault="00000000" w:rsidP="008D3F9A">
            <w:pPr>
              <w:bidi/>
              <w:jc w:val="center"/>
              <w:rPr>
                <w:rFonts w:ascii="Simplified Arabic" w:hAnsi="Simplified Arabic" w:cs="Simplified Arabic"/>
              </w:rPr>
            </w:pPr>
            <w:r w:rsidRPr="008D3F9A">
              <w:rPr>
                <w:rFonts w:ascii="Simplified Arabic" w:hAnsi="Simplified Arabic" w:cs="Simplified Arabic"/>
                <w:b/>
              </w:rPr>
              <w:t>الحكم المختصر</w:t>
            </w:r>
          </w:p>
        </w:tc>
      </w:tr>
      <w:tr w:rsidR="005E2C63" w:rsidRPr="008D3F9A" w14:paraId="65DD44E7" w14:textId="77777777" w:rsidTr="003B2878">
        <w:tc>
          <w:tcPr>
            <w:tcW w:w="1583" w:type="dxa"/>
          </w:tcPr>
          <w:p w14:paraId="7735776F" w14:textId="3882C1DE" w:rsidR="005E2C63" w:rsidRPr="005E2C63" w:rsidRDefault="005E2C63" w:rsidP="005E2C63">
            <w:pPr>
              <w:bidi/>
              <w:jc w:val="center"/>
              <w:rPr>
                <w:rFonts w:ascii="Simplified Arabic" w:hAnsi="Simplified Arabic" w:cs="Simplified Arabic"/>
                <w:b/>
                <w:bCs/>
              </w:rPr>
            </w:pPr>
            <w:r w:rsidRPr="005E2C63">
              <w:rPr>
                <w:b/>
                <w:bCs/>
              </w:rPr>
              <w:t>1</w:t>
            </w:r>
          </w:p>
        </w:tc>
        <w:tc>
          <w:tcPr>
            <w:tcW w:w="1530" w:type="dxa"/>
          </w:tcPr>
          <w:p w14:paraId="5933D25C" w14:textId="375BB487" w:rsidR="005E2C63" w:rsidRPr="005E2C63" w:rsidRDefault="005E2C63" w:rsidP="005E2C63">
            <w:pPr>
              <w:bidi/>
              <w:jc w:val="center"/>
              <w:rPr>
                <w:rFonts w:ascii="Simplified Arabic" w:hAnsi="Simplified Arabic" w:cs="Simplified Arabic"/>
                <w:b/>
                <w:bCs/>
              </w:rPr>
            </w:pPr>
            <w:r w:rsidRPr="005E2C63">
              <w:rPr>
                <w:b/>
                <w:bCs/>
                <w:rtl/>
              </w:rPr>
              <w:t>منهجية مراجعة الأدبيات</w:t>
            </w:r>
          </w:p>
        </w:tc>
        <w:tc>
          <w:tcPr>
            <w:tcW w:w="6634" w:type="dxa"/>
          </w:tcPr>
          <w:p w14:paraId="341A0923" w14:textId="51FBD6B8" w:rsidR="005E2C63" w:rsidRPr="008D3F9A" w:rsidRDefault="005E2C63" w:rsidP="005E2C63">
            <w:pPr>
              <w:bidi/>
              <w:rPr>
                <w:rFonts w:ascii="Simplified Arabic" w:hAnsi="Simplified Arabic" w:cs="Simplified Arabic"/>
              </w:rPr>
            </w:pPr>
            <w:r w:rsidRPr="009934F0">
              <w:rPr>
                <w:rtl/>
              </w:rPr>
              <w:t>تحسن التمهيد العام للفصل، لكن ما يزال من الأفضل تطوير فقرة منهجية أكثر صراحة تحدد قواعد البحث ومعايير الاختيار والاستبعاد والحدود الزمنية بصورة أوضح</w:t>
            </w:r>
            <w:r w:rsidRPr="009934F0">
              <w:t>.</w:t>
            </w:r>
          </w:p>
        </w:tc>
      </w:tr>
      <w:tr w:rsidR="005E2C63" w:rsidRPr="008D3F9A" w14:paraId="1EBD093B" w14:textId="77777777" w:rsidTr="003B2878">
        <w:tc>
          <w:tcPr>
            <w:tcW w:w="1583" w:type="dxa"/>
          </w:tcPr>
          <w:p w14:paraId="74A92CCE" w14:textId="6E7D6E68" w:rsidR="005E2C63" w:rsidRPr="005E2C63" w:rsidRDefault="005E2C63" w:rsidP="005E2C63">
            <w:pPr>
              <w:bidi/>
              <w:jc w:val="center"/>
              <w:rPr>
                <w:rFonts w:ascii="Simplified Arabic" w:hAnsi="Simplified Arabic" w:cs="Simplified Arabic"/>
                <w:b/>
                <w:bCs/>
              </w:rPr>
            </w:pPr>
            <w:r w:rsidRPr="005E2C63">
              <w:rPr>
                <w:b/>
                <w:bCs/>
              </w:rPr>
              <w:t>2</w:t>
            </w:r>
          </w:p>
        </w:tc>
        <w:tc>
          <w:tcPr>
            <w:tcW w:w="1530" w:type="dxa"/>
          </w:tcPr>
          <w:p w14:paraId="1928C157" w14:textId="1F21F732" w:rsidR="005E2C63" w:rsidRPr="005E2C63" w:rsidRDefault="005E2C63" w:rsidP="005E2C63">
            <w:pPr>
              <w:bidi/>
              <w:jc w:val="center"/>
              <w:rPr>
                <w:rFonts w:ascii="Simplified Arabic" w:hAnsi="Simplified Arabic" w:cs="Simplified Arabic"/>
                <w:b/>
                <w:bCs/>
              </w:rPr>
            </w:pPr>
            <w:r w:rsidRPr="005E2C63">
              <w:rPr>
                <w:b/>
                <w:bCs/>
                <w:rtl/>
              </w:rPr>
              <w:t>التوليف النقدي للدراسات السابقة</w:t>
            </w:r>
          </w:p>
        </w:tc>
        <w:tc>
          <w:tcPr>
            <w:tcW w:w="6634" w:type="dxa"/>
          </w:tcPr>
          <w:p w14:paraId="4B8DECAA" w14:textId="416AA2DC" w:rsidR="005E2C63" w:rsidRPr="008D3F9A" w:rsidRDefault="005E2C63" w:rsidP="005E2C63">
            <w:pPr>
              <w:bidi/>
              <w:rPr>
                <w:rFonts w:ascii="Simplified Arabic" w:hAnsi="Simplified Arabic" w:cs="Simplified Arabic"/>
              </w:rPr>
            </w:pPr>
            <w:r w:rsidRPr="009934F0">
              <w:rPr>
                <w:rtl/>
              </w:rPr>
              <w:t>أصبح تنظيم الدراسات السابقة أفضل من النسخة السابقة، إلا أن التوليف المقارن بين النتائج والحدود المنهجية والسياقية يحتاج إلى مزيد من الإحكام في خاتمة المحور</w:t>
            </w:r>
            <w:r w:rsidRPr="009934F0">
              <w:t>.</w:t>
            </w:r>
          </w:p>
        </w:tc>
      </w:tr>
      <w:tr w:rsidR="005E2C63" w:rsidRPr="008D3F9A" w14:paraId="2E2D173F" w14:textId="77777777" w:rsidTr="003B2878">
        <w:tc>
          <w:tcPr>
            <w:tcW w:w="1583" w:type="dxa"/>
          </w:tcPr>
          <w:p w14:paraId="5517DD3F" w14:textId="3AB27A53" w:rsidR="005E2C63" w:rsidRPr="005E2C63" w:rsidRDefault="005E2C63" w:rsidP="005E2C63">
            <w:pPr>
              <w:bidi/>
              <w:jc w:val="center"/>
              <w:rPr>
                <w:rFonts w:ascii="Simplified Arabic" w:hAnsi="Simplified Arabic" w:cs="Simplified Arabic"/>
                <w:b/>
                <w:bCs/>
              </w:rPr>
            </w:pPr>
            <w:r w:rsidRPr="005E2C63">
              <w:rPr>
                <w:b/>
                <w:bCs/>
              </w:rPr>
              <w:t>3</w:t>
            </w:r>
          </w:p>
        </w:tc>
        <w:tc>
          <w:tcPr>
            <w:tcW w:w="1530" w:type="dxa"/>
          </w:tcPr>
          <w:p w14:paraId="0F8F984D" w14:textId="1427340D" w:rsidR="005E2C63" w:rsidRPr="005E2C63" w:rsidRDefault="005E2C63" w:rsidP="005E2C63">
            <w:pPr>
              <w:bidi/>
              <w:jc w:val="center"/>
              <w:rPr>
                <w:rFonts w:ascii="Simplified Arabic" w:hAnsi="Simplified Arabic" w:cs="Simplified Arabic"/>
                <w:b/>
                <w:bCs/>
              </w:rPr>
            </w:pPr>
            <w:r w:rsidRPr="005E2C63">
              <w:rPr>
                <w:b/>
                <w:bCs/>
                <w:rtl/>
              </w:rPr>
              <w:t>تعريفات المتغيرات والقياس</w:t>
            </w:r>
          </w:p>
        </w:tc>
        <w:tc>
          <w:tcPr>
            <w:tcW w:w="6634" w:type="dxa"/>
          </w:tcPr>
          <w:p w14:paraId="12D2705B" w14:textId="2F7DF270" w:rsidR="005E2C63" w:rsidRPr="008D3F9A" w:rsidRDefault="005E2C63" w:rsidP="005E2C63">
            <w:pPr>
              <w:bidi/>
              <w:rPr>
                <w:rFonts w:ascii="Simplified Arabic" w:hAnsi="Simplified Arabic" w:cs="Simplified Arabic"/>
              </w:rPr>
            </w:pPr>
            <w:r w:rsidRPr="009934F0">
              <w:rPr>
                <w:rtl/>
              </w:rPr>
              <w:t>ظهر تقدم في إبراز الأبعاد والعلاقة المفاهيمية، لكن يظل من الأفضل تثبيت جدول أكثر مباشرة للتعريفات والقياس داخل الفصل نفسه إذا لم يكن مثبتًا بصورة نهائية في النسخة الكاملة</w:t>
            </w:r>
            <w:r w:rsidRPr="009934F0">
              <w:t>.</w:t>
            </w:r>
          </w:p>
        </w:tc>
      </w:tr>
      <w:tr w:rsidR="005E2C63" w:rsidRPr="008D3F9A" w14:paraId="24735EE9" w14:textId="77777777" w:rsidTr="003B2878">
        <w:tc>
          <w:tcPr>
            <w:tcW w:w="1583" w:type="dxa"/>
          </w:tcPr>
          <w:p w14:paraId="12E18A9B" w14:textId="2C5041CE" w:rsidR="005E2C63" w:rsidRPr="005E2C63" w:rsidRDefault="005E2C63" w:rsidP="005E2C63">
            <w:pPr>
              <w:bidi/>
              <w:jc w:val="center"/>
              <w:rPr>
                <w:rFonts w:ascii="Simplified Arabic" w:hAnsi="Simplified Arabic" w:cs="Simplified Arabic"/>
                <w:b/>
                <w:bCs/>
              </w:rPr>
            </w:pPr>
            <w:r w:rsidRPr="005E2C63">
              <w:rPr>
                <w:b/>
                <w:bCs/>
              </w:rPr>
              <w:t>4</w:t>
            </w:r>
          </w:p>
        </w:tc>
        <w:tc>
          <w:tcPr>
            <w:tcW w:w="1530" w:type="dxa"/>
          </w:tcPr>
          <w:p w14:paraId="718F110E" w14:textId="005BAAE8" w:rsidR="005E2C63" w:rsidRPr="005E2C63" w:rsidRDefault="005E2C63" w:rsidP="005E2C63">
            <w:pPr>
              <w:bidi/>
              <w:jc w:val="center"/>
              <w:rPr>
                <w:rFonts w:ascii="Simplified Arabic" w:hAnsi="Simplified Arabic" w:cs="Simplified Arabic"/>
                <w:b/>
                <w:bCs/>
              </w:rPr>
            </w:pPr>
            <w:r w:rsidRPr="005E2C63">
              <w:rPr>
                <w:b/>
                <w:bCs/>
                <w:rtl/>
              </w:rPr>
              <w:t>الفجوة والربط بالنموذج</w:t>
            </w:r>
          </w:p>
        </w:tc>
        <w:tc>
          <w:tcPr>
            <w:tcW w:w="6634" w:type="dxa"/>
          </w:tcPr>
          <w:p w14:paraId="188E417F" w14:textId="4E567E23" w:rsidR="005E2C63" w:rsidRPr="008D3F9A" w:rsidRDefault="005E2C63" w:rsidP="005E2C63">
            <w:pPr>
              <w:bidi/>
              <w:rPr>
                <w:rFonts w:ascii="Simplified Arabic" w:hAnsi="Simplified Arabic" w:cs="Simplified Arabic"/>
              </w:rPr>
            </w:pPr>
            <w:r w:rsidRPr="009934F0">
              <w:rPr>
                <w:rtl/>
              </w:rPr>
              <w:t>الفجوة البحثية أصبحت أوضح، إلا أن الربط المباشر بينها وبين الفرضيات والنموذج المفاهيمي يمكن تعزيزه بفقرة ختامية أكثر حسمًا</w:t>
            </w:r>
            <w:r w:rsidRPr="009934F0">
              <w:t>.</w:t>
            </w:r>
          </w:p>
        </w:tc>
      </w:tr>
      <w:tr w:rsidR="005E2C63" w:rsidRPr="008D3F9A" w14:paraId="12105CD1" w14:textId="77777777" w:rsidTr="005E2C63">
        <w:trPr>
          <w:trHeight w:val="854"/>
        </w:trPr>
        <w:tc>
          <w:tcPr>
            <w:tcW w:w="1583" w:type="dxa"/>
          </w:tcPr>
          <w:p w14:paraId="790CC5D7" w14:textId="7FB23990" w:rsidR="005E2C63" w:rsidRPr="005E2C63" w:rsidRDefault="005E2C63" w:rsidP="005E2C63">
            <w:pPr>
              <w:bidi/>
              <w:jc w:val="center"/>
              <w:rPr>
                <w:rFonts w:ascii="Simplified Arabic" w:hAnsi="Simplified Arabic" w:cs="Simplified Arabic"/>
                <w:b/>
                <w:bCs/>
              </w:rPr>
            </w:pPr>
            <w:r w:rsidRPr="005E2C63">
              <w:rPr>
                <w:b/>
                <w:bCs/>
              </w:rPr>
              <w:t>5</w:t>
            </w:r>
          </w:p>
        </w:tc>
        <w:tc>
          <w:tcPr>
            <w:tcW w:w="1530" w:type="dxa"/>
          </w:tcPr>
          <w:p w14:paraId="7A0EC7F5" w14:textId="782D4D5E" w:rsidR="005E2C63" w:rsidRPr="005E2C63" w:rsidRDefault="005E2C63" w:rsidP="005E2C63">
            <w:pPr>
              <w:bidi/>
              <w:jc w:val="center"/>
              <w:rPr>
                <w:rFonts w:ascii="Simplified Arabic" w:hAnsi="Simplified Arabic" w:cs="Simplified Arabic"/>
                <w:b/>
                <w:bCs/>
              </w:rPr>
            </w:pPr>
            <w:r w:rsidRPr="005E2C63">
              <w:rPr>
                <w:b/>
                <w:bCs/>
                <w:rtl/>
              </w:rPr>
              <w:t>الضبط اللغوي والتوثيقي</w:t>
            </w:r>
          </w:p>
        </w:tc>
        <w:tc>
          <w:tcPr>
            <w:tcW w:w="6634" w:type="dxa"/>
          </w:tcPr>
          <w:p w14:paraId="2419EFC7" w14:textId="38581030" w:rsidR="005E2C63" w:rsidRPr="008D3F9A" w:rsidRDefault="005E2C63" w:rsidP="005E2C63">
            <w:pPr>
              <w:bidi/>
              <w:rPr>
                <w:rFonts w:ascii="Simplified Arabic" w:hAnsi="Simplified Arabic" w:cs="Simplified Arabic"/>
              </w:rPr>
            </w:pPr>
            <w:r w:rsidRPr="009934F0">
              <w:rPr>
                <w:rtl/>
              </w:rPr>
              <w:t>تحتاج النسخة إلى مراجعة لغوية وتوثيقية نهائية لضبط الصياغة الأكاديمية، وتوحيد المصطلحات، ومعالجة بعض مواضع التكرار والاقتصاد اللغوي</w:t>
            </w:r>
            <w:r w:rsidRPr="009934F0">
              <w:t>.</w:t>
            </w:r>
          </w:p>
        </w:tc>
      </w:tr>
    </w:tbl>
    <w:p w14:paraId="18C58842" w14:textId="77777777" w:rsidR="004E527C" w:rsidRPr="008D3F9A" w:rsidRDefault="004E527C" w:rsidP="008D3F9A">
      <w:pPr>
        <w:bidi/>
        <w:rPr>
          <w:rFonts w:ascii="Simplified Arabic" w:hAnsi="Simplified Arabic" w:cs="Simplified Arabic"/>
        </w:rPr>
      </w:pPr>
    </w:p>
    <w:p w14:paraId="593E9BFC" w14:textId="77777777" w:rsidR="005E2C63" w:rsidRPr="005E2C63" w:rsidRDefault="00000000" w:rsidP="005E2C63">
      <w:pPr>
        <w:bidi/>
        <w:spacing w:after="120"/>
        <w:rPr>
          <w:rFonts w:ascii="Simplified Arabic" w:hAnsi="Simplified Arabic" w:cs="Simplified Arabic"/>
        </w:rPr>
      </w:pPr>
      <w:r w:rsidRPr="008D3F9A">
        <w:rPr>
          <w:rFonts w:ascii="Simplified Arabic" w:hAnsi="Simplified Arabic" w:cs="Simplified Arabic"/>
          <w:b/>
          <w:color w:val="1F4E79"/>
          <w:sz w:val="26"/>
        </w:rPr>
        <w:t xml:space="preserve">ثالثًا: إرشادات </w:t>
      </w:r>
      <w:proofErr w:type="spellStart"/>
      <w:r w:rsidRPr="008D3F9A">
        <w:rPr>
          <w:rFonts w:ascii="Simplified Arabic" w:hAnsi="Simplified Arabic" w:cs="Simplified Arabic"/>
          <w:b/>
          <w:color w:val="1F4E79"/>
          <w:sz w:val="26"/>
        </w:rPr>
        <w:t>الإغلاق</w:t>
      </w:r>
      <w:proofErr w:type="spellEnd"/>
    </w:p>
    <w:p w14:paraId="51F2EDBC" w14:textId="77777777" w:rsidR="005E2C63" w:rsidRPr="005E2C63" w:rsidRDefault="005E2C63" w:rsidP="005E2C63">
      <w:pPr>
        <w:bidi/>
        <w:spacing w:after="120"/>
        <w:rPr>
          <w:rFonts w:ascii="Simplified Arabic" w:hAnsi="Simplified Arabic" w:cs="Simplified Arabic"/>
        </w:rPr>
      </w:pPr>
      <w:r w:rsidRPr="005E2C63">
        <w:rPr>
          <w:rFonts w:ascii="Simplified Arabic" w:hAnsi="Simplified Arabic" w:cs="Simplified Arabic"/>
          <w:rtl/>
        </w:rPr>
        <w:t>• تقوية فقرة منهج مراجعة الأدبيات بإضافة قواعد البيانات والكلمات المفتاحية ومعايير الإدراج والاستبعاد بصورة أكثر صراحة.</w:t>
      </w:r>
    </w:p>
    <w:p w14:paraId="6F97214E" w14:textId="77777777" w:rsidR="005E2C63" w:rsidRPr="005E2C63" w:rsidRDefault="005E2C63" w:rsidP="005E2C63">
      <w:pPr>
        <w:bidi/>
        <w:spacing w:after="120"/>
        <w:rPr>
          <w:rFonts w:ascii="Simplified Arabic" w:hAnsi="Simplified Arabic" w:cs="Simplified Arabic"/>
        </w:rPr>
      </w:pPr>
      <w:r w:rsidRPr="005E2C63">
        <w:rPr>
          <w:rFonts w:ascii="Simplified Arabic" w:hAnsi="Simplified Arabic" w:cs="Simplified Arabic"/>
          <w:rtl/>
        </w:rPr>
        <w:t>• تعزيز التوليف الختامي للدراسات السابقة بإبراز النتائج المتسقة والمتعارضة والحدود المنهجية والسياقية.</w:t>
      </w:r>
    </w:p>
    <w:p w14:paraId="13E5AFA4" w14:textId="77777777" w:rsidR="005E2C63" w:rsidRPr="005E2C63" w:rsidRDefault="005E2C63" w:rsidP="005E2C63">
      <w:pPr>
        <w:bidi/>
        <w:spacing w:after="120"/>
        <w:rPr>
          <w:rFonts w:ascii="Simplified Arabic" w:hAnsi="Simplified Arabic" w:cs="Simplified Arabic"/>
        </w:rPr>
      </w:pPr>
      <w:r w:rsidRPr="005E2C63">
        <w:rPr>
          <w:rFonts w:ascii="Simplified Arabic" w:hAnsi="Simplified Arabic" w:cs="Simplified Arabic"/>
          <w:rtl/>
        </w:rPr>
        <w:t>• تثبيت جدول واضح للتعريفات والقياس داخل الفصل إذا لم يكن موجودًا بصيغته النهائية.</w:t>
      </w:r>
    </w:p>
    <w:p w14:paraId="6D8FD542" w14:textId="77777777" w:rsidR="005E2C63" w:rsidRPr="005E2C63" w:rsidRDefault="005E2C63" w:rsidP="005E2C63">
      <w:pPr>
        <w:bidi/>
        <w:spacing w:after="120"/>
        <w:rPr>
          <w:rFonts w:ascii="Simplified Arabic" w:hAnsi="Simplified Arabic" w:cs="Simplified Arabic"/>
        </w:rPr>
      </w:pPr>
      <w:r w:rsidRPr="005E2C63">
        <w:rPr>
          <w:rFonts w:ascii="Simplified Arabic" w:hAnsi="Simplified Arabic" w:cs="Simplified Arabic"/>
          <w:rtl/>
        </w:rPr>
        <w:t>• إضافة فقرة ختامية أكثر مباشرة تربط الفجوة البحثية بالفرضيات والنموذج المفاهيمي.</w:t>
      </w:r>
    </w:p>
    <w:p w14:paraId="6AD320A3" w14:textId="77777777" w:rsidR="005E2C63" w:rsidRDefault="005E2C63" w:rsidP="005E2C63">
      <w:pPr>
        <w:bidi/>
        <w:spacing w:after="120"/>
        <w:rPr>
          <w:rFonts w:ascii="Simplified Arabic" w:hAnsi="Simplified Arabic" w:cs="Simplified Arabic"/>
        </w:rPr>
      </w:pPr>
      <w:r w:rsidRPr="005E2C63">
        <w:rPr>
          <w:rFonts w:ascii="Simplified Arabic" w:hAnsi="Simplified Arabic" w:cs="Simplified Arabic"/>
          <w:rtl/>
        </w:rPr>
        <w:lastRenderedPageBreak/>
        <w:t>• إجراء تدقيق نهائي للغة والتوثيق والاقتصاد اللغوي.</w:t>
      </w:r>
    </w:p>
    <w:p w14:paraId="7D8FF823" w14:textId="749A9F03" w:rsidR="004E527C" w:rsidRDefault="00000000" w:rsidP="005E2C63">
      <w:pPr>
        <w:bidi/>
        <w:spacing w:after="120"/>
        <w:rPr>
          <w:rFonts w:ascii="Simplified Arabic" w:hAnsi="Simplified Arabic" w:cs="Simplified Arabic"/>
          <w:b/>
          <w:color w:val="1F4E79"/>
          <w:sz w:val="26"/>
        </w:rPr>
      </w:pPr>
      <w:proofErr w:type="spellStart"/>
      <w:r w:rsidRPr="008D3F9A">
        <w:rPr>
          <w:rFonts w:ascii="Simplified Arabic" w:hAnsi="Simplified Arabic" w:cs="Simplified Arabic"/>
          <w:b/>
          <w:color w:val="1F4E79"/>
          <w:sz w:val="26"/>
        </w:rPr>
        <w:t>رابعًا</w:t>
      </w:r>
      <w:proofErr w:type="spellEnd"/>
      <w:r w:rsidRPr="008D3F9A">
        <w:rPr>
          <w:rFonts w:ascii="Simplified Arabic" w:hAnsi="Simplified Arabic" w:cs="Simplified Arabic"/>
          <w:b/>
          <w:color w:val="1F4E79"/>
          <w:sz w:val="26"/>
        </w:rPr>
        <w:t xml:space="preserve">: </w:t>
      </w:r>
      <w:proofErr w:type="spellStart"/>
      <w:r w:rsidRPr="008D3F9A">
        <w:rPr>
          <w:rFonts w:ascii="Simplified Arabic" w:hAnsi="Simplified Arabic" w:cs="Simplified Arabic"/>
          <w:b/>
          <w:color w:val="1F4E79"/>
          <w:sz w:val="26"/>
        </w:rPr>
        <w:t>الخلاصة</w:t>
      </w:r>
      <w:proofErr w:type="spellEnd"/>
      <w:r w:rsidRPr="008D3F9A">
        <w:rPr>
          <w:rFonts w:ascii="Simplified Arabic" w:hAnsi="Simplified Arabic" w:cs="Simplified Arabic"/>
          <w:b/>
          <w:color w:val="1F4E79"/>
          <w:sz w:val="26"/>
        </w:rPr>
        <w:t xml:space="preserve"> </w:t>
      </w:r>
      <w:proofErr w:type="spellStart"/>
      <w:r w:rsidRPr="008D3F9A">
        <w:rPr>
          <w:rFonts w:ascii="Simplified Arabic" w:hAnsi="Simplified Arabic" w:cs="Simplified Arabic"/>
          <w:b/>
          <w:color w:val="1F4E79"/>
          <w:sz w:val="26"/>
        </w:rPr>
        <w:t>التقويمية</w:t>
      </w:r>
      <w:proofErr w:type="spellEnd"/>
    </w:p>
    <w:p w14:paraId="41C7B796" w14:textId="460A7FA7" w:rsidR="005E2C63" w:rsidRPr="008D3F9A" w:rsidRDefault="005E2C63" w:rsidP="005E2C63">
      <w:pPr>
        <w:bidi/>
        <w:spacing w:after="120"/>
        <w:rPr>
          <w:rFonts w:ascii="Simplified Arabic" w:hAnsi="Simplified Arabic" w:cs="Simplified Arabic"/>
        </w:rPr>
      </w:pPr>
      <w:r w:rsidRPr="005E2C63">
        <w:rPr>
          <w:rFonts w:ascii="Simplified Arabic" w:hAnsi="Simplified Arabic" w:cs="Simplified Arabic"/>
          <w:rtl/>
        </w:rPr>
        <w:t>تُظهر النسخة الحالية (التسليم الثالث) تحسنًا إضافيًا مقارنة بتقرير التسليم الثاني؛ إذ أصبح الإطار النظري المعتمد أكثر وضوحًا، وجرى إبراز العلاقة بين التخطيط الإستراتيجي للموارد البشرية والبراعة التنظيمية بدرجة أفضل، كما ظهرت معالجة أوضح للفجوة التطبيقية في السياق الحكومي، مع إضافة جدول لملخص الدراسات السابقة وأوجه الاستفادة منها. ومع ذلك، ما تزال هناك نقاط محدودة بحاجة إلى صقل نهائي، لكنها لا تمس سلامة البناء العام للفصل ولا تبرر الإبقاء على حكم التعديلات الجوهرية.</w:t>
      </w:r>
    </w:p>
    <w:sectPr w:rsidR="005E2C63" w:rsidRPr="008D3F9A"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57429">
    <w:abstractNumId w:val="8"/>
  </w:num>
  <w:num w:numId="2" w16cid:durableId="565261161">
    <w:abstractNumId w:val="6"/>
  </w:num>
  <w:num w:numId="3" w16cid:durableId="1732771890">
    <w:abstractNumId w:val="5"/>
  </w:num>
  <w:num w:numId="4" w16cid:durableId="294064370">
    <w:abstractNumId w:val="4"/>
  </w:num>
  <w:num w:numId="5" w16cid:durableId="197014046">
    <w:abstractNumId w:val="7"/>
  </w:num>
  <w:num w:numId="6" w16cid:durableId="1775125642">
    <w:abstractNumId w:val="3"/>
  </w:num>
  <w:num w:numId="7" w16cid:durableId="415135064">
    <w:abstractNumId w:val="2"/>
  </w:num>
  <w:num w:numId="8" w16cid:durableId="1353991361">
    <w:abstractNumId w:val="1"/>
  </w:num>
  <w:num w:numId="9" w16cid:durableId="206452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0NTcyNTYyMjS3NDRT0lEKTi0uzszPAykwqgUAAUIhBiwAAAA="/>
  </w:docVars>
  <w:rsids>
    <w:rsidRoot w:val="00B47730"/>
    <w:rsid w:val="00034616"/>
    <w:rsid w:val="0006063C"/>
    <w:rsid w:val="0015074B"/>
    <w:rsid w:val="0029639D"/>
    <w:rsid w:val="00326F90"/>
    <w:rsid w:val="004E527C"/>
    <w:rsid w:val="005A1D0C"/>
    <w:rsid w:val="005E2C63"/>
    <w:rsid w:val="008D3F9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D4D2EE"/>
  <w14:defaultImageDpi w14:val="300"/>
  <w15:docId w15:val="{902F8ACD-CAFF-47B1-BB56-6D0C9CA1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2026-04-21T04:41:00Z</dcterms:created>
  <dcterms:modified xsi:type="dcterms:W3CDTF">2026-04-21T04:41:00Z</dcterms:modified>
  <cp:category/>
</cp:coreProperties>
</file>