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4BD8350" w:rsidR="009125CE" w:rsidRPr="00280DEE" w:rsidRDefault="006A5400" w:rsidP="006A540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80DE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5182B7C">
            <wp:simplePos x="0" y="0"/>
            <wp:positionH relativeFrom="margin">
              <wp:posOffset>72390</wp:posOffset>
            </wp:positionH>
            <wp:positionV relativeFrom="margin">
              <wp:posOffset>-57150</wp:posOffset>
            </wp:positionV>
            <wp:extent cx="1602105" cy="1486846"/>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105" cy="1486846"/>
                    </a:xfrm>
                    <a:prstGeom prst="rect">
                      <a:avLst/>
                    </a:prstGeom>
                  </pic:spPr>
                </pic:pic>
              </a:graphicData>
            </a:graphic>
            <wp14:sizeRelH relativeFrom="margin">
              <wp14:pctWidth>0</wp14:pctWidth>
            </wp14:sizeRelH>
            <wp14:sizeRelV relativeFrom="margin">
              <wp14:pctHeight>0</wp14:pctHeight>
            </wp14:sizeRelV>
          </wp:anchor>
        </w:drawing>
      </w:r>
      <w:r w:rsidR="009125CE" w:rsidRPr="00280DEE">
        <w:rPr>
          <w:rFonts w:ascii="Simplified Arabic" w:hAnsi="Simplified Arabic" w:cs="Simplified Arabic"/>
          <w:b/>
          <w:bCs/>
          <w:color w:val="000000" w:themeColor="text1"/>
          <w:sz w:val="32"/>
          <w:szCs w:val="32"/>
          <w:rtl/>
          <w:lang w:bidi="ar-EG"/>
        </w:rPr>
        <w:t xml:space="preserve">جامعة ميدأوشن </w:t>
      </w:r>
    </w:p>
    <w:p w14:paraId="1E957002" w14:textId="6E20A096" w:rsidR="00F546CE" w:rsidRPr="00280DEE" w:rsidRDefault="009125CE" w:rsidP="006A540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80DEE">
        <w:rPr>
          <w:rFonts w:ascii="Simplified Arabic" w:hAnsi="Simplified Arabic" w:cs="Simplified Arabic"/>
          <w:b/>
          <w:bCs/>
          <w:color w:val="000000" w:themeColor="text1"/>
          <w:sz w:val="32"/>
          <w:szCs w:val="32"/>
          <w:rtl/>
          <w:lang w:bidi="ar-EG"/>
        </w:rPr>
        <w:t xml:space="preserve">كلية </w:t>
      </w:r>
      <w:r w:rsidR="008C42C1" w:rsidRPr="00280DEE">
        <w:rPr>
          <w:rFonts w:ascii="Simplified Arabic" w:hAnsi="Simplified Arabic" w:cs="Simplified Arabic"/>
          <w:b/>
          <w:bCs/>
          <w:color w:val="000000" w:themeColor="text1"/>
          <w:sz w:val="32"/>
          <w:szCs w:val="32"/>
          <w:rtl/>
          <w:lang w:bidi="ar-EG"/>
        </w:rPr>
        <w:t>الإدارة</w:t>
      </w:r>
      <w:r w:rsidRPr="00280DEE">
        <w:rPr>
          <w:rFonts w:ascii="Simplified Arabic" w:hAnsi="Simplified Arabic" w:cs="Simplified Arabic"/>
          <w:b/>
          <w:bCs/>
          <w:color w:val="000000" w:themeColor="text1"/>
          <w:sz w:val="32"/>
          <w:szCs w:val="32"/>
          <w:rtl/>
          <w:lang w:bidi="ar-EG"/>
        </w:rPr>
        <w:t xml:space="preserve"> </w:t>
      </w:r>
    </w:p>
    <w:p w14:paraId="62D977E4" w14:textId="77777777" w:rsidR="00927467" w:rsidRPr="00280DEE" w:rsidRDefault="00927467" w:rsidP="006A540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80DEE">
        <w:rPr>
          <w:rFonts w:ascii="Simplified Arabic" w:hAnsi="Simplified Arabic" w:cs="Simplified Arabic"/>
          <w:b/>
          <w:bCs/>
          <w:color w:val="000000" w:themeColor="text1"/>
          <w:sz w:val="32"/>
          <w:szCs w:val="32"/>
          <w:rtl/>
          <w:lang w:bidi="ar-EG"/>
        </w:rPr>
        <w:t>ماجستير ادارة اعمال</w:t>
      </w:r>
    </w:p>
    <w:p w14:paraId="0A25F43C" w14:textId="77777777" w:rsidR="008C7BB4" w:rsidRPr="00280DEE" w:rsidRDefault="008C7BB4" w:rsidP="006A540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342D98F" w14:textId="423907A5" w:rsidR="008A7BB4" w:rsidRPr="00280DEE" w:rsidRDefault="00927467" w:rsidP="006A5400">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80DEE">
        <w:rPr>
          <w:rFonts w:ascii="Simplified Arabic" w:hAnsi="Simplified Arabic" w:cs="Simplified Arabic"/>
          <w:b/>
          <w:bCs/>
          <w:color w:val="000000" w:themeColor="text1"/>
          <w:sz w:val="40"/>
          <w:szCs w:val="40"/>
          <w:rtl/>
        </w:rPr>
        <w:t xml:space="preserve">أثر إدارة المواهب على الاحتفاظ بالكفاءات: دراسة ميدانية على شركات القطاع </w:t>
      </w:r>
      <w:r w:rsidR="006A5400" w:rsidRPr="00280DEE">
        <w:rPr>
          <w:rFonts w:ascii="Simplified Arabic" w:hAnsi="Simplified Arabic" w:cs="Simplified Arabic"/>
          <w:b/>
          <w:bCs/>
          <w:color w:val="000000" w:themeColor="text1"/>
          <w:sz w:val="40"/>
          <w:szCs w:val="40"/>
          <w:rtl/>
        </w:rPr>
        <w:t>الخاص بالمملكة العربية السعودية</w:t>
      </w:r>
    </w:p>
    <w:p w14:paraId="20E72E11"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67C247A1" w:rsidR="009125CE" w:rsidRPr="00280DEE" w:rsidRDefault="009125CE"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hAnsi="Simplified Arabic" w:cs="Simplified Arabic"/>
          <w:b/>
          <w:bCs/>
          <w:color w:val="000000" w:themeColor="text1"/>
          <w:sz w:val="36"/>
          <w:szCs w:val="36"/>
          <w:rtl/>
          <w:lang w:bidi="ar-EG"/>
        </w:rPr>
        <w:t>إعداد الطالب/</w:t>
      </w:r>
    </w:p>
    <w:p w14:paraId="11062EAD"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2970A300"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A5400" w:rsidRPr="00280DEE" w14:paraId="05220F81" w14:textId="77777777" w:rsidTr="006A5400">
        <w:tc>
          <w:tcPr>
            <w:tcW w:w="4530" w:type="dxa"/>
          </w:tcPr>
          <w:p w14:paraId="762423A1"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hAnsi="Simplified Arabic" w:cs="Simplified Arabic"/>
                <w:b/>
                <w:bCs/>
                <w:color w:val="000000" w:themeColor="text1"/>
                <w:sz w:val="36"/>
                <w:szCs w:val="36"/>
                <w:rtl/>
                <w:lang w:bidi="ar-EG"/>
              </w:rPr>
              <w:t>المشرف الرئيسي/</w:t>
            </w:r>
          </w:p>
        </w:tc>
        <w:tc>
          <w:tcPr>
            <w:tcW w:w="4531" w:type="dxa"/>
          </w:tcPr>
          <w:p w14:paraId="6377C734"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hAnsi="Simplified Arabic" w:cs="Simplified Arabic"/>
                <w:b/>
                <w:bCs/>
                <w:color w:val="000000" w:themeColor="text1"/>
                <w:sz w:val="36"/>
                <w:szCs w:val="36"/>
                <w:rtl/>
                <w:lang w:bidi="ar-EG"/>
              </w:rPr>
              <w:t>المشرف الثاني/</w:t>
            </w:r>
          </w:p>
        </w:tc>
      </w:tr>
      <w:tr w:rsidR="006A5400" w:rsidRPr="00280DEE" w14:paraId="44A6D83A" w14:textId="77777777" w:rsidTr="006A5400">
        <w:tc>
          <w:tcPr>
            <w:tcW w:w="4530" w:type="dxa"/>
          </w:tcPr>
          <w:p w14:paraId="06B973C6"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39B3758"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eastAsia="Calibri" w:hAnsi="Simplified Arabic" w:cs="Simplified Arabic"/>
                <w:color w:val="000000" w:themeColor="text1"/>
                <w:kern w:val="0"/>
                <w:sz w:val="36"/>
                <w:szCs w:val="36"/>
                <w:rtl/>
                <w:lang w:bidi="ar-EG"/>
                <w14:ligatures w14:val="none"/>
              </w:rPr>
              <w:t>د.فايز جراد</w:t>
            </w:r>
          </w:p>
        </w:tc>
      </w:tr>
    </w:tbl>
    <w:p w14:paraId="4FC1F7D2"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80DEE">
        <w:rPr>
          <w:rFonts w:ascii="Simplified Arabic" w:hAnsi="Simplified Arabic" w:cs="Simplified Arabic"/>
          <w:b/>
          <w:bCs/>
          <w:color w:val="000000" w:themeColor="text1"/>
          <w:sz w:val="36"/>
          <w:szCs w:val="36"/>
          <w:rtl/>
          <w:lang w:bidi="ar-EG"/>
        </w:rPr>
        <w:t>العام الدراسي:</w:t>
      </w:r>
    </w:p>
    <w:p w14:paraId="5F4D0974"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80DEE">
        <w:rPr>
          <w:rFonts w:ascii="Simplified Arabic" w:hAnsi="Simplified Arabic" w:cs="Simplified Arabic"/>
          <w:color w:val="000000" w:themeColor="text1"/>
          <w:sz w:val="36"/>
          <w:szCs w:val="36"/>
          <w:rtl/>
          <w:lang w:bidi="ar-EG"/>
        </w:rPr>
        <w:t>1448 – 2026</w:t>
      </w:r>
    </w:p>
    <w:p w14:paraId="1F308A24" w14:textId="77777777" w:rsidR="006A5400" w:rsidRPr="00280DEE" w:rsidRDefault="006A5400" w:rsidP="006A540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6A5400" w:rsidRPr="00280DEE" w:rsidSect="006A5400">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482224C" w14:textId="31E8204C" w:rsidR="006A5400" w:rsidRPr="00280DEE" w:rsidRDefault="006A5400" w:rsidP="00F0177F">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5025248"/>
      <w:r w:rsidRPr="00280DEE">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312BD1C3" w14:textId="6BB88646" w:rsidR="006A5400" w:rsidRPr="00280DEE" w:rsidRDefault="006A5400" w:rsidP="00F0177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5025249"/>
      <w:r w:rsidRPr="00280DEE">
        <w:rPr>
          <w:rFonts w:ascii="Simplified Arabic" w:hAnsi="Simplified Arabic" w:cs="Simplified Arabic" w:hint="cs"/>
          <w:b/>
          <w:bCs/>
          <w:color w:val="000000" w:themeColor="text1"/>
          <w:sz w:val="36"/>
          <w:szCs w:val="36"/>
          <w:rtl/>
        </w:rPr>
        <w:t>1.1 المقدمة</w:t>
      </w:r>
      <w:bookmarkEnd w:id="3"/>
    </w:p>
    <w:p w14:paraId="22DE91E7" w14:textId="6A64FEDE"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تشهد بيئة الأعمال المعاصرة تحولات متسارعة وتنافسية حادة فرضت على المنظمات إعادة النظر في أساليب إدارتها لمواردها البشرية باعتبارها الأصل الاستراتيجي الأكثر قيمة والأصعب تقليداً من قبل المنافسين. وقد أصبح نجاح المنظمات واستدامتها مرهوناً بقدرتها على إدارة رأسمالها البشري بكفاءة وفاعلية، لا سيما في ظل تنامي اقتصاد المعرفة وتصاعد الطلب العالمي على الكفاءات والمواهب المتميزة التي باتت تُشكّل المحرك الرئيسي للابتكار والتميز المؤسسي</w:t>
      </w:r>
      <w:r w:rsidRPr="00280DEE">
        <w:rPr>
          <w:rFonts w:ascii="Simplified Arabic" w:hAnsi="Simplified Arabic" w:cs="Simplified Arabic"/>
          <w:color w:val="000000" w:themeColor="text1"/>
          <w:sz w:val="28"/>
          <w:szCs w:val="28"/>
        </w:rPr>
        <w:t xml:space="preserve"> (Al Aina &amp; Atan, 2020).</w:t>
      </w:r>
    </w:p>
    <w:p w14:paraId="4F901612" w14:textId="3DB04C3A"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برزت إدارة المواهب كأحد أهم المداخل الاستراتيجية الحديثة في حقل إدارة الموارد البشرية، حيث تُمثّل منظومة متكاملة من العمليات والممارسات المنهجية التي تهدف إلى استقطاب الأفراد الموهوبين وتطوير قدراتهم وتعويضهم والاحتفاظ بهم بما يُحقق الأهداف الاستراتيجية للمنظمة. وقد أصبحت إدارة المواهب ضرورة حتمية وليست ترفاً إدارياً، إذ تُسهم في بناء ميزة تنافسية مستدامة من خلال ضمان توافر الكفاءات المناسبة في المواقع المناسبة وفي الوقت المناسب، وتمكين المنظمات من مواجهة تحديات ندرة المواهب في سوق العمل (السليحات والصوالحة، 2022)،</w:t>
      </w:r>
      <w:r w:rsidRPr="00280DEE">
        <w:rPr>
          <w:rFonts w:ascii="Simplified Arabic" w:hAnsi="Simplified Arabic" w:cs="Simplified Arabic"/>
          <w:color w:val="000000" w:themeColor="text1"/>
          <w:sz w:val="28"/>
          <w:szCs w:val="28"/>
        </w:rPr>
        <w:t xml:space="preserve"> </w:t>
      </w:r>
      <w:r w:rsidRPr="00280DEE">
        <w:rPr>
          <w:rFonts w:ascii="Simplified Arabic" w:hAnsi="Simplified Arabic" w:cs="Simplified Arabic"/>
          <w:color w:val="000000" w:themeColor="text1"/>
          <w:sz w:val="28"/>
          <w:szCs w:val="28"/>
          <w:rtl/>
        </w:rPr>
        <w:t>وتتضمّن إدارة المواهب أبعاداً متعددة تبدأ من استقطاب المواهب عبر آليات توظيف واختيار فعّالة، مروراً بتطوير المواهب من خلال برامج التدريب وتنمية القدرات، وتعويض المواهب بحزم مكافآت تنافسية وعادلة، وصولاً إلى الاحتفاظ بالمواهب من خلال توفير بيئة عمل محفّزة ومسارات وظيفية واضحة (العدوان والهناندة، 2024).</w:t>
      </w:r>
    </w:p>
    <w:p w14:paraId="65AB917F" w14:textId="701209CC"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يحتل الاحتفاظ بالكفاءات مكانة محورية في الفكر الإداري المعاصر باعتباره مؤشراً جوهرياً على صحة المنظمة واستقرارها التنظيمي، إذ يُشير إلى قدرة المنظمة على الحفاظ على مواردها البشرية المتميزة ومنع تسرّبها إلى المنظمات المنافسة. ويُعدّ فقدان الكفاءات من أخطر التحديات التي تواجه المنظمات لما يترتب عليه من تكاليف مباشرة وغير مباشرة تتجاوز الأبعاد المالية لتطال المعرفة التنظيمية المتراكمة والعلاقات المهنية والاستقرار المؤسسي (سليطين والعباس، 2022)</w:t>
      </w:r>
      <w:r w:rsidRPr="00280DEE">
        <w:rPr>
          <w:rFonts w:ascii="Simplified Arabic" w:hAnsi="Simplified Arabic" w:cs="Simplified Arabic"/>
          <w:color w:val="000000" w:themeColor="text1"/>
          <w:sz w:val="28"/>
          <w:szCs w:val="28"/>
        </w:rPr>
        <w:t xml:space="preserve">. </w:t>
      </w:r>
    </w:p>
    <w:p w14:paraId="01F990A1"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وتتجلى العلاقة الوثيقة بين إدارة المواهب والاحتفاظ بالكفاءات في كون الأولى تُمثّل الإطار الاستراتيجي الذي يُهيئ الظروف المواتية لتحقيق الثاني، فالمنظمات التي تتبنى ممارسات فعّالة لإدارة المواهب تكون أكثر قدرة على خلق بيئة عمل جاذبة تُقلّل من نوايا دوران العمل وتُعزز الالتزام التنظيمي لدى الكفاءات. </w:t>
      </w:r>
      <w:r w:rsidRPr="00280DEE">
        <w:rPr>
          <w:rFonts w:ascii="Simplified Arabic" w:hAnsi="Simplified Arabic" w:cs="Simplified Arabic"/>
          <w:color w:val="000000" w:themeColor="text1"/>
          <w:sz w:val="28"/>
          <w:szCs w:val="28"/>
          <w:rtl/>
        </w:rPr>
        <w:lastRenderedPageBreak/>
        <w:t>وقد أكدت الأدبيات الإدارية أن استقطاب المواهب وتطويرها وتعويضها والاحتفاظ بها تُشكّل منظومة مترابطة ومتكاملة تتضافر عناصرها في تحقيق الاحتفاظ بالكفاءات البشرية</w:t>
      </w:r>
      <w:r w:rsidRPr="00280DEE">
        <w:rPr>
          <w:rFonts w:ascii="Simplified Arabic" w:hAnsi="Simplified Arabic" w:cs="Simplified Arabic"/>
          <w:color w:val="000000" w:themeColor="text1"/>
          <w:sz w:val="28"/>
          <w:szCs w:val="28"/>
        </w:rPr>
        <w:t xml:space="preserve"> (Younas &amp; Bari, 2020).</w:t>
      </w:r>
    </w:p>
    <w:p w14:paraId="5E2E1BA5" w14:textId="74DD4709"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وبناءً على ما تقدّم، تأتي هذه الدراسة لتسلّط الضوء على أثر إدارة المواهب بأبعادها (استقطاب المواهب، تطوير المواهب، الاحتفاظ بالمواهب، تعويض المواهب) على الاحتفاظ بالكفاءات في شركات القطاع الخاص بالمملكة العربية السعودية، وذلك في ضوء التحولات الاقتصادية والهيكلية التي تشهدها المملكة بموجب رؤية 2030 والتي تضع تنمية رأس المال البشري وتعزيز كفاءة القطاع الخاص في صلب أولوياتها، مما يجعل دراسة هذا الموضوع ذات أهمية علمية وعملية بالغة في المرحلة الراهنة .</w:t>
      </w:r>
    </w:p>
    <w:p w14:paraId="57D503D7" w14:textId="688BAAF2" w:rsidR="00F0177F" w:rsidRPr="00280DEE" w:rsidRDefault="00F0177F" w:rsidP="00F0177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35025250"/>
      <w:bookmarkEnd w:id="0"/>
      <w:bookmarkEnd w:id="1"/>
      <w:r w:rsidRPr="00280DEE">
        <w:rPr>
          <w:rFonts w:ascii="Simplified Arabic" w:hAnsi="Simplified Arabic" w:cs="Simplified Arabic"/>
          <w:b/>
          <w:bCs/>
          <w:color w:val="000000" w:themeColor="text1"/>
          <w:sz w:val="36"/>
          <w:szCs w:val="36"/>
          <w:rtl/>
        </w:rPr>
        <w:t>2.1 مشكلة الدراسة</w:t>
      </w:r>
      <w:bookmarkEnd w:id="5"/>
    </w:p>
    <w:p w14:paraId="0A44161B"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يُعدّ رأس المال البشري الركيزة الجوهرية التي تستند إليها المنظمات المعاصرة في بناء قدراتها التنافسية وتحقيق أهدافها الاستراتيجية، إذ لم تعد الموارد المادية والتقنية وحدها كافية لضمان التفوق المؤسسي في ظل بيئة أعمال تتسم بالتعقيد والتغيّر المتسارع والمنافسة الحادة على استقطاب العقول والكفاءات. وقد أفرزت هذه التحولات تحدياً استراتيجياً بالغ الخطورة يتمثّل في تنامي ظاهرة تسرّب الكفاءات البشرية من المنظمات، وهي ظاهرة باتت تُلقي بظلالها الكثيفة على استقرار المنظمات وقدرتها على الاستدامة والنمو، لا سيما في القطاع الخاص الذي يُمثّل العمود الفقري لاقتصادات الدول ومحرّكها الرئيسي نحو التنويع والتنمية</w:t>
      </w:r>
      <w:r w:rsidRPr="00280DEE">
        <w:rPr>
          <w:rFonts w:ascii="Simplified Arabic" w:hAnsi="Simplified Arabic" w:cs="Simplified Arabic"/>
          <w:color w:val="000000" w:themeColor="text1"/>
          <w:sz w:val="28"/>
          <w:szCs w:val="28"/>
        </w:rPr>
        <w:t>.</w:t>
      </w:r>
    </w:p>
    <w:p w14:paraId="7110B33E"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وفي سياق المملكة العربية السعودية تحديداً، يكتسب هذا التحدي أبعاداً أكثر حدة وإلحاحاً في ضوء التحولات الاقتصادية والهيكلية الجذرية التي تشهدها المملكة بموجب رؤية 2030 التي وضعت تنمية رأس المال البشري وتعزيز كفاءة القطاع الخاص وزيادة مساهمته في الناتج المحلي الإجمالي في صدارة أولوياتها الاستراتيجية. وتُشير المؤشرات والتقارير الصادرة عن الجهات المعنية إلى أن شركات القطاع الخاص السعودي تواجه معدلات دوران وظيفي مرتفعة تتراوح بين (20%) و(30%) سنوياً وفقاً لبعض التقديرات القطاعية، وهو ما يترتب عليه تكاليف مالية باهظة تشمل تكاليف الاستقطاب والتعيين والتدريب والتأهيل للبدلاء، فضلاً عن التكاليف غير المباشرة المتمثلة في فقدان المعرفة التنظيمية المتراكمة وتراجع الإنتاجية وتأثر جودة الخدمات وإضعاف القدرة التنافسية للمنظمة في سوق العمل</w:t>
      </w:r>
      <w:r w:rsidRPr="00280DEE">
        <w:rPr>
          <w:rFonts w:ascii="Simplified Arabic" w:hAnsi="Simplified Arabic" w:cs="Simplified Arabic"/>
          <w:color w:val="000000" w:themeColor="text1"/>
          <w:sz w:val="28"/>
          <w:szCs w:val="28"/>
        </w:rPr>
        <w:t>.</w:t>
      </w:r>
    </w:p>
    <w:p w14:paraId="28B93C86"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وعلى الرغم من الاهتمام المتزايد بإدارة المواهب كمدخل استراتيجي حديث في أدبيات إدارة الموارد البشرية، إلا أن الواقع التطبيقي يكشف عن فجوة واضحة بين ما تطرحه النظريات والنماذج الإدارية من ممارسات مثلى لإدارة المواهب وبين ما يُطبّق فعلياً في كثير من شركات القطاع الخاص السعودي. فلا تزال العديد من هذه الشركات تفتقر إلى استراتيجيات واضحة ومنهجية لاستقطاب المواهب وتطويرها وتعويضها والاحتفاظ بها، وتعتمد بدلاً من ذلك على ممارسات تقليدية ومجزّأة لا ترقى إلى مستوى التحديات المعاصرة ولا تُلبي تطلعات الكفاءات البشرية التي أصبحت أكثر وعياً بقيمتها السوقية وأكثر استعداداً للانتقال نحو بيئات عمل تُقدّر إسهاماتها وتُوفّر لها مسارات واضحة للنمو والتطور المهني</w:t>
      </w:r>
      <w:r w:rsidRPr="00280DEE">
        <w:rPr>
          <w:rFonts w:ascii="Simplified Arabic" w:hAnsi="Simplified Arabic" w:cs="Simplified Arabic"/>
          <w:color w:val="000000" w:themeColor="text1"/>
          <w:sz w:val="28"/>
          <w:szCs w:val="28"/>
        </w:rPr>
        <w:t>.</w:t>
      </w:r>
    </w:p>
    <w:p w14:paraId="6553A2D7"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وقد أكدت العديد من الدراسات السابقة وجود علاقة وثيقة بين ممارسات إدارة المواهب والاحتفاظ بالكفاءات، حيث أشارت دراسة </w:t>
      </w:r>
      <w:r w:rsidRPr="00280DEE">
        <w:rPr>
          <w:rFonts w:ascii="Simplified Arabic" w:hAnsi="Simplified Arabic" w:cs="Simplified Arabic"/>
          <w:color w:val="000000" w:themeColor="text1"/>
          <w:sz w:val="28"/>
          <w:szCs w:val="28"/>
        </w:rPr>
        <w:t xml:space="preserve">(Kumar, 2022) </w:t>
      </w:r>
      <w:r w:rsidRPr="00280DEE">
        <w:rPr>
          <w:rFonts w:ascii="Simplified Arabic" w:hAnsi="Simplified Arabic" w:cs="Simplified Arabic"/>
          <w:color w:val="000000" w:themeColor="text1"/>
          <w:sz w:val="28"/>
          <w:szCs w:val="28"/>
          <w:rtl/>
        </w:rPr>
        <w:t>إلى أن ممارسات إدارة المواهب تُسهم بشكل جوهري في تقليل نوايا دوران العمل، كما أكدت دراسة</w:t>
      </w:r>
      <w:r w:rsidRPr="00280DEE">
        <w:rPr>
          <w:rFonts w:ascii="Simplified Arabic" w:hAnsi="Simplified Arabic" w:cs="Simplified Arabic"/>
          <w:color w:val="000000" w:themeColor="text1"/>
          <w:sz w:val="28"/>
          <w:szCs w:val="28"/>
        </w:rPr>
        <w:t xml:space="preserve"> (Younas &amp; Bari, 2020) </w:t>
      </w:r>
      <w:r w:rsidRPr="00280DEE">
        <w:rPr>
          <w:rFonts w:ascii="Simplified Arabic" w:hAnsi="Simplified Arabic" w:cs="Simplified Arabic"/>
          <w:color w:val="000000" w:themeColor="text1"/>
          <w:sz w:val="28"/>
          <w:szCs w:val="28"/>
          <w:rtl/>
        </w:rPr>
        <w:t>أن ممارسات إدارة المواهب تؤثر إيجابياً في الاحتفاظ بموظفي الجيل</w:t>
      </w:r>
      <w:r w:rsidRPr="00280DEE">
        <w:rPr>
          <w:rFonts w:ascii="Simplified Arabic" w:hAnsi="Simplified Arabic" w:cs="Simplified Arabic"/>
          <w:color w:val="000000" w:themeColor="text1"/>
          <w:sz w:val="28"/>
          <w:szCs w:val="28"/>
        </w:rPr>
        <w:t xml:space="preserve"> Y </w:t>
      </w:r>
      <w:r w:rsidRPr="00280DEE">
        <w:rPr>
          <w:rFonts w:ascii="Simplified Arabic" w:hAnsi="Simplified Arabic" w:cs="Simplified Arabic"/>
          <w:color w:val="000000" w:themeColor="text1"/>
          <w:sz w:val="28"/>
          <w:szCs w:val="28"/>
          <w:rtl/>
        </w:rPr>
        <w:t>من خلال تطوير كفاءاتهم، بينما كشفت دراسة (السليحات والصوالحة، 2022) عن وجود أثر دال لإدارة المواهب في التميز المنظمي، وأوصت دراسة (الحمزة، 2023) بضرورة تحسين بيئة العمل الداخلية لضمان الاحتفاظ بالكفاءات الصحية. غير أن الملاحظ هو ندرة الدراسات التي تناولت هذه العلاقة في سياق القطاع الخاص السعودي تحديداً بأبعادها الأربعة مجتمعة، مما يُشكّل فجوة بحثية تسعى الدراسة الحالية إلى سدّها</w:t>
      </w:r>
      <w:r w:rsidRPr="00280DEE">
        <w:rPr>
          <w:rFonts w:ascii="Simplified Arabic" w:hAnsi="Simplified Arabic" w:cs="Simplified Arabic"/>
          <w:color w:val="000000" w:themeColor="text1"/>
          <w:sz w:val="28"/>
          <w:szCs w:val="28"/>
        </w:rPr>
        <w:t>.</w:t>
      </w:r>
    </w:p>
    <w:p w14:paraId="549AFADB" w14:textId="77777777" w:rsidR="004A09C4" w:rsidRPr="00280DEE" w:rsidRDefault="004A09C4" w:rsidP="00F0177F">
      <w:pPr>
        <w:pStyle w:val="NormalWeb"/>
        <w:bidi/>
        <w:spacing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وانطلاقاً مما سبق، تتبلور مشكلة الدراسة في التساؤل الرئيسي التالي</w:t>
      </w:r>
      <w:r w:rsidRPr="00280DEE">
        <w:rPr>
          <w:rFonts w:ascii="Simplified Arabic" w:hAnsi="Simplified Arabic" w:cs="Simplified Arabic"/>
          <w:color w:val="000000" w:themeColor="text1"/>
          <w:sz w:val="28"/>
          <w:szCs w:val="28"/>
        </w:rPr>
        <w:t xml:space="preserve">: </w:t>
      </w:r>
      <w:r w:rsidRPr="00280DEE">
        <w:rPr>
          <w:rStyle w:val="Strong"/>
          <w:rFonts w:ascii="Simplified Arabic" w:hAnsi="Simplified Arabic" w:cs="Simplified Arabic"/>
          <w:b w:val="0"/>
          <w:bCs w:val="0"/>
          <w:color w:val="000000" w:themeColor="text1"/>
          <w:sz w:val="28"/>
          <w:szCs w:val="28"/>
          <w:rtl/>
        </w:rPr>
        <w:t>ما أثر إدارة المواهب بأبعادها (استقطاب المواهب، تطوير المواهب، الاحتفاظ بالمواهب، تعويض المواهب) على الاحتفاظ بالكفاءات في شركات القطاع الخاص بالمملكة العربية السعودية؟</w:t>
      </w:r>
    </w:p>
    <w:p w14:paraId="09768D27" w14:textId="2B06F32C" w:rsidR="00F0177F" w:rsidRPr="00280DEE" w:rsidRDefault="00F0177F"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169790500"/>
      <w:bookmarkStart w:id="7" w:name="_Toc235025251"/>
      <w:bookmarkEnd w:id="4"/>
      <w:r w:rsidRPr="00280DEE">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14:paraId="70FC2B68"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المواهب بأبعادها (استقطاب المواهب، تطوير المواهب، الاحتفاظ بالمواهب، تعويض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29B755FD" w14:textId="77777777" w:rsidR="004A09C4" w:rsidRPr="00280DEE" w:rsidRDefault="004A09C4" w:rsidP="006A5400">
      <w:pPr>
        <w:spacing w:before="100" w:beforeAutospacing="1" w:after="100" w:afterAutospacing="1" w:line="276" w:lineRule="auto"/>
        <w:ind w:left="360"/>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ويتفرع من الهدف الرئيسي الأهداف الفرعية التالية</w:t>
      </w:r>
      <w:r w:rsidRPr="00280DEE">
        <w:rPr>
          <w:rFonts w:ascii="Simplified Arabic" w:eastAsia="Times New Roman" w:hAnsi="Simplified Arabic" w:cs="Simplified Arabic"/>
          <w:b/>
          <w:bCs/>
          <w:color w:val="000000" w:themeColor="text1"/>
          <w:kern w:val="0"/>
          <w:sz w:val="28"/>
          <w:szCs w:val="28"/>
          <w14:ligatures w14:val="none"/>
        </w:rPr>
        <w:t>:</w:t>
      </w:r>
    </w:p>
    <w:p w14:paraId="493FFCBB"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قياس أثر استقطاب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36CF7AD6"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قياس أثر تطوير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50A8229B"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قياس أثر الاحتفاظ بالمواهب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5D447D5B"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قياس أثر تعويض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4D66AB81" w14:textId="77777777" w:rsidR="004A09C4" w:rsidRPr="00280DEE" w:rsidRDefault="004A09C4" w:rsidP="009E49CE">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تقديم توصيات ومقترحات عملية لشركات القطاع الخاص بالمملكة العربية السعودية لتعزيز ممارسات إدارة المواهب بما يُسهم في الاحتفاظ بالكفاءات</w:t>
      </w:r>
      <w:r w:rsidRPr="00280DEE">
        <w:rPr>
          <w:rFonts w:ascii="Simplified Arabic" w:eastAsia="Times New Roman" w:hAnsi="Simplified Arabic" w:cs="Simplified Arabic"/>
          <w:color w:val="000000" w:themeColor="text1"/>
          <w:kern w:val="0"/>
          <w:sz w:val="28"/>
          <w:szCs w:val="28"/>
          <w14:ligatures w14:val="none"/>
        </w:rPr>
        <w:t>.</w:t>
      </w:r>
    </w:p>
    <w:p w14:paraId="6387C410" w14:textId="5AAEA446"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 w:name="_Toc235025252"/>
      <w:r w:rsidRPr="00280DEE">
        <w:rPr>
          <w:rFonts w:ascii="Simplified Arabic" w:eastAsia="Times New Roman" w:hAnsi="Simplified Arabic" w:cs="Simplified Arabic" w:hint="cs"/>
          <w:b/>
          <w:bCs/>
          <w:color w:val="000000" w:themeColor="text1"/>
          <w:kern w:val="0"/>
          <w:sz w:val="36"/>
          <w:szCs w:val="36"/>
          <w:rtl/>
          <w14:ligatures w14:val="none"/>
        </w:rPr>
        <w:t xml:space="preserve">4.1 </w:t>
      </w:r>
      <w:r w:rsidR="004A09C4" w:rsidRPr="00280DEE">
        <w:rPr>
          <w:rFonts w:ascii="Simplified Arabic" w:eastAsia="Times New Roman" w:hAnsi="Simplified Arabic" w:cs="Simplified Arabic"/>
          <w:b/>
          <w:bCs/>
          <w:color w:val="000000" w:themeColor="text1"/>
          <w:kern w:val="0"/>
          <w:sz w:val="36"/>
          <w:szCs w:val="36"/>
          <w:rtl/>
          <w14:ligatures w14:val="none"/>
        </w:rPr>
        <w:t>أسئلة الدراسة</w:t>
      </w:r>
      <w:bookmarkEnd w:id="8"/>
    </w:p>
    <w:p w14:paraId="504B1FDB" w14:textId="1A848AAD" w:rsidR="004A09C4" w:rsidRPr="00280DEE" w:rsidRDefault="004A09C4" w:rsidP="009E49CE">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السؤال الرئيسي: ما أثر إدارة المواهب بأبعادها (استقطاب المواهب، تطوير المواهب، الاحتفاظ بالمواهب، تعويض المواهب) على الاحتفاظ بالكفاءات في شركات القطاع الخاص بالمملكة العربية السعودية؟</w:t>
      </w:r>
    </w:p>
    <w:p w14:paraId="665AB50C" w14:textId="77777777" w:rsidR="004A09C4" w:rsidRPr="00280DEE" w:rsidRDefault="004A09C4" w:rsidP="006A54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280DEE">
        <w:rPr>
          <w:rFonts w:ascii="Simplified Arabic" w:eastAsia="Times New Roman" w:hAnsi="Simplified Arabic" w:cs="Simplified Arabic"/>
          <w:b/>
          <w:bCs/>
          <w:color w:val="000000" w:themeColor="text1"/>
          <w:kern w:val="0"/>
          <w:sz w:val="28"/>
          <w:szCs w:val="28"/>
          <w14:ligatures w14:val="none"/>
        </w:rPr>
        <w:t>:</w:t>
      </w:r>
    </w:p>
    <w:p w14:paraId="7D1702EF" w14:textId="77777777" w:rsidR="004A09C4" w:rsidRPr="00280DEE" w:rsidRDefault="004A09C4" w:rsidP="009E49CE">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ما أثر استقطاب المواهب على الاحتفاظ بالكفاءات في شركات القطاع الخاص بالمملكة العربية السعودية؟</w:t>
      </w:r>
    </w:p>
    <w:p w14:paraId="76D87F69" w14:textId="77777777" w:rsidR="004A09C4" w:rsidRPr="00280DEE" w:rsidRDefault="004A09C4" w:rsidP="009E49CE">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ما أثر تطوير المواهب على الاحتفاظ بالكفاءات في شركات القطاع الخاص بالمملكة العربية السعودية؟</w:t>
      </w:r>
    </w:p>
    <w:p w14:paraId="6A9CDCCC" w14:textId="77777777" w:rsidR="004A09C4" w:rsidRPr="00280DEE" w:rsidRDefault="004A09C4" w:rsidP="009E49CE">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ما أثر الاحتفاظ بالمواهب على الاحتفاظ بالكفاءات في شركات القطاع الخاص بالمملكة العربية السعودية؟</w:t>
      </w:r>
    </w:p>
    <w:p w14:paraId="1ECF6F7A" w14:textId="77777777" w:rsidR="004A09C4" w:rsidRPr="00280DEE" w:rsidRDefault="004A09C4" w:rsidP="009E49CE">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ما أثر تعويض المواهب على الاحتفاظ بالكفاءات في شركات القطاع الخاص بالمملكة العربية السعودية؟</w:t>
      </w:r>
    </w:p>
    <w:p w14:paraId="15260AF4" w14:textId="7CBBDC75"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9" w:name="_Toc235025253"/>
      <w:r w:rsidRPr="00280DEE">
        <w:rPr>
          <w:rFonts w:ascii="Simplified Arabic" w:eastAsia="Times New Roman" w:hAnsi="Simplified Arabic" w:cs="Simplified Arabic" w:hint="cs"/>
          <w:b/>
          <w:bCs/>
          <w:color w:val="000000" w:themeColor="text1"/>
          <w:kern w:val="0"/>
          <w:sz w:val="36"/>
          <w:szCs w:val="36"/>
          <w:rtl/>
          <w14:ligatures w14:val="none"/>
        </w:rPr>
        <w:t xml:space="preserve">5.1 </w:t>
      </w:r>
      <w:r w:rsidR="004A09C4" w:rsidRPr="00280DEE">
        <w:rPr>
          <w:rFonts w:ascii="Simplified Arabic" w:eastAsia="Times New Roman" w:hAnsi="Simplified Arabic" w:cs="Simplified Arabic"/>
          <w:b/>
          <w:bCs/>
          <w:color w:val="000000" w:themeColor="text1"/>
          <w:kern w:val="0"/>
          <w:sz w:val="36"/>
          <w:szCs w:val="36"/>
          <w:rtl/>
          <w14:ligatures w14:val="none"/>
        </w:rPr>
        <w:t>فروض الدراسة</w:t>
      </w:r>
      <w:bookmarkEnd w:id="9"/>
    </w:p>
    <w:p w14:paraId="723ABF79" w14:textId="61A9E94D"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الفرض الرئيسي: يوجد أثر ذو دلالة إحصائية عند مستوى معنوية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لإدارة المواهب بأبعادها مجتمعة (استقطاب المواهب، تطوير المواهب، الاحتفاظ بالمواهب، تعويض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2315D8B7" w14:textId="77777777" w:rsidR="004A09C4" w:rsidRPr="00280DEE" w:rsidRDefault="004A09C4" w:rsidP="006A54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ويتفرع من الفرض الرئيسي الفروض الفرعية التالية</w:t>
      </w:r>
      <w:r w:rsidRPr="00280DEE">
        <w:rPr>
          <w:rFonts w:ascii="Simplified Arabic" w:eastAsia="Times New Roman" w:hAnsi="Simplified Arabic" w:cs="Simplified Arabic"/>
          <w:b/>
          <w:bCs/>
          <w:color w:val="000000" w:themeColor="text1"/>
          <w:kern w:val="0"/>
          <w:sz w:val="28"/>
          <w:szCs w:val="28"/>
          <w14:ligatures w14:val="none"/>
        </w:rPr>
        <w:t>:</w:t>
      </w:r>
    </w:p>
    <w:p w14:paraId="1827A55F" w14:textId="77777777" w:rsidR="004A09C4" w:rsidRPr="00280DEE" w:rsidRDefault="004A09C4" w:rsidP="009E49CE">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الفرض الفرعي الأول</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لاستقطاب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43FFEC87" w14:textId="77777777" w:rsidR="004A09C4" w:rsidRPr="00280DEE" w:rsidRDefault="004A09C4" w:rsidP="009E49CE">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الفرض الفرعي الثاني</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لتطوير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4C21C7AA" w14:textId="77777777" w:rsidR="004A09C4" w:rsidRPr="00280DEE" w:rsidRDefault="004A09C4" w:rsidP="009E49CE">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الفرض الفرعي الثالث</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للاحتفاظ بالمواهب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46F5AFAE" w14:textId="77777777" w:rsidR="004A09C4" w:rsidRPr="00280DEE" w:rsidRDefault="004A09C4" w:rsidP="009E49CE">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الفرض الفرعي الرابع</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Times New Roman" w:eastAsia="Times New Roman" w:hAnsi="Times New Roman" w:cs="Times New Roman"/>
          <w:color w:val="000000" w:themeColor="text1"/>
          <w:kern w:val="0"/>
          <w:sz w:val="28"/>
          <w:szCs w:val="28"/>
          <w14:ligatures w14:val="none"/>
        </w:rPr>
        <w:t>≤</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لتعويض المواهب على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0DC3D351" w14:textId="113812DE"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0" w:name="_Toc235025254"/>
      <w:r w:rsidRPr="00280DEE">
        <w:rPr>
          <w:rFonts w:ascii="Simplified Arabic" w:eastAsia="Times New Roman" w:hAnsi="Simplified Arabic" w:cs="Simplified Arabic" w:hint="cs"/>
          <w:b/>
          <w:bCs/>
          <w:color w:val="000000" w:themeColor="text1"/>
          <w:kern w:val="0"/>
          <w:sz w:val="36"/>
          <w:szCs w:val="36"/>
          <w:rtl/>
          <w14:ligatures w14:val="none"/>
        </w:rPr>
        <w:t xml:space="preserve">6.1 </w:t>
      </w:r>
      <w:r w:rsidR="004A09C4" w:rsidRPr="00280DEE">
        <w:rPr>
          <w:rFonts w:ascii="Simplified Arabic" w:eastAsia="Times New Roman" w:hAnsi="Simplified Arabic" w:cs="Simplified Arabic"/>
          <w:b/>
          <w:bCs/>
          <w:color w:val="000000" w:themeColor="text1"/>
          <w:kern w:val="0"/>
          <w:sz w:val="36"/>
          <w:szCs w:val="36"/>
          <w:rtl/>
          <w14:ligatures w14:val="none"/>
        </w:rPr>
        <w:t>أهمية الدراسة</w:t>
      </w:r>
      <w:bookmarkEnd w:id="10"/>
    </w:p>
    <w:p w14:paraId="2C8E94C2" w14:textId="77777777" w:rsidR="004A09C4" w:rsidRPr="00280DEE" w:rsidRDefault="004A09C4" w:rsidP="009E49CE">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32"/>
          <w:szCs w:val="32"/>
          <w14:ligatures w14:val="none"/>
        </w:rPr>
      </w:pPr>
      <w:r w:rsidRPr="00280DEE">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74ED9124" w14:textId="5D62BA2C" w:rsidR="004A09C4" w:rsidRPr="00280DEE" w:rsidRDefault="004A09C4" w:rsidP="009E49CE">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تُسهم هذه الدراسة في إثراء الأدبيات والدراسات العربية في مجال إدارة المواهب والاحتفاظ بالكفاءات، وهو مجال يشهد ندرة نسبية في البحوث العربية مقارنة بالدراسات الغربية، مما يوفر إطاراً مرجعياً للباحثين في هذا المجال</w:t>
      </w:r>
      <w:r w:rsidRPr="00280DEE">
        <w:rPr>
          <w:rFonts w:ascii="Simplified Arabic" w:eastAsia="Times New Roman" w:hAnsi="Simplified Arabic" w:cs="Simplified Arabic"/>
          <w:color w:val="000000" w:themeColor="text1"/>
          <w:kern w:val="0"/>
          <w:sz w:val="28"/>
          <w:szCs w:val="28"/>
          <w14:ligatures w14:val="none"/>
        </w:rPr>
        <w:t>.</w:t>
      </w:r>
    </w:p>
    <w:p w14:paraId="58E61AE5" w14:textId="2F8D24CB" w:rsidR="004A09C4" w:rsidRPr="00280DEE" w:rsidRDefault="004A09C4" w:rsidP="009E49CE">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تُقدم الدراسة نموذجاً نظرياً يربط بين أبعاد إدارة المواهب الأربعة </w:t>
      </w:r>
      <w:r w:rsidRPr="00280DEE">
        <w:rPr>
          <w:rFonts w:ascii="Simplified Arabic" w:eastAsia="Times New Roman" w:hAnsi="Simplified Arabic" w:cs="Simplified Arabic"/>
          <w:color w:val="000000" w:themeColor="text1"/>
          <w:kern w:val="0"/>
          <w:sz w:val="28"/>
          <w:szCs w:val="28"/>
          <w14:ligatures w14:val="none"/>
        </w:rPr>
        <w:t>(</w:t>
      </w:r>
      <w:r w:rsidRPr="00280DEE">
        <w:rPr>
          <w:rFonts w:ascii="Simplified Arabic" w:eastAsia="Times New Roman" w:hAnsi="Simplified Arabic" w:cs="Simplified Arabic"/>
          <w:color w:val="000000" w:themeColor="text1"/>
          <w:kern w:val="0"/>
          <w:sz w:val="28"/>
          <w:szCs w:val="28"/>
          <w:rtl/>
          <w14:ligatures w14:val="none"/>
        </w:rPr>
        <w:t>استقطاب المواهب، تطوير المواهب، الاحتفاظ بالمواهب، تعويض 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والاحتفاظ بالكفاءات، مما يُسهم في بناء إطار مفاهيمي شامل يمكن اختباره في بيئات تنظيمية مختلفة</w:t>
      </w:r>
      <w:r w:rsidRPr="00280DEE">
        <w:rPr>
          <w:rFonts w:ascii="Simplified Arabic" w:eastAsia="Times New Roman" w:hAnsi="Simplified Arabic" w:cs="Simplified Arabic"/>
          <w:color w:val="000000" w:themeColor="text1"/>
          <w:kern w:val="0"/>
          <w:sz w:val="28"/>
          <w:szCs w:val="28"/>
          <w14:ligatures w14:val="none"/>
        </w:rPr>
        <w:t>.</w:t>
      </w:r>
    </w:p>
    <w:p w14:paraId="0EA2B71C" w14:textId="54C94E6B" w:rsidR="004A09C4" w:rsidRPr="00280DEE" w:rsidRDefault="004A09C4" w:rsidP="009E49CE">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تسعى الدراسة إلى سد الفجوة في الأدبيات المتعلقة بدراسة إدارة المواهب في سياق القطاع الخاص السعودي تحديداً، حيث إن معظم الدراسات السابقة أُجريت في بيئات غربية أو في قطاعات حكومية عربية، مما يُضيف بُعداً جديداً للمعرفة في هذا الحقل</w:t>
      </w:r>
      <w:r w:rsidRPr="00280DEE">
        <w:rPr>
          <w:rFonts w:ascii="Simplified Arabic" w:eastAsia="Times New Roman" w:hAnsi="Simplified Arabic" w:cs="Simplified Arabic"/>
          <w:color w:val="000000" w:themeColor="text1"/>
          <w:kern w:val="0"/>
          <w:sz w:val="28"/>
          <w:szCs w:val="28"/>
          <w14:ligatures w14:val="none"/>
        </w:rPr>
        <w:t>.</w:t>
      </w:r>
    </w:p>
    <w:p w14:paraId="7EAAF3A5" w14:textId="77777777" w:rsidR="004A09C4" w:rsidRPr="00280DEE" w:rsidRDefault="004A09C4" w:rsidP="009E49CE">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32"/>
          <w:szCs w:val="32"/>
          <w14:ligatures w14:val="none"/>
        </w:rPr>
      </w:pPr>
      <w:r w:rsidRPr="00280DEE">
        <w:rPr>
          <w:rFonts w:ascii="Simplified Arabic" w:eastAsia="Times New Roman" w:hAnsi="Simplified Arabic" w:cs="Simplified Arabic"/>
          <w:b/>
          <w:bCs/>
          <w:color w:val="000000" w:themeColor="text1"/>
          <w:kern w:val="0"/>
          <w:sz w:val="32"/>
          <w:szCs w:val="32"/>
          <w:rtl/>
          <w14:ligatures w14:val="none"/>
        </w:rPr>
        <w:lastRenderedPageBreak/>
        <w:t>ثانياً: الأهمية العملية (التطبيقية)</w:t>
      </w:r>
    </w:p>
    <w:p w14:paraId="7F520230" w14:textId="63EB2EDE" w:rsidR="004A09C4" w:rsidRPr="00280DEE" w:rsidRDefault="004A09C4" w:rsidP="009E49CE">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تُزوّد الدراسة صنّاع القرار والمديرين التنفيذيين في شركات القطاع الخاص السعودي بمعلومات وبيانات تساعدهم في اتخاذ قرارات مبنية على أدلة علمية حول تصميم وتطبيق استراتيجيات إدارة المواهب الأكثر فاعلية في الاحتفاظ بالكفاءات</w:t>
      </w:r>
      <w:r w:rsidRPr="00280DEE">
        <w:rPr>
          <w:rFonts w:ascii="Simplified Arabic" w:eastAsia="Times New Roman" w:hAnsi="Simplified Arabic" w:cs="Simplified Arabic"/>
          <w:color w:val="000000" w:themeColor="text1"/>
          <w:kern w:val="0"/>
          <w:sz w:val="28"/>
          <w:szCs w:val="28"/>
          <w14:ligatures w14:val="none"/>
        </w:rPr>
        <w:t>.</w:t>
      </w:r>
    </w:p>
    <w:p w14:paraId="082AF862" w14:textId="5071EAAA" w:rsidR="004A09C4" w:rsidRPr="00280DEE" w:rsidRDefault="004A09C4" w:rsidP="009E49CE">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تُساعد نتائج الدراسة المنظمات في تحديد الممارسات الأكثر فاعلية لإدارة المواهب التي تُسهم في تقليل معدلات دوران العمل، مما ينعكس إيجابياً على تخفيض التكاليف المباشرة وغير المباشرة المرتبطة بفقدان الكفاءات واستبدالها</w:t>
      </w:r>
      <w:r w:rsidRPr="00280DEE">
        <w:rPr>
          <w:rFonts w:ascii="Simplified Arabic" w:eastAsia="Times New Roman" w:hAnsi="Simplified Arabic" w:cs="Simplified Arabic"/>
          <w:color w:val="000000" w:themeColor="text1"/>
          <w:kern w:val="0"/>
          <w:sz w:val="28"/>
          <w:szCs w:val="28"/>
          <w14:ligatures w14:val="none"/>
        </w:rPr>
        <w:t>.</w:t>
      </w:r>
    </w:p>
    <w:p w14:paraId="2DA0D5ED" w14:textId="3D446ACD" w:rsidR="004A09C4" w:rsidRPr="00280DEE" w:rsidRDefault="004A09C4" w:rsidP="009E49CE">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تُسهم في تطوير سياسات وبرامج إدارة الموارد البشرية المتعلقة باستقطاب المواهب وتطويرها وتعويضها والاحتفاظ بها، بما يتلاءم مع خصوصية بيئة العمل في القطاع الخاص السعودي</w:t>
      </w:r>
      <w:r w:rsidRPr="00280DEE">
        <w:rPr>
          <w:rFonts w:ascii="Simplified Arabic" w:eastAsia="Times New Roman" w:hAnsi="Simplified Arabic" w:cs="Simplified Arabic"/>
          <w:color w:val="000000" w:themeColor="text1"/>
          <w:kern w:val="0"/>
          <w:sz w:val="28"/>
          <w:szCs w:val="28"/>
          <w14:ligatures w14:val="none"/>
        </w:rPr>
        <w:t>.</w:t>
      </w:r>
    </w:p>
    <w:p w14:paraId="1C89B59B" w14:textId="77777777" w:rsidR="009E49CE" w:rsidRPr="00280DEE" w:rsidRDefault="009E49CE" w:rsidP="009E4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170243312"/>
      <w:bookmarkStart w:id="12" w:name="_Toc235025255"/>
      <w:bookmarkEnd w:id="6"/>
      <w:r w:rsidRPr="00280DE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303F1D2B" w14:textId="6A08CB2E" w:rsidR="009E49CE" w:rsidRPr="00280DEE" w:rsidRDefault="009E49CE" w:rsidP="009E4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0DEE">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7207D13B"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(السليحات والصوالحة، 2022)</w:t>
      </w:r>
      <w:r w:rsidRPr="00280DEE">
        <w:rPr>
          <w:rFonts w:ascii="Simplified Arabic" w:eastAsia="Times New Roman" w:hAnsi="Simplified Arabic" w:cs="Simplified Arabic"/>
          <w:b/>
          <w:bCs/>
          <w:color w:val="000000" w:themeColor="text1"/>
          <w:kern w:val="0"/>
          <w:sz w:val="28"/>
          <w:szCs w:val="28"/>
          <w14:ligatures w14:val="none"/>
        </w:rPr>
        <w:t>: "</w:t>
      </w:r>
      <w:r w:rsidRPr="00280DEE">
        <w:rPr>
          <w:rFonts w:ascii="Simplified Arabic" w:eastAsia="Times New Roman" w:hAnsi="Simplified Arabic" w:cs="Simplified Arabic"/>
          <w:b/>
          <w:bCs/>
          <w:color w:val="000000" w:themeColor="text1"/>
          <w:kern w:val="0"/>
          <w:sz w:val="28"/>
          <w:szCs w:val="28"/>
          <w:rtl/>
          <w14:ligatures w14:val="none"/>
        </w:rPr>
        <w:t>أثر إدارة المواهب في التميز المنظمي: الدور الوسيط للتوجه الابتكاري في المستشفيات الخاصة في عمان</w:t>
      </w:r>
      <w:r w:rsidRPr="00280DEE">
        <w:rPr>
          <w:rFonts w:ascii="Simplified Arabic" w:eastAsia="Times New Roman" w:hAnsi="Simplified Arabic" w:cs="Simplified Arabic"/>
          <w:b/>
          <w:bCs/>
          <w:color w:val="000000" w:themeColor="text1"/>
          <w:kern w:val="0"/>
          <w:sz w:val="28"/>
          <w:szCs w:val="28"/>
          <w14:ligatures w14:val="none"/>
        </w:rPr>
        <w:t>"</w:t>
      </w:r>
    </w:p>
    <w:p w14:paraId="30F2AA43"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المواهب بأبعادها (استقطاب المواهب، تنمية المواهب، تعويض المواهب، الاحتفاظ بالمواهب) على التميز المنظمي بأبعاده (بناء استراتيجي متميز، قيادة متميزة، خدمات متميزة، ثقافة تنظيمية متميزة) من خلال الدور الوسيط للتوجه الابتكاري في المستشفيات الخاصة في عمان. واستخدمت الدراسة المنهج الوصفي التحليلي، وتكونت العينة من (188) مفردة وُزعت استبانة مكونة من </w:t>
      </w:r>
      <w:r w:rsidRPr="00280DEE">
        <w:rPr>
          <w:rFonts w:ascii="Simplified Arabic" w:eastAsia="Times New Roman" w:hAnsi="Simplified Arabic" w:cs="Simplified Arabic"/>
          <w:color w:val="000000" w:themeColor="text1"/>
          <w:kern w:val="0"/>
          <w:sz w:val="28"/>
          <w:szCs w:val="28"/>
          <w14:ligatures w14:val="none"/>
        </w:rPr>
        <w:t xml:space="preserve">(51) </w:t>
      </w:r>
      <w:r w:rsidRPr="00280DEE">
        <w:rPr>
          <w:rFonts w:ascii="Simplified Arabic" w:eastAsia="Times New Roman" w:hAnsi="Simplified Arabic" w:cs="Simplified Arabic"/>
          <w:color w:val="000000" w:themeColor="text1"/>
          <w:kern w:val="0"/>
          <w:sz w:val="28"/>
          <w:szCs w:val="28"/>
          <w:rtl/>
          <w14:ligatures w14:val="none"/>
        </w:rPr>
        <w:t>فقرة على عينة عشوائية طبقية تناسبية ضمن المسميات (مدير/مساعد مدير، مشرف، رئيس قسم)، واسترد منها (173) استبانة صالحة للتحليل بنسبة (92</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عند مستوى</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Cambria" w:eastAsia="Times New Roman" w:hAnsi="Cambria" w:cs="Cambria"/>
          <w:color w:val="000000" w:themeColor="text1"/>
          <w:kern w:val="0"/>
          <w:sz w:val="28"/>
          <w:szCs w:val="28"/>
          <w14:ligatures w14:val="none"/>
        </w:rPr>
        <w:t>α≤</w:t>
      </w:r>
      <w:r w:rsidRPr="00280DEE">
        <w:rPr>
          <w:rFonts w:ascii="Simplified Arabic" w:eastAsia="Times New Roman" w:hAnsi="Simplified Arabic" w:cs="Simplified Arabic"/>
          <w:color w:val="000000" w:themeColor="text1"/>
          <w:kern w:val="0"/>
          <w:sz w:val="28"/>
          <w:szCs w:val="28"/>
          <w14:ligatures w14:val="none"/>
        </w:rPr>
        <w:t xml:space="preserve">0.05) </w:t>
      </w:r>
      <w:r w:rsidRPr="00280DEE">
        <w:rPr>
          <w:rFonts w:ascii="Simplified Arabic" w:eastAsia="Times New Roman" w:hAnsi="Simplified Arabic" w:cs="Simplified Arabic"/>
          <w:color w:val="000000" w:themeColor="text1"/>
          <w:kern w:val="0"/>
          <w:sz w:val="28"/>
          <w:szCs w:val="28"/>
          <w:rtl/>
          <w14:ligatures w14:val="none"/>
        </w:rPr>
        <w:t>لإدارة المواهب بأبعادها مجتمعة في التميز المنظمي، إضافة إلى وجود أثر ذي دلالة إحصائية لإدارة المواهب في التميز المنظمي بوجود التوجه الابتكاري كمتغير وسيط، كما أظهرت النتائج أن إدارة المواهب جاءت بمستوى أهمية مرتفعة بينما كل من التميز المنظمي والتوجه الابتكاري جاءا بمستوى أهمية متوسط</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 xml:space="preserve">وأوصت الدراسة بضرورة وضع استراتيجية مبنية على معايير دقيقة </w:t>
      </w:r>
      <w:r w:rsidRPr="00280DEE">
        <w:rPr>
          <w:rFonts w:ascii="Simplified Arabic" w:eastAsia="Times New Roman" w:hAnsi="Simplified Arabic" w:cs="Simplified Arabic"/>
          <w:color w:val="000000" w:themeColor="text1"/>
          <w:kern w:val="0"/>
          <w:sz w:val="28"/>
          <w:szCs w:val="28"/>
          <w:rtl/>
          <w14:ligatures w14:val="none"/>
        </w:rPr>
        <w:lastRenderedPageBreak/>
        <w:t>للكشف عن المبدعين والموهوبين والعمل على تدريبهم لتوفير قيادات مؤهلة، وضرورة الحفاظ على الأفراد الموهوبين من خلال منحهم الحوافز المادية والمعنوية وإخضاعهم للمزيد من البرامج التدريبية</w:t>
      </w:r>
      <w:r w:rsidRPr="00280DEE">
        <w:rPr>
          <w:rFonts w:ascii="Simplified Arabic" w:eastAsia="Times New Roman" w:hAnsi="Simplified Arabic" w:cs="Simplified Arabic"/>
          <w:color w:val="000000" w:themeColor="text1"/>
          <w:kern w:val="0"/>
          <w:sz w:val="28"/>
          <w:szCs w:val="28"/>
          <w14:ligatures w14:val="none"/>
        </w:rPr>
        <w:t>.</w:t>
      </w:r>
    </w:p>
    <w:p w14:paraId="436B8E36"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 xml:space="preserve">دراسة (قريشي ولعرافي وعبدالكريم، </w:t>
      </w:r>
      <w:r w:rsidRPr="00280DEE">
        <w:rPr>
          <w:rFonts w:ascii="Simplified Arabic" w:eastAsia="Times New Roman" w:hAnsi="Simplified Arabic" w:cs="Simplified Arabic"/>
          <w:b/>
          <w:bCs/>
          <w:color w:val="000000" w:themeColor="text1"/>
          <w:kern w:val="0"/>
          <w:sz w:val="28"/>
          <w:szCs w:val="28"/>
          <w14:ligatures w14:val="none"/>
        </w:rPr>
        <w:t>2022): "</w:t>
      </w:r>
      <w:r w:rsidRPr="00280DEE">
        <w:rPr>
          <w:rFonts w:ascii="Simplified Arabic" w:eastAsia="Times New Roman" w:hAnsi="Simplified Arabic" w:cs="Simplified Arabic"/>
          <w:b/>
          <w:bCs/>
          <w:color w:val="000000" w:themeColor="text1"/>
          <w:kern w:val="0"/>
          <w:sz w:val="28"/>
          <w:szCs w:val="28"/>
          <w:rtl/>
          <w14:ligatures w14:val="none"/>
        </w:rPr>
        <w:t>أثر إدارة المواهب في الالتزام التنظيمي بمؤسسات التعليم العالي الجزائرية: دراسة تطبيقية بجامعة بسكرة</w:t>
      </w:r>
      <w:r w:rsidRPr="00280DEE">
        <w:rPr>
          <w:rFonts w:ascii="Simplified Arabic" w:eastAsia="Times New Roman" w:hAnsi="Simplified Arabic" w:cs="Simplified Arabic"/>
          <w:b/>
          <w:bCs/>
          <w:color w:val="000000" w:themeColor="text1"/>
          <w:kern w:val="0"/>
          <w:sz w:val="28"/>
          <w:szCs w:val="28"/>
          <w14:ligatures w14:val="none"/>
        </w:rPr>
        <w:t>"</w:t>
      </w:r>
    </w:p>
    <w:p w14:paraId="103B8D4E"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تصورات الموظفين الإداريين نحو مستوى توفر إدارة المواهب والالتزام التنظيمي السائد بجامعة بسكرة وتحديد طبيعة العلاقة والأثر بينهما. واستخدمت الدراسة المنهج الوصفي التحليلي، وتكوّن مجتمع الدراسة من جميع الموظفين الإداريين بجامعة بسكرة البالغ عددهم (758) موظفاً وموظفة، وتم أخذ عينة عشوائية بسيطة حجمها</w:t>
      </w:r>
      <w:r w:rsidRPr="00280DEE">
        <w:rPr>
          <w:rFonts w:ascii="Simplified Arabic" w:eastAsia="Times New Roman" w:hAnsi="Simplified Arabic" w:cs="Simplified Arabic"/>
          <w:color w:val="000000" w:themeColor="text1"/>
          <w:kern w:val="0"/>
          <w:sz w:val="28"/>
          <w:szCs w:val="28"/>
          <w14:ligatures w14:val="none"/>
        </w:rPr>
        <w:t xml:space="preserve"> (90) </w:t>
      </w:r>
      <w:r w:rsidRPr="00280DEE">
        <w:rPr>
          <w:rFonts w:ascii="Simplified Arabic" w:eastAsia="Times New Roman" w:hAnsi="Simplified Arabic" w:cs="Simplified Arabic"/>
          <w:color w:val="000000" w:themeColor="text1"/>
          <w:kern w:val="0"/>
          <w:sz w:val="28"/>
          <w:szCs w:val="28"/>
          <w:rtl/>
          <w14:ligatures w14:val="none"/>
        </w:rPr>
        <w:t xml:space="preserve">مفردة، واسترد منها (65) استبانة صالحة للتحليل الإحصائي. وتوصلت نتائج الدراسة إلى أن مستوى توفر إدارة المواهب بجامعة بسكرة جاء متوسطاً، ومستوى الالتزام التنظيمي لدى الموظفين جاء متوسطاً أيضاً، مع وجود تأثير معنوي لإدارة المواهب على الالتزام التنظيمي حيث فسّرت إدارة المواهب ما نسبته </w:t>
      </w:r>
      <w:r w:rsidRPr="00280DEE">
        <w:rPr>
          <w:rFonts w:ascii="Simplified Arabic" w:eastAsia="Times New Roman" w:hAnsi="Simplified Arabic" w:cs="Simplified Arabic"/>
          <w:color w:val="000000" w:themeColor="text1"/>
          <w:kern w:val="0"/>
          <w:sz w:val="28"/>
          <w:szCs w:val="28"/>
          <w14:ligatures w14:val="none"/>
        </w:rPr>
        <w:t xml:space="preserve">(11.7%) </w:t>
      </w:r>
      <w:r w:rsidRPr="00280DEE">
        <w:rPr>
          <w:rFonts w:ascii="Simplified Arabic" w:eastAsia="Times New Roman" w:hAnsi="Simplified Arabic" w:cs="Simplified Arabic"/>
          <w:color w:val="000000" w:themeColor="text1"/>
          <w:kern w:val="0"/>
          <w:sz w:val="28"/>
          <w:szCs w:val="28"/>
          <w:rtl/>
          <w14:ligatures w14:val="none"/>
        </w:rPr>
        <w:t>من التغيرات الحاصلة في الالتزام التنظيمي، فضلاً عن وجود فروق ذات دلالة إحصائية في مستوى الالتزام التنظيمي تُعزى لمتغيري العمر والمستوى الوظيفي. وأوصت الدراسة بضرورة استخدام الجامعة جميع الوسائل المتاحة لجذب أكبر عدد من المتقدمين الموهوبين، وتوفير برامج تدريبية فعّالة لتطوير قدراتهم، وتوفير بيئة إيجابية تساعد على تحسين تشارك المعرفة بين الموهوبين، والتعامل معهم كشركاء أكثر من كونهم موظفين</w:t>
      </w:r>
      <w:r w:rsidRPr="00280DEE">
        <w:rPr>
          <w:rFonts w:ascii="Simplified Arabic" w:eastAsia="Times New Roman" w:hAnsi="Simplified Arabic" w:cs="Simplified Arabic"/>
          <w:color w:val="000000" w:themeColor="text1"/>
          <w:kern w:val="0"/>
          <w:sz w:val="28"/>
          <w:szCs w:val="28"/>
          <w14:ligatures w14:val="none"/>
        </w:rPr>
        <w:t>.</w:t>
      </w:r>
    </w:p>
    <w:p w14:paraId="7A528C35"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(شوقير وعساف، 2025): "أثر تطبيق استراتيجيات إدارة المواهب على إدارة الجودة الشاملة في القطاع الصحي الفلسطيني</w:t>
      </w:r>
      <w:r w:rsidRPr="00280DEE">
        <w:rPr>
          <w:rFonts w:ascii="Simplified Arabic" w:eastAsia="Times New Roman" w:hAnsi="Simplified Arabic" w:cs="Simplified Arabic"/>
          <w:b/>
          <w:bCs/>
          <w:color w:val="000000" w:themeColor="text1"/>
          <w:kern w:val="0"/>
          <w:sz w:val="28"/>
          <w:szCs w:val="28"/>
          <w14:ligatures w14:val="none"/>
        </w:rPr>
        <w:t>"</w:t>
      </w:r>
    </w:p>
    <w:p w14:paraId="4BD9B8B3"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استراتيجيات إدارة المواهب بأبعادها (استراتيجية إشراك المواهب، استراتيجية الاحتفاظ بالمواهب، استراتيجية تنمية المواهب، استراتيجية تحديد 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 xml:space="preserve">على إدارة الجودة الشاملة بعناصرها (دعم والتزام الإدارة العليا، التركيز على المتعاملين، تمكين العاملين، التحسين المستمر) في المستشفيات الخاصة بفلسطين. واستخدمت الدراسة المنهج الوصفي التحليلي باستخدام تحليل الانحدار والتحليل التدريجي، وتكوّن مجتمع الدراسة من (7) مستشفيات خاصة في الضفة الغربية، وشملت العينة وحدات الإدارة العليا والوسطى والتنفيذية بإجمالي </w:t>
      </w:r>
      <w:r w:rsidRPr="00280DEE">
        <w:rPr>
          <w:rFonts w:ascii="Simplified Arabic" w:eastAsia="Times New Roman" w:hAnsi="Simplified Arabic" w:cs="Simplified Arabic"/>
          <w:color w:val="000000" w:themeColor="text1"/>
          <w:kern w:val="0"/>
          <w:sz w:val="28"/>
          <w:szCs w:val="28"/>
          <w14:ligatures w14:val="none"/>
        </w:rPr>
        <w:t xml:space="preserve">(139) </w:t>
      </w:r>
      <w:r w:rsidRPr="00280DEE">
        <w:rPr>
          <w:rFonts w:ascii="Simplified Arabic" w:eastAsia="Times New Roman" w:hAnsi="Simplified Arabic" w:cs="Simplified Arabic"/>
          <w:color w:val="000000" w:themeColor="text1"/>
          <w:kern w:val="0"/>
          <w:sz w:val="28"/>
          <w:szCs w:val="28"/>
          <w:rtl/>
          <w14:ligatures w14:val="none"/>
        </w:rPr>
        <w:t xml:space="preserve">مستجيباً. وتوصلت نتائج الدراسة إلى وجود أثر ذي دلالة إحصائية لاستراتيجيات إدارة المواهب على إدارة الجودة الشاملة في المستشفيات محل الدراسة. وأوصت الدراسة بضرورة توفير أقسام مختصة بإدارة الموهوبين ووضع خطط واستراتيجيات واضحة لزيادة </w:t>
      </w:r>
      <w:r w:rsidRPr="00280DEE">
        <w:rPr>
          <w:rFonts w:ascii="Simplified Arabic" w:eastAsia="Times New Roman" w:hAnsi="Simplified Arabic" w:cs="Simplified Arabic"/>
          <w:color w:val="000000" w:themeColor="text1"/>
          <w:kern w:val="0"/>
          <w:sz w:val="28"/>
          <w:szCs w:val="28"/>
          <w:rtl/>
          <w14:ligatures w14:val="none"/>
        </w:rPr>
        <w:lastRenderedPageBreak/>
        <w:t>معارف ومهارات الأفراد ومنحهم الشعور بالانتماء الوظيفي، وتبني وتطبيق استراتيجيات إدارة المواهب لتحسين الأداء وتقديم أفضل الخدمات وضمان الاستمرارية والربحية</w:t>
      </w:r>
      <w:r w:rsidRPr="00280DEE">
        <w:rPr>
          <w:rFonts w:ascii="Simplified Arabic" w:eastAsia="Times New Roman" w:hAnsi="Simplified Arabic" w:cs="Simplified Arabic"/>
          <w:color w:val="000000" w:themeColor="text1"/>
          <w:kern w:val="0"/>
          <w:sz w:val="28"/>
          <w:szCs w:val="28"/>
          <w14:ligatures w14:val="none"/>
        </w:rPr>
        <w:t>.</w:t>
      </w:r>
    </w:p>
    <w:p w14:paraId="71A66AC3"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(سليخ، 2021): "أثر إدارة المواهب على التعلم والنمو والعمليات الداخلية لمؤسسة النسيج والتجهيز</w:t>
      </w:r>
      <w:r w:rsidRPr="00280DEE">
        <w:rPr>
          <w:rFonts w:ascii="Simplified Arabic" w:eastAsia="Times New Roman" w:hAnsi="Simplified Arabic" w:cs="Simplified Arabic"/>
          <w:b/>
          <w:bCs/>
          <w:color w:val="000000" w:themeColor="text1"/>
          <w:kern w:val="0"/>
          <w:sz w:val="28"/>
          <w:szCs w:val="28"/>
          <w14:ligatures w14:val="none"/>
        </w:rPr>
        <w:t xml:space="preserve"> Sonitex </w:t>
      </w:r>
      <w:r w:rsidRPr="00280DEE">
        <w:rPr>
          <w:rFonts w:ascii="Simplified Arabic" w:eastAsia="Times New Roman" w:hAnsi="Simplified Arabic" w:cs="Simplified Arabic"/>
          <w:b/>
          <w:bCs/>
          <w:color w:val="000000" w:themeColor="text1"/>
          <w:kern w:val="0"/>
          <w:sz w:val="28"/>
          <w:szCs w:val="28"/>
          <w:rtl/>
          <w14:ligatures w14:val="none"/>
        </w:rPr>
        <w:t>ببسكرة</w:t>
      </w:r>
      <w:r w:rsidRPr="00280DEE">
        <w:rPr>
          <w:rFonts w:ascii="Simplified Arabic" w:eastAsia="Times New Roman" w:hAnsi="Simplified Arabic" w:cs="Simplified Arabic"/>
          <w:b/>
          <w:bCs/>
          <w:color w:val="000000" w:themeColor="text1"/>
          <w:kern w:val="0"/>
          <w:sz w:val="28"/>
          <w:szCs w:val="28"/>
          <w14:ligatures w14:val="none"/>
        </w:rPr>
        <w:t>"</w:t>
      </w:r>
    </w:p>
    <w:p w14:paraId="185AB2A7"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المواهب بأبعادها (الاستقطاب، التطوير، الاحتفاظ) على محوري التعلم والنمو والعمليات الداخلية لأداء مؤسسة النسيج والتجهيز</w:t>
      </w:r>
      <w:r w:rsidRPr="00280DEE">
        <w:rPr>
          <w:rFonts w:ascii="Simplified Arabic" w:eastAsia="Times New Roman" w:hAnsi="Simplified Arabic" w:cs="Simplified Arabic"/>
          <w:color w:val="000000" w:themeColor="text1"/>
          <w:kern w:val="0"/>
          <w:sz w:val="28"/>
          <w:szCs w:val="28"/>
          <w14:ligatures w14:val="none"/>
        </w:rPr>
        <w:t xml:space="preserve"> Sonitex </w:t>
      </w:r>
      <w:r w:rsidRPr="00280DEE">
        <w:rPr>
          <w:rFonts w:ascii="Simplified Arabic" w:eastAsia="Times New Roman" w:hAnsi="Simplified Arabic" w:cs="Simplified Arabic"/>
          <w:color w:val="000000" w:themeColor="text1"/>
          <w:kern w:val="0"/>
          <w:sz w:val="28"/>
          <w:szCs w:val="28"/>
          <w:rtl/>
          <w14:ligatures w14:val="none"/>
        </w:rPr>
        <w:t>ببسكرة. واستخدمت الدراسة المنهج الوصفي التحليلي، وتكونت العينة من (38) إطاراً من الإدارة الوسطى والعليا، وتم جمع البيانات بواسطة الاستبانة. وتوصلت نتائج الدراسة إلى عدم وجود أثر معنوي لعمليات إدارة المواهب على أداء مؤسسة النسيج والتجهيز من حيث التعلم والنمو والعمليات الداخلية. وأوصت الدراسة بجملة من التوصيات التي تمكّن المؤسسة من تفعيل إدارة المواهب لتحسين التعلم والعمليات الداخلية والأداء بشكل عام، والاهتمام بتطبيق ممارسات إدارة المواهب بشكل فعّال ومنظّم</w:t>
      </w:r>
      <w:r w:rsidRPr="00280DEE">
        <w:rPr>
          <w:rFonts w:ascii="Simplified Arabic" w:eastAsia="Times New Roman" w:hAnsi="Simplified Arabic" w:cs="Simplified Arabic"/>
          <w:color w:val="000000" w:themeColor="text1"/>
          <w:kern w:val="0"/>
          <w:sz w:val="28"/>
          <w:szCs w:val="28"/>
          <w14:ligatures w14:val="none"/>
        </w:rPr>
        <w:t>.</w:t>
      </w:r>
    </w:p>
    <w:p w14:paraId="769213A0"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(إسماعيل وفهمي، 2024): "أثر إدارة المواهب على البراعة التنظيمية بالتطبيق على البريد المصري</w:t>
      </w:r>
      <w:r w:rsidRPr="00280DEE">
        <w:rPr>
          <w:rFonts w:ascii="Simplified Arabic" w:eastAsia="Times New Roman" w:hAnsi="Simplified Arabic" w:cs="Simplified Arabic"/>
          <w:b/>
          <w:bCs/>
          <w:color w:val="000000" w:themeColor="text1"/>
          <w:kern w:val="0"/>
          <w:sz w:val="28"/>
          <w:szCs w:val="28"/>
          <w14:ligatures w14:val="none"/>
        </w:rPr>
        <w:t>"</w:t>
      </w:r>
    </w:p>
    <w:p w14:paraId="5D07CDFF"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إدارة المواهب بأبعادها والبراعة التنظيمية ببعديها (الاستكشاف والاستغلال) في قطاع مناطق بريد مصر الوسطى الذي يشمل محافظات (بني سويف، المنيا، أسيوط، الوادي الجديد). واستخدمت الدراسة المنهج الوصفي التحليلي، وتكونت العينة من (341) مفردة تم اختيارها بأسلوب العينات، واستُخدمت الأساليب الإحصائية المناسبة لتحليل البيانات واختبار الفروض. وتوصلت نتائج الدراسة إلى وجود علاقة ارتباط معنوية بين أبعاد إدارة المواهب والبراعة التنظيمية عند مستوى معنوية 1%، وأن أقوى علاقة ارتباط كانت بين الاحتفاظ بالمواهب والبراعة التنظيمية بصورتها الكلية بمعامل ارتباط قدره</w:t>
      </w:r>
      <w:r w:rsidRPr="00280DEE">
        <w:rPr>
          <w:rFonts w:ascii="Simplified Arabic" w:eastAsia="Times New Roman" w:hAnsi="Simplified Arabic" w:cs="Simplified Arabic"/>
          <w:color w:val="000000" w:themeColor="text1"/>
          <w:kern w:val="0"/>
          <w:sz w:val="28"/>
          <w:szCs w:val="28"/>
          <w14:ligatures w14:val="none"/>
        </w:rPr>
        <w:t xml:space="preserve"> (0.747)</w:t>
      </w:r>
      <w:r w:rsidRPr="00280DEE">
        <w:rPr>
          <w:rFonts w:ascii="Simplified Arabic" w:eastAsia="Times New Roman" w:hAnsi="Simplified Arabic" w:cs="Simplified Arabic"/>
          <w:color w:val="000000" w:themeColor="text1"/>
          <w:kern w:val="0"/>
          <w:sz w:val="28"/>
          <w:szCs w:val="28"/>
          <w:rtl/>
          <w14:ligatures w14:val="none"/>
        </w:rPr>
        <w:t>، مما يعني أن تحقيق البراعة التنظيمية يستلزم السعي نحو الاحتفاظ بالكفاءات البشرية داخل محيط العمل. وأوصت الدراسة بضرورة الاهتمام بممارسات إدارة المواهب وخاصة بُعد الاحتفاظ بالمواهب لتعزيز البراعة التنظيمية في البريد المصري</w:t>
      </w:r>
      <w:r w:rsidRPr="00280DEE">
        <w:rPr>
          <w:rFonts w:ascii="Simplified Arabic" w:eastAsia="Times New Roman" w:hAnsi="Simplified Arabic" w:cs="Simplified Arabic"/>
          <w:color w:val="000000" w:themeColor="text1"/>
          <w:kern w:val="0"/>
          <w:sz w:val="28"/>
          <w:szCs w:val="28"/>
          <w14:ligatures w14:val="none"/>
        </w:rPr>
        <w:t>.</w:t>
      </w:r>
    </w:p>
    <w:p w14:paraId="5117A3E8"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(العدوان والهناندة، 2024)</w:t>
      </w:r>
      <w:r w:rsidRPr="00280DEE">
        <w:rPr>
          <w:rFonts w:ascii="Simplified Arabic" w:eastAsia="Times New Roman" w:hAnsi="Simplified Arabic" w:cs="Simplified Arabic"/>
          <w:b/>
          <w:bCs/>
          <w:color w:val="000000" w:themeColor="text1"/>
          <w:kern w:val="0"/>
          <w:sz w:val="28"/>
          <w:szCs w:val="28"/>
          <w14:ligatures w14:val="none"/>
        </w:rPr>
        <w:t>: "</w:t>
      </w:r>
      <w:r w:rsidRPr="00280DEE">
        <w:rPr>
          <w:rFonts w:ascii="Simplified Arabic" w:eastAsia="Times New Roman" w:hAnsi="Simplified Arabic" w:cs="Simplified Arabic"/>
          <w:b/>
          <w:bCs/>
          <w:color w:val="000000" w:themeColor="text1"/>
          <w:kern w:val="0"/>
          <w:sz w:val="28"/>
          <w:szCs w:val="28"/>
          <w:rtl/>
          <w14:ligatures w14:val="none"/>
        </w:rPr>
        <w:t>استراتيجية إدارة المواهب وأثرها في ريادة الشركات: الدور الوسيط لسلوك الموظفين في شركات الاتصالات الأردنية</w:t>
      </w:r>
      <w:r w:rsidRPr="00280DEE">
        <w:rPr>
          <w:rFonts w:ascii="Simplified Arabic" w:eastAsia="Times New Roman" w:hAnsi="Simplified Arabic" w:cs="Simplified Arabic"/>
          <w:b/>
          <w:bCs/>
          <w:color w:val="000000" w:themeColor="text1"/>
          <w:kern w:val="0"/>
          <w:sz w:val="28"/>
          <w:szCs w:val="28"/>
          <w14:ligatures w14:val="none"/>
        </w:rPr>
        <w:t>"</w:t>
      </w:r>
    </w:p>
    <w:p w14:paraId="12F7D7D2"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استراتيجية إدارة المواهب بأبعادها (استقطاب المواهب، تنمية المواهب، الاحتفاظ بالمواهب) على ريادة شركات الاتصالات الأردنية، والكشف عن دور سلوك الموظفين كمتغير وسيط بينهما. واستخدمت الدراسة المنهج الكمي الوصفي التحليلي، وتكونت العينة من (351) موظفاً وموظفة تم اختيارهم بأسلوب العينة الطبقية التناسبية، واستُخدمت الرزمة الإحصائية</w:t>
      </w:r>
      <w:r w:rsidRPr="00280DEE">
        <w:rPr>
          <w:rFonts w:ascii="Simplified Arabic" w:eastAsia="Times New Roman" w:hAnsi="Simplified Arabic" w:cs="Simplified Arabic"/>
          <w:color w:val="000000" w:themeColor="text1"/>
          <w:kern w:val="0"/>
          <w:sz w:val="28"/>
          <w:szCs w:val="28"/>
          <w14:ligatures w14:val="none"/>
        </w:rPr>
        <w:t xml:space="preserve"> (SPSS) </w:t>
      </w:r>
      <w:r w:rsidRPr="00280DEE">
        <w:rPr>
          <w:rFonts w:ascii="Simplified Arabic" w:eastAsia="Times New Roman" w:hAnsi="Simplified Arabic" w:cs="Simplified Arabic"/>
          <w:color w:val="000000" w:themeColor="text1"/>
          <w:kern w:val="0"/>
          <w:sz w:val="28"/>
          <w:szCs w:val="28"/>
          <w:rtl/>
          <w14:ligatures w14:val="none"/>
        </w:rPr>
        <w:t>وبرنامج</w:t>
      </w:r>
      <w:r w:rsidRPr="00280DEE">
        <w:rPr>
          <w:rFonts w:ascii="Simplified Arabic" w:eastAsia="Times New Roman" w:hAnsi="Simplified Arabic" w:cs="Simplified Arabic"/>
          <w:color w:val="000000" w:themeColor="text1"/>
          <w:kern w:val="0"/>
          <w:sz w:val="28"/>
          <w:szCs w:val="28"/>
          <w14:ligatures w14:val="none"/>
        </w:rPr>
        <w:t xml:space="preserve"> (AMOS) </w:t>
      </w:r>
      <w:r w:rsidRPr="00280DEE">
        <w:rPr>
          <w:rFonts w:ascii="Simplified Arabic" w:eastAsia="Times New Roman" w:hAnsi="Simplified Arabic" w:cs="Simplified Arabic"/>
          <w:color w:val="000000" w:themeColor="text1"/>
          <w:kern w:val="0"/>
          <w:sz w:val="28"/>
          <w:szCs w:val="28"/>
          <w:rtl/>
          <w14:ligatures w14:val="none"/>
        </w:rPr>
        <w:t>في التحليل. وتوصلت نتائج الدراسة إلى وجود درجة متوسطة من الموافقة على مستوى استراتيجيات إدارة المواهب وريادة الشركات وسلوك الموظفين، ووجود تأثير دال إحصائياً لكل من استقطاب المواهب وتنمية المواهب والاحتفاظ بالمواهب في الريادة، ووجود تأثير مباشر وغير مباشر لاستراتيجيات إدارة المواهب على الريادة من خلال المتغير الوسيط (سلوك الموظفين). وأوصت الدراسة بالتركيز على التفرد في الخدمات واستقطاب الكفاءات العلمية والفنية المتخصصة والتركيز على المبادأة واغتنام الفرص لتحقيق ريادة الشركات</w:t>
      </w:r>
      <w:r w:rsidRPr="00280DEE">
        <w:rPr>
          <w:rFonts w:ascii="Simplified Arabic" w:eastAsia="Times New Roman" w:hAnsi="Simplified Arabic" w:cs="Simplified Arabic"/>
          <w:color w:val="000000" w:themeColor="text1"/>
          <w:kern w:val="0"/>
          <w:sz w:val="28"/>
          <w:szCs w:val="28"/>
          <w14:ligatures w14:val="none"/>
        </w:rPr>
        <w:t>.</w:t>
      </w:r>
    </w:p>
    <w:p w14:paraId="51CAA947"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(نوفل ورضوان، 2026): "تأثير القيادة التحويلية على الاحتفاظ بالكفاءات البشرية: دراسة ميدانية على العاملين بقطاع البترول في مصر</w:t>
      </w:r>
      <w:r w:rsidRPr="00280DEE">
        <w:rPr>
          <w:rFonts w:ascii="Simplified Arabic" w:eastAsia="Times New Roman" w:hAnsi="Simplified Arabic" w:cs="Simplified Arabic"/>
          <w:b/>
          <w:bCs/>
          <w:color w:val="000000" w:themeColor="text1"/>
          <w:kern w:val="0"/>
          <w:sz w:val="28"/>
          <w:szCs w:val="28"/>
          <w14:ligatures w14:val="none"/>
        </w:rPr>
        <w:t>"</w:t>
      </w:r>
    </w:p>
    <w:p w14:paraId="66CCE481"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القيادة التحويلية بأبعادها على الاحتفاظ بالكفاءات البشرية لدى العاملين في قطاع البترول بمصر. واستخدمت الدراسة المنهج الوصفي التحليلي، وهي رسالة ماجستير غير منشورة مقدمة من كلية التجارة بجامعة طنطا. وتوصلت نتائج الدراسة إلى وجود تأثير ذي دلالة إحصائية للقيادة التحويلية على الاحتفاظ بالكفاءات البشرية في قطاع البترول المصري. وأوصت الدراسة بضرورة تعزيز ممارسات القيادة التحويلية في قطاع البترول لما لها من دور فاعل في الاحتفاظ بالكفاءات البشرية وتقليل معدلات دوران العمل</w:t>
      </w:r>
      <w:r w:rsidRPr="00280DEE">
        <w:rPr>
          <w:rFonts w:ascii="Simplified Arabic" w:eastAsia="Times New Roman" w:hAnsi="Simplified Arabic" w:cs="Simplified Arabic"/>
          <w:color w:val="000000" w:themeColor="text1"/>
          <w:kern w:val="0"/>
          <w:sz w:val="28"/>
          <w:szCs w:val="28"/>
          <w14:ligatures w14:val="none"/>
        </w:rPr>
        <w:t>.</w:t>
      </w:r>
    </w:p>
    <w:p w14:paraId="55C26F56"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(سليطين والعباس، 2022): "دور التحليل الاستراتيجي للموارد البشرية في الاحتفاظ بالكفاءات العلمية الوظيفية: دراسة ميدانية في جامعة تشرين</w:t>
      </w:r>
      <w:r w:rsidRPr="00280DEE">
        <w:rPr>
          <w:rFonts w:ascii="Simplified Arabic" w:eastAsia="Times New Roman" w:hAnsi="Simplified Arabic" w:cs="Simplified Arabic"/>
          <w:b/>
          <w:bCs/>
          <w:color w:val="000000" w:themeColor="text1"/>
          <w:kern w:val="0"/>
          <w:sz w:val="28"/>
          <w:szCs w:val="28"/>
          <w14:ligatures w14:val="none"/>
        </w:rPr>
        <w:t>"</w:t>
      </w:r>
    </w:p>
    <w:p w14:paraId="1F360DD6"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التحليل الاستراتيجي للموارد البشرية بأبعاده (تحليل البيئة الداخلية والخارجية للموارد البشرية) في الاحتفاظ بالكفاءات العلمية الوظيفية في جامعة تشرين</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وتم جمع البيانات بطريقة الاستبيان. وتوصلت نتائج الدراسة إلى وجود تحليل استراتيجي للموارد البشرية لكنه ليس بالمستوى المطلوب حيث جاء متوسط معظم العبارات منخفضاً عن المعيار المستخدم، ووجود أثر جوهري للتحليل الاستراتيجي للموارد البشرية في الاحتفاظ بالكفاءات العلمية </w:t>
      </w:r>
      <w:r w:rsidRPr="00280DEE">
        <w:rPr>
          <w:rFonts w:ascii="Simplified Arabic" w:eastAsia="Times New Roman" w:hAnsi="Simplified Arabic" w:cs="Simplified Arabic"/>
          <w:color w:val="000000" w:themeColor="text1"/>
          <w:kern w:val="0"/>
          <w:sz w:val="28"/>
          <w:szCs w:val="28"/>
          <w:rtl/>
          <w14:ligatures w14:val="none"/>
        </w:rPr>
        <w:lastRenderedPageBreak/>
        <w:t>الوظيفية، مما يدل على وجود دور إيجابي مهم للتحليل الاستراتيجي في الاحتفاظ بالكفاءات في جامعة تشرين. وأوصت الدراسة بتعزيز مستوى التحليل الاستراتيجي للموارد البشرية ورفعه إلى المستوى المطلوب لضمان الاحتفاظ بالكفاءات العلمية الوظيفية</w:t>
      </w:r>
      <w:r w:rsidRPr="00280DEE">
        <w:rPr>
          <w:rFonts w:ascii="Simplified Arabic" w:eastAsia="Times New Roman" w:hAnsi="Simplified Arabic" w:cs="Simplified Arabic"/>
          <w:color w:val="000000" w:themeColor="text1"/>
          <w:kern w:val="0"/>
          <w:sz w:val="28"/>
          <w:szCs w:val="28"/>
          <w14:ligatures w14:val="none"/>
        </w:rPr>
        <w:t>.</w:t>
      </w:r>
    </w:p>
    <w:p w14:paraId="3D9145A5"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 (الحمزة، 2023): "دور بيئة العمل الداخلية في الاحتفاظ بالكفاءات الصحية: دراسة تطبيقية في مستشفى عاليا صالح بتبسة</w:t>
      </w:r>
      <w:r w:rsidRPr="00280DEE">
        <w:rPr>
          <w:rFonts w:ascii="Simplified Arabic" w:eastAsia="Times New Roman" w:hAnsi="Simplified Arabic" w:cs="Simplified Arabic"/>
          <w:b/>
          <w:bCs/>
          <w:color w:val="000000" w:themeColor="text1"/>
          <w:kern w:val="0"/>
          <w:sz w:val="28"/>
          <w:szCs w:val="28"/>
          <w14:ligatures w14:val="none"/>
        </w:rPr>
        <w:t>"</w:t>
      </w:r>
    </w:p>
    <w:p w14:paraId="09298E02"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تأثير أبعاد بيئة العمل الداخلية (طبيعة وظروف العمل، التعويضات، العلاقة مع المسؤولين وزملاء العمل، النمو المهني) على الاحتفاظ بالكفاءات الصحية في مستشفى عاليا صالح بتبسة. واستخدمت الدراسة المنهج الوصفي التحليلي، وتم استخدام المتوسطات الحسابية والانحرافات المعيارية وتحليل الانحدار المتعدد في تحليل البيانات. وتوصلت نتائج الدراسة إلى وجود تأثير معنوي ذي دلالة إحصائية لبيئة العمل الداخلية على الاحتفاظ بالكفاءات الصحية في المستشفى محل الدراسة. وأوصت الدراسة بضرورة تحسين بيئة العمل الداخلية من حيث ظروف العمل والتعويضات والعلاقات المهنية وفرص النمو المهني كعوامل أساسية لضمان الاحتفاظ بالكفاءات الصحية</w:t>
      </w:r>
      <w:r w:rsidRPr="00280DEE">
        <w:rPr>
          <w:rFonts w:ascii="Simplified Arabic" w:eastAsia="Times New Roman" w:hAnsi="Simplified Arabic" w:cs="Simplified Arabic"/>
          <w:color w:val="000000" w:themeColor="text1"/>
          <w:kern w:val="0"/>
          <w:sz w:val="28"/>
          <w:szCs w:val="28"/>
          <w14:ligatures w14:val="none"/>
        </w:rPr>
        <w:t>.</w:t>
      </w:r>
    </w:p>
    <w:p w14:paraId="2BC8D725" w14:textId="77777777" w:rsidR="004A09C4" w:rsidRPr="00280DEE" w:rsidRDefault="004A09C4" w:rsidP="006A54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3" w:name="_Toc226765713"/>
      <w:bookmarkStart w:id="14" w:name="_Toc235025256"/>
      <w:r w:rsidRPr="00280DEE">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13"/>
      <w:bookmarkEnd w:id="14"/>
    </w:p>
    <w:p w14:paraId="52F275DD"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(Urme, 2023): "The Impact of Talent Management Strategies on Employee Retention"</w:t>
      </w:r>
    </w:p>
    <w:p w14:paraId="3AA08DCE"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إدارة المواهب بأبعادها (إجراءات التوظيف والاختيار، برامج تدريب وتطوير الموظفين، أساليب تتبع الأداء والتغذية الراجعة، التعويضات والمزايا التنافسية، ثقافة بيئة العمل الإيجابية) على الاحتفاظ بالموظفين. واستخدمت الدراسة منهج المراجعة الأدبية التحليلية للدراسات السابقة ذات الصلة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وتوصلت نتائج الدراسة إلى أن استراتيجيات إدارة المواهب تؤدي دوراً حاسماً في تحسين معدلات الاحتفاظ بالموظفين، مما يعزز الإنتاجية ويخفض تكاليف دوران العمل ويُنشئ قوى عاملة أكثر انخراطاً والتزاماً. وأوصت الدراسة بأن تضع المنظمات تقنيات إدارة الكفاءات الفعّالة موضع التنفيذ لإنشاء بيئة عمل ترحيبية ومجزية تشجع الموظفين على البقاء والمساهمة في نجاح الشركة على المدى الطويل</w:t>
      </w:r>
      <w:r w:rsidRPr="00280DEE">
        <w:rPr>
          <w:rFonts w:ascii="Simplified Arabic" w:eastAsia="Times New Roman" w:hAnsi="Simplified Arabic" w:cs="Simplified Arabic"/>
          <w:color w:val="000000" w:themeColor="text1"/>
          <w:kern w:val="0"/>
          <w:sz w:val="28"/>
          <w:szCs w:val="28"/>
          <w14:ligatures w14:val="none"/>
        </w:rPr>
        <w:t>.</w:t>
      </w:r>
    </w:p>
    <w:p w14:paraId="3A0A70D3"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lastRenderedPageBreak/>
        <w:t>دراسة</w:t>
      </w:r>
      <w:r w:rsidRPr="00280DEE">
        <w:rPr>
          <w:rFonts w:ascii="Simplified Arabic" w:eastAsia="Times New Roman" w:hAnsi="Simplified Arabic" w:cs="Simplified Arabic"/>
          <w:b/>
          <w:bCs/>
          <w:color w:val="000000" w:themeColor="text1"/>
          <w:kern w:val="0"/>
          <w:sz w:val="28"/>
          <w:szCs w:val="28"/>
          <w14:ligatures w14:val="none"/>
        </w:rPr>
        <w:t xml:space="preserve"> (Kumar, 2022): "The Impact of Talent Management Practices on Employee Turnover and Retention Intentions"</w:t>
      </w:r>
    </w:p>
    <w:p w14:paraId="3D971130"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المواهب بأبعادها (التوظيف والاختيار، العمل الجماعي ودعم الإدارة، إدارة الأداء والمسار الوظيفي، الرواتب والتعويضات) على نوايا دوران العمل والاحتفاظ بالموظفين في قطاع تكنولوجيا المعلومات بالهند. واستخدمت الدراسة المنهج الوصفي التحليلي، وتم بناء نموذج انحدار متعدد لتحليل العلاقة بين متغيرات إدارة المواهب والاحتفاظ بالموظفين. وتوصلت نتائج الدراسة إلى أن الموظفين يفضلون البقاء في المنظمات التي توفر لهم فرص التطوير والنمو على السلم الوظيفي، وأن خطط التعويضات تُعد من أهم العوامل في استقطاب الموظفين والاحتفاظ بهم. وأوصت الدراسة بضرورة التركيز على تخطيط وصياغة وتنفيذ استراتيجيات متنوعة لإدارة المواهب بما يُسهم في الاحتفاظ بالموظفين، مع التأكيد على أهمية التوازن بين العمل والحياة وإشراك الموظفين كمجالات للبحث المستقبلي</w:t>
      </w:r>
      <w:r w:rsidRPr="00280DEE">
        <w:rPr>
          <w:rFonts w:ascii="Simplified Arabic" w:eastAsia="Times New Roman" w:hAnsi="Simplified Arabic" w:cs="Simplified Arabic"/>
          <w:color w:val="000000" w:themeColor="text1"/>
          <w:kern w:val="0"/>
          <w:sz w:val="28"/>
          <w:szCs w:val="28"/>
          <w14:ligatures w14:val="none"/>
        </w:rPr>
        <w:t>.</w:t>
      </w:r>
    </w:p>
    <w:p w14:paraId="7EDFB9CE"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(Sembiring &amp; Damayanti, 2023): "Talent Attraction, Talent Retention, and Talent Management as a Mediating on Organization Performance"</w:t>
      </w:r>
    </w:p>
    <w:p w14:paraId="67E80700"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الموارد البشرية على استقطاب المواهب والاحتفاظ بها، ودور إدارة المواهب كمتغير وسيط في تحقيق الأداء المنظمي. واستخدمت الدراسة المنهج الكمي التحليلي. وتوصلت نتائج الدراسة إلى أن إدارة المواهب الفعّالة تتوسط العلاقة بين استقطاب المواهب والاحتفاظ بها من جهة والأداء المنظمي من جهة أخرى، وأن الاستثمار في ممارسات استقطاب المواهب والاحتفاظ بها يُسهم بشكل إيجابي في تعزيز الأداء التنظيمي الكلي. وأوصت الدراسة بضرورة اعتماد المنظمات لاستراتيجيات متكاملة لإدارة المواهب تتضمن آليات فعّالة للاستقطاب والاحتفاظ بالموظفين الموهوبين بهدف تحسين الأداء المنظمي المستدام</w:t>
      </w:r>
      <w:r w:rsidRPr="00280DEE">
        <w:rPr>
          <w:rFonts w:ascii="Simplified Arabic" w:eastAsia="Times New Roman" w:hAnsi="Simplified Arabic" w:cs="Simplified Arabic"/>
          <w:color w:val="000000" w:themeColor="text1"/>
          <w:kern w:val="0"/>
          <w:sz w:val="28"/>
          <w:szCs w:val="28"/>
          <w14:ligatures w14:val="none"/>
        </w:rPr>
        <w:t>.</w:t>
      </w:r>
    </w:p>
    <w:p w14:paraId="7374919E"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(Al Aina &amp; Atan, 2020): "The Impact of Implementing Talent Management Practices on Sustainable Organizational Performance"</w:t>
      </w:r>
    </w:p>
    <w:p w14:paraId="5A035667"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ممارسات إدارة المواهب بأبعادها (استقطاب المواهب، الاحتفاظ بالمواهب، التعلم والتطوير، إدارة المسار الوظيفي) على الأداء التنظيمي المستدام في شركات العقارات بدولة الإمارات العربية المتحدة. واستخدمت الدراسة المنهج الكمي، وتكونت العينة من (306) مديرين يعملون في شركات العقارات، وتم التحقق من الفرضيات باستخدام نمذجة المعادلات الهيكلية</w:t>
      </w:r>
      <w:r w:rsidRPr="00280DEE">
        <w:rPr>
          <w:rFonts w:ascii="Simplified Arabic" w:eastAsia="Times New Roman" w:hAnsi="Simplified Arabic" w:cs="Simplified Arabic"/>
          <w:color w:val="000000" w:themeColor="text1"/>
          <w:kern w:val="0"/>
          <w:sz w:val="28"/>
          <w:szCs w:val="28"/>
          <w14:ligatures w14:val="none"/>
        </w:rPr>
        <w:t xml:space="preserve"> (SEM). </w:t>
      </w:r>
      <w:r w:rsidRPr="00280DEE">
        <w:rPr>
          <w:rFonts w:ascii="Simplified Arabic" w:eastAsia="Times New Roman" w:hAnsi="Simplified Arabic" w:cs="Simplified Arabic"/>
          <w:color w:val="000000" w:themeColor="text1"/>
          <w:kern w:val="0"/>
          <w:sz w:val="28"/>
          <w:szCs w:val="28"/>
          <w:rtl/>
          <w14:ligatures w14:val="none"/>
        </w:rPr>
        <w:t>وتوصلت نتائج الدراسة إلى أن استقطاب المواهب والاحتفاظ بها لم يكن لهما تأثير دال على الأداء التنظيمي المستدام، في حين أن التعلم والتطوير وإدارة المسار الوظيفي كان لهما تأثير إيجابي دال. وأوصت الدراسة بضرورة تركيز الإدارة على برامج التدريب والتوجيه والتدوير الوظيفي لتحقيق الأداء التنظيمي المستدام</w:t>
      </w:r>
      <w:r w:rsidRPr="00280DEE">
        <w:rPr>
          <w:rFonts w:ascii="Simplified Arabic" w:eastAsia="Times New Roman" w:hAnsi="Simplified Arabic" w:cs="Simplified Arabic"/>
          <w:color w:val="000000" w:themeColor="text1"/>
          <w:kern w:val="0"/>
          <w:sz w:val="28"/>
          <w:szCs w:val="28"/>
          <w14:ligatures w14:val="none"/>
        </w:rPr>
        <w:t>.</w:t>
      </w:r>
    </w:p>
    <w:p w14:paraId="77DC17C7"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(Younas &amp; Waseem Bari, 2020): "The Relationship between Talent Management Practices and Retention of Generation 'Y' Employees: Mediating Role of Competency Development"</w:t>
      </w:r>
    </w:p>
    <w:p w14:paraId="51892F25"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المواهب بأبعادها (التوجيه والإرشاد، القيادة الاستراتيجية، وسائل التواصل الاجتماعي، مشاركة المعرفة) على نية البقاء لدى موظفي الجيل</w:t>
      </w:r>
      <w:r w:rsidRPr="00280DEE">
        <w:rPr>
          <w:rFonts w:ascii="Simplified Arabic" w:eastAsia="Times New Roman" w:hAnsi="Simplified Arabic" w:cs="Simplified Arabic"/>
          <w:color w:val="000000" w:themeColor="text1"/>
          <w:kern w:val="0"/>
          <w:sz w:val="28"/>
          <w:szCs w:val="28"/>
          <w14:ligatures w14:val="none"/>
        </w:rPr>
        <w:t xml:space="preserve"> Y</w:t>
      </w:r>
      <w:r w:rsidRPr="00280DEE">
        <w:rPr>
          <w:rFonts w:ascii="Simplified Arabic" w:eastAsia="Times New Roman" w:hAnsi="Simplified Arabic" w:cs="Simplified Arabic"/>
          <w:color w:val="000000" w:themeColor="text1"/>
          <w:kern w:val="0"/>
          <w:sz w:val="28"/>
          <w:szCs w:val="28"/>
          <w:rtl/>
          <w14:ligatures w14:val="none"/>
        </w:rPr>
        <w:t>، والكشف عن الدور الوسيط لتطوير الكفاءات في هذه العلاقة في شركات البرمجيات بباكستان. واستخدمت الدراسة المنهج الكمي، وتكونت العينة من (372) موظفاً من الجيل</w:t>
      </w:r>
      <w:r w:rsidRPr="00280DEE">
        <w:rPr>
          <w:rFonts w:ascii="Simplified Arabic" w:eastAsia="Times New Roman" w:hAnsi="Simplified Arabic" w:cs="Simplified Arabic"/>
          <w:color w:val="000000" w:themeColor="text1"/>
          <w:kern w:val="0"/>
          <w:sz w:val="28"/>
          <w:szCs w:val="28"/>
          <w14:ligatures w14:val="none"/>
        </w:rPr>
        <w:t xml:space="preserve"> Y</w:t>
      </w:r>
      <w:r w:rsidRPr="00280DEE">
        <w:rPr>
          <w:rFonts w:ascii="Simplified Arabic" w:eastAsia="Times New Roman" w:hAnsi="Simplified Arabic" w:cs="Simplified Arabic"/>
          <w:color w:val="000000" w:themeColor="text1"/>
          <w:kern w:val="0"/>
          <w:sz w:val="28"/>
          <w:szCs w:val="28"/>
          <w:rtl/>
          <w14:ligatures w14:val="none"/>
        </w:rPr>
        <w:t>، وتم تحليل البيانات باستخدام نمذجة المعادلات الهيكلية بطريقة المربعات الصغرى الجزئية</w:t>
      </w:r>
      <w:r w:rsidRPr="00280DEE">
        <w:rPr>
          <w:rFonts w:ascii="Simplified Arabic" w:eastAsia="Times New Roman" w:hAnsi="Simplified Arabic" w:cs="Simplified Arabic"/>
          <w:color w:val="000000" w:themeColor="text1"/>
          <w:kern w:val="0"/>
          <w:sz w:val="28"/>
          <w:szCs w:val="28"/>
          <w14:ligatures w14:val="none"/>
        </w:rPr>
        <w:t xml:space="preserve"> (PLS-SEM). </w:t>
      </w:r>
      <w:r w:rsidRPr="00280DEE">
        <w:rPr>
          <w:rFonts w:ascii="Simplified Arabic" w:eastAsia="Times New Roman" w:hAnsi="Simplified Arabic" w:cs="Simplified Arabic"/>
          <w:color w:val="000000" w:themeColor="text1"/>
          <w:kern w:val="0"/>
          <w:sz w:val="28"/>
          <w:szCs w:val="28"/>
          <w:rtl/>
          <w14:ligatures w14:val="none"/>
        </w:rPr>
        <w:t>وتوصلت نتائج الدراسة إلى أن ممارسات إدارة المواهب (التوجيه والإرشاد، القيادة الاستراتيجية، وسائل التواصل الاجتماعي) تؤثر إيجابياً على نية البقاء لدى موظفي الجيل</w:t>
      </w:r>
      <w:r w:rsidRPr="00280DEE">
        <w:rPr>
          <w:rFonts w:ascii="Simplified Arabic" w:eastAsia="Times New Roman" w:hAnsi="Simplified Arabic" w:cs="Simplified Arabic"/>
          <w:color w:val="000000" w:themeColor="text1"/>
          <w:kern w:val="0"/>
          <w:sz w:val="28"/>
          <w:szCs w:val="28"/>
          <w14:ligatures w14:val="none"/>
        </w:rPr>
        <w:t xml:space="preserve"> Y</w:t>
      </w:r>
      <w:r w:rsidRPr="00280DEE">
        <w:rPr>
          <w:rFonts w:ascii="Simplified Arabic" w:eastAsia="Times New Roman" w:hAnsi="Simplified Arabic" w:cs="Simplified Arabic"/>
          <w:color w:val="000000" w:themeColor="text1"/>
          <w:kern w:val="0"/>
          <w:sz w:val="28"/>
          <w:szCs w:val="28"/>
          <w:rtl/>
          <w14:ligatures w14:val="none"/>
        </w:rPr>
        <w:t>، بينما لم يكن لمشاركة المعرفة تأثير دال، كما توسّط تطوير الكفاءات العلاقة بين القيادة الاستراتيجية ووسائل التواصل الاجتماعي ومشاركة المعرفة ونية البقاء. وأوصت الدراسة بضرورة تبني ممارسات إدارة المواهب التي تلبي احتياجات وتوقعات الجيل</w:t>
      </w:r>
      <w:r w:rsidRPr="00280DEE">
        <w:rPr>
          <w:rFonts w:ascii="Simplified Arabic" w:eastAsia="Times New Roman" w:hAnsi="Simplified Arabic" w:cs="Simplified Arabic"/>
          <w:color w:val="000000" w:themeColor="text1"/>
          <w:kern w:val="0"/>
          <w:sz w:val="28"/>
          <w:szCs w:val="28"/>
          <w14:ligatures w14:val="none"/>
        </w:rPr>
        <w:t xml:space="preserve"> Y </w:t>
      </w:r>
      <w:r w:rsidRPr="00280DEE">
        <w:rPr>
          <w:rFonts w:ascii="Simplified Arabic" w:eastAsia="Times New Roman" w:hAnsi="Simplified Arabic" w:cs="Simplified Arabic"/>
          <w:color w:val="000000" w:themeColor="text1"/>
          <w:kern w:val="0"/>
          <w:sz w:val="28"/>
          <w:szCs w:val="28"/>
          <w:rtl/>
          <w14:ligatures w14:val="none"/>
        </w:rPr>
        <w:t>وتوفير فرص تطوير الكفاءات لتعزيز الاحتفاظ بهم</w:t>
      </w:r>
      <w:r w:rsidRPr="00280DEE">
        <w:rPr>
          <w:rFonts w:ascii="Simplified Arabic" w:eastAsia="Times New Roman" w:hAnsi="Simplified Arabic" w:cs="Simplified Arabic"/>
          <w:color w:val="000000" w:themeColor="text1"/>
          <w:kern w:val="0"/>
          <w:sz w:val="28"/>
          <w:szCs w:val="28"/>
          <w14:ligatures w14:val="none"/>
        </w:rPr>
        <w:t>.</w:t>
      </w:r>
    </w:p>
    <w:p w14:paraId="07F1020F"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(Guerra, Danvila-del-Valle &amp; Méndez-Su</w:t>
      </w:r>
      <w:r w:rsidRPr="00280DEE">
        <w:rPr>
          <w:rFonts w:ascii="Cambria" w:eastAsia="Times New Roman" w:hAnsi="Cambria" w:cs="Cambria"/>
          <w:b/>
          <w:bCs/>
          <w:color w:val="000000" w:themeColor="text1"/>
          <w:kern w:val="0"/>
          <w:sz w:val="28"/>
          <w:szCs w:val="28"/>
          <w14:ligatures w14:val="none"/>
        </w:rPr>
        <w:t>á</w:t>
      </w:r>
      <w:r w:rsidRPr="00280DEE">
        <w:rPr>
          <w:rFonts w:ascii="Simplified Arabic" w:eastAsia="Times New Roman" w:hAnsi="Simplified Arabic" w:cs="Simplified Arabic"/>
          <w:b/>
          <w:bCs/>
          <w:color w:val="000000" w:themeColor="text1"/>
          <w:kern w:val="0"/>
          <w:sz w:val="28"/>
          <w:szCs w:val="28"/>
          <w14:ligatures w14:val="none"/>
        </w:rPr>
        <w:t>rez, 2023): "The Impact of Digital Transformation on Talent Management"</w:t>
      </w:r>
    </w:p>
    <w:p w14:paraId="43E8A56F"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التحول الرقمي على عمليات إدارة المواهب بأبعادها (استقطاب المواهب، الاحتفاظ بالمواهب) في الشركات الإسبانية التي تمر بمرحلة التحول الرقمي. واستخدمت الدراسة المنهج الكمي التحليلي مع نمذجة المعادلات الهيكلية، وتكونت العينة من (314) شركة إسبانية، وتم جمع </w:t>
      </w:r>
      <w:r w:rsidRPr="00280DEE">
        <w:rPr>
          <w:rFonts w:ascii="Simplified Arabic" w:eastAsia="Times New Roman" w:hAnsi="Simplified Arabic" w:cs="Simplified Arabic"/>
          <w:color w:val="000000" w:themeColor="text1"/>
          <w:kern w:val="0"/>
          <w:sz w:val="28"/>
          <w:szCs w:val="28"/>
          <w:rtl/>
          <w14:ligatures w14:val="none"/>
        </w:rPr>
        <w:lastRenderedPageBreak/>
        <w:t>البيانات من خلال استبانة أجاب عنها مديرو هذه المنظمات. وتوصلت نتائج الدراسة إلى أن التغييرات التنظيمية الناتجة عن التحول الرقمي تؤثر في إدارة المواهب وفي استقطاب المواهب والاحتفاظ بها، وأن الشركات ذات النضج الرقمي الأعلى تعمل على تحسين عمليات إدارة المواهب لديها، كما أن الشركات لا تستثمر في استقطاب المواهب بنفس القدر الذي تستثمره في الاحتفاظ بها. وأوصت الدراسة بضرورة مواكبة المنظمات للتحول الرقمي وتوظيف تقنيات البيانات الضخمة وتحليلات الأفراد في تعزيز عمليات إدارة المواهب</w:t>
      </w:r>
      <w:r w:rsidRPr="00280DEE">
        <w:rPr>
          <w:rFonts w:ascii="Simplified Arabic" w:eastAsia="Times New Roman" w:hAnsi="Simplified Arabic" w:cs="Simplified Arabic"/>
          <w:color w:val="000000" w:themeColor="text1"/>
          <w:kern w:val="0"/>
          <w:sz w:val="28"/>
          <w:szCs w:val="28"/>
          <w14:ligatures w14:val="none"/>
        </w:rPr>
        <w:t>.</w:t>
      </w:r>
    </w:p>
    <w:p w14:paraId="0180EEE5"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(Dzimbiri &amp; Molefi, 2021): "The Impact of Talent Management on Job Satisfaction of Registered Nurses in Malawian Public Hospitals"</w:t>
      </w:r>
    </w:p>
    <w:p w14:paraId="4A596FF4"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المواهب بأبعادها التسعة (الاستراتيجية، مراجعة المواهب، التوظيف، استقطاب المواهب، إشراك المواهب، تنمية المواهب، توزيع المواهب، إدارة الأداء، الاحتفاظ بالمواهب) على الرضا الوظيفي للممرضين المسجلين في المستشفيات العامة بمالاوي. واستخدمت الدراسة المنهج الكمي بتصميم مسحي مقطعي، وتكونت العينة من (834) ممرضاً وممرضة تم اختيارهم من أربعة مستشفيات مركزية، واسترد منها (580) استبانة صالحة للتحليل بنسبة استجابة (61.2%). وتوصلت نتائج الدراسة إلى أن ممارسات إدارة المواهب لا تُسهم في تحقيق الرضا الوظيفي للممرضين المسجلين في المستشفيات العامة بمالاوي، حيث أظهر تحليل الانحدار أن أكثر العناصر فاعلية في التنبؤ بالرضا الوظيفي هي التوظيف وتنمية المواهب وتوزيع المواهب. وأوصت الدراسة بضرورة التزام إدارات المستشفيات بإدراج نظم إدارة المواهب في خططها الاستراتيجية وتخصيص موارد كافية لها لتعزيز الرضا الوظيفي للممرضين</w:t>
      </w:r>
      <w:r w:rsidRPr="00280DEE">
        <w:rPr>
          <w:rFonts w:ascii="Simplified Arabic" w:eastAsia="Times New Roman" w:hAnsi="Simplified Arabic" w:cs="Simplified Arabic"/>
          <w:color w:val="000000" w:themeColor="text1"/>
          <w:kern w:val="0"/>
          <w:sz w:val="28"/>
          <w:szCs w:val="28"/>
          <w14:ligatures w14:val="none"/>
        </w:rPr>
        <w:t>.</w:t>
      </w:r>
    </w:p>
    <w:p w14:paraId="08E6013D"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(Kaliannan, Darmalinggam, Dorasamy &amp; Abraham, 2023): "Inclusive Talent Development as a Key Talent Management Approach: A Systematic Literature Review"</w:t>
      </w:r>
    </w:p>
    <w:p w14:paraId="7ACA3827"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مدى تمثيل تطوير المواهب في أدبيات إدارة المواهب الأوسع، وكيف يُسهم تطوير المواهب الشامل في نمو الأفراد والأداء التنظيمي. واستخدمت الدراسة منهج المراجعة المنهجية للأدبيات، حيث تم تحليل (48) مقالة منشورة بين عامي 1997 و2020 حول تطوير المواهب منها (13) مقالة حول تطوير المواهب الشامل. وتوصلت نتائج الدراسة إلى أن تطوير المواهب يُمثّل مجالاً محدوداً </w:t>
      </w:r>
      <w:r w:rsidRPr="00280DEE">
        <w:rPr>
          <w:rFonts w:ascii="Simplified Arabic" w:eastAsia="Times New Roman" w:hAnsi="Simplified Arabic" w:cs="Simplified Arabic"/>
          <w:color w:val="000000" w:themeColor="text1"/>
          <w:kern w:val="0"/>
          <w:sz w:val="28"/>
          <w:szCs w:val="28"/>
          <w:rtl/>
          <w14:ligatures w14:val="none"/>
        </w:rPr>
        <w:lastRenderedPageBreak/>
        <w:t>في أدبيات إدارة المواهب، وأن تطوير المواهب الشامل - أي توفير فرص التطوير الوظيفي والتدريب لجميع الموظفين بغض النظر عن أدائهم الفردي - يزداد أهمية لنمو المواهب الفردية والأداء التنظيمي نحو تحقيق ميزة تنافسية مستدامة وفقاً لنموذج الموارد القيّمة والنادرة وغير القابلة للتقليد. وأوصت الدراسة بضرورة توسيع نطاق البحث في تطوير المواهب الشامل، والاهتمام بتطوير الموظفين ذوي الأداء المنخفض، وتطبيق الابتكار المقتصد من خلال تطوير المواهب الشامل</w:t>
      </w:r>
      <w:r w:rsidRPr="00280DEE">
        <w:rPr>
          <w:rFonts w:ascii="Simplified Arabic" w:eastAsia="Times New Roman" w:hAnsi="Simplified Arabic" w:cs="Simplified Arabic"/>
          <w:color w:val="000000" w:themeColor="text1"/>
          <w:kern w:val="0"/>
          <w:sz w:val="28"/>
          <w:szCs w:val="28"/>
          <w14:ligatures w14:val="none"/>
        </w:rPr>
        <w:t>.</w:t>
      </w:r>
    </w:p>
    <w:p w14:paraId="3AFEA8CB" w14:textId="77777777" w:rsidR="004A09C4" w:rsidRPr="00280DEE" w:rsidRDefault="004A09C4" w:rsidP="009E49CE">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دراسة</w:t>
      </w:r>
      <w:r w:rsidRPr="00280DEE">
        <w:rPr>
          <w:rFonts w:ascii="Simplified Arabic" w:eastAsia="Times New Roman" w:hAnsi="Simplified Arabic" w:cs="Simplified Arabic"/>
          <w:b/>
          <w:bCs/>
          <w:color w:val="000000" w:themeColor="text1"/>
          <w:kern w:val="0"/>
          <w:sz w:val="28"/>
          <w:szCs w:val="28"/>
          <w14:ligatures w14:val="none"/>
        </w:rPr>
        <w:t xml:space="preserve"> (Tariq, 2024): "AI and the Future of Talent Management: Transforming Recruitment and Retention with Machine Learning"</w:t>
      </w:r>
    </w:p>
    <w:p w14:paraId="569E342F"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وتعلّم الآلة في تحويل عمليات إدارة المواهب بأبعادها (الاستقطاب والاحتفاظ بالموظفين) في ظل التطورات التكنولوجية المعاصرة. واستخدمت الدراسة المنهج التحليلي المفاهيمي من خلال فصل منشور في كتاب "الممارسات العالمية لاستقطاب المواهب والاحتفاظ بها الفعّال" الصادر عن</w:t>
      </w:r>
      <w:r w:rsidRPr="00280DEE">
        <w:rPr>
          <w:rFonts w:ascii="Simplified Arabic" w:eastAsia="Times New Roman" w:hAnsi="Simplified Arabic" w:cs="Simplified Arabic"/>
          <w:color w:val="000000" w:themeColor="text1"/>
          <w:kern w:val="0"/>
          <w:sz w:val="28"/>
          <w:szCs w:val="28"/>
          <w14:ligatures w14:val="none"/>
        </w:rPr>
        <w:t xml:space="preserve"> IGI Global. </w:t>
      </w:r>
      <w:r w:rsidRPr="00280DEE">
        <w:rPr>
          <w:rFonts w:ascii="Simplified Arabic" w:eastAsia="Times New Roman" w:hAnsi="Simplified Arabic" w:cs="Simplified Arabic"/>
          <w:color w:val="000000" w:themeColor="text1"/>
          <w:kern w:val="0"/>
          <w:sz w:val="28"/>
          <w:szCs w:val="28"/>
          <w:rtl/>
          <w14:ligatures w14:val="none"/>
        </w:rPr>
        <w:t>وتوصلت نتائج الدراسة إلى أن تقنيات الذكاء الاصطناعي وتعلّم الآلة تُحدث تأثيراً تحويلياً في عمليات إدارة المواهب من خلال تحسين استراتيجيات الاستقطاب والاحتفاظ، وأن خوارزميات تعلّم الآلة تساعد في تحليل كميات ضخمة من البيانات لتحديد أنماط واتجاهات التوظيف وتحسين قرارات إدارة الموارد البشرية. وأوصت الدراسة بضرورة تبني المنظمات لتقنيات الذكاء الاصطناعي في عمليات إدارة المواهب لتعزيز فاعلية الاستقطاب والاحتفاظ بالكفاءات، مع مراعاة الجوانب الأخلاقية والخصوصية في تطبيق هذه التقنيات</w:t>
      </w:r>
      <w:r w:rsidRPr="00280DEE">
        <w:rPr>
          <w:rFonts w:ascii="Simplified Arabic" w:eastAsia="Times New Roman" w:hAnsi="Simplified Arabic" w:cs="Simplified Arabic"/>
          <w:color w:val="000000" w:themeColor="text1"/>
          <w:kern w:val="0"/>
          <w:sz w:val="28"/>
          <w:szCs w:val="28"/>
          <w14:ligatures w14:val="none"/>
        </w:rPr>
        <w:t>.</w:t>
      </w:r>
    </w:p>
    <w:p w14:paraId="303489BD" w14:textId="79B791F5" w:rsidR="009E49CE" w:rsidRPr="00280DEE" w:rsidRDefault="009E49CE" w:rsidP="009E49C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169790501"/>
      <w:bookmarkStart w:id="16" w:name="_Toc223603160"/>
      <w:bookmarkStart w:id="17" w:name="_Toc235025257"/>
      <w:bookmarkEnd w:id="11"/>
      <w:r w:rsidRPr="00280DEE">
        <w:rPr>
          <w:rFonts w:ascii="Simplified Arabic" w:hAnsi="Simplified Arabic" w:cs="Simplified Arabic"/>
          <w:b/>
          <w:bCs/>
          <w:color w:val="000000" w:themeColor="text1"/>
          <w:sz w:val="36"/>
          <w:szCs w:val="36"/>
          <w:rtl/>
        </w:rPr>
        <w:t>8.1 الفجوة البحثية:</w:t>
      </w:r>
      <w:bookmarkEnd w:id="17"/>
    </w:p>
    <w:p w14:paraId="0CF052B1" w14:textId="224FDB8E" w:rsidR="009E03A2" w:rsidRPr="00280DEE" w:rsidRDefault="004A09C4" w:rsidP="009E49C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280DEE">
        <w:rPr>
          <w:rFonts w:ascii="Simplified Arabic" w:hAnsi="Simplified Arabic" w:cs="Simplified Arabic"/>
          <w:color w:val="000000" w:themeColor="text1"/>
          <w:sz w:val="28"/>
          <w:szCs w:val="28"/>
          <w:rtl/>
        </w:rPr>
        <w:t>باستعراض وتحليل الدراسات السابقة العربية والأجنبية ذات الصلة بموضوع الدراسة الحالية، يتضح أن أدبيات إدارة المواهب والاحتفاظ بالكفاءات قد شهدت اهتماماً بحثياً متزايداً خلال السنوات الأخيرة، غير أن هذا الاهتمام تباين من حيث السياقات التنظيمية والجغرافية والقطاعية التي أُجريت فيها تلك الدراسات. فعلى صعيد المتغير المستقل (إدارة المواهب)، تناولت بعض الدراسات أثره على متغيرات تابعة مختلفة عن الاحتفاظ بالكفاءات، كدراسة (السليحات والصوالحة، 2022) التي ربطت إدارة المواهب بالتميز المنظمي، ودراسة (قريشي ولعرافي وعبدالكريم، 2022) التي ربطتها بالالتزام التنظيمي، ودراسة (شوقير وعساف، 2025) التي ربطتها بإدارة الجودة الشاملة، ودراسة (إسماعيل وفهمي، 2024) التي ربطتها بالبراعة التنظيمية، ودراسة (العدوان والهناندة، 2024) التي ربطتها بريادة الشركات، ودراسة</w:t>
      </w:r>
      <w:r w:rsidRPr="00280DEE">
        <w:rPr>
          <w:rFonts w:ascii="Simplified Arabic" w:hAnsi="Simplified Arabic" w:cs="Simplified Arabic"/>
          <w:color w:val="000000" w:themeColor="text1"/>
          <w:sz w:val="28"/>
          <w:szCs w:val="28"/>
        </w:rPr>
        <w:t xml:space="preserve"> (Al Aina &amp; Atan, </w:t>
      </w:r>
      <w:r w:rsidRPr="00280DEE">
        <w:rPr>
          <w:rFonts w:ascii="Simplified Arabic" w:hAnsi="Simplified Arabic" w:cs="Simplified Arabic"/>
          <w:color w:val="000000" w:themeColor="text1"/>
          <w:sz w:val="28"/>
          <w:szCs w:val="28"/>
        </w:rPr>
        <w:lastRenderedPageBreak/>
        <w:t xml:space="preserve">2020) </w:t>
      </w:r>
      <w:r w:rsidRPr="00280DEE">
        <w:rPr>
          <w:rFonts w:ascii="Simplified Arabic" w:hAnsi="Simplified Arabic" w:cs="Simplified Arabic"/>
          <w:color w:val="000000" w:themeColor="text1"/>
          <w:sz w:val="28"/>
          <w:szCs w:val="28"/>
          <w:rtl/>
        </w:rPr>
        <w:t>التي ربطتها بالأداء التنظيمي المستدام، ودراسة</w:t>
      </w:r>
      <w:r w:rsidRPr="00280DEE">
        <w:rPr>
          <w:rFonts w:ascii="Simplified Arabic" w:hAnsi="Simplified Arabic" w:cs="Simplified Arabic"/>
          <w:color w:val="000000" w:themeColor="text1"/>
          <w:sz w:val="28"/>
          <w:szCs w:val="28"/>
        </w:rPr>
        <w:t xml:space="preserve"> (Dzimbiri &amp; Molefi, 2021) </w:t>
      </w:r>
      <w:r w:rsidRPr="00280DEE">
        <w:rPr>
          <w:rFonts w:ascii="Simplified Arabic" w:hAnsi="Simplified Arabic" w:cs="Simplified Arabic"/>
          <w:color w:val="000000" w:themeColor="text1"/>
          <w:sz w:val="28"/>
          <w:szCs w:val="28"/>
          <w:rtl/>
        </w:rPr>
        <w:t>التي ربطتها بالرضا الوظيفي. وعلى صعيد المتغير التابع (الاحتفاظ بالكفاءات)، تناولته بعض الدراسات من زوايا مستقلة مغايرة كدراسة (نوفل ورضوان، 2026) التي ربطته بالقيادة التحويلية، ودراسة (سليطين والعباس، 2022) التي ربطته بالتحليل الاستراتيجي للموارد البشرية، ودراسة (الحمزة، 2023) التي ربطته ببيئة العمل الداخلية. أما الدراسات التي جمعت بين إدارة المواهب والاحتفاظ بالموظفين كدراسة</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ودراسة</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ودراسة</w:t>
      </w:r>
      <w:r w:rsidRPr="00280DEE">
        <w:rPr>
          <w:rFonts w:ascii="Simplified Arabic" w:hAnsi="Simplified Arabic" w:cs="Simplified Arabic"/>
          <w:color w:val="000000" w:themeColor="text1"/>
          <w:sz w:val="28"/>
          <w:szCs w:val="28"/>
        </w:rPr>
        <w:t xml:space="preserve"> (Younas &amp; Bari, 2020)</w:t>
      </w:r>
      <w:r w:rsidRPr="00280DEE">
        <w:rPr>
          <w:rFonts w:ascii="Simplified Arabic" w:hAnsi="Simplified Arabic" w:cs="Simplified Arabic"/>
          <w:color w:val="000000" w:themeColor="text1"/>
          <w:sz w:val="28"/>
          <w:szCs w:val="28"/>
          <w:rtl/>
        </w:rPr>
        <w:t>، فقد أُجريت في بيئات أجنبية مختلفة كالهند وبنغلاديش وباكستان وعلى قطاعات محددة كتكنولوجيا المعلومات وشركات البرمجيات، بينما تناولت دراسة</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أثر التحول الرقمي على إدارة المواهب في بيئة إسبانية، وركّزت دراسة</w:t>
      </w:r>
      <w:r w:rsidRPr="00280DEE">
        <w:rPr>
          <w:rFonts w:ascii="Simplified Arabic" w:hAnsi="Simplified Arabic" w:cs="Simplified Arabic"/>
          <w:color w:val="000000" w:themeColor="text1"/>
          <w:sz w:val="28"/>
          <w:szCs w:val="28"/>
        </w:rPr>
        <w:t xml:space="preserve"> (Kaliannan et al., 2023) </w:t>
      </w:r>
      <w:r w:rsidRPr="00280DEE">
        <w:rPr>
          <w:rFonts w:ascii="Simplified Arabic" w:hAnsi="Simplified Arabic" w:cs="Simplified Arabic"/>
          <w:color w:val="000000" w:themeColor="text1"/>
          <w:sz w:val="28"/>
          <w:szCs w:val="28"/>
          <w:rtl/>
        </w:rPr>
        <w:t xml:space="preserve">على تطوير المواهب الشامل كمراجعة أدبية منهجية، وتناولت دراسة </w:t>
      </w:r>
      <w:r w:rsidRPr="00280DEE">
        <w:rPr>
          <w:rFonts w:ascii="Simplified Arabic" w:hAnsi="Simplified Arabic" w:cs="Simplified Arabic"/>
          <w:color w:val="000000" w:themeColor="text1"/>
          <w:sz w:val="28"/>
          <w:szCs w:val="28"/>
        </w:rPr>
        <w:t xml:space="preserve">(Tariq, 2024) </w:t>
      </w:r>
      <w:r w:rsidRPr="00280DEE">
        <w:rPr>
          <w:rFonts w:ascii="Simplified Arabic" w:hAnsi="Simplified Arabic" w:cs="Simplified Arabic"/>
          <w:color w:val="000000" w:themeColor="text1"/>
          <w:sz w:val="28"/>
          <w:szCs w:val="28"/>
          <w:rtl/>
        </w:rPr>
        <w:t>دور الذكاء الاصطناعي في إدارة المواهب من منظور مفاهيمي</w:t>
      </w:r>
      <w:r w:rsidRPr="00280DEE">
        <w:rPr>
          <w:rFonts w:ascii="Simplified Arabic" w:hAnsi="Simplified Arabic" w:cs="Simplified Arabic"/>
          <w:color w:val="000000" w:themeColor="text1"/>
          <w:sz w:val="28"/>
          <w:szCs w:val="28"/>
        </w:rPr>
        <w:t xml:space="preserve">. </w:t>
      </w:r>
      <w:r w:rsidRPr="00280DEE">
        <w:rPr>
          <w:rFonts w:ascii="Simplified Arabic" w:hAnsi="Simplified Arabic" w:cs="Simplified Arabic"/>
          <w:color w:val="000000" w:themeColor="text1"/>
          <w:sz w:val="28"/>
          <w:szCs w:val="28"/>
          <w:rtl/>
        </w:rPr>
        <w:t xml:space="preserve">وبناءً على هذا الاستعراض، تتبلور الفجوة البحثية التي تسعى الدراسة الحالية إلى سدّها في ندرة الدراسات التي تناولت أثر إدارة المواهب بأبعادها الأربعة مجتمعة (استقطاب المواهب، تطوير المواهب، الاحتفاظ بالمواهب، تعويض المواهب) على الاحتفاظ بالكفاءات في سياق القطاع الخاص بالمملكة العربية السعودية تحديداً، وهو قطاع يتميز بخصوصية بيئته التنظيمية والثقافية والتشريعية وما يشهده من تحولات جوهرية في إطار رؤية </w:t>
      </w:r>
      <w:r w:rsidRPr="00280DEE">
        <w:rPr>
          <w:rFonts w:ascii="Simplified Arabic" w:hAnsi="Simplified Arabic" w:cs="Simplified Arabic"/>
          <w:color w:val="000000" w:themeColor="text1"/>
          <w:sz w:val="28"/>
          <w:szCs w:val="28"/>
        </w:rPr>
        <w:t>2030</w:t>
      </w:r>
      <w:r w:rsidRPr="00280DEE">
        <w:rPr>
          <w:rFonts w:ascii="Simplified Arabic" w:hAnsi="Simplified Arabic" w:cs="Simplified Arabic"/>
          <w:color w:val="000000" w:themeColor="text1"/>
          <w:sz w:val="28"/>
          <w:szCs w:val="28"/>
          <w:rtl/>
        </w:rPr>
        <w:t>، مما يجعل هذه الدراسة إضافة علمية وعملية نوعية تُثري المكتبة العربية وتُقدم إطاراً تطبيقياً يُعالج هذه الفجوة</w:t>
      </w:r>
      <w:r w:rsidRPr="00280DEE">
        <w:rPr>
          <w:rFonts w:ascii="Simplified Arabic" w:hAnsi="Simplified Arabic" w:cs="Simplified Arabic"/>
          <w:color w:val="000000" w:themeColor="text1"/>
          <w:sz w:val="28"/>
          <w:szCs w:val="28"/>
        </w:rPr>
        <w:t>.</w:t>
      </w:r>
      <w:r w:rsidR="009E03A2" w:rsidRPr="00280DEE">
        <w:rPr>
          <w:rFonts w:ascii="Simplified Arabic" w:hAnsi="Simplified Arabic" w:cs="Simplified Arabic"/>
          <w:color w:val="000000" w:themeColor="text1"/>
          <w:sz w:val="28"/>
          <w:szCs w:val="28"/>
          <w:rtl/>
        </w:rPr>
        <w:t>.</w:t>
      </w:r>
    </w:p>
    <w:p w14:paraId="34A4809E" w14:textId="77777777" w:rsidR="009E49CE" w:rsidRPr="00280DEE" w:rsidRDefault="009E49CE" w:rsidP="009E49C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169790502"/>
      <w:bookmarkStart w:id="19" w:name="_Toc235025258"/>
      <w:bookmarkEnd w:id="15"/>
      <w:bookmarkEnd w:id="16"/>
      <w:r w:rsidRPr="00280DE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3B33F042" w14:textId="25E6F675" w:rsidR="009E49CE" w:rsidRPr="00280DEE" w:rsidRDefault="009E49CE" w:rsidP="009E49C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80DEE">
        <w:rPr>
          <w:rFonts w:ascii="Simplified Arabic" w:eastAsia="Times New Roman" w:hAnsi="Simplified Arabic" w:cs="Simplified Arabic"/>
          <w:b/>
          <w:bCs/>
          <w:color w:val="000000" w:themeColor="text1"/>
          <w:kern w:val="0"/>
          <w:sz w:val="32"/>
          <w:szCs w:val="32"/>
          <w:rtl/>
          <w14:ligatures w14:val="none"/>
        </w:rPr>
        <w:t>أولاً: الإطار المفاهيمي لإدارة المواهب</w:t>
      </w:r>
    </w:p>
    <w:p w14:paraId="0951AB83" w14:textId="693342A8"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شهد مفهوم إدارة المواهب تطوراً ملحوظاً منذ أن صاغه مستشارو شركة ماكينزي</w:t>
      </w:r>
      <w:r w:rsidRPr="00280DEE">
        <w:rPr>
          <w:rFonts w:ascii="Simplified Arabic" w:eastAsia="Times New Roman" w:hAnsi="Simplified Arabic" w:cs="Simplified Arabic"/>
          <w:color w:val="000000" w:themeColor="text1"/>
          <w:kern w:val="0"/>
          <w:sz w:val="28"/>
          <w:szCs w:val="28"/>
          <w14:ligatures w14:val="none"/>
        </w:rPr>
        <w:t xml:space="preserve"> (McKinsey) </w:t>
      </w:r>
      <w:r w:rsidRPr="00280DEE">
        <w:rPr>
          <w:rFonts w:ascii="Simplified Arabic" w:eastAsia="Times New Roman" w:hAnsi="Simplified Arabic" w:cs="Simplified Arabic"/>
          <w:color w:val="000000" w:themeColor="text1"/>
          <w:kern w:val="0"/>
          <w:sz w:val="28"/>
          <w:szCs w:val="28"/>
          <w:rtl/>
          <w14:ligatures w14:val="none"/>
        </w:rPr>
        <w:t>لأول مرة عام 1997 في دراستهم الشهيرة "حرب المواهب</w:t>
      </w:r>
      <w:r w:rsidRPr="00280DEE">
        <w:rPr>
          <w:rFonts w:ascii="Simplified Arabic" w:eastAsia="Times New Roman" w:hAnsi="Simplified Arabic" w:cs="Simplified Arabic"/>
          <w:color w:val="000000" w:themeColor="text1"/>
          <w:kern w:val="0"/>
          <w:sz w:val="28"/>
          <w:szCs w:val="28"/>
          <w14:ligatures w14:val="none"/>
        </w:rPr>
        <w:t>" (The War for Talent)</w:t>
      </w:r>
      <w:r w:rsidRPr="00280DEE">
        <w:rPr>
          <w:rFonts w:ascii="Simplified Arabic" w:eastAsia="Times New Roman" w:hAnsi="Simplified Arabic" w:cs="Simplified Arabic"/>
          <w:color w:val="000000" w:themeColor="text1"/>
          <w:kern w:val="0"/>
          <w:sz w:val="28"/>
          <w:szCs w:val="28"/>
          <w:rtl/>
          <w14:ligatures w14:val="none"/>
        </w:rPr>
        <w:t>، حيث أكدوا أن المنظمات التي تتفوق في إدارة مواهبها هي الأقدر على تحقيق أداء استثنائي ومستدام. ومنذ ذلك الحين، تحوّل هذا المفهوم من مجرد ممارسة إدارية تقليدية إلى مدخل استراتيجي شامل يحتل مكانة محورية في الفكر الإداري المعاصر وفي أجندات الإدارة العليا للمنظمات على اختلاف أحجامها وقطاعاتها</w:t>
      </w:r>
      <w:r w:rsidRPr="00280DEE">
        <w:rPr>
          <w:rFonts w:ascii="Simplified Arabic" w:eastAsia="Times New Roman" w:hAnsi="Simplified Arabic" w:cs="Simplified Arabic"/>
          <w:color w:val="000000" w:themeColor="text1"/>
          <w:kern w:val="0"/>
          <w:sz w:val="28"/>
          <w:szCs w:val="28"/>
          <w14:ligatures w14:val="none"/>
        </w:rPr>
        <w:t xml:space="preserve"> (Kaliannan et al., 2023).</w:t>
      </w:r>
    </w:p>
    <w:p w14:paraId="1D2D6395"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وتُعرّف إدارة المواهب بأنها منظومة متكاملة من العمليات والاستراتيجيات والممارسات المنهجية التي تتبناها المنظمة بهدف استقطاب الأفراد الذين يمتلكون قدرات ومهارات ومعارف استثنائية، وتطوير إمكاناتهم، وتعويضهم بشكل عادل وتنافسي، والاحتفاظ بهم لضمان تحقيق الأهداف الاستراتيجية للمنظمة وتعزيز قدرتها التنافسية في سوق العمل. وتتجاوز إدارة المواهب الممارسات التقليدية لإدارة الموارد البشرية من حيث كونها لا تقتصر على العمليات الروتينية لإدارة شؤون الموظفين، بل تتبنى رؤية استراتيجية شمولية تربط بين إدارة رأس المال البشري والأهداف الكلية للمنظمة (السليحات والصوالحة، 2022). وقد أشار</w:t>
      </w:r>
      <w:r w:rsidRPr="00280DEE">
        <w:rPr>
          <w:rFonts w:ascii="Simplified Arabic" w:eastAsia="Times New Roman" w:hAnsi="Simplified Arabic" w:cs="Simplified Arabic"/>
          <w:color w:val="000000" w:themeColor="text1"/>
          <w:kern w:val="0"/>
          <w:sz w:val="28"/>
          <w:szCs w:val="28"/>
          <w14:ligatures w14:val="none"/>
        </w:rPr>
        <w:t xml:space="preserve"> (Sembiring &amp; Damayanti, 2023) </w:t>
      </w:r>
      <w:r w:rsidRPr="00280DEE">
        <w:rPr>
          <w:rFonts w:ascii="Simplified Arabic" w:eastAsia="Times New Roman" w:hAnsi="Simplified Arabic" w:cs="Simplified Arabic"/>
          <w:color w:val="000000" w:themeColor="text1"/>
          <w:kern w:val="0"/>
          <w:sz w:val="28"/>
          <w:szCs w:val="28"/>
          <w:rtl/>
          <w14:ligatures w14:val="none"/>
        </w:rPr>
        <w:t>إلى أن إدارة المواهب تُمثّل حلقة الوصل الاستراتيجية بين استقطاب المواهب والاحتفاظ بها من جهة وتحقيق الأداء المنظمي المتميز من جهة أخرى</w:t>
      </w:r>
      <w:r w:rsidRPr="00280DEE">
        <w:rPr>
          <w:rFonts w:ascii="Simplified Arabic" w:eastAsia="Times New Roman" w:hAnsi="Simplified Arabic" w:cs="Simplified Arabic"/>
          <w:color w:val="000000" w:themeColor="text1"/>
          <w:kern w:val="0"/>
          <w:sz w:val="28"/>
          <w:szCs w:val="28"/>
          <w14:ligatures w14:val="none"/>
        </w:rPr>
        <w:t>.</w:t>
      </w:r>
    </w:p>
    <w:p w14:paraId="71521E4C"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وتستند إدارة المواهب إلى عدة نظريات ومداخل فكرية رئيسية أبرزها نظرية الموارد</w:t>
      </w:r>
      <w:r w:rsidRPr="00280DEE">
        <w:rPr>
          <w:rFonts w:ascii="Simplified Arabic" w:eastAsia="Times New Roman" w:hAnsi="Simplified Arabic" w:cs="Simplified Arabic"/>
          <w:color w:val="000000" w:themeColor="text1"/>
          <w:kern w:val="0"/>
          <w:sz w:val="28"/>
          <w:szCs w:val="28"/>
          <w14:ligatures w14:val="none"/>
        </w:rPr>
        <w:t xml:space="preserve"> (Resource-Based View) </w:t>
      </w:r>
      <w:r w:rsidRPr="00280DEE">
        <w:rPr>
          <w:rFonts w:ascii="Simplified Arabic" w:eastAsia="Times New Roman" w:hAnsi="Simplified Arabic" w:cs="Simplified Arabic"/>
          <w:color w:val="000000" w:themeColor="text1"/>
          <w:kern w:val="0"/>
          <w:sz w:val="28"/>
          <w:szCs w:val="28"/>
          <w:rtl/>
          <w14:ligatures w14:val="none"/>
        </w:rPr>
        <w:t>التي ترى أن الموارد البشرية المتميزة تُشكّل مصدراً للميزة التنافسية المستدامة كونها موارد قيّمة ونادرة وصعبة التقليد وغير قابلة للاستبدال، ونظرية رأس المال البشري</w:t>
      </w:r>
      <w:r w:rsidRPr="00280DEE">
        <w:rPr>
          <w:rFonts w:ascii="Simplified Arabic" w:eastAsia="Times New Roman" w:hAnsi="Simplified Arabic" w:cs="Simplified Arabic"/>
          <w:color w:val="000000" w:themeColor="text1"/>
          <w:kern w:val="0"/>
          <w:sz w:val="28"/>
          <w:szCs w:val="28"/>
          <w14:ligatures w14:val="none"/>
        </w:rPr>
        <w:t xml:space="preserve"> (Human Capital Theory) </w:t>
      </w:r>
      <w:r w:rsidRPr="00280DEE">
        <w:rPr>
          <w:rFonts w:ascii="Simplified Arabic" w:eastAsia="Times New Roman" w:hAnsi="Simplified Arabic" w:cs="Simplified Arabic"/>
          <w:color w:val="000000" w:themeColor="text1"/>
          <w:kern w:val="0"/>
          <w:sz w:val="28"/>
          <w:szCs w:val="28"/>
          <w:rtl/>
          <w14:ligatures w14:val="none"/>
        </w:rPr>
        <w:t>التي تؤكد أن الاستثمار في تطوير معارف ومهارات الأفراد يُحقق عوائد إيجابية على المستويين الفردي والتنظيمي، فضلاً عن نظرية التبادل الاجتماعي</w:t>
      </w:r>
      <w:r w:rsidRPr="00280DEE">
        <w:rPr>
          <w:rFonts w:ascii="Simplified Arabic" w:eastAsia="Times New Roman" w:hAnsi="Simplified Arabic" w:cs="Simplified Arabic"/>
          <w:color w:val="000000" w:themeColor="text1"/>
          <w:kern w:val="0"/>
          <w:sz w:val="28"/>
          <w:szCs w:val="28"/>
          <w14:ligatures w14:val="none"/>
        </w:rPr>
        <w:t xml:space="preserve"> (Social Exchange Theory) </w:t>
      </w:r>
      <w:r w:rsidRPr="00280DEE">
        <w:rPr>
          <w:rFonts w:ascii="Simplified Arabic" w:eastAsia="Times New Roman" w:hAnsi="Simplified Arabic" w:cs="Simplified Arabic"/>
          <w:color w:val="000000" w:themeColor="text1"/>
          <w:kern w:val="0"/>
          <w:sz w:val="28"/>
          <w:szCs w:val="28"/>
          <w:rtl/>
          <w14:ligatures w14:val="none"/>
        </w:rPr>
        <w:t>التي تُفسّر كيف أن المنظمات التي تستثمر في تطوير موظفيها وتعويضهم بشكل عادل تحصل في المقابل على التزامهم وولائهم ورغبتهم في البقاء</w:t>
      </w:r>
      <w:r w:rsidRPr="00280DEE">
        <w:rPr>
          <w:rFonts w:ascii="Simplified Arabic" w:eastAsia="Times New Roman" w:hAnsi="Simplified Arabic" w:cs="Simplified Arabic"/>
          <w:color w:val="000000" w:themeColor="text1"/>
          <w:kern w:val="0"/>
          <w:sz w:val="28"/>
          <w:szCs w:val="28"/>
          <w14:ligatures w14:val="none"/>
        </w:rPr>
        <w:t xml:space="preserve"> (Younas &amp; Bari, 2020).</w:t>
      </w:r>
    </w:p>
    <w:p w14:paraId="76613B46" w14:textId="77777777" w:rsidR="004A09C4" w:rsidRPr="00280DEE" w:rsidRDefault="004A09C4" w:rsidP="006A54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0" w:name="_Toc226765717"/>
      <w:bookmarkStart w:id="21" w:name="_Toc235025259"/>
      <w:r w:rsidRPr="00280DEE">
        <w:rPr>
          <w:rFonts w:ascii="Simplified Arabic" w:eastAsia="Times New Roman" w:hAnsi="Simplified Arabic" w:cs="Simplified Arabic"/>
          <w:b/>
          <w:bCs/>
          <w:color w:val="000000" w:themeColor="text1"/>
          <w:kern w:val="0"/>
          <w:sz w:val="32"/>
          <w:szCs w:val="32"/>
          <w:rtl/>
          <w14:ligatures w14:val="none"/>
        </w:rPr>
        <w:t>ثانياً: أبعاد إدارة المواهب</w:t>
      </w:r>
      <w:bookmarkEnd w:id="20"/>
      <w:bookmarkEnd w:id="21"/>
    </w:p>
    <w:p w14:paraId="0B2BDB67" w14:textId="0F3AB1A7" w:rsidR="004A09C4" w:rsidRPr="00280DEE" w:rsidRDefault="004A09C4" w:rsidP="009E49CE">
      <w:pPr>
        <w:pStyle w:val="ListParagraph"/>
        <w:numPr>
          <w:ilvl w:val="0"/>
          <w:numId w:val="28"/>
        </w:numPr>
        <w:tabs>
          <w:tab w:val="right" w:pos="424"/>
        </w:tabs>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2" w:name="_Toc226765718"/>
      <w:bookmarkStart w:id="23" w:name="_Toc235025260"/>
      <w:r w:rsidRPr="00280DEE">
        <w:rPr>
          <w:rFonts w:ascii="Simplified Arabic" w:eastAsia="Times New Roman" w:hAnsi="Simplified Arabic" w:cs="Simplified Arabic"/>
          <w:b/>
          <w:bCs/>
          <w:color w:val="000000" w:themeColor="text1"/>
          <w:kern w:val="0"/>
          <w:sz w:val="28"/>
          <w:szCs w:val="28"/>
          <w:rtl/>
          <w14:ligatures w14:val="none"/>
        </w:rPr>
        <w:t>استقطاب المواهب</w:t>
      </w:r>
      <w:r w:rsidRPr="00280DEE">
        <w:rPr>
          <w:rFonts w:ascii="Simplified Arabic" w:eastAsia="Times New Roman" w:hAnsi="Simplified Arabic" w:cs="Simplified Arabic"/>
          <w:b/>
          <w:bCs/>
          <w:color w:val="000000" w:themeColor="text1"/>
          <w:kern w:val="0"/>
          <w:sz w:val="28"/>
          <w:szCs w:val="28"/>
          <w14:ligatures w14:val="none"/>
        </w:rPr>
        <w:t xml:space="preserve"> (Talent Attraction)</w:t>
      </w:r>
      <w:bookmarkEnd w:id="22"/>
      <w:bookmarkEnd w:id="23"/>
    </w:p>
    <w:p w14:paraId="2C8CB258"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يُقصد باستقطاب المواهب مجموعة العمليات والاستراتيجيات المنهجية التي تتبناها المنظمة لتحديد واستهداف وجذب الأفراد ذوي الكفاءات والمهارات والقدرات الاستثنائية من سوق العمل الداخلي والخارجي، واختيار الأنسب منهم لشغل الوظائف المتاحة بما يتوافق مع متطلبات العمل وثقافة المنظمة وأهدافها الاستراتيجية. ويتضمّن هذا البُعد ممارسات التوظيف والاختيار، وبناء العلامة التجارية لصاحب العمل، وتقديم عروض قيمة جاذبة للموظفين المحتملين</w:t>
      </w:r>
      <w:r w:rsidRPr="00280DEE">
        <w:rPr>
          <w:rFonts w:ascii="Simplified Arabic" w:eastAsia="Times New Roman" w:hAnsi="Simplified Arabic" w:cs="Simplified Arabic"/>
          <w:color w:val="000000" w:themeColor="text1"/>
          <w:kern w:val="0"/>
          <w:sz w:val="28"/>
          <w:szCs w:val="28"/>
          <w14:ligatures w14:val="none"/>
        </w:rPr>
        <w:t xml:space="preserve"> (Al Aina &amp; Atan, 2020). </w:t>
      </w:r>
      <w:r w:rsidRPr="00280DEE">
        <w:rPr>
          <w:rFonts w:ascii="Simplified Arabic" w:eastAsia="Times New Roman" w:hAnsi="Simplified Arabic" w:cs="Simplified Arabic"/>
          <w:color w:val="000000" w:themeColor="text1"/>
          <w:kern w:val="0"/>
          <w:sz w:val="28"/>
          <w:szCs w:val="28"/>
          <w:rtl/>
          <w14:ligatures w14:val="none"/>
        </w:rPr>
        <w:t>ويُعدّ استقطاب المواهب نقطة البداية الحاسمة في منظومة إدارة المواهب، إذ أن فاعلية المراحل اللاحقة تتوقف بشكل كبير على جودة عمليات الاستقطاب والاختيار (شوقير وعساف، 2025)</w:t>
      </w:r>
      <w:r w:rsidRPr="00280DEE">
        <w:rPr>
          <w:rFonts w:ascii="Simplified Arabic" w:eastAsia="Times New Roman" w:hAnsi="Simplified Arabic" w:cs="Simplified Arabic"/>
          <w:color w:val="000000" w:themeColor="text1"/>
          <w:kern w:val="0"/>
          <w:sz w:val="28"/>
          <w:szCs w:val="28"/>
          <w14:ligatures w14:val="none"/>
        </w:rPr>
        <w:t>.</w:t>
      </w:r>
    </w:p>
    <w:p w14:paraId="2CA2AF17" w14:textId="59BE0E1C" w:rsidR="004A09C4" w:rsidRPr="00280DEE" w:rsidRDefault="004A09C4" w:rsidP="009E49CE">
      <w:pPr>
        <w:pStyle w:val="ListParagraph"/>
        <w:numPr>
          <w:ilvl w:val="0"/>
          <w:numId w:val="2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4" w:name="_Toc226765719"/>
      <w:bookmarkStart w:id="25" w:name="_Toc235025261"/>
      <w:r w:rsidRPr="00280DEE">
        <w:rPr>
          <w:rFonts w:ascii="Simplified Arabic" w:eastAsia="Times New Roman" w:hAnsi="Simplified Arabic" w:cs="Simplified Arabic"/>
          <w:b/>
          <w:bCs/>
          <w:color w:val="000000" w:themeColor="text1"/>
          <w:kern w:val="0"/>
          <w:sz w:val="28"/>
          <w:szCs w:val="28"/>
          <w:rtl/>
          <w14:ligatures w14:val="none"/>
        </w:rPr>
        <w:lastRenderedPageBreak/>
        <w:t>تطوير المواهب</w:t>
      </w:r>
      <w:r w:rsidRPr="00280DEE">
        <w:rPr>
          <w:rFonts w:ascii="Simplified Arabic" w:eastAsia="Times New Roman" w:hAnsi="Simplified Arabic" w:cs="Simplified Arabic"/>
          <w:b/>
          <w:bCs/>
          <w:color w:val="000000" w:themeColor="text1"/>
          <w:kern w:val="0"/>
          <w:sz w:val="28"/>
          <w:szCs w:val="28"/>
          <w14:ligatures w14:val="none"/>
        </w:rPr>
        <w:t xml:space="preserve"> (Talent Development)</w:t>
      </w:r>
      <w:bookmarkEnd w:id="24"/>
      <w:bookmarkEnd w:id="25"/>
    </w:p>
    <w:p w14:paraId="7823C604"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يُشير تطوير المواهب إلى مجموعة البرامج والأنشطة والمبادرات المنظمة التي تستهدف تنمية المعارف والمهارات والقدرات والكفاءات لدى الموظفين الموهوبين، وتعزيز إمكاناتهم الحالية والمستقبلية لتمكينهم من أداء أدوارهم الوظيفية بكفاءة أعلى والارتقاء في مسيرتهم المهنية. ويشمل هذا البُعد التدريب المستمر والتعليم والتوجيه والإرشاد والتدوير الوظيفي وبرامج تطوير القيادات والتخطيط للتعاقب الوظيفي </w:t>
      </w:r>
      <w:r w:rsidRPr="00280DEE">
        <w:rPr>
          <w:rFonts w:ascii="Simplified Arabic" w:eastAsia="Times New Roman" w:hAnsi="Simplified Arabic" w:cs="Simplified Arabic"/>
          <w:color w:val="000000" w:themeColor="text1"/>
          <w:kern w:val="0"/>
          <w:sz w:val="28"/>
          <w:szCs w:val="28"/>
          <w14:ligatures w14:val="none"/>
        </w:rPr>
        <w:t xml:space="preserve">(Kaliannan et al., 2023). </w:t>
      </w:r>
      <w:r w:rsidRPr="00280DEE">
        <w:rPr>
          <w:rFonts w:ascii="Simplified Arabic" w:eastAsia="Times New Roman" w:hAnsi="Simplified Arabic" w:cs="Simplified Arabic"/>
          <w:color w:val="000000" w:themeColor="text1"/>
          <w:kern w:val="0"/>
          <w:sz w:val="28"/>
          <w:szCs w:val="28"/>
          <w:rtl/>
          <w14:ligatures w14:val="none"/>
        </w:rPr>
        <w:t>وقد أكد (قريشي ولعرافي وعبدالكريم، 2022) أن تطوير المواهب يُعزز التزام الموظفين تجاه المنظمة ويُقلّل من رغبتهم في تركها</w:t>
      </w:r>
      <w:r w:rsidRPr="00280DEE">
        <w:rPr>
          <w:rFonts w:ascii="Simplified Arabic" w:eastAsia="Times New Roman" w:hAnsi="Simplified Arabic" w:cs="Simplified Arabic"/>
          <w:color w:val="000000" w:themeColor="text1"/>
          <w:kern w:val="0"/>
          <w:sz w:val="28"/>
          <w:szCs w:val="28"/>
          <w14:ligatures w14:val="none"/>
        </w:rPr>
        <w:t>.</w:t>
      </w:r>
    </w:p>
    <w:p w14:paraId="0F707E4B" w14:textId="6B303C15" w:rsidR="004A09C4" w:rsidRPr="00280DEE" w:rsidRDefault="004A09C4" w:rsidP="009E49CE">
      <w:pPr>
        <w:pStyle w:val="ListParagraph"/>
        <w:numPr>
          <w:ilvl w:val="0"/>
          <w:numId w:val="2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6" w:name="_Toc226765720"/>
      <w:bookmarkStart w:id="27" w:name="_Toc235025262"/>
      <w:r w:rsidRPr="00280DEE">
        <w:rPr>
          <w:rFonts w:ascii="Simplified Arabic" w:eastAsia="Times New Roman" w:hAnsi="Simplified Arabic" w:cs="Simplified Arabic"/>
          <w:b/>
          <w:bCs/>
          <w:color w:val="000000" w:themeColor="text1"/>
          <w:kern w:val="0"/>
          <w:sz w:val="28"/>
          <w:szCs w:val="28"/>
          <w:rtl/>
          <w14:ligatures w14:val="none"/>
        </w:rPr>
        <w:t>الاحتفاظ بالمواهب</w:t>
      </w:r>
      <w:r w:rsidRPr="00280DEE">
        <w:rPr>
          <w:rFonts w:ascii="Simplified Arabic" w:eastAsia="Times New Roman" w:hAnsi="Simplified Arabic" w:cs="Simplified Arabic"/>
          <w:b/>
          <w:bCs/>
          <w:color w:val="000000" w:themeColor="text1"/>
          <w:kern w:val="0"/>
          <w:sz w:val="28"/>
          <w:szCs w:val="28"/>
          <w14:ligatures w14:val="none"/>
        </w:rPr>
        <w:t xml:space="preserve"> (Talent Retention)</w:t>
      </w:r>
      <w:bookmarkEnd w:id="26"/>
      <w:bookmarkEnd w:id="27"/>
    </w:p>
    <w:p w14:paraId="69A9BA04"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يُعرّف الاحتفاظ بالمواهب بأنه مجموعة السياسات والإجراءات والممارسات الاستراتيجية التي تتبناها المنظمة بهدف تشجيع الموظفين الموهوبين وذوي الأداء المتميز على البقاء والاستمرار في العمل لديها لأطول فترة ممكنة، من خلال توفير بيئة عمل محفّزة وداعمة تُلبي احتياجاتهم وتُحقق تطلعاتهم المهنية والشخصية. ويتضمّن هذا البُعد ممارسات الإثراء الوظيفي والتمكين والمشاركة في صنع القرار وتوفير مسارات وظيفية واضحة وتحقيق التوازن بين العمل والحياة (إسماعيل وفهمي، 2024). وقد أشارت دراسة (العدوان والهناندة، 2024) إلى أن الاحتفاظ بالمواهب يُمثّل ركيزة أساسية في تحقيق ريادة المنظمات وتعزيز قدرتها التنافسية</w:t>
      </w:r>
      <w:r w:rsidRPr="00280DEE">
        <w:rPr>
          <w:rFonts w:ascii="Simplified Arabic" w:eastAsia="Times New Roman" w:hAnsi="Simplified Arabic" w:cs="Simplified Arabic"/>
          <w:color w:val="000000" w:themeColor="text1"/>
          <w:kern w:val="0"/>
          <w:sz w:val="28"/>
          <w:szCs w:val="28"/>
          <w14:ligatures w14:val="none"/>
        </w:rPr>
        <w:t>.</w:t>
      </w:r>
    </w:p>
    <w:p w14:paraId="2F522331" w14:textId="347DF1C2" w:rsidR="004A09C4" w:rsidRPr="00280DEE" w:rsidRDefault="004A09C4" w:rsidP="009E49CE">
      <w:pPr>
        <w:pStyle w:val="ListParagraph"/>
        <w:numPr>
          <w:ilvl w:val="0"/>
          <w:numId w:val="28"/>
        </w:numPr>
        <w:spacing w:before="100" w:beforeAutospacing="1" w:after="100" w:afterAutospacing="1" w:line="276" w:lineRule="auto"/>
        <w:ind w:left="424"/>
        <w:jc w:val="both"/>
        <w:outlineLvl w:val="2"/>
        <w:rPr>
          <w:rFonts w:ascii="Simplified Arabic" w:eastAsia="Times New Roman" w:hAnsi="Simplified Arabic" w:cs="Simplified Arabic"/>
          <w:b/>
          <w:bCs/>
          <w:color w:val="000000" w:themeColor="text1"/>
          <w:kern w:val="0"/>
          <w:sz w:val="28"/>
          <w:szCs w:val="28"/>
          <w14:ligatures w14:val="none"/>
        </w:rPr>
      </w:pPr>
      <w:bookmarkStart w:id="28" w:name="_Toc226765721"/>
      <w:bookmarkStart w:id="29" w:name="_Toc235025263"/>
      <w:r w:rsidRPr="00280DEE">
        <w:rPr>
          <w:rFonts w:ascii="Simplified Arabic" w:eastAsia="Times New Roman" w:hAnsi="Simplified Arabic" w:cs="Simplified Arabic"/>
          <w:b/>
          <w:bCs/>
          <w:color w:val="000000" w:themeColor="text1"/>
          <w:kern w:val="0"/>
          <w:sz w:val="28"/>
          <w:szCs w:val="28"/>
          <w:rtl/>
          <w14:ligatures w14:val="none"/>
        </w:rPr>
        <w:t>تعويض المواهب</w:t>
      </w:r>
      <w:r w:rsidRPr="00280DEE">
        <w:rPr>
          <w:rFonts w:ascii="Simplified Arabic" w:eastAsia="Times New Roman" w:hAnsi="Simplified Arabic" w:cs="Simplified Arabic"/>
          <w:b/>
          <w:bCs/>
          <w:color w:val="000000" w:themeColor="text1"/>
          <w:kern w:val="0"/>
          <w:sz w:val="28"/>
          <w:szCs w:val="28"/>
          <w14:ligatures w14:val="none"/>
        </w:rPr>
        <w:t xml:space="preserve"> (Talent Compensation)</w:t>
      </w:r>
      <w:bookmarkEnd w:id="28"/>
      <w:bookmarkEnd w:id="29"/>
    </w:p>
    <w:p w14:paraId="7D1CCC50"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يُقصد بتعويض المواهب المنظومة المتكاملة من المكافآت المالية وغير المالية التي تُقدّمها المنظمة لموظفيها الموهوبين مقابل ما يبذلونه من جهود وما يُحققونه من إنجازات، بما يضمن شعورهم بالعدالة والتقدير ويُعزز دافعيتهم نحو التميز والاستمرار في العمل. ويشمل هذا البُعد الرواتب التنافسية والحوافز المادية والمعنوية والمزايا الوظيفية وبرامج المكافآت المرتبطة بالأداء ونظم التقدير والاعتراف بالإنجازات</w:t>
      </w:r>
      <w:r w:rsidRPr="00280DEE">
        <w:rPr>
          <w:rFonts w:ascii="Simplified Arabic" w:eastAsia="Times New Roman" w:hAnsi="Simplified Arabic" w:cs="Simplified Arabic"/>
          <w:color w:val="000000" w:themeColor="text1"/>
          <w:kern w:val="0"/>
          <w:sz w:val="28"/>
          <w:szCs w:val="28"/>
          <w14:ligatures w14:val="none"/>
        </w:rPr>
        <w:t xml:space="preserve"> (Kumar, 2022). </w:t>
      </w:r>
      <w:r w:rsidRPr="00280DEE">
        <w:rPr>
          <w:rFonts w:ascii="Simplified Arabic" w:eastAsia="Times New Roman" w:hAnsi="Simplified Arabic" w:cs="Simplified Arabic"/>
          <w:color w:val="000000" w:themeColor="text1"/>
          <w:kern w:val="0"/>
          <w:sz w:val="28"/>
          <w:szCs w:val="28"/>
          <w:rtl/>
          <w14:ligatures w14:val="none"/>
        </w:rPr>
        <w:t>وأكد (السليحات والصوالحة، 2022) أن تعويض المواهب يُمثّل بُعداً محورياً في إدارة المواهب يُسهم في استقرار الموظفين الموهوبين وتحفيزهم نحو تقديم أفضل ما لديهم</w:t>
      </w:r>
      <w:r w:rsidRPr="00280DEE">
        <w:rPr>
          <w:rFonts w:ascii="Simplified Arabic" w:eastAsia="Times New Roman" w:hAnsi="Simplified Arabic" w:cs="Simplified Arabic"/>
          <w:color w:val="000000" w:themeColor="text1"/>
          <w:kern w:val="0"/>
          <w:sz w:val="28"/>
          <w:szCs w:val="28"/>
          <w14:ligatures w14:val="none"/>
        </w:rPr>
        <w:t>.</w:t>
      </w:r>
    </w:p>
    <w:p w14:paraId="54D71E22" w14:textId="77777777" w:rsidR="004A09C4" w:rsidRPr="00280DEE" w:rsidRDefault="004A09C4" w:rsidP="006A54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0" w:name="_Toc226765722"/>
      <w:bookmarkStart w:id="31" w:name="_Toc235025264"/>
      <w:r w:rsidRPr="00280DEE">
        <w:rPr>
          <w:rFonts w:ascii="Simplified Arabic" w:eastAsia="Times New Roman" w:hAnsi="Simplified Arabic" w:cs="Simplified Arabic"/>
          <w:b/>
          <w:bCs/>
          <w:color w:val="000000" w:themeColor="text1"/>
          <w:kern w:val="0"/>
          <w:sz w:val="32"/>
          <w:szCs w:val="32"/>
          <w:rtl/>
          <w14:ligatures w14:val="none"/>
        </w:rPr>
        <w:t>ثالثاً: الإطار المفاهيمي للاحتفاظ بالكفاءات</w:t>
      </w:r>
      <w:bookmarkEnd w:id="30"/>
      <w:bookmarkEnd w:id="31"/>
    </w:p>
    <w:p w14:paraId="5BABEEF8" w14:textId="2C2EAF0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يُعرّف الاحتفاظ بالكفاءات بأنه قدرة المنظمة على الحفاظ على مواردها البشرية المتميزة التي تمتلك معارف ومهارات وخبرات استثنائية، ومنع تسرّبها إلى المنظمات المنافسة من خلال تهيئة الظروف التنظيمية والمادية والمعنوية التي تُعزز رضاهم والتزامهم ورغبتهم في الاستمرار والبقاء. ويتجاوز مفهوم الاحتفاظ بالكفاءات مجرد الحفاظ على الموظفين من الناحية العددية ليشمل الحفاظ على انخراطهم وتفاعلهم وإنتاجيتهم ورغبتهم الحقيقية في المساهمة الفاعلة في تحقيق أهداف المنظمة (سليطين والعباس، 2022).</w:t>
      </w:r>
    </w:p>
    <w:p w14:paraId="6DFB7A28"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ويرتبط الاحتفاظ بالكفاءات بعدة عوامل تنظيمية وفردية تتفاعل فيما بينها لتُشكّل قرار الموظف بالبقاء أو المغادرة، من أبرزها جودة بيئة العمل الداخلية وعدالة التعويضات وتوافر فرص النمو المهني وطبيعة العلاقة مع المسؤولين والزملاء والشعور بالانتماء التنظيمي (الحمزة، 2023). وقد أثبتت الدراسات أن المنظمات التي تنجح في الاحتفاظ بكفاءاتها تتمتع باستقرار تنظيمي أعلى وأداء مؤسسي أفضل وتكاليف تشغيلية أقل مقارنة بالمنظمات التي تعاني من معدلات دوران عمل مرتفعة (نوفل ورضوان، </w:t>
      </w:r>
      <w:r w:rsidRPr="00280DEE">
        <w:rPr>
          <w:rFonts w:ascii="Simplified Arabic" w:eastAsia="Times New Roman" w:hAnsi="Simplified Arabic" w:cs="Simplified Arabic"/>
          <w:color w:val="000000" w:themeColor="text1"/>
          <w:kern w:val="0"/>
          <w:sz w:val="28"/>
          <w:szCs w:val="28"/>
          <w14:ligatures w14:val="none"/>
        </w:rPr>
        <w:t xml:space="preserve">2026). </w:t>
      </w:r>
      <w:r w:rsidRPr="00280DEE">
        <w:rPr>
          <w:rFonts w:ascii="Simplified Arabic" w:eastAsia="Times New Roman" w:hAnsi="Simplified Arabic" w:cs="Simplified Arabic"/>
          <w:color w:val="000000" w:themeColor="text1"/>
          <w:kern w:val="0"/>
          <w:sz w:val="28"/>
          <w:szCs w:val="28"/>
          <w:rtl/>
          <w14:ligatures w14:val="none"/>
        </w:rPr>
        <w:t>كما أن الاحتفاظ بالكفاءات يُسهم في الحفاظ على الذاكرة التنظيمية والمعرفة الضمنية التي تتراكم لدى الموظفين ذوي الخبرة والتي يصعب نقلها أو تعويضها بسهولة عند مغادرتهم المنظمة</w:t>
      </w:r>
      <w:r w:rsidRPr="00280DEE">
        <w:rPr>
          <w:rFonts w:ascii="Simplified Arabic" w:eastAsia="Times New Roman" w:hAnsi="Simplified Arabic" w:cs="Simplified Arabic"/>
          <w:color w:val="000000" w:themeColor="text1"/>
          <w:kern w:val="0"/>
          <w:sz w:val="28"/>
          <w:szCs w:val="28"/>
          <w14:ligatures w14:val="none"/>
        </w:rPr>
        <w:t xml:space="preserve"> (Urme, 2023).</w:t>
      </w:r>
    </w:p>
    <w:p w14:paraId="44CB7B8C" w14:textId="63B54AD3" w:rsidR="009E49CE"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169790506"/>
      <w:bookmarkStart w:id="33" w:name="_Toc235025265"/>
      <w:bookmarkEnd w:id="18"/>
      <w:r w:rsidRPr="00280DE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3"/>
    </w:p>
    <w:p w14:paraId="18B24879"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وتحليلها كمياً من خلال جمع البيانات والمعلومات من الواقع الفعلي لشركات القطاع الخاص بالمملكة العربية السعودية. وسيتم توظيف هذا المنهج في شقين: الأول الشق النظري الذي سيتناول الإطار المفاهيمي والنظري لإدارة المواهب بأبعادها والاحتفاظ بالكفاءات من خلال مراجعة الأدبيات والدراسات السابقة العربية والأجنبية ذات الصلة، والثاني الشق التطبيقي الميداني الذي سيعتمد على تصميم استبانة كأداة رئيسية لجمع البيانات الأولية من عينة الدراسة</w:t>
      </w:r>
      <w:r w:rsidRPr="00280DEE">
        <w:rPr>
          <w:rFonts w:ascii="Simplified Arabic" w:eastAsia="Times New Roman" w:hAnsi="Simplified Arabic" w:cs="Simplified Arabic"/>
          <w:color w:val="000000" w:themeColor="text1"/>
          <w:kern w:val="0"/>
          <w:sz w:val="28"/>
          <w:szCs w:val="28"/>
          <w14:ligatures w14:val="none"/>
        </w:rPr>
        <w:t>.</w:t>
      </w:r>
    </w:p>
    <w:p w14:paraId="0A930228"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وسيُوظّف المنهج الوصفي التحليلي في قياس أثر إدارة المواهب بأبعادها (استقطاب المواهب، تطوير المواهب، الاحتفاظ بالمواهب، تعويض المواهب) على الاحتفاظ بالكفاءات، وذلك من خلال تحليل البيانات المجمّعة باستخدام الأساليب الإحصائية المناسبة لاختبار فرضيات الدراسة والإجابة عن تساؤلاتها، والوصول إلى نتائج وتوصيات قابلة للتعميم والتطبيق في بيئة القطاع الخاص السعودي</w:t>
      </w:r>
      <w:r w:rsidRPr="00280DEE">
        <w:rPr>
          <w:rFonts w:ascii="Simplified Arabic" w:eastAsia="Times New Roman" w:hAnsi="Simplified Arabic" w:cs="Simplified Arabic"/>
          <w:color w:val="000000" w:themeColor="text1"/>
          <w:kern w:val="0"/>
          <w:sz w:val="28"/>
          <w:szCs w:val="28"/>
          <w14:ligatures w14:val="none"/>
        </w:rPr>
        <w:t>.</w:t>
      </w:r>
    </w:p>
    <w:p w14:paraId="0C7D8B24" w14:textId="3080EB10"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6765724"/>
      <w:bookmarkStart w:id="35" w:name="_Toc235025266"/>
      <w:r w:rsidRPr="00280DEE">
        <w:rPr>
          <w:rFonts w:ascii="Simplified Arabic" w:eastAsia="Times New Roman" w:hAnsi="Simplified Arabic" w:cs="Simplified Arabic" w:hint="cs"/>
          <w:b/>
          <w:bCs/>
          <w:color w:val="000000" w:themeColor="text1"/>
          <w:kern w:val="36"/>
          <w:sz w:val="36"/>
          <w:szCs w:val="36"/>
          <w:rtl/>
          <w14:ligatures w14:val="none"/>
        </w:rPr>
        <w:lastRenderedPageBreak/>
        <w:t xml:space="preserve">11.1 </w:t>
      </w:r>
      <w:r w:rsidR="004A09C4" w:rsidRPr="00280DEE">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4"/>
      <w:bookmarkEnd w:id="35"/>
    </w:p>
    <w:p w14:paraId="474FA38B"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(الإدارة العليا، الإدارة الوسطى، الإدارة التنفيذية) في شركات القطاع الخاص بالمملكة العربية السعودية بمدينة الرياض، وذلك نظراً لكون مدينة الرياض تضم العدد الأكبر من شركات القطاع الخاص والمقرات الرئيسية للشركات الكبرى. ووفقاً لبيانات وزارة الموارد البشرية والتنمية الاجتماعية وهيئة الإحصاء العامة، يُقدّر عدد العاملين في المستويات الإدارية في شركات القطاع الخاص الكبرى والمتوسطة بمدينة الرياض بنحو </w:t>
      </w:r>
      <w:r w:rsidRPr="00280DEE">
        <w:rPr>
          <w:rFonts w:ascii="Simplified Arabic" w:eastAsia="Times New Roman" w:hAnsi="Simplified Arabic" w:cs="Simplified Arabic"/>
          <w:color w:val="000000" w:themeColor="text1"/>
          <w:kern w:val="0"/>
          <w:sz w:val="28"/>
          <w:szCs w:val="28"/>
          <w14:ligatures w14:val="none"/>
        </w:rPr>
        <w:t xml:space="preserve">(5000) </w:t>
      </w:r>
      <w:r w:rsidRPr="00280DEE">
        <w:rPr>
          <w:rFonts w:ascii="Simplified Arabic" w:eastAsia="Times New Roman" w:hAnsi="Simplified Arabic" w:cs="Simplified Arabic"/>
          <w:color w:val="000000" w:themeColor="text1"/>
          <w:kern w:val="0"/>
          <w:sz w:val="28"/>
          <w:szCs w:val="28"/>
          <w:rtl/>
          <w14:ligatures w14:val="none"/>
        </w:rPr>
        <w:t>موظف وموظفة تقريباً</w:t>
      </w:r>
      <w:r w:rsidRPr="00280DEE">
        <w:rPr>
          <w:rFonts w:ascii="Simplified Arabic" w:eastAsia="Times New Roman" w:hAnsi="Simplified Arabic" w:cs="Simplified Arabic"/>
          <w:color w:val="000000" w:themeColor="text1"/>
          <w:kern w:val="0"/>
          <w:sz w:val="28"/>
          <w:szCs w:val="28"/>
          <w14:ligatures w14:val="none"/>
        </w:rPr>
        <w:t>.</w:t>
      </w:r>
    </w:p>
    <w:p w14:paraId="5541DF91"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التناسبية لاختيار عينة ممثّلة لمجتمع الدراسة، وسيتم تحديد حجم العينة وفقاً لمعادلة ستيفن ثومبسون</w:t>
      </w:r>
      <w:r w:rsidRPr="00280DEE">
        <w:rPr>
          <w:rFonts w:ascii="Simplified Arabic" w:eastAsia="Times New Roman" w:hAnsi="Simplified Arabic" w:cs="Simplified Arabic"/>
          <w:color w:val="000000" w:themeColor="text1"/>
          <w:kern w:val="0"/>
          <w:sz w:val="28"/>
          <w:szCs w:val="28"/>
          <w14:ligatures w14:val="none"/>
        </w:rPr>
        <w:t xml:space="preserve"> (Steven Thompson) </w:t>
      </w:r>
      <w:r w:rsidRPr="00280DEE">
        <w:rPr>
          <w:rFonts w:ascii="Simplified Arabic" w:eastAsia="Times New Roman" w:hAnsi="Simplified Arabic" w:cs="Simplified Arabic"/>
          <w:color w:val="000000" w:themeColor="text1"/>
          <w:kern w:val="0"/>
          <w:sz w:val="28"/>
          <w:szCs w:val="28"/>
          <w:rtl/>
          <w14:ligatures w14:val="none"/>
        </w:rPr>
        <w:t>عند مستوى ثقة</w:t>
      </w:r>
      <w:r w:rsidRPr="00280DEE">
        <w:rPr>
          <w:rFonts w:ascii="Simplified Arabic" w:eastAsia="Times New Roman" w:hAnsi="Simplified Arabic" w:cs="Simplified Arabic"/>
          <w:color w:val="000000" w:themeColor="text1"/>
          <w:kern w:val="0"/>
          <w:sz w:val="28"/>
          <w:szCs w:val="28"/>
          <w14:ligatures w14:val="none"/>
        </w:rPr>
        <w:t xml:space="preserve"> (95%) </w:t>
      </w:r>
      <w:r w:rsidRPr="00280DEE">
        <w:rPr>
          <w:rFonts w:ascii="Simplified Arabic" w:eastAsia="Times New Roman" w:hAnsi="Simplified Arabic" w:cs="Simplified Arabic"/>
          <w:color w:val="000000" w:themeColor="text1"/>
          <w:kern w:val="0"/>
          <w:sz w:val="28"/>
          <w:szCs w:val="28"/>
          <w:rtl/>
          <w14:ligatures w14:val="none"/>
        </w:rPr>
        <w:t>وهامش خطأ (5%)، ليبلغ الحد الأدنى لحجم العينة المطلوب (357) مفردة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وسيتم توزيع (400) استبانة لضمان الحصول على عدد كافٍ من الاستبانات الصالحة للتحليل الإحصائي بعد استبعاد الاستبانات غير المكتملة أو غير الصالحة، وستُوزّع الاستبانات بشكل متناسب على المستويات الإدارية الثلاثة (العليا والوسطى والتنفيذية) في الشركات المختارة</w:t>
      </w:r>
      <w:r w:rsidRPr="00280DEE">
        <w:rPr>
          <w:rFonts w:ascii="Simplified Arabic" w:eastAsia="Times New Roman" w:hAnsi="Simplified Arabic" w:cs="Simplified Arabic"/>
          <w:color w:val="000000" w:themeColor="text1"/>
          <w:kern w:val="0"/>
          <w:sz w:val="28"/>
          <w:szCs w:val="28"/>
          <w14:ligatures w14:val="none"/>
        </w:rPr>
        <w:t>.</w:t>
      </w:r>
    </w:p>
    <w:p w14:paraId="0ADE41D2" w14:textId="18453FC8"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6765725"/>
      <w:bookmarkStart w:id="37" w:name="_Toc235025267"/>
      <w:r w:rsidRPr="00280DEE">
        <w:rPr>
          <w:rFonts w:ascii="Simplified Arabic" w:eastAsia="Times New Roman" w:hAnsi="Simplified Arabic" w:cs="Simplified Arabic" w:hint="cs"/>
          <w:b/>
          <w:bCs/>
          <w:color w:val="000000" w:themeColor="text1"/>
          <w:kern w:val="36"/>
          <w:sz w:val="36"/>
          <w:szCs w:val="36"/>
          <w:rtl/>
          <w14:ligatures w14:val="none"/>
        </w:rPr>
        <w:t xml:space="preserve">12.1 </w:t>
      </w:r>
      <w:r w:rsidR="004A09C4" w:rsidRPr="00280DEE">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6"/>
      <w:bookmarkEnd w:id="37"/>
    </w:p>
    <w:p w14:paraId="0B8FC6AC" w14:textId="77777777" w:rsidR="004A09C4" w:rsidRPr="00280DEE" w:rsidRDefault="004A09C4" w:rsidP="006A54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80DEE">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280DEE">
        <w:rPr>
          <w:rFonts w:ascii="Simplified Arabic" w:eastAsia="Times New Roman" w:hAnsi="Simplified Arabic" w:cs="Simplified Arabic"/>
          <w:b/>
          <w:bCs/>
          <w:color w:val="000000" w:themeColor="text1"/>
          <w:kern w:val="0"/>
          <w:sz w:val="28"/>
          <w:szCs w:val="28"/>
          <w14:ligatures w14:val="none"/>
        </w:rPr>
        <w:t>:</w:t>
      </w:r>
    </w:p>
    <w:p w14:paraId="25C55C7F" w14:textId="77777777" w:rsidR="004A09C4" w:rsidRPr="00280DEE" w:rsidRDefault="004A09C4" w:rsidP="009E49C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أولاً: المصادر الثانوية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العربية والأجنبية، والرسائل الجامعية (ماجستير ودكتوراه)، والدوريات والمجلات العلمية المحكّمة، والتقارير والإحصاءات الصادرة عن الجهات الرسمية بالمملكة العربية السعودية، وقواعد البيانات الإلكترونية مثل (دار المنظومة، </w:t>
      </w:r>
      <w:r w:rsidRPr="00280DEE">
        <w:rPr>
          <w:rFonts w:ascii="Simplified Arabic" w:eastAsia="Times New Roman" w:hAnsi="Simplified Arabic" w:cs="Simplified Arabic"/>
          <w:color w:val="000000" w:themeColor="text1"/>
          <w:kern w:val="0"/>
          <w:sz w:val="28"/>
          <w:szCs w:val="28"/>
          <w14:ligatures w14:val="none"/>
        </w:rPr>
        <w:t>Scopus</w:t>
      </w:r>
      <w:r w:rsidRPr="00280DEE">
        <w:rPr>
          <w:rFonts w:ascii="Simplified Arabic" w:eastAsia="Times New Roman" w:hAnsi="Simplified Arabic" w:cs="Simplified Arabic"/>
          <w:color w:val="000000" w:themeColor="text1"/>
          <w:kern w:val="0"/>
          <w:sz w:val="28"/>
          <w:szCs w:val="28"/>
          <w:rtl/>
          <w14:ligatures w14:val="none"/>
        </w:rPr>
        <w:t xml:space="preserve">، </w:t>
      </w:r>
      <w:r w:rsidRPr="00280DEE">
        <w:rPr>
          <w:rFonts w:ascii="Simplified Arabic" w:eastAsia="Times New Roman" w:hAnsi="Simplified Arabic" w:cs="Simplified Arabic"/>
          <w:color w:val="000000" w:themeColor="text1"/>
          <w:kern w:val="0"/>
          <w:sz w:val="28"/>
          <w:szCs w:val="28"/>
          <w14:ligatures w14:val="none"/>
        </w:rPr>
        <w:t>Web of Science</w:t>
      </w:r>
      <w:r w:rsidRPr="00280DEE">
        <w:rPr>
          <w:rFonts w:ascii="Simplified Arabic" w:eastAsia="Times New Roman" w:hAnsi="Simplified Arabic" w:cs="Simplified Arabic"/>
          <w:color w:val="000000" w:themeColor="text1"/>
          <w:kern w:val="0"/>
          <w:sz w:val="28"/>
          <w:szCs w:val="28"/>
          <w:rtl/>
          <w14:ligatures w14:val="none"/>
        </w:rPr>
        <w:t xml:space="preserve">، </w:t>
      </w:r>
      <w:r w:rsidRPr="00280DEE">
        <w:rPr>
          <w:rFonts w:ascii="Simplified Arabic" w:eastAsia="Times New Roman" w:hAnsi="Simplified Arabic" w:cs="Simplified Arabic"/>
          <w:color w:val="000000" w:themeColor="text1"/>
          <w:kern w:val="0"/>
          <w:sz w:val="28"/>
          <w:szCs w:val="28"/>
          <w14:ligatures w14:val="none"/>
        </w:rPr>
        <w:t>Google Scholar)</w:t>
      </w:r>
      <w:r w:rsidRPr="00280DEE">
        <w:rPr>
          <w:rFonts w:ascii="Simplified Arabic" w:eastAsia="Times New Roman" w:hAnsi="Simplified Arabic" w:cs="Simplified Arabic"/>
          <w:color w:val="000000" w:themeColor="text1"/>
          <w:kern w:val="0"/>
          <w:sz w:val="28"/>
          <w:szCs w:val="28"/>
          <w:rtl/>
          <w14:ligatures w14:val="none"/>
        </w:rPr>
        <w:t>، وذلك بهدف بناء الإطار النظري للدراسة ومراجعة الدراسات السابقة</w:t>
      </w:r>
      <w:r w:rsidRPr="00280DEE">
        <w:rPr>
          <w:rFonts w:ascii="Simplified Arabic" w:eastAsia="Times New Roman" w:hAnsi="Simplified Arabic" w:cs="Simplified Arabic"/>
          <w:color w:val="000000" w:themeColor="text1"/>
          <w:kern w:val="0"/>
          <w:sz w:val="28"/>
          <w:szCs w:val="28"/>
          <w14:ligatures w14:val="none"/>
        </w:rPr>
        <w:t>.</w:t>
      </w:r>
    </w:p>
    <w:p w14:paraId="1F7A4DD4" w14:textId="77777777" w:rsidR="004A09C4" w:rsidRPr="00280DEE" w:rsidRDefault="004A09C4" w:rsidP="009E49CE">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ثانياً: المصادر الأولية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بالاستناد إلى الأدبيات النظرية والدراسات السابقة ذات الصلة، وسيتم توزيعها على أفراد عينة الدراسة إلكترونياً وورقياً لجمع البيانات الأولية الميدانية</w:t>
      </w:r>
      <w:r w:rsidRPr="00280DEE">
        <w:rPr>
          <w:rFonts w:ascii="Simplified Arabic" w:eastAsia="Times New Roman" w:hAnsi="Simplified Arabic" w:cs="Simplified Arabic"/>
          <w:color w:val="000000" w:themeColor="text1"/>
          <w:kern w:val="0"/>
          <w:sz w:val="28"/>
          <w:szCs w:val="28"/>
          <w14:ligatures w14:val="none"/>
        </w:rPr>
        <w:t>.</w:t>
      </w:r>
    </w:p>
    <w:p w14:paraId="0B668463" w14:textId="63DA60C5"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6765726"/>
      <w:bookmarkStart w:id="39" w:name="_Toc235025268"/>
      <w:r w:rsidRPr="00280DEE">
        <w:rPr>
          <w:rFonts w:ascii="Simplified Arabic" w:eastAsia="Times New Roman" w:hAnsi="Simplified Arabic" w:cs="Simplified Arabic" w:hint="cs"/>
          <w:b/>
          <w:bCs/>
          <w:color w:val="000000" w:themeColor="text1"/>
          <w:kern w:val="36"/>
          <w:sz w:val="36"/>
          <w:szCs w:val="36"/>
          <w:rtl/>
          <w14:ligatures w14:val="none"/>
        </w:rPr>
        <w:lastRenderedPageBreak/>
        <w:t xml:space="preserve">13.1 </w:t>
      </w:r>
      <w:r w:rsidR="004A09C4" w:rsidRPr="00280DEE">
        <w:rPr>
          <w:rFonts w:ascii="Simplified Arabic" w:eastAsia="Times New Roman" w:hAnsi="Simplified Arabic" w:cs="Simplified Arabic"/>
          <w:b/>
          <w:bCs/>
          <w:color w:val="000000" w:themeColor="text1"/>
          <w:kern w:val="36"/>
          <w:sz w:val="36"/>
          <w:szCs w:val="36"/>
          <w:rtl/>
          <w14:ligatures w14:val="none"/>
        </w:rPr>
        <w:t>أداة الدراسة</w:t>
      </w:r>
      <w:bookmarkEnd w:id="38"/>
      <w:bookmarkEnd w:id="39"/>
    </w:p>
    <w:p w14:paraId="76F17113"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w:t>
      </w:r>
      <w:r w:rsidRPr="00280DEE">
        <w:rPr>
          <w:rFonts w:ascii="Simplified Arabic" w:eastAsia="Times New Roman" w:hAnsi="Simplified Arabic" w:cs="Simplified Arabic"/>
          <w:color w:val="000000" w:themeColor="text1"/>
          <w:kern w:val="0"/>
          <w:sz w:val="28"/>
          <w:szCs w:val="28"/>
          <w14:ligatures w14:val="none"/>
        </w:rPr>
        <w:t xml:space="preserve"> (Likert Scale) </w:t>
      </w:r>
      <w:r w:rsidRPr="00280DEE">
        <w:rPr>
          <w:rFonts w:ascii="Simplified Arabic" w:eastAsia="Times New Roman" w:hAnsi="Simplified Arabic" w:cs="Simplified Arabic"/>
          <w:color w:val="000000" w:themeColor="text1"/>
          <w:kern w:val="0"/>
          <w:sz w:val="28"/>
          <w:szCs w:val="28"/>
          <w:rtl/>
          <w14:ligatures w14:val="none"/>
        </w:rPr>
        <w:t>المتدرج من (1) بشدة لا أوافق إلى (5) بشدة أوافق. وستتكوّن الاستبانة من ثلاثة أقسام رئيسية على النحو التالي</w:t>
      </w:r>
      <w:r w:rsidRPr="00280DEE">
        <w:rPr>
          <w:rFonts w:ascii="Simplified Arabic" w:eastAsia="Times New Roman" w:hAnsi="Simplified Arabic" w:cs="Simplified Arabic"/>
          <w:color w:val="000000" w:themeColor="text1"/>
          <w:kern w:val="0"/>
          <w:sz w:val="28"/>
          <w:szCs w:val="28"/>
          <w14:ligatures w14:val="none"/>
        </w:rPr>
        <w:t>:</w:t>
      </w:r>
    </w:p>
    <w:p w14:paraId="278BDF10"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ويتضمّن بيانات عن خصائص المستجيبين من حيث (الجنس، العمر، المؤهل العلمي، سنوات الخبرة، المستوى الوظيفي)</w:t>
      </w:r>
      <w:r w:rsidRPr="00280DEE">
        <w:rPr>
          <w:rFonts w:ascii="Simplified Arabic" w:eastAsia="Times New Roman" w:hAnsi="Simplified Arabic" w:cs="Simplified Arabic"/>
          <w:color w:val="000000" w:themeColor="text1"/>
          <w:kern w:val="0"/>
          <w:sz w:val="28"/>
          <w:szCs w:val="28"/>
          <w14:ligatures w14:val="none"/>
        </w:rPr>
        <w:t>.</w:t>
      </w:r>
    </w:p>
    <w:p w14:paraId="3BF937B6"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القسم الثاني: المتغير المستقل (إدارة المواهب) ويتكوّن من (16) فقرة موزّعة على أربعة أبعاد، وذلك على النحو التالي</w:t>
      </w:r>
      <w:r w:rsidRPr="00280DEE">
        <w:rPr>
          <w:rFonts w:ascii="Simplified Arabic" w:eastAsia="Times New Roman" w:hAnsi="Simplified Arabic" w:cs="Simplified Arabic"/>
          <w:color w:val="000000" w:themeColor="text1"/>
          <w:kern w:val="0"/>
          <w:sz w:val="28"/>
          <w:szCs w:val="28"/>
          <w14:ligatures w14:val="none"/>
        </w:rPr>
        <w:t>:</w:t>
      </w:r>
    </w:p>
    <w:p w14:paraId="62DB2538" w14:textId="77777777" w:rsidR="004A09C4" w:rsidRPr="00280DEE" w:rsidRDefault="004A09C4" w:rsidP="009E49C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البُعد الأول: استقطاب 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ويتضمّن (4) فقرات تقيس مدى تطبيق ممارسات استقطاب المواهب في شركات القطاع الخاص</w:t>
      </w:r>
      <w:r w:rsidRPr="00280DEE">
        <w:rPr>
          <w:rFonts w:ascii="Simplified Arabic" w:eastAsia="Times New Roman" w:hAnsi="Simplified Arabic" w:cs="Simplified Arabic"/>
          <w:color w:val="000000" w:themeColor="text1"/>
          <w:kern w:val="0"/>
          <w:sz w:val="28"/>
          <w:szCs w:val="28"/>
          <w14:ligatures w14:val="none"/>
        </w:rPr>
        <w:t>.</w:t>
      </w:r>
    </w:p>
    <w:p w14:paraId="0C2FC8F6" w14:textId="77777777" w:rsidR="004A09C4" w:rsidRPr="00280DEE" w:rsidRDefault="004A09C4" w:rsidP="009E49C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البُعد الثاني: تطوير 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ويتضمّن (4) فقرات تقيس مدى تطبيق ممارسات تطوير المواهب وتنمية قدراتها</w:t>
      </w:r>
      <w:r w:rsidRPr="00280DEE">
        <w:rPr>
          <w:rFonts w:ascii="Simplified Arabic" w:eastAsia="Times New Roman" w:hAnsi="Simplified Arabic" w:cs="Simplified Arabic"/>
          <w:color w:val="000000" w:themeColor="text1"/>
          <w:kern w:val="0"/>
          <w:sz w:val="28"/>
          <w:szCs w:val="28"/>
          <w14:ligatures w14:val="none"/>
        </w:rPr>
        <w:t>.</w:t>
      </w:r>
    </w:p>
    <w:p w14:paraId="203D4343" w14:textId="77777777" w:rsidR="004A09C4" w:rsidRPr="00280DEE" w:rsidRDefault="004A09C4" w:rsidP="009E49C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البُعد الثالث: الاحتفاظ بالمواهب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ويتضمّن (4) فقرات تقيس مدى تطبيق ممارسات الاحتفاظ بالمواهب والحفاظ عليها</w:t>
      </w:r>
      <w:r w:rsidRPr="00280DEE">
        <w:rPr>
          <w:rFonts w:ascii="Simplified Arabic" w:eastAsia="Times New Roman" w:hAnsi="Simplified Arabic" w:cs="Simplified Arabic"/>
          <w:color w:val="000000" w:themeColor="text1"/>
          <w:kern w:val="0"/>
          <w:sz w:val="28"/>
          <w:szCs w:val="28"/>
          <w14:ligatures w14:val="none"/>
        </w:rPr>
        <w:t>.</w:t>
      </w:r>
    </w:p>
    <w:p w14:paraId="694A1629" w14:textId="77777777" w:rsidR="004A09C4" w:rsidRPr="00280DEE" w:rsidRDefault="004A09C4" w:rsidP="009E49CE">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البُعد الرابع: تعويض المواهب</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ويتضمّن (4) فقرات تقيس مدى تطبيق ممارسات تعويض المواهب ومكافأتها</w:t>
      </w:r>
      <w:r w:rsidRPr="00280DEE">
        <w:rPr>
          <w:rFonts w:ascii="Simplified Arabic" w:eastAsia="Times New Roman" w:hAnsi="Simplified Arabic" w:cs="Simplified Arabic"/>
          <w:color w:val="000000" w:themeColor="text1"/>
          <w:kern w:val="0"/>
          <w:sz w:val="28"/>
          <w:szCs w:val="28"/>
          <w14:ligatures w14:val="none"/>
        </w:rPr>
        <w:t>.</w:t>
      </w:r>
    </w:p>
    <w:p w14:paraId="5A412545"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القسم الثالث: المتغير التابع (الاحتفاظ بالكفاءات) وهو أحادي المحور، ويتضمّن (10) فقرات تقيس مستوى الاحتفاظ بالكفاءات في شركات القطاع الخاص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103FA402"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w:t>
      </w:r>
      <w:r w:rsidRPr="00280DEE">
        <w:rPr>
          <w:rFonts w:ascii="Simplified Arabic" w:eastAsia="Times New Roman" w:hAnsi="Simplified Arabic" w:cs="Simplified Arabic"/>
          <w:color w:val="000000" w:themeColor="text1"/>
          <w:kern w:val="0"/>
          <w:sz w:val="28"/>
          <w:szCs w:val="28"/>
          <w14:ligatures w14:val="none"/>
        </w:rPr>
        <w:t xml:space="preserve"> (26) </w:t>
      </w:r>
      <w:r w:rsidRPr="00280DEE">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 والوظيفية. وسيتم التحقق من صدق الأداة من خلال الصدق الظاهري بعرضها على مجموعة من المحكّمين المتخصصين، والصدق البنائي باستخدام التحليل العاملي التوكيدي، كما سيتم التحقق من ثبات الأداة باستخدام معامل ألفا كرونباخ</w:t>
      </w:r>
      <w:r w:rsidRPr="00280DEE">
        <w:rPr>
          <w:rFonts w:ascii="Simplified Arabic" w:eastAsia="Times New Roman" w:hAnsi="Simplified Arabic" w:cs="Simplified Arabic"/>
          <w:color w:val="000000" w:themeColor="text1"/>
          <w:kern w:val="0"/>
          <w:sz w:val="28"/>
          <w:szCs w:val="28"/>
          <w14:ligatures w14:val="none"/>
        </w:rPr>
        <w:t xml:space="preserve"> (Cronbach's Alpha).</w:t>
      </w:r>
    </w:p>
    <w:p w14:paraId="761E88F7" w14:textId="094C98C3"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0" w:name="_Toc226765727"/>
      <w:bookmarkStart w:id="41" w:name="_Toc235025269"/>
      <w:r w:rsidRPr="00280DEE">
        <w:rPr>
          <w:rFonts w:ascii="Simplified Arabic" w:eastAsia="Times New Roman" w:hAnsi="Simplified Arabic" w:cs="Simplified Arabic" w:hint="cs"/>
          <w:b/>
          <w:bCs/>
          <w:color w:val="000000" w:themeColor="text1"/>
          <w:kern w:val="36"/>
          <w:sz w:val="36"/>
          <w:szCs w:val="36"/>
          <w:rtl/>
          <w14:ligatures w14:val="none"/>
        </w:rPr>
        <w:t xml:space="preserve">14.1 </w:t>
      </w:r>
      <w:r w:rsidR="004A09C4" w:rsidRPr="00280DEE">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40"/>
      <w:bookmarkEnd w:id="41"/>
    </w:p>
    <w:p w14:paraId="0C796AE3" w14:textId="77777777" w:rsidR="004A09C4" w:rsidRPr="00280DEE" w:rsidRDefault="004A09C4" w:rsidP="009E49C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ستعتمد الدراسة على استخدام برنامج الحزم الإحصائية للعلوم الاجتماعية</w:t>
      </w:r>
      <w:r w:rsidRPr="00280DEE">
        <w:rPr>
          <w:rFonts w:ascii="Simplified Arabic" w:eastAsia="Times New Roman" w:hAnsi="Simplified Arabic" w:cs="Simplified Arabic"/>
          <w:color w:val="000000" w:themeColor="text1"/>
          <w:kern w:val="0"/>
          <w:sz w:val="28"/>
          <w:szCs w:val="28"/>
          <w14:ligatures w14:val="none"/>
        </w:rPr>
        <w:t xml:space="preserve"> (SPSS) </w:t>
      </w:r>
      <w:r w:rsidRPr="00280DEE">
        <w:rPr>
          <w:rFonts w:ascii="Simplified Arabic" w:eastAsia="Times New Roman" w:hAnsi="Simplified Arabic" w:cs="Simplified Arabic"/>
          <w:color w:val="000000" w:themeColor="text1"/>
          <w:kern w:val="0"/>
          <w:sz w:val="28"/>
          <w:szCs w:val="28"/>
          <w:rtl/>
          <w14:ligatures w14:val="none"/>
        </w:rPr>
        <w:t>وبرنامج</w:t>
      </w:r>
      <w:r w:rsidRPr="00280DEE">
        <w:rPr>
          <w:rFonts w:ascii="Simplified Arabic" w:eastAsia="Times New Roman" w:hAnsi="Simplified Arabic" w:cs="Simplified Arabic"/>
          <w:color w:val="000000" w:themeColor="text1"/>
          <w:kern w:val="0"/>
          <w:sz w:val="28"/>
          <w:szCs w:val="28"/>
          <w14:ligatures w14:val="none"/>
        </w:rPr>
        <w:t xml:space="preserve"> (AMOS) </w:t>
      </w:r>
      <w:r w:rsidRPr="00280DEE">
        <w:rPr>
          <w:rFonts w:ascii="Simplified Arabic" w:eastAsia="Times New Roman" w:hAnsi="Simplified Arabic" w:cs="Simplified Arabic"/>
          <w:color w:val="000000" w:themeColor="text1"/>
          <w:kern w:val="0"/>
          <w:sz w:val="28"/>
          <w:szCs w:val="28"/>
          <w:rtl/>
          <w14:ligatures w14:val="none"/>
        </w:rPr>
        <w:t>لتحليل البيانات واختبار الفرضيات، وسيتم توظيف الأساليب الإحصائية التالية</w:t>
      </w:r>
      <w:r w:rsidRPr="00280DEE">
        <w:rPr>
          <w:rFonts w:ascii="Simplified Arabic" w:eastAsia="Times New Roman" w:hAnsi="Simplified Arabic" w:cs="Simplified Arabic"/>
          <w:color w:val="000000" w:themeColor="text1"/>
          <w:kern w:val="0"/>
          <w:sz w:val="28"/>
          <w:szCs w:val="28"/>
          <w14:ligatures w14:val="none"/>
        </w:rPr>
        <w:t>:</w:t>
      </w:r>
    </w:p>
    <w:p w14:paraId="29064362"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مقاييس الإحصاء الوصفي</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استجابات أفراد العينة على محاور الاستبانة وترتيب أبعادها حسب الأهمية النسبية</w:t>
      </w:r>
      <w:r w:rsidRPr="00280DEE">
        <w:rPr>
          <w:rFonts w:ascii="Simplified Arabic" w:eastAsia="Times New Roman" w:hAnsi="Simplified Arabic" w:cs="Simplified Arabic"/>
          <w:color w:val="000000" w:themeColor="text1"/>
          <w:kern w:val="0"/>
          <w:sz w:val="28"/>
          <w:szCs w:val="28"/>
          <w14:ligatures w14:val="none"/>
        </w:rPr>
        <w:t>.</w:t>
      </w:r>
    </w:p>
    <w:p w14:paraId="7053D3ED"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معامل ألفا كرونباخ</w:t>
      </w:r>
      <w:r w:rsidRPr="00280DEE">
        <w:rPr>
          <w:rFonts w:ascii="Simplified Arabic" w:eastAsia="Times New Roman" w:hAnsi="Simplified Arabic" w:cs="Simplified Arabic"/>
          <w:color w:val="000000" w:themeColor="text1"/>
          <w:kern w:val="0"/>
          <w:sz w:val="28"/>
          <w:szCs w:val="28"/>
          <w14:ligatures w14:val="none"/>
        </w:rPr>
        <w:t xml:space="preserve"> (Cronbach's Alpha): </w:t>
      </w:r>
      <w:r w:rsidRPr="00280DEE">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280DEE">
        <w:rPr>
          <w:rFonts w:ascii="Simplified Arabic" w:eastAsia="Times New Roman" w:hAnsi="Simplified Arabic" w:cs="Simplified Arabic"/>
          <w:color w:val="000000" w:themeColor="text1"/>
          <w:kern w:val="0"/>
          <w:sz w:val="28"/>
          <w:szCs w:val="28"/>
          <w14:ligatures w14:val="none"/>
        </w:rPr>
        <w:t>.</w:t>
      </w:r>
    </w:p>
    <w:p w14:paraId="5AF61652"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معامل ارتباط بيرسون</w:t>
      </w:r>
      <w:r w:rsidRPr="00280DEE">
        <w:rPr>
          <w:rFonts w:ascii="Simplified Arabic" w:eastAsia="Times New Roman" w:hAnsi="Simplified Arabic" w:cs="Simplified Arabic"/>
          <w:color w:val="000000" w:themeColor="text1"/>
          <w:kern w:val="0"/>
          <w:sz w:val="28"/>
          <w:szCs w:val="28"/>
          <w14:ligatures w14:val="none"/>
        </w:rPr>
        <w:t xml:space="preserve"> (Pearson Correlation): </w:t>
      </w:r>
      <w:r w:rsidRPr="00280DEE">
        <w:rPr>
          <w:rFonts w:ascii="Simplified Arabic" w:eastAsia="Times New Roman" w:hAnsi="Simplified Arabic" w:cs="Simplified Arabic"/>
          <w:color w:val="000000" w:themeColor="text1"/>
          <w:kern w:val="0"/>
          <w:sz w:val="28"/>
          <w:szCs w:val="28"/>
          <w:rtl/>
          <w14:ligatures w14:val="none"/>
        </w:rPr>
        <w:t>لقياس درجة الارتباط بين أبعاد إدارة المواهب والاحتفاظ بالكفاءات</w:t>
      </w:r>
      <w:r w:rsidRPr="00280DEE">
        <w:rPr>
          <w:rFonts w:ascii="Simplified Arabic" w:eastAsia="Times New Roman" w:hAnsi="Simplified Arabic" w:cs="Simplified Arabic"/>
          <w:color w:val="000000" w:themeColor="text1"/>
          <w:kern w:val="0"/>
          <w:sz w:val="28"/>
          <w:szCs w:val="28"/>
          <w14:ligatures w14:val="none"/>
        </w:rPr>
        <w:t>.</w:t>
      </w:r>
    </w:p>
    <w:p w14:paraId="2DC31EEF"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تحليل الانحدار المتعدد</w:t>
      </w:r>
      <w:r w:rsidRPr="00280DEE">
        <w:rPr>
          <w:rFonts w:ascii="Simplified Arabic" w:eastAsia="Times New Roman" w:hAnsi="Simplified Arabic" w:cs="Simplified Arabic"/>
          <w:color w:val="000000" w:themeColor="text1"/>
          <w:kern w:val="0"/>
          <w:sz w:val="28"/>
          <w:szCs w:val="28"/>
          <w14:ligatures w14:val="none"/>
        </w:rPr>
        <w:t xml:space="preserve"> (Multiple Regression Analysis): </w:t>
      </w:r>
      <w:r w:rsidRPr="00280DEE">
        <w:rPr>
          <w:rFonts w:ascii="Simplified Arabic" w:eastAsia="Times New Roman" w:hAnsi="Simplified Arabic" w:cs="Simplified Arabic"/>
          <w:color w:val="000000" w:themeColor="text1"/>
          <w:kern w:val="0"/>
          <w:sz w:val="28"/>
          <w:szCs w:val="28"/>
          <w:rtl/>
          <w14:ligatures w14:val="none"/>
        </w:rPr>
        <w:t>لقياس أثر أبعاد إدارة المواهب مجتمعة ومنفردة على الاحتفاظ بالكفاءات واختبار فرضيات الدراسة الرئيسية</w:t>
      </w:r>
      <w:r w:rsidRPr="00280DEE">
        <w:rPr>
          <w:rFonts w:ascii="Simplified Arabic" w:eastAsia="Times New Roman" w:hAnsi="Simplified Arabic" w:cs="Simplified Arabic"/>
          <w:color w:val="000000" w:themeColor="text1"/>
          <w:kern w:val="0"/>
          <w:sz w:val="28"/>
          <w:szCs w:val="28"/>
          <w14:ligatures w14:val="none"/>
        </w:rPr>
        <w:t>.</w:t>
      </w:r>
    </w:p>
    <w:p w14:paraId="318673D1"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تحليل الانحدار البسيط</w:t>
      </w:r>
      <w:r w:rsidRPr="00280DEE">
        <w:rPr>
          <w:rFonts w:ascii="Simplified Arabic" w:eastAsia="Times New Roman" w:hAnsi="Simplified Arabic" w:cs="Simplified Arabic"/>
          <w:color w:val="000000" w:themeColor="text1"/>
          <w:kern w:val="0"/>
          <w:sz w:val="28"/>
          <w:szCs w:val="28"/>
          <w14:ligatures w14:val="none"/>
        </w:rPr>
        <w:t xml:space="preserve"> (Simple Regression Analysis): </w:t>
      </w:r>
      <w:r w:rsidRPr="00280DEE">
        <w:rPr>
          <w:rFonts w:ascii="Simplified Arabic" w:eastAsia="Times New Roman" w:hAnsi="Simplified Arabic" w:cs="Simplified Arabic"/>
          <w:color w:val="000000" w:themeColor="text1"/>
          <w:kern w:val="0"/>
          <w:sz w:val="28"/>
          <w:szCs w:val="28"/>
          <w:rtl/>
          <w14:ligatures w14:val="none"/>
        </w:rPr>
        <w:t>لقياس أثر كل بُعد من أبعاد إدارة المواهب على حدة على الاحتفاظ بالكفاءات</w:t>
      </w:r>
      <w:r w:rsidRPr="00280DEE">
        <w:rPr>
          <w:rFonts w:ascii="Simplified Arabic" w:eastAsia="Times New Roman" w:hAnsi="Simplified Arabic" w:cs="Simplified Arabic"/>
          <w:color w:val="000000" w:themeColor="text1"/>
          <w:kern w:val="0"/>
          <w:sz w:val="28"/>
          <w:szCs w:val="28"/>
          <w14:ligatures w14:val="none"/>
        </w:rPr>
        <w:t>.</w:t>
      </w:r>
    </w:p>
    <w:p w14:paraId="0E15ED39"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اختبار</w:t>
      </w:r>
      <w:r w:rsidRPr="00280DEE">
        <w:rPr>
          <w:rFonts w:ascii="Simplified Arabic" w:eastAsia="Times New Roman" w:hAnsi="Simplified Arabic" w:cs="Simplified Arabic"/>
          <w:color w:val="000000" w:themeColor="text1"/>
          <w:kern w:val="0"/>
          <w:sz w:val="28"/>
          <w:szCs w:val="28"/>
          <w14:ligatures w14:val="none"/>
        </w:rPr>
        <w:t xml:space="preserve"> (T-Test) </w:t>
      </w:r>
      <w:r w:rsidRPr="00280DEE">
        <w:rPr>
          <w:rFonts w:ascii="Simplified Arabic" w:eastAsia="Times New Roman" w:hAnsi="Simplified Arabic" w:cs="Simplified Arabic"/>
          <w:color w:val="000000" w:themeColor="text1"/>
          <w:kern w:val="0"/>
          <w:sz w:val="28"/>
          <w:szCs w:val="28"/>
          <w:rtl/>
          <w14:ligatures w14:val="none"/>
        </w:rPr>
        <w:t>للعينات المستقلة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لفحص الفروق ذات الدلالة الإحصائية في استجابات أفراد العينة تُعزى لمتغير الجنس</w:t>
      </w:r>
      <w:r w:rsidRPr="00280DEE">
        <w:rPr>
          <w:rFonts w:ascii="Simplified Arabic" w:eastAsia="Times New Roman" w:hAnsi="Simplified Arabic" w:cs="Simplified Arabic"/>
          <w:color w:val="000000" w:themeColor="text1"/>
          <w:kern w:val="0"/>
          <w:sz w:val="28"/>
          <w:szCs w:val="28"/>
          <w14:ligatures w14:val="none"/>
        </w:rPr>
        <w:t>.</w:t>
      </w:r>
    </w:p>
    <w:p w14:paraId="7A3A6471" w14:textId="42C4B9FA"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اختبار تحليل التباين الأحادي</w:t>
      </w:r>
      <w:r w:rsidRPr="00280DEE">
        <w:rPr>
          <w:rFonts w:ascii="Simplified Arabic" w:eastAsia="Times New Roman" w:hAnsi="Simplified Arabic" w:cs="Simplified Arabic"/>
          <w:color w:val="000000" w:themeColor="text1"/>
          <w:kern w:val="0"/>
          <w:sz w:val="28"/>
          <w:szCs w:val="28"/>
          <w14:ligatures w14:val="none"/>
        </w:rPr>
        <w:t xml:space="preserve"> (One-Way ANOVA): </w:t>
      </w:r>
      <w:r w:rsidRPr="00280DEE">
        <w:rPr>
          <w:rFonts w:ascii="Simplified Arabic" w:eastAsia="Times New Roman" w:hAnsi="Simplified Arabic" w:cs="Simplified Arabic"/>
          <w:color w:val="000000" w:themeColor="text1"/>
          <w:kern w:val="0"/>
          <w:sz w:val="28"/>
          <w:szCs w:val="28"/>
          <w:rtl/>
          <w14:ligatures w14:val="none"/>
        </w:rPr>
        <w:t>لفحص الفروق ذات الدلالة الإحصائية في استجابات أفراد العينة تُعزى للمتغيرات الديموغرافية متعددة الفئات (العمر، المؤهل العلمي، سنوات الخبرة، المستوى الوظيفي</w:t>
      </w:r>
      <w:r w:rsidR="009E49CE" w:rsidRPr="00280DEE">
        <w:rPr>
          <w:rFonts w:ascii="Simplified Arabic" w:eastAsia="Times New Roman" w:hAnsi="Simplified Arabic" w:cs="Simplified Arabic" w:hint="cs"/>
          <w:color w:val="000000" w:themeColor="text1"/>
          <w:kern w:val="0"/>
          <w:sz w:val="28"/>
          <w:szCs w:val="28"/>
          <w:rtl/>
          <w14:ligatures w14:val="none"/>
        </w:rPr>
        <w:t>)</w:t>
      </w:r>
      <w:r w:rsidRPr="00280DEE">
        <w:rPr>
          <w:rFonts w:ascii="Simplified Arabic" w:eastAsia="Times New Roman" w:hAnsi="Simplified Arabic" w:cs="Simplified Arabic"/>
          <w:color w:val="000000" w:themeColor="text1"/>
          <w:kern w:val="0"/>
          <w:sz w:val="28"/>
          <w:szCs w:val="28"/>
          <w14:ligatures w14:val="none"/>
        </w:rPr>
        <w:t>.</w:t>
      </w:r>
    </w:p>
    <w:p w14:paraId="2D2C40DB" w14:textId="77777777" w:rsidR="004A09C4" w:rsidRPr="00280DEE" w:rsidRDefault="004A09C4" w:rsidP="009E49C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معامل تضخم التباين</w:t>
      </w:r>
      <w:r w:rsidRPr="00280DEE">
        <w:rPr>
          <w:rFonts w:ascii="Simplified Arabic" w:eastAsia="Times New Roman" w:hAnsi="Simplified Arabic" w:cs="Simplified Arabic"/>
          <w:color w:val="000000" w:themeColor="text1"/>
          <w:kern w:val="0"/>
          <w:sz w:val="28"/>
          <w:szCs w:val="28"/>
          <w14:ligatures w14:val="none"/>
        </w:rPr>
        <w:t xml:space="preserve"> (VIF) </w:t>
      </w:r>
      <w:r w:rsidRPr="00280DEE">
        <w:rPr>
          <w:rFonts w:ascii="Simplified Arabic" w:eastAsia="Times New Roman" w:hAnsi="Simplified Arabic" w:cs="Simplified Arabic"/>
          <w:color w:val="000000" w:themeColor="text1"/>
          <w:kern w:val="0"/>
          <w:sz w:val="28"/>
          <w:szCs w:val="28"/>
          <w:rtl/>
          <w14:ligatures w14:val="none"/>
        </w:rPr>
        <w:t>واختبار التحمّل</w:t>
      </w:r>
      <w:r w:rsidRPr="00280DEE">
        <w:rPr>
          <w:rFonts w:ascii="Simplified Arabic" w:eastAsia="Times New Roman" w:hAnsi="Simplified Arabic" w:cs="Simplified Arabic"/>
          <w:color w:val="000000" w:themeColor="text1"/>
          <w:kern w:val="0"/>
          <w:sz w:val="28"/>
          <w:szCs w:val="28"/>
          <w14:ligatures w14:val="none"/>
        </w:rPr>
        <w:t xml:space="preserve"> (Tolerance): </w:t>
      </w:r>
      <w:r w:rsidRPr="00280DEE">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 بين المتغيرات المستقلة</w:t>
      </w:r>
      <w:r w:rsidRPr="00280DEE">
        <w:rPr>
          <w:rFonts w:ascii="Simplified Arabic" w:eastAsia="Times New Roman" w:hAnsi="Simplified Arabic" w:cs="Simplified Arabic"/>
          <w:color w:val="000000" w:themeColor="text1"/>
          <w:kern w:val="0"/>
          <w:sz w:val="28"/>
          <w:szCs w:val="28"/>
          <w14:ligatures w14:val="none"/>
        </w:rPr>
        <w:t>.</w:t>
      </w:r>
    </w:p>
    <w:p w14:paraId="24F0FB48" w14:textId="690B7D9D" w:rsidR="004A09C4" w:rsidRPr="00280DEE" w:rsidRDefault="009E49CE" w:rsidP="009E49C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2" w:name="_Toc226765728"/>
      <w:bookmarkStart w:id="43" w:name="_Toc235025270"/>
      <w:r w:rsidRPr="00280DEE">
        <w:rPr>
          <w:rFonts w:ascii="Simplified Arabic" w:eastAsia="Times New Roman" w:hAnsi="Simplified Arabic" w:cs="Simplified Arabic" w:hint="cs"/>
          <w:b/>
          <w:bCs/>
          <w:color w:val="000000" w:themeColor="text1"/>
          <w:kern w:val="36"/>
          <w:sz w:val="36"/>
          <w:szCs w:val="36"/>
          <w:rtl/>
          <w14:ligatures w14:val="none"/>
        </w:rPr>
        <w:t xml:space="preserve">15.1 </w:t>
      </w:r>
      <w:r w:rsidR="004A09C4" w:rsidRPr="00280DEE">
        <w:rPr>
          <w:rFonts w:ascii="Simplified Arabic" w:eastAsia="Times New Roman" w:hAnsi="Simplified Arabic" w:cs="Simplified Arabic"/>
          <w:b/>
          <w:bCs/>
          <w:color w:val="000000" w:themeColor="text1"/>
          <w:kern w:val="36"/>
          <w:sz w:val="36"/>
          <w:szCs w:val="36"/>
          <w:rtl/>
          <w14:ligatures w14:val="none"/>
        </w:rPr>
        <w:t>حدود الدراسة</w:t>
      </w:r>
      <w:bookmarkEnd w:id="42"/>
      <w:bookmarkEnd w:id="43"/>
    </w:p>
    <w:p w14:paraId="4BE4B745" w14:textId="77777777" w:rsidR="004A09C4" w:rsidRPr="00280DEE" w:rsidRDefault="004A09C4" w:rsidP="009E49C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الحدود الموضوعية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المواهب بأبعادها الأربعة (استقطاب المواهب، تطوير المواهب، الاحتفاظ بالمواهب، تعويض المواهب) كمتغير مستقل على الاحتفاظ بالكفاءات كمتغير تابع</w:t>
      </w:r>
      <w:r w:rsidRPr="00280DEE">
        <w:rPr>
          <w:rFonts w:ascii="Simplified Arabic" w:eastAsia="Times New Roman" w:hAnsi="Simplified Arabic" w:cs="Simplified Arabic"/>
          <w:color w:val="000000" w:themeColor="text1"/>
          <w:kern w:val="0"/>
          <w:sz w:val="28"/>
          <w:szCs w:val="28"/>
          <w14:ligatures w14:val="none"/>
        </w:rPr>
        <w:t>.</w:t>
      </w:r>
    </w:p>
    <w:p w14:paraId="2057C229" w14:textId="77777777" w:rsidR="004A09C4" w:rsidRPr="00280DEE" w:rsidRDefault="004A09C4" w:rsidP="009E49C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الحدود المكانية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ستُطبّق الدراسة على شركات القطاع الخاص الكبرى والمتوسطة في مدينة الرياض بالمملكة العربية السعودية</w:t>
      </w:r>
      <w:r w:rsidRPr="00280DEE">
        <w:rPr>
          <w:rFonts w:ascii="Simplified Arabic" w:eastAsia="Times New Roman" w:hAnsi="Simplified Arabic" w:cs="Simplified Arabic"/>
          <w:color w:val="000000" w:themeColor="text1"/>
          <w:kern w:val="0"/>
          <w:sz w:val="28"/>
          <w:szCs w:val="28"/>
          <w14:ligatures w14:val="none"/>
        </w:rPr>
        <w:t>.</w:t>
      </w:r>
    </w:p>
    <w:p w14:paraId="61C06E8B" w14:textId="77777777" w:rsidR="004A09C4" w:rsidRPr="00280DEE" w:rsidRDefault="004A09C4" w:rsidP="009E49C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2025/2026م</w:t>
      </w:r>
      <w:r w:rsidRPr="00280DEE">
        <w:rPr>
          <w:rFonts w:ascii="Simplified Arabic" w:eastAsia="Times New Roman" w:hAnsi="Simplified Arabic" w:cs="Simplified Arabic"/>
          <w:color w:val="000000" w:themeColor="text1"/>
          <w:kern w:val="0"/>
          <w:sz w:val="28"/>
          <w:szCs w:val="28"/>
          <w14:ligatures w14:val="none"/>
        </w:rPr>
        <w:t>.</w:t>
      </w:r>
    </w:p>
    <w:p w14:paraId="2E5DA78F" w14:textId="77777777" w:rsidR="004A09C4" w:rsidRPr="00280DEE" w:rsidRDefault="004A09C4" w:rsidP="009E49C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80DEE">
        <w:rPr>
          <w:rFonts w:ascii="Simplified Arabic" w:eastAsia="Times New Roman" w:hAnsi="Simplified Arabic" w:cs="Simplified Arabic"/>
          <w:color w:val="000000" w:themeColor="text1"/>
          <w:kern w:val="0"/>
          <w:sz w:val="28"/>
          <w:szCs w:val="28"/>
          <w:rtl/>
          <w14:ligatures w14:val="none"/>
        </w:rPr>
        <w:t>الحدود البشرية</w:t>
      </w:r>
      <w:r w:rsidRPr="00280DEE">
        <w:rPr>
          <w:rFonts w:ascii="Simplified Arabic" w:eastAsia="Times New Roman" w:hAnsi="Simplified Arabic" w:cs="Simplified Arabic"/>
          <w:color w:val="000000" w:themeColor="text1"/>
          <w:kern w:val="0"/>
          <w:sz w:val="28"/>
          <w:szCs w:val="28"/>
          <w14:ligatures w14:val="none"/>
        </w:rPr>
        <w:t xml:space="preserve">: </w:t>
      </w:r>
      <w:r w:rsidRPr="00280DEE">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(الإدارة العليا، الإدارة الوسطى، الإدارة التنفيذية) في شركات القطاع الخاص بمدينة الرياض</w:t>
      </w:r>
    </w:p>
    <w:p w14:paraId="6AE313AB" w14:textId="37B96E64" w:rsidR="0041473A" w:rsidRPr="00280DEE" w:rsidRDefault="00B673FB" w:rsidP="00B673FB">
      <w:pPr>
        <w:jc w:val="center"/>
        <w:outlineLvl w:val="0"/>
        <w:rPr>
          <w:rFonts w:ascii="Simplified Arabic" w:hAnsi="Simplified Arabic" w:cs="Simplified Arabic"/>
          <w:b/>
          <w:bCs/>
          <w:color w:val="000000" w:themeColor="text1"/>
          <w:sz w:val="40"/>
          <w:szCs w:val="40"/>
        </w:rPr>
      </w:pPr>
      <w:r w:rsidRPr="00280DEE">
        <w:rPr>
          <w:rFonts w:ascii="Simplified Arabic" w:hAnsi="Simplified Arabic" w:cs="Simplified Arabic"/>
          <w:b/>
          <w:bCs/>
          <w:color w:val="000000" w:themeColor="text1"/>
          <w:sz w:val="40"/>
          <w:szCs w:val="40"/>
          <w:rtl/>
        </w:rPr>
        <w:br w:type="page"/>
      </w:r>
      <w:bookmarkStart w:id="44" w:name="_Toc235025271"/>
      <w:r w:rsidR="009E49CE" w:rsidRPr="00280DEE">
        <w:rPr>
          <w:rFonts w:ascii="Simplified Arabic" w:hAnsi="Simplified Arabic" w:cs="Simplified Arabic" w:hint="cs"/>
          <w:b/>
          <w:bCs/>
          <w:color w:val="000000" w:themeColor="text1"/>
          <w:sz w:val="40"/>
          <w:szCs w:val="40"/>
          <w:rtl/>
        </w:rPr>
        <w:lastRenderedPageBreak/>
        <w:t xml:space="preserve">الفصل الثاني: </w:t>
      </w:r>
      <w:r w:rsidR="0041473A" w:rsidRPr="00280DEE">
        <w:rPr>
          <w:rFonts w:ascii="Simplified Arabic" w:hAnsi="Simplified Arabic" w:cs="Simplified Arabic"/>
          <w:b/>
          <w:bCs/>
          <w:color w:val="000000" w:themeColor="text1"/>
          <w:sz w:val="40"/>
          <w:szCs w:val="40"/>
          <w:rtl/>
        </w:rPr>
        <w:t>الإطار النظري للدراسة</w:t>
      </w:r>
      <w:bookmarkEnd w:id="44"/>
    </w:p>
    <w:p w14:paraId="24766E4D" w14:textId="77777777" w:rsidR="0041473A" w:rsidRPr="00280DEE" w:rsidRDefault="0041473A" w:rsidP="00B673FB">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5" w:name="_Toc235025272"/>
      <w:r w:rsidRPr="00280DEE">
        <w:rPr>
          <w:rFonts w:ascii="Simplified Arabic" w:hAnsi="Simplified Arabic" w:cs="Simplified Arabic"/>
          <w:b/>
          <w:bCs/>
          <w:color w:val="000000" w:themeColor="text1"/>
          <w:sz w:val="36"/>
          <w:szCs w:val="36"/>
          <w:rtl/>
        </w:rPr>
        <w:t>المبحث الأول: إدارة المواهب</w:t>
      </w:r>
      <w:r w:rsidRPr="00280DEE">
        <w:rPr>
          <w:rFonts w:ascii="Simplified Arabic" w:hAnsi="Simplified Arabic" w:cs="Simplified Arabic"/>
          <w:b/>
          <w:bCs/>
          <w:color w:val="000000" w:themeColor="text1"/>
          <w:sz w:val="36"/>
          <w:szCs w:val="36"/>
        </w:rPr>
        <w:t xml:space="preserve"> (Talent Management)</w:t>
      </w:r>
      <w:bookmarkEnd w:id="45"/>
    </w:p>
    <w:p w14:paraId="6E723817" w14:textId="1195D935"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5025273"/>
      <w:r w:rsidRPr="00280DEE">
        <w:rPr>
          <w:rFonts w:ascii="Simplified Arabic" w:hAnsi="Simplified Arabic" w:cs="Simplified Arabic" w:hint="cs"/>
          <w:b/>
          <w:bCs/>
          <w:color w:val="000000" w:themeColor="text1"/>
          <w:sz w:val="32"/>
          <w:szCs w:val="32"/>
          <w:rtl/>
        </w:rPr>
        <w:t xml:space="preserve">1.1.2 </w:t>
      </w:r>
      <w:r w:rsidR="0041473A" w:rsidRPr="00280DEE">
        <w:rPr>
          <w:rFonts w:ascii="Simplified Arabic" w:hAnsi="Simplified Arabic" w:cs="Simplified Arabic"/>
          <w:b/>
          <w:bCs/>
          <w:color w:val="000000" w:themeColor="text1"/>
          <w:sz w:val="32"/>
          <w:szCs w:val="32"/>
          <w:rtl/>
        </w:rPr>
        <w:t>تمهيد</w:t>
      </w:r>
      <w:bookmarkEnd w:id="46"/>
    </w:p>
    <w:p w14:paraId="2EDECC6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شهدت بيئة الأعمال المعاصرة تحولات جوهرية أعادت رسم ملامح الممارسات الإدارية في المنظمات، وفرضت على الإدارات العليا إعادة النظر في مقارباتها التقليدية لإدارة رأس المال البشري. ولم تعد المنظمات قادرة على تحقيق مزاياها التنافسية بالاعتماد على الموارد المادية والتقنية فحسب، إذ أصبح العنصر البشري الموهوب هو المحرك الأساسي للابتكار والتميز والاستدامة. وفي ظل تنامي الاقتصاد المعرفي واشتداد المنافسة على الكفاءات النادرة على المستويين الإقليمي والعالمي، برزت إدارة المواهب بوصفها توجهاً استراتيجياً يعيد صياغة العلاقة بين المنظمة وأفرادها المتميزين، ويؤسس لمنظومة متكاملة من الممارسات التي تستهدف استقطاب هذه المواهب وتطويرها والاحتفاظ بها وتعويضها بما يتناسب مع قيمتها الإسهامية</w:t>
      </w:r>
      <w:r w:rsidRPr="00280DEE">
        <w:rPr>
          <w:rFonts w:ascii="Simplified Arabic" w:hAnsi="Simplified Arabic" w:cs="Simplified Arabic"/>
          <w:color w:val="000000" w:themeColor="text1"/>
          <w:sz w:val="28"/>
          <w:szCs w:val="28"/>
        </w:rPr>
        <w:t>.</w:t>
      </w:r>
    </w:p>
    <w:p w14:paraId="34557E64"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وتكتسب إدارة المواهب في السياق السعودي أهمية مضاعفة في ظل ما تشهده المملكة من تحولات اقتصادية متسارعة ضمن رؤية 2030، وما تفرضه هذه التحولات من متطلبات على شركات القطاع الخاص في اجتذاب الكفاءات النوعية القادرة على قيادة مسيرة التنويع الاقتصادي. ومن هنا تسعى الدراسة الحالية إلى تناول إدارة المواهب بوصفها متغيراً مستقلاً ذا أبعاد أربعة متكاملة تشمل الاستقطاب والتطوير والاحتفاظ والتعويض، بما يتيح فهماً معمقاً لطبيعة هذا المتغير ومكوناته ومداخل معالجته في الأدبيات الإدارية المعاصرة</w:t>
      </w:r>
      <w:r w:rsidRPr="00280DEE">
        <w:rPr>
          <w:rFonts w:ascii="Simplified Arabic" w:hAnsi="Simplified Arabic" w:cs="Simplified Arabic"/>
          <w:color w:val="000000" w:themeColor="text1"/>
          <w:sz w:val="28"/>
          <w:szCs w:val="28"/>
        </w:rPr>
        <w:t>.</w:t>
      </w:r>
    </w:p>
    <w:p w14:paraId="4EDE816B" w14:textId="4FDE229F"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5025274"/>
      <w:r w:rsidRPr="00280DEE">
        <w:rPr>
          <w:rFonts w:ascii="Simplified Arabic" w:hAnsi="Simplified Arabic" w:cs="Simplified Arabic" w:hint="cs"/>
          <w:b/>
          <w:bCs/>
          <w:color w:val="000000" w:themeColor="text1"/>
          <w:sz w:val="32"/>
          <w:szCs w:val="32"/>
          <w:rtl/>
        </w:rPr>
        <w:t xml:space="preserve">2.1.2 </w:t>
      </w:r>
      <w:r w:rsidR="0041473A" w:rsidRPr="00280DEE">
        <w:rPr>
          <w:rFonts w:ascii="Simplified Arabic" w:hAnsi="Simplified Arabic" w:cs="Simplified Arabic"/>
          <w:b/>
          <w:bCs/>
          <w:color w:val="000000" w:themeColor="text1"/>
          <w:sz w:val="32"/>
          <w:szCs w:val="32"/>
          <w:rtl/>
        </w:rPr>
        <w:t>مفهوم إدارة المواهب</w:t>
      </w:r>
      <w:bookmarkEnd w:id="47"/>
    </w:p>
    <w:p w14:paraId="4917BD76"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تُعدّ إدارة المواهب من المفاهيم الإدارية الحديثة نسبياً التي شهدت تطوراً ملحوظاً في تعريفاتها ومقارباتها، وذلك تبعاً لاختلاف المدارس الفكرية والزوايا التي تناولها منها الباحثون. وقد تباينت الرؤى بين من ينظر إليها بوصفها منظومة ممارسات إدارية للموارد البشرية، ومن يعدّها فلسفة استراتيجية شاملة، ومن يقاربها من زاوية النتائج التنظيمية المرجوة منها</w:t>
      </w:r>
      <w:r w:rsidRPr="00280DEE">
        <w:rPr>
          <w:rFonts w:ascii="Simplified Arabic" w:hAnsi="Simplified Arabic" w:cs="Simplified Arabic"/>
          <w:color w:val="000000" w:themeColor="text1"/>
          <w:sz w:val="28"/>
          <w:szCs w:val="28"/>
        </w:rPr>
        <w:t>.</w:t>
      </w:r>
    </w:p>
    <w:p w14:paraId="2ECC3EAC"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ففي إطار المقاربة الاستراتيجية الشاملة، يذهب</w:t>
      </w:r>
      <w:r w:rsidRPr="00280DEE">
        <w:rPr>
          <w:rFonts w:ascii="Simplified Arabic" w:hAnsi="Simplified Arabic" w:cs="Simplified Arabic"/>
          <w:color w:val="000000" w:themeColor="text1"/>
          <w:sz w:val="28"/>
          <w:szCs w:val="28"/>
        </w:rPr>
        <w:t xml:space="preserve"> Kaliannan et al. (2023) </w:t>
      </w:r>
      <w:r w:rsidRPr="00280DEE">
        <w:rPr>
          <w:rFonts w:ascii="Simplified Arabic" w:hAnsi="Simplified Arabic" w:cs="Simplified Arabic"/>
          <w:color w:val="000000" w:themeColor="text1"/>
          <w:sz w:val="28"/>
          <w:szCs w:val="28"/>
          <w:rtl/>
        </w:rPr>
        <w:t>إلى أن إدارة المواهب تمثل توجهاً منظومياً يقوم على مبدأ الشمول والاستيعاب، بحيث لا تقتصر على فئة النخبة من العاملين، بل تمتد لتشمل تطوير جميع الأفراد في المنظمة وفق منظور تنموي يُعلي من قيمة التنوع ويستثمر في مختلف الطاقات الكامنة. وفي السياق ذاته يُعرّفها</w:t>
      </w:r>
      <w:r w:rsidRPr="00280DEE">
        <w:rPr>
          <w:rFonts w:ascii="Simplified Arabic" w:hAnsi="Simplified Arabic" w:cs="Simplified Arabic"/>
          <w:color w:val="000000" w:themeColor="text1"/>
          <w:sz w:val="28"/>
          <w:szCs w:val="28"/>
        </w:rPr>
        <w:t xml:space="preserve"> Sembiring &amp; Damayanti (2023) </w:t>
      </w:r>
      <w:r w:rsidRPr="00280DEE">
        <w:rPr>
          <w:rFonts w:ascii="Simplified Arabic" w:hAnsi="Simplified Arabic" w:cs="Simplified Arabic"/>
          <w:color w:val="000000" w:themeColor="text1"/>
          <w:sz w:val="28"/>
          <w:szCs w:val="28"/>
          <w:rtl/>
        </w:rPr>
        <w:t>بأنها العملية الاستراتيجية المتكاملة التي تسعى المنظمات من خلالها إلى جذب الأفراد ذوي القدرات المتميزة والاحتفاظ بهم، ضمن رؤية تربط بين ممارسات الاستقطاب والاستبقاء والأداء التنظيمي في نسق واحد</w:t>
      </w:r>
      <w:r w:rsidRPr="00280DEE">
        <w:rPr>
          <w:rFonts w:ascii="Simplified Arabic" w:hAnsi="Simplified Arabic" w:cs="Simplified Arabic"/>
          <w:color w:val="000000" w:themeColor="text1"/>
          <w:sz w:val="28"/>
          <w:szCs w:val="28"/>
        </w:rPr>
        <w:t>.</w:t>
      </w:r>
    </w:p>
    <w:p w14:paraId="6C8D080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زاوية أخرى تتصل بربط إدارة المواهب بمفهوم الأداء المستدام، يرى</w:t>
      </w:r>
      <w:r w:rsidRPr="00280DEE">
        <w:rPr>
          <w:rFonts w:ascii="Simplified Arabic" w:hAnsi="Simplified Arabic" w:cs="Simplified Arabic"/>
          <w:color w:val="000000" w:themeColor="text1"/>
          <w:sz w:val="28"/>
          <w:szCs w:val="28"/>
        </w:rPr>
        <w:t xml:space="preserve"> Al Aina &amp; Atan (2020) </w:t>
      </w:r>
      <w:r w:rsidRPr="00280DEE">
        <w:rPr>
          <w:rFonts w:ascii="Simplified Arabic" w:hAnsi="Simplified Arabic" w:cs="Simplified Arabic"/>
          <w:color w:val="000000" w:themeColor="text1"/>
          <w:sz w:val="28"/>
          <w:szCs w:val="28"/>
          <w:rtl/>
        </w:rPr>
        <w:t>أن إدارة المواهب تنطوي على جملة من الممارسات الممنهجة التي تستهدف بناء قاعدة من الكفاءات النوعية القادرة على تعزيز الأداء التنظيمي بصورة مستدامة، وذلك عبر التوفيق بين متطلبات المنظمة الحالية وتطلعاتها المستقبلية. وقد ذهب</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إلى تعميق هذا التصور بتأكيده أن إدارة المواهب تمثل مجموعة الاستراتيجيات المتكاملة التي تنتهجها المنظمة لضمان تدفق مستمر من الكفاءات في المواقع الحيوية، بما يجعلها استجابة استباقية لتحديات فقدان المواهب لا مجرد ردّ فعل على ظاهرة الدوران الوظيفي</w:t>
      </w:r>
      <w:r w:rsidRPr="00280DEE">
        <w:rPr>
          <w:rFonts w:ascii="Simplified Arabic" w:hAnsi="Simplified Arabic" w:cs="Simplified Arabic"/>
          <w:color w:val="000000" w:themeColor="text1"/>
          <w:sz w:val="28"/>
          <w:szCs w:val="28"/>
        </w:rPr>
        <w:t>.</w:t>
      </w:r>
    </w:p>
    <w:p w14:paraId="797AC41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أما في المقاربات التي تربط إدارة المواهب بالتحولات التقنية المعاصرة، فيقدّم</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تصوراً يعكس التطور الذي أصاب المفهوم في ضوء التحول الرقمي، إذ ينظرون إلى إدارة المواهب باعتبارها منظومة ديناميكية تعيد صياغة ذاتها باستمرار استجابة للتقنيات الرقمية الناشئة، بحيث تصبح قادرة على استيعاب أنماط العمل الجديدة ومتطلبات القوى العاملة في العصر الرقمي. ويمتد هذا التوجه في طرح</w:t>
      </w:r>
      <w:r w:rsidRPr="00280DEE">
        <w:rPr>
          <w:rFonts w:ascii="Simplified Arabic" w:hAnsi="Simplified Arabic" w:cs="Simplified Arabic"/>
          <w:color w:val="000000" w:themeColor="text1"/>
          <w:sz w:val="28"/>
          <w:szCs w:val="28"/>
        </w:rPr>
        <w:t xml:space="preserve"> Tariq (2024) </w:t>
      </w:r>
      <w:r w:rsidRPr="00280DEE">
        <w:rPr>
          <w:rFonts w:ascii="Simplified Arabic" w:hAnsi="Simplified Arabic" w:cs="Simplified Arabic"/>
          <w:color w:val="000000" w:themeColor="text1"/>
          <w:sz w:val="28"/>
          <w:szCs w:val="28"/>
          <w:rtl/>
        </w:rPr>
        <w:t>الذي يرى أن إدارة المواهب في سياقها المعاصر باتت تمثل حقلاً بينياً يجمع بين الممارسات الإدارية التقليدية وتوظيف تقنيات الذكاء الاصطناعي وتعلم الآلة في اتخاذ القرارات المتعلقة بالمواهب</w:t>
      </w:r>
      <w:r w:rsidRPr="00280DEE">
        <w:rPr>
          <w:rFonts w:ascii="Simplified Arabic" w:hAnsi="Simplified Arabic" w:cs="Simplified Arabic"/>
          <w:color w:val="000000" w:themeColor="text1"/>
          <w:sz w:val="28"/>
          <w:szCs w:val="28"/>
        </w:rPr>
        <w:t>.</w:t>
      </w:r>
    </w:p>
    <w:p w14:paraId="75C0CF5C"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منظور يركز على الاستجابة للأزمات والتحديات، قدّم</w:t>
      </w:r>
      <w:r w:rsidRPr="00280DEE">
        <w:rPr>
          <w:rFonts w:ascii="Simplified Arabic" w:hAnsi="Simplified Arabic" w:cs="Simplified Arabic"/>
          <w:color w:val="000000" w:themeColor="text1"/>
          <w:sz w:val="28"/>
          <w:szCs w:val="28"/>
        </w:rPr>
        <w:t xml:space="preserve"> Aguinis &amp; Burgi-Tian (2021) </w:t>
      </w:r>
      <w:r w:rsidRPr="00280DEE">
        <w:rPr>
          <w:rFonts w:ascii="Simplified Arabic" w:hAnsi="Simplified Arabic" w:cs="Simplified Arabic"/>
          <w:color w:val="000000" w:themeColor="text1"/>
          <w:sz w:val="28"/>
          <w:szCs w:val="28"/>
          <w:rtl/>
        </w:rPr>
        <w:t>رؤية تعيد تعريف إدارة المواهب في ضوء التحديات الطارئة كجائحة كوفيد-19، إذ يريان أنها تمثل قدرة المنظمة على إعادة تصميم ممارساتها في إدارة الأداء وتطوير الكفاءات بما يضمن استمرارية العمل ومرونة الاستجابة في ظل الظروف الاستثنائية. وفي مقاربة عربية، يعرض إسماعيل وفهمي (2024) لإدارة المواهب بوصفها منظومة ممارسات متكاملة تُعنى بتحديد الأفراد ذوي القدرات المتميزة داخل المنظمة وخارجها، وتطوير قدراتهم وتوظيفها في المواقع التي تحقق أقصى قيمة مضافة للمنظمة</w:t>
      </w:r>
      <w:r w:rsidRPr="00280DEE">
        <w:rPr>
          <w:rFonts w:ascii="Simplified Arabic" w:hAnsi="Simplified Arabic" w:cs="Simplified Arabic"/>
          <w:color w:val="000000" w:themeColor="text1"/>
          <w:sz w:val="28"/>
          <w:szCs w:val="28"/>
        </w:rPr>
        <w:t>.</w:t>
      </w:r>
    </w:p>
    <w:p w14:paraId="00E00120"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ويقدّم قريشي وآخرون (2022) تعريفاً يتصل بالسياق التطبيقي في مؤسسات التعليم العالي، إذ يعرضون إدارة المواهب باعتبارها العملية المنظمة التي تُعنى بتحديد المواقع الحرجة في المنظمة واستقطاب الكفاءات المناسبة لشغلها وتطويرها والاحتفاظ بها بما يضمن استمرارية الأداء المتميز. ويقارب الشهري (2022) المفهوم من زاوية أخرى تربط بين إدارة المواهب والأداء الإبداعي، مؤكدة أنها تمثل الإطار الذي يُتيح للمنظمة توظيف طاقات الأفراد المبدعين في تحقيق أهدافها الاستراتيجية عبر ممارسات ممنهجة تشمل الاستقطاب والتنمية والاستبقاء</w:t>
      </w:r>
      <w:r w:rsidRPr="00280DEE">
        <w:rPr>
          <w:rFonts w:ascii="Simplified Arabic" w:hAnsi="Simplified Arabic" w:cs="Simplified Arabic"/>
          <w:color w:val="000000" w:themeColor="text1"/>
          <w:sz w:val="28"/>
          <w:szCs w:val="28"/>
        </w:rPr>
        <w:t>.</w:t>
      </w:r>
    </w:p>
    <w:p w14:paraId="2C97D01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ويتناول العدوان والهناندة (2024) إدارة المواهب من منظور استراتيجي ريادي، إذ يريان أنها تمثل مجموعة الأنشطة والسياسات التي تنتهجها المنظمة لبناء مخزون من الكفاءات القادرة على المساهمة في تعزيز التوجه الريادي للشركة. ويوسّع شوقير وعساف (2025) نطاق المفهوم ليشمل الربط بين إدارة المواهب والجودة الشاملة، حيث يعرضان إدارة المواهب بوصفها منظومة استراتيجية متكاملة تربط بين اكتساب الكفاءات وتطويرها وتوظيفها في خدمة مستهدفات الجودة الشاملة في المنظمة. ويقدّم عبدالرحمن وآخرون (2025) تعريفاً يركز على البعد الوقائي لإدارة المواهب، إذ يعرضونها بوصفها مجموعة الممارسات التي تُسهم في تعزيز اندماج العاملين وحمايتهم من مظاهر الاستنزاف الوظيفي عبر توفير بيئة عمل داعمة ومسارات وظيفية واضحة</w:t>
      </w:r>
      <w:r w:rsidRPr="00280DEE">
        <w:rPr>
          <w:rFonts w:ascii="Simplified Arabic" w:hAnsi="Simplified Arabic" w:cs="Simplified Arabic"/>
          <w:color w:val="000000" w:themeColor="text1"/>
          <w:sz w:val="28"/>
          <w:szCs w:val="28"/>
        </w:rPr>
        <w:t>.</w:t>
      </w:r>
    </w:p>
    <w:p w14:paraId="5717B7C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استعراض هذه التعريفات يمكن للباحث أن يُبدي رأيه في المفهوم بالقول إن إدارة المواهب تمثل منظومة استراتيجية متكاملة من الممارسات الإدارية المترابطة التي تنتهجها المنظمة عن وعي ودراية بهدف اكتشاف الكفاءات المتميزة داخلياً وخارجياً، واستقطابها وفق معايير نوعية، وتطوير قدراتها بصورة مستمرة، والاحتفاظ بها عبر بيئة عمل محفزة، وتعويضها بما يتناسب مع قيمتها الإسهامية، وذلك في إطار رؤية شاملة تربط بين متطلبات المنظمة الاستراتيجية وتطلعات المواهب الشخصية والمهنية. ويرى الباحث أن الإسهام النوعي في هذا المفهوم يكمن في التأكيد على أن إدارة المواهب ليست مجرد وظيفة فرعية ضمن إدارة الموارد البشرية، بل هي فلسفة إدارية عابرة للوظائف تتشابك مع مختلف عمليات المنظمة، وأن نجاحها مرهون بمدى التزام الإدارة العليا بها ومدى تمكين مديري الخطوط التنفيذية من الاضطلاع بأدوارهم فيها، مع الاعتراف بأن المواهب في السياق المعاصر لم تعد تقتصر على النخبة، بل باتت تشمل شرائح أوسع من العاملين الذين يمتلكون قدرات إسهامية متمايزة يمكن استثمارها في تعزيز القدرة التنافسية للمنظمة</w:t>
      </w:r>
      <w:r w:rsidRPr="00280DEE">
        <w:rPr>
          <w:rFonts w:ascii="Simplified Arabic" w:hAnsi="Simplified Arabic" w:cs="Simplified Arabic"/>
          <w:color w:val="000000" w:themeColor="text1"/>
          <w:sz w:val="28"/>
          <w:szCs w:val="28"/>
        </w:rPr>
        <w:t>.</w:t>
      </w:r>
    </w:p>
    <w:p w14:paraId="43F36C49" w14:textId="73D4E618"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5025275"/>
      <w:r w:rsidRPr="00280DEE">
        <w:rPr>
          <w:rFonts w:ascii="Simplified Arabic" w:hAnsi="Simplified Arabic" w:cs="Simplified Arabic" w:hint="cs"/>
          <w:b/>
          <w:bCs/>
          <w:color w:val="000000" w:themeColor="text1"/>
          <w:sz w:val="32"/>
          <w:szCs w:val="32"/>
          <w:rtl/>
        </w:rPr>
        <w:t xml:space="preserve">3.1.2 </w:t>
      </w:r>
      <w:r w:rsidR="0041473A" w:rsidRPr="00280DEE">
        <w:rPr>
          <w:rFonts w:ascii="Simplified Arabic" w:hAnsi="Simplified Arabic" w:cs="Simplified Arabic"/>
          <w:b/>
          <w:bCs/>
          <w:color w:val="000000" w:themeColor="text1"/>
          <w:sz w:val="32"/>
          <w:szCs w:val="32"/>
          <w:rtl/>
        </w:rPr>
        <w:t>أهمية إدارة المواهب</w:t>
      </w:r>
      <w:bookmarkEnd w:id="48"/>
    </w:p>
    <w:p w14:paraId="6C8DF3D9"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اكتسبت إدارة المواهب مكانة متقدمة في السلم القيمي للممارسات الإدارية المعاصرة، وباتت تُعدّ من أبرز مصادر الميزة التنافسية المستدامة التي يصعب على المنافسين تقليدها أو محاكاتها. وترتبط هذه الأهمية بجملة من التحولات التي شهدتها بيئة الأعمال، من قبيل تنامي الاقتصاد المعرفي، واشتداد المنافسة العالمية على الكفاءات، وتغير طبيعة العمل بفعل التحول الرقمي، إلى جانب التحديات الديموغرافية المتعلقة بالتغيرات في تركيبة القوى العاملة وتوقعات الأجيال الجديدة من العاملين. وتبدو أهمية إدارة المواهب في كونها الرافد الاستراتيجي الذي يمد المنظمة بالكفاءات القادرة على الاستجابة لهذه التحولات وتحويلها إلى فرص للنمو والتطور</w:t>
      </w:r>
      <w:r w:rsidRPr="00280DEE">
        <w:rPr>
          <w:rFonts w:ascii="Simplified Arabic" w:hAnsi="Simplified Arabic" w:cs="Simplified Arabic"/>
          <w:color w:val="000000" w:themeColor="text1"/>
          <w:sz w:val="28"/>
          <w:szCs w:val="28"/>
        </w:rPr>
        <w:t>.</w:t>
      </w:r>
    </w:p>
    <w:p w14:paraId="1CD0C90A"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ويشير</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إلى أن أهمية إدارة المواهب تتجلى في عدة محاور مترابطة، أولها أنها تُسهم في الحدّ من ظاهرة الدوران الوظيفي التي تكبّد المنظمات تكاليف باهظة تتصل بإعادة الاستقطاب والتدريب وفقدان المعرفة الضمنية، وثانيها أنها تعزز نوايا البقاء لدى العاملين عبر توفير مسارات وظيفية واضحة تلبي طموحاتهم المهنية، وثالثها أنها تخلق حالة من الالتزام النفسي والعاطفي تجاه المنظمة تنعكس على مستوى الأداء الفردي والجماعي، ورابعها أنها تدعم قدرة المنظمة على المنافسة في سوق الكفاءات النادرة عبر بناء صورة ذهنية إيجابية بوصفها صاحب عمل مفضل</w:t>
      </w:r>
      <w:r w:rsidRPr="00280DEE">
        <w:rPr>
          <w:rFonts w:ascii="Simplified Arabic" w:hAnsi="Simplified Arabic" w:cs="Simplified Arabic"/>
          <w:color w:val="000000" w:themeColor="text1"/>
          <w:sz w:val="28"/>
          <w:szCs w:val="28"/>
        </w:rPr>
        <w:t>.</w:t>
      </w:r>
    </w:p>
    <w:p w14:paraId="10BD4C31"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ويرى</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أن أهمية إدارة المواهب تظهر بوضوح في تعاملها مع خصوصية الأجيال الجديدة من القوى العاملة، وخاصة الجيل الذي يتطلع إلى مزيد من فرص التطوير المهني والمرونة في العمل والمشاركة في اتخاذ القرارات. وتتلخص هذه الأهمية في كون إدارة المواهب توفر إطاراً منظماً لتنمية الكفاءات وبناء القدرات، وتُتيح للعاملين مساحة من الاستقلالية والإبداع، وتُرسي علاقة تبادلية بين المنظمة وأفرادها تقوم على الاعتراف المتبادل بالقيمة الإسهامية. ويضيف</w:t>
      </w:r>
      <w:r w:rsidRPr="00280DEE">
        <w:rPr>
          <w:rFonts w:ascii="Simplified Arabic" w:hAnsi="Simplified Arabic" w:cs="Simplified Arabic"/>
          <w:color w:val="000000" w:themeColor="text1"/>
          <w:sz w:val="28"/>
          <w:szCs w:val="28"/>
        </w:rPr>
        <w:t xml:space="preserve"> Barkhuizen &amp; Gumede (2021) </w:t>
      </w:r>
      <w:r w:rsidRPr="00280DEE">
        <w:rPr>
          <w:rFonts w:ascii="Simplified Arabic" w:hAnsi="Simplified Arabic" w:cs="Simplified Arabic"/>
          <w:color w:val="000000" w:themeColor="text1"/>
          <w:sz w:val="28"/>
          <w:szCs w:val="28"/>
          <w:rtl/>
        </w:rPr>
        <w:t>أن أهمية إدارة المواهب تتصل كذلك بتعزيز مستويات الرضا الوظيفي وخفض نوايا ترك العمل، إذ تُسهم الممارسات المتكاملة لإدارة المواهب في خلق بيئة عمل داعمة تلبي الاحتياجات النفسية والمهنية للعاملين، وتحدّ من مسببات الإحباط والاستنزاف الوظيفي</w:t>
      </w:r>
      <w:r w:rsidRPr="00280DEE">
        <w:rPr>
          <w:rFonts w:ascii="Simplified Arabic" w:hAnsi="Simplified Arabic" w:cs="Simplified Arabic"/>
          <w:color w:val="000000" w:themeColor="text1"/>
          <w:sz w:val="28"/>
          <w:szCs w:val="28"/>
        </w:rPr>
        <w:t>.</w:t>
      </w:r>
    </w:p>
    <w:p w14:paraId="4920B92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ويرى</w:t>
      </w:r>
      <w:r w:rsidRPr="00280DEE">
        <w:rPr>
          <w:rFonts w:ascii="Simplified Arabic" w:hAnsi="Simplified Arabic" w:cs="Simplified Arabic"/>
          <w:color w:val="000000" w:themeColor="text1"/>
          <w:sz w:val="28"/>
          <w:szCs w:val="28"/>
        </w:rPr>
        <w:t xml:space="preserve"> Dzimbiri &amp; Molefi (2021) </w:t>
      </w:r>
      <w:r w:rsidRPr="00280DEE">
        <w:rPr>
          <w:rFonts w:ascii="Simplified Arabic" w:hAnsi="Simplified Arabic" w:cs="Simplified Arabic"/>
          <w:color w:val="000000" w:themeColor="text1"/>
          <w:sz w:val="28"/>
          <w:szCs w:val="28"/>
          <w:rtl/>
        </w:rPr>
        <w:t xml:space="preserve">أن أهمية إدارة المواهب تبرز بصورة خاصة في القطاعات التي تعاني من نقص حاد في الكفاءات المتخصصة، كالقطاع الصحي، إذ توفر إدارة المواهب آلية منظمة لاستقطاب المتخصصين والاحتفاظ بهم في مواقع يصعب شغلها. وتتفرع أهميتها في هذا الصدد إلى تعزيز جودة الخدمات المقدمة، وضمان استمرارية العمليات الحيوية، والحفاظ على المعرفة المؤسسية المتراكمة، </w:t>
      </w:r>
      <w:r w:rsidRPr="00280DEE">
        <w:rPr>
          <w:rFonts w:ascii="Simplified Arabic" w:hAnsi="Simplified Arabic" w:cs="Simplified Arabic"/>
          <w:color w:val="000000" w:themeColor="text1"/>
          <w:sz w:val="28"/>
          <w:szCs w:val="28"/>
          <w:rtl/>
        </w:rPr>
        <w:lastRenderedPageBreak/>
        <w:t>وبناء قاعدة من القيادات المستقبلية القادرة على قيادة المنظمة نحو أهدافها. ويؤكد سليخ (2021) في السياق ذاته أن إدارة المواهب تُسهم في تعزيز قدرة المنظمة على التعلم والنمو، وتحسين عملياتها الداخلية، وتطوير مخرجاتها بما يعزز موقعها التنافسي في السوق</w:t>
      </w:r>
      <w:r w:rsidRPr="00280DEE">
        <w:rPr>
          <w:rFonts w:ascii="Simplified Arabic" w:hAnsi="Simplified Arabic" w:cs="Simplified Arabic"/>
          <w:color w:val="000000" w:themeColor="text1"/>
          <w:sz w:val="28"/>
          <w:szCs w:val="28"/>
        </w:rPr>
        <w:t>.</w:t>
      </w:r>
    </w:p>
    <w:p w14:paraId="076D218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ويشير السليحات والصوالحة (2022) إلى أن إدارة المواهب تكتسب أهميتها من كونها مدخلاً لتحقيق التميز المنظمي بمختلف أبعاده، سواء أكان تميزاً في القيادة، أم في الموارد البشرية، أم في الاستراتيجية، أم في الثقافة التنظيمية، وأن هذه الأهمية تتضاعف حين تقترن ممارسات إدارة المواهب بتوجهات ابتكارية تُتيح للمنظمة استثمار الطاقات الكامنة لدى مواهبها في توليد الأفكار الجديدة وتطوير الحلول المبتكرة. ويؤكد الشهري (2022) أن أهمية إدارة المواهب تتصل بتعزيز الأداء الإبداعي للعاملين، إذ توفر ممارساتها البيئة الحاضنة للإبداع عبر تحفيز التفكير الخلاق ومكافأة المبادرات الابتكارية وإتاحة الفرصة لتجريب الأفكار الجديدة</w:t>
      </w:r>
      <w:r w:rsidRPr="00280DEE">
        <w:rPr>
          <w:rFonts w:ascii="Simplified Arabic" w:hAnsi="Simplified Arabic" w:cs="Simplified Arabic"/>
          <w:color w:val="000000" w:themeColor="text1"/>
          <w:sz w:val="28"/>
          <w:szCs w:val="28"/>
        </w:rPr>
        <w:t>.</w:t>
      </w:r>
    </w:p>
    <w:p w14:paraId="00AD2A7E"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ويذهب العدوان والهناندة (2024) إلى أن أهمية إدارة المواهب تظهر في دورها في تعزيز التوجه الريادي للمنظمة، من خلال بناء قاعدة من الكفاءات القادرة على استشعار الفرص واقتناصها وتطوير نماذج أعمال مبتكرة. وتشمل هذه الأهمية تحفيز سلوكيات المبادرة والمخاطرة المحسوبة لدى العاملين، وتعزيز قدرتهم على العمل ضمن فرق متعددة التخصصات، وتنمية مهارات القيادة الريادية لديهم. ويرى شوقير وعساف (2025) أن إدارة المواهب تحتل مكانة محورية في تعزيز منظومة الجودة الشاملة، إذ توفر الكفاءات المدربة القادرة على تطبيق معايير الجودة، وتُرسّخ ثقافة التحسين المستمر، وتُسهم في بناء نظام متكامل لإدارة الجودة يقوم على الكفاءة والفاعلية</w:t>
      </w:r>
      <w:r w:rsidRPr="00280DEE">
        <w:rPr>
          <w:rFonts w:ascii="Simplified Arabic" w:hAnsi="Simplified Arabic" w:cs="Simplified Arabic"/>
          <w:color w:val="000000" w:themeColor="text1"/>
          <w:sz w:val="28"/>
          <w:szCs w:val="28"/>
        </w:rPr>
        <w:t>.</w:t>
      </w:r>
    </w:p>
    <w:p w14:paraId="0E43D874"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ويعرض عبدالرحمن وآخرون (2025) بُعداً وقائياً لأهمية إدارة المواهب، إذ يرون أن ممارساتها المتكاملة تُشكّل درعاً واقياً من ظاهرة الاحتراق الوظيفي الذي يهدد استقرار العاملين وإنتاجيتهم. وتتجلى هذه الأهمية في توفير بيئة عمل داعمة تُقلل من مصادر الضغط النفسي، وإتاحة فرص التطوير المهني التي تُجدد شغف العاملين بعملهم، وبناء علاقات عمل صحية تعزز الشعور بالانتماء. ويضيف الحمزة (2023) في هذا السياق أن أهمية إدارة المواهب مرتبطة ارتباطاً وثيقاً بتحسين بيئة العمل الداخلية، وهو ما ينعكس بدوره على قدرة المنظمة على الاحتفاظ بكفاءاتها الحيوية</w:t>
      </w:r>
      <w:r w:rsidRPr="00280DEE">
        <w:rPr>
          <w:rFonts w:ascii="Simplified Arabic" w:hAnsi="Simplified Arabic" w:cs="Simplified Arabic"/>
          <w:color w:val="000000" w:themeColor="text1"/>
          <w:sz w:val="28"/>
          <w:szCs w:val="28"/>
        </w:rPr>
        <w:t>.</w:t>
      </w:r>
    </w:p>
    <w:p w14:paraId="5BD381DA"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ومن منظور تطبيقي في السياق المصري، يشير إسماعيل وفهمي (2024) إلى أن إدارة المواهب تكتسب أهميتها من دورها في تحقيق البراعة التنظيمية بشقيها الاستكشافي والاستثماري، بحيث تُمكّن المنظمة </w:t>
      </w:r>
      <w:r w:rsidRPr="00280DEE">
        <w:rPr>
          <w:rFonts w:ascii="Simplified Arabic" w:hAnsi="Simplified Arabic" w:cs="Simplified Arabic"/>
          <w:color w:val="000000" w:themeColor="text1"/>
          <w:sz w:val="28"/>
          <w:szCs w:val="28"/>
          <w:rtl/>
        </w:rPr>
        <w:lastRenderedPageBreak/>
        <w:t>من التوازن بين استغلال قدراتها الحالية واستكشاف فرص جديدة للنمو. ويوسّع نوفل ورضوان (2026) نطاق النظر إلى الأهمية ليشمل قطاعات استراتيجية كقطاع البترول، حيث تُشكّل الكفاءات البشرية عصب الاستمرارية والتطور، ويتوقف على الاحتفاظ بها الكثير من مقومات النجاح المؤسسي والاقتصادي</w:t>
      </w:r>
      <w:r w:rsidRPr="00280DEE">
        <w:rPr>
          <w:rFonts w:ascii="Simplified Arabic" w:hAnsi="Simplified Arabic" w:cs="Simplified Arabic"/>
          <w:color w:val="000000" w:themeColor="text1"/>
          <w:sz w:val="28"/>
          <w:szCs w:val="28"/>
        </w:rPr>
        <w:t>.</w:t>
      </w:r>
    </w:p>
    <w:p w14:paraId="5C2977E0" w14:textId="6A609152"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5025276"/>
      <w:r w:rsidRPr="00280DEE">
        <w:rPr>
          <w:rFonts w:ascii="Simplified Arabic" w:hAnsi="Simplified Arabic" w:cs="Simplified Arabic" w:hint="cs"/>
          <w:b/>
          <w:bCs/>
          <w:color w:val="000000" w:themeColor="text1"/>
          <w:sz w:val="32"/>
          <w:szCs w:val="32"/>
          <w:rtl/>
        </w:rPr>
        <w:t xml:space="preserve">4.1.2 </w:t>
      </w:r>
      <w:r w:rsidR="0041473A" w:rsidRPr="00280DEE">
        <w:rPr>
          <w:rFonts w:ascii="Simplified Arabic" w:hAnsi="Simplified Arabic" w:cs="Simplified Arabic"/>
          <w:b/>
          <w:bCs/>
          <w:color w:val="000000" w:themeColor="text1"/>
          <w:sz w:val="32"/>
          <w:szCs w:val="32"/>
          <w:rtl/>
        </w:rPr>
        <w:t>أهداف إدارة المواهب</w:t>
      </w:r>
      <w:bookmarkEnd w:id="49"/>
    </w:p>
    <w:p w14:paraId="3DE8AF48"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تنطلق إدارة المواهب من جملة من الأهداف الاستراتيجية التي تسعى المنظمة إلى تحقيقها عبر ممارساتها المتكاملة، وتتوزع هذه الأهداف بين ما هو استراتيجي بعيد المدى وما هو تشغيلي متصل بالممارسات اليومية. وقد عرض الباحثون رؤى متعددة لهذه الأهداف تعكس تنوع المداخل النظرية للمفهوم</w:t>
      </w:r>
      <w:r w:rsidRPr="00280DEE">
        <w:rPr>
          <w:rFonts w:ascii="Simplified Arabic" w:hAnsi="Simplified Arabic" w:cs="Simplified Arabic"/>
          <w:color w:val="000000" w:themeColor="text1"/>
          <w:sz w:val="28"/>
          <w:szCs w:val="28"/>
        </w:rPr>
        <w:t>:</w:t>
      </w:r>
    </w:p>
    <w:p w14:paraId="22992E0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أولاً، يرى</w:t>
      </w:r>
      <w:r w:rsidRPr="00280DEE">
        <w:rPr>
          <w:rFonts w:ascii="Simplified Arabic" w:hAnsi="Simplified Arabic" w:cs="Simplified Arabic"/>
          <w:color w:val="000000" w:themeColor="text1"/>
          <w:sz w:val="28"/>
          <w:szCs w:val="28"/>
        </w:rPr>
        <w:t xml:space="preserve"> Al Aina &amp; Atan (2020) </w:t>
      </w:r>
      <w:r w:rsidRPr="00280DEE">
        <w:rPr>
          <w:rFonts w:ascii="Simplified Arabic" w:hAnsi="Simplified Arabic" w:cs="Simplified Arabic"/>
          <w:color w:val="000000" w:themeColor="text1"/>
          <w:sz w:val="28"/>
          <w:szCs w:val="28"/>
          <w:rtl/>
        </w:rPr>
        <w:t>أن أهداف إدارة المواهب تتمحور حول: تحقيق الأداء التنظيمي المستدام عبر بناء قاعدة من الكفاءات النوعية، ومواءمة رأس المال البشري مع التوجهات الاستراتيجية للمنظمة، وضمان توافر الكفاءات في المواقع الحيوية على المدى الطويل، وبناء ميزة تنافسية يصعب تقليدها تقوم على تفرد الموارد البشرية</w:t>
      </w:r>
      <w:r w:rsidRPr="00280DEE">
        <w:rPr>
          <w:rFonts w:ascii="Simplified Arabic" w:hAnsi="Simplified Arabic" w:cs="Simplified Arabic"/>
          <w:color w:val="000000" w:themeColor="text1"/>
          <w:sz w:val="28"/>
          <w:szCs w:val="28"/>
        </w:rPr>
        <w:t>.</w:t>
      </w:r>
    </w:p>
    <w:p w14:paraId="6986B5D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ثانياً، يعرض</w:t>
      </w:r>
      <w:r w:rsidRPr="00280DEE">
        <w:rPr>
          <w:rFonts w:ascii="Simplified Arabic" w:hAnsi="Simplified Arabic" w:cs="Simplified Arabic"/>
          <w:color w:val="000000" w:themeColor="text1"/>
          <w:sz w:val="28"/>
          <w:szCs w:val="28"/>
        </w:rPr>
        <w:t xml:space="preserve"> Sembiring &amp; Damayanti (2023) </w:t>
      </w:r>
      <w:r w:rsidRPr="00280DEE">
        <w:rPr>
          <w:rFonts w:ascii="Simplified Arabic" w:hAnsi="Simplified Arabic" w:cs="Simplified Arabic"/>
          <w:color w:val="000000" w:themeColor="text1"/>
          <w:sz w:val="28"/>
          <w:szCs w:val="28"/>
          <w:rtl/>
        </w:rPr>
        <w:t>الأهداف من زاوية العلاقة التبادلية بين المنظمة والمواهب، وتشمل: جذب الكفاءات النوعية من سوق العمل عبر بناء صورة إيجابية للمنظمة، والاحتفاظ بها في المدى الطويل عبر تلبية توقعاتها المهنية والشخصية، وتعزيز الأداء المؤسسي عبر توظيف طاقات هذه المواهب في المواقع الأكثر تأثيراً</w:t>
      </w:r>
      <w:r w:rsidRPr="00280DEE">
        <w:rPr>
          <w:rFonts w:ascii="Simplified Arabic" w:hAnsi="Simplified Arabic" w:cs="Simplified Arabic"/>
          <w:color w:val="000000" w:themeColor="text1"/>
          <w:sz w:val="28"/>
          <w:szCs w:val="28"/>
        </w:rPr>
        <w:t>.</w:t>
      </w:r>
    </w:p>
    <w:p w14:paraId="6FFA5B35"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ثالثاً، يذهب</w:t>
      </w:r>
      <w:r w:rsidRPr="00280DEE">
        <w:rPr>
          <w:rFonts w:ascii="Simplified Arabic" w:hAnsi="Simplified Arabic" w:cs="Simplified Arabic"/>
          <w:color w:val="000000" w:themeColor="text1"/>
          <w:sz w:val="28"/>
          <w:szCs w:val="28"/>
        </w:rPr>
        <w:t xml:space="preserve"> Kaliannan et al. (2023) </w:t>
      </w:r>
      <w:r w:rsidRPr="00280DEE">
        <w:rPr>
          <w:rFonts w:ascii="Simplified Arabic" w:hAnsi="Simplified Arabic" w:cs="Simplified Arabic"/>
          <w:color w:val="000000" w:themeColor="text1"/>
          <w:sz w:val="28"/>
          <w:szCs w:val="28"/>
          <w:rtl/>
        </w:rPr>
        <w:t>إلى أن أهداف إدارة المواهب في مقاربتها الشاملة تتضمن: تطوير جميع العاملين وليس فقط النخبة، وبناء ثقافة تنظيمية تحترم التنوع وتُقدّر الاختلاف، وإتاحة فرص متكافئة للنمو المهني لمختلف شرائح القوى العاملة، وتنمية القدرات القيادية عبر مختلف المستويات التنظيمية</w:t>
      </w:r>
      <w:r w:rsidRPr="00280DEE">
        <w:rPr>
          <w:rFonts w:ascii="Simplified Arabic" w:hAnsi="Simplified Arabic" w:cs="Simplified Arabic"/>
          <w:color w:val="000000" w:themeColor="text1"/>
          <w:sz w:val="28"/>
          <w:szCs w:val="28"/>
        </w:rPr>
        <w:t>.</w:t>
      </w:r>
    </w:p>
    <w:p w14:paraId="7289EE3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رابعاً، يحدد</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الأهداف من منظور الاحتفاظ بالكفاءات في: خفض معدلات الدوران الوظيفي وتكاليفه، وتعزيز نوايا البقاء لدى العاملين، وبناء علاقات عمل طويلة الأمد قائمة على الالتزام المتبادل، والحفاظ على المعرفة المؤسسية وتراكمها</w:t>
      </w:r>
      <w:r w:rsidRPr="00280DEE">
        <w:rPr>
          <w:rFonts w:ascii="Simplified Arabic" w:hAnsi="Simplified Arabic" w:cs="Simplified Arabic"/>
          <w:color w:val="000000" w:themeColor="text1"/>
          <w:sz w:val="28"/>
          <w:szCs w:val="28"/>
        </w:rPr>
        <w:t>.</w:t>
      </w:r>
    </w:p>
    <w:p w14:paraId="3085D99A"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خامساً، يعرض</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الأهداف من زاوية تنمية الكفاءات، وتشمل: تحديد الكفاءات المطلوبة لتحقيق الأهداف الاستراتيجية، وتصميم برامج تنموية تُلبي احتياجات التطوير، وتوفير فرص التعلم المستمر التي تُواكب المستجدات، ومواءمة برامج التنمية مع تطلعات الأجيال الجديدة من العاملين</w:t>
      </w:r>
      <w:r w:rsidRPr="00280DEE">
        <w:rPr>
          <w:rFonts w:ascii="Simplified Arabic" w:hAnsi="Simplified Arabic" w:cs="Simplified Arabic"/>
          <w:color w:val="000000" w:themeColor="text1"/>
          <w:sz w:val="28"/>
          <w:szCs w:val="28"/>
        </w:rPr>
        <w:t>.</w:t>
      </w:r>
    </w:p>
    <w:p w14:paraId="19F9C66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سادساً، يرى</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أن أهداف إدارة المواهب في السياق الرقمي المعاصر تتضمن: بناء الكفاءات الرقمية اللازمة لمواكبة التحول التقني، وإعادة تصميم المسارات الوظيفية بما يستجيب للتحولات في طبيعة العمل، وتوظيف التقنيات الرقمية في تحسين تجربة الموهبة داخل المنظمة، ودعم أنماط العمل المرن والهجين</w:t>
      </w:r>
      <w:r w:rsidRPr="00280DEE">
        <w:rPr>
          <w:rFonts w:ascii="Simplified Arabic" w:hAnsi="Simplified Arabic" w:cs="Simplified Arabic"/>
          <w:color w:val="000000" w:themeColor="text1"/>
          <w:sz w:val="28"/>
          <w:szCs w:val="28"/>
        </w:rPr>
        <w:t>.</w:t>
      </w:r>
    </w:p>
    <w:p w14:paraId="1E3C647C"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سابعاً، يحدد</w:t>
      </w:r>
      <w:r w:rsidRPr="00280DEE">
        <w:rPr>
          <w:rFonts w:ascii="Simplified Arabic" w:hAnsi="Simplified Arabic" w:cs="Simplified Arabic"/>
          <w:color w:val="000000" w:themeColor="text1"/>
          <w:sz w:val="28"/>
          <w:szCs w:val="28"/>
        </w:rPr>
        <w:t xml:space="preserve"> Aguinis &amp; Burgi-Tian (2021) </w:t>
      </w:r>
      <w:r w:rsidRPr="00280DEE">
        <w:rPr>
          <w:rFonts w:ascii="Simplified Arabic" w:hAnsi="Simplified Arabic" w:cs="Simplified Arabic"/>
          <w:color w:val="000000" w:themeColor="text1"/>
          <w:sz w:val="28"/>
          <w:szCs w:val="28"/>
          <w:rtl/>
        </w:rPr>
        <w:t>الأهداف في سياق الأزمات بـ: تعزيز مرونة المنظمة في مواجهة التحديات الطارئة، والحفاظ على استمرارية الأداء في الظروف الاستثنائية، ودعم صحة العاملين النفسية والمهنية، وإعادة تصميم ممارسات إدارة الأداء بما يتناسب مع الأوضاع المستجدة</w:t>
      </w:r>
      <w:r w:rsidRPr="00280DEE">
        <w:rPr>
          <w:rFonts w:ascii="Simplified Arabic" w:hAnsi="Simplified Arabic" w:cs="Simplified Arabic"/>
          <w:color w:val="000000" w:themeColor="text1"/>
          <w:sz w:val="28"/>
          <w:szCs w:val="28"/>
        </w:rPr>
        <w:t>.</w:t>
      </w:r>
    </w:p>
    <w:p w14:paraId="0DE7BC7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ثامناً، يعرض السليحات والصوالحة (2022) الأهداف من منظور التميز المنظمي، وتشمل: تحقيق التميز في القيادة عبر بناء صف ثانٍ من القيادات، وتحقيق التميز في الاستراتيجية عبر توفير الكفاءات القادرة على تنفيذها، وتحقيق التميز في الثقافة التنظيمية عبر تعزيز قيم الابتكار والتعاون، وتحقيق التميز في العمليات عبر تمكين المواهب من تطويرها</w:t>
      </w:r>
      <w:r w:rsidRPr="00280DEE">
        <w:rPr>
          <w:rFonts w:ascii="Simplified Arabic" w:hAnsi="Simplified Arabic" w:cs="Simplified Arabic"/>
          <w:color w:val="000000" w:themeColor="text1"/>
          <w:sz w:val="28"/>
          <w:szCs w:val="28"/>
        </w:rPr>
        <w:t>.</w:t>
      </w:r>
    </w:p>
    <w:p w14:paraId="0E351B4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تاسعاً، يذهب الشهري (2022) إلى أن أهداف إدارة المواهب تتضمن: تعزيز الأداء الإبداعي للعاملين، وتوفير البيئة الحاضنة للإبداع والابتكار، وتحفيز المبادرات الفردية والجماعية، ومكافأة الأفكار الخلاقة والحلول المبتكرة</w:t>
      </w:r>
      <w:r w:rsidRPr="00280DEE">
        <w:rPr>
          <w:rFonts w:ascii="Simplified Arabic" w:hAnsi="Simplified Arabic" w:cs="Simplified Arabic"/>
          <w:color w:val="000000" w:themeColor="text1"/>
          <w:sz w:val="28"/>
          <w:szCs w:val="28"/>
        </w:rPr>
        <w:t>.</w:t>
      </w:r>
    </w:p>
    <w:p w14:paraId="2663958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عاشراً، يحدد قريشي وآخرون (2022) الأهداف بـ: تعزيز الالتزام التنظيمي بأبعاده العاطفي والمعياري والاستمراري، وبناء علاقة نفسية إيجابية بين الموهبة والمنظمة، وترسيخ الشعور بالانتماء والولاء المؤسسي، وتقليل ظواهر الغياب النفسي والتراخي الوظيفي</w:t>
      </w:r>
      <w:r w:rsidRPr="00280DEE">
        <w:rPr>
          <w:rFonts w:ascii="Simplified Arabic" w:hAnsi="Simplified Arabic" w:cs="Simplified Arabic"/>
          <w:color w:val="000000" w:themeColor="text1"/>
          <w:sz w:val="28"/>
          <w:szCs w:val="28"/>
        </w:rPr>
        <w:t>.</w:t>
      </w:r>
    </w:p>
    <w:p w14:paraId="556B7098"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حادي عشر، يرى العدوان والهناندة (2024) أن الأهداف في السياق الريادي تتضمن: بناء كفاءات ريادية قادرة على استكشاف الفرص، وتحفيز سلوكيات المخاطرة المحسوبة، وتنمية الفكر الاستراتيجي لدى المواهب، ودعم توجه المنظمة نحو الابتكار المستمر</w:t>
      </w:r>
      <w:r w:rsidRPr="00280DEE">
        <w:rPr>
          <w:rFonts w:ascii="Simplified Arabic" w:hAnsi="Simplified Arabic" w:cs="Simplified Arabic"/>
          <w:color w:val="000000" w:themeColor="text1"/>
          <w:sz w:val="28"/>
          <w:szCs w:val="28"/>
        </w:rPr>
        <w:t>.</w:t>
      </w:r>
    </w:p>
    <w:p w14:paraId="15CB654B"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ثاني عشر، يعرض شوقير وعساف (2025) الأهداف من زاوية الجودة الشاملة، وتشمل: بناء الكفاءات القادرة على تطبيق معايير الجودة، وترسيخ ثقافة التحسين المستمر، وتعزيز الالتزام بمعايير التميز في الخدمة، ودعم تطبيق أنظمة الجودة المعتمدة</w:t>
      </w:r>
      <w:r w:rsidRPr="00280DEE">
        <w:rPr>
          <w:rFonts w:ascii="Simplified Arabic" w:hAnsi="Simplified Arabic" w:cs="Simplified Arabic"/>
          <w:color w:val="000000" w:themeColor="text1"/>
          <w:sz w:val="28"/>
          <w:szCs w:val="28"/>
        </w:rPr>
        <w:t>.</w:t>
      </w:r>
    </w:p>
    <w:p w14:paraId="36F99B34" w14:textId="575BF815"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5025277"/>
      <w:r w:rsidRPr="00280DEE">
        <w:rPr>
          <w:rFonts w:ascii="Simplified Arabic" w:hAnsi="Simplified Arabic" w:cs="Simplified Arabic" w:hint="cs"/>
          <w:b/>
          <w:bCs/>
          <w:color w:val="000000" w:themeColor="text1"/>
          <w:sz w:val="32"/>
          <w:szCs w:val="32"/>
          <w:rtl/>
        </w:rPr>
        <w:t xml:space="preserve">5.1.2 </w:t>
      </w:r>
      <w:r w:rsidR="0041473A" w:rsidRPr="00280DEE">
        <w:rPr>
          <w:rFonts w:ascii="Simplified Arabic" w:hAnsi="Simplified Arabic" w:cs="Simplified Arabic"/>
          <w:b/>
          <w:bCs/>
          <w:color w:val="000000" w:themeColor="text1"/>
          <w:sz w:val="32"/>
          <w:szCs w:val="32"/>
          <w:rtl/>
        </w:rPr>
        <w:t>أبعاد إدارة المواهب</w:t>
      </w:r>
      <w:bookmarkEnd w:id="50"/>
    </w:p>
    <w:p w14:paraId="20C3F32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تم تحديد أبعاد إدارة المواهب في الدراسة الحالية اعتماداً على ما ورد في دراسة</w:t>
      </w:r>
      <w:r w:rsidRPr="00280DEE">
        <w:rPr>
          <w:rFonts w:ascii="Simplified Arabic" w:hAnsi="Simplified Arabic" w:cs="Simplified Arabic"/>
          <w:color w:val="000000" w:themeColor="text1"/>
          <w:sz w:val="28"/>
          <w:szCs w:val="28"/>
        </w:rPr>
        <w:t xml:space="preserve"> Al Aina &amp; Atan (2020) </w:t>
      </w:r>
      <w:r w:rsidRPr="00280DEE">
        <w:rPr>
          <w:rFonts w:ascii="Simplified Arabic" w:hAnsi="Simplified Arabic" w:cs="Simplified Arabic"/>
          <w:color w:val="000000" w:themeColor="text1"/>
          <w:sz w:val="28"/>
          <w:szCs w:val="28"/>
          <w:rtl/>
        </w:rPr>
        <w:t>ودراسة</w:t>
      </w:r>
      <w:r w:rsidRPr="00280DEE">
        <w:rPr>
          <w:rFonts w:ascii="Simplified Arabic" w:hAnsi="Simplified Arabic" w:cs="Simplified Arabic"/>
          <w:color w:val="000000" w:themeColor="text1"/>
          <w:sz w:val="28"/>
          <w:szCs w:val="28"/>
        </w:rPr>
        <w:t xml:space="preserve"> Urme (2023)</w:t>
      </w:r>
      <w:r w:rsidRPr="00280DEE">
        <w:rPr>
          <w:rFonts w:ascii="Simplified Arabic" w:hAnsi="Simplified Arabic" w:cs="Simplified Arabic"/>
          <w:color w:val="000000" w:themeColor="text1"/>
          <w:sz w:val="28"/>
          <w:szCs w:val="28"/>
          <w:rtl/>
        </w:rPr>
        <w:t>، مع الاسترشاد بما طرحه</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في تناوله لممارسات إدارة المواهب. وقد اقتصرت الدراسة على أربعة أبعاد رئيسة تشمل: استقطاب المواهب، وتطوير المواهب، والاحتفاظ بالمواهب، وتعويض المواهب. وفيما يلي تفصيل هذه الأبعاد</w:t>
      </w:r>
      <w:r w:rsidRPr="00280DEE">
        <w:rPr>
          <w:rFonts w:ascii="Simplified Arabic" w:hAnsi="Simplified Arabic" w:cs="Simplified Arabic"/>
          <w:color w:val="000000" w:themeColor="text1"/>
          <w:sz w:val="28"/>
          <w:szCs w:val="28"/>
        </w:rPr>
        <w:t>:</w:t>
      </w:r>
    </w:p>
    <w:p w14:paraId="18531FA5"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الأول: استقطاب المواهب</w:t>
      </w:r>
    </w:p>
    <w:p w14:paraId="47F1AA9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يمثل استقطاب المواهب البوابة الأولى في منظومة إدارة المواهب، وهو البُعد الذي تنطلق منه سائر الممارسات اللاحقة. ويشير</w:t>
      </w:r>
      <w:r w:rsidRPr="00280DEE">
        <w:rPr>
          <w:rFonts w:ascii="Simplified Arabic" w:hAnsi="Simplified Arabic" w:cs="Simplified Arabic"/>
          <w:color w:val="000000" w:themeColor="text1"/>
          <w:sz w:val="28"/>
          <w:szCs w:val="28"/>
        </w:rPr>
        <w:t xml:space="preserve"> Al Aina &amp; Atan (2020) </w:t>
      </w:r>
      <w:r w:rsidRPr="00280DEE">
        <w:rPr>
          <w:rFonts w:ascii="Simplified Arabic" w:hAnsi="Simplified Arabic" w:cs="Simplified Arabic"/>
          <w:color w:val="000000" w:themeColor="text1"/>
          <w:sz w:val="28"/>
          <w:szCs w:val="28"/>
          <w:rtl/>
        </w:rPr>
        <w:t>إلى أن استقطاب المواهب يتجاوز مفهوم التوظيف التقليدي القائم على ملء الشواغر، ليصل إلى مستوى استراتيجي يقوم على بناء علامة تجارية للمنظمة بوصفها صاحب عمل مفضل، وتصميم عمليات اختيار تستند إلى معايير نوعية تراعي التوافق الاستراتيجي والثقافي بين الموهبة والمنظمة. ويتضمن استقطاب المواهب جملة من الممارسات، منها: تحليل الاحتياجات المستقبلية من الكفاءات في ضوء الخطط الاستراتيجية للمنظمة، ورسم صورة ذهنية إيجابية للمنظمة في سوق العمل، وتنويع مصادر الاستقطاب لتشمل المصادر التقليدية والرقمية، وتصميم عمليات اختيار متقدمة تعتمد على المقابلات السلوكية ومراكز التقييم واختبارات القدرات</w:t>
      </w:r>
      <w:r w:rsidRPr="00280DEE">
        <w:rPr>
          <w:rFonts w:ascii="Simplified Arabic" w:hAnsi="Simplified Arabic" w:cs="Simplified Arabic"/>
          <w:color w:val="000000" w:themeColor="text1"/>
          <w:sz w:val="28"/>
          <w:szCs w:val="28"/>
        </w:rPr>
        <w:t>.</w:t>
      </w:r>
    </w:p>
    <w:p w14:paraId="1D2994A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ويوسّع</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هذا التصور بتأكيده أن استقطاب المواهب في السياق المعاصر بات يتطلب مقاربات مبتكرة تتصل بتوظيف وسائل التواصل الاجتماعي، وبناء شراكات مع الجامعات ومراكز التميز، وتفعيل برامج الإحالة الداخلية، والاستفادة من قواعد بيانات المتخصصين. كما يشمل الاستقطاب بناء تجربة إيجابية للمرشحين خلال عملية التوظيف، بحيث تنعكس على استعدادهم للانضمام إلى المنظمة والتفاعل الإيجابي معها منذ اللحظات الأولى</w:t>
      </w:r>
      <w:r w:rsidRPr="00280DEE">
        <w:rPr>
          <w:rFonts w:ascii="Simplified Arabic" w:hAnsi="Simplified Arabic" w:cs="Simplified Arabic"/>
          <w:color w:val="000000" w:themeColor="text1"/>
          <w:sz w:val="28"/>
          <w:szCs w:val="28"/>
        </w:rPr>
        <w:t>.</w:t>
      </w:r>
    </w:p>
    <w:p w14:paraId="5F37CC6A"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الثاني: تطوير المواهب</w:t>
      </w:r>
    </w:p>
    <w:p w14:paraId="7AA9D5D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يمثل تطوير المواهب البُعد الذي يُعنى ببناء قدرات الكفاءات المستقطبة وتنميتها بصورة مستمرة، بما يتماشى مع المتطلبات المتغيرة للأعمال. ويشير</w:t>
      </w:r>
      <w:r w:rsidRPr="00280DEE">
        <w:rPr>
          <w:rFonts w:ascii="Simplified Arabic" w:hAnsi="Simplified Arabic" w:cs="Simplified Arabic"/>
          <w:color w:val="000000" w:themeColor="text1"/>
          <w:sz w:val="28"/>
          <w:szCs w:val="28"/>
        </w:rPr>
        <w:t xml:space="preserve"> Kaliannan et al. (2023) </w:t>
      </w:r>
      <w:r w:rsidRPr="00280DEE">
        <w:rPr>
          <w:rFonts w:ascii="Simplified Arabic" w:hAnsi="Simplified Arabic" w:cs="Simplified Arabic"/>
          <w:color w:val="000000" w:themeColor="text1"/>
          <w:sz w:val="28"/>
          <w:szCs w:val="28"/>
          <w:rtl/>
        </w:rPr>
        <w:t>إلى أن تطوير المواهب في مقاربته الشاملة لا يقتصر على البرامج التدريبية التقليدية، بل يمتد ليشمل منظومة متكاملة من التدخلات التنموية التي تعتمد على مبدأ التعلم المستمر والمتنوع. وتتضمن هذه المنظومة برامج التدريب الرسمي، والتعلم من خلال العمل، والتوجيه</w:t>
      </w:r>
      <w:r w:rsidRPr="00280DEE">
        <w:rPr>
          <w:rFonts w:ascii="Simplified Arabic" w:hAnsi="Simplified Arabic" w:cs="Simplified Arabic"/>
          <w:color w:val="000000" w:themeColor="text1"/>
          <w:sz w:val="28"/>
          <w:szCs w:val="28"/>
        </w:rPr>
        <w:t xml:space="preserve"> (Mentoring) </w:t>
      </w:r>
      <w:r w:rsidRPr="00280DEE">
        <w:rPr>
          <w:rFonts w:ascii="Simplified Arabic" w:hAnsi="Simplified Arabic" w:cs="Simplified Arabic"/>
          <w:color w:val="000000" w:themeColor="text1"/>
          <w:sz w:val="28"/>
          <w:szCs w:val="28"/>
          <w:rtl/>
        </w:rPr>
        <w:t>والتدريب</w:t>
      </w:r>
      <w:r w:rsidRPr="00280DEE">
        <w:rPr>
          <w:rFonts w:ascii="Simplified Arabic" w:hAnsi="Simplified Arabic" w:cs="Simplified Arabic"/>
          <w:color w:val="000000" w:themeColor="text1"/>
          <w:sz w:val="28"/>
          <w:szCs w:val="28"/>
        </w:rPr>
        <w:t xml:space="preserve"> (Coaching)</w:t>
      </w:r>
      <w:r w:rsidRPr="00280DEE">
        <w:rPr>
          <w:rFonts w:ascii="Simplified Arabic" w:hAnsi="Simplified Arabic" w:cs="Simplified Arabic"/>
          <w:color w:val="000000" w:themeColor="text1"/>
          <w:sz w:val="28"/>
          <w:szCs w:val="28"/>
          <w:rtl/>
        </w:rPr>
        <w:t>، والتناوب الوظيفي، والمهام التطويرية الخاصة، وبرامج تنمية القيادات، إلى جانب فرص التعلم الذاتي عبر المنصات الرقمية</w:t>
      </w:r>
      <w:r w:rsidRPr="00280DEE">
        <w:rPr>
          <w:rFonts w:ascii="Simplified Arabic" w:hAnsi="Simplified Arabic" w:cs="Simplified Arabic"/>
          <w:color w:val="000000" w:themeColor="text1"/>
          <w:sz w:val="28"/>
          <w:szCs w:val="28"/>
        </w:rPr>
        <w:t>.</w:t>
      </w:r>
    </w:p>
    <w:p w14:paraId="607EC445"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ويؤكد</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أن تطوير المواهب يجب أن يقوم على مبدأ تنمية الكفاءات</w:t>
      </w:r>
      <w:r w:rsidRPr="00280DEE">
        <w:rPr>
          <w:rFonts w:ascii="Simplified Arabic" w:hAnsi="Simplified Arabic" w:cs="Simplified Arabic"/>
          <w:color w:val="000000" w:themeColor="text1"/>
          <w:sz w:val="28"/>
          <w:szCs w:val="28"/>
        </w:rPr>
        <w:t xml:space="preserve"> (Competency Development) </w:t>
      </w:r>
      <w:r w:rsidRPr="00280DEE">
        <w:rPr>
          <w:rFonts w:ascii="Simplified Arabic" w:hAnsi="Simplified Arabic" w:cs="Simplified Arabic"/>
          <w:color w:val="000000" w:themeColor="text1"/>
          <w:sz w:val="28"/>
          <w:szCs w:val="28"/>
          <w:rtl/>
        </w:rPr>
        <w:t>الذي يربط بين متطلبات المستقبل واحتياجات التنمية الحالية، بحيث تشمل الكفاءات التقنية والسلوكية والقيادية. ويضيف</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بُعداً معاصراً لتطوير المواهب يتصل بتنمية الكفاءات الرقمية، بما يشمل مهارات التعامل مع الأدوات الرقمية، والقدرة على تحليل البيانات، والفهم العميق لتطبيقات التقنيات الناشئة كالذكاء الاصطناعي وإنترنت الأشياء. ويقارب</w:t>
      </w:r>
      <w:r w:rsidRPr="00280DEE">
        <w:rPr>
          <w:rFonts w:ascii="Simplified Arabic" w:hAnsi="Simplified Arabic" w:cs="Simplified Arabic"/>
          <w:color w:val="000000" w:themeColor="text1"/>
          <w:sz w:val="28"/>
          <w:szCs w:val="28"/>
        </w:rPr>
        <w:t xml:space="preserve"> Aguinis &amp; Burgi-Tian (2021) </w:t>
      </w:r>
      <w:r w:rsidRPr="00280DEE">
        <w:rPr>
          <w:rFonts w:ascii="Simplified Arabic" w:hAnsi="Simplified Arabic" w:cs="Simplified Arabic"/>
          <w:color w:val="000000" w:themeColor="text1"/>
          <w:sz w:val="28"/>
          <w:szCs w:val="28"/>
          <w:rtl/>
        </w:rPr>
        <w:t>تطوير المواهب من زاوية أخرى تتصل بإدارة الأداء بوصفها أداة تنموية تُتيح تحديد جوانب القوة والفرص التطويرية، وتقديم التغذية الراجعة المستمرة، ووضع خطط تنمية فردية تراعي خصوصية كل موهبة</w:t>
      </w:r>
      <w:r w:rsidRPr="00280DEE">
        <w:rPr>
          <w:rFonts w:ascii="Simplified Arabic" w:hAnsi="Simplified Arabic" w:cs="Simplified Arabic"/>
          <w:color w:val="000000" w:themeColor="text1"/>
          <w:sz w:val="28"/>
          <w:szCs w:val="28"/>
        </w:rPr>
        <w:t>.</w:t>
      </w:r>
    </w:p>
    <w:p w14:paraId="7A3C796F"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الثالث: الاحتفاظ بالمواهب</w:t>
      </w:r>
    </w:p>
    <w:p w14:paraId="7D0B8684"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يمثل الاحتفاظ بالمواهب البُعد الذي يُعنى بضمان استمرارية الكفاءات في المنظمة والحدّ من ظاهرة تسربها إلى المنافسين. ويرى</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أن الاحتفاظ بالمواهب يقوم على منظومة من الممارسات المتكاملة التي تستهدف تلبية الاحتياجات المتعددة للموهبة، بدءاً من الاحتياجات المادية المتصلة بالأجور والحوافز، ومروراً بالاحتياجات المهنية المتصلة بالمسارات الوظيفية وفرص التطور، ووصولاً إلى الاحتياجات النفسية والاجتماعية المتصلة بالتقدير والانتماء وجودة بيئة العمل</w:t>
      </w:r>
      <w:r w:rsidRPr="00280DEE">
        <w:rPr>
          <w:rFonts w:ascii="Simplified Arabic" w:hAnsi="Simplified Arabic" w:cs="Simplified Arabic"/>
          <w:color w:val="000000" w:themeColor="text1"/>
          <w:sz w:val="28"/>
          <w:szCs w:val="28"/>
        </w:rPr>
        <w:t>.</w:t>
      </w:r>
    </w:p>
    <w:p w14:paraId="3E34651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ويعرض</w:t>
      </w:r>
      <w:r w:rsidRPr="00280DEE">
        <w:rPr>
          <w:rFonts w:ascii="Simplified Arabic" w:hAnsi="Simplified Arabic" w:cs="Simplified Arabic"/>
          <w:color w:val="000000" w:themeColor="text1"/>
          <w:sz w:val="28"/>
          <w:szCs w:val="28"/>
        </w:rPr>
        <w:t xml:space="preserve"> Barkhuizen &amp; Gumede (2021) </w:t>
      </w:r>
      <w:r w:rsidRPr="00280DEE">
        <w:rPr>
          <w:rFonts w:ascii="Simplified Arabic" w:hAnsi="Simplified Arabic" w:cs="Simplified Arabic"/>
          <w:color w:val="000000" w:themeColor="text1"/>
          <w:sz w:val="28"/>
          <w:szCs w:val="28"/>
          <w:rtl/>
        </w:rPr>
        <w:t>الاحتفاظ بالمواهب من زاوية إدارة نوايا ترك العمل، إذ يستدعي هذا البُعد فهماً عميقاً لدوافع البقاء والمغادرة لدى الكفاءات، وتصميم تدخلات استباقية تُعالج مصادر عدم الرضا قبل أن تتحول إلى قرارات مغادرة فعلية. وتشمل ممارسات الاحتفاظ توفير بيئة عمل داعمة، وتصميم مسارات وظيفية واضحة، وإتاحة فرص التطور المهني، وتعزيز التوازن بين متطلبات العمل والحياة الشخصية، وبناء علاقات إيجابية بين الموهبة والمشرف المباشر. ويضيف</w:t>
      </w:r>
      <w:r w:rsidRPr="00280DEE">
        <w:rPr>
          <w:rFonts w:ascii="Simplified Arabic" w:hAnsi="Simplified Arabic" w:cs="Simplified Arabic"/>
          <w:color w:val="000000" w:themeColor="text1"/>
          <w:sz w:val="28"/>
          <w:szCs w:val="28"/>
        </w:rPr>
        <w:t xml:space="preserve"> Dzimbiri &amp; Molefi </w:t>
      </w:r>
      <w:r w:rsidRPr="00280DEE">
        <w:rPr>
          <w:rFonts w:ascii="Simplified Arabic" w:hAnsi="Simplified Arabic" w:cs="Simplified Arabic"/>
          <w:color w:val="000000" w:themeColor="text1"/>
          <w:sz w:val="28"/>
          <w:szCs w:val="28"/>
        </w:rPr>
        <w:lastRenderedPageBreak/>
        <w:t xml:space="preserve">(2021) </w:t>
      </w:r>
      <w:r w:rsidRPr="00280DEE">
        <w:rPr>
          <w:rFonts w:ascii="Simplified Arabic" w:hAnsi="Simplified Arabic" w:cs="Simplified Arabic"/>
          <w:color w:val="000000" w:themeColor="text1"/>
          <w:sz w:val="28"/>
          <w:szCs w:val="28"/>
          <w:rtl/>
        </w:rPr>
        <w:t>بُعداً يتصل بالرضا الوظيفي بوصفه محدداً محورياً للاحتفاظ، إذ إن تعزيز مصادر الرضا الجوهرية المتصلة بطبيعة العمل ومحتواه، إلى جانب مصادر الرضا الخارجية المتصلة ببيئة العمل والعلاقات، يُشكّل قاعدة صلبة لاستبقاء المواهب على المدى الطويل</w:t>
      </w:r>
      <w:r w:rsidRPr="00280DEE">
        <w:rPr>
          <w:rFonts w:ascii="Simplified Arabic" w:hAnsi="Simplified Arabic" w:cs="Simplified Arabic"/>
          <w:color w:val="000000" w:themeColor="text1"/>
          <w:sz w:val="28"/>
          <w:szCs w:val="28"/>
        </w:rPr>
        <w:t>.</w:t>
      </w:r>
    </w:p>
    <w:p w14:paraId="7B164BC3"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الرابع: تعويض المواهب</w:t>
      </w:r>
    </w:p>
    <w:p w14:paraId="21656B15"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يمثل تعويض المواهب البُعد الذي يُعنى بتصميم منظومة متكاملة من المكافآت المادية والمعنوية التي تعكس القيمة الإسهامية للموهبة وتُحفزها على تقديم أفضل ما لديها. ويشير</w:t>
      </w:r>
      <w:r w:rsidRPr="00280DEE">
        <w:rPr>
          <w:rFonts w:ascii="Simplified Arabic" w:hAnsi="Simplified Arabic" w:cs="Simplified Arabic"/>
          <w:color w:val="000000" w:themeColor="text1"/>
          <w:sz w:val="28"/>
          <w:szCs w:val="28"/>
        </w:rPr>
        <w:t xml:space="preserve"> Al Aina &amp; Atan (2020) </w:t>
      </w:r>
      <w:r w:rsidRPr="00280DEE">
        <w:rPr>
          <w:rFonts w:ascii="Simplified Arabic" w:hAnsi="Simplified Arabic" w:cs="Simplified Arabic"/>
          <w:color w:val="000000" w:themeColor="text1"/>
          <w:sz w:val="28"/>
          <w:szCs w:val="28"/>
          <w:rtl/>
        </w:rPr>
        <w:t>إلى أن تعويض المواهب لا يقتصر على الرواتب الأساسية، بل يمتد ليشمل حزمة متكاملة من المكافآت تتضمن الأجور المتغيرة المرتبطة بالأداء، والحوافز طويلة الأجل، والمزايا الوظيفية، وبرامج المشاركة في الأرباح، وخيارات الملكية. ويضيف</w:t>
      </w:r>
      <w:r w:rsidRPr="00280DEE">
        <w:rPr>
          <w:rFonts w:ascii="Simplified Arabic" w:hAnsi="Simplified Arabic" w:cs="Simplified Arabic"/>
          <w:color w:val="000000" w:themeColor="text1"/>
          <w:sz w:val="28"/>
          <w:szCs w:val="28"/>
        </w:rPr>
        <w:t xml:space="preserve"> Sembiring &amp; Damayanti (2023) </w:t>
      </w:r>
      <w:r w:rsidRPr="00280DEE">
        <w:rPr>
          <w:rFonts w:ascii="Simplified Arabic" w:hAnsi="Simplified Arabic" w:cs="Simplified Arabic"/>
          <w:color w:val="000000" w:themeColor="text1"/>
          <w:sz w:val="28"/>
          <w:szCs w:val="28"/>
          <w:rtl/>
        </w:rPr>
        <w:t>أن نظام التعويض الفعّال للمواهب يجب أن يتسم بالتنافسية الخارجية والعدالة الداخلية، بحيث يعكس القيمة السوقية للكفاءة من جهة، ويحقق التوازن بين الأدوار المختلفة داخل المنظمة من جهة أخرى</w:t>
      </w:r>
      <w:r w:rsidRPr="00280DEE">
        <w:rPr>
          <w:rFonts w:ascii="Simplified Arabic" w:hAnsi="Simplified Arabic" w:cs="Simplified Arabic"/>
          <w:color w:val="000000" w:themeColor="text1"/>
          <w:sz w:val="28"/>
          <w:szCs w:val="28"/>
        </w:rPr>
        <w:t>.</w:t>
      </w:r>
    </w:p>
    <w:p w14:paraId="4AC9C631"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ويطرح</w:t>
      </w:r>
      <w:r w:rsidRPr="00280DEE">
        <w:rPr>
          <w:rFonts w:ascii="Simplified Arabic" w:hAnsi="Simplified Arabic" w:cs="Simplified Arabic"/>
          <w:color w:val="000000" w:themeColor="text1"/>
          <w:sz w:val="28"/>
          <w:szCs w:val="28"/>
        </w:rPr>
        <w:t xml:space="preserve"> Tariq (2024) </w:t>
      </w:r>
      <w:r w:rsidRPr="00280DEE">
        <w:rPr>
          <w:rFonts w:ascii="Simplified Arabic" w:hAnsi="Simplified Arabic" w:cs="Simplified Arabic"/>
          <w:color w:val="000000" w:themeColor="text1"/>
          <w:sz w:val="28"/>
          <w:szCs w:val="28"/>
          <w:rtl/>
        </w:rPr>
        <w:t>بُعداً معاصراً لتعويض المواهب يتصل بتوظيف تقنيات الذكاء الاصطناعي في تحليل بيانات الأداء وتحديد استحقاقات المكافآت بصورة موضوعية، بما يُعزز عدالة النظام ومصداقيته. كما يشمل تعويض المواهب مكونات معنوية تتصل بالتقدير والاعتراف بالإنجاز، ومنح الألقاب التقديرية، وإتاحة فرص الظهور والمشاركة في القرارات الاستراتيجية. ويرى الشهري (2022) أن الجانب المعنوي في التعويض قد يكون أكثر تأثيراً من الجانب المادي في بعض السياقات، خاصة لدى المواهب الإبداعية التي تبحث عن الاعتراف بأفكارها وإسهاماتها</w:t>
      </w:r>
      <w:r w:rsidRPr="00280DEE">
        <w:rPr>
          <w:rFonts w:ascii="Simplified Arabic" w:hAnsi="Simplified Arabic" w:cs="Simplified Arabic"/>
          <w:color w:val="000000" w:themeColor="text1"/>
          <w:sz w:val="28"/>
          <w:szCs w:val="28"/>
        </w:rPr>
        <w:t>.</w:t>
      </w:r>
    </w:p>
    <w:p w14:paraId="00339A4F" w14:textId="7A8C9F69" w:rsidR="0041473A" w:rsidRPr="00280DEE" w:rsidRDefault="00B673FB" w:rsidP="00B673FB">
      <w:pPr>
        <w:jc w:val="center"/>
        <w:outlineLvl w:val="1"/>
        <w:rPr>
          <w:rFonts w:ascii="Simplified Arabic" w:hAnsi="Simplified Arabic" w:cs="Simplified Arabic"/>
          <w:b/>
          <w:bCs/>
          <w:color w:val="000000" w:themeColor="text1"/>
          <w:sz w:val="36"/>
          <w:szCs w:val="36"/>
        </w:rPr>
      </w:pPr>
      <w:r w:rsidRPr="00280DEE">
        <w:rPr>
          <w:rFonts w:ascii="Simplified Arabic" w:hAnsi="Simplified Arabic" w:cs="Simplified Arabic"/>
          <w:b/>
          <w:bCs/>
          <w:color w:val="000000" w:themeColor="text1"/>
          <w:sz w:val="36"/>
          <w:szCs w:val="36"/>
          <w:rtl/>
        </w:rPr>
        <w:br w:type="page"/>
      </w:r>
      <w:bookmarkStart w:id="51" w:name="_Toc235025278"/>
      <w:r w:rsidR="0041473A" w:rsidRPr="00280DEE">
        <w:rPr>
          <w:rFonts w:ascii="Simplified Arabic" w:hAnsi="Simplified Arabic" w:cs="Simplified Arabic"/>
          <w:b/>
          <w:bCs/>
          <w:color w:val="000000" w:themeColor="text1"/>
          <w:sz w:val="36"/>
          <w:szCs w:val="36"/>
          <w:rtl/>
        </w:rPr>
        <w:lastRenderedPageBreak/>
        <w:t>المبحث الثاني: الاحتفاظ بالكفاءات</w:t>
      </w:r>
      <w:r w:rsidR="0041473A" w:rsidRPr="00280DEE">
        <w:rPr>
          <w:rFonts w:ascii="Simplified Arabic" w:hAnsi="Simplified Arabic" w:cs="Simplified Arabic"/>
          <w:b/>
          <w:bCs/>
          <w:color w:val="000000" w:themeColor="text1"/>
          <w:sz w:val="36"/>
          <w:szCs w:val="36"/>
        </w:rPr>
        <w:t xml:space="preserve"> (Talent/Competency Retention)</w:t>
      </w:r>
      <w:bookmarkEnd w:id="51"/>
    </w:p>
    <w:p w14:paraId="56B37D26" w14:textId="0CA25689"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5025279"/>
      <w:r w:rsidRPr="00280DEE">
        <w:rPr>
          <w:rFonts w:ascii="Simplified Arabic" w:hAnsi="Simplified Arabic" w:cs="Simplified Arabic" w:hint="cs"/>
          <w:b/>
          <w:bCs/>
          <w:color w:val="000000" w:themeColor="text1"/>
          <w:sz w:val="32"/>
          <w:szCs w:val="32"/>
          <w:rtl/>
        </w:rPr>
        <w:t xml:space="preserve">1.2.2 </w:t>
      </w:r>
      <w:r w:rsidR="0041473A" w:rsidRPr="00280DEE">
        <w:rPr>
          <w:rFonts w:ascii="Simplified Arabic" w:hAnsi="Simplified Arabic" w:cs="Simplified Arabic"/>
          <w:b/>
          <w:bCs/>
          <w:color w:val="000000" w:themeColor="text1"/>
          <w:sz w:val="32"/>
          <w:szCs w:val="32"/>
          <w:rtl/>
        </w:rPr>
        <w:t>تمهيد</w:t>
      </w:r>
      <w:bookmarkEnd w:id="52"/>
    </w:p>
    <w:p w14:paraId="3ED4FA57"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يُعدّ الاحتفاظ بالكفاءات من أبرز التحديات الاستراتيجية التي تواجه المنظمات المعاصرة، في ظل ما يشهده سوق العمل من ديناميكية متزايدة وتنافس محتدم على الكفاءات النوعية. ولم تعد المنظمات الناجحة تلك التي تمتلك كفاءات متميزة فحسب، بل تلك القادرة على استبقاء هذه الكفاءات على المدى الطويل وترسيخ ولائها المؤسسي وتحقيق أقصى استثمار لقدراتها. وتزداد أهمية الاحتفاظ بالكفاءات في السياقات التي تشهد شحاً في الكفاءات المتخصصة، أو تلك التي تتصف بارتفاع تكاليف استقطاب الكفاءات البديلة، أو التي تنطوي على معرفة ضمنية يصعب نقلها</w:t>
      </w:r>
      <w:r w:rsidRPr="00280DEE">
        <w:rPr>
          <w:rFonts w:ascii="Simplified Arabic" w:hAnsi="Simplified Arabic" w:cs="Simplified Arabic"/>
          <w:color w:val="000000" w:themeColor="text1"/>
          <w:sz w:val="28"/>
          <w:szCs w:val="28"/>
        </w:rPr>
        <w:t>.</w:t>
      </w:r>
    </w:p>
    <w:p w14:paraId="0B94B42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وتكتسب قضية الاحتفاظ بالكفاءات في شركات القطاع الخاص السعودية أهمية استثنائية في ضوء التحولات الاقتصادية التي تشهدها المملكة، والحراك المتنامي للكفاءات بين القطاعات والمنظمات، والحاجة المتزايدة إلى كفاءات نوعية قادرة على قيادة مسيرة التنويع الاقتصادي في إطار رؤية 2030. ومن هنا تتناول الدراسة الحالية الاحتفاظ بالكفاءات بوصفه متغيراً تابعاً محورياً، تسعى إلى فهم مقوماته ومحدداته والعوامل المؤثرة فيه، بما يُتيح للمنظمات بناء تصورات عملية لتعزيز قدرتها على استبقاء كفاءاتها</w:t>
      </w:r>
      <w:r w:rsidRPr="00280DEE">
        <w:rPr>
          <w:rFonts w:ascii="Simplified Arabic" w:hAnsi="Simplified Arabic" w:cs="Simplified Arabic"/>
          <w:color w:val="000000" w:themeColor="text1"/>
          <w:sz w:val="28"/>
          <w:szCs w:val="28"/>
        </w:rPr>
        <w:t>.</w:t>
      </w:r>
    </w:p>
    <w:p w14:paraId="62D0CA48" w14:textId="08690E5F"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5025280"/>
      <w:r w:rsidRPr="00280DEE">
        <w:rPr>
          <w:rFonts w:ascii="Simplified Arabic" w:hAnsi="Simplified Arabic" w:cs="Simplified Arabic" w:hint="cs"/>
          <w:b/>
          <w:bCs/>
          <w:color w:val="000000" w:themeColor="text1"/>
          <w:sz w:val="32"/>
          <w:szCs w:val="32"/>
          <w:rtl/>
        </w:rPr>
        <w:t xml:space="preserve">2.2.2 </w:t>
      </w:r>
      <w:r w:rsidR="0041473A" w:rsidRPr="00280DEE">
        <w:rPr>
          <w:rFonts w:ascii="Simplified Arabic" w:hAnsi="Simplified Arabic" w:cs="Simplified Arabic"/>
          <w:b/>
          <w:bCs/>
          <w:color w:val="000000" w:themeColor="text1"/>
          <w:sz w:val="32"/>
          <w:szCs w:val="32"/>
          <w:rtl/>
        </w:rPr>
        <w:t>مفهوم الاحتفاظ بالكفاءات</w:t>
      </w:r>
      <w:bookmarkEnd w:id="53"/>
    </w:p>
    <w:p w14:paraId="7EED253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تعددت المقاربات النظرية لمفهوم الاحتفاظ بالكفاءات وتنوعت زوايا معالجته في الأدبيات الإدارية، وذلك تبعاً لتباين المدارس الفكرية واختلاف السياقات التطبيقية التي تناولها منها الباحثون. ويمكن رصد ثلاث مقاربات رئيسة في تعريف المفهوم: المقاربة الاستراتيجية التي تنظر إليه كتوجه شامل، والمقاربة السلوكية التي تربطه بنوايا العاملين ودوافعهم، والمقاربة الإجرائية التي تعرضه كمنظومة ممارسات وسياسات</w:t>
      </w:r>
      <w:r w:rsidRPr="00280DEE">
        <w:rPr>
          <w:rFonts w:ascii="Simplified Arabic" w:hAnsi="Simplified Arabic" w:cs="Simplified Arabic"/>
          <w:color w:val="000000" w:themeColor="text1"/>
          <w:sz w:val="28"/>
          <w:szCs w:val="28"/>
        </w:rPr>
        <w:t>.</w:t>
      </w:r>
    </w:p>
    <w:p w14:paraId="6ABA8361"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في إطار المقاربة الاستراتيجية، يرى الحمزة (2023) أن الاحتفاظ بالكفاءات يمثل التوجه الاستراتيجي الذي تنتهجه المنظمة لضمان استمرارية كفاءاتها الحيوية عبر تهيئة بيئة عمل داخلية داعمة تلبي احتياجاتهم المتنوعة وتُلبي تطلعاتهم المهنية. ويوسّع سليطين والعباس (2022) هذا التصور بتعريفهما الاحتفاظ بالكفاءات بأنه العملية المتكاملة التي تنتهجها المنظمة للتحليل الاستراتيجي لمواردها البشرية وتحديد </w:t>
      </w:r>
      <w:r w:rsidRPr="00280DEE">
        <w:rPr>
          <w:rFonts w:ascii="Simplified Arabic" w:hAnsi="Simplified Arabic" w:cs="Simplified Arabic"/>
          <w:color w:val="000000" w:themeColor="text1"/>
          <w:sz w:val="28"/>
          <w:szCs w:val="28"/>
          <w:rtl/>
        </w:rPr>
        <w:lastRenderedPageBreak/>
        <w:t>الكفاءات العلمية الوظيفية الحيوية والعمل على استبقائها، وذلك عبر منظومة من التدخلات المخططة التي تراعي خصوصية هذه الكفاءات وموقعها الاستراتيجي في المنظمة</w:t>
      </w:r>
      <w:r w:rsidRPr="00280DEE">
        <w:rPr>
          <w:rFonts w:ascii="Simplified Arabic" w:hAnsi="Simplified Arabic" w:cs="Simplified Arabic"/>
          <w:color w:val="000000" w:themeColor="text1"/>
          <w:sz w:val="28"/>
          <w:szCs w:val="28"/>
        </w:rPr>
        <w:t>.</w:t>
      </w:r>
    </w:p>
    <w:p w14:paraId="104F019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منظور سلوكي، يعرض</w:t>
      </w:r>
      <w:r w:rsidRPr="00280DEE">
        <w:rPr>
          <w:rFonts w:ascii="Simplified Arabic" w:hAnsi="Simplified Arabic" w:cs="Simplified Arabic"/>
          <w:color w:val="000000" w:themeColor="text1"/>
          <w:sz w:val="28"/>
          <w:szCs w:val="28"/>
        </w:rPr>
        <w:t xml:space="preserve"> Barkhuizen &amp; Gumede (2021) </w:t>
      </w:r>
      <w:r w:rsidRPr="00280DEE">
        <w:rPr>
          <w:rFonts w:ascii="Simplified Arabic" w:hAnsi="Simplified Arabic" w:cs="Simplified Arabic"/>
          <w:color w:val="000000" w:themeColor="text1"/>
          <w:sz w:val="28"/>
          <w:szCs w:val="28"/>
          <w:rtl/>
        </w:rPr>
        <w:t>الاحتفاظ بالكفاءات بوصفه انعكاساً للحالة النفسية والسلوكية للعاملين تجاه المنظمة، وتحديداً في مستوى نواياهم الطوعية للاستمرار في العمل مقابل نواياهم لترك العمل. ويرتبط هذا المفهوم بجملة من المحددات النفسية كالرضا الوظيفي والالتزام التنظيمي والتوافق بين قيم الفرد والمنظمة. ويقدّم</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تعريفاً في السياق ذاته يعرض فيه الاحتفاظ بالكفاءات بوصفه مجموعة النوايا والسلوكيات التي تعكس رغبة العاملين ذوي القدرات المتميزة في الاستمرار مع المنظمة، وامتناعهم عن البحث النشط عن فرص عمل بديلة، واستعدادهم لبذل جهد إضافي لصالح المنظمة</w:t>
      </w:r>
      <w:r w:rsidRPr="00280DEE">
        <w:rPr>
          <w:rFonts w:ascii="Simplified Arabic" w:hAnsi="Simplified Arabic" w:cs="Simplified Arabic"/>
          <w:color w:val="000000" w:themeColor="text1"/>
          <w:sz w:val="28"/>
          <w:szCs w:val="28"/>
        </w:rPr>
        <w:t>.</w:t>
      </w:r>
    </w:p>
    <w:p w14:paraId="41FC1601"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وفي إطار المقاربة الإجرائية، يذهب</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إلى أن الاحتفاظ بالكفاءات يمثل منظومة الاستراتيجيات والممارسات التي تنتهجها المنظمة للحدّ من تسرب كفاءاتها، وتتضمن ممارسات متعددة تشمل التعويض التنافسي، والتطوير المهني، وبيئة العمل الداعمة، والقيادة الفعّالة، والتوازن بين متطلبات العمل والحياة. ويعرض</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الاحتفاظ بالكفاءات من زاوية خصوصية أجيال العمل، إذ يعرّفانه بوصفه القدرة على استبقاء العاملين ذوي القدرات المتميزة من أجيال محددة، مع مراعاة الفروق في توقعاتهم ودوافعهم وأنماط تفاعلهم مع بيئة العمل</w:t>
      </w:r>
      <w:r w:rsidRPr="00280DEE">
        <w:rPr>
          <w:rFonts w:ascii="Simplified Arabic" w:hAnsi="Simplified Arabic" w:cs="Simplified Arabic"/>
          <w:color w:val="000000" w:themeColor="text1"/>
          <w:sz w:val="28"/>
          <w:szCs w:val="28"/>
        </w:rPr>
        <w:t>.</w:t>
      </w:r>
    </w:p>
    <w:p w14:paraId="7EE507A4"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منظور القطاعات المتخصصة، يعرض</w:t>
      </w:r>
      <w:r w:rsidRPr="00280DEE">
        <w:rPr>
          <w:rFonts w:ascii="Simplified Arabic" w:hAnsi="Simplified Arabic" w:cs="Simplified Arabic"/>
          <w:color w:val="000000" w:themeColor="text1"/>
          <w:sz w:val="28"/>
          <w:szCs w:val="28"/>
        </w:rPr>
        <w:t xml:space="preserve"> Dzimbiri &amp; Molefi (2021) </w:t>
      </w:r>
      <w:r w:rsidRPr="00280DEE">
        <w:rPr>
          <w:rFonts w:ascii="Simplified Arabic" w:hAnsi="Simplified Arabic" w:cs="Simplified Arabic"/>
          <w:color w:val="000000" w:themeColor="text1"/>
          <w:sz w:val="28"/>
          <w:szCs w:val="28"/>
          <w:rtl/>
        </w:rPr>
        <w:t>الاحتفاظ بالكفاءات في القطاع الصحي بوصفه العملية التي تسعى المنظمة الصحية من خلالها إلى استبقاء كوادرها المتخصصة عبر تعزيز مستويات الرضا الوظيفي وتوفير بيئة عمل داعمة تراعي طبيعة العمل الصحي وضغوطه. ويقدّم شوقير وعساف (2025) تعريفاً في السياق ذاته يربط بين الاحتفاظ بالكفاءات في القطاع الصحي وممارسات الجودة الشاملة، إذ يرون أن الاحتفاظ بالكفاءات يُشكّل مقوماً محورياً لتطبيق نظم الجودة واستدامتها</w:t>
      </w:r>
      <w:r w:rsidRPr="00280DEE">
        <w:rPr>
          <w:rFonts w:ascii="Simplified Arabic" w:hAnsi="Simplified Arabic" w:cs="Simplified Arabic"/>
          <w:color w:val="000000" w:themeColor="text1"/>
          <w:sz w:val="28"/>
          <w:szCs w:val="28"/>
        </w:rPr>
        <w:t>.</w:t>
      </w:r>
    </w:p>
    <w:p w14:paraId="33631245"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منظور التحول الرقمي، يطرح</w:t>
      </w:r>
      <w:r w:rsidRPr="00280DEE">
        <w:rPr>
          <w:rFonts w:ascii="Simplified Arabic" w:hAnsi="Simplified Arabic" w:cs="Simplified Arabic"/>
          <w:color w:val="000000" w:themeColor="text1"/>
          <w:sz w:val="28"/>
          <w:szCs w:val="28"/>
        </w:rPr>
        <w:t xml:space="preserve"> Tariq (2024) </w:t>
      </w:r>
      <w:r w:rsidRPr="00280DEE">
        <w:rPr>
          <w:rFonts w:ascii="Simplified Arabic" w:hAnsi="Simplified Arabic" w:cs="Simplified Arabic"/>
          <w:color w:val="000000" w:themeColor="text1"/>
          <w:sz w:val="28"/>
          <w:szCs w:val="28"/>
          <w:rtl/>
        </w:rPr>
        <w:t>تعريفاً للاحتفاظ بالكفاءات يعكس التطورات المعاصرة، إذ يعرضه بوصفه القدرة الاستراتيجية للمنظمة على استبقاء كفاءاتها في ظل ما تُتيحه التقنيات الرقمية من فرص للتنقل المهني وسهولة الوصول إلى فرص العمل عن بُعد، مما يستدعي مقاربات مبتكرة تتجاوز الأدوات التقليدية. ويضيف</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 xml:space="preserve">أن الاحتفاظ بالكفاءات في السياق الرقمي </w:t>
      </w:r>
      <w:r w:rsidRPr="00280DEE">
        <w:rPr>
          <w:rFonts w:ascii="Simplified Arabic" w:hAnsi="Simplified Arabic" w:cs="Simplified Arabic"/>
          <w:color w:val="000000" w:themeColor="text1"/>
          <w:sz w:val="28"/>
          <w:szCs w:val="28"/>
          <w:rtl/>
        </w:rPr>
        <w:lastRenderedPageBreak/>
        <w:t>يستدعي إعادة تصميم منظومة القيمة المقدمة للموهبة بحيث تتضمن عناصر رقمية تتصل بأنماط العمل المرن، وتجربة الموظف الرقمية، وفرص التطور في المجالات التقنية</w:t>
      </w:r>
      <w:r w:rsidRPr="00280DEE">
        <w:rPr>
          <w:rFonts w:ascii="Simplified Arabic" w:hAnsi="Simplified Arabic" w:cs="Simplified Arabic"/>
          <w:color w:val="000000" w:themeColor="text1"/>
          <w:sz w:val="28"/>
          <w:szCs w:val="28"/>
        </w:rPr>
        <w:t>.</w:t>
      </w:r>
    </w:p>
    <w:p w14:paraId="7AC0A5EC"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وفي المقاربات العربية، يقدّم عبدالرحمن وآخرون (2025) تعريفاً يربط بين الاحتفاظ بالكفاءات وتجنب الاحتراق الوظيفي، إذ يرون أن الاحتفاظ يمثل قدرة المنظمة على الحفاظ على استقرار كوادرها عبر توفير بيئة عمل صحية تحميهم من مصادر الاستنزاف النفسي والمهني. ويعرض نوفل ورضوان (2026) تعريفاً يربط بين الاحتفاظ بالكفاءات وممارسات القيادة التحويلية، مؤكدَين أن الاحتفاظ يمثل الحصيلة المتراكمة لمجموعة من الممارسات القيادية والتنظيمية التي تُعزز ارتباط الكفاءات بالمنظمة على المدى الطويل</w:t>
      </w:r>
      <w:r w:rsidRPr="00280DEE">
        <w:rPr>
          <w:rFonts w:ascii="Simplified Arabic" w:hAnsi="Simplified Arabic" w:cs="Simplified Arabic"/>
          <w:color w:val="000000" w:themeColor="text1"/>
          <w:sz w:val="28"/>
          <w:szCs w:val="28"/>
        </w:rPr>
        <w:t>.</w:t>
      </w:r>
    </w:p>
    <w:p w14:paraId="4BAA4C2A"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ويعرض سليخ (2021) الاحتفاظ بالكفاءات من منظور بطاقة الأداء المتوازن، بوصفه بُعداً من أبعاد التعلم والنمو التي تُشكّل قاعدة استدامة الأداء المؤسسي، إذ يتصل الاحتفاظ بالكفاءات بالقدرة على تراكم رأس المال الفكري وتوظيفه في تطوير العمليات الداخلية</w:t>
      </w:r>
      <w:r w:rsidRPr="00280DEE">
        <w:rPr>
          <w:rFonts w:ascii="Simplified Arabic" w:hAnsi="Simplified Arabic" w:cs="Simplified Arabic"/>
          <w:color w:val="000000" w:themeColor="text1"/>
          <w:sz w:val="28"/>
          <w:szCs w:val="28"/>
        </w:rPr>
        <w:t>.</w:t>
      </w:r>
    </w:p>
    <w:p w14:paraId="5F38C3CB"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ومن استعراض هذه التعريفات المتنوعة، يمكن للباحث أن يُبدي رأيه في المفهوم بالقول إن الاحتفاظ بالكفاءات يمثل منظومة استراتيجية متكاملة من التدخلات المخططة التي تنتهجها المنظمة بصورة استباقية لضمان استمرارية عناصرها البشرية النوعية القادرة على تحقيق قيمة إسهامية متميزة، وذلك عبر بناء منظومة قيمة متكاملة تُلبي احتياجاتهم المادية والمهنية والنفسية والاجتماعية، وتُرسي علاقة تبادلية طويلة الأمد بين المنظمة والكفاءة تقوم على الاعتراف بالقيمة الإسهامية وتحقيق التطلعات المشتركة. ويرى الباحث أن الإسهام النوعي في هذا المفهوم يتمثل في التأكيد على أن الاحتفاظ بالكفاءات ليس مجرد حالة سلبية تعكس عدم مغادرة العاملين، بل هو حالة إيجابية نشطة تعكس ارتباطاً قوياً يجمع بين البقاء الجسدي في المنظمة والحضور النفسي والذهني والالتزام السلوكي، بما يعني أن الاحتفاظ الحقيقي لا يقاس بمعدلات البقاء فحسب، بل بمستوى العطاء والإسهام والمشاركة الفاعلة التي تُبديها الكفاءات خلال فترة بقائها في المنظمة</w:t>
      </w:r>
      <w:r w:rsidRPr="00280DEE">
        <w:rPr>
          <w:rFonts w:ascii="Simplified Arabic" w:hAnsi="Simplified Arabic" w:cs="Simplified Arabic"/>
          <w:color w:val="000000" w:themeColor="text1"/>
          <w:sz w:val="28"/>
          <w:szCs w:val="28"/>
        </w:rPr>
        <w:t>.</w:t>
      </w:r>
    </w:p>
    <w:p w14:paraId="1FBC291A" w14:textId="7C09786B"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4" w:name="_Toc235025281"/>
      <w:r w:rsidRPr="00280DEE">
        <w:rPr>
          <w:rFonts w:ascii="Simplified Arabic" w:hAnsi="Simplified Arabic" w:cs="Simplified Arabic" w:hint="cs"/>
          <w:b/>
          <w:bCs/>
          <w:color w:val="000000" w:themeColor="text1"/>
          <w:sz w:val="32"/>
          <w:szCs w:val="32"/>
          <w:rtl/>
        </w:rPr>
        <w:t xml:space="preserve">3.2.2 </w:t>
      </w:r>
      <w:r w:rsidR="0041473A" w:rsidRPr="00280DEE">
        <w:rPr>
          <w:rFonts w:ascii="Simplified Arabic" w:hAnsi="Simplified Arabic" w:cs="Simplified Arabic"/>
          <w:b/>
          <w:bCs/>
          <w:color w:val="000000" w:themeColor="text1"/>
          <w:sz w:val="32"/>
          <w:szCs w:val="32"/>
          <w:rtl/>
        </w:rPr>
        <w:t>أهمية الاحتفاظ بالكفاءات</w:t>
      </w:r>
      <w:bookmarkEnd w:id="54"/>
    </w:p>
    <w:p w14:paraId="10818292"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يحتل الاحتفاظ بالكفاءات مكانة محورية في منظومة الأولويات الاستراتيجية للمنظمات المعاصرة، وذلك في ضوء ما تكبّده ظاهرة تسرب الكفاءات من تكاليف مالية وتنظيمية باهظة، وما تُتيحه القدرة على استبقاء الكفاءات من مزايا تنافسية مستدامة. ولا تقتصر أهمية الاحتفاظ بالكفاءات على البُعد الاقتصادي </w:t>
      </w:r>
      <w:r w:rsidRPr="00280DEE">
        <w:rPr>
          <w:rFonts w:ascii="Simplified Arabic" w:hAnsi="Simplified Arabic" w:cs="Simplified Arabic"/>
          <w:color w:val="000000" w:themeColor="text1"/>
          <w:sz w:val="28"/>
          <w:szCs w:val="28"/>
          <w:rtl/>
        </w:rPr>
        <w:lastRenderedPageBreak/>
        <w:t>المتصل بتوفير تكاليف الاستقطاب والتدريب، بل تمتد لتشمل أبعاداً معرفية وثقافية واستراتيجية تتصل بالحفاظ على المعرفة المؤسسية وتراكمها، وبناء ثقافة تنظيمية متماسكة، وضمان استمرارية الأداء الاستراتيجي</w:t>
      </w:r>
      <w:r w:rsidRPr="00280DEE">
        <w:rPr>
          <w:rFonts w:ascii="Simplified Arabic" w:hAnsi="Simplified Arabic" w:cs="Simplified Arabic"/>
          <w:color w:val="000000" w:themeColor="text1"/>
          <w:sz w:val="28"/>
          <w:szCs w:val="28"/>
        </w:rPr>
        <w:t>.</w:t>
      </w:r>
    </w:p>
    <w:p w14:paraId="537AD06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ويشير</w:t>
      </w:r>
      <w:r w:rsidRPr="00280DEE">
        <w:rPr>
          <w:rFonts w:ascii="Simplified Arabic" w:hAnsi="Simplified Arabic" w:cs="Simplified Arabic"/>
          <w:color w:val="000000" w:themeColor="text1"/>
          <w:sz w:val="28"/>
          <w:szCs w:val="28"/>
        </w:rPr>
        <w:t xml:space="preserve"> Barkhuizen &amp; Gumede (2021) </w:t>
      </w:r>
      <w:r w:rsidRPr="00280DEE">
        <w:rPr>
          <w:rFonts w:ascii="Simplified Arabic" w:hAnsi="Simplified Arabic" w:cs="Simplified Arabic"/>
          <w:color w:val="000000" w:themeColor="text1"/>
          <w:sz w:val="28"/>
          <w:szCs w:val="28"/>
          <w:rtl/>
        </w:rPr>
        <w:t>إلى أن أهمية الاحتفاظ بالكفاءات تتجلى في جملة من المحاور المترابطة: أولها الحدّ من التكاليف المرتبطة بارتفاع معدلات الدوران الوظيفي، والتي تشمل تكاليف الاستقطاب والاختيار والتدريب وخسارة الإنتاجية خلال فترات الشغور. وثانيها الحفاظ على المعرفة المؤسسية التي تتراكم لدى الكفاءات عبر سنوات الخدمة، والتي يصعب استعادتها بعد مغادرتها. وثالثها ضمان استقرار فرق العمل واستمرارية العلاقات المهنية داخل المنظمة. ورابعها بناء صورة إيجابية للمنظمة في سوق العمل بوصفها بيئة عمل جاذبة تستطيع استبقاء كفاءاتها</w:t>
      </w:r>
      <w:r w:rsidRPr="00280DEE">
        <w:rPr>
          <w:rFonts w:ascii="Simplified Arabic" w:hAnsi="Simplified Arabic" w:cs="Simplified Arabic"/>
          <w:color w:val="000000" w:themeColor="text1"/>
          <w:sz w:val="28"/>
          <w:szCs w:val="28"/>
        </w:rPr>
        <w:t>.</w:t>
      </w:r>
    </w:p>
    <w:p w14:paraId="29994C65"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ويرى</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أن أهمية الاحتفاظ بالكفاءات تتضح في أبعاد متعددة، تشمل: تعزيز الميزة التنافسية المستدامة عبر الحفاظ على رأس المال البشري النوعي الذي يصعب تقليده، وترسيخ الاستقرار التنظيمي الذي يُشكّل قاعدة للتخطيط طويل المدى، وضمان استمرارية العلاقات مع العملاء التي كثيراً ما ترتبط بالعاملين الأفراد، وتوفير قاعدة داخلية للترقية والتعاقب الوظيفي بدلاً من الاعتماد على الاستقطاب الخارجي</w:t>
      </w:r>
      <w:r w:rsidRPr="00280DEE">
        <w:rPr>
          <w:rFonts w:ascii="Simplified Arabic" w:hAnsi="Simplified Arabic" w:cs="Simplified Arabic"/>
          <w:color w:val="000000" w:themeColor="text1"/>
          <w:sz w:val="28"/>
          <w:szCs w:val="28"/>
        </w:rPr>
        <w:t>.</w:t>
      </w:r>
    </w:p>
    <w:p w14:paraId="79147DC7"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ويضيف</w:t>
      </w:r>
      <w:r w:rsidRPr="00280DEE">
        <w:rPr>
          <w:rFonts w:ascii="Simplified Arabic" w:hAnsi="Simplified Arabic" w:cs="Simplified Arabic"/>
          <w:color w:val="000000" w:themeColor="text1"/>
          <w:sz w:val="28"/>
          <w:szCs w:val="28"/>
        </w:rPr>
        <w:t xml:space="preserve"> Dzimbiri &amp; Molefi (2021) </w:t>
      </w:r>
      <w:r w:rsidRPr="00280DEE">
        <w:rPr>
          <w:rFonts w:ascii="Simplified Arabic" w:hAnsi="Simplified Arabic" w:cs="Simplified Arabic"/>
          <w:color w:val="000000" w:themeColor="text1"/>
          <w:sz w:val="28"/>
          <w:szCs w:val="28"/>
          <w:rtl/>
        </w:rPr>
        <w:t>أن أهمية الاحتفاظ بالكفاءات تكتسب طابعاً حرجاً في القطاعات ذات الطبيعة التخصصية، حيث تتضح هذه الأهمية في: ضمان استمرارية تقديم الخدمات الأساسية، والحفاظ على مستويات الجودة في المخرجات، وحماية الاستثمارات المكثفة في تدريب المتخصصين، والحدّ من الفجوات في الخبرة التي تنتج عن تسرب الكوادر ذات الخبرة العميقة. ويؤكد سليطين والعباس (2022) في السياق العربي أن أهمية الاحتفاظ بالكفاءات العلمية والوظيفية تنبع من دورها في تحقيق الأهداف الاستراتيجية للمؤسسة، والحفاظ على ميزتها التنافسية، وضمان جودة الأداء المؤسسي</w:t>
      </w:r>
      <w:r w:rsidRPr="00280DEE">
        <w:rPr>
          <w:rFonts w:ascii="Simplified Arabic" w:hAnsi="Simplified Arabic" w:cs="Simplified Arabic"/>
          <w:color w:val="000000" w:themeColor="text1"/>
          <w:sz w:val="28"/>
          <w:szCs w:val="28"/>
        </w:rPr>
        <w:t>.</w:t>
      </w:r>
    </w:p>
    <w:p w14:paraId="222A3940"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ويشير الحمزة (2023) إلى أن أهمية الاحتفاظ بالكفاءات تتصل ارتباطاً وثيقاً ببيئة العمل الداخلية، إذ إن استقرار الكفاءات ينعكس على جودة بيئة العمل، وبالمقابل فإن جودة بيئة العمل تُعزز قدرة المنظمة على الاحتفاظ بكفاءاتها في علاقة تفاعلية متبادلة. وتتفرع هذه الأهمية إلى تعزيز الرضا الوظيفي، وترسيخ الشعور بالانتماء، وبناء علاقات عمل صحية، ودعم الصحة النفسية للعاملين</w:t>
      </w:r>
      <w:r w:rsidRPr="00280DEE">
        <w:rPr>
          <w:rFonts w:ascii="Simplified Arabic" w:hAnsi="Simplified Arabic" w:cs="Simplified Arabic"/>
          <w:color w:val="000000" w:themeColor="text1"/>
          <w:sz w:val="28"/>
          <w:szCs w:val="28"/>
        </w:rPr>
        <w:t>.</w:t>
      </w:r>
    </w:p>
    <w:p w14:paraId="48E30CC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ويرى</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أن أهمية الاحتفاظ بالكفاءات تظهر بوضوح في السياق الديموغرافي المعاصر، حيث تتغير تركيبة القوى العاملة بتنامي حضور الأجيال الجديدة التي تتصف بميلها إلى التنقل الوظيفي وارتفاع توقعاتها من صاحب العمل. وفي هذا السياق تصبح القدرة على استبقاء هذه الأجيال قضية استراتيجية تستدعي مقاربات مخصصة تراعي خصوصية توقعاتها المهنية والحياتية. ويضيف</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أن أهمية الاحتفاظ بالكفاءات تنبع من كونها تحمي المنظمة من فقدان استثماراتها في رأس المال البشري، إذ إن كل موهبة تُغادر المنظمة تحمل معها استثمارات متراكمة في التدريب والتطوير قد تنتقل إلى المنافسين</w:t>
      </w:r>
      <w:r w:rsidRPr="00280DEE">
        <w:rPr>
          <w:rFonts w:ascii="Simplified Arabic" w:hAnsi="Simplified Arabic" w:cs="Simplified Arabic"/>
          <w:color w:val="000000" w:themeColor="text1"/>
          <w:sz w:val="28"/>
          <w:szCs w:val="28"/>
        </w:rPr>
        <w:t>.</w:t>
      </w:r>
    </w:p>
    <w:p w14:paraId="496D7DB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ويعرض</w:t>
      </w:r>
      <w:r w:rsidRPr="00280DEE">
        <w:rPr>
          <w:rFonts w:ascii="Simplified Arabic" w:hAnsi="Simplified Arabic" w:cs="Simplified Arabic"/>
          <w:color w:val="000000" w:themeColor="text1"/>
          <w:sz w:val="28"/>
          <w:szCs w:val="28"/>
        </w:rPr>
        <w:t xml:space="preserve"> Aguinis &amp; Burgi-Tian (2021) </w:t>
      </w:r>
      <w:r w:rsidRPr="00280DEE">
        <w:rPr>
          <w:rFonts w:ascii="Simplified Arabic" w:hAnsi="Simplified Arabic" w:cs="Simplified Arabic"/>
          <w:color w:val="000000" w:themeColor="text1"/>
          <w:sz w:val="28"/>
          <w:szCs w:val="28"/>
          <w:rtl/>
        </w:rPr>
        <w:t>أهمية الاحتفاظ بالكفاءات في سياق الأزمات، إذ تشتد الحاجة إلى الكفاءات الموثوقة القادرة على قيادة المنظمة عبر التحديات الطارئة، ويصبح الاحتفاظ بها ضمانة لاستمرارية الأعمال ومرونة الاستجابة. ويؤكد</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أن أهمية الاحتفاظ بالكفاءات تتضاعف في سياق التحول الرقمي، حيث تصبح الكفاءات التقنية والرقمية عصب النجاح المؤسسي، وتشتد المنافسة عليها بين المنظمات، ويصبح استبقاؤها تحدياً استراتيجياً بالغ الأهمية</w:t>
      </w:r>
      <w:r w:rsidRPr="00280DEE">
        <w:rPr>
          <w:rFonts w:ascii="Simplified Arabic" w:hAnsi="Simplified Arabic" w:cs="Simplified Arabic"/>
          <w:color w:val="000000" w:themeColor="text1"/>
          <w:sz w:val="28"/>
          <w:szCs w:val="28"/>
        </w:rPr>
        <w:t>.</w:t>
      </w:r>
    </w:p>
    <w:p w14:paraId="087DA0E4"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ويشير قريشي وآخرون (2022) إلى أن أهمية الاحتفاظ بالكفاءات في مؤسسات التعليم العالي تتصل بضمان استمرارية العملية التعليمية، والحفاظ على مستوى البحث العلمي، وتراكم الخبرات الأكاديمية عبر الأجيال. ويوسّع العدوان والهناندة (2024) نطاق الأهمية ليشمل البُعد الريادي، إذ إن الاحتفاظ بالكفاءات الريادية يُشكّل مقوماً محورياً لقدرة المنظمة على استكشاف الفرص الجديدة وتطوير نماذج أعمال مبتكرة</w:t>
      </w:r>
      <w:r w:rsidRPr="00280DEE">
        <w:rPr>
          <w:rFonts w:ascii="Simplified Arabic" w:hAnsi="Simplified Arabic" w:cs="Simplified Arabic"/>
          <w:color w:val="000000" w:themeColor="text1"/>
          <w:sz w:val="28"/>
          <w:szCs w:val="28"/>
        </w:rPr>
        <w:t>.</w:t>
      </w:r>
    </w:p>
    <w:p w14:paraId="56920D8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ويعرض نوفل ورضوان (2026) أهمية الاحتفاظ بالكفاءات في قطاع البترول بوصفه قطاعاً استراتيجياً يتوقف نجاحه على استمرارية الكفاءات الفنية والقيادية المتخصصة، وتتضمن هذه الأهمية ضمان استمرارية العمليات الحيوية، والحفاظ على الخبرات التقنية النادرة، وبناء صف قيادي مستقر يقود المنظمة نحو أهدافها بعيدة المدى. ويطرح</w:t>
      </w:r>
      <w:r w:rsidRPr="00280DEE">
        <w:rPr>
          <w:rFonts w:ascii="Simplified Arabic" w:hAnsi="Simplified Arabic" w:cs="Simplified Arabic"/>
          <w:color w:val="000000" w:themeColor="text1"/>
          <w:sz w:val="28"/>
          <w:szCs w:val="28"/>
        </w:rPr>
        <w:t xml:space="preserve"> Tariq (2024) </w:t>
      </w:r>
      <w:r w:rsidRPr="00280DEE">
        <w:rPr>
          <w:rFonts w:ascii="Simplified Arabic" w:hAnsi="Simplified Arabic" w:cs="Simplified Arabic"/>
          <w:color w:val="000000" w:themeColor="text1"/>
          <w:sz w:val="28"/>
          <w:szCs w:val="28"/>
          <w:rtl/>
        </w:rPr>
        <w:t>بُعداً معاصراً لأهمية الاحتفاظ يتصل بالمنافسة في اقتصاد المهارات الرقمية، حيث أصبحت الكفاءات المتخصصة في التقنيات الناشئة موارد نادرة يتنافس عليها الجميع، وباتت القدرة على استبقائها فيصلاً بين المنظمات الناجحة والمتعثرة</w:t>
      </w:r>
      <w:r w:rsidRPr="00280DEE">
        <w:rPr>
          <w:rFonts w:ascii="Simplified Arabic" w:hAnsi="Simplified Arabic" w:cs="Simplified Arabic"/>
          <w:color w:val="000000" w:themeColor="text1"/>
          <w:sz w:val="28"/>
          <w:szCs w:val="28"/>
        </w:rPr>
        <w:t>.</w:t>
      </w:r>
    </w:p>
    <w:p w14:paraId="3C1D4DC1" w14:textId="290A0225"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5" w:name="_Toc235025282"/>
      <w:r w:rsidRPr="00280DEE">
        <w:rPr>
          <w:rFonts w:ascii="Simplified Arabic" w:hAnsi="Simplified Arabic" w:cs="Simplified Arabic" w:hint="cs"/>
          <w:b/>
          <w:bCs/>
          <w:color w:val="000000" w:themeColor="text1"/>
          <w:sz w:val="32"/>
          <w:szCs w:val="32"/>
          <w:rtl/>
        </w:rPr>
        <w:t xml:space="preserve">4.2.2 </w:t>
      </w:r>
      <w:r w:rsidR="0041473A" w:rsidRPr="00280DEE">
        <w:rPr>
          <w:rFonts w:ascii="Simplified Arabic" w:hAnsi="Simplified Arabic" w:cs="Simplified Arabic"/>
          <w:b/>
          <w:bCs/>
          <w:color w:val="000000" w:themeColor="text1"/>
          <w:sz w:val="32"/>
          <w:szCs w:val="32"/>
          <w:rtl/>
        </w:rPr>
        <w:t>أهداف الاحتفاظ بالكفاءات</w:t>
      </w:r>
      <w:bookmarkEnd w:id="55"/>
    </w:p>
    <w:p w14:paraId="4B3CC5EC"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تسعى المنظمات من وراء انتهاج ممارسات الاحتفاظ بالكفاءات إلى تحقيق جملة من الأهداف الاستراتيجية والتشغيلية المترابطة، وقد عرض الباحثون رؤى متنوعة لهذه الأهداف</w:t>
      </w:r>
      <w:r w:rsidRPr="00280DEE">
        <w:rPr>
          <w:rFonts w:ascii="Simplified Arabic" w:hAnsi="Simplified Arabic" w:cs="Simplified Arabic"/>
          <w:color w:val="000000" w:themeColor="text1"/>
          <w:sz w:val="28"/>
          <w:szCs w:val="28"/>
        </w:rPr>
        <w:t>:</w:t>
      </w:r>
    </w:p>
    <w:p w14:paraId="7581BC48"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أولاً، يعرض</w:t>
      </w:r>
      <w:r w:rsidRPr="00280DEE">
        <w:rPr>
          <w:rFonts w:ascii="Simplified Arabic" w:hAnsi="Simplified Arabic" w:cs="Simplified Arabic"/>
          <w:color w:val="000000" w:themeColor="text1"/>
          <w:sz w:val="28"/>
          <w:szCs w:val="28"/>
        </w:rPr>
        <w:t xml:space="preserve"> Barkhuizen &amp; Gumede (2021) </w:t>
      </w:r>
      <w:r w:rsidRPr="00280DEE">
        <w:rPr>
          <w:rFonts w:ascii="Simplified Arabic" w:hAnsi="Simplified Arabic" w:cs="Simplified Arabic"/>
          <w:color w:val="000000" w:themeColor="text1"/>
          <w:sz w:val="28"/>
          <w:szCs w:val="28"/>
          <w:rtl/>
        </w:rPr>
        <w:t>الأهداف من زاوية الحدّ من نوايا ترك العمل، وتشمل: خفض معدلات الدوران الطوعي إلى المستويات المقبولة، وتحويل نوايا المغادرة إلى نوايا استمرار، ومعالجة مصادر عدم الرضا قبل أن تتحول إلى قرارات مغادرة، وبناء بيئة عمل تحفز على البقاء</w:t>
      </w:r>
      <w:r w:rsidRPr="00280DEE">
        <w:rPr>
          <w:rFonts w:ascii="Simplified Arabic" w:hAnsi="Simplified Arabic" w:cs="Simplified Arabic"/>
          <w:color w:val="000000" w:themeColor="text1"/>
          <w:sz w:val="28"/>
          <w:szCs w:val="28"/>
        </w:rPr>
        <w:t>.</w:t>
      </w:r>
    </w:p>
    <w:p w14:paraId="0D211649"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ثانياً، يذهب</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إلى أن الأهداف تتضمن: تعزيز الولاء المؤسسي للعاملين ذوي القدرات المتميزة، وضمان استمرارية العلاقة المهنية بينهم وبين المنظمة، وتحويل العلاقة التعاقدية إلى علاقة نفسية قائمة على الالتزام المتبادل، والحدّ من تعرض المنظمة لمخاطر فقدان كفاءاتها المحورية</w:t>
      </w:r>
      <w:r w:rsidRPr="00280DEE">
        <w:rPr>
          <w:rFonts w:ascii="Simplified Arabic" w:hAnsi="Simplified Arabic" w:cs="Simplified Arabic"/>
          <w:color w:val="000000" w:themeColor="text1"/>
          <w:sz w:val="28"/>
          <w:szCs w:val="28"/>
        </w:rPr>
        <w:t>.</w:t>
      </w:r>
    </w:p>
    <w:p w14:paraId="4960B95F"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ثالثاً، يحدد</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الأهداف من منظور استراتيجيات الاحتفاظ في: بناء منظومة متكاملة من الحوافز المادية والمعنوية، وتصميم مسارات وظيفية جاذبة، وتوفير بيئة عمل داعمة، وتعزيز مصادر الرضا الجوهرية المتصلة بمحتوى العمل، وإتاحة فرص التطور والنمو المستمر</w:t>
      </w:r>
      <w:r w:rsidRPr="00280DEE">
        <w:rPr>
          <w:rFonts w:ascii="Simplified Arabic" w:hAnsi="Simplified Arabic" w:cs="Simplified Arabic"/>
          <w:color w:val="000000" w:themeColor="text1"/>
          <w:sz w:val="28"/>
          <w:szCs w:val="28"/>
        </w:rPr>
        <w:t>.</w:t>
      </w:r>
    </w:p>
    <w:p w14:paraId="1EB45CF6"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رابعاً، يعرض</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الأهداف من زاوية تنمية الكفاءات، وتشمل: بناء منظومة كفاءات تدعم الاحتفاظ، وتلبية توقعات الأجيال الجديدة من العاملين، وربط التطور الفردي بالتطور المؤسسي، وترسيخ العلاقة التبادلية بين الاستثمار في التطوير والالتزام بالبقاء</w:t>
      </w:r>
      <w:r w:rsidRPr="00280DEE">
        <w:rPr>
          <w:rFonts w:ascii="Simplified Arabic" w:hAnsi="Simplified Arabic" w:cs="Simplified Arabic"/>
          <w:color w:val="000000" w:themeColor="text1"/>
          <w:sz w:val="28"/>
          <w:szCs w:val="28"/>
        </w:rPr>
        <w:t>.</w:t>
      </w:r>
    </w:p>
    <w:p w14:paraId="085F0EFB"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خامساً، يذهب</w:t>
      </w:r>
      <w:r w:rsidRPr="00280DEE">
        <w:rPr>
          <w:rFonts w:ascii="Simplified Arabic" w:hAnsi="Simplified Arabic" w:cs="Simplified Arabic"/>
          <w:color w:val="000000" w:themeColor="text1"/>
          <w:sz w:val="28"/>
          <w:szCs w:val="28"/>
        </w:rPr>
        <w:t xml:space="preserve"> Dzimbiri &amp; Molefi (2021) </w:t>
      </w:r>
      <w:r w:rsidRPr="00280DEE">
        <w:rPr>
          <w:rFonts w:ascii="Simplified Arabic" w:hAnsi="Simplified Arabic" w:cs="Simplified Arabic"/>
          <w:color w:val="000000" w:themeColor="text1"/>
          <w:sz w:val="28"/>
          <w:szCs w:val="28"/>
          <w:rtl/>
        </w:rPr>
        <w:t>إلى أن الأهداف في القطاعات المتخصصة تتضمن: ضمان استمرارية تقديم الخدمات المتخصصة، والحفاظ على الكوادر ذات الخبرة العميقة، وتقليل الفجوات في الخبرة الناتجة عن التسرب، وبناء نظام دعم مؤسسي يحمي العاملين من ضغوط العمل</w:t>
      </w:r>
      <w:r w:rsidRPr="00280DEE">
        <w:rPr>
          <w:rFonts w:ascii="Simplified Arabic" w:hAnsi="Simplified Arabic" w:cs="Simplified Arabic"/>
          <w:color w:val="000000" w:themeColor="text1"/>
          <w:sz w:val="28"/>
          <w:szCs w:val="28"/>
        </w:rPr>
        <w:t>.</w:t>
      </w:r>
    </w:p>
    <w:p w14:paraId="41CE5CD8"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سادساً، يحدد الحمزة (2023) الأهداف من منظور بيئة العمل الداخلية بـ: بناء بيئة عمل جاذبة ومحفزة، وتعزيز العلاقات المهنية الإيجابية بين العاملين، وتوفير الظروف المادية والمعنوية الداعمة للأداء، وترسيخ ثقافة تنظيمية تحترم الكفاءة وتُقدّرها</w:t>
      </w:r>
      <w:r w:rsidRPr="00280DEE">
        <w:rPr>
          <w:rFonts w:ascii="Simplified Arabic" w:hAnsi="Simplified Arabic" w:cs="Simplified Arabic"/>
          <w:color w:val="000000" w:themeColor="text1"/>
          <w:sz w:val="28"/>
          <w:szCs w:val="28"/>
        </w:rPr>
        <w:t>.</w:t>
      </w:r>
    </w:p>
    <w:p w14:paraId="24CCA40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سابعاً، يعرض سليطين والعباس (2022) الأهداف من زاوية التحليل الاستراتيجي للموارد البشرية، وتشمل: تحديد الكفاءات الحيوية التي تستحق تدخلات مكثفة للاحتفاظ، وتحليل مخاطر تسرب الكفاءات، وتصميم استراتيجيات احتفاظ مخصصة لكل شريحة، ومراقبة مؤشرات الاحتفاظ بصورة مستمرة</w:t>
      </w:r>
      <w:r w:rsidRPr="00280DEE">
        <w:rPr>
          <w:rFonts w:ascii="Simplified Arabic" w:hAnsi="Simplified Arabic" w:cs="Simplified Arabic"/>
          <w:color w:val="000000" w:themeColor="text1"/>
          <w:sz w:val="28"/>
          <w:szCs w:val="28"/>
        </w:rPr>
        <w:t>.</w:t>
      </w:r>
    </w:p>
    <w:p w14:paraId="59BCBCE3"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lastRenderedPageBreak/>
        <w:t>ثامناً، يحدد</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الأهداف في السياق الرقمي بـ: مواكبة التحولات في توقعات القوى العاملة الرقمية، وإعادة تصميم تجربة الموظف بما يتناسب مع البيئة الرقمية، وتوفير فرص التطور في المجالات التقنية الناشئة، وبناء منظومة عمل مرنة تتناسب مع أنماط العمل الحديثة</w:t>
      </w:r>
      <w:r w:rsidRPr="00280DEE">
        <w:rPr>
          <w:rFonts w:ascii="Simplified Arabic" w:hAnsi="Simplified Arabic" w:cs="Simplified Arabic"/>
          <w:color w:val="000000" w:themeColor="text1"/>
          <w:sz w:val="28"/>
          <w:szCs w:val="28"/>
        </w:rPr>
        <w:t>.</w:t>
      </w:r>
    </w:p>
    <w:p w14:paraId="38A73A57"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تاسعاً، يعرض عبدالرحمن وآخرون (2025) الأهداف من منظور وقائي، وتشمل: حماية الكفاءات من الاحتراق الوظيفي، وبناء بيئة عمل تحافظ على الصحة النفسية للعاملين، والحدّ من مصادر الاستنزاف المهني، وتعزيز التوازن بين متطلبات العمل والحياة</w:t>
      </w:r>
      <w:r w:rsidRPr="00280DEE">
        <w:rPr>
          <w:rFonts w:ascii="Simplified Arabic" w:hAnsi="Simplified Arabic" w:cs="Simplified Arabic"/>
          <w:color w:val="000000" w:themeColor="text1"/>
          <w:sz w:val="28"/>
          <w:szCs w:val="28"/>
        </w:rPr>
        <w:t>.</w:t>
      </w:r>
    </w:p>
    <w:p w14:paraId="0275E856"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عاشراً، يذهب نوفل ورضوان (2026) إلى أن الأهداف تتضمن: بناء منظومة قيادية داعمة للاحتفاظ، وتفعيل ممارسات القيادة التحويلية التي تُعزز الالتزام، وترسيخ رؤية مشتركة بين القيادة والكفاءات، وبناء علاقات ثقة متبادلة بين المستويات الإدارية والعاملين</w:t>
      </w:r>
      <w:r w:rsidRPr="00280DEE">
        <w:rPr>
          <w:rFonts w:ascii="Simplified Arabic" w:hAnsi="Simplified Arabic" w:cs="Simplified Arabic"/>
          <w:color w:val="000000" w:themeColor="text1"/>
          <w:sz w:val="28"/>
          <w:szCs w:val="28"/>
        </w:rPr>
        <w:t>.</w:t>
      </w:r>
    </w:p>
    <w:p w14:paraId="005EDEB9"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حادي عشر، يعرض شوقير وعساف (2025) الأهداف في سياق الجودة الشاملة، وتشمل: الحفاظ على الكفاءات المؤهلة لتطبيق معايير الجودة، وضمان استمرارية جهود التحسين المستمر، وبناء ثقافة تنظيمية تُعزز الالتزام بمعايير التميز، وحماية الاستثمارات في تدريب كوادر الجودة</w:t>
      </w:r>
      <w:r w:rsidRPr="00280DEE">
        <w:rPr>
          <w:rFonts w:ascii="Simplified Arabic" w:hAnsi="Simplified Arabic" w:cs="Simplified Arabic"/>
          <w:color w:val="000000" w:themeColor="text1"/>
          <w:sz w:val="28"/>
          <w:szCs w:val="28"/>
        </w:rPr>
        <w:t>.</w:t>
      </w:r>
    </w:p>
    <w:p w14:paraId="52930A84" w14:textId="3F9C5086" w:rsidR="0041473A" w:rsidRPr="00280DEE" w:rsidRDefault="00B673FB" w:rsidP="00B673F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6" w:name="_Toc235025283"/>
      <w:r w:rsidRPr="00280DEE">
        <w:rPr>
          <w:rFonts w:ascii="Simplified Arabic" w:hAnsi="Simplified Arabic" w:cs="Simplified Arabic" w:hint="cs"/>
          <w:b/>
          <w:bCs/>
          <w:color w:val="000000" w:themeColor="text1"/>
          <w:sz w:val="32"/>
          <w:szCs w:val="32"/>
          <w:rtl/>
        </w:rPr>
        <w:t xml:space="preserve">5.2.2 </w:t>
      </w:r>
      <w:r w:rsidR="0041473A" w:rsidRPr="00280DEE">
        <w:rPr>
          <w:rFonts w:ascii="Simplified Arabic" w:hAnsi="Simplified Arabic" w:cs="Simplified Arabic"/>
          <w:b/>
          <w:bCs/>
          <w:color w:val="000000" w:themeColor="text1"/>
          <w:sz w:val="32"/>
          <w:szCs w:val="32"/>
          <w:rtl/>
        </w:rPr>
        <w:t>أبعاد الاحتفاظ بالكفاءات</w:t>
      </w:r>
      <w:bookmarkEnd w:id="56"/>
    </w:p>
    <w:p w14:paraId="6E075A56"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على الرغم من أن الدراسة الحالية تتناول الاحتفاظ بالكفاءات بوصفه متغيراً أحادي المحور، إلا أن الإطار النظري يستدعي التطرق إلى الأبعاد التي تناولها الباحثون في تفكيك هذا المفهوم وتحليل مكوناته. وقد تم استعراض هذه الأبعاد اعتماداً على ما ورد في دراسة الحمزة (2023) ودراسة سليطين والعباس (2022)، مع الاسترشاد بما طرحه</w:t>
      </w:r>
      <w:r w:rsidRPr="00280DEE">
        <w:rPr>
          <w:rFonts w:ascii="Simplified Arabic" w:hAnsi="Simplified Arabic" w:cs="Simplified Arabic"/>
          <w:color w:val="000000" w:themeColor="text1"/>
          <w:sz w:val="28"/>
          <w:szCs w:val="28"/>
        </w:rPr>
        <w:t xml:space="preserve"> Kumar (2022) </w:t>
      </w:r>
      <w:r w:rsidRPr="00280DEE">
        <w:rPr>
          <w:rFonts w:ascii="Simplified Arabic" w:hAnsi="Simplified Arabic" w:cs="Simplified Arabic"/>
          <w:color w:val="000000" w:themeColor="text1"/>
          <w:sz w:val="28"/>
          <w:szCs w:val="28"/>
          <w:rtl/>
        </w:rPr>
        <w:t>و</w:t>
      </w:r>
      <w:r w:rsidRPr="00280DEE">
        <w:rPr>
          <w:rFonts w:ascii="Simplified Arabic" w:hAnsi="Simplified Arabic" w:cs="Simplified Arabic"/>
          <w:color w:val="000000" w:themeColor="text1"/>
          <w:sz w:val="28"/>
          <w:szCs w:val="28"/>
        </w:rPr>
        <w:t xml:space="preserve">Barkhuizen &amp; Gumede (2021) </w:t>
      </w:r>
      <w:r w:rsidRPr="00280DEE">
        <w:rPr>
          <w:rFonts w:ascii="Simplified Arabic" w:hAnsi="Simplified Arabic" w:cs="Simplified Arabic"/>
          <w:color w:val="000000" w:themeColor="text1"/>
          <w:sz w:val="28"/>
          <w:szCs w:val="28"/>
          <w:rtl/>
        </w:rPr>
        <w:t>في تناولهما لمحددات الاحتفاظ. وفيما يلي عرض للأبعاد الرئيسة التي تُشكّل منظومة الاحتفاظ بالكفاءات</w:t>
      </w:r>
      <w:r w:rsidRPr="00280DEE">
        <w:rPr>
          <w:rFonts w:ascii="Simplified Arabic" w:hAnsi="Simplified Arabic" w:cs="Simplified Arabic"/>
          <w:color w:val="000000" w:themeColor="text1"/>
          <w:sz w:val="28"/>
          <w:szCs w:val="28"/>
        </w:rPr>
        <w:t>:</w:t>
      </w:r>
    </w:p>
    <w:p w14:paraId="2B2196DF"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الأول: بيئة العمل الداعمة</w:t>
      </w:r>
    </w:p>
    <w:p w14:paraId="42A5A5C7"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 xml:space="preserve">تُشكّل بيئة العمل الداعمة أحد أبرز الأبعاد المؤثرة في الاحتفاظ بالكفاءات، إذ إنها تُحيط بالعامل بمنظومة من الظروف المادية والمعنوية التي تُلبي احتياجاته المهنية والنفسية. ويشير الحمزة (2023) إلى أن بيئة العمل الداخلية تتضمن مجموعة من العناصر المتشابكة، تشمل الظروف المادية للعمل من حيث المكان والتجهيزات وسلامة بيئة العمل، إلى جانب الظروف المعنوية المتصلة بجودة العلاقات المهنية </w:t>
      </w:r>
      <w:r w:rsidRPr="00280DEE">
        <w:rPr>
          <w:rFonts w:ascii="Simplified Arabic" w:hAnsi="Simplified Arabic" w:cs="Simplified Arabic"/>
          <w:color w:val="000000" w:themeColor="text1"/>
          <w:sz w:val="28"/>
          <w:szCs w:val="28"/>
          <w:rtl/>
        </w:rPr>
        <w:lastRenderedPageBreak/>
        <w:t>ومستوى التقدير والاحترام السائد في المنظمة. وتُسهم بيئة العمل الداعمة في تعزيز الشعور بالانتماء لدى الكفاءات، وترسيخ ارتباطها العاطفي بالمنظمة، وتحويل مكان العمل إلى فضاء إيجابي يتطلع العاملون إلى الحضور فيه والإسهام من خلاله. ويتصل هذا البُعد كذلك بمستوى الأمان الوظيفي والنفسي الذي تُوفره المنظمة، بحيث يشعر العامل بأنه يعمل في بيئة مستقرة تحترم كرامته وتُقدّر إسهامه</w:t>
      </w:r>
      <w:r w:rsidRPr="00280DEE">
        <w:rPr>
          <w:rFonts w:ascii="Simplified Arabic" w:hAnsi="Simplified Arabic" w:cs="Simplified Arabic"/>
          <w:color w:val="000000" w:themeColor="text1"/>
          <w:sz w:val="28"/>
          <w:szCs w:val="28"/>
        </w:rPr>
        <w:t>.</w:t>
      </w:r>
    </w:p>
    <w:p w14:paraId="67D5A90B"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الثاني: القيادة الفعّالة</w:t>
      </w:r>
    </w:p>
    <w:p w14:paraId="0AC2FE77"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تُمثّل القيادة الفعّالة عاملاً محورياً في احتفاظ المنظمات بكفاءاتها، إذ إن العلاقة بين الموظف ومشرفه المباشر كثيراً ما تكون العامل الأكثر تأثيراً في قراره بالبقاء أو المغادرة. ويعرض نوفل ورضوان (2026) القيادة التحويلية بوصفها نمطاً قيادياً يُعزز الاحتفاظ بالكفاءات عبر إلهام العاملين وتحفيزهم، والاهتمام باحتياجاتهم الفردية، وتشجيع تفكيرهم الإبداعي، وتوفير رؤية استراتيجية جاذبة يتطلعون إلى تحقيقها. وتُسهم القيادة الفعّالة في بناء علاقات ثقة متبادلة بين القائد والكفاءات، وتوفير مساحة للحوار المفتوح وتبادل الأفكار، ودعم النمو المهني للعاملين، وتقديم التغذية الراجعة البناءة التي تُعزز الأداء</w:t>
      </w:r>
      <w:r w:rsidRPr="00280DEE">
        <w:rPr>
          <w:rFonts w:ascii="Simplified Arabic" w:hAnsi="Simplified Arabic" w:cs="Simplified Arabic"/>
          <w:color w:val="000000" w:themeColor="text1"/>
          <w:sz w:val="28"/>
          <w:szCs w:val="28"/>
        </w:rPr>
        <w:t>.</w:t>
      </w:r>
    </w:p>
    <w:p w14:paraId="75A8CB2E"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الثالث: التطوير المهني وفرص النمو</w:t>
      </w:r>
    </w:p>
    <w:p w14:paraId="6787AD81"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يمثل توفير فرص التطور المهني والنمو الوظيفي أحد أهم الأبعاد التي تُعزز الاحتفاظ بالكفاءات، خاصة في ظل تطلعات الأجيال الجديدة إلى التعلم المستمر وبناء المسارات المهنية. ويرى</w:t>
      </w:r>
      <w:r w:rsidRPr="00280DEE">
        <w:rPr>
          <w:rFonts w:ascii="Simplified Arabic" w:hAnsi="Simplified Arabic" w:cs="Simplified Arabic"/>
          <w:color w:val="000000" w:themeColor="text1"/>
          <w:sz w:val="28"/>
          <w:szCs w:val="28"/>
        </w:rPr>
        <w:t xml:space="preserve"> Younas &amp; Waseem Bari (2020) </w:t>
      </w:r>
      <w:r w:rsidRPr="00280DEE">
        <w:rPr>
          <w:rFonts w:ascii="Simplified Arabic" w:hAnsi="Simplified Arabic" w:cs="Simplified Arabic"/>
          <w:color w:val="000000" w:themeColor="text1"/>
          <w:sz w:val="28"/>
          <w:szCs w:val="28"/>
          <w:rtl/>
        </w:rPr>
        <w:t>أن تنمية الكفاءات تقوم بدور محوري في تعزيز الاحتفاظ، إذ إن استثمار المنظمة في تطوير كفاءاتها يعكس تقديرها لها ورغبتها في استمرار العلاقة معها على المدى الطويل. ويتضمن هذا البُعد إتاحة فرص التدريب والتطوير المستمر، ورسم مسارات وظيفية واضحة، وتوفير فرص التنقل الوظيفي داخل المنظمة، ودعم برامج التعلم الذاتي، وإتاحة الفرص للمشاركة في مشاريع تطويرية تُثري الخبرة المهنية</w:t>
      </w:r>
      <w:r w:rsidRPr="00280DEE">
        <w:rPr>
          <w:rFonts w:ascii="Simplified Arabic" w:hAnsi="Simplified Arabic" w:cs="Simplified Arabic"/>
          <w:color w:val="000000" w:themeColor="text1"/>
          <w:sz w:val="28"/>
          <w:szCs w:val="28"/>
        </w:rPr>
        <w:t>.</w:t>
      </w:r>
    </w:p>
    <w:p w14:paraId="5B180933"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الرابع: التعويض والحوافز</w:t>
      </w:r>
    </w:p>
    <w:p w14:paraId="4425D37A"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يُشكّل نظام التعويض والحوافز أحد المحددات الجوهرية للاحتفاظ بالكفاءات، إذ إن التعويض التنافسي والعادل يُشكّل قاعدة أساسية لاستمرار العلاقة بين الكفاءة والمنظمة. ويؤكد</w:t>
      </w:r>
      <w:r w:rsidRPr="00280DEE">
        <w:rPr>
          <w:rFonts w:ascii="Simplified Arabic" w:hAnsi="Simplified Arabic" w:cs="Simplified Arabic"/>
          <w:color w:val="000000" w:themeColor="text1"/>
          <w:sz w:val="28"/>
          <w:szCs w:val="28"/>
        </w:rPr>
        <w:t xml:space="preserve"> Urme (2023) </w:t>
      </w:r>
      <w:r w:rsidRPr="00280DEE">
        <w:rPr>
          <w:rFonts w:ascii="Simplified Arabic" w:hAnsi="Simplified Arabic" w:cs="Simplified Arabic"/>
          <w:color w:val="000000" w:themeColor="text1"/>
          <w:sz w:val="28"/>
          <w:szCs w:val="28"/>
          <w:rtl/>
        </w:rPr>
        <w:t xml:space="preserve">أن التعويض في سياق الاحتفاظ لا يقتصر على الرواتب الأساسية، بل يشمل حزمة متكاملة من المكافآت المالية والعينية، وتشمل الأجور المتغيرة، والحوافز المرتبطة بالأداء، والمزايا الوظيفية، وبرامج الحماية الاجتماعية والصحية. </w:t>
      </w:r>
      <w:r w:rsidRPr="00280DEE">
        <w:rPr>
          <w:rFonts w:ascii="Simplified Arabic" w:hAnsi="Simplified Arabic" w:cs="Simplified Arabic"/>
          <w:color w:val="000000" w:themeColor="text1"/>
          <w:sz w:val="28"/>
          <w:szCs w:val="28"/>
          <w:rtl/>
        </w:rPr>
        <w:lastRenderedPageBreak/>
        <w:t>ويجب أن يتصف نظام التعويض بالعدالة الداخلية بحيث يعكس القيمة الإسهامية النسبية للأدوار المختلفة، وبالتنافسية الخارجية بحيث يوازي أو يفوق ما يُقدمه المنافسون في سوق العمل، وبالشفافية في المعايير والآليات</w:t>
      </w:r>
      <w:r w:rsidRPr="00280DEE">
        <w:rPr>
          <w:rFonts w:ascii="Simplified Arabic" w:hAnsi="Simplified Arabic" w:cs="Simplified Arabic"/>
          <w:color w:val="000000" w:themeColor="text1"/>
          <w:sz w:val="28"/>
          <w:szCs w:val="28"/>
        </w:rPr>
        <w:t>.</w:t>
      </w:r>
    </w:p>
    <w:p w14:paraId="7A2EC303"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الخامس: الاعتراف والتقدير</w:t>
      </w:r>
    </w:p>
    <w:p w14:paraId="6EFC462B"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يُمثّل الاعتراف بإسهامات الكفاءات وتقديرها بُعداً معنوياً بالغ الأهمية في منظومة الاحتفاظ. ويشير الشهري (2022) إلى أن التقدير المعنوي كثيراً ما يفوق في تأثيره الحوافز المادية، خاصة لدى الكفاءات المتقدمة التي بلغت مستويات معينة من الإشباع المادي. ويتضمن هذا البُعد الاعتراف اللفظي والمكتوب بالإنجازات، ومنح الألقاب التقديرية والجوائز، وإتاحة الفرصة للظهور والمشاركة في المحافل المهنية، والاحتفاء بالإنجازات المتميزة بصورة علنية</w:t>
      </w:r>
      <w:r w:rsidRPr="00280DEE">
        <w:rPr>
          <w:rFonts w:ascii="Simplified Arabic" w:hAnsi="Simplified Arabic" w:cs="Simplified Arabic"/>
          <w:color w:val="000000" w:themeColor="text1"/>
          <w:sz w:val="28"/>
          <w:szCs w:val="28"/>
        </w:rPr>
        <w:t>.</w:t>
      </w:r>
    </w:p>
    <w:p w14:paraId="5F1CD807"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السادس: التوازن بين العمل والحياة</w:t>
      </w:r>
    </w:p>
    <w:p w14:paraId="709880D9"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بات التوازن بين متطلبات العمل والحياة الشخصية أحد الأبعاد المحورية في منظومة الاحتفاظ بالكفاءات، خاصة في ظل التحولات المعاصرة في أنماط العمل. ويعرض</w:t>
      </w:r>
      <w:r w:rsidRPr="00280DEE">
        <w:rPr>
          <w:rFonts w:ascii="Simplified Arabic" w:hAnsi="Simplified Arabic" w:cs="Simplified Arabic"/>
          <w:color w:val="000000" w:themeColor="text1"/>
          <w:sz w:val="28"/>
          <w:szCs w:val="28"/>
        </w:rPr>
        <w:t xml:space="preserve"> Guerra et al. (2023) </w:t>
      </w:r>
      <w:r w:rsidRPr="00280DEE">
        <w:rPr>
          <w:rFonts w:ascii="Simplified Arabic" w:hAnsi="Simplified Arabic" w:cs="Simplified Arabic"/>
          <w:color w:val="000000" w:themeColor="text1"/>
          <w:sz w:val="28"/>
          <w:szCs w:val="28"/>
          <w:rtl/>
        </w:rPr>
        <w:t>هذا البُعد بوصفه مقوماً استراتيجياً في السياق الرقمي، حيث تُتيح التقنيات الرقمية أنماطاً مرنة من العمل تشمل العمل عن بُعد والعمل الهجين. ويتضمن هذا البُعد المرونة في مواعيد العمل، وإتاحة العمل عن بُعد عند الإمكان، واحترام الحياة الشخصية للعاملين خارج ساعات العمل، ودعم برامج الرعاية الصحية والنفسية، وتوفير التسهيلات المتصلة بالإجازات ومتطلبات الحياة الأسرية</w:t>
      </w:r>
      <w:r w:rsidRPr="00280DEE">
        <w:rPr>
          <w:rFonts w:ascii="Simplified Arabic" w:hAnsi="Simplified Arabic" w:cs="Simplified Arabic"/>
          <w:color w:val="000000" w:themeColor="text1"/>
          <w:sz w:val="28"/>
          <w:szCs w:val="28"/>
        </w:rPr>
        <w:t>.</w:t>
      </w:r>
    </w:p>
    <w:p w14:paraId="2593EBC9" w14:textId="77777777" w:rsidR="0041473A" w:rsidRPr="00280DEE" w:rsidRDefault="0041473A" w:rsidP="00B673F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280DEE">
        <w:rPr>
          <w:rFonts w:ascii="Simplified Arabic" w:hAnsi="Simplified Arabic" w:cs="Simplified Arabic"/>
          <w:b/>
          <w:bCs/>
          <w:color w:val="000000" w:themeColor="text1"/>
          <w:sz w:val="28"/>
          <w:szCs w:val="28"/>
          <w:rtl/>
        </w:rPr>
        <w:t>البُعد السابع: الالتزام التنظيمي والانتماء</w:t>
      </w:r>
    </w:p>
    <w:p w14:paraId="36C947AD" w14:textId="77777777" w:rsidR="0041473A" w:rsidRPr="00280DEE" w:rsidRDefault="0041473A" w:rsidP="006A54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280DEE">
        <w:rPr>
          <w:rFonts w:ascii="Simplified Arabic" w:hAnsi="Simplified Arabic" w:cs="Simplified Arabic"/>
          <w:color w:val="000000" w:themeColor="text1"/>
          <w:sz w:val="28"/>
          <w:szCs w:val="28"/>
          <w:rtl/>
        </w:rPr>
        <w:t>يُشكّل الالتزام التنظيمي بُعداً نفسياً محورياً في منظومة الاحتفاظ بالكفاءات، ويعكس عمق الارتباط النفسي والعاطفي بين الكفاءة والمنظمة. ويعرض قريشي وآخرون (2022) الالتزام التنظيمي بوصفه محدداً جوهرياً للاحتفاظ، ويتضمن الالتزام العاطفي المتصل بالارتباط الوجداني بالمنظمة، والالتزام المعياري المتصل بالشعور بواجب الوفاء تجاهها، والالتزام الاستمراري المتصل بتقدير تكاليف المغادرة. وتسعى ممارسات الاحتفاظ إلى تعزيز جميع أبعاد الالتزام، مع التركيز الخاص على الالتزام العاطفي بوصفه الأكثر ارتباطاً بالأداء المتميز والسلوك الإيجابي</w:t>
      </w:r>
      <w:r w:rsidRPr="00280DEE">
        <w:rPr>
          <w:rFonts w:ascii="Simplified Arabic" w:hAnsi="Simplified Arabic" w:cs="Simplified Arabic"/>
          <w:color w:val="000000" w:themeColor="text1"/>
          <w:sz w:val="28"/>
          <w:szCs w:val="28"/>
        </w:rPr>
        <w:t>.</w:t>
      </w:r>
    </w:p>
    <w:p w14:paraId="0E512C4A" w14:textId="0A84B8DB" w:rsidR="00280DEE" w:rsidRPr="00280DEE" w:rsidRDefault="00280DEE" w:rsidP="00C4540E">
      <w:pPr>
        <w:jc w:val="center"/>
        <w:outlineLvl w:val="0"/>
        <w:rPr>
          <w:rFonts w:ascii="Simplified Arabic" w:hAnsi="Simplified Arabic" w:cs="Simplified Arabic"/>
          <w:b/>
          <w:bCs/>
          <w:color w:val="000000" w:themeColor="text1"/>
          <w:szCs w:val="28"/>
          <w:rtl/>
        </w:rPr>
        <w:sectPr w:rsidR="00280DEE" w:rsidRPr="00280DEE" w:rsidSect="006A5400">
          <w:footerReference w:type="default" r:id="rId10"/>
          <w:pgSz w:w="11906" w:h="16838" w:code="9"/>
          <w:pgMar w:top="1134" w:right="1701" w:bottom="1134" w:left="1134" w:header="720" w:footer="720" w:gutter="0"/>
          <w:pgNumType w:start="1"/>
          <w:cols w:space="708"/>
          <w:bidi/>
          <w:rtlGutter/>
          <w:docGrid w:linePitch="360"/>
        </w:sectPr>
      </w:pPr>
      <w:bookmarkStart w:id="57" w:name="_GoBack"/>
      <w:bookmarkEnd w:id="32"/>
      <w:bookmarkEnd w:id="57"/>
    </w:p>
    <w:p w14:paraId="29D4231B" w14:textId="068C97B9" w:rsidR="0081623B" w:rsidRPr="00280DEE" w:rsidRDefault="00E27D3B" w:rsidP="006A54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0DE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175B0BC">
            <wp:simplePos x="0" y="0"/>
            <wp:positionH relativeFrom="column">
              <wp:posOffset>3981450</wp:posOffset>
            </wp:positionH>
            <wp:positionV relativeFrom="paragraph">
              <wp:posOffset>0</wp:posOffset>
            </wp:positionV>
            <wp:extent cx="1659255" cy="1536700"/>
            <wp:effectExtent l="0" t="0" r="0" b="6350"/>
            <wp:wrapTight wrapText="bothSides">
              <wp:wrapPolygon edited="0">
                <wp:start x="0" y="0"/>
                <wp:lineTo x="0" y="21421"/>
                <wp:lineTo x="21327" y="21421"/>
                <wp:lineTo x="2132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9255" cy="15367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80DEE">
        <w:rPr>
          <w:rFonts w:asciiTheme="majorBidi" w:eastAsia="Calibri" w:hAnsiTheme="majorBidi" w:cstheme="majorBidi"/>
          <w:b/>
          <w:bCs/>
          <w:color w:val="000000" w:themeColor="text1"/>
          <w:kern w:val="0"/>
          <w:sz w:val="32"/>
          <w:szCs w:val="32"/>
          <w:lang w:bidi="ar-EG"/>
          <w14:ligatures w14:val="none"/>
        </w:rPr>
        <w:t>Mid</w:t>
      </w:r>
      <w:r w:rsidR="000D353F" w:rsidRPr="00280DEE">
        <w:rPr>
          <w:rFonts w:asciiTheme="majorBidi" w:eastAsia="Calibri" w:hAnsiTheme="majorBidi" w:cstheme="majorBidi"/>
          <w:b/>
          <w:bCs/>
          <w:color w:val="000000" w:themeColor="text1"/>
          <w:kern w:val="0"/>
          <w:sz w:val="32"/>
          <w:szCs w:val="32"/>
          <w:lang w:bidi="ar-EG"/>
          <w14:ligatures w14:val="none"/>
        </w:rPr>
        <w:t xml:space="preserve"> </w:t>
      </w:r>
      <w:r w:rsidR="0081623B" w:rsidRPr="00280DE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80DEE" w:rsidRDefault="0081623B" w:rsidP="006A54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0DEE">
        <w:rPr>
          <w:rFonts w:asciiTheme="majorBidi" w:eastAsia="Calibri" w:hAnsiTheme="majorBidi" w:cstheme="majorBidi"/>
          <w:b/>
          <w:bCs/>
          <w:color w:val="000000" w:themeColor="text1"/>
          <w:kern w:val="0"/>
          <w:sz w:val="32"/>
          <w:szCs w:val="32"/>
          <w:lang w:bidi="ar-EG"/>
          <w14:ligatures w14:val="none"/>
        </w:rPr>
        <w:t>College of Management</w:t>
      </w:r>
    </w:p>
    <w:p w14:paraId="3330B31B" w14:textId="77777777" w:rsidR="00927467" w:rsidRPr="00280DEE" w:rsidRDefault="00927467" w:rsidP="006A540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80DEE">
        <w:rPr>
          <w:rFonts w:asciiTheme="majorBidi" w:eastAsia="Calibri" w:hAnsiTheme="majorBidi" w:cstheme="majorBidi"/>
          <w:b/>
          <w:bCs/>
          <w:color w:val="000000" w:themeColor="text1"/>
          <w:kern w:val="0"/>
          <w:sz w:val="32"/>
          <w:szCs w:val="32"/>
          <w:lang w:bidi="ar-EG"/>
          <w14:ligatures w14:val="none"/>
        </w:rPr>
        <w:t>Department of Business Administration</w:t>
      </w:r>
    </w:p>
    <w:p w14:paraId="0343AD5E" w14:textId="77777777" w:rsidR="00A65828" w:rsidRPr="00280DEE" w:rsidRDefault="00A65828" w:rsidP="006A54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E27FC2" w14:textId="77777777" w:rsidR="00927467" w:rsidRPr="00280DEE" w:rsidRDefault="00927467" w:rsidP="00280DE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80DEE">
        <w:rPr>
          <w:rFonts w:asciiTheme="majorBidi" w:eastAsia="Calibri" w:hAnsiTheme="majorBidi" w:cstheme="majorBidi"/>
          <w:b/>
          <w:bCs/>
          <w:color w:val="000000" w:themeColor="text1"/>
          <w:kern w:val="0"/>
          <w:sz w:val="40"/>
          <w:szCs w:val="40"/>
          <w:lang w:val="en" w:bidi="ar-EG"/>
          <w14:ligatures w14:val="none"/>
        </w:rPr>
        <w:t>The impact of talent management on talent retention: A field study on private sector companies in the Kingdom of Saudi Arabia.</w:t>
      </w:r>
    </w:p>
    <w:p w14:paraId="350461BB" w14:textId="77777777" w:rsidR="00280DEE" w:rsidRPr="00280DEE" w:rsidRDefault="00280DEE" w:rsidP="006A54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7076D83" w:rsidR="000D353F" w:rsidRPr="00280DEE" w:rsidRDefault="000D353F" w:rsidP="00280DE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80DEE">
        <w:rPr>
          <w:rFonts w:asciiTheme="majorBidi" w:eastAsia="Calibri" w:hAnsiTheme="majorBidi" w:cstheme="majorBidi"/>
          <w:b/>
          <w:bCs/>
          <w:color w:val="000000" w:themeColor="text1"/>
          <w:kern w:val="0"/>
          <w:sz w:val="36"/>
          <w:szCs w:val="36"/>
          <w:lang w:bidi="ar-EG"/>
          <w14:ligatures w14:val="none"/>
        </w:rPr>
        <w:t>Prepared by:</w:t>
      </w:r>
    </w:p>
    <w:p w14:paraId="0A78C212" w14:textId="77777777" w:rsidR="00280DEE" w:rsidRPr="00280DEE" w:rsidRDefault="00280DEE" w:rsidP="00280DE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55B9F43F" w14:textId="77777777" w:rsidR="00280DEE" w:rsidRPr="00280DEE" w:rsidRDefault="00280DEE" w:rsidP="00280DE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80DEE" w:rsidRPr="00280DEE" w14:paraId="4658F398" w14:textId="77777777" w:rsidTr="00C634ED">
        <w:tc>
          <w:tcPr>
            <w:tcW w:w="4530" w:type="dxa"/>
          </w:tcPr>
          <w:p w14:paraId="6468127E" w14:textId="77777777" w:rsidR="00280DEE" w:rsidRPr="00280DEE" w:rsidRDefault="00280DEE" w:rsidP="00C634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0DEE">
              <w:rPr>
                <w:rFonts w:asciiTheme="majorBidi" w:eastAsia="Calibri" w:hAnsiTheme="majorBidi" w:cstheme="majorBidi"/>
                <w:b/>
                <w:bCs/>
                <w:color w:val="000000" w:themeColor="text1"/>
                <w:kern w:val="0"/>
                <w:sz w:val="36"/>
                <w:szCs w:val="36"/>
                <w:lang w:bidi="ar-EG"/>
                <w14:ligatures w14:val="none"/>
              </w:rPr>
              <w:t>Main supervisor</w:t>
            </w:r>
            <w:r w:rsidRPr="00280DE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79A526E" w14:textId="77777777" w:rsidR="00280DEE" w:rsidRPr="00280DEE" w:rsidRDefault="00280DEE" w:rsidP="00C634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0DEE">
              <w:rPr>
                <w:rFonts w:asciiTheme="majorBidi" w:eastAsia="Calibri" w:hAnsiTheme="majorBidi" w:cstheme="majorBidi"/>
                <w:b/>
                <w:bCs/>
                <w:color w:val="000000" w:themeColor="text1"/>
                <w:kern w:val="0"/>
                <w:sz w:val="36"/>
                <w:szCs w:val="36"/>
                <w:lang w:bidi="ar-EG"/>
                <w14:ligatures w14:val="none"/>
              </w:rPr>
              <w:t>Second supervisor</w:t>
            </w:r>
            <w:r w:rsidRPr="00280DEE">
              <w:rPr>
                <w:rFonts w:asciiTheme="majorBidi" w:eastAsia="Calibri" w:hAnsiTheme="majorBidi" w:cstheme="majorBidi"/>
                <w:b/>
                <w:bCs/>
                <w:color w:val="000000" w:themeColor="text1"/>
                <w:kern w:val="0"/>
                <w:sz w:val="36"/>
                <w:szCs w:val="36"/>
                <w:rtl/>
                <w:lang w:bidi="ar-EG"/>
                <w14:ligatures w14:val="none"/>
              </w:rPr>
              <w:t>/</w:t>
            </w:r>
          </w:p>
        </w:tc>
      </w:tr>
      <w:tr w:rsidR="00280DEE" w:rsidRPr="00280DEE" w14:paraId="0ED92AFA" w14:textId="77777777" w:rsidTr="00C634ED">
        <w:tc>
          <w:tcPr>
            <w:tcW w:w="4530" w:type="dxa"/>
          </w:tcPr>
          <w:p w14:paraId="5D85D972" w14:textId="77777777" w:rsidR="00280DEE" w:rsidRPr="00280DEE" w:rsidRDefault="00280DEE" w:rsidP="00C634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0DE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72F3D256" w14:textId="77777777" w:rsidR="00280DEE" w:rsidRPr="00280DEE" w:rsidRDefault="00280DEE" w:rsidP="00C634ED">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80DEE">
              <w:rPr>
                <w:rFonts w:asciiTheme="majorBidi" w:eastAsia="Calibri" w:hAnsiTheme="majorBidi" w:cstheme="majorBidi"/>
                <w:color w:val="000000" w:themeColor="text1"/>
                <w:kern w:val="0"/>
                <w:sz w:val="36"/>
                <w:szCs w:val="36"/>
                <w:lang w:bidi="ar-EG"/>
                <w14:ligatures w14:val="none"/>
              </w:rPr>
              <w:t>Dr. Fayez Jarad</w:t>
            </w:r>
          </w:p>
        </w:tc>
      </w:tr>
    </w:tbl>
    <w:p w14:paraId="3C526481" w14:textId="77777777" w:rsidR="00280DEE" w:rsidRPr="00280DEE" w:rsidRDefault="00280DEE" w:rsidP="00280DEE">
      <w:pPr>
        <w:bidi w:val="0"/>
        <w:spacing w:line="276" w:lineRule="auto"/>
        <w:jc w:val="center"/>
        <w:rPr>
          <w:rFonts w:ascii="Simplified Arabic" w:eastAsia="Calibri" w:hAnsi="Simplified Arabic" w:cs="Simplified Arabic"/>
          <w:b/>
          <w:bCs/>
          <w:color w:val="000000" w:themeColor="text1"/>
          <w:kern w:val="0"/>
          <w:sz w:val="28"/>
          <w:szCs w:val="28"/>
          <w:rtl/>
          <w:lang w:bidi="ar-EG"/>
          <w14:ligatures w14:val="none"/>
        </w:rPr>
      </w:pPr>
    </w:p>
    <w:p w14:paraId="3FE67EBB" w14:textId="77777777" w:rsidR="00280DEE" w:rsidRPr="00280DEE" w:rsidRDefault="00280DEE" w:rsidP="00280DE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80DEE">
        <w:rPr>
          <w:rFonts w:asciiTheme="majorBidi" w:hAnsiTheme="majorBidi" w:cstheme="majorBidi"/>
          <w:color w:val="000000" w:themeColor="text1"/>
          <w:kern w:val="0"/>
          <w:sz w:val="36"/>
          <w:szCs w:val="36"/>
          <w:rtl/>
          <w:lang w:bidi="ar-EG"/>
          <w14:ligatures w14:val="none"/>
        </w:rPr>
        <w:t>1448 – 2026</w:t>
      </w:r>
    </w:p>
    <w:p w14:paraId="59DBE835" w14:textId="77777777" w:rsidR="00280DEE" w:rsidRPr="00280DEE" w:rsidRDefault="00280DEE" w:rsidP="00280DE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58C511A" w14:textId="344380EE" w:rsidR="00F7243B" w:rsidRPr="00280DEE" w:rsidRDefault="00F7243B" w:rsidP="006A54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9A27FC2" w14:textId="77777777" w:rsidR="00927467" w:rsidRPr="00280DEE" w:rsidRDefault="00927467" w:rsidP="006A54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3ECD4D0" w14:textId="77777777" w:rsidR="008A7BB4" w:rsidRPr="00280DEE" w:rsidRDefault="008A7BB4" w:rsidP="006A540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1DAC071" w:rsidR="009125CE" w:rsidRPr="00280DEE" w:rsidRDefault="009125CE" w:rsidP="006A540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80DEE" w:rsidSect="006A5400">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03A8BC" w14:textId="77777777" w:rsidR="00057E8C" w:rsidRDefault="00057E8C" w:rsidP="009125CE">
      <w:pPr>
        <w:spacing w:after="0" w:line="240" w:lineRule="auto"/>
      </w:pPr>
      <w:r>
        <w:separator/>
      </w:r>
    </w:p>
  </w:endnote>
  <w:endnote w:type="continuationSeparator" w:id="0">
    <w:p w14:paraId="3852309F" w14:textId="77777777" w:rsidR="00057E8C" w:rsidRDefault="00057E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502942600"/>
      <w:docPartObj>
        <w:docPartGallery w:val="Page Numbers (Bottom of Page)"/>
        <w:docPartUnique/>
      </w:docPartObj>
    </w:sdtPr>
    <w:sdtEndPr>
      <w:rPr>
        <w:noProof/>
      </w:rPr>
    </w:sdtEndPr>
    <w:sdtContent>
      <w:p w14:paraId="13047AE1" w14:textId="5B519A57" w:rsidR="00C634ED" w:rsidRPr="006A5400" w:rsidRDefault="00C634ED" w:rsidP="006A5400">
        <w:pPr>
          <w:pStyle w:val="Footer"/>
          <w:tabs>
            <w:tab w:val="left" w:pos="4319"/>
            <w:tab w:val="center" w:pos="4535"/>
          </w:tabs>
          <w:rPr>
            <w:rFonts w:ascii="Simplified Arabic" w:hAnsi="Simplified Arabic" w:cs="Simplified Arabic"/>
            <w:b/>
            <w:bCs/>
            <w:sz w:val="24"/>
            <w:szCs w:val="24"/>
          </w:rPr>
        </w:pPr>
        <w:r w:rsidRPr="006A5400">
          <w:rPr>
            <w:rFonts w:ascii="Simplified Arabic" w:hAnsi="Simplified Arabic" w:cs="Simplified Arabic"/>
            <w:b/>
            <w:bCs/>
            <w:sz w:val="24"/>
            <w:szCs w:val="24"/>
            <w:rtl/>
          </w:rPr>
          <w:tab/>
        </w:r>
        <w:r w:rsidRPr="006A5400">
          <w:rPr>
            <w:rFonts w:ascii="Simplified Arabic" w:hAnsi="Simplified Arabic" w:cs="Simplified Arabic"/>
            <w:b/>
            <w:bCs/>
            <w:sz w:val="24"/>
            <w:szCs w:val="24"/>
            <w:rtl/>
          </w:rPr>
          <w:tab/>
        </w:r>
        <w:r w:rsidRPr="006A5400">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188596177"/>
      <w:docPartObj>
        <w:docPartGallery w:val="Page Numbers (Bottom of Page)"/>
        <w:docPartUnique/>
      </w:docPartObj>
    </w:sdtPr>
    <w:sdtEndPr>
      <w:rPr>
        <w:noProof/>
      </w:rPr>
    </w:sdtEndPr>
    <w:sdtContent>
      <w:p w14:paraId="1B670518" w14:textId="77777777" w:rsidR="00C634ED" w:rsidRPr="006A5400" w:rsidRDefault="00C634ED" w:rsidP="006A5400">
        <w:pPr>
          <w:pStyle w:val="Footer"/>
          <w:tabs>
            <w:tab w:val="left" w:pos="4319"/>
            <w:tab w:val="center" w:pos="4535"/>
          </w:tabs>
          <w:rPr>
            <w:rFonts w:ascii="Simplified Arabic" w:hAnsi="Simplified Arabic" w:cs="Simplified Arabic"/>
            <w:b/>
            <w:bCs/>
            <w:sz w:val="24"/>
            <w:szCs w:val="24"/>
          </w:rPr>
        </w:pPr>
        <w:r w:rsidRPr="006A5400">
          <w:rPr>
            <w:rFonts w:ascii="Simplified Arabic" w:hAnsi="Simplified Arabic" w:cs="Simplified Arabic"/>
            <w:b/>
            <w:bCs/>
            <w:sz w:val="24"/>
            <w:szCs w:val="24"/>
            <w:rtl/>
          </w:rPr>
          <w:tab/>
        </w:r>
        <w:r w:rsidRPr="006A5400">
          <w:rPr>
            <w:rFonts w:ascii="Simplified Arabic" w:hAnsi="Simplified Arabic" w:cs="Simplified Arabic"/>
            <w:b/>
            <w:bCs/>
            <w:sz w:val="24"/>
            <w:szCs w:val="24"/>
            <w:rtl/>
          </w:rPr>
          <w:tab/>
        </w:r>
        <w:r w:rsidRPr="006A5400">
          <w:rPr>
            <w:rFonts w:ascii="Simplified Arabic" w:hAnsi="Simplified Arabic" w:cs="Simplified Arabic"/>
            <w:b/>
            <w:bCs/>
            <w:sz w:val="24"/>
            <w:szCs w:val="24"/>
            <w:rtl/>
          </w:rPr>
          <w:tab/>
        </w:r>
        <w:r w:rsidRPr="006A5400">
          <w:rPr>
            <w:rFonts w:ascii="Simplified Arabic" w:hAnsi="Simplified Arabic" w:cs="Simplified Arabic"/>
            <w:b/>
            <w:bCs/>
            <w:sz w:val="24"/>
            <w:szCs w:val="24"/>
          </w:rPr>
          <w:fldChar w:fldCharType="begin"/>
        </w:r>
        <w:r w:rsidRPr="006A5400">
          <w:rPr>
            <w:rFonts w:ascii="Simplified Arabic" w:hAnsi="Simplified Arabic" w:cs="Simplified Arabic"/>
            <w:b/>
            <w:bCs/>
            <w:sz w:val="24"/>
            <w:szCs w:val="24"/>
          </w:rPr>
          <w:instrText xml:space="preserve"> PAGE   \* MERGEFORMAT </w:instrText>
        </w:r>
        <w:r w:rsidRPr="006A5400">
          <w:rPr>
            <w:rFonts w:ascii="Simplified Arabic" w:hAnsi="Simplified Arabic" w:cs="Simplified Arabic"/>
            <w:b/>
            <w:bCs/>
            <w:sz w:val="24"/>
            <w:szCs w:val="24"/>
          </w:rPr>
          <w:fldChar w:fldCharType="separate"/>
        </w:r>
        <w:r w:rsidR="00C4540E">
          <w:rPr>
            <w:rFonts w:ascii="Simplified Arabic" w:hAnsi="Simplified Arabic" w:cs="Simplified Arabic"/>
            <w:b/>
            <w:bCs/>
            <w:noProof/>
            <w:sz w:val="24"/>
            <w:szCs w:val="24"/>
            <w:rtl/>
          </w:rPr>
          <w:t>41</w:t>
        </w:r>
        <w:r w:rsidRPr="006A540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09538" w14:textId="689711A3" w:rsidR="00C634ED" w:rsidRPr="006A5400" w:rsidRDefault="00C634ED" w:rsidP="00280DEE">
    <w:pPr>
      <w:pStyle w:val="Footer"/>
      <w:tabs>
        <w:tab w:val="left" w:pos="4319"/>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BF49D" w14:textId="77777777" w:rsidR="00057E8C" w:rsidRDefault="00057E8C" w:rsidP="009125CE">
      <w:pPr>
        <w:spacing w:after="0" w:line="240" w:lineRule="auto"/>
      </w:pPr>
      <w:r>
        <w:separator/>
      </w:r>
    </w:p>
  </w:footnote>
  <w:footnote w:type="continuationSeparator" w:id="0">
    <w:p w14:paraId="1C5A7277" w14:textId="77777777" w:rsidR="00057E8C" w:rsidRDefault="00057E8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2165"/>
    <w:multiLevelType w:val="multilevel"/>
    <w:tmpl w:val="9DFE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322EF3"/>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35074D"/>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A24986"/>
    <w:multiLevelType w:val="hybridMultilevel"/>
    <w:tmpl w:val="AA483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D2D82"/>
    <w:multiLevelType w:val="multilevel"/>
    <w:tmpl w:val="FCB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CA3ABD"/>
    <w:multiLevelType w:val="hybridMultilevel"/>
    <w:tmpl w:val="459AAF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226BBF"/>
    <w:multiLevelType w:val="multilevel"/>
    <w:tmpl w:val="A3207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4D56AA"/>
    <w:multiLevelType w:val="multilevel"/>
    <w:tmpl w:val="0B24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CE019B"/>
    <w:multiLevelType w:val="multilevel"/>
    <w:tmpl w:val="9C60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CE3060"/>
    <w:multiLevelType w:val="multilevel"/>
    <w:tmpl w:val="2934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2951CC"/>
    <w:multiLevelType w:val="hybridMultilevel"/>
    <w:tmpl w:val="6F64D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9C6540"/>
    <w:multiLevelType w:val="hybridMultilevel"/>
    <w:tmpl w:val="1A1AAE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27C4838"/>
    <w:multiLevelType w:val="hybridMultilevel"/>
    <w:tmpl w:val="B9E2C0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28A6B12"/>
    <w:multiLevelType w:val="hybridMultilevel"/>
    <w:tmpl w:val="5142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9FC1F62"/>
    <w:multiLevelType w:val="multilevel"/>
    <w:tmpl w:val="51A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BB36AB"/>
    <w:multiLevelType w:val="hybridMultilevel"/>
    <w:tmpl w:val="F2AEBB3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AE46416"/>
    <w:multiLevelType w:val="hybridMultilevel"/>
    <w:tmpl w:val="C802A7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5C0098"/>
    <w:multiLevelType w:val="hybridMultilevel"/>
    <w:tmpl w:val="DE5A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3F124F"/>
    <w:multiLevelType w:val="hybridMultilevel"/>
    <w:tmpl w:val="2490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2C0D48"/>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F9064F8"/>
    <w:multiLevelType w:val="multilevel"/>
    <w:tmpl w:val="7D9C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2174524"/>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2CD1617"/>
    <w:multiLevelType w:val="multilevel"/>
    <w:tmpl w:val="59E2C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2DC67B2"/>
    <w:multiLevelType w:val="hybridMultilevel"/>
    <w:tmpl w:val="BBAC27DC"/>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7D3E3B"/>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7020F02"/>
    <w:multiLevelType w:val="multilevel"/>
    <w:tmpl w:val="DE48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9AE0E4A"/>
    <w:multiLevelType w:val="hybridMultilevel"/>
    <w:tmpl w:val="E2347A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B834EDB"/>
    <w:multiLevelType w:val="hybridMultilevel"/>
    <w:tmpl w:val="CA0811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289341E"/>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100C6A"/>
    <w:multiLevelType w:val="multilevel"/>
    <w:tmpl w:val="F316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E6244E"/>
    <w:multiLevelType w:val="multilevel"/>
    <w:tmpl w:val="E5080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186A15"/>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B73BE0"/>
    <w:multiLevelType w:val="multilevel"/>
    <w:tmpl w:val="9D44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D44DCB"/>
    <w:multiLevelType w:val="multilevel"/>
    <w:tmpl w:val="571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8"/>
  </w:num>
  <w:num w:numId="3">
    <w:abstractNumId w:val="23"/>
  </w:num>
  <w:num w:numId="4">
    <w:abstractNumId w:val="21"/>
  </w:num>
  <w:num w:numId="5">
    <w:abstractNumId w:val="32"/>
  </w:num>
  <w:num w:numId="6">
    <w:abstractNumId w:val="22"/>
  </w:num>
  <w:num w:numId="7">
    <w:abstractNumId w:val="14"/>
  </w:num>
  <w:num w:numId="8">
    <w:abstractNumId w:val="19"/>
  </w:num>
  <w:num w:numId="9">
    <w:abstractNumId w:val="0"/>
  </w:num>
  <w:num w:numId="10">
    <w:abstractNumId w:val="34"/>
  </w:num>
  <w:num w:numId="11">
    <w:abstractNumId w:val="31"/>
  </w:num>
  <w:num w:numId="12">
    <w:abstractNumId w:val="4"/>
  </w:num>
  <w:num w:numId="13">
    <w:abstractNumId w:val="27"/>
  </w:num>
  <w:num w:numId="14">
    <w:abstractNumId w:val="15"/>
  </w:num>
  <w:num w:numId="15">
    <w:abstractNumId w:val="35"/>
  </w:num>
  <w:num w:numId="16">
    <w:abstractNumId w:val="8"/>
  </w:num>
  <w:num w:numId="17">
    <w:abstractNumId w:val="7"/>
  </w:num>
  <w:num w:numId="18">
    <w:abstractNumId w:val="10"/>
  </w:num>
  <w:num w:numId="19">
    <w:abstractNumId w:val="13"/>
  </w:num>
  <w:num w:numId="20">
    <w:abstractNumId w:val="6"/>
  </w:num>
  <w:num w:numId="21">
    <w:abstractNumId w:val="2"/>
  </w:num>
  <w:num w:numId="22">
    <w:abstractNumId w:val="3"/>
  </w:num>
  <w:num w:numId="23">
    <w:abstractNumId w:val="30"/>
  </w:num>
  <w:num w:numId="24">
    <w:abstractNumId w:val="33"/>
  </w:num>
  <w:num w:numId="25">
    <w:abstractNumId w:val="20"/>
  </w:num>
  <w:num w:numId="26">
    <w:abstractNumId w:val="1"/>
  </w:num>
  <w:num w:numId="27">
    <w:abstractNumId w:val="25"/>
  </w:num>
  <w:num w:numId="28">
    <w:abstractNumId w:val="24"/>
  </w:num>
  <w:num w:numId="29">
    <w:abstractNumId w:val="17"/>
  </w:num>
  <w:num w:numId="30">
    <w:abstractNumId w:val="16"/>
  </w:num>
  <w:num w:numId="31">
    <w:abstractNumId w:val="28"/>
  </w:num>
  <w:num w:numId="32">
    <w:abstractNumId w:val="11"/>
  </w:num>
  <w:num w:numId="33">
    <w:abstractNumId w:val="29"/>
  </w:num>
  <w:num w:numId="34">
    <w:abstractNumId w:val="12"/>
  </w:num>
  <w:num w:numId="35">
    <w:abstractNumId w:val="5"/>
  </w:num>
  <w:num w:numId="36">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57E8C"/>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0CB3"/>
    <w:rsid w:val="000F44B4"/>
    <w:rsid w:val="00110487"/>
    <w:rsid w:val="0012342D"/>
    <w:rsid w:val="001306F3"/>
    <w:rsid w:val="00131E44"/>
    <w:rsid w:val="00143989"/>
    <w:rsid w:val="00150B32"/>
    <w:rsid w:val="001510C1"/>
    <w:rsid w:val="00152611"/>
    <w:rsid w:val="00153B41"/>
    <w:rsid w:val="00160BDD"/>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4BDE"/>
    <w:rsid w:val="002766BC"/>
    <w:rsid w:val="00280068"/>
    <w:rsid w:val="00280DEE"/>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2E2"/>
    <w:rsid w:val="00341565"/>
    <w:rsid w:val="0034173E"/>
    <w:rsid w:val="00341900"/>
    <w:rsid w:val="00342AE5"/>
    <w:rsid w:val="00343EE8"/>
    <w:rsid w:val="00351D87"/>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53DA"/>
    <w:rsid w:val="00396510"/>
    <w:rsid w:val="003A5312"/>
    <w:rsid w:val="003A757C"/>
    <w:rsid w:val="003B27DB"/>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1473A"/>
    <w:rsid w:val="004215C5"/>
    <w:rsid w:val="004260FE"/>
    <w:rsid w:val="00433FD4"/>
    <w:rsid w:val="0043649D"/>
    <w:rsid w:val="00446ED1"/>
    <w:rsid w:val="004475C8"/>
    <w:rsid w:val="00450CB3"/>
    <w:rsid w:val="004613E8"/>
    <w:rsid w:val="00461DB2"/>
    <w:rsid w:val="00464637"/>
    <w:rsid w:val="00464AF1"/>
    <w:rsid w:val="00466730"/>
    <w:rsid w:val="004708AB"/>
    <w:rsid w:val="00470A2D"/>
    <w:rsid w:val="00473631"/>
    <w:rsid w:val="00474A1C"/>
    <w:rsid w:val="00475C10"/>
    <w:rsid w:val="00476ADB"/>
    <w:rsid w:val="0047707D"/>
    <w:rsid w:val="00482056"/>
    <w:rsid w:val="00482616"/>
    <w:rsid w:val="00491EAB"/>
    <w:rsid w:val="004A035D"/>
    <w:rsid w:val="004A09C4"/>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13B3A"/>
    <w:rsid w:val="0051426B"/>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1AE1"/>
    <w:rsid w:val="005A4FB6"/>
    <w:rsid w:val="005A755A"/>
    <w:rsid w:val="005B112C"/>
    <w:rsid w:val="005B2F92"/>
    <w:rsid w:val="005B5824"/>
    <w:rsid w:val="005B7D85"/>
    <w:rsid w:val="005D0539"/>
    <w:rsid w:val="005D0E3A"/>
    <w:rsid w:val="005D25AE"/>
    <w:rsid w:val="005D2620"/>
    <w:rsid w:val="005D5DB7"/>
    <w:rsid w:val="005E0F44"/>
    <w:rsid w:val="005E37C2"/>
    <w:rsid w:val="005E4AF3"/>
    <w:rsid w:val="005E7EAB"/>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5400"/>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7467"/>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5BA1"/>
    <w:rsid w:val="009E03A2"/>
    <w:rsid w:val="009E1436"/>
    <w:rsid w:val="009E2C47"/>
    <w:rsid w:val="009E31A0"/>
    <w:rsid w:val="009E49CE"/>
    <w:rsid w:val="009E5668"/>
    <w:rsid w:val="009F47B9"/>
    <w:rsid w:val="009F7996"/>
    <w:rsid w:val="00A02DBC"/>
    <w:rsid w:val="00A057D1"/>
    <w:rsid w:val="00A10072"/>
    <w:rsid w:val="00A10B45"/>
    <w:rsid w:val="00A1279C"/>
    <w:rsid w:val="00A130CC"/>
    <w:rsid w:val="00A13C6F"/>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0B36"/>
    <w:rsid w:val="00A65828"/>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673FB"/>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1175F"/>
    <w:rsid w:val="00C14286"/>
    <w:rsid w:val="00C16713"/>
    <w:rsid w:val="00C16D65"/>
    <w:rsid w:val="00C20A1C"/>
    <w:rsid w:val="00C223BF"/>
    <w:rsid w:val="00C23616"/>
    <w:rsid w:val="00C23A70"/>
    <w:rsid w:val="00C32E49"/>
    <w:rsid w:val="00C35B07"/>
    <w:rsid w:val="00C35BBA"/>
    <w:rsid w:val="00C43D61"/>
    <w:rsid w:val="00C4540E"/>
    <w:rsid w:val="00C45767"/>
    <w:rsid w:val="00C46354"/>
    <w:rsid w:val="00C62935"/>
    <w:rsid w:val="00C634ED"/>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2C6E"/>
    <w:rsid w:val="00CF1F0B"/>
    <w:rsid w:val="00CF4901"/>
    <w:rsid w:val="00CF552E"/>
    <w:rsid w:val="00CF6CEC"/>
    <w:rsid w:val="00D043D4"/>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4A2"/>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0"/>
    <w:rsid w:val="00ED1918"/>
    <w:rsid w:val="00ED24E8"/>
    <w:rsid w:val="00ED2B59"/>
    <w:rsid w:val="00ED2F10"/>
    <w:rsid w:val="00ED5DB0"/>
    <w:rsid w:val="00EE0BB8"/>
    <w:rsid w:val="00EE0BD0"/>
    <w:rsid w:val="00EE7B86"/>
    <w:rsid w:val="00EF118F"/>
    <w:rsid w:val="00EF5F43"/>
    <w:rsid w:val="00F00FB8"/>
    <w:rsid w:val="00F0177F"/>
    <w:rsid w:val="00F10C89"/>
    <w:rsid w:val="00F11345"/>
    <w:rsid w:val="00F12EEC"/>
    <w:rsid w:val="00F1646F"/>
    <w:rsid w:val="00F30BD7"/>
    <w:rsid w:val="00F310F2"/>
    <w:rsid w:val="00F33937"/>
    <w:rsid w:val="00F3442D"/>
    <w:rsid w:val="00F4304F"/>
    <w:rsid w:val="00F450D5"/>
    <w:rsid w:val="00F506ED"/>
    <w:rsid w:val="00F540A1"/>
    <w:rsid w:val="00F546CE"/>
    <w:rsid w:val="00F563E2"/>
    <w:rsid w:val="00F66109"/>
    <w:rsid w:val="00F7243B"/>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3613"/>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687D75B0-533C-48BB-A1F8-26A28F1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9E49CE"/>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E49CE"/>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1Light-Accent2">
    <w:name w:val="Grid Table 1 Light Accent 2"/>
    <w:basedOn w:val="TableNormal"/>
    <w:uiPriority w:val="46"/>
    <w:rsid w:val="006A5400"/>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280DE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478091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3204125">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16711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644034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635175">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55141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895879">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52ABFD-A755-494C-BE52-37210517E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11531</Words>
  <Characters>65733</Characters>
  <Application>Microsoft Office Word</Application>
  <DocSecurity>0</DocSecurity>
  <Lines>547</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2026-07-15T13:34:00Z</cp:lastPrinted>
  <dcterms:created xsi:type="dcterms:W3CDTF">2026-07-15T13:33:00Z</dcterms:created>
  <dcterms:modified xsi:type="dcterms:W3CDTF">2026-07-15T13:34:00Z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