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1C1" w:rsidRPr="00C86D1D" w:rsidRDefault="008F11C1" w:rsidP="008F11C1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 w:rsidRPr="00C86D1D"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016D0C05" wp14:editId="4F72DCDB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11C1" w:rsidRPr="00C86D1D" w:rsidRDefault="008F11C1" w:rsidP="008F11C1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8F11C1" w:rsidRPr="00C86D1D" w:rsidRDefault="008F11C1" w:rsidP="008F11C1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:rsidR="008F11C1" w:rsidRPr="00C86D1D" w:rsidRDefault="008F11C1" w:rsidP="008F11C1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C86D1D">
        <w:rPr>
          <w:rFonts w:ascii="Arial" w:hAnsi="Arial" w:cs="Akhbar MT" w:hint="cs"/>
          <w:b/>
          <w:bCs/>
          <w:sz w:val="44"/>
          <w:szCs w:val="44"/>
          <w:rtl/>
        </w:rPr>
        <w:t>العنوان</w:t>
      </w:r>
    </w:p>
    <w:p w:rsidR="008F11C1" w:rsidRPr="00C86D1D" w:rsidRDefault="008F11C1" w:rsidP="008F11C1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:rsidR="008F11C1" w:rsidRPr="00C86D1D" w:rsidRDefault="008F11C1" w:rsidP="008F11C1">
      <w:pPr>
        <w:spacing w:line="360" w:lineRule="auto"/>
        <w:jc w:val="right"/>
        <w:rPr>
          <w:rFonts w:ascii="Arial" w:hAnsi="Arial" w:cs="Arial"/>
          <w:b/>
          <w:bCs/>
          <w:noProof/>
          <w:sz w:val="28"/>
          <w:szCs w:val="28"/>
          <w:rtl/>
        </w:rPr>
      </w:pPr>
    </w:p>
    <w:p w:rsidR="008F11C1" w:rsidRPr="00C86D1D" w:rsidRDefault="008F11C1" w:rsidP="008F11C1">
      <w:pPr>
        <w:spacing w:line="360" w:lineRule="auto"/>
        <w:ind w:left="534" w:hanging="340"/>
        <w:jc w:val="center"/>
        <w:rPr>
          <w:rFonts w:ascii="Arial" w:hAnsi="Arial" w:cs="Arial"/>
          <w:noProof/>
          <w:sz w:val="20"/>
          <w:szCs w:val="20"/>
        </w:rPr>
      </w:pPr>
      <w:r w:rsidRPr="00C86D1D">
        <w:rPr>
          <w:rFonts w:ascii="Arial" w:eastAsia="Times New Roman" w:hAnsi="Arial" w:cs="Arial"/>
          <w:b/>
          <w:bCs/>
          <w:color w:val="44546A" w:themeColor="text2"/>
          <w:sz w:val="28"/>
          <w:szCs w:val="32"/>
          <w:rtl/>
        </w:rPr>
        <w:t>أثر الذكاء التنظيمي على الكشف عن الاحتيال بمطالبات التأمين: دراسة ميدانيه على شركات التأمين في المملكة العربية السعودية</w:t>
      </w:r>
    </w:p>
    <w:p w:rsidR="008F11C1" w:rsidRPr="00C86D1D" w:rsidRDefault="008F11C1" w:rsidP="008F11C1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  <w:lang w:bidi="ar-EG"/>
        </w:rPr>
      </w:pPr>
    </w:p>
    <w:p w:rsidR="008F11C1" w:rsidRPr="00C86D1D" w:rsidRDefault="008F11C1" w:rsidP="008F11C1">
      <w:pPr>
        <w:pStyle w:val="NormalWeb"/>
        <w:bidi/>
        <w:spacing w:before="0" w:beforeAutospacing="0" w:after="0" w:afterAutospacing="0" w:line="480" w:lineRule="auto"/>
        <w:ind w:right="-270"/>
        <w:jc w:val="center"/>
        <w:rPr>
          <w:rFonts w:ascii="Sakkal Majalla" w:hAnsi="Sakkal Majalla" w:cs="Sakkal Majalla"/>
          <w:b/>
          <w:bCs/>
          <w:color w:val="0070C0"/>
          <w:sz w:val="40"/>
          <w:szCs w:val="40"/>
          <w:rtl/>
        </w:rPr>
      </w:pPr>
      <w:r w:rsidRPr="00C86D1D">
        <w:rPr>
          <w:rFonts w:ascii="Arial" w:hAnsi="Arial" w:cs="Arial"/>
          <w:b/>
          <w:bCs/>
          <w:color w:val="002060"/>
          <w:sz w:val="28"/>
          <w:szCs w:val="32"/>
        </w:rPr>
        <w:t>The Impact of Organizational Intelligence on Fraud Detection in Insurance Claims: A Field Study of Insurance Companies in the Kingdom of Saudi Arabia</w:t>
      </w:r>
    </w:p>
    <w:p w:rsidR="008F11C1" w:rsidRDefault="008F11C1" w:rsidP="008F11C1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</w:rPr>
      </w:pPr>
    </w:p>
    <w:p w:rsidR="008F11C1" w:rsidRDefault="008F11C1" w:rsidP="008F11C1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</w:rPr>
      </w:pPr>
    </w:p>
    <w:p w:rsidR="008F11C1" w:rsidRDefault="008F11C1" w:rsidP="008F11C1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</w:rPr>
      </w:pPr>
    </w:p>
    <w:p w:rsidR="008F11C1" w:rsidRPr="00C86D1D" w:rsidRDefault="008F11C1" w:rsidP="008F11C1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TableGrid"/>
        <w:bidiVisual/>
        <w:tblW w:w="7608" w:type="dxa"/>
        <w:tblInd w:w="6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5644"/>
      </w:tblGrid>
      <w:tr w:rsidR="008F11C1" w:rsidRPr="00C86D1D" w:rsidTr="00A50195">
        <w:trPr>
          <w:trHeight w:val="426"/>
        </w:trPr>
        <w:tc>
          <w:tcPr>
            <w:tcW w:w="1964" w:type="dxa"/>
            <w:vAlign w:val="center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bookmarkStart w:id="2" w:name="_Hlk193876694"/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اسم الباحثة</w:t>
            </w:r>
          </w:p>
        </w:tc>
        <w:tc>
          <w:tcPr>
            <w:tcW w:w="5644" w:type="dxa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lang w:bidi="ar-EG"/>
              </w:rPr>
              <w:t xml:space="preserve">                                       </w:t>
            </w:r>
            <w:r w:rsidRPr="00C86D1D"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  <w:t>امل عبد الله الدوسري</w:t>
            </w:r>
          </w:p>
        </w:tc>
      </w:tr>
      <w:bookmarkEnd w:id="2"/>
      <w:tr w:rsidR="008F11C1" w:rsidRPr="00C86D1D" w:rsidTr="00A50195">
        <w:trPr>
          <w:trHeight w:val="435"/>
        </w:trPr>
        <w:tc>
          <w:tcPr>
            <w:tcW w:w="1964" w:type="dxa"/>
            <w:vAlign w:val="center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5644" w:type="dxa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27372A"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</w:rPr>
              <w:t>232001254</w:t>
            </w:r>
            <w:r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</w:rPr>
              <w:t xml:space="preserve">                                           </w:t>
            </w:r>
          </w:p>
        </w:tc>
      </w:tr>
      <w:tr w:rsidR="008F11C1" w:rsidRPr="00C86D1D" w:rsidTr="00A50195">
        <w:trPr>
          <w:trHeight w:val="426"/>
        </w:trPr>
        <w:tc>
          <w:tcPr>
            <w:tcW w:w="1964" w:type="dxa"/>
            <w:vAlign w:val="center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الكلية</w:t>
            </w:r>
          </w:p>
        </w:tc>
        <w:tc>
          <w:tcPr>
            <w:tcW w:w="5644" w:type="dxa"/>
          </w:tcPr>
          <w:p w:rsidR="008F11C1" w:rsidRPr="00C86D1D" w:rsidRDefault="008F11C1" w:rsidP="00A50195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</w:rPr>
              <w:t xml:space="preserve">                                            </w:t>
            </w: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كلية الادارة</w:t>
            </w:r>
          </w:p>
        </w:tc>
      </w:tr>
    </w:tbl>
    <w:p w:rsidR="008F11C1" w:rsidRPr="00C86D1D" w:rsidRDefault="008F11C1" w:rsidP="008F11C1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:rsidR="008F11C1" w:rsidRDefault="008F11C1" w:rsidP="008F11C1">
      <w:pPr>
        <w:spacing w:line="240" w:lineRule="auto"/>
        <w:rPr>
          <w:rFonts w:ascii="Arial" w:hAnsi="Arial" w:cs="Arial"/>
          <w:noProof/>
          <w:lang w:bidi="ar-JO"/>
        </w:rPr>
      </w:pPr>
    </w:p>
    <w:p w:rsidR="008F11C1" w:rsidRDefault="008F11C1" w:rsidP="008F11C1">
      <w:pPr>
        <w:spacing w:line="240" w:lineRule="auto"/>
        <w:rPr>
          <w:rFonts w:ascii="Arial" w:hAnsi="Arial" w:cs="Arial"/>
          <w:noProof/>
          <w:lang w:bidi="ar-JO"/>
        </w:rPr>
      </w:pPr>
    </w:p>
    <w:p w:rsidR="008F11C1" w:rsidRDefault="008F11C1" w:rsidP="008F11C1">
      <w:pPr>
        <w:spacing w:line="240" w:lineRule="auto"/>
        <w:rPr>
          <w:rFonts w:ascii="Arial" w:hAnsi="Arial" w:cs="Arial"/>
          <w:noProof/>
          <w:lang w:bidi="ar-JO"/>
        </w:rPr>
      </w:pPr>
    </w:p>
    <w:p w:rsidR="008F11C1" w:rsidRDefault="008F11C1" w:rsidP="008F11C1">
      <w:pPr>
        <w:spacing w:line="240" w:lineRule="auto"/>
        <w:rPr>
          <w:rFonts w:ascii="Arial" w:hAnsi="Arial" w:cs="Arial"/>
          <w:noProof/>
          <w:lang w:bidi="ar-JO"/>
        </w:rPr>
      </w:pPr>
    </w:p>
    <w:p w:rsidR="008F11C1" w:rsidRPr="00C86D1D" w:rsidRDefault="008F11C1" w:rsidP="008F11C1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:rsidR="008F11C1" w:rsidRPr="008F11C1" w:rsidRDefault="008F11C1" w:rsidP="008F11C1">
      <w:pPr>
        <w:jc w:val="center"/>
        <w:rPr>
          <w:rFonts w:ascii="Calibri" w:hAnsi="Calibri" w:cs="Calibri" w:hint="cs"/>
          <w:b/>
          <w:bCs/>
          <w:color w:val="44546A" w:themeColor="text2"/>
          <w:sz w:val="28"/>
          <w:szCs w:val="28"/>
          <w:cs/>
        </w:rPr>
      </w:pPr>
      <w:r w:rsidRPr="00C86D1D">
        <w:rPr>
          <w:rFonts w:ascii="Calibri" w:hAnsi="Calibri" w:cs="Calibri" w:hint="cs"/>
          <w:b/>
          <w:bCs/>
          <w:color w:val="44546A" w:themeColor="text2"/>
          <w:sz w:val="28"/>
          <w:szCs w:val="28"/>
          <w:rtl/>
        </w:rPr>
        <w:t xml:space="preserve">        1447 ه </w:t>
      </w:r>
      <w:r w:rsidRPr="00C86D1D">
        <w:rPr>
          <w:rFonts w:ascii="Calibri" w:hAnsi="Calibri" w:cs="Calibri"/>
          <w:b/>
          <w:bCs/>
          <w:color w:val="44546A" w:themeColor="text2"/>
          <w:sz w:val="28"/>
          <w:szCs w:val="28"/>
          <w:rtl/>
        </w:rPr>
        <w:t>–</w:t>
      </w:r>
      <w:r w:rsidRPr="00C86D1D">
        <w:rPr>
          <w:rFonts w:ascii="Calibri" w:hAnsi="Calibri" w:cs="Calibri"/>
          <w:b/>
          <w:bCs/>
          <w:color w:val="44546A" w:themeColor="text2"/>
          <w:sz w:val="28"/>
          <w:szCs w:val="28"/>
        </w:rPr>
        <w:t xml:space="preserve"> 2026 </w:t>
      </w:r>
      <w:r w:rsidRPr="00C86D1D">
        <w:rPr>
          <w:rFonts w:ascii="Calibri" w:hAnsi="Calibri" w:cs="Calibri" w:hint="cs"/>
          <w:b/>
          <w:bCs/>
          <w:color w:val="44546A" w:themeColor="text2"/>
          <w:sz w:val="28"/>
          <w:szCs w:val="28"/>
          <w:rtl/>
        </w:rPr>
        <w:t xml:space="preserve">م </w:t>
      </w:r>
      <w:r w:rsidRPr="00C86D1D">
        <w:rPr>
          <w:rFonts w:ascii="Calibri" w:hAnsi="Calibri" w:cs="Calibri"/>
          <w:b/>
          <w:bCs/>
          <w:color w:val="44546A" w:themeColor="text2"/>
          <w:sz w:val="28"/>
          <w:szCs w:val="28"/>
          <w:rtl/>
        </w:rPr>
        <w:br/>
      </w:r>
      <w:bookmarkEnd w:id="0"/>
    </w:p>
    <w:p w:rsidR="008F11C1" w:rsidRPr="00C86D1D" w:rsidRDefault="008F11C1" w:rsidP="008F11C1">
      <w:pPr>
        <w:spacing w:line="360" w:lineRule="auto"/>
        <w:jc w:val="center"/>
        <w:rPr>
          <w:rFonts w:asciiTheme="majorBidi" w:hAnsiTheme="majorBidi" w:cstheme="majorBidi"/>
          <w:b/>
          <w:bCs/>
          <w:color w:val="002060"/>
          <w:sz w:val="36"/>
          <w:szCs w:val="36"/>
          <w:rtl/>
          <w:lang w:bidi="ar-EG"/>
        </w:rPr>
      </w:pPr>
      <w:r w:rsidRPr="00C86D1D">
        <w:rPr>
          <w:rFonts w:asciiTheme="majorBidi" w:hAnsiTheme="majorBidi" w:cstheme="majorBidi" w:hint="cs"/>
          <w:b/>
          <w:bCs/>
          <w:color w:val="002060"/>
          <w:sz w:val="36"/>
          <w:szCs w:val="36"/>
          <w:rtl/>
          <w:lang w:bidi="ar-EG"/>
        </w:rPr>
        <w:lastRenderedPageBreak/>
        <w:t>استمارة الاستبيان</w:t>
      </w:r>
    </w:p>
    <w:p w:rsidR="008F11C1" w:rsidRPr="00C86D1D" w:rsidRDefault="008F11C1" w:rsidP="008F11C1">
      <w:pPr>
        <w:spacing w:line="360" w:lineRule="auto"/>
        <w:jc w:val="center"/>
        <w:rPr>
          <w:rFonts w:asciiTheme="majorBidi" w:hAnsiTheme="majorBidi" w:cstheme="majorBidi"/>
          <w:b/>
          <w:bCs/>
          <w:color w:val="C00000"/>
          <w:sz w:val="28"/>
          <w:szCs w:val="28"/>
          <w:rtl/>
          <w:lang w:bidi="ar-EG"/>
        </w:rPr>
      </w:pPr>
    </w:p>
    <w:p w:rsidR="008F11C1" w:rsidRPr="00C86D1D" w:rsidRDefault="008F11C1" w:rsidP="008F11C1">
      <w:pPr>
        <w:spacing w:line="276" w:lineRule="auto"/>
        <w:jc w:val="center"/>
        <w:rPr>
          <w:rFonts w:ascii="Sakkal Majalla" w:eastAsia="Calibri" w:hAnsi="Sakkal Majalla" w:cs="Sakkal Majalla"/>
          <w:b/>
          <w:bCs/>
          <w:color w:val="A61A56"/>
          <w:sz w:val="40"/>
          <w:szCs w:val="40"/>
          <w:rtl/>
          <w:lang w:bidi="ar-EG"/>
        </w:rPr>
      </w:pPr>
      <w:r w:rsidRPr="00C86D1D">
        <w:rPr>
          <w:rFonts w:asciiTheme="majorBidi" w:hAnsiTheme="majorBidi" w:cs="Times New Roman"/>
          <w:b/>
          <w:bCs/>
          <w:color w:val="A61A56"/>
          <w:sz w:val="36"/>
          <w:szCs w:val="36"/>
          <w:rtl/>
          <w:lang w:bidi="ar-EG"/>
        </w:rPr>
        <w:t>أثر الذكاء التنظيمي على الكشف عن الاحتيال بمطالبات التأمين: دراسة ميدانيه على شركات التأمين في المملكة العربية السعودية</w:t>
      </w:r>
    </w:p>
    <w:p w:rsidR="008F11C1" w:rsidRPr="00C86D1D" w:rsidRDefault="008F11C1" w:rsidP="008F11C1">
      <w:pPr>
        <w:spacing w:line="276" w:lineRule="auto"/>
        <w:jc w:val="center"/>
        <w:rPr>
          <w:rFonts w:ascii="Sakkal Majalla" w:eastAsia="Calibri" w:hAnsi="Sakkal Majalla" w:cs="Sakkal Majalla"/>
          <w:b/>
          <w:bCs/>
          <w:color w:val="A61A56"/>
          <w:sz w:val="40"/>
          <w:szCs w:val="40"/>
          <w:rtl/>
          <w:lang w:bidi="ar-EG"/>
        </w:rPr>
      </w:pPr>
    </w:p>
    <w:p w:rsidR="008F11C1" w:rsidRPr="00C86D1D" w:rsidRDefault="008F11C1" w:rsidP="008F11C1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موظفي شركات التامين بالمملكة العربية السعودية </w:t>
      </w:r>
    </w:p>
    <w:p w:rsidR="008F11C1" w:rsidRPr="00C86D1D" w:rsidRDefault="008F11C1" w:rsidP="008F11C1">
      <w:pPr>
        <w:spacing w:line="276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تحية طيبة 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,,,</w:t>
      </w:r>
    </w:p>
    <w:p w:rsidR="008F11C1" w:rsidRPr="00C86D1D" w:rsidRDefault="008F11C1" w:rsidP="008F11C1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, والذي يأتي ضمن متطلبات </w:t>
      </w:r>
      <w:r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 بعنوان: "</w:t>
      </w:r>
      <w:r w:rsidRPr="00C86D1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الذكاء التنظيمي على الكشف عن الاحتيال بمطالبات التأمين: دراسة ميدانيه على شركات التأمين في المملكة العربية السعودية</w:t>
      </w:r>
      <w:r w:rsidRPr="00C86D1D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:rsidR="004E6E80" w:rsidRDefault="008F11C1" w:rsidP="008F11C1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تعامل جميع المعلومات التي يتم جمعها من خلال هذا الاستبيان</w:t>
      </w:r>
      <w:r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</w:t>
      </w:r>
      <w:r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بسرية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تامه</w:t>
      </w:r>
      <w:r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, ولن تستخدم إلا لأغراض البحث العلمي  ,ولن تستغرق الإجابة عن الاستبيان </w:t>
      </w:r>
      <w:r w:rsidR="004E6E80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سوى بضع دقائق</w:t>
      </w:r>
      <w:r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من وقتكم </w:t>
      </w:r>
      <w:r w:rsidR="004E6E80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:rsidR="008F11C1" w:rsidRDefault="004E6E80" w:rsidP="004E6E80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</w:t>
      </w:r>
      <w:r w:rsidR="008F11C1"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منكم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التكرم بالإجابه على الأسئلة بدقة وموضوعية ,</w:t>
      </w:r>
      <w:r w:rsidR="008F11C1"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لما في ذلك من أهمية في تحقيق أهداف الدراسة , والتي تتمثل في </w:t>
      </w:r>
      <w:r w:rsidR="008F11C1"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معرفة أثر الذكاء التنظيمي على الكشف عن الاحتيال بمطالبات التأمين</w:t>
      </w:r>
      <w:r w:rsidR="008F11C1"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</w:t>
      </w:r>
      <w:r w:rsidR="008F11C1" w:rsidRPr="00C86D1D">
        <w:rPr>
          <w:rFonts w:ascii="Sakkal Majalla" w:eastAsia="Calibri" w:hAnsi="Sakkal Majalla" w:cs="Sakkal Majalla"/>
          <w:sz w:val="32"/>
          <w:szCs w:val="32"/>
          <w:rtl/>
          <w:lang w:bidi="ar-EG"/>
        </w:rPr>
        <w:t>شركات التأمين في المملكة العربية السعودية</w:t>
      </w:r>
      <w:r w:rsidR="008F11C1" w:rsidRPr="00C86D1D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:rsidR="004E6E80" w:rsidRDefault="004E6E80" w:rsidP="004E6E80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:rsidR="004E6E80" w:rsidRPr="00C86D1D" w:rsidRDefault="004E6E80" w:rsidP="004E6E80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:rsidR="008F11C1" w:rsidRPr="00C86D1D" w:rsidRDefault="008F11C1" w:rsidP="008F11C1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أولا</w:t>
      </w: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 (الشخصية)</w:t>
      </w:r>
      <w:r w:rsidRPr="00C86D1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:rsidR="008F11C1" w:rsidRPr="00C86D1D" w:rsidRDefault="008F11C1" w:rsidP="008F11C1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النوع:</w:t>
      </w:r>
    </w:p>
    <w:p w:rsidR="008F11C1" w:rsidRPr="00C86D1D" w:rsidRDefault="008F11C1" w:rsidP="008F11C1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ذكر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 xml:space="preserve"> (       )</w:t>
      </w:r>
    </w:p>
    <w:p w:rsidR="008F11C1" w:rsidRPr="00C86D1D" w:rsidRDefault="008F11C1" w:rsidP="008F11C1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انثى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lastRenderedPageBreak/>
        <w:t>العمر:</w:t>
      </w:r>
    </w:p>
    <w:p w:rsidR="008F11C1" w:rsidRPr="00C86D1D" w:rsidRDefault="008F11C1" w:rsidP="008F11C1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18-25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26-35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36-45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46 فأكثر </w:t>
      </w: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العلمي:</w:t>
      </w:r>
    </w:p>
    <w:p w:rsidR="008F11C1" w:rsidRPr="00C86D1D" w:rsidRDefault="008F11C1" w:rsidP="008F11C1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دبلوم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بكالوريوس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ماجستير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دكتوراه</w:t>
      </w: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المستوى الوظيفي:</w:t>
      </w:r>
    </w:p>
    <w:p w:rsidR="008F11C1" w:rsidRPr="00C86D1D" w:rsidRDefault="008F11C1" w:rsidP="008F11C1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مستوى مبتدئ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مستوى متوسط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مستوى عالٍ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مستوى تنفيذي</w:t>
      </w: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عدد سنوات الخبرة:</w:t>
      </w:r>
    </w:p>
    <w:p w:rsidR="008F11C1" w:rsidRPr="00C86D1D" w:rsidRDefault="008F11C1" w:rsidP="008F11C1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أقل من سنة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١-٥ سنوات</w:t>
      </w:r>
      <w:r w:rsidRPr="00C86D1D">
        <w:rPr>
          <w:rFonts w:hint="cs"/>
          <w:rtl/>
        </w:rPr>
        <w:t xml:space="preserve">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C86D1D" w:rsidRDefault="008F11C1" w:rsidP="008F11C1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٦-١٠ سنوات 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8F11C1" w:rsidRPr="004E6E80" w:rsidRDefault="008F11C1" w:rsidP="004E6E80">
      <w:pPr>
        <w:pStyle w:val="ListParagraph"/>
        <w:numPr>
          <w:ilvl w:val="0"/>
          <w:numId w:val="5"/>
        </w:numPr>
        <w:spacing w:after="120" w:line="336" w:lineRule="auto"/>
        <w:jc w:val="both"/>
        <w:rPr>
          <w:rFonts w:ascii="Sakkal Majalla" w:hAnsi="Sakkal Majalla" w:cs="Sakkal Majalla"/>
          <w:sz w:val="32"/>
          <w:szCs w:val="32"/>
          <w:lang w:bidi="ar-EG"/>
        </w:rPr>
      </w:pPr>
      <w:r w:rsidRPr="00C86D1D">
        <w:rPr>
          <w:rFonts w:ascii="Sakkal Majalla" w:eastAsia="Times New Roman" w:hAnsi="Sakkal Majalla" w:cs="Sakkal Majalla" w:hint="cs"/>
          <w:sz w:val="32"/>
          <w:szCs w:val="32"/>
          <w:rtl/>
        </w:rPr>
        <w:t>أكثر من ١٠ سنوات</w:t>
      </w:r>
      <w:r w:rsidRPr="00C86D1D">
        <w:rPr>
          <w:rFonts w:ascii="Sakkal Majalla" w:eastAsia="Times New Roman" w:hAnsi="Sakkal Majalla" w:cs="Sakkal Majalla" w:hint="cs"/>
          <w:sz w:val="32"/>
          <w:szCs w:val="32"/>
          <w:rtl/>
          <w:lang w:bidi="ar-EG"/>
        </w:rPr>
        <w:t>(       )</w:t>
      </w:r>
    </w:p>
    <w:p w:rsidR="004E6E80" w:rsidRPr="004E6E80" w:rsidRDefault="004E6E80" w:rsidP="0091474A">
      <w:pPr>
        <w:pStyle w:val="ListParagraph"/>
        <w:spacing w:after="120" w:line="336" w:lineRule="auto"/>
        <w:ind w:left="1800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:rsidR="008F11C1" w:rsidRPr="00C86D1D" w:rsidRDefault="008F11C1" w:rsidP="008F11C1">
      <w:pPr>
        <w:spacing w:line="360" w:lineRule="auto"/>
        <w:jc w:val="both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C86D1D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lastRenderedPageBreak/>
        <w:t>ثانيا:</w:t>
      </w:r>
      <w:r w:rsidRPr="00C86D1D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4C3A48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محاور</w:t>
      </w:r>
      <w:r w:rsidRPr="00C86D1D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الاستبيان</w:t>
      </w:r>
      <w:r w:rsidRPr="00C86D1D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</w:p>
    <w:p w:rsidR="008F11C1" w:rsidRPr="00C86D1D" w:rsidRDefault="004C3A48" w:rsidP="008F11C1">
      <w:pPr>
        <w:spacing w:line="360" w:lineRule="auto"/>
        <w:jc w:val="both"/>
        <w:rPr>
          <w:rFonts w:ascii="Sakkal Majalla" w:hAnsi="Sakkal Majalla" w:cs="Sakkal Majalla"/>
          <w:b/>
          <w:bCs/>
          <w:color w:val="002060"/>
          <w:sz w:val="32"/>
          <w:szCs w:val="32"/>
          <w:u w:val="single"/>
          <w:rtl/>
          <w:lang w:bidi="ar-EG"/>
        </w:rPr>
      </w:pPr>
      <w:r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 xml:space="preserve">يرجى وضع </w:t>
      </w:r>
      <w:r w:rsidRPr="004C3A48"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>إشارة (</w:t>
      </w:r>
      <w:r w:rsidRPr="004C3A48">
        <w:rPr>
          <w:rFonts w:ascii="Sakkal Majalla" w:hAnsi="Sakkal Majalla" w:cs="Sakkal Majalla"/>
          <w:b/>
          <w:bCs/>
          <w:color w:val="002060"/>
          <w:sz w:val="32"/>
          <w:szCs w:val="32"/>
          <w:u w:val="single"/>
          <w:lang w:bidi="ar-EG"/>
        </w:rPr>
        <w:sym w:font="Wingdings 2" w:char="F050"/>
      </w:r>
      <w:r w:rsidRPr="004C3A48"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>)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 </w:t>
      </w:r>
      <w:r w:rsidR="008F11C1" w:rsidRPr="00C86D1D">
        <w:rPr>
          <w:rFonts w:ascii="Sakkal Majalla" w:hAnsi="Sakkal Majalla" w:cs="Sakkal Majalla"/>
          <w:b/>
          <w:bCs/>
          <w:color w:val="002060"/>
          <w:sz w:val="32"/>
          <w:szCs w:val="32"/>
          <w:u w:val="single"/>
          <w:rtl/>
          <w:lang w:bidi="ar-EG"/>
        </w:rPr>
        <w:t xml:space="preserve"> </w:t>
      </w:r>
      <w:r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 xml:space="preserve">او </w:t>
      </w:r>
      <w:r w:rsidR="008F11C1" w:rsidRPr="00C86D1D">
        <w:rPr>
          <w:rFonts w:ascii="Sakkal Majalla" w:hAnsi="Sakkal Majalla" w:cs="Sakkal Majalla"/>
          <w:b/>
          <w:bCs/>
          <w:color w:val="002060"/>
          <w:sz w:val="32"/>
          <w:szCs w:val="32"/>
          <w:u w:val="single"/>
          <w:rtl/>
          <w:lang w:bidi="ar-EG"/>
        </w:rPr>
        <w:t xml:space="preserve">تظليل  المربع المناسب </w:t>
      </w:r>
      <w:r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 xml:space="preserve">وفق مستوى </w:t>
      </w:r>
      <w:r w:rsidR="00CC6C1E"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>موافقتكم علبيها ,</w:t>
      </w:r>
      <w:r w:rsidR="008F11C1" w:rsidRPr="00C86D1D">
        <w:rPr>
          <w:rFonts w:ascii="Sakkal Majalla" w:hAnsi="Sakkal Majalla" w:cs="Sakkal Majalla"/>
          <w:b/>
          <w:bCs/>
          <w:color w:val="002060"/>
          <w:sz w:val="32"/>
          <w:szCs w:val="32"/>
          <w:u w:val="single"/>
          <w:rtl/>
          <w:lang w:bidi="ar-EG"/>
        </w:rPr>
        <w:t xml:space="preserve"> أمام كل عبارة من العبارات التالية</w:t>
      </w:r>
      <w:r w:rsidR="00CC6C1E">
        <w:rPr>
          <w:rFonts w:ascii="Sakkal Majalla" w:hAnsi="Sakkal Majalla" w:cs="Sakkal Majalla" w:hint="cs"/>
          <w:b/>
          <w:bCs/>
          <w:color w:val="002060"/>
          <w:sz w:val="32"/>
          <w:szCs w:val="32"/>
          <w:u w:val="single"/>
          <w:rtl/>
          <w:lang w:bidi="ar-EG"/>
        </w:rPr>
        <w:t xml:space="preserve"> : </w:t>
      </w:r>
      <w:bookmarkStart w:id="3" w:name="_GoBack"/>
      <w:bookmarkEnd w:id="3"/>
    </w:p>
    <w:tbl>
      <w:tblPr>
        <w:tblStyle w:val="GridTable4-Accent3"/>
        <w:bidiVisual/>
        <w:tblW w:w="8987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757"/>
        <w:gridCol w:w="782"/>
        <w:gridCol w:w="782"/>
        <w:gridCol w:w="779"/>
        <w:gridCol w:w="920"/>
        <w:gridCol w:w="1337"/>
      </w:tblGrid>
      <w:tr w:rsidR="008F11C1" w:rsidRPr="00C86D1D" w:rsidTr="004E6E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:rsidR="008F11C1" w:rsidRPr="00C86D1D" w:rsidRDefault="008F11C1" w:rsidP="00A5019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C86D1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757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المتغير المستقل:</w:t>
            </w:r>
          </w:p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الذكاء التنظيمي</w:t>
            </w:r>
          </w:p>
        </w:tc>
        <w:tc>
          <w:tcPr>
            <w:tcW w:w="782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F11C1" w:rsidRPr="00C86D1D" w:rsidTr="004E6E80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357" w:type="dxa"/>
            <w:gridSpan w:val="6"/>
            <w:noWrap/>
          </w:tcPr>
          <w:p w:rsidR="008F11C1" w:rsidRPr="00C86D1D" w:rsidRDefault="004E6E80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6"/>
                <w:szCs w:val="36"/>
                <w:rtl/>
                <w:lang w:bidi="ar-EG"/>
              </w:rPr>
              <w:t xml:space="preserve">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6"/>
                <w:szCs w:val="36"/>
                <w:rtl/>
                <w:lang w:bidi="ar-EG"/>
              </w:rPr>
              <w:t>البعد الأول: ذكاء استراتيجي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ك الشركة القدرة ع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ى وضع تصور واضح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لمستقبلها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في بيئة أعمال مت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قل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بة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يسهم الذكاء الاستراتيجي في زيادة رضا العاملين والعملاء 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تحلل الإدارة بيئة القطاع المحيطة للكشف عن الاحتيال بصورة أكثر واقعية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يسهم الذكاء الاستراتيجي في تحسين إنتاجية العاملين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وتحقيق اهدافها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يسهم الذكاء الاستراتيجي في توفير نفقات البحث والتطوير وكشف الاحتيال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rtl/>
              </w:rPr>
            </w:pPr>
          </w:p>
        </w:tc>
        <w:tc>
          <w:tcPr>
            <w:tcW w:w="8357" w:type="dxa"/>
            <w:gridSpan w:val="6"/>
            <w:noWrap/>
          </w:tcPr>
          <w:p w:rsidR="008F11C1" w:rsidRPr="00C86D1D" w:rsidRDefault="004E6E80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61A56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          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البعد الثاني: ذكاء عاطفي 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يسهم الذكاء العاطفي في تحسين الصورة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الذهنية للشركة لجميع أطراف العملية التأمينية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يسهم الذكاء العاطفي في كسب ولاء العاملين والعملاء ويسهم في الحد من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تشارك إدارة الشركة العاملين بالمشكلات التي تواجهها خصوصا الأساليب الحديثة للاحتيال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يساعد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الذكاء العاطفي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 المحققين على اكتشاف التناقضات والتوتر مما يشير بدقة إلى احتمالية وجود 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تجمع الشركات بين البيانات العاطفية التي يتم رصدها وبيانات المطالبات السابقة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لحساب 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درجة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خاطرة 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rtl/>
              </w:rPr>
            </w:pPr>
          </w:p>
        </w:tc>
        <w:tc>
          <w:tcPr>
            <w:tcW w:w="8357" w:type="dxa"/>
            <w:gridSpan w:val="6"/>
            <w:noWrap/>
          </w:tcPr>
          <w:p w:rsidR="008F11C1" w:rsidRPr="00C86D1D" w:rsidRDefault="004E6E80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        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>البعد الثالث: المصير المشترك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تشارك إدارة الشركة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العاملين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بآرائ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ه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م حول النتائج التي حققت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ه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في كشف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يشارك العام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ون في الشركة إدارة الشركة في إعداد الخطط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لكشف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3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يشعر العام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ل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ون في الشركة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بالانتماء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إلى شر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ك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ه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م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مما يقلل من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تربط العاملين في الشركة روابط إنسانية قوية تجعل مصالحهم مشتركة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تضمن الشركة الارتباط الوثيق على أساس المصلحة المشتركة بين مختلف الأطراف 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4E6E80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4E6E80" w:rsidRPr="00C86D1D" w:rsidRDefault="004E6E80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b w:val="0"/>
                <w:bCs w:val="0"/>
                <w:color w:val="A61A56"/>
                <w:sz w:val="36"/>
                <w:szCs w:val="36"/>
                <w:rtl/>
              </w:rPr>
            </w:pPr>
          </w:p>
        </w:tc>
        <w:tc>
          <w:tcPr>
            <w:tcW w:w="8357" w:type="dxa"/>
            <w:gridSpan w:val="6"/>
            <w:noWrap/>
          </w:tcPr>
          <w:p w:rsidR="004E6E80" w:rsidRPr="00C86D1D" w:rsidRDefault="004E6E80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color w:val="A61A56"/>
                <w:sz w:val="36"/>
                <w:szCs w:val="36"/>
                <w:rtl/>
              </w:rPr>
              <w:t xml:space="preserve">                                                </w:t>
            </w:r>
            <w:r w:rsidRPr="00C86D1D">
              <w:rPr>
                <w:rFonts w:ascii="Sakkal Majalla" w:eastAsia="Times New Roman" w:hAnsi="Sakkal Majalla" w:cs="Sakkal Majalla" w:hint="cs"/>
                <w:color w:val="A61A56"/>
                <w:sz w:val="36"/>
                <w:szCs w:val="36"/>
                <w:rtl/>
              </w:rPr>
              <w:t>البعد الرابع: الموائمة والتطبيق</w:t>
            </w: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تحفز الشركة الرغبة لدي العاملين للعمل الجماعي لمنع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يؤمن العاملون بالشركة ان الإدارة تضع مصالح العاملين محور اهتمامها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تقوم الشركة بتفويض المسؤوليات والصلاحيات للمستويات الإدارية الدنيا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يتم تنسيق جهود العاملين بما يمنع ازدواجية العمل ويمنع عمليات التصادم بينهم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4E6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75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تسهم نظم المعلومات في تمكين الموظفين بالقيام بأعمالهم بفاعلية 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:rsidR="008F11C1" w:rsidRPr="00C86D1D" w:rsidRDefault="008F11C1" w:rsidP="008F11C1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tbl>
      <w:tblPr>
        <w:tblStyle w:val="GridTable4-Accent3"/>
        <w:bidiVisual/>
        <w:tblW w:w="9352" w:type="dxa"/>
        <w:tblInd w:w="-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85"/>
        <w:gridCol w:w="782"/>
        <w:gridCol w:w="782"/>
        <w:gridCol w:w="779"/>
        <w:gridCol w:w="920"/>
        <w:gridCol w:w="1337"/>
      </w:tblGrid>
      <w:tr w:rsidR="008F11C1" w:rsidRPr="00C86D1D" w:rsidTr="00A501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bookmarkEnd w:id="1"/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lastRenderedPageBreak/>
              <w:t>م</w:t>
            </w:r>
          </w:p>
        </w:tc>
        <w:tc>
          <w:tcPr>
            <w:tcW w:w="4185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C86D1D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</w:rPr>
              <w:t> </w:t>
            </w:r>
          </w:p>
        </w:tc>
        <w:tc>
          <w:tcPr>
            <w:tcW w:w="4185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C86D1D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المتغير التابع:</w:t>
            </w:r>
          </w:p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2060"/>
                <w:sz w:val="32"/>
                <w:szCs w:val="32"/>
                <w:lang w:bidi="ar-EG"/>
              </w:rPr>
            </w:pPr>
            <w:r w:rsidRPr="00C86D1D"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  <w:t>الكشف عن الاحتيال بمطالبات التأمين</w:t>
            </w:r>
          </w:p>
        </w:tc>
        <w:tc>
          <w:tcPr>
            <w:tcW w:w="782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vAlign w:val="center"/>
            <w:hideMark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:rsidR="008F11C1" w:rsidRPr="00C86D1D" w:rsidRDefault="004E6E80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         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8F11C1" w:rsidRPr="00C86D1D">
              <w:rPr>
                <w:rFonts w:ascii="Sakkal Majalla" w:eastAsia="Times New Roman" w:hAnsi="Sakkal Majalla" w:cs="Sakkal Majalla"/>
                <w:b/>
                <w:bCs/>
                <w:color w:val="A61A56"/>
                <w:sz w:val="32"/>
                <w:szCs w:val="32"/>
                <w:rtl/>
                <w:lang w:bidi="ar-EG"/>
              </w:rPr>
              <w:t>الاحتيال من الطرف الاول</w:t>
            </w: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تُصنف الخوارزميات المطالبات فور تقديمها إلى: آمنة تُصرف تلقائياً، أو مشبوهة تتطلب تدخلاً بشرياً.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تعلم 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النماذج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المقدمة من الطرف الأول 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ديناميكياً من كل معاملة جديدة.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تقوم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الشركة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بضبط معايير الأمان باستمرار لمواكبة طرق الاحتيال المتطورة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من الطرف الاول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توجيه المطالبات ذات درجات الاشتباه العالية إلى فرق التحقيق الخاصة مع تقديم تقرير مفصل بنقاط التناقض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توفر الشركة</w:t>
            </w: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برمجيات وأنظمة متقدمة لدعم قراراتها وتقليل التكاليف التشغيلية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في الكشف عن الاحتيال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  <w:vAlign w:val="center"/>
          </w:tcPr>
          <w:p w:rsidR="008F11C1" w:rsidRPr="00C86D1D" w:rsidRDefault="004E6E80" w:rsidP="00A5019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61A56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  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البعد الثاني: </w:t>
            </w:r>
            <w:r w:rsidR="008F11C1" w:rsidRPr="00C86D1D">
              <w:rPr>
                <w:rFonts w:ascii="Sakkal Majalla" w:eastAsia="Times New Roman" w:hAnsi="Sakkal Majalla" w:cs="Sakkal Majalla"/>
                <w:b/>
                <w:bCs/>
                <w:color w:val="A61A56"/>
                <w:sz w:val="32"/>
                <w:szCs w:val="32"/>
                <w:rtl/>
                <w:lang w:bidi="ar-EG"/>
              </w:rPr>
              <w:t>الاحتيال من الطرف الثاني</w:t>
            </w: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1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تستخدم شركات التأمين خوارزميات التعلم الآلي المتقدمة لمقارنة المطالبات الجديدة مع قاعدة بيانات تاريخية ضخمة.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يُستخدم الذكاء التنظيمي لكشف شبكات الاحتيال المنظم من خلال تحديد الروابط الخفية بين الأفراد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من داخل الشركة وخارجها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حليل الأنماط السلوكية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للطرف الثاني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، تقييم سجل المطالبات، واستخدام التحليلات التنبؤية لرصد التجاوزات.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يحق لشركات التأمين رفض دفع التعويض إذا ثبت تورط الطرف الثاني في احتيال متعمد أو تواطؤ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D449CF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تبادل المعلومات الاستباقي بين شركات التأمين ومقدمي الخدمات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يقلل من الاحتيال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  <w:vAlign w:val="center"/>
          </w:tcPr>
          <w:p w:rsidR="008F11C1" w:rsidRPr="00C86D1D" w:rsidRDefault="004E6E80" w:rsidP="00A5019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61A56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                                                        </w:t>
            </w:r>
            <w:r w:rsidR="008F11C1" w:rsidRPr="00C86D1D">
              <w:rPr>
                <w:rFonts w:ascii="Sakkal Majalla" w:eastAsia="Times New Roman" w:hAnsi="Sakkal Majalla" w:cs="Sakkal Majalla" w:hint="cs"/>
                <w:b/>
                <w:bCs/>
                <w:color w:val="A61A56"/>
                <w:sz w:val="32"/>
                <w:szCs w:val="32"/>
                <w:rtl/>
                <w:lang w:bidi="ar-EG"/>
              </w:rPr>
              <w:t xml:space="preserve">البعد الثالث: </w:t>
            </w:r>
            <w:r w:rsidR="008F11C1" w:rsidRPr="00C86D1D">
              <w:rPr>
                <w:rFonts w:ascii="Sakkal Majalla" w:eastAsia="Times New Roman" w:hAnsi="Sakkal Majalla" w:cs="Sakkal Majalla"/>
                <w:b/>
                <w:bCs/>
                <w:color w:val="A61A56"/>
                <w:sz w:val="32"/>
                <w:szCs w:val="32"/>
                <w:rtl/>
                <w:lang w:bidi="ar-EG"/>
              </w:rPr>
              <w:t>الاحتيال من الطرف الثالث</w:t>
            </w: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لذكاء التنظيمي يسهم بشكل مباشر ومحوري في الكشف عن الاحتيال بمطالبات التأمين من الطرف الثالث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يتم 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 xml:space="preserve">تحويل البيانات الضخمة إلى قرارات استباقية دقيقة، مما يقلل الخسائر المالية </w:t>
            </w: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lastRenderedPageBreak/>
              <w:t>ويسرع تسوية المطالبات المشروعة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عزل المطالبات المشبوهة يتيح تمرير التعويضات الصحيحة بسرعة، مما يرفع رضا العملاء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الذكاء التنظيمي يسهم بشكل مباشر المبالغة في فواتير الإصلاح، أو اختلاق الحوادث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F11C1" w:rsidRPr="00C86D1D" w:rsidTr="00A501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4185" w:type="dxa"/>
            <w:noWrap/>
            <w:vAlign w:val="center"/>
          </w:tcPr>
          <w:p w:rsidR="008F11C1" w:rsidRPr="00C86D1D" w:rsidRDefault="008F11C1" w:rsidP="00A50195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86D1D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استخدام برامج الذكاء الاصطناعي ونماذج تعلم الآلة لمقارنة المطالبات، وكشف التناقضات أو الروايات غير المتسقة.</w:t>
            </w: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:rsidR="008F11C1" w:rsidRPr="00C86D1D" w:rsidRDefault="008F11C1" w:rsidP="00A501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:rsidR="008F11C1" w:rsidRPr="00C86D1D" w:rsidRDefault="008F11C1" w:rsidP="008F11C1">
      <w:pPr>
        <w:rPr>
          <w:rtl/>
          <w:lang w:bidi="ar-EG"/>
        </w:rPr>
      </w:pPr>
    </w:p>
    <w:p w:rsidR="000B3546" w:rsidRPr="008F11C1" w:rsidRDefault="000B3546"/>
    <w:sectPr w:rsidR="000B3546" w:rsidRPr="008F11C1" w:rsidSect="003E55D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altName w:val="Arial"/>
    <w:charset w:val="B2"/>
    <w:family w:val="auto"/>
    <w:pitch w:val="variable"/>
    <w:sig w:usb0="00002001" w:usb1="00000000" w:usb2="00000000" w:usb3="00000000" w:csb0="00000040" w:csb1="00000000"/>
  </w:font>
  <w:font w:name="Sakkal Majalla">
    <w:altName w:val="Sakkal Majalla"/>
    <w:charset w:val="B2"/>
    <w:family w:val="auto"/>
    <w:pitch w:val="variable"/>
    <w:sig w:usb0="80002007" w:usb1="80000000" w:usb2="00000008" w:usb3="00000000" w:csb0="000000D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C1"/>
    <w:rsid w:val="000B3546"/>
    <w:rsid w:val="004C3A48"/>
    <w:rsid w:val="004E6E80"/>
    <w:rsid w:val="008F11C1"/>
    <w:rsid w:val="0091474A"/>
    <w:rsid w:val="00CC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B60FA"/>
  <w15:chartTrackingRefBased/>
  <w15:docId w15:val="{93015196-74AA-4126-8018-6636E84D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11C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عنوان رئيسي,سرد الفقراتCxSpLast,List Paragraph1,NumberedList, سرد الفقرات1, سرد الفقرات11,سرد الفقرات1,سرد الفقرات11,BPList"/>
    <w:basedOn w:val="Normal"/>
    <w:link w:val="ListParagraphChar"/>
    <w:uiPriority w:val="34"/>
    <w:qFormat/>
    <w:rsid w:val="008F11C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table" w:styleId="GridTable4-Accent3">
    <w:name w:val="Grid Table 4 Accent 3"/>
    <w:basedOn w:val="TableNormal"/>
    <w:uiPriority w:val="49"/>
    <w:rsid w:val="008F11C1"/>
    <w:pPr>
      <w:widowControl w:val="0"/>
      <w:autoSpaceDE w:val="0"/>
      <w:autoSpaceDN w:val="0"/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eGrid">
    <w:name w:val="Table Grid"/>
    <w:basedOn w:val="TableNormal"/>
    <w:uiPriority w:val="39"/>
    <w:rsid w:val="008F1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11C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ListParagraph"/>
    <w:uiPriority w:val="34"/>
    <w:rsid w:val="008F11C1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A. Al Dossary</dc:creator>
  <cp:keywords/>
  <dc:description/>
  <cp:lastModifiedBy>Amal A. Al Dossary</cp:lastModifiedBy>
  <cp:revision>2</cp:revision>
  <dcterms:created xsi:type="dcterms:W3CDTF">2026-06-26T16:42:00Z</dcterms:created>
  <dcterms:modified xsi:type="dcterms:W3CDTF">2026-06-26T17:24:00Z</dcterms:modified>
</cp:coreProperties>
</file>