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B6E55" w14:textId="77777777" w:rsidR="008505AD" w:rsidRDefault="008505AD" w:rsidP="008505AD">
      <w:pPr>
        <w:bidi/>
        <w:spacing w:after="200" w:line="276" w:lineRule="auto"/>
        <w:jc w:val="center"/>
        <w:rPr>
          <w:rFonts w:eastAsia="Calibri"/>
          <w:b/>
          <w:bCs/>
          <w:color w:val="C00000"/>
          <w:sz w:val="44"/>
          <w:szCs w:val="44"/>
          <w:rtl w:val="0"/>
        </w:rPr>
      </w:pPr>
    </w:p>
    <w:p w14:paraId="316491BE" w14:textId="77777777" w:rsidR="008505AD" w:rsidRPr="004C6A76" w:rsidRDefault="008505AD" w:rsidP="008505AD">
      <w:pPr>
        <w:bidi/>
        <w:spacing w:after="200" w:line="276" w:lineRule="auto"/>
        <w:jc w:val="center"/>
        <w:rPr>
          <w:rFonts w:eastAsia="Calibri"/>
          <w:b/>
          <w:bCs/>
          <w:color w:val="C00000"/>
          <w:sz w:val="44"/>
          <w:szCs w:val="44"/>
        </w:rPr>
      </w:pPr>
      <w:r w:rsidRPr="004C6A76">
        <w:rPr>
          <w:rFonts w:eastAsia="Calibri"/>
          <w:b/>
          <w:bCs/>
          <w:color w:val="C00000"/>
          <w:sz w:val="44"/>
          <w:szCs w:val="44"/>
        </w:rPr>
        <w:t xml:space="preserve">نمـــــــــــــــــوذج </w:t>
      </w:r>
    </w:p>
    <w:p w14:paraId="7A37E350" w14:textId="77777777" w:rsidR="008505AD" w:rsidRPr="004C6A76" w:rsidRDefault="008505AD" w:rsidP="008505AD">
      <w:pPr>
        <w:bidi/>
        <w:spacing w:after="200" w:line="276" w:lineRule="auto"/>
        <w:jc w:val="center"/>
        <w:rPr>
          <w:rFonts w:eastAsia="Calibri"/>
          <w:b/>
          <w:bCs/>
          <w:sz w:val="44"/>
          <w:szCs w:val="44"/>
        </w:rPr>
      </w:pPr>
      <w:r w:rsidRPr="004C6A76">
        <w:rPr>
          <w:rFonts w:eastAsia="Calibri"/>
          <w:b/>
          <w:bCs/>
          <w:sz w:val="44"/>
          <w:szCs w:val="44"/>
        </w:rPr>
        <w:t>مشروع خطة أطروحة للتسجيل لدرجة الدكتوراه</w:t>
      </w:r>
    </w:p>
    <w:p w14:paraId="4D18643B" w14:textId="77777777" w:rsidR="008505AD" w:rsidRPr="004C6A76" w:rsidRDefault="008505AD" w:rsidP="008505AD">
      <w:pPr>
        <w:bidi/>
        <w:ind w:right="-270"/>
        <w:jc w:val="both"/>
        <w:rPr>
          <w:rFonts w:ascii="Arial" w:eastAsia="Times New Roman" w:hAnsi="Arial" w:cs="Arial"/>
          <w:b/>
          <w:bCs/>
          <w:color w:val="0000FF"/>
          <w:sz w:val="32"/>
          <w:szCs w:val="32"/>
          <w:lang w:bidi="ar-JO"/>
        </w:rPr>
      </w:pPr>
    </w:p>
    <w:p w14:paraId="3BCA0220" w14:textId="77777777" w:rsidR="008505AD" w:rsidRPr="004C6A76" w:rsidRDefault="008505AD" w:rsidP="008505AD">
      <w:pPr>
        <w:spacing w:after="200" w:line="360" w:lineRule="auto"/>
        <w:jc w:val="center"/>
        <w:rPr>
          <w:rFonts w:eastAsia="Calibri"/>
          <w:b/>
          <w:bCs/>
          <w:noProof/>
          <w:color w:val="C00000"/>
          <w:sz w:val="28"/>
          <w:szCs w:val="28"/>
        </w:rPr>
      </w:pPr>
      <w:r w:rsidRPr="004C6A76">
        <w:rPr>
          <w:rFonts w:eastAsia="Calibri"/>
          <w:b/>
          <w:bCs/>
          <w:noProof/>
          <w:color w:val="C00000"/>
          <w:sz w:val="28"/>
          <w:szCs w:val="28"/>
        </w:rPr>
        <w:t>العنوان باللغة العربية:</w:t>
      </w:r>
    </w:p>
    <w:p w14:paraId="4FC06588" w14:textId="77777777" w:rsidR="008505AD" w:rsidRPr="004C6A76" w:rsidRDefault="008505AD" w:rsidP="008505AD">
      <w:pPr>
        <w:bidi/>
        <w:spacing w:after="200" w:line="276" w:lineRule="auto"/>
        <w:jc w:val="center"/>
        <w:rPr>
          <w:rFonts w:eastAsia="Times New Roman"/>
          <w:b/>
          <w:bCs/>
          <w:sz w:val="28"/>
          <w:szCs w:val="32"/>
        </w:rPr>
      </w:pPr>
      <w:r w:rsidRPr="004C6A76">
        <w:rPr>
          <w:rFonts w:eastAsia="Times New Roman"/>
          <w:b/>
          <w:bCs/>
          <w:sz w:val="28"/>
          <w:szCs w:val="32"/>
        </w:rPr>
        <w:t>"</w:t>
      </w:r>
      <w:r w:rsidRPr="004C6A76">
        <w:rPr>
          <w:rFonts w:ascii="Calibri" w:eastAsia="Calibri" w:hAnsi="Calibri" w:cs="Arial"/>
          <w:sz w:val="22"/>
          <w:szCs w:val="22"/>
        </w:rPr>
        <w:t xml:space="preserve"> </w:t>
      </w:r>
      <w:r w:rsidRPr="004C6A76">
        <w:rPr>
          <w:rFonts w:eastAsia="Times New Roman"/>
          <w:b/>
          <w:bCs/>
          <w:sz w:val="28"/>
          <w:szCs w:val="32"/>
        </w:rPr>
        <w:t>أثر تبنّي تقنيات الذكاء الاصطناعي في التسويق الرقمي على الأداء التسويقي للشركات الصغيرة والمتوسطة في المملكة العربية السعودية: دراسة تطبيقية سعودية "</w:t>
      </w:r>
    </w:p>
    <w:p w14:paraId="2303FF6E" w14:textId="77777777" w:rsidR="008505AD" w:rsidRPr="004C6A76" w:rsidRDefault="008505AD" w:rsidP="008505AD">
      <w:pPr>
        <w:bidi/>
        <w:ind w:right="-270"/>
        <w:rPr>
          <w:rFonts w:ascii="Arial" w:eastAsia="Times New Roman" w:hAnsi="Arial" w:cs="Arial"/>
          <w:szCs w:val="28"/>
        </w:rPr>
      </w:pPr>
      <w:r w:rsidRPr="004C6A76">
        <w:rPr>
          <w:rFonts w:ascii="Arial" w:eastAsia="Times New Roman" w:hAnsi="Arial" w:cs="Arial"/>
          <w:szCs w:val="28"/>
        </w:rPr>
        <w:t>.</w:t>
      </w:r>
    </w:p>
    <w:p w14:paraId="6B6ADD73" w14:textId="77777777" w:rsidR="008505AD" w:rsidRPr="004C6A76" w:rsidRDefault="008505AD" w:rsidP="008505AD">
      <w:pPr>
        <w:spacing w:after="200" w:line="360" w:lineRule="auto"/>
        <w:jc w:val="center"/>
        <w:rPr>
          <w:rFonts w:eastAsia="Calibri"/>
          <w:b/>
          <w:bCs/>
          <w:noProof/>
          <w:color w:val="C00000"/>
          <w:sz w:val="28"/>
          <w:szCs w:val="28"/>
        </w:rPr>
      </w:pPr>
      <w:r w:rsidRPr="004C6A76">
        <w:rPr>
          <w:rFonts w:eastAsia="Calibri"/>
          <w:b/>
          <w:bCs/>
          <w:noProof/>
          <w:color w:val="C00000"/>
          <w:sz w:val="28"/>
          <w:szCs w:val="28"/>
        </w:rPr>
        <w:t>العنوان باللغة الإنجليزية:</w:t>
      </w:r>
    </w:p>
    <w:p w14:paraId="7DBE7158" w14:textId="77777777" w:rsidR="008505AD" w:rsidRPr="004C6A76" w:rsidRDefault="008505AD" w:rsidP="008505AD">
      <w:pPr>
        <w:spacing w:after="200" w:line="276" w:lineRule="auto"/>
        <w:jc w:val="center"/>
        <w:rPr>
          <w:rFonts w:ascii="Times New Roman" w:eastAsia="Times New Roman" w:hAnsi="Times New Roman" w:cs="Times New Roman"/>
          <w:b/>
          <w:bCs/>
          <w:szCs w:val="28"/>
        </w:rPr>
      </w:pPr>
      <w:r w:rsidRPr="004C6A76">
        <w:rPr>
          <w:rFonts w:ascii="Times New Roman" w:eastAsia="Times New Roman" w:hAnsi="Times New Roman" w:cs="Times New Roman"/>
          <w:b/>
          <w:bCs/>
          <w:szCs w:val="28"/>
        </w:rPr>
        <w:t>"</w:t>
      </w:r>
      <w:r w:rsidRPr="004C6A76">
        <w:rPr>
          <w:rFonts w:ascii="Calibri" w:eastAsia="Calibri" w:hAnsi="Calibri" w:cs="Arial" w:hint="cs"/>
          <w:sz w:val="22"/>
          <w:szCs w:val="22"/>
        </w:rPr>
        <w:t xml:space="preserve"> </w:t>
      </w:r>
      <w:r w:rsidRPr="004C6A76">
        <w:rPr>
          <w:rFonts w:ascii="Times New Roman" w:eastAsia="Times New Roman" w:hAnsi="Times New Roman" w:cs="Times New Roman"/>
          <w:b/>
          <w:bCs/>
          <w:szCs w:val="28"/>
        </w:rPr>
        <w:t>The Impact of AI-Enabled Digital Marketing Strategies on the Marketing Performance of Small and Medium-Sized Enterprises in Saudi Arabia: An Applied Study."</w:t>
      </w:r>
    </w:p>
    <w:p w14:paraId="0E0F44D1" w14:textId="77777777" w:rsidR="008505AD" w:rsidRPr="004C6A76" w:rsidRDefault="008505AD" w:rsidP="008505AD">
      <w:pPr>
        <w:bidi/>
        <w:ind w:right="-270"/>
        <w:jc w:val="center"/>
        <w:rPr>
          <w:rFonts w:ascii="Sakkal Majalla" w:eastAsia="Times New Roman" w:hAnsi="Sakkal Majalla" w:cs="Sakkal Majalla"/>
          <w:b/>
          <w:bCs/>
          <w:color w:val="0070C0"/>
          <w:sz w:val="36"/>
          <w:szCs w:val="36"/>
        </w:rPr>
      </w:pPr>
    </w:p>
    <w:p w14:paraId="7ACFC589" w14:textId="77777777" w:rsidR="008505AD" w:rsidRPr="004C6A76" w:rsidRDefault="008505AD" w:rsidP="008505AD">
      <w:pPr>
        <w:bidi/>
        <w:ind w:right="-270"/>
        <w:jc w:val="center"/>
        <w:rPr>
          <w:rFonts w:ascii="Sakkal Majalla" w:eastAsia="Times New Roman" w:hAnsi="Sakkal Majalla" w:cs="Sakkal Majalla"/>
          <w:b/>
          <w:bCs/>
          <w:color w:val="0070C0"/>
          <w:sz w:val="36"/>
          <w:szCs w:val="36"/>
        </w:rPr>
      </w:pPr>
    </w:p>
    <w:tbl>
      <w:tblPr>
        <w:tblStyle w:val="TableGri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8505AD" w:rsidRPr="004C6A76" w14:paraId="31AB6691" w14:textId="77777777" w:rsidTr="00EA4CEB">
        <w:tc>
          <w:tcPr>
            <w:tcW w:w="1763" w:type="dxa"/>
            <w:hideMark/>
          </w:tcPr>
          <w:p w14:paraId="0FDA2124" w14:textId="77777777"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rPr>
              <w:t>اسم الباحثة</w:t>
            </w:r>
          </w:p>
        </w:tc>
        <w:tc>
          <w:tcPr>
            <w:tcW w:w="252" w:type="dxa"/>
            <w:hideMark/>
          </w:tcPr>
          <w:p w14:paraId="3E362C08" w14:textId="77777777" w:rsidR="008505AD" w:rsidRPr="004C6A76" w:rsidRDefault="008505AD" w:rsidP="00EA4CEB">
            <w:pPr>
              <w:bidi/>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rtl/>
              </w:rPr>
              <w:t>:</w:t>
            </w:r>
          </w:p>
        </w:tc>
        <w:tc>
          <w:tcPr>
            <w:tcW w:w="5778" w:type="dxa"/>
          </w:tcPr>
          <w:p w14:paraId="3F441376" w14:textId="77777777" w:rsidR="008505AD" w:rsidRPr="004C6A76" w:rsidRDefault="008505AD" w:rsidP="00EA4CEB">
            <w:pPr>
              <w:bidi/>
              <w:ind w:right="-270"/>
              <w:jc w:val="center"/>
              <w:rPr>
                <w:rFonts w:eastAsia="Times New Roman"/>
                <w:sz w:val="36"/>
                <w:szCs w:val="36"/>
                <w:rtl/>
              </w:rPr>
            </w:pPr>
          </w:p>
        </w:tc>
      </w:tr>
      <w:tr w:rsidR="008505AD" w:rsidRPr="004C6A76" w14:paraId="47B5B173" w14:textId="77777777" w:rsidTr="00EA4CEB">
        <w:tc>
          <w:tcPr>
            <w:tcW w:w="1763" w:type="dxa"/>
            <w:hideMark/>
          </w:tcPr>
          <w:p w14:paraId="178A9435" w14:textId="77777777"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rPr>
              <w:t>الرقم الاكاديمي</w:t>
            </w:r>
          </w:p>
        </w:tc>
        <w:tc>
          <w:tcPr>
            <w:tcW w:w="252" w:type="dxa"/>
            <w:hideMark/>
          </w:tcPr>
          <w:p w14:paraId="3A646C54" w14:textId="77777777" w:rsidR="008505AD" w:rsidRPr="004C6A76" w:rsidRDefault="008505AD" w:rsidP="00EA4CEB">
            <w:pPr>
              <w:bidi/>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rtl/>
              </w:rPr>
              <w:t>:</w:t>
            </w:r>
          </w:p>
        </w:tc>
        <w:tc>
          <w:tcPr>
            <w:tcW w:w="5778" w:type="dxa"/>
          </w:tcPr>
          <w:p w14:paraId="399C9966" w14:textId="77777777" w:rsidR="008505AD" w:rsidRPr="004C6A76" w:rsidRDefault="008505AD" w:rsidP="00EA4CEB">
            <w:pPr>
              <w:bidi/>
              <w:ind w:right="-270"/>
              <w:jc w:val="center"/>
              <w:rPr>
                <w:rFonts w:eastAsia="Times New Roman"/>
                <w:sz w:val="36"/>
                <w:szCs w:val="36"/>
                <w:rtl/>
              </w:rPr>
            </w:pPr>
          </w:p>
        </w:tc>
      </w:tr>
      <w:tr w:rsidR="008505AD" w:rsidRPr="004C6A76" w14:paraId="75C43A11" w14:textId="77777777" w:rsidTr="00EA4CEB">
        <w:tc>
          <w:tcPr>
            <w:tcW w:w="1763" w:type="dxa"/>
            <w:hideMark/>
          </w:tcPr>
          <w:p w14:paraId="206568FD" w14:textId="77777777" w:rsidR="008505AD" w:rsidRPr="004C6A76" w:rsidRDefault="008505AD" w:rsidP="00EA4CEB">
            <w:pPr>
              <w:bidi/>
              <w:ind w:right="-270"/>
              <w:jc w:val="both"/>
              <w:rPr>
                <w:rFonts w:eastAsia="Times New Roman"/>
                <w:color w:val="000000" w:themeColor="text1"/>
                <w:sz w:val="28"/>
                <w:szCs w:val="28"/>
                <w:rtl/>
              </w:rPr>
            </w:pPr>
            <w:r w:rsidRPr="004C6A76">
              <w:rPr>
                <w:rFonts w:eastAsia="Times New Roman"/>
                <w:color w:val="000000" w:themeColor="text1"/>
                <w:sz w:val="28"/>
                <w:szCs w:val="28"/>
                <w:rtl/>
              </w:rPr>
              <w:t xml:space="preserve">الكلية                    </w:t>
            </w:r>
          </w:p>
        </w:tc>
        <w:tc>
          <w:tcPr>
            <w:tcW w:w="252" w:type="dxa"/>
            <w:hideMark/>
          </w:tcPr>
          <w:p w14:paraId="6D796E13" w14:textId="77777777" w:rsidR="008505AD" w:rsidRPr="004C6A76" w:rsidRDefault="008505AD" w:rsidP="00EA4CEB">
            <w:pPr>
              <w:bidi/>
              <w:ind w:right="-270"/>
              <w:jc w:val="both"/>
              <w:rPr>
                <w:rFonts w:ascii="SF Sultan" w:eastAsia="Times New Roman" w:hAnsi="SF Sultan" w:cs="SF Sultan"/>
                <w:color w:val="000000" w:themeColor="text1"/>
                <w:sz w:val="28"/>
                <w:szCs w:val="28"/>
                <w:rtl/>
              </w:rPr>
            </w:pPr>
            <w:r w:rsidRPr="004C6A76">
              <w:rPr>
                <w:rFonts w:ascii="SF Sultan" w:eastAsia="Times New Roman" w:hAnsi="SF Sultan" w:cs="SF Sultan"/>
                <w:color w:val="000000" w:themeColor="text1"/>
                <w:sz w:val="28"/>
                <w:szCs w:val="28"/>
                <w:rtl/>
              </w:rPr>
              <w:t>:</w:t>
            </w:r>
          </w:p>
        </w:tc>
        <w:tc>
          <w:tcPr>
            <w:tcW w:w="5778" w:type="dxa"/>
          </w:tcPr>
          <w:p w14:paraId="6680C9A2" w14:textId="77777777" w:rsidR="008505AD" w:rsidRPr="004C6A76" w:rsidRDefault="008505AD" w:rsidP="00EA4CEB">
            <w:pPr>
              <w:bidi/>
              <w:ind w:right="-270"/>
              <w:jc w:val="center"/>
              <w:rPr>
                <w:rFonts w:eastAsia="Times New Roman"/>
                <w:sz w:val="36"/>
                <w:szCs w:val="36"/>
                <w:rtl/>
              </w:rPr>
            </w:pPr>
          </w:p>
        </w:tc>
      </w:tr>
      <w:tr w:rsidR="008505AD" w:rsidRPr="004C6A76" w14:paraId="3EB2F35A" w14:textId="77777777" w:rsidTr="00EA4CEB">
        <w:tc>
          <w:tcPr>
            <w:tcW w:w="1763" w:type="dxa"/>
          </w:tcPr>
          <w:p w14:paraId="03F4A5CD" w14:textId="77777777" w:rsidR="008505AD" w:rsidRPr="004C6A76" w:rsidRDefault="008505AD" w:rsidP="00EA4CEB">
            <w:pPr>
              <w:bidi/>
              <w:ind w:right="-270"/>
              <w:rPr>
                <w:rFonts w:ascii="Sakkal Majalla" w:eastAsia="Times New Roman" w:hAnsi="Sakkal Majalla" w:cs="Sakkal Majalla"/>
                <w:color w:val="000000" w:themeColor="text1"/>
                <w:sz w:val="36"/>
                <w:szCs w:val="36"/>
                <w:rtl/>
              </w:rPr>
            </w:pPr>
          </w:p>
        </w:tc>
        <w:tc>
          <w:tcPr>
            <w:tcW w:w="252" w:type="dxa"/>
          </w:tcPr>
          <w:p w14:paraId="5B895441" w14:textId="77777777" w:rsidR="008505AD" w:rsidRPr="004C6A76" w:rsidRDefault="008505AD" w:rsidP="00EA4CEB">
            <w:pPr>
              <w:bidi/>
              <w:ind w:right="-270"/>
              <w:rPr>
                <w:rFonts w:ascii="Sakkal Majalla" w:eastAsia="Times New Roman" w:hAnsi="Sakkal Majalla" w:cs="Sakkal Majalla"/>
                <w:color w:val="000000" w:themeColor="text1"/>
                <w:sz w:val="36"/>
                <w:szCs w:val="36"/>
                <w:rtl/>
              </w:rPr>
            </w:pPr>
          </w:p>
        </w:tc>
        <w:tc>
          <w:tcPr>
            <w:tcW w:w="5778" w:type="dxa"/>
          </w:tcPr>
          <w:p w14:paraId="3E7236F4" w14:textId="77777777" w:rsidR="008505AD" w:rsidRPr="004C6A76" w:rsidRDefault="008505AD" w:rsidP="00EA4CEB">
            <w:pPr>
              <w:bidi/>
              <w:ind w:right="-270"/>
              <w:rPr>
                <w:rFonts w:ascii="Sakkal Majalla" w:eastAsia="Times New Roman" w:hAnsi="Sakkal Majalla" w:cs="Sakkal Majalla"/>
                <w:color w:val="0000FF"/>
                <w:sz w:val="36"/>
                <w:szCs w:val="36"/>
                <w:rtl/>
              </w:rPr>
            </w:pPr>
          </w:p>
        </w:tc>
      </w:tr>
    </w:tbl>
    <w:p w14:paraId="722E8CD3" w14:textId="77777777" w:rsidR="008505AD" w:rsidRPr="004C6A76" w:rsidRDefault="008505AD" w:rsidP="008505AD">
      <w:pPr>
        <w:bidi/>
        <w:ind w:right="-270"/>
        <w:jc w:val="both"/>
        <w:rPr>
          <w:rFonts w:ascii="Sakkal Majalla" w:eastAsia="Times New Roman" w:hAnsi="Sakkal Majalla" w:cs="Sakkal Majalla"/>
          <w:b/>
          <w:bCs/>
          <w:color w:val="0000FF"/>
          <w:sz w:val="36"/>
          <w:szCs w:val="36"/>
        </w:rPr>
      </w:pPr>
    </w:p>
    <w:p w14:paraId="7EDD5F47" w14:textId="77777777" w:rsidR="008505AD" w:rsidRPr="004C6A76" w:rsidRDefault="008505AD" w:rsidP="008505AD">
      <w:pPr>
        <w:bidi/>
        <w:ind w:right="-270"/>
        <w:jc w:val="both"/>
        <w:rPr>
          <w:rFonts w:ascii="Sakkal Majalla" w:eastAsia="Times New Roman" w:hAnsi="Sakkal Majalla" w:cs="Sakkal Majalla"/>
          <w:b/>
          <w:bCs/>
          <w:color w:val="0000FF"/>
          <w:sz w:val="36"/>
          <w:szCs w:val="36"/>
        </w:rPr>
      </w:pPr>
    </w:p>
    <w:p w14:paraId="0D9D24E7" w14:textId="77777777" w:rsidR="008505AD" w:rsidRPr="004C6A76" w:rsidRDefault="008505AD" w:rsidP="008505AD">
      <w:pPr>
        <w:spacing w:after="200" w:line="276" w:lineRule="auto"/>
        <w:jc w:val="center"/>
        <w:rPr>
          <w:rFonts w:ascii="Sakkal Majalla" w:eastAsia="Calibri" w:hAnsi="Sakkal Majalla" w:cs="Sakkal Majalla"/>
          <w:b/>
          <w:bCs/>
          <w:color w:val="00B0F0"/>
          <w:sz w:val="40"/>
          <w:szCs w:val="40"/>
          <w:u w:val="single"/>
        </w:rPr>
      </w:pPr>
      <w:r w:rsidRPr="004C6A76">
        <w:rPr>
          <w:rFonts w:eastAsia="Calibri"/>
          <w:b/>
          <w:bCs/>
          <w:sz w:val="32"/>
          <w:szCs w:val="32"/>
        </w:rPr>
        <w:t>١٤٤٦ ه  -  ٢٠٢٥ م</w:t>
      </w:r>
    </w:p>
    <w:p w14:paraId="609D5A01" w14:textId="77777777" w:rsidR="008505AD" w:rsidRDefault="008505AD" w:rsidP="008505AD">
      <w:pPr>
        <w:bidi/>
        <w:spacing w:after="80"/>
        <w:jc w:val="center"/>
        <w:rPr>
          <w:b/>
          <w:bCs/>
          <w:sz w:val="34"/>
          <w:szCs w:val="34"/>
          <w:rtl w:val="0"/>
        </w:rPr>
      </w:pPr>
    </w:p>
    <w:p w14:paraId="7F5ACCA7" w14:textId="77777777" w:rsidR="008505AD" w:rsidRDefault="008505AD" w:rsidP="008505AD">
      <w:pPr>
        <w:bidi/>
        <w:spacing w:after="80"/>
        <w:rPr>
          <w:b/>
          <w:bCs/>
          <w:sz w:val="34"/>
          <w:szCs w:val="34"/>
          <w:rtl w:val="0"/>
        </w:rPr>
      </w:pPr>
    </w:p>
    <w:p w14:paraId="4958200C" w14:textId="60F05787" w:rsidR="00EB5CBD" w:rsidRDefault="00EA4CEB" w:rsidP="008505AD">
      <w:pPr>
        <w:bidi/>
        <w:spacing w:after="80"/>
        <w:jc w:val="center"/>
      </w:pPr>
      <w:r>
        <w:rPr>
          <w:b/>
          <w:bCs/>
          <w:sz w:val="34"/>
          <w:szCs w:val="34"/>
        </w:rPr>
        <w:lastRenderedPageBreak/>
        <w:t>الفصل الثالث</w:t>
      </w:r>
    </w:p>
    <w:p w14:paraId="54D24D9E" w14:textId="77777777" w:rsidR="00EB5CBD" w:rsidRDefault="00EA4CEB">
      <w:pPr>
        <w:pBdr>
          <w:bottom w:val="single" w:sz="12" w:space="1" w:color="auto"/>
        </w:pBdr>
        <w:bidi/>
        <w:spacing w:after="400"/>
        <w:jc w:val="center"/>
        <w:rPr>
          <w:b/>
          <w:bCs/>
          <w:sz w:val="30"/>
          <w:szCs w:val="30"/>
          <w:rtl w:val="0"/>
        </w:rPr>
      </w:pPr>
      <w:r>
        <w:rPr>
          <w:b/>
          <w:bCs/>
          <w:sz w:val="30"/>
          <w:szCs w:val="30"/>
        </w:rPr>
        <w:t>الطريقة والإجراءات المنهجية</w:t>
      </w:r>
    </w:p>
    <w:p w14:paraId="22F87766" w14:textId="77777777" w:rsidR="00EB5CBD" w:rsidRDefault="00EA4CEB" w:rsidP="007E709B">
      <w:pPr>
        <w:bidi/>
        <w:spacing w:after="160" w:line="320" w:lineRule="auto"/>
      </w:pPr>
      <w:r>
        <w:rPr>
          <w:b/>
          <w:bCs/>
          <w:sz w:val="28"/>
          <w:szCs w:val="28"/>
        </w:rPr>
        <w:t>‏3.1 مقدمة الفصل</w:t>
      </w:r>
    </w:p>
    <w:p w14:paraId="31094518" w14:textId="77777777" w:rsidR="00EB5CBD" w:rsidRDefault="00EA4CEB">
      <w:pPr>
        <w:bidi/>
        <w:spacing w:after="160" w:line="320" w:lineRule="auto"/>
        <w:jc w:val="both"/>
      </w:pPr>
      <w:r>
        <w:t>يعرض هذا الفصل خطة العمل المنهجي المقترحة لاختبار أثر تبنّي تقنيات الذكاء الاصطناعي على الأداء التسويقي للشركات الصغيرة والمتوسطة في المملكة العربية السعودية. الدراسة، في وضعها الحالي، لا تزال في مرحلة اقتراح الخطة، ولم يبدأ جمع أي بيانات ميدانية بعد. لهذا السبب صيغت جميع الإجراءات الواردة في هذا الفصل بصيغة المستقبل («سيتم»، «سوف تُجمع»، «ستُختار»)، على أن تُستبدل عند كتابة النسخة النهائية للأطروحة بصيغة الماضي مصحوبة بالتواريخ والأعداد والنتائج الفعلية. أي جملة تصف بيانات أو مقابلات أو عينة على أنها منجزة بالفعل، لم تُدرج في هذه النسخة إلا إذا كانت كذلك بالفعل.</w:t>
      </w:r>
    </w:p>
    <w:p w14:paraId="4BAC76AB" w14:textId="77777777" w:rsidR="00EB5CBD" w:rsidRDefault="00EA4CEB">
      <w:pPr>
        <w:bidi/>
        <w:spacing w:after="160" w:line="320" w:lineRule="auto"/>
        <w:jc w:val="both"/>
      </w:pPr>
      <w:r>
        <w:t>يغطي الفصل، على التوالي: منهج البحث وتصميمه التفصيلي، مجتمع الدراسة وتعريف وحدة التحليل، عينة الدراسة الكمية وإطار معاينتها وحجمها، متغيرات الدراسة وطبيعة نموذج القياس، أداتي جمع البيانات الكمية والنوعية وإجراءات إعدادهما والتحقق من صلاحيتهما، إجراءات تنظيف البيانات، إجراءات التحليل الإحصائي الكمي عبر SmartPLS، إجراءات التحليل النوعي، آلية دمج نتائج المرحلتين، الاعتبارات الأخلاقية، والجدول الزمني المقترح للتنفيذ.</w:t>
      </w:r>
    </w:p>
    <w:p w14:paraId="32516CDE" w14:textId="77777777" w:rsidR="00EB5CBD" w:rsidRDefault="00EA4CEB" w:rsidP="007E709B">
      <w:pPr>
        <w:bidi/>
        <w:spacing w:after="160" w:line="320" w:lineRule="auto"/>
      </w:pPr>
      <w:r>
        <w:rPr>
          <w:b/>
          <w:bCs/>
          <w:sz w:val="28"/>
          <w:szCs w:val="28"/>
        </w:rPr>
        <w:t>‏3.2 منهج الدراسة</w:t>
      </w:r>
    </w:p>
    <w:p w14:paraId="78CA45F4" w14:textId="77777777" w:rsidR="00EB5CBD" w:rsidRDefault="00EA4CEB" w:rsidP="007E709B">
      <w:pPr>
        <w:bidi/>
        <w:spacing w:after="140" w:line="320" w:lineRule="auto"/>
      </w:pPr>
      <w:r>
        <w:rPr>
          <w:b/>
          <w:bCs/>
          <w:sz w:val="25"/>
          <w:szCs w:val="25"/>
        </w:rPr>
        <w:t>‏3.2.1 نوع المنهج ومبرراته</w:t>
      </w:r>
    </w:p>
    <w:p w14:paraId="02EAA285" w14:textId="77777777" w:rsidR="00EB5CBD" w:rsidRDefault="00EA4CEB">
      <w:pPr>
        <w:bidi/>
        <w:spacing w:after="160" w:line="320" w:lineRule="auto"/>
        <w:jc w:val="both"/>
        <w:rPr>
          <w:rFonts w:hint="cs"/>
        </w:rPr>
      </w:pPr>
      <w:r>
        <w:t>تعتمد الدراسة المنهج المختلط التفسيري المتتابع (Explanatory Sequential Mixed Methods Design)، الذي يقوم على مرحلتين متتاليتين: مرحلة كمية أولى تُختبر فيها العلاقات الفرضية بين المتغيرات إحصائيًا، تليها مرحلة نوعية ثانية تُستخدم لتفسير الأنماط التي تكشفها المرحلة الأولى. اختيار هذا التصميم قائم على أن النتائج الإحصائية وحدها نادرًا ما تُفسّر «كيف» و«لماذا» تنجح تقنيات الذكاء الاصطناعي أو تخفق في بيئة عمل فعلية؛ فالمقابلات النوعية هنا أداة تفسيرية تُبنى محتوياتها على ما تُظهره المرحلة الكمية، لا أداة مستقلة عنها (Creswell &amp; Plano Clark, 2018).</w:t>
      </w:r>
    </w:p>
    <w:p w14:paraId="27C64AB7" w14:textId="77777777" w:rsidR="00EA4CEB" w:rsidRDefault="00EA4CEB" w:rsidP="00EA4CEB">
      <w:pPr>
        <w:bidi/>
        <w:spacing w:after="160" w:line="320" w:lineRule="auto"/>
        <w:jc w:val="both"/>
        <w:rPr>
          <w:rFonts w:hint="cs"/>
        </w:rPr>
      </w:pPr>
    </w:p>
    <w:p w14:paraId="7D2D1C54" w14:textId="77777777" w:rsidR="00EA4CEB" w:rsidRDefault="00EA4CEB" w:rsidP="00EA4CEB">
      <w:pPr>
        <w:bidi/>
        <w:spacing w:after="160" w:line="320" w:lineRule="auto"/>
        <w:jc w:val="both"/>
        <w:rPr>
          <w:rFonts w:hint="cs"/>
        </w:rPr>
      </w:pPr>
    </w:p>
    <w:p w14:paraId="46A4B827" w14:textId="77777777" w:rsidR="00EA4CEB" w:rsidRDefault="00EA4CEB" w:rsidP="00EA4CEB">
      <w:pPr>
        <w:bidi/>
        <w:spacing w:after="160" w:line="320" w:lineRule="auto"/>
        <w:jc w:val="both"/>
        <w:rPr>
          <w:rFonts w:hint="cs"/>
        </w:rPr>
      </w:pPr>
    </w:p>
    <w:p w14:paraId="383990E7" w14:textId="77777777" w:rsidR="00EA4CEB" w:rsidRDefault="00EA4CEB" w:rsidP="00EA4CEB">
      <w:pPr>
        <w:bidi/>
        <w:spacing w:after="160" w:line="320" w:lineRule="auto"/>
        <w:jc w:val="both"/>
        <w:rPr>
          <w:rFonts w:hint="cs"/>
        </w:rPr>
      </w:pPr>
    </w:p>
    <w:p w14:paraId="1378B481" w14:textId="77777777" w:rsidR="00EA4CEB" w:rsidRDefault="00EA4CEB" w:rsidP="00EA4CEB">
      <w:pPr>
        <w:bidi/>
        <w:spacing w:after="160" w:line="320" w:lineRule="auto"/>
        <w:jc w:val="both"/>
      </w:pPr>
    </w:p>
    <w:p w14:paraId="7E698BF9" w14:textId="77777777" w:rsidR="00EB5CBD" w:rsidRDefault="00EA4CEB" w:rsidP="007E709B">
      <w:pPr>
        <w:bidi/>
        <w:spacing w:after="140" w:line="320" w:lineRule="auto"/>
      </w:pPr>
      <w:r>
        <w:rPr>
          <w:b/>
          <w:bCs/>
          <w:sz w:val="25"/>
          <w:szCs w:val="25"/>
        </w:rPr>
        <w:t>‏3.2.2 التصميم التفصيلي لمراحل المنهج المختلط</w:t>
      </w:r>
    </w:p>
    <w:p w14:paraId="322BD07D" w14:textId="77777777" w:rsidR="00EB5CBD" w:rsidRDefault="00EA4CEB">
      <w:pPr>
        <w:bidi/>
        <w:spacing w:after="160" w:line="320" w:lineRule="auto"/>
        <w:jc w:val="both"/>
        <w:rPr>
          <w:rtl w:val="0"/>
        </w:rPr>
      </w:pPr>
      <w:r>
        <w:t>حتى لا يبقى وصف التصميم المختلط عامًا، تُنفَّذ الدراسة عبر تسع خطوات متسلسلة، مبيّنة في الجدول التالي مع المخرج المتوقع من كل خطوة: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3200"/>
        <w:gridCol w:w="4900"/>
      </w:tblGrid>
      <w:tr w:rsidR="00EB5CBD" w14:paraId="18FF962F" w14:textId="77777777">
        <w:trPr>
          <w:tblHeader/>
        </w:trPr>
        <w:tc>
          <w:tcPr>
            <w:tcW w:w="900" w:type="dxa"/>
            <w:tcBorders>
              <w:top w:val="single" w:sz="4" w:space="0" w:color="999999"/>
              <w:left w:val="single" w:sz="4" w:space="0" w:color="999999"/>
              <w:bottom w:val="single" w:sz="4" w:space="0" w:color="999999"/>
              <w:right w:val="single" w:sz="4" w:space="0" w:color="999999"/>
            </w:tcBorders>
            <w:shd w:val="clear" w:color="auto" w:fill="2F5496"/>
          </w:tcPr>
          <w:p w14:paraId="55EA0DB8" w14:textId="77777777" w:rsidR="00EB5CBD" w:rsidRDefault="00EA4CEB" w:rsidP="007E709B">
            <w:pPr>
              <w:bidi/>
              <w:spacing w:after="60" w:line="320" w:lineRule="auto"/>
              <w:jc w:val="center"/>
            </w:pPr>
            <w:r>
              <w:rPr>
                <w:b/>
                <w:bCs/>
                <w:color w:val="FFFFFF"/>
                <w:sz w:val="21"/>
                <w:szCs w:val="21"/>
              </w:rPr>
              <w:t>م</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0F1D4289" w14:textId="77777777" w:rsidR="00EB5CBD" w:rsidRDefault="00EA4CEB">
            <w:pPr>
              <w:bidi/>
              <w:spacing w:after="60" w:line="320" w:lineRule="auto"/>
              <w:jc w:val="center"/>
            </w:pPr>
            <w:r>
              <w:rPr>
                <w:b/>
                <w:bCs/>
                <w:color w:val="FFFFFF"/>
                <w:sz w:val="21"/>
                <w:szCs w:val="21"/>
              </w:rPr>
              <w:t>الخطوة</w:t>
            </w:r>
          </w:p>
        </w:tc>
        <w:tc>
          <w:tcPr>
            <w:tcW w:w="4900" w:type="dxa"/>
            <w:tcBorders>
              <w:top w:val="single" w:sz="4" w:space="0" w:color="999999"/>
              <w:left w:val="single" w:sz="4" w:space="0" w:color="999999"/>
              <w:bottom w:val="single" w:sz="4" w:space="0" w:color="999999"/>
              <w:right w:val="single" w:sz="4" w:space="0" w:color="999999"/>
            </w:tcBorders>
            <w:shd w:val="clear" w:color="auto" w:fill="2F5496"/>
          </w:tcPr>
          <w:p w14:paraId="708E2A74" w14:textId="77777777" w:rsidR="00EB5CBD" w:rsidRDefault="00EA4CEB">
            <w:pPr>
              <w:bidi/>
              <w:spacing w:after="60" w:line="320" w:lineRule="auto"/>
              <w:jc w:val="center"/>
            </w:pPr>
            <w:r>
              <w:rPr>
                <w:b/>
                <w:bCs/>
                <w:color w:val="FFFFFF"/>
                <w:sz w:val="21"/>
                <w:szCs w:val="21"/>
              </w:rPr>
              <w:t>الوصف والمخرج</w:t>
            </w:r>
          </w:p>
        </w:tc>
      </w:tr>
      <w:tr w:rsidR="00EB5CBD" w14:paraId="7D028234" w14:textId="77777777">
        <w:tc>
          <w:tcPr>
            <w:tcW w:w="900" w:type="dxa"/>
            <w:tcBorders>
              <w:top w:val="single" w:sz="4" w:space="0" w:color="999999"/>
              <w:left w:val="single" w:sz="4" w:space="0" w:color="999999"/>
              <w:bottom w:val="single" w:sz="4" w:space="0" w:color="999999"/>
              <w:right w:val="single" w:sz="4" w:space="0" w:color="999999"/>
            </w:tcBorders>
          </w:tcPr>
          <w:p w14:paraId="20314E3C" w14:textId="77777777" w:rsidR="00EB5CBD" w:rsidRDefault="00EA4CEB" w:rsidP="007E709B">
            <w:pPr>
              <w:bidi/>
              <w:spacing w:after="60" w:line="320" w:lineRule="auto"/>
              <w:jc w:val="center"/>
            </w:pPr>
            <w:r>
              <w:rPr>
                <w:sz w:val="21"/>
                <w:szCs w:val="21"/>
              </w:rPr>
              <w:t>1</w:t>
            </w:r>
          </w:p>
        </w:tc>
        <w:tc>
          <w:tcPr>
            <w:tcW w:w="3200" w:type="dxa"/>
            <w:tcBorders>
              <w:top w:val="single" w:sz="4" w:space="0" w:color="999999"/>
              <w:left w:val="single" w:sz="4" w:space="0" w:color="999999"/>
              <w:bottom w:val="single" w:sz="4" w:space="0" w:color="999999"/>
              <w:right w:val="single" w:sz="4" w:space="0" w:color="999999"/>
            </w:tcBorders>
          </w:tcPr>
          <w:p w14:paraId="1E932060" w14:textId="77777777" w:rsidR="00EB5CBD" w:rsidRDefault="00EA4CEB" w:rsidP="007E709B">
            <w:pPr>
              <w:bidi/>
              <w:spacing w:after="60" w:line="320" w:lineRule="auto"/>
            </w:pPr>
            <w:r>
              <w:rPr>
                <w:sz w:val="21"/>
                <w:szCs w:val="21"/>
              </w:rPr>
              <w:t>تصميم الأداة الكمية</w:t>
            </w:r>
          </w:p>
        </w:tc>
        <w:tc>
          <w:tcPr>
            <w:tcW w:w="4900" w:type="dxa"/>
            <w:tcBorders>
              <w:top w:val="single" w:sz="4" w:space="0" w:color="999999"/>
              <w:left w:val="single" w:sz="4" w:space="0" w:color="999999"/>
              <w:bottom w:val="single" w:sz="4" w:space="0" w:color="999999"/>
              <w:right w:val="single" w:sz="4" w:space="0" w:color="999999"/>
            </w:tcBorders>
          </w:tcPr>
          <w:p w14:paraId="0D4DCEC8" w14:textId="77777777" w:rsidR="00EB5CBD" w:rsidRDefault="00EA4CEB" w:rsidP="007E709B">
            <w:pPr>
              <w:bidi/>
              <w:spacing w:after="60" w:line="320" w:lineRule="auto"/>
            </w:pPr>
            <w:r>
              <w:rPr>
                <w:sz w:val="21"/>
                <w:szCs w:val="21"/>
              </w:rPr>
              <w:t>بناء الاستبيان وفقراته استنادًا إلى مقاييس منشورة، تلاها التحكيم العلمي والترجمة العكسية والدراسة الاستطلاعية (تفصيل في الفقرة 3.9).</w:t>
            </w:r>
          </w:p>
        </w:tc>
      </w:tr>
      <w:tr w:rsidR="00EB5CBD" w14:paraId="2BE37BB8"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644A03E4" w14:textId="77777777" w:rsidR="00EB5CBD" w:rsidRDefault="00EA4CEB" w:rsidP="007E709B">
            <w:pPr>
              <w:bidi/>
              <w:spacing w:after="60" w:line="320" w:lineRule="auto"/>
              <w:jc w:val="center"/>
            </w:pPr>
            <w:r>
              <w:rPr>
                <w:sz w:val="21"/>
                <w:szCs w:val="21"/>
              </w:rPr>
              <w:t>2</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06843D8A" w14:textId="77777777" w:rsidR="00EB5CBD" w:rsidRDefault="00EA4CEB" w:rsidP="007E709B">
            <w:pPr>
              <w:bidi/>
              <w:spacing w:after="60" w:line="320" w:lineRule="auto"/>
            </w:pPr>
            <w:r>
              <w:rPr>
                <w:sz w:val="21"/>
                <w:szCs w:val="21"/>
              </w:rPr>
              <w:t>جمع البيانات الكمية</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1A398657" w14:textId="77777777" w:rsidR="00EB5CBD" w:rsidRDefault="00EA4CEB" w:rsidP="007E709B">
            <w:pPr>
              <w:bidi/>
              <w:spacing w:after="60" w:line="320" w:lineRule="auto"/>
            </w:pPr>
            <w:r>
              <w:rPr>
                <w:sz w:val="21"/>
                <w:szCs w:val="21"/>
              </w:rPr>
              <w:t>توزيع الاستبيان إلكترونيًا على العينة المستهدفة عبر نموذج جوجل فورم، وفق إطار المعاينة الموضح في الفقرة 3.7.</w:t>
            </w:r>
          </w:p>
        </w:tc>
      </w:tr>
      <w:tr w:rsidR="00EB5CBD" w14:paraId="19AEF1C3" w14:textId="77777777">
        <w:tc>
          <w:tcPr>
            <w:tcW w:w="900" w:type="dxa"/>
            <w:tcBorders>
              <w:top w:val="single" w:sz="4" w:space="0" w:color="999999"/>
              <w:left w:val="single" w:sz="4" w:space="0" w:color="999999"/>
              <w:bottom w:val="single" w:sz="4" w:space="0" w:color="999999"/>
              <w:right w:val="single" w:sz="4" w:space="0" w:color="999999"/>
            </w:tcBorders>
          </w:tcPr>
          <w:p w14:paraId="510DF997" w14:textId="77777777" w:rsidR="00EB5CBD" w:rsidRDefault="00EA4CEB" w:rsidP="007E709B">
            <w:pPr>
              <w:bidi/>
              <w:spacing w:after="60" w:line="320" w:lineRule="auto"/>
              <w:jc w:val="center"/>
            </w:pPr>
            <w:r>
              <w:rPr>
                <w:sz w:val="21"/>
                <w:szCs w:val="21"/>
              </w:rPr>
              <w:t>3</w:t>
            </w:r>
          </w:p>
        </w:tc>
        <w:tc>
          <w:tcPr>
            <w:tcW w:w="3200" w:type="dxa"/>
            <w:tcBorders>
              <w:top w:val="single" w:sz="4" w:space="0" w:color="999999"/>
              <w:left w:val="single" w:sz="4" w:space="0" w:color="999999"/>
              <w:bottom w:val="single" w:sz="4" w:space="0" w:color="999999"/>
              <w:right w:val="single" w:sz="4" w:space="0" w:color="999999"/>
            </w:tcBorders>
          </w:tcPr>
          <w:p w14:paraId="202CF517" w14:textId="77777777" w:rsidR="00EB5CBD" w:rsidRDefault="00EA4CEB" w:rsidP="007E709B">
            <w:pPr>
              <w:bidi/>
              <w:spacing w:after="60" w:line="320" w:lineRule="auto"/>
            </w:pPr>
            <w:r>
              <w:rPr>
                <w:sz w:val="21"/>
                <w:szCs w:val="21"/>
              </w:rPr>
              <w:t>تحليل النتائج الكمية</w:t>
            </w:r>
          </w:p>
        </w:tc>
        <w:tc>
          <w:tcPr>
            <w:tcW w:w="4900" w:type="dxa"/>
            <w:tcBorders>
              <w:top w:val="single" w:sz="4" w:space="0" w:color="999999"/>
              <w:left w:val="single" w:sz="4" w:space="0" w:color="999999"/>
              <w:bottom w:val="single" w:sz="4" w:space="0" w:color="999999"/>
              <w:right w:val="single" w:sz="4" w:space="0" w:color="999999"/>
            </w:tcBorders>
          </w:tcPr>
          <w:p w14:paraId="77C34805" w14:textId="77777777" w:rsidR="00EB5CBD" w:rsidRDefault="00EA4CEB" w:rsidP="007E709B">
            <w:pPr>
              <w:bidi/>
              <w:spacing w:after="60" w:line="320" w:lineRule="auto"/>
            </w:pPr>
            <w:r>
              <w:rPr>
                <w:sz w:val="21"/>
                <w:szCs w:val="21"/>
              </w:rPr>
              <w:t>تنظيف البيانات، ثم تقييم نموذجي القياس والبنائي عبر SmartPLS 4 (تفصيل في الفقرة 3.12)، لتحديد قيم المسارات الدالة وغير الدالة.</w:t>
            </w:r>
          </w:p>
        </w:tc>
      </w:tr>
      <w:tr w:rsidR="00EB5CBD" w14:paraId="53936BF4"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677D88C0" w14:textId="77777777" w:rsidR="00EB5CBD" w:rsidRDefault="00EA4CEB" w:rsidP="007E709B">
            <w:pPr>
              <w:bidi/>
              <w:spacing w:after="60" w:line="320" w:lineRule="auto"/>
              <w:jc w:val="center"/>
            </w:pPr>
            <w:r>
              <w:rPr>
                <w:sz w:val="21"/>
                <w:szCs w:val="21"/>
              </w:rPr>
              <w:t>4</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55F40F75" w14:textId="77777777" w:rsidR="00EB5CBD" w:rsidRDefault="00EA4CEB" w:rsidP="007E709B">
            <w:pPr>
              <w:bidi/>
              <w:spacing w:after="60" w:line="320" w:lineRule="auto"/>
            </w:pPr>
            <w:r>
              <w:rPr>
                <w:sz w:val="21"/>
                <w:szCs w:val="21"/>
              </w:rPr>
              <w:t>تحديد النتائج التي تحتاج إلى تفسير</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0F01CFF4" w14:textId="77777777" w:rsidR="00EB5CBD" w:rsidRDefault="00EA4CEB" w:rsidP="007E709B">
            <w:pPr>
              <w:bidi/>
              <w:spacing w:after="60" w:line="320" w:lineRule="auto"/>
            </w:pPr>
            <w:r>
              <w:rPr>
                <w:sz w:val="21"/>
                <w:szCs w:val="21"/>
              </w:rPr>
              <w:t>حصر المسارات غير الدالة إحصائيًا، أو التي تحمل حجم أثر ضعيف رغم دلالتها، أو التي تُظهر فروقًا بين المجموعات (القطاعات أو مستويات التبني) تستدعي تفسيرًا سياقيًا.</w:t>
            </w:r>
          </w:p>
        </w:tc>
      </w:tr>
      <w:tr w:rsidR="00EB5CBD" w14:paraId="17C84636" w14:textId="77777777">
        <w:tc>
          <w:tcPr>
            <w:tcW w:w="900" w:type="dxa"/>
            <w:tcBorders>
              <w:top w:val="single" w:sz="4" w:space="0" w:color="999999"/>
              <w:left w:val="single" w:sz="4" w:space="0" w:color="999999"/>
              <w:bottom w:val="single" w:sz="4" w:space="0" w:color="999999"/>
              <w:right w:val="single" w:sz="4" w:space="0" w:color="999999"/>
            </w:tcBorders>
          </w:tcPr>
          <w:p w14:paraId="59A13ED7" w14:textId="77777777" w:rsidR="00EB5CBD" w:rsidRDefault="00EA4CEB" w:rsidP="007E709B">
            <w:pPr>
              <w:bidi/>
              <w:spacing w:after="60" w:line="320" w:lineRule="auto"/>
              <w:jc w:val="center"/>
            </w:pPr>
            <w:r>
              <w:rPr>
                <w:sz w:val="21"/>
                <w:szCs w:val="21"/>
              </w:rPr>
              <w:t>5</w:t>
            </w:r>
          </w:p>
        </w:tc>
        <w:tc>
          <w:tcPr>
            <w:tcW w:w="3200" w:type="dxa"/>
            <w:tcBorders>
              <w:top w:val="single" w:sz="4" w:space="0" w:color="999999"/>
              <w:left w:val="single" w:sz="4" w:space="0" w:color="999999"/>
              <w:bottom w:val="single" w:sz="4" w:space="0" w:color="999999"/>
              <w:right w:val="single" w:sz="4" w:space="0" w:color="999999"/>
            </w:tcBorders>
          </w:tcPr>
          <w:p w14:paraId="19F497B9" w14:textId="77777777" w:rsidR="00EB5CBD" w:rsidRDefault="00EA4CEB" w:rsidP="007E709B">
            <w:pPr>
              <w:bidi/>
              <w:spacing w:after="60" w:line="320" w:lineRule="auto"/>
            </w:pPr>
            <w:r>
              <w:rPr>
                <w:sz w:val="21"/>
                <w:szCs w:val="21"/>
              </w:rPr>
              <w:t>اختيار المشاركين في المقابلات بناءً على النتائج الكمية</w:t>
            </w:r>
          </w:p>
        </w:tc>
        <w:tc>
          <w:tcPr>
            <w:tcW w:w="4900" w:type="dxa"/>
            <w:tcBorders>
              <w:top w:val="single" w:sz="4" w:space="0" w:color="999999"/>
              <w:left w:val="single" w:sz="4" w:space="0" w:color="999999"/>
              <w:bottom w:val="single" w:sz="4" w:space="0" w:color="999999"/>
              <w:right w:val="single" w:sz="4" w:space="0" w:color="999999"/>
            </w:tcBorders>
          </w:tcPr>
          <w:p w14:paraId="576D50F9" w14:textId="77777777" w:rsidR="00EB5CBD" w:rsidRDefault="00EA4CEB" w:rsidP="007E709B">
            <w:pPr>
              <w:bidi/>
              <w:spacing w:after="60" w:line="320" w:lineRule="auto"/>
            </w:pPr>
            <w:r>
              <w:rPr>
                <w:sz w:val="21"/>
                <w:szCs w:val="21"/>
              </w:rPr>
              <w:t>ترشيح مديري تسويق من المنشآت التي أبدت استعدادًا للمشاركة في مرحلة لاحقة (تفصيل الآلية في الفقرة 3.10.1)، بما يضمن تمثيل الحالات ذات الصلة بالنتائج المحددة في الخطوة السابقة.</w:t>
            </w:r>
          </w:p>
        </w:tc>
      </w:tr>
      <w:tr w:rsidR="00EB5CBD" w14:paraId="47A63E6A"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793A52B7" w14:textId="77777777" w:rsidR="00EB5CBD" w:rsidRDefault="00EA4CEB" w:rsidP="007E709B">
            <w:pPr>
              <w:bidi/>
              <w:spacing w:after="60" w:line="320" w:lineRule="auto"/>
              <w:jc w:val="center"/>
            </w:pPr>
            <w:r>
              <w:rPr>
                <w:sz w:val="21"/>
                <w:szCs w:val="21"/>
              </w:rPr>
              <w:t>6</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4D843329" w14:textId="77777777" w:rsidR="00EB5CBD" w:rsidRDefault="00EA4CEB" w:rsidP="007E709B">
            <w:pPr>
              <w:bidi/>
              <w:spacing w:after="60" w:line="320" w:lineRule="auto"/>
            </w:pPr>
            <w:r>
              <w:rPr>
                <w:sz w:val="21"/>
                <w:szCs w:val="21"/>
              </w:rPr>
              <w:t>إعداد دليل المقابلة في ضوء النتائج</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63AB8F53" w14:textId="77777777" w:rsidR="00EB5CBD" w:rsidRDefault="00EA4CEB" w:rsidP="007E709B">
            <w:pPr>
              <w:bidi/>
              <w:spacing w:after="60" w:line="320" w:lineRule="auto"/>
            </w:pPr>
            <w:r>
              <w:rPr>
                <w:sz w:val="21"/>
                <w:szCs w:val="21"/>
              </w:rPr>
              <w:t>صياغة أسئلة المقابلة بحيث تستهدف تحديدًا المسارات غير الدالة أو المتباينة بين المجموعات، إلى جانب الأسئلة العامة المرتبطة بأهداف الدراسة (تفصيل في الفقرة 3.10.4).</w:t>
            </w:r>
          </w:p>
        </w:tc>
      </w:tr>
      <w:tr w:rsidR="00EB5CBD" w14:paraId="6E464826" w14:textId="77777777">
        <w:tc>
          <w:tcPr>
            <w:tcW w:w="900" w:type="dxa"/>
            <w:tcBorders>
              <w:top w:val="single" w:sz="4" w:space="0" w:color="999999"/>
              <w:left w:val="single" w:sz="4" w:space="0" w:color="999999"/>
              <w:bottom w:val="single" w:sz="4" w:space="0" w:color="999999"/>
              <w:right w:val="single" w:sz="4" w:space="0" w:color="999999"/>
            </w:tcBorders>
          </w:tcPr>
          <w:p w14:paraId="4FB54B7D" w14:textId="77777777" w:rsidR="00EB5CBD" w:rsidRDefault="00EA4CEB" w:rsidP="007E709B">
            <w:pPr>
              <w:bidi/>
              <w:spacing w:after="60" w:line="320" w:lineRule="auto"/>
              <w:jc w:val="center"/>
            </w:pPr>
            <w:r>
              <w:rPr>
                <w:sz w:val="21"/>
                <w:szCs w:val="21"/>
              </w:rPr>
              <w:t>7</w:t>
            </w:r>
          </w:p>
        </w:tc>
        <w:tc>
          <w:tcPr>
            <w:tcW w:w="3200" w:type="dxa"/>
            <w:tcBorders>
              <w:top w:val="single" w:sz="4" w:space="0" w:color="999999"/>
              <w:left w:val="single" w:sz="4" w:space="0" w:color="999999"/>
              <w:bottom w:val="single" w:sz="4" w:space="0" w:color="999999"/>
              <w:right w:val="single" w:sz="4" w:space="0" w:color="999999"/>
            </w:tcBorders>
          </w:tcPr>
          <w:p w14:paraId="791DD239" w14:textId="77777777" w:rsidR="00EB5CBD" w:rsidRDefault="00EA4CEB" w:rsidP="007E709B">
            <w:pPr>
              <w:bidi/>
              <w:spacing w:after="60" w:line="320" w:lineRule="auto"/>
            </w:pPr>
            <w:r>
              <w:rPr>
                <w:sz w:val="21"/>
                <w:szCs w:val="21"/>
              </w:rPr>
              <w:t>إجراء المقابلات وتحليلها</w:t>
            </w:r>
          </w:p>
        </w:tc>
        <w:tc>
          <w:tcPr>
            <w:tcW w:w="4900" w:type="dxa"/>
            <w:tcBorders>
              <w:top w:val="single" w:sz="4" w:space="0" w:color="999999"/>
              <w:left w:val="single" w:sz="4" w:space="0" w:color="999999"/>
              <w:bottom w:val="single" w:sz="4" w:space="0" w:color="999999"/>
              <w:right w:val="single" w:sz="4" w:space="0" w:color="999999"/>
            </w:tcBorders>
          </w:tcPr>
          <w:p w14:paraId="0816D06B" w14:textId="77777777" w:rsidR="00EB5CBD" w:rsidRDefault="00EA4CEB" w:rsidP="007E709B">
            <w:pPr>
              <w:bidi/>
              <w:spacing w:after="60" w:line="320" w:lineRule="auto"/>
            </w:pPr>
            <w:r>
              <w:rPr>
                <w:sz w:val="21"/>
                <w:szCs w:val="21"/>
              </w:rPr>
              <w:t>تنفيذ المقابلات شبه المنظمة وتحليلها بالتحليل الموضوعي الانعكاسي (تفصيل في الفقرة 3.13).</w:t>
            </w:r>
          </w:p>
        </w:tc>
      </w:tr>
      <w:tr w:rsidR="00EB5CBD" w14:paraId="696E2979" w14:textId="77777777">
        <w:tc>
          <w:tcPr>
            <w:tcW w:w="900" w:type="dxa"/>
            <w:tcBorders>
              <w:top w:val="single" w:sz="4" w:space="0" w:color="999999"/>
              <w:left w:val="single" w:sz="4" w:space="0" w:color="999999"/>
              <w:bottom w:val="single" w:sz="4" w:space="0" w:color="999999"/>
              <w:right w:val="single" w:sz="4" w:space="0" w:color="999999"/>
            </w:tcBorders>
            <w:shd w:val="clear" w:color="auto" w:fill="F2F2F2"/>
          </w:tcPr>
          <w:p w14:paraId="194ACB40" w14:textId="77777777" w:rsidR="00EB5CBD" w:rsidRDefault="00EA4CEB" w:rsidP="007E709B">
            <w:pPr>
              <w:bidi/>
              <w:spacing w:after="60" w:line="320" w:lineRule="auto"/>
              <w:jc w:val="center"/>
            </w:pPr>
            <w:r>
              <w:rPr>
                <w:sz w:val="21"/>
                <w:szCs w:val="21"/>
              </w:rPr>
              <w:t>8</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65640A06" w14:textId="77777777" w:rsidR="00EB5CBD" w:rsidRDefault="00EA4CEB" w:rsidP="007E709B">
            <w:pPr>
              <w:bidi/>
              <w:spacing w:after="60" w:line="320" w:lineRule="auto"/>
            </w:pPr>
            <w:r>
              <w:rPr>
                <w:sz w:val="21"/>
                <w:szCs w:val="21"/>
              </w:rPr>
              <w:t>دمج النتائج الكمية والنوعية</w:t>
            </w:r>
          </w:p>
        </w:tc>
        <w:tc>
          <w:tcPr>
            <w:tcW w:w="4900" w:type="dxa"/>
            <w:tcBorders>
              <w:top w:val="single" w:sz="4" w:space="0" w:color="999999"/>
              <w:left w:val="single" w:sz="4" w:space="0" w:color="999999"/>
              <w:bottom w:val="single" w:sz="4" w:space="0" w:color="999999"/>
              <w:right w:val="single" w:sz="4" w:space="0" w:color="999999"/>
            </w:tcBorders>
            <w:shd w:val="clear" w:color="auto" w:fill="F2F2F2"/>
          </w:tcPr>
          <w:p w14:paraId="49E175B9" w14:textId="77777777" w:rsidR="00EB5CBD" w:rsidRDefault="00EA4CEB" w:rsidP="007E709B">
            <w:pPr>
              <w:bidi/>
              <w:spacing w:after="60" w:line="320" w:lineRule="auto"/>
            </w:pPr>
            <w:r>
              <w:rPr>
                <w:sz w:val="21"/>
                <w:szCs w:val="21"/>
              </w:rPr>
              <w:t>تطبيق إجراءات التكامل الموضحة في الفقرة 3.14 (الربط، البناء، الدمج، جدول العرض المشترك).</w:t>
            </w:r>
          </w:p>
        </w:tc>
      </w:tr>
      <w:tr w:rsidR="00EB5CBD" w14:paraId="0C741C08" w14:textId="77777777">
        <w:tc>
          <w:tcPr>
            <w:tcW w:w="900" w:type="dxa"/>
            <w:tcBorders>
              <w:top w:val="single" w:sz="4" w:space="0" w:color="999999"/>
              <w:left w:val="single" w:sz="4" w:space="0" w:color="999999"/>
              <w:bottom w:val="single" w:sz="4" w:space="0" w:color="999999"/>
              <w:right w:val="single" w:sz="4" w:space="0" w:color="999999"/>
            </w:tcBorders>
          </w:tcPr>
          <w:p w14:paraId="4239FD0B" w14:textId="77777777" w:rsidR="00EB5CBD" w:rsidRDefault="00EA4CEB" w:rsidP="007E709B">
            <w:pPr>
              <w:bidi/>
              <w:spacing w:after="60" w:line="320" w:lineRule="auto"/>
              <w:jc w:val="center"/>
            </w:pPr>
            <w:r>
              <w:rPr>
                <w:sz w:val="21"/>
                <w:szCs w:val="21"/>
              </w:rPr>
              <w:t>9</w:t>
            </w:r>
          </w:p>
        </w:tc>
        <w:tc>
          <w:tcPr>
            <w:tcW w:w="3200" w:type="dxa"/>
            <w:tcBorders>
              <w:top w:val="single" w:sz="4" w:space="0" w:color="999999"/>
              <w:left w:val="single" w:sz="4" w:space="0" w:color="999999"/>
              <w:bottom w:val="single" w:sz="4" w:space="0" w:color="999999"/>
              <w:right w:val="single" w:sz="4" w:space="0" w:color="999999"/>
            </w:tcBorders>
          </w:tcPr>
          <w:p w14:paraId="45AD7306" w14:textId="77777777" w:rsidR="00EB5CBD" w:rsidRDefault="00EA4CEB" w:rsidP="007E709B">
            <w:pPr>
              <w:bidi/>
              <w:spacing w:after="60" w:line="320" w:lineRule="auto"/>
            </w:pPr>
            <w:r>
              <w:rPr>
                <w:sz w:val="21"/>
                <w:szCs w:val="21"/>
              </w:rPr>
              <w:t>بناء الاستنتاجات النهائية المتكاملة</w:t>
            </w:r>
          </w:p>
        </w:tc>
        <w:tc>
          <w:tcPr>
            <w:tcW w:w="4900" w:type="dxa"/>
            <w:tcBorders>
              <w:top w:val="single" w:sz="4" w:space="0" w:color="999999"/>
              <w:left w:val="single" w:sz="4" w:space="0" w:color="999999"/>
              <w:bottom w:val="single" w:sz="4" w:space="0" w:color="999999"/>
              <w:right w:val="single" w:sz="4" w:space="0" w:color="999999"/>
            </w:tcBorders>
          </w:tcPr>
          <w:p w14:paraId="2A2299D4" w14:textId="77777777" w:rsidR="00EB5CBD" w:rsidRDefault="00EA4CEB" w:rsidP="007E709B">
            <w:pPr>
              <w:bidi/>
              <w:spacing w:after="60" w:line="320" w:lineRule="auto"/>
            </w:pPr>
            <w:r>
              <w:rPr>
                <w:sz w:val="21"/>
                <w:szCs w:val="21"/>
              </w:rPr>
              <w:t>صياغة استنتاجات ما وراء الاستدلال (Meta-inferences) التي تجمع بين الدليل الكمي والدليل النوعي في تفسير واحد متماسك.</w:t>
            </w:r>
          </w:p>
        </w:tc>
      </w:tr>
    </w:tbl>
    <w:p w14:paraId="5D64135B" w14:textId="77777777" w:rsidR="00EB5CBD" w:rsidRDefault="00EB5CBD">
      <w:pPr>
        <w:spacing w:after="160"/>
      </w:pPr>
    </w:p>
    <w:p w14:paraId="63476997" w14:textId="77777777" w:rsidR="00EB5CBD" w:rsidRDefault="00EA4CEB" w:rsidP="007E709B">
      <w:pPr>
        <w:bidi/>
        <w:spacing w:after="140" w:line="320" w:lineRule="auto"/>
      </w:pPr>
      <w:r>
        <w:rPr>
          <w:b/>
          <w:bCs/>
          <w:sz w:val="25"/>
          <w:szCs w:val="25"/>
        </w:rPr>
        <w:t>‏3.2.3 صيغة الزمن المعتمدة في هذا الفصل</w:t>
      </w:r>
    </w:p>
    <w:p w14:paraId="45AAB666" w14:textId="3CC4755A" w:rsidR="00EB5CBD" w:rsidRDefault="00EA4CEB">
      <w:pPr>
        <w:bidi/>
        <w:spacing w:after="160" w:line="320" w:lineRule="auto"/>
        <w:jc w:val="both"/>
        <w:rPr>
          <w:rFonts w:hint="cs"/>
        </w:rPr>
      </w:pPr>
      <w:r>
        <w:t>تُصاغ جميع فقرات هذا الفصل، بما في ذلك وصف العينة والمقابلات والتحليل، بصيغة المستقبل باعتبار الدراسة في طور التخطيط. عند إتمام جمع البيانات فعليًا، تُستبدل هذه الصياغة بصيغة الماضي، مع إدراج الأعداد والتواريخ والنتائج الفعلية في كل فقرة معنية دون استثناء</w:t>
      </w:r>
      <w:r w:rsidR="008505AD">
        <w:rPr>
          <w:rtl w:val="0"/>
        </w:rPr>
        <w:t>.</w:t>
      </w:r>
      <w:r>
        <w:t xml:space="preserve"> </w:t>
      </w:r>
    </w:p>
    <w:p w14:paraId="18B17063" w14:textId="77777777" w:rsidR="00EA4CEB" w:rsidRDefault="00EA4CEB" w:rsidP="00EA4CEB">
      <w:pPr>
        <w:bidi/>
        <w:spacing w:after="160" w:line="320" w:lineRule="auto"/>
        <w:jc w:val="both"/>
        <w:rPr>
          <w:rFonts w:hint="cs"/>
        </w:rPr>
      </w:pPr>
    </w:p>
    <w:p w14:paraId="6A31504B" w14:textId="77777777" w:rsidR="00EA4CEB" w:rsidRDefault="00EA4CEB" w:rsidP="00EA4CEB">
      <w:pPr>
        <w:bidi/>
        <w:spacing w:after="160" w:line="320" w:lineRule="auto"/>
        <w:jc w:val="both"/>
      </w:pPr>
    </w:p>
    <w:p w14:paraId="41243A27" w14:textId="77777777" w:rsidR="00EB5CBD" w:rsidRDefault="00EA4CEB" w:rsidP="007E709B">
      <w:pPr>
        <w:bidi/>
        <w:spacing w:after="160" w:line="320" w:lineRule="auto"/>
      </w:pPr>
      <w:r>
        <w:rPr>
          <w:b/>
          <w:bCs/>
          <w:sz w:val="28"/>
          <w:szCs w:val="28"/>
        </w:rPr>
        <w:t>‏3.3 مجتمع الدراسة</w:t>
      </w:r>
    </w:p>
    <w:p w14:paraId="25D7AE81" w14:textId="77777777" w:rsidR="00EB5CBD" w:rsidRDefault="00EA4CEB">
      <w:pPr>
        <w:bidi/>
        <w:spacing w:after="160" w:line="320" w:lineRule="auto"/>
        <w:jc w:val="both"/>
      </w:pPr>
      <w:r>
        <w:t>يتمثل مجتمع الدراسة في جميع الشركات الصغيرة والمتوسطة العاملة في المملكة العربية السعودية، والتي تنطبق عليها معايير التصنيف الرسمية الموضحة في الفقرة 3.4.</w:t>
      </w:r>
    </w:p>
    <w:p w14:paraId="5E4E5783" w14:textId="77777777" w:rsidR="00EB5CBD" w:rsidRDefault="00EA4CEB">
      <w:pPr>
        <w:bidi/>
        <w:spacing w:after="160" w:line="320" w:lineRule="auto"/>
        <w:jc w:val="both"/>
      </w:pPr>
      <w:r>
        <w:t>وفقًا لتقرير «مرصد المنشآت الصغيرة والمتوسطة» الصادر عن الهيئة العامة للمنشآت الصغيرة والمتوسطة «منشآت» للربع الأول من عام 2025م (Monsha'at, 2025)، بلغ إجمالي السجلات التجارية القائمة للمنشآت الصغيرة والمتوسطة في المملكة 1.68 مليون سجل تجاري بنهاية الربع الأول من عام 2025م (ص. 4). يُشار إلى أن هذا الرقم يمثل عدد السجلات التجارية القائمة، وهو مؤشر مختلف عن عدد المنشآت الفعلية بوصفها كيانات اقتصادية مستقلة، إذ قد تحمل المنشأة الواحدة أكثر من سجل تجاري واحد؛ لذلك سيُعتمد عند كتابة النسخة النهائية لهذا الفصل أحدث تقرير ربعي صادر عن «منشآت» في وقت جمع البيانات، مع توثيق ما يلي دون نقصان:</w:t>
      </w:r>
    </w:p>
    <w:p w14:paraId="7E8035D2" w14:textId="77777777" w:rsidR="00EB5CBD" w:rsidRDefault="00EA4CEB">
      <w:pPr>
        <w:pStyle w:val="ListParagraph"/>
        <w:numPr>
          <w:ilvl w:val="0"/>
          <w:numId w:val="2"/>
        </w:numPr>
        <w:bidi/>
        <w:spacing w:after="100" w:line="300" w:lineRule="auto"/>
        <w:jc w:val="both"/>
      </w:pPr>
      <w:r>
        <w:t>الاسم الكامل للتقرير الرسمي وربعه وسنته.</w:t>
      </w:r>
    </w:p>
    <w:p w14:paraId="179DB573" w14:textId="77777777" w:rsidR="00EB5CBD" w:rsidRDefault="00EA4CEB">
      <w:pPr>
        <w:pStyle w:val="ListParagraph"/>
        <w:numPr>
          <w:ilvl w:val="0"/>
          <w:numId w:val="2"/>
        </w:numPr>
        <w:bidi/>
        <w:spacing w:after="100" w:line="300" w:lineRule="auto"/>
        <w:jc w:val="both"/>
      </w:pPr>
      <w:r>
        <w:t>رقم الصفحة التي ورد فيها الرقم المستخدم.</w:t>
      </w:r>
    </w:p>
    <w:p w14:paraId="1846AF82" w14:textId="77777777" w:rsidR="00EB5CBD" w:rsidRDefault="00EA4CEB">
      <w:pPr>
        <w:pStyle w:val="ListParagraph"/>
        <w:numPr>
          <w:ilvl w:val="0"/>
          <w:numId w:val="2"/>
        </w:numPr>
        <w:bidi/>
        <w:spacing w:after="100" w:line="300" w:lineRule="auto"/>
        <w:jc w:val="both"/>
      </w:pPr>
      <w:r>
        <w:t>الرابط الرسمي الكامل للتقرير على موقع «منشآت».</w:t>
      </w:r>
    </w:p>
    <w:p w14:paraId="6AC7C093" w14:textId="77777777" w:rsidR="00EB5CBD" w:rsidRDefault="00EA4CEB">
      <w:pPr>
        <w:pStyle w:val="ListParagraph"/>
        <w:numPr>
          <w:ilvl w:val="0"/>
          <w:numId w:val="2"/>
        </w:numPr>
        <w:bidi/>
        <w:spacing w:after="100" w:line="300" w:lineRule="auto"/>
        <w:jc w:val="both"/>
      </w:pPr>
      <w:r>
        <w:t>تاريخ الاطلاع على التقرير.</w:t>
      </w:r>
    </w:p>
    <w:p w14:paraId="0C33CA01" w14:textId="77777777" w:rsidR="00EB5CBD" w:rsidRDefault="00EA4CEB">
      <w:pPr>
        <w:pStyle w:val="ListParagraph"/>
        <w:numPr>
          <w:ilvl w:val="0"/>
          <w:numId w:val="2"/>
        </w:numPr>
        <w:bidi/>
        <w:spacing w:after="100" w:line="300" w:lineRule="auto"/>
        <w:jc w:val="both"/>
      </w:pPr>
      <w:r>
        <w:t>تعريف «المنشأة النشطة» كما ورد في التقرير المصدر، وما إذا كان يشمل السجل التجاري النشط فقط أو يمتد لمعايير تشغيلية إضافية.</w:t>
      </w:r>
    </w:p>
    <w:p w14:paraId="39D952EB" w14:textId="77777777" w:rsidR="00EB5CBD" w:rsidRDefault="00EA4CEB">
      <w:pPr>
        <w:pStyle w:val="ListParagraph"/>
        <w:numPr>
          <w:ilvl w:val="0"/>
          <w:numId w:val="2"/>
        </w:numPr>
        <w:bidi/>
        <w:spacing w:after="100" w:line="300" w:lineRule="auto"/>
        <w:jc w:val="both"/>
      </w:pPr>
      <w:r>
        <w:t>توضيح صريح لما إذا كان الرقم المعتمد يشمل المنشآت متناهية الصغر، باعتبارها خارج نطاق الدراسة كما هو مبيّن في الفقرة 3.4.</w:t>
      </w:r>
    </w:p>
    <w:p w14:paraId="614ED0F1" w14:textId="77777777" w:rsidR="00EB5CBD" w:rsidRDefault="00EA4CEB">
      <w:pPr>
        <w:pStyle w:val="ListParagraph"/>
        <w:numPr>
          <w:ilvl w:val="0"/>
          <w:numId w:val="2"/>
        </w:numPr>
        <w:bidi/>
        <w:spacing w:after="100" w:line="300" w:lineRule="auto"/>
        <w:jc w:val="both"/>
      </w:pPr>
      <w:r>
        <w:t>توضيح ما إذا كانت جميع المنشآت الداخلة ضمن هذا الرقم مؤهلة للمشاركة وفق شروط المشاركة الواردة في الفقرة 3.6، أم أن الرقم أوسع من مجتمع الدراسة الفعلي.</w:t>
      </w:r>
    </w:p>
    <w:p w14:paraId="27B2AA02" w14:textId="77777777" w:rsidR="00EB5CBD" w:rsidRDefault="00EA4CEB">
      <w:pPr>
        <w:bidi/>
        <w:spacing w:after="160" w:line="320" w:lineRule="auto"/>
        <w:jc w:val="both"/>
      </w:pPr>
      <w:r>
        <w:t>ولا يُجمع بين أرقام صادرة عن سنتين أو ربعين مختلفين في التوثيق نفسه؛ إذ يُعتمد تقرير واحد محدد بوضوح لكل رقم يرد في الفصل.</w:t>
      </w:r>
    </w:p>
    <w:p w14:paraId="0C30DD41" w14:textId="77777777" w:rsidR="00EB5CBD" w:rsidRDefault="00EA4CEB" w:rsidP="007E709B">
      <w:pPr>
        <w:bidi/>
        <w:spacing w:after="160" w:line="320" w:lineRule="auto"/>
      </w:pPr>
      <w:r>
        <w:rPr>
          <w:b/>
          <w:bCs/>
          <w:sz w:val="28"/>
          <w:szCs w:val="28"/>
        </w:rPr>
        <w:t>‏3.4 تعريف الشركات الصغيرة والمتوسطة ومعيار التصنيف</w:t>
      </w:r>
    </w:p>
    <w:p w14:paraId="49A4C7E0" w14:textId="77777777" w:rsidR="00EB5CBD" w:rsidRDefault="00EA4CEB">
      <w:pPr>
        <w:bidi/>
        <w:spacing w:after="160" w:line="320" w:lineRule="auto"/>
        <w:jc w:val="both"/>
      </w:pPr>
      <w:r>
        <w:t>تعتمد الدراسة التصنيف الرسمي الصادر عن الهيئة العامة للمنشآت الصغيرة والمتوسطة «منشآت»، والذي يصنف المنشآت وفق معيارين مجتمعين: عدد الموظفين، والإيرادات السنوية. تُدرج في نطاق الدراسة فئتا المنشآت الصغيرة والمتوسطة حصرًا، وتُستبعد المنشآت متناهية الصغر والمنشآت الكبيرة. سيُدرج في النسخة النهائية للفصل جدول يوضح النطاقين العددي والمالي لكل فئة كما وردا في أحدث دليل تصنيف صادر عن «منشآت»، مصحوبًا بالرابط الرسمي وتاريخ الاطلاع.</w:t>
      </w:r>
    </w:p>
    <w:p w14:paraId="5194BE3B" w14:textId="77777777" w:rsidR="00EB5CBD" w:rsidRDefault="00EA4CEB">
      <w:pPr>
        <w:bidi/>
        <w:spacing w:after="160" w:line="320" w:lineRule="auto"/>
        <w:jc w:val="both"/>
      </w:pPr>
      <w:r>
        <w:t>يُشترط لإدراج المنشأة ضمن العينة أن تنطبق عليها فئة «صغيرة» أو «متوسطة» وفق كلا المعيارين معًا، لا أحدهما فقط، تجنبًا لإدراج منشآت ذات عدد موظفين محدود لكنها ذات إيرادات مرتفعة بصورة استثنائية أو العكس. تُتحقق هذه الصفة في مطلع الاستبيان عبر سؤالين تصنيفيين إلزاميين (عدد الموظفين، والإيرادات السنوية التقديرية)، وتُستبعد آليًا كل استجابة لا تنطبق عليها الفئتان معًا قبل احتسابها ضمن العينة الصالحة.</w:t>
      </w:r>
    </w:p>
    <w:p w14:paraId="5252BFD0" w14:textId="77777777" w:rsidR="00EB5CBD" w:rsidRDefault="00EA4CEB" w:rsidP="007E709B">
      <w:pPr>
        <w:bidi/>
        <w:spacing w:after="160" w:line="320" w:lineRule="auto"/>
      </w:pPr>
      <w:r>
        <w:rPr>
          <w:b/>
          <w:bCs/>
          <w:sz w:val="28"/>
          <w:szCs w:val="28"/>
        </w:rPr>
        <w:t>‏3.5 وحدة التحليل</w:t>
      </w:r>
    </w:p>
    <w:p w14:paraId="4B957B5C" w14:textId="77777777" w:rsidR="00EB5CBD" w:rsidRDefault="00EA4CEB">
      <w:pPr>
        <w:bidi/>
        <w:spacing w:after="160" w:line="320" w:lineRule="auto"/>
        <w:jc w:val="both"/>
      </w:pPr>
      <w:r>
        <w:t>وحدة التحليل في هذه الدراسة هي المنشأة الصغيرة أو المتوسطة، مُمثَّلة بشخص واحد مؤهل لتمثيلها في الاستبيان، وهو مدير التسويق أو المسؤول عن الأنشطة التسويقية الرقمية داخل المنشأة (وليس أي موظف عام). بناءً على ذلك:</w:t>
      </w:r>
    </w:p>
    <w:p w14:paraId="40AA485F" w14:textId="77777777" w:rsidR="00EB5CBD" w:rsidRDefault="00EA4CEB">
      <w:pPr>
        <w:pStyle w:val="ListParagraph"/>
        <w:numPr>
          <w:ilvl w:val="0"/>
          <w:numId w:val="2"/>
        </w:numPr>
        <w:bidi/>
        <w:spacing w:after="100" w:line="300" w:lineRule="auto"/>
        <w:jc w:val="both"/>
      </w:pPr>
      <w:r>
        <w:t>يُقبل رد واحد فقط من كل منشأة، إذ الوحدة التي تُختبر عليها الفرضيات هي المنشأة لا الفرد.</w:t>
      </w:r>
    </w:p>
    <w:p w14:paraId="5FA73715" w14:textId="77777777" w:rsidR="00EB5CBD" w:rsidRDefault="00EA4CEB">
      <w:pPr>
        <w:pStyle w:val="ListParagraph"/>
        <w:numPr>
          <w:ilvl w:val="0"/>
          <w:numId w:val="2"/>
        </w:numPr>
        <w:bidi/>
        <w:spacing w:after="100" w:line="300" w:lineRule="auto"/>
        <w:jc w:val="both"/>
      </w:pPr>
      <w:r>
        <w:t>الشخص المؤهل لتمثيل المنشأة هو صاحب المنشأة، أو المدير العام، أو مدير التسويق، أو المسؤول/الأخصائي عن التسويق الرقمي، بحسب ما هو محدد في الجزء الثالث من الاستبيان (البيانات الوظيفية).</w:t>
      </w:r>
    </w:p>
    <w:p w14:paraId="2CF900EA" w14:textId="77777777" w:rsidR="00EB5CBD" w:rsidRDefault="00EA4CEB">
      <w:pPr>
        <w:pStyle w:val="ListParagraph"/>
        <w:numPr>
          <w:ilvl w:val="0"/>
          <w:numId w:val="2"/>
        </w:numPr>
        <w:bidi/>
        <w:spacing w:after="100" w:line="300" w:lineRule="auto"/>
        <w:jc w:val="both"/>
      </w:pPr>
      <w:r>
        <w:t>عند وصول أكثر من استجابة من المنشأة نفسها، يُعتمد معرّف فريد بديل عن اسم المنشأة (رقم السجل التجاري المُدخل في حقل مستقل غير ظاهر في نتائج التحليل، أو بصمة الجهاز/الرابط الفريد للاستبيان) لرصد التكرار.</w:t>
      </w:r>
    </w:p>
    <w:p w14:paraId="67A4D424" w14:textId="77777777" w:rsidR="00EB5CBD" w:rsidRDefault="00EA4CEB">
      <w:pPr>
        <w:pStyle w:val="ListParagraph"/>
        <w:numPr>
          <w:ilvl w:val="0"/>
          <w:numId w:val="2"/>
        </w:numPr>
        <w:bidi/>
        <w:spacing w:after="100" w:line="300" w:lineRule="auto"/>
        <w:jc w:val="both"/>
      </w:pPr>
      <w:r>
        <w:t>عند تكرار الاستجابة من المنشأة نفسها، يُعتمد آخر رد مكتمل زمنيًا، وتُستبعد الردود الأسبق لها؛ ولا تُدمج الردود المتعددة رياضيًا تفاديًا لتشويه بنية البيانات على مستوى الفقرة الواحدة.</w:t>
      </w:r>
    </w:p>
    <w:p w14:paraId="396B5FB1" w14:textId="77777777" w:rsidR="00EB5CBD" w:rsidRDefault="00EA4CEB" w:rsidP="007E709B">
      <w:pPr>
        <w:bidi/>
        <w:spacing w:after="160" w:line="320" w:lineRule="auto"/>
      </w:pPr>
      <w:r>
        <w:rPr>
          <w:b/>
          <w:bCs/>
          <w:sz w:val="28"/>
          <w:szCs w:val="28"/>
        </w:rPr>
        <w:t>‏3.6 معايير المشاركة والاستبعاد</w:t>
      </w:r>
    </w:p>
    <w:p w14:paraId="6742D161" w14:textId="77777777" w:rsidR="00EB5CBD" w:rsidRDefault="00EA4CEB" w:rsidP="007E709B">
      <w:pPr>
        <w:bidi/>
        <w:spacing w:after="140" w:line="320" w:lineRule="auto"/>
      </w:pPr>
      <w:r>
        <w:rPr>
          <w:b/>
          <w:bCs/>
          <w:sz w:val="25"/>
          <w:szCs w:val="25"/>
        </w:rPr>
        <w:t>‏شروط المشاركة</w:t>
      </w:r>
    </w:p>
    <w:p w14:paraId="09676C67" w14:textId="77777777" w:rsidR="00EB5CBD" w:rsidRDefault="00EA4CEB">
      <w:pPr>
        <w:pStyle w:val="ListParagraph"/>
        <w:numPr>
          <w:ilvl w:val="0"/>
          <w:numId w:val="2"/>
        </w:numPr>
        <w:bidi/>
        <w:spacing w:after="100" w:line="300" w:lineRule="auto"/>
        <w:jc w:val="both"/>
      </w:pPr>
      <w:r>
        <w:t>أن تكون المنشأة مسجلة رسميًا في المملكة العربية السعودية (سجل تجاري ساري المفعول).</w:t>
      </w:r>
    </w:p>
    <w:p w14:paraId="5FB6700D" w14:textId="77777777" w:rsidR="00EB5CBD" w:rsidRDefault="00EA4CEB">
      <w:pPr>
        <w:pStyle w:val="ListParagraph"/>
        <w:numPr>
          <w:ilvl w:val="0"/>
          <w:numId w:val="2"/>
        </w:numPr>
        <w:bidi/>
        <w:spacing w:after="100" w:line="300" w:lineRule="auto"/>
        <w:jc w:val="both"/>
      </w:pPr>
      <w:r>
        <w:t>أن تنطبق عليها معايير التصنيف كمنشأة صغيرة أو متوسطة وفق الفقرة 3.4.</w:t>
      </w:r>
    </w:p>
    <w:p w14:paraId="74F58B3F" w14:textId="77777777" w:rsidR="00EB5CBD" w:rsidRDefault="00EA4CEB">
      <w:pPr>
        <w:pStyle w:val="ListParagraph"/>
        <w:numPr>
          <w:ilvl w:val="0"/>
          <w:numId w:val="2"/>
        </w:numPr>
        <w:bidi/>
        <w:spacing w:after="100" w:line="300" w:lineRule="auto"/>
        <w:jc w:val="both"/>
      </w:pPr>
      <w:r>
        <w:t>أن يكون المشارك مديرًا أو مسؤولًا مطلعًا فعليًا على الأنشطة التسويقية الرقمية للمنشأة، وفق المسميات الوظيفية المحددة في الفقرة 3.5.</w:t>
      </w:r>
    </w:p>
    <w:p w14:paraId="0AEBD8A4" w14:textId="77777777" w:rsidR="00EB5CBD" w:rsidRDefault="00EA4CEB">
      <w:pPr>
        <w:pStyle w:val="ListParagraph"/>
        <w:numPr>
          <w:ilvl w:val="0"/>
          <w:numId w:val="2"/>
        </w:numPr>
        <w:bidi/>
        <w:spacing w:after="100" w:line="300" w:lineRule="auto"/>
        <w:jc w:val="both"/>
      </w:pPr>
      <w:r>
        <w:t>أن يمتلك المشارك خبرة لا تقل عن ستة أشهر داخل المنشأة الحالية، بما يتيح له إجابة موثوقة عن ممارساتها التسويقية.</w:t>
      </w:r>
    </w:p>
    <w:p w14:paraId="14E2BCA9" w14:textId="77777777" w:rsidR="00EB5CBD" w:rsidRDefault="00EA4CEB">
      <w:pPr>
        <w:pStyle w:val="ListParagraph"/>
        <w:numPr>
          <w:ilvl w:val="0"/>
          <w:numId w:val="2"/>
        </w:numPr>
        <w:bidi/>
        <w:spacing w:after="100" w:line="300" w:lineRule="auto"/>
        <w:jc w:val="both"/>
      </w:pPr>
      <w:r>
        <w:t>أن تكون المنشأة قد مارست نشاطًا تسويقيًا رقميًا واحدًا على الأقل خلال الاثني عشر شهرًا السابقة لتاريخ تعبئة الاستبيان.</w:t>
      </w:r>
    </w:p>
    <w:p w14:paraId="596C51E5" w14:textId="77777777" w:rsidR="00EB5CBD" w:rsidRDefault="00EA4CEB" w:rsidP="007E709B">
      <w:pPr>
        <w:bidi/>
        <w:spacing w:after="140" w:line="320" w:lineRule="auto"/>
      </w:pPr>
      <w:r>
        <w:rPr>
          <w:b/>
          <w:bCs/>
          <w:sz w:val="25"/>
          <w:szCs w:val="25"/>
        </w:rPr>
        <w:t>‏شروط الاستبعاد</w:t>
      </w:r>
    </w:p>
    <w:p w14:paraId="2B8EA85E" w14:textId="77777777" w:rsidR="00EB5CBD" w:rsidRDefault="00EA4CEB">
      <w:pPr>
        <w:pStyle w:val="ListParagraph"/>
        <w:numPr>
          <w:ilvl w:val="0"/>
          <w:numId w:val="2"/>
        </w:numPr>
        <w:bidi/>
        <w:spacing w:after="100" w:line="300" w:lineRule="auto"/>
        <w:jc w:val="both"/>
      </w:pPr>
      <w:r>
        <w:t>المنشآت متناهية الصغر أو الكبيرة.</w:t>
      </w:r>
    </w:p>
    <w:p w14:paraId="1ADDE063" w14:textId="77777777" w:rsidR="00EB5CBD" w:rsidRDefault="00EA4CEB">
      <w:pPr>
        <w:pStyle w:val="ListParagraph"/>
        <w:numPr>
          <w:ilvl w:val="0"/>
          <w:numId w:val="2"/>
        </w:numPr>
        <w:bidi/>
        <w:spacing w:after="100" w:line="300" w:lineRule="auto"/>
        <w:jc w:val="both"/>
      </w:pPr>
      <w:r>
        <w:t>الموظفون من غير المسميات الوظيفية المحددة في الفقرة 3.5، حتى لو كانوا على اطلاع جزئي بالتسويق.</w:t>
      </w:r>
    </w:p>
    <w:p w14:paraId="4CF5FF52" w14:textId="77777777" w:rsidR="00EB5CBD" w:rsidRDefault="00EA4CEB">
      <w:pPr>
        <w:pStyle w:val="ListParagraph"/>
        <w:numPr>
          <w:ilvl w:val="0"/>
          <w:numId w:val="2"/>
        </w:numPr>
        <w:bidi/>
        <w:spacing w:after="100" w:line="300" w:lineRule="auto"/>
        <w:jc w:val="both"/>
      </w:pPr>
      <w:r>
        <w:t>الاستجابات المكررة من المنشأة نفسها، باستثناء آخر رد مكتمل كما هو موضح في الفقرة 3.5.</w:t>
      </w:r>
    </w:p>
    <w:p w14:paraId="1450BFF6" w14:textId="77777777" w:rsidR="00EB5CBD" w:rsidRDefault="00EA4CEB">
      <w:pPr>
        <w:pStyle w:val="ListParagraph"/>
        <w:numPr>
          <w:ilvl w:val="0"/>
          <w:numId w:val="2"/>
        </w:numPr>
        <w:bidi/>
        <w:spacing w:after="100" w:line="300" w:lineRule="auto"/>
        <w:jc w:val="both"/>
      </w:pPr>
      <w:r>
        <w:t>الاستجابات غير المكتملة التي تقل نسبة إتمامها عن الحد الأدنى المحدد في إجراءات تنظيف البيانات (الفقرة 3.11).</w:t>
      </w:r>
    </w:p>
    <w:p w14:paraId="78E10BAB" w14:textId="77777777" w:rsidR="00EB5CBD" w:rsidRDefault="00EA4CEB">
      <w:pPr>
        <w:pStyle w:val="ListParagraph"/>
        <w:numPr>
          <w:ilvl w:val="0"/>
          <w:numId w:val="2"/>
        </w:numPr>
        <w:bidi/>
        <w:spacing w:after="100" w:line="300" w:lineRule="auto"/>
        <w:jc w:val="both"/>
        <w:rPr>
          <w:rFonts w:hint="cs"/>
          <w:rtl w:val="0"/>
        </w:rPr>
      </w:pPr>
      <w:r>
        <w:t>الاستجابات التي تفشل في اختبارات الجودة (الاستجابة النمطية، أو زمن الإكمال غير المنطقي) الموضحة في الفقرة 3.11.</w:t>
      </w:r>
    </w:p>
    <w:p w14:paraId="00E22E48" w14:textId="77777777" w:rsidR="00EA4CEB" w:rsidRDefault="00EA4CEB" w:rsidP="00EA4CEB">
      <w:pPr>
        <w:bidi/>
        <w:spacing w:after="100" w:line="300" w:lineRule="auto"/>
        <w:jc w:val="both"/>
        <w:rPr>
          <w:rFonts w:hint="cs"/>
        </w:rPr>
      </w:pPr>
    </w:p>
    <w:p w14:paraId="30CF16B0" w14:textId="77777777" w:rsidR="00EA4CEB" w:rsidRDefault="00EA4CEB" w:rsidP="00EA4CEB">
      <w:pPr>
        <w:bidi/>
        <w:spacing w:after="100" w:line="300" w:lineRule="auto"/>
        <w:jc w:val="both"/>
      </w:pPr>
    </w:p>
    <w:p w14:paraId="6C898E03" w14:textId="77777777" w:rsidR="00EB5CBD" w:rsidRDefault="00EA4CEB" w:rsidP="007E709B">
      <w:pPr>
        <w:bidi/>
        <w:spacing w:after="160" w:line="320" w:lineRule="auto"/>
      </w:pPr>
      <w:r>
        <w:rPr>
          <w:b/>
          <w:bCs/>
          <w:sz w:val="28"/>
          <w:szCs w:val="28"/>
        </w:rPr>
        <w:t>‏3.7 عينة الدراسة الكمية</w:t>
      </w:r>
    </w:p>
    <w:p w14:paraId="741A02B2" w14:textId="77777777" w:rsidR="00EB5CBD" w:rsidRDefault="00EA4CEB" w:rsidP="007E709B">
      <w:pPr>
        <w:bidi/>
        <w:spacing w:after="140" w:line="320" w:lineRule="auto"/>
      </w:pPr>
      <w:r>
        <w:rPr>
          <w:b/>
          <w:bCs/>
          <w:sz w:val="25"/>
          <w:szCs w:val="25"/>
        </w:rPr>
        <w:t>‏3.7.1 طريقة المعاينة وإطار المعاينة</w:t>
      </w:r>
    </w:p>
    <w:p w14:paraId="24E65F60" w14:textId="77777777" w:rsidR="00EB5CBD" w:rsidRDefault="00EA4CEB">
      <w:pPr>
        <w:bidi/>
        <w:spacing w:after="160" w:line="320" w:lineRule="auto"/>
        <w:jc w:val="both"/>
      </w:pPr>
      <w:r>
        <w:t>لا تتوافر لدى الباحثة، حتى إعداد هذه الخطة، قائمة رسمية شاملة تضم أسماء جميع المنشآت الصغيرة والمتوسطة في المملكة وبيانات التواصل الخاصة بها؛ أي أن إطار معاينة كاملًا بالمعنى الإحصائي الدقيق غير متوافر. لذلك، لا يصح وصف العينة بأنها «عينة طبقية عشوائية» بالمعنى الصارم للمصطلح. تعتمد الدراسة بدلًا من ذلك تسمية أدق هي العينة الطبقية الحصصية (Stratified Quota Sampling)، القائمة على تقسيم مجتمع الدراسة إلى طبقات وفق القطاع (خدمي، تجاري، صناعي) والمدينة، ثم توزيع حصة مستهدفة على كل طبقة، على أن يُختار المشاركون داخل كل طبقة عبر معاينة قصدية ملائمة (منصات التواصل المهني، جمعيات رجال وسيدات الأعمال، غرف التجارة، وقواعد بيانات مراكز دعم المنشآت التابعة لـ«منشآت»).</w:t>
      </w:r>
    </w:p>
    <w:p w14:paraId="34E5B154" w14:textId="77777777" w:rsidR="00EB5CBD" w:rsidRDefault="00EA4CEB">
      <w:pPr>
        <w:bidi/>
        <w:spacing w:after="160" w:line="320" w:lineRule="auto"/>
        <w:jc w:val="both"/>
      </w:pPr>
      <w:r>
        <w:t>ستُوثق مصادر التواصل الفعلية المستخدمة عند التنفيذ (مثل: قوائم عضوية غرف تجارية محددة، أو قواعد بيانات مراكز دعم المنشآت الصغيرة والمتوسطة)، وستُدرج طريقة تصنيف المنشآت إلى طبقات، وآلية التوزيع العشوائي البسيط للدعوات داخل كل طبقة (باستخدام مولّد أرقام عشوائي إلكتروني عند توفر قائمة مرشحين تفوق الحصة المطلوبة). عند رفض منشأة مختارة المشاركة، يُستبدل بديل عشوائي آخر من الطبقة نفسها حتى تكتمل الحصة المستهدفة لها.</w:t>
      </w:r>
    </w:p>
    <w:p w14:paraId="6AD0B9FB" w14:textId="77777777" w:rsidR="00EB5CBD" w:rsidRDefault="00EA4CEB" w:rsidP="007E709B">
      <w:pPr>
        <w:bidi/>
        <w:spacing w:after="140" w:line="320" w:lineRule="auto"/>
      </w:pPr>
      <w:r>
        <w:rPr>
          <w:b/>
          <w:bCs/>
          <w:sz w:val="25"/>
          <w:szCs w:val="25"/>
        </w:rPr>
        <w:t>‏3.7.2 تبرير حجم العينة إحصائيًا</w:t>
      </w:r>
    </w:p>
    <w:p w14:paraId="647BC38C" w14:textId="77777777" w:rsidR="00EB5CBD" w:rsidRDefault="00EA4CEB">
      <w:pPr>
        <w:bidi/>
        <w:spacing w:after="160" w:line="320" w:lineRule="auto"/>
        <w:jc w:val="both"/>
      </w:pPr>
      <w:r>
        <w:t>لا يُكتفى بقاعدة العشرة أضعاف (10-times rule) وحدها لتحديد حجم العينة، إذ إنها فحص تقريبي مساعد لا أساس إحصائي دقيق. سيُجرى قبل بدء جمع البيانات تحليل قوة إحصائية مسبق (A Priori Power Analysis) باستخدام برنامج G*Power (الإصدار 3.1)، وفق البارامترات التالية: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00"/>
      </w:tblGrid>
      <w:tr w:rsidR="00EB5CBD" w14:paraId="75CF1146" w14:textId="77777777" w:rsidTr="007E709B">
        <w:trPr>
          <w:tblHeader/>
        </w:trPr>
        <w:tc>
          <w:tcPr>
            <w:tcW w:w="3300" w:type="dxa"/>
            <w:tcBorders>
              <w:top w:val="single" w:sz="4" w:space="0" w:color="999999"/>
              <w:left w:val="single" w:sz="4" w:space="0" w:color="999999"/>
              <w:bottom w:val="single" w:sz="4" w:space="0" w:color="999999"/>
              <w:right w:val="single" w:sz="4" w:space="0" w:color="999999"/>
            </w:tcBorders>
            <w:shd w:val="clear" w:color="auto" w:fill="2F5496"/>
          </w:tcPr>
          <w:p w14:paraId="7B09CB51" w14:textId="77777777" w:rsidR="00EB5CBD" w:rsidRDefault="00EA4CEB" w:rsidP="007E709B">
            <w:pPr>
              <w:bidi/>
              <w:spacing w:after="60" w:line="320" w:lineRule="auto"/>
              <w:jc w:val="center"/>
            </w:pPr>
            <w:r>
              <w:rPr>
                <w:b/>
                <w:bCs/>
                <w:color w:val="FFFFFF"/>
                <w:sz w:val="21"/>
                <w:szCs w:val="21"/>
              </w:rPr>
              <w:t>البارامتر</w:t>
            </w:r>
          </w:p>
        </w:tc>
        <w:tc>
          <w:tcPr>
            <w:tcW w:w="5700" w:type="dxa"/>
            <w:tcBorders>
              <w:top w:val="single" w:sz="4" w:space="0" w:color="999999"/>
              <w:left w:val="single" w:sz="4" w:space="0" w:color="999999"/>
              <w:bottom w:val="single" w:sz="4" w:space="0" w:color="999999"/>
              <w:right w:val="single" w:sz="4" w:space="0" w:color="999999"/>
            </w:tcBorders>
            <w:shd w:val="clear" w:color="auto" w:fill="2F5496"/>
          </w:tcPr>
          <w:p w14:paraId="41C9CD20" w14:textId="77777777" w:rsidR="00EB5CBD" w:rsidRDefault="00EA4CEB">
            <w:pPr>
              <w:bidi/>
              <w:spacing w:after="60" w:line="320" w:lineRule="auto"/>
              <w:jc w:val="center"/>
            </w:pPr>
            <w:r>
              <w:rPr>
                <w:b/>
                <w:bCs/>
                <w:color w:val="FFFFFF"/>
                <w:sz w:val="21"/>
                <w:szCs w:val="21"/>
              </w:rPr>
              <w:t>القيمة المعتمدة</w:t>
            </w:r>
          </w:p>
        </w:tc>
      </w:tr>
      <w:tr w:rsidR="00EB5CBD" w14:paraId="5EA967FA" w14:textId="77777777">
        <w:tc>
          <w:tcPr>
            <w:tcW w:w="3300" w:type="dxa"/>
            <w:tcBorders>
              <w:top w:val="single" w:sz="4" w:space="0" w:color="999999"/>
              <w:left w:val="single" w:sz="4" w:space="0" w:color="999999"/>
              <w:bottom w:val="single" w:sz="4" w:space="0" w:color="999999"/>
              <w:right w:val="single" w:sz="4" w:space="0" w:color="999999"/>
            </w:tcBorders>
          </w:tcPr>
          <w:p w14:paraId="23D6A3AA" w14:textId="77777777" w:rsidR="00EB5CBD" w:rsidRDefault="00EA4CEB" w:rsidP="007E709B">
            <w:pPr>
              <w:bidi/>
              <w:spacing w:after="60" w:line="320" w:lineRule="auto"/>
              <w:jc w:val="center"/>
            </w:pPr>
            <w:r>
              <w:rPr>
                <w:sz w:val="21"/>
                <w:szCs w:val="21"/>
              </w:rPr>
              <w:t>نوع الاختبار</w:t>
            </w:r>
          </w:p>
        </w:tc>
        <w:tc>
          <w:tcPr>
            <w:tcW w:w="5700" w:type="dxa"/>
            <w:tcBorders>
              <w:top w:val="single" w:sz="4" w:space="0" w:color="999999"/>
              <w:left w:val="single" w:sz="4" w:space="0" w:color="999999"/>
              <w:bottom w:val="single" w:sz="4" w:space="0" w:color="999999"/>
              <w:right w:val="single" w:sz="4" w:space="0" w:color="999999"/>
            </w:tcBorders>
          </w:tcPr>
          <w:p w14:paraId="7C5186B2" w14:textId="77777777" w:rsidR="00EB5CBD" w:rsidRDefault="00EA4CEB" w:rsidP="007E709B">
            <w:pPr>
              <w:bidi/>
              <w:spacing w:after="60" w:line="320" w:lineRule="auto"/>
            </w:pPr>
            <w:r>
              <w:rPr>
                <w:sz w:val="21"/>
                <w:szCs w:val="21"/>
              </w:rPr>
              <w:t>Linear multiple regression: Fixed model, R² deviation from zero</w:t>
            </w:r>
          </w:p>
        </w:tc>
      </w:tr>
      <w:tr w:rsidR="00EB5CBD" w14:paraId="692B1933" w14:textId="77777777">
        <w:tc>
          <w:tcPr>
            <w:tcW w:w="3300" w:type="dxa"/>
            <w:tcBorders>
              <w:top w:val="single" w:sz="4" w:space="0" w:color="999999"/>
              <w:left w:val="single" w:sz="4" w:space="0" w:color="999999"/>
              <w:bottom w:val="single" w:sz="4" w:space="0" w:color="999999"/>
              <w:right w:val="single" w:sz="4" w:space="0" w:color="999999"/>
            </w:tcBorders>
            <w:shd w:val="clear" w:color="auto" w:fill="F2F2F2"/>
          </w:tcPr>
          <w:p w14:paraId="2406D1D7" w14:textId="77777777" w:rsidR="00EB5CBD" w:rsidRDefault="00EA4CEB" w:rsidP="007E709B">
            <w:pPr>
              <w:bidi/>
              <w:spacing w:after="60" w:line="320" w:lineRule="auto"/>
              <w:jc w:val="center"/>
            </w:pPr>
            <w:r>
              <w:rPr>
                <w:sz w:val="21"/>
                <w:szCs w:val="21"/>
              </w:rPr>
              <w:t>حجم الأثر المتوقع (f²)</w:t>
            </w:r>
          </w:p>
        </w:tc>
        <w:tc>
          <w:tcPr>
            <w:tcW w:w="5700" w:type="dxa"/>
            <w:tcBorders>
              <w:top w:val="single" w:sz="4" w:space="0" w:color="999999"/>
              <w:left w:val="single" w:sz="4" w:space="0" w:color="999999"/>
              <w:bottom w:val="single" w:sz="4" w:space="0" w:color="999999"/>
              <w:right w:val="single" w:sz="4" w:space="0" w:color="999999"/>
            </w:tcBorders>
            <w:shd w:val="clear" w:color="auto" w:fill="F2F2F2"/>
          </w:tcPr>
          <w:p w14:paraId="34ACEDC9" w14:textId="77777777" w:rsidR="00EB5CBD" w:rsidRDefault="00EA4CEB" w:rsidP="007E709B">
            <w:pPr>
              <w:bidi/>
              <w:spacing w:after="60" w:line="320" w:lineRule="auto"/>
            </w:pPr>
            <w:r>
              <w:rPr>
                <w:sz w:val="21"/>
                <w:szCs w:val="21"/>
              </w:rPr>
              <w:t>0.15 (أثر متوسط، وفق تصنيف Cohen، وهو الافتراض المتحفظ الشائع في أدبيات PLS-SEM عند غياب دراسات سابقة تقيس الحجم الدقيق للأثر في السياق السعودي)</w:t>
            </w:r>
          </w:p>
        </w:tc>
      </w:tr>
      <w:tr w:rsidR="00EB5CBD" w14:paraId="558328C4" w14:textId="77777777">
        <w:tc>
          <w:tcPr>
            <w:tcW w:w="3300" w:type="dxa"/>
            <w:tcBorders>
              <w:top w:val="single" w:sz="4" w:space="0" w:color="999999"/>
              <w:left w:val="single" w:sz="4" w:space="0" w:color="999999"/>
              <w:bottom w:val="single" w:sz="4" w:space="0" w:color="999999"/>
              <w:right w:val="single" w:sz="4" w:space="0" w:color="999999"/>
            </w:tcBorders>
          </w:tcPr>
          <w:p w14:paraId="3572A9EC" w14:textId="77777777" w:rsidR="00EB5CBD" w:rsidRDefault="00EA4CEB" w:rsidP="007E709B">
            <w:pPr>
              <w:bidi/>
              <w:spacing w:after="60" w:line="320" w:lineRule="auto"/>
              <w:jc w:val="center"/>
            </w:pPr>
            <w:r>
              <w:rPr>
                <w:sz w:val="21"/>
                <w:szCs w:val="21"/>
              </w:rPr>
              <w:t>مستوى الدلالة (α)</w:t>
            </w:r>
          </w:p>
        </w:tc>
        <w:tc>
          <w:tcPr>
            <w:tcW w:w="5700" w:type="dxa"/>
            <w:tcBorders>
              <w:top w:val="single" w:sz="4" w:space="0" w:color="999999"/>
              <w:left w:val="single" w:sz="4" w:space="0" w:color="999999"/>
              <w:bottom w:val="single" w:sz="4" w:space="0" w:color="999999"/>
              <w:right w:val="single" w:sz="4" w:space="0" w:color="999999"/>
            </w:tcBorders>
          </w:tcPr>
          <w:p w14:paraId="0AED87E6" w14:textId="77777777" w:rsidR="00EB5CBD" w:rsidRDefault="00EA4CEB" w:rsidP="007E709B">
            <w:pPr>
              <w:bidi/>
              <w:spacing w:after="60" w:line="320" w:lineRule="auto"/>
            </w:pPr>
            <w:r>
              <w:rPr>
                <w:sz w:val="21"/>
                <w:szCs w:val="21"/>
              </w:rPr>
              <w:t>0.05</w:t>
            </w:r>
          </w:p>
        </w:tc>
      </w:tr>
      <w:tr w:rsidR="00EB5CBD" w14:paraId="24C815DE" w14:textId="77777777">
        <w:tc>
          <w:tcPr>
            <w:tcW w:w="3300" w:type="dxa"/>
            <w:tcBorders>
              <w:top w:val="single" w:sz="4" w:space="0" w:color="999999"/>
              <w:left w:val="single" w:sz="4" w:space="0" w:color="999999"/>
              <w:bottom w:val="single" w:sz="4" w:space="0" w:color="999999"/>
              <w:right w:val="single" w:sz="4" w:space="0" w:color="999999"/>
            </w:tcBorders>
            <w:shd w:val="clear" w:color="auto" w:fill="F2F2F2"/>
          </w:tcPr>
          <w:p w14:paraId="23BFD979" w14:textId="77777777" w:rsidR="00EB5CBD" w:rsidRDefault="00EA4CEB" w:rsidP="007E709B">
            <w:pPr>
              <w:bidi/>
              <w:spacing w:after="60" w:line="320" w:lineRule="auto"/>
              <w:jc w:val="center"/>
            </w:pPr>
            <w:r>
              <w:rPr>
                <w:sz w:val="21"/>
                <w:szCs w:val="21"/>
              </w:rPr>
              <w:t>القوة الإحصائية المستهدفة (1-β)</w:t>
            </w:r>
          </w:p>
        </w:tc>
        <w:tc>
          <w:tcPr>
            <w:tcW w:w="5700" w:type="dxa"/>
            <w:tcBorders>
              <w:top w:val="single" w:sz="4" w:space="0" w:color="999999"/>
              <w:left w:val="single" w:sz="4" w:space="0" w:color="999999"/>
              <w:bottom w:val="single" w:sz="4" w:space="0" w:color="999999"/>
              <w:right w:val="single" w:sz="4" w:space="0" w:color="999999"/>
            </w:tcBorders>
            <w:shd w:val="clear" w:color="auto" w:fill="F2F2F2"/>
          </w:tcPr>
          <w:p w14:paraId="1206AA83" w14:textId="77777777" w:rsidR="00EB5CBD" w:rsidRDefault="00EA4CEB" w:rsidP="007E709B">
            <w:pPr>
              <w:bidi/>
              <w:spacing w:after="60" w:line="320" w:lineRule="auto"/>
            </w:pPr>
            <w:r>
              <w:rPr>
                <w:sz w:val="21"/>
                <w:szCs w:val="21"/>
              </w:rPr>
              <w:t>0.95</w:t>
            </w:r>
          </w:p>
        </w:tc>
      </w:tr>
      <w:tr w:rsidR="00EB5CBD" w14:paraId="7A58F3AF" w14:textId="77777777">
        <w:tc>
          <w:tcPr>
            <w:tcW w:w="3300" w:type="dxa"/>
            <w:tcBorders>
              <w:top w:val="single" w:sz="4" w:space="0" w:color="999999"/>
              <w:left w:val="single" w:sz="4" w:space="0" w:color="999999"/>
              <w:bottom w:val="single" w:sz="4" w:space="0" w:color="999999"/>
              <w:right w:val="single" w:sz="4" w:space="0" w:color="999999"/>
            </w:tcBorders>
          </w:tcPr>
          <w:p w14:paraId="2AFBBAEB" w14:textId="77777777" w:rsidR="00EB5CBD" w:rsidRDefault="00EA4CEB" w:rsidP="007E709B">
            <w:pPr>
              <w:bidi/>
              <w:spacing w:after="60" w:line="320" w:lineRule="auto"/>
              <w:jc w:val="center"/>
            </w:pPr>
            <w:r>
              <w:rPr>
                <w:sz w:val="21"/>
                <w:szCs w:val="21"/>
              </w:rPr>
              <w:t>عدد المتنبئات المستخدمة في الحساب</w:t>
            </w:r>
          </w:p>
        </w:tc>
        <w:tc>
          <w:tcPr>
            <w:tcW w:w="5700" w:type="dxa"/>
            <w:tcBorders>
              <w:top w:val="single" w:sz="4" w:space="0" w:color="999999"/>
              <w:left w:val="single" w:sz="4" w:space="0" w:color="999999"/>
              <w:bottom w:val="single" w:sz="4" w:space="0" w:color="999999"/>
              <w:right w:val="single" w:sz="4" w:space="0" w:color="999999"/>
            </w:tcBorders>
          </w:tcPr>
          <w:p w14:paraId="163E97F9" w14:textId="77777777" w:rsidR="00EB5CBD" w:rsidRDefault="00EA4CEB" w:rsidP="007E709B">
            <w:pPr>
              <w:bidi/>
              <w:spacing w:after="60" w:line="320" w:lineRule="auto"/>
            </w:pPr>
            <w:r>
              <w:rPr>
                <w:sz w:val="21"/>
                <w:szCs w:val="21"/>
              </w:rPr>
              <w:t>يُحدد وفق أكبر عدد من المسارات الموجهة نحو متغير تابع واحد في النموذج البنائي (المسارات المباشرة نحو الأداء التسويقي، مضافًا إليها متغيرات ضابطة محتملة)</w:t>
            </w:r>
          </w:p>
        </w:tc>
      </w:tr>
    </w:tbl>
    <w:p w14:paraId="418984AC" w14:textId="77777777" w:rsidR="00EB5CBD" w:rsidRDefault="00EB5CBD">
      <w:pPr>
        <w:spacing w:after="160"/>
      </w:pPr>
    </w:p>
    <w:p w14:paraId="53B39D50" w14:textId="77777777" w:rsidR="00EB5CBD" w:rsidRDefault="00EA4CEB">
      <w:pPr>
        <w:bidi/>
        <w:spacing w:after="160" w:line="320" w:lineRule="auto"/>
        <w:jc w:val="both"/>
      </w:pPr>
      <w:r>
        <w:t>سيُدرج عند التنفيذ الناتج الرقمي الدقيق لهذا التحليل (الحد الأدنى المطلوب من حجم العينة N) مصحوبًا بلقطة شاشة أو مخرجات البرنامج في الملاحق. يُستخدم بعد ذلك فحص قاعدة العشرة أضعاف كفحص مساعد فقط للمقارنة، لا كأساس رئيسي لتبرير الحجم. الحجم المستهدف للعينة، بناءً على هذا الإجراء وعلى توصيات Hair et al. (2022) بشأن الحد الأدنى الملائم لنماذج PLS-SEM متوسطة التعقيد، هو 300 منشأة، بما يوفر هامش أمان فوق الحد الأدنى الإحصائي المطلوب ويستوعب النقص المتوقع من الاستبعادات بعد تنظيف البيانات.</w:t>
      </w:r>
    </w:p>
    <w:p w14:paraId="2CA6F64E" w14:textId="77777777" w:rsidR="00EB5CBD" w:rsidRDefault="00EA4CEB" w:rsidP="007E709B">
      <w:pPr>
        <w:bidi/>
        <w:spacing w:after="140" w:line="320" w:lineRule="auto"/>
      </w:pPr>
      <w:r>
        <w:rPr>
          <w:b/>
          <w:bCs/>
          <w:sz w:val="25"/>
          <w:szCs w:val="25"/>
        </w:rPr>
        <w:t>‏3.7.3 خطة توزيع العينة المستهدفة</w:t>
      </w:r>
    </w:p>
    <w:p w14:paraId="1C43EBED" w14:textId="77777777" w:rsidR="00EB5CBD" w:rsidRDefault="00EA4CEB">
      <w:pPr>
        <w:bidi/>
        <w:spacing w:after="160" w:line="320" w:lineRule="auto"/>
        <w:jc w:val="both"/>
      </w:pPr>
      <w:r>
        <w:t>يوضح الجدول التالي خطة التوزيع المستهدف (الحصص) للعينة الكمية؛ وسيُستبدل بجدول فعلي يتضمن أعداد الاستبانات الموزعة والمستردة والصالحة ونسبة الاستجابة بعد إتمام جمع البيانات، كما هو مبين في الفقرة 3.7.5:</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600"/>
        <w:gridCol w:w="2600"/>
        <w:gridCol w:w="1800"/>
      </w:tblGrid>
      <w:tr w:rsidR="00EB5CBD" w14:paraId="34906DE1" w14:textId="77777777" w:rsidTr="007E709B">
        <w:trPr>
          <w:tblHeade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74BE918D" w14:textId="77777777" w:rsidR="00EB5CBD" w:rsidRDefault="00EA4CEB">
            <w:pPr>
              <w:bidi/>
              <w:spacing w:after="60" w:line="320" w:lineRule="auto"/>
              <w:jc w:val="center"/>
            </w:pPr>
            <w:r>
              <w:rPr>
                <w:b/>
                <w:bCs/>
                <w:color w:val="FFFFFF"/>
                <w:sz w:val="21"/>
                <w:szCs w:val="21"/>
              </w:rPr>
              <w:t>القطاع</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4DE2BFBD" w14:textId="77777777" w:rsidR="00EB5CBD" w:rsidRDefault="00EA4CEB">
            <w:pPr>
              <w:bidi/>
              <w:spacing w:after="60" w:line="320" w:lineRule="auto"/>
              <w:jc w:val="center"/>
            </w:pPr>
            <w:r>
              <w:rPr>
                <w:b/>
                <w:bCs/>
                <w:color w:val="FFFFFF"/>
                <w:sz w:val="21"/>
                <w:szCs w:val="21"/>
              </w:rPr>
              <w:t>النطاق الجغرافي</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0EE296B2" w14:textId="77777777" w:rsidR="00EB5CBD" w:rsidRDefault="00EA4CEB">
            <w:pPr>
              <w:bidi/>
              <w:spacing w:after="60" w:line="320" w:lineRule="auto"/>
              <w:jc w:val="center"/>
            </w:pPr>
            <w:r>
              <w:rPr>
                <w:b/>
                <w:bCs/>
                <w:color w:val="FFFFFF"/>
                <w:sz w:val="21"/>
                <w:szCs w:val="21"/>
              </w:rPr>
              <w:t>الحصة المستهدفة (عدد المنشآت)</w:t>
            </w:r>
          </w:p>
        </w:tc>
        <w:tc>
          <w:tcPr>
            <w:tcW w:w="1800" w:type="dxa"/>
            <w:tcBorders>
              <w:top w:val="single" w:sz="4" w:space="0" w:color="999999"/>
              <w:left w:val="single" w:sz="4" w:space="0" w:color="999999"/>
              <w:bottom w:val="single" w:sz="4" w:space="0" w:color="999999"/>
              <w:right w:val="single" w:sz="4" w:space="0" w:color="999999"/>
            </w:tcBorders>
            <w:shd w:val="clear" w:color="auto" w:fill="2F5496"/>
          </w:tcPr>
          <w:p w14:paraId="25BBE6C2" w14:textId="77777777" w:rsidR="00EB5CBD" w:rsidRDefault="00EA4CEB">
            <w:pPr>
              <w:bidi/>
              <w:spacing w:after="60" w:line="320" w:lineRule="auto"/>
              <w:jc w:val="center"/>
            </w:pPr>
            <w:r>
              <w:rPr>
                <w:b/>
                <w:bCs/>
                <w:color w:val="FFFFFF"/>
                <w:sz w:val="21"/>
                <w:szCs w:val="21"/>
              </w:rPr>
              <w:t>النسبة من إجمالي العينة</w:t>
            </w:r>
          </w:p>
        </w:tc>
      </w:tr>
      <w:tr w:rsidR="00EB5CBD" w14:paraId="62AF4B86"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tcPr>
          <w:p w14:paraId="23D41C91" w14:textId="77777777" w:rsidR="00EB5CBD" w:rsidRDefault="00EA4CEB" w:rsidP="007E709B">
            <w:pPr>
              <w:bidi/>
              <w:spacing w:after="60" w:line="320" w:lineRule="auto"/>
              <w:jc w:val="center"/>
            </w:pPr>
            <w:r>
              <w:rPr>
                <w:sz w:val="21"/>
                <w:szCs w:val="21"/>
              </w:rPr>
              <w:t>القطاع التجاري (تجزئة/جملة)</w:t>
            </w:r>
          </w:p>
        </w:tc>
        <w:tc>
          <w:tcPr>
            <w:tcW w:w="2600" w:type="dxa"/>
            <w:tcBorders>
              <w:top w:val="single" w:sz="4" w:space="0" w:color="999999"/>
              <w:left w:val="single" w:sz="4" w:space="0" w:color="999999"/>
              <w:bottom w:val="single" w:sz="4" w:space="0" w:color="999999"/>
              <w:right w:val="single" w:sz="4" w:space="0" w:color="999999"/>
            </w:tcBorders>
          </w:tcPr>
          <w:p w14:paraId="1B58B9A0" w14:textId="77777777" w:rsidR="00EB5CBD" w:rsidRDefault="00EA4CEB" w:rsidP="007E709B">
            <w:pPr>
              <w:bidi/>
              <w:spacing w:after="60" w:line="320" w:lineRule="auto"/>
              <w:jc w:val="center"/>
            </w:pPr>
            <w:r>
              <w:rPr>
                <w:sz w:val="21"/>
                <w:szCs w:val="21"/>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tcPr>
          <w:p w14:paraId="35D5E586" w14:textId="77777777" w:rsidR="00EB5CBD" w:rsidRDefault="00EA4CEB" w:rsidP="007E709B">
            <w:pPr>
              <w:bidi/>
              <w:spacing w:after="60" w:line="320" w:lineRule="auto"/>
              <w:jc w:val="center"/>
            </w:pPr>
            <w:r>
              <w:rPr>
                <w:sz w:val="21"/>
                <w:szCs w:val="21"/>
              </w:rPr>
              <w:t>120</w:t>
            </w:r>
          </w:p>
        </w:tc>
        <w:tc>
          <w:tcPr>
            <w:tcW w:w="1800" w:type="dxa"/>
            <w:tcBorders>
              <w:top w:val="single" w:sz="4" w:space="0" w:color="999999"/>
              <w:left w:val="single" w:sz="4" w:space="0" w:color="999999"/>
              <w:bottom w:val="single" w:sz="4" w:space="0" w:color="999999"/>
              <w:right w:val="single" w:sz="4" w:space="0" w:color="999999"/>
            </w:tcBorders>
          </w:tcPr>
          <w:p w14:paraId="69D31A92" w14:textId="77777777" w:rsidR="00EB5CBD" w:rsidRDefault="00EA4CEB" w:rsidP="007E709B">
            <w:pPr>
              <w:bidi/>
              <w:spacing w:after="60" w:line="320" w:lineRule="auto"/>
              <w:jc w:val="center"/>
            </w:pPr>
            <w:r>
              <w:rPr>
                <w:sz w:val="21"/>
                <w:szCs w:val="21"/>
              </w:rPr>
              <w:t>40%</w:t>
            </w:r>
          </w:p>
        </w:tc>
      </w:tr>
      <w:tr w:rsidR="00EB5CBD" w14:paraId="085975F9"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79F13083" w14:textId="77777777" w:rsidR="00EB5CBD" w:rsidRDefault="00EA4CEB" w:rsidP="007E709B">
            <w:pPr>
              <w:bidi/>
              <w:spacing w:after="60" w:line="320" w:lineRule="auto"/>
              <w:jc w:val="center"/>
            </w:pPr>
            <w:r>
              <w:rPr>
                <w:sz w:val="21"/>
                <w:szCs w:val="21"/>
              </w:rPr>
              <w:t>القطاع الخدمي</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34DF13D1" w14:textId="77777777" w:rsidR="00EB5CBD" w:rsidRDefault="00EA4CEB" w:rsidP="007E709B">
            <w:pPr>
              <w:bidi/>
              <w:spacing w:after="60" w:line="320" w:lineRule="auto"/>
              <w:jc w:val="center"/>
            </w:pPr>
            <w:r>
              <w:rPr>
                <w:sz w:val="21"/>
                <w:szCs w:val="21"/>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6D080713" w14:textId="77777777" w:rsidR="00EB5CBD" w:rsidRDefault="00EA4CEB" w:rsidP="007E709B">
            <w:pPr>
              <w:bidi/>
              <w:spacing w:after="60" w:line="320" w:lineRule="auto"/>
              <w:jc w:val="center"/>
            </w:pPr>
            <w:r>
              <w:rPr>
                <w:sz w:val="21"/>
                <w:szCs w:val="21"/>
              </w:rPr>
              <w:t>120</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Pr>
          <w:p w14:paraId="68044F0C" w14:textId="77777777" w:rsidR="00EB5CBD" w:rsidRDefault="00EA4CEB" w:rsidP="007E709B">
            <w:pPr>
              <w:bidi/>
              <w:spacing w:after="60" w:line="320" w:lineRule="auto"/>
              <w:jc w:val="center"/>
            </w:pPr>
            <w:r>
              <w:rPr>
                <w:sz w:val="21"/>
                <w:szCs w:val="21"/>
              </w:rPr>
              <w:t>40%</w:t>
            </w:r>
          </w:p>
        </w:tc>
      </w:tr>
      <w:tr w:rsidR="00EB5CBD" w14:paraId="50E9C32F"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tcPr>
          <w:p w14:paraId="6B0F9989" w14:textId="77777777" w:rsidR="00EB5CBD" w:rsidRDefault="00EA4CEB" w:rsidP="007E709B">
            <w:pPr>
              <w:bidi/>
              <w:spacing w:after="60" w:line="320" w:lineRule="auto"/>
              <w:jc w:val="center"/>
            </w:pPr>
            <w:r>
              <w:rPr>
                <w:sz w:val="21"/>
                <w:szCs w:val="21"/>
              </w:rPr>
              <w:t>القطاع الصناعي</w:t>
            </w:r>
          </w:p>
        </w:tc>
        <w:tc>
          <w:tcPr>
            <w:tcW w:w="2600" w:type="dxa"/>
            <w:tcBorders>
              <w:top w:val="single" w:sz="4" w:space="0" w:color="999999"/>
              <w:left w:val="single" w:sz="4" w:space="0" w:color="999999"/>
              <w:bottom w:val="single" w:sz="4" w:space="0" w:color="999999"/>
              <w:right w:val="single" w:sz="4" w:space="0" w:color="999999"/>
            </w:tcBorders>
          </w:tcPr>
          <w:p w14:paraId="508212EE" w14:textId="77777777" w:rsidR="00EB5CBD" w:rsidRDefault="00EA4CEB" w:rsidP="007E709B">
            <w:pPr>
              <w:bidi/>
              <w:spacing w:after="60" w:line="320" w:lineRule="auto"/>
              <w:jc w:val="center"/>
            </w:pPr>
            <w:r>
              <w:rPr>
                <w:sz w:val="21"/>
                <w:szCs w:val="21"/>
              </w:rPr>
              <w:t>الرياض، جدة، الدمام، المدينة المنورة، أبها</w:t>
            </w:r>
          </w:p>
        </w:tc>
        <w:tc>
          <w:tcPr>
            <w:tcW w:w="2600" w:type="dxa"/>
            <w:tcBorders>
              <w:top w:val="single" w:sz="4" w:space="0" w:color="999999"/>
              <w:left w:val="single" w:sz="4" w:space="0" w:color="999999"/>
              <w:bottom w:val="single" w:sz="4" w:space="0" w:color="999999"/>
              <w:right w:val="single" w:sz="4" w:space="0" w:color="999999"/>
            </w:tcBorders>
          </w:tcPr>
          <w:p w14:paraId="291D1F89" w14:textId="77777777" w:rsidR="00EB5CBD" w:rsidRDefault="00EA4CEB" w:rsidP="007E709B">
            <w:pPr>
              <w:bidi/>
              <w:spacing w:after="60" w:line="320" w:lineRule="auto"/>
              <w:jc w:val="center"/>
            </w:pPr>
            <w:r>
              <w:rPr>
                <w:sz w:val="21"/>
                <w:szCs w:val="21"/>
              </w:rPr>
              <w:t>60</w:t>
            </w:r>
          </w:p>
        </w:tc>
        <w:tc>
          <w:tcPr>
            <w:tcW w:w="1800" w:type="dxa"/>
            <w:tcBorders>
              <w:top w:val="single" w:sz="4" w:space="0" w:color="999999"/>
              <w:left w:val="single" w:sz="4" w:space="0" w:color="999999"/>
              <w:bottom w:val="single" w:sz="4" w:space="0" w:color="999999"/>
              <w:right w:val="single" w:sz="4" w:space="0" w:color="999999"/>
            </w:tcBorders>
          </w:tcPr>
          <w:p w14:paraId="5D4F93E6" w14:textId="77777777" w:rsidR="00EB5CBD" w:rsidRDefault="00EA4CEB" w:rsidP="007E709B">
            <w:pPr>
              <w:bidi/>
              <w:spacing w:after="60" w:line="320" w:lineRule="auto"/>
              <w:jc w:val="center"/>
            </w:pPr>
            <w:r>
              <w:rPr>
                <w:sz w:val="21"/>
                <w:szCs w:val="21"/>
              </w:rPr>
              <w:t>20%</w:t>
            </w:r>
          </w:p>
        </w:tc>
      </w:tr>
      <w:tr w:rsidR="00EB5CBD" w14:paraId="1C51790A" w14:textId="77777777" w:rsidTr="007E709B">
        <w:trPr>
          <w:jc w:val="center"/>
        </w:trPr>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32F1B9BE" w14:textId="77777777" w:rsidR="00EB5CBD" w:rsidRDefault="00EA4CEB" w:rsidP="007E709B">
            <w:pPr>
              <w:bidi/>
              <w:spacing w:after="60" w:line="320" w:lineRule="auto"/>
              <w:jc w:val="center"/>
            </w:pPr>
            <w:r>
              <w:rPr>
                <w:sz w:val="21"/>
                <w:szCs w:val="21"/>
              </w:rPr>
              <w:t>الإجمالي</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7E6F756D" w14:textId="77777777" w:rsidR="00EB5CBD" w:rsidRDefault="00EA4CEB" w:rsidP="007E709B">
            <w:pPr>
              <w:bidi/>
              <w:spacing w:after="60" w:line="320" w:lineRule="auto"/>
              <w:jc w:val="center"/>
            </w:pPr>
            <w:r>
              <w:rPr>
                <w:sz w:val="21"/>
                <w:szCs w:val="21"/>
              </w:rPr>
              <w:t>—</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14F8DAC6" w14:textId="77777777" w:rsidR="00EB5CBD" w:rsidRDefault="00EA4CEB" w:rsidP="007E709B">
            <w:pPr>
              <w:bidi/>
              <w:spacing w:after="60" w:line="320" w:lineRule="auto"/>
              <w:jc w:val="center"/>
            </w:pPr>
            <w:r>
              <w:rPr>
                <w:sz w:val="21"/>
                <w:szCs w:val="21"/>
              </w:rPr>
              <w:t>300</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Pr>
          <w:p w14:paraId="29EDA14B" w14:textId="77777777" w:rsidR="00EB5CBD" w:rsidRDefault="00EA4CEB" w:rsidP="007E709B">
            <w:pPr>
              <w:bidi/>
              <w:spacing w:after="60" w:line="320" w:lineRule="auto"/>
              <w:jc w:val="center"/>
            </w:pPr>
            <w:r>
              <w:rPr>
                <w:sz w:val="21"/>
                <w:szCs w:val="21"/>
              </w:rPr>
              <w:t>100%</w:t>
            </w:r>
          </w:p>
        </w:tc>
      </w:tr>
    </w:tbl>
    <w:p w14:paraId="7C9D3059" w14:textId="77777777" w:rsidR="00EB5CBD" w:rsidRDefault="00EB5CBD">
      <w:pPr>
        <w:spacing w:after="160"/>
      </w:pPr>
    </w:p>
    <w:p w14:paraId="3554BD9E" w14:textId="77777777" w:rsidR="00EB5CBD" w:rsidRDefault="00EA4CEB">
      <w:pPr>
        <w:bidi/>
        <w:spacing w:after="160" w:line="320" w:lineRule="auto"/>
        <w:jc w:val="both"/>
      </w:pPr>
      <w:r>
        <w:t>وزن كل قطاع في هذه الخطة قائم على تقريب أولي لأوزان القطاعات في مجتمع المنشآت الصغيرة والمتوسطة كما توحي به توزيعات «منشآت» الجغرافية والقطاعية العامة، لا على وزن دقيق موثق لكل قطاع على حدة؛ وسيُعاد ضبط هذه الحصص إذا توافرت عند التنفيذ بيانات أدق عن توزيع المجتمع الفعلي حسب القطاع.</w:t>
      </w:r>
    </w:p>
    <w:p w14:paraId="0EFB36D6" w14:textId="77777777" w:rsidR="00EB5CBD" w:rsidRDefault="00EA4CEB" w:rsidP="007E709B">
      <w:pPr>
        <w:bidi/>
        <w:spacing w:after="140" w:line="320" w:lineRule="auto"/>
      </w:pPr>
      <w:r>
        <w:rPr>
          <w:b/>
          <w:bCs/>
          <w:sz w:val="25"/>
          <w:szCs w:val="25"/>
        </w:rPr>
        <w:t>‏3.7.4 كفاية العينة للمقارنات بين المجموعات</w:t>
      </w:r>
    </w:p>
    <w:p w14:paraId="56735A73" w14:textId="77777777" w:rsidR="00EB5CBD" w:rsidRDefault="00EA4CEB">
      <w:pPr>
        <w:bidi/>
        <w:spacing w:after="160" w:line="320" w:lineRule="auto"/>
        <w:jc w:val="both"/>
      </w:pPr>
      <w:r>
        <w:t>تشمل خطة التحليل مقارنات بين مجموعات فرعية (مستويات تبني الذكاء الاصطناعي الثلاثة، والقطاعات الثلاثة). تقسيم عينة مستهدفة قدرها 300 مفردة إلى هذه المجموعات قد يُنتج مجموعات فرعية صغيرة تضعف القوة الإحصائية لكل مقارنة على حدة. لذلك:</w:t>
      </w:r>
    </w:p>
    <w:p w14:paraId="2261DC26" w14:textId="77777777" w:rsidR="00EB5CBD" w:rsidRDefault="00EA4CEB">
      <w:pPr>
        <w:pStyle w:val="ListParagraph"/>
        <w:numPr>
          <w:ilvl w:val="0"/>
          <w:numId w:val="2"/>
        </w:numPr>
        <w:bidi/>
        <w:spacing w:after="100" w:line="300" w:lineRule="auto"/>
        <w:jc w:val="both"/>
      </w:pPr>
      <w:r>
        <w:t>سيُحدد العدد المتوقع في كل مجموعة فرعية بناءً على التوزيع الفعلي للاستجابات بعد جمع البيانات.</w:t>
      </w:r>
    </w:p>
    <w:p w14:paraId="1F4766A3" w14:textId="77777777" w:rsidR="00EB5CBD" w:rsidRDefault="00EA4CEB">
      <w:pPr>
        <w:pStyle w:val="ListParagraph"/>
        <w:numPr>
          <w:ilvl w:val="0"/>
          <w:numId w:val="2"/>
        </w:numPr>
        <w:bidi/>
        <w:spacing w:after="100" w:line="300" w:lineRule="auto"/>
        <w:jc w:val="both"/>
      </w:pPr>
      <w:r>
        <w:t>سيُعاد تشغيل تحليل القوة الإحصائية لكل مقارنة بين مجموعتين على حدة، لا للنموذج الكلي فقط.</w:t>
      </w:r>
    </w:p>
    <w:p w14:paraId="113943F9" w14:textId="77777777" w:rsidR="00EB5CBD" w:rsidRDefault="00EA4CEB">
      <w:pPr>
        <w:pStyle w:val="ListParagraph"/>
        <w:numPr>
          <w:ilvl w:val="0"/>
          <w:numId w:val="2"/>
        </w:numPr>
        <w:bidi/>
        <w:spacing w:after="100" w:line="300" w:lineRule="auto"/>
        <w:jc w:val="both"/>
      </w:pPr>
      <w:r>
        <w:t>لن تُجرى مقارنة بين مجموعتين إذا قل حجم إحداهما عن الحد الأدنى المطلوب لتلك المقارنة تحديدًا وفق نتيجة تحليل القوة.</w:t>
      </w:r>
    </w:p>
    <w:p w14:paraId="5CF1693E" w14:textId="77777777" w:rsidR="00EB5CBD" w:rsidRDefault="00EA4CEB">
      <w:pPr>
        <w:pStyle w:val="ListParagraph"/>
        <w:numPr>
          <w:ilvl w:val="0"/>
          <w:numId w:val="2"/>
        </w:numPr>
        <w:bidi/>
        <w:spacing w:after="100" w:line="300" w:lineRule="auto"/>
        <w:jc w:val="both"/>
      </w:pPr>
      <w:r>
        <w:t>الحد الأدنى المبدئي المقبول لكل مجموعة فرعية هو 30 مفردة، وهو حد تقريبي سيُراجع في ضوء تحليل القوة الفعلي.</w:t>
      </w:r>
    </w:p>
    <w:p w14:paraId="345F5BCC" w14:textId="77777777" w:rsidR="00EB5CBD" w:rsidRDefault="00EA4CEB">
      <w:pPr>
        <w:pStyle w:val="ListParagraph"/>
        <w:numPr>
          <w:ilvl w:val="0"/>
          <w:numId w:val="2"/>
        </w:numPr>
        <w:bidi/>
        <w:spacing w:after="100" w:line="300" w:lineRule="auto"/>
        <w:jc w:val="both"/>
      </w:pPr>
      <w:r>
        <w:t>لن تُنشأ فئات إضافية (مثل تقاطع القطاع مع مستوى التبني) ما لم تتوافر أحجام كافية في كل خلية؛ ويُفضَّل عدد محدود من المجموعات على تعدد الفئات الذي يُفقد القوة الإحصائية.</w:t>
      </w:r>
    </w:p>
    <w:p w14:paraId="495166A5" w14:textId="77777777" w:rsidR="00EB5CBD" w:rsidRDefault="00EA4CEB" w:rsidP="007E709B">
      <w:pPr>
        <w:bidi/>
        <w:spacing w:after="140" w:line="320" w:lineRule="auto"/>
      </w:pPr>
      <w:r>
        <w:rPr>
          <w:b/>
          <w:bCs/>
          <w:sz w:val="25"/>
          <w:szCs w:val="25"/>
        </w:rPr>
        <w:t>‏3.7.5 توثيق العدد النهائي للعينة (يُستكمل بعد جمع البيانات)</w:t>
      </w:r>
    </w:p>
    <w:p w14:paraId="52DB90FF" w14:textId="77777777" w:rsidR="00EB5CBD" w:rsidRDefault="00EA4CEB">
      <w:pPr>
        <w:bidi/>
        <w:spacing w:after="160" w:line="320" w:lineRule="auto"/>
        <w:jc w:val="both"/>
      </w:pPr>
      <w:r>
        <w:t>بعد إتمام جمع البيانات، سيُستبدل هذا القسم بجدول يوثق: عدد الاستبانات الموزعة، عدد الاستبانات المستردة، عدد الاستبانات المستبعدة وأسباب كل استبعاد، معدل الاستجابة الكلي، عدد الاستجابات الصالحة في كل قطاع ومدينة، ومدى كفاية العدد النهائي للتحليلات الفرعية المخطط لها في الفقرة 3.7.4. كما سيُدرج، عند الحاجة، تحليل قوة فعلي بعدي (Post-hoc Power Analysis) للتحقق من كفاية العينة المتحصلة فعليًا لاختبار الفرضيات الرئيسية.</w:t>
      </w:r>
    </w:p>
    <w:p w14:paraId="4C56644C" w14:textId="77777777" w:rsidR="00EB5CBD" w:rsidRDefault="00EA4CEB" w:rsidP="007E709B">
      <w:pPr>
        <w:bidi/>
        <w:spacing w:after="160" w:line="320" w:lineRule="auto"/>
      </w:pPr>
      <w:r>
        <w:rPr>
          <w:b/>
          <w:bCs/>
          <w:sz w:val="28"/>
          <w:szCs w:val="28"/>
        </w:rPr>
        <w:t>‏3.8 متغيرات الدراسة وتعريفاتها الإجرائية</w:t>
      </w:r>
    </w:p>
    <w:p w14:paraId="29529366" w14:textId="77777777" w:rsidR="00EB5CBD" w:rsidRDefault="00EA4CEB">
      <w:pPr>
        <w:bidi/>
        <w:spacing w:after="160" w:line="320" w:lineRule="auto"/>
        <w:jc w:val="both"/>
      </w:pPr>
      <w:r>
        <w:t>قُيست المتغيرات، حسب الخطة، اعتمادًا على مقاييس معتمدة في أدبيات التسويق الرقمي والذكاء الاصطناعي، مُكيّفة لتناسب البيئة السعودية، وصيغت باستخدام مقياس ليكرت الخماسي (1 = أعارض بشدة، 5 = أوافق بشدة).</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300"/>
        <w:gridCol w:w="2600"/>
        <w:gridCol w:w="1600"/>
        <w:gridCol w:w="1400"/>
      </w:tblGrid>
      <w:tr w:rsidR="00EB5CBD" w14:paraId="7FEB307D" w14:textId="77777777">
        <w:trPr>
          <w:tblHeader/>
        </w:trPr>
        <w:tc>
          <w:tcPr>
            <w:tcW w:w="1900" w:type="dxa"/>
            <w:tcBorders>
              <w:top w:val="single" w:sz="4" w:space="0" w:color="999999"/>
              <w:left w:val="single" w:sz="4" w:space="0" w:color="999999"/>
              <w:bottom w:val="single" w:sz="4" w:space="0" w:color="999999"/>
              <w:right w:val="single" w:sz="4" w:space="0" w:color="999999"/>
            </w:tcBorders>
            <w:shd w:val="clear" w:color="auto" w:fill="2F5496"/>
          </w:tcPr>
          <w:p w14:paraId="5FED7716" w14:textId="77777777" w:rsidR="00EB5CBD" w:rsidRDefault="00EA4CEB" w:rsidP="007E709B">
            <w:pPr>
              <w:bidi/>
              <w:spacing w:after="60" w:line="320" w:lineRule="auto"/>
            </w:pPr>
            <w:r>
              <w:rPr>
                <w:b/>
                <w:bCs/>
                <w:color w:val="FFFFFF"/>
                <w:sz w:val="21"/>
                <w:szCs w:val="21"/>
              </w:rPr>
              <w:t>المتغير</w:t>
            </w:r>
          </w:p>
        </w:tc>
        <w:tc>
          <w:tcPr>
            <w:tcW w:w="1300" w:type="dxa"/>
            <w:tcBorders>
              <w:top w:val="single" w:sz="4" w:space="0" w:color="999999"/>
              <w:left w:val="single" w:sz="4" w:space="0" w:color="999999"/>
              <w:bottom w:val="single" w:sz="4" w:space="0" w:color="999999"/>
              <w:right w:val="single" w:sz="4" w:space="0" w:color="999999"/>
            </w:tcBorders>
            <w:shd w:val="clear" w:color="auto" w:fill="2F5496"/>
          </w:tcPr>
          <w:p w14:paraId="33FE6853" w14:textId="77777777" w:rsidR="00EB5CBD" w:rsidRDefault="00EA4CEB" w:rsidP="007E709B">
            <w:pPr>
              <w:bidi/>
              <w:spacing w:after="60" w:line="320" w:lineRule="auto"/>
              <w:jc w:val="center"/>
            </w:pPr>
            <w:r>
              <w:rPr>
                <w:b/>
                <w:bCs/>
                <w:color w:val="FFFFFF"/>
                <w:sz w:val="21"/>
                <w:szCs w:val="21"/>
              </w:rPr>
              <w:t>نوع المتغير</w:t>
            </w:r>
          </w:p>
        </w:tc>
        <w:tc>
          <w:tcPr>
            <w:tcW w:w="2600" w:type="dxa"/>
            <w:tcBorders>
              <w:top w:val="single" w:sz="4" w:space="0" w:color="999999"/>
              <w:left w:val="single" w:sz="4" w:space="0" w:color="999999"/>
              <w:bottom w:val="single" w:sz="4" w:space="0" w:color="999999"/>
              <w:right w:val="single" w:sz="4" w:space="0" w:color="999999"/>
            </w:tcBorders>
            <w:shd w:val="clear" w:color="auto" w:fill="2F5496"/>
          </w:tcPr>
          <w:p w14:paraId="41F5101E" w14:textId="77777777" w:rsidR="00EB5CBD" w:rsidRDefault="00EA4CEB">
            <w:pPr>
              <w:bidi/>
              <w:spacing w:after="60" w:line="320" w:lineRule="auto"/>
              <w:jc w:val="center"/>
            </w:pPr>
            <w:r>
              <w:rPr>
                <w:b/>
                <w:bCs/>
                <w:color w:val="FFFFFF"/>
                <w:sz w:val="21"/>
                <w:szCs w:val="21"/>
              </w:rPr>
              <w:t>الأبعاد الفرعية</w:t>
            </w:r>
          </w:p>
        </w:tc>
        <w:tc>
          <w:tcPr>
            <w:tcW w:w="1600" w:type="dxa"/>
            <w:tcBorders>
              <w:top w:val="single" w:sz="4" w:space="0" w:color="999999"/>
              <w:left w:val="single" w:sz="4" w:space="0" w:color="999999"/>
              <w:bottom w:val="single" w:sz="4" w:space="0" w:color="999999"/>
              <w:right w:val="single" w:sz="4" w:space="0" w:color="999999"/>
            </w:tcBorders>
            <w:shd w:val="clear" w:color="auto" w:fill="2F5496"/>
          </w:tcPr>
          <w:p w14:paraId="7178322D" w14:textId="77777777" w:rsidR="00EB5CBD" w:rsidRDefault="00EA4CEB" w:rsidP="007E709B">
            <w:pPr>
              <w:bidi/>
              <w:spacing w:after="60" w:line="320" w:lineRule="auto"/>
              <w:jc w:val="center"/>
            </w:pPr>
            <w:r>
              <w:rPr>
                <w:b/>
                <w:bCs/>
                <w:color w:val="FFFFFF"/>
                <w:sz w:val="21"/>
                <w:szCs w:val="21"/>
              </w:rPr>
              <w:t>عدد الفقرات</w:t>
            </w:r>
          </w:p>
        </w:tc>
        <w:tc>
          <w:tcPr>
            <w:tcW w:w="1400" w:type="dxa"/>
            <w:tcBorders>
              <w:top w:val="single" w:sz="4" w:space="0" w:color="999999"/>
              <w:left w:val="single" w:sz="4" w:space="0" w:color="999999"/>
              <w:bottom w:val="single" w:sz="4" w:space="0" w:color="999999"/>
              <w:right w:val="single" w:sz="4" w:space="0" w:color="999999"/>
            </w:tcBorders>
            <w:shd w:val="clear" w:color="auto" w:fill="2F5496"/>
          </w:tcPr>
          <w:p w14:paraId="2B29DC0A" w14:textId="77777777" w:rsidR="00EB5CBD" w:rsidRDefault="00EA4CEB" w:rsidP="007E709B">
            <w:pPr>
              <w:bidi/>
              <w:spacing w:after="60" w:line="320" w:lineRule="auto"/>
              <w:jc w:val="center"/>
            </w:pPr>
            <w:r>
              <w:rPr>
                <w:b/>
                <w:bCs/>
                <w:color w:val="FFFFFF"/>
                <w:sz w:val="21"/>
                <w:szCs w:val="21"/>
              </w:rPr>
              <w:t>مصدر المقياس</w:t>
            </w:r>
          </w:p>
        </w:tc>
      </w:tr>
      <w:tr w:rsidR="00EB5CBD" w14:paraId="47FDB47F" w14:textId="77777777">
        <w:tc>
          <w:tcPr>
            <w:tcW w:w="1900" w:type="dxa"/>
            <w:tcBorders>
              <w:top w:val="single" w:sz="4" w:space="0" w:color="999999"/>
              <w:left w:val="single" w:sz="4" w:space="0" w:color="999999"/>
              <w:bottom w:val="single" w:sz="4" w:space="0" w:color="999999"/>
              <w:right w:val="single" w:sz="4" w:space="0" w:color="999999"/>
            </w:tcBorders>
          </w:tcPr>
          <w:p w14:paraId="7CB028D6" w14:textId="77777777" w:rsidR="00EB5CBD" w:rsidRDefault="00EA4CEB" w:rsidP="007E709B">
            <w:pPr>
              <w:bidi/>
              <w:spacing w:after="60" w:line="320" w:lineRule="auto"/>
            </w:pPr>
            <w:r>
              <w:rPr>
                <w:sz w:val="21"/>
                <w:szCs w:val="21"/>
              </w:rPr>
              <w:t>تبنّي تقنيات الذكاء الاصطناعي (AI Adoption)</w:t>
            </w:r>
          </w:p>
        </w:tc>
        <w:tc>
          <w:tcPr>
            <w:tcW w:w="1300" w:type="dxa"/>
            <w:tcBorders>
              <w:top w:val="single" w:sz="4" w:space="0" w:color="999999"/>
              <w:left w:val="single" w:sz="4" w:space="0" w:color="999999"/>
              <w:bottom w:val="single" w:sz="4" w:space="0" w:color="999999"/>
              <w:right w:val="single" w:sz="4" w:space="0" w:color="999999"/>
            </w:tcBorders>
          </w:tcPr>
          <w:p w14:paraId="0D1B9CA5" w14:textId="77777777" w:rsidR="00EB5CBD" w:rsidRDefault="00EA4CEB" w:rsidP="007E709B">
            <w:pPr>
              <w:bidi/>
              <w:spacing w:after="60" w:line="320" w:lineRule="auto"/>
              <w:jc w:val="center"/>
            </w:pPr>
            <w:r>
              <w:rPr>
                <w:sz w:val="21"/>
                <w:szCs w:val="21"/>
              </w:rPr>
              <w:t>مستقل</w:t>
            </w:r>
          </w:p>
        </w:tc>
        <w:tc>
          <w:tcPr>
            <w:tcW w:w="2600" w:type="dxa"/>
            <w:tcBorders>
              <w:top w:val="single" w:sz="4" w:space="0" w:color="999999"/>
              <w:left w:val="single" w:sz="4" w:space="0" w:color="999999"/>
              <w:bottom w:val="single" w:sz="4" w:space="0" w:color="999999"/>
              <w:right w:val="single" w:sz="4" w:space="0" w:color="999999"/>
            </w:tcBorders>
          </w:tcPr>
          <w:p w14:paraId="77552601" w14:textId="77777777" w:rsidR="00EB5CBD" w:rsidRDefault="00EA4CEB" w:rsidP="007E709B">
            <w:pPr>
              <w:bidi/>
              <w:spacing w:after="60" w:line="320" w:lineRule="auto"/>
            </w:pPr>
            <w:r>
              <w:rPr>
                <w:sz w:val="21"/>
                <w:szCs w:val="21"/>
              </w:rPr>
              <w:t>سهولة الاستخدام المتوقعة؛ الفائدة المتوقعة؛ الجاهزية التكنولوجية</w:t>
            </w:r>
          </w:p>
        </w:tc>
        <w:tc>
          <w:tcPr>
            <w:tcW w:w="1600" w:type="dxa"/>
            <w:tcBorders>
              <w:top w:val="single" w:sz="4" w:space="0" w:color="999999"/>
              <w:left w:val="single" w:sz="4" w:space="0" w:color="999999"/>
              <w:bottom w:val="single" w:sz="4" w:space="0" w:color="999999"/>
              <w:right w:val="single" w:sz="4" w:space="0" w:color="999999"/>
            </w:tcBorders>
          </w:tcPr>
          <w:p w14:paraId="189FD9D2" w14:textId="77777777" w:rsidR="00EB5CBD" w:rsidRDefault="00EA4CEB" w:rsidP="007E709B">
            <w:pPr>
              <w:bidi/>
              <w:spacing w:after="60" w:line="320" w:lineRule="auto"/>
              <w:jc w:val="center"/>
            </w:pPr>
            <w:r>
              <w:rPr>
                <w:sz w:val="21"/>
                <w:szCs w:val="21"/>
              </w:rPr>
              <w:t>8</w:t>
            </w:r>
          </w:p>
        </w:tc>
        <w:tc>
          <w:tcPr>
            <w:tcW w:w="1400" w:type="dxa"/>
            <w:tcBorders>
              <w:top w:val="single" w:sz="4" w:space="0" w:color="999999"/>
              <w:left w:val="single" w:sz="4" w:space="0" w:color="999999"/>
              <w:bottom w:val="single" w:sz="4" w:space="0" w:color="999999"/>
              <w:right w:val="single" w:sz="4" w:space="0" w:color="999999"/>
            </w:tcBorders>
          </w:tcPr>
          <w:p w14:paraId="4773FEAB" w14:textId="77777777" w:rsidR="00EB5CBD" w:rsidRDefault="00EA4CEB" w:rsidP="007E709B">
            <w:pPr>
              <w:bidi/>
              <w:spacing w:after="60" w:line="320" w:lineRule="auto"/>
              <w:jc w:val="center"/>
            </w:pPr>
            <w:r>
              <w:rPr>
                <w:sz w:val="21"/>
                <w:szCs w:val="21"/>
              </w:rPr>
              <w:t>Davis (1989)؛ Venkatesh et al. (2003)</w:t>
            </w:r>
          </w:p>
        </w:tc>
      </w:tr>
      <w:tr w:rsidR="00EB5CBD" w14:paraId="12F9CFA4" w14:textId="77777777">
        <w:tc>
          <w:tcPr>
            <w:tcW w:w="1900" w:type="dxa"/>
            <w:tcBorders>
              <w:top w:val="single" w:sz="4" w:space="0" w:color="999999"/>
              <w:left w:val="single" w:sz="4" w:space="0" w:color="999999"/>
              <w:bottom w:val="single" w:sz="4" w:space="0" w:color="999999"/>
              <w:right w:val="single" w:sz="4" w:space="0" w:color="999999"/>
            </w:tcBorders>
            <w:shd w:val="clear" w:color="auto" w:fill="F2F2F2"/>
          </w:tcPr>
          <w:p w14:paraId="6B0245D3" w14:textId="77777777" w:rsidR="00EB5CBD" w:rsidRDefault="00EA4CEB" w:rsidP="007E709B">
            <w:pPr>
              <w:bidi/>
              <w:spacing w:after="60" w:line="320" w:lineRule="auto"/>
            </w:pPr>
            <w:r>
              <w:rPr>
                <w:sz w:val="21"/>
                <w:szCs w:val="21"/>
              </w:rPr>
              <w:t>التسويق الرقمي (Digital Marketing)</w:t>
            </w:r>
          </w:p>
        </w:tc>
        <w:tc>
          <w:tcPr>
            <w:tcW w:w="1300" w:type="dxa"/>
            <w:tcBorders>
              <w:top w:val="single" w:sz="4" w:space="0" w:color="999999"/>
              <w:left w:val="single" w:sz="4" w:space="0" w:color="999999"/>
              <w:bottom w:val="single" w:sz="4" w:space="0" w:color="999999"/>
              <w:right w:val="single" w:sz="4" w:space="0" w:color="999999"/>
            </w:tcBorders>
            <w:shd w:val="clear" w:color="auto" w:fill="F2F2F2"/>
          </w:tcPr>
          <w:p w14:paraId="513D99C0" w14:textId="77777777" w:rsidR="00EB5CBD" w:rsidRDefault="00EA4CEB" w:rsidP="007E709B">
            <w:pPr>
              <w:bidi/>
              <w:spacing w:after="60" w:line="320" w:lineRule="auto"/>
              <w:jc w:val="center"/>
            </w:pPr>
            <w:r>
              <w:rPr>
                <w:sz w:val="21"/>
                <w:szCs w:val="21"/>
              </w:rPr>
              <w:t>وسيط</w:t>
            </w:r>
          </w:p>
        </w:tc>
        <w:tc>
          <w:tcPr>
            <w:tcW w:w="2600" w:type="dxa"/>
            <w:tcBorders>
              <w:top w:val="single" w:sz="4" w:space="0" w:color="999999"/>
              <w:left w:val="single" w:sz="4" w:space="0" w:color="999999"/>
              <w:bottom w:val="single" w:sz="4" w:space="0" w:color="999999"/>
              <w:right w:val="single" w:sz="4" w:space="0" w:color="999999"/>
            </w:tcBorders>
            <w:shd w:val="clear" w:color="auto" w:fill="F2F2F2"/>
          </w:tcPr>
          <w:p w14:paraId="43403C62" w14:textId="77777777" w:rsidR="00EB5CBD" w:rsidRDefault="00EA4CEB" w:rsidP="007E709B">
            <w:pPr>
              <w:bidi/>
              <w:spacing w:after="60" w:line="320" w:lineRule="auto"/>
            </w:pPr>
            <w:r>
              <w:rPr>
                <w:sz w:val="21"/>
                <w:szCs w:val="21"/>
              </w:rPr>
              <w:t>الحملات الإعلانية الرقمية؛ إدارة قنوات التواصل؛ تخصيص تجربة العميل</w:t>
            </w:r>
          </w:p>
        </w:tc>
        <w:tc>
          <w:tcPr>
            <w:tcW w:w="1600" w:type="dxa"/>
            <w:tcBorders>
              <w:top w:val="single" w:sz="4" w:space="0" w:color="999999"/>
              <w:left w:val="single" w:sz="4" w:space="0" w:color="999999"/>
              <w:bottom w:val="single" w:sz="4" w:space="0" w:color="999999"/>
              <w:right w:val="single" w:sz="4" w:space="0" w:color="999999"/>
            </w:tcBorders>
            <w:shd w:val="clear" w:color="auto" w:fill="F2F2F2"/>
          </w:tcPr>
          <w:p w14:paraId="12594915" w14:textId="77777777" w:rsidR="00EB5CBD" w:rsidRDefault="00EA4CEB" w:rsidP="007E709B">
            <w:pPr>
              <w:bidi/>
              <w:spacing w:after="60" w:line="320" w:lineRule="auto"/>
              <w:jc w:val="center"/>
            </w:pPr>
            <w:r>
              <w:rPr>
                <w:sz w:val="21"/>
                <w:szCs w:val="21"/>
              </w:rPr>
              <w:t>5</w:t>
            </w:r>
          </w:p>
        </w:tc>
        <w:tc>
          <w:tcPr>
            <w:tcW w:w="1400" w:type="dxa"/>
            <w:tcBorders>
              <w:top w:val="single" w:sz="4" w:space="0" w:color="999999"/>
              <w:left w:val="single" w:sz="4" w:space="0" w:color="999999"/>
              <w:bottom w:val="single" w:sz="4" w:space="0" w:color="999999"/>
              <w:right w:val="single" w:sz="4" w:space="0" w:color="999999"/>
            </w:tcBorders>
            <w:shd w:val="clear" w:color="auto" w:fill="F2F2F2"/>
          </w:tcPr>
          <w:p w14:paraId="06555711" w14:textId="77777777" w:rsidR="00EB5CBD" w:rsidRDefault="00EA4CEB" w:rsidP="007E709B">
            <w:pPr>
              <w:bidi/>
              <w:spacing w:after="60" w:line="320" w:lineRule="auto"/>
              <w:jc w:val="center"/>
            </w:pPr>
            <w:r>
              <w:rPr>
                <w:sz w:val="21"/>
                <w:szCs w:val="21"/>
              </w:rPr>
              <w:t>Chaffey &amp; Ellis-Chadwick (2019)</w:t>
            </w:r>
          </w:p>
        </w:tc>
      </w:tr>
      <w:tr w:rsidR="00EB5CBD" w14:paraId="07B9BBDA" w14:textId="77777777">
        <w:tc>
          <w:tcPr>
            <w:tcW w:w="1900" w:type="dxa"/>
            <w:tcBorders>
              <w:top w:val="single" w:sz="4" w:space="0" w:color="999999"/>
              <w:left w:val="single" w:sz="4" w:space="0" w:color="999999"/>
              <w:bottom w:val="single" w:sz="4" w:space="0" w:color="999999"/>
              <w:right w:val="single" w:sz="4" w:space="0" w:color="999999"/>
            </w:tcBorders>
          </w:tcPr>
          <w:p w14:paraId="149F7D5B" w14:textId="77777777" w:rsidR="00EB5CBD" w:rsidRDefault="00EA4CEB" w:rsidP="007E709B">
            <w:pPr>
              <w:bidi/>
              <w:spacing w:after="60" w:line="320" w:lineRule="auto"/>
            </w:pPr>
            <w:r>
              <w:rPr>
                <w:sz w:val="21"/>
                <w:szCs w:val="21"/>
              </w:rPr>
              <w:t>الأداء التسويقي (Marketing Performance)</w:t>
            </w:r>
          </w:p>
        </w:tc>
        <w:tc>
          <w:tcPr>
            <w:tcW w:w="1300" w:type="dxa"/>
            <w:tcBorders>
              <w:top w:val="single" w:sz="4" w:space="0" w:color="999999"/>
              <w:left w:val="single" w:sz="4" w:space="0" w:color="999999"/>
              <w:bottom w:val="single" w:sz="4" w:space="0" w:color="999999"/>
              <w:right w:val="single" w:sz="4" w:space="0" w:color="999999"/>
            </w:tcBorders>
          </w:tcPr>
          <w:p w14:paraId="4598B711" w14:textId="77777777" w:rsidR="00EB5CBD" w:rsidRDefault="00EA4CEB" w:rsidP="007E709B">
            <w:pPr>
              <w:bidi/>
              <w:spacing w:after="60" w:line="320" w:lineRule="auto"/>
              <w:jc w:val="center"/>
            </w:pPr>
            <w:r>
              <w:rPr>
                <w:sz w:val="21"/>
                <w:szCs w:val="21"/>
              </w:rPr>
              <w:t>تابع</w:t>
            </w:r>
          </w:p>
        </w:tc>
        <w:tc>
          <w:tcPr>
            <w:tcW w:w="2600" w:type="dxa"/>
            <w:tcBorders>
              <w:top w:val="single" w:sz="4" w:space="0" w:color="999999"/>
              <w:left w:val="single" w:sz="4" w:space="0" w:color="999999"/>
              <w:bottom w:val="single" w:sz="4" w:space="0" w:color="999999"/>
              <w:right w:val="single" w:sz="4" w:space="0" w:color="999999"/>
            </w:tcBorders>
          </w:tcPr>
          <w:p w14:paraId="0EB3EB0F" w14:textId="77777777" w:rsidR="00EB5CBD" w:rsidRDefault="00EA4CEB" w:rsidP="007E709B">
            <w:pPr>
              <w:bidi/>
              <w:spacing w:after="60" w:line="320" w:lineRule="auto"/>
            </w:pPr>
            <w:r>
              <w:rPr>
                <w:sz w:val="21"/>
                <w:szCs w:val="21"/>
              </w:rPr>
              <w:t>رضا العملاء ومعدل الاحتفاظ؛ كفاءة الحملات التسويقية؛ العائد على الاستثمار التسويقي (ROI)</w:t>
            </w:r>
          </w:p>
        </w:tc>
        <w:tc>
          <w:tcPr>
            <w:tcW w:w="1600" w:type="dxa"/>
            <w:tcBorders>
              <w:top w:val="single" w:sz="4" w:space="0" w:color="999999"/>
              <w:left w:val="single" w:sz="4" w:space="0" w:color="999999"/>
              <w:bottom w:val="single" w:sz="4" w:space="0" w:color="999999"/>
              <w:right w:val="single" w:sz="4" w:space="0" w:color="999999"/>
            </w:tcBorders>
          </w:tcPr>
          <w:p w14:paraId="274D56CC" w14:textId="77777777" w:rsidR="00EB5CBD" w:rsidRDefault="00EA4CEB" w:rsidP="007E709B">
            <w:pPr>
              <w:bidi/>
              <w:spacing w:after="60" w:line="320" w:lineRule="auto"/>
              <w:jc w:val="center"/>
            </w:pPr>
            <w:r>
              <w:rPr>
                <w:sz w:val="21"/>
                <w:szCs w:val="21"/>
              </w:rPr>
              <w:t>4</w:t>
            </w:r>
          </w:p>
        </w:tc>
        <w:tc>
          <w:tcPr>
            <w:tcW w:w="1400" w:type="dxa"/>
            <w:tcBorders>
              <w:top w:val="single" w:sz="4" w:space="0" w:color="999999"/>
              <w:left w:val="single" w:sz="4" w:space="0" w:color="999999"/>
              <w:bottom w:val="single" w:sz="4" w:space="0" w:color="999999"/>
              <w:right w:val="single" w:sz="4" w:space="0" w:color="999999"/>
            </w:tcBorders>
          </w:tcPr>
          <w:p w14:paraId="5D079A5D" w14:textId="77777777" w:rsidR="00EB5CBD" w:rsidRDefault="00EA4CEB" w:rsidP="007E709B">
            <w:pPr>
              <w:bidi/>
              <w:spacing w:after="60" w:line="320" w:lineRule="auto"/>
              <w:jc w:val="center"/>
            </w:pPr>
            <w:r>
              <w:rPr>
                <w:sz w:val="21"/>
                <w:szCs w:val="21"/>
              </w:rPr>
              <w:t>Katsikeas et al. (2016)</w:t>
            </w:r>
          </w:p>
        </w:tc>
      </w:tr>
    </w:tbl>
    <w:p w14:paraId="7B685A68" w14:textId="77777777" w:rsidR="00EB5CBD" w:rsidRDefault="00EB5CBD">
      <w:pPr>
        <w:spacing w:after="160"/>
      </w:pPr>
    </w:p>
    <w:p w14:paraId="6D613B2B" w14:textId="77777777" w:rsidR="00EB5CBD" w:rsidRDefault="00EA4CEB" w:rsidP="007E709B">
      <w:pPr>
        <w:bidi/>
        <w:spacing w:after="140" w:line="320" w:lineRule="auto"/>
      </w:pPr>
      <w:r>
        <w:rPr>
          <w:b/>
          <w:bCs/>
          <w:sz w:val="25"/>
          <w:szCs w:val="25"/>
        </w:rPr>
        <w:t>‏3.8.1 طبيعة نموذج القياس</w:t>
      </w:r>
    </w:p>
    <w:p w14:paraId="4627D655" w14:textId="77777777" w:rsidR="00EB5CBD" w:rsidRDefault="00EA4CEB">
      <w:pPr>
        <w:bidi/>
        <w:spacing w:after="160" w:line="320" w:lineRule="auto"/>
        <w:jc w:val="both"/>
      </w:pPr>
      <w:r>
        <w:t>تُعامَل المتغيرات الثلاثة، وفق التصميم الحالي، بوصفها مقاييس انعكاسية (Reflective)؛ أي أن فقرات كل بُعد تُفترض أنها انعكاس لمتغير كامن واحد لا مكوّنات مستقلة تُشكّله. هذا الافتراض قائم على أن فقرات كل بُعد (كسهولة الاستخدام المتوقعة أو رضا العملاء) مترابطة داخليًا ومتبادلة قابلية الحذف دون فقدان جوهر المفهوم، وهو ما ستؤكده أو تنفيه نتائج التحقق من الصدق التقاربي والاتساق الداخلي (الفقرة 3.12.2). في حال أظهر التحليل الاستكشافي الأولي أن أحد الأبعاد (مثل الجاهزية التكنولوجية، التي قد تجمع عناصر متغايرة كالبنية التحتية والكفاءات البشرية والدعم الإداري) أقرب إلى طبيعة تكوينية (Formative)، فسيُعاد تصنيفه، وتُستخدم عندها معايير تقييم مختلفة (الوزن الخارجي Outer Weights، ومعامل تضخم التباين الداخلي Inner VIF، بدلًا من التحميلات الخارجية ومتوسط التباين المستخرج)، دون تطبيق معايير المقاييس الانعكاسية على مقياس تكويني.</w:t>
      </w:r>
    </w:p>
    <w:p w14:paraId="01566282" w14:textId="77777777" w:rsidR="00EB5CBD" w:rsidRDefault="00EA4CEB">
      <w:pPr>
        <w:bidi/>
        <w:spacing w:after="160" w:line="320" w:lineRule="auto"/>
        <w:jc w:val="both"/>
      </w:pPr>
      <w:r>
        <w:t>تُعامَل كل من «تبنّي تقنيات الذكاء الاصطناعي» و«التسويق الرقمي» و«الأداء التسويقي» بوصفها متغيرات من الرتبة الثانية (Higher-order Constructs)، كل منها يضم الأبعاد الفرعية الموضحة في الجدول أعلاه بوصفها متغيرات من الرتبة الأولى. سيُعتمد أسلوب المرحلتين (Two-stage Approach) لتقدير هذه المتغيرات في SmartPLS: تُقدَّر درجات المتغيرات الكامنة من الرتبة الأولى في المرحلة الأولى، ثم تُستخدم هذه الدرجات كمؤشرات للمتغير من الرتبة الثانية في المرحلة الثانية.</w:t>
      </w:r>
    </w:p>
    <w:p w14:paraId="6A0DD0B8" w14:textId="77777777" w:rsidR="00EB5CBD" w:rsidRDefault="00EA4CEB" w:rsidP="007E709B">
      <w:pPr>
        <w:bidi/>
        <w:spacing w:after="160" w:line="320" w:lineRule="auto"/>
      </w:pPr>
      <w:r>
        <w:rPr>
          <w:b/>
          <w:bCs/>
          <w:sz w:val="28"/>
          <w:szCs w:val="28"/>
        </w:rPr>
        <w:t>‏3.9 أداة الدراسة الكمية: الاستبيان</w:t>
      </w:r>
    </w:p>
    <w:p w14:paraId="2F0D053A" w14:textId="77777777" w:rsidR="00EB5CBD" w:rsidRDefault="00EA4CEB" w:rsidP="007E709B">
      <w:pPr>
        <w:bidi/>
        <w:spacing w:after="140" w:line="320" w:lineRule="auto"/>
      </w:pPr>
      <w:r>
        <w:rPr>
          <w:b/>
          <w:bCs/>
          <w:sz w:val="25"/>
          <w:szCs w:val="25"/>
        </w:rPr>
        <w:t>‏3.9.1 مصادر فقرات الاستبيان</w:t>
      </w:r>
    </w:p>
    <w:p w14:paraId="218E53F8" w14:textId="77777777" w:rsidR="00EB5CBD" w:rsidRDefault="00EA4CEB">
      <w:pPr>
        <w:bidi/>
        <w:spacing w:after="160" w:line="320" w:lineRule="auto"/>
        <w:jc w:val="both"/>
      </w:pPr>
      <w:r>
        <w:t>الاستناد إلى كتب أو أطر نظرية عامة (مثل نماذج TAM أو TOE) لا يكفي وحده لإثبات أن فقرات الاستبيان تمثّل مقياسًا مُختبرًا للصدق والثبات. لذلك سيُعتمد جدول تفصيلي يوثق مصدر كل فقرة على حدة، ويُرفق في ملحق الاستبانة، بالبنية التالية:</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1000"/>
        <w:gridCol w:w="2400"/>
        <w:gridCol w:w="2400"/>
        <w:gridCol w:w="1500"/>
        <w:gridCol w:w="900"/>
      </w:tblGrid>
      <w:tr w:rsidR="00EB5CBD" w14:paraId="409DDC0A" w14:textId="77777777">
        <w:trPr>
          <w:tblHeader/>
        </w:trPr>
        <w:tc>
          <w:tcPr>
            <w:tcW w:w="1300" w:type="dxa"/>
            <w:tcBorders>
              <w:top w:val="single" w:sz="4" w:space="0" w:color="999999"/>
              <w:left w:val="single" w:sz="4" w:space="0" w:color="999999"/>
              <w:bottom w:val="single" w:sz="4" w:space="0" w:color="999999"/>
              <w:right w:val="single" w:sz="4" w:space="0" w:color="999999"/>
            </w:tcBorders>
            <w:shd w:val="clear" w:color="auto" w:fill="2F5496"/>
          </w:tcPr>
          <w:p w14:paraId="6C381906" w14:textId="77777777" w:rsidR="00EB5CBD" w:rsidRDefault="00EA4CEB">
            <w:pPr>
              <w:bidi/>
              <w:spacing w:after="60" w:line="320" w:lineRule="auto"/>
              <w:jc w:val="center"/>
            </w:pPr>
            <w:r>
              <w:rPr>
                <w:b/>
                <w:bCs/>
                <w:color w:val="FFFFFF"/>
                <w:sz w:val="21"/>
                <w:szCs w:val="21"/>
              </w:rPr>
              <w:t>البعد</w:t>
            </w:r>
          </w:p>
        </w:tc>
        <w:tc>
          <w:tcPr>
            <w:tcW w:w="1000" w:type="dxa"/>
            <w:tcBorders>
              <w:top w:val="single" w:sz="4" w:space="0" w:color="999999"/>
              <w:left w:val="single" w:sz="4" w:space="0" w:color="999999"/>
              <w:bottom w:val="single" w:sz="4" w:space="0" w:color="999999"/>
              <w:right w:val="single" w:sz="4" w:space="0" w:color="999999"/>
            </w:tcBorders>
            <w:shd w:val="clear" w:color="auto" w:fill="2F5496"/>
          </w:tcPr>
          <w:p w14:paraId="3F24E368" w14:textId="77777777" w:rsidR="00EB5CBD" w:rsidRDefault="00EA4CEB">
            <w:pPr>
              <w:bidi/>
              <w:spacing w:after="60" w:line="320" w:lineRule="auto"/>
              <w:jc w:val="center"/>
            </w:pPr>
            <w:r>
              <w:rPr>
                <w:b/>
                <w:bCs/>
                <w:color w:val="FFFFFF"/>
                <w:sz w:val="21"/>
                <w:szCs w:val="21"/>
              </w:rPr>
              <w:t>رمز الفقرة</w:t>
            </w:r>
          </w:p>
        </w:tc>
        <w:tc>
          <w:tcPr>
            <w:tcW w:w="2400" w:type="dxa"/>
            <w:tcBorders>
              <w:top w:val="single" w:sz="4" w:space="0" w:color="999999"/>
              <w:left w:val="single" w:sz="4" w:space="0" w:color="999999"/>
              <w:bottom w:val="single" w:sz="4" w:space="0" w:color="999999"/>
              <w:right w:val="single" w:sz="4" w:space="0" w:color="999999"/>
            </w:tcBorders>
            <w:shd w:val="clear" w:color="auto" w:fill="2F5496"/>
          </w:tcPr>
          <w:p w14:paraId="0534D9BD" w14:textId="77777777" w:rsidR="00EB5CBD" w:rsidRDefault="00EA4CEB">
            <w:pPr>
              <w:bidi/>
              <w:spacing w:after="60" w:line="320" w:lineRule="auto"/>
              <w:jc w:val="center"/>
            </w:pPr>
            <w:r>
              <w:rPr>
                <w:b/>
                <w:bCs/>
                <w:color w:val="FFFFFF"/>
                <w:sz w:val="21"/>
                <w:szCs w:val="21"/>
              </w:rPr>
              <w:t>نص الفقرة</w:t>
            </w:r>
          </w:p>
        </w:tc>
        <w:tc>
          <w:tcPr>
            <w:tcW w:w="2400" w:type="dxa"/>
            <w:tcBorders>
              <w:top w:val="single" w:sz="4" w:space="0" w:color="999999"/>
              <w:left w:val="single" w:sz="4" w:space="0" w:color="999999"/>
              <w:bottom w:val="single" w:sz="4" w:space="0" w:color="999999"/>
              <w:right w:val="single" w:sz="4" w:space="0" w:color="999999"/>
            </w:tcBorders>
            <w:shd w:val="clear" w:color="auto" w:fill="2F5496"/>
          </w:tcPr>
          <w:p w14:paraId="5791C9AD" w14:textId="77777777" w:rsidR="00EB5CBD" w:rsidRDefault="00EA4CEB">
            <w:pPr>
              <w:bidi/>
              <w:spacing w:after="60" w:line="320" w:lineRule="auto"/>
              <w:jc w:val="center"/>
            </w:pPr>
            <w:r>
              <w:rPr>
                <w:b/>
                <w:bCs/>
                <w:color w:val="FFFFFF"/>
                <w:sz w:val="21"/>
                <w:szCs w:val="21"/>
              </w:rPr>
              <w:t>المصدر الأصلي (مؤلف، سنة، صفحة)</w:t>
            </w:r>
          </w:p>
        </w:tc>
        <w:tc>
          <w:tcPr>
            <w:tcW w:w="1500" w:type="dxa"/>
            <w:tcBorders>
              <w:top w:val="single" w:sz="4" w:space="0" w:color="999999"/>
              <w:left w:val="single" w:sz="4" w:space="0" w:color="999999"/>
              <w:bottom w:val="single" w:sz="4" w:space="0" w:color="999999"/>
              <w:right w:val="single" w:sz="4" w:space="0" w:color="999999"/>
            </w:tcBorders>
            <w:shd w:val="clear" w:color="auto" w:fill="2F5496"/>
          </w:tcPr>
          <w:p w14:paraId="0EF2DD86" w14:textId="77777777" w:rsidR="00EB5CBD" w:rsidRDefault="00EA4CEB">
            <w:pPr>
              <w:bidi/>
              <w:spacing w:after="60" w:line="320" w:lineRule="auto"/>
              <w:jc w:val="center"/>
            </w:pPr>
            <w:r>
              <w:rPr>
                <w:b/>
                <w:bCs/>
                <w:color w:val="FFFFFF"/>
                <w:sz w:val="21"/>
                <w:szCs w:val="21"/>
              </w:rPr>
              <w:t>طبيعة التعديل (مقتبسة/معدلة/مطورة)</w:t>
            </w:r>
          </w:p>
        </w:tc>
        <w:tc>
          <w:tcPr>
            <w:tcW w:w="900" w:type="dxa"/>
            <w:tcBorders>
              <w:top w:val="single" w:sz="4" w:space="0" w:color="999999"/>
              <w:left w:val="single" w:sz="4" w:space="0" w:color="999999"/>
              <w:bottom w:val="single" w:sz="4" w:space="0" w:color="999999"/>
              <w:right w:val="single" w:sz="4" w:space="0" w:color="999999"/>
            </w:tcBorders>
            <w:shd w:val="clear" w:color="auto" w:fill="2F5496"/>
          </w:tcPr>
          <w:p w14:paraId="162911D5" w14:textId="77777777" w:rsidR="00EB5CBD" w:rsidRDefault="00EA4CEB">
            <w:pPr>
              <w:bidi/>
              <w:spacing w:after="60" w:line="320" w:lineRule="auto"/>
              <w:jc w:val="center"/>
            </w:pPr>
            <w:r>
              <w:rPr>
                <w:b/>
                <w:bCs/>
                <w:color w:val="FFFFFF"/>
                <w:sz w:val="21"/>
                <w:szCs w:val="21"/>
              </w:rPr>
              <w:t>سبب التعديل والملاءمة للبيئة السعودية</w:t>
            </w:r>
          </w:p>
        </w:tc>
      </w:tr>
      <w:tr w:rsidR="00EB5CBD" w14:paraId="149B4B1B" w14:textId="77777777">
        <w:tc>
          <w:tcPr>
            <w:tcW w:w="1300" w:type="dxa"/>
            <w:tcBorders>
              <w:top w:val="single" w:sz="4" w:space="0" w:color="999999"/>
              <w:left w:val="single" w:sz="4" w:space="0" w:color="999999"/>
              <w:bottom w:val="single" w:sz="4" w:space="0" w:color="999999"/>
              <w:right w:val="single" w:sz="4" w:space="0" w:color="999999"/>
            </w:tcBorders>
          </w:tcPr>
          <w:p w14:paraId="030F464D" w14:textId="77777777" w:rsidR="00EB5CBD" w:rsidRDefault="00EA4CEB" w:rsidP="007E709B">
            <w:pPr>
              <w:bidi/>
              <w:spacing w:after="60" w:line="320" w:lineRule="auto"/>
              <w:jc w:val="center"/>
            </w:pPr>
            <w:r>
              <w:rPr>
                <w:sz w:val="21"/>
                <w:szCs w:val="21"/>
              </w:rPr>
              <w:t>نموذج توضيحي</w:t>
            </w:r>
          </w:p>
        </w:tc>
        <w:tc>
          <w:tcPr>
            <w:tcW w:w="1000" w:type="dxa"/>
            <w:tcBorders>
              <w:top w:val="single" w:sz="4" w:space="0" w:color="999999"/>
              <w:left w:val="single" w:sz="4" w:space="0" w:color="999999"/>
              <w:bottom w:val="single" w:sz="4" w:space="0" w:color="999999"/>
              <w:right w:val="single" w:sz="4" w:space="0" w:color="999999"/>
            </w:tcBorders>
          </w:tcPr>
          <w:p w14:paraId="7C08A334" w14:textId="77777777" w:rsidR="00EB5CBD" w:rsidRDefault="00EA4CEB" w:rsidP="007E709B">
            <w:pPr>
              <w:bidi/>
              <w:spacing w:after="60" w:line="320" w:lineRule="auto"/>
              <w:jc w:val="center"/>
            </w:pPr>
            <w:r>
              <w:rPr>
                <w:sz w:val="21"/>
                <w:szCs w:val="21"/>
              </w:rPr>
              <w:t>AI1</w:t>
            </w:r>
          </w:p>
        </w:tc>
        <w:tc>
          <w:tcPr>
            <w:tcW w:w="2400" w:type="dxa"/>
            <w:tcBorders>
              <w:top w:val="single" w:sz="4" w:space="0" w:color="999999"/>
              <w:left w:val="single" w:sz="4" w:space="0" w:color="999999"/>
              <w:bottom w:val="single" w:sz="4" w:space="0" w:color="999999"/>
              <w:right w:val="single" w:sz="4" w:space="0" w:color="999999"/>
            </w:tcBorders>
          </w:tcPr>
          <w:p w14:paraId="7269FAAD" w14:textId="77777777" w:rsidR="00EB5CBD" w:rsidRDefault="00EA4CEB" w:rsidP="007E709B">
            <w:pPr>
              <w:bidi/>
              <w:spacing w:after="60" w:line="320" w:lineRule="auto"/>
              <w:jc w:val="center"/>
            </w:pPr>
            <w:r>
              <w:rPr>
                <w:sz w:val="21"/>
                <w:szCs w:val="21"/>
              </w:rPr>
              <w:t>—</w:t>
            </w:r>
          </w:p>
        </w:tc>
        <w:tc>
          <w:tcPr>
            <w:tcW w:w="2400" w:type="dxa"/>
            <w:tcBorders>
              <w:top w:val="single" w:sz="4" w:space="0" w:color="999999"/>
              <w:left w:val="single" w:sz="4" w:space="0" w:color="999999"/>
              <w:bottom w:val="single" w:sz="4" w:space="0" w:color="999999"/>
              <w:right w:val="single" w:sz="4" w:space="0" w:color="999999"/>
            </w:tcBorders>
          </w:tcPr>
          <w:p w14:paraId="66C2A845" w14:textId="77777777" w:rsidR="00EB5CBD" w:rsidRDefault="00EA4CEB" w:rsidP="007E709B">
            <w:pPr>
              <w:bidi/>
              <w:spacing w:after="60" w:line="320" w:lineRule="auto"/>
              <w:jc w:val="center"/>
            </w:pPr>
            <w:r>
              <w:rPr>
                <w:sz w:val="21"/>
                <w:szCs w:val="21"/>
              </w:rPr>
              <w:t>Davis (1989), p. …</w:t>
            </w:r>
          </w:p>
        </w:tc>
        <w:tc>
          <w:tcPr>
            <w:tcW w:w="1500" w:type="dxa"/>
            <w:tcBorders>
              <w:top w:val="single" w:sz="4" w:space="0" w:color="999999"/>
              <w:left w:val="single" w:sz="4" w:space="0" w:color="999999"/>
              <w:bottom w:val="single" w:sz="4" w:space="0" w:color="999999"/>
              <w:right w:val="single" w:sz="4" w:space="0" w:color="999999"/>
            </w:tcBorders>
          </w:tcPr>
          <w:p w14:paraId="54BE4EC9" w14:textId="77777777" w:rsidR="00EB5CBD" w:rsidRDefault="00EA4CEB" w:rsidP="007E709B">
            <w:pPr>
              <w:bidi/>
              <w:spacing w:after="60" w:line="320" w:lineRule="auto"/>
              <w:jc w:val="center"/>
            </w:pPr>
            <w:r>
              <w:rPr>
                <w:sz w:val="21"/>
                <w:szCs w:val="21"/>
              </w:rPr>
              <w:t>مُعدَّلة لغويًا</w:t>
            </w:r>
          </w:p>
        </w:tc>
        <w:tc>
          <w:tcPr>
            <w:tcW w:w="900" w:type="dxa"/>
            <w:tcBorders>
              <w:top w:val="single" w:sz="4" w:space="0" w:color="999999"/>
              <w:left w:val="single" w:sz="4" w:space="0" w:color="999999"/>
              <w:bottom w:val="single" w:sz="4" w:space="0" w:color="999999"/>
              <w:right w:val="single" w:sz="4" w:space="0" w:color="999999"/>
            </w:tcBorders>
          </w:tcPr>
          <w:p w14:paraId="23E14831" w14:textId="77777777" w:rsidR="00EB5CBD" w:rsidRDefault="00EA4CEB" w:rsidP="007E709B">
            <w:pPr>
              <w:bidi/>
              <w:spacing w:after="60" w:line="320" w:lineRule="auto"/>
              <w:jc w:val="center"/>
            </w:pPr>
            <w:r>
              <w:rPr>
                <w:sz w:val="21"/>
                <w:szCs w:val="21"/>
              </w:rPr>
              <w:t>—</w:t>
            </w:r>
          </w:p>
        </w:tc>
      </w:tr>
    </w:tbl>
    <w:p w14:paraId="249D1357" w14:textId="77777777" w:rsidR="00EB5CBD" w:rsidRDefault="00EB5CBD">
      <w:pPr>
        <w:spacing w:after="160"/>
      </w:pPr>
    </w:p>
    <w:p w14:paraId="38FBC3DA" w14:textId="77777777" w:rsidR="00EB5CBD" w:rsidRDefault="00EA4CEB">
      <w:pPr>
        <w:bidi/>
        <w:spacing w:after="160" w:line="320" w:lineRule="auto"/>
        <w:jc w:val="both"/>
      </w:pPr>
      <w:r>
        <w:t>سيُستكمل هذا الجدول بجميع فقرات الاستبيان الثلاث عشرة والعشرين، مع الإشارة صراحة إلى ما إذا كان استخدام أي مقياس يستلزم إذنًا من مؤلفه الأصلي، والحصول على هذا الإذن قبل التطبيق النهائي عند الحاجة.</w:t>
      </w:r>
    </w:p>
    <w:p w14:paraId="2D955478" w14:textId="77777777" w:rsidR="00EB5CBD" w:rsidRDefault="00EA4CEB" w:rsidP="007E709B">
      <w:pPr>
        <w:bidi/>
        <w:spacing w:after="140" w:line="320" w:lineRule="auto"/>
      </w:pPr>
      <w:r>
        <w:rPr>
          <w:b/>
          <w:bCs/>
          <w:sz w:val="25"/>
          <w:szCs w:val="25"/>
        </w:rPr>
        <w:t>‏3.9.2 إجراءات الترجمة والترجمة العكسية</w:t>
      </w:r>
    </w:p>
    <w:p w14:paraId="54D64401" w14:textId="77777777" w:rsidR="00EB5CBD" w:rsidRDefault="00EA4CEB">
      <w:pPr>
        <w:bidi/>
        <w:spacing w:after="160" w:line="320" w:lineRule="auto"/>
        <w:jc w:val="both"/>
      </w:pPr>
      <w:r>
        <w:t>بما أن المقاييس الأصلية (Davis, 1989؛ Venkatesh et al., 2003؛ Chaffey &amp; Ellis-Chadwick, 2019؛ Katsikeas et al., 2016) صيغت أصلًا باللغة الإنجليزية، ستُطبَّق إجراءات الترجمة والترجمة العكسية التالية قبل التحكيم العلمي:</w:t>
      </w:r>
    </w:p>
    <w:p w14:paraId="3AFBADFC" w14:textId="77777777" w:rsidR="00EB5CBD" w:rsidRDefault="00EA4CEB">
      <w:pPr>
        <w:pStyle w:val="ListParagraph"/>
        <w:numPr>
          <w:ilvl w:val="0"/>
          <w:numId w:val="2"/>
        </w:numPr>
        <w:bidi/>
        <w:spacing w:after="100" w:line="300" w:lineRule="auto"/>
        <w:jc w:val="both"/>
      </w:pPr>
      <w:r>
        <w:t>ترجمة أولية للفقرات من الإنجليزية إلى العربية بواسطة مترجم متخصص في المصطلحات التسويقية والتقنية.</w:t>
      </w:r>
    </w:p>
    <w:p w14:paraId="644E6B4B" w14:textId="77777777" w:rsidR="00EB5CBD" w:rsidRDefault="00EA4CEB">
      <w:pPr>
        <w:pStyle w:val="ListParagraph"/>
        <w:numPr>
          <w:ilvl w:val="0"/>
          <w:numId w:val="2"/>
        </w:numPr>
        <w:bidi/>
        <w:spacing w:after="100" w:line="300" w:lineRule="auto"/>
        <w:jc w:val="both"/>
      </w:pPr>
      <w:r>
        <w:t>مراجعة علمية ولغوية للنسخة العربية من قِبل الباحثة والمشرف الأكاديمي.</w:t>
      </w:r>
    </w:p>
    <w:p w14:paraId="2F7718C7" w14:textId="77777777" w:rsidR="00EB5CBD" w:rsidRDefault="00EA4CEB">
      <w:pPr>
        <w:pStyle w:val="ListParagraph"/>
        <w:numPr>
          <w:ilvl w:val="0"/>
          <w:numId w:val="2"/>
        </w:numPr>
        <w:bidi/>
        <w:spacing w:after="100" w:line="300" w:lineRule="auto"/>
        <w:jc w:val="both"/>
      </w:pPr>
      <w:r>
        <w:t>ترجمة عكسية للنسخة العربية إلى الإنجليزية بواسطة مترجم مستقل لم يطّلع على النسخة الأصلية.</w:t>
      </w:r>
    </w:p>
    <w:p w14:paraId="06FE5FCA" w14:textId="77777777" w:rsidR="00EB5CBD" w:rsidRDefault="00EA4CEB">
      <w:pPr>
        <w:pStyle w:val="ListParagraph"/>
        <w:numPr>
          <w:ilvl w:val="0"/>
          <w:numId w:val="2"/>
        </w:numPr>
        <w:bidi/>
        <w:spacing w:after="100" w:line="300" w:lineRule="auto"/>
        <w:jc w:val="both"/>
      </w:pPr>
      <w:r>
        <w:t>مقارنة النسخة العكسية بالنص الإنجليزي الأصلي لرصد أي انحراف دلالي.</w:t>
      </w:r>
    </w:p>
    <w:p w14:paraId="67AD8586" w14:textId="77777777" w:rsidR="00EB5CBD" w:rsidRDefault="00EA4CEB">
      <w:pPr>
        <w:pStyle w:val="ListParagraph"/>
        <w:numPr>
          <w:ilvl w:val="0"/>
          <w:numId w:val="2"/>
        </w:numPr>
        <w:bidi/>
        <w:spacing w:after="100" w:line="300" w:lineRule="auto"/>
        <w:jc w:val="both"/>
      </w:pPr>
      <w:r>
        <w:t>تعديل أي فقرة أظهرت تباينًا بين النسختين حتى تتحقق المطابقة الدلالية.</w:t>
      </w:r>
    </w:p>
    <w:p w14:paraId="06E847EA" w14:textId="77777777" w:rsidR="00EB5CBD" w:rsidRDefault="00EA4CEB">
      <w:pPr>
        <w:pStyle w:val="ListParagraph"/>
        <w:numPr>
          <w:ilvl w:val="0"/>
          <w:numId w:val="2"/>
        </w:numPr>
        <w:bidi/>
        <w:spacing w:after="100" w:line="300" w:lineRule="auto"/>
        <w:jc w:val="both"/>
      </w:pPr>
      <w:r>
        <w:t>التحقق من الملاءمة الثقافية للتعابير المستخدمة في السياق السعودي.</w:t>
      </w:r>
    </w:p>
    <w:p w14:paraId="181B9482" w14:textId="77777777" w:rsidR="00EB5CBD" w:rsidRDefault="00EA4CEB">
      <w:pPr>
        <w:pStyle w:val="ListParagraph"/>
        <w:numPr>
          <w:ilvl w:val="0"/>
          <w:numId w:val="2"/>
        </w:numPr>
        <w:bidi/>
        <w:spacing w:after="100" w:line="300" w:lineRule="auto"/>
        <w:jc w:val="both"/>
      </w:pPr>
      <w:r>
        <w:t>اختبار وضوح المصطلحات على مجموعة صغيرة (5-8 أشخاص) من الفئة المستهدفة قبل الدراسة الاستطلاعية الرسمية.</w:t>
      </w:r>
    </w:p>
    <w:p w14:paraId="751CF10D" w14:textId="77777777" w:rsidR="00EB5CBD" w:rsidRDefault="00EA4CEB" w:rsidP="007E709B">
      <w:pPr>
        <w:bidi/>
        <w:spacing w:after="140" w:line="320" w:lineRule="auto"/>
      </w:pPr>
      <w:r>
        <w:rPr>
          <w:b/>
          <w:bCs/>
          <w:sz w:val="25"/>
          <w:szCs w:val="25"/>
        </w:rPr>
        <w:t>‏3.9.3 التحكيم العلمي للأداة</w:t>
      </w:r>
    </w:p>
    <w:p w14:paraId="725877E8" w14:textId="77777777" w:rsidR="00EB5CBD" w:rsidRDefault="00EA4CEB">
      <w:pPr>
        <w:bidi/>
        <w:spacing w:after="160" w:line="320" w:lineRule="auto"/>
        <w:jc w:val="both"/>
        <w:rPr>
          <w:rtl w:val="0"/>
        </w:rPr>
      </w:pPr>
      <w:r>
        <w:t>ستُعرض النسخة العربية النهائية من الاستبيان على لجنة تحكيم مكوّنة مما لا يقل عن خمسة محكمين من أعضاء هيئة التدريس المتخصصين في التسويق أو نظم المعلومات الإدارية أو الإحصاء التطبيقي، من جامعات سعودية أو عربية، على أن تُختار اللجنة بما يضمن تنوع التخصصات الدقيقة ذات الصلة. سيُرفق نموذج تحكيم موحد يطلب من كل محكّم تقييم كل فقرة من حيث الوضوح اللغوي، والانتماء للبعد المخصص لها، وسلامة الصياغة العلمية، إلى جانب حقل ملاحظات مفتوح. سيُعتمد معيار كمّي لقرار الاحتفاظ بالفقرة أو حذفها أو تعديلها، عبر حساب نسبة صلاحية المحتوى (CVR) وفق معادلة Lawshe، بحيث تُحذف أو تُعاد صياغة أي فقرة تقل نسبة اتفاق المحكمين عليها عن العتبة المقبولة إحصائيًا للعدد المحدد من المحكمين. سيُرفق نموذج التحكيم فارغًا في ملاحق الأطروحة، إلى جانب ملخص نتائج التحكيم الفعلية.</w:t>
      </w:r>
    </w:p>
    <w:p w14:paraId="46FCE69B" w14:textId="77777777" w:rsidR="00EB5CBD" w:rsidRDefault="00EA4CEB" w:rsidP="007E709B">
      <w:pPr>
        <w:bidi/>
        <w:spacing w:after="140" w:line="320" w:lineRule="auto"/>
      </w:pPr>
      <w:r>
        <w:rPr>
          <w:b/>
          <w:bCs/>
          <w:sz w:val="25"/>
          <w:szCs w:val="25"/>
        </w:rPr>
        <w:t>‏3.9.4 الدراسة الاستطلاعية الكمية</w:t>
      </w:r>
    </w:p>
    <w:p w14:paraId="6F27B4BA" w14:textId="77777777" w:rsidR="00EB5CBD" w:rsidRDefault="00EA4CEB">
      <w:pPr>
        <w:bidi/>
        <w:spacing w:after="160" w:line="320" w:lineRule="auto"/>
        <w:jc w:val="both"/>
      </w:pPr>
      <w:r>
        <w:t>قبل التطبيق النهائي، ستُطبَّق الأداة على عينة استطلاعية لا تقل عن 30 منشأة تنطبق عليها شروط المشاركة نفسها الواردة في الفقرة 3.6، على أن تُستبعد هذه العينة من العينة النهائية للتحليل الرئيسي. تهدف هذه المرحلة إلى: قياس الزمن اللازم للإجابة، التحقق من وضوح صياغة الفقرات من وجهة نظر المستجيبين الفعليين، رصد أي مشكلات تقنية في نموذج جوجل فورم (تعطل، صعوبة تصفح على الجوال، غموض في التعليمات)، وحساب الثبات الأولي (معامل ألفا كرونباخ) لكل بُعد كفحص مبدئي لا نهائي. ستُوثق التعديلات التي أُجريت على الاستبيان بناءً على نتائج هذه المرحلة قبل الانتقال إلى التطبيق النهائي.</w:t>
      </w:r>
    </w:p>
    <w:p w14:paraId="614D3D67" w14:textId="77777777" w:rsidR="00EB5CBD" w:rsidRDefault="00EA4CEB" w:rsidP="007E709B">
      <w:pPr>
        <w:bidi/>
        <w:spacing w:after="160" w:line="320" w:lineRule="auto"/>
      </w:pPr>
      <w:r>
        <w:rPr>
          <w:b/>
          <w:bCs/>
          <w:sz w:val="28"/>
          <w:szCs w:val="28"/>
        </w:rPr>
        <w:t>‏3.10 أداة الدراسة النوعية: المقابلات شبه المنظمة</w:t>
      </w:r>
    </w:p>
    <w:p w14:paraId="6B397FBE" w14:textId="77777777" w:rsidR="00EB5CBD" w:rsidRDefault="00EA4CEB" w:rsidP="007E709B">
      <w:pPr>
        <w:bidi/>
        <w:spacing w:after="140" w:line="320" w:lineRule="auto"/>
      </w:pPr>
      <w:r>
        <w:rPr>
          <w:b/>
          <w:bCs/>
          <w:sz w:val="25"/>
          <w:szCs w:val="25"/>
        </w:rPr>
        <w:t>‏3.10.1 آلية اختيار المشاركين في المقابلات في ضوء نتائج المرحلة الكمية</w:t>
      </w:r>
    </w:p>
    <w:p w14:paraId="17E6885F" w14:textId="77777777" w:rsidR="00EB5CBD" w:rsidRDefault="00EA4CEB">
      <w:pPr>
        <w:bidi/>
        <w:spacing w:after="160" w:line="320" w:lineRule="auto"/>
        <w:jc w:val="both"/>
      </w:pPr>
      <w:r>
        <w:t>بما أن التصميم المعتمد تفسيري متتابع، لن يُختار المشاركون في المقابلات بمعزل عن نتائج المرحلة الكمية، بل عبر الخطوات التالية:</w:t>
      </w:r>
    </w:p>
    <w:p w14:paraId="020A712B" w14:textId="77777777" w:rsidR="00EB5CBD" w:rsidRDefault="00EA4CEB">
      <w:pPr>
        <w:pStyle w:val="ListParagraph"/>
        <w:numPr>
          <w:ilvl w:val="0"/>
          <w:numId w:val="2"/>
        </w:numPr>
        <w:bidi/>
        <w:spacing w:after="100" w:line="300" w:lineRule="auto"/>
        <w:jc w:val="both"/>
      </w:pPr>
      <w:r>
        <w:t>يُضاف في نهاية الاستبيان سؤال اختياري منفصل يسأل المستجيب صراحةً عن استعداده للمشاركة في مقابلة لاحقة، مع حقل مستقل لإدخال وسيلة تواصل، بحيث تبقى إجابات الاستبيان نفسها مجهولة الهوية تمامًا ولا يُربط حقل التواصل بمحتوى إجابات المقياس عند التحليل.</w:t>
      </w:r>
    </w:p>
    <w:p w14:paraId="65A42B20" w14:textId="77777777" w:rsidR="00EB5CBD" w:rsidRDefault="00EA4CEB">
      <w:pPr>
        <w:pStyle w:val="ListParagraph"/>
        <w:numPr>
          <w:ilvl w:val="0"/>
          <w:numId w:val="2"/>
        </w:numPr>
        <w:bidi/>
        <w:spacing w:after="100" w:line="300" w:lineRule="auto"/>
        <w:jc w:val="both"/>
      </w:pPr>
      <w:r>
        <w:t>بعد تحليل المرحلة الكمية، تُصنَّف المنشآت التي أبدت استعدادًا للمشاركة وفق موقعها من النتائج: حالات متباينة (Maximum Variation) تمثل مستويات تبنٍّ مختلفة (مرتفع/متوسط/منخفض)، وحالات من قطاعات مختلفة، إلى جانب حالات نموذجية تمثل النمط الأكثر شيوعًا في النتائج، وحالات متطرفة إن وُجدت (نتيجة غير متوقعة أو مسار غير دالٍّ رغم توقع دلالته نظريًا).</w:t>
      </w:r>
    </w:p>
    <w:p w14:paraId="661766C8" w14:textId="77777777" w:rsidR="00EB5CBD" w:rsidRDefault="00EA4CEB">
      <w:pPr>
        <w:pStyle w:val="ListParagraph"/>
        <w:numPr>
          <w:ilvl w:val="0"/>
          <w:numId w:val="2"/>
        </w:numPr>
        <w:bidi/>
        <w:spacing w:after="100" w:line="300" w:lineRule="auto"/>
        <w:jc w:val="both"/>
      </w:pPr>
      <w:r>
        <w:t>يُراعى في الاختيار تمثيل القطاعات الثلاثة والمدن الخمس المشمولة بالدراسة قدر الإمكان، دون اشتراط تناسب رياضي صارم، بل تنوع كافٍ يتيح تفسير الأنماط المختلفة.</w:t>
      </w:r>
    </w:p>
    <w:p w14:paraId="2ACEF6AD" w14:textId="77777777" w:rsidR="00EB5CBD" w:rsidRDefault="00EA4CEB">
      <w:pPr>
        <w:pStyle w:val="ListParagraph"/>
        <w:numPr>
          <w:ilvl w:val="0"/>
          <w:numId w:val="2"/>
        </w:numPr>
        <w:bidi/>
        <w:spacing w:after="100" w:line="300" w:lineRule="auto"/>
        <w:jc w:val="both"/>
      </w:pPr>
      <w:r>
        <w:t>تُستخدم النتائج الكمية تحديدًا في صياغة معايير الترشيح: إذا أظهرت النتائج، مثلًا، أن أثر التسويق الرقمي كوسيط ضعيف أو غير دالٍّ في قطاع بعينه، تُعطى الأولوية لدعوة مشاركين من ذلك القطاع تحديدًا لتفسير هذه النتيجة.</w:t>
      </w:r>
    </w:p>
    <w:p w14:paraId="60DA1387" w14:textId="77777777" w:rsidR="00EB5CBD" w:rsidRDefault="00EA4CEB" w:rsidP="007E709B">
      <w:pPr>
        <w:bidi/>
        <w:spacing w:after="140" w:line="320" w:lineRule="auto"/>
      </w:pPr>
      <w:r>
        <w:rPr>
          <w:b/>
          <w:bCs/>
          <w:sz w:val="25"/>
          <w:szCs w:val="25"/>
        </w:rPr>
        <w:t>‏3.10.2 معايير اختيار المشاركين</w:t>
      </w:r>
    </w:p>
    <w:p w14:paraId="292C033A" w14:textId="77777777" w:rsidR="00EB5CBD" w:rsidRDefault="00EA4CEB">
      <w:pPr>
        <w:pStyle w:val="ListParagraph"/>
        <w:numPr>
          <w:ilvl w:val="0"/>
          <w:numId w:val="2"/>
        </w:numPr>
        <w:bidi/>
        <w:spacing w:after="100" w:line="300" w:lineRule="auto"/>
        <w:jc w:val="both"/>
      </w:pPr>
      <w:r>
        <w:t>المسمى الوظيفي: مدير تسويق، أو مسؤول/أخصائي تسويق رقمي، أو صاحب منشأة/مدير عام مطّلع مباشرة على القرارات التسويقية.</w:t>
      </w:r>
    </w:p>
    <w:p w14:paraId="1884921A" w14:textId="77777777" w:rsidR="00EB5CBD" w:rsidRDefault="00EA4CEB">
      <w:pPr>
        <w:pStyle w:val="ListParagraph"/>
        <w:numPr>
          <w:ilvl w:val="0"/>
          <w:numId w:val="2"/>
        </w:numPr>
        <w:bidi/>
        <w:spacing w:after="100" w:line="300" w:lineRule="auto"/>
        <w:jc w:val="both"/>
      </w:pPr>
      <w:r>
        <w:t>عدد سنوات الخبرة: ثلاث سنوات فأكثر في العمل التسويقي، بما يوفر منظورًا كافيًا لمقارنة الممارسات قبل استخدام أدوات الذكاء الاصطناعي وبعده.</w:t>
      </w:r>
    </w:p>
    <w:p w14:paraId="30E5B49B" w14:textId="77777777" w:rsidR="00EB5CBD" w:rsidRDefault="00EA4CEB">
      <w:pPr>
        <w:pStyle w:val="ListParagraph"/>
        <w:numPr>
          <w:ilvl w:val="0"/>
          <w:numId w:val="2"/>
        </w:numPr>
        <w:bidi/>
        <w:spacing w:after="100" w:line="300" w:lineRule="auto"/>
        <w:jc w:val="both"/>
      </w:pPr>
      <w:r>
        <w:t>المشاركة الفعلية في القرارات التسويقية للمنشأة، لا مجرد التنفيذ الإجرائي.</w:t>
      </w:r>
    </w:p>
    <w:p w14:paraId="774E6AE2" w14:textId="77777777" w:rsidR="00EB5CBD" w:rsidRDefault="00EA4CEB">
      <w:pPr>
        <w:pStyle w:val="ListParagraph"/>
        <w:numPr>
          <w:ilvl w:val="0"/>
          <w:numId w:val="2"/>
        </w:numPr>
        <w:bidi/>
        <w:spacing w:after="100" w:line="300" w:lineRule="auto"/>
        <w:jc w:val="both"/>
      </w:pPr>
      <w:r>
        <w:t>معرفة مباشرة بالتقنيات المستخدمة داخل المنشأة، سواء كانت أدوات ذكاء اصطناعي متقدمة أو أدوات رقمية أساسية.</w:t>
      </w:r>
    </w:p>
    <w:p w14:paraId="1667525F" w14:textId="77777777" w:rsidR="00EB5CBD" w:rsidRDefault="00EA4CEB">
      <w:pPr>
        <w:pStyle w:val="ListParagraph"/>
        <w:numPr>
          <w:ilvl w:val="0"/>
          <w:numId w:val="2"/>
        </w:numPr>
        <w:bidi/>
        <w:spacing w:after="100" w:line="300" w:lineRule="auto"/>
        <w:jc w:val="both"/>
      </w:pPr>
      <w:r>
        <w:t>تنوع القطاع والمدينة وحجم المنشأة، وفق ما هو مبيّن في الفقرة 3.10.1.</w:t>
      </w:r>
    </w:p>
    <w:p w14:paraId="14CFBA24" w14:textId="77777777" w:rsidR="00EB5CBD" w:rsidRDefault="00EA4CEB">
      <w:pPr>
        <w:pStyle w:val="ListParagraph"/>
        <w:numPr>
          <w:ilvl w:val="0"/>
          <w:numId w:val="2"/>
        </w:numPr>
        <w:bidi/>
        <w:spacing w:after="100" w:line="300" w:lineRule="auto"/>
        <w:jc w:val="both"/>
      </w:pPr>
      <w:r>
        <w:t>يُستبعد أي مرشح لا تنطبق عليه هذه المعايير، حتى لو أبدى استعدادًا للمشاركة، وتُوثَّق أسباب الاستبعاد.</w:t>
      </w:r>
    </w:p>
    <w:p w14:paraId="0024B054" w14:textId="77777777" w:rsidR="00EB5CBD" w:rsidRDefault="00EA4CEB" w:rsidP="007E709B">
      <w:pPr>
        <w:bidi/>
        <w:spacing w:after="140" w:line="320" w:lineRule="auto"/>
      </w:pPr>
      <w:r>
        <w:rPr>
          <w:b/>
          <w:bCs/>
          <w:sz w:val="25"/>
          <w:szCs w:val="25"/>
        </w:rPr>
        <w:t>‏3.10.3 تبرير عدد المقابلات</w:t>
      </w:r>
    </w:p>
    <w:p w14:paraId="1A8D314D" w14:textId="77777777" w:rsidR="00EB5CBD" w:rsidRDefault="00EA4CEB">
      <w:pPr>
        <w:bidi/>
        <w:spacing w:after="160" w:line="320" w:lineRule="auto"/>
        <w:jc w:val="both"/>
      </w:pPr>
      <w:r>
        <w:t>لن يُلتزم بعدد ثابت مسبقًا (كخمسة عشر مقابلة) دون مبرر منهجي. سيستمر جمع البيانات النوعية حتى تحقق تشبع البيانات (Data Saturation)، أي حتى تتوقف المقابلات الجديدة عن إضافة موضوعات جوهرية جديدة، مع مراعاة معيار قوة المعلومات (Information Power) الذي يربط العدد المطلوب بعوامل أربعة: تنوع المشاركين المتاح، تعقيد موضوع الدراسة (وهو موضوع متوسط إلى مرتفع التعقيد لتداخله بين البعد التقني والتسويقي والتنظيمي)، تجانس أو اختلاف الحالات المختارة، وجودة الحوار في كل مقابلة. الحد المبدئي المتوقع، بناءً على هذه المعايير وعلى دراسات مماثلة في أدبيات التسويق الرقمي، يتراوح بين 12 و18 مقابلة، على أن يُحسم العدد الفعلي عند تحقق التشبع لا عند بلوغ رقم محدد سلفًا.</w:t>
      </w:r>
    </w:p>
    <w:p w14:paraId="35A925F3" w14:textId="77777777" w:rsidR="00EB5CBD" w:rsidRDefault="00EA4CEB" w:rsidP="007E709B">
      <w:pPr>
        <w:bidi/>
        <w:spacing w:after="140" w:line="320" w:lineRule="auto"/>
      </w:pPr>
      <w:r>
        <w:rPr>
          <w:b/>
          <w:bCs/>
          <w:sz w:val="25"/>
          <w:szCs w:val="25"/>
        </w:rPr>
        <w:t>‏3.10.4 دليل المقابلة</w:t>
      </w:r>
    </w:p>
    <w:p w14:paraId="3521AE5B" w14:textId="77777777" w:rsidR="00EB5CBD" w:rsidRDefault="00EA4CEB">
      <w:pPr>
        <w:bidi/>
        <w:spacing w:after="160" w:line="320" w:lineRule="auto"/>
        <w:jc w:val="both"/>
      </w:pPr>
      <w:r>
        <w:t>يُطوَّر دليل المقابلة النهائي بعد ظهور نتائج المرحلة الكمية، اتساقًا مع التصميم التفسيري المتتابع، بحيث يضم فئتين من الأسئلة: أسئلة عامة ثابتة تغطي أهداف الدراسة الأساسية، وأسئلة إضافية مرنة تُصاغ خصيصًا لاستكشاف المسارات غير الدالة أو المتباينة التي كشفتها المرحلة الكمية لكل مشارك بحسب خلفيته. يُعاد صياغة الأسئلة العامة الحالية بطريقة حيادية خالية من التوجيه نحو إجابة إيجابية متوقعة، وفق البنية التالية:</w:t>
      </w:r>
    </w:p>
    <w:p w14:paraId="682AA542" w14:textId="77777777" w:rsidR="00EB5CBD" w:rsidRDefault="00EA4CEB">
      <w:pPr>
        <w:pStyle w:val="ListParagraph"/>
        <w:numPr>
          <w:ilvl w:val="0"/>
          <w:numId w:val="2"/>
        </w:numPr>
        <w:bidi/>
        <w:spacing w:after="100" w:line="300" w:lineRule="auto"/>
        <w:jc w:val="both"/>
      </w:pPr>
      <w:r>
        <w:t>أسئلة تمهيدية عن دور المشارك ومسؤولياته وخبرته في التسويق الرقمي.</w:t>
      </w:r>
    </w:p>
    <w:p w14:paraId="4712CAC4" w14:textId="77777777" w:rsidR="00EB5CBD" w:rsidRDefault="00EA4CEB">
      <w:pPr>
        <w:pStyle w:val="ListParagraph"/>
        <w:numPr>
          <w:ilvl w:val="0"/>
          <w:numId w:val="2"/>
        </w:numPr>
        <w:bidi/>
        <w:spacing w:after="100" w:line="300" w:lineRule="auto"/>
        <w:jc w:val="both"/>
      </w:pPr>
      <w:r>
        <w:t>سؤال مفتوح غير موجّه عن واقع استخدام أدوات الذكاء الاصطناعي في التسويق داخل المنشأة، دون افتراض مسبق بأن الاستخدام أدى إلى تحسّن.</w:t>
      </w:r>
    </w:p>
    <w:p w14:paraId="36F9895C" w14:textId="77777777" w:rsidR="00EB5CBD" w:rsidRDefault="00EA4CEB">
      <w:pPr>
        <w:pStyle w:val="ListParagraph"/>
        <w:numPr>
          <w:ilvl w:val="0"/>
          <w:numId w:val="2"/>
        </w:numPr>
        <w:bidi/>
        <w:spacing w:after="100" w:line="300" w:lineRule="auto"/>
        <w:jc w:val="both"/>
      </w:pPr>
      <w:r>
        <w:t>أسئلة متابعة (Probes) تطلب أمثلة ومواقف عملية محددة بدلًا من إجابات عامة، مثل: «صف موقفًا محددًا استُخدمت فيه إحدى هذه الأدوات، وما الذي حدث بالضبط؟».</w:t>
      </w:r>
    </w:p>
    <w:p w14:paraId="1E176531" w14:textId="77777777" w:rsidR="00EB5CBD" w:rsidRDefault="00EA4CEB">
      <w:pPr>
        <w:pStyle w:val="ListParagraph"/>
        <w:numPr>
          <w:ilvl w:val="0"/>
          <w:numId w:val="2"/>
        </w:numPr>
        <w:bidi/>
        <w:spacing w:after="100" w:line="300" w:lineRule="auto"/>
        <w:jc w:val="both"/>
      </w:pPr>
      <w:r>
        <w:t>سؤال صريح عن أي نتائج غير متوقعة أو سلبية أو محايدة نتجت عن استخدام هذه الأدوات، لإتاحة المجال لظهور تجارب غير إيجابية.</w:t>
      </w:r>
    </w:p>
    <w:p w14:paraId="0291C951" w14:textId="77777777" w:rsidR="00EB5CBD" w:rsidRDefault="00EA4CEB">
      <w:pPr>
        <w:pStyle w:val="ListParagraph"/>
        <w:numPr>
          <w:ilvl w:val="0"/>
          <w:numId w:val="2"/>
        </w:numPr>
        <w:bidi/>
        <w:spacing w:after="100" w:line="300" w:lineRule="auto"/>
        <w:jc w:val="both"/>
      </w:pPr>
      <w:r>
        <w:t>سؤال عن التحديات التقنية والمالية والبشرية التي واجهت المنشأة.</w:t>
      </w:r>
    </w:p>
    <w:p w14:paraId="2DE4EAF7" w14:textId="77777777" w:rsidR="00EB5CBD" w:rsidRDefault="00EA4CEB">
      <w:pPr>
        <w:pStyle w:val="ListParagraph"/>
        <w:numPr>
          <w:ilvl w:val="0"/>
          <w:numId w:val="2"/>
        </w:numPr>
        <w:bidi/>
        <w:spacing w:after="100" w:line="300" w:lineRule="auto"/>
        <w:jc w:val="both"/>
      </w:pPr>
      <w:r>
        <w:t>سؤال يربط التجربة بمؤشرات الأداء الملموسة (رضا العملاء، العائد على الاستثمار، كفاءة الحملات) دون افتراض اتجاه العلاقة سلفًا.</w:t>
      </w:r>
    </w:p>
    <w:p w14:paraId="4216C499" w14:textId="77777777" w:rsidR="00EB5CBD" w:rsidRDefault="00EA4CEB">
      <w:pPr>
        <w:pStyle w:val="ListParagraph"/>
        <w:numPr>
          <w:ilvl w:val="0"/>
          <w:numId w:val="2"/>
        </w:numPr>
        <w:bidi/>
        <w:spacing w:after="100" w:line="300" w:lineRule="auto"/>
        <w:jc w:val="both"/>
        <w:rPr>
          <w:rFonts w:hint="cs"/>
          <w:rtl w:val="0"/>
        </w:rPr>
      </w:pPr>
      <w:r>
        <w:t>سؤال ختامي مفتوح يتيح للمشارك إضافة أي ملاحظة لم تغطها الأسئلة السابقة.</w:t>
      </w:r>
    </w:p>
    <w:p w14:paraId="13A637B4" w14:textId="77777777" w:rsidR="00EA4CEB" w:rsidRDefault="00EA4CEB" w:rsidP="00EA4CEB">
      <w:pPr>
        <w:bidi/>
        <w:spacing w:after="100" w:line="300" w:lineRule="auto"/>
        <w:jc w:val="both"/>
        <w:rPr>
          <w:rFonts w:hint="cs"/>
        </w:rPr>
      </w:pPr>
    </w:p>
    <w:p w14:paraId="37AE6A87" w14:textId="77777777" w:rsidR="00EA4CEB" w:rsidRDefault="00EA4CEB" w:rsidP="00EA4CEB">
      <w:pPr>
        <w:bidi/>
        <w:spacing w:after="100" w:line="300" w:lineRule="auto"/>
        <w:jc w:val="both"/>
        <w:rPr>
          <w:rFonts w:hint="cs"/>
        </w:rPr>
      </w:pPr>
    </w:p>
    <w:p w14:paraId="39397CCF" w14:textId="77777777" w:rsidR="00EA4CEB" w:rsidRDefault="00EA4CEB" w:rsidP="00EA4CEB">
      <w:pPr>
        <w:bidi/>
        <w:spacing w:after="100" w:line="300" w:lineRule="auto"/>
        <w:jc w:val="both"/>
      </w:pPr>
    </w:p>
    <w:p w14:paraId="7E80FB45" w14:textId="77777777" w:rsidR="00EB5CBD" w:rsidRDefault="00EA4CEB" w:rsidP="007E709B">
      <w:pPr>
        <w:bidi/>
        <w:spacing w:after="140" w:line="320" w:lineRule="auto"/>
      </w:pPr>
      <w:r>
        <w:rPr>
          <w:b/>
          <w:bCs/>
          <w:sz w:val="25"/>
          <w:szCs w:val="25"/>
        </w:rPr>
        <w:t>‏3.10.5 المقابلات الاستطلاعية</w:t>
      </w:r>
    </w:p>
    <w:p w14:paraId="501187BF" w14:textId="6D75DAC7" w:rsidR="007E709B" w:rsidRDefault="00EA4CEB" w:rsidP="00EA4CEB">
      <w:pPr>
        <w:bidi/>
        <w:spacing w:after="160" w:line="320" w:lineRule="auto"/>
        <w:jc w:val="both"/>
      </w:pPr>
      <w:r>
        <w:t>قبل تنفيذ المقابلات الرئيسة، ستُجرى مقابلتان تجريبيتان مع مشاركين تنطبق عليهما معايير الاختيار، بهدف اختبار وضوح الأسئلة، وتقدير مدة المقابلة الفعلية، واكتشاف أي تكرار أو غموض في ترتيب الأسئلة، وتدريب الباحثة على مهارات المتابعة والاستيضاح، والتأكد من جودة التسجيل الصوتي وسهولة تفريغه. لن تُدرج هاتان المقابلتان ضمن عينة التحليل النهائي، وإنما تُستخدمان فقط لضبط أداة المقابلة قبل التطبيق.</w:t>
      </w:r>
    </w:p>
    <w:p w14:paraId="37BFDCE4" w14:textId="77777777" w:rsidR="00EB5CBD" w:rsidRDefault="00EA4CEB" w:rsidP="007E709B">
      <w:pPr>
        <w:bidi/>
        <w:spacing w:after="140" w:line="320" w:lineRule="auto"/>
      </w:pPr>
      <w:r>
        <w:rPr>
          <w:b/>
          <w:bCs/>
          <w:sz w:val="25"/>
          <w:szCs w:val="25"/>
        </w:rPr>
        <w:t>‏3.10.6 إجراءات إجراء المقابلات</w:t>
      </w:r>
    </w:p>
    <w:p w14:paraId="5689E44E" w14:textId="77777777" w:rsidR="00EB5CBD" w:rsidRDefault="00EA4CEB">
      <w:pPr>
        <w:pStyle w:val="ListParagraph"/>
        <w:numPr>
          <w:ilvl w:val="0"/>
          <w:numId w:val="2"/>
        </w:numPr>
        <w:bidi/>
        <w:spacing w:after="100" w:line="300" w:lineRule="auto"/>
        <w:jc w:val="both"/>
      </w:pPr>
      <w:r>
        <w:t>مكان المقابلة: مكتب المشارك أو مكان يختاره، أو عن بُعد عبر وسيلة اتصال مرئي (Microsoft Teams أو Zoom)، بحسب تفضيل المشارك.</w:t>
      </w:r>
    </w:p>
    <w:p w14:paraId="03085723" w14:textId="77777777" w:rsidR="00EB5CBD" w:rsidRDefault="00EA4CEB">
      <w:pPr>
        <w:pStyle w:val="ListParagraph"/>
        <w:numPr>
          <w:ilvl w:val="0"/>
          <w:numId w:val="2"/>
        </w:numPr>
        <w:bidi/>
        <w:spacing w:after="100" w:line="300" w:lineRule="auto"/>
        <w:jc w:val="both"/>
      </w:pPr>
      <w:r>
        <w:t>اللغة المستخدمة: العربية، مع إمكانية التحول للإنجليزية إذا فضّل المشارك ذلك.</w:t>
      </w:r>
    </w:p>
    <w:p w14:paraId="7203822C" w14:textId="77777777" w:rsidR="00EB5CBD" w:rsidRDefault="00EA4CEB">
      <w:pPr>
        <w:pStyle w:val="ListParagraph"/>
        <w:numPr>
          <w:ilvl w:val="0"/>
          <w:numId w:val="2"/>
        </w:numPr>
        <w:bidi/>
        <w:spacing w:after="100" w:line="300" w:lineRule="auto"/>
        <w:jc w:val="both"/>
      </w:pPr>
      <w:r>
        <w:t>طريقة التسجيل: تسجيل صوتي (أو مرئي في حال المقابلة عن بُعد) بعد الحصول على موافقة منفصلة ومحددة للتسجيل، متمايزة عن الموافقة العامة على المشاركة في المقابلة.</w:t>
      </w:r>
    </w:p>
    <w:p w14:paraId="0BA5D57D" w14:textId="77777777" w:rsidR="00EB5CBD" w:rsidRDefault="00EA4CEB">
      <w:pPr>
        <w:pStyle w:val="ListParagraph"/>
        <w:numPr>
          <w:ilvl w:val="0"/>
          <w:numId w:val="2"/>
        </w:numPr>
        <w:bidi/>
        <w:spacing w:after="100" w:line="300" w:lineRule="auto"/>
        <w:jc w:val="both"/>
      </w:pPr>
      <w:r>
        <w:t>إعداد ملاحظات ميدانية مكتوبة أثناء كل مقابلة أو مباشرة بعدها، توثق السياق والانطباعات غير اللفظية.</w:t>
      </w:r>
    </w:p>
    <w:p w14:paraId="73FBDE6B" w14:textId="77777777" w:rsidR="00EB5CBD" w:rsidRDefault="00EA4CEB">
      <w:pPr>
        <w:pStyle w:val="ListParagraph"/>
        <w:numPr>
          <w:ilvl w:val="0"/>
          <w:numId w:val="2"/>
        </w:numPr>
        <w:bidi/>
        <w:spacing w:after="100" w:line="300" w:lineRule="auto"/>
        <w:jc w:val="both"/>
      </w:pPr>
      <w:r>
        <w:t>تفريغ التسجيلات نصيًا بالكامل خلال مدة لا تتجاوز أسبوعًا من تاريخ كل مقابلة.</w:t>
      </w:r>
    </w:p>
    <w:p w14:paraId="2090B00D" w14:textId="77777777" w:rsidR="00EB5CBD" w:rsidRDefault="00EA4CEB">
      <w:pPr>
        <w:pStyle w:val="ListParagraph"/>
        <w:numPr>
          <w:ilvl w:val="0"/>
          <w:numId w:val="2"/>
        </w:numPr>
        <w:bidi/>
        <w:spacing w:after="100" w:line="300" w:lineRule="auto"/>
        <w:jc w:val="both"/>
      </w:pPr>
      <w:r>
        <w:t>مراجعة دقة كل تفريغ بمقارنته بالتسجيل الأصلي قبل اعتماده للتحليل.</w:t>
      </w:r>
    </w:p>
    <w:p w14:paraId="69BE9BE4" w14:textId="77777777" w:rsidR="00EB5CBD" w:rsidRDefault="00EA4CEB">
      <w:pPr>
        <w:pStyle w:val="ListParagraph"/>
        <w:numPr>
          <w:ilvl w:val="0"/>
          <w:numId w:val="2"/>
        </w:numPr>
        <w:bidi/>
        <w:spacing w:after="100" w:line="300" w:lineRule="auto"/>
        <w:jc w:val="both"/>
      </w:pPr>
      <w:r>
        <w:t>توثيق أي مقطع غير واضح في التسجيل بعلامة صريحة في نص التفريغ، مع محاولة استيضاحه من المشارك عند الإمكان دون تخمين محتواه.</w:t>
      </w:r>
    </w:p>
    <w:p w14:paraId="506F6A5F" w14:textId="77777777" w:rsidR="00EB5CBD" w:rsidRDefault="00EA4CEB">
      <w:pPr>
        <w:pStyle w:val="ListParagraph"/>
        <w:numPr>
          <w:ilvl w:val="0"/>
          <w:numId w:val="2"/>
        </w:numPr>
        <w:bidi/>
        <w:spacing w:after="100" w:line="300" w:lineRule="auto"/>
        <w:jc w:val="both"/>
      </w:pPr>
      <w:r>
        <w:t>الاحتفاظ بالتسجيلات الصوتية والنصوص المفرغة لمدة لا تقل عن خمس سنوات من تاريخ إجازة الأطروحة، وفق سياسة الجامعة لحفظ بيانات البحث، على أن تُحفظ في وسيط مشفّر يُتاح الوصول إليه للباحثة والمشرف فقط.</w:t>
      </w:r>
    </w:p>
    <w:p w14:paraId="5D50919B" w14:textId="77777777" w:rsidR="00EB5CBD" w:rsidRDefault="00EA4CEB" w:rsidP="007E709B">
      <w:pPr>
        <w:bidi/>
        <w:spacing w:after="160" w:line="320" w:lineRule="auto"/>
      </w:pPr>
      <w:r>
        <w:rPr>
          <w:b/>
          <w:bCs/>
          <w:sz w:val="28"/>
          <w:szCs w:val="28"/>
        </w:rPr>
        <w:t>‏3.11 إجراءات تنظيف البيانات الكمية ومنع التكرار</w:t>
      </w:r>
    </w:p>
    <w:p w14:paraId="76EED201" w14:textId="77777777" w:rsidR="00EB5CBD" w:rsidRDefault="00EA4CEB" w:rsidP="007E709B">
      <w:pPr>
        <w:bidi/>
        <w:spacing w:after="140" w:line="320" w:lineRule="auto"/>
      </w:pPr>
      <w:r>
        <w:rPr>
          <w:b/>
          <w:bCs/>
          <w:sz w:val="25"/>
          <w:szCs w:val="25"/>
        </w:rPr>
        <w:t>‏3.11.1 تنظيف البيانات</w:t>
      </w:r>
    </w:p>
    <w:p w14:paraId="42FB6361" w14:textId="77777777" w:rsidR="00EB5CBD" w:rsidRDefault="00EA4CEB">
      <w:pPr>
        <w:bidi/>
        <w:spacing w:after="160" w:line="320" w:lineRule="auto"/>
        <w:jc w:val="both"/>
      </w:pPr>
      <w:r>
        <w:t>قبل الانتقال إلى التحليل الإحصائي، ستُطبَّق سلسلة إجراءات تنظيف على البيانات الخام المجمّعة عبر نموذج جوجل فورم:</w:t>
      </w:r>
    </w:p>
    <w:p w14:paraId="4120532F" w14:textId="77777777" w:rsidR="00EB5CBD" w:rsidRDefault="00EA4CEB">
      <w:pPr>
        <w:pStyle w:val="ListParagraph"/>
        <w:numPr>
          <w:ilvl w:val="0"/>
          <w:numId w:val="2"/>
        </w:numPr>
        <w:bidi/>
        <w:spacing w:after="100" w:line="300" w:lineRule="auto"/>
        <w:jc w:val="both"/>
      </w:pPr>
      <w:r>
        <w:t>فحص الاستبانات غير المكتملة، واستبعاد كل استجابة تقل نسبة إتمام فقراتها الأساسية عن 90%.</w:t>
      </w:r>
    </w:p>
    <w:p w14:paraId="10240ED7" w14:textId="77777777" w:rsidR="00EB5CBD" w:rsidRDefault="00EA4CEB">
      <w:pPr>
        <w:pStyle w:val="ListParagraph"/>
        <w:numPr>
          <w:ilvl w:val="0"/>
          <w:numId w:val="2"/>
        </w:numPr>
        <w:bidi/>
        <w:spacing w:after="100" w:line="300" w:lineRule="auto"/>
        <w:jc w:val="both"/>
      </w:pPr>
      <w:r>
        <w:t>معالجة البيانات المفقودة الجزئية (أقل من 10% من الفقرات) عبر أسلوب الاستبدال بالمتوسط على مستوى البُعد، لا حذف الحالة كاملة، إلا إذا تركزت القيم المفقودة في متغير واحد بما يوحي بخلل في فهم الفقرة.</w:t>
      </w:r>
    </w:p>
    <w:p w14:paraId="5259FCA3" w14:textId="77777777" w:rsidR="00EB5CBD" w:rsidRDefault="00EA4CEB">
      <w:pPr>
        <w:pStyle w:val="ListParagraph"/>
        <w:numPr>
          <w:ilvl w:val="0"/>
          <w:numId w:val="2"/>
        </w:numPr>
        <w:bidi/>
        <w:spacing w:after="100" w:line="300" w:lineRule="auto"/>
        <w:jc w:val="both"/>
      </w:pPr>
      <w:r>
        <w:t>اكتشاف الاستجابات المكررة من المصدر نفسه، وفق الآلية الموضحة في الفقرة 3.5 و3.11.2.</w:t>
      </w:r>
    </w:p>
    <w:p w14:paraId="613DCB56" w14:textId="77777777" w:rsidR="00EB5CBD" w:rsidRDefault="00EA4CEB">
      <w:pPr>
        <w:pStyle w:val="ListParagraph"/>
        <w:numPr>
          <w:ilvl w:val="0"/>
          <w:numId w:val="2"/>
        </w:numPr>
        <w:bidi/>
        <w:spacing w:after="100" w:line="300" w:lineRule="auto"/>
        <w:jc w:val="both"/>
      </w:pPr>
      <w:r>
        <w:t>فحص الاستجابات النمطية (Straight-lining)، أي اختيار الدرجة نفسها لجميع الفقرات دون تمييز، عبر حساب الانحراف المعياري لإجابات كل مستجيب واستبعاد من يقل انحرافه عن حد أدنى (صفر أو قريب منه) عبر جميع الفقرات.</w:t>
      </w:r>
    </w:p>
    <w:p w14:paraId="1AAE7F15" w14:textId="77777777" w:rsidR="00EB5CBD" w:rsidRDefault="00EA4CEB">
      <w:pPr>
        <w:pStyle w:val="ListParagraph"/>
        <w:numPr>
          <w:ilvl w:val="0"/>
          <w:numId w:val="2"/>
        </w:numPr>
        <w:bidi/>
        <w:spacing w:after="100" w:line="300" w:lineRule="auto"/>
        <w:jc w:val="both"/>
      </w:pPr>
      <w:r>
        <w:t>فحص زمن الاستجابة، واستبعاد الاستجابات التي أُنجزت في زمن أقل من ثلث الزمن المتوسط المرصود في الدراسة الاستطلاعية، بوصفها مؤشرًا محتملًا على عدم الجدية.</w:t>
      </w:r>
    </w:p>
    <w:p w14:paraId="334DFE21" w14:textId="77777777" w:rsidR="00EB5CBD" w:rsidRDefault="00EA4CEB">
      <w:pPr>
        <w:pStyle w:val="ListParagraph"/>
        <w:numPr>
          <w:ilvl w:val="0"/>
          <w:numId w:val="2"/>
        </w:numPr>
        <w:bidi/>
        <w:spacing w:after="100" w:line="300" w:lineRule="auto"/>
        <w:jc w:val="both"/>
      </w:pPr>
      <w:r>
        <w:t>اكتشاف القيم الشاذة إحصائيًا (Outliers) في المتغيرات المستمرة عبر مسافة ماهالانوبيس أو الرسم الصندوقي، مع مراجعة كل حالة قبل قرار الاستبعاد.</w:t>
      </w:r>
    </w:p>
    <w:p w14:paraId="521B05FD" w14:textId="77777777" w:rsidR="00EB5CBD" w:rsidRDefault="00EA4CEB">
      <w:pPr>
        <w:pStyle w:val="ListParagraph"/>
        <w:numPr>
          <w:ilvl w:val="0"/>
          <w:numId w:val="2"/>
        </w:numPr>
        <w:bidi/>
        <w:spacing w:after="100" w:line="300" w:lineRule="auto"/>
        <w:jc w:val="both"/>
      </w:pPr>
      <w:r>
        <w:t>مراجعة ترميز الفقرات العكسية (إن وُجدت) للتأكد من صحة اتجاه الترميز قبل التحليل.</w:t>
      </w:r>
    </w:p>
    <w:p w14:paraId="71C1981E" w14:textId="77777777" w:rsidR="00EB5CBD" w:rsidRDefault="00EA4CEB">
      <w:pPr>
        <w:pStyle w:val="ListParagraph"/>
        <w:numPr>
          <w:ilvl w:val="0"/>
          <w:numId w:val="2"/>
        </w:numPr>
        <w:bidi/>
        <w:spacing w:after="100" w:line="300" w:lineRule="auto"/>
        <w:jc w:val="both"/>
      </w:pPr>
      <w:r>
        <w:t>فحص التوزيع الوصفي (التكرارات، المتوسطات، الانحرافات المعيارية، الالتواء والتفرطح) لكل متغير للكشف عن أي خلل غير مرصود بالإجراءات السابقة.</w:t>
      </w:r>
    </w:p>
    <w:p w14:paraId="2AF5B59B" w14:textId="77777777" w:rsidR="00EB5CBD" w:rsidRDefault="00EA4CEB">
      <w:pPr>
        <w:pStyle w:val="ListParagraph"/>
        <w:numPr>
          <w:ilvl w:val="0"/>
          <w:numId w:val="2"/>
        </w:numPr>
        <w:bidi/>
        <w:spacing w:after="100" w:line="300" w:lineRule="auto"/>
        <w:jc w:val="both"/>
      </w:pPr>
      <w:r>
        <w:t>تحديد سبب الاستبعاد لكل استجابة مستبعدة وتصنيفه (غير مكتملة، مكررة، نمطية، زمن غير منطقي، شاذة إحصائيًا، لا تنطبق عليها شروط المشاركة).</w:t>
      </w:r>
    </w:p>
    <w:p w14:paraId="2F44B4C8" w14:textId="77777777" w:rsidR="00EB5CBD" w:rsidRDefault="00EA4CEB">
      <w:pPr>
        <w:pStyle w:val="ListParagraph"/>
        <w:numPr>
          <w:ilvl w:val="0"/>
          <w:numId w:val="2"/>
        </w:numPr>
        <w:bidi/>
        <w:spacing w:after="100" w:line="300" w:lineRule="auto"/>
        <w:jc w:val="both"/>
      </w:pPr>
      <w:r>
        <w:t>إعداد مخطط تدفق (Flow Diagram) يوضح عدد الاستجابات في كل مرحلة: الموزعة، المستردة، بعد استبعاد غير المكتملة، بعد استبعاد المكررة، بعد استبعاد غير المؤهلة، الصالحة نهائيًا للتحليل.</w:t>
      </w:r>
    </w:p>
    <w:p w14:paraId="79D81C58" w14:textId="77777777" w:rsidR="00EB5CBD" w:rsidRDefault="00EA4CEB" w:rsidP="007E709B">
      <w:pPr>
        <w:bidi/>
        <w:spacing w:after="140" w:line="320" w:lineRule="auto"/>
      </w:pPr>
      <w:r>
        <w:rPr>
          <w:b/>
          <w:bCs/>
          <w:sz w:val="25"/>
          <w:szCs w:val="25"/>
        </w:rPr>
        <w:t>‏3.11.2 منع الاستجابات المتكررة وغير المؤهلة</w:t>
      </w:r>
    </w:p>
    <w:p w14:paraId="72C444F1" w14:textId="77777777" w:rsidR="00EB5CBD" w:rsidRDefault="00EA4CEB">
      <w:pPr>
        <w:bidi/>
        <w:spacing w:after="160" w:line="320" w:lineRule="auto"/>
        <w:jc w:val="both"/>
      </w:pPr>
      <w:r>
        <w:t>ستُطبَّق الإجراءات التالية وقائيًا في تصميم نموذج جوجل فورم قبل الجمع، دون طلب معلومات شخصية غير ضرورية:</w:t>
      </w:r>
    </w:p>
    <w:p w14:paraId="6E95BDD2" w14:textId="77777777" w:rsidR="00EB5CBD" w:rsidRDefault="00EA4CEB">
      <w:pPr>
        <w:pStyle w:val="ListParagraph"/>
        <w:numPr>
          <w:ilvl w:val="0"/>
          <w:numId w:val="2"/>
        </w:numPr>
        <w:bidi/>
        <w:spacing w:after="100" w:line="300" w:lineRule="auto"/>
        <w:jc w:val="both"/>
      </w:pPr>
      <w:r>
        <w:t>تفعيل خيار «حصر الاستجابة إلى استجابة واحدة» (Limit to 1 response) المرتبط بحساب جوجل، مع توضيح ذلك للمشارك مسبقًا.</w:t>
      </w:r>
    </w:p>
    <w:p w14:paraId="01A00D44" w14:textId="77777777" w:rsidR="00EB5CBD" w:rsidRDefault="00EA4CEB">
      <w:pPr>
        <w:pStyle w:val="ListParagraph"/>
        <w:numPr>
          <w:ilvl w:val="0"/>
          <w:numId w:val="2"/>
        </w:numPr>
        <w:bidi/>
        <w:spacing w:after="100" w:line="300" w:lineRule="auto"/>
        <w:jc w:val="both"/>
      </w:pPr>
      <w:r>
        <w:t>إدراج حقل مستقل غير ظاهر في نتائج التحليل يطلب رقم السجل التجاري أو اسم المنشأة، يُستخدم حصرًا لغرض رصد التكرار بين المنشآت، ثم يُفصل عن ملف التحليل النهائي ويُشفَّر أو يُحذف بعد التحقق.</w:t>
      </w:r>
    </w:p>
    <w:p w14:paraId="7429936F" w14:textId="77777777" w:rsidR="00EB5CBD" w:rsidRDefault="00EA4CEB">
      <w:pPr>
        <w:pStyle w:val="ListParagraph"/>
        <w:numPr>
          <w:ilvl w:val="0"/>
          <w:numId w:val="2"/>
        </w:numPr>
        <w:bidi/>
        <w:spacing w:after="100" w:line="300" w:lineRule="auto"/>
        <w:jc w:val="both"/>
      </w:pPr>
      <w:r>
        <w:t>مراجعة الطابع الزمني وعنوان IP (إن أتاحه النموذج) لرصد الأنماط المشبوهة (عدة استجابات من المصدر نفسه خلال دقائق).</w:t>
      </w:r>
    </w:p>
    <w:p w14:paraId="7A0A1031" w14:textId="77777777" w:rsidR="00EB5CBD" w:rsidRDefault="00EA4CEB">
      <w:pPr>
        <w:pStyle w:val="ListParagraph"/>
        <w:numPr>
          <w:ilvl w:val="0"/>
          <w:numId w:val="2"/>
        </w:numPr>
        <w:bidi/>
        <w:spacing w:after="100" w:line="300" w:lineRule="auto"/>
        <w:jc w:val="both"/>
      </w:pPr>
      <w:r>
        <w:t>تحديد نطاق نشر رابط الاستبيان بالقنوات الموضحة في الفقرة 3.7.1 حصرًا، وعدم نشره في مجموعات عامة مفتوحة يصعب فيها التحقق من صفة المشارك.</w:t>
      </w:r>
    </w:p>
    <w:p w14:paraId="6F1C31BE" w14:textId="77777777" w:rsidR="00EB5CBD" w:rsidRDefault="00EA4CEB">
      <w:pPr>
        <w:pStyle w:val="ListParagraph"/>
        <w:numPr>
          <w:ilvl w:val="0"/>
          <w:numId w:val="2"/>
        </w:numPr>
        <w:bidi/>
        <w:spacing w:after="100" w:line="300" w:lineRule="auto"/>
        <w:jc w:val="both"/>
      </w:pPr>
      <w:r>
        <w:t>إدراج سؤالي التحقق من التصنيف (عدد الموظفين، الإيرادات) في مطلع الاستبيان لاستبعاد غير المؤهلين آليًا قبل وصولهم لبقية الفقرات.</w:t>
      </w:r>
    </w:p>
    <w:p w14:paraId="27AD2F4D" w14:textId="77777777" w:rsidR="00EB5CBD" w:rsidRDefault="00EA4CEB" w:rsidP="007E709B">
      <w:pPr>
        <w:bidi/>
        <w:spacing w:after="140" w:line="320" w:lineRule="auto"/>
      </w:pPr>
      <w:r>
        <w:rPr>
          <w:b/>
          <w:bCs/>
          <w:sz w:val="25"/>
          <w:szCs w:val="25"/>
        </w:rPr>
        <w:t>‏3.11.3 فحص تحيز عدم الاستجابة</w:t>
      </w:r>
    </w:p>
    <w:p w14:paraId="39FC5864" w14:textId="77777777" w:rsidR="00EB5CBD" w:rsidRDefault="00EA4CEB">
      <w:pPr>
        <w:bidi/>
        <w:spacing w:after="160" w:line="320" w:lineRule="auto"/>
        <w:jc w:val="both"/>
      </w:pPr>
      <w:r>
        <w:t>للتحقق من عدم تحيز عدم الاستجابة (Non-response Bias)، ستُقارن خصائص المستجيبين الأوائل بالمستجيبين المتأخرين، باعتماد الإجراء التالي: تُعرَّف الاستجابات «المبكرة» بأنها الثلث الأول من الاستجابات زمنيًا، و«المتأخرة» بأنها الثلث الأخير. تُقارن المجموعتان في المتغيرات الرئيسية للدراسة (تبنّي الذكاء الاصطناعي، التسويق الرقمي، الأداء التسويقي) والخصائص الديموغرافية للمنشأة (القطاع، الحجم)، باستخدام اختبار (t) المستقل أو اختبار مان-ويتني حسب توزيع البيانات. يُعتمد مستوى دلالة 0.05 كمعيار للحكم على وجود تحيز؛ فإذا لم تظهر فروق دالة إحصائيًا بين المجموعتين، يُستنتج غياب دليل على تحيز عدم استجابة جوهري، وتُوثَّق النتيجة بوضوح في تقرير التحليل سواء أثبتت التحيز أو نفته.</w:t>
      </w:r>
    </w:p>
    <w:p w14:paraId="20D7CFBE" w14:textId="77777777" w:rsidR="00EB5CBD" w:rsidRDefault="00EA4CEB" w:rsidP="007E709B">
      <w:pPr>
        <w:bidi/>
        <w:spacing w:after="160" w:line="320" w:lineRule="auto"/>
      </w:pPr>
      <w:r>
        <w:rPr>
          <w:b/>
          <w:bCs/>
          <w:sz w:val="28"/>
          <w:szCs w:val="28"/>
        </w:rPr>
        <w:t>‏3.12 إجراءات التحليل الإحصائي الكمي عبر SmartPLS</w:t>
      </w:r>
    </w:p>
    <w:p w14:paraId="12497695" w14:textId="77777777" w:rsidR="00EB5CBD" w:rsidRDefault="00EA4CEB">
      <w:pPr>
        <w:bidi/>
        <w:spacing w:after="160" w:line="320" w:lineRule="auto"/>
        <w:jc w:val="both"/>
      </w:pPr>
      <w:r>
        <w:t>ستُحلَّل البيانات الكمية عبر نمذجة المعادلات الهيكلية بالمربعات الصغرى الجزئية (PLS-SEM) باستخدام برنامج SmartPLS الإصدار 4.1، لملاءمتها للبيانات السلوكية والنماذج التي تتضمن علاقات وساطة ومتغيرات من الرتبة الثانية (Hair et al., 2022). قبل عرض معايير التحليل، تُجرى إجراءات تنظيف البيانات الموضحة في الفقرة 3.11 على بيانات SPSS، ثم تُستورد البيانات النظيفة إلى SmartPLS.</w:t>
      </w:r>
    </w:p>
    <w:p w14:paraId="2756DB57" w14:textId="77777777" w:rsidR="00EB5CBD" w:rsidRDefault="00EA4CEB" w:rsidP="007E709B">
      <w:pPr>
        <w:bidi/>
        <w:spacing w:after="140" w:line="320" w:lineRule="auto"/>
      </w:pPr>
      <w:r>
        <w:rPr>
          <w:b/>
          <w:bCs/>
          <w:sz w:val="25"/>
          <w:szCs w:val="25"/>
        </w:rPr>
        <w:t>‏3.12.1 تحيز الطريقة المشتركة</w:t>
      </w:r>
    </w:p>
    <w:p w14:paraId="4A296EB3" w14:textId="77777777" w:rsidR="00EB5CBD" w:rsidRDefault="00EA4CEB">
      <w:pPr>
        <w:bidi/>
        <w:spacing w:after="160" w:line="320" w:lineRule="auto"/>
        <w:jc w:val="both"/>
      </w:pPr>
      <w:r>
        <w:t>لأن البيانات تُجمع عبر أداة استبيان واحدة ذاتية التقرير، سيُتحقق من خلوها من تحيز الطريقة المشتركة (Common Method Bias) عبر اختبار التضخم المتعدد القطاعي الكامل (Full Collinearity VIF Test) (Kock, 2015). يُشترط في هذا الاختبار أن تكون قيم معامل تضخم التباين (VIF) لجميع المتغيرات الكامنة في النموذج البنائي أقل من 3.3، وهي العتبة الحرجة المعتمدة في أدبيات هذا الاختبار (Kock, 2015). سيُوثَّق أسلوب حساب هذا المؤشر تحديدًا في SmartPLS (عبر تشغيل انحدار كامل لكل متغير كامن على متغير وهمي وحساب VIF الناتج)، مع التأكيد الصريح على أن اجتياز هذا الاختبار وحده لا يُعد دليلًا قاطعًا على خلو البيانات من التحيز، بل مؤشرًا مساعدًا من بين أدلة متعددة. لهذا السبب، تُضاف احترازات وقائية في مرحلة تصميم الاستبيان نفسها، وفق ما هو مبيّن في الفقرة 3.12.1.1 التالية، ولا يُدّعى خلو البيانات التام من هذا التحيز اعتمادًا على اختبار إحصائي واحد فقط.</w:t>
      </w:r>
    </w:p>
    <w:p w14:paraId="3288978E" w14:textId="77777777" w:rsidR="00EB5CBD" w:rsidRDefault="00EA4CEB">
      <w:pPr>
        <w:bidi/>
        <w:spacing w:after="160" w:line="320" w:lineRule="auto"/>
        <w:jc w:val="both"/>
      </w:pPr>
      <w:r>
        <w:t>الإجراءات الوقائية المتبعة عند تصميم الاستبيان وجمع البيانات، قبل أي فحص إحصائي لاحق، تشمل:</w:t>
      </w:r>
    </w:p>
    <w:p w14:paraId="3D2AE3D9" w14:textId="77777777" w:rsidR="00EB5CBD" w:rsidRDefault="00EA4CEB">
      <w:pPr>
        <w:pStyle w:val="ListParagraph"/>
        <w:numPr>
          <w:ilvl w:val="0"/>
          <w:numId w:val="2"/>
        </w:numPr>
        <w:bidi/>
        <w:spacing w:after="100" w:line="300" w:lineRule="auto"/>
        <w:jc w:val="both"/>
      </w:pPr>
      <w:r>
        <w:t>ضمان السرية التامة للمستجيب، والتأكيد الصريح في مقدمة الاستبيان على عدم طلب اسم المشارك.</w:t>
      </w:r>
    </w:p>
    <w:p w14:paraId="3173DDB1" w14:textId="77777777" w:rsidR="00EB5CBD" w:rsidRDefault="00EA4CEB">
      <w:pPr>
        <w:pStyle w:val="ListParagraph"/>
        <w:numPr>
          <w:ilvl w:val="0"/>
          <w:numId w:val="2"/>
        </w:numPr>
        <w:bidi/>
        <w:spacing w:after="100" w:line="300" w:lineRule="auto"/>
        <w:jc w:val="both"/>
      </w:pPr>
      <w:r>
        <w:t>عدم طلب اسم المنشأة في حقول التحليل (يُفصل حقل التحقق من التكرار عن ملف التحليل كما هو مبيّن في الفقرة 3.11.2).</w:t>
      </w:r>
    </w:p>
    <w:p w14:paraId="450C8B52" w14:textId="77777777" w:rsidR="00EB5CBD" w:rsidRDefault="00EA4CEB">
      <w:pPr>
        <w:pStyle w:val="ListParagraph"/>
        <w:numPr>
          <w:ilvl w:val="0"/>
          <w:numId w:val="2"/>
        </w:numPr>
        <w:bidi/>
        <w:spacing w:after="100" w:line="300" w:lineRule="auto"/>
        <w:jc w:val="both"/>
      </w:pPr>
      <w:r>
        <w:t>التأكيد للمستجيب على عدم وجود إجابات صحيحة أو خاطئة، وأن الهدف هو وصف الممارسة الفعلية لا تقييم أداء المنشأة.</w:t>
      </w:r>
    </w:p>
    <w:p w14:paraId="0D498F3A" w14:textId="77777777" w:rsidR="00EB5CBD" w:rsidRDefault="00EA4CEB">
      <w:pPr>
        <w:pStyle w:val="ListParagraph"/>
        <w:numPr>
          <w:ilvl w:val="0"/>
          <w:numId w:val="2"/>
        </w:numPr>
        <w:bidi/>
        <w:spacing w:after="100" w:line="300" w:lineRule="auto"/>
        <w:jc w:val="both"/>
      </w:pPr>
      <w:r>
        <w:t>تجنب صياغة فقرات موجهة تلمّح لإجابة متوقعة أو مرغوبة اجتماعيًا.</w:t>
      </w:r>
    </w:p>
    <w:p w14:paraId="5A084DA7" w14:textId="77777777" w:rsidR="00EB5CBD" w:rsidRDefault="00EA4CEB">
      <w:pPr>
        <w:pStyle w:val="ListParagraph"/>
        <w:numPr>
          <w:ilvl w:val="0"/>
          <w:numId w:val="2"/>
        </w:numPr>
        <w:bidi/>
        <w:spacing w:after="100" w:line="300" w:lineRule="auto"/>
        <w:jc w:val="both"/>
      </w:pPr>
      <w:r>
        <w:t>الفصل المنطقي بين أقسام الاستبيان (المتغير المستقل، الوسيط، التابع) بفواصل بصرية وترتيب غير متجاور للفقرات التي تقيس المفهوم نفسه.</w:t>
      </w:r>
    </w:p>
    <w:p w14:paraId="0B97F89B" w14:textId="77777777" w:rsidR="00EB5CBD" w:rsidRDefault="00EA4CEB">
      <w:pPr>
        <w:pStyle w:val="ListParagraph"/>
        <w:numPr>
          <w:ilvl w:val="0"/>
          <w:numId w:val="2"/>
        </w:numPr>
        <w:bidi/>
        <w:spacing w:after="100" w:line="300" w:lineRule="auto"/>
        <w:jc w:val="both"/>
      </w:pPr>
      <w:r>
        <w:t>تنويع صياغة الفقرات (إيجابية وسلبية حيث أمكن) لتقليل نمط الاستجابة الآلي.</w:t>
      </w:r>
    </w:p>
    <w:p w14:paraId="60290C3A" w14:textId="77777777" w:rsidR="00EB5CBD" w:rsidRDefault="00EA4CEB">
      <w:pPr>
        <w:pStyle w:val="ListParagraph"/>
        <w:numPr>
          <w:ilvl w:val="0"/>
          <w:numId w:val="2"/>
        </w:numPr>
        <w:bidi/>
        <w:spacing w:after="100" w:line="300" w:lineRule="auto"/>
        <w:jc w:val="both"/>
      </w:pPr>
      <w:r>
        <w:t>تقليل الغموض اللغوي في الفقرات عبر التحكيم العلمي والدراسة الاستطلاعية (الفقرتان 3.9.3 و3.9.4).</w:t>
      </w:r>
    </w:p>
    <w:p w14:paraId="21C6F692" w14:textId="77777777" w:rsidR="00EB5CBD" w:rsidRDefault="00EA4CEB">
      <w:pPr>
        <w:pStyle w:val="ListParagraph"/>
        <w:numPr>
          <w:ilvl w:val="0"/>
          <w:numId w:val="2"/>
        </w:numPr>
        <w:bidi/>
        <w:spacing w:after="100" w:line="300" w:lineRule="auto"/>
        <w:jc w:val="both"/>
        <w:rPr>
          <w:rFonts w:hint="cs"/>
          <w:rtl w:val="0"/>
        </w:rPr>
      </w:pPr>
      <w:r>
        <w:t>تجنب الأسئلة أو الفقرات المركبة التي تقيس أكثر من فكرة واحدة في جملة واحدة.</w:t>
      </w:r>
    </w:p>
    <w:p w14:paraId="5D56EC5E" w14:textId="77777777" w:rsidR="00EA4CEB" w:rsidRDefault="00EA4CEB" w:rsidP="00EA4CEB">
      <w:pPr>
        <w:bidi/>
        <w:spacing w:after="100" w:line="300" w:lineRule="auto"/>
        <w:jc w:val="both"/>
        <w:rPr>
          <w:rFonts w:hint="cs"/>
        </w:rPr>
      </w:pPr>
    </w:p>
    <w:p w14:paraId="6D87A3B5" w14:textId="77777777" w:rsidR="00EA4CEB" w:rsidRDefault="00EA4CEB" w:rsidP="00EA4CEB">
      <w:pPr>
        <w:bidi/>
        <w:spacing w:after="100" w:line="300" w:lineRule="auto"/>
        <w:jc w:val="both"/>
        <w:rPr>
          <w:rFonts w:hint="cs"/>
        </w:rPr>
      </w:pPr>
    </w:p>
    <w:p w14:paraId="07A04C05" w14:textId="77777777" w:rsidR="00EA4CEB" w:rsidRDefault="00EA4CEB" w:rsidP="00EA4CEB">
      <w:pPr>
        <w:bidi/>
        <w:spacing w:after="100" w:line="300" w:lineRule="auto"/>
        <w:jc w:val="both"/>
      </w:pPr>
    </w:p>
    <w:p w14:paraId="68EE0F49" w14:textId="77777777" w:rsidR="00EB5CBD" w:rsidRDefault="00EA4CEB" w:rsidP="007E709B">
      <w:pPr>
        <w:bidi/>
        <w:spacing w:after="140" w:line="320" w:lineRule="auto"/>
      </w:pPr>
      <w:r>
        <w:rPr>
          <w:b/>
          <w:bCs/>
          <w:sz w:val="25"/>
          <w:szCs w:val="25"/>
        </w:rPr>
        <w:t>‏3.12.2 تقييم نموذج القياس (Outer Model)</w:t>
      </w:r>
    </w:p>
    <w:p w14:paraId="0FCD51F8" w14:textId="77777777" w:rsidR="00EB5CBD" w:rsidRDefault="00EA4CEB">
      <w:pPr>
        <w:bidi/>
        <w:spacing w:after="160" w:line="320" w:lineRule="auto"/>
        <w:jc w:val="both"/>
      </w:pPr>
      <w:r>
        <w:t>يُقيَّم نموذج القياس وفق الخطوات التالية، مطبقة على المقاييس الانعكاسية (وفق ما هو محدد في الفقرة 3.8.1):</w:t>
      </w:r>
    </w:p>
    <w:p w14:paraId="52CE4087" w14:textId="77777777" w:rsidR="00EB5CBD" w:rsidRDefault="00EA4CEB">
      <w:pPr>
        <w:pStyle w:val="ListParagraph"/>
        <w:numPr>
          <w:ilvl w:val="0"/>
          <w:numId w:val="2"/>
        </w:numPr>
        <w:bidi/>
        <w:spacing w:after="100" w:line="300" w:lineRule="auto"/>
        <w:jc w:val="both"/>
      </w:pPr>
      <w:r>
        <w:t>التحميلات الخارجية (Outer Loadings): يُحتفظ بالفقرة إذا بلغ تحميلها 0.708 فأكثر. الفقرات التي يتراوح تحميلها بين 0.40 و0.708 لا تُحذف تلقائيًا؛ بل يُختبر أثر حذفها على قيمتي AVE وCR لبعدها: تُحذف فقط إذا رفع حذفها القيمتين إلى ما فوق العتبة المطلوبة، وتُستبقى إذا لم يتحقق ذلك، مع تفضيل الاستبقاء عند القرب من العتبة حفاظًا على المحتوى المفاهيمي للبعد. لا تُحذف أي فقرة بالاعتماد على النتيجة الإحصائية فقط دون مراجعة مضمونها العلمي.</w:t>
      </w:r>
    </w:p>
    <w:p w14:paraId="4D8E660A" w14:textId="77777777" w:rsidR="00EB5CBD" w:rsidRDefault="00EA4CEB">
      <w:pPr>
        <w:pStyle w:val="ListParagraph"/>
        <w:numPr>
          <w:ilvl w:val="0"/>
          <w:numId w:val="2"/>
        </w:numPr>
        <w:bidi/>
        <w:spacing w:after="100" w:line="300" w:lineRule="auto"/>
        <w:jc w:val="both"/>
      </w:pPr>
      <w:r>
        <w:t>الاتساق الداخلي: معامل ألفا كرونباخ (Cronbach's Alpha) ومعامل rho_A، يُشترط أن تتجاوز قيمتهما 0.70 لكل متغير.</w:t>
      </w:r>
    </w:p>
    <w:p w14:paraId="6AED7628" w14:textId="77777777" w:rsidR="00EB5CBD" w:rsidRDefault="00EA4CEB">
      <w:pPr>
        <w:pStyle w:val="ListParagraph"/>
        <w:numPr>
          <w:ilvl w:val="0"/>
          <w:numId w:val="2"/>
        </w:numPr>
        <w:bidi/>
        <w:spacing w:after="100" w:line="300" w:lineRule="auto"/>
        <w:jc w:val="both"/>
      </w:pPr>
      <w:r>
        <w:t>الموثوقية التركيبية (Composite Reliability - CR): يُشترط أن تتجاوز 0.70، مع مراعاة ألا تتجاوز 0.95 لتفادي التكرار المفرط في الفقرات (Redundancy) الذي قد يشير إلى قياس المفهوم نفسه بصياغات متطابقة تقريبًا.</w:t>
      </w:r>
    </w:p>
    <w:p w14:paraId="32DAC548" w14:textId="77777777" w:rsidR="00EB5CBD" w:rsidRDefault="00EA4CEB">
      <w:pPr>
        <w:pStyle w:val="ListParagraph"/>
        <w:numPr>
          <w:ilvl w:val="0"/>
          <w:numId w:val="2"/>
        </w:numPr>
        <w:bidi/>
        <w:spacing w:after="100" w:line="300" w:lineRule="auto"/>
        <w:jc w:val="both"/>
      </w:pPr>
      <w:r>
        <w:t>الصدق التقاربي: متوسط التباين المستخرج (AVE) يجب أن يتجاوز 0.50 لكل متغير (Fornell &amp; Larcker, 1981).</w:t>
      </w:r>
    </w:p>
    <w:p w14:paraId="0DCF329A" w14:textId="77777777" w:rsidR="00EB5CBD" w:rsidRDefault="00EA4CEB">
      <w:pPr>
        <w:pStyle w:val="ListParagraph"/>
        <w:numPr>
          <w:ilvl w:val="0"/>
          <w:numId w:val="2"/>
        </w:numPr>
        <w:bidi/>
        <w:spacing w:after="100" w:line="300" w:lineRule="auto"/>
        <w:jc w:val="both"/>
      </w:pPr>
      <w:r>
        <w:t>الصدق التمييزي: يُختبر بمعيارين معًا، لا بمعيار واحد منفرد: معيار فورنل-لاركر (الجذر التربيعي لـ AVE أكبر من معاملات الارتباط مع المتغيرات الأخرى)، ونسبة هيتيروتريت-مونوتريت (HTMT) التي يجب ألا تتجاوز 0.85 (أو 0.90 للمتغيرات المتقاربة مفاهيميًا)، مع استخدام فترات الثقة الخاصة بـ HTMT المستخرجة عبر Bootstrapping للتأكد إحصائيًا من أن القيمة العليا للفترة لا تتجاوز العتبة، لا الاكتفاء بالقيمة النقطية وحدها.</w:t>
      </w:r>
    </w:p>
    <w:p w14:paraId="60D4F072" w14:textId="77777777" w:rsidR="00EB5CBD" w:rsidRDefault="00EA4CEB">
      <w:pPr>
        <w:pStyle w:val="ListParagraph"/>
        <w:numPr>
          <w:ilvl w:val="0"/>
          <w:numId w:val="2"/>
        </w:numPr>
        <w:bidi/>
        <w:spacing w:after="100" w:line="300" w:lineRule="auto"/>
        <w:jc w:val="both"/>
      </w:pPr>
      <w:r>
        <w:t>مراجعة الارتباطات المرتفعة بين المقاييس (خصوصًا بين الأبعاد الفرعية للمتغير الواحد) كمؤشر إضافي على مدى استقلالية المفاهيم المقاسة.</w:t>
      </w:r>
    </w:p>
    <w:p w14:paraId="64192F96" w14:textId="77777777" w:rsidR="00EB5CBD" w:rsidRDefault="00EA4CEB" w:rsidP="007E709B">
      <w:pPr>
        <w:bidi/>
        <w:spacing w:after="140" w:line="320" w:lineRule="auto"/>
      </w:pPr>
      <w:r>
        <w:rPr>
          <w:b/>
          <w:bCs/>
          <w:sz w:val="25"/>
          <w:szCs w:val="25"/>
        </w:rPr>
        <w:t>‏3.12.3 تقييم النموذج البنائي (Inner Model)</w:t>
      </w:r>
    </w:p>
    <w:p w14:paraId="35437618" w14:textId="77777777" w:rsidR="00EB5CBD" w:rsidRDefault="00EA4CEB">
      <w:pPr>
        <w:pStyle w:val="ListParagraph"/>
        <w:numPr>
          <w:ilvl w:val="0"/>
          <w:numId w:val="2"/>
        </w:numPr>
        <w:bidi/>
        <w:spacing w:after="100" w:line="300" w:lineRule="auto"/>
        <w:jc w:val="both"/>
      </w:pPr>
      <w:r>
        <w:t>فحص التعدد الخطي الداخلي (Inner VIF) لجميع المسارات قبل تفسير معاملاتها، بحيث تكون القيم أقل من 5 (ويُفضَّل أقل من 3)، لاستبعاد أي تضخم يُشوّه تفسير معاملات المسار.</w:t>
      </w:r>
    </w:p>
    <w:p w14:paraId="78164012" w14:textId="77777777" w:rsidR="00EB5CBD" w:rsidRDefault="00EA4CEB">
      <w:pPr>
        <w:pStyle w:val="ListParagraph"/>
        <w:numPr>
          <w:ilvl w:val="0"/>
          <w:numId w:val="2"/>
        </w:numPr>
        <w:bidi/>
        <w:spacing w:after="100" w:line="300" w:lineRule="auto"/>
        <w:jc w:val="both"/>
      </w:pPr>
      <w:r>
        <w:t>معاملات المسار (β - Path Coefficients) لتحديد اتجاه وقوة العلاقات، مع استخدام اختبار بوتستراب ثنائي الطرف (Two-tailed) بمستوى دلالة 0.05 وفترات ثقة متحيزة مصححة (Bias-Corrected and Accelerated - BCa) بخمسة آلاف عينة فرعية (5000 subsamples)؛ ويُعتمد الاختبار ثنائي الطرف لأن اتجاه بعض العلاقات (كأثر الوساطة الجزئي) غير محسوم نظريًا سلفًا في جميع المسارات.</w:t>
      </w:r>
    </w:p>
    <w:p w14:paraId="08A4EC14" w14:textId="77777777" w:rsidR="00EB5CBD" w:rsidRDefault="00EA4CEB">
      <w:pPr>
        <w:pStyle w:val="ListParagraph"/>
        <w:numPr>
          <w:ilvl w:val="0"/>
          <w:numId w:val="2"/>
        </w:numPr>
        <w:bidi/>
        <w:spacing w:after="100" w:line="300" w:lineRule="auto"/>
        <w:jc w:val="both"/>
      </w:pPr>
      <w:r>
        <w:t>معامل التحديد (R²) لقياس نسبة التباين المفسَّر في المتغيرات التابعة والوسيطة، وتُصنَّف القيم إلى ضعيفة (0.25 تقريبًا)، متوسطة (0.50)، أو قوية (0.75) وفق Hair et al. (2019)، مع التنبيه إلى أن هذا التصنيف إرشادي عام لا حد فاصل صارم.</w:t>
      </w:r>
    </w:p>
    <w:p w14:paraId="3A01605B" w14:textId="77777777" w:rsidR="00EB5CBD" w:rsidRDefault="00EA4CEB">
      <w:pPr>
        <w:pStyle w:val="ListParagraph"/>
        <w:numPr>
          <w:ilvl w:val="0"/>
          <w:numId w:val="2"/>
        </w:numPr>
        <w:bidi/>
        <w:spacing w:after="100" w:line="300" w:lineRule="auto"/>
        <w:jc w:val="both"/>
      </w:pPr>
      <w:r>
        <w:t>حجم التأثير (f²) لتحديد مساهمة كل متغير مستقل أو وسيط منفردًا في المتغير التابع، وفق تصنيف Cohen: 0.02 ضعيف، 0.15 متوسط، 0.35 قوي.</w:t>
      </w:r>
    </w:p>
    <w:p w14:paraId="61DA5986" w14:textId="77777777" w:rsidR="00EB5CBD" w:rsidRDefault="00EA4CEB">
      <w:pPr>
        <w:pStyle w:val="ListParagraph"/>
        <w:numPr>
          <w:ilvl w:val="0"/>
          <w:numId w:val="2"/>
        </w:numPr>
        <w:bidi/>
        <w:spacing w:after="100" w:line="300" w:lineRule="auto"/>
        <w:jc w:val="both"/>
      </w:pPr>
      <w:r>
        <w:t>معامل القدرة التنبؤية (Q²) عبر تقنية Blindfolding، ويُشترط أن تكون القيمة أكبر من الصفر لكل متغير تابع لإثبات الصلاحية التنبؤية داخل العينة.</w:t>
      </w:r>
    </w:p>
    <w:p w14:paraId="10A95B0D" w14:textId="77777777" w:rsidR="00EB5CBD" w:rsidRDefault="00EA4CEB">
      <w:pPr>
        <w:pStyle w:val="ListParagraph"/>
        <w:numPr>
          <w:ilvl w:val="0"/>
          <w:numId w:val="2"/>
        </w:numPr>
        <w:bidi/>
        <w:spacing w:after="100" w:line="300" w:lineRule="auto"/>
        <w:jc w:val="both"/>
      </w:pPr>
      <w:r>
        <w:t>عند تقديم أي ادعاء تنبؤي يتجاوز حدود العينة نفسها، يُضاف تقييم للقدرة التنبؤية خارج العينة عبر إجراء PLSpredict، ومقارنة أخطاء التنبؤ (RMSE) لمؤشرات النموذج بأخطاء خط الأساس الساذج (Naive Benchmark)، لا الاكتفاء بـ Q² وحده الذي يقيس الصلاحية داخل العينة فقط.</w:t>
      </w:r>
    </w:p>
    <w:p w14:paraId="4C16AE61" w14:textId="77777777" w:rsidR="00EB5CBD" w:rsidRDefault="00EA4CEB" w:rsidP="007E709B">
      <w:pPr>
        <w:bidi/>
        <w:spacing w:after="140" w:line="320" w:lineRule="auto"/>
      </w:pPr>
      <w:r>
        <w:rPr>
          <w:b/>
          <w:bCs/>
          <w:sz w:val="25"/>
          <w:szCs w:val="25"/>
        </w:rPr>
        <w:t>‏3.12.4 مؤشر جودة المطابقة (SRMR)</w:t>
      </w:r>
    </w:p>
    <w:p w14:paraId="1D2CA2F8" w14:textId="77777777" w:rsidR="00EB5CBD" w:rsidRDefault="00EA4CEB">
      <w:pPr>
        <w:bidi/>
        <w:spacing w:after="160" w:line="320" w:lineRule="auto"/>
        <w:jc w:val="both"/>
      </w:pPr>
      <w:r>
        <w:t>لا يُعامَل مؤشر SRMR بوصفه دليلًا نهائيًا على «مطابقة ممتازة» في PLS-SEM، إذ إن معايير المطابقة المطلقة المستعارة من CB-SEM لا تنطبق بالصورة نفسها على نماذج المسار بالمربعات الصغرى الجزئية. سيُستخدم SRMR كمؤشر تشخيصي مساعد فقط، بحيث تُعامَل القيمة الأقل من 0.08 كإشارة داعمة لا كافية وحدها، وتُفسَّر دائمًا إلى جانب معايير جودة القياس (الفقرة 3.12.2) والقوة التفسيرية (R²) والقدرة التنبؤية (Q² وPLSpredict)، لا بمعزل عنها.</w:t>
      </w:r>
    </w:p>
    <w:p w14:paraId="5474D4DE" w14:textId="77777777" w:rsidR="00EB5CBD" w:rsidRDefault="00EA4CEB" w:rsidP="007E709B">
      <w:pPr>
        <w:bidi/>
        <w:spacing w:after="140" w:line="320" w:lineRule="auto"/>
      </w:pPr>
      <w:r>
        <w:rPr>
          <w:b/>
          <w:bCs/>
          <w:sz w:val="25"/>
          <w:szCs w:val="25"/>
        </w:rPr>
        <w:t>‏3.12.5 اختبار ثبات القياس عبر المجموعات (MICOM) والمقارنات البينية</w:t>
      </w:r>
    </w:p>
    <w:p w14:paraId="21171B26" w14:textId="77777777" w:rsidR="00EB5CBD" w:rsidRDefault="00EA4CEB">
      <w:pPr>
        <w:bidi/>
        <w:spacing w:after="160" w:line="320" w:lineRule="auto"/>
        <w:jc w:val="both"/>
      </w:pPr>
      <w:r>
        <w:t>لا يُنفَّذ تحليل المقارنات بين المجموعات المتعددة (PLS-MGA) مباشرة دون التحقق أولًا من أن أداة القياس تقيس المفهوم نفسه بالطريقة نفسها عبر المجموعات المقارَنة. لذلك، سيُطبَّق إجراء ثبات القياس للنماذج المركبة (Measurement Invariance of Composite Models - MICOM) قبل أي مقارنة بين المجموعات، عبر خطواته الثلاث:</w:t>
      </w:r>
    </w:p>
    <w:p w14:paraId="0E7933C2" w14:textId="77777777" w:rsidR="00EB5CBD" w:rsidRDefault="00EA4CEB">
      <w:pPr>
        <w:pStyle w:val="ListParagraph"/>
        <w:numPr>
          <w:ilvl w:val="0"/>
          <w:numId w:val="2"/>
        </w:numPr>
        <w:bidi/>
        <w:spacing w:after="100" w:line="300" w:lineRule="auto"/>
        <w:jc w:val="both"/>
      </w:pPr>
      <w:r>
        <w:t>الخطوة الأولى - ثبات التكوين (Configural Invariance): التحقق من أن المتغيرات قِيست بالفقرات نفسها والمعالجة نفسها في جميع المجموعات (وهو متحقق تلقائيًا هنا لاستخدام الاستبيان نفسه لكل المجموعات).</w:t>
      </w:r>
    </w:p>
    <w:p w14:paraId="5AC360BB" w14:textId="77777777" w:rsidR="00EB5CBD" w:rsidRDefault="00EA4CEB">
      <w:pPr>
        <w:pStyle w:val="ListParagraph"/>
        <w:numPr>
          <w:ilvl w:val="0"/>
          <w:numId w:val="2"/>
        </w:numPr>
        <w:bidi/>
        <w:spacing w:after="100" w:line="300" w:lineRule="auto"/>
        <w:jc w:val="both"/>
      </w:pPr>
      <w:r>
        <w:t>الخطوة الثانية - ثبات التكوين الكمّي (Compositional Invariance): التحقق عبر اختبار التبديل (Permutation Test) من أن الارتباط بين درجات المتغير الكامن عبر المجموعات لا يقل جوهريًا عن الواحد الصحيح.</w:t>
      </w:r>
    </w:p>
    <w:p w14:paraId="1462DC2C" w14:textId="77777777" w:rsidR="00EB5CBD" w:rsidRDefault="00EA4CEB">
      <w:pPr>
        <w:pStyle w:val="ListParagraph"/>
        <w:numPr>
          <w:ilvl w:val="0"/>
          <w:numId w:val="2"/>
        </w:numPr>
        <w:bidi/>
        <w:spacing w:after="100" w:line="300" w:lineRule="auto"/>
        <w:jc w:val="both"/>
      </w:pPr>
      <w:r>
        <w:t>الخطوة الثالثة - تساوي المتوسطات والتباينات (Equality of Means and Variances): يُختبر عند الحاجة لتحديد نوع الثبات الكامل أو الجزئي المتحقق.</w:t>
      </w:r>
    </w:p>
    <w:p w14:paraId="2FA54F97" w14:textId="77777777" w:rsidR="00EB5CBD" w:rsidRDefault="00EA4CEB">
      <w:pPr>
        <w:bidi/>
        <w:spacing w:after="160" w:line="320" w:lineRule="auto"/>
        <w:jc w:val="both"/>
        <w:rPr>
          <w:rFonts w:hint="cs"/>
        </w:rPr>
      </w:pPr>
      <w:r>
        <w:t>إذا تحقق الثبات الجزئي على الأقل (Partial Measurement Invariance)، يجوز الانتقال إلى تحليل PLS-MGA أو اختبار التبديل (Permutation Test) لمقارنة معاملات المسار جوهريًا بين المجموعات: مستويات تبني الذكاء الاصطناعي (مرتفع/متوسط/منخفض)، والقطاعات الاقتصادية (صناعي/خدمي/تجاري)، مع مراعاة الحد الأدنى لحجم كل مجموعة الموضح في الفقرة 3.7.4. إذا لم يتحقق الثبات ولو الجزئي، لا تُجرى المقارنة الكمية المباشرة بين المجموعات، وتُناقش الفروق وصفيًا فقط مع توضيح هذا القيد المنهجي صراحة.</w:t>
      </w:r>
    </w:p>
    <w:p w14:paraId="2B9119A2" w14:textId="77777777" w:rsidR="00EA4CEB" w:rsidRDefault="00EA4CEB" w:rsidP="00EA4CEB">
      <w:pPr>
        <w:bidi/>
        <w:spacing w:after="160" w:line="320" w:lineRule="auto"/>
        <w:jc w:val="both"/>
        <w:rPr>
          <w:rFonts w:hint="cs"/>
        </w:rPr>
      </w:pPr>
    </w:p>
    <w:p w14:paraId="78913011" w14:textId="77777777" w:rsidR="00EA4CEB" w:rsidRDefault="00EA4CEB" w:rsidP="00EA4CEB">
      <w:pPr>
        <w:bidi/>
        <w:spacing w:after="160" w:line="320" w:lineRule="auto"/>
        <w:jc w:val="both"/>
        <w:rPr>
          <w:rFonts w:hint="cs"/>
        </w:rPr>
      </w:pPr>
    </w:p>
    <w:p w14:paraId="73EB11E5" w14:textId="77777777" w:rsidR="00EB5CBD" w:rsidRDefault="00EA4CEB" w:rsidP="007E709B">
      <w:pPr>
        <w:bidi/>
        <w:spacing w:after="140" w:line="320" w:lineRule="auto"/>
      </w:pPr>
      <w:r>
        <w:rPr>
          <w:b/>
          <w:bCs/>
          <w:sz w:val="25"/>
          <w:szCs w:val="25"/>
        </w:rPr>
        <w:t>‏3.12.6 تحليل الوساطة</w:t>
      </w:r>
    </w:p>
    <w:p w14:paraId="1C1A6751" w14:textId="77777777" w:rsidR="00EB5CBD" w:rsidRDefault="00EA4CEB">
      <w:pPr>
        <w:bidi/>
        <w:spacing w:after="160" w:line="320" w:lineRule="auto"/>
        <w:jc w:val="both"/>
      </w:pPr>
      <w:r>
        <w:t>يُختبر الأثر الوسيط للتسويق الرقمي بين تبنّي الذكاء الاصطناعي والأداء التسويقي وفق منهجية Zhao et al. (2010)، التي تصنّف نتائج الوساطة إلى خمس فئات دقيقة، لا فئتين فقط (وساطة كاملة/جزئية):</w:t>
      </w:r>
    </w:p>
    <w:p w14:paraId="3BFA6245" w14:textId="77777777" w:rsidR="00EB5CBD" w:rsidRDefault="00EA4CEB">
      <w:pPr>
        <w:pStyle w:val="ListParagraph"/>
        <w:numPr>
          <w:ilvl w:val="0"/>
          <w:numId w:val="2"/>
        </w:numPr>
        <w:bidi/>
        <w:spacing w:after="100" w:line="300" w:lineRule="auto"/>
        <w:jc w:val="both"/>
      </w:pPr>
      <w:r>
        <w:t>وساطة غير مباشرة فقط (Indirect-only Mediation): الأثر غير المباشر دالٌّ، والأثر المباشر غير دالٍّ.</w:t>
      </w:r>
    </w:p>
    <w:p w14:paraId="0F98D4B9" w14:textId="77777777" w:rsidR="00EB5CBD" w:rsidRDefault="00EA4CEB">
      <w:pPr>
        <w:pStyle w:val="ListParagraph"/>
        <w:numPr>
          <w:ilvl w:val="0"/>
          <w:numId w:val="2"/>
        </w:numPr>
        <w:bidi/>
        <w:spacing w:after="100" w:line="300" w:lineRule="auto"/>
        <w:jc w:val="both"/>
      </w:pPr>
      <w:r>
        <w:t>وساطة تكاملية (Complementary Mediation): الأثران المباشر وغير المباشر دالّان ومتفقان في الاتجاه.</w:t>
      </w:r>
    </w:p>
    <w:p w14:paraId="75258702" w14:textId="77777777" w:rsidR="00EB5CBD" w:rsidRDefault="00EA4CEB">
      <w:pPr>
        <w:pStyle w:val="ListParagraph"/>
        <w:numPr>
          <w:ilvl w:val="0"/>
          <w:numId w:val="2"/>
        </w:numPr>
        <w:bidi/>
        <w:spacing w:after="100" w:line="300" w:lineRule="auto"/>
        <w:jc w:val="both"/>
      </w:pPr>
      <w:r>
        <w:t>وساطة تنافسية (Competitive Mediation): الأثران المباشر وغير المباشر دالّان لكنهما متعاكسان في الاتجاه.</w:t>
      </w:r>
    </w:p>
    <w:p w14:paraId="3BB954B5" w14:textId="77777777" w:rsidR="00EB5CBD" w:rsidRDefault="00EA4CEB">
      <w:pPr>
        <w:pStyle w:val="ListParagraph"/>
        <w:numPr>
          <w:ilvl w:val="0"/>
          <w:numId w:val="2"/>
        </w:numPr>
        <w:bidi/>
        <w:spacing w:after="100" w:line="300" w:lineRule="auto"/>
        <w:jc w:val="both"/>
      </w:pPr>
      <w:r>
        <w:t>أثر مباشر فقط دون وساطة (Direct-only Non-mediation): الأثر المباشر دالٌّ، والأثر غير المباشر غير دالٍّ.</w:t>
      </w:r>
    </w:p>
    <w:p w14:paraId="4FF37CB1" w14:textId="77777777" w:rsidR="00EB5CBD" w:rsidRDefault="00EA4CEB">
      <w:pPr>
        <w:pStyle w:val="ListParagraph"/>
        <w:numPr>
          <w:ilvl w:val="0"/>
          <w:numId w:val="2"/>
        </w:numPr>
        <w:bidi/>
        <w:spacing w:after="100" w:line="300" w:lineRule="auto"/>
        <w:jc w:val="both"/>
      </w:pPr>
      <w:r>
        <w:t>غياب الأثر كليًا (No-effect Non-mediation): الأثران المباشر وغير المباشر غير دالّين معًا.</w:t>
      </w:r>
    </w:p>
    <w:p w14:paraId="4B038371" w14:textId="77777777" w:rsidR="00EB5CBD" w:rsidRDefault="00EA4CEB">
      <w:pPr>
        <w:bidi/>
        <w:spacing w:after="160" w:line="320" w:lineRule="auto"/>
        <w:jc w:val="both"/>
      </w:pPr>
      <w:r>
        <w:t>يُبنى الحكم على نوع الوساطة على: قيمة الأثر غير المباشر (حاصل ضرب معاملي المسارين a وb)، وفترة الثقة الناتجة من Bootstrapping بخمسة آلاف عينة فرعية، وعدم اشتمال هذه الفترة على الصفر كشرط للدلالة الإحصائية، إلى جانب مراجعة اتجاه الأثرين المباشر وغير المباشر معًا لتحديد الفئة الدقيقة من الفئات الخمس أعلاه، لا الاعتماد على خطوات Baron &amp; Kenny (1986) التقليدية القديمة التي تجاوزتها الأدبيات المنهجية الحديثة.</w:t>
      </w:r>
    </w:p>
    <w:p w14:paraId="60D66A87" w14:textId="77777777" w:rsidR="00EB5CBD" w:rsidRDefault="00EA4CEB" w:rsidP="007E709B">
      <w:pPr>
        <w:bidi/>
        <w:spacing w:after="160" w:line="320" w:lineRule="auto"/>
      </w:pPr>
      <w:r>
        <w:rPr>
          <w:b/>
          <w:bCs/>
          <w:sz w:val="28"/>
          <w:szCs w:val="28"/>
        </w:rPr>
        <w:t>‏3.13 إجراءات التحليل النوعي</w:t>
      </w:r>
    </w:p>
    <w:p w14:paraId="1CC1AD23" w14:textId="77777777" w:rsidR="00EB5CBD" w:rsidRDefault="00EA4CEB" w:rsidP="007E709B">
      <w:pPr>
        <w:bidi/>
        <w:spacing w:after="140" w:line="320" w:lineRule="auto"/>
      </w:pPr>
      <w:r>
        <w:rPr>
          <w:b/>
          <w:bCs/>
          <w:sz w:val="25"/>
          <w:szCs w:val="25"/>
        </w:rPr>
        <w:t>‏3.13.1 نوع التحليل الموضوعي</w:t>
      </w:r>
    </w:p>
    <w:p w14:paraId="4D1BE75D" w14:textId="77777777" w:rsidR="00EB5CBD" w:rsidRDefault="00EA4CEB">
      <w:pPr>
        <w:bidi/>
        <w:spacing w:after="160" w:line="320" w:lineRule="auto"/>
        <w:jc w:val="both"/>
      </w:pPr>
      <w:r>
        <w:t>يُعتمد التحليل الموضوعي الانعكاسي (Reflexive Thematic Analysis) وفق منهجية Braun &amp; Clarke (2006, 2019)، وهو نهج استقرائي (Inductive) في الأساس، بحيث تُشتق الموضوعات من محتوى المقابلات نفسها لا من إطار نظري مُسبق مفروض عليها، مع الإقرار بأن معرفة الباحثة بالإطار النظري للدراسة تؤثر حتمًا في عملية الترميز والتفسير، وهو ما يُعالَج عبر إجراءات الانعكاسية الموضحة في الفقرة 3.13.2. يُعتمد ترميز على المستوى الدلالي (Semantic) بالدرجة الأولى، أي ترميز المعنى الظاهر لكلام المشاركين، مع استكمال ذلك بترميز على المستوى الكامن (Latent) عند مناقشة الافتراضات أو التصورات الضمنية التي تكشفها الإجابات حول تجربة تبني الذكاء الاصطناعي. تنفّذ الباحثة الترميز الأولي منفردة، ثم يراجعه مشرف أكاديمي أو زميل باحث بوصفه مراجعًا مستقلًا (Peer Debriefing) لا مرمّزًا ثانيًا مستقلًا كليًا، بما يتفق مع الطبيعة التفسيرية للتحليل الانعكاسي التي لا تشترط اتفاقًا رقميًا بين مرمزين كما في المناهج القائمة على دليل الترميز (Codebook Approach).</w:t>
      </w:r>
    </w:p>
    <w:p w14:paraId="4287B7D9" w14:textId="77777777" w:rsidR="00EB5CBD" w:rsidRDefault="00EA4CEB">
      <w:pPr>
        <w:bidi/>
        <w:spacing w:after="160" w:line="320" w:lineRule="auto"/>
        <w:jc w:val="both"/>
        <w:rPr>
          <w:rFonts w:hint="cs"/>
        </w:rPr>
      </w:pPr>
      <w:r>
        <w:t>تمر خطوات التحليل بالمراحل الست المعروفة لـ Braun &amp; Clarke: التعرف على البيانات وتفريغها وقراءتها بعمق، توليد الرموز الأولية، البحث عن الموضوعات المحتملة، مراجعة الموضوعات ومطابقتها بنصوص المقابلات كاملة، تعريف الموضوعات النهائية وتسميتها بدقة، وكتابة التقرير النهائي مربوطًا باقتباسات نصية وبالنتائج الكمية المقابلة لها.</w:t>
      </w:r>
    </w:p>
    <w:p w14:paraId="69E95C1F" w14:textId="77777777" w:rsidR="00EA4CEB" w:rsidRDefault="00EA4CEB" w:rsidP="00EA4CEB">
      <w:pPr>
        <w:bidi/>
        <w:spacing w:after="160" w:line="320" w:lineRule="auto"/>
        <w:jc w:val="both"/>
      </w:pPr>
    </w:p>
    <w:p w14:paraId="6BA4CA3C" w14:textId="77777777" w:rsidR="00EB5CBD" w:rsidRDefault="00EA4CEB" w:rsidP="007E709B">
      <w:pPr>
        <w:bidi/>
        <w:spacing w:after="140" w:line="320" w:lineRule="auto"/>
      </w:pPr>
      <w:r>
        <w:rPr>
          <w:b/>
          <w:bCs/>
          <w:sz w:val="25"/>
          <w:szCs w:val="25"/>
        </w:rPr>
        <w:t>‏3.13.2 إجراءات ضمان جودة البحث النوعي</w:t>
      </w:r>
    </w:p>
    <w:p w14:paraId="2BEF47CD" w14:textId="77777777" w:rsidR="00EB5CBD" w:rsidRDefault="00EA4CEB">
      <w:pPr>
        <w:bidi/>
        <w:spacing w:after="160" w:line="320" w:lineRule="auto"/>
        <w:jc w:val="both"/>
      </w:pPr>
      <w:r>
        <w:t>ستُطبَّق الإجراءات التالية لتحقيق معايير الموثوقية الأربعة في البحث النوعي (Lincoln &amp; Guba, 1985):</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200"/>
        <w:gridCol w:w="3600"/>
      </w:tblGrid>
      <w:tr w:rsidR="00EB5CBD" w14:paraId="7171F282" w14:textId="77777777">
        <w:trPr>
          <w:tblHeader/>
        </w:trPr>
        <w:tc>
          <w:tcPr>
            <w:tcW w:w="2000" w:type="dxa"/>
            <w:tcBorders>
              <w:top w:val="single" w:sz="4" w:space="0" w:color="999999"/>
              <w:left w:val="single" w:sz="4" w:space="0" w:color="999999"/>
              <w:bottom w:val="single" w:sz="4" w:space="0" w:color="999999"/>
              <w:right w:val="single" w:sz="4" w:space="0" w:color="999999"/>
            </w:tcBorders>
            <w:shd w:val="clear" w:color="auto" w:fill="2F5496"/>
          </w:tcPr>
          <w:p w14:paraId="15A23B72" w14:textId="77777777" w:rsidR="00EB5CBD" w:rsidRDefault="00EA4CEB" w:rsidP="008505AD">
            <w:pPr>
              <w:bidi/>
              <w:spacing w:after="60" w:line="320" w:lineRule="auto"/>
              <w:jc w:val="center"/>
            </w:pPr>
            <w:r>
              <w:rPr>
                <w:b/>
                <w:bCs/>
                <w:color w:val="FFFFFF"/>
                <w:sz w:val="21"/>
                <w:szCs w:val="21"/>
              </w:rPr>
              <w:t>معيار الموثوقية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0BCF5231" w14:textId="77777777" w:rsidR="00EB5CBD" w:rsidRDefault="00EA4CEB" w:rsidP="008505AD">
            <w:pPr>
              <w:bidi/>
              <w:spacing w:after="60" w:line="320" w:lineRule="auto"/>
              <w:jc w:val="center"/>
            </w:pPr>
            <w:r>
              <w:rPr>
                <w:b/>
                <w:bCs/>
                <w:color w:val="FFFFFF"/>
                <w:sz w:val="21"/>
                <w:szCs w:val="21"/>
              </w:rPr>
              <w:t>التعريف</w:t>
            </w:r>
          </w:p>
        </w:tc>
        <w:tc>
          <w:tcPr>
            <w:tcW w:w="3600" w:type="dxa"/>
            <w:tcBorders>
              <w:top w:val="single" w:sz="4" w:space="0" w:color="999999"/>
              <w:left w:val="single" w:sz="4" w:space="0" w:color="999999"/>
              <w:bottom w:val="single" w:sz="4" w:space="0" w:color="999999"/>
              <w:right w:val="single" w:sz="4" w:space="0" w:color="999999"/>
            </w:tcBorders>
            <w:shd w:val="clear" w:color="auto" w:fill="2F5496"/>
          </w:tcPr>
          <w:p w14:paraId="2B90EA1C" w14:textId="77777777" w:rsidR="00EB5CBD" w:rsidRDefault="00EA4CEB">
            <w:pPr>
              <w:bidi/>
              <w:spacing w:after="60" w:line="320" w:lineRule="auto"/>
              <w:jc w:val="center"/>
            </w:pPr>
            <w:r>
              <w:rPr>
                <w:b/>
                <w:bCs/>
                <w:color w:val="FFFFFF"/>
                <w:sz w:val="21"/>
                <w:szCs w:val="21"/>
              </w:rPr>
              <w:t>الإجراء المتبع</w:t>
            </w:r>
          </w:p>
        </w:tc>
      </w:tr>
      <w:tr w:rsidR="00EB5CBD" w14:paraId="19A69D9E" w14:textId="77777777">
        <w:tc>
          <w:tcPr>
            <w:tcW w:w="2000" w:type="dxa"/>
            <w:tcBorders>
              <w:top w:val="single" w:sz="4" w:space="0" w:color="999999"/>
              <w:left w:val="single" w:sz="4" w:space="0" w:color="999999"/>
              <w:bottom w:val="single" w:sz="4" w:space="0" w:color="999999"/>
              <w:right w:val="single" w:sz="4" w:space="0" w:color="999999"/>
            </w:tcBorders>
          </w:tcPr>
          <w:p w14:paraId="3B716A3A" w14:textId="77777777" w:rsidR="00EB5CBD" w:rsidRDefault="00EA4CEB" w:rsidP="008505AD">
            <w:pPr>
              <w:bidi/>
              <w:spacing w:after="60" w:line="320" w:lineRule="auto"/>
              <w:jc w:val="center"/>
            </w:pPr>
            <w:r>
              <w:rPr>
                <w:sz w:val="21"/>
                <w:szCs w:val="21"/>
              </w:rPr>
              <w:t>المصداقية (Credibility)</w:t>
            </w:r>
          </w:p>
        </w:tc>
        <w:tc>
          <w:tcPr>
            <w:tcW w:w="3200" w:type="dxa"/>
            <w:tcBorders>
              <w:top w:val="single" w:sz="4" w:space="0" w:color="999999"/>
              <w:left w:val="single" w:sz="4" w:space="0" w:color="999999"/>
              <w:bottom w:val="single" w:sz="4" w:space="0" w:color="999999"/>
              <w:right w:val="single" w:sz="4" w:space="0" w:color="999999"/>
            </w:tcBorders>
          </w:tcPr>
          <w:p w14:paraId="0904F66F" w14:textId="77777777" w:rsidR="00EB5CBD" w:rsidRDefault="00EA4CEB" w:rsidP="008505AD">
            <w:pPr>
              <w:bidi/>
              <w:spacing w:after="60" w:line="320" w:lineRule="auto"/>
              <w:jc w:val="center"/>
            </w:pPr>
            <w:r>
              <w:rPr>
                <w:sz w:val="21"/>
                <w:szCs w:val="21"/>
              </w:rPr>
              <w:t>مدى تطابق النتائج مع واقع تجربة المشاركين</w:t>
            </w:r>
          </w:p>
        </w:tc>
        <w:tc>
          <w:tcPr>
            <w:tcW w:w="3600" w:type="dxa"/>
            <w:tcBorders>
              <w:top w:val="single" w:sz="4" w:space="0" w:color="999999"/>
              <w:left w:val="single" w:sz="4" w:space="0" w:color="999999"/>
              <w:bottom w:val="single" w:sz="4" w:space="0" w:color="999999"/>
              <w:right w:val="single" w:sz="4" w:space="0" w:color="999999"/>
            </w:tcBorders>
          </w:tcPr>
          <w:p w14:paraId="1E6EBF1E" w14:textId="77777777" w:rsidR="00EB5CBD" w:rsidRDefault="00EA4CEB" w:rsidP="007E709B">
            <w:pPr>
              <w:bidi/>
              <w:spacing w:after="60" w:line="320" w:lineRule="auto"/>
            </w:pPr>
            <w:r>
              <w:rPr>
                <w:sz w:val="21"/>
                <w:szCs w:val="21"/>
              </w:rPr>
              <w:t>مراجعة المشاركين (Member Checking) عبر عرض الموضوعات النهائية على عينة من المشاركين للتحقق من مطابقتها لتجربتهم؛ مراجعة نظير أو خبير (Peer Debriefing) لتحدي التفسيرات وتحسينها</w:t>
            </w:r>
          </w:p>
        </w:tc>
      </w:tr>
      <w:tr w:rsidR="00EB5CBD" w14:paraId="4C8A6CA9" w14:textId="77777777">
        <w:tc>
          <w:tcPr>
            <w:tcW w:w="2000" w:type="dxa"/>
            <w:tcBorders>
              <w:top w:val="single" w:sz="4" w:space="0" w:color="999999"/>
              <w:left w:val="single" w:sz="4" w:space="0" w:color="999999"/>
              <w:bottom w:val="single" w:sz="4" w:space="0" w:color="999999"/>
              <w:right w:val="single" w:sz="4" w:space="0" w:color="999999"/>
            </w:tcBorders>
            <w:shd w:val="clear" w:color="auto" w:fill="F2F2F2"/>
          </w:tcPr>
          <w:p w14:paraId="27F98753" w14:textId="77777777" w:rsidR="00EB5CBD" w:rsidRDefault="00EA4CEB" w:rsidP="008505AD">
            <w:pPr>
              <w:bidi/>
              <w:spacing w:after="60" w:line="320" w:lineRule="auto"/>
              <w:jc w:val="center"/>
            </w:pPr>
            <w:r>
              <w:rPr>
                <w:sz w:val="21"/>
                <w:szCs w:val="21"/>
              </w:rPr>
              <w:t>الاعتمادية (Dependability)</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AC93539" w14:textId="77777777" w:rsidR="00EB5CBD" w:rsidRDefault="00EA4CEB" w:rsidP="008505AD">
            <w:pPr>
              <w:bidi/>
              <w:spacing w:after="60" w:line="320" w:lineRule="auto"/>
              <w:jc w:val="center"/>
            </w:pPr>
            <w:r>
              <w:rPr>
                <w:sz w:val="21"/>
                <w:szCs w:val="21"/>
              </w:rPr>
              <w:t>ثبات الإجراءات واتساقها عبر الزمن</w:t>
            </w:r>
          </w:p>
        </w:tc>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040B9CC9" w14:textId="77777777" w:rsidR="00EB5CBD" w:rsidRDefault="00EA4CEB" w:rsidP="007E709B">
            <w:pPr>
              <w:bidi/>
              <w:spacing w:after="60" w:line="320" w:lineRule="auto"/>
            </w:pPr>
            <w:r>
              <w:rPr>
                <w:sz w:val="21"/>
                <w:szCs w:val="21"/>
              </w:rPr>
              <w:t>الاحتفاظ بمسار تدقيق (Audit Trail) يوثق كل قرار تحليلي وتاريخه ومبرره من الترميز الأولي حتى الموضوعات النهائية</w:t>
            </w:r>
          </w:p>
        </w:tc>
      </w:tr>
      <w:tr w:rsidR="00EB5CBD" w14:paraId="2425536F" w14:textId="77777777">
        <w:tc>
          <w:tcPr>
            <w:tcW w:w="2000" w:type="dxa"/>
            <w:tcBorders>
              <w:top w:val="single" w:sz="4" w:space="0" w:color="999999"/>
              <w:left w:val="single" w:sz="4" w:space="0" w:color="999999"/>
              <w:bottom w:val="single" w:sz="4" w:space="0" w:color="999999"/>
              <w:right w:val="single" w:sz="4" w:space="0" w:color="999999"/>
            </w:tcBorders>
          </w:tcPr>
          <w:p w14:paraId="75777E96" w14:textId="77777777" w:rsidR="00EB5CBD" w:rsidRDefault="00EA4CEB" w:rsidP="008505AD">
            <w:pPr>
              <w:bidi/>
              <w:spacing w:after="60" w:line="320" w:lineRule="auto"/>
              <w:jc w:val="center"/>
            </w:pPr>
            <w:r>
              <w:rPr>
                <w:sz w:val="21"/>
                <w:szCs w:val="21"/>
              </w:rPr>
              <w:t>قابلية التأكيد (Confirmability)</w:t>
            </w:r>
          </w:p>
        </w:tc>
        <w:tc>
          <w:tcPr>
            <w:tcW w:w="3200" w:type="dxa"/>
            <w:tcBorders>
              <w:top w:val="single" w:sz="4" w:space="0" w:color="999999"/>
              <w:left w:val="single" w:sz="4" w:space="0" w:color="999999"/>
              <w:bottom w:val="single" w:sz="4" w:space="0" w:color="999999"/>
              <w:right w:val="single" w:sz="4" w:space="0" w:color="999999"/>
            </w:tcBorders>
          </w:tcPr>
          <w:p w14:paraId="04402F9D" w14:textId="77777777" w:rsidR="00EB5CBD" w:rsidRDefault="00EA4CEB" w:rsidP="008505AD">
            <w:pPr>
              <w:bidi/>
              <w:spacing w:after="60" w:line="320" w:lineRule="auto"/>
              <w:jc w:val="center"/>
            </w:pPr>
            <w:r>
              <w:rPr>
                <w:sz w:val="21"/>
                <w:szCs w:val="21"/>
              </w:rPr>
              <w:t>استناد النتائج إلى بيانات المشاركين لا إلى تحيز الباحثة</w:t>
            </w:r>
          </w:p>
        </w:tc>
        <w:tc>
          <w:tcPr>
            <w:tcW w:w="3600" w:type="dxa"/>
            <w:tcBorders>
              <w:top w:val="single" w:sz="4" w:space="0" w:color="999999"/>
              <w:left w:val="single" w:sz="4" w:space="0" w:color="999999"/>
              <w:bottom w:val="single" w:sz="4" w:space="0" w:color="999999"/>
              <w:right w:val="single" w:sz="4" w:space="0" w:color="999999"/>
            </w:tcBorders>
          </w:tcPr>
          <w:p w14:paraId="2D6F5BE6" w14:textId="77777777" w:rsidR="00EB5CBD" w:rsidRDefault="00EA4CEB" w:rsidP="007E709B">
            <w:pPr>
              <w:bidi/>
              <w:spacing w:after="60" w:line="320" w:lineRule="auto"/>
            </w:pPr>
            <w:r>
              <w:rPr>
                <w:sz w:val="21"/>
                <w:szCs w:val="21"/>
              </w:rPr>
              <w:t>الاحتفاظ بمذكرات انعكاسية (Reflexive Memos) طوال عملية التحليل توثق افتراضات الباحثة المسبقة وكيفية التعامل معها؛ مقارنة الرموز والموضوعات بالمقابلات الأصلية بصورة متكررة</w:t>
            </w:r>
          </w:p>
        </w:tc>
      </w:tr>
      <w:tr w:rsidR="00EB5CBD" w14:paraId="690F1951" w14:textId="77777777">
        <w:tc>
          <w:tcPr>
            <w:tcW w:w="2000" w:type="dxa"/>
            <w:tcBorders>
              <w:top w:val="single" w:sz="4" w:space="0" w:color="999999"/>
              <w:left w:val="single" w:sz="4" w:space="0" w:color="999999"/>
              <w:bottom w:val="single" w:sz="4" w:space="0" w:color="999999"/>
              <w:right w:val="single" w:sz="4" w:space="0" w:color="999999"/>
            </w:tcBorders>
            <w:shd w:val="clear" w:color="auto" w:fill="F2F2F2"/>
          </w:tcPr>
          <w:p w14:paraId="46FE8ABD" w14:textId="77777777" w:rsidR="00EB5CBD" w:rsidRDefault="00EA4CEB" w:rsidP="008505AD">
            <w:pPr>
              <w:bidi/>
              <w:spacing w:after="60" w:line="320" w:lineRule="auto"/>
              <w:jc w:val="center"/>
            </w:pPr>
            <w:r>
              <w:rPr>
                <w:sz w:val="21"/>
                <w:szCs w:val="21"/>
              </w:rPr>
              <w:t>قابلية النقل (Transferability)</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E1D3E17" w14:textId="77777777" w:rsidR="00EB5CBD" w:rsidRDefault="00EA4CEB" w:rsidP="008505AD">
            <w:pPr>
              <w:bidi/>
              <w:spacing w:after="60" w:line="320" w:lineRule="auto"/>
              <w:jc w:val="center"/>
            </w:pPr>
            <w:r>
              <w:rPr>
                <w:sz w:val="21"/>
                <w:szCs w:val="21"/>
              </w:rPr>
              <w:t>إمكانية الاستفادة من النتائج في سياقات مشابهة</w:t>
            </w:r>
          </w:p>
        </w:tc>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32E3D27F" w14:textId="77777777" w:rsidR="00EB5CBD" w:rsidRDefault="00EA4CEB" w:rsidP="007E709B">
            <w:pPr>
              <w:bidi/>
              <w:spacing w:after="60" w:line="320" w:lineRule="auto"/>
            </w:pPr>
            <w:r>
              <w:rPr>
                <w:sz w:val="21"/>
                <w:szCs w:val="21"/>
              </w:rPr>
              <w:t>كتابة وصف سياقي غني (Thick Description) لخصائص المشاركين والمنشآت والسياق، ودعم كل موضوع رئيسي باقتباسات نصية مباشرة توضح أساسه في البيانات</w:t>
            </w:r>
          </w:p>
        </w:tc>
      </w:tr>
    </w:tbl>
    <w:p w14:paraId="034B27B3" w14:textId="77777777" w:rsidR="00EB5CBD" w:rsidRDefault="00EB5CBD">
      <w:pPr>
        <w:spacing w:after="160"/>
      </w:pPr>
    </w:p>
    <w:p w14:paraId="753EA763" w14:textId="77777777" w:rsidR="00EB5CBD" w:rsidRDefault="00EA4CEB" w:rsidP="007E709B">
      <w:pPr>
        <w:bidi/>
        <w:spacing w:after="140" w:line="320" w:lineRule="auto"/>
      </w:pPr>
      <w:r>
        <w:rPr>
          <w:b/>
          <w:bCs/>
          <w:sz w:val="25"/>
          <w:szCs w:val="25"/>
        </w:rPr>
        <w:t>‏3.13.3 برنامج تحليل البيانات النوعية</w:t>
      </w:r>
    </w:p>
    <w:p w14:paraId="7FA864FE" w14:textId="77777777" w:rsidR="00EB5CBD" w:rsidRDefault="00EA4CEB">
      <w:pPr>
        <w:bidi/>
        <w:spacing w:after="160" w:line="320" w:lineRule="auto"/>
        <w:jc w:val="both"/>
      </w:pPr>
      <w:r>
        <w:t>سيُستخدم برنامج NVivo (الإصدار 14) لتنظيم النصوص المفرغة وترميزها وتصنيف الموضوعات وإدارة الاقتباسات. يُوضَّح صراحةً أن البرنامج أداة تنظيمية تساعد على الترميز والفهرسة واسترجاع المقتطفات، ولا يقوم بالتفسير التحليلي بدلًا من الباحثة؛ فقرارات الترميز والتصنيف وتسمية الموضوعات وتفسير معانيها تبقى قرارات بشرية بالكامل.</w:t>
      </w:r>
    </w:p>
    <w:p w14:paraId="7A3767EB" w14:textId="77777777" w:rsidR="00EB5CBD" w:rsidRDefault="00EA4CEB" w:rsidP="007E709B">
      <w:pPr>
        <w:bidi/>
        <w:spacing w:after="160" w:line="320" w:lineRule="auto"/>
      </w:pPr>
      <w:r>
        <w:rPr>
          <w:b/>
          <w:bCs/>
          <w:sz w:val="28"/>
          <w:szCs w:val="28"/>
        </w:rPr>
        <w:t>‏3.14 إجراءات تكامل نتائج المنهج المختلط</w:t>
      </w:r>
    </w:p>
    <w:p w14:paraId="3A9AA81E" w14:textId="77777777" w:rsidR="00EB5CBD" w:rsidRDefault="00EA4CEB">
      <w:pPr>
        <w:bidi/>
        <w:spacing w:after="160" w:line="320" w:lineRule="auto"/>
        <w:jc w:val="both"/>
      </w:pPr>
      <w:r>
        <w:t>لم يكتفَ هذا الفصل بذكر أن الدراسة تعتمد منهجًا مختلطًا، بل يوضح إجراءات دمج النتائج الكمية والنوعية تحديدًا، وفق الخطوات التالية:</w:t>
      </w:r>
    </w:p>
    <w:p w14:paraId="5A306994" w14:textId="77777777" w:rsidR="00EB5CBD" w:rsidRDefault="00EA4CEB">
      <w:pPr>
        <w:pStyle w:val="ListParagraph"/>
        <w:numPr>
          <w:ilvl w:val="0"/>
          <w:numId w:val="2"/>
        </w:numPr>
        <w:bidi/>
        <w:spacing w:after="100" w:line="300" w:lineRule="auto"/>
        <w:jc w:val="both"/>
      </w:pPr>
      <w:r>
        <w:t>الربط (Connecting): استخدام نتائج المرحلة الكمية لتحديد من سيُدعى للمقابلات وما الأسئلة التي ستُطرح عليهم، كما هو مفصل في الفقرتين 3.10.1 و3.10.4.</w:t>
      </w:r>
    </w:p>
    <w:p w14:paraId="0E4F3513" w14:textId="77777777" w:rsidR="00EB5CBD" w:rsidRDefault="00EA4CEB">
      <w:pPr>
        <w:pStyle w:val="ListParagraph"/>
        <w:numPr>
          <w:ilvl w:val="0"/>
          <w:numId w:val="2"/>
        </w:numPr>
        <w:bidi/>
        <w:spacing w:after="100" w:line="300" w:lineRule="auto"/>
        <w:jc w:val="both"/>
      </w:pPr>
      <w:r>
        <w:t>البناء (Building): بناء دليل المقابلة النهائي مباشرة من مخرجات التحليل الكمي، بحيث تُصاغ أسئلة إضافية موجّهة لكل مسار غير دالٍّ أو متباين تحديدًا.</w:t>
      </w:r>
    </w:p>
    <w:p w14:paraId="0FB3D95F" w14:textId="77777777" w:rsidR="00EB5CBD" w:rsidRDefault="00EA4CEB">
      <w:pPr>
        <w:pStyle w:val="ListParagraph"/>
        <w:numPr>
          <w:ilvl w:val="0"/>
          <w:numId w:val="2"/>
        </w:numPr>
        <w:bidi/>
        <w:spacing w:after="100" w:line="300" w:lineRule="auto"/>
        <w:jc w:val="both"/>
      </w:pPr>
      <w:r>
        <w:t>الدمج (Merging): بعد اكتمال التحليلين، تُقارَن النتائج الكمية والنوعية جنبًا إلى جنب لكل فرضية على حدة، وتُصنَّف نقاط الالتقاء ونقاط الاختلاف بينهما.</w:t>
      </w:r>
    </w:p>
    <w:p w14:paraId="01A6BF39" w14:textId="77777777" w:rsidR="00EB5CBD" w:rsidRDefault="00EA4CEB">
      <w:pPr>
        <w:pStyle w:val="ListParagraph"/>
        <w:numPr>
          <w:ilvl w:val="0"/>
          <w:numId w:val="2"/>
        </w:numPr>
        <w:bidi/>
        <w:spacing w:after="100" w:line="300" w:lineRule="auto"/>
        <w:jc w:val="both"/>
      </w:pPr>
      <w:r>
        <w:t>إعداد جدول عرض مشترك (Joint Display): جدول يجمع في صف واحد لكل فرضية أو سؤال بحثي: النتيجة الكمية (معامل المسار، الدلالة)، والنتيجة النوعية المقابلة لها (الموضوعات والاقتباسات ذات الصلة)، وتفسير مشترك موجز.</w:t>
      </w:r>
    </w:p>
    <w:p w14:paraId="7502998A" w14:textId="77777777" w:rsidR="00EB5CBD" w:rsidRDefault="00EA4CEB">
      <w:pPr>
        <w:pStyle w:val="ListParagraph"/>
        <w:numPr>
          <w:ilvl w:val="0"/>
          <w:numId w:val="2"/>
        </w:numPr>
        <w:bidi/>
        <w:spacing w:after="100" w:line="300" w:lineRule="auto"/>
        <w:jc w:val="both"/>
      </w:pPr>
      <w:r>
        <w:t>تفسير نقاط الاتفاق والاختلاف: عند اتفاق الدليلين، يُعزَّز التفسير الواحد؛ وعند اختلافهما، يُناقَش الاختلاف صراحة بوصفه نتيجة قائمة بذاتها لا خللًا يُخفى أو يُوفَّق بينهما تعسفيًا.</w:t>
      </w:r>
    </w:p>
    <w:p w14:paraId="7FC926EF" w14:textId="77777777" w:rsidR="00EB5CBD" w:rsidRDefault="00EA4CEB">
      <w:pPr>
        <w:pStyle w:val="ListParagraph"/>
        <w:numPr>
          <w:ilvl w:val="0"/>
          <w:numId w:val="2"/>
        </w:numPr>
        <w:bidi/>
        <w:spacing w:after="100" w:line="300" w:lineRule="auto"/>
        <w:jc w:val="both"/>
      </w:pPr>
      <w:r>
        <w:t>صياغة استنتاجات ما وراء الاستدلال (Meta-inferences): استنتاجات نهائية تدمج الدليلين في تفسير واحد متماسك يتجاوز حدود كل مرحلة منفردة.</w:t>
      </w:r>
    </w:p>
    <w:p w14:paraId="62E7A877" w14:textId="77777777" w:rsidR="00EB5CBD" w:rsidRDefault="00EA4CEB">
      <w:pPr>
        <w:pStyle w:val="ListParagraph"/>
        <w:numPr>
          <w:ilvl w:val="0"/>
          <w:numId w:val="2"/>
        </w:numPr>
        <w:bidi/>
        <w:spacing w:after="100" w:line="300" w:lineRule="auto"/>
        <w:jc w:val="both"/>
      </w:pPr>
      <w:r>
        <w:t>توضيح صريح لكيفية التعامل مع أي نتيجة نوعية تتعارض مع نتيجة كمية مقابلة لها: تُعرَض الحالتان معًا دون ترجيح تلقائي لأحدهما، مع مناقشة التفسيرات المحتملة لهذا التعارض (كخصوصية سياق قطاع بعينه، أو محدودية حجم العينة الفرعية، أو فروق في فهم المفهوم بين الاستبيان والمقابلة).</w:t>
      </w:r>
    </w:p>
    <w:p w14:paraId="6C36D0FE" w14:textId="77777777" w:rsidR="00EB5CBD" w:rsidRDefault="00EA4CEB" w:rsidP="007E709B">
      <w:pPr>
        <w:bidi/>
        <w:spacing w:after="160" w:line="320" w:lineRule="auto"/>
      </w:pPr>
      <w:r>
        <w:rPr>
          <w:b/>
          <w:bCs/>
          <w:sz w:val="28"/>
          <w:szCs w:val="28"/>
        </w:rPr>
        <w:t>‏3.15 إعادة النظر في تصنيف مستوى التبني إلى فئات</w:t>
      </w:r>
    </w:p>
    <w:p w14:paraId="0DFC9278" w14:textId="77777777" w:rsidR="00EB5CBD" w:rsidRDefault="00EA4CEB">
      <w:pPr>
        <w:bidi/>
        <w:spacing w:after="160" w:line="320" w:lineRule="auto"/>
        <w:jc w:val="both"/>
      </w:pPr>
      <w:r>
        <w:t>تحويل درجة مستوى تبني الذكاء الاصطناعي المستمرة إلى ثلاث فئات (منخفض/متوسط/مرتفع) قد يفقد معلومات إحصائية، ويخفّض القوة الإحصائية للاختبار، وقد ينشئ حدود تصنيف اعتباطية يصعب تبريرها نظريًا. لذلك، تُعامَل درجة تبني الذكاء الاصطناعي في التحليل الأساسي (اختبار الفرضيات ونمذجة المسارات) كمتغير مستمر دون تصنيف. يُستخدم التصنيف إلى ثلاث فئات فقط لغرض التحليل الإضافي التوصيفي، ولمقارنات PLS-MGA الموضحة في الفقرة 3.12.5، على أن تُطبَّق الاحترازات التالية عند اللجوء إليه:</w:t>
      </w:r>
    </w:p>
    <w:p w14:paraId="2D8BB22D" w14:textId="77777777" w:rsidR="00EB5CBD" w:rsidRDefault="00EA4CEB">
      <w:pPr>
        <w:pStyle w:val="ListParagraph"/>
        <w:numPr>
          <w:ilvl w:val="0"/>
          <w:numId w:val="2"/>
        </w:numPr>
        <w:bidi/>
        <w:spacing w:after="100" w:line="300" w:lineRule="auto"/>
        <w:jc w:val="both"/>
      </w:pPr>
      <w:r>
        <w:t>تُحدد حدود الفئات إحصائيًا بناءً على توزيع الدرجات الفعلي في العينة (كالتيرتايل، أي الأثلاث الثلاثة المتساوية العدد)، لا بناءً على قيم نظرية افتراضية مسبقة، وذلك ليكون التصنيف قابلًا للتبرير بالبيانات ذاتها.</w:t>
      </w:r>
    </w:p>
    <w:p w14:paraId="633F451B" w14:textId="77777777" w:rsidR="00EB5CBD" w:rsidRDefault="00EA4CEB">
      <w:pPr>
        <w:pStyle w:val="ListParagraph"/>
        <w:numPr>
          <w:ilvl w:val="0"/>
          <w:numId w:val="2"/>
        </w:numPr>
        <w:bidi/>
        <w:spacing w:after="100" w:line="300" w:lineRule="auto"/>
        <w:jc w:val="both"/>
      </w:pPr>
      <w:r>
        <w:t>يُبيَّن عدد الحالات الفعلي في كل فئة بعد جمع البيانات، مع التأكد من عدم وجود فئة صغيرة جدًا تُضعف أي تحليل إضافي مبني عليها (وفق الحد الأدنى الموضح في الفقرة 3.7.4).</w:t>
      </w:r>
    </w:p>
    <w:p w14:paraId="0D4B1812" w14:textId="77777777" w:rsidR="00EB5CBD" w:rsidRDefault="00EA4CEB">
      <w:pPr>
        <w:pStyle w:val="ListParagraph"/>
        <w:numPr>
          <w:ilvl w:val="0"/>
          <w:numId w:val="2"/>
        </w:numPr>
        <w:bidi/>
        <w:spacing w:after="100" w:line="300" w:lineRule="auto"/>
        <w:jc w:val="both"/>
        <w:rPr>
          <w:rFonts w:hint="cs"/>
          <w:rtl w:val="0"/>
        </w:rPr>
      </w:pPr>
      <w:r>
        <w:t>تُناقَش صراحة في تفسير النتائج الآثار المحتملة لهذا التصنيف على دقة الفروق المكتشفة بين الفئات، باعتبارها فروقًا تقريبية لا حدًا فاصلًا دقيقًا بين مستويات تبني متمايزة تمامًا.</w:t>
      </w:r>
    </w:p>
    <w:p w14:paraId="387FF0CC" w14:textId="77777777" w:rsidR="00EA4CEB" w:rsidRDefault="00EA4CEB" w:rsidP="00EA4CEB">
      <w:pPr>
        <w:bidi/>
        <w:spacing w:after="100" w:line="300" w:lineRule="auto"/>
        <w:jc w:val="both"/>
        <w:rPr>
          <w:rFonts w:hint="cs"/>
        </w:rPr>
      </w:pPr>
    </w:p>
    <w:p w14:paraId="06012987" w14:textId="77777777" w:rsidR="00EA4CEB" w:rsidRDefault="00EA4CEB" w:rsidP="00EA4CEB">
      <w:pPr>
        <w:bidi/>
        <w:spacing w:after="100" w:line="300" w:lineRule="auto"/>
        <w:jc w:val="both"/>
        <w:rPr>
          <w:rFonts w:hint="cs"/>
        </w:rPr>
      </w:pPr>
    </w:p>
    <w:p w14:paraId="75A2D2B1" w14:textId="77777777" w:rsidR="00EA4CEB" w:rsidRDefault="00EA4CEB" w:rsidP="00EA4CEB">
      <w:pPr>
        <w:bidi/>
        <w:spacing w:after="100" w:line="300" w:lineRule="auto"/>
        <w:jc w:val="both"/>
        <w:rPr>
          <w:rFonts w:hint="cs"/>
        </w:rPr>
      </w:pPr>
    </w:p>
    <w:p w14:paraId="0279D3E9" w14:textId="77777777" w:rsidR="00EA4CEB" w:rsidRDefault="00EA4CEB" w:rsidP="00EA4CEB">
      <w:pPr>
        <w:bidi/>
        <w:spacing w:after="100" w:line="300" w:lineRule="auto"/>
        <w:jc w:val="both"/>
        <w:rPr>
          <w:rFonts w:hint="cs"/>
        </w:rPr>
      </w:pPr>
    </w:p>
    <w:p w14:paraId="16C352C3" w14:textId="77777777" w:rsidR="00EA4CEB" w:rsidRDefault="00EA4CEB" w:rsidP="00EA4CEB">
      <w:pPr>
        <w:bidi/>
        <w:spacing w:after="100" w:line="300" w:lineRule="auto"/>
        <w:jc w:val="both"/>
      </w:pPr>
    </w:p>
    <w:p w14:paraId="14E7164D" w14:textId="77777777" w:rsidR="00EB5CBD" w:rsidRDefault="00EA4CEB" w:rsidP="007E709B">
      <w:pPr>
        <w:bidi/>
        <w:spacing w:after="160" w:line="320" w:lineRule="auto"/>
      </w:pPr>
      <w:r>
        <w:rPr>
          <w:b/>
          <w:bCs/>
          <w:sz w:val="28"/>
          <w:szCs w:val="28"/>
        </w:rPr>
        <w:t>‏3.16 البرامج الإحصائية والتحليلية المستخدمة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400"/>
        <w:gridCol w:w="3200"/>
      </w:tblGrid>
      <w:tr w:rsidR="00EB5CBD" w14:paraId="25E0D36C" w14:textId="77777777">
        <w:trPr>
          <w:tblHeader/>
        </w:trPr>
        <w:tc>
          <w:tcPr>
            <w:tcW w:w="2400" w:type="dxa"/>
            <w:tcBorders>
              <w:top w:val="single" w:sz="4" w:space="0" w:color="999999"/>
              <w:left w:val="single" w:sz="4" w:space="0" w:color="999999"/>
              <w:bottom w:val="single" w:sz="4" w:space="0" w:color="999999"/>
              <w:right w:val="single" w:sz="4" w:space="0" w:color="999999"/>
            </w:tcBorders>
            <w:shd w:val="clear" w:color="auto" w:fill="2F5496"/>
          </w:tcPr>
          <w:p w14:paraId="004F3E73" w14:textId="77777777" w:rsidR="00EB5CBD" w:rsidRDefault="00EA4CEB" w:rsidP="008505AD">
            <w:pPr>
              <w:bidi/>
              <w:spacing w:after="60" w:line="320" w:lineRule="auto"/>
              <w:jc w:val="center"/>
            </w:pPr>
            <w:r>
              <w:rPr>
                <w:b/>
                <w:bCs/>
                <w:color w:val="FFFFFF"/>
                <w:sz w:val="21"/>
                <w:szCs w:val="21"/>
              </w:rPr>
              <w:t>البرنامج والإصدار</w:t>
            </w:r>
          </w:p>
        </w:tc>
        <w:tc>
          <w:tcPr>
            <w:tcW w:w="3400" w:type="dxa"/>
            <w:tcBorders>
              <w:top w:val="single" w:sz="4" w:space="0" w:color="999999"/>
              <w:left w:val="single" w:sz="4" w:space="0" w:color="999999"/>
              <w:bottom w:val="single" w:sz="4" w:space="0" w:color="999999"/>
              <w:right w:val="single" w:sz="4" w:space="0" w:color="999999"/>
            </w:tcBorders>
            <w:shd w:val="clear" w:color="auto" w:fill="2F5496"/>
          </w:tcPr>
          <w:p w14:paraId="7B1B7746" w14:textId="77777777" w:rsidR="00EB5CBD" w:rsidRDefault="00EA4CEB">
            <w:pPr>
              <w:bidi/>
              <w:spacing w:after="60" w:line="320" w:lineRule="auto"/>
              <w:jc w:val="center"/>
            </w:pPr>
            <w:r>
              <w:rPr>
                <w:b/>
                <w:bCs/>
                <w:color w:val="FFFFFF"/>
                <w:sz w:val="21"/>
                <w:szCs w:val="21"/>
              </w:rPr>
              <w:t>الوظيفة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67BBACCB" w14:textId="77777777" w:rsidR="00EB5CBD" w:rsidRDefault="00EA4CEB" w:rsidP="008505AD">
            <w:pPr>
              <w:bidi/>
              <w:spacing w:after="60" w:line="320" w:lineRule="auto"/>
              <w:jc w:val="center"/>
            </w:pPr>
            <w:r>
              <w:rPr>
                <w:b/>
                <w:bCs/>
                <w:color w:val="FFFFFF"/>
                <w:sz w:val="21"/>
                <w:szCs w:val="21"/>
              </w:rPr>
              <w:t>مرحلة الاستخدام</w:t>
            </w:r>
          </w:p>
        </w:tc>
      </w:tr>
      <w:tr w:rsidR="00EB5CBD" w14:paraId="31FDEDFB" w14:textId="77777777">
        <w:tc>
          <w:tcPr>
            <w:tcW w:w="2400" w:type="dxa"/>
            <w:tcBorders>
              <w:top w:val="single" w:sz="4" w:space="0" w:color="999999"/>
              <w:left w:val="single" w:sz="4" w:space="0" w:color="999999"/>
              <w:bottom w:val="single" w:sz="4" w:space="0" w:color="999999"/>
              <w:right w:val="single" w:sz="4" w:space="0" w:color="999999"/>
            </w:tcBorders>
          </w:tcPr>
          <w:p w14:paraId="3D1B8A63" w14:textId="77777777" w:rsidR="00EB5CBD" w:rsidRDefault="00EA4CEB" w:rsidP="008505AD">
            <w:pPr>
              <w:bidi/>
              <w:spacing w:after="60" w:line="320" w:lineRule="auto"/>
              <w:jc w:val="center"/>
            </w:pPr>
            <w:r>
              <w:rPr>
                <w:sz w:val="21"/>
                <w:szCs w:val="21"/>
              </w:rPr>
              <w:t>SPSS (الإصدار 29)</w:t>
            </w:r>
          </w:p>
        </w:tc>
        <w:tc>
          <w:tcPr>
            <w:tcW w:w="3400" w:type="dxa"/>
            <w:tcBorders>
              <w:top w:val="single" w:sz="4" w:space="0" w:color="999999"/>
              <w:left w:val="single" w:sz="4" w:space="0" w:color="999999"/>
              <w:bottom w:val="single" w:sz="4" w:space="0" w:color="999999"/>
              <w:right w:val="single" w:sz="4" w:space="0" w:color="999999"/>
            </w:tcBorders>
          </w:tcPr>
          <w:p w14:paraId="6498BBA0" w14:textId="77777777" w:rsidR="00EB5CBD" w:rsidRDefault="00EA4CEB" w:rsidP="008505AD">
            <w:pPr>
              <w:bidi/>
              <w:spacing w:after="60" w:line="320" w:lineRule="auto"/>
            </w:pPr>
            <w:r>
              <w:rPr>
                <w:sz w:val="21"/>
                <w:szCs w:val="21"/>
              </w:rPr>
              <w:t>تنظيف البيانات، الإحصاء الوصفي، فحص القيم المفقودة والشاذة، اختبار تحيز عدم الاستجابة</w:t>
            </w:r>
          </w:p>
        </w:tc>
        <w:tc>
          <w:tcPr>
            <w:tcW w:w="3200" w:type="dxa"/>
            <w:tcBorders>
              <w:top w:val="single" w:sz="4" w:space="0" w:color="999999"/>
              <w:left w:val="single" w:sz="4" w:space="0" w:color="999999"/>
              <w:bottom w:val="single" w:sz="4" w:space="0" w:color="999999"/>
              <w:right w:val="single" w:sz="4" w:space="0" w:color="999999"/>
            </w:tcBorders>
          </w:tcPr>
          <w:p w14:paraId="5262C3CA" w14:textId="77777777" w:rsidR="00EB5CBD" w:rsidRDefault="00EA4CEB" w:rsidP="008505AD">
            <w:pPr>
              <w:bidi/>
              <w:spacing w:after="60" w:line="320" w:lineRule="auto"/>
              <w:jc w:val="center"/>
            </w:pPr>
            <w:r>
              <w:rPr>
                <w:sz w:val="21"/>
                <w:szCs w:val="21"/>
              </w:rPr>
              <w:t>قبل التحليل الهيكلي، الفقرة 3.11</w:t>
            </w:r>
          </w:p>
        </w:tc>
      </w:tr>
      <w:tr w:rsidR="00EB5CBD" w14:paraId="01419785" w14:textId="77777777">
        <w:tc>
          <w:tcPr>
            <w:tcW w:w="2400" w:type="dxa"/>
            <w:tcBorders>
              <w:top w:val="single" w:sz="4" w:space="0" w:color="999999"/>
              <w:left w:val="single" w:sz="4" w:space="0" w:color="999999"/>
              <w:bottom w:val="single" w:sz="4" w:space="0" w:color="999999"/>
              <w:right w:val="single" w:sz="4" w:space="0" w:color="999999"/>
            </w:tcBorders>
            <w:shd w:val="clear" w:color="auto" w:fill="F2F2F2"/>
          </w:tcPr>
          <w:p w14:paraId="759F889A" w14:textId="77777777" w:rsidR="00EB5CBD" w:rsidRDefault="00EA4CEB" w:rsidP="008505AD">
            <w:pPr>
              <w:bidi/>
              <w:spacing w:after="60" w:line="320" w:lineRule="auto"/>
              <w:jc w:val="center"/>
            </w:pPr>
            <w:r>
              <w:rPr>
                <w:sz w:val="21"/>
                <w:szCs w:val="21"/>
              </w:rPr>
              <w:t>SmartPLS (الإصدار 4.1)</w:t>
            </w:r>
          </w:p>
        </w:tc>
        <w:tc>
          <w:tcPr>
            <w:tcW w:w="3400" w:type="dxa"/>
            <w:tcBorders>
              <w:top w:val="single" w:sz="4" w:space="0" w:color="999999"/>
              <w:left w:val="single" w:sz="4" w:space="0" w:color="999999"/>
              <w:bottom w:val="single" w:sz="4" w:space="0" w:color="999999"/>
              <w:right w:val="single" w:sz="4" w:space="0" w:color="999999"/>
            </w:tcBorders>
            <w:shd w:val="clear" w:color="auto" w:fill="F2F2F2"/>
          </w:tcPr>
          <w:p w14:paraId="044874A9" w14:textId="77777777" w:rsidR="00EB5CBD" w:rsidRDefault="00EA4CEB" w:rsidP="008505AD">
            <w:pPr>
              <w:bidi/>
              <w:spacing w:after="60" w:line="320" w:lineRule="auto"/>
            </w:pPr>
            <w:r>
              <w:rPr>
                <w:sz w:val="21"/>
                <w:szCs w:val="21"/>
              </w:rPr>
              <w:t>تقييم نموذج القياس والنموذج البنائي، تحليل الوساطة، PLS-MGA وMICOM</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6AB01C7B" w14:textId="77777777" w:rsidR="00EB5CBD" w:rsidRDefault="00EA4CEB" w:rsidP="008505AD">
            <w:pPr>
              <w:bidi/>
              <w:spacing w:after="60" w:line="320" w:lineRule="auto"/>
              <w:jc w:val="center"/>
            </w:pPr>
            <w:r>
              <w:rPr>
                <w:sz w:val="21"/>
                <w:szCs w:val="21"/>
              </w:rPr>
              <w:t>التحليل الكمي الأساسي، الفقرة 3.12</w:t>
            </w:r>
          </w:p>
        </w:tc>
      </w:tr>
      <w:tr w:rsidR="00EB5CBD" w14:paraId="798707A1" w14:textId="77777777">
        <w:tc>
          <w:tcPr>
            <w:tcW w:w="2400" w:type="dxa"/>
            <w:tcBorders>
              <w:top w:val="single" w:sz="4" w:space="0" w:color="999999"/>
              <w:left w:val="single" w:sz="4" w:space="0" w:color="999999"/>
              <w:bottom w:val="single" w:sz="4" w:space="0" w:color="999999"/>
              <w:right w:val="single" w:sz="4" w:space="0" w:color="999999"/>
            </w:tcBorders>
          </w:tcPr>
          <w:p w14:paraId="4C5E6DF5" w14:textId="77777777" w:rsidR="00EB5CBD" w:rsidRDefault="00EA4CEB" w:rsidP="008505AD">
            <w:pPr>
              <w:bidi/>
              <w:spacing w:after="60" w:line="320" w:lineRule="auto"/>
              <w:jc w:val="center"/>
            </w:pPr>
            <w:r>
              <w:rPr>
                <w:sz w:val="21"/>
                <w:szCs w:val="21"/>
              </w:rPr>
              <w:t>G*Power (الإصدار 3.1)</w:t>
            </w:r>
          </w:p>
        </w:tc>
        <w:tc>
          <w:tcPr>
            <w:tcW w:w="3400" w:type="dxa"/>
            <w:tcBorders>
              <w:top w:val="single" w:sz="4" w:space="0" w:color="999999"/>
              <w:left w:val="single" w:sz="4" w:space="0" w:color="999999"/>
              <w:bottom w:val="single" w:sz="4" w:space="0" w:color="999999"/>
              <w:right w:val="single" w:sz="4" w:space="0" w:color="999999"/>
            </w:tcBorders>
          </w:tcPr>
          <w:p w14:paraId="5DAD2306" w14:textId="77777777" w:rsidR="00EB5CBD" w:rsidRDefault="00EA4CEB" w:rsidP="008505AD">
            <w:pPr>
              <w:bidi/>
              <w:spacing w:after="60" w:line="320" w:lineRule="auto"/>
            </w:pPr>
            <w:r>
              <w:rPr>
                <w:sz w:val="21"/>
                <w:szCs w:val="21"/>
              </w:rPr>
              <w:t>تحليل القوة الإحصائية المسبق والبعدي</w:t>
            </w:r>
          </w:p>
        </w:tc>
        <w:tc>
          <w:tcPr>
            <w:tcW w:w="3200" w:type="dxa"/>
            <w:tcBorders>
              <w:top w:val="single" w:sz="4" w:space="0" w:color="999999"/>
              <w:left w:val="single" w:sz="4" w:space="0" w:color="999999"/>
              <w:bottom w:val="single" w:sz="4" w:space="0" w:color="999999"/>
              <w:right w:val="single" w:sz="4" w:space="0" w:color="999999"/>
            </w:tcBorders>
          </w:tcPr>
          <w:p w14:paraId="56258C5F" w14:textId="77777777" w:rsidR="00EB5CBD" w:rsidRDefault="00EA4CEB" w:rsidP="008505AD">
            <w:pPr>
              <w:bidi/>
              <w:spacing w:after="60" w:line="320" w:lineRule="auto"/>
              <w:jc w:val="center"/>
            </w:pPr>
            <w:r>
              <w:rPr>
                <w:sz w:val="21"/>
                <w:szCs w:val="21"/>
              </w:rPr>
              <w:t>قبل جمع البيانات وبعده، الفقرة 3.7.2</w:t>
            </w:r>
          </w:p>
        </w:tc>
      </w:tr>
      <w:tr w:rsidR="00EB5CBD" w14:paraId="423E20C0" w14:textId="77777777">
        <w:tc>
          <w:tcPr>
            <w:tcW w:w="2400" w:type="dxa"/>
            <w:tcBorders>
              <w:top w:val="single" w:sz="4" w:space="0" w:color="999999"/>
              <w:left w:val="single" w:sz="4" w:space="0" w:color="999999"/>
              <w:bottom w:val="single" w:sz="4" w:space="0" w:color="999999"/>
              <w:right w:val="single" w:sz="4" w:space="0" w:color="999999"/>
            </w:tcBorders>
            <w:shd w:val="clear" w:color="auto" w:fill="F2F2F2"/>
          </w:tcPr>
          <w:p w14:paraId="4C3C93A3" w14:textId="77777777" w:rsidR="00EB5CBD" w:rsidRDefault="00EA4CEB" w:rsidP="008505AD">
            <w:pPr>
              <w:bidi/>
              <w:spacing w:after="60" w:line="320" w:lineRule="auto"/>
              <w:jc w:val="center"/>
            </w:pPr>
            <w:r>
              <w:rPr>
                <w:sz w:val="21"/>
                <w:szCs w:val="21"/>
              </w:rPr>
              <w:t>NVivo (الإصدار 14)</w:t>
            </w:r>
          </w:p>
        </w:tc>
        <w:tc>
          <w:tcPr>
            <w:tcW w:w="3400" w:type="dxa"/>
            <w:tcBorders>
              <w:top w:val="single" w:sz="4" w:space="0" w:color="999999"/>
              <w:left w:val="single" w:sz="4" w:space="0" w:color="999999"/>
              <w:bottom w:val="single" w:sz="4" w:space="0" w:color="999999"/>
              <w:right w:val="single" w:sz="4" w:space="0" w:color="999999"/>
            </w:tcBorders>
            <w:shd w:val="clear" w:color="auto" w:fill="F2F2F2"/>
          </w:tcPr>
          <w:p w14:paraId="4AF8C0A3" w14:textId="77777777" w:rsidR="00EB5CBD" w:rsidRDefault="00EA4CEB" w:rsidP="008505AD">
            <w:pPr>
              <w:bidi/>
              <w:spacing w:after="60" w:line="320" w:lineRule="auto"/>
            </w:pPr>
            <w:r>
              <w:rPr>
                <w:sz w:val="21"/>
                <w:szCs w:val="21"/>
              </w:rPr>
              <w:t>تنظيم النصوص المفرغة وترميزها وإدارة الموضوعات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440300AF" w14:textId="77777777" w:rsidR="00EB5CBD" w:rsidRDefault="00EA4CEB" w:rsidP="008505AD">
            <w:pPr>
              <w:bidi/>
              <w:spacing w:after="60" w:line="320" w:lineRule="auto"/>
              <w:jc w:val="center"/>
            </w:pPr>
            <w:r>
              <w:rPr>
                <w:sz w:val="21"/>
                <w:szCs w:val="21"/>
              </w:rPr>
              <w:t>التحليل النوعي، الفقرة 3.13.3</w:t>
            </w:r>
          </w:p>
        </w:tc>
      </w:tr>
      <w:tr w:rsidR="00EB5CBD" w14:paraId="5CE78DEB" w14:textId="77777777">
        <w:tc>
          <w:tcPr>
            <w:tcW w:w="2400" w:type="dxa"/>
            <w:tcBorders>
              <w:top w:val="single" w:sz="4" w:space="0" w:color="999999"/>
              <w:left w:val="single" w:sz="4" w:space="0" w:color="999999"/>
              <w:bottom w:val="single" w:sz="4" w:space="0" w:color="999999"/>
              <w:right w:val="single" w:sz="4" w:space="0" w:color="999999"/>
            </w:tcBorders>
          </w:tcPr>
          <w:p w14:paraId="647B4428" w14:textId="77777777" w:rsidR="00EB5CBD" w:rsidRDefault="00EA4CEB" w:rsidP="008505AD">
            <w:pPr>
              <w:bidi/>
              <w:spacing w:after="60" w:line="320" w:lineRule="auto"/>
              <w:jc w:val="center"/>
            </w:pPr>
            <w:r>
              <w:rPr>
                <w:sz w:val="21"/>
                <w:szCs w:val="21"/>
              </w:rPr>
              <w:t>أداة تشفير وحفظ ملفات (تُحدَّد عند التنفيذ وفق سياسة الجامعة)</w:t>
            </w:r>
          </w:p>
        </w:tc>
        <w:tc>
          <w:tcPr>
            <w:tcW w:w="3400" w:type="dxa"/>
            <w:tcBorders>
              <w:top w:val="single" w:sz="4" w:space="0" w:color="999999"/>
              <w:left w:val="single" w:sz="4" w:space="0" w:color="999999"/>
              <w:bottom w:val="single" w:sz="4" w:space="0" w:color="999999"/>
              <w:right w:val="single" w:sz="4" w:space="0" w:color="999999"/>
            </w:tcBorders>
          </w:tcPr>
          <w:p w14:paraId="67F2ADA3" w14:textId="77777777" w:rsidR="00EB5CBD" w:rsidRDefault="00EA4CEB" w:rsidP="008505AD">
            <w:pPr>
              <w:bidi/>
              <w:spacing w:after="60" w:line="320" w:lineRule="auto"/>
            </w:pPr>
            <w:r>
              <w:rPr>
                <w:sz w:val="21"/>
                <w:szCs w:val="21"/>
              </w:rPr>
              <w:t>حفظ التسجيلات الصوتية والنصوص المفرغة وملفات البيانات الشخصية بصورة مشفّرة</w:t>
            </w:r>
          </w:p>
        </w:tc>
        <w:tc>
          <w:tcPr>
            <w:tcW w:w="3200" w:type="dxa"/>
            <w:tcBorders>
              <w:top w:val="single" w:sz="4" w:space="0" w:color="999999"/>
              <w:left w:val="single" w:sz="4" w:space="0" w:color="999999"/>
              <w:bottom w:val="single" w:sz="4" w:space="0" w:color="999999"/>
              <w:right w:val="single" w:sz="4" w:space="0" w:color="999999"/>
            </w:tcBorders>
          </w:tcPr>
          <w:p w14:paraId="63FC30C3" w14:textId="77777777" w:rsidR="00EB5CBD" w:rsidRDefault="00EA4CEB" w:rsidP="008505AD">
            <w:pPr>
              <w:bidi/>
              <w:spacing w:after="60" w:line="320" w:lineRule="auto"/>
              <w:jc w:val="center"/>
            </w:pPr>
            <w:r>
              <w:rPr>
                <w:sz w:val="21"/>
                <w:szCs w:val="21"/>
              </w:rPr>
              <w:t>طوال فترة الاحتفاظ بالبيانات، الفقرة 3.17</w:t>
            </w:r>
          </w:p>
        </w:tc>
      </w:tr>
    </w:tbl>
    <w:p w14:paraId="3628A917" w14:textId="77777777" w:rsidR="00EB5CBD" w:rsidRDefault="00EA4CEB" w:rsidP="007E709B">
      <w:pPr>
        <w:bidi/>
        <w:spacing w:after="160" w:line="320" w:lineRule="auto"/>
      </w:pPr>
      <w:r>
        <w:rPr>
          <w:b/>
          <w:bCs/>
          <w:sz w:val="28"/>
          <w:szCs w:val="28"/>
        </w:rPr>
        <w:t>‏3.17 الاعتبارات الأخلاقية</w:t>
      </w:r>
    </w:p>
    <w:p w14:paraId="50EBB76A" w14:textId="77777777" w:rsidR="00EB5CBD" w:rsidRDefault="00EA4CEB">
      <w:pPr>
        <w:bidi/>
        <w:spacing w:after="160" w:line="320" w:lineRule="auto"/>
        <w:jc w:val="both"/>
      </w:pPr>
      <w:r>
        <w:t>ستلتزم الدراسة بجميع المعايير الأخلاقية للبحث العلمي المعتمدة لدى الجامعة، وتشمل الإجراءات التالية:</w:t>
      </w:r>
    </w:p>
    <w:p w14:paraId="7DE83219" w14:textId="77777777" w:rsidR="00EB5CBD" w:rsidRDefault="00EA4CEB">
      <w:pPr>
        <w:pStyle w:val="ListParagraph"/>
        <w:numPr>
          <w:ilvl w:val="0"/>
          <w:numId w:val="2"/>
        </w:numPr>
        <w:bidi/>
        <w:spacing w:after="100" w:line="300" w:lineRule="auto"/>
        <w:jc w:val="both"/>
      </w:pPr>
      <w:r>
        <w:t>الحصول على موافقة لجنة أخلاقيات البحث العلمي بالجامعة قبل بدء أي جمع للبيانات، وسيُدرج اسم اللجنة، والجهة المصدرة للموافقة، ورقم الموافقة وتاريخها، فور صدورها.</w:t>
      </w:r>
    </w:p>
    <w:p w14:paraId="4FD6EC0E" w14:textId="77777777" w:rsidR="00EB5CBD" w:rsidRDefault="00EA4CEB">
      <w:pPr>
        <w:pStyle w:val="ListParagraph"/>
        <w:numPr>
          <w:ilvl w:val="0"/>
          <w:numId w:val="2"/>
        </w:numPr>
        <w:bidi/>
        <w:spacing w:after="100" w:line="300" w:lineRule="auto"/>
        <w:jc w:val="both"/>
      </w:pPr>
      <w:r>
        <w:t>الحصول على موافقات الجهات المشاركة (كغرف التجارة أو مراكز دعم المنشآت) إن استُخدمت قوائمها للتواصل مع المشاركين.</w:t>
      </w:r>
    </w:p>
    <w:p w14:paraId="032AC269" w14:textId="77777777" w:rsidR="00EB5CBD" w:rsidRDefault="00EA4CEB">
      <w:pPr>
        <w:pStyle w:val="ListParagraph"/>
        <w:numPr>
          <w:ilvl w:val="0"/>
          <w:numId w:val="2"/>
        </w:numPr>
        <w:bidi/>
        <w:spacing w:after="100" w:line="300" w:lineRule="auto"/>
        <w:jc w:val="both"/>
      </w:pPr>
      <w:r>
        <w:t>إعداد نموذج موافقة مستنيرة منفصل للاستبيان، يوضح للمشارك طبيعة الدراسة وأهدافها والجهة المشرفة عليها ومدة تعبئة الاستبيان وطبيعة البيانات المطلوبة، قبل عرض الفقرات.</w:t>
      </w:r>
    </w:p>
    <w:p w14:paraId="1A70EA26" w14:textId="77777777" w:rsidR="00EB5CBD" w:rsidRDefault="00EA4CEB">
      <w:pPr>
        <w:pStyle w:val="ListParagraph"/>
        <w:numPr>
          <w:ilvl w:val="0"/>
          <w:numId w:val="2"/>
        </w:numPr>
        <w:bidi/>
        <w:spacing w:after="100" w:line="300" w:lineRule="auto"/>
        <w:jc w:val="both"/>
      </w:pPr>
      <w:r>
        <w:t>إعداد نموذج موافقة مستنيرة منفصل ومحدد للمقابلة والتسجيل الصوتي، متمايز عن موافقة الاستبيان، يوضح تحديدًا أن المقابلة ستُسجَّل وأن للمشارك الحق في رفض التسجيل مع استمرار المقابلة كتابيًا فقط إن رغب.</w:t>
      </w:r>
    </w:p>
    <w:p w14:paraId="78D36987" w14:textId="77777777" w:rsidR="00EB5CBD" w:rsidRDefault="00EA4CEB">
      <w:pPr>
        <w:pStyle w:val="ListParagraph"/>
        <w:numPr>
          <w:ilvl w:val="0"/>
          <w:numId w:val="2"/>
        </w:numPr>
        <w:bidi/>
        <w:spacing w:after="100" w:line="300" w:lineRule="auto"/>
        <w:jc w:val="both"/>
      </w:pPr>
      <w:r>
        <w:t>توضيح أن المشاركة طوعية بالكامل في كلا الأداتين، وأنه لا توجد أي تبعات سلبية على المشارك أو منشأته عند الاعتذار عن المشاركة أو الانسحاب في أي مرحلة دون إبداء أسباب.</w:t>
      </w:r>
    </w:p>
    <w:p w14:paraId="618459F3" w14:textId="77777777" w:rsidR="00EB5CBD" w:rsidRDefault="00EA4CEB">
      <w:pPr>
        <w:pStyle w:val="ListParagraph"/>
        <w:numPr>
          <w:ilvl w:val="0"/>
          <w:numId w:val="2"/>
        </w:numPr>
        <w:bidi/>
        <w:spacing w:after="100" w:line="300" w:lineRule="auto"/>
        <w:jc w:val="both"/>
      </w:pPr>
      <w:r>
        <w:t>السرية والتجهيل: تشفير أو حذف أي بيانات تعريفية (اسم المنشأة، اسم المشارك) من ملفات التحليل، واستبدالها برموز ترميزية مجردة، بحيث لا يمكن ربط أي نتيجة منشورة بمنشأة أو فرد بعينه.</w:t>
      </w:r>
    </w:p>
    <w:p w14:paraId="2D7BAD80" w14:textId="77777777" w:rsidR="00EB5CBD" w:rsidRDefault="00EA4CEB">
      <w:pPr>
        <w:pStyle w:val="ListParagraph"/>
        <w:numPr>
          <w:ilvl w:val="0"/>
          <w:numId w:val="2"/>
        </w:numPr>
        <w:bidi/>
        <w:spacing w:after="100" w:line="300" w:lineRule="auto"/>
        <w:jc w:val="both"/>
      </w:pPr>
      <w:r>
        <w:t>الفصل الفعلي بين بيانات الاتصال (المستخدمة لتنسيق المقابلات أو رصد التكرار) وبين بيانات البحث نفسها (إجابات الاستبيان ونصوص المقابلات)، بحيث تُحفظ في ملفات منفصلة ولا تُدمج إلا عبر رمز ترميزي وسيط لا يحمل دلالة تعريفية مباشرة.</w:t>
      </w:r>
    </w:p>
    <w:p w14:paraId="7CBBC264" w14:textId="77777777" w:rsidR="00EB5CBD" w:rsidRDefault="00EA4CEB">
      <w:pPr>
        <w:pStyle w:val="ListParagraph"/>
        <w:numPr>
          <w:ilvl w:val="0"/>
          <w:numId w:val="2"/>
        </w:numPr>
        <w:bidi/>
        <w:spacing w:after="100" w:line="300" w:lineRule="auto"/>
        <w:jc w:val="both"/>
      </w:pPr>
      <w:r>
        <w:t>تحديد طريقة حفظ البيانات (تشفير الملفات، تقييد الوصول للباحثة والمشرف فقط) ومدة الاحتفاظ بها (خمس سنوات من تاريخ إجازة الأطروحة كحد أدنى، وفق سياسة الجامعة)، وطريقة إتلافها بعد انتهاء هذه المدة (حذف آمن للملفات الرقمية).</w:t>
      </w:r>
    </w:p>
    <w:p w14:paraId="4A1D6DB0" w14:textId="77777777" w:rsidR="00EB5CBD" w:rsidRDefault="00EA4CEB">
      <w:pPr>
        <w:pStyle w:val="ListParagraph"/>
        <w:numPr>
          <w:ilvl w:val="0"/>
          <w:numId w:val="2"/>
        </w:numPr>
        <w:bidi/>
        <w:spacing w:after="100" w:line="300" w:lineRule="auto"/>
        <w:jc w:val="both"/>
      </w:pPr>
      <w:r>
        <w:t>حماية التسجيلات الصوتية والنصوص المفرغة تحديدًا بالإجراءات نفسها المطبقة على بيانات الاستبيان، مع تقييد إضافي للوصول إليها نظرًا لحساسية المحتوى الصوتي.</w:t>
      </w:r>
    </w:p>
    <w:p w14:paraId="6605E069" w14:textId="77777777" w:rsidR="00EB5CBD" w:rsidRDefault="00EA4CEB" w:rsidP="007E709B">
      <w:pPr>
        <w:bidi/>
        <w:spacing w:after="160" w:line="320" w:lineRule="auto"/>
      </w:pPr>
      <w:r>
        <w:rPr>
          <w:b/>
          <w:bCs/>
          <w:sz w:val="28"/>
          <w:szCs w:val="28"/>
        </w:rPr>
        <w:t>‏3.18 الجدول الزمني المقترح لتنفيذ الدراسة</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200"/>
        <w:gridCol w:w="2200"/>
      </w:tblGrid>
      <w:tr w:rsidR="00EB5CBD" w14:paraId="5D9C9152" w14:textId="77777777">
        <w:trPr>
          <w:tblHeader/>
        </w:trPr>
        <w:tc>
          <w:tcPr>
            <w:tcW w:w="3600" w:type="dxa"/>
            <w:tcBorders>
              <w:top w:val="single" w:sz="4" w:space="0" w:color="999999"/>
              <w:left w:val="single" w:sz="4" w:space="0" w:color="999999"/>
              <w:bottom w:val="single" w:sz="4" w:space="0" w:color="999999"/>
              <w:right w:val="single" w:sz="4" w:space="0" w:color="999999"/>
            </w:tcBorders>
            <w:shd w:val="clear" w:color="auto" w:fill="2F5496"/>
          </w:tcPr>
          <w:p w14:paraId="0A7F166E" w14:textId="77777777" w:rsidR="00EB5CBD" w:rsidRDefault="00EA4CEB" w:rsidP="008505AD">
            <w:pPr>
              <w:bidi/>
              <w:spacing w:after="60" w:line="320" w:lineRule="auto"/>
              <w:jc w:val="center"/>
            </w:pPr>
            <w:r>
              <w:rPr>
                <w:b/>
                <w:bCs/>
                <w:color w:val="FFFFFF"/>
                <w:sz w:val="21"/>
                <w:szCs w:val="21"/>
              </w:rPr>
              <w:t>المرحلة</w:t>
            </w:r>
          </w:p>
        </w:tc>
        <w:tc>
          <w:tcPr>
            <w:tcW w:w="3200" w:type="dxa"/>
            <w:tcBorders>
              <w:top w:val="single" w:sz="4" w:space="0" w:color="999999"/>
              <w:left w:val="single" w:sz="4" w:space="0" w:color="999999"/>
              <w:bottom w:val="single" w:sz="4" w:space="0" w:color="999999"/>
              <w:right w:val="single" w:sz="4" w:space="0" w:color="999999"/>
            </w:tcBorders>
            <w:shd w:val="clear" w:color="auto" w:fill="2F5496"/>
          </w:tcPr>
          <w:p w14:paraId="488C3E38" w14:textId="77777777" w:rsidR="00EB5CBD" w:rsidRDefault="00EA4CEB">
            <w:pPr>
              <w:bidi/>
              <w:spacing w:after="60" w:line="320" w:lineRule="auto"/>
              <w:jc w:val="center"/>
            </w:pPr>
            <w:r>
              <w:rPr>
                <w:b/>
                <w:bCs/>
                <w:color w:val="FFFFFF"/>
                <w:sz w:val="21"/>
                <w:szCs w:val="21"/>
              </w:rPr>
              <w:t>الأنشطة الرئيسية</w:t>
            </w:r>
          </w:p>
        </w:tc>
        <w:tc>
          <w:tcPr>
            <w:tcW w:w="2200" w:type="dxa"/>
            <w:tcBorders>
              <w:top w:val="single" w:sz="4" w:space="0" w:color="999999"/>
              <w:left w:val="single" w:sz="4" w:space="0" w:color="999999"/>
              <w:bottom w:val="single" w:sz="4" w:space="0" w:color="999999"/>
              <w:right w:val="single" w:sz="4" w:space="0" w:color="999999"/>
            </w:tcBorders>
            <w:shd w:val="clear" w:color="auto" w:fill="2F5496"/>
          </w:tcPr>
          <w:p w14:paraId="473BD664" w14:textId="77777777" w:rsidR="00EB5CBD" w:rsidRDefault="00EA4CEB" w:rsidP="008505AD">
            <w:pPr>
              <w:bidi/>
              <w:spacing w:after="60" w:line="320" w:lineRule="auto"/>
              <w:jc w:val="center"/>
            </w:pPr>
            <w:r>
              <w:rPr>
                <w:b/>
                <w:bCs/>
                <w:color w:val="FFFFFF"/>
                <w:sz w:val="21"/>
                <w:szCs w:val="21"/>
              </w:rPr>
              <w:t>المدة التقديرية</w:t>
            </w:r>
          </w:p>
        </w:tc>
      </w:tr>
      <w:tr w:rsidR="00EB5CBD" w14:paraId="33C69AEF" w14:textId="77777777">
        <w:tc>
          <w:tcPr>
            <w:tcW w:w="3600" w:type="dxa"/>
            <w:tcBorders>
              <w:top w:val="single" w:sz="4" w:space="0" w:color="999999"/>
              <w:left w:val="single" w:sz="4" w:space="0" w:color="999999"/>
              <w:bottom w:val="single" w:sz="4" w:space="0" w:color="999999"/>
              <w:right w:val="single" w:sz="4" w:space="0" w:color="999999"/>
            </w:tcBorders>
          </w:tcPr>
          <w:p w14:paraId="5A7FCC35" w14:textId="77777777" w:rsidR="00EB5CBD" w:rsidRDefault="00EA4CEB" w:rsidP="008505AD">
            <w:pPr>
              <w:bidi/>
              <w:spacing w:after="60" w:line="320" w:lineRule="auto"/>
              <w:jc w:val="center"/>
            </w:pPr>
            <w:r>
              <w:rPr>
                <w:sz w:val="21"/>
                <w:szCs w:val="21"/>
              </w:rPr>
              <w:t>الإعداد المنهجي</w:t>
            </w:r>
          </w:p>
        </w:tc>
        <w:tc>
          <w:tcPr>
            <w:tcW w:w="3200" w:type="dxa"/>
            <w:tcBorders>
              <w:top w:val="single" w:sz="4" w:space="0" w:color="999999"/>
              <w:left w:val="single" w:sz="4" w:space="0" w:color="999999"/>
              <w:bottom w:val="single" w:sz="4" w:space="0" w:color="999999"/>
              <w:right w:val="single" w:sz="4" w:space="0" w:color="999999"/>
            </w:tcBorders>
          </w:tcPr>
          <w:p w14:paraId="73C9E9CA" w14:textId="77777777" w:rsidR="00EB5CBD" w:rsidRDefault="00EA4CEB" w:rsidP="008505AD">
            <w:pPr>
              <w:bidi/>
              <w:spacing w:after="60" w:line="320" w:lineRule="auto"/>
            </w:pPr>
            <w:r>
              <w:rPr>
                <w:sz w:val="21"/>
                <w:szCs w:val="21"/>
              </w:rPr>
              <w:t>تطوير الاستبيان، جدول مصادر الفقرات، الترجمة والترجمة العكسية</w:t>
            </w:r>
          </w:p>
        </w:tc>
        <w:tc>
          <w:tcPr>
            <w:tcW w:w="2200" w:type="dxa"/>
            <w:tcBorders>
              <w:top w:val="single" w:sz="4" w:space="0" w:color="999999"/>
              <w:left w:val="single" w:sz="4" w:space="0" w:color="999999"/>
              <w:bottom w:val="single" w:sz="4" w:space="0" w:color="999999"/>
              <w:right w:val="single" w:sz="4" w:space="0" w:color="999999"/>
            </w:tcBorders>
          </w:tcPr>
          <w:p w14:paraId="241AD0BD" w14:textId="77777777" w:rsidR="00EB5CBD" w:rsidRDefault="00EA4CEB" w:rsidP="008505AD">
            <w:pPr>
              <w:bidi/>
              <w:spacing w:after="60" w:line="320" w:lineRule="auto"/>
              <w:jc w:val="center"/>
            </w:pPr>
            <w:r>
              <w:rPr>
                <w:sz w:val="21"/>
                <w:szCs w:val="21"/>
              </w:rPr>
              <w:t>4 أسابيع</w:t>
            </w:r>
          </w:p>
        </w:tc>
      </w:tr>
      <w:tr w:rsidR="00EB5CBD" w14:paraId="11F2CDE4"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6532861C" w14:textId="77777777" w:rsidR="00EB5CBD" w:rsidRDefault="00EA4CEB" w:rsidP="008505AD">
            <w:pPr>
              <w:bidi/>
              <w:spacing w:after="60" w:line="320" w:lineRule="auto"/>
              <w:jc w:val="center"/>
            </w:pPr>
            <w:r>
              <w:rPr>
                <w:sz w:val="21"/>
                <w:szCs w:val="21"/>
              </w:rPr>
              <w:t>التحكيم والموافقات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5E4FBE5B" w14:textId="77777777" w:rsidR="00EB5CBD" w:rsidRDefault="00EA4CEB" w:rsidP="008505AD">
            <w:pPr>
              <w:bidi/>
              <w:spacing w:after="60" w:line="320" w:lineRule="auto"/>
            </w:pPr>
            <w:r>
              <w:rPr>
                <w:sz w:val="21"/>
                <w:szCs w:val="21"/>
              </w:rPr>
              <w:t>عرض الأداة على المحكمين، الحصول على موافقة لجنة الأخلاقيات، تعديل الفقرات وفق ملاحظات المحكمين</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34468F43" w14:textId="77777777" w:rsidR="00EB5CBD" w:rsidRDefault="00EA4CEB" w:rsidP="008505AD">
            <w:pPr>
              <w:bidi/>
              <w:spacing w:after="60" w:line="320" w:lineRule="auto"/>
              <w:jc w:val="center"/>
            </w:pPr>
            <w:r>
              <w:rPr>
                <w:sz w:val="21"/>
                <w:szCs w:val="21"/>
              </w:rPr>
              <w:t>4 أسابيع</w:t>
            </w:r>
          </w:p>
        </w:tc>
      </w:tr>
      <w:tr w:rsidR="00EB5CBD" w14:paraId="13012B80" w14:textId="77777777">
        <w:tc>
          <w:tcPr>
            <w:tcW w:w="3600" w:type="dxa"/>
            <w:tcBorders>
              <w:top w:val="single" w:sz="4" w:space="0" w:color="999999"/>
              <w:left w:val="single" w:sz="4" w:space="0" w:color="999999"/>
              <w:bottom w:val="single" w:sz="4" w:space="0" w:color="999999"/>
              <w:right w:val="single" w:sz="4" w:space="0" w:color="999999"/>
            </w:tcBorders>
          </w:tcPr>
          <w:p w14:paraId="2AD1616C" w14:textId="77777777" w:rsidR="00EB5CBD" w:rsidRDefault="00EA4CEB" w:rsidP="008505AD">
            <w:pPr>
              <w:bidi/>
              <w:spacing w:after="60" w:line="320" w:lineRule="auto"/>
              <w:jc w:val="center"/>
            </w:pPr>
            <w:r>
              <w:rPr>
                <w:sz w:val="21"/>
                <w:szCs w:val="21"/>
              </w:rPr>
              <w:t>الدراسة الاستطلاعية</w:t>
            </w:r>
          </w:p>
        </w:tc>
        <w:tc>
          <w:tcPr>
            <w:tcW w:w="3200" w:type="dxa"/>
            <w:tcBorders>
              <w:top w:val="single" w:sz="4" w:space="0" w:color="999999"/>
              <w:left w:val="single" w:sz="4" w:space="0" w:color="999999"/>
              <w:bottom w:val="single" w:sz="4" w:space="0" w:color="999999"/>
              <w:right w:val="single" w:sz="4" w:space="0" w:color="999999"/>
            </w:tcBorders>
          </w:tcPr>
          <w:p w14:paraId="3D932B8D" w14:textId="77777777" w:rsidR="00EB5CBD" w:rsidRDefault="00EA4CEB" w:rsidP="008505AD">
            <w:pPr>
              <w:bidi/>
              <w:spacing w:after="60" w:line="320" w:lineRule="auto"/>
            </w:pPr>
            <w:r>
              <w:rPr>
                <w:sz w:val="21"/>
                <w:szCs w:val="21"/>
              </w:rPr>
              <w:t>تطبيق العينة الاستطلاعية (30 منشأة)، حساب الثبات الأولي، تعديل الأداة نهائيًا</w:t>
            </w:r>
          </w:p>
        </w:tc>
        <w:tc>
          <w:tcPr>
            <w:tcW w:w="2200" w:type="dxa"/>
            <w:tcBorders>
              <w:top w:val="single" w:sz="4" w:space="0" w:color="999999"/>
              <w:left w:val="single" w:sz="4" w:space="0" w:color="999999"/>
              <w:bottom w:val="single" w:sz="4" w:space="0" w:color="999999"/>
              <w:right w:val="single" w:sz="4" w:space="0" w:color="999999"/>
            </w:tcBorders>
          </w:tcPr>
          <w:p w14:paraId="51FA865B" w14:textId="77777777" w:rsidR="00EB5CBD" w:rsidRDefault="00EA4CEB" w:rsidP="008505AD">
            <w:pPr>
              <w:bidi/>
              <w:spacing w:after="60" w:line="320" w:lineRule="auto"/>
              <w:jc w:val="center"/>
            </w:pPr>
            <w:r>
              <w:rPr>
                <w:sz w:val="21"/>
                <w:szCs w:val="21"/>
              </w:rPr>
              <w:t>2 أسبوع</w:t>
            </w:r>
          </w:p>
        </w:tc>
      </w:tr>
      <w:tr w:rsidR="00EB5CBD" w14:paraId="3151996D"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2EEE8A31" w14:textId="77777777" w:rsidR="00EB5CBD" w:rsidRDefault="00EA4CEB" w:rsidP="008505AD">
            <w:pPr>
              <w:bidi/>
              <w:spacing w:after="60" w:line="320" w:lineRule="auto"/>
              <w:jc w:val="center"/>
            </w:pPr>
            <w:r>
              <w:rPr>
                <w:sz w:val="21"/>
                <w:szCs w:val="21"/>
              </w:rPr>
              <w:t>جمع البيانات الكمية</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10385897" w14:textId="77777777" w:rsidR="00EB5CBD" w:rsidRDefault="00EA4CEB" w:rsidP="008505AD">
            <w:pPr>
              <w:bidi/>
              <w:spacing w:after="60" w:line="320" w:lineRule="auto"/>
            </w:pPr>
            <w:r>
              <w:rPr>
                <w:sz w:val="21"/>
                <w:szCs w:val="21"/>
              </w:rPr>
              <w:t>توزيع الاستبيان الإلكتروني على العينة المستهدفة (300 منشأة) عبر الطبقات الموضحة في الفقرة 3.7.3</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5CAB43B7" w14:textId="77777777" w:rsidR="00EB5CBD" w:rsidRDefault="00EA4CEB" w:rsidP="008505AD">
            <w:pPr>
              <w:bidi/>
              <w:spacing w:after="60" w:line="320" w:lineRule="auto"/>
              <w:jc w:val="center"/>
            </w:pPr>
            <w:r>
              <w:rPr>
                <w:sz w:val="21"/>
                <w:szCs w:val="21"/>
              </w:rPr>
              <w:t>6 أسابيع</w:t>
            </w:r>
          </w:p>
        </w:tc>
      </w:tr>
      <w:tr w:rsidR="00EB5CBD" w14:paraId="64D5FD74" w14:textId="77777777">
        <w:tc>
          <w:tcPr>
            <w:tcW w:w="3600" w:type="dxa"/>
            <w:tcBorders>
              <w:top w:val="single" w:sz="4" w:space="0" w:color="999999"/>
              <w:left w:val="single" w:sz="4" w:space="0" w:color="999999"/>
              <w:bottom w:val="single" w:sz="4" w:space="0" w:color="999999"/>
              <w:right w:val="single" w:sz="4" w:space="0" w:color="999999"/>
            </w:tcBorders>
          </w:tcPr>
          <w:p w14:paraId="2277AB30" w14:textId="77777777" w:rsidR="00EB5CBD" w:rsidRDefault="00EA4CEB" w:rsidP="008505AD">
            <w:pPr>
              <w:bidi/>
              <w:spacing w:after="60" w:line="320" w:lineRule="auto"/>
              <w:jc w:val="center"/>
            </w:pPr>
            <w:r>
              <w:rPr>
                <w:sz w:val="21"/>
                <w:szCs w:val="21"/>
              </w:rPr>
              <w:t>تنظيف البيانات وتحليلها الأولي</w:t>
            </w:r>
          </w:p>
        </w:tc>
        <w:tc>
          <w:tcPr>
            <w:tcW w:w="3200" w:type="dxa"/>
            <w:tcBorders>
              <w:top w:val="single" w:sz="4" w:space="0" w:color="999999"/>
              <w:left w:val="single" w:sz="4" w:space="0" w:color="999999"/>
              <w:bottom w:val="single" w:sz="4" w:space="0" w:color="999999"/>
              <w:right w:val="single" w:sz="4" w:space="0" w:color="999999"/>
            </w:tcBorders>
          </w:tcPr>
          <w:p w14:paraId="63EF19F1" w14:textId="77777777" w:rsidR="00EB5CBD" w:rsidRDefault="00EA4CEB" w:rsidP="008505AD">
            <w:pPr>
              <w:bidi/>
              <w:spacing w:after="60" w:line="320" w:lineRule="auto"/>
            </w:pPr>
            <w:r>
              <w:rPr>
                <w:sz w:val="21"/>
                <w:szCs w:val="21"/>
              </w:rPr>
              <w:t>تطبيق إجراءات الفقرة 3.11، ثم تقييم نموذجي القياس والنموذج البنائي في SmartPLS</w:t>
            </w:r>
          </w:p>
        </w:tc>
        <w:tc>
          <w:tcPr>
            <w:tcW w:w="2200" w:type="dxa"/>
            <w:tcBorders>
              <w:top w:val="single" w:sz="4" w:space="0" w:color="999999"/>
              <w:left w:val="single" w:sz="4" w:space="0" w:color="999999"/>
              <w:bottom w:val="single" w:sz="4" w:space="0" w:color="999999"/>
              <w:right w:val="single" w:sz="4" w:space="0" w:color="999999"/>
            </w:tcBorders>
          </w:tcPr>
          <w:p w14:paraId="66C313A8" w14:textId="77777777" w:rsidR="00EB5CBD" w:rsidRDefault="00EA4CEB" w:rsidP="008505AD">
            <w:pPr>
              <w:bidi/>
              <w:spacing w:after="60" w:line="320" w:lineRule="auto"/>
              <w:jc w:val="center"/>
            </w:pPr>
            <w:r>
              <w:rPr>
                <w:sz w:val="21"/>
                <w:szCs w:val="21"/>
              </w:rPr>
              <w:t>5 أسابيع</w:t>
            </w:r>
          </w:p>
        </w:tc>
      </w:tr>
      <w:tr w:rsidR="00EB5CBD" w14:paraId="7BBF45E4"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00693ACA" w14:textId="77777777" w:rsidR="00EB5CBD" w:rsidRDefault="00EA4CEB" w:rsidP="008505AD">
            <w:pPr>
              <w:bidi/>
              <w:spacing w:after="60" w:line="320" w:lineRule="auto"/>
              <w:jc w:val="center"/>
            </w:pPr>
            <w:r>
              <w:rPr>
                <w:sz w:val="21"/>
                <w:szCs w:val="21"/>
              </w:rPr>
              <w:t>اختيار المشاركين في المقابلات وإعداد الدليل</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6000FD38" w14:textId="77777777" w:rsidR="00EB5CBD" w:rsidRDefault="00EA4CEB" w:rsidP="008505AD">
            <w:pPr>
              <w:bidi/>
              <w:spacing w:after="60" w:line="320" w:lineRule="auto"/>
            </w:pPr>
            <w:r>
              <w:rPr>
                <w:sz w:val="21"/>
                <w:szCs w:val="21"/>
              </w:rPr>
              <w:t>ترشيح المشاركين بناءً على النتائج الكمية، صياغة دليل المقابلة النهائي، إجراء المقابلات الاستطلاعية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20FF4322" w14:textId="77777777" w:rsidR="00EB5CBD" w:rsidRDefault="00EA4CEB" w:rsidP="008505AD">
            <w:pPr>
              <w:bidi/>
              <w:spacing w:after="60" w:line="320" w:lineRule="auto"/>
              <w:jc w:val="center"/>
            </w:pPr>
            <w:r>
              <w:rPr>
                <w:sz w:val="21"/>
                <w:szCs w:val="21"/>
              </w:rPr>
              <w:t>3 أسابيع</w:t>
            </w:r>
          </w:p>
        </w:tc>
      </w:tr>
      <w:tr w:rsidR="00EB5CBD" w14:paraId="2D7C761F" w14:textId="77777777">
        <w:tc>
          <w:tcPr>
            <w:tcW w:w="3600" w:type="dxa"/>
            <w:tcBorders>
              <w:top w:val="single" w:sz="4" w:space="0" w:color="999999"/>
              <w:left w:val="single" w:sz="4" w:space="0" w:color="999999"/>
              <w:bottom w:val="single" w:sz="4" w:space="0" w:color="999999"/>
              <w:right w:val="single" w:sz="4" w:space="0" w:color="999999"/>
            </w:tcBorders>
          </w:tcPr>
          <w:p w14:paraId="73E93429" w14:textId="77777777" w:rsidR="00EB5CBD" w:rsidRDefault="00EA4CEB" w:rsidP="008505AD">
            <w:pPr>
              <w:bidi/>
              <w:spacing w:after="60" w:line="320" w:lineRule="auto"/>
              <w:jc w:val="center"/>
            </w:pPr>
            <w:r>
              <w:rPr>
                <w:sz w:val="21"/>
                <w:szCs w:val="21"/>
              </w:rPr>
              <w:t>إجراء المقابلات</w:t>
            </w:r>
          </w:p>
        </w:tc>
        <w:tc>
          <w:tcPr>
            <w:tcW w:w="3200" w:type="dxa"/>
            <w:tcBorders>
              <w:top w:val="single" w:sz="4" w:space="0" w:color="999999"/>
              <w:left w:val="single" w:sz="4" w:space="0" w:color="999999"/>
              <w:bottom w:val="single" w:sz="4" w:space="0" w:color="999999"/>
              <w:right w:val="single" w:sz="4" w:space="0" w:color="999999"/>
            </w:tcBorders>
          </w:tcPr>
          <w:p w14:paraId="5482FE4E" w14:textId="77777777" w:rsidR="00EB5CBD" w:rsidRDefault="00EA4CEB" w:rsidP="008505AD">
            <w:pPr>
              <w:bidi/>
              <w:spacing w:after="60" w:line="320" w:lineRule="auto"/>
            </w:pPr>
            <w:r>
              <w:rPr>
                <w:sz w:val="21"/>
                <w:szCs w:val="21"/>
              </w:rPr>
              <w:t>تنفيذ 12-18 مقابلة حتى تحقق التشبع</w:t>
            </w:r>
          </w:p>
        </w:tc>
        <w:tc>
          <w:tcPr>
            <w:tcW w:w="2200" w:type="dxa"/>
            <w:tcBorders>
              <w:top w:val="single" w:sz="4" w:space="0" w:color="999999"/>
              <w:left w:val="single" w:sz="4" w:space="0" w:color="999999"/>
              <w:bottom w:val="single" w:sz="4" w:space="0" w:color="999999"/>
              <w:right w:val="single" w:sz="4" w:space="0" w:color="999999"/>
            </w:tcBorders>
          </w:tcPr>
          <w:p w14:paraId="4062E874" w14:textId="77777777" w:rsidR="00EB5CBD" w:rsidRDefault="00EA4CEB" w:rsidP="008505AD">
            <w:pPr>
              <w:bidi/>
              <w:spacing w:after="60" w:line="320" w:lineRule="auto"/>
              <w:jc w:val="center"/>
            </w:pPr>
            <w:r>
              <w:rPr>
                <w:sz w:val="21"/>
                <w:szCs w:val="21"/>
              </w:rPr>
              <w:t>6 أسابيع</w:t>
            </w:r>
          </w:p>
        </w:tc>
      </w:tr>
      <w:tr w:rsidR="00EB5CBD" w14:paraId="16BA685B"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1ACC3DC9" w14:textId="77777777" w:rsidR="00EB5CBD" w:rsidRDefault="00EA4CEB" w:rsidP="008505AD">
            <w:pPr>
              <w:bidi/>
              <w:spacing w:after="60" w:line="320" w:lineRule="auto"/>
              <w:jc w:val="center"/>
            </w:pPr>
            <w:r>
              <w:rPr>
                <w:sz w:val="21"/>
                <w:szCs w:val="21"/>
              </w:rPr>
              <w:t>تفريغ وتحليل المقابلات</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286AF62D" w14:textId="77777777" w:rsidR="00EB5CBD" w:rsidRDefault="00EA4CEB" w:rsidP="008505AD">
            <w:pPr>
              <w:bidi/>
              <w:spacing w:after="60" w:line="320" w:lineRule="auto"/>
            </w:pPr>
            <w:r>
              <w:rPr>
                <w:sz w:val="21"/>
                <w:szCs w:val="21"/>
              </w:rPr>
              <w:t>تفريغ التسجيلات، الترميز الأولي، مراجعة نظير، تحديد الموضوعات النهائية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2A72F1FE" w14:textId="77777777" w:rsidR="00EB5CBD" w:rsidRDefault="00EA4CEB" w:rsidP="008505AD">
            <w:pPr>
              <w:bidi/>
              <w:spacing w:after="60" w:line="320" w:lineRule="auto"/>
              <w:jc w:val="center"/>
            </w:pPr>
            <w:r>
              <w:rPr>
                <w:sz w:val="21"/>
                <w:szCs w:val="21"/>
              </w:rPr>
              <w:t>6 أسابيع</w:t>
            </w:r>
          </w:p>
        </w:tc>
      </w:tr>
      <w:tr w:rsidR="00EB5CBD" w14:paraId="44D67CC2" w14:textId="77777777">
        <w:tc>
          <w:tcPr>
            <w:tcW w:w="3600" w:type="dxa"/>
            <w:tcBorders>
              <w:top w:val="single" w:sz="4" w:space="0" w:color="999999"/>
              <w:left w:val="single" w:sz="4" w:space="0" w:color="999999"/>
              <w:bottom w:val="single" w:sz="4" w:space="0" w:color="999999"/>
              <w:right w:val="single" w:sz="4" w:space="0" w:color="999999"/>
            </w:tcBorders>
          </w:tcPr>
          <w:p w14:paraId="08421EB0" w14:textId="77777777" w:rsidR="00EB5CBD" w:rsidRDefault="00EA4CEB" w:rsidP="008505AD">
            <w:pPr>
              <w:bidi/>
              <w:spacing w:after="60" w:line="320" w:lineRule="auto"/>
              <w:jc w:val="center"/>
            </w:pPr>
            <w:r>
              <w:rPr>
                <w:sz w:val="21"/>
                <w:szCs w:val="21"/>
              </w:rPr>
              <w:t>دمج النتائج</w:t>
            </w:r>
          </w:p>
        </w:tc>
        <w:tc>
          <w:tcPr>
            <w:tcW w:w="3200" w:type="dxa"/>
            <w:tcBorders>
              <w:top w:val="single" w:sz="4" w:space="0" w:color="999999"/>
              <w:left w:val="single" w:sz="4" w:space="0" w:color="999999"/>
              <w:bottom w:val="single" w:sz="4" w:space="0" w:color="999999"/>
              <w:right w:val="single" w:sz="4" w:space="0" w:color="999999"/>
            </w:tcBorders>
          </w:tcPr>
          <w:p w14:paraId="6B9FFF2E" w14:textId="77777777" w:rsidR="00EB5CBD" w:rsidRDefault="00EA4CEB" w:rsidP="008505AD">
            <w:pPr>
              <w:bidi/>
              <w:spacing w:after="60" w:line="320" w:lineRule="auto"/>
            </w:pPr>
            <w:r>
              <w:rPr>
                <w:sz w:val="21"/>
                <w:szCs w:val="21"/>
              </w:rPr>
              <w:t>تطبيق إجراءات التكامل (الربط، البناء، الدمج، الجدول المشترك) الموضحة في الفقرة 3.14</w:t>
            </w:r>
          </w:p>
        </w:tc>
        <w:tc>
          <w:tcPr>
            <w:tcW w:w="2200" w:type="dxa"/>
            <w:tcBorders>
              <w:top w:val="single" w:sz="4" w:space="0" w:color="999999"/>
              <w:left w:val="single" w:sz="4" w:space="0" w:color="999999"/>
              <w:bottom w:val="single" w:sz="4" w:space="0" w:color="999999"/>
              <w:right w:val="single" w:sz="4" w:space="0" w:color="999999"/>
            </w:tcBorders>
          </w:tcPr>
          <w:p w14:paraId="740D7F38" w14:textId="77777777" w:rsidR="00EB5CBD" w:rsidRDefault="00EA4CEB" w:rsidP="008505AD">
            <w:pPr>
              <w:bidi/>
              <w:spacing w:after="60" w:line="320" w:lineRule="auto"/>
              <w:jc w:val="center"/>
            </w:pPr>
            <w:r>
              <w:rPr>
                <w:sz w:val="21"/>
                <w:szCs w:val="21"/>
              </w:rPr>
              <w:t>3 أسابيع</w:t>
            </w:r>
          </w:p>
        </w:tc>
      </w:tr>
      <w:tr w:rsidR="00EB5CBD" w14:paraId="445B36CE" w14:textId="77777777">
        <w:tc>
          <w:tcPr>
            <w:tcW w:w="3600" w:type="dxa"/>
            <w:tcBorders>
              <w:top w:val="single" w:sz="4" w:space="0" w:color="999999"/>
              <w:left w:val="single" w:sz="4" w:space="0" w:color="999999"/>
              <w:bottom w:val="single" w:sz="4" w:space="0" w:color="999999"/>
              <w:right w:val="single" w:sz="4" w:space="0" w:color="999999"/>
            </w:tcBorders>
            <w:shd w:val="clear" w:color="auto" w:fill="F2F2F2"/>
          </w:tcPr>
          <w:p w14:paraId="737CEA3A" w14:textId="77777777" w:rsidR="00EB5CBD" w:rsidRDefault="00EA4CEB" w:rsidP="008505AD">
            <w:pPr>
              <w:bidi/>
              <w:spacing w:after="60" w:line="320" w:lineRule="auto"/>
              <w:jc w:val="center"/>
            </w:pPr>
            <w:r>
              <w:rPr>
                <w:sz w:val="21"/>
                <w:szCs w:val="21"/>
              </w:rPr>
              <w:t>كتابة الفصل النهائي (نتائج ومناقشة)</w:t>
            </w:r>
          </w:p>
        </w:tc>
        <w:tc>
          <w:tcPr>
            <w:tcW w:w="3200" w:type="dxa"/>
            <w:tcBorders>
              <w:top w:val="single" w:sz="4" w:space="0" w:color="999999"/>
              <w:left w:val="single" w:sz="4" w:space="0" w:color="999999"/>
              <w:bottom w:val="single" w:sz="4" w:space="0" w:color="999999"/>
              <w:right w:val="single" w:sz="4" w:space="0" w:color="999999"/>
            </w:tcBorders>
            <w:shd w:val="clear" w:color="auto" w:fill="F2F2F2"/>
          </w:tcPr>
          <w:p w14:paraId="1A32A56A" w14:textId="77777777" w:rsidR="00EB5CBD" w:rsidRDefault="00EA4CEB" w:rsidP="008505AD">
            <w:pPr>
              <w:bidi/>
              <w:spacing w:after="60" w:line="320" w:lineRule="auto"/>
            </w:pPr>
            <w:r>
              <w:rPr>
                <w:sz w:val="21"/>
                <w:szCs w:val="21"/>
              </w:rPr>
              <w:t>صياغة فصول النتائج والمناقشة بناءً على النتائج المتكاملة</w:t>
            </w:r>
          </w:p>
        </w:tc>
        <w:tc>
          <w:tcPr>
            <w:tcW w:w="2200" w:type="dxa"/>
            <w:tcBorders>
              <w:top w:val="single" w:sz="4" w:space="0" w:color="999999"/>
              <w:left w:val="single" w:sz="4" w:space="0" w:color="999999"/>
              <w:bottom w:val="single" w:sz="4" w:space="0" w:color="999999"/>
              <w:right w:val="single" w:sz="4" w:space="0" w:color="999999"/>
            </w:tcBorders>
            <w:shd w:val="clear" w:color="auto" w:fill="F2F2F2"/>
          </w:tcPr>
          <w:p w14:paraId="24008E2E" w14:textId="77777777" w:rsidR="00EB5CBD" w:rsidRDefault="00EA4CEB" w:rsidP="008505AD">
            <w:pPr>
              <w:bidi/>
              <w:spacing w:after="60" w:line="320" w:lineRule="auto"/>
              <w:jc w:val="center"/>
            </w:pPr>
            <w:r>
              <w:rPr>
                <w:sz w:val="21"/>
                <w:szCs w:val="21"/>
              </w:rPr>
              <w:t>5 أسابيع</w:t>
            </w:r>
          </w:p>
        </w:tc>
      </w:tr>
    </w:tbl>
    <w:p w14:paraId="7A524A3C" w14:textId="77777777" w:rsidR="00EB5CBD" w:rsidRDefault="00EB5CBD">
      <w:pPr>
        <w:spacing w:after="160"/>
      </w:pPr>
    </w:p>
    <w:p w14:paraId="41F6D1FD" w14:textId="77777777" w:rsidR="00EB5CBD" w:rsidRDefault="00EA4CEB">
      <w:pPr>
        <w:bidi/>
        <w:spacing w:after="160" w:line="320" w:lineRule="auto"/>
        <w:jc w:val="both"/>
        <w:rPr>
          <w:rFonts w:hint="cs"/>
        </w:rPr>
      </w:pPr>
      <w:r>
        <w:t>المدة الإجمالية التقديرية لتنفيذ ما ورد في هذا الفصل نحو 44 أسبوعًا (حوالي عشرة أشهر ونصف)، وقد تتغير هذه المدد بحسب سرعة الحصول على الموافقات ونسبة الاستجابة الفعلية.</w:t>
      </w:r>
    </w:p>
    <w:p w14:paraId="5E4AB066" w14:textId="77777777" w:rsidR="00EA4CEB" w:rsidRDefault="00EA4CEB" w:rsidP="00EA4CEB">
      <w:pPr>
        <w:bidi/>
        <w:spacing w:after="160" w:line="320" w:lineRule="auto"/>
        <w:jc w:val="both"/>
        <w:rPr>
          <w:rFonts w:hint="cs"/>
        </w:rPr>
      </w:pPr>
    </w:p>
    <w:p w14:paraId="725E1451" w14:textId="77777777" w:rsidR="00EA4CEB" w:rsidRDefault="00EA4CEB" w:rsidP="00EA4CEB">
      <w:pPr>
        <w:bidi/>
        <w:spacing w:after="160" w:line="320" w:lineRule="auto"/>
        <w:jc w:val="both"/>
        <w:rPr>
          <w:rFonts w:hint="cs"/>
        </w:rPr>
      </w:pPr>
    </w:p>
    <w:p w14:paraId="1E3E4A69" w14:textId="77777777" w:rsidR="00EA4CEB" w:rsidRDefault="00EA4CEB" w:rsidP="00EA4CEB">
      <w:pPr>
        <w:bidi/>
        <w:spacing w:after="160" w:line="320" w:lineRule="auto"/>
        <w:jc w:val="both"/>
      </w:pPr>
    </w:p>
    <w:p w14:paraId="34E2A9DB" w14:textId="77777777" w:rsidR="00EB5CBD" w:rsidRDefault="00EA4CEB" w:rsidP="007E709B">
      <w:pPr>
        <w:bidi/>
        <w:spacing w:after="160" w:line="320" w:lineRule="auto"/>
      </w:pPr>
      <w:r>
        <w:rPr>
          <w:b/>
          <w:bCs/>
          <w:sz w:val="28"/>
          <w:szCs w:val="28"/>
        </w:rPr>
        <w:t>‏3.19 خلاصة الفصل</w:t>
      </w:r>
    </w:p>
    <w:p w14:paraId="769B1351" w14:textId="77777777" w:rsidR="00EB5CBD" w:rsidRDefault="00EA4CEB">
      <w:pPr>
        <w:bidi/>
        <w:spacing w:after="160" w:line="320" w:lineRule="auto"/>
        <w:jc w:val="both"/>
      </w:pPr>
      <w:r>
        <w:t>استعرض هذا الفصل خطة العمل المنهجي الكاملة للدراسة: اعتماد المنهج المختلط التفسيري المتتابع بتصميم تفصيلي مكوّن من تسع خطوات مترابطة، ومجتمع دراسة موثق من مصدره الرسمي، وعينة كمية مستهدفة قوامها 300 منشأة موزعة حصصيًا على القطاعات والمدن ومبررة بتحليل قوة إحصائية مسبق، وأداتي جمع بيانات (استبيان مُحكَّم ومُختبَر استطلاعيًا، ومقابلات شبه منظمة مبنية على النتائج الكمية)، وإجراءات صارمة لتنظيف البيانات والتحقق من جودتها قبل التحليل. اعتمد التحليل الكمي على PLS-SEM عبر SmartPLS بمعايير تقييم متكاملة لنموذجي القياس والبناء، مع اختبار ثبات القياس (MICOM) قبل أي مقارنة بين مجموعات، وتصنيف دقيق لأنماط الوساطة الخمسة وفق منهجية Zhao et al. (2010). استُكمل ذلك بتحليل موضوعي انعكاسي للبيانات النوعية مدعوم بإجراءات موثوقية واضحة، وبإجراءات محددة لدمج النتائج الكمية والنوعية في استنتاجات متكاملة. روعيت طوال الفصل الاعتبارات الأخلاقية للبحث مع مشاركين بشريين، من الموافقة المستنيرة إلى حفظ البيانات وإتلافها. يمهّد هذا الإطار المنهجي للفصل الرابع الذي سيعرض نتائج التحليلين الكمي والنوعي وتكاملهما.</w:t>
      </w:r>
    </w:p>
    <w:p w14:paraId="364105AF" w14:textId="77777777" w:rsidR="00EB5CBD" w:rsidRDefault="00EA4CEB">
      <w:r>
        <w:br w:type="page"/>
      </w:r>
    </w:p>
    <w:p w14:paraId="7783DCC4" w14:textId="77777777" w:rsidR="00EB5CBD" w:rsidRDefault="00EA4CEB" w:rsidP="007E709B">
      <w:pPr>
        <w:bidi/>
        <w:spacing w:after="160" w:line="320" w:lineRule="auto"/>
      </w:pPr>
      <w:r>
        <w:rPr>
          <w:b/>
          <w:bCs/>
          <w:sz w:val="28"/>
          <w:szCs w:val="28"/>
        </w:rPr>
        <w:t>‏المراجع</w:t>
      </w:r>
    </w:p>
    <w:p w14:paraId="1880FCFB" w14:textId="3AFCFEE1" w:rsidR="00414570" w:rsidRDefault="00414570" w:rsidP="00414570">
      <w:pPr>
        <w:pStyle w:val="ListParagraph"/>
        <w:numPr>
          <w:ilvl w:val="0"/>
          <w:numId w:val="6"/>
        </w:numPr>
        <w:jc w:val="both"/>
        <w:rPr>
          <w:rFonts w:hint="cs"/>
          <w:rtl w:val="0"/>
        </w:rPr>
      </w:pPr>
      <w:r>
        <w:rPr>
          <w:rtl w:val="0"/>
        </w:rPr>
        <w:t xml:space="preserve">Baron, R. M., &amp; Kenny, D. A. (1986). The moderator-mediator variable distinction in social psychological research: Conceptual, strategic, and statistical considerations. Journal of Personality and Social Psychology, 51(6), 1173-1182. </w:t>
      </w:r>
      <w:hyperlink r:id="rId6" w:history="1">
        <w:r w:rsidRPr="003870FE">
          <w:rPr>
            <w:rStyle w:val="Hyperlink"/>
            <w:rtl w:val="0"/>
          </w:rPr>
          <w:t>https://doi.org/10.1037/0022-3514.51.6.1173</w:t>
        </w:r>
      </w:hyperlink>
    </w:p>
    <w:p w14:paraId="2775DCD0" w14:textId="77777777" w:rsidR="00414570" w:rsidRDefault="00414570" w:rsidP="00414570">
      <w:pPr>
        <w:ind w:left="360"/>
        <w:jc w:val="both"/>
        <w:rPr>
          <w:rtl w:val="0"/>
        </w:rPr>
      </w:pPr>
    </w:p>
    <w:p w14:paraId="6FA4D0CE" w14:textId="50D6D5FD" w:rsidR="00414570" w:rsidRDefault="00414570" w:rsidP="00414570">
      <w:pPr>
        <w:pStyle w:val="ListParagraph"/>
        <w:numPr>
          <w:ilvl w:val="0"/>
          <w:numId w:val="6"/>
        </w:numPr>
        <w:jc w:val="both"/>
        <w:rPr>
          <w:rFonts w:hint="cs"/>
          <w:rtl w:val="0"/>
        </w:rPr>
      </w:pPr>
      <w:r>
        <w:rPr>
          <w:rtl w:val="0"/>
        </w:rPr>
        <w:t xml:space="preserve">Braun, V., &amp; Clarke, V. (2006). Using thematic analysis in psychology. Qualitative Research in Psychology, 3(2), 77-101. </w:t>
      </w:r>
      <w:hyperlink r:id="rId7" w:history="1">
        <w:r w:rsidRPr="003870FE">
          <w:rPr>
            <w:rStyle w:val="Hyperlink"/>
            <w:rtl w:val="0"/>
          </w:rPr>
          <w:t>https://doi.org/10.1191/1478088706qp063oa</w:t>
        </w:r>
      </w:hyperlink>
    </w:p>
    <w:p w14:paraId="5CDC3A07" w14:textId="77777777" w:rsidR="00414570" w:rsidRDefault="00414570" w:rsidP="00414570">
      <w:pPr>
        <w:pStyle w:val="ListParagraph"/>
        <w:rPr>
          <w:rtl w:val="0"/>
        </w:rPr>
      </w:pPr>
    </w:p>
    <w:p w14:paraId="01C23363" w14:textId="5A0B54E8" w:rsidR="00414570" w:rsidRDefault="00414570" w:rsidP="00414570">
      <w:pPr>
        <w:pStyle w:val="ListParagraph"/>
        <w:numPr>
          <w:ilvl w:val="0"/>
          <w:numId w:val="6"/>
        </w:numPr>
        <w:jc w:val="both"/>
        <w:rPr>
          <w:rFonts w:hint="cs"/>
          <w:rtl w:val="0"/>
        </w:rPr>
      </w:pPr>
      <w:r>
        <w:rPr>
          <w:rtl w:val="0"/>
        </w:rPr>
        <w:t xml:space="preserve">Braun, V., &amp; Clarke, V. (2019). Reflecting on reflexive thematic analysis. Qualitative Research in Sport, Exercise and Health, 11(4), 589-597. </w:t>
      </w:r>
      <w:hyperlink r:id="rId8" w:history="1">
        <w:r w:rsidRPr="003870FE">
          <w:rPr>
            <w:rStyle w:val="Hyperlink"/>
            <w:rtl w:val="0"/>
          </w:rPr>
          <w:t>https://doi.org/10.1080/2159676X.2019.1628806</w:t>
        </w:r>
      </w:hyperlink>
    </w:p>
    <w:p w14:paraId="7FC51C1F" w14:textId="77777777" w:rsidR="00414570" w:rsidRDefault="00414570" w:rsidP="00414570">
      <w:pPr>
        <w:pStyle w:val="ListParagraph"/>
        <w:rPr>
          <w:rtl w:val="0"/>
        </w:rPr>
      </w:pPr>
    </w:p>
    <w:p w14:paraId="5676492B" w14:textId="14E3A5E1" w:rsidR="00414570" w:rsidRDefault="00414570" w:rsidP="00414570">
      <w:pPr>
        <w:pStyle w:val="ListParagraph"/>
        <w:numPr>
          <w:ilvl w:val="0"/>
          <w:numId w:val="6"/>
        </w:numPr>
        <w:jc w:val="both"/>
        <w:rPr>
          <w:rtl w:val="0"/>
        </w:rPr>
      </w:pPr>
      <w:r>
        <w:rPr>
          <w:rtl w:val="0"/>
        </w:rPr>
        <w:t xml:space="preserve">Chaffey, D., &amp; Ellis-Chadwick, F. (2019). Digital marketing: Strategy, implementation and practice (7th </w:t>
      </w:r>
      <w:proofErr w:type="gramStart"/>
      <w:r>
        <w:rPr>
          <w:rtl w:val="0"/>
        </w:rPr>
        <w:t>ed</w:t>
      </w:r>
      <w:proofErr w:type="gramEnd"/>
      <w:r>
        <w:rPr>
          <w:rtl w:val="0"/>
        </w:rPr>
        <w:t>.). Pearson.</w:t>
      </w:r>
    </w:p>
    <w:p w14:paraId="12E1CC44" w14:textId="77777777" w:rsidR="00414570" w:rsidRDefault="00414570" w:rsidP="00414570">
      <w:pPr>
        <w:ind w:left="360"/>
        <w:jc w:val="both"/>
        <w:rPr>
          <w:rtl w:val="0"/>
        </w:rPr>
      </w:pPr>
    </w:p>
    <w:p w14:paraId="7B6617C7" w14:textId="5C937B2D" w:rsidR="00414570" w:rsidRDefault="00414570" w:rsidP="00414570">
      <w:pPr>
        <w:pStyle w:val="ListParagraph"/>
        <w:numPr>
          <w:ilvl w:val="0"/>
          <w:numId w:val="6"/>
        </w:numPr>
        <w:jc w:val="both"/>
        <w:rPr>
          <w:rtl w:val="0"/>
        </w:rPr>
      </w:pPr>
      <w:r>
        <w:rPr>
          <w:rtl w:val="0"/>
        </w:rPr>
        <w:t xml:space="preserve">Cohen, J. (1988). Statistical power analysis for the behavioral sciences (2nd </w:t>
      </w:r>
      <w:proofErr w:type="gramStart"/>
      <w:r>
        <w:rPr>
          <w:rtl w:val="0"/>
        </w:rPr>
        <w:t>ed</w:t>
      </w:r>
      <w:proofErr w:type="gramEnd"/>
      <w:r>
        <w:rPr>
          <w:rtl w:val="0"/>
        </w:rPr>
        <w:t>.). Lawrence Erlbaum Associates.</w:t>
      </w:r>
    </w:p>
    <w:p w14:paraId="16AB2DA6" w14:textId="77777777" w:rsidR="00414570" w:rsidRDefault="00414570" w:rsidP="00414570">
      <w:pPr>
        <w:ind w:left="360"/>
        <w:jc w:val="both"/>
        <w:rPr>
          <w:rtl w:val="0"/>
        </w:rPr>
      </w:pPr>
    </w:p>
    <w:p w14:paraId="4002F2A0" w14:textId="49C284D7" w:rsidR="00414570" w:rsidRDefault="00414570" w:rsidP="00414570">
      <w:pPr>
        <w:pStyle w:val="ListParagraph"/>
        <w:numPr>
          <w:ilvl w:val="0"/>
          <w:numId w:val="6"/>
        </w:numPr>
        <w:jc w:val="both"/>
        <w:rPr>
          <w:rtl w:val="0"/>
        </w:rPr>
      </w:pPr>
      <w:r>
        <w:rPr>
          <w:rtl w:val="0"/>
        </w:rPr>
        <w:t xml:space="preserve">Creswell, J. W., &amp; Plano Clark, V. L. (2018). Designing and conducting mixed methods research (3rd </w:t>
      </w:r>
      <w:proofErr w:type="gramStart"/>
      <w:r>
        <w:rPr>
          <w:rtl w:val="0"/>
        </w:rPr>
        <w:t>ed</w:t>
      </w:r>
      <w:proofErr w:type="gramEnd"/>
      <w:r>
        <w:rPr>
          <w:rtl w:val="0"/>
        </w:rPr>
        <w:t>.). SAGE Publications.</w:t>
      </w:r>
    </w:p>
    <w:p w14:paraId="4C22BC3E" w14:textId="77777777" w:rsidR="00414570" w:rsidRDefault="00414570" w:rsidP="00414570">
      <w:pPr>
        <w:ind w:left="360"/>
        <w:jc w:val="both"/>
        <w:rPr>
          <w:rtl w:val="0"/>
        </w:rPr>
      </w:pPr>
    </w:p>
    <w:p w14:paraId="6B9C6160" w14:textId="79622E54" w:rsidR="00414570" w:rsidRDefault="00414570" w:rsidP="00414570">
      <w:pPr>
        <w:pStyle w:val="ListParagraph"/>
        <w:numPr>
          <w:ilvl w:val="0"/>
          <w:numId w:val="6"/>
        </w:numPr>
        <w:jc w:val="both"/>
        <w:rPr>
          <w:rFonts w:hint="cs"/>
          <w:rtl w:val="0"/>
        </w:rPr>
      </w:pPr>
      <w:r>
        <w:rPr>
          <w:rtl w:val="0"/>
        </w:rPr>
        <w:t xml:space="preserve">Davis, F. D. (1989). Perceived usefulness, perceived ease of use, and user acceptance of information technology. MIS Quarterly, 13(3), 319-340. </w:t>
      </w:r>
      <w:hyperlink r:id="rId9" w:history="1">
        <w:r w:rsidRPr="003870FE">
          <w:rPr>
            <w:rStyle w:val="Hyperlink"/>
            <w:rtl w:val="0"/>
          </w:rPr>
          <w:t>https://doi.org/10.2307/249008</w:t>
        </w:r>
        <w:r w:rsidRPr="003870FE">
          <w:rPr>
            <w:rStyle w:val="Hyperlink"/>
            <w:rFonts w:hint="cs"/>
          </w:rPr>
          <w:t>6</w:t>
        </w:r>
      </w:hyperlink>
    </w:p>
    <w:p w14:paraId="469855DC" w14:textId="77777777" w:rsidR="00414570" w:rsidRDefault="00414570" w:rsidP="00414570">
      <w:pPr>
        <w:pStyle w:val="ListParagraph"/>
        <w:rPr>
          <w:rtl w:val="0"/>
        </w:rPr>
      </w:pPr>
    </w:p>
    <w:p w14:paraId="51FDB4E9" w14:textId="142840EB" w:rsidR="00414570" w:rsidRDefault="00414570" w:rsidP="00414570">
      <w:pPr>
        <w:pStyle w:val="ListParagraph"/>
        <w:numPr>
          <w:ilvl w:val="0"/>
          <w:numId w:val="6"/>
        </w:numPr>
        <w:jc w:val="both"/>
        <w:rPr>
          <w:rFonts w:hint="cs"/>
          <w:rtl w:val="0"/>
        </w:rPr>
      </w:pPr>
      <w:proofErr w:type="spellStart"/>
      <w:r>
        <w:rPr>
          <w:rtl w:val="0"/>
        </w:rPr>
        <w:t>Fornell</w:t>
      </w:r>
      <w:proofErr w:type="spellEnd"/>
      <w:r>
        <w:rPr>
          <w:rtl w:val="0"/>
        </w:rPr>
        <w:t xml:space="preserve">, C., &amp; </w:t>
      </w:r>
      <w:proofErr w:type="spellStart"/>
      <w:r>
        <w:rPr>
          <w:rtl w:val="0"/>
        </w:rPr>
        <w:t>Larcker</w:t>
      </w:r>
      <w:proofErr w:type="spellEnd"/>
      <w:r>
        <w:rPr>
          <w:rtl w:val="0"/>
        </w:rPr>
        <w:t xml:space="preserve">, D. F. (1981). Evaluating structural equation models with unobservable variables and measurement error. Journal of Marketing Research, 18(1), 39-50. </w:t>
      </w:r>
      <w:hyperlink r:id="rId10" w:history="1">
        <w:r w:rsidRPr="003870FE">
          <w:rPr>
            <w:rStyle w:val="Hyperlink"/>
            <w:rtl w:val="0"/>
          </w:rPr>
          <w:t>https://doi.org/10.2307/3151312</w:t>
        </w:r>
      </w:hyperlink>
    </w:p>
    <w:p w14:paraId="674F43B9" w14:textId="77777777" w:rsidR="00414570" w:rsidRDefault="00414570" w:rsidP="00414570">
      <w:pPr>
        <w:pStyle w:val="ListParagraph"/>
        <w:rPr>
          <w:rtl w:val="0"/>
        </w:rPr>
      </w:pPr>
    </w:p>
    <w:p w14:paraId="0D46079C" w14:textId="56BBFAB6" w:rsidR="00414570" w:rsidRDefault="00414570" w:rsidP="00414570">
      <w:pPr>
        <w:pStyle w:val="ListParagraph"/>
        <w:numPr>
          <w:ilvl w:val="0"/>
          <w:numId w:val="6"/>
        </w:numPr>
        <w:jc w:val="both"/>
        <w:rPr>
          <w:rtl w:val="0"/>
        </w:rPr>
      </w:pPr>
      <w:r>
        <w:rPr>
          <w:rtl w:val="0"/>
        </w:rPr>
        <w:t xml:space="preserve">Hair, J. F., </w:t>
      </w:r>
      <w:proofErr w:type="spellStart"/>
      <w:r>
        <w:rPr>
          <w:rtl w:val="0"/>
        </w:rPr>
        <w:t>Hult</w:t>
      </w:r>
      <w:proofErr w:type="spellEnd"/>
      <w:r>
        <w:rPr>
          <w:rtl w:val="0"/>
        </w:rPr>
        <w:t xml:space="preserve">, G. T. M., </w:t>
      </w:r>
      <w:proofErr w:type="spellStart"/>
      <w:r>
        <w:rPr>
          <w:rtl w:val="0"/>
        </w:rPr>
        <w:t>Ringle</w:t>
      </w:r>
      <w:proofErr w:type="spellEnd"/>
      <w:r>
        <w:rPr>
          <w:rtl w:val="0"/>
        </w:rPr>
        <w:t xml:space="preserve">, C. M., &amp; </w:t>
      </w:r>
      <w:proofErr w:type="spellStart"/>
      <w:r>
        <w:rPr>
          <w:rtl w:val="0"/>
        </w:rPr>
        <w:t>Sarstedt</w:t>
      </w:r>
      <w:proofErr w:type="spellEnd"/>
      <w:r>
        <w:rPr>
          <w:rtl w:val="0"/>
        </w:rPr>
        <w:t xml:space="preserve">, M. (2022). A primer on partial least squares structural equation modeling (PLS-SEM) (3rd </w:t>
      </w:r>
      <w:proofErr w:type="gramStart"/>
      <w:r>
        <w:rPr>
          <w:rtl w:val="0"/>
        </w:rPr>
        <w:t>ed</w:t>
      </w:r>
      <w:proofErr w:type="gramEnd"/>
      <w:r>
        <w:rPr>
          <w:rtl w:val="0"/>
        </w:rPr>
        <w:t>.). SAGE Publications.</w:t>
      </w:r>
    </w:p>
    <w:p w14:paraId="529EA238" w14:textId="77777777" w:rsidR="00414570" w:rsidRDefault="00414570" w:rsidP="00414570">
      <w:pPr>
        <w:ind w:left="360"/>
        <w:jc w:val="both"/>
        <w:rPr>
          <w:rtl w:val="0"/>
        </w:rPr>
      </w:pPr>
    </w:p>
    <w:p w14:paraId="2AC2212D" w14:textId="4793763E" w:rsidR="00414570" w:rsidRDefault="00414570" w:rsidP="00414570">
      <w:pPr>
        <w:pStyle w:val="ListParagraph"/>
        <w:numPr>
          <w:ilvl w:val="0"/>
          <w:numId w:val="6"/>
        </w:numPr>
        <w:jc w:val="both"/>
        <w:rPr>
          <w:rFonts w:hint="cs"/>
          <w:rtl w:val="0"/>
        </w:rPr>
      </w:pPr>
      <w:r>
        <w:rPr>
          <w:rtl w:val="0"/>
        </w:rPr>
        <w:t xml:space="preserve">Hair, J. F., </w:t>
      </w:r>
      <w:proofErr w:type="spellStart"/>
      <w:r>
        <w:rPr>
          <w:rtl w:val="0"/>
        </w:rPr>
        <w:t>Risher</w:t>
      </w:r>
      <w:proofErr w:type="spellEnd"/>
      <w:r>
        <w:rPr>
          <w:rtl w:val="0"/>
        </w:rPr>
        <w:t xml:space="preserve">, J. J., </w:t>
      </w:r>
      <w:proofErr w:type="spellStart"/>
      <w:r>
        <w:rPr>
          <w:rtl w:val="0"/>
        </w:rPr>
        <w:t>Sarstedt</w:t>
      </w:r>
      <w:proofErr w:type="spellEnd"/>
      <w:r>
        <w:rPr>
          <w:rtl w:val="0"/>
        </w:rPr>
        <w:t xml:space="preserve">, M., &amp; </w:t>
      </w:r>
      <w:proofErr w:type="spellStart"/>
      <w:r>
        <w:rPr>
          <w:rtl w:val="0"/>
        </w:rPr>
        <w:t>Ringle</w:t>
      </w:r>
      <w:proofErr w:type="spellEnd"/>
      <w:r>
        <w:rPr>
          <w:rtl w:val="0"/>
        </w:rPr>
        <w:t xml:space="preserve">, C. M. (2019). When to use and how to report the results of PLS-SEM. European Business Review, 31(1), 2-24. </w:t>
      </w:r>
      <w:hyperlink r:id="rId11" w:history="1">
        <w:r w:rsidRPr="003870FE">
          <w:rPr>
            <w:rStyle w:val="Hyperlink"/>
            <w:rtl w:val="0"/>
          </w:rPr>
          <w:t>https://doi.org/10.1108/EBR-11-2018-0203</w:t>
        </w:r>
      </w:hyperlink>
    </w:p>
    <w:p w14:paraId="7F2C152A" w14:textId="77777777" w:rsidR="00414570" w:rsidRDefault="00414570" w:rsidP="00414570">
      <w:pPr>
        <w:pStyle w:val="ListParagraph"/>
        <w:rPr>
          <w:rtl w:val="0"/>
        </w:rPr>
      </w:pPr>
    </w:p>
    <w:p w14:paraId="5B26DFA8" w14:textId="0A49A9FF" w:rsidR="00414570" w:rsidRDefault="00414570" w:rsidP="00414570">
      <w:pPr>
        <w:pStyle w:val="ListParagraph"/>
        <w:numPr>
          <w:ilvl w:val="0"/>
          <w:numId w:val="6"/>
        </w:numPr>
        <w:jc w:val="both"/>
        <w:rPr>
          <w:rFonts w:hint="cs"/>
          <w:rtl w:val="0"/>
        </w:rPr>
      </w:pPr>
      <w:proofErr w:type="spellStart"/>
      <w:r>
        <w:rPr>
          <w:rtl w:val="0"/>
        </w:rPr>
        <w:t>Henseler</w:t>
      </w:r>
      <w:proofErr w:type="spellEnd"/>
      <w:r>
        <w:rPr>
          <w:rtl w:val="0"/>
        </w:rPr>
        <w:t xml:space="preserve">, J., </w:t>
      </w:r>
      <w:proofErr w:type="spellStart"/>
      <w:r>
        <w:rPr>
          <w:rtl w:val="0"/>
        </w:rPr>
        <w:t>Ringle</w:t>
      </w:r>
      <w:proofErr w:type="spellEnd"/>
      <w:r>
        <w:rPr>
          <w:rtl w:val="0"/>
        </w:rPr>
        <w:t xml:space="preserve">, C. M., &amp; </w:t>
      </w:r>
      <w:proofErr w:type="spellStart"/>
      <w:r>
        <w:rPr>
          <w:rtl w:val="0"/>
        </w:rPr>
        <w:t>Sarstedt</w:t>
      </w:r>
      <w:proofErr w:type="spellEnd"/>
      <w:r>
        <w:rPr>
          <w:rtl w:val="0"/>
        </w:rPr>
        <w:t xml:space="preserve">, M. (2015). A new criterion for assessing discriminant validity in variance-based structural equation modeling. Journal of the Academy of Marketing Science, 43(1), 115-135. </w:t>
      </w:r>
      <w:hyperlink r:id="rId12" w:history="1">
        <w:r w:rsidRPr="003870FE">
          <w:rPr>
            <w:rStyle w:val="Hyperlink"/>
            <w:rtl w:val="0"/>
          </w:rPr>
          <w:t>https://doi.org/10.1007/s11747-014-0403-8</w:t>
        </w:r>
      </w:hyperlink>
    </w:p>
    <w:p w14:paraId="470B4FDD" w14:textId="77777777" w:rsidR="00414570" w:rsidRPr="00414570" w:rsidRDefault="00414570" w:rsidP="00414570">
      <w:pPr>
        <w:pStyle w:val="ListParagraph"/>
        <w:rPr>
          <w:sz w:val="18"/>
          <w:szCs w:val="18"/>
          <w:rtl w:val="0"/>
        </w:rPr>
      </w:pPr>
    </w:p>
    <w:p w14:paraId="414CCA38" w14:textId="06119E7F" w:rsidR="00414570" w:rsidRDefault="00414570" w:rsidP="00414570">
      <w:pPr>
        <w:pStyle w:val="ListParagraph"/>
        <w:numPr>
          <w:ilvl w:val="0"/>
          <w:numId w:val="6"/>
        </w:numPr>
        <w:jc w:val="both"/>
        <w:rPr>
          <w:rFonts w:hint="cs"/>
          <w:rtl w:val="0"/>
        </w:rPr>
      </w:pPr>
      <w:proofErr w:type="spellStart"/>
      <w:r>
        <w:rPr>
          <w:rtl w:val="0"/>
        </w:rPr>
        <w:t>Henseler</w:t>
      </w:r>
      <w:proofErr w:type="spellEnd"/>
      <w:r>
        <w:rPr>
          <w:rtl w:val="0"/>
        </w:rPr>
        <w:t xml:space="preserve">, J., </w:t>
      </w:r>
      <w:proofErr w:type="spellStart"/>
      <w:r>
        <w:rPr>
          <w:rtl w:val="0"/>
        </w:rPr>
        <w:t>Ringle</w:t>
      </w:r>
      <w:proofErr w:type="spellEnd"/>
      <w:r>
        <w:rPr>
          <w:rtl w:val="0"/>
        </w:rPr>
        <w:t xml:space="preserve">, C. M., &amp; </w:t>
      </w:r>
      <w:proofErr w:type="spellStart"/>
      <w:r>
        <w:rPr>
          <w:rtl w:val="0"/>
        </w:rPr>
        <w:t>Sarstedt</w:t>
      </w:r>
      <w:proofErr w:type="spellEnd"/>
      <w:r>
        <w:rPr>
          <w:rtl w:val="0"/>
        </w:rPr>
        <w:t xml:space="preserve">, M. (2016). Testing measurement invariance of composites using partial least squares. International Marketing Review, 33(3), 405-431. </w:t>
      </w:r>
      <w:hyperlink r:id="rId13" w:history="1">
        <w:r w:rsidRPr="003870FE">
          <w:rPr>
            <w:rStyle w:val="Hyperlink"/>
            <w:rtl w:val="0"/>
          </w:rPr>
          <w:t>https://doi.org/10.1108/IMR-09-2014-0304</w:t>
        </w:r>
      </w:hyperlink>
    </w:p>
    <w:p w14:paraId="6CFA1878" w14:textId="77777777" w:rsidR="00414570" w:rsidRPr="00414570" w:rsidRDefault="00414570" w:rsidP="00414570">
      <w:pPr>
        <w:pStyle w:val="ListParagraph"/>
        <w:rPr>
          <w:sz w:val="18"/>
          <w:szCs w:val="18"/>
          <w:rtl w:val="0"/>
        </w:rPr>
      </w:pPr>
    </w:p>
    <w:p w14:paraId="45DEF793" w14:textId="503A2B77" w:rsidR="00414570" w:rsidRDefault="00414570" w:rsidP="00414570">
      <w:pPr>
        <w:pStyle w:val="ListParagraph"/>
        <w:numPr>
          <w:ilvl w:val="0"/>
          <w:numId w:val="6"/>
        </w:numPr>
        <w:jc w:val="both"/>
        <w:rPr>
          <w:rFonts w:hint="cs"/>
          <w:rtl w:val="0"/>
        </w:rPr>
      </w:pPr>
      <w:proofErr w:type="spellStart"/>
      <w:r>
        <w:rPr>
          <w:rtl w:val="0"/>
        </w:rPr>
        <w:t>Katsikeas</w:t>
      </w:r>
      <w:proofErr w:type="spellEnd"/>
      <w:r>
        <w:rPr>
          <w:rtl w:val="0"/>
        </w:rPr>
        <w:t xml:space="preserve">, C. S., Morgan, N. A., </w:t>
      </w:r>
      <w:proofErr w:type="spellStart"/>
      <w:r>
        <w:rPr>
          <w:rtl w:val="0"/>
        </w:rPr>
        <w:t>Leonidou</w:t>
      </w:r>
      <w:proofErr w:type="spellEnd"/>
      <w:r>
        <w:rPr>
          <w:rtl w:val="0"/>
        </w:rPr>
        <w:t xml:space="preserve">, L. C., &amp; </w:t>
      </w:r>
      <w:proofErr w:type="spellStart"/>
      <w:r>
        <w:rPr>
          <w:rtl w:val="0"/>
        </w:rPr>
        <w:t>Hult</w:t>
      </w:r>
      <w:proofErr w:type="spellEnd"/>
      <w:r>
        <w:rPr>
          <w:rtl w:val="0"/>
        </w:rPr>
        <w:t xml:space="preserve">, G. T. M. (2016). Assessing performance outcomes in marketing. Journal of Marketing, 80(2), 1-38. </w:t>
      </w:r>
      <w:hyperlink r:id="rId14" w:history="1">
        <w:r w:rsidRPr="003870FE">
          <w:rPr>
            <w:rStyle w:val="Hyperlink"/>
            <w:rtl w:val="0"/>
          </w:rPr>
          <w:t>https://doi.org/10.1509/jm.15.0287</w:t>
        </w:r>
      </w:hyperlink>
    </w:p>
    <w:p w14:paraId="62A251F7" w14:textId="77777777" w:rsidR="00414570" w:rsidRPr="00414570" w:rsidRDefault="00414570" w:rsidP="00414570">
      <w:pPr>
        <w:pStyle w:val="ListParagraph"/>
        <w:rPr>
          <w:sz w:val="18"/>
          <w:szCs w:val="18"/>
          <w:rtl w:val="0"/>
        </w:rPr>
      </w:pPr>
    </w:p>
    <w:p w14:paraId="63CC9CA0" w14:textId="6BA239DB" w:rsidR="00414570" w:rsidRDefault="00414570" w:rsidP="00414570">
      <w:pPr>
        <w:pStyle w:val="ListParagraph"/>
        <w:numPr>
          <w:ilvl w:val="0"/>
          <w:numId w:val="6"/>
        </w:numPr>
        <w:jc w:val="both"/>
        <w:rPr>
          <w:rFonts w:hint="cs"/>
          <w:rtl w:val="0"/>
        </w:rPr>
      </w:pPr>
      <w:proofErr w:type="spellStart"/>
      <w:r>
        <w:rPr>
          <w:rtl w:val="0"/>
        </w:rPr>
        <w:t>Kock</w:t>
      </w:r>
      <w:proofErr w:type="spellEnd"/>
      <w:r>
        <w:rPr>
          <w:rtl w:val="0"/>
        </w:rPr>
        <w:t xml:space="preserve">, N. (2015). Common method bias in PLS-SEM: A full </w:t>
      </w:r>
      <w:proofErr w:type="spellStart"/>
      <w:r>
        <w:rPr>
          <w:rtl w:val="0"/>
        </w:rPr>
        <w:t>collinearity</w:t>
      </w:r>
      <w:proofErr w:type="spellEnd"/>
      <w:r>
        <w:rPr>
          <w:rtl w:val="0"/>
        </w:rPr>
        <w:t xml:space="preserve"> assessment approach. International Journal of e-Collaboration, 11(4), 1-10. </w:t>
      </w:r>
      <w:hyperlink r:id="rId15" w:history="1">
        <w:r w:rsidRPr="003870FE">
          <w:rPr>
            <w:rStyle w:val="Hyperlink"/>
            <w:rtl w:val="0"/>
          </w:rPr>
          <w:t>https://doi.org/10.4018/ijec.2015100101</w:t>
        </w:r>
      </w:hyperlink>
    </w:p>
    <w:p w14:paraId="49927C1F" w14:textId="77777777" w:rsidR="00414570" w:rsidRPr="00414570" w:rsidRDefault="00414570" w:rsidP="00414570">
      <w:pPr>
        <w:pStyle w:val="ListParagraph"/>
        <w:rPr>
          <w:sz w:val="18"/>
          <w:szCs w:val="18"/>
          <w:rtl w:val="0"/>
        </w:rPr>
      </w:pPr>
    </w:p>
    <w:p w14:paraId="433D38C6" w14:textId="72469635" w:rsidR="00414570" w:rsidRDefault="00414570" w:rsidP="00414570">
      <w:pPr>
        <w:pStyle w:val="ListParagraph"/>
        <w:numPr>
          <w:ilvl w:val="0"/>
          <w:numId w:val="6"/>
        </w:numPr>
        <w:jc w:val="both"/>
        <w:rPr>
          <w:rFonts w:hint="cs"/>
          <w:rtl w:val="0"/>
        </w:rPr>
      </w:pPr>
      <w:proofErr w:type="spellStart"/>
      <w:r>
        <w:rPr>
          <w:rtl w:val="0"/>
        </w:rPr>
        <w:t>Lawshe</w:t>
      </w:r>
      <w:proofErr w:type="spellEnd"/>
      <w:r>
        <w:rPr>
          <w:rtl w:val="0"/>
        </w:rPr>
        <w:t xml:space="preserve">, C. H. (1975). A quantitative approach to content validity. Personnel Psychology, 28(4), 563-575. </w:t>
      </w:r>
      <w:hyperlink r:id="rId16" w:history="1">
        <w:r w:rsidRPr="003870FE">
          <w:rPr>
            <w:rStyle w:val="Hyperlink"/>
            <w:rtl w:val="0"/>
          </w:rPr>
          <w:t>https://doi.org/10.1111/j.1744-6570.1975.tb01393.x</w:t>
        </w:r>
      </w:hyperlink>
    </w:p>
    <w:p w14:paraId="18FD76A7" w14:textId="77777777" w:rsidR="00414570" w:rsidRPr="00414570" w:rsidRDefault="00414570" w:rsidP="00414570">
      <w:pPr>
        <w:pStyle w:val="ListParagraph"/>
        <w:rPr>
          <w:sz w:val="18"/>
          <w:szCs w:val="18"/>
          <w:rtl w:val="0"/>
        </w:rPr>
      </w:pPr>
    </w:p>
    <w:p w14:paraId="0F8CD730" w14:textId="2D8DD2D4" w:rsidR="00414570" w:rsidRDefault="00414570" w:rsidP="00414570">
      <w:pPr>
        <w:pStyle w:val="ListParagraph"/>
        <w:numPr>
          <w:ilvl w:val="0"/>
          <w:numId w:val="6"/>
        </w:numPr>
        <w:jc w:val="both"/>
        <w:rPr>
          <w:rtl w:val="0"/>
        </w:rPr>
      </w:pPr>
      <w:r>
        <w:rPr>
          <w:rtl w:val="0"/>
        </w:rPr>
        <w:t xml:space="preserve">Lincoln, Y. S., &amp; </w:t>
      </w:r>
      <w:proofErr w:type="spellStart"/>
      <w:r>
        <w:rPr>
          <w:rtl w:val="0"/>
        </w:rPr>
        <w:t>Guba</w:t>
      </w:r>
      <w:proofErr w:type="spellEnd"/>
      <w:r>
        <w:rPr>
          <w:rtl w:val="0"/>
        </w:rPr>
        <w:t>, E. G. (1985). Naturalistic inquiry. SAGE Publications.</w:t>
      </w:r>
    </w:p>
    <w:p w14:paraId="292811E6" w14:textId="77777777" w:rsidR="00414570" w:rsidRPr="00414570" w:rsidRDefault="00414570" w:rsidP="00414570">
      <w:pPr>
        <w:ind w:left="360"/>
        <w:jc w:val="both"/>
        <w:rPr>
          <w:sz w:val="18"/>
          <w:szCs w:val="18"/>
          <w:rtl w:val="0"/>
        </w:rPr>
      </w:pPr>
    </w:p>
    <w:p w14:paraId="014366A5" w14:textId="18799E66" w:rsidR="00414570" w:rsidRDefault="00414570" w:rsidP="00414570">
      <w:pPr>
        <w:pStyle w:val="ListParagraph"/>
        <w:numPr>
          <w:ilvl w:val="0"/>
          <w:numId w:val="6"/>
        </w:numPr>
        <w:jc w:val="both"/>
        <w:rPr>
          <w:rFonts w:hint="cs"/>
          <w:rtl w:val="0"/>
        </w:rPr>
      </w:pPr>
      <w:proofErr w:type="spellStart"/>
      <w:r>
        <w:rPr>
          <w:rtl w:val="0"/>
        </w:rPr>
        <w:t>Monsha'at</w:t>
      </w:r>
      <w:proofErr w:type="spellEnd"/>
      <w:r>
        <w:rPr>
          <w:rtl w:val="0"/>
        </w:rPr>
        <w:t xml:space="preserve"> – General Authority for Small and Medium Enterprises. (2025). SME Monitor Report, Q1 2025 [in Arabic]. </w:t>
      </w:r>
      <w:hyperlink r:id="rId17" w:history="1">
        <w:r w:rsidRPr="003870FE">
          <w:rPr>
            <w:rStyle w:val="Hyperlink"/>
            <w:rtl w:val="0"/>
          </w:rPr>
          <w:t>https://www.monshaat.gov.sa/sites/default/files/2025-05/SME%20Monitor%20Q1%202025%20-%20AR.pdf</w:t>
        </w:r>
      </w:hyperlink>
    </w:p>
    <w:p w14:paraId="0CBE7EDB" w14:textId="77777777" w:rsidR="00414570" w:rsidRPr="00414570" w:rsidRDefault="00414570" w:rsidP="00414570">
      <w:pPr>
        <w:pStyle w:val="ListParagraph"/>
        <w:rPr>
          <w:sz w:val="18"/>
          <w:szCs w:val="18"/>
          <w:rtl w:val="0"/>
        </w:rPr>
      </w:pPr>
    </w:p>
    <w:p w14:paraId="60A09661" w14:textId="19460E24" w:rsidR="00414570" w:rsidRDefault="00414570" w:rsidP="00414570">
      <w:pPr>
        <w:pStyle w:val="ListParagraph"/>
        <w:numPr>
          <w:ilvl w:val="0"/>
          <w:numId w:val="6"/>
        </w:numPr>
        <w:jc w:val="both"/>
        <w:rPr>
          <w:rFonts w:hint="cs"/>
          <w:rtl w:val="0"/>
        </w:rPr>
      </w:pPr>
      <w:proofErr w:type="spellStart"/>
      <w:r>
        <w:rPr>
          <w:rtl w:val="0"/>
        </w:rPr>
        <w:t>Podsakoff</w:t>
      </w:r>
      <w:proofErr w:type="spellEnd"/>
      <w:r>
        <w:rPr>
          <w:rtl w:val="0"/>
        </w:rPr>
        <w:t xml:space="preserve">, P. M., </w:t>
      </w:r>
      <w:proofErr w:type="spellStart"/>
      <w:r>
        <w:rPr>
          <w:rtl w:val="0"/>
        </w:rPr>
        <w:t>MacKenzie</w:t>
      </w:r>
      <w:proofErr w:type="spellEnd"/>
      <w:r>
        <w:rPr>
          <w:rtl w:val="0"/>
        </w:rPr>
        <w:t xml:space="preserve">, S. B., &amp; </w:t>
      </w:r>
      <w:proofErr w:type="spellStart"/>
      <w:r>
        <w:rPr>
          <w:rtl w:val="0"/>
        </w:rPr>
        <w:t>Podsakoff</w:t>
      </w:r>
      <w:proofErr w:type="spellEnd"/>
      <w:r>
        <w:rPr>
          <w:rtl w:val="0"/>
        </w:rPr>
        <w:t xml:space="preserve">, N. P. (2012). Sources of method bias in social science research and recommendations on how to control it. Annual Review of Psychology, 63(1), 539-569. </w:t>
      </w:r>
      <w:hyperlink r:id="rId18" w:history="1">
        <w:r w:rsidRPr="003870FE">
          <w:rPr>
            <w:rStyle w:val="Hyperlink"/>
            <w:rtl w:val="0"/>
          </w:rPr>
          <w:t>https://doi.org/10.1146/annurev-psych-120710-100452</w:t>
        </w:r>
      </w:hyperlink>
    </w:p>
    <w:p w14:paraId="2F992DA8" w14:textId="77777777" w:rsidR="00414570" w:rsidRPr="00414570" w:rsidRDefault="00414570" w:rsidP="00414570">
      <w:pPr>
        <w:pStyle w:val="ListParagraph"/>
        <w:rPr>
          <w:sz w:val="18"/>
          <w:szCs w:val="18"/>
          <w:rtl w:val="0"/>
        </w:rPr>
      </w:pPr>
    </w:p>
    <w:p w14:paraId="13F7AE5F" w14:textId="3A06B60A" w:rsidR="00414570" w:rsidRDefault="00414570" w:rsidP="00414570">
      <w:pPr>
        <w:pStyle w:val="ListParagraph"/>
        <w:numPr>
          <w:ilvl w:val="0"/>
          <w:numId w:val="6"/>
        </w:numPr>
        <w:jc w:val="both"/>
        <w:rPr>
          <w:rFonts w:hint="cs"/>
          <w:rtl w:val="0"/>
        </w:rPr>
      </w:pPr>
      <w:proofErr w:type="spellStart"/>
      <w:r>
        <w:rPr>
          <w:rtl w:val="0"/>
        </w:rPr>
        <w:t>Venkatesh</w:t>
      </w:r>
      <w:proofErr w:type="spellEnd"/>
      <w:r>
        <w:rPr>
          <w:rtl w:val="0"/>
        </w:rPr>
        <w:t xml:space="preserve">, V., Morris, M. G., Davis, G. B., &amp; Davis, F. D. (2003). User acceptance of information technology: Toward a unified view. MIS Quarterly, 27(3), 425-478. </w:t>
      </w:r>
      <w:hyperlink r:id="rId19" w:history="1">
        <w:r w:rsidRPr="003870FE">
          <w:rPr>
            <w:rStyle w:val="Hyperlink"/>
            <w:rtl w:val="0"/>
          </w:rPr>
          <w:t>https://doi.org/10.2307/30036540</w:t>
        </w:r>
      </w:hyperlink>
    </w:p>
    <w:p w14:paraId="2E8268B6" w14:textId="77777777" w:rsidR="00414570" w:rsidRPr="00414570" w:rsidRDefault="00414570" w:rsidP="00414570">
      <w:pPr>
        <w:pStyle w:val="ListParagraph"/>
        <w:rPr>
          <w:sz w:val="18"/>
          <w:szCs w:val="18"/>
          <w:rtl w:val="0"/>
        </w:rPr>
      </w:pPr>
      <w:bookmarkStart w:id="0" w:name="_GoBack"/>
      <w:bookmarkEnd w:id="0"/>
    </w:p>
    <w:p w14:paraId="10B5CE8A" w14:textId="4AC4773A" w:rsidR="00EB5CBD" w:rsidRDefault="00414570" w:rsidP="00414570">
      <w:pPr>
        <w:pStyle w:val="ListParagraph"/>
        <w:numPr>
          <w:ilvl w:val="0"/>
          <w:numId w:val="6"/>
        </w:numPr>
        <w:jc w:val="both"/>
        <w:rPr>
          <w:rFonts w:hint="cs"/>
          <w:rtl w:val="0"/>
        </w:rPr>
      </w:pPr>
      <w:r>
        <w:rPr>
          <w:rtl w:val="0"/>
        </w:rPr>
        <w:t xml:space="preserve">Zhao, X., Lynch, J. G., &amp; Chen, Q. (2010). Reconsidering Baron and Kenny: Myths and truths about mediation analysis. Journal of Consumer Research, 37(2), 197-206. </w:t>
      </w:r>
      <w:hyperlink r:id="rId20" w:history="1">
        <w:r w:rsidRPr="003870FE">
          <w:rPr>
            <w:rStyle w:val="Hyperlink"/>
            <w:rtl w:val="0"/>
          </w:rPr>
          <w:t>https://doi.org/10.1086/651257</w:t>
        </w:r>
      </w:hyperlink>
    </w:p>
    <w:p w14:paraId="6E1EB7E5" w14:textId="77777777" w:rsidR="00414570" w:rsidRDefault="00414570" w:rsidP="00414570">
      <w:pPr>
        <w:pStyle w:val="ListParagraph"/>
        <w:rPr>
          <w:rtl w:val="0"/>
        </w:rPr>
      </w:pPr>
    </w:p>
    <w:sectPr w:rsidR="00414570" w:rsidSect="007E709B">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F Sultan">
    <w:altName w:val="Times New Roman"/>
    <w:charset w:val="00"/>
    <w:family w:val="auto"/>
    <w:pitch w:val="variable"/>
    <w:sig w:usb0="00000000" w:usb1="C000A04A"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44E06"/>
    <w:multiLevelType w:val="hybridMultilevel"/>
    <w:tmpl w:val="C120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352070"/>
    <w:multiLevelType w:val="hybridMultilevel"/>
    <w:tmpl w:val="5ADE6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E3508BB"/>
    <w:multiLevelType w:val="hybridMultilevel"/>
    <w:tmpl w:val="30E4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6E050F"/>
    <w:multiLevelType w:val="hybridMultilevel"/>
    <w:tmpl w:val="8410D2CC"/>
    <w:lvl w:ilvl="0" w:tplc="94086272">
      <w:start w:val="1"/>
      <w:numFmt w:val="bullet"/>
      <w:lvlText w:val="●"/>
      <w:lvlJc w:val="left"/>
      <w:pPr>
        <w:ind w:left="720" w:hanging="360"/>
      </w:pPr>
    </w:lvl>
    <w:lvl w:ilvl="1" w:tplc="05DC04F4">
      <w:start w:val="1"/>
      <w:numFmt w:val="bullet"/>
      <w:lvlText w:val="○"/>
      <w:lvlJc w:val="left"/>
      <w:pPr>
        <w:ind w:left="1440" w:hanging="360"/>
      </w:pPr>
    </w:lvl>
    <w:lvl w:ilvl="2" w:tplc="5FDCD72E">
      <w:start w:val="1"/>
      <w:numFmt w:val="bullet"/>
      <w:lvlText w:val="■"/>
      <w:lvlJc w:val="left"/>
      <w:pPr>
        <w:ind w:left="2160" w:hanging="360"/>
      </w:pPr>
    </w:lvl>
    <w:lvl w:ilvl="3" w:tplc="83B8B010">
      <w:start w:val="1"/>
      <w:numFmt w:val="bullet"/>
      <w:lvlText w:val="●"/>
      <w:lvlJc w:val="left"/>
      <w:pPr>
        <w:ind w:left="2880" w:hanging="360"/>
      </w:pPr>
    </w:lvl>
    <w:lvl w:ilvl="4" w:tplc="E6DC0796">
      <w:start w:val="1"/>
      <w:numFmt w:val="bullet"/>
      <w:lvlText w:val="○"/>
      <w:lvlJc w:val="left"/>
      <w:pPr>
        <w:ind w:left="3600" w:hanging="360"/>
      </w:pPr>
    </w:lvl>
    <w:lvl w:ilvl="5" w:tplc="7354CFA6">
      <w:start w:val="1"/>
      <w:numFmt w:val="bullet"/>
      <w:lvlText w:val="■"/>
      <w:lvlJc w:val="left"/>
      <w:pPr>
        <w:ind w:left="4320" w:hanging="360"/>
      </w:pPr>
    </w:lvl>
    <w:lvl w:ilvl="6" w:tplc="D08E790E">
      <w:start w:val="1"/>
      <w:numFmt w:val="bullet"/>
      <w:lvlText w:val="●"/>
      <w:lvlJc w:val="left"/>
      <w:pPr>
        <w:ind w:left="5040" w:hanging="360"/>
      </w:pPr>
    </w:lvl>
    <w:lvl w:ilvl="7" w:tplc="7A3CDF86">
      <w:start w:val="1"/>
      <w:numFmt w:val="bullet"/>
      <w:lvlText w:val="●"/>
      <w:lvlJc w:val="left"/>
      <w:pPr>
        <w:ind w:left="5760" w:hanging="360"/>
      </w:pPr>
    </w:lvl>
    <w:lvl w:ilvl="8" w:tplc="BA061C56">
      <w:start w:val="1"/>
      <w:numFmt w:val="bullet"/>
      <w:lvlText w:val="●"/>
      <w:lvlJc w:val="left"/>
      <w:pPr>
        <w:ind w:left="6480" w:hanging="360"/>
      </w:pPr>
    </w:lvl>
  </w:abstractNum>
  <w:abstractNum w:abstractNumId="4">
    <w:nsid w:val="579A7B1E"/>
    <w:multiLevelType w:val="hybridMultilevel"/>
    <w:tmpl w:val="EBA81E64"/>
    <w:lvl w:ilvl="0" w:tplc="27FE9688">
      <w:start w:val="1"/>
      <w:numFmt w:val="bullet"/>
      <w:lvlText w:val="•"/>
      <w:lvlJc w:val="right"/>
      <w:pPr>
        <w:ind w:right="720" w:hanging="360"/>
      </w:pPr>
    </w:lvl>
    <w:lvl w:ilvl="1" w:tplc="431A8F94">
      <w:numFmt w:val="decimal"/>
      <w:lvlText w:val=""/>
      <w:lvlJc w:val="left"/>
    </w:lvl>
    <w:lvl w:ilvl="2" w:tplc="945281C8">
      <w:numFmt w:val="decimal"/>
      <w:lvlText w:val=""/>
      <w:lvlJc w:val="left"/>
    </w:lvl>
    <w:lvl w:ilvl="3" w:tplc="5BA653E0">
      <w:numFmt w:val="decimal"/>
      <w:lvlText w:val=""/>
      <w:lvlJc w:val="left"/>
    </w:lvl>
    <w:lvl w:ilvl="4" w:tplc="2B084D78">
      <w:numFmt w:val="decimal"/>
      <w:lvlText w:val=""/>
      <w:lvlJc w:val="left"/>
    </w:lvl>
    <w:lvl w:ilvl="5" w:tplc="6CB6FF70">
      <w:numFmt w:val="decimal"/>
      <w:lvlText w:val=""/>
      <w:lvlJc w:val="left"/>
    </w:lvl>
    <w:lvl w:ilvl="6" w:tplc="F6305884">
      <w:numFmt w:val="decimal"/>
      <w:lvlText w:val=""/>
      <w:lvlJc w:val="left"/>
    </w:lvl>
    <w:lvl w:ilvl="7" w:tplc="3984FB98">
      <w:numFmt w:val="decimal"/>
      <w:lvlText w:val=""/>
      <w:lvlJc w:val="left"/>
    </w:lvl>
    <w:lvl w:ilvl="8" w:tplc="A044E7B2">
      <w:numFmt w:val="decimal"/>
      <w:lvlText w:val=""/>
      <w:lvlJc w:val="left"/>
    </w:lvl>
  </w:abstractNum>
  <w:abstractNum w:abstractNumId="5">
    <w:nsid w:val="70A11706"/>
    <w:multiLevelType w:val="hybridMultilevel"/>
    <w:tmpl w:val="F124BC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num>
  <w:num w:numId="2">
    <w:abstractNumId w:val="4"/>
    <w:lvlOverride w:ilvl="0">
      <w:startOverride w:val="1"/>
    </w:lvlOverride>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CBD"/>
    <w:rsid w:val="0009148E"/>
    <w:rsid w:val="00414570"/>
    <w:rsid w:val="007E709B"/>
    <w:rsid w:val="008505AD"/>
    <w:rsid w:val="00EA4CEB"/>
    <w:rsid w:val="00EB5C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4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aditional Arabic" w:eastAsia="Traditional Arabic" w:hAnsi="Traditional Arabic" w:cs="Traditional Arabic"/>
        <w:sz w:val="24"/>
        <w:szCs w:val="24"/>
        <w:rt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505AD"/>
    <w:rPr>
      <w:rFonts w:ascii="Calibri" w:eastAsia="Calibri" w:hAnsi="Calibri" w:cs="Arial"/>
      <w:sz w:val="22"/>
      <w:szCs w:val="22"/>
      <w:rtl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aditional Arabic" w:eastAsia="Traditional Arabic" w:hAnsi="Traditional Arabic" w:cs="Traditional Arabic"/>
        <w:sz w:val="24"/>
        <w:szCs w:val="24"/>
        <w:rt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505AD"/>
    <w:rPr>
      <w:rFonts w:ascii="Calibri" w:eastAsia="Calibri" w:hAnsi="Calibri" w:cs="Arial"/>
      <w:sz w:val="22"/>
      <w:szCs w:val="22"/>
      <w:rtl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i.org/10.1080/2159676X.2019.1628806" TargetMode="External"/><Relationship Id="rId13" Type="http://schemas.openxmlformats.org/officeDocument/2006/relationships/hyperlink" Target="https://doi.org/10.1108/IMR-09-2014-0304" TargetMode="External"/><Relationship Id="rId18" Type="http://schemas.openxmlformats.org/officeDocument/2006/relationships/hyperlink" Target="https://doi.org/10.1146/annurev-psych-120710-100452"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doi.org/10.1191/1478088706qp063oa" TargetMode="External"/><Relationship Id="rId12" Type="http://schemas.openxmlformats.org/officeDocument/2006/relationships/hyperlink" Target="https://doi.org/10.1007/s11747-014-0403-8" TargetMode="External"/><Relationship Id="rId17" Type="http://schemas.openxmlformats.org/officeDocument/2006/relationships/hyperlink" Target="https://www.monshaat.gov.sa/sites/default/files/2025-05/SME%20Monitor%20Q1%202025%20-%20AR.pdf" TargetMode="External"/><Relationship Id="rId2" Type="http://schemas.openxmlformats.org/officeDocument/2006/relationships/styles" Target="styles.xml"/><Relationship Id="rId16" Type="http://schemas.openxmlformats.org/officeDocument/2006/relationships/hyperlink" Target="https://doi.org/10.1111/j.1744-6570.1975.tb01393.x" TargetMode="External"/><Relationship Id="rId20" Type="http://schemas.openxmlformats.org/officeDocument/2006/relationships/hyperlink" Target="https://doi.org/10.1086/651257" TargetMode="External"/><Relationship Id="rId1" Type="http://schemas.openxmlformats.org/officeDocument/2006/relationships/numbering" Target="numbering.xml"/><Relationship Id="rId6" Type="http://schemas.openxmlformats.org/officeDocument/2006/relationships/hyperlink" Target="https://doi.org/10.1037/0022-3514.51.6.1173" TargetMode="External"/><Relationship Id="rId11" Type="http://schemas.openxmlformats.org/officeDocument/2006/relationships/hyperlink" Target="https://doi.org/10.1108/EBR-11-2018-0203" TargetMode="External"/><Relationship Id="rId5" Type="http://schemas.openxmlformats.org/officeDocument/2006/relationships/webSettings" Target="webSettings.xml"/><Relationship Id="rId15" Type="http://schemas.openxmlformats.org/officeDocument/2006/relationships/hyperlink" Target="https://doi.org/10.4018/ijec.2015100101" TargetMode="External"/><Relationship Id="rId10" Type="http://schemas.openxmlformats.org/officeDocument/2006/relationships/hyperlink" Target="https://doi.org/10.2307/3151312" TargetMode="External"/><Relationship Id="rId19" Type="http://schemas.openxmlformats.org/officeDocument/2006/relationships/hyperlink" Target="https://doi.org/10.2307/30036540" TargetMode="External"/><Relationship Id="rId4" Type="http://schemas.openxmlformats.org/officeDocument/2006/relationships/settings" Target="settings.xml"/><Relationship Id="rId9" Type="http://schemas.openxmlformats.org/officeDocument/2006/relationships/hyperlink" Target="https://doi.org/10.2307/2490086" TargetMode="External"/><Relationship Id="rId14" Type="http://schemas.openxmlformats.org/officeDocument/2006/relationships/hyperlink" Target="https://doi.org/10.1509/jm.15.028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24</Pages>
  <Words>7262</Words>
  <Characters>41397</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Eng-Mamdouh Elngar</cp:lastModifiedBy>
  <cp:revision>3</cp:revision>
  <dcterms:created xsi:type="dcterms:W3CDTF">2026-08-11T09:41:00Z</dcterms:created>
  <dcterms:modified xsi:type="dcterms:W3CDTF">2026-08-11T11:11:00Z</dcterms:modified>
</cp:coreProperties>
</file>