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4CD29" w14:textId="77777777" w:rsidR="00671ED4" w:rsidRDefault="00000000" w:rsidP="00F04C7E">
      <w:pPr>
        <w:bidi/>
        <w:spacing w:after="40"/>
        <w:jc w:val="both"/>
      </w:pPr>
      <w:r>
        <w:rPr>
          <w:b/>
          <w:color w:val="1F4E79"/>
          <w:sz w:val="32"/>
        </w:rPr>
        <w:t>التقرير النهائي لمراجعة الفصل الثاني</w:t>
      </w:r>
    </w:p>
    <w:p w14:paraId="3DAF5B56" w14:textId="77777777" w:rsidR="00671ED4" w:rsidRDefault="00000000" w:rsidP="00F04C7E">
      <w:pPr>
        <w:bidi/>
        <w:jc w:val="both"/>
      </w:pPr>
      <w:r>
        <w:rPr>
          <w:b/>
          <w:color w:val="1F4E79"/>
          <w:sz w:val="26"/>
        </w:rPr>
        <w:t>الإطار النظري والدراسات السابقة</w:t>
      </w:r>
    </w:p>
    <w:tbl>
      <w:tblPr>
        <w:tblStyle w:val="TableGrid"/>
        <w:tblW w:w="0" w:type="auto"/>
        <w:jc w:val="center"/>
        <w:tblLook w:val="04A0" w:firstRow="1" w:lastRow="0" w:firstColumn="1" w:lastColumn="0" w:noHBand="0" w:noVBand="1"/>
      </w:tblPr>
      <w:tblGrid>
        <w:gridCol w:w="7821"/>
        <w:gridCol w:w="1915"/>
      </w:tblGrid>
      <w:tr w:rsidR="00671ED4" w14:paraId="3E1EB56D" w14:textId="77777777" w:rsidTr="00F04C7E">
        <w:trPr>
          <w:jc w:val="center"/>
        </w:trPr>
        <w:tc>
          <w:tcPr>
            <w:tcW w:w="7830" w:type="dxa"/>
            <w:vAlign w:val="center"/>
          </w:tcPr>
          <w:p w14:paraId="0B4FC9FD" w14:textId="77777777" w:rsidR="00671ED4" w:rsidRDefault="00000000" w:rsidP="00F04C7E">
            <w:pPr>
              <w:bidi/>
              <w:jc w:val="both"/>
            </w:pPr>
            <w:proofErr w:type="spellStart"/>
            <w:r>
              <w:t>سعود</w:t>
            </w:r>
            <w:proofErr w:type="spellEnd"/>
            <w:r>
              <w:t xml:space="preserve"> </w:t>
            </w:r>
            <w:proofErr w:type="spellStart"/>
            <w:r>
              <w:t>آل</w:t>
            </w:r>
            <w:proofErr w:type="spellEnd"/>
            <w:r>
              <w:t xml:space="preserve"> </w:t>
            </w:r>
            <w:proofErr w:type="spellStart"/>
            <w:r>
              <w:t>حمد</w:t>
            </w:r>
            <w:proofErr w:type="spellEnd"/>
          </w:p>
        </w:tc>
        <w:tc>
          <w:tcPr>
            <w:tcW w:w="1916" w:type="dxa"/>
            <w:shd w:val="clear" w:color="auto" w:fill="D9EAF7"/>
            <w:vAlign w:val="center"/>
          </w:tcPr>
          <w:p w14:paraId="0F0496ED" w14:textId="77777777" w:rsidR="00671ED4" w:rsidRDefault="00000000" w:rsidP="00F04C7E">
            <w:pPr>
              <w:bidi/>
              <w:jc w:val="both"/>
            </w:pPr>
            <w:r>
              <w:rPr>
                <w:b/>
              </w:rPr>
              <w:t>اسم الطالب</w:t>
            </w:r>
          </w:p>
        </w:tc>
      </w:tr>
      <w:tr w:rsidR="00671ED4" w14:paraId="1031FF12" w14:textId="77777777" w:rsidTr="00F04C7E">
        <w:trPr>
          <w:jc w:val="center"/>
        </w:trPr>
        <w:tc>
          <w:tcPr>
            <w:tcW w:w="7830" w:type="dxa"/>
            <w:vAlign w:val="center"/>
          </w:tcPr>
          <w:p w14:paraId="3B22DA55" w14:textId="77777777" w:rsidR="00671ED4" w:rsidRDefault="00000000" w:rsidP="00F04C7E">
            <w:pPr>
              <w:bidi/>
              <w:jc w:val="both"/>
            </w:pPr>
            <w:r>
              <w:t>أثر التحوّل الرقمي المؤسسي على رضا الموظفين في مؤسسات المملكة العربية السعودية: وزارة الموارد البشرية والتنمية الاجتماعية أنموذجًا</w:t>
            </w:r>
          </w:p>
        </w:tc>
        <w:tc>
          <w:tcPr>
            <w:tcW w:w="1916" w:type="dxa"/>
            <w:shd w:val="clear" w:color="auto" w:fill="D9EAF7"/>
            <w:vAlign w:val="center"/>
          </w:tcPr>
          <w:p w14:paraId="431ED083" w14:textId="77777777" w:rsidR="00671ED4" w:rsidRDefault="00000000" w:rsidP="00F04C7E">
            <w:pPr>
              <w:bidi/>
              <w:jc w:val="both"/>
            </w:pPr>
            <w:r>
              <w:rPr>
                <w:b/>
              </w:rPr>
              <w:t>موضوع الرسالة</w:t>
            </w:r>
          </w:p>
        </w:tc>
      </w:tr>
      <w:tr w:rsidR="00671ED4" w14:paraId="338FB34B" w14:textId="77777777" w:rsidTr="00F04C7E">
        <w:trPr>
          <w:jc w:val="center"/>
        </w:trPr>
        <w:tc>
          <w:tcPr>
            <w:tcW w:w="7830" w:type="dxa"/>
            <w:vAlign w:val="center"/>
          </w:tcPr>
          <w:p w14:paraId="691301F8" w14:textId="77777777" w:rsidR="00671ED4" w:rsidRDefault="00000000" w:rsidP="00F04C7E">
            <w:pPr>
              <w:bidi/>
              <w:jc w:val="both"/>
            </w:pPr>
            <w:r>
              <w:t>مقارنة بين تقرير التسليم الثاني والنسخة الحالية (التسليم الثالث) للفصل الثاني</w:t>
            </w:r>
          </w:p>
        </w:tc>
        <w:tc>
          <w:tcPr>
            <w:tcW w:w="1916" w:type="dxa"/>
            <w:shd w:val="clear" w:color="auto" w:fill="D9EAF7"/>
            <w:vAlign w:val="center"/>
          </w:tcPr>
          <w:p w14:paraId="193F7C49" w14:textId="77777777" w:rsidR="00671ED4" w:rsidRDefault="00000000" w:rsidP="00F04C7E">
            <w:pPr>
              <w:bidi/>
              <w:jc w:val="both"/>
            </w:pPr>
            <w:r>
              <w:rPr>
                <w:b/>
              </w:rPr>
              <w:t>نوع المراجعة</w:t>
            </w:r>
          </w:p>
        </w:tc>
      </w:tr>
      <w:tr w:rsidR="00671ED4" w14:paraId="2DC5AC81" w14:textId="77777777" w:rsidTr="00F04C7E">
        <w:trPr>
          <w:jc w:val="center"/>
        </w:trPr>
        <w:tc>
          <w:tcPr>
            <w:tcW w:w="7830" w:type="dxa"/>
            <w:vAlign w:val="center"/>
          </w:tcPr>
          <w:p w14:paraId="2ADE159F" w14:textId="77777777" w:rsidR="00671ED4" w:rsidRDefault="00000000" w:rsidP="00F04C7E">
            <w:pPr>
              <w:bidi/>
              <w:jc w:val="both"/>
            </w:pPr>
            <w:r>
              <w:t>مقبول مع تعديلات بسيطة</w:t>
            </w:r>
          </w:p>
        </w:tc>
        <w:tc>
          <w:tcPr>
            <w:tcW w:w="1916" w:type="dxa"/>
            <w:shd w:val="clear" w:color="auto" w:fill="D9EAF7"/>
            <w:vAlign w:val="center"/>
          </w:tcPr>
          <w:p w14:paraId="24F03248" w14:textId="77777777" w:rsidR="00671ED4" w:rsidRDefault="00000000" w:rsidP="00F04C7E">
            <w:pPr>
              <w:bidi/>
              <w:jc w:val="both"/>
            </w:pPr>
            <w:r>
              <w:rPr>
                <w:b/>
              </w:rPr>
              <w:t>قرار المراجعة</w:t>
            </w:r>
          </w:p>
        </w:tc>
      </w:tr>
    </w:tbl>
    <w:p w14:paraId="13779B1F" w14:textId="77777777" w:rsidR="00671ED4" w:rsidRDefault="00671ED4" w:rsidP="00F04C7E">
      <w:pPr>
        <w:bidi/>
        <w:jc w:val="both"/>
      </w:pPr>
    </w:p>
    <w:p w14:paraId="6E86A7F6" w14:textId="77777777" w:rsidR="00671ED4" w:rsidRDefault="00000000" w:rsidP="00F04C7E">
      <w:pPr>
        <w:bidi/>
        <w:spacing w:after="120"/>
        <w:jc w:val="both"/>
      </w:pPr>
      <w:r>
        <w:rPr>
          <w:b/>
          <w:color w:val="1F4E79"/>
          <w:sz w:val="26"/>
        </w:rPr>
        <w:t>أولًا: التقدير العام</w:t>
      </w:r>
    </w:p>
    <w:p w14:paraId="457F7E1D" w14:textId="77777777" w:rsidR="00F04C7E" w:rsidRDefault="00F04C7E" w:rsidP="00F04C7E">
      <w:pPr>
        <w:bidi/>
        <w:spacing w:after="120"/>
        <w:jc w:val="both"/>
        <w:rPr>
          <w:rFonts w:cs="Arial"/>
        </w:rPr>
      </w:pPr>
      <w:r w:rsidRPr="00F04C7E">
        <w:rPr>
          <w:rFonts w:cs="Arial"/>
          <w:rtl/>
        </w:rPr>
        <w:t xml:space="preserve">تُظهر النسخة الحالية نضجًا ملحوظًا في بناء الفصل مقارنة بتقرير التسليم الثاني؛ إذ وُضعت مقدمة منهجية واضحة لمراجعة الأدبيات، وتحددت قواعد البحث والكلمات المفتاحية والإطار الزمني، كما أصبح الربط بين التحول الرقمي المؤسسي والرضا الوظيفي عبر مساري </w:t>
      </w:r>
      <w:r w:rsidRPr="00F04C7E">
        <w:t>TAM</w:t>
      </w:r>
      <w:r w:rsidRPr="00F04C7E">
        <w:rPr>
          <w:rFonts w:cs="Arial"/>
          <w:rtl/>
        </w:rPr>
        <w:t xml:space="preserve"> و</w:t>
      </w:r>
      <w:r w:rsidRPr="00F04C7E">
        <w:t>Technostress</w:t>
      </w:r>
      <w:r w:rsidRPr="00F04C7E">
        <w:rPr>
          <w:rFonts w:cs="Arial"/>
          <w:rtl/>
        </w:rPr>
        <w:t xml:space="preserve"> أكثر تماسكًا، وصيغت الفجوة البحثية بثلاثة مستويات بصورة أوضح. وهذا يعني أن أغلب الملاحظات السابقة قد عولجت بدرجة جيدة، ولم يتبقَّ سوى نقاط محدودة للإغلاق النهائي.</w:t>
      </w:r>
    </w:p>
    <w:p w14:paraId="293B0704" w14:textId="4034D295" w:rsidR="00671ED4" w:rsidRDefault="00000000" w:rsidP="00F04C7E">
      <w:pPr>
        <w:bidi/>
        <w:spacing w:after="120"/>
        <w:jc w:val="both"/>
      </w:pPr>
      <w:proofErr w:type="spellStart"/>
      <w:r>
        <w:rPr>
          <w:b/>
          <w:color w:val="1F4E79"/>
          <w:sz w:val="26"/>
        </w:rPr>
        <w:t>ثانيًا</w:t>
      </w:r>
      <w:proofErr w:type="spellEnd"/>
      <w:r>
        <w:rPr>
          <w:b/>
          <w:color w:val="1F4E79"/>
          <w:sz w:val="26"/>
        </w:rPr>
        <w:t xml:space="preserve">: </w:t>
      </w:r>
      <w:proofErr w:type="spellStart"/>
      <w:r>
        <w:rPr>
          <w:b/>
          <w:color w:val="1F4E79"/>
          <w:sz w:val="26"/>
        </w:rPr>
        <w:t>الملاحظات</w:t>
      </w:r>
      <w:proofErr w:type="spellEnd"/>
      <w:r>
        <w:rPr>
          <w:b/>
          <w:color w:val="1F4E79"/>
          <w:sz w:val="26"/>
        </w:rPr>
        <w:t xml:space="preserve"> </w:t>
      </w:r>
      <w:proofErr w:type="spellStart"/>
      <w:r>
        <w:rPr>
          <w:b/>
          <w:color w:val="1F4E79"/>
          <w:sz w:val="26"/>
        </w:rPr>
        <w:t>الجوهرية</w:t>
      </w:r>
      <w:proofErr w:type="spellEnd"/>
      <w:r>
        <w:rPr>
          <w:b/>
          <w:color w:val="1F4E79"/>
          <w:sz w:val="26"/>
        </w:rPr>
        <w:t xml:space="preserve"> </w:t>
      </w:r>
      <w:proofErr w:type="spellStart"/>
      <w:r>
        <w:rPr>
          <w:b/>
          <w:color w:val="1F4E79"/>
          <w:sz w:val="26"/>
        </w:rPr>
        <w:t>التي</w:t>
      </w:r>
      <w:proofErr w:type="spellEnd"/>
      <w:r>
        <w:rPr>
          <w:b/>
          <w:color w:val="1F4E79"/>
          <w:sz w:val="26"/>
        </w:rPr>
        <w:t xml:space="preserve"> ما تزال قائمة</w:t>
      </w:r>
    </w:p>
    <w:tbl>
      <w:tblPr>
        <w:tblStyle w:val="TableGrid"/>
        <w:bidiVisual/>
        <w:tblW w:w="0" w:type="auto"/>
        <w:tblLook w:val="04A0" w:firstRow="1" w:lastRow="0" w:firstColumn="1" w:lastColumn="0" w:noHBand="0" w:noVBand="1"/>
      </w:tblPr>
      <w:tblGrid>
        <w:gridCol w:w="952"/>
        <w:gridCol w:w="1889"/>
        <w:gridCol w:w="6895"/>
      </w:tblGrid>
      <w:tr w:rsidR="00671ED4" w14:paraId="1853118A" w14:textId="77777777" w:rsidTr="00F04C7E">
        <w:tc>
          <w:tcPr>
            <w:tcW w:w="953" w:type="dxa"/>
            <w:shd w:val="clear" w:color="auto" w:fill="D9EAF7"/>
            <w:vAlign w:val="center"/>
          </w:tcPr>
          <w:p w14:paraId="5888FAC5" w14:textId="77777777" w:rsidR="00671ED4" w:rsidRDefault="00000000" w:rsidP="00F04C7E">
            <w:pPr>
              <w:bidi/>
              <w:jc w:val="both"/>
            </w:pPr>
            <w:r>
              <w:rPr>
                <w:b/>
              </w:rPr>
              <w:t>م</w:t>
            </w:r>
          </w:p>
        </w:tc>
        <w:tc>
          <w:tcPr>
            <w:tcW w:w="1890" w:type="dxa"/>
            <w:shd w:val="clear" w:color="auto" w:fill="D9EAF7"/>
            <w:vAlign w:val="center"/>
          </w:tcPr>
          <w:p w14:paraId="1A093B00" w14:textId="77777777" w:rsidR="00671ED4" w:rsidRDefault="00000000" w:rsidP="00F04C7E">
            <w:pPr>
              <w:bidi/>
              <w:jc w:val="both"/>
            </w:pPr>
            <w:r>
              <w:rPr>
                <w:b/>
              </w:rPr>
              <w:t>الملاحظة الجوهرية</w:t>
            </w:r>
          </w:p>
        </w:tc>
        <w:tc>
          <w:tcPr>
            <w:tcW w:w="6904" w:type="dxa"/>
            <w:shd w:val="clear" w:color="auto" w:fill="D9EAF7"/>
            <w:vAlign w:val="center"/>
          </w:tcPr>
          <w:p w14:paraId="6F2923E6" w14:textId="77777777" w:rsidR="00671ED4" w:rsidRDefault="00000000" w:rsidP="00F04C7E">
            <w:pPr>
              <w:bidi/>
              <w:jc w:val="both"/>
            </w:pPr>
            <w:r>
              <w:rPr>
                <w:b/>
              </w:rPr>
              <w:t>الحكم المختصر</w:t>
            </w:r>
          </w:p>
        </w:tc>
      </w:tr>
      <w:tr w:rsidR="00F04C7E" w14:paraId="4791BF60" w14:textId="77777777" w:rsidTr="00815F71">
        <w:tc>
          <w:tcPr>
            <w:tcW w:w="953" w:type="dxa"/>
          </w:tcPr>
          <w:p w14:paraId="45D48CA9" w14:textId="32695269" w:rsidR="00F04C7E" w:rsidRDefault="00F04C7E" w:rsidP="00F04C7E">
            <w:pPr>
              <w:bidi/>
              <w:jc w:val="both"/>
            </w:pPr>
            <w:r w:rsidRPr="00F847D5">
              <w:t>1</w:t>
            </w:r>
          </w:p>
        </w:tc>
        <w:tc>
          <w:tcPr>
            <w:tcW w:w="1890" w:type="dxa"/>
          </w:tcPr>
          <w:p w14:paraId="06250BB6" w14:textId="35E2C43F" w:rsidR="00F04C7E" w:rsidRDefault="00F04C7E" w:rsidP="00F04C7E">
            <w:pPr>
              <w:bidi/>
              <w:jc w:val="both"/>
            </w:pPr>
            <w:r w:rsidRPr="00F847D5">
              <w:rPr>
                <w:rtl/>
              </w:rPr>
              <w:t>تحديد الإطار النظري المحوري</w:t>
            </w:r>
          </w:p>
        </w:tc>
        <w:tc>
          <w:tcPr>
            <w:tcW w:w="6904" w:type="dxa"/>
          </w:tcPr>
          <w:p w14:paraId="563EF033" w14:textId="36DDD8AA" w:rsidR="00F04C7E" w:rsidRDefault="00F04C7E" w:rsidP="00F04C7E">
            <w:pPr>
              <w:bidi/>
              <w:jc w:val="both"/>
            </w:pPr>
            <w:r w:rsidRPr="00F847D5">
              <w:rPr>
                <w:rtl/>
              </w:rPr>
              <w:t>رغم قوة التوظيف النظري الحالي، ما يزال من الأفضل حسم الإطار القائد بصورة أكثر مباشرة في مقدمة الإطار النظري، وبيان كيف تخدم بقية الأطر هذا الإطار بدل أن تظهر أحيانًا كأطر متوازية</w:t>
            </w:r>
            <w:r w:rsidRPr="00F847D5">
              <w:t>.</w:t>
            </w:r>
          </w:p>
        </w:tc>
      </w:tr>
      <w:tr w:rsidR="00F04C7E" w14:paraId="56CA7433" w14:textId="77777777" w:rsidTr="00815F71">
        <w:tc>
          <w:tcPr>
            <w:tcW w:w="953" w:type="dxa"/>
          </w:tcPr>
          <w:p w14:paraId="3D67A077" w14:textId="2E029301" w:rsidR="00F04C7E" w:rsidRDefault="00F04C7E" w:rsidP="00F04C7E">
            <w:pPr>
              <w:bidi/>
              <w:jc w:val="both"/>
            </w:pPr>
            <w:r w:rsidRPr="00F847D5">
              <w:t>2</w:t>
            </w:r>
          </w:p>
        </w:tc>
        <w:tc>
          <w:tcPr>
            <w:tcW w:w="1890" w:type="dxa"/>
          </w:tcPr>
          <w:p w14:paraId="4B83BFDC" w14:textId="0E4EDF1A" w:rsidR="00F04C7E" w:rsidRDefault="00F04C7E" w:rsidP="00F04C7E">
            <w:pPr>
              <w:bidi/>
              <w:jc w:val="both"/>
            </w:pPr>
            <w:r w:rsidRPr="00F847D5">
              <w:rPr>
                <w:rtl/>
              </w:rPr>
              <w:t>اتساق القياس مع البناء النظري</w:t>
            </w:r>
          </w:p>
        </w:tc>
        <w:tc>
          <w:tcPr>
            <w:tcW w:w="6904" w:type="dxa"/>
          </w:tcPr>
          <w:p w14:paraId="18643177" w14:textId="4170DAB6" w:rsidR="00F04C7E" w:rsidRDefault="00F04C7E" w:rsidP="00F04C7E">
            <w:pPr>
              <w:bidi/>
              <w:jc w:val="both"/>
            </w:pPr>
            <w:r w:rsidRPr="00F847D5">
              <w:rPr>
                <w:rtl/>
              </w:rPr>
              <w:t>ظهر تقدم واضح في مواءمة الأبعاد ومسارات الفرضيات، إلا أن الفصل يحتاج إلى حسم نهائي لمقياس الرضا الوظيفي المعتمد في الاستبانة وربطه صراحة بأداة الدراسة كما في الصياغات الجديدة</w:t>
            </w:r>
            <w:r w:rsidRPr="00F847D5">
              <w:t>.</w:t>
            </w:r>
          </w:p>
        </w:tc>
      </w:tr>
      <w:tr w:rsidR="00F04C7E" w14:paraId="76D681A5" w14:textId="77777777" w:rsidTr="00815F71">
        <w:tc>
          <w:tcPr>
            <w:tcW w:w="953" w:type="dxa"/>
          </w:tcPr>
          <w:p w14:paraId="2FD8BDCB" w14:textId="47E0362D" w:rsidR="00F04C7E" w:rsidRDefault="00F04C7E" w:rsidP="00F04C7E">
            <w:pPr>
              <w:bidi/>
              <w:jc w:val="both"/>
            </w:pPr>
            <w:r w:rsidRPr="00F847D5">
              <w:t>3</w:t>
            </w:r>
          </w:p>
        </w:tc>
        <w:tc>
          <w:tcPr>
            <w:tcW w:w="1890" w:type="dxa"/>
          </w:tcPr>
          <w:p w14:paraId="28F5D27D" w14:textId="1B03BD1A" w:rsidR="00F04C7E" w:rsidRDefault="00F04C7E" w:rsidP="00F04C7E">
            <w:pPr>
              <w:bidi/>
              <w:jc w:val="both"/>
            </w:pPr>
            <w:r w:rsidRPr="00F847D5">
              <w:rPr>
                <w:rtl/>
              </w:rPr>
              <w:t>إبراز الفجوة البحثية بصيغة أكثر حسمًا</w:t>
            </w:r>
          </w:p>
        </w:tc>
        <w:tc>
          <w:tcPr>
            <w:tcW w:w="6904" w:type="dxa"/>
          </w:tcPr>
          <w:p w14:paraId="7998D2A8" w14:textId="660B60B1" w:rsidR="00F04C7E" w:rsidRDefault="00F04C7E" w:rsidP="00F04C7E">
            <w:pPr>
              <w:bidi/>
              <w:jc w:val="both"/>
            </w:pPr>
            <w:r w:rsidRPr="00F847D5">
              <w:rPr>
                <w:rtl/>
              </w:rPr>
              <w:t>الفجوة البحثية أصبحت أقوى بكثير، لكنها تستفيد من خاتمة أكثر تركيزًا تجمع مستوياتها الثلاثة في صياغة مركزة ونهائية</w:t>
            </w:r>
            <w:r w:rsidRPr="00F847D5">
              <w:t>.</w:t>
            </w:r>
          </w:p>
        </w:tc>
      </w:tr>
      <w:tr w:rsidR="00F04C7E" w14:paraId="2318C56C" w14:textId="77777777" w:rsidTr="00815F71">
        <w:tc>
          <w:tcPr>
            <w:tcW w:w="953" w:type="dxa"/>
          </w:tcPr>
          <w:p w14:paraId="1E3898A5" w14:textId="7956C9BE" w:rsidR="00F04C7E" w:rsidRDefault="00F04C7E" w:rsidP="00F04C7E">
            <w:pPr>
              <w:bidi/>
              <w:jc w:val="both"/>
            </w:pPr>
            <w:r w:rsidRPr="00F847D5">
              <w:t>4</w:t>
            </w:r>
          </w:p>
        </w:tc>
        <w:tc>
          <w:tcPr>
            <w:tcW w:w="1890" w:type="dxa"/>
          </w:tcPr>
          <w:p w14:paraId="7C44B599" w14:textId="6D60A2F0" w:rsidR="00F04C7E" w:rsidRDefault="00F04C7E" w:rsidP="00F04C7E">
            <w:pPr>
              <w:bidi/>
              <w:jc w:val="both"/>
            </w:pPr>
            <w:r w:rsidRPr="00F847D5">
              <w:rPr>
                <w:rtl/>
              </w:rPr>
              <w:t>التوثيق والاقتصاد اللغوي</w:t>
            </w:r>
          </w:p>
        </w:tc>
        <w:tc>
          <w:tcPr>
            <w:tcW w:w="6904" w:type="dxa"/>
          </w:tcPr>
          <w:p w14:paraId="72F7AF9B" w14:textId="564823AA" w:rsidR="00F04C7E" w:rsidRDefault="00F04C7E" w:rsidP="00F04C7E">
            <w:pPr>
              <w:bidi/>
              <w:jc w:val="both"/>
            </w:pPr>
            <w:r w:rsidRPr="00F847D5">
              <w:rPr>
                <w:rtl/>
              </w:rPr>
              <w:t>تحتاج قائمة المراجع وبعض المواضع داخل الفصل إلى تدقيق</w:t>
            </w:r>
            <w:r w:rsidRPr="00F847D5">
              <w:t xml:space="preserve"> APA </w:t>
            </w:r>
            <w:r w:rsidRPr="00F847D5">
              <w:rPr>
                <w:rtl/>
              </w:rPr>
              <w:t>أكثر صرامة، مع تهذيب محدود لبعض الجمل الطويلة وتقليل التكرار اليسير</w:t>
            </w:r>
            <w:r w:rsidRPr="00F847D5">
              <w:t>.</w:t>
            </w:r>
          </w:p>
        </w:tc>
      </w:tr>
    </w:tbl>
    <w:p w14:paraId="085A7A4F" w14:textId="77777777" w:rsidR="00671ED4" w:rsidRDefault="00671ED4" w:rsidP="00F04C7E">
      <w:pPr>
        <w:bidi/>
        <w:jc w:val="both"/>
      </w:pPr>
    </w:p>
    <w:p w14:paraId="7CF79EB0" w14:textId="77777777" w:rsidR="00F04C7E" w:rsidRDefault="00000000" w:rsidP="00F04C7E">
      <w:pPr>
        <w:bidi/>
        <w:spacing w:after="120"/>
        <w:jc w:val="both"/>
      </w:pPr>
      <w:r>
        <w:rPr>
          <w:b/>
          <w:color w:val="1F4E79"/>
          <w:sz w:val="26"/>
        </w:rPr>
        <w:t xml:space="preserve">ثالثًا: إرشادات </w:t>
      </w:r>
      <w:proofErr w:type="spellStart"/>
      <w:r>
        <w:rPr>
          <w:b/>
          <w:color w:val="1F4E79"/>
          <w:sz w:val="26"/>
        </w:rPr>
        <w:t>الإغلاق</w:t>
      </w:r>
      <w:proofErr w:type="spellEnd"/>
    </w:p>
    <w:p w14:paraId="428FBF9F" w14:textId="77777777" w:rsidR="00F04C7E" w:rsidRDefault="00F04C7E" w:rsidP="00F04C7E">
      <w:pPr>
        <w:bidi/>
        <w:spacing w:after="120"/>
        <w:jc w:val="both"/>
      </w:pPr>
      <w:r>
        <w:rPr>
          <w:rFonts w:cs="Arial"/>
          <w:rtl/>
        </w:rPr>
        <w:t>• حسم الإطار النظري المحوري وإظهار وظيفة الأطر المساندة في خدمته بصياغة أوضح.</w:t>
      </w:r>
    </w:p>
    <w:p w14:paraId="1FB71001" w14:textId="77777777" w:rsidR="00F04C7E" w:rsidRDefault="00F04C7E" w:rsidP="00F04C7E">
      <w:pPr>
        <w:bidi/>
        <w:spacing w:after="120"/>
        <w:jc w:val="both"/>
      </w:pPr>
      <w:r>
        <w:rPr>
          <w:rFonts w:cs="Arial"/>
          <w:rtl/>
        </w:rPr>
        <w:t>• تحديد مقياس الرضا الوظيفي المعتمد بشكل نهائي وربطه صراحة بأداة الدراسة والمنهجية.</w:t>
      </w:r>
    </w:p>
    <w:p w14:paraId="4CEDB6A7" w14:textId="77777777" w:rsidR="00F04C7E" w:rsidRDefault="00F04C7E" w:rsidP="00F04C7E">
      <w:pPr>
        <w:bidi/>
        <w:spacing w:after="120"/>
        <w:jc w:val="both"/>
      </w:pPr>
      <w:r>
        <w:rPr>
          <w:rFonts w:cs="Arial"/>
          <w:rtl/>
        </w:rPr>
        <w:t>• إعادة صياغة الفجوة البحثية في خاتمة موجزة ونهائية بثلاثة مستويات واضحة.</w:t>
      </w:r>
    </w:p>
    <w:p w14:paraId="47B01779" w14:textId="77777777" w:rsidR="00F04C7E" w:rsidRDefault="00F04C7E" w:rsidP="00F04C7E">
      <w:pPr>
        <w:bidi/>
        <w:spacing w:after="120"/>
        <w:jc w:val="both"/>
        <w:rPr>
          <w:rFonts w:cs="Arial"/>
        </w:rPr>
      </w:pPr>
      <w:r>
        <w:rPr>
          <w:rFonts w:cs="Arial"/>
          <w:rtl/>
        </w:rPr>
        <w:t>• إجراء تدقيق شامل للمراجع والتوثيق والاقتصاد اللغوي.</w:t>
      </w:r>
    </w:p>
    <w:p w14:paraId="018CC60E" w14:textId="77777777" w:rsidR="00F04C7E" w:rsidRDefault="00F04C7E" w:rsidP="00F04C7E">
      <w:pPr>
        <w:bidi/>
        <w:spacing w:after="120"/>
        <w:jc w:val="both"/>
        <w:rPr>
          <w:rFonts w:cs="Arial"/>
        </w:rPr>
      </w:pPr>
    </w:p>
    <w:p w14:paraId="6F5C42C2" w14:textId="49815453" w:rsidR="00671ED4" w:rsidRDefault="00000000" w:rsidP="00F04C7E">
      <w:pPr>
        <w:bidi/>
        <w:spacing w:after="120"/>
        <w:jc w:val="both"/>
      </w:pPr>
      <w:proofErr w:type="spellStart"/>
      <w:r>
        <w:rPr>
          <w:b/>
          <w:color w:val="1F4E79"/>
          <w:sz w:val="26"/>
        </w:rPr>
        <w:t>رابعًا</w:t>
      </w:r>
      <w:proofErr w:type="spellEnd"/>
      <w:r>
        <w:rPr>
          <w:b/>
          <w:color w:val="1F4E79"/>
          <w:sz w:val="26"/>
        </w:rPr>
        <w:t xml:space="preserve">: </w:t>
      </w:r>
      <w:proofErr w:type="spellStart"/>
      <w:r>
        <w:rPr>
          <w:b/>
          <w:color w:val="1F4E79"/>
          <w:sz w:val="26"/>
        </w:rPr>
        <w:t>الخلاصة</w:t>
      </w:r>
      <w:proofErr w:type="spellEnd"/>
      <w:r>
        <w:rPr>
          <w:b/>
          <w:color w:val="1F4E79"/>
          <w:sz w:val="26"/>
        </w:rPr>
        <w:t xml:space="preserve"> </w:t>
      </w:r>
      <w:proofErr w:type="spellStart"/>
      <w:r>
        <w:rPr>
          <w:b/>
          <w:color w:val="1F4E79"/>
          <w:sz w:val="26"/>
        </w:rPr>
        <w:t>التقويمية</w:t>
      </w:r>
      <w:proofErr w:type="spellEnd"/>
    </w:p>
    <w:p w14:paraId="417A064F" w14:textId="08B96879" w:rsidR="00671ED4" w:rsidRDefault="00F04C7E" w:rsidP="00F04C7E">
      <w:pPr>
        <w:bidi/>
        <w:spacing w:after="120"/>
        <w:jc w:val="both"/>
      </w:pPr>
      <w:r w:rsidRPr="00F04C7E">
        <w:rPr>
          <w:rFonts w:cs="Arial"/>
          <w:rtl/>
        </w:rPr>
        <w:t>استنادًا إلى المقارنة بين تقرير التسليم الثاني والنسخة الحالية، فإن الفصل الثاني في وضع علمي جيد، وقد عالج معظم ما طُلب في المراجعة السابقة. وعليه، أوصي باعتماده بعد استكمال التعديلات المحدودة المذكورة أعلاه.</w:t>
      </w:r>
    </w:p>
    <w:sectPr w:rsidR="00671ED4"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7085899">
    <w:abstractNumId w:val="8"/>
  </w:num>
  <w:num w:numId="2" w16cid:durableId="1385838130">
    <w:abstractNumId w:val="6"/>
  </w:num>
  <w:num w:numId="3" w16cid:durableId="1491798363">
    <w:abstractNumId w:val="5"/>
  </w:num>
  <w:num w:numId="4" w16cid:durableId="37628780">
    <w:abstractNumId w:val="4"/>
  </w:num>
  <w:num w:numId="5" w16cid:durableId="346639451">
    <w:abstractNumId w:val="7"/>
  </w:num>
  <w:num w:numId="6" w16cid:durableId="1196576788">
    <w:abstractNumId w:val="3"/>
  </w:num>
  <w:num w:numId="7" w16cid:durableId="857546645">
    <w:abstractNumId w:val="2"/>
  </w:num>
  <w:num w:numId="8" w16cid:durableId="1617131924">
    <w:abstractNumId w:val="1"/>
  </w:num>
  <w:num w:numId="9" w16cid:durableId="861089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yMjA2tjCyMLAwMzNX0lEKTi0uzszPAykwrAUACttMCSwAAAA="/>
  </w:docVars>
  <w:rsids>
    <w:rsidRoot w:val="00B47730"/>
    <w:rsid w:val="00034616"/>
    <w:rsid w:val="0006063C"/>
    <w:rsid w:val="0015074B"/>
    <w:rsid w:val="0029639D"/>
    <w:rsid w:val="00326F90"/>
    <w:rsid w:val="005A1D0C"/>
    <w:rsid w:val="00671ED4"/>
    <w:rsid w:val="00AA1D8D"/>
    <w:rsid w:val="00B47730"/>
    <w:rsid w:val="00CB0664"/>
    <w:rsid w:val="00F04C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03D44C"/>
  <w14:defaultImageDpi w14:val="300"/>
  <w15:docId w15:val="{902F8ACD-CAFF-47B1-BB56-6D0C9CA1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2026-04-21T04:46:00Z</dcterms:created>
  <dcterms:modified xsi:type="dcterms:W3CDTF">2026-04-21T04:46:00Z</dcterms:modified>
  <cp:category/>
</cp:coreProperties>
</file>