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D70B4" w:rsidRDefault="009125CE" w:rsidP="005D70B4">
      <w:pPr>
        <w:spacing w:line="360" w:lineRule="auto"/>
        <w:rPr>
          <w:rFonts w:ascii="Simplified Arabic" w:hAnsi="Simplified Arabic" w:cs="Simplified Arabic"/>
          <w:b/>
          <w:bCs/>
          <w:color w:val="000000" w:themeColor="text1"/>
          <w:sz w:val="32"/>
          <w:szCs w:val="32"/>
          <w:lang w:bidi="ar-EG"/>
        </w:rPr>
      </w:pPr>
      <w:r w:rsidRPr="005D70B4">
        <w:rPr>
          <w:rFonts w:ascii="Simplified Arabic" w:hAnsi="Simplified Arabic" w:cs="Simplified Arabic" w:hint="cs"/>
          <w:b/>
          <w:bCs/>
          <w:color w:val="000000" w:themeColor="text1"/>
          <w:sz w:val="32"/>
          <w:szCs w:val="32"/>
          <w:rtl/>
          <w:lang w:bidi="ar-EG"/>
        </w:rPr>
        <w:t xml:space="preserve">جامعة ميدأوشن </w:t>
      </w:r>
    </w:p>
    <w:p w14:paraId="1E957002" w14:textId="04B27A9D" w:rsidR="00F546CE" w:rsidRPr="005D70B4" w:rsidRDefault="009125CE" w:rsidP="005D70B4">
      <w:pPr>
        <w:spacing w:line="360" w:lineRule="auto"/>
        <w:rPr>
          <w:rFonts w:ascii="Simplified Arabic" w:hAnsi="Simplified Arabic" w:cs="Simplified Arabic"/>
          <w:b/>
          <w:bCs/>
          <w:color w:val="000000" w:themeColor="text1"/>
          <w:sz w:val="32"/>
          <w:szCs w:val="32"/>
          <w:rtl/>
          <w:lang w:bidi="ar-EG"/>
        </w:rPr>
      </w:pPr>
      <w:r w:rsidRPr="005D70B4">
        <w:rPr>
          <w:rFonts w:ascii="Simplified Arabic" w:hAnsi="Simplified Arabic" w:cs="Simplified Arabic" w:hint="cs"/>
          <w:b/>
          <w:b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D70B4">
        <w:rPr>
          <w:rFonts w:ascii="Simplified Arabic" w:hAnsi="Simplified Arabic" w:cs="Simplified Arabic" w:hint="cs"/>
          <w:b/>
          <w:bCs/>
          <w:color w:val="000000" w:themeColor="text1"/>
          <w:sz w:val="32"/>
          <w:szCs w:val="32"/>
          <w:lang w:bidi="ar-EG"/>
        </w:rPr>
        <w:t xml:space="preserve">    </w:t>
      </w:r>
      <w:r w:rsidRPr="005D70B4">
        <w:rPr>
          <w:rFonts w:ascii="Simplified Arabic" w:hAnsi="Simplified Arabic" w:cs="Simplified Arabic" w:hint="cs"/>
          <w:b/>
          <w:bCs/>
          <w:color w:val="000000" w:themeColor="text1"/>
          <w:sz w:val="32"/>
          <w:szCs w:val="32"/>
          <w:rtl/>
          <w:lang w:bidi="ar-EG"/>
        </w:rPr>
        <w:t xml:space="preserve">كلية الإدارة </w:t>
      </w:r>
    </w:p>
    <w:p w14:paraId="5F6542BF" w14:textId="6BF8B383" w:rsidR="009125CE" w:rsidRPr="005D70B4" w:rsidRDefault="009125CE" w:rsidP="005D70B4">
      <w:pPr>
        <w:spacing w:line="360" w:lineRule="auto"/>
        <w:rPr>
          <w:rFonts w:ascii="Simplified Arabic" w:hAnsi="Simplified Arabic" w:cs="Simplified Arabic"/>
          <w:color w:val="000000" w:themeColor="text1"/>
          <w:sz w:val="32"/>
          <w:szCs w:val="32"/>
          <w:rtl/>
          <w:lang w:bidi="ar-EG"/>
        </w:rPr>
      </w:pPr>
      <w:r w:rsidRPr="005D70B4">
        <w:rPr>
          <w:rFonts w:ascii="Simplified Arabic" w:hAnsi="Simplified Arabic" w:cs="Simplified Arabic" w:hint="cs"/>
          <w:b/>
          <w:bCs/>
          <w:color w:val="000000" w:themeColor="text1"/>
          <w:sz w:val="32"/>
          <w:szCs w:val="32"/>
          <w:rtl/>
          <w:lang w:bidi="ar-EG"/>
        </w:rPr>
        <w:t>قسم / تخصص</w:t>
      </w:r>
      <w:r w:rsidR="00992005" w:rsidRPr="005D70B4">
        <w:rPr>
          <w:rFonts w:ascii="Simplified Arabic" w:hAnsi="Simplified Arabic" w:cs="Simplified Arabic" w:hint="cs"/>
          <w:b/>
          <w:bCs/>
          <w:color w:val="000000" w:themeColor="text1"/>
          <w:sz w:val="32"/>
          <w:szCs w:val="32"/>
          <w:rtl/>
          <w:lang w:bidi="ar-EG"/>
        </w:rPr>
        <w:t xml:space="preserve"> ماجستير إدارة المخاطر </w:t>
      </w:r>
    </w:p>
    <w:p w14:paraId="15C28831" w14:textId="3F0B8E6B" w:rsidR="009125CE" w:rsidRPr="005D70B4" w:rsidRDefault="00A74F76" w:rsidP="005D70B4">
      <w:pPr>
        <w:spacing w:line="360" w:lineRule="auto"/>
        <w:jc w:val="center"/>
        <w:rPr>
          <w:rFonts w:ascii="Simplified Arabic" w:hAnsi="Simplified Arabic" w:cs="Simplified Arabic"/>
          <w:b/>
          <w:bCs/>
          <w:color w:val="000000" w:themeColor="text1"/>
          <w:sz w:val="32"/>
          <w:szCs w:val="32"/>
          <w:rtl/>
          <w:lang w:bidi="ar-EG"/>
        </w:rPr>
      </w:pPr>
      <w:r w:rsidRPr="005D70B4">
        <w:rPr>
          <w:rFonts w:ascii="Simplified Arabic" w:hAnsi="Simplified Arabic" w:cs="Simplified Arabic" w:hint="cs"/>
          <w:b/>
          <w:bCs/>
          <w:color w:val="000000" w:themeColor="text1"/>
          <w:sz w:val="32"/>
          <w:szCs w:val="32"/>
          <w:rtl/>
          <w:lang w:bidi="ar-EG"/>
        </w:rPr>
        <w:t>عنوان البحث</w:t>
      </w:r>
    </w:p>
    <w:p w14:paraId="0EB57E30" w14:textId="39637304" w:rsidR="009125CE" w:rsidRPr="005D70B4" w:rsidRDefault="005A4714" w:rsidP="005D70B4">
      <w:pPr>
        <w:spacing w:line="360" w:lineRule="auto"/>
        <w:jc w:val="center"/>
        <w:rPr>
          <w:rFonts w:ascii="Simplified Arabic" w:hAnsi="Simplified Arabic" w:cs="Simplified Arabic"/>
          <w:color w:val="000000" w:themeColor="text1"/>
          <w:sz w:val="32"/>
          <w:szCs w:val="32"/>
          <w:rtl/>
          <w:lang w:bidi="ar-EG"/>
        </w:rPr>
      </w:pPr>
      <w:r w:rsidRPr="005D70B4">
        <w:rPr>
          <w:rFonts w:ascii="Simplified Arabic" w:hAnsi="Simplified Arabic" w:cs="Simplified Arabic" w:hint="cs"/>
          <w:color w:val="000000" w:themeColor="text1"/>
          <w:sz w:val="32"/>
          <w:szCs w:val="32"/>
          <w:rtl/>
          <w:lang w:bidi="ar-EG"/>
        </w:rPr>
        <w:t xml:space="preserve"> </w:t>
      </w:r>
      <w:r w:rsidR="00FA448B" w:rsidRPr="005D70B4">
        <w:rPr>
          <w:rFonts w:ascii="Simplified Arabic" w:hAnsi="Simplified Arabic" w:cs="Simplified Arabic" w:hint="cs"/>
          <w:color w:val="000000" w:themeColor="text1"/>
          <w:sz w:val="32"/>
          <w:szCs w:val="32"/>
          <w:rtl/>
          <w:lang w:bidi="ar-EG"/>
        </w:rPr>
        <w:t>تأثير تطبيق حوكمة المخاطر والامتثال (</w:t>
      </w:r>
      <w:r w:rsidR="00FA448B" w:rsidRPr="005D70B4">
        <w:rPr>
          <w:rFonts w:ascii="Simplified Arabic" w:hAnsi="Simplified Arabic" w:cs="Simplified Arabic" w:hint="cs"/>
          <w:color w:val="000000" w:themeColor="text1"/>
          <w:sz w:val="32"/>
          <w:szCs w:val="32"/>
          <w:lang w:bidi="ar-EG"/>
        </w:rPr>
        <w:t>GRC</w:t>
      </w:r>
      <w:r w:rsidR="00FA448B" w:rsidRPr="005D70B4">
        <w:rPr>
          <w:rFonts w:ascii="Simplified Arabic" w:hAnsi="Simplified Arabic" w:cs="Simplified Arabic" w:hint="cs"/>
          <w:color w:val="000000" w:themeColor="text1"/>
          <w:sz w:val="32"/>
          <w:szCs w:val="32"/>
          <w:rtl/>
          <w:lang w:bidi="ar-EG"/>
        </w:rPr>
        <w:t>) على كفاءة الأداء والحد من المخاطر التشغيلية دارسة حالة المنشآت المالية السعودية</w:t>
      </w:r>
    </w:p>
    <w:p w14:paraId="2777851E" w14:textId="2F3A8FF7" w:rsidR="008571A7" w:rsidRDefault="009125CE" w:rsidP="008571A7">
      <w:pPr>
        <w:spacing w:line="360" w:lineRule="auto"/>
        <w:jc w:val="center"/>
        <w:rPr>
          <w:rFonts w:ascii="Simplified Arabic" w:hAnsi="Simplified Arabic" w:cs="Simplified Arabic"/>
          <w:b/>
          <w:bCs/>
          <w:color w:val="000000" w:themeColor="text1"/>
          <w:sz w:val="32"/>
          <w:szCs w:val="32"/>
          <w:rtl/>
          <w:lang w:bidi="ar-EG"/>
        </w:rPr>
      </w:pPr>
      <w:r w:rsidRPr="005D70B4">
        <w:rPr>
          <w:rFonts w:ascii="Simplified Arabic" w:hAnsi="Simplified Arabic" w:cs="Simplified Arabic" w:hint="cs"/>
          <w:b/>
          <w:bCs/>
          <w:color w:val="000000" w:themeColor="text1"/>
          <w:sz w:val="32"/>
          <w:szCs w:val="32"/>
          <w:rtl/>
          <w:lang w:bidi="ar-EG"/>
        </w:rPr>
        <w:t>إعداد الطالب/</w:t>
      </w:r>
      <w:r w:rsidR="008571A7">
        <w:rPr>
          <w:rFonts w:ascii="Simplified Arabic" w:hAnsi="Simplified Arabic" w:cs="Simplified Arabic" w:hint="cs"/>
          <w:b/>
          <w:bCs/>
          <w:color w:val="000000" w:themeColor="text1"/>
          <w:sz w:val="32"/>
          <w:szCs w:val="32"/>
          <w:rtl/>
          <w:lang w:bidi="ar-EG"/>
        </w:rPr>
        <w:t>مشاري هادي ال رشيد</w:t>
      </w:r>
    </w:p>
    <w:p w14:paraId="609910E1" w14:textId="39B7058B" w:rsidR="008571A7" w:rsidRPr="005D70B4" w:rsidRDefault="008571A7" w:rsidP="008571A7">
      <w:pPr>
        <w:spacing w:line="360" w:lineRule="auto"/>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الرقم الأكاديمي/251000591</w:t>
      </w:r>
    </w:p>
    <w:p w14:paraId="2EFA31CD" w14:textId="7D7460C9" w:rsidR="009125CE" w:rsidRDefault="009125CE" w:rsidP="008571A7">
      <w:pPr>
        <w:spacing w:line="360" w:lineRule="auto"/>
        <w:jc w:val="center"/>
        <w:rPr>
          <w:rFonts w:ascii="Simplified Arabic" w:hAnsi="Simplified Arabic" w:cs="Simplified Arabic"/>
          <w:b/>
          <w:bCs/>
          <w:color w:val="000000" w:themeColor="text1"/>
          <w:sz w:val="32"/>
          <w:szCs w:val="32"/>
          <w:rtl/>
          <w:lang w:bidi="ar-EG"/>
        </w:rPr>
      </w:pPr>
      <w:r w:rsidRPr="005D70B4">
        <w:rPr>
          <w:rFonts w:ascii="Simplified Arabic" w:hAnsi="Simplified Arabic" w:cs="Simplified Arabic" w:hint="cs"/>
          <w:b/>
          <w:bCs/>
          <w:color w:val="000000" w:themeColor="text1"/>
          <w:sz w:val="32"/>
          <w:szCs w:val="32"/>
          <w:rtl/>
          <w:lang w:bidi="ar-EG"/>
        </w:rPr>
        <w:t>إشراف/</w:t>
      </w:r>
      <w:r w:rsidR="008571A7">
        <w:rPr>
          <w:rFonts w:ascii="Simplified Arabic" w:hAnsi="Simplified Arabic" w:cs="Simplified Arabic" w:hint="cs"/>
          <w:b/>
          <w:bCs/>
          <w:color w:val="000000" w:themeColor="text1"/>
          <w:sz w:val="32"/>
          <w:szCs w:val="32"/>
          <w:rtl/>
          <w:lang w:bidi="ar-EG"/>
        </w:rPr>
        <w:t>د.الفيصل عبدالحميد محمد</w:t>
      </w:r>
    </w:p>
    <w:p w14:paraId="16CF2D6A" w14:textId="1B28EA98" w:rsidR="009125CE" w:rsidRPr="005D70B4" w:rsidRDefault="008571A7" w:rsidP="008571A7">
      <w:pPr>
        <w:spacing w:line="360" w:lineRule="auto"/>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د.فايز علي جراد</w:t>
      </w:r>
    </w:p>
    <w:p w14:paraId="22738CC6" w14:textId="77777777" w:rsidR="009125CE" w:rsidRPr="005D70B4" w:rsidRDefault="009125CE" w:rsidP="005D70B4">
      <w:pPr>
        <w:spacing w:line="360" w:lineRule="auto"/>
        <w:jc w:val="center"/>
        <w:rPr>
          <w:rFonts w:ascii="Simplified Arabic" w:hAnsi="Simplified Arabic" w:cs="Simplified Arabic"/>
          <w:b/>
          <w:bCs/>
          <w:color w:val="000000" w:themeColor="text1"/>
          <w:sz w:val="32"/>
          <w:szCs w:val="32"/>
          <w:rtl/>
          <w:lang w:bidi="ar-EG"/>
        </w:rPr>
      </w:pPr>
    </w:p>
    <w:p w14:paraId="14480418" w14:textId="78A6C3AC" w:rsidR="009125CE" w:rsidRPr="005D70B4" w:rsidRDefault="009125CE" w:rsidP="005D70B4">
      <w:pPr>
        <w:spacing w:line="360" w:lineRule="auto"/>
        <w:jc w:val="center"/>
        <w:rPr>
          <w:rFonts w:ascii="Simplified Arabic" w:hAnsi="Simplified Arabic" w:cs="Simplified Arabic"/>
          <w:b/>
          <w:bCs/>
          <w:color w:val="000000" w:themeColor="text1"/>
          <w:sz w:val="32"/>
          <w:szCs w:val="32"/>
          <w:rtl/>
          <w:lang w:bidi="ar-EG"/>
        </w:rPr>
      </w:pPr>
      <w:r w:rsidRPr="005D70B4">
        <w:rPr>
          <w:rFonts w:ascii="Simplified Arabic" w:hAnsi="Simplified Arabic" w:cs="Simplified Arabic" w:hint="cs"/>
          <w:b/>
          <w:bCs/>
          <w:color w:val="000000" w:themeColor="text1"/>
          <w:sz w:val="32"/>
          <w:szCs w:val="32"/>
          <w:rtl/>
          <w:lang w:bidi="ar-EG"/>
        </w:rPr>
        <w:t>العام الدراسي:</w:t>
      </w:r>
    </w:p>
    <w:p w14:paraId="4E0CFB27" w14:textId="1BE2FA19" w:rsidR="001332DC" w:rsidRPr="005D70B4" w:rsidRDefault="00461CB0" w:rsidP="006C30DA">
      <w:pPr>
        <w:spacing w:line="360" w:lineRule="auto"/>
        <w:jc w:val="center"/>
        <w:divId w:val="1222525572"/>
        <w:rPr>
          <w:rFonts w:ascii="Simplified Arabic" w:eastAsia="Times New Roman" w:hAnsi="Simplified Arabic" w:cs="Simplified Arabic"/>
          <w:color w:val="000000" w:themeColor="text1"/>
          <w:rtl/>
        </w:rPr>
      </w:pPr>
      <w:r w:rsidRPr="005D70B4">
        <w:rPr>
          <w:rFonts w:ascii="Simplified Arabic" w:hAnsi="Simplified Arabic" w:cs="Simplified Arabic" w:hint="cs"/>
          <w:b/>
          <w:bCs/>
          <w:color w:val="000000" w:themeColor="text1"/>
          <w:sz w:val="32"/>
          <w:szCs w:val="32"/>
          <w:rtl/>
          <w:lang w:bidi="ar-EG"/>
        </w:rPr>
        <w:t>٢٠٢</w:t>
      </w:r>
      <w:r w:rsidR="004E1596">
        <w:rPr>
          <w:rFonts w:ascii="Simplified Arabic" w:hAnsi="Simplified Arabic" w:cs="Simplified Arabic" w:hint="cs"/>
          <w:b/>
          <w:bCs/>
          <w:color w:val="000000" w:themeColor="text1"/>
          <w:sz w:val="32"/>
          <w:szCs w:val="32"/>
          <w:rtl/>
          <w:lang w:bidi="ar-EG"/>
        </w:rPr>
        <w:t>٥</w:t>
      </w:r>
    </w:p>
    <w:p w14:paraId="77DC27B9" w14:textId="0E9CE6CA" w:rsidR="001332DC" w:rsidRPr="005D70B4" w:rsidRDefault="001332DC" w:rsidP="005D70B4">
      <w:pPr>
        <w:pStyle w:val="Heading2"/>
        <w:spacing w:before="0" w:after="120" w:line="360" w:lineRule="auto"/>
        <w:divId w:val="1222525572"/>
        <w:rPr>
          <w:rFonts w:ascii="Simplified Arabic" w:eastAsia="Times New Roman" w:hAnsi="Simplified Arabic" w:cs="Simplified Arabic"/>
          <w:color w:val="000000" w:themeColor="text1"/>
          <w:rtl/>
        </w:rPr>
      </w:pPr>
    </w:p>
    <w:p w14:paraId="4096523E" w14:textId="77777777" w:rsidR="001332DC" w:rsidRPr="005D70B4" w:rsidRDefault="001332DC" w:rsidP="005D70B4">
      <w:pPr>
        <w:pStyle w:val="Heading2"/>
        <w:spacing w:before="0" w:after="120" w:line="360" w:lineRule="auto"/>
        <w:divId w:val="1222525572"/>
        <w:rPr>
          <w:rFonts w:ascii="Simplified Arabic" w:eastAsia="Times New Roman" w:hAnsi="Simplified Arabic" w:cs="Simplified Arabic"/>
          <w:color w:val="000000" w:themeColor="text1"/>
          <w:rtl/>
        </w:rPr>
      </w:pPr>
    </w:p>
    <w:p w14:paraId="06A0C392" w14:textId="344E7FD1" w:rsidR="001332DC" w:rsidRPr="005D70B4" w:rsidRDefault="001332DC" w:rsidP="000C7A1B">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 xml:space="preserve">ملخص الدراسة </w:t>
      </w:r>
    </w:p>
    <w:p w14:paraId="607B7D1F" w14:textId="77777777" w:rsidR="001332DC" w:rsidRPr="005D70B4" w:rsidRDefault="001332DC" w:rsidP="005D70B4">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تهدف هذه الدراسة إلى تقييم أثر تطبيق الحوكمة والمخاطر والامتثال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على الأداء التشغيلي وتقليل المخاطر في المنشآت المالية السعودية، بناءً على استبيان شمل 100 مشارك.</w:t>
      </w:r>
    </w:p>
    <w:p w14:paraId="7C7BFA3B" w14:textId="77777777" w:rsidR="001332DC" w:rsidRPr="005D70B4" w:rsidRDefault="001332DC" w:rsidP="005D70B4">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 xml:space="preserve">أظهرت النتائج أن هناك تطبيقاً قوياً لـ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في هذه المنشآت، مما يساهم بشكل إيجابي في كفاءة الأداء التشغيلي والحد من المخاطر التشغيلية بشكل خاص.</w:t>
      </w:r>
    </w:p>
    <w:p w14:paraId="3B3B9FD2" w14:textId="77777777" w:rsidR="001332DC" w:rsidRPr="005D70B4" w:rsidRDefault="001332DC" w:rsidP="005D70B4">
      <w:pPr>
        <w:pStyle w:val="NormalWeb"/>
        <w:bidi/>
        <w:spacing w:before="0" w:beforeAutospacing="0" w:after="0" w:afterAutospacing="0" w:line="360" w:lineRule="auto"/>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 xml:space="preserve">توصي الدراسة بتعزيز الموارد، وتحسين التواصل، وربط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بشكل أوضح بخفض التكاليف التشغيلية، بالإضافة إلى الاستفادة من التكنولوجيا والمراجعة المستمرة لأطر العمل.</w:t>
      </w:r>
    </w:p>
    <w:p w14:paraId="796F14D3" w14:textId="77777777" w:rsidR="001332DC" w:rsidRPr="005D70B4" w:rsidRDefault="001332DC" w:rsidP="005D70B4">
      <w:pPr>
        <w:pStyle w:val="NormalWeb"/>
        <w:bidi/>
        <w:spacing w:before="0" w:beforeAutospacing="0" w:after="0" w:afterAutospacing="0" w:line="360" w:lineRule="auto"/>
        <w:rPr>
          <w:rFonts w:ascii="Simplified Arabic" w:hAnsi="Simplified Arabic" w:cs="Simplified Arabic"/>
          <w:color w:val="000000" w:themeColor="text1"/>
          <w:sz w:val="32"/>
          <w:szCs w:val="32"/>
          <w:rtl/>
        </w:rPr>
      </w:pPr>
    </w:p>
    <w:p w14:paraId="17EEEFE7" w14:textId="77777777" w:rsidR="001332DC" w:rsidRPr="005D70B4" w:rsidRDefault="001332DC" w:rsidP="005D70B4">
      <w:pPr>
        <w:pStyle w:val="Heading2"/>
        <w:spacing w:before="0" w:after="120" w:line="360" w:lineRule="auto"/>
        <w:divId w:val="1222525572"/>
        <w:rPr>
          <w:rFonts w:ascii="Simplified Arabic" w:eastAsia="Times New Roman" w:hAnsi="Simplified Arabic" w:cs="Simplified Arabic"/>
          <w:color w:val="000000" w:themeColor="text1"/>
          <w:rtl/>
        </w:rPr>
      </w:pPr>
    </w:p>
    <w:p w14:paraId="050B5519" w14:textId="77777777" w:rsidR="001332DC" w:rsidRPr="005D70B4" w:rsidRDefault="001332DC" w:rsidP="005D70B4">
      <w:pPr>
        <w:pStyle w:val="Heading2"/>
        <w:spacing w:before="0" w:after="120" w:line="360" w:lineRule="auto"/>
        <w:divId w:val="1222525572"/>
        <w:rPr>
          <w:rFonts w:ascii="Simplified Arabic" w:eastAsia="Times New Roman" w:hAnsi="Simplified Arabic" w:cs="Simplified Arabic"/>
          <w:color w:val="000000" w:themeColor="text1"/>
          <w:rtl/>
        </w:rPr>
      </w:pPr>
    </w:p>
    <w:p w14:paraId="1F9487CA" w14:textId="77777777" w:rsidR="001332DC" w:rsidRDefault="001332DC" w:rsidP="005D70B4">
      <w:pPr>
        <w:pStyle w:val="Heading2"/>
        <w:spacing w:before="0" w:after="120" w:line="360" w:lineRule="auto"/>
        <w:divId w:val="1222525572"/>
        <w:rPr>
          <w:rFonts w:ascii="Simplified Arabic" w:eastAsia="Times New Roman" w:hAnsi="Simplified Arabic" w:cs="Simplified Arabic"/>
          <w:color w:val="000000" w:themeColor="text1"/>
          <w:rtl/>
        </w:rPr>
      </w:pPr>
    </w:p>
    <w:p w14:paraId="4D55F9E3" w14:textId="77777777" w:rsidR="000C7A1B" w:rsidRDefault="000C7A1B" w:rsidP="000C7A1B">
      <w:pPr>
        <w:divId w:val="1222525572"/>
        <w:rPr>
          <w:rtl/>
        </w:rPr>
      </w:pPr>
    </w:p>
    <w:p w14:paraId="6723D79F" w14:textId="77777777" w:rsidR="000C7A1B" w:rsidRDefault="000C7A1B" w:rsidP="000C7A1B">
      <w:pPr>
        <w:divId w:val="1222525572"/>
        <w:rPr>
          <w:rtl/>
        </w:rPr>
      </w:pPr>
    </w:p>
    <w:p w14:paraId="43C14515" w14:textId="77777777" w:rsidR="000C7A1B" w:rsidRDefault="000C7A1B" w:rsidP="000C7A1B">
      <w:pPr>
        <w:divId w:val="1222525572"/>
        <w:rPr>
          <w:rtl/>
        </w:rPr>
      </w:pPr>
    </w:p>
    <w:p w14:paraId="2CE323FE" w14:textId="77777777" w:rsidR="000C7A1B" w:rsidRDefault="000C7A1B" w:rsidP="000C7A1B">
      <w:pPr>
        <w:divId w:val="1222525572"/>
        <w:rPr>
          <w:rtl/>
        </w:rPr>
      </w:pPr>
    </w:p>
    <w:p w14:paraId="15070367" w14:textId="77777777" w:rsidR="000C7A1B" w:rsidRDefault="000C7A1B" w:rsidP="000C7A1B">
      <w:pPr>
        <w:divId w:val="1222525572"/>
        <w:rPr>
          <w:rtl/>
        </w:rPr>
      </w:pPr>
    </w:p>
    <w:p w14:paraId="1081BCF7" w14:textId="77777777" w:rsidR="000C7A1B" w:rsidRPr="000C7A1B" w:rsidRDefault="000C7A1B" w:rsidP="000C7A1B">
      <w:pPr>
        <w:divId w:val="1222525572"/>
        <w:rPr>
          <w:rtl/>
        </w:rPr>
      </w:pPr>
    </w:p>
    <w:p w14:paraId="03C3D0E3" w14:textId="1ECC52E3" w:rsidR="00397850" w:rsidRPr="005D70B4" w:rsidRDefault="00397850" w:rsidP="005D70B4">
      <w:pPr>
        <w:pStyle w:val="Heading2"/>
        <w:spacing w:before="0" w:after="120" w:line="360" w:lineRule="auto"/>
        <w:divId w:val="1222525572"/>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مقدمة الدراسة</w:t>
      </w:r>
    </w:p>
    <w:p w14:paraId="0A314BFE" w14:textId="77777777" w:rsidR="00397850" w:rsidRPr="005D70B4" w:rsidRDefault="00397850" w:rsidP="005D70B4">
      <w:pPr>
        <w:pStyle w:val="NormalWeb"/>
        <w:bidi/>
        <w:spacing w:before="0" w:beforeAutospacing="0" w:after="240" w:afterAutospacing="0" w:line="360" w:lineRule="auto"/>
        <w:divId w:val="122252557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تُعدّ حوكمة المخاطر والامتثال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إطارًا متكاملًا يهدف إلى إدارة المخاطر، ضمان الالتزام باللوائح والمعايير، وتعزيز الشفافية والمساءلة داخل المنظمات. في ظل التطورات المتسارعة التي تشهدها البيئة الاقتصادية والتشريعية العالمية، أصبحت أهمية تطبيق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لا غنى عنها، لا سيما بالنسبة للمنشآت المالية التي تواجه تحديات متزايدة ومعقدة تتعلق بالمخاطر التشغيلية والتنظيمية. تسعى هذه المنشآت إلى تحقيق التوازن بين الابتكار والنمو، وبين الحفاظ على استقرارها المالي وحماية مصالح أصحاب المصلحة.</w:t>
      </w:r>
    </w:p>
    <w:p w14:paraId="203CF33E" w14:textId="77777777" w:rsidR="00397850" w:rsidRPr="005D70B4" w:rsidRDefault="00397850" w:rsidP="005D70B4">
      <w:pPr>
        <w:pStyle w:val="NormalWeb"/>
        <w:bidi/>
        <w:spacing w:before="0" w:beforeAutospacing="0" w:after="240" w:afterAutospacing="0" w:line="360" w:lineRule="auto"/>
        <w:divId w:val="122252557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 xml:space="preserve">يواجه القطاع المالي في المملكة العربية السعودية، شأنه شأن نظرائه عالميًا، ضغوطًا متزايدة من الجهات الرقابية والمستثمرين لتبني ممارسات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فعّالة. تأتي هذه الضغوط في سياق رؤية المملكة 2030 التي تهدف إلى تنويع الاقتصاد وتعزيز الشفافية والحوكمة في جميع القطاعات. إنّ الفشل في تطبيق أنظمة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قوية قد يؤدي إلى عواقب وخيمة، تشمل الخسائر المالية، الأضرار بسمعة المنشأة، والعقوبات القانونية.</w:t>
      </w:r>
    </w:p>
    <w:p w14:paraId="3DF3CE46" w14:textId="5C3B1BEE" w:rsidR="00FA0007" w:rsidRPr="000C7A1B" w:rsidRDefault="00397850" w:rsidP="000C7A1B">
      <w:pPr>
        <w:pStyle w:val="NormalWeb"/>
        <w:bidi/>
        <w:spacing w:before="0" w:beforeAutospacing="0" w:after="0" w:afterAutospacing="0" w:line="360" w:lineRule="auto"/>
        <w:divId w:val="1222525572"/>
        <w:rPr>
          <w:rFonts w:ascii="Simplified Arabic" w:hAnsi="Simplified Arabic" w:cs="Simplified Arabic"/>
          <w:color w:val="000000" w:themeColor="text1"/>
          <w:sz w:val="32"/>
          <w:szCs w:val="32"/>
        </w:rPr>
      </w:pPr>
      <w:r w:rsidRPr="005D70B4">
        <w:rPr>
          <w:rFonts w:ascii="Simplified Arabic" w:hAnsi="Simplified Arabic" w:cs="Simplified Arabic" w:hint="cs"/>
          <w:color w:val="000000" w:themeColor="text1"/>
          <w:sz w:val="32"/>
          <w:szCs w:val="32"/>
          <w:rtl/>
        </w:rPr>
        <w:t xml:space="preserve">تهدف هذه الدراسة إلى استكشاف </w:t>
      </w:r>
      <w:r w:rsidRPr="005D70B4">
        <w:rPr>
          <w:rStyle w:val="Strong"/>
          <w:rFonts w:ascii="Simplified Arabic" w:hAnsi="Simplified Arabic" w:cs="Simplified Arabic" w:hint="cs"/>
          <w:color w:val="000000" w:themeColor="text1"/>
          <w:sz w:val="32"/>
          <w:szCs w:val="32"/>
          <w:bdr w:val="none" w:sz="0" w:space="0" w:color="auto" w:frame="1"/>
          <w:rtl/>
        </w:rPr>
        <w:t>تأثير تطبيق حوكمة المخاطر والامتثال (</w:t>
      </w:r>
      <w:r w:rsidRPr="005D70B4">
        <w:rPr>
          <w:rStyle w:val="Strong"/>
          <w:rFonts w:ascii="Simplified Arabic" w:hAnsi="Simplified Arabic" w:cs="Simplified Arabic" w:hint="cs"/>
          <w:color w:val="000000" w:themeColor="text1"/>
          <w:sz w:val="32"/>
          <w:szCs w:val="32"/>
          <w:bdr w:val="none" w:sz="0" w:space="0" w:color="auto" w:frame="1"/>
        </w:rPr>
        <w:t>GRC</w:t>
      </w:r>
      <w:r w:rsidRPr="005D70B4">
        <w:rPr>
          <w:rStyle w:val="Strong"/>
          <w:rFonts w:ascii="Simplified Arabic" w:hAnsi="Simplified Arabic" w:cs="Simplified Arabic" w:hint="cs"/>
          <w:color w:val="000000" w:themeColor="text1"/>
          <w:sz w:val="32"/>
          <w:szCs w:val="32"/>
          <w:bdr w:val="none" w:sz="0" w:space="0" w:color="auto" w:frame="1"/>
          <w:rtl/>
        </w:rPr>
        <w:t>) على كفاءة الأداء والحد من المخاطر التشغيلية</w:t>
      </w:r>
      <w:r w:rsidRPr="005D70B4">
        <w:rPr>
          <w:rFonts w:ascii="Simplified Arabic" w:hAnsi="Simplified Arabic" w:cs="Simplified Arabic" w:hint="cs"/>
          <w:color w:val="000000" w:themeColor="text1"/>
          <w:sz w:val="32"/>
          <w:szCs w:val="32"/>
          <w:rtl/>
        </w:rPr>
        <w:t xml:space="preserve"> في المنشآت المالية السعودية. ستتناول الدراسة تحليلًا معمقًا لكيفية مساهمة أطر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في تحسين العمليات التشغيلية، تعزيز </w:t>
      </w:r>
      <w:r w:rsidRPr="005D70B4">
        <w:rPr>
          <w:rFonts w:ascii="Simplified Arabic" w:hAnsi="Simplified Arabic" w:cs="Simplified Arabic" w:hint="cs"/>
          <w:color w:val="000000" w:themeColor="text1"/>
          <w:sz w:val="32"/>
          <w:szCs w:val="32"/>
          <w:rtl/>
        </w:rPr>
        <w:lastRenderedPageBreak/>
        <w:t>قدرة المنشآت على تحديد المخاطر وإدارتها بفعالية، وبالتالي رفع مستوى الأداء العام. من خلال دراسة حالة محددة للمنشآت المالية السعودية، ستسعى هذه الدراسة إلى تقديم رؤى عملية وتوصيات قابلة للتطبيق للمساعدة في تعزيز مرونة هذه المنشآت واستدامتها في بيئة تتسم بالتغير المستمر.</w:t>
      </w:r>
    </w:p>
    <w:p w14:paraId="4D3D19DD" w14:textId="77777777" w:rsidR="00FA0007" w:rsidRPr="005D70B4" w:rsidRDefault="00FA0007" w:rsidP="005D70B4">
      <w:pPr>
        <w:pStyle w:val="Heading2"/>
        <w:spacing w:before="0" w:after="120" w:line="360" w:lineRule="auto"/>
        <w:divId w:val="668481948"/>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مشكلة الدراسة</w:t>
      </w:r>
    </w:p>
    <w:p w14:paraId="3C1610DF" w14:textId="77777777" w:rsidR="00FA0007" w:rsidRPr="005D70B4" w:rsidRDefault="00FA0007" w:rsidP="005D70B4">
      <w:pPr>
        <w:pStyle w:val="NormalWeb"/>
        <w:bidi/>
        <w:spacing w:before="0" w:beforeAutospacing="0" w:after="0" w:afterAutospacing="0" w:line="360" w:lineRule="auto"/>
        <w:divId w:val="668481948"/>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تُواجه المنشآت المالية السعودية تحديات متزايدة ومعقدة في إدارة المخاطر التشغيلية وضمان الامتثال للوائح المحلية والدولية. على الرغم من الإقرار بأهمية حوكمة المخاطر والامتثال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لا يزال هناك تساؤل حول مدى فعالية التطبيق الحالي لأطر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في هذه المنشآت، وتأثيرها المباشر على </w:t>
      </w:r>
      <w:r w:rsidRPr="005D70B4">
        <w:rPr>
          <w:rStyle w:val="Strong"/>
          <w:rFonts w:ascii="Simplified Arabic" w:hAnsi="Simplified Arabic" w:cs="Simplified Arabic" w:hint="cs"/>
          <w:color w:val="000000" w:themeColor="text1"/>
          <w:sz w:val="32"/>
          <w:szCs w:val="32"/>
          <w:bdr w:val="none" w:sz="0" w:space="0" w:color="auto" w:frame="1"/>
          <w:rtl/>
        </w:rPr>
        <w:t>كفاءة الأداء التشغيلي وقدرتها على الحد من المخاطر التشغيلية</w:t>
      </w:r>
      <w:r w:rsidRPr="005D70B4">
        <w:rPr>
          <w:rFonts w:ascii="Simplified Arabic" w:hAnsi="Simplified Arabic" w:cs="Simplified Arabic" w:hint="cs"/>
          <w:color w:val="000000" w:themeColor="text1"/>
          <w:sz w:val="32"/>
          <w:szCs w:val="32"/>
          <w:rtl/>
        </w:rPr>
        <w:t xml:space="preserve">. تفتقر الأدبيات والدراسات السابقة في السياق السعودي إلى تحليل شامل يربط بشكل مباشر بين نضج تطبيقات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والتحسين الملموس في الأداء التشغيلي وتقليل المخاطر. هذا النقص المعرفي يمثل تحديًا للمنشآت المالية التي تسعى إلى تحسين ممارساتها وتعزيز مرونتها في بيئة متغيرة.</w:t>
      </w:r>
    </w:p>
    <w:p w14:paraId="35920FD5" w14:textId="77777777" w:rsidR="00FA0007" w:rsidRPr="005D70B4" w:rsidRDefault="00FA0007" w:rsidP="005D70B4">
      <w:pPr>
        <w:pStyle w:val="NormalWeb"/>
        <w:bidi/>
        <w:spacing w:before="0" w:beforeAutospacing="0" w:after="0" w:afterAutospacing="0" w:line="360" w:lineRule="auto"/>
        <w:divId w:val="668481948"/>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 xml:space="preserve">انطلاقًا من هذه الخلفية، تتبلور </w:t>
      </w:r>
      <w:r w:rsidRPr="005D70B4">
        <w:rPr>
          <w:rStyle w:val="Strong"/>
          <w:rFonts w:ascii="Simplified Arabic" w:hAnsi="Simplified Arabic" w:cs="Simplified Arabic" w:hint="cs"/>
          <w:color w:val="000000" w:themeColor="text1"/>
          <w:sz w:val="32"/>
          <w:szCs w:val="32"/>
          <w:bdr w:val="none" w:sz="0" w:space="0" w:color="auto" w:frame="1"/>
          <w:rtl/>
        </w:rPr>
        <w:t>المشكلة الرئيسية للدراسة</w:t>
      </w:r>
      <w:r w:rsidRPr="005D70B4">
        <w:rPr>
          <w:rFonts w:ascii="Simplified Arabic" w:hAnsi="Simplified Arabic" w:cs="Simplified Arabic" w:hint="cs"/>
          <w:color w:val="000000" w:themeColor="text1"/>
          <w:sz w:val="32"/>
          <w:szCs w:val="32"/>
          <w:rtl/>
        </w:rPr>
        <w:t xml:space="preserve"> في التساؤل التالي:</w:t>
      </w:r>
    </w:p>
    <w:p w14:paraId="3F762988" w14:textId="77777777" w:rsidR="00FA0007" w:rsidRPr="005D70B4" w:rsidRDefault="00FA0007" w:rsidP="005D70B4">
      <w:pPr>
        <w:numPr>
          <w:ilvl w:val="0"/>
          <w:numId w:val="1"/>
        </w:numPr>
        <w:spacing w:after="0" w:line="360" w:lineRule="auto"/>
        <w:divId w:val="668481948"/>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ما هو تأثير تطبيق حوكمة المخاطر والامتثال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على كفاءة الأداء التشغيلي والحد من المخاطر التشغيلية في المنشآت المالية السعودية؟</w:t>
      </w:r>
    </w:p>
    <w:p w14:paraId="3324275D" w14:textId="77777777" w:rsidR="00FA0007" w:rsidRPr="005D70B4" w:rsidRDefault="00FA0007" w:rsidP="005D70B4">
      <w:pPr>
        <w:pStyle w:val="NormalWeb"/>
        <w:bidi/>
        <w:spacing w:before="0" w:beforeAutospacing="0" w:after="120" w:afterAutospacing="0" w:line="360" w:lineRule="auto"/>
        <w:divId w:val="668481948"/>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ويتفرع من هذه المشكلة الرئيسية التساؤلات الفرعية التالية:</w:t>
      </w:r>
    </w:p>
    <w:p w14:paraId="0D06F647" w14:textId="77777777" w:rsidR="00FA0007" w:rsidRPr="005D70B4" w:rsidRDefault="00FA0007" w:rsidP="005D70B4">
      <w:pPr>
        <w:numPr>
          <w:ilvl w:val="0"/>
          <w:numId w:val="2"/>
        </w:numPr>
        <w:spacing w:after="120" w:line="360" w:lineRule="auto"/>
        <w:divId w:val="668481948"/>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lastRenderedPageBreak/>
        <w:t>ما هو مستوى نضج تطبيق أطر حوكمة المخاطر والامتثال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في المنشآت المالية السعودية؟</w:t>
      </w:r>
    </w:p>
    <w:p w14:paraId="5F22ACF3" w14:textId="77777777" w:rsidR="00FA0007" w:rsidRPr="005D70B4" w:rsidRDefault="00FA0007" w:rsidP="005D70B4">
      <w:pPr>
        <w:numPr>
          <w:ilvl w:val="0"/>
          <w:numId w:val="2"/>
        </w:numPr>
        <w:spacing w:after="120" w:line="360" w:lineRule="auto"/>
        <w:divId w:val="668481948"/>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كيف يؤثر تطبيق مكونات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(مثل إدارة المخاطر، الامتثال، والتدقيق الداخلي) على كفاءة العمليات التشغيلية داخل المنشآت المالية السعودية؟</w:t>
      </w:r>
    </w:p>
    <w:p w14:paraId="5051D818" w14:textId="77777777" w:rsidR="00FA0007" w:rsidRPr="005D70B4" w:rsidRDefault="00FA0007" w:rsidP="005D70B4">
      <w:pPr>
        <w:numPr>
          <w:ilvl w:val="0"/>
          <w:numId w:val="2"/>
        </w:numPr>
        <w:spacing w:after="120" w:line="360" w:lineRule="auto"/>
        <w:divId w:val="668481948"/>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ما هو الدور الذي تلعبه أطر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تحديد، تقييم، ومعالجة المخاطر التشغيلية في المنشآت المالية السعودية؟</w:t>
      </w:r>
    </w:p>
    <w:p w14:paraId="706CECEA" w14:textId="2A09BA0B" w:rsidR="00567BEE" w:rsidRPr="000C7A1B" w:rsidRDefault="00FA0007" w:rsidP="000C7A1B">
      <w:pPr>
        <w:numPr>
          <w:ilvl w:val="0"/>
          <w:numId w:val="2"/>
        </w:numPr>
        <w:spacing w:after="120" w:line="360" w:lineRule="auto"/>
        <w:divId w:val="668481948"/>
        <w:rPr>
          <w:rFonts w:ascii="Simplified Arabic" w:eastAsia="Times New Roman" w:hAnsi="Simplified Arabic" w:cs="Simplified Arabic"/>
          <w:color w:val="000000" w:themeColor="text1"/>
          <w:sz w:val="32"/>
          <w:szCs w:val="32"/>
        </w:rPr>
      </w:pPr>
      <w:r w:rsidRPr="005D70B4">
        <w:rPr>
          <w:rFonts w:ascii="Simplified Arabic" w:eastAsia="Times New Roman" w:hAnsi="Simplified Arabic" w:cs="Simplified Arabic" w:hint="cs"/>
          <w:color w:val="000000" w:themeColor="text1"/>
          <w:sz w:val="32"/>
          <w:szCs w:val="32"/>
          <w:rtl/>
        </w:rPr>
        <w:t xml:space="preserve">هل يوجد علاقة ذات دلالة إحصائية بين مستوى نضج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وقدرة المنشآت المالية السعودية على تحقيق أهدافها التشغيلية والمالية بفعالية؟</w:t>
      </w:r>
    </w:p>
    <w:p w14:paraId="1DC9CF9C" w14:textId="77777777" w:rsidR="00567BEE" w:rsidRPr="005D70B4" w:rsidRDefault="00567BEE" w:rsidP="005D70B4">
      <w:pPr>
        <w:pStyle w:val="Heading2"/>
        <w:spacing w:before="0" w:after="120" w:line="360" w:lineRule="auto"/>
        <w:divId w:val="522481092"/>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أهمية الدراسة</w:t>
      </w:r>
    </w:p>
    <w:p w14:paraId="622E5E39" w14:textId="77777777" w:rsidR="00567BEE" w:rsidRPr="005D70B4" w:rsidRDefault="00567BEE" w:rsidP="005D70B4">
      <w:pPr>
        <w:pStyle w:val="NormalWeb"/>
        <w:bidi/>
        <w:spacing w:before="0" w:beforeAutospacing="0" w:after="240" w:afterAutospacing="0" w:line="360" w:lineRule="auto"/>
        <w:divId w:val="52248109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تتسم هذه الدراسة بأهمية علمية وعملية بالغة، حيث تسعى إلى سد فجوة بحثية قائمة وتقديم إسهامات ملموسة لكل من الجانب الأكاديمي والقطاع المالي.</w:t>
      </w:r>
    </w:p>
    <w:p w14:paraId="27E1A6A5" w14:textId="77777777" w:rsidR="00567BEE" w:rsidRPr="005D70B4" w:rsidRDefault="00567BEE" w:rsidP="005D70B4">
      <w:pPr>
        <w:pStyle w:val="Heading3"/>
        <w:spacing w:before="0" w:after="120" w:line="360" w:lineRule="auto"/>
        <w:divId w:val="522481092"/>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الأهمية العلمية</w:t>
      </w:r>
    </w:p>
    <w:p w14:paraId="16C2DE09" w14:textId="77777777" w:rsidR="00567BEE" w:rsidRPr="005D70B4" w:rsidRDefault="00567BEE" w:rsidP="005D70B4">
      <w:pPr>
        <w:pStyle w:val="NormalWeb"/>
        <w:bidi/>
        <w:spacing w:before="0" w:beforeAutospacing="0" w:after="120" w:afterAutospacing="0" w:line="360" w:lineRule="auto"/>
        <w:divId w:val="52248109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تبرز الأهمية العلمية لهذه الدراسة من خلال عدة نقاط رئيسية:</w:t>
      </w:r>
    </w:p>
    <w:p w14:paraId="4CCCCDCB" w14:textId="77777777" w:rsidR="00567BEE" w:rsidRPr="005D70B4" w:rsidRDefault="00567BEE" w:rsidP="005D70B4">
      <w:pPr>
        <w:numPr>
          <w:ilvl w:val="0"/>
          <w:numId w:val="3"/>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سد الفجوة البحثية:</w:t>
      </w:r>
      <w:r w:rsidRPr="005D70B4">
        <w:rPr>
          <w:rFonts w:ascii="Simplified Arabic" w:eastAsia="Times New Roman" w:hAnsi="Simplified Arabic" w:cs="Simplified Arabic" w:hint="cs"/>
          <w:color w:val="000000" w:themeColor="text1"/>
          <w:sz w:val="32"/>
          <w:szCs w:val="32"/>
          <w:rtl/>
        </w:rPr>
        <w:t xml:space="preserve"> على الرغم من الأهمية المتزايدة لحوكمة المخاطر والامتثال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عالميًا، إلا أن هناك نقصًا في الدراسات التي تركز على </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تأثير تطبيق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 بشكل مباشر على كفاءة الأداء والحد من المخاطر التشغيلية في سياق </w:t>
      </w:r>
      <w:r w:rsidRPr="005D70B4">
        <w:rPr>
          <w:rStyle w:val="Strong"/>
          <w:rFonts w:ascii="Simplified Arabic" w:eastAsia="Times New Roman" w:hAnsi="Simplified Arabic" w:cs="Simplified Arabic" w:hint="cs"/>
          <w:color w:val="000000" w:themeColor="text1"/>
          <w:sz w:val="32"/>
          <w:szCs w:val="32"/>
          <w:bdr w:val="none" w:sz="0" w:space="0" w:color="auto" w:frame="1"/>
          <w:rtl/>
        </w:rPr>
        <w:lastRenderedPageBreak/>
        <w:t>المنشآت المالية السعودية</w:t>
      </w:r>
      <w:r w:rsidRPr="005D70B4">
        <w:rPr>
          <w:rFonts w:ascii="Simplified Arabic" w:eastAsia="Times New Roman" w:hAnsi="Simplified Arabic" w:cs="Simplified Arabic" w:hint="cs"/>
          <w:color w:val="000000" w:themeColor="text1"/>
          <w:sz w:val="32"/>
          <w:szCs w:val="32"/>
          <w:rtl/>
        </w:rPr>
        <w:t>. هذه الدراسة تساهم في سد هذه الفجوة وتقديم تحليل معمق لهذا الرابط.</w:t>
      </w:r>
    </w:p>
    <w:p w14:paraId="67FFCC5F" w14:textId="77777777" w:rsidR="00567BEE" w:rsidRPr="005D70B4" w:rsidRDefault="00567BEE" w:rsidP="005D70B4">
      <w:pPr>
        <w:numPr>
          <w:ilvl w:val="0"/>
          <w:numId w:val="3"/>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بناء إطار نظري:</w:t>
      </w:r>
      <w:r w:rsidRPr="005D70B4">
        <w:rPr>
          <w:rFonts w:ascii="Simplified Arabic" w:eastAsia="Times New Roman" w:hAnsi="Simplified Arabic" w:cs="Simplified Arabic" w:hint="cs"/>
          <w:color w:val="000000" w:themeColor="text1"/>
          <w:sz w:val="32"/>
          <w:szCs w:val="32"/>
          <w:rtl/>
        </w:rPr>
        <w:t xml:space="preserve"> ستساهم الدراسة في تطوير وتعميق الفهم النظري للعلاقة بين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وكل من كفاءة الأداء والمخاطر التشغيلية، وتقديم إطار تحليلي يمكن أن يُبنى عليه في دراسات مستقبلية.</w:t>
      </w:r>
    </w:p>
    <w:p w14:paraId="5B503A5E" w14:textId="77777777" w:rsidR="00567BEE" w:rsidRPr="005D70B4" w:rsidRDefault="00567BEE" w:rsidP="005D70B4">
      <w:pPr>
        <w:numPr>
          <w:ilvl w:val="0"/>
          <w:numId w:val="3"/>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إثراء الأدبيات الأكاديمية:</w:t>
      </w:r>
      <w:r w:rsidRPr="005D70B4">
        <w:rPr>
          <w:rFonts w:ascii="Simplified Arabic" w:eastAsia="Times New Roman" w:hAnsi="Simplified Arabic" w:cs="Simplified Arabic" w:hint="cs"/>
          <w:color w:val="000000" w:themeColor="text1"/>
          <w:sz w:val="32"/>
          <w:szCs w:val="32"/>
          <w:rtl/>
        </w:rPr>
        <w:t xml:space="preserve"> ستضيف هذه الدراسة إلى الأدبيات الموجودة في مجالات حوكمة الشركات، إدارة المخاطر، والامتثال، بتقديم نتائج مبنية على بيانات واقعية من بيئة اقتصادية ناشئة ومهمة.</w:t>
      </w:r>
    </w:p>
    <w:p w14:paraId="2FDC0A88" w14:textId="77777777" w:rsidR="00567BEE" w:rsidRPr="005D70B4" w:rsidRDefault="00567BEE" w:rsidP="005D70B4">
      <w:pPr>
        <w:numPr>
          <w:ilvl w:val="0"/>
          <w:numId w:val="3"/>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منهجية تطبيقية:</w:t>
      </w:r>
      <w:r w:rsidRPr="005D70B4">
        <w:rPr>
          <w:rFonts w:ascii="Simplified Arabic" w:eastAsia="Times New Roman" w:hAnsi="Simplified Arabic" w:cs="Simplified Arabic" w:hint="cs"/>
          <w:color w:val="000000" w:themeColor="text1"/>
          <w:sz w:val="32"/>
          <w:szCs w:val="32"/>
          <w:rtl/>
        </w:rPr>
        <w:t xml:space="preserve"> من خلال اعتماد دراسة حالة للمنشآت المالية السعودية، ستقدم الدراسة رؤى معمقة وغير متوفرة من الدراسات النظرية البحتة، مما يعزز من مصداقية النتائج العلمية.</w:t>
      </w:r>
    </w:p>
    <w:p w14:paraId="278CC9D7" w14:textId="77777777" w:rsidR="00567BEE" w:rsidRPr="005D70B4" w:rsidRDefault="00567BEE" w:rsidP="005D70B4">
      <w:pPr>
        <w:pStyle w:val="Heading3"/>
        <w:spacing w:before="0" w:after="120" w:line="360" w:lineRule="auto"/>
        <w:divId w:val="522481092"/>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الأهمية العملية</w:t>
      </w:r>
    </w:p>
    <w:p w14:paraId="5F280D0D" w14:textId="77777777" w:rsidR="00567BEE" w:rsidRPr="005D70B4" w:rsidRDefault="00567BEE" w:rsidP="005D70B4">
      <w:pPr>
        <w:pStyle w:val="NormalWeb"/>
        <w:bidi/>
        <w:spacing w:before="0" w:beforeAutospacing="0" w:after="120" w:afterAutospacing="0" w:line="360" w:lineRule="auto"/>
        <w:divId w:val="52248109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تمتد الأهمية العملية لهذه الدراسة لتشمل فوائد مباشرة للمنشآت المالية وصناع القرار والجهات الرقابية في المملكة العربية السعودية:</w:t>
      </w:r>
    </w:p>
    <w:p w14:paraId="1E89A4A9" w14:textId="77777777" w:rsidR="00567BEE" w:rsidRPr="005D70B4" w:rsidRDefault="00567BEE" w:rsidP="005D70B4">
      <w:pPr>
        <w:numPr>
          <w:ilvl w:val="0"/>
          <w:numId w:val="4"/>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تحسين الأداء التشغيلي:</w:t>
      </w:r>
      <w:r w:rsidRPr="005D70B4">
        <w:rPr>
          <w:rFonts w:ascii="Simplified Arabic" w:eastAsia="Times New Roman" w:hAnsi="Simplified Arabic" w:cs="Simplified Arabic" w:hint="cs"/>
          <w:color w:val="000000" w:themeColor="text1"/>
          <w:sz w:val="32"/>
          <w:szCs w:val="32"/>
          <w:rtl/>
        </w:rPr>
        <w:t xml:space="preserve"> ستوفر الدراسة توصيات عملية للمنشآت المالية حول كيفية </w:t>
      </w:r>
      <w:r w:rsidRPr="005D70B4">
        <w:rPr>
          <w:rStyle w:val="Strong"/>
          <w:rFonts w:ascii="Simplified Arabic" w:eastAsia="Times New Roman" w:hAnsi="Simplified Arabic" w:cs="Simplified Arabic" w:hint="cs"/>
          <w:color w:val="000000" w:themeColor="text1"/>
          <w:sz w:val="32"/>
          <w:szCs w:val="32"/>
          <w:bdr w:val="none" w:sz="0" w:space="0" w:color="auto" w:frame="1"/>
          <w:rtl/>
        </w:rPr>
        <w:t>تعزيز كفاءة أدائها التشغيلي</w:t>
      </w:r>
      <w:r w:rsidRPr="005D70B4">
        <w:rPr>
          <w:rFonts w:ascii="Simplified Arabic" w:eastAsia="Times New Roman" w:hAnsi="Simplified Arabic" w:cs="Simplified Arabic" w:hint="cs"/>
          <w:color w:val="000000" w:themeColor="text1"/>
          <w:sz w:val="32"/>
          <w:szCs w:val="32"/>
          <w:rtl/>
        </w:rPr>
        <w:t xml:space="preserve"> من خلال تطبيق أفضل لممارسات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مما يؤدي إلى تحسين العمليات وتقليل الهدر.</w:t>
      </w:r>
    </w:p>
    <w:p w14:paraId="217EA151" w14:textId="77777777" w:rsidR="00567BEE" w:rsidRPr="005D70B4" w:rsidRDefault="00567BEE" w:rsidP="005D70B4">
      <w:pPr>
        <w:numPr>
          <w:ilvl w:val="0"/>
          <w:numId w:val="4"/>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lastRenderedPageBreak/>
        <w:t>تعزيز إدارة المخاطر:</w:t>
      </w:r>
      <w:r w:rsidRPr="005D70B4">
        <w:rPr>
          <w:rFonts w:ascii="Simplified Arabic" w:eastAsia="Times New Roman" w:hAnsi="Simplified Arabic" w:cs="Simplified Arabic" w:hint="cs"/>
          <w:color w:val="000000" w:themeColor="text1"/>
          <w:sz w:val="32"/>
          <w:szCs w:val="32"/>
          <w:rtl/>
        </w:rPr>
        <w:t xml:space="preserve"> ستساعد الدراسة المنشآت المالية على فهم أفضل لكيفية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الحد من المخاطر التشغيلية</w:t>
      </w:r>
      <w:r w:rsidRPr="005D70B4">
        <w:rPr>
          <w:rFonts w:ascii="Simplified Arabic" w:eastAsia="Times New Roman" w:hAnsi="Simplified Arabic" w:cs="Simplified Arabic" w:hint="cs"/>
          <w:color w:val="000000" w:themeColor="text1"/>
          <w:sz w:val="32"/>
          <w:szCs w:val="32"/>
          <w:rtl/>
        </w:rPr>
        <w:t>، وتطوير استراتيجيات أكثر فعالية لتحديد هذه المخاطر وتقييمها والتخفيف من حدتها.</w:t>
      </w:r>
    </w:p>
    <w:p w14:paraId="11FF6391" w14:textId="77777777" w:rsidR="00567BEE" w:rsidRPr="005D70B4" w:rsidRDefault="00567BEE" w:rsidP="005D70B4">
      <w:pPr>
        <w:numPr>
          <w:ilvl w:val="0"/>
          <w:numId w:val="4"/>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دعم اتخاذ القرار:</w:t>
      </w:r>
      <w:r w:rsidRPr="005D70B4">
        <w:rPr>
          <w:rFonts w:ascii="Simplified Arabic" w:eastAsia="Times New Roman" w:hAnsi="Simplified Arabic" w:cs="Simplified Arabic" w:hint="cs"/>
          <w:color w:val="000000" w:themeColor="text1"/>
          <w:sz w:val="32"/>
          <w:szCs w:val="32"/>
          <w:rtl/>
        </w:rPr>
        <w:t xml:space="preserve"> يمكن أن تكون نتائج الدراسة بمثابة مرجع قيم للمديرين التنفيذيين ومجالس الإدارة في المنشآت المالية لاتخاذ قرارات مستنيرة بشأن استثماراتهم في أنظمة وإجراءات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w:t>
      </w:r>
    </w:p>
    <w:p w14:paraId="0D9B5B90" w14:textId="77777777" w:rsidR="00567BEE" w:rsidRPr="005D70B4" w:rsidRDefault="00567BEE" w:rsidP="005D70B4">
      <w:pPr>
        <w:numPr>
          <w:ilvl w:val="0"/>
          <w:numId w:val="4"/>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المساعدة في الامتثال التنظيمي:</w:t>
      </w:r>
      <w:r w:rsidRPr="005D70B4">
        <w:rPr>
          <w:rFonts w:ascii="Simplified Arabic" w:eastAsia="Times New Roman" w:hAnsi="Simplified Arabic" w:cs="Simplified Arabic" w:hint="cs"/>
          <w:color w:val="000000" w:themeColor="text1"/>
          <w:sz w:val="32"/>
          <w:szCs w:val="32"/>
          <w:rtl/>
        </w:rPr>
        <w:t xml:space="preserve"> ستقدم الدراسة رؤى حول كيفية مساهمة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تحقيق الامتثال للمتطلبات التنظيمية الصادرة عن الجهات الرقابية مثل البنك المركزي السعودي وهيئة السوق المالية، مما يقلل من مخاطر العقوبات والغرامات.</w:t>
      </w:r>
    </w:p>
    <w:p w14:paraId="1C146B65" w14:textId="77777777" w:rsidR="00567BEE" w:rsidRPr="005D70B4" w:rsidRDefault="00567BEE" w:rsidP="005D70B4">
      <w:pPr>
        <w:numPr>
          <w:ilvl w:val="0"/>
          <w:numId w:val="4"/>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تعزيز الثقة وسمعة المنشأة:</w:t>
      </w:r>
      <w:r w:rsidRPr="005D70B4">
        <w:rPr>
          <w:rFonts w:ascii="Simplified Arabic" w:eastAsia="Times New Roman" w:hAnsi="Simplified Arabic" w:cs="Simplified Arabic" w:hint="cs"/>
          <w:color w:val="000000" w:themeColor="text1"/>
          <w:sz w:val="32"/>
          <w:szCs w:val="32"/>
          <w:rtl/>
        </w:rPr>
        <w:t xml:space="preserve"> من خلال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بفعالية، يمكن للمنشآت المالية </w:t>
      </w:r>
      <w:r w:rsidRPr="005D70B4">
        <w:rPr>
          <w:rStyle w:val="Strong"/>
          <w:rFonts w:ascii="Simplified Arabic" w:eastAsia="Times New Roman" w:hAnsi="Simplified Arabic" w:cs="Simplified Arabic" w:hint="cs"/>
          <w:color w:val="000000" w:themeColor="text1"/>
          <w:sz w:val="32"/>
          <w:szCs w:val="32"/>
          <w:bdr w:val="none" w:sz="0" w:space="0" w:color="auto" w:frame="1"/>
          <w:rtl/>
        </w:rPr>
        <w:t>تعزيز ثقة المستثمرين والعملاء</w:t>
      </w:r>
      <w:r w:rsidRPr="005D70B4">
        <w:rPr>
          <w:rFonts w:ascii="Simplified Arabic" w:eastAsia="Times New Roman" w:hAnsi="Simplified Arabic" w:cs="Simplified Arabic" w:hint="cs"/>
          <w:color w:val="000000" w:themeColor="text1"/>
          <w:sz w:val="32"/>
          <w:szCs w:val="32"/>
          <w:rtl/>
        </w:rPr>
        <w:t xml:space="preserve"> وأصحاب المصلحة الآخرين، مما ينعكس إيجابًا على سمعتها واستدامتها على المدى الطويل.</w:t>
      </w:r>
    </w:p>
    <w:p w14:paraId="5668D17D" w14:textId="77777777" w:rsidR="00567BEE" w:rsidRPr="005D70B4" w:rsidRDefault="00567BEE" w:rsidP="005D70B4">
      <w:pPr>
        <w:numPr>
          <w:ilvl w:val="0"/>
          <w:numId w:val="4"/>
        </w:numPr>
        <w:spacing w:after="0" w:line="360" w:lineRule="auto"/>
        <w:divId w:val="52248109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المساهمة في رؤية 2030:</w:t>
      </w:r>
      <w:r w:rsidRPr="005D70B4">
        <w:rPr>
          <w:rFonts w:ascii="Simplified Arabic" w:eastAsia="Times New Roman" w:hAnsi="Simplified Arabic" w:cs="Simplified Arabic" w:hint="cs"/>
          <w:color w:val="000000" w:themeColor="text1"/>
          <w:sz w:val="32"/>
          <w:szCs w:val="32"/>
          <w:rtl/>
        </w:rPr>
        <w:t xml:space="preserve"> تدعم هذه الدراسة بشكل مباشر أهداف رؤية المملكة 2030 المتعلقة بتعزيز الحوكمة، الشفافية، وكفاءة القطاع المالي، مما يسهم في تطوير بيئة مالية أكثر استقرارًا ومرونة.</w:t>
      </w:r>
    </w:p>
    <w:p w14:paraId="4E247DB3" w14:textId="7FA9DA83" w:rsidR="00F036FA" w:rsidRPr="005D70B4" w:rsidRDefault="00F036FA" w:rsidP="005D70B4">
      <w:pPr>
        <w:spacing w:after="120" w:line="360" w:lineRule="auto"/>
        <w:divId w:val="1885943060"/>
        <w:rPr>
          <w:rFonts w:ascii="Simplified Arabic" w:eastAsia="Times New Roman" w:hAnsi="Simplified Arabic" w:cs="Simplified Arabic"/>
          <w:color w:val="000000" w:themeColor="text1"/>
          <w:kern w:val="0"/>
          <w:sz w:val="32"/>
          <w:szCs w:val="32"/>
          <w14:ligatures w14:val="none"/>
        </w:rPr>
      </w:pPr>
    </w:p>
    <w:p w14:paraId="68F72719" w14:textId="77777777" w:rsidR="00F036FA" w:rsidRPr="005D70B4" w:rsidRDefault="00F036FA" w:rsidP="005D70B4">
      <w:pPr>
        <w:pStyle w:val="Heading2"/>
        <w:spacing w:before="0" w:after="120" w:line="360" w:lineRule="auto"/>
        <w:divId w:val="188594306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lastRenderedPageBreak/>
        <w:t>أهداف الدراسة</w:t>
      </w:r>
    </w:p>
    <w:p w14:paraId="6CA3D993" w14:textId="77777777" w:rsidR="00F036FA" w:rsidRPr="005D70B4" w:rsidRDefault="00F036FA" w:rsidP="005D70B4">
      <w:pPr>
        <w:pStyle w:val="NormalWeb"/>
        <w:bidi/>
        <w:spacing w:before="0" w:beforeAutospacing="0" w:after="0" w:afterAutospacing="0" w:line="360" w:lineRule="auto"/>
        <w:divId w:val="188594306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تتمثل الأهداف الرئيسية لهذه الدراسة في تقديم فهم شامل لتأثير تطبيق حوكمة المخاطر والامتثال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على أداء المنشآت المالية السعودية. بناءً على مشكلة الدراسة، تتبلور </w:t>
      </w:r>
      <w:r w:rsidRPr="005D70B4">
        <w:rPr>
          <w:rStyle w:val="Strong"/>
          <w:rFonts w:ascii="Simplified Arabic" w:hAnsi="Simplified Arabic" w:cs="Simplified Arabic" w:hint="cs"/>
          <w:color w:val="000000" w:themeColor="text1"/>
          <w:sz w:val="32"/>
          <w:szCs w:val="32"/>
          <w:bdr w:val="none" w:sz="0" w:space="0" w:color="auto" w:frame="1"/>
          <w:rtl/>
        </w:rPr>
        <w:t>الهدف الرئيسي للدراسة</w:t>
      </w:r>
      <w:r w:rsidRPr="005D70B4">
        <w:rPr>
          <w:rFonts w:ascii="Simplified Arabic" w:hAnsi="Simplified Arabic" w:cs="Simplified Arabic" w:hint="cs"/>
          <w:color w:val="000000" w:themeColor="text1"/>
          <w:sz w:val="32"/>
          <w:szCs w:val="32"/>
          <w:rtl/>
        </w:rPr>
        <w:t xml:space="preserve"> في تحقيق ما يلي:</w:t>
      </w:r>
    </w:p>
    <w:p w14:paraId="64DEC107" w14:textId="77777777" w:rsidR="00F036FA" w:rsidRPr="005D70B4" w:rsidRDefault="00F036FA" w:rsidP="005D70B4">
      <w:pPr>
        <w:numPr>
          <w:ilvl w:val="0"/>
          <w:numId w:val="5"/>
        </w:numPr>
        <w:spacing w:after="0" w:line="360" w:lineRule="auto"/>
        <w:divId w:val="188594306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تحديد وتقييم تأثير تطبيق حوكمة المخاطر والامتثال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على تعزيز كفاءة الأداء التشغيلي والحد من المخاطر التشغيلية في المنشآت المالية السعودية.</w:t>
      </w:r>
    </w:p>
    <w:p w14:paraId="50A027A6" w14:textId="77777777" w:rsidR="00F036FA" w:rsidRPr="005D70B4" w:rsidRDefault="00F036FA" w:rsidP="005D70B4">
      <w:pPr>
        <w:pStyle w:val="NormalWeb"/>
        <w:bidi/>
        <w:spacing w:before="0" w:beforeAutospacing="0" w:after="120" w:afterAutospacing="0" w:line="360" w:lineRule="auto"/>
        <w:divId w:val="188594306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ولتحقيق هذا الهدف الرئيسي، تسعى الدراسة إلى تحقيق الأهداف الفرعية التالية:</w:t>
      </w:r>
    </w:p>
    <w:p w14:paraId="2B1DD9AE" w14:textId="77777777" w:rsidR="00F036FA" w:rsidRPr="005D70B4" w:rsidRDefault="00F036FA" w:rsidP="005D70B4">
      <w:pPr>
        <w:numPr>
          <w:ilvl w:val="0"/>
          <w:numId w:val="6"/>
        </w:numPr>
        <w:spacing w:after="0" w:line="360" w:lineRule="auto"/>
        <w:divId w:val="188594306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تحديد مستوى النضج الحالي لتطبيق أطر حوكمة المخاطر والامتثال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في المنشآت المالية السعودية.</w:t>
      </w:r>
    </w:p>
    <w:p w14:paraId="3334C1E7" w14:textId="77777777" w:rsidR="00F036FA" w:rsidRPr="005D70B4" w:rsidRDefault="00F036FA" w:rsidP="005D70B4">
      <w:pPr>
        <w:numPr>
          <w:ilvl w:val="0"/>
          <w:numId w:val="6"/>
        </w:numPr>
        <w:spacing w:after="0" w:line="360" w:lineRule="auto"/>
        <w:divId w:val="188594306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تحليل الكيفية التي يؤثر بها تطبيق مكونات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Fonts w:ascii="Simplified Arabic" w:eastAsia="Times New Roman" w:hAnsi="Simplified Arabic" w:cs="Simplified Arabic" w:hint="cs"/>
          <w:color w:val="000000" w:themeColor="text1"/>
          <w:sz w:val="32"/>
          <w:szCs w:val="32"/>
          <w:rtl/>
        </w:rPr>
        <w:t xml:space="preserve"> (مثل إدارة المخاطر، الامتثال، والتدقيق الداخلي) على كفاءة العمليات التشغيلية داخل المنشآت المالية السعودية.</w:t>
      </w:r>
    </w:p>
    <w:p w14:paraId="09FF7EA8" w14:textId="77777777" w:rsidR="00F036FA" w:rsidRPr="005D70B4" w:rsidRDefault="00F036FA" w:rsidP="005D70B4">
      <w:pPr>
        <w:numPr>
          <w:ilvl w:val="0"/>
          <w:numId w:val="6"/>
        </w:numPr>
        <w:spacing w:after="0" w:line="360" w:lineRule="auto"/>
        <w:divId w:val="188594306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تقييم الدور الذي تلعبه أطر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 في تحديد، تقييم، ومعالجة المخاطر التشغيلية</w:t>
      </w:r>
      <w:r w:rsidRPr="005D70B4">
        <w:rPr>
          <w:rFonts w:ascii="Simplified Arabic" w:eastAsia="Times New Roman" w:hAnsi="Simplified Arabic" w:cs="Simplified Arabic" w:hint="cs"/>
          <w:color w:val="000000" w:themeColor="text1"/>
          <w:sz w:val="32"/>
          <w:szCs w:val="32"/>
          <w:rtl/>
        </w:rPr>
        <w:t xml:space="preserve"> في المنشآت المالية السعودية.</w:t>
      </w:r>
    </w:p>
    <w:p w14:paraId="29AAAE4D" w14:textId="77777777" w:rsidR="00F036FA" w:rsidRPr="005D70B4" w:rsidRDefault="00F036FA" w:rsidP="005D70B4">
      <w:pPr>
        <w:numPr>
          <w:ilvl w:val="0"/>
          <w:numId w:val="6"/>
        </w:numPr>
        <w:spacing w:after="0" w:line="360" w:lineRule="auto"/>
        <w:divId w:val="188594306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اختبار العلاقة بين مستوى نضج تطبيق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 وقدرة المنشآت المالية السعودية على تحقيق أهدافها التشغيلية والمالية</w:t>
      </w:r>
      <w:r w:rsidRPr="005D70B4">
        <w:rPr>
          <w:rFonts w:ascii="Simplified Arabic" w:eastAsia="Times New Roman" w:hAnsi="Simplified Arabic" w:cs="Simplified Arabic" w:hint="cs"/>
          <w:color w:val="000000" w:themeColor="text1"/>
          <w:sz w:val="32"/>
          <w:szCs w:val="32"/>
          <w:rtl/>
        </w:rPr>
        <w:t xml:space="preserve"> بفعالية.</w:t>
      </w:r>
    </w:p>
    <w:p w14:paraId="13ED8D74" w14:textId="77777777" w:rsidR="00F036FA" w:rsidRPr="005D70B4" w:rsidRDefault="00F036FA" w:rsidP="005D70B4">
      <w:pPr>
        <w:numPr>
          <w:ilvl w:val="0"/>
          <w:numId w:val="6"/>
        </w:numPr>
        <w:spacing w:after="0" w:line="360" w:lineRule="auto"/>
        <w:divId w:val="188594306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lastRenderedPageBreak/>
        <w:t>تقديم توصيات عملية ومبنية على الأدلة</w:t>
      </w:r>
      <w:r w:rsidRPr="005D70B4">
        <w:rPr>
          <w:rFonts w:ascii="Simplified Arabic" w:eastAsia="Times New Roman" w:hAnsi="Simplified Arabic" w:cs="Simplified Arabic" w:hint="cs"/>
          <w:color w:val="000000" w:themeColor="text1"/>
          <w:sz w:val="32"/>
          <w:szCs w:val="32"/>
          <w:rtl/>
        </w:rPr>
        <w:t xml:space="preserve"> للمنشآت المالية السعودية والجهات الرقابية بهدف تعزيز فعالية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وتحسين الأداء العام.</w:t>
      </w:r>
    </w:p>
    <w:p w14:paraId="2AB526F9" w14:textId="2DAC62F8" w:rsidR="00791FF1" w:rsidRPr="005D70B4" w:rsidRDefault="00791FF1" w:rsidP="005D70B4">
      <w:pPr>
        <w:spacing w:after="120" w:line="360" w:lineRule="auto"/>
        <w:divId w:val="247737242"/>
        <w:rPr>
          <w:rFonts w:ascii="Simplified Arabic" w:eastAsia="Times New Roman" w:hAnsi="Simplified Arabic" w:cs="Simplified Arabic"/>
          <w:color w:val="000000" w:themeColor="text1"/>
          <w:kern w:val="0"/>
          <w:sz w:val="32"/>
          <w:szCs w:val="32"/>
          <w14:ligatures w14:val="none"/>
        </w:rPr>
      </w:pPr>
    </w:p>
    <w:p w14:paraId="02A4F29B" w14:textId="77777777" w:rsidR="00791FF1" w:rsidRPr="005D70B4" w:rsidRDefault="00791FF1" w:rsidP="005D70B4">
      <w:pPr>
        <w:pStyle w:val="Heading2"/>
        <w:spacing w:before="0" w:after="120" w:line="360" w:lineRule="auto"/>
        <w:divId w:val="247737242"/>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تساؤلات الدراسة</w:t>
      </w:r>
    </w:p>
    <w:p w14:paraId="0CFBD71D" w14:textId="77777777" w:rsidR="00791FF1" w:rsidRPr="005D70B4" w:rsidRDefault="00791FF1" w:rsidP="005D70B4">
      <w:pPr>
        <w:pStyle w:val="NormalWeb"/>
        <w:bidi/>
        <w:spacing w:before="0" w:beforeAutospacing="0" w:after="240" w:afterAutospacing="0" w:line="360" w:lineRule="auto"/>
        <w:divId w:val="24773724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تُشكل هذه التساؤلات الإطار المحوري الذي ستسعى الدراسة للإجابة عليه، مما يوجه عملية جمع البيانات وتحليلها. ينطلق الإطار من تساؤل رئيسي يتفرع منه مجموعة من التساؤلات الفرعية التفصيلية:</w:t>
      </w:r>
    </w:p>
    <w:p w14:paraId="34782CDC" w14:textId="77777777" w:rsidR="00791FF1" w:rsidRPr="005D70B4" w:rsidRDefault="00791FF1" w:rsidP="005D70B4">
      <w:pPr>
        <w:pStyle w:val="NormalWeb"/>
        <w:bidi/>
        <w:spacing w:before="0" w:beforeAutospacing="0" w:after="0" w:afterAutospacing="0" w:line="360" w:lineRule="auto"/>
        <w:divId w:val="24773724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 xml:space="preserve">ينصب </w:t>
      </w:r>
      <w:r w:rsidRPr="005D70B4">
        <w:rPr>
          <w:rStyle w:val="Strong"/>
          <w:rFonts w:ascii="Simplified Arabic" w:hAnsi="Simplified Arabic" w:cs="Simplified Arabic" w:hint="cs"/>
          <w:color w:val="000000" w:themeColor="text1"/>
          <w:sz w:val="32"/>
          <w:szCs w:val="32"/>
          <w:bdr w:val="none" w:sz="0" w:space="0" w:color="auto" w:frame="1"/>
          <w:rtl/>
        </w:rPr>
        <w:t>التساؤل الرئيسي للدراسة</w:t>
      </w:r>
      <w:r w:rsidRPr="005D70B4">
        <w:rPr>
          <w:rFonts w:ascii="Simplified Arabic" w:hAnsi="Simplified Arabic" w:cs="Simplified Arabic" w:hint="cs"/>
          <w:color w:val="000000" w:themeColor="text1"/>
          <w:sz w:val="32"/>
          <w:szCs w:val="32"/>
          <w:rtl/>
        </w:rPr>
        <w:t xml:space="preserve"> على ما يلي:</w:t>
      </w:r>
    </w:p>
    <w:p w14:paraId="015DBCAC" w14:textId="77777777" w:rsidR="00791FF1" w:rsidRPr="005D70B4" w:rsidRDefault="00791FF1" w:rsidP="005D70B4">
      <w:pPr>
        <w:numPr>
          <w:ilvl w:val="0"/>
          <w:numId w:val="7"/>
        </w:numPr>
        <w:spacing w:after="0" w:line="360" w:lineRule="auto"/>
        <w:divId w:val="247737242"/>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ما هو مدى تأثير تطبيق حوكمة المخاطر والامتثال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على كفاءة الأداء التشغيلي والحد من المخاطر التشغيلية في المنشآت المالية السعودية؟</w:t>
      </w:r>
    </w:p>
    <w:p w14:paraId="041BC507" w14:textId="77777777" w:rsidR="00791FF1" w:rsidRPr="005D70B4" w:rsidRDefault="00791FF1" w:rsidP="005D70B4">
      <w:pPr>
        <w:pStyle w:val="NormalWeb"/>
        <w:bidi/>
        <w:spacing w:before="0" w:beforeAutospacing="0" w:after="120" w:afterAutospacing="0" w:line="360" w:lineRule="auto"/>
        <w:divId w:val="247737242"/>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ويتفرع من هذا التساؤل الرئيسي التساؤلات الفرعية التالية:</w:t>
      </w:r>
    </w:p>
    <w:p w14:paraId="386251A8" w14:textId="77777777" w:rsidR="00791FF1" w:rsidRPr="005D70B4" w:rsidRDefault="00791FF1" w:rsidP="005D70B4">
      <w:pPr>
        <w:numPr>
          <w:ilvl w:val="0"/>
          <w:numId w:val="8"/>
        </w:numPr>
        <w:spacing w:after="0" w:line="360" w:lineRule="auto"/>
        <w:divId w:val="247737242"/>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ما هو </w:t>
      </w:r>
      <w:r w:rsidRPr="005D70B4">
        <w:rPr>
          <w:rStyle w:val="Strong"/>
          <w:rFonts w:ascii="Simplified Arabic" w:eastAsia="Times New Roman" w:hAnsi="Simplified Arabic" w:cs="Simplified Arabic" w:hint="cs"/>
          <w:color w:val="000000" w:themeColor="text1"/>
          <w:sz w:val="32"/>
          <w:szCs w:val="32"/>
          <w:bdr w:val="none" w:sz="0" w:space="0" w:color="auto" w:frame="1"/>
          <w:rtl/>
        </w:rPr>
        <w:t>مستوى النضج الحالي</w:t>
      </w:r>
      <w:r w:rsidRPr="005D70B4">
        <w:rPr>
          <w:rFonts w:ascii="Simplified Arabic" w:eastAsia="Times New Roman" w:hAnsi="Simplified Arabic" w:cs="Simplified Arabic" w:hint="cs"/>
          <w:color w:val="000000" w:themeColor="text1"/>
          <w:sz w:val="32"/>
          <w:szCs w:val="32"/>
          <w:rtl/>
        </w:rPr>
        <w:t xml:space="preserve"> لتطبيق أطر حوكمة المخاطر والامتثال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في المنشآت المالية السعودية؟</w:t>
      </w:r>
    </w:p>
    <w:p w14:paraId="2EE378E4" w14:textId="77777777" w:rsidR="00791FF1" w:rsidRPr="005D70B4" w:rsidRDefault="00791FF1" w:rsidP="005D70B4">
      <w:pPr>
        <w:numPr>
          <w:ilvl w:val="0"/>
          <w:numId w:val="8"/>
        </w:numPr>
        <w:spacing w:after="0" w:line="360" w:lineRule="auto"/>
        <w:divId w:val="247737242"/>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كيف </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يؤثر تطبيق مكونات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 الرئيسية</w:t>
      </w:r>
      <w:r w:rsidRPr="005D70B4">
        <w:rPr>
          <w:rFonts w:ascii="Simplified Arabic" w:eastAsia="Times New Roman" w:hAnsi="Simplified Arabic" w:cs="Simplified Arabic" w:hint="cs"/>
          <w:color w:val="000000" w:themeColor="text1"/>
          <w:sz w:val="32"/>
          <w:szCs w:val="32"/>
          <w:rtl/>
        </w:rPr>
        <w:t xml:space="preserve"> (مثل إدارة المخاطر، الامتثال للأنظمة، والتدقيق الداخلي) على كفاءة العمليات التشغيلية داخل هذه المنشآت؟</w:t>
      </w:r>
    </w:p>
    <w:p w14:paraId="67A19B04" w14:textId="77777777" w:rsidR="00791FF1" w:rsidRPr="005D70B4" w:rsidRDefault="00791FF1" w:rsidP="005D70B4">
      <w:pPr>
        <w:numPr>
          <w:ilvl w:val="0"/>
          <w:numId w:val="8"/>
        </w:numPr>
        <w:spacing w:after="0" w:line="360" w:lineRule="auto"/>
        <w:divId w:val="247737242"/>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ما هو </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الدور الذي تلعبه أطر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 في تحديد، تقييم، ومعالجة المخاطر التشغيلية</w:t>
      </w:r>
      <w:r w:rsidRPr="005D70B4">
        <w:rPr>
          <w:rFonts w:ascii="Simplified Arabic" w:eastAsia="Times New Roman" w:hAnsi="Simplified Arabic" w:cs="Simplified Arabic" w:hint="cs"/>
          <w:color w:val="000000" w:themeColor="text1"/>
          <w:sz w:val="32"/>
          <w:szCs w:val="32"/>
          <w:rtl/>
        </w:rPr>
        <w:t xml:space="preserve"> التي تواجهها المنشآت المالية السعودية؟</w:t>
      </w:r>
    </w:p>
    <w:p w14:paraId="3DC4E0A3" w14:textId="77777777" w:rsidR="00791FF1" w:rsidRPr="005D70B4" w:rsidRDefault="00791FF1" w:rsidP="005D70B4">
      <w:pPr>
        <w:numPr>
          <w:ilvl w:val="0"/>
          <w:numId w:val="8"/>
        </w:numPr>
        <w:spacing w:after="0" w:line="360" w:lineRule="auto"/>
        <w:divId w:val="247737242"/>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lastRenderedPageBreak/>
        <w:t xml:space="preserve">هل توجد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علاقة ذات دلالة إحصائية</w:t>
      </w:r>
      <w:r w:rsidRPr="005D70B4">
        <w:rPr>
          <w:rFonts w:ascii="Simplified Arabic" w:eastAsia="Times New Roman" w:hAnsi="Simplified Arabic" w:cs="Simplified Arabic" w:hint="cs"/>
          <w:color w:val="000000" w:themeColor="text1"/>
          <w:sz w:val="32"/>
          <w:szCs w:val="32"/>
          <w:rtl/>
        </w:rPr>
        <w:t xml:space="preserve"> بين مستوى نضج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وقدرة المنشآت المالية السعودية على تحقيق أهدافها التشغيلية والمالية بفعالية؟</w:t>
      </w:r>
    </w:p>
    <w:p w14:paraId="23E4688A" w14:textId="668B37C8" w:rsidR="00262410" w:rsidRPr="005D70B4" w:rsidRDefault="00262410" w:rsidP="005D70B4">
      <w:pPr>
        <w:spacing w:after="120" w:line="360" w:lineRule="auto"/>
        <w:divId w:val="2033988547"/>
        <w:rPr>
          <w:rFonts w:ascii="Simplified Arabic" w:eastAsia="Times New Roman" w:hAnsi="Simplified Arabic" w:cs="Simplified Arabic"/>
          <w:color w:val="000000" w:themeColor="text1"/>
          <w:kern w:val="0"/>
          <w:sz w:val="32"/>
          <w:szCs w:val="32"/>
          <w14:ligatures w14:val="none"/>
        </w:rPr>
      </w:pPr>
    </w:p>
    <w:p w14:paraId="0C8B4111" w14:textId="77777777" w:rsidR="00262410" w:rsidRPr="005D70B4" w:rsidRDefault="00262410" w:rsidP="005D70B4">
      <w:pPr>
        <w:pStyle w:val="Heading2"/>
        <w:spacing w:before="0" w:after="120" w:line="360" w:lineRule="auto"/>
        <w:divId w:val="2033988547"/>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فرضيات الدراسة</w:t>
      </w:r>
    </w:p>
    <w:p w14:paraId="554BCEDD" w14:textId="77777777" w:rsidR="00262410" w:rsidRPr="005D70B4" w:rsidRDefault="00262410" w:rsidP="005D70B4">
      <w:pPr>
        <w:pStyle w:val="NormalWeb"/>
        <w:bidi/>
        <w:spacing w:before="0" w:beforeAutospacing="0" w:after="240" w:afterAutospacing="0" w:line="360" w:lineRule="auto"/>
        <w:divId w:val="2033988547"/>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تستند فرضيات الدراسة إلى التساؤلات المطروحة، وتُمثل عبارات قابلة للاختبار تفترض وجود علاقة أو تأثير بين المتغيرات. ستُستخدم هذه الفرضيات لتوجيه عملية جمع البيانات وتحليلها، وتهدف إلى تقديم إجابات محددة للتساؤلات البحثية.</w:t>
      </w:r>
    </w:p>
    <w:p w14:paraId="584BDC22" w14:textId="77777777" w:rsidR="00262410" w:rsidRPr="005D70B4" w:rsidRDefault="00262410" w:rsidP="005D70B4">
      <w:pPr>
        <w:pStyle w:val="NormalWeb"/>
        <w:bidi/>
        <w:spacing w:before="0" w:beforeAutospacing="0" w:after="0" w:afterAutospacing="0" w:line="360" w:lineRule="auto"/>
        <w:divId w:val="2033988547"/>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الفرضية الرئيسية:</w:t>
      </w:r>
    </w:p>
    <w:p w14:paraId="7148FB1C" w14:textId="77777777" w:rsidR="00262410" w:rsidRPr="005D70B4" w:rsidRDefault="00262410" w:rsidP="005D70B4">
      <w:pPr>
        <w:numPr>
          <w:ilvl w:val="0"/>
          <w:numId w:val="9"/>
        </w:numPr>
        <w:spacing w:after="0" w:line="360" w:lineRule="auto"/>
        <w:divId w:val="2033988547"/>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Pr>
        <w:t>H1</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يوجد تأثير إيجابي ذو دلالة إحصائية لتطبيق حوكمة المخاطر والامتثال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على كفاءة الأداء التشغيلي والحد من المخاطر التشغيلية في المنشآت المالية السعودية.</w:t>
      </w:r>
    </w:p>
    <w:p w14:paraId="17D65D8E" w14:textId="77777777" w:rsidR="00262410" w:rsidRPr="005D70B4" w:rsidRDefault="00262410" w:rsidP="005D70B4">
      <w:pPr>
        <w:pStyle w:val="NormalWeb"/>
        <w:bidi/>
        <w:spacing w:before="0" w:beforeAutospacing="0" w:after="0" w:afterAutospacing="0" w:line="360" w:lineRule="auto"/>
        <w:divId w:val="2033988547"/>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الفرضيات الفرعية:</w:t>
      </w:r>
    </w:p>
    <w:p w14:paraId="15CFD825" w14:textId="77777777" w:rsidR="00262410" w:rsidRPr="005D70B4" w:rsidRDefault="00262410" w:rsidP="005D70B4">
      <w:pPr>
        <w:numPr>
          <w:ilvl w:val="0"/>
          <w:numId w:val="10"/>
        </w:numPr>
        <w:spacing w:after="0" w:line="360" w:lineRule="auto"/>
        <w:divId w:val="2033988547"/>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Pr>
        <w:t>H1a</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يوجد تأثير إيجابي ذو دلالة إحصائية لمستوى نضج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على كفاءة الأداء التشغيلي في المنشآت المالية السعودية.</w:t>
      </w:r>
    </w:p>
    <w:p w14:paraId="61A3C8D3" w14:textId="77777777" w:rsidR="00262410" w:rsidRPr="005D70B4" w:rsidRDefault="00262410" w:rsidP="005D70B4">
      <w:pPr>
        <w:numPr>
          <w:ilvl w:val="0"/>
          <w:numId w:val="10"/>
        </w:numPr>
        <w:spacing w:after="0" w:line="360" w:lineRule="auto"/>
        <w:divId w:val="2033988547"/>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Pr>
        <w:t>H1b</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يوجد تأثير إيجابي ذو دلالة إحصائية لمستوى نضج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على قدرة المنشآت المالية السعودية على الحد من المخاطر التشغيلية.</w:t>
      </w:r>
    </w:p>
    <w:p w14:paraId="635C2822" w14:textId="77777777" w:rsidR="00262410" w:rsidRPr="005D70B4" w:rsidRDefault="00262410" w:rsidP="005D70B4">
      <w:pPr>
        <w:numPr>
          <w:ilvl w:val="0"/>
          <w:numId w:val="10"/>
        </w:numPr>
        <w:spacing w:after="0" w:line="360" w:lineRule="auto"/>
        <w:divId w:val="2033988547"/>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Pr>
        <w:lastRenderedPageBreak/>
        <w:t>H1c</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يؤثر تطبيق مكونات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الرئيسية (مثل إدارة المخاطر، الامتثال، والتدقيق الداخلي) بشكل إيجابي وذو دلالة إحصائية على كفاءة العمليات التشغيلية في المنشآت المالية السعودية.</w:t>
      </w:r>
    </w:p>
    <w:p w14:paraId="60EBECE7" w14:textId="1ED8B50B" w:rsidR="00AA51A5" w:rsidRPr="005D70B4" w:rsidRDefault="00262410" w:rsidP="005D70B4">
      <w:pPr>
        <w:numPr>
          <w:ilvl w:val="0"/>
          <w:numId w:val="10"/>
        </w:numPr>
        <w:spacing w:after="0" w:line="360" w:lineRule="auto"/>
        <w:divId w:val="2033988547"/>
        <w:rPr>
          <w:rFonts w:ascii="Simplified Arabic" w:eastAsia="Times New Roman" w:hAnsi="Simplified Arabic" w:cs="Simplified Arabic"/>
          <w:color w:val="000000" w:themeColor="text1"/>
          <w:sz w:val="32"/>
          <w:szCs w:val="32"/>
        </w:rPr>
      </w:pPr>
      <w:r w:rsidRPr="005D70B4">
        <w:rPr>
          <w:rStyle w:val="Strong"/>
          <w:rFonts w:ascii="Simplified Arabic" w:eastAsia="Times New Roman" w:hAnsi="Simplified Arabic" w:cs="Simplified Arabic" w:hint="cs"/>
          <w:color w:val="000000" w:themeColor="text1"/>
          <w:sz w:val="32"/>
          <w:szCs w:val="32"/>
          <w:bdr w:val="none" w:sz="0" w:space="0" w:color="auto" w:frame="1"/>
        </w:rPr>
        <w:t>H1d</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يسهم تطبيق أطر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بشكل فعال وذو دلالة إحصائية في تحديد، تقييم، ومعالجة المخاطر التشغيلية في المنشآت المالية السعودية.</w:t>
      </w:r>
    </w:p>
    <w:p w14:paraId="55EC4F8E" w14:textId="77777777" w:rsidR="00AA51A5" w:rsidRPr="005D70B4" w:rsidRDefault="00AA51A5" w:rsidP="005D70B4">
      <w:pPr>
        <w:pStyle w:val="Heading2"/>
        <w:spacing w:before="0" w:after="120" w:line="360" w:lineRule="auto"/>
        <w:divId w:val="1574118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مصطلحات الدراسة</w:t>
      </w:r>
    </w:p>
    <w:p w14:paraId="65B4DB2B" w14:textId="77777777" w:rsidR="00AA51A5" w:rsidRPr="005D70B4" w:rsidRDefault="00AA51A5" w:rsidP="005D70B4">
      <w:pPr>
        <w:pStyle w:val="NormalWeb"/>
        <w:bidi/>
        <w:spacing w:before="0" w:beforeAutospacing="0" w:after="120" w:after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لتوضيح المفاهيم الأساسية المستخدمة في هذه الدراسة وضمان فهم مشترك للمصطلحات، سيتم تعريف المصطلحات الرئيسية التالية:</w:t>
      </w:r>
    </w:p>
    <w:p w14:paraId="6648DFA1" w14:textId="77777777" w:rsidR="00AA51A5" w:rsidRPr="005D70B4" w:rsidRDefault="00AA51A5" w:rsidP="005D70B4">
      <w:pPr>
        <w:pStyle w:val="NormalWeb"/>
        <w:numPr>
          <w:ilvl w:val="0"/>
          <w:numId w:val="11"/>
        </w:numPr>
        <w:bidi/>
        <w:spacing w:before="0" w:before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حوكمة المخاطر والامتثال (</w:t>
      </w:r>
      <w:r w:rsidRPr="005D70B4">
        <w:rPr>
          <w:rFonts w:ascii="Simplified Arabic" w:hAnsi="Simplified Arabic" w:cs="Simplified Arabic" w:hint="cs"/>
          <w:color w:val="000000" w:themeColor="text1"/>
          <w:sz w:val="32"/>
          <w:szCs w:val="32"/>
        </w:rPr>
        <w:t>GRC - Governance, Risk, and Compliance</w:t>
      </w:r>
      <w:r w:rsidRPr="005D70B4">
        <w:rPr>
          <w:rFonts w:ascii="Simplified Arabic" w:hAnsi="Simplified Arabic" w:cs="Simplified Arabic" w:hint="cs"/>
          <w:color w:val="000000" w:themeColor="text1"/>
          <w:sz w:val="32"/>
          <w:szCs w:val="32"/>
          <w:rtl/>
        </w:rPr>
        <w:t>):</w:t>
      </w:r>
    </w:p>
    <w:p w14:paraId="14B8099E" w14:textId="77777777" w:rsidR="00AA51A5" w:rsidRPr="005D70B4" w:rsidRDefault="00AA51A5" w:rsidP="005D70B4">
      <w:pPr>
        <w:pStyle w:val="NormalWeb"/>
        <w:bidi/>
        <w:spacing w:before="0" w:beforeAutospacing="0" w:line="360" w:lineRule="auto"/>
        <w:ind w:left="720"/>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 xml:space="preserve">يشير مصطلح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إلى إطار متكامل ومنسق يهدف إلى إدارة الحوكمة المؤسسية، وإدارة المخاطر على مستوى المنشأة، وضمان الامتثال للمتطلبات القانونية والتنظيمية والمعايير الداخلية. يهدف تطبيق </w:t>
      </w:r>
      <w:r w:rsidRPr="005D70B4">
        <w:rPr>
          <w:rFonts w:ascii="Simplified Arabic" w:hAnsi="Simplified Arabic" w:cs="Simplified Arabic" w:hint="cs"/>
          <w:color w:val="000000" w:themeColor="text1"/>
          <w:sz w:val="32"/>
          <w:szCs w:val="32"/>
        </w:rPr>
        <w:t>GRC</w:t>
      </w:r>
      <w:r w:rsidRPr="005D70B4">
        <w:rPr>
          <w:rFonts w:ascii="Simplified Arabic" w:hAnsi="Simplified Arabic" w:cs="Simplified Arabic" w:hint="cs"/>
          <w:color w:val="000000" w:themeColor="text1"/>
          <w:sz w:val="32"/>
          <w:szCs w:val="32"/>
          <w:rtl/>
        </w:rPr>
        <w:t xml:space="preserve"> إلى تحقيق الأهداف المؤسسية، مع التعامل الفعال مع حالة عدم اليقين، والعمل بنزاهة.</w:t>
      </w:r>
    </w:p>
    <w:p w14:paraId="7355BBFA" w14:textId="77777777" w:rsidR="00AA51A5" w:rsidRPr="005D70B4" w:rsidRDefault="00AA51A5" w:rsidP="005D70B4">
      <w:pPr>
        <w:pStyle w:val="NormalWeb"/>
        <w:numPr>
          <w:ilvl w:val="0"/>
          <w:numId w:val="11"/>
        </w:numPr>
        <w:bidi/>
        <w:spacing w:before="0" w:before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كفاءة الأداء التشغيلي (</w:t>
      </w:r>
      <w:r w:rsidRPr="005D70B4">
        <w:rPr>
          <w:rFonts w:ascii="Simplified Arabic" w:hAnsi="Simplified Arabic" w:cs="Simplified Arabic" w:hint="cs"/>
          <w:color w:val="000000" w:themeColor="text1"/>
          <w:sz w:val="32"/>
          <w:szCs w:val="32"/>
        </w:rPr>
        <w:t>Operational Performance Efficiency</w:t>
      </w:r>
      <w:r w:rsidRPr="005D70B4">
        <w:rPr>
          <w:rFonts w:ascii="Simplified Arabic" w:hAnsi="Simplified Arabic" w:cs="Simplified Arabic" w:hint="cs"/>
          <w:color w:val="000000" w:themeColor="text1"/>
          <w:sz w:val="32"/>
          <w:szCs w:val="32"/>
          <w:rtl/>
        </w:rPr>
        <w:t>):</w:t>
      </w:r>
    </w:p>
    <w:p w14:paraId="3B194DE5" w14:textId="77777777" w:rsidR="00AA51A5" w:rsidRPr="005D70B4" w:rsidRDefault="00AA51A5" w:rsidP="005D70B4">
      <w:pPr>
        <w:pStyle w:val="NormalWeb"/>
        <w:bidi/>
        <w:spacing w:before="0" w:beforeAutospacing="0" w:line="360" w:lineRule="auto"/>
        <w:ind w:left="720"/>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lastRenderedPageBreak/>
        <w:t>تُعرّف كفاءة الأداء التشغيلي بأنها قدرة المنشأة المالية على تحقيق أهدافها التشغيلية باستخدام أقل قدر ممكن من الموارد (مثل الوقت، التكلفة، والجهد)، مع الحفاظ على جودة المخرجات. تشمل مؤشرات كفاءة الأداء التشغيلي تحسين العمليات، تقليل الأخطاء، سرعة إنجاز المعاملات، وتحسين استخدام الموارد.</w:t>
      </w:r>
    </w:p>
    <w:p w14:paraId="54CE2F92" w14:textId="77777777" w:rsidR="00AA51A5" w:rsidRPr="005D70B4" w:rsidRDefault="00AA51A5" w:rsidP="005D70B4">
      <w:pPr>
        <w:pStyle w:val="NormalWeb"/>
        <w:numPr>
          <w:ilvl w:val="0"/>
          <w:numId w:val="11"/>
        </w:numPr>
        <w:bidi/>
        <w:spacing w:before="0" w:before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المخاطر التشغيلية (</w:t>
      </w:r>
      <w:r w:rsidRPr="005D70B4">
        <w:rPr>
          <w:rFonts w:ascii="Simplified Arabic" w:hAnsi="Simplified Arabic" w:cs="Simplified Arabic" w:hint="cs"/>
          <w:color w:val="000000" w:themeColor="text1"/>
          <w:sz w:val="32"/>
          <w:szCs w:val="32"/>
        </w:rPr>
        <w:t>Operational Risks</w:t>
      </w:r>
      <w:r w:rsidRPr="005D70B4">
        <w:rPr>
          <w:rFonts w:ascii="Simplified Arabic" w:hAnsi="Simplified Arabic" w:cs="Simplified Arabic" w:hint="cs"/>
          <w:color w:val="000000" w:themeColor="text1"/>
          <w:sz w:val="32"/>
          <w:szCs w:val="32"/>
          <w:rtl/>
        </w:rPr>
        <w:t>):</w:t>
      </w:r>
    </w:p>
    <w:p w14:paraId="0503C4AA" w14:textId="77777777" w:rsidR="00AA51A5" w:rsidRPr="005D70B4" w:rsidRDefault="00AA51A5" w:rsidP="005D70B4">
      <w:pPr>
        <w:pStyle w:val="NormalWeb"/>
        <w:bidi/>
        <w:spacing w:before="0" w:beforeAutospacing="0" w:line="360" w:lineRule="auto"/>
        <w:ind w:left="720"/>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هي المخاطر المتعلقة بالخسائر الناتجة عن قصور أو فشل في العمليات الداخلية، الأفراد، الأنظمة، أو من أحداث خارجية. تشمل هذه المخاطر على سبيل المثال لا الحصر: أخطاء الموظفين، فشل الأنظمة التقنية، الاحتيال، عدم الامتثال للوائح، والكوارث الطبيعية.</w:t>
      </w:r>
    </w:p>
    <w:p w14:paraId="7C9C7250" w14:textId="77777777" w:rsidR="00AA51A5" w:rsidRPr="005D70B4" w:rsidRDefault="00AA51A5" w:rsidP="005D70B4">
      <w:pPr>
        <w:pStyle w:val="NormalWeb"/>
        <w:numPr>
          <w:ilvl w:val="0"/>
          <w:numId w:val="11"/>
        </w:numPr>
        <w:bidi/>
        <w:spacing w:before="0" w:before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المنشآت المالية السعودية (</w:t>
      </w:r>
      <w:r w:rsidRPr="005D70B4">
        <w:rPr>
          <w:rFonts w:ascii="Simplified Arabic" w:hAnsi="Simplified Arabic" w:cs="Simplified Arabic" w:hint="cs"/>
          <w:color w:val="000000" w:themeColor="text1"/>
          <w:sz w:val="32"/>
          <w:szCs w:val="32"/>
        </w:rPr>
        <w:t>Saudi Financial Institutions</w:t>
      </w:r>
      <w:r w:rsidRPr="005D70B4">
        <w:rPr>
          <w:rFonts w:ascii="Simplified Arabic" w:hAnsi="Simplified Arabic" w:cs="Simplified Arabic" w:hint="cs"/>
          <w:color w:val="000000" w:themeColor="text1"/>
          <w:sz w:val="32"/>
          <w:szCs w:val="32"/>
          <w:rtl/>
        </w:rPr>
        <w:t>):</w:t>
      </w:r>
    </w:p>
    <w:p w14:paraId="18DA6EFC" w14:textId="77777777" w:rsidR="00AA51A5" w:rsidRPr="005D70B4" w:rsidRDefault="00AA51A5" w:rsidP="005D70B4">
      <w:pPr>
        <w:pStyle w:val="NormalWeb"/>
        <w:bidi/>
        <w:spacing w:before="0" w:beforeAutospacing="0" w:line="360" w:lineRule="auto"/>
        <w:ind w:left="720"/>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تشمل هذه الدراسة البنوك التجارية، شركات التأمين، شركات الاستثمار، وغيرها من المؤسسات التي تعمل ضمن القطاع المالي في المملكة العربية السعودية، وتخضع لإشراف ورقابة الجهات التنظيمية مثل البنك المركزي السعودي (</w:t>
      </w:r>
      <w:r w:rsidRPr="005D70B4">
        <w:rPr>
          <w:rFonts w:ascii="Simplified Arabic" w:hAnsi="Simplified Arabic" w:cs="Simplified Arabic" w:hint="cs"/>
          <w:color w:val="000000" w:themeColor="text1"/>
          <w:sz w:val="32"/>
          <w:szCs w:val="32"/>
        </w:rPr>
        <w:t>SAMA</w:t>
      </w:r>
      <w:r w:rsidRPr="005D70B4">
        <w:rPr>
          <w:rFonts w:ascii="Simplified Arabic" w:hAnsi="Simplified Arabic" w:cs="Simplified Arabic" w:hint="cs"/>
          <w:color w:val="000000" w:themeColor="text1"/>
          <w:sz w:val="32"/>
          <w:szCs w:val="32"/>
          <w:rtl/>
        </w:rPr>
        <w:t>) وهيئة السوق المالية (</w:t>
      </w:r>
      <w:r w:rsidRPr="005D70B4">
        <w:rPr>
          <w:rFonts w:ascii="Simplified Arabic" w:hAnsi="Simplified Arabic" w:cs="Simplified Arabic" w:hint="cs"/>
          <w:color w:val="000000" w:themeColor="text1"/>
          <w:sz w:val="32"/>
          <w:szCs w:val="32"/>
        </w:rPr>
        <w:t>CMA</w:t>
      </w:r>
      <w:r w:rsidRPr="005D70B4">
        <w:rPr>
          <w:rFonts w:ascii="Simplified Arabic" w:hAnsi="Simplified Arabic" w:cs="Simplified Arabic" w:hint="cs"/>
          <w:color w:val="000000" w:themeColor="text1"/>
          <w:sz w:val="32"/>
          <w:szCs w:val="32"/>
          <w:rtl/>
        </w:rPr>
        <w:t>).</w:t>
      </w:r>
    </w:p>
    <w:p w14:paraId="0EE0800F" w14:textId="77777777" w:rsidR="00AA51A5" w:rsidRPr="005D70B4" w:rsidRDefault="00AA51A5" w:rsidP="005D70B4">
      <w:pPr>
        <w:pStyle w:val="NormalWeb"/>
        <w:numPr>
          <w:ilvl w:val="0"/>
          <w:numId w:val="11"/>
        </w:numPr>
        <w:bidi/>
        <w:spacing w:before="0" w:before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إدارة المخاطر (</w:t>
      </w:r>
      <w:r w:rsidRPr="005D70B4">
        <w:rPr>
          <w:rFonts w:ascii="Simplified Arabic" w:hAnsi="Simplified Arabic" w:cs="Simplified Arabic" w:hint="cs"/>
          <w:color w:val="000000" w:themeColor="text1"/>
          <w:sz w:val="32"/>
          <w:szCs w:val="32"/>
        </w:rPr>
        <w:t>Risk Management</w:t>
      </w:r>
      <w:r w:rsidRPr="005D70B4">
        <w:rPr>
          <w:rFonts w:ascii="Simplified Arabic" w:hAnsi="Simplified Arabic" w:cs="Simplified Arabic" w:hint="cs"/>
          <w:color w:val="000000" w:themeColor="text1"/>
          <w:sz w:val="32"/>
          <w:szCs w:val="32"/>
          <w:rtl/>
        </w:rPr>
        <w:t>):</w:t>
      </w:r>
    </w:p>
    <w:p w14:paraId="559D7000" w14:textId="77777777" w:rsidR="00AA51A5" w:rsidRPr="005D70B4" w:rsidRDefault="00AA51A5" w:rsidP="005D70B4">
      <w:pPr>
        <w:pStyle w:val="NormalWeb"/>
        <w:bidi/>
        <w:spacing w:before="0" w:beforeAutospacing="0" w:line="360" w:lineRule="auto"/>
        <w:ind w:left="720"/>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lastRenderedPageBreak/>
        <w:t>عملية منظمة لتحديد، تقييم، قياس، مراقبة، والتحكم في المخاطر التي قد تؤثر سلبًا على تحقيق أهداف المنشأة.</w:t>
      </w:r>
    </w:p>
    <w:p w14:paraId="13DEA4D1" w14:textId="77777777" w:rsidR="00AA51A5" w:rsidRPr="005D70B4" w:rsidRDefault="00AA51A5" w:rsidP="005D70B4">
      <w:pPr>
        <w:pStyle w:val="NormalWeb"/>
        <w:numPr>
          <w:ilvl w:val="0"/>
          <w:numId w:val="11"/>
        </w:numPr>
        <w:bidi/>
        <w:spacing w:before="0" w:before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الامتثال (</w:t>
      </w:r>
      <w:r w:rsidRPr="005D70B4">
        <w:rPr>
          <w:rFonts w:ascii="Simplified Arabic" w:hAnsi="Simplified Arabic" w:cs="Simplified Arabic" w:hint="cs"/>
          <w:color w:val="000000" w:themeColor="text1"/>
          <w:sz w:val="32"/>
          <w:szCs w:val="32"/>
        </w:rPr>
        <w:t>Compliance</w:t>
      </w:r>
      <w:r w:rsidRPr="005D70B4">
        <w:rPr>
          <w:rFonts w:ascii="Simplified Arabic" w:hAnsi="Simplified Arabic" w:cs="Simplified Arabic" w:hint="cs"/>
          <w:color w:val="000000" w:themeColor="text1"/>
          <w:sz w:val="32"/>
          <w:szCs w:val="32"/>
          <w:rtl/>
        </w:rPr>
        <w:t>):</w:t>
      </w:r>
    </w:p>
    <w:p w14:paraId="5F65A038" w14:textId="77777777" w:rsidR="00AA51A5" w:rsidRPr="005D70B4" w:rsidRDefault="00AA51A5" w:rsidP="005D70B4">
      <w:pPr>
        <w:pStyle w:val="NormalWeb"/>
        <w:bidi/>
        <w:spacing w:before="0" w:beforeAutospacing="0" w:line="360" w:lineRule="auto"/>
        <w:ind w:left="720"/>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الالتزام بالقوانين، اللوائح، السياسات الداخلية، المعايير، والممارسات الأخلاقية التي تحكم عمل المنشأة المالية. يهدف الامتثال إلى تجنب العقوبات القانونية والمالية وحماية سمعة المنشأة.</w:t>
      </w:r>
    </w:p>
    <w:p w14:paraId="58C06A52" w14:textId="77777777" w:rsidR="00AA51A5" w:rsidRPr="005D70B4" w:rsidRDefault="00AA51A5" w:rsidP="005D70B4">
      <w:pPr>
        <w:pStyle w:val="NormalWeb"/>
        <w:numPr>
          <w:ilvl w:val="0"/>
          <w:numId w:val="11"/>
        </w:numPr>
        <w:bidi/>
        <w:spacing w:before="0" w:beforeAutospacing="0" w:line="360" w:lineRule="auto"/>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الحوكمة (</w:t>
      </w:r>
      <w:r w:rsidRPr="005D70B4">
        <w:rPr>
          <w:rFonts w:ascii="Simplified Arabic" w:hAnsi="Simplified Arabic" w:cs="Simplified Arabic" w:hint="cs"/>
          <w:color w:val="000000" w:themeColor="text1"/>
          <w:sz w:val="32"/>
          <w:szCs w:val="32"/>
        </w:rPr>
        <w:t>Governance</w:t>
      </w:r>
      <w:r w:rsidRPr="005D70B4">
        <w:rPr>
          <w:rFonts w:ascii="Simplified Arabic" w:hAnsi="Simplified Arabic" w:cs="Simplified Arabic" w:hint="cs"/>
          <w:color w:val="000000" w:themeColor="text1"/>
          <w:sz w:val="32"/>
          <w:szCs w:val="32"/>
          <w:rtl/>
        </w:rPr>
        <w:t>):</w:t>
      </w:r>
    </w:p>
    <w:p w14:paraId="68BBADCB" w14:textId="77777777" w:rsidR="00AA51A5" w:rsidRPr="005D70B4" w:rsidRDefault="00AA51A5" w:rsidP="005D70B4">
      <w:pPr>
        <w:pStyle w:val="NormalWeb"/>
        <w:bidi/>
        <w:spacing w:before="0" w:beforeAutospacing="0" w:line="360" w:lineRule="auto"/>
        <w:ind w:left="720"/>
        <w:divId w:val="15741180"/>
        <w:rPr>
          <w:rFonts w:ascii="Simplified Arabic" w:hAnsi="Simplified Arabic" w:cs="Simplified Arabic"/>
          <w:color w:val="000000" w:themeColor="text1"/>
          <w:sz w:val="32"/>
          <w:szCs w:val="32"/>
          <w:rtl/>
        </w:rPr>
      </w:pPr>
      <w:r w:rsidRPr="005D70B4">
        <w:rPr>
          <w:rFonts w:ascii="Simplified Arabic" w:hAnsi="Simplified Arabic" w:cs="Simplified Arabic" w:hint="cs"/>
          <w:color w:val="000000" w:themeColor="text1"/>
          <w:sz w:val="32"/>
          <w:szCs w:val="32"/>
          <w:rtl/>
        </w:rPr>
        <w:t>النظام الذي يتم من خلاله توجيه المنشأة والتحكم فيها. يشمل ذلك تحديد الأهداف، وضع السياسات، توزيع الصلاحيات والمسؤوليات، وتحديد آليات الرقابة والمساءلة لضمان تحقيق الأهداف الاستراتيجية بكفاءة وشفافية.</w:t>
      </w:r>
    </w:p>
    <w:p w14:paraId="03073511" w14:textId="6CA20C61" w:rsidR="00AA51A5" w:rsidRPr="005D70B4" w:rsidRDefault="00AA51A5" w:rsidP="005D70B4">
      <w:pPr>
        <w:spacing w:after="120" w:line="360" w:lineRule="auto"/>
        <w:divId w:val="15741180"/>
        <w:rPr>
          <w:rFonts w:ascii="Simplified Arabic" w:eastAsia="Times New Roman" w:hAnsi="Simplified Arabic" w:cs="Simplified Arabic"/>
          <w:color w:val="000000" w:themeColor="text1"/>
          <w:sz w:val="32"/>
          <w:szCs w:val="32"/>
          <w:rtl/>
        </w:rPr>
      </w:pPr>
    </w:p>
    <w:p w14:paraId="5468E210" w14:textId="77777777" w:rsidR="00427281" w:rsidRPr="005D70B4" w:rsidRDefault="00427281" w:rsidP="005D70B4">
      <w:pPr>
        <w:spacing w:after="120" w:line="360" w:lineRule="auto"/>
        <w:divId w:val="15741180"/>
        <w:rPr>
          <w:rFonts w:ascii="Simplified Arabic" w:eastAsia="Times New Roman" w:hAnsi="Simplified Arabic" w:cs="Simplified Arabic"/>
          <w:color w:val="000000" w:themeColor="text1"/>
          <w:sz w:val="32"/>
          <w:szCs w:val="32"/>
          <w:rtl/>
        </w:rPr>
      </w:pPr>
    </w:p>
    <w:p w14:paraId="08D24F99" w14:textId="77777777" w:rsidR="00427281" w:rsidRPr="005D70B4" w:rsidRDefault="00427281" w:rsidP="005D70B4">
      <w:pPr>
        <w:spacing w:after="120" w:line="360" w:lineRule="auto"/>
        <w:divId w:val="15741180"/>
        <w:rPr>
          <w:rFonts w:ascii="Simplified Arabic" w:eastAsia="Times New Roman" w:hAnsi="Simplified Arabic" w:cs="Simplified Arabic"/>
          <w:color w:val="000000" w:themeColor="text1"/>
          <w:sz w:val="32"/>
          <w:szCs w:val="32"/>
          <w:rtl/>
        </w:rPr>
      </w:pPr>
    </w:p>
    <w:p w14:paraId="64F7827F" w14:textId="77777777" w:rsidR="00427281" w:rsidRPr="005D70B4" w:rsidRDefault="00427281" w:rsidP="005D70B4">
      <w:pPr>
        <w:spacing w:after="120" w:line="360" w:lineRule="auto"/>
        <w:divId w:val="15741180"/>
        <w:rPr>
          <w:rFonts w:ascii="Simplified Arabic" w:eastAsia="Times New Roman" w:hAnsi="Simplified Arabic" w:cs="Simplified Arabic"/>
          <w:color w:val="000000" w:themeColor="text1"/>
          <w:sz w:val="32"/>
          <w:szCs w:val="32"/>
          <w:rtl/>
        </w:rPr>
      </w:pPr>
    </w:p>
    <w:p w14:paraId="4D918FAC" w14:textId="77777777" w:rsidR="00262410" w:rsidRPr="005D70B4" w:rsidRDefault="00262410" w:rsidP="005D70B4">
      <w:pPr>
        <w:spacing w:line="360" w:lineRule="auto"/>
        <w:rPr>
          <w:rFonts w:ascii="Simplified Arabic" w:hAnsi="Simplified Arabic" w:cs="Simplified Arabic"/>
          <w:b/>
          <w:bCs/>
          <w:color w:val="000000" w:themeColor="text1"/>
          <w:sz w:val="32"/>
          <w:szCs w:val="32"/>
          <w:rtl/>
        </w:rPr>
      </w:pPr>
    </w:p>
    <w:p w14:paraId="42E04F3F" w14:textId="23A6731B" w:rsidR="00092FD4" w:rsidRPr="005D70B4" w:rsidRDefault="00092FD4" w:rsidP="005D70B4">
      <w:pPr>
        <w:spacing w:after="120" w:line="360" w:lineRule="auto"/>
        <w:divId w:val="2133786970"/>
        <w:rPr>
          <w:rFonts w:ascii="Simplified Arabic" w:eastAsia="Times New Roman" w:hAnsi="Simplified Arabic" w:cs="Simplified Arabic"/>
          <w:color w:val="000000" w:themeColor="text1"/>
          <w:kern w:val="0"/>
          <w:sz w:val="32"/>
          <w:szCs w:val="32"/>
          <w14:ligatures w14:val="none"/>
        </w:rPr>
      </w:pPr>
    </w:p>
    <w:p w14:paraId="4C4D35A9" w14:textId="06562FE9" w:rsidR="00092FD4" w:rsidRPr="005D70B4" w:rsidRDefault="00092FD4" w:rsidP="005D70B4">
      <w:pPr>
        <w:pStyle w:val="Heading2"/>
        <w:spacing w:before="0" w:after="120" w:line="360" w:lineRule="auto"/>
        <w:divId w:val="213378697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متغيرات الدراسة</w:t>
      </w:r>
    </w:p>
    <w:p w14:paraId="49106518" w14:textId="77777777" w:rsidR="00092FD4" w:rsidRPr="005D70B4" w:rsidRDefault="00092FD4" w:rsidP="005D70B4">
      <w:pPr>
        <w:pStyle w:val="Heading3"/>
        <w:spacing w:before="0" w:after="120" w:line="360" w:lineRule="auto"/>
        <w:divId w:val="213378697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المتغير المستقل (</w:t>
      </w:r>
      <w:r w:rsidRPr="005D70B4">
        <w:rPr>
          <w:rFonts w:ascii="Simplified Arabic" w:eastAsia="Times New Roman" w:hAnsi="Simplified Arabic" w:cs="Simplified Arabic" w:hint="cs"/>
          <w:color w:val="000000" w:themeColor="text1"/>
          <w:sz w:val="32"/>
          <w:szCs w:val="32"/>
        </w:rPr>
        <w:t>Independent Variable</w:t>
      </w:r>
      <w:r w:rsidRPr="005D70B4">
        <w:rPr>
          <w:rFonts w:ascii="Simplified Arabic" w:eastAsia="Times New Roman" w:hAnsi="Simplified Arabic" w:cs="Simplified Arabic" w:hint="cs"/>
          <w:color w:val="000000" w:themeColor="text1"/>
          <w:sz w:val="32"/>
          <w:szCs w:val="32"/>
          <w:rtl/>
        </w:rPr>
        <w:t>)</w:t>
      </w:r>
    </w:p>
    <w:p w14:paraId="15031540" w14:textId="77777777" w:rsidR="00092FD4" w:rsidRPr="005D70B4" w:rsidRDefault="00092FD4" w:rsidP="005D70B4">
      <w:pPr>
        <w:numPr>
          <w:ilvl w:val="0"/>
          <w:numId w:val="12"/>
        </w:numPr>
        <w:spacing w:after="0" w:line="360" w:lineRule="auto"/>
        <w:divId w:val="213378697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تطبيق حوكمة المخاطر والامتثال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يُعد هذا المتغير هو المحور الأساسي للدراسة، والذي يُفترض أنه يؤثر على المتغيرات التابعة. سيتم قياس هذا المتغير من خلال جوانب مختلفة مثل مستوى نضج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ومدى تكامل مكوناته (الحوكمة، إدارة المخاطر، الامتثال) داخل المنشآت المالية.</w:t>
      </w:r>
    </w:p>
    <w:p w14:paraId="3252EF53" w14:textId="77777777" w:rsidR="00092FD4" w:rsidRPr="005D70B4" w:rsidRDefault="00092FD4" w:rsidP="005D70B4">
      <w:pPr>
        <w:pStyle w:val="Heading3"/>
        <w:spacing w:before="0" w:after="120" w:line="360" w:lineRule="auto"/>
        <w:divId w:val="213378697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المتغيرات التابعة (</w:t>
      </w:r>
      <w:r w:rsidRPr="005D70B4">
        <w:rPr>
          <w:rFonts w:ascii="Simplified Arabic" w:eastAsia="Times New Roman" w:hAnsi="Simplified Arabic" w:cs="Simplified Arabic" w:hint="cs"/>
          <w:color w:val="000000" w:themeColor="text1"/>
          <w:sz w:val="32"/>
          <w:szCs w:val="32"/>
        </w:rPr>
        <w:t>Dependent Variables</w:t>
      </w:r>
      <w:r w:rsidRPr="005D70B4">
        <w:rPr>
          <w:rFonts w:ascii="Simplified Arabic" w:eastAsia="Times New Roman" w:hAnsi="Simplified Arabic" w:cs="Simplified Arabic" w:hint="cs"/>
          <w:color w:val="000000" w:themeColor="text1"/>
          <w:sz w:val="32"/>
          <w:szCs w:val="32"/>
          <w:rtl/>
        </w:rPr>
        <w:t>)</w:t>
      </w:r>
    </w:p>
    <w:p w14:paraId="32B40A09" w14:textId="77777777" w:rsidR="00092FD4" w:rsidRPr="005D70B4" w:rsidRDefault="00092FD4" w:rsidP="005D70B4">
      <w:pPr>
        <w:numPr>
          <w:ilvl w:val="0"/>
          <w:numId w:val="13"/>
        </w:numPr>
        <w:spacing w:after="0" w:line="360" w:lineRule="auto"/>
        <w:divId w:val="213378697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كفاءة الأداء التشغيلي</w:t>
      </w:r>
      <w:r w:rsidRPr="005D70B4">
        <w:rPr>
          <w:rFonts w:ascii="Simplified Arabic" w:eastAsia="Times New Roman" w:hAnsi="Simplified Arabic" w:cs="Simplified Arabic" w:hint="cs"/>
          <w:color w:val="000000" w:themeColor="text1"/>
          <w:sz w:val="32"/>
          <w:szCs w:val="32"/>
          <w:rtl/>
        </w:rPr>
        <w:t xml:space="preserve">: يمثل هذا المتغير أحد النتائج التي يُتوقع أن تتأثر بتطبيق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سيتم قياسه من خلال مؤشرات تتعلق بفعالية العمليات، تقليل الهدر، سرعة الإنجاز، وجودة المخرجات التشغيلية.</w:t>
      </w:r>
    </w:p>
    <w:p w14:paraId="3FF1CEAA" w14:textId="77777777" w:rsidR="00092FD4" w:rsidRPr="005D70B4" w:rsidRDefault="00092FD4" w:rsidP="005D70B4">
      <w:pPr>
        <w:numPr>
          <w:ilvl w:val="0"/>
          <w:numId w:val="13"/>
        </w:numPr>
        <w:spacing w:after="0" w:line="360" w:lineRule="auto"/>
        <w:divId w:val="213378697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الحد من المخاطر التشغيلية</w:t>
      </w:r>
      <w:r w:rsidRPr="005D70B4">
        <w:rPr>
          <w:rFonts w:ascii="Simplified Arabic" w:eastAsia="Times New Roman" w:hAnsi="Simplified Arabic" w:cs="Simplified Arabic" w:hint="cs"/>
          <w:color w:val="000000" w:themeColor="text1"/>
          <w:sz w:val="32"/>
          <w:szCs w:val="32"/>
          <w:rtl/>
        </w:rPr>
        <w:t xml:space="preserve">: يمثل هذا المتغير النتيجة الأخرى التي يُتوقع أن تتأثر بتطبيق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سيتم قياسه من خلال مؤشرات تتعلق بقدرة المنشأة على تحديد المخاطر، تقييمها، التحكم فيها، وتقليل الخسائر الناتجة عن الأحداث التشغيلية غير المرغوبة.</w:t>
      </w:r>
    </w:p>
    <w:p w14:paraId="3A922FF7" w14:textId="439A9AE4" w:rsidR="00092FD4" w:rsidRPr="005D70B4" w:rsidRDefault="00092FD4" w:rsidP="005D70B4">
      <w:pPr>
        <w:spacing w:after="120" w:line="360" w:lineRule="auto"/>
        <w:divId w:val="2133786970"/>
        <w:rPr>
          <w:rFonts w:ascii="Simplified Arabic" w:eastAsia="Times New Roman" w:hAnsi="Simplified Arabic" w:cs="Simplified Arabic"/>
          <w:color w:val="000000" w:themeColor="text1"/>
          <w:sz w:val="32"/>
          <w:szCs w:val="32"/>
          <w:rtl/>
        </w:rPr>
      </w:pPr>
    </w:p>
    <w:p w14:paraId="688F7FA2" w14:textId="77777777" w:rsidR="00AA51A5" w:rsidRPr="005D70B4" w:rsidRDefault="00AA51A5" w:rsidP="005D70B4">
      <w:pPr>
        <w:spacing w:line="360" w:lineRule="auto"/>
        <w:rPr>
          <w:rFonts w:ascii="Simplified Arabic" w:hAnsi="Simplified Arabic" w:cs="Simplified Arabic"/>
          <w:b/>
          <w:bCs/>
          <w:color w:val="000000" w:themeColor="text1"/>
          <w:sz w:val="32"/>
          <w:szCs w:val="32"/>
          <w:rtl/>
        </w:rPr>
      </w:pPr>
    </w:p>
    <w:p w14:paraId="38C81D14" w14:textId="77777777" w:rsidR="00427281" w:rsidRPr="005D70B4" w:rsidRDefault="00427281" w:rsidP="005D70B4">
      <w:pPr>
        <w:spacing w:line="360" w:lineRule="auto"/>
        <w:rPr>
          <w:rFonts w:ascii="Simplified Arabic" w:hAnsi="Simplified Arabic" w:cs="Simplified Arabic"/>
          <w:b/>
          <w:bCs/>
          <w:color w:val="000000" w:themeColor="text1"/>
          <w:sz w:val="32"/>
          <w:szCs w:val="32"/>
          <w:rtl/>
        </w:rPr>
      </w:pPr>
    </w:p>
    <w:p w14:paraId="414283F4" w14:textId="77777777" w:rsidR="00427281" w:rsidRPr="005D70B4" w:rsidRDefault="00427281" w:rsidP="005D70B4">
      <w:pPr>
        <w:spacing w:line="360" w:lineRule="auto"/>
        <w:rPr>
          <w:rFonts w:ascii="Simplified Arabic" w:hAnsi="Simplified Arabic" w:cs="Simplified Arabic"/>
          <w:b/>
          <w:bCs/>
          <w:color w:val="000000" w:themeColor="text1"/>
          <w:sz w:val="32"/>
          <w:szCs w:val="32"/>
          <w:rtl/>
        </w:rPr>
      </w:pPr>
    </w:p>
    <w:p w14:paraId="656B6C9D" w14:textId="77777777" w:rsidR="00427281" w:rsidRPr="005D70B4" w:rsidRDefault="00427281" w:rsidP="005D70B4">
      <w:pPr>
        <w:spacing w:line="360" w:lineRule="auto"/>
        <w:rPr>
          <w:rFonts w:ascii="Simplified Arabic" w:hAnsi="Simplified Arabic" w:cs="Simplified Arabic"/>
          <w:b/>
          <w:bCs/>
          <w:color w:val="000000" w:themeColor="text1"/>
          <w:sz w:val="32"/>
          <w:szCs w:val="32"/>
          <w:rtl/>
        </w:rPr>
      </w:pPr>
    </w:p>
    <w:p w14:paraId="658A6313" w14:textId="77777777" w:rsidR="00427281" w:rsidRPr="005D70B4" w:rsidRDefault="00427281" w:rsidP="005D70B4">
      <w:pPr>
        <w:spacing w:line="360" w:lineRule="auto"/>
        <w:rPr>
          <w:rFonts w:ascii="Simplified Arabic" w:hAnsi="Simplified Arabic" w:cs="Simplified Arabic"/>
          <w:b/>
          <w:bCs/>
          <w:color w:val="000000" w:themeColor="text1"/>
          <w:sz w:val="32"/>
          <w:szCs w:val="32"/>
          <w:rtl/>
        </w:rPr>
      </w:pPr>
    </w:p>
    <w:p w14:paraId="08B3D0EB" w14:textId="77777777" w:rsidR="00427281" w:rsidRPr="005D70B4" w:rsidRDefault="00427281" w:rsidP="005D70B4">
      <w:pPr>
        <w:spacing w:line="360" w:lineRule="auto"/>
        <w:rPr>
          <w:rFonts w:ascii="Simplified Arabic" w:hAnsi="Simplified Arabic" w:cs="Simplified Arabic"/>
          <w:b/>
          <w:bCs/>
          <w:color w:val="000000" w:themeColor="text1"/>
          <w:sz w:val="32"/>
          <w:szCs w:val="32"/>
          <w:rtl/>
        </w:rPr>
      </w:pPr>
    </w:p>
    <w:p w14:paraId="607C8C91" w14:textId="77777777" w:rsidR="00427281" w:rsidRDefault="00427281" w:rsidP="005D70B4">
      <w:pPr>
        <w:spacing w:line="360" w:lineRule="auto"/>
        <w:rPr>
          <w:rFonts w:ascii="Simplified Arabic" w:hAnsi="Simplified Arabic" w:cs="Simplified Arabic"/>
          <w:b/>
          <w:bCs/>
          <w:color w:val="000000" w:themeColor="text1"/>
          <w:sz w:val="32"/>
          <w:szCs w:val="32"/>
          <w:rtl/>
        </w:rPr>
      </w:pPr>
    </w:p>
    <w:p w14:paraId="30A50325" w14:textId="597D0475" w:rsidR="00735066" w:rsidRDefault="00735066" w:rsidP="00735066">
      <w:pPr>
        <w:spacing w:line="360" w:lineRule="auto"/>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الفصل الثاني</w:t>
      </w:r>
    </w:p>
    <w:p w14:paraId="69BF138A" w14:textId="77777777" w:rsidR="00735066" w:rsidRDefault="00735066" w:rsidP="005D70B4">
      <w:pPr>
        <w:spacing w:line="360" w:lineRule="auto"/>
        <w:rPr>
          <w:rFonts w:ascii="Simplified Arabic" w:hAnsi="Simplified Arabic" w:cs="Simplified Arabic"/>
          <w:b/>
          <w:bCs/>
          <w:color w:val="000000" w:themeColor="text1"/>
          <w:sz w:val="32"/>
          <w:szCs w:val="32"/>
          <w:rtl/>
        </w:rPr>
      </w:pPr>
    </w:p>
    <w:p w14:paraId="372C0479" w14:textId="77777777" w:rsidR="00735066" w:rsidRDefault="00735066" w:rsidP="005D70B4">
      <w:pPr>
        <w:spacing w:line="360" w:lineRule="auto"/>
        <w:rPr>
          <w:rFonts w:ascii="Simplified Arabic" w:hAnsi="Simplified Arabic" w:cs="Simplified Arabic"/>
          <w:b/>
          <w:bCs/>
          <w:color w:val="000000" w:themeColor="text1"/>
          <w:sz w:val="32"/>
          <w:szCs w:val="32"/>
          <w:rtl/>
        </w:rPr>
      </w:pPr>
    </w:p>
    <w:p w14:paraId="593D8D48" w14:textId="77777777" w:rsidR="00735066" w:rsidRDefault="00735066" w:rsidP="005D70B4">
      <w:pPr>
        <w:spacing w:line="360" w:lineRule="auto"/>
        <w:rPr>
          <w:rFonts w:ascii="Simplified Arabic" w:hAnsi="Simplified Arabic" w:cs="Simplified Arabic"/>
          <w:b/>
          <w:bCs/>
          <w:color w:val="000000" w:themeColor="text1"/>
          <w:sz w:val="32"/>
          <w:szCs w:val="32"/>
          <w:rtl/>
        </w:rPr>
      </w:pPr>
    </w:p>
    <w:p w14:paraId="2E50474E" w14:textId="77777777" w:rsidR="00735066" w:rsidRDefault="00735066" w:rsidP="005D70B4">
      <w:pPr>
        <w:spacing w:line="360" w:lineRule="auto"/>
        <w:rPr>
          <w:rFonts w:ascii="Simplified Arabic" w:hAnsi="Simplified Arabic" w:cs="Simplified Arabic"/>
          <w:b/>
          <w:bCs/>
          <w:color w:val="000000" w:themeColor="text1"/>
          <w:sz w:val="32"/>
          <w:szCs w:val="32"/>
          <w:rtl/>
        </w:rPr>
      </w:pPr>
    </w:p>
    <w:p w14:paraId="2FA7CB25" w14:textId="77777777" w:rsidR="00735066" w:rsidRDefault="00735066" w:rsidP="005D70B4">
      <w:pPr>
        <w:spacing w:line="360" w:lineRule="auto"/>
        <w:rPr>
          <w:rFonts w:ascii="Simplified Arabic" w:hAnsi="Simplified Arabic" w:cs="Simplified Arabic"/>
          <w:b/>
          <w:bCs/>
          <w:color w:val="000000" w:themeColor="text1"/>
          <w:sz w:val="32"/>
          <w:szCs w:val="32"/>
          <w:rtl/>
        </w:rPr>
      </w:pPr>
    </w:p>
    <w:p w14:paraId="6A95C485" w14:textId="77777777" w:rsidR="00735066" w:rsidRDefault="00735066" w:rsidP="005D70B4">
      <w:pPr>
        <w:spacing w:line="360" w:lineRule="auto"/>
        <w:rPr>
          <w:rFonts w:ascii="Simplified Arabic" w:hAnsi="Simplified Arabic" w:cs="Simplified Arabic"/>
          <w:b/>
          <w:bCs/>
          <w:color w:val="000000" w:themeColor="text1"/>
          <w:sz w:val="32"/>
          <w:szCs w:val="32"/>
          <w:rtl/>
        </w:rPr>
      </w:pPr>
    </w:p>
    <w:p w14:paraId="51F91090" w14:textId="77777777" w:rsidR="00735066" w:rsidRDefault="00735066" w:rsidP="005D70B4">
      <w:pPr>
        <w:spacing w:line="360" w:lineRule="auto"/>
        <w:rPr>
          <w:rFonts w:ascii="Simplified Arabic" w:hAnsi="Simplified Arabic" w:cs="Simplified Arabic"/>
          <w:b/>
          <w:bCs/>
          <w:color w:val="000000" w:themeColor="text1"/>
          <w:sz w:val="32"/>
          <w:szCs w:val="32"/>
          <w:rtl/>
        </w:rPr>
      </w:pPr>
    </w:p>
    <w:p w14:paraId="421D9AA1" w14:textId="77777777" w:rsidR="00735066" w:rsidRPr="005D70B4" w:rsidRDefault="00735066" w:rsidP="005D70B4">
      <w:pPr>
        <w:spacing w:line="360" w:lineRule="auto"/>
        <w:rPr>
          <w:rFonts w:ascii="Simplified Arabic" w:hAnsi="Simplified Arabic" w:cs="Simplified Arabic"/>
          <w:b/>
          <w:bCs/>
          <w:color w:val="000000" w:themeColor="text1"/>
          <w:sz w:val="32"/>
          <w:szCs w:val="32"/>
          <w:rtl/>
        </w:rPr>
      </w:pPr>
    </w:p>
    <w:p w14:paraId="4651D5A3" w14:textId="238F6656" w:rsidR="00427281" w:rsidRPr="005D70B4" w:rsidRDefault="00427281" w:rsidP="005D70B4">
      <w:pPr>
        <w:spacing w:line="360" w:lineRule="auto"/>
        <w:rPr>
          <w:rFonts w:ascii="Simplified Arabic" w:hAnsi="Simplified Arabic" w:cs="Simplified Arabic"/>
          <w:b/>
          <w:bCs/>
          <w:color w:val="000000" w:themeColor="text1"/>
          <w:sz w:val="32"/>
          <w:szCs w:val="32"/>
          <w:rtl/>
        </w:rPr>
      </w:pPr>
      <w:r w:rsidRPr="005D70B4">
        <w:rPr>
          <w:rFonts w:ascii="Simplified Arabic" w:hAnsi="Simplified Arabic" w:cs="Simplified Arabic" w:hint="cs"/>
          <w:b/>
          <w:bCs/>
          <w:color w:val="000000" w:themeColor="text1"/>
          <w:sz w:val="32"/>
          <w:szCs w:val="32"/>
          <w:rtl/>
        </w:rPr>
        <w:lastRenderedPageBreak/>
        <w:t xml:space="preserve">الدراسات السابقة </w:t>
      </w:r>
    </w:p>
    <w:p w14:paraId="4BAE41FE"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01. دراسة العريفي وبن سيف (2022)</w:t>
      </w:r>
    </w:p>
    <w:p w14:paraId="7726980B"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"دور الحوكمة في تحسين كفاءة الإنفاق بالجماعات الحكومية السعودية"</w:t>
      </w:r>
    </w:p>
    <w:p w14:paraId="1EA3D7FB"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المؤلفون:</w:t>
      </w:r>
      <w:r w:rsidRPr="005D70B4">
        <w:rPr>
          <w:rFonts w:ascii="Simplified Arabic" w:hAnsi="Simplified Arabic" w:cs="Simplified Arabic" w:hint="cs"/>
          <w:color w:val="000000" w:themeColor="text1"/>
          <w:sz w:val="32"/>
          <w:szCs w:val="32"/>
          <w:rtl/>
        </w:rPr>
        <w:t xml:space="preserve"> العريفي وبن سيف</w:t>
      </w:r>
    </w:p>
    <w:p w14:paraId="0EA186F0"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2022</w:t>
      </w:r>
    </w:p>
    <w:p w14:paraId="65C254FD"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6B4369C4" w14:textId="77777777" w:rsidR="000C199E" w:rsidRPr="005D70B4" w:rsidRDefault="000C199E" w:rsidP="005D70B4">
      <w:pPr>
        <w:numPr>
          <w:ilvl w:val="0"/>
          <w:numId w:val="28"/>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للحوكمة دور فعال في تحسين </w:t>
      </w:r>
      <w:r w:rsidRPr="005D70B4">
        <w:rPr>
          <w:rStyle w:val="Strong"/>
          <w:rFonts w:ascii="Simplified Arabic" w:eastAsia="Times New Roman" w:hAnsi="Simplified Arabic" w:cs="Simplified Arabic" w:hint="cs"/>
          <w:color w:val="000000" w:themeColor="text1"/>
          <w:sz w:val="32"/>
          <w:szCs w:val="32"/>
          <w:bdr w:val="none" w:sz="0" w:space="0" w:color="auto" w:frame="1"/>
          <w:rtl/>
        </w:rPr>
        <w:t>كفاءة الأداء</w:t>
      </w:r>
      <w:r w:rsidRPr="005D70B4">
        <w:rPr>
          <w:rFonts w:ascii="Simplified Arabic" w:eastAsia="Times New Roman" w:hAnsi="Simplified Arabic" w:cs="Simplified Arabic" w:hint="cs"/>
          <w:color w:val="000000" w:themeColor="text1"/>
          <w:sz w:val="32"/>
          <w:szCs w:val="32"/>
          <w:rtl/>
        </w:rPr>
        <w:t xml:space="preserve"> بشكل عام، وتأثير كبير في تحقيق </w:t>
      </w:r>
      <w:r w:rsidRPr="005D70B4">
        <w:rPr>
          <w:rStyle w:val="Strong"/>
          <w:rFonts w:ascii="Simplified Arabic" w:eastAsia="Times New Roman" w:hAnsi="Simplified Arabic" w:cs="Simplified Arabic" w:hint="cs"/>
          <w:color w:val="000000" w:themeColor="text1"/>
          <w:sz w:val="32"/>
          <w:szCs w:val="32"/>
          <w:bdr w:val="none" w:sz="0" w:space="0" w:color="auto" w:frame="1"/>
          <w:rtl/>
        </w:rPr>
        <w:t>كفاءة الإنفاق</w:t>
      </w:r>
      <w:r w:rsidRPr="005D70B4">
        <w:rPr>
          <w:rFonts w:ascii="Simplified Arabic" w:eastAsia="Times New Roman" w:hAnsi="Simplified Arabic" w:cs="Simplified Arabic" w:hint="cs"/>
          <w:color w:val="000000" w:themeColor="text1"/>
          <w:sz w:val="32"/>
          <w:szCs w:val="32"/>
          <w:rtl/>
        </w:rPr>
        <w:t xml:space="preserve"> بالجامعات السعودية.</w:t>
      </w:r>
    </w:p>
    <w:p w14:paraId="143D67B6" w14:textId="77777777" w:rsidR="000C199E" w:rsidRPr="005D70B4" w:rsidRDefault="000C199E" w:rsidP="005D70B4">
      <w:pPr>
        <w:numPr>
          <w:ilvl w:val="0"/>
          <w:numId w:val="28"/>
        </w:numPr>
        <w:spacing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يساهم تطبيق الحوكمة في الجامعات الحكومية السعودية في تحديد السلطات والمسؤوليات بوضوح وشفافية.</w:t>
      </w:r>
    </w:p>
    <w:p w14:paraId="12C06CFD" w14:textId="77777777" w:rsidR="000C199E" w:rsidRPr="005D70B4" w:rsidRDefault="000C199E" w:rsidP="005D70B4">
      <w:pPr>
        <w:numPr>
          <w:ilvl w:val="0"/>
          <w:numId w:val="28"/>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يؤدي تطبيق الحوكمة إلى تحقيق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العدالة</w:t>
      </w:r>
      <w:r w:rsidRPr="005D70B4">
        <w:rPr>
          <w:rFonts w:ascii="Simplified Arabic" w:eastAsia="Times New Roman" w:hAnsi="Simplified Arabic" w:cs="Simplified Arabic" w:hint="cs"/>
          <w:color w:val="000000" w:themeColor="text1"/>
          <w:sz w:val="32"/>
          <w:szCs w:val="32"/>
          <w:rtl/>
        </w:rPr>
        <w:t xml:space="preserve"> بين جميع الموظفين، لأنه يتيح فرص التواصل والمشاركة في اتخاذ القرارات.</w:t>
      </w:r>
    </w:p>
    <w:p w14:paraId="7B21DE67" w14:textId="13F099A2"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5D5E13F8"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02. دراسة الحميدي (2024)</w:t>
      </w:r>
    </w:p>
    <w:p w14:paraId="7D31095A"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"أثر الحوكمة على الأداء الوظيفي: دراسة ميدانية على موظفي الرئاسة العامة لشؤون المسجد الحرام والمسجد النبوي بمكة المكرمة"</w:t>
      </w:r>
    </w:p>
    <w:p w14:paraId="5D40AFFD"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الحميدي</w:t>
      </w:r>
    </w:p>
    <w:p w14:paraId="15AC6523"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lastRenderedPageBreak/>
        <w:t>السنة:</w:t>
      </w:r>
      <w:r w:rsidRPr="005D70B4">
        <w:rPr>
          <w:rFonts w:ascii="Simplified Arabic" w:hAnsi="Simplified Arabic" w:cs="Simplified Arabic" w:hint="cs"/>
          <w:color w:val="000000" w:themeColor="text1"/>
          <w:sz w:val="32"/>
          <w:szCs w:val="32"/>
          <w:rtl/>
        </w:rPr>
        <w:t xml:space="preserve"> 2024 (تاريخ الإصدار: 2 أيلول 2024م)</w:t>
      </w:r>
    </w:p>
    <w:p w14:paraId="11B0BC98" w14:textId="23A45CAE"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p>
    <w:p w14:paraId="443FD4A2" w14:textId="68D8884E"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5FCD1448"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03. دراسة العربي (2021)</w:t>
      </w:r>
    </w:p>
    <w:p w14:paraId="598FE84B"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"واقع تطبيق مبادئ الحوكمة بالإدارة العامة للتعليم بمنطقة جازان"</w:t>
      </w:r>
    </w:p>
    <w:p w14:paraId="00CF72CC"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العربي</w:t>
      </w:r>
    </w:p>
    <w:p w14:paraId="31739EA7"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2021</w:t>
      </w:r>
    </w:p>
    <w:p w14:paraId="3B9A3C65"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270BB7DC" w14:textId="77777777" w:rsidR="000C199E" w:rsidRPr="005D70B4" w:rsidRDefault="000C199E" w:rsidP="005D70B4">
      <w:pPr>
        <w:numPr>
          <w:ilvl w:val="0"/>
          <w:numId w:val="29"/>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درجة تطبيق مبادئ الحوكمة بالإدارة العامة للتعليم بمنطقة جازان بلغت درجة </w:t>
      </w:r>
      <w:r w:rsidRPr="005D70B4">
        <w:rPr>
          <w:rStyle w:val="Strong"/>
          <w:rFonts w:ascii="Simplified Arabic" w:eastAsia="Times New Roman" w:hAnsi="Simplified Arabic" w:cs="Simplified Arabic" w:hint="cs"/>
          <w:color w:val="000000" w:themeColor="text1"/>
          <w:sz w:val="32"/>
          <w:szCs w:val="32"/>
          <w:bdr w:val="none" w:sz="0" w:space="0" w:color="auto" w:frame="1"/>
          <w:rtl/>
        </w:rPr>
        <w:t>متوسطة</w:t>
      </w:r>
      <w:r w:rsidRPr="005D70B4">
        <w:rPr>
          <w:rFonts w:ascii="Simplified Arabic" w:eastAsia="Times New Roman" w:hAnsi="Simplified Arabic" w:cs="Simplified Arabic" w:hint="cs"/>
          <w:color w:val="000000" w:themeColor="text1"/>
          <w:sz w:val="32"/>
          <w:szCs w:val="32"/>
          <w:rtl/>
        </w:rPr>
        <w:t>.</w:t>
      </w:r>
    </w:p>
    <w:p w14:paraId="079947E5" w14:textId="77777777" w:rsidR="000C199E" w:rsidRPr="005D70B4" w:rsidRDefault="000C199E" w:rsidP="005D70B4">
      <w:pPr>
        <w:numPr>
          <w:ilvl w:val="0"/>
          <w:numId w:val="29"/>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حصلت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الشفافية</w:t>
      </w:r>
      <w:r w:rsidRPr="005D70B4">
        <w:rPr>
          <w:rFonts w:ascii="Simplified Arabic" w:eastAsia="Times New Roman" w:hAnsi="Simplified Arabic" w:cs="Simplified Arabic" w:hint="cs"/>
          <w:color w:val="000000" w:themeColor="text1"/>
          <w:sz w:val="32"/>
          <w:szCs w:val="32"/>
          <w:rtl/>
        </w:rPr>
        <w:t xml:space="preserve"> على المرتبة الأولى في التطبيق، ثم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المشاركة</w:t>
      </w:r>
      <w:r w:rsidRPr="005D70B4">
        <w:rPr>
          <w:rFonts w:ascii="Simplified Arabic" w:eastAsia="Times New Roman" w:hAnsi="Simplified Arabic" w:cs="Simplified Arabic" w:hint="cs"/>
          <w:color w:val="000000" w:themeColor="text1"/>
          <w:sz w:val="32"/>
          <w:szCs w:val="32"/>
          <w:rtl/>
        </w:rPr>
        <w:t xml:space="preserve">، ثم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المساءلة</w:t>
      </w:r>
      <w:r w:rsidRPr="005D70B4">
        <w:rPr>
          <w:rFonts w:ascii="Simplified Arabic" w:eastAsia="Times New Roman" w:hAnsi="Simplified Arabic" w:cs="Simplified Arabic" w:hint="cs"/>
          <w:color w:val="000000" w:themeColor="text1"/>
          <w:sz w:val="32"/>
          <w:szCs w:val="32"/>
          <w:rtl/>
        </w:rPr>
        <w:t xml:space="preserve"> كأقل مبادئ الحوكمة تطبيقًا.</w:t>
      </w:r>
    </w:p>
    <w:p w14:paraId="1E67CEEC" w14:textId="7C4F4A11"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0F79E617"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04. دراسة عز العرب (2021)</w:t>
      </w:r>
    </w:p>
    <w:p w14:paraId="527CB63A"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"دور الحوكمة في تحقيق التنمية المستدامة بمراكز الشباب"</w:t>
      </w:r>
    </w:p>
    <w:p w14:paraId="1567BFEA"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عز العرب</w:t>
      </w:r>
    </w:p>
    <w:p w14:paraId="483A3C9D"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2021</w:t>
      </w:r>
    </w:p>
    <w:p w14:paraId="7D342D3F"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lastRenderedPageBreak/>
        <w:t>النتائج:</w:t>
      </w:r>
    </w:p>
    <w:p w14:paraId="55B8BE66" w14:textId="77777777" w:rsidR="000C199E" w:rsidRPr="005D70B4" w:rsidRDefault="000C199E" w:rsidP="005D70B4">
      <w:pPr>
        <w:numPr>
          <w:ilvl w:val="0"/>
          <w:numId w:val="30"/>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أكدت عينة الدراسة على أهمية </w:t>
      </w:r>
      <w:r w:rsidRPr="005D70B4">
        <w:rPr>
          <w:rStyle w:val="Strong"/>
          <w:rFonts w:ascii="Simplified Arabic" w:eastAsia="Times New Roman" w:hAnsi="Simplified Arabic" w:cs="Simplified Arabic" w:hint="cs"/>
          <w:color w:val="000000" w:themeColor="text1"/>
          <w:sz w:val="32"/>
          <w:szCs w:val="32"/>
          <w:bdr w:val="none" w:sz="0" w:space="0" w:color="auto" w:frame="1"/>
          <w:rtl/>
        </w:rPr>
        <w:t>دور الحوكمة</w:t>
      </w:r>
      <w:r w:rsidRPr="005D70B4">
        <w:rPr>
          <w:rFonts w:ascii="Simplified Arabic" w:eastAsia="Times New Roman" w:hAnsi="Simplified Arabic" w:cs="Simplified Arabic" w:hint="cs"/>
          <w:color w:val="000000" w:themeColor="text1"/>
          <w:sz w:val="32"/>
          <w:szCs w:val="32"/>
          <w:rtl/>
        </w:rPr>
        <w:t xml:space="preserve"> في مراكز الشباب، وأهمية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التنمية المستدامة</w:t>
      </w:r>
      <w:r w:rsidRPr="005D70B4">
        <w:rPr>
          <w:rFonts w:ascii="Simplified Arabic" w:eastAsia="Times New Roman" w:hAnsi="Simplified Arabic" w:cs="Simplified Arabic" w:hint="cs"/>
          <w:color w:val="000000" w:themeColor="text1"/>
          <w:sz w:val="32"/>
          <w:szCs w:val="32"/>
          <w:rtl/>
        </w:rPr>
        <w:t xml:space="preserve"> بمراكز الشباب.</w:t>
      </w:r>
    </w:p>
    <w:p w14:paraId="2B6D3A47" w14:textId="77777777" w:rsidR="000C199E" w:rsidRPr="005D70B4" w:rsidRDefault="000C199E" w:rsidP="005D70B4">
      <w:pPr>
        <w:numPr>
          <w:ilvl w:val="0"/>
          <w:numId w:val="30"/>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وجود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علاقة طردية موجبة</w:t>
      </w:r>
      <w:r w:rsidRPr="005D70B4">
        <w:rPr>
          <w:rFonts w:ascii="Simplified Arabic" w:eastAsia="Times New Roman" w:hAnsi="Simplified Arabic" w:cs="Simplified Arabic" w:hint="cs"/>
          <w:color w:val="000000" w:themeColor="text1"/>
          <w:sz w:val="32"/>
          <w:szCs w:val="32"/>
          <w:rtl/>
        </w:rPr>
        <w:t xml:space="preserve"> بين مبادئ الحوكمة وأبعاد التنمية المستدامة بمراكز الشباب في محافظة كفر الشيخ.</w:t>
      </w:r>
    </w:p>
    <w:p w14:paraId="18618CDD" w14:textId="77C28402"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7165B04E"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 xml:space="preserve">05. دراسة </w:t>
      </w:r>
      <w:r w:rsidRPr="005D70B4">
        <w:rPr>
          <w:rFonts w:ascii="Simplified Arabic" w:eastAsia="Times New Roman" w:hAnsi="Simplified Arabic" w:cs="Simplified Arabic" w:hint="cs"/>
          <w:color w:val="000000" w:themeColor="text1"/>
        </w:rPr>
        <w:t>Fauzan</w:t>
      </w:r>
      <w:r w:rsidRPr="005D70B4">
        <w:rPr>
          <w:rFonts w:ascii="Simplified Arabic" w:eastAsia="Times New Roman" w:hAnsi="Simplified Arabic" w:cs="Simplified Arabic" w:hint="cs"/>
          <w:color w:val="000000" w:themeColor="text1"/>
          <w:rtl/>
        </w:rPr>
        <w:t xml:space="preserve"> &amp; </w:t>
      </w:r>
      <w:r w:rsidRPr="005D70B4">
        <w:rPr>
          <w:rFonts w:ascii="Simplified Arabic" w:eastAsia="Times New Roman" w:hAnsi="Simplified Arabic" w:cs="Simplified Arabic" w:hint="cs"/>
          <w:color w:val="000000" w:themeColor="text1"/>
        </w:rPr>
        <w:t>Faisal (2021)</w:t>
      </w:r>
    </w:p>
    <w:p w14:paraId="65299F1D"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"دور مشاركة العمل والحوكمة في تحسين أداء الموظف وأثره على الأداء التنظيمي في البنوك الريفية بإندونيسيا"</w:t>
      </w:r>
    </w:p>
    <w:p w14:paraId="08CA0244"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المؤلفون:</w:t>
      </w:r>
      <w:r w:rsidRPr="005D70B4">
        <w:rPr>
          <w:rFonts w:ascii="Simplified Arabic" w:hAnsi="Simplified Arabic" w:cs="Simplified Arabic" w:hint="cs"/>
          <w:color w:val="000000" w:themeColor="text1"/>
          <w:sz w:val="32"/>
          <w:szCs w:val="32"/>
          <w:rtl/>
        </w:rPr>
        <w:t xml:space="preserve"> </w:t>
      </w:r>
      <w:r w:rsidRPr="005D70B4">
        <w:rPr>
          <w:rFonts w:ascii="Simplified Arabic" w:hAnsi="Simplified Arabic" w:cs="Simplified Arabic" w:hint="cs"/>
          <w:color w:val="000000" w:themeColor="text1"/>
          <w:sz w:val="32"/>
          <w:szCs w:val="32"/>
        </w:rPr>
        <w:t>Fauzan</w:t>
      </w:r>
      <w:r w:rsidRPr="005D70B4">
        <w:rPr>
          <w:rFonts w:ascii="Simplified Arabic" w:hAnsi="Simplified Arabic" w:cs="Simplified Arabic" w:hint="cs"/>
          <w:color w:val="000000" w:themeColor="text1"/>
          <w:sz w:val="32"/>
          <w:szCs w:val="32"/>
          <w:rtl/>
        </w:rPr>
        <w:t xml:space="preserve"> &amp; </w:t>
      </w:r>
      <w:r w:rsidRPr="005D70B4">
        <w:rPr>
          <w:rFonts w:ascii="Simplified Arabic" w:hAnsi="Simplified Arabic" w:cs="Simplified Arabic" w:hint="cs"/>
          <w:color w:val="000000" w:themeColor="text1"/>
          <w:sz w:val="32"/>
          <w:szCs w:val="32"/>
        </w:rPr>
        <w:t>Faisal</w:t>
      </w:r>
    </w:p>
    <w:p w14:paraId="48C59F4D"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2021</w:t>
      </w:r>
    </w:p>
    <w:p w14:paraId="607D3A71"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3F37E95A" w14:textId="77777777" w:rsidR="000C199E" w:rsidRPr="005D70B4" w:rsidRDefault="000C199E" w:rsidP="005D70B4">
      <w:pPr>
        <w:numPr>
          <w:ilvl w:val="0"/>
          <w:numId w:val="31"/>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يتطلب تحسين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الأداء التنظيمي</w:t>
      </w:r>
      <w:r w:rsidRPr="005D70B4">
        <w:rPr>
          <w:rFonts w:ascii="Simplified Arabic" w:eastAsia="Times New Roman" w:hAnsi="Simplified Arabic" w:cs="Simplified Arabic" w:hint="cs"/>
          <w:color w:val="000000" w:themeColor="text1"/>
          <w:sz w:val="32"/>
          <w:szCs w:val="32"/>
          <w:rtl/>
        </w:rPr>
        <w:t xml:space="preserve"> إنشاء حوكمة الموارد البشرية عن طريق مشاركة العمل والحوكمة الجيدة للشركات وفقًا للوائح والقوانين المعمول بها.</w:t>
      </w:r>
    </w:p>
    <w:p w14:paraId="5EFFF58A" w14:textId="77777777" w:rsidR="000C199E" w:rsidRPr="005D70B4" w:rsidRDefault="000C199E" w:rsidP="005D70B4">
      <w:pPr>
        <w:numPr>
          <w:ilvl w:val="0"/>
          <w:numId w:val="31"/>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تساهم </w:t>
      </w:r>
      <w:r w:rsidRPr="005D70B4">
        <w:rPr>
          <w:rStyle w:val="Strong"/>
          <w:rFonts w:ascii="Simplified Arabic" w:eastAsia="Times New Roman" w:hAnsi="Simplified Arabic" w:cs="Simplified Arabic" w:hint="cs"/>
          <w:color w:val="000000" w:themeColor="text1"/>
          <w:sz w:val="32"/>
          <w:szCs w:val="32"/>
          <w:bdr w:val="none" w:sz="0" w:space="0" w:color="auto" w:frame="1"/>
          <w:rtl/>
        </w:rPr>
        <w:t>مشاركة العمل والحوكمة</w:t>
      </w:r>
      <w:r w:rsidRPr="005D70B4">
        <w:rPr>
          <w:rFonts w:ascii="Simplified Arabic" w:eastAsia="Times New Roman" w:hAnsi="Simplified Arabic" w:cs="Simplified Arabic" w:hint="cs"/>
          <w:color w:val="000000" w:themeColor="text1"/>
          <w:sz w:val="32"/>
          <w:szCs w:val="32"/>
          <w:rtl/>
        </w:rPr>
        <w:t xml:space="preserve"> في تحسين أداء الموظف التنظيمي داخل البنوك الريفية في إندونيسيا.</w:t>
      </w:r>
    </w:p>
    <w:p w14:paraId="1C7B92CA" w14:textId="1D483FC1"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4BBB1930"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lastRenderedPageBreak/>
        <w:t xml:space="preserve">06. دراسة </w:t>
      </w:r>
      <w:r w:rsidRPr="005D70B4">
        <w:rPr>
          <w:rFonts w:ascii="Simplified Arabic" w:eastAsia="Times New Roman" w:hAnsi="Simplified Arabic" w:cs="Simplified Arabic" w:hint="cs"/>
          <w:color w:val="000000" w:themeColor="text1"/>
        </w:rPr>
        <w:t>Hijazi (2001)</w:t>
      </w:r>
    </w:p>
    <w:p w14:paraId="63C21D0E"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"أثر تطبيق مبادئ الحوكمة الرشيدة على الرضا الوظيفي للعاملين بالقطاع العام الأردني"</w:t>
      </w:r>
    </w:p>
    <w:p w14:paraId="28E17B07"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w:t>
      </w:r>
      <w:r w:rsidRPr="005D70B4">
        <w:rPr>
          <w:rFonts w:ascii="Simplified Arabic" w:hAnsi="Simplified Arabic" w:cs="Simplified Arabic" w:hint="cs"/>
          <w:color w:val="000000" w:themeColor="text1"/>
          <w:sz w:val="32"/>
          <w:szCs w:val="32"/>
        </w:rPr>
        <w:t>Hijazi</w:t>
      </w:r>
    </w:p>
    <w:p w14:paraId="6D398652"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2001</w:t>
      </w:r>
    </w:p>
    <w:p w14:paraId="52E2DC44"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64290CDE" w14:textId="77777777" w:rsidR="000C199E" w:rsidRPr="005D70B4" w:rsidRDefault="000C199E" w:rsidP="005D70B4">
      <w:pPr>
        <w:numPr>
          <w:ilvl w:val="0"/>
          <w:numId w:val="32"/>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زيادة الوعي بمفهوم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الحوكمة الرشيدة</w:t>
      </w:r>
      <w:r w:rsidRPr="005D70B4">
        <w:rPr>
          <w:rFonts w:ascii="Simplified Arabic" w:eastAsia="Times New Roman" w:hAnsi="Simplified Arabic" w:cs="Simplified Arabic" w:hint="cs"/>
          <w:color w:val="000000" w:themeColor="text1"/>
          <w:sz w:val="32"/>
          <w:szCs w:val="32"/>
          <w:rtl/>
        </w:rPr>
        <w:t xml:space="preserve"> وأهميتها وفوائدها لدى جميع موظفي القطاع العام في الأردن، من خلال البرامج التوعوية والندوات والدورات التدريبية.</w:t>
      </w:r>
    </w:p>
    <w:p w14:paraId="15DF9DA2" w14:textId="77777777" w:rsidR="000C199E" w:rsidRPr="005D70B4" w:rsidRDefault="000C199E" w:rsidP="005D70B4">
      <w:pPr>
        <w:numPr>
          <w:ilvl w:val="0"/>
          <w:numId w:val="32"/>
        </w:numPr>
        <w:spacing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دعم دور الجهات الحكومية مثل ديوان المحاسبة وهيئة النزاهة ومكافحة الفساد وديوان الخدمة المدنية، والتي تساهم في تعزيز مبادئ الحوكمة الرشيدة في القطاع العام.</w:t>
      </w:r>
    </w:p>
    <w:p w14:paraId="3EAF026E" w14:textId="1B94247B"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5AFD00BD"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 xml:space="preserve">07. دراسة </w:t>
      </w:r>
      <w:r w:rsidRPr="005D70B4">
        <w:rPr>
          <w:rFonts w:ascii="Simplified Arabic" w:eastAsia="Times New Roman" w:hAnsi="Simplified Arabic" w:cs="Simplified Arabic" w:hint="cs"/>
          <w:color w:val="000000" w:themeColor="text1"/>
        </w:rPr>
        <w:t>Ghazali (2020)</w:t>
      </w:r>
    </w:p>
    <w:p w14:paraId="37123724"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"أثر حوكمة الشركات وسعات الأعمال على أداء الشركات الماليزية المدرجة في بورصة ماليزيا"</w:t>
      </w:r>
    </w:p>
    <w:p w14:paraId="50DA29CF"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w:t>
      </w:r>
      <w:r w:rsidRPr="005D70B4">
        <w:rPr>
          <w:rFonts w:ascii="Simplified Arabic" w:hAnsi="Simplified Arabic" w:cs="Simplified Arabic" w:hint="cs"/>
          <w:color w:val="000000" w:themeColor="text1"/>
          <w:sz w:val="32"/>
          <w:szCs w:val="32"/>
        </w:rPr>
        <w:t>Ghazali</w:t>
      </w:r>
    </w:p>
    <w:p w14:paraId="5C82B9D9"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2020</w:t>
      </w:r>
    </w:p>
    <w:p w14:paraId="1E2096E5"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lastRenderedPageBreak/>
        <w:t>النتائج:</w:t>
      </w:r>
    </w:p>
    <w:p w14:paraId="63499998" w14:textId="77777777" w:rsidR="000C199E" w:rsidRPr="005D70B4" w:rsidRDefault="000C199E" w:rsidP="005D70B4">
      <w:pPr>
        <w:numPr>
          <w:ilvl w:val="0"/>
          <w:numId w:val="33"/>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يؤدي </w:t>
      </w:r>
      <w:r w:rsidRPr="005D70B4">
        <w:rPr>
          <w:rStyle w:val="Strong"/>
          <w:rFonts w:ascii="Simplified Arabic" w:eastAsia="Times New Roman" w:hAnsi="Simplified Arabic" w:cs="Simplified Arabic" w:hint="cs"/>
          <w:color w:val="000000" w:themeColor="text1"/>
          <w:sz w:val="32"/>
          <w:szCs w:val="32"/>
          <w:bdr w:val="none" w:sz="0" w:space="0" w:color="auto" w:frame="1"/>
          <w:rtl/>
        </w:rPr>
        <w:t>غياب قانون الحوكمة</w:t>
      </w:r>
      <w:r w:rsidRPr="005D70B4">
        <w:rPr>
          <w:rFonts w:ascii="Simplified Arabic" w:eastAsia="Times New Roman" w:hAnsi="Simplified Arabic" w:cs="Simplified Arabic" w:hint="cs"/>
          <w:color w:val="000000" w:themeColor="text1"/>
          <w:sz w:val="32"/>
          <w:szCs w:val="32"/>
          <w:rtl/>
        </w:rPr>
        <w:t xml:space="preserve"> إلى عدم الرضا الوظيفي مما يقلل من مستوى أداء العاملين.</w:t>
      </w:r>
    </w:p>
    <w:p w14:paraId="19964439" w14:textId="77777777" w:rsidR="000C199E" w:rsidRPr="005D70B4" w:rsidRDefault="000C199E" w:rsidP="005D70B4">
      <w:pPr>
        <w:numPr>
          <w:ilvl w:val="0"/>
          <w:numId w:val="33"/>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تطبيق الشركات الماليزية لقانون الحوكمة أدى إلى </w:t>
      </w:r>
      <w:r w:rsidRPr="005D70B4">
        <w:rPr>
          <w:rStyle w:val="Strong"/>
          <w:rFonts w:ascii="Simplified Arabic" w:eastAsia="Times New Roman" w:hAnsi="Simplified Arabic" w:cs="Simplified Arabic" w:hint="cs"/>
          <w:color w:val="000000" w:themeColor="text1"/>
          <w:sz w:val="32"/>
          <w:szCs w:val="32"/>
          <w:bdr w:val="none" w:sz="0" w:space="0" w:color="auto" w:frame="1"/>
          <w:rtl/>
        </w:rPr>
        <w:t>تحسين أداء الشركات</w:t>
      </w:r>
      <w:r w:rsidRPr="005D70B4">
        <w:rPr>
          <w:rFonts w:ascii="Simplified Arabic" w:eastAsia="Times New Roman" w:hAnsi="Simplified Arabic" w:cs="Simplified Arabic" w:hint="cs"/>
          <w:color w:val="000000" w:themeColor="text1"/>
          <w:sz w:val="32"/>
          <w:szCs w:val="32"/>
          <w:rtl/>
        </w:rPr>
        <w:t>.</w:t>
      </w:r>
    </w:p>
    <w:p w14:paraId="34C3F6AE" w14:textId="4D00323D"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5CDB3EFC"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08. دراسة السعدوني والدريملي (2020)</w:t>
      </w:r>
    </w:p>
    <w:p w14:paraId="620C3837"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"أثر تطبيق مبادئ الحوكمة وعلاقتها بتحقيق التنمية الاجتماعية المستدامة في منظمات العمل التنموي بقطاع غزة"</w:t>
      </w:r>
    </w:p>
    <w:p w14:paraId="09D57AB0"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المؤلفان:</w:t>
      </w:r>
      <w:r w:rsidRPr="005D70B4">
        <w:rPr>
          <w:rFonts w:ascii="Simplified Arabic" w:hAnsi="Simplified Arabic" w:cs="Simplified Arabic" w:hint="cs"/>
          <w:color w:val="000000" w:themeColor="text1"/>
          <w:sz w:val="32"/>
          <w:szCs w:val="32"/>
          <w:rtl/>
        </w:rPr>
        <w:t xml:space="preserve"> السعدوني والدريملي</w:t>
      </w:r>
    </w:p>
    <w:p w14:paraId="5DD06A35"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2020</w:t>
      </w:r>
    </w:p>
    <w:p w14:paraId="1F875CE8"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2703E81B" w14:textId="77777777" w:rsidR="000C199E" w:rsidRPr="005D70B4" w:rsidRDefault="000C199E" w:rsidP="005D70B4">
      <w:pPr>
        <w:numPr>
          <w:ilvl w:val="0"/>
          <w:numId w:val="34"/>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وجود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علاقة ارتباط إيجابية قوية</w:t>
      </w:r>
      <w:r w:rsidRPr="005D70B4">
        <w:rPr>
          <w:rFonts w:ascii="Simplified Arabic" w:eastAsia="Times New Roman" w:hAnsi="Simplified Arabic" w:cs="Simplified Arabic" w:hint="cs"/>
          <w:color w:val="000000" w:themeColor="text1"/>
          <w:sz w:val="32"/>
          <w:szCs w:val="32"/>
          <w:rtl/>
        </w:rPr>
        <w:t xml:space="preserve"> بين الحوكمة والتنمية الاجتماعية المستدامة في المنظمات الأهلية العاملة في المجال التنموي بقطاع غزة.</w:t>
      </w:r>
    </w:p>
    <w:p w14:paraId="5BEC13A5" w14:textId="77777777" w:rsidR="000C199E" w:rsidRPr="005D70B4" w:rsidRDefault="000C199E" w:rsidP="005D70B4">
      <w:pPr>
        <w:numPr>
          <w:ilvl w:val="0"/>
          <w:numId w:val="34"/>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بعد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الرقابة</w:t>
      </w:r>
      <w:r w:rsidRPr="005D70B4">
        <w:rPr>
          <w:rFonts w:ascii="Simplified Arabic" w:eastAsia="Times New Roman" w:hAnsi="Simplified Arabic" w:cs="Simplified Arabic" w:hint="cs"/>
          <w:color w:val="000000" w:themeColor="text1"/>
          <w:sz w:val="32"/>
          <w:szCs w:val="32"/>
          <w:rtl/>
        </w:rPr>
        <w:t xml:space="preserve"> كأحد أبعاد الحوكمة حصل على الارتباط الأكبر بالتنمية الاجتماعية المستدامة.</w:t>
      </w:r>
    </w:p>
    <w:p w14:paraId="0ABA97DB" w14:textId="3B4F6939"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33606A27"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lastRenderedPageBreak/>
        <w:t xml:space="preserve">09. دراسة </w:t>
      </w:r>
      <w:r w:rsidRPr="005D70B4">
        <w:rPr>
          <w:rFonts w:ascii="Simplified Arabic" w:eastAsia="Times New Roman" w:hAnsi="Simplified Arabic" w:cs="Simplified Arabic" w:hint="cs"/>
          <w:color w:val="000000" w:themeColor="text1"/>
        </w:rPr>
        <w:t>Kaehler</w:t>
      </w:r>
      <w:r w:rsidRPr="005D70B4">
        <w:rPr>
          <w:rFonts w:ascii="Simplified Arabic" w:eastAsia="Times New Roman" w:hAnsi="Simplified Arabic" w:cs="Simplified Arabic" w:hint="cs"/>
          <w:color w:val="000000" w:themeColor="text1"/>
          <w:rtl/>
        </w:rPr>
        <w:t xml:space="preserve"> &amp; </w:t>
      </w:r>
      <w:r w:rsidRPr="005D70B4">
        <w:rPr>
          <w:rFonts w:ascii="Simplified Arabic" w:eastAsia="Times New Roman" w:hAnsi="Simplified Arabic" w:cs="Simplified Arabic" w:hint="cs"/>
          <w:color w:val="000000" w:themeColor="text1"/>
        </w:rPr>
        <w:t>Grundel (2019)</w:t>
      </w:r>
    </w:p>
    <w:p w14:paraId="14D5197C"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"حوكمة الموارد البشرية كجزء من حوكمة الشركات في مفهوم حوكمة الموارد البشرية"</w:t>
      </w:r>
    </w:p>
    <w:p w14:paraId="4E3F702E"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المؤلفان:</w:t>
      </w:r>
      <w:r w:rsidRPr="005D70B4">
        <w:rPr>
          <w:rFonts w:ascii="Simplified Arabic" w:hAnsi="Simplified Arabic" w:cs="Simplified Arabic" w:hint="cs"/>
          <w:color w:val="000000" w:themeColor="text1"/>
          <w:sz w:val="32"/>
          <w:szCs w:val="32"/>
          <w:rtl/>
        </w:rPr>
        <w:t xml:space="preserve"> </w:t>
      </w:r>
      <w:r w:rsidRPr="005D70B4">
        <w:rPr>
          <w:rFonts w:ascii="Simplified Arabic" w:hAnsi="Simplified Arabic" w:cs="Simplified Arabic" w:hint="cs"/>
          <w:color w:val="000000" w:themeColor="text1"/>
          <w:sz w:val="32"/>
          <w:szCs w:val="32"/>
        </w:rPr>
        <w:t>Kaehler</w:t>
      </w:r>
      <w:r w:rsidRPr="005D70B4">
        <w:rPr>
          <w:rFonts w:ascii="Simplified Arabic" w:hAnsi="Simplified Arabic" w:cs="Simplified Arabic" w:hint="cs"/>
          <w:color w:val="000000" w:themeColor="text1"/>
          <w:sz w:val="32"/>
          <w:szCs w:val="32"/>
          <w:rtl/>
        </w:rPr>
        <w:t xml:space="preserve"> &amp; </w:t>
      </w:r>
      <w:r w:rsidRPr="005D70B4">
        <w:rPr>
          <w:rFonts w:ascii="Simplified Arabic" w:hAnsi="Simplified Arabic" w:cs="Simplified Arabic" w:hint="cs"/>
          <w:color w:val="000000" w:themeColor="text1"/>
          <w:sz w:val="32"/>
          <w:szCs w:val="32"/>
        </w:rPr>
        <w:t>Grundel</w:t>
      </w:r>
    </w:p>
    <w:p w14:paraId="72BF6F26"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2019</w:t>
      </w:r>
    </w:p>
    <w:p w14:paraId="3517E7DC"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7126C1B4" w14:textId="77777777" w:rsidR="000C199E" w:rsidRPr="005D70B4" w:rsidRDefault="000C199E" w:rsidP="005D70B4">
      <w:pPr>
        <w:numPr>
          <w:ilvl w:val="0"/>
          <w:numId w:val="35"/>
        </w:numPr>
        <w:spacing w:after="0" w:line="360" w:lineRule="auto"/>
        <w:divId w:val="1385716120"/>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حوكمة الموارد البشرية</w:t>
      </w:r>
      <w:r w:rsidRPr="005D70B4">
        <w:rPr>
          <w:rFonts w:ascii="Simplified Arabic" w:eastAsia="Times New Roman" w:hAnsi="Simplified Arabic" w:cs="Simplified Arabic" w:hint="cs"/>
          <w:color w:val="000000" w:themeColor="text1"/>
          <w:sz w:val="32"/>
          <w:szCs w:val="32"/>
          <w:rtl/>
        </w:rPr>
        <w:t xml:space="preserve"> هي فرع من فروع حوكمة الشركات.</w:t>
      </w:r>
    </w:p>
    <w:p w14:paraId="76E20DF9" w14:textId="77777777" w:rsidR="000C199E" w:rsidRPr="005D70B4" w:rsidRDefault="000C199E" w:rsidP="005D70B4">
      <w:pPr>
        <w:numPr>
          <w:ilvl w:val="0"/>
          <w:numId w:val="35"/>
        </w:numPr>
        <w:spacing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أكدت النتائج أن المديرين ومتخصصي الموارد البشرية الذين يشكلون نماذج الشركات وإدارة الموارد البشرية والقيادة ومنظمي الفروع عليهم أن يدركوا مبادئ حوكمة الموارد البشرية.</w:t>
      </w:r>
    </w:p>
    <w:p w14:paraId="593F05C3" w14:textId="21C91C4D"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61CCF0DD" w14:textId="77777777" w:rsidR="000C199E" w:rsidRPr="005D70B4" w:rsidRDefault="000C199E" w:rsidP="005D70B4">
      <w:pPr>
        <w:pStyle w:val="Heading3"/>
        <w:spacing w:before="0"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الدراسات المتعلقة بالمتغير التابع (الأداء الوظيفي)</w:t>
      </w:r>
    </w:p>
    <w:p w14:paraId="0E414520" w14:textId="5EBD5DEC"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7905933F"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10. دراسة بو بكر (2021)</w:t>
      </w:r>
    </w:p>
    <w:p w14:paraId="65EEC1AF"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"أثر الإدارة الإلكترونية في تحسين أداء الوظيفي للعاملين دراسة حالة مصلحة الحالة المدنية ببلدية بئر مراد رايس"</w:t>
      </w:r>
    </w:p>
    <w:p w14:paraId="138942B3"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lastRenderedPageBreak/>
        <w:t>المؤلف:</w:t>
      </w:r>
      <w:r w:rsidRPr="005D70B4">
        <w:rPr>
          <w:rFonts w:ascii="Simplified Arabic" w:hAnsi="Simplified Arabic" w:cs="Simplified Arabic" w:hint="cs"/>
          <w:color w:val="000000" w:themeColor="text1"/>
          <w:sz w:val="32"/>
          <w:szCs w:val="32"/>
          <w:rtl/>
        </w:rPr>
        <w:t xml:space="preserve"> بو بكر</w:t>
      </w:r>
    </w:p>
    <w:p w14:paraId="13D084A1"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2021</w:t>
      </w:r>
    </w:p>
    <w:p w14:paraId="417CBF6C"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69C86F25" w14:textId="77777777" w:rsidR="000C199E" w:rsidRPr="005D70B4" w:rsidRDefault="000C199E" w:rsidP="005D70B4">
      <w:pPr>
        <w:numPr>
          <w:ilvl w:val="0"/>
          <w:numId w:val="36"/>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تساعد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الإدارة الإلكترونية</w:t>
      </w:r>
      <w:r w:rsidRPr="005D70B4">
        <w:rPr>
          <w:rFonts w:ascii="Simplified Arabic" w:eastAsia="Times New Roman" w:hAnsi="Simplified Arabic" w:cs="Simplified Arabic" w:hint="cs"/>
          <w:color w:val="000000" w:themeColor="text1"/>
          <w:sz w:val="32"/>
          <w:szCs w:val="32"/>
          <w:rtl/>
        </w:rPr>
        <w:t xml:space="preserve"> في زيادة وتطوير الأداء الوظيفي للعاملين بنسبة كبيرة.</w:t>
      </w:r>
    </w:p>
    <w:p w14:paraId="495CC146" w14:textId="30FFCC8D"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066F6450"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11. دراسة البقمي (2021)</w:t>
      </w:r>
    </w:p>
    <w:p w14:paraId="7A680848"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"الاحتراق النفسي وعلاقته بالأداء الوظيفي لدى أعضاء هيئة التدريس بفرع جامعة نجران بشروره"</w:t>
      </w:r>
    </w:p>
    <w:p w14:paraId="0412AD58"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البقمي</w:t>
      </w:r>
    </w:p>
    <w:p w14:paraId="5B90ADC2"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2021</w:t>
      </w:r>
    </w:p>
    <w:p w14:paraId="5866CC6F"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7ABD99CF" w14:textId="77777777" w:rsidR="000C199E" w:rsidRPr="005D70B4" w:rsidRDefault="000C199E" w:rsidP="005D70B4">
      <w:pPr>
        <w:numPr>
          <w:ilvl w:val="0"/>
          <w:numId w:val="37"/>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بلغ مستوى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الاحتراق النفسي</w:t>
      </w:r>
      <w:r w:rsidRPr="005D70B4">
        <w:rPr>
          <w:rFonts w:ascii="Simplified Arabic" w:eastAsia="Times New Roman" w:hAnsi="Simplified Arabic" w:cs="Simplified Arabic" w:hint="cs"/>
          <w:color w:val="000000" w:themeColor="text1"/>
          <w:sz w:val="32"/>
          <w:szCs w:val="32"/>
          <w:rtl/>
        </w:rPr>
        <w:t xml:space="preserve"> لدى أفراد العينة درجة منخفضة جدًا، بينما كانت درجة مستوى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الأداء الوظيفي</w:t>
      </w:r>
      <w:r w:rsidRPr="005D70B4">
        <w:rPr>
          <w:rFonts w:ascii="Simplified Arabic" w:eastAsia="Times New Roman" w:hAnsi="Simplified Arabic" w:cs="Simplified Arabic" w:hint="cs"/>
          <w:color w:val="000000" w:themeColor="text1"/>
          <w:sz w:val="32"/>
          <w:szCs w:val="32"/>
          <w:rtl/>
        </w:rPr>
        <w:t xml:space="preserve"> عالية جدًا.</w:t>
      </w:r>
    </w:p>
    <w:p w14:paraId="56C29215" w14:textId="77777777" w:rsidR="000C199E" w:rsidRPr="005D70B4" w:rsidRDefault="000C199E" w:rsidP="005D70B4">
      <w:pPr>
        <w:numPr>
          <w:ilvl w:val="0"/>
          <w:numId w:val="37"/>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وجود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علاقة ارتباطية سالبة</w:t>
      </w:r>
      <w:r w:rsidRPr="005D70B4">
        <w:rPr>
          <w:rFonts w:ascii="Simplified Arabic" w:eastAsia="Times New Roman" w:hAnsi="Simplified Arabic" w:cs="Simplified Arabic" w:hint="cs"/>
          <w:color w:val="000000" w:themeColor="text1"/>
          <w:sz w:val="32"/>
          <w:szCs w:val="32"/>
          <w:rtl/>
        </w:rPr>
        <w:t xml:space="preserve"> ذات دلالة إحصائية بين الاحتراق النفسي والأداء الوظيفي.</w:t>
      </w:r>
    </w:p>
    <w:p w14:paraId="016B2173" w14:textId="77777777" w:rsidR="000C199E" w:rsidRPr="005D70B4" w:rsidRDefault="000C199E" w:rsidP="005D70B4">
      <w:pPr>
        <w:numPr>
          <w:ilvl w:val="0"/>
          <w:numId w:val="37"/>
        </w:numPr>
        <w:spacing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وجود فروق ذات دلالة إحصائية في مستوى الاحتراق النفسي تبعًا لمتغير الجنس لصالح الإناث، وفي مستوى الأداء الوظيفي لصالح الذكور.</w:t>
      </w:r>
    </w:p>
    <w:p w14:paraId="05EEE8E3" w14:textId="69C4766B"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3968F11B"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12. دراسة نور الدين وأبو القاسم (2021)</w:t>
      </w:r>
    </w:p>
    <w:p w14:paraId="09F67756"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"الولاء التنظيمي وعلاقته بالأداء الوظيفي لدى عمال جامعة الجلفة"</w:t>
      </w:r>
    </w:p>
    <w:p w14:paraId="4F4CC3EE"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المؤلفان:</w:t>
      </w:r>
      <w:r w:rsidRPr="005D70B4">
        <w:rPr>
          <w:rFonts w:ascii="Simplified Arabic" w:hAnsi="Simplified Arabic" w:cs="Simplified Arabic" w:hint="cs"/>
          <w:color w:val="000000" w:themeColor="text1"/>
          <w:sz w:val="32"/>
          <w:szCs w:val="32"/>
          <w:rtl/>
        </w:rPr>
        <w:t xml:space="preserve"> نور الدين وأبو القاسم</w:t>
      </w:r>
    </w:p>
    <w:p w14:paraId="4F056950"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2021</w:t>
      </w:r>
    </w:p>
    <w:p w14:paraId="1DA5F277"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02536EE4" w14:textId="77777777" w:rsidR="000C199E" w:rsidRPr="005D70B4" w:rsidRDefault="000C199E" w:rsidP="005D70B4">
      <w:pPr>
        <w:numPr>
          <w:ilvl w:val="0"/>
          <w:numId w:val="38"/>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وجود أثر لبعد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الأمن الوظيفي</w:t>
      </w:r>
      <w:r w:rsidRPr="005D70B4">
        <w:rPr>
          <w:rFonts w:ascii="Simplified Arabic" w:eastAsia="Times New Roman" w:hAnsi="Simplified Arabic" w:cs="Simplified Arabic" w:hint="cs"/>
          <w:color w:val="000000" w:themeColor="text1"/>
          <w:sz w:val="32"/>
          <w:szCs w:val="32"/>
          <w:rtl/>
        </w:rPr>
        <w:t xml:space="preserve"> كأحد أبعاد الولاء التنظيمي على أداء عمال الجامعة.</w:t>
      </w:r>
    </w:p>
    <w:p w14:paraId="55D1C205" w14:textId="77777777" w:rsidR="000C199E" w:rsidRPr="005D70B4" w:rsidRDefault="000C199E" w:rsidP="005D70B4">
      <w:pPr>
        <w:numPr>
          <w:ilvl w:val="0"/>
          <w:numId w:val="38"/>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وجود أثر لبعد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الاحترام والتقدير</w:t>
      </w:r>
      <w:r w:rsidRPr="005D70B4">
        <w:rPr>
          <w:rFonts w:ascii="Simplified Arabic" w:eastAsia="Times New Roman" w:hAnsi="Simplified Arabic" w:cs="Simplified Arabic" w:hint="cs"/>
          <w:color w:val="000000" w:themeColor="text1"/>
          <w:sz w:val="32"/>
          <w:szCs w:val="32"/>
          <w:rtl/>
        </w:rPr>
        <w:t xml:space="preserve"> كأحد أبعاد الولاء التنظيمي على أداء عمال الجامعة.</w:t>
      </w:r>
    </w:p>
    <w:p w14:paraId="6B0D2590" w14:textId="7B8CF5F3"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7266FDCB"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13. دراسة الشهراني (2020)</w:t>
      </w:r>
    </w:p>
    <w:p w14:paraId="742357F1"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"الاغتراب الوظيفي وعلاقته بالأداء الوظيفي لمعلمات رياض الأطفال في منطقة عسير"</w:t>
      </w:r>
    </w:p>
    <w:p w14:paraId="0AF1BADB"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الشهراني</w:t>
      </w:r>
    </w:p>
    <w:p w14:paraId="769A123C"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2020</w:t>
      </w:r>
    </w:p>
    <w:p w14:paraId="0FBA8E39"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02EECEF1" w14:textId="77777777" w:rsidR="000C199E" w:rsidRPr="005D70B4" w:rsidRDefault="000C199E" w:rsidP="005D70B4">
      <w:pPr>
        <w:numPr>
          <w:ilvl w:val="0"/>
          <w:numId w:val="39"/>
        </w:numPr>
        <w:spacing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lastRenderedPageBreak/>
        <w:t>عدم اهتمام الإدارة بتلبية ما يتوقعه المعلمات من علاوات وحوافز ومكافآت.</w:t>
      </w:r>
    </w:p>
    <w:p w14:paraId="1E85A9CD" w14:textId="77777777" w:rsidR="000C199E" w:rsidRPr="005D70B4" w:rsidRDefault="000C199E" w:rsidP="005D70B4">
      <w:pPr>
        <w:numPr>
          <w:ilvl w:val="0"/>
          <w:numId w:val="39"/>
        </w:numPr>
        <w:spacing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الإدارة لا تربط بين منح الحوافز والترقيات وبين نتائج تقييم أداء المعلمات.</w:t>
      </w:r>
    </w:p>
    <w:p w14:paraId="08CFE470" w14:textId="77777777" w:rsidR="000C199E" w:rsidRPr="005D70B4" w:rsidRDefault="000C199E" w:rsidP="005D70B4">
      <w:pPr>
        <w:numPr>
          <w:ilvl w:val="0"/>
          <w:numId w:val="39"/>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شعور المعلمات بأن الإدارة غير عادلة في توزيع الحوافز، مما يؤدي إلى </w:t>
      </w:r>
      <w:r w:rsidRPr="005D70B4">
        <w:rPr>
          <w:rStyle w:val="Strong"/>
          <w:rFonts w:ascii="Simplified Arabic" w:eastAsia="Times New Roman" w:hAnsi="Simplified Arabic" w:cs="Simplified Arabic" w:hint="cs"/>
          <w:color w:val="000000" w:themeColor="text1"/>
          <w:sz w:val="32"/>
          <w:szCs w:val="32"/>
          <w:bdr w:val="none" w:sz="0" w:space="0" w:color="auto" w:frame="1"/>
          <w:rtl/>
        </w:rPr>
        <w:t>تخفيض مستوى الأداء</w:t>
      </w:r>
      <w:r w:rsidRPr="005D70B4">
        <w:rPr>
          <w:rFonts w:ascii="Simplified Arabic" w:eastAsia="Times New Roman" w:hAnsi="Simplified Arabic" w:cs="Simplified Arabic" w:hint="cs"/>
          <w:color w:val="000000" w:themeColor="text1"/>
          <w:sz w:val="32"/>
          <w:szCs w:val="32"/>
          <w:rtl/>
        </w:rPr>
        <w:t>.</w:t>
      </w:r>
    </w:p>
    <w:p w14:paraId="2A7B4154" w14:textId="72F9FDDD"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55860689"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14. دراسة المالكي وبخاري (2019)</w:t>
      </w:r>
    </w:p>
    <w:p w14:paraId="11B59981"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"أثر سلوك المواطنة التنظيمية في الأداء الوظيفي تحقيقًا لرؤية السعودية 2030: دراسة تطبيقية على كلية المجتمع في جامعة طيبة"</w:t>
      </w:r>
    </w:p>
    <w:p w14:paraId="7ECE9445"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المؤلفان:</w:t>
      </w:r>
      <w:r w:rsidRPr="005D70B4">
        <w:rPr>
          <w:rFonts w:ascii="Simplified Arabic" w:hAnsi="Simplified Arabic" w:cs="Simplified Arabic" w:hint="cs"/>
          <w:color w:val="000000" w:themeColor="text1"/>
          <w:sz w:val="32"/>
          <w:szCs w:val="32"/>
          <w:rtl/>
        </w:rPr>
        <w:t xml:space="preserve"> المالكي وبخاري</w:t>
      </w:r>
    </w:p>
    <w:p w14:paraId="561B13ED"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2019</w:t>
      </w:r>
    </w:p>
    <w:p w14:paraId="67D8447C"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6EC83DA2" w14:textId="77777777" w:rsidR="000C199E" w:rsidRPr="005D70B4" w:rsidRDefault="000C199E" w:rsidP="005D70B4">
      <w:pPr>
        <w:numPr>
          <w:ilvl w:val="0"/>
          <w:numId w:val="40"/>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ظهور مستوى إيجابي مرتفع جدًا في </w:t>
      </w:r>
      <w:r w:rsidRPr="005D70B4">
        <w:rPr>
          <w:rStyle w:val="Strong"/>
          <w:rFonts w:ascii="Simplified Arabic" w:eastAsia="Times New Roman" w:hAnsi="Simplified Arabic" w:cs="Simplified Arabic" w:hint="cs"/>
          <w:color w:val="000000" w:themeColor="text1"/>
          <w:sz w:val="32"/>
          <w:szCs w:val="32"/>
          <w:bdr w:val="none" w:sz="0" w:space="0" w:color="auto" w:frame="1"/>
          <w:rtl/>
        </w:rPr>
        <w:t>سلوك المواطنة التنظيمية</w:t>
      </w:r>
      <w:r w:rsidRPr="005D70B4">
        <w:rPr>
          <w:rFonts w:ascii="Simplified Arabic" w:eastAsia="Times New Roman" w:hAnsi="Simplified Arabic" w:cs="Simplified Arabic" w:hint="cs"/>
          <w:color w:val="000000" w:themeColor="text1"/>
          <w:sz w:val="32"/>
          <w:szCs w:val="32"/>
          <w:rtl/>
        </w:rPr>
        <w:t xml:space="preserve"> لدى الأفراد العاملين بكلية المجتمع بجامعة طيبة، ثم يليه وعي الضمير، ثم السلوك الحضاري، ثم الإيثار، ثم الروح الرياضية.</w:t>
      </w:r>
    </w:p>
    <w:p w14:paraId="12F161F8" w14:textId="77777777" w:rsidR="000C199E" w:rsidRPr="005D70B4" w:rsidRDefault="000C199E" w:rsidP="005D70B4">
      <w:pPr>
        <w:numPr>
          <w:ilvl w:val="0"/>
          <w:numId w:val="40"/>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ظهور مستوى إيجابي مرتفع </w:t>
      </w:r>
      <w:r w:rsidRPr="005D70B4">
        <w:rPr>
          <w:rStyle w:val="Strong"/>
          <w:rFonts w:ascii="Simplified Arabic" w:eastAsia="Times New Roman" w:hAnsi="Simplified Arabic" w:cs="Simplified Arabic" w:hint="cs"/>
          <w:color w:val="000000" w:themeColor="text1"/>
          <w:sz w:val="32"/>
          <w:szCs w:val="32"/>
          <w:bdr w:val="none" w:sz="0" w:space="0" w:color="auto" w:frame="1"/>
          <w:rtl/>
        </w:rPr>
        <w:t>للأداء الوظيفي</w:t>
      </w:r>
      <w:r w:rsidRPr="005D70B4">
        <w:rPr>
          <w:rFonts w:ascii="Simplified Arabic" w:eastAsia="Times New Roman" w:hAnsi="Simplified Arabic" w:cs="Simplified Arabic" w:hint="cs"/>
          <w:color w:val="000000" w:themeColor="text1"/>
          <w:sz w:val="32"/>
          <w:szCs w:val="32"/>
          <w:rtl/>
        </w:rPr>
        <w:t xml:space="preserve"> لدى أفراد العينة من العاملين بكلية المجتمع بجامعة طيبة نتيجة سلوك المواطنة التنظيمية.</w:t>
      </w:r>
    </w:p>
    <w:p w14:paraId="51483325" w14:textId="77777777" w:rsidR="000C199E" w:rsidRPr="005D70B4" w:rsidRDefault="000C199E" w:rsidP="005D70B4">
      <w:pPr>
        <w:numPr>
          <w:ilvl w:val="0"/>
          <w:numId w:val="40"/>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lastRenderedPageBreak/>
        <w:t xml:space="preserve">وجود تأثير إيجابي لسلوك المواطنة التنظيمية بأبعادها المختلفة، ويعزى فقط للبعدين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الروح الرياضية</w:t>
      </w:r>
      <w:r w:rsidRPr="005D70B4">
        <w:rPr>
          <w:rFonts w:ascii="Simplified Arabic" w:eastAsia="Times New Roman" w:hAnsi="Simplified Arabic" w:cs="Simplified Arabic" w:hint="cs"/>
          <w:color w:val="000000" w:themeColor="text1"/>
          <w:sz w:val="32"/>
          <w:szCs w:val="32"/>
          <w:rtl/>
        </w:rPr>
        <w:t xml:space="preserve"> و</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السلوك الحضاري</w:t>
      </w:r>
      <w:r w:rsidRPr="005D70B4">
        <w:rPr>
          <w:rFonts w:ascii="Simplified Arabic" w:eastAsia="Times New Roman" w:hAnsi="Simplified Arabic" w:cs="Simplified Arabic" w:hint="cs"/>
          <w:color w:val="000000" w:themeColor="text1"/>
          <w:sz w:val="32"/>
          <w:szCs w:val="32"/>
          <w:rtl/>
        </w:rPr>
        <w:t xml:space="preserve"> على أداء الموظفين.</w:t>
      </w:r>
    </w:p>
    <w:p w14:paraId="59DEFA4A" w14:textId="21B9E103"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5A34DFA5" w14:textId="77777777" w:rsidR="000C199E" w:rsidRPr="005D70B4" w:rsidRDefault="000C199E" w:rsidP="005D70B4">
      <w:pPr>
        <w:pStyle w:val="Heading3"/>
        <w:spacing w:before="0" w:after="12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الدراسات المشتركة المتعلقة بالمتغيرين (الحوكمة والأداء الوظيفي)</w:t>
      </w:r>
    </w:p>
    <w:p w14:paraId="397492F6" w14:textId="2FEFE891" w:rsidR="000C199E" w:rsidRPr="005D70B4" w:rsidRDefault="000C199E" w:rsidP="005D70B4">
      <w:pPr>
        <w:spacing w:after="120" w:line="360" w:lineRule="auto"/>
        <w:divId w:val="1385716120"/>
        <w:rPr>
          <w:rFonts w:ascii="Simplified Arabic" w:eastAsia="Times New Roman" w:hAnsi="Simplified Arabic" w:cs="Simplified Arabic"/>
          <w:color w:val="000000" w:themeColor="text1"/>
          <w:sz w:val="32"/>
          <w:szCs w:val="32"/>
          <w:rtl/>
        </w:rPr>
      </w:pPr>
    </w:p>
    <w:p w14:paraId="4836AEEC" w14:textId="77777777" w:rsidR="000C199E" w:rsidRPr="005D70B4" w:rsidRDefault="000C199E" w:rsidP="005D70B4">
      <w:pPr>
        <w:pStyle w:val="Heading2"/>
        <w:spacing w:before="0" w:after="120" w:line="360" w:lineRule="auto"/>
        <w:divId w:val="1385716120"/>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t>15. دراسة أبو إدريس (2019)</w:t>
      </w:r>
    </w:p>
    <w:p w14:paraId="74E17F7A"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اسم الدراسة:</w:t>
      </w:r>
      <w:r w:rsidRPr="005D70B4">
        <w:rPr>
          <w:rFonts w:ascii="Simplified Arabic" w:hAnsi="Simplified Arabic" w:cs="Simplified Arabic" w:hint="cs"/>
          <w:color w:val="000000" w:themeColor="text1"/>
          <w:sz w:val="32"/>
          <w:szCs w:val="32"/>
          <w:rtl/>
        </w:rPr>
        <w:t xml:space="preserve"> "التأثير الوسيط للتسييس التنظيمي على العلاقة بين بعض أبعاد الحوكمة الرشيدة والأداء الوظيفي: دراسة تطبيقية على المستشفيات الحكومية بمدينة الزقازيق"</w:t>
      </w:r>
    </w:p>
    <w:p w14:paraId="09E4732B"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المؤلف:</w:t>
      </w:r>
      <w:r w:rsidRPr="005D70B4">
        <w:rPr>
          <w:rFonts w:ascii="Simplified Arabic" w:hAnsi="Simplified Arabic" w:cs="Simplified Arabic" w:hint="cs"/>
          <w:color w:val="000000" w:themeColor="text1"/>
          <w:sz w:val="32"/>
          <w:szCs w:val="32"/>
          <w:rtl/>
        </w:rPr>
        <w:t xml:space="preserve"> أبو إدريس</w:t>
      </w:r>
    </w:p>
    <w:p w14:paraId="1C22F83D"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السنة:</w:t>
      </w:r>
      <w:r w:rsidRPr="005D70B4">
        <w:rPr>
          <w:rFonts w:ascii="Simplified Arabic" w:hAnsi="Simplified Arabic" w:cs="Simplified Arabic" w:hint="cs"/>
          <w:color w:val="000000" w:themeColor="text1"/>
          <w:sz w:val="32"/>
          <w:szCs w:val="32"/>
          <w:rtl/>
        </w:rPr>
        <w:t xml:space="preserve"> 2019</w:t>
      </w:r>
    </w:p>
    <w:p w14:paraId="0499F7CF" w14:textId="77777777" w:rsidR="000C199E" w:rsidRPr="005D70B4" w:rsidRDefault="000C199E" w:rsidP="005D70B4">
      <w:pPr>
        <w:pStyle w:val="NormalWeb"/>
        <w:bidi/>
        <w:spacing w:before="0" w:beforeAutospacing="0" w:after="0" w:afterAutospacing="0" w:line="360" w:lineRule="auto"/>
        <w:divId w:val="1385716120"/>
        <w:rPr>
          <w:rFonts w:ascii="Simplified Arabic" w:hAnsi="Simplified Arabic" w:cs="Simplified Arabic"/>
          <w:color w:val="000000" w:themeColor="text1"/>
          <w:sz w:val="32"/>
          <w:szCs w:val="32"/>
          <w:rtl/>
        </w:rPr>
      </w:pPr>
      <w:r w:rsidRPr="005D70B4">
        <w:rPr>
          <w:rStyle w:val="Strong"/>
          <w:rFonts w:ascii="Simplified Arabic" w:hAnsi="Simplified Arabic" w:cs="Simplified Arabic" w:hint="cs"/>
          <w:color w:val="000000" w:themeColor="text1"/>
          <w:sz w:val="32"/>
          <w:szCs w:val="32"/>
          <w:bdr w:val="none" w:sz="0" w:space="0" w:color="auto" w:frame="1"/>
          <w:rtl/>
        </w:rPr>
        <w:t>النتائج:</w:t>
      </w:r>
    </w:p>
    <w:p w14:paraId="21C463CB" w14:textId="77777777" w:rsidR="000C199E" w:rsidRPr="005D70B4" w:rsidRDefault="000C199E" w:rsidP="005D70B4">
      <w:pPr>
        <w:numPr>
          <w:ilvl w:val="0"/>
          <w:numId w:val="41"/>
        </w:numPr>
        <w:spacing w:after="0" w:line="360" w:lineRule="auto"/>
        <w:divId w:val="1385716120"/>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تأثير أبعاد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الحوكمة الرشيدة</w:t>
      </w:r>
      <w:r w:rsidRPr="005D70B4">
        <w:rPr>
          <w:rFonts w:ascii="Simplified Arabic" w:eastAsia="Times New Roman" w:hAnsi="Simplified Arabic" w:cs="Simplified Arabic" w:hint="cs"/>
          <w:color w:val="000000" w:themeColor="text1"/>
          <w:sz w:val="32"/>
          <w:szCs w:val="32"/>
          <w:rtl/>
        </w:rPr>
        <w:t xml:space="preserve"> (الشفافية والنزاهة والمشاركة والمساءلة) معنويًا على </w:t>
      </w:r>
      <w:r w:rsidRPr="005D70B4">
        <w:rPr>
          <w:rStyle w:val="Strong"/>
          <w:rFonts w:ascii="Simplified Arabic" w:eastAsia="Times New Roman" w:hAnsi="Simplified Arabic" w:cs="Simplified Arabic" w:hint="cs"/>
          <w:color w:val="000000" w:themeColor="text1"/>
          <w:sz w:val="32"/>
          <w:szCs w:val="32"/>
          <w:bdr w:val="none" w:sz="0" w:space="0" w:color="auto" w:frame="1"/>
          <w:rtl/>
        </w:rPr>
        <w:t>الأداء الوظيفي</w:t>
      </w:r>
      <w:r w:rsidRPr="005D70B4">
        <w:rPr>
          <w:rFonts w:ascii="Simplified Arabic" w:eastAsia="Times New Roman" w:hAnsi="Simplified Arabic" w:cs="Simplified Arabic" w:hint="cs"/>
          <w:color w:val="000000" w:themeColor="text1"/>
          <w:sz w:val="32"/>
          <w:szCs w:val="32"/>
          <w:rtl/>
        </w:rPr>
        <w:t xml:space="preserve"> للعاملين في المستشفيات الحكومية بمدينة الزقازيق.</w:t>
      </w:r>
    </w:p>
    <w:p w14:paraId="5C9CACA1" w14:textId="77777777" w:rsidR="000C199E" w:rsidRPr="005D70B4" w:rsidRDefault="000C199E" w:rsidP="005D70B4">
      <w:pPr>
        <w:spacing w:line="360" w:lineRule="auto"/>
        <w:rPr>
          <w:rFonts w:ascii="Simplified Arabic" w:hAnsi="Simplified Arabic" w:cs="Simplified Arabic"/>
          <w:b/>
          <w:bCs/>
          <w:color w:val="000000" w:themeColor="text1"/>
          <w:sz w:val="32"/>
          <w:szCs w:val="32"/>
          <w:rtl/>
        </w:rPr>
      </w:pPr>
    </w:p>
    <w:p w14:paraId="2E84528B" w14:textId="77777777" w:rsidR="000C199E" w:rsidRPr="005D70B4" w:rsidRDefault="000C199E" w:rsidP="005D70B4">
      <w:pPr>
        <w:spacing w:line="360" w:lineRule="auto"/>
        <w:rPr>
          <w:rFonts w:ascii="Simplified Arabic" w:hAnsi="Simplified Arabic" w:cs="Simplified Arabic"/>
          <w:b/>
          <w:bCs/>
          <w:color w:val="000000" w:themeColor="text1"/>
          <w:sz w:val="32"/>
          <w:szCs w:val="32"/>
          <w:rtl/>
        </w:rPr>
      </w:pPr>
    </w:p>
    <w:p w14:paraId="63318A47" w14:textId="4F55ACBC" w:rsidR="006C2569" w:rsidRPr="005D70B4" w:rsidRDefault="006C2569" w:rsidP="005D70B4">
      <w:pPr>
        <w:pStyle w:val="Heading2"/>
        <w:spacing w:before="0" w:after="120" w:line="360" w:lineRule="auto"/>
        <w:rPr>
          <w:rFonts w:ascii="Simplified Arabic" w:eastAsia="Times New Roman" w:hAnsi="Simplified Arabic" w:cs="Simplified Arabic"/>
          <w:color w:val="000000" w:themeColor="text1"/>
          <w:rtl/>
        </w:rPr>
      </w:pPr>
      <w:r w:rsidRPr="005D70B4">
        <w:rPr>
          <w:rFonts w:ascii="Simplified Arabic" w:eastAsia="Times New Roman" w:hAnsi="Simplified Arabic" w:cs="Simplified Arabic" w:hint="cs"/>
          <w:color w:val="000000" w:themeColor="text1"/>
          <w:rtl/>
        </w:rPr>
        <w:lastRenderedPageBreak/>
        <w:t>الإطار النظري للدراسة</w:t>
      </w:r>
    </w:p>
    <w:p w14:paraId="7E92A4CC"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5AC93299"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1. الإطار المفاهيمي لحوكمة المخاطر والامتثال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w:t>
      </w:r>
    </w:p>
    <w:p w14:paraId="73A70799" w14:textId="77777777" w:rsidR="006C2569" w:rsidRPr="005D70B4" w:rsidRDefault="006C2569" w:rsidP="005D70B4">
      <w:pPr>
        <w:numPr>
          <w:ilvl w:val="0"/>
          <w:numId w:val="18"/>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تعريف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Fonts w:ascii="Simplified Arabic" w:eastAsia="Times New Roman" w:hAnsi="Simplified Arabic" w:cs="Simplified Arabic" w:hint="cs"/>
          <w:color w:val="000000" w:themeColor="text1"/>
          <w:sz w:val="32"/>
          <w:szCs w:val="32"/>
          <w:rtl/>
        </w:rPr>
        <w:t xml:space="preserve">: استعراض التعريفات المختلفة لـ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كإطار متكامل للحوكمة، إدارة المخاطر، والامتثال.</w:t>
      </w:r>
    </w:p>
    <w:p w14:paraId="69DB67A0" w14:textId="77777777" w:rsidR="006C2569" w:rsidRPr="005D70B4" w:rsidRDefault="006C2569" w:rsidP="005D70B4">
      <w:pPr>
        <w:numPr>
          <w:ilvl w:val="0"/>
          <w:numId w:val="18"/>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مكونات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 الأساسية</w:t>
      </w:r>
      <w:r w:rsidRPr="005D70B4">
        <w:rPr>
          <w:rFonts w:ascii="Simplified Arabic" w:eastAsia="Times New Roman" w:hAnsi="Simplified Arabic" w:cs="Simplified Arabic" w:hint="cs"/>
          <w:color w:val="000000" w:themeColor="text1"/>
          <w:sz w:val="32"/>
          <w:szCs w:val="32"/>
          <w:rtl/>
        </w:rPr>
        <w:t>: شرح مفصل للمكونات الثلاثة: الحوكمة (</w:t>
      </w:r>
      <w:r w:rsidRPr="005D70B4">
        <w:rPr>
          <w:rFonts w:ascii="Simplified Arabic" w:eastAsia="Times New Roman" w:hAnsi="Simplified Arabic" w:cs="Simplified Arabic" w:hint="cs"/>
          <w:color w:val="000000" w:themeColor="text1"/>
          <w:sz w:val="32"/>
          <w:szCs w:val="32"/>
        </w:rPr>
        <w:t>Governance</w:t>
      </w:r>
      <w:r w:rsidRPr="005D70B4">
        <w:rPr>
          <w:rFonts w:ascii="Simplified Arabic" w:eastAsia="Times New Roman" w:hAnsi="Simplified Arabic" w:cs="Simplified Arabic" w:hint="cs"/>
          <w:color w:val="000000" w:themeColor="text1"/>
          <w:sz w:val="32"/>
          <w:szCs w:val="32"/>
          <w:rtl/>
        </w:rPr>
        <w:t>)، إدارة المخاطر (</w:t>
      </w:r>
      <w:r w:rsidRPr="005D70B4">
        <w:rPr>
          <w:rFonts w:ascii="Simplified Arabic" w:eastAsia="Times New Roman" w:hAnsi="Simplified Arabic" w:cs="Simplified Arabic" w:hint="cs"/>
          <w:color w:val="000000" w:themeColor="text1"/>
          <w:sz w:val="32"/>
          <w:szCs w:val="32"/>
        </w:rPr>
        <w:t>Risk Management</w:t>
      </w:r>
      <w:r w:rsidRPr="005D70B4">
        <w:rPr>
          <w:rFonts w:ascii="Simplified Arabic" w:eastAsia="Times New Roman" w:hAnsi="Simplified Arabic" w:cs="Simplified Arabic" w:hint="cs"/>
          <w:color w:val="000000" w:themeColor="text1"/>
          <w:sz w:val="32"/>
          <w:szCs w:val="32"/>
          <w:rtl/>
        </w:rPr>
        <w:t>)، والامتثال (</w:t>
      </w:r>
      <w:r w:rsidRPr="005D70B4">
        <w:rPr>
          <w:rFonts w:ascii="Simplified Arabic" w:eastAsia="Times New Roman" w:hAnsi="Simplified Arabic" w:cs="Simplified Arabic" w:hint="cs"/>
          <w:color w:val="000000" w:themeColor="text1"/>
          <w:sz w:val="32"/>
          <w:szCs w:val="32"/>
        </w:rPr>
        <w:t>Compliance</w:t>
      </w:r>
      <w:r w:rsidRPr="005D70B4">
        <w:rPr>
          <w:rFonts w:ascii="Simplified Arabic" w:eastAsia="Times New Roman" w:hAnsi="Simplified Arabic" w:cs="Simplified Arabic" w:hint="cs"/>
          <w:color w:val="000000" w:themeColor="text1"/>
          <w:sz w:val="32"/>
          <w:szCs w:val="32"/>
          <w:rtl/>
        </w:rPr>
        <w:t>)، وكيفية ترابطها.</w:t>
      </w:r>
    </w:p>
    <w:p w14:paraId="2123464F" w14:textId="77777777" w:rsidR="006C2569" w:rsidRPr="005D70B4" w:rsidRDefault="006C2569" w:rsidP="005D70B4">
      <w:pPr>
        <w:numPr>
          <w:ilvl w:val="0"/>
          <w:numId w:val="18"/>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أهمية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 في القطاع المالي</w:t>
      </w:r>
      <w:r w:rsidRPr="005D70B4">
        <w:rPr>
          <w:rFonts w:ascii="Simplified Arabic" w:eastAsia="Times New Roman" w:hAnsi="Simplified Arabic" w:cs="Simplified Arabic" w:hint="cs"/>
          <w:color w:val="000000" w:themeColor="text1"/>
          <w:sz w:val="32"/>
          <w:szCs w:val="32"/>
          <w:rtl/>
        </w:rPr>
        <w:t xml:space="preserve">: التركيز على الدور الحيوي لـ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تعزيز الاستقرار، الشفافية، والمساءلة في المؤسسات المالية.</w:t>
      </w:r>
    </w:p>
    <w:p w14:paraId="614D0EBA" w14:textId="77777777" w:rsidR="006C2569" w:rsidRPr="005D70B4" w:rsidRDefault="006C2569" w:rsidP="005D70B4">
      <w:pPr>
        <w:numPr>
          <w:ilvl w:val="0"/>
          <w:numId w:val="18"/>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تطور مفهوم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Fonts w:ascii="Simplified Arabic" w:eastAsia="Times New Roman" w:hAnsi="Simplified Arabic" w:cs="Simplified Arabic" w:hint="cs"/>
          <w:color w:val="000000" w:themeColor="text1"/>
          <w:sz w:val="32"/>
          <w:szCs w:val="32"/>
          <w:rtl/>
        </w:rPr>
        <w:t xml:space="preserve">: لمحة تاريخية عن تطور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من وظائف منفصلة إلى نهج متكامل.</w:t>
      </w:r>
    </w:p>
    <w:p w14:paraId="643AE117"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41DA224C"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2. الحوكمة المؤسسية في المنشآت المالية</w:t>
      </w:r>
    </w:p>
    <w:p w14:paraId="68628982" w14:textId="77777777" w:rsidR="006C2569" w:rsidRPr="005D70B4" w:rsidRDefault="006C2569" w:rsidP="005D70B4">
      <w:pPr>
        <w:numPr>
          <w:ilvl w:val="0"/>
          <w:numId w:val="19"/>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مفهوم الحوكمة</w:t>
      </w:r>
      <w:r w:rsidRPr="005D70B4">
        <w:rPr>
          <w:rFonts w:ascii="Simplified Arabic" w:eastAsia="Times New Roman" w:hAnsi="Simplified Arabic" w:cs="Simplified Arabic" w:hint="cs"/>
          <w:color w:val="000000" w:themeColor="text1"/>
          <w:sz w:val="32"/>
          <w:szCs w:val="32"/>
          <w:rtl/>
        </w:rPr>
        <w:t>: تعريف الحوكمة المؤسسية وأهدافها الرئيسية.</w:t>
      </w:r>
    </w:p>
    <w:p w14:paraId="27424081" w14:textId="77777777" w:rsidR="006C2569" w:rsidRPr="005D70B4" w:rsidRDefault="006C2569" w:rsidP="005D70B4">
      <w:pPr>
        <w:numPr>
          <w:ilvl w:val="0"/>
          <w:numId w:val="19"/>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مبادئ الحوكمة الرشيدة</w:t>
      </w:r>
      <w:r w:rsidRPr="005D70B4">
        <w:rPr>
          <w:rFonts w:ascii="Simplified Arabic" w:eastAsia="Times New Roman" w:hAnsi="Simplified Arabic" w:cs="Simplified Arabic" w:hint="cs"/>
          <w:color w:val="000000" w:themeColor="text1"/>
          <w:sz w:val="32"/>
          <w:szCs w:val="32"/>
          <w:rtl/>
        </w:rPr>
        <w:t>: استعراض المبادئ الأساسية مثل الشفافية، المساءلة، الإنصاف، والمسؤولية.</w:t>
      </w:r>
    </w:p>
    <w:p w14:paraId="33B16D81" w14:textId="77777777" w:rsidR="006C2569" w:rsidRPr="005D70B4" w:rsidRDefault="006C2569" w:rsidP="005D70B4">
      <w:pPr>
        <w:numPr>
          <w:ilvl w:val="0"/>
          <w:numId w:val="19"/>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lastRenderedPageBreak/>
        <w:t>دور مجلس الإدارة والإدارة العليا</w:t>
      </w:r>
      <w:r w:rsidRPr="005D70B4">
        <w:rPr>
          <w:rFonts w:ascii="Simplified Arabic" w:eastAsia="Times New Roman" w:hAnsi="Simplified Arabic" w:cs="Simplified Arabic" w:hint="cs"/>
          <w:color w:val="000000" w:themeColor="text1"/>
          <w:sz w:val="32"/>
          <w:szCs w:val="32"/>
          <w:rtl/>
        </w:rPr>
        <w:t>: توضيح مسؤولياتهم في وضع استراتيجيات الحوكمة والإشراف عليها.</w:t>
      </w:r>
    </w:p>
    <w:p w14:paraId="38C2C322" w14:textId="77777777" w:rsidR="006C2569" w:rsidRPr="005D70B4" w:rsidRDefault="006C2569" w:rsidP="005D70B4">
      <w:pPr>
        <w:numPr>
          <w:ilvl w:val="0"/>
          <w:numId w:val="19"/>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أهمية الحوكمة في القطاع المالي السعودي</w:t>
      </w:r>
      <w:r w:rsidRPr="005D70B4">
        <w:rPr>
          <w:rFonts w:ascii="Simplified Arabic" w:eastAsia="Times New Roman" w:hAnsi="Simplified Arabic" w:cs="Simplified Arabic" w:hint="cs"/>
          <w:color w:val="000000" w:themeColor="text1"/>
          <w:sz w:val="32"/>
          <w:szCs w:val="32"/>
          <w:rtl/>
        </w:rPr>
        <w:t>: تحليل الإطار التنظيمي للحوكمة في المملكة العربية السعودية (مثل لوائح البنك المركزي وهيئة السوق المالية).</w:t>
      </w:r>
    </w:p>
    <w:p w14:paraId="22C4BDF4"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70B801DE"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3. إدارة المخاطر التشغيلية</w:t>
      </w:r>
    </w:p>
    <w:p w14:paraId="5E2CA5BF" w14:textId="77777777" w:rsidR="006C2569" w:rsidRPr="005D70B4" w:rsidRDefault="006C2569" w:rsidP="005D70B4">
      <w:pPr>
        <w:numPr>
          <w:ilvl w:val="0"/>
          <w:numId w:val="20"/>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تعريف المخاطر التشغيلية</w:t>
      </w:r>
      <w:r w:rsidRPr="005D70B4">
        <w:rPr>
          <w:rFonts w:ascii="Simplified Arabic" w:eastAsia="Times New Roman" w:hAnsi="Simplified Arabic" w:cs="Simplified Arabic" w:hint="cs"/>
          <w:color w:val="000000" w:themeColor="text1"/>
          <w:sz w:val="32"/>
          <w:szCs w:val="32"/>
          <w:rtl/>
        </w:rPr>
        <w:t>: توضيح مفهوم المخاطر التشغيلية وأنواعها المختلفة (مخاطر الأفراد، العمليات، الأنظمة، والأحداث الخارجية).</w:t>
      </w:r>
    </w:p>
    <w:p w14:paraId="71DF7337" w14:textId="77777777" w:rsidR="006C2569" w:rsidRPr="005D70B4" w:rsidRDefault="006C2569" w:rsidP="005D70B4">
      <w:pPr>
        <w:numPr>
          <w:ilvl w:val="0"/>
          <w:numId w:val="20"/>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مراحل عملية إدارة المخاطر</w:t>
      </w:r>
      <w:r w:rsidRPr="005D70B4">
        <w:rPr>
          <w:rFonts w:ascii="Simplified Arabic" w:eastAsia="Times New Roman" w:hAnsi="Simplified Arabic" w:cs="Simplified Arabic" w:hint="cs"/>
          <w:color w:val="000000" w:themeColor="text1"/>
          <w:sz w:val="32"/>
          <w:szCs w:val="32"/>
          <w:rtl/>
        </w:rPr>
        <w:t>: شرح مراحل تحديد المخاطر، تقييمها، قياسها، معالجتها، ومراقبتها.</w:t>
      </w:r>
    </w:p>
    <w:p w14:paraId="2453F53A" w14:textId="77777777" w:rsidR="006C2569" w:rsidRPr="005D70B4" w:rsidRDefault="006C2569" w:rsidP="005D70B4">
      <w:pPr>
        <w:numPr>
          <w:ilvl w:val="0"/>
          <w:numId w:val="20"/>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أدوات وتقنيات إدارة المخاطر التشغيلية</w:t>
      </w:r>
      <w:r w:rsidRPr="005D70B4">
        <w:rPr>
          <w:rFonts w:ascii="Simplified Arabic" w:eastAsia="Times New Roman" w:hAnsi="Simplified Arabic" w:cs="Simplified Arabic" w:hint="cs"/>
          <w:color w:val="000000" w:themeColor="text1"/>
          <w:sz w:val="32"/>
          <w:szCs w:val="32"/>
          <w:rtl/>
        </w:rPr>
        <w:t>: استعراض لأبرز الأدوات المستخدمة مثل خرائط المخاطر، مؤشرات المخاطر الرئيسية (</w:t>
      </w:r>
      <w:r w:rsidRPr="005D70B4">
        <w:rPr>
          <w:rFonts w:ascii="Simplified Arabic" w:eastAsia="Times New Roman" w:hAnsi="Simplified Arabic" w:cs="Simplified Arabic" w:hint="cs"/>
          <w:color w:val="000000" w:themeColor="text1"/>
          <w:sz w:val="32"/>
          <w:szCs w:val="32"/>
        </w:rPr>
        <w:t>KRIs</w:t>
      </w:r>
      <w:r w:rsidRPr="005D70B4">
        <w:rPr>
          <w:rFonts w:ascii="Simplified Arabic" w:eastAsia="Times New Roman" w:hAnsi="Simplified Arabic" w:cs="Simplified Arabic" w:hint="cs"/>
          <w:color w:val="000000" w:themeColor="text1"/>
          <w:sz w:val="32"/>
          <w:szCs w:val="32"/>
          <w:rtl/>
        </w:rPr>
        <w:t>)، وسجلات المخاطر.</w:t>
      </w:r>
    </w:p>
    <w:p w14:paraId="43F3694B" w14:textId="77777777" w:rsidR="006C2569" w:rsidRPr="005D70B4" w:rsidRDefault="006C2569" w:rsidP="005D70B4">
      <w:pPr>
        <w:numPr>
          <w:ilvl w:val="0"/>
          <w:numId w:val="20"/>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أهمية إدارة المخاطر التشغيلية في المنشآت المالية</w:t>
      </w:r>
      <w:r w:rsidRPr="005D70B4">
        <w:rPr>
          <w:rFonts w:ascii="Simplified Arabic" w:eastAsia="Times New Roman" w:hAnsi="Simplified Arabic" w:cs="Simplified Arabic" w:hint="cs"/>
          <w:color w:val="000000" w:themeColor="text1"/>
          <w:sz w:val="32"/>
          <w:szCs w:val="32"/>
          <w:rtl/>
        </w:rPr>
        <w:t>: دورها في حماية الأصول، تقليل الخسائر، وضمان استمرارية الأعمال.</w:t>
      </w:r>
    </w:p>
    <w:p w14:paraId="6C1B3710"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6B1C5254"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4. الامتثال في القطاع المالي</w:t>
      </w:r>
    </w:p>
    <w:p w14:paraId="388F418C" w14:textId="77777777" w:rsidR="006C2569" w:rsidRPr="005D70B4" w:rsidRDefault="006C2569" w:rsidP="005D70B4">
      <w:pPr>
        <w:numPr>
          <w:ilvl w:val="0"/>
          <w:numId w:val="21"/>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مفهوم الامتثال</w:t>
      </w:r>
      <w:r w:rsidRPr="005D70B4">
        <w:rPr>
          <w:rFonts w:ascii="Simplified Arabic" w:eastAsia="Times New Roman" w:hAnsi="Simplified Arabic" w:cs="Simplified Arabic" w:hint="cs"/>
          <w:color w:val="000000" w:themeColor="text1"/>
          <w:sz w:val="32"/>
          <w:szCs w:val="32"/>
          <w:rtl/>
        </w:rPr>
        <w:t>: تعريف الامتثال للوائح والقوانين والمعايير الداخلية والخارجية.</w:t>
      </w:r>
    </w:p>
    <w:p w14:paraId="6AD27A63" w14:textId="77777777" w:rsidR="006C2569" w:rsidRPr="005D70B4" w:rsidRDefault="006C2569" w:rsidP="005D70B4">
      <w:pPr>
        <w:numPr>
          <w:ilvl w:val="0"/>
          <w:numId w:val="21"/>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lastRenderedPageBreak/>
        <w:t>أنواع متطلبات الامتثال</w:t>
      </w:r>
      <w:r w:rsidRPr="005D70B4">
        <w:rPr>
          <w:rFonts w:ascii="Simplified Arabic" w:eastAsia="Times New Roman" w:hAnsi="Simplified Arabic" w:cs="Simplified Arabic" w:hint="cs"/>
          <w:color w:val="000000" w:themeColor="text1"/>
          <w:sz w:val="32"/>
          <w:szCs w:val="32"/>
          <w:rtl/>
        </w:rPr>
        <w:t>: استعراض للوائح المحلية (مثل لوائح البنك المركزي السعودي وهيئة السوق المالية) والدولية (مثل معايير بازل، مكافحة غسل الأموال).</w:t>
      </w:r>
    </w:p>
    <w:p w14:paraId="27AE22B3" w14:textId="77777777" w:rsidR="006C2569" w:rsidRPr="005D70B4" w:rsidRDefault="006C2569" w:rsidP="005D70B4">
      <w:pPr>
        <w:numPr>
          <w:ilvl w:val="0"/>
          <w:numId w:val="21"/>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أهمية وظيفة الامتثال</w:t>
      </w:r>
      <w:r w:rsidRPr="005D70B4">
        <w:rPr>
          <w:rFonts w:ascii="Simplified Arabic" w:eastAsia="Times New Roman" w:hAnsi="Simplified Arabic" w:cs="Simplified Arabic" w:hint="cs"/>
          <w:color w:val="000000" w:themeColor="text1"/>
          <w:sz w:val="32"/>
          <w:szCs w:val="32"/>
          <w:rtl/>
        </w:rPr>
        <w:t>: دورها في تجنب العقوبات، الحفاظ على السمعة، وبناء الثقة.</w:t>
      </w:r>
    </w:p>
    <w:p w14:paraId="5E75F4BB" w14:textId="77777777" w:rsidR="006C2569" w:rsidRPr="005D70B4" w:rsidRDefault="006C2569" w:rsidP="005D70B4">
      <w:pPr>
        <w:numPr>
          <w:ilvl w:val="0"/>
          <w:numId w:val="21"/>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تحديات الامتثال</w:t>
      </w:r>
      <w:r w:rsidRPr="005D70B4">
        <w:rPr>
          <w:rFonts w:ascii="Simplified Arabic" w:eastAsia="Times New Roman" w:hAnsi="Simplified Arabic" w:cs="Simplified Arabic" w:hint="cs"/>
          <w:color w:val="000000" w:themeColor="text1"/>
          <w:sz w:val="32"/>
          <w:szCs w:val="32"/>
          <w:rtl/>
        </w:rPr>
        <w:t>: التغيرات المستمرة في البيئة التنظيمية وكيفية مواجهتها.</w:t>
      </w:r>
    </w:p>
    <w:p w14:paraId="6E3AA39D"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5AA3BDA3"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5. العلاقة التكاملية بين الحوكمة والمخاطر والامتثال (</w:t>
      </w:r>
      <w:r w:rsidRPr="005D70B4">
        <w:rPr>
          <w:rFonts w:ascii="Simplified Arabic" w:eastAsia="Times New Roman" w:hAnsi="Simplified Arabic" w:cs="Simplified Arabic" w:hint="cs"/>
          <w:color w:val="000000" w:themeColor="text1"/>
          <w:sz w:val="32"/>
          <w:szCs w:val="32"/>
        </w:rPr>
        <w:t>GRC Integration</w:t>
      </w:r>
      <w:r w:rsidRPr="005D70B4">
        <w:rPr>
          <w:rFonts w:ascii="Simplified Arabic" w:eastAsia="Times New Roman" w:hAnsi="Simplified Arabic" w:cs="Simplified Arabic" w:hint="cs"/>
          <w:color w:val="000000" w:themeColor="text1"/>
          <w:sz w:val="32"/>
          <w:szCs w:val="32"/>
          <w:rtl/>
        </w:rPr>
        <w:t>)</w:t>
      </w:r>
    </w:p>
    <w:p w14:paraId="56AEFCF1" w14:textId="77777777" w:rsidR="006C2569" w:rsidRPr="005D70B4" w:rsidRDefault="006C2569" w:rsidP="005D70B4">
      <w:pPr>
        <w:numPr>
          <w:ilvl w:val="0"/>
          <w:numId w:val="22"/>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النهج المتكامل لـ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Fonts w:ascii="Simplified Arabic" w:eastAsia="Times New Roman" w:hAnsi="Simplified Arabic" w:cs="Simplified Arabic" w:hint="cs"/>
          <w:color w:val="000000" w:themeColor="text1"/>
          <w:sz w:val="32"/>
          <w:szCs w:val="32"/>
          <w:rtl/>
        </w:rPr>
        <w:t>: كيف يمكن دمج وظائف الحوكمة، إدارة المخاطر، والامتثال لتحقيق أقصى فائدة.</w:t>
      </w:r>
    </w:p>
    <w:p w14:paraId="122A8484" w14:textId="77777777" w:rsidR="006C2569" w:rsidRPr="005D70B4" w:rsidRDefault="006C2569" w:rsidP="005D70B4">
      <w:pPr>
        <w:numPr>
          <w:ilvl w:val="0"/>
          <w:numId w:val="22"/>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فوائد التكامل</w:t>
      </w:r>
      <w:r w:rsidRPr="005D70B4">
        <w:rPr>
          <w:rFonts w:ascii="Simplified Arabic" w:eastAsia="Times New Roman" w:hAnsi="Simplified Arabic" w:cs="Simplified Arabic" w:hint="cs"/>
          <w:color w:val="000000" w:themeColor="text1"/>
          <w:sz w:val="32"/>
          <w:szCs w:val="32"/>
          <w:rtl/>
        </w:rPr>
        <w:t>: تعزيز التنسيق، تقليل الازدواجية، تحسين اتخاذ القرار، وزيادة الشفافية.</w:t>
      </w:r>
    </w:p>
    <w:p w14:paraId="042A8310" w14:textId="77777777" w:rsidR="006C2569" w:rsidRPr="005D70B4" w:rsidRDefault="006C2569" w:rsidP="005D70B4">
      <w:pPr>
        <w:numPr>
          <w:ilvl w:val="0"/>
          <w:numId w:val="22"/>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تحديات التكامل</w:t>
      </w:r>
      <w:r w:rsidRPr="005D70B4">
        <w:rPr>
          <w:rFonts w:ascii="Simplified Arabic" w:eastAsia="Times New Roman" w:hAnsi="Simplified Arabic" w:cs="Simplified Arabic" w:hint="cs"/>
          <w:color w:val="000000" w:themeColor="text1"/>
          <w:sz w:val="32"/>
          <w:szCs w:val="32"/>
          <w:rtl/>
        </w:rPr>
        <w:t>: الصوامع التنظيمية، نقص التكنولوجيا، ومقاومة التغيير.</w:t>
      </w:r>
    </w:p>
    <w:p w14:paraId="6DF2BEBF" w14:textId="77777777" w:rsidR="006C2569" w:rsidRPr="005D70B4" w:rsidRDefault="006C2569" w:rsidP="005D70B4">
      <w:pPr>
        <w:numPr>
          <w:ilvl w:val="0"/>
          <w:numId w:val="22"/>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 xml:space="preserve">أهمية البنية التحتية التكنولوجية لـ </w:t>
      </w:r>
      <w:r w:rsidRPr="005D70B4">
        <w:rPr>
          <w:rStyle w:val="Strong"/>
          <w:rFonts w:ascii="Simplified Arabic" w:eastAsia="Times New Roman" w:hAnsi="Simplified Arabic" w:cs="Simplified Arabic" w:hint="cs"/>
          <w:color w:val="000000" w:themeColor="text1"/>
          <w:sz w:val="32"/>
          <w:szCs w:val="32"/>
          <w:bdr w:val="none" w:sz="0" w:space="0" w:color="auto" w:frame="1"/>
        </w:rPr>
        <w:t>GRC</w:t>
      </w:r>
      <w:r w:rsidRPr="005D70B4">
        <w:rPr>
          <w:rFonts w:ascii="Simplified Arabic" w:eastAsia="Times New Roman" w:hAnsi="Simplified Arabic" w:cs="Simplified Arabic" w:hint="cs"/>
          <w:color w:val="000000" w:themeColor="text1"/>
          <w:sz w:val="32"/>
          <w:szCs w:val="32"/>
          <w:rtl/>
        </w:rPr>
        <w:t xml:space="preserve">: دور الأنظمة المتكاملة في دعم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w:t>
      </w:r>
    </w:p>
    <w:p w14:paraId="148C9F99"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71D36DF2"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lastRenderedPageBreak/>
        <w:t>6. كفاءة الأداء التشغيلي في المنشآت المالية</w:t>
      </w:r>
    </w:p>
    <w:p w14:paraId="572DD40D" w14:textId="77777777" w:rsidR="006C2569" w:rsidRPr="005D70B4" w:rsidRDefault="006C2569" w:rsidP="005D70B4">
      <w:pPr>
        <w:numPr>
          <w:ilvl w:val="0"/>
          <w:numId w:val="23"/>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مفهوم كفاءة الأداء التشغيلي</w:t>
      </w:r>
      <w:r w:rsidRPr="005D70B4">
        <w:rPr>
          <w:rFonts w:ascii="Simplified Arabic" w:eastAsia="Times New Roman" w:hAnsi="Simplified Arabic" w:cs="Simplified Arabic" w:hint="cs"/>
          <w:color w:val="000000" w:themeColor="text1"/>
          <w:sz w:val="32"/>
          <w:szCs w:val="32"/>
          <w:rtl/>
        </w:rPr>
        <w:t>: تعريفها ومؤشراتها الرئيسية في سياق المنشآت المالية (مثل سرعة المعاملات، تقليل الأخطاء، استخدام الموارد).</w:t>
      </w:r>
    </w:p>
    <w:p w14:paraId="142CC939" w14:textId="77777777" w:rsidR="006C2569" w:rsidRPr="005D70B4" w:rsidRDefault="006C2569" w:rsidP="005D70B4">
      <w:pPr>
        <w:numPr>
          <w:ilvl w:val="0"/>
          <w:numId w:val="23"/>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العوامل المؤثرة على كفاءة الأداء</w:t>
      </w:r>
      <w:r w:rsidRPr="005D70B4">
        <w:rPr>
          <w:rFonts w:ascii="Simplified Arabic" w:eastAsia="Times New Roman" w:hAnsi="Simplified Arabic" w:cs="Simplified Arabic" w:hint="cs"/>
          <w:color w:val="000000" w:themeColor="text1"/>
          <w:sz w:val="32"/>
          <w:szCs w:val="32"/>
          <w:rtl/>
        </w:rPr>
        <w:t>: التكنولوجيا، الموارد البشرية، العمليات، والهيكل التنظيمي.</w:t>
      </w:r>
    </w:p>
    <w:p w14:paraId="153042A9" w14:textId="77777777" w:rsidR="006C2569" w:rsidRPr="005D70B4" w:rsidRDefault="006C2569" w:rsidP="005D70B4">
      <w:pPr>
        <w:numPr>
          <w:ilvl w:val="0"/>
          <w:numId w:val="23"/>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نماذج قياس الأداء التشغيلي</w:t>
      </w:r>
      <w:r w:rsidRPr="005D70B4">
        <w:rPr>
          <w:rFonts w:ascii="Simplified Arabic" w:eastAsia="Times New Roman" w:hAnsi="Simplified Arabic" w:cs="Simplified Arabic" w:hint="cs"/>
          <w:color w:val="000000" w:themeColor="text1"/>
          <w:sz w:val="32"/>
          <w:szCs w:val="32"/>
          <w:rtl/>
        </w:rPr>
        <w:t>: استعراض بعض النماذج المستخدمة لقياس وتقييم الأداء.</w:t>
      </w:r>
    </w:p>
    <w:p w14:paraId="777A14A6" w14:textId="77777777" w:rsidR="006C2569" w:rsidRPr="005D70B4" w:rsidRDefault="006C2569" w:rsidP="005D70B4">
      <w:pPr>
        <w:numPr>
          <w:ilvl w:val="0"/>
          <w:numId w:val="23"/>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التحسين المستمر للعمليات (</w:t>
      </w:r>
      <w:r w:rsidRPr="005D70B4">
        <w:rPr>
          <w:rStyle w:val="Strong"/>
          <w:rFonts w:ascii="Simplified Arabic" w:eastAsia="Times New Roman" w:hAnsi="Simplified Arabic" w:cs="Simplified Arabic" w:hint="cs"/>
          <w:color w:val="000000" w:themeColor="text1"/>
          <w:sz w:val="32"/>
          <w:szCs w:val="32"/>
          <w:bdr w:val="none" w:sz="0" w:space="0" w:color="auto" w:frame="1"/>
        </w:rPr>
        <w:t>Process Improvement</w:t>
      </w:r>
      <w:r w:rsidRPr="005D70B4">
        <w:rPr>
          <w:rStyle w:val="Strong"/>
          <w:rFonts w:ascii="Simplified Arabic" w:eastAsia="Times New Roman" w:hAnsi="Simplified Arabic" w:cs="Simplified Arabic" w:hint="cs"/>
          <w:color w:val="000000" w:themeColor="text1"/>
          <w:sz w:val="32"/>
          <w:szCs w:val="32"/>
          <w:bdr w:val="none" w:sz="0" w:space="0" w:color="auto" w:frame="1"/>
          <w:rtl/>
        </w:rPr>
        <w:t>)</w:t>
      </w:r>
      <w:r w:rsidRPr="005D70B4">
        <w:rPr>
          <w:rFonts w:ascii="Simplified Arabic" w:eastAsia="Times New Roman" w:hAnsi="Simplified Arabic" w:cs="Simplified Arabic" w:hint="cs"/>
          <w:color w:val="000000" w:themeColor="text1"/>
          <w:sz w:val="32"/>
          <w:szCs w:val="32"/>
          <w:rtl/>
        </w:rPr>
        <w:t xml:space="preserve">: دور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دعم مبادرات التحسين.</w:t>
      </w:r>
    </w:p>
    <w:p w14:paraId="21771A8B"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71421219"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7. تأثير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على كفاءة الأداء التشغيلي</w:t>
      </w:r>
    </w:p>
    <w:p w14:paraId="0EBD2D7D" w14:textId="77777777" w:rsidR="006C2569" w:rsidRPr="005D70B4" w:rsidRDefault="006C2569" w:rsidP="005D70B4">
      <w:pPr>
        <w:numPr>
          <w:ilvl w:val="0"/>
          <w:numId w:val="24"/>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تبسيط العمليات</w:t>
      </w:r>
      <w:r w:rsidRPr="005D70B4">
        <w:rPr>
          <w:rFonts w:ascii="Simplified Arabic" w:eastAsia="Times New Roman" w:hAnsi="Simplified Arabic" w:cs="Simplified Arabic" w:hint="cs"/>
          <w:color w:val="000000" w:themeColor="text1"/>
          <w:sz w:val="32"/>
          <w:szCs w:val="32"/>
          <w:rtl/>
        </w:rPr>
        <w:t xml:space="preserve">: كيف يسهم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توحيد العمليات وتبسيطها.</w:t>
      </w:r>
    </w:p>
    <w:p w14:paraId="0A86D72D" w14:textId="77777777" w:rsidR="006C2569" w:rsidRPr="005D70B4" w:rsidRDefault="006C2569" w:rsidP="005D70B4">
      <w:pPr>
        <w:numPr>
          <w:ilvl w:val="0"/>
          <w:numId w:val="24"/>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تقليل الهدر والأخطاء</w:t>
      </w:r>
      <w:r w:rsidRPr="005D70B4">
        <w:rPr>
          <w:rFonts w:ascii="Simplified Arabic" w:eastAsia="Times New Roman" w:hAnsi="Simplified Arabic" w:cs="Simplified Arabic" w:hint="cs"/>
          <w:color w:val="000000" w:themeColor="text1"/>
          <w:sz w:val="32"/>
          <w:szCs w:val="32"/>
          <w:rtl/>
        </w:rPr>
        <w:t xml:space="preserve">: دور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تحديد ومعالجة نقاط الضعف التي تؤدي إلى الهدر والأخطاء التشغيلية.</w:t>
      </w:r>
    </w:p>
    <w:p w14:paraId="71F986C0" w14:textId="77777777" w:rsidR="006C2569" w:rsidRPr="005D70B4" w:rsidRDefault="006C2569" w:rsidP="005D70B4">
      <w:pPr>
        <w:numPr>
          <w:ilvl w:val="0"/>
          <w:numId w:val="24"/>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تعزيز الشفافية في العمليات</w:t>
      </w:r>
      <w:r w:rsidRPr="005D70B4">
        <w:rPr>
          <w:rFonts w:ascii="Simplified Arabic" w:eastAsia="Times New Roman" w:hAnsi="Simplified Arabic" w:cs="Simplified Arabic" w:hint="cs"/>
          <w:color w:val="000000" w:themeColor="text1"/>
          <w:sz w:val="32"/>
          <w:szCs w:val="32"/>
          <w:rtl/>
        </w:rPr>
        <w:t xml:space="preserve">: كيف يساهم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توفير رؤية أوضح للعمليات وتحسين الرقابة.</w:t>
      </w:r>
    </w:p>
    <w:p w14:paraId="0CB376CE" w14:textId="77777777" w:rsidR="006C2569" w:rsidRPr="005D70B4" w:rsidRDefault="006C2569" w:rsidP="005D70B4">
      <w:pPr>
        <w:numPr>
          <w:ilvl w:val="0"/>
          <w:numId w:val="24"/>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lastRenderedPageBreak/>
        <w:t>تحسين اتخاذ القرار</w:t>
      </w:r>
      <w:r w:rsidRPr="005D70B4">
        <w:rPr>
          <w:rFonts w:ascii="Simplified Arabic" w:eastAsia="Times New Roman" w:hAnsi="Simplified Arabic" w:cs="Simplified Arabic" w:hint="cs"/>
          <w:color w:val="000000" w:themeColor="text1"/>
          <w:sz w:val="32"/>
          <w:szCs w:val="32"/>
          <w:rtl/>
        </w:rPr>
        <w:t>: توفير معلومات دقيقة وفي الوقت المناسب لدعم القرارات التشغيلية.</w:t>
      </w:r>
    </w:p>
    <w:p w14:paraId="5BE16479"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70D8532A"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8. تأثير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على الحد من المخاطر التشغيلية</w:t>
      </w:r>
    </w:p>
    <w:p w14:paraId="35FB70F6" w14:textId="77777777" w:rsidR="006C2569" w:rsidRPr="005D70B4" w:rsidRDefault="006C2569" w:rsidP="005D70B4">
      <w:pPr>
        <w:numPr>
          <w:ilvl w:val="0"/>
          <w:numId w:val="25"/>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تحديد المخاطر بشكل استباقي</w:t>
      </w:r>
      <w:r w:rsidRPr="005D70B4">
        <w:rPr>
          <w:rFonts w:ascii="Simplified Arabic" w:eastAsia="Times New Roman" w:hAnsi="Simplified Arabic" w:cs="Simplified Arabic" w:hint="cs"/>
          <w:color w:val="000000" w:themeColor="text1"/>
          <w:sz w:val="32"/>
          <w:szCs w:val="32"/>
          <w:rtl/>
        </w:rPr>
        <w:t xml:space="preserve">: كيف يمكن لـ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تعزيز قدرة المنشأة على تحديد المخاطر المحتملة قبل وقوعها.</w:t>
      </w:r>
    </w:p>
    <w:p w14:paraId="0A296D34" w14:textId="77777777" w:rsidR="006C2569" w:rsidRPr="005D70B4" w:rsidRDefault="006C2569" w:rsidP="005D70B4">
      <w:pPr>
        <w:numPr>
          <w:ilvl w:val="0"/>
          <w:numId w:val="25"/>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تقييم المخاطر بشكل دقيق</w:t>
      </w:r>
      <w:r w:rsidRPr="005D70B4">
        <w:rPr>
          <w:rFonts w:ascii="Simplified Arabic" w:eastAsia="Times New Roman" w:hAnsi="Simplified Arabic" w:cs="Simplified Arabic" w:hint="cs"/>
          <w:color w:val="000000" w:themeColor="text1"/>
          <w:sz w:val="32"/>
          <w:szCs w:val="32"/>
          <w:rtl/>
        </w:rPr>
        <w:t xml:space="preserve">: دور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توفير أدوات ومنهجيات لتقييم حجم وتأثير المخاطر التشغيلية.</w:t>
      </w:r>
    </w:p>
    <w:p w14:paraId="724F2394" w14:textId="77777777" w:rsidR="006C2569" w:rsidRPr="005D70B4" w:rsidRDefault="006C2569" w:rsidP="005D70B4">
      <w:pPr>
        <w:numPr>
          <w:ilvl w:val="0"/>
          <w:numId w:val="25"/>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بناء ضوابط داخلية فعالة</w:t>
      </w:r>
      <w:r w:rsidRPr="005D70B4">
        <w:rPr>
          <w:rFonts w:ascii="Simplified Arabic" w:eastAsia="Times New Roman" w:hAnsi="Simplified Arabic" w:cs="Simplified Arabic" w:hint="cs"/>
          <w:color w:val="000000" w:themeColor="text1"/>
          <w:sz w:val="32"/>
          <w:szCs w:val="32"/>
          <w:rtl/>
        </w:rPr>
        <w:t xml:space="preserve">: مساهمة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في تصميم وتنفيذ ضوابط داخلية قوية للحد من المخاطر.</w:t>
      </w:r>
    </w:p>
    <w:p w14:paraId="6114CDBD" w14:textId="77777777" w:rsidR="006C2569" w:rsidRPr="005D70B4" w:rsidRDefault="006C2569" w:rsidP="005D70B4">
      <w:pPr>
        <w:numPr>
          <w:ilvl w:val="0"/>
          <w:numId w:val="25"/>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الاستجابة للمخاطر وتخفيف حدتها</w:t>
      </w:r>
      <w:r w:rsidRPr="005D70B4">
        <w:rPr>
          <w:rFonts w:ascii="Simplified Arabic" w:eastAsia="Times New Roman" w:hAnsi="Simplified Arabic" w:cs="Simplified Arabic" w:hint="cs"/>
          <w:color w:val="000000" w:themeColor="text1"/>
          <w:sz w:val="32"/>
          <w:szCs w:val="32"/>
          <w:rtl/>
        </w:rPr>
        <w:t xml:space="preserve">: كيف يمكن لـ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تعزيز قدرة المنشأة على الاستجابة السريعة والفعالة للأحداث المخاطرية.</w:t>
      </w:r>
    </w:p>
    <w:p w14:paraId="7625B7EE"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200E115C" w14:textId="77777777"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9. التحديات والفرص في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 xml:space="preserve"> بالمنشآت المالية السعودية</w:t>
      </w:r>
    </w:p>
    <w:p w14:paraId="56BCBF7A" w14:textId="77777777" w:rsidR="006C2569" w:rsidRPr="005D70B4" w:rsidRDefault="006C2569" w:rsidP="005D70B4">
      <w:pPr>
        <w:numPr>
          <w:ilvl w:val="0"/>
          <w:numId w:val="26"/>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التحديات الشائعة</w:t>
      </w:r>
      <w:r w:rsidRPr="005D70B4">
        <w:rPr>
          <w:rFonts w:ascii="Simplified Arabic" w:eastAsia="Times New Roman" w:hAnsi="Simplified Arabic" w:cs="Simplified Arabic" w:hint="cs"/>
          <w:color w:val="000000" w:themeColor="text1"/>
          <w:sz w:val="32"/>
          <w:szCs w:val="32"/>
          <w:rtl/>
        </w:rPr>
        <w:t>: مقاومة التغيير، نقص الموارد، تعقيد البيئة التنظيمية، وعدم تكامل الأنظمة.</w:t>
      </w:r>
    </w:p>
    <w:p w14:paraId="220A88FC" w14:textId="77777777" w:rsidR="006C2569" w:rsidRPr="005D70B4" w:rsidRDefault="006C2569" w:rsidP="005D70B4">
      <w:pPr>
        <w:numPr>
          <w:ilvl w:val="0"/>
          <w:numId w:val="26"/>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lastRenderedPageBreak/>
        <w:t>الفرص المتاحة</w:t>
      </w:r>
      <w:r w:rsidRPr="005D70B4">
        <w:rPr>
          <w:rFonts w:ascii="Simplified Arabic" w:eastAsia="Times New Roman" w:hAnsi="Simplified Arabic" w:cs="Simplified Arabic" w:hint="cs"/>
          <w:color w:val="000000" w:themeColor="text1"/>
          <w:sz w:val="32"/>
          <w:szCs w:val="32"/>
          <w:rtl/>
        </w:rPr>
        <w:t xml:space="preserve">: دعم رؤية المملكة 2030، التطور التكنولوجي، زيادة وعي الإدارة بأهمية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w:t>
      </w:r>
    </w:p>
    <w:p w14:paraId="0935E0F9" w14:textId="77777777" w:rsidR="006C2569" w:rsidRPr="005D70B4" w:rsidRDefault="006C2569" w:rsidP="005D70B4">
      <w:pPr>
        <w:numPr>
          <w:ilvl w:val="0"/>
          <w:numId w:val="26"/>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دور الجهات الرقابية</w:t>
      </w:r>
      <w:r w:rsidRPr="005D70B4">
        <w:rPr>
          <w:rFonts w:ascii="Simplified Arabic" w:eastAsia="Times New Roman" w:hAnsi="Simplified Arabic" w:cs="Simplified Arabic" w:hint="cs"/>
          <w:color w:val="000000" w:themeColor="text1"/>
          <w:sz w:val="32"/>
          <w:szCs w:val="32"/>
          <w:rtl/>
        </w:rPr>
        <w:t xml:space="preserve">: تأثير لوائح البنك المركزي السعودي وهيئة السوق المالية في دفع عجلة تطبيق </w:t>
      </w:r>
      <w:r w:rsidRPr="005D70B4">
        <w:rPr>
          <w:rFonts w:ascii="Simplified Arabic" w:eastAsia="Times New Roman" w:hAnsi="Simplified Arabic" w:cs="Simplified Arabic" w:hint="cs"/>
          <w:color w:val="000000" w:themeColor="text1"/>
          <w:sz w:val="32"/>
          <w:szCs w:val="32"/>
        </w:rPr>
        <w:t>GRC</w:t>
      </w:r>
      <w:r w:rsidRPr="005D70B4">
        <w:rPr>
          <w:rFonts w:ascii="Simplified Arabic" w:eastAsia="Times New Roman" w:hAnsi="Simplified Arabic" w:cs="Simplified Arabic" w:hint="cs"/>
          <w:color w:val="000000" w:themeColor="text1"/>
          <w:sz w:val="32"/>
          <w:szCs w:val="32"/>
          <w:rtl/>
        </w:rPr>
        <w:t>.</w:t>
      </w:r>
    </w:p>
    <w:p w14:paraId="7304777C" w14:textId="77777777" w:rsidR="006C2569" w:rsidRPr="005D70B4" w:rsidRDefault="006C2569" w:rsidP="005D70B4">
      <w:pPr>
        <w:numPr>
          <w:ilvl w:val="0"/>
          <w:numId w:val="26"/>
        </w:numPr>
        <w:spacing w:after="0" w:line="360" w:lineRule="auto"/>
        <w:rPr>
          <w:rFonts w:ascii="Simplified Arabic" w:eastAsia="Times New Roman" w:hAnsi="Simplified Arabic" w:cs="Simplified Arabic"/>
          <w:color w:val="000000" w:themeColor="text1"/>
          <w:sz w:val="32"/>
          <w:szCs w:val="32"/>
          <w:rtl/>
        </w:rPr>
      </w:pPr>
      <w:r w:rsidRPr="005D70B4">
        <w:rPr>
          <w:rStyle w:val="Strong"/>
          <w:rFonts w:ascii="Simplified Arabic" w:eastAsia="Times New Roman" w:hAnsi="Simplified Arabic" w:cs="Simplified Arabic" w:hint="cs"/>
          <w:color w:val="000000" w:themeColor="text1"/>
          <w:sz w:val="32"/>
          <w:szCs w:val="32"/>
          <w:bdr w:val="none" w:sz="0" w:space="0" w:color="auto" w:frame="1"/>
          <w:rtl/>
        </w:rPr>
        <w:t>دراسات حالة وتجارب سابقة</w:t>
      </w:r>
      <w:r w:rsidRPr="005D70B4">
        <w:rPr>
          <w:rFonts w:ascii="Simplified Arabic" w:eastAsia="Times New Roman" w:hAnsi="Simplified Arabic" w:cs="Simplified Arabic" w:hint="cs"/>
          <w:color w:val="000000" w:themeColor="text1"/>
          <w:sz w:val="32"/>
          <w:szCs w:val="32"/>
          <w:rtl/>
        </w:rPr>
        <w:t>: استعراض موجز لتجارب مشابهة (إن وجدت) في سياقات مماثلة.</w:t>
      </w:r>
    </w:p>
    <w:p w14:paraId="0D68D7BF" w14:textId="77777777" w:rsidR="006C2569" w:rsidRPr="005D70B4" w:rsidRDefault="006C2569" w:rsidP="005D70B4">
      <w:pPr>
        <w:spacing w:after="120" w:line="360" w:lineRule="auto"/>
        <w:rPr>
          <w:rFonts w:ascii="Simplified Arabic" w:eastAsia="Times New Roman" w:hAnsi="Simplified Arabic" w:cs="Simplified Arabic"/>
          <w:color w:val="000000" w:themeColor="text1"/>
          <w:sz w:val="32"/>
          <w:szCs w:val="32"/>
          <w:rtl/>
        </w:rPr>
      </w:pPr>
    </w:p>
    <w:p w14:paraId="204B1ABE" w14:textId="51FD3510" w:rsidR="006C2569" w:rsidRPr="005D70B4" w:rsidRDefault="006C2569" w:rsidP="005D70B4">
      <w:pPr>
        <w:pStyle w:val="Heading3"/>
        <w:spacing w:before="0" w:after="120" w:line="360" w:lineRule="auto"/>
        <w:rPr>
          <w:rFonts w:ascii="Simplified Arabic" w:eastAsia="Times New Roman" w:hAnsi="Simplified Arabic" w:cs="Simplified Arabic"/>
          <w:color w:val="000000" w:themeColor="text1"/>
          <w:sz w:val="32"/>
          <w:szCs w:val="32"/>
          <w:rtl/>
        </w:rPr>
      </w:pPr>
      <w:r w:rsidRPr="005D70B4">
        <w:rPr>
          <w:rFonts w:ascii="Simplified Arabic" w:eastAsia="Times New Roman" w:hAnsi="Simplified Arabic" w:cs="Simplified Arabic" w:hint="cs"/>
          <w:color w:val="000000" w:themeColor="text1"/>
          <w:sz w:val="32"/>
          <w:szCs w:val="32"/>
          <w:rtl/>
        </w:rPr>
        <w:t xml:space="preserve">10. </w:t>
      </w:r>
      <w:r w:rsidR="00BA16D1" w:rsidRPr="005D70B4">
        <w:rPr>
          <w:rFonts w:ascii="Simplified Arabic" w:eastAsia="Times New Roman" w:hAnsi="Simplified Arabic" w:cs="Simplified Arabic" w:hint="cs"/>
          <w:color w:val="000000" w:themeColor="text1"/>
          <w:sz w:val="32"/>
          <w:szCs w:val="32"/>
          <w:rtl/>
        </w:rPr>
        <w:t xml:space="preserve">الخاتمة </w:t>
      </w:r>
    </w:p>
    <w:p w14:paraId="7C4DAAC9" w14:textId="77777777" w:rsidR="006C2569" w:rsidRPr="005D70B4" w:rsidRDefault="006C2569" w:rsidP="005D70B4">
      <w:pPr>
        <w:spacing w:line="360" w:lineRule="auto"/>
        <w:rPr>
          <w:rFonts w:ascii="Simplified Arabic" w:hAnsi="Simplified Arabic" w:cs="Simplified Arabic"/>
          <w:b/>
          <w:bCs/>
          <w:color w:val="000000" w:themeColor="text1"/>
          <w:sz w:val="32"/>
          <w:szCs w:val="32"/>
        </w:rPr>
      </w:pPr>
    </w:p>
    <w:p w14:paraId="148E884C" w14:textId="77777777" w:rsidR="00BC378E" w:rsidRPr="005D70B4" w:rsidRDefault="00BC378E" w:rsidP="005D70B4">
      <w:pPr>
        <w:spacing w:line="360" w:lineRule="auto"/>
        <w:rPr>
          <w:rFonts w:ascii="Simplified Arabic" w:hAnsi="Simplified Arabic" w:cs="Simplified Arabic"/>
          <w:b/>
          <w:bCs/>
          <w:color w:val="000000" w:themeColor="text1"/>
          <w:sz w:val="32"/>
          <w:szCs w:val="32"/>
          <w:rtl/>
        </w:rPr>
      </w:pPr>
    </w:p>
    <w:p w14:paraId="7DDAC0A5" w14:textId="60A34864" w:rsidR="004473B7" w:rsidRDefault="004473B7"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5F73AF5E" w14:textId="77777777" w:rsidR="005827B7" w:rsidRDefault="005827B7"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6054605F" w14:textId="77777777" w:rsidR="005827B7" w:rsidRDefault="005827B7"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0876D3CD" w14:textId="77777777" w:rsidR="005827B7" w:rsidRDefault="005827B7"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357EE1E2" w14:textId="77777777" w:rsidR="005827B7" w:rsidRPr="005D70B4" w:rsidRDefault="005827B7"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6F64FBA4"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0BEB5A32" w14:textId="77777777" w:rsidR="00665B18" w:rsidRPr="005D70B4" w:rsidRDefault="00665B18" w:rsidP="005D70B4">
      <w:pPr>
        <w:pStyle w:val="Heading2"/>
        <w:spacing w:before="0" w:after="120" w:line="360" w:lineRule="auto"/>
        <w:divId w:val="695623974"/>
        <w:rPr>
          <w:rFonts w:ascii="Simplified Arabic" w:eastAsia="Times New Roman" w:hAnsi="Simplified Arabic" w:cs="Simplified Arabic"/>
          <w:color w:val="1B1C1D"/>
          <w:kern w:val="0"/>
          <w14:ligatures w14:val="none"/>
        </w:rPr>
      </w:pPr>
      <w:r w:rsidRPr="005D70B4">
        <w:rPr>
          <w:rFonts w:ascii="Simplified Arabic" w:eastAsia="Times New Roman" w:hAnsi="Simplified Arabic" w:cs="Simplified Arabic" w:hint="cs"/>
          <w:color w:val="1B1C1D"/>
          <w:rtl/>
        </w:rPr>
        <w:lastRenderedPageBreak/>
        <w:t>1. الإطار المفاهيمي لحوكمة المخاطر والامتثال (</w:t>
      </w:r>
      <w:r w:rsidRPr="005D70B4">
        <w:rPr>
          <w:rFonts w:ascii="Simplified Arabic" w:eastAsia="Times New Roman" w:hAnsi="Simplified Arabic" w:cs="Simplified Arabic" w:hint="cs"/>
          <w:color w:val="1B1C1D"/>
        </w:rPr>
        <w:t>GRC</w:t>
      </w:r>
      <w:r w:rsidRPr="005D70B4">
        <w:rPr>
          <w:rFonts w:ascii="Simplified Arabic" w:eastAsia="Times New Roman" w:hAnsi="Simplified Arabic" w:cs="Simplified Arabic" w:hint="cs"/>
          <w:color w:val="1B1C1D"/>
          <w:rtl/>
        </w:rPr>
        <w:t>)</w:t>
      </w:r>
    </w:p>
    <w:p w14:paraId="5EEFD82D"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 xml:space="preserve">تعريف </w:t>
      </w:r>
      <w:r w:rsidRPr="005D70B4">
        <w:rPr>
          <w:rFonts w:ascii="Simplified Arabic" w:eastAsia="Times New Roman" w:hAnsi="Simplified Arabic" w:cs="Simplified Arabic" w:hint="cs"/>
          <w:color w:val="1B1C1D"/>
          <w:sz w:val="32"/>
          <w:szCs w:val="32"/>
        </w:rPr>
        <w:t>GRC</w:t>
      </w:r>
    </w:p>
    <w:p w14:paraId="3245100A" w14:textId="77777777" w:rsidR="00665B18" w:rsidRPr="005D70B4" w:rsidRDefault="00665B18" w:rsidP="005D70B4">
      <w:pPr>
        <w:pStyle w:val="NormalWeb"/>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حوكمة المخاطر والامتثال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هو إطار متكامل ومنسق يهدف إلى مساعدة المؤسسات على تحقيق أهدافها بفعالية. إنه نهج منظم لدمج ثلاث وظائف رئيسية: </w:t>
      </w:r>
      <w:r w:rsidRPr="005D70B4">
        <w:rPr>
          <w:rStyle w:val="Strong"/>
          <w:rFonts w:ascii="Simplified Arabic" w:hAnsi="Simplified Arabic" w:cs="Simplified Arabic" w:hint="cs"/>
          <w:color w:val="1B1C1D"/>
          <w:sz w:val="32"/>
          <w:szCs w:val="32"/>
          <w:bdr w:val="none" w:sz="0" w:space="0" w:color="auto" w:frame="1"/>
          <w:rtl/>
        </w:rPr>
        <w:t>الحوكمة (</w:t>
      </w:r>
      <w:r w:rsidRPr="005D70B4">
        <w:rPr>
          <w:rStyle w:val="Strong"/>
          <w:rFonts w:ascii="Simplified Arabic" w:hAnsi="Simplified Arabic" w:cs="Simplified Arabic" w:hint="cs"/>
          <w:color w:val="1B1C1D"/>
          <w:sz w:val="32"/>
          <w:szCs w:val="32"/>
          <w:bdr w:val="none" w:sz="0" w:space="0" w:color="auto" w:frame="1"/>
        </w:rPr>
        <w:t>Governance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w:t>
      </w:r>
      <w:r w:rsidRPr="005D70B4">
        <w:rPr>
          <w:rStyle w:val="Strong"/>
          <w:rFonts w:ascii="Simplified Arabic" w:hAnsi="Simplified Arabic" w:cs="Simplified Arabic" w:hint="cs"/>
          <w:color w:val="1B1C1D"/>
          <w:sz w:val="32"/>
          <w:szCs w:val="32"/>
          <w:bdr w:val="none" w:sz="0" w:space="0" w:color="auto" w:frame="1"/>
          <w:rtl/>
        </w:rPr>
        <w:t>إدارة المخاطر (</w:t>
      </w:r>
      <w:r w:rsidRPr="005D70B4">
        <w:rPr>
          <w:rStyle w:val="Strong"/>
          <w:rFonts w:ascii="Simplified Arabic" w:hAnsi="Simplified Arabic" w:cs="Simplified Arabic" w:hint="cs"/>
          <w:color w:val="1B1C1D"/>
          <w:sz w:val="32"/>
          <w:szCs w:val="32"/>
          <w:bdr w:val="none" w:sz="0" w:space="0" w:color="auto" w:frame="1"/>
        </w:rPr>
        <w:t>Risk Management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و</w:t>
      </w:r>
      <w:r w:rsidRPr="005D70B4">
        <w:rPr>
          <w:rStyle w:val="Strong"/>
          <w:rFonts w:ascii="Simplified Arabic" w:hAnsi="Simplified Arabic" w:cs="Simplified Arabic" w:hint="cs"/>
          <w:color w:val="1B1C1D"/>
          <w:sz w:val="32"/>
          <w:szCs w:val="32"/>
          <w:bdr w:val="none" w:sz="0" w:space="0" w:color="auto" w:frame="1"/>
          <w:rtl/>
        </w:rPr>
        <w:t>الامتثال (</w:t>
      </w:r>
      <w:r w:rsidRPr="005D70B4">
        <w:rPr>
          <w:rStyle w:val="Strong"/>
          <w:rFonts w:ascii="Simplified Arabic" w:hAnsi="Simplified Arabic" w:cs="Simplified Arabic" w:hint="cs"/>
          <w:color w:val="1B1C1D"/>
          <w:sz w:val="32"/>
          <w:szCs w:val="32"/>
          <w:bdr w:val="none" w:sz="0" w:space="0" w:color="auto" w:frame="1"/>
        </w:rPr>
        <w:t>Compliance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بدلاً من التعامل مع هذه الوظائف كوحدات منفصلة، يجمع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بينها لضمان أن جميع الإجراءات والسياسات والاستراتيجيات تعمل بشكل متآزر لدعم الأهداف التنظيمية، مع تقليل المخاطر وضمان الالتزام باللوائح. التعريفات المختلفة لـ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تتفق على كونه نظامًا يضمن أن المؤسسة تعمل بطريقة أخلاقية وفعالة، وتحقق أهدافها، وتحمي أصحاب المصلحة.</w:t>
      </w:r>
    </w:p>
    <w:p w14:paraId="1E85135F"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 xml:space="preserve">مكونات </w:t>
      </w:r>
      <w:r w:rsidRPr="005D70B4">
        <w:rPr>
          <w:rFonts w:ascii="Simplified Arabic" w:eastAsia="Times New Roman" w:hAnsi="Simplified Arabic" w:cs="Simplified Arabic" w:hint="cs"/>
          <w:color w:val="1B1C1D"/>
          <w:sz w:val="32"/>
          <w:szCs w:val="32"/>
        </w:rPr>
        <w:t>GRC</w:t>
      </w:r>
      <w:r w:rsidRPr="005D70B4">
        <w:rPr>
          <w:rFonts w:ascii="Simplified Arabic" w:eastAsia="Times New Roman" w:hAnsi="Simplified Arabic" w:cs="Simplified Arabic" w:hint="cs"/>
          <w:color w:val="1B1C1D"/>
          <w:sz w:val="32"/>
          <w:szCs w:val="32"/>
          <w:rtl/>
        </w:rPr>
        <w:t xml:space="preserve"> الأساسية</w:t>
      </w:r>
    </w:p>
    <w:p w14:paraId="7244DEC7"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تتكون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من ثلاث ركائز أساسية تتفاعل وتترابط بشكل وثيق:</w:t>
      </w:r>
    </w:p>
    <w:p w14:paraId="57236C22" w14:textId="77777777" w:rsidR="00665B18" w:rsidRPr="005D70B4" w:rsidRDefault="00665B18" w:rsidP="005D70B4">
      <w:pPr>
        <w:pStyle w:val="NormalWeb"/>
        <w:numPr>
          <w:ilvl w:val="0"/>
          <w:numId w:val="5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الحوكمة (</w:t>
      </w:r>
      <w:r w:rsidRPr="005D70B4">
        <w:rPr>
          <w:rStyle w:val="Strong"/>
          <w:rFonts w:ascii="Simplified Arabic" w:hAnsi="Simplified Arabic" w:cs="Simplified Arabic" w:hint="cs"/>
          <w:color w:val="1B1C1D"/>
          <w:sz w:val="32"/>
          <w:szCs w:val="32"/>
          <w:bdr w:val="none" w:sz="0" w:space="0" w:color="auto" w:frame="1"/>
        </w:rPr>
        <w:t>Governance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 مجموعة العمليات، السياسات، الأدوار، والهياكل التي توجه وتدير المؤسسة. تشمل الحوكمة تحديد الأهداف الاستراتيجية، اتخاذ القرارات، تخصيص الموارد، وتحديد المسؤوليات. الغرض الأساسي من الحوكمة هو ضمان أن المؤسسة تدار بطريقة مسؤولة وشفافة وفعالة لتحقيق </w:t>
      </w:r>
      <w:r w:rsidRPr="005D70B4">
        <w:rPr>
          <w:rFonts w:ascii="Simplified Arabic" w:hAnsi="Simplified Arabic" w:cs="Simplified Arabic" w:hint="cs"/>
          <w:color w:val="1B1C1D"/>
          <w:sz w:val="32"/>
          <w:szCs w:val="32"/>
          <w:rtl/>
        </w:rPr>
        <w:lastRenderedPageBreak/>
        <w:t>أهدافها مع مراعاة مصالح جميع أصحاب المصلحة. توفر الحوكمة الإطار العام الذي تعمل ضمنه إدارة المخاطر والامتثال.</w:t>
      </w:r>
    </w:p>
    <w:p w14:paraId="04F82727" w14:textId="77777777" w:rsidR="00665B18" w:rsidRPr="005D70B4" w:rsidRDefault="00665B18" w:rsidP="005D70B4">
      <w:pPr>
        <w:pStyle w:val="NormalWeb"/>
        <w:numPr>
          <w:ilvl w:val="0"/>
          <w:numId w:val="5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إدارة المخاطر (</w:t>
      </w:r>
      <w:r w:rsidRPr="005D70B4">
        <w:rPr>
          <w:rStyle w:val="Strong"/>
          <w:rFonts w:ascii="Simplified Arabic" w:hAnsi="Simplified Arabic" w:cs="Simplified Arabic" w:hint="cs"/>
          <w:color w:val="1B1C1D"/>
          <w:sz w:val="32"/>
          <w:szCs w:val="32"/>
          <w:bdr w:val="none" w:sz="0" w:space="0" w:color="auto" w:frame="1"/>
        </w:rPr>
        <w:t>Risk Management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 عملية تحديد وتقييم وقياس ومعالجة ومراقبة المخاطر التي قد تؤثر على قدرة المؤسسة على تحقيق أهدافها. تهدف إدارة المخاطر إلى تقليل الخسائر المحتملة والاستفادة من الفرص. ضمن إطار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تضمن إدارة المخاطر أن يتم تحديد جميع المخاطر الرئيسية، بما في ذلك المخاطر المالية والتشغيلية والاستراتيجية ومخاطر الامتثال، ويتم التعامل معها بشكل مناسب وفقًا لتحمل المؤسسة للمخاطر.</w:t>
      </w:r>
    </w:p>
    <w:p w14:paraId="3F02ABA1" w14:textId="77777777" w:rsidR="00665B18" w:rsidRPr="005D70B4" w:rsidRDefault="00665B18" w:rsidP="005D70B4">
      <w:pPr>
        <w:pStyle w:val="NormalWeb"/>
        <w:numPr>
          <w:ilvl w:val="0"/>
          <w:numId w:val="5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الامتثال (</w:t>
      </w:r>
      <w:r w:rsidRPr="005D70B4">
        <w:rPr>
          <w:rStyle w:val="Strong"/>
          <w:rFonts w:ascii="Simplified Arabic" w:hAnsi="Simplified Arabic" w:cs="Simplified Arabic" w:hint="cs"/>
          <w:color w:val="1B1C1D"/>
          <w:sz w:val="32"/>
          <w:szCs w:val="32"/>
          <w:bdr w:val="none" w:sz="0" w:space="0" w:color="auto" w:frame="1"/>
        </w:rPr>
        <w:t>Compliance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هو الالتزام بجميع القوانين واللوائح الداخلية والخارجية والمعايير الأخلاقية التي تنطبق على المؤسسة. يشمل ذلك الالتزام بالتشريعات الحكومية، لوائح الصناعة، السياسات الداخلية، ومتطلبات العملاء. يضمن الامتثال أن المؤسسة تتجنب الغرامات والعقوبات والإضرار بالسمعة من خلال الالتزام الصارم بالمتطلبات القانونية والتنظيمية.</w:t>
      </w:r>
    </w:p>
    <w:p w14:paraId="647F1C9F" w14:textId="77777777" w:rsidR="00665B18" w:rsidRPr="005D70B4" w:rsidRDefault="00665B18" w:rsidP="005D70B4">
      <w:pPr>
        <w:pStyle w:val="NormalWeb"/>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كيفية ترابطها:</w:t>
      </w:r>
      <w:r w:rsidRPr="005D70B4">
        <w:rPr>
          <w:rFonts w:ascii="Simplified Arabic" w:hAnsi="Simplified Arabic" w:cs="Simplified Arabic" w:hint="cs"/>
          <w:color w:val="1B1C1D"/>
          <w:sz w:val="32"/>
          <w:szCs w:val="32"/>
          <w:rtl/>
        </w:rPr>
        <w:t xml:space="preserve"> تعمل هذه المكونات الثلاثة كشبكة مترابطة: تحدد </w:t>
      </w:r>
      <w:r w:rsidRPr="005D70B4">
        <w:rPr>
          <w:rStyle w:val="Strong"/>
          <w:rFonts w:ascii="Simplified Arabic" w:hAnsi="Simplified Arabic" w:cs="Simplified Arabic" w:hint="cs"/>
          <w:color w:val="1B1C1D"/>
          <w:sz w:val="32"/>
          <w:szCs w:val="32"/>
          <w:bdr w:val="none" w:sz="0" w:space="0" w:color="auto" w:frame="1"/>
          <w:rtl/>
        </w:rPr>
        <w:t>الحوكمة</w:t>
      </w:r>
      <w:r w:rsidRPr="005D70B4">
        <w:rPr>
          <w:rFonts w:ascii="Simplified Arabic" w:hAnsi="Simplified Arabic" w:cs="Simplified Arabic" w:hint="cs"/>
          <w:color w:val="1B1C1D"/>
          <w:sz w:val="32"/>
          <w:szCs w:val="32"/>
          <w:rtl/>
        </w:rPr>
        <w:t xml:space="preserve"> الاتجاه وتضع السياسات. تقوم </w:t>
      </w:r>
      <w:r w:rsidRPr="005D70B4">
        <w:rPr>
          <w:rStyle w:val="Strong"/>
          <w:rFonts w:ascii="Simplified Arabic" w:hAnsi="Simplified Arabic" w:cs="Simplified Arabic" w:hint="cs"/>
          <w:color w:val="1B1C1D"/>
          <w:sz w:val="32"/>
          <w:szCs w:val="32"/>
          <w:bdr w:val="none" w:sz="0" w:space="0" w:color="auto" w:frame="1"/>
          <w:rtl/>
        </w:rPr>
        <w:t>إدارة المخاطر</w:t>
      </w:r>
      <w:r w:rsidRPr="005D70B4">
        <w:rPr>
          <w:rFonts w:ascii="Simplified Arabic" w:hAnsi="Simplified Arabic" w:cs="Simplified Arabic" w:hint="cs"/>
          <w:color w:val="1B1C1D"/>
          <w:sz w:val="32"/>
          <w:szCs w:val="32"/>
          <w:rtl/>
        </w:rPr>
        <w:t xml:space="preserve"> بتحديد وتقييم المخاطر التي قد تعيق تحقيق أهداف الحوكمة. بينما يضمن </w:t>
      </w:r>
      <w:r w:rsidRPr="005D70B4">
        <w:rPr>
          <w:rStyle w:val="Strong"/>
          <w:rFonts w:ascii="Simplified Arabic" w:hAnsi="Simplified Arabic" w:cs="Simplified Arabic" w:hint="cs"/>
          <w:color w:val="1B1C1D"/>
          <w:sz w:val="32"/>
          <w:szCs w:val="32"/>
          <w:bdr w:val="none" w:sz="0" w:space="0" w:color="auto" w:frame="1"/>
          <w:rtl/>
        </w:rPr>
        <w:t>الامتثال</w:t>
      </w:r>
      <w:r w:rsidRPr="005D70B4">
        <w:rPr>
          <w:rFonts w:ascii="Simplified Arabic" w:hAnsi="Simplified Arabic" w:cs="Simplified Arabic" w:hint="cs"/>
          <w:color w:val="1B1C1D"/>
          <w:sz w:val="32"/>
          <w:szCs w:val="32"/>
          <w:rtl/>
        </w:rPr>
        <w:t xml:space="preserve"> أن المؤسسة تلتزم بالقواعد واللوائح الموضوعة من قبل الهيئات التنظيمية ومن قبل الحوكمة الداخلية، مما يقلل بدوره من المخاطر.</w:t>
      </w:r>
    </w:p>
    <w:p w14:paraId="7B79F77E"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lastRenderedPageBreak/>
        <w:t xml:space="preserve">أهمية </w:t>
      </w:r>
      <w:r w:rsidRPr="005D70B4">
        <w:rPr>
          <w:rFonts w:ascii="Simplified Arabic" w:eastAsia="Times New Roman" w:hAnsi="Simplified Arabic" w:cs="Simplified Arabic" w:hint="cs"/>
          <w:color w:val="1B1C1D"/>
          <w:sz w:val="32"/>
          <w:szCs w:val="32"/>
        </w:rPr>
        <w:t>GRC</w:t>
      </w:r>
      <w:r w:rsidRPr="005D70B4">
        <w:rPr>
          <w:rFonts w:ascii="Simplified Arabic" w:eastAsia="Times New Roman" w:hAnsi="Simplified Arabic" w:cs="Simplified Arabic" w:hint="cs"/>
          <w:color w:val="1B1C1D"/>
          <w:sz w:val="32"/>
          <w:szCs w:val="32"/>
          <w:rtl/>
        </w:rPr>
        <w:t xml:space="preserve"> في القطاع المالي</w:t>
      </w:r>
    </w:p>
    <w:p w14:paraId="1118A705"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يلعب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دوراً حيوياً في القطاع المالي نظراً لحساسية وطبيعة عمل المؤسسات المالية وتعرضها للعديد من المخاطر واللوائح. تشمل أهميته ما يلي:</w:t>
      </w:r>
    </w:p>
    <w:p w14:paraId="79CC233C" w14:textId="77777777" w:rsidR="00665B18" w:rsidRPr="005D70B4" w:rsidRDefault="00665B18" w:rsidP="005D70B4">
      <w:pPr>
        <w:pStyle w:val="NormalWeb"/>
        <w:numPr>
          <w:ilvl w:val="0"/>
          <w:numId w:val="51"/>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تعزيز الاستقرار:</w:t>
      </w:r>
      <w:r w:rsidRPr="005D70B4">
        <w:rPr>
          <w:rFonts w:ascii="Simplified Arabic" w:hAnsi="Simplified Arabic" w:cs="Simplified Arabic" w:hint="cs"/>
          <w:color w:val="1B1C1D"/>
          <w:sz w:val="32"/>
          <w:szCs w:val="32"/>
          <w:rtl/>
        </w:rPr>
        <w:t xml:space="preserve"> يساعد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المؤسسات المالية على تحديد المخاطر المحتملة (مثل مخاطر الائتمان، السوق، التشغيل، السيولة) وإدارتها بفعالية، مما يقلل من احتمالية الأزمات المالية ويعزز الاستقرار الكلي للمؤسسة والنظام المالي.</w:t>
      </w:r>
    </w:p>
    <w:p w14:paraId="2770AC62" w14:textId="77777777" w:rsidR="00665B18" w:rsidRPr="005D70B4" w:rsidRDefault="00665B18" w:rsidP="005D70B4">
      <w:pPr>
        <w:pStyle w:val="NormalWeb"/>
        <w:numPr>
          <w:ilvl w:val="0"/>
          <w:numId w:val="51"/>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زيادة الشفافية:</w:t>
      </w:r>
      <w:r w:rsidRPr="005D70B4">
        <w:rPr>
          <w:rFonts w:ascii="Simplified Arabic" w:hAnsi="Simplified Arabic" w:cs="Simplified Arabic" w:hint="cs"/>
          <w:color w:val="1B1C1D"/>
          <w:sz w:val="32"/>
          <w:szCs w:val="32"/>
          <w:rtl/>
        </w:rPr>
        <w:t xml:space="preserve"> يفرض إطار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متطلبات صارمة للإبلاغ والكشف عن المعلومات، مما يعزز الشفافية في العمليات والقرارات المالية، ويزيد من ثقة المستثمرين والعملاء والجهات التنظيمية.</w:t>
      </w:r>
    </w:p>
    <w:p w14:paraId="2892018C" w14:textId="77777777" w:rsidR="00665B18" w:rsidRPr="005D70B4" w:rsidRDefault="00665B18" w:rsidP="005D70B4">
      <w:pPr>
        <w:pStyle w:val="NormalWeb"/>
        <w:numPr>
          <w:ilvl w:val="0"/>
          <w:numId w:val="51"/>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المساءلة:</w:t>
      </w:r>
      <w:r w:rsidRPr="005D70B4">
        <w:rPr>
          <w:rFonts w:ascii="Simplified Arabic" w:hAnsi="Simplified Arabic" w:cs="Simplified Arabic" w:hint="cs"/>
          <w:color w:val="1B1C1D"/>
          <w:sz w:val="32"/>
          <w:szCs w:val="32"/>
          <w:rtl/>
        </w:rPr>
        <w:t xml:space="preserve"> يحدد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بوضوح الأدوار والمسؤوليات داخل المؤسسة، مما يضمن أن الأفراد واللجان يتحملون المسؤولية عن أدائهم وعن الالتزام بالسياسات واللوائح، مما يقلل من سوء الإدارة والاحتيال.</w:t>
      </w:r>
    </w:p>
    <w:p w14:paraId="04521874" w14:textId="77777777" w:rsidR="00665B18" w:rsidRPr="005D70B4" w:rsidRDefault="00665B18" w:rsidP="005D70B4">
      <w:pPr>
        <w:pStyle w:val="NormalWeb"/>
        <w:numPr>
          <w:ilvl w:val="0"/>
          <w:numId w:val="51"/>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تحسين اتخاذ القرار:</w:t>
      </w:r>
      <w:r w:rsidRPr="005D70B4">
        <w:rPr>
          <w:rFonts w:ascii="Simplified Arabic" w:hAnsi="Simplified Arabic" w:cs="Simplified Arabic" w:hint="cs"/>
          <w:color w:val="1B1C1D"/>
          <w:sz w:val="32"/>
          <w:szCs w:val="32"/>
          <w:rtl/>
        </w:rPr>
        <w:t xml:space="preserve"> من خلال توفير رؤية شاملة للمخاطر والامتثال، يساعد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الإدارة العليا ومجلس الإدارة على اتخاذ قرارات مستنيرة، بناءً على معلومات دقيقة حول التحديات والفرص.</w:t>
      </w:r>
    </w:p>
    <w:p w14:paraId="5C80BD48" w14:textId="77777777" w:rsidR="00665B18" w:rsidRPr="005D70B4" w:rsidRDefault="00665B18" w:rsidP="005D70B4">
      <w:pPr>
        <w:pStyle w:val="NormalWeb"/>
        <w:numPr>
          <w:ilvl w:val="0"/>
          <w:numId w:val="51"/>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الكفاءة التشغيلية:</w:t>
      </w:r>
      <w:r w:rsidRPr="005D70B4">
        <w:rPr>
          <w:rFonts w:ascii="Simplified Arabic" w:hAnsi="Simplified Arabic" w:cs="Simplified Arabic" w:hint="cs"/>
          <w:color w:val="1B1C1D"/>
          <w:sz w:val="32"/>
          <w:szCs w:val="32"/>
          <w:rtl/>
        </w:rPr>
        <w:t xml:space="preserve"> يقلل دمج وظائف الحوكمة والمخاطر والامتثال من الازدواجية في العمليات ويحسن التنسيق، مما يؤدي إلى زيادة الكفاءة التشغيلية وتوفير التكاليف.</w:t>
      </w:r>
    </w:p>
    <w:p w14:paraId="51EA5443" w14:textId="77777777" w:rsidR="00665B18" w:rsidRPr="005D70B4" w:rsidRDefault="00665B18" w:rsidP="005D70B4">
      <w:pPr>
        <w:pStyle w:val="NormalWeb"/>
        <w:numPr>
          <w:ilvl w:val="0"/>
          <w:numId w:val="51"/>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حماية السمعة:</w:t>
      </w:r>
      <w:r w:rsidRPr="005D70B4">
        <w:rPr>
          <w:rFonts w:ascii="Simplified Arabic" w:hAnsi="Simplified Arabic" w:cs="Simplified Arabic" w:hint="cs"/>
          <w:color w:val="1B1C1D"/>
          <w:sz w:val="32"/>
          <w:szCs w:val="32"/>
          <w:rtl/>
        </w:rPr>
        <w:t xml:space="preserve"> يساعد الالتزام بالمعايير الأخلاقية والقانونية في حماية سمعة المؤسسة المالية، وهي أصل لا يقدر بثمن في صناعة تعتمد على الثقة.</w:t>
      </w:r>
    </w:p>
    <w:p w14:paraId="25AF77C4"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 xml:space="preserve">تطور مفهوم </w:t>
      </w:r>
      <w:r w:rsidRPr="005D70B4">
        <w:rPr>
          <w:rFonts w:ascii="Simplified Arabic" w:eastAsia="Times New Roman" w:hAnsi="Simplified Arabic" w:cs="Simplified Arabic" w:hint="cs"/>
          <w:color w:val="1B1C1D"/>
          <w:sz w:val="32"/>
          <w:szCs w:val="32"/>
        </w:rPr>
        <w:t>GRC</w:t>
      </w:r>
    </w:p>
    <w:p w14:paraId="5792637B"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لم يكن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دائمًا نهجًا متكاملًا كما هو اليوم. في البداية، كانت وظائف الحوكمة وإدارة المخاطر والامتثال تُدار بشكل منفصل، وغالبًا ما تكون في أقسام مختلفة من المؤسسة.</w:t>
      </w:r>
    </w:p>
    <w:p w14:paraId="25FF5840" w14:textId="77777777" w:rsidR="00665B18" w:rsidRPr="005D70B4" w:rsidRDefault="00665B18" w:rsidP="005D70B4">
      <w:pPr>
        <w:pStyle w:val="NormalWeb"/>
        <w:numPr>
          <w:ilvl w:val="0"/>
          <w:numId w:val="52"/>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الستينيات والسبعينيات:</w:t>
      </w:r>
      <w:r w:rsidRPr="005D70B4">
        <w:rPr>
          <w:rFonts w:ascii="Simplified Arabic" w:hAnsi="Simplified Arabic" w:cs="Simplified Arabic" w:hint="cs"/>
          <w:color w:val="1B1C1D"/>
          <w:sz w:val="32"/>
          <w:szCs w:val="32"/>
          <w:rtl/>
        </w:rPr>
        <w:t xml:space="preserve"> كانت هناك تركيز على </w:t>
      </w:r>
      <w:r w:rsidRPr="005D70B4">
        <w:rPr>
          <w:rStyle w:val="Strong"/>
          <w:rFonts w:ascii="Simplified Arabic" w:hAnsi="Simplified Arabic" w:cs="Simplified Arabic" w:hint="cs"/>
          <w:color w:val="1B1C1D"/>
          <w:sz w:val="32"/>
          <w:szCs w:val="32"/>
          <w:bdr w:val="none" w:sz="0" w:space="0" w:color="auto" w:frame="1"/>
          <w:rtl/>
        </w:rPr>
        <w:t>الحوكمة التقليدية</w:t>
      </w:r>
      <w:r w:rsidRPr="005D70B4">
        <w:rPr>
          <w:rFonts w:ascii="Simplified Arabic" w:hAnsi="Simplified Arabic" w:cs="Simplified Arabic" w:hint="cs"/>
          <w:color w:val="1B1C1D"/>
          <w:sz w:val="32"/>
          <w:szCs w:val="32"/>
          <w:rtl/>
        </w:rPr>
        <w:t xml:space="preserve"> والالتزام بالمعايير المحاسبية الأساسية.</w:t>
      </w:r>
    </w:p>
    <w:p w14:paraId="4FE95EAC" w14:textId="77777777" w:rsidR="00665B18" w:rsidRPr="005D70B4" w:rsidRDefault="00665B18" w:rsidP="005D70B4">
      <w:pPr>
        <w:pStyle w:val="NormalWeb"/>
        <w:numPr>
          <w:ilvl w:val="0"/>
          <w:numId w:val="52"/>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الثمانينيات والتسعينيات:</w:t>
      </w:r>
      <w:r w:rsidRPr="005D70B4">
        <w:rPr>
          <w:rFonts w:ascii="Simplified Arabic" w:hAnsi="Simplified Arabic" w:cs="Simplified Arabic" w:hint="cs"/>
          <w:color w:val="1B1C1D"/>
          <w:sz w:val="32"/>
          <w:szCs w:val="32"/>
          <w:rtl/>
        </w:rPr>
        <w:t xml:space="preserve"> مع زيادة التعقيد في الأسواق المالية وظهور فضائح مالية، زاد الاهتمام بـ </w:t>
      </w:r>
      <w:r w:rsidRPr="005D70B4">
        <w:rPr>
          <w:rStyle w:val="Strong"/>
          <w:rFonts w:ascii="Simplified Arabic" w:hAnsi="Simplified Arabic" w:cs="Simplified Arabic" w:hint="cs"/>
          <w:color w:val="1B1C1D"/>
          <w:sz w:val="32"/>
          <w:szCs w:val="32"/>
          <w:bdr w:val="none" w:sz="0" w:space="0" w:color="auto" w:frame="1"/>
          <w:rtl/>
        </w:rPr>
        <w:t>إدارة المخاطر</w:t>
      </w:r>
      <w:r w:rsidRPr="005D70B4">
        <w:rPr>
          <w:rFonts w:ascii="Simplified Arabic" w:hAnsi="Simplified Arabic" w:cs="Simplified Arabic" w:hint="cs"/>
          <w:color w:val="1B1C1D"/>
          <w:sz w:val="32"/>
          <w:szCs w:val="32"/>
          <w:rtl/>
        </w:rPr>
        <w:t xml:space="preserve"> كوظيفة مستقلة. بدأت تظهر الحاجة إلى لوائح أكثر صرامة.</w:t>
      </w:r>
    </w:p>
    <w:p w14:paraId="46E1DB01" w14:textId="77777777" w:rsidR="00665B18" w:rsidRPr="005D70B4" w:rsidRDefault="00665B18" w:rsidP="005D70B4">
      <w:pPr>
        <w:pStyle w:val="NormalWeb"/>
        <w:numPr>
          <w:ilvl w:val="0"/>
          <w:numId w:val="52"/>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أوائل القرن الحادي والعشرين:</w:t>
      </w:r>
      <w:r w:rsidRPr="005D70B4">
        <w:rPr>
          <w:rFonts w:ascii="Simplified Arabic" w:hAnsi="Simplified Arabic" w:cs="Simplified Arabic" w:hint="cs"/>
          <w:color w:val="1B1C1D"/>
          <w:sz w:val="32"/>
          <w:szCs w:val="32"/>
          <w:rtl/>
        </w:rPr>
        <w:t xml:space="preserve"> بعد أحداث مثل انهيار إنرون وفضائح محاسبية أخرى، بالإضافة إلى هجمات 11 سبتمبر التي أدت إلى زيادة التركيز على مكافحة غسيل الأموال وتمويل الإرهاب، صدرت تشريعات رئيسية مثل قانون </w:t>
      </w:r>
      <w:r w:rsidRPr="005D70B4">
        <w:rPr>
          <w:rFonts w:ascii="Simplified Arabic" w:hAnsi="Simplified Arabic" w:cs="Simplified Arabic" w:hint="cs"/>
          <w:color w:val="1B1C1D"/>
          <w:sz w:val="32"/>
          <w:szCs w:val="32"/>
          <w:rtl/>
        </w:rPr>
        <w:lastRenderedPageBreak/>
        <w:t>ساربينز-أوكسلي (</w:t>
      </w:r>
      <w:r w:rsidRPr="005D70B4">
        <w:rPr>
          <w:rFonts w:ascii="Simplified Arabic" w:hAnsi="Simplified Arabic" w:cs="Simplified Arabic" w:hint="cs"/>
          <w:color w:val="1B1C1D"/>
          <w:sz w:val="32"/>
          <w:szCs w:val="32"/>
        </w:rPr>
        <w:t>SOX</w:t>
      </w:r>
      <w:r w:rsidRPr="005D70B4">
        <w:rPr>
          <w:rFonts w:ascii="Simplified Arabic" w:hAnsi="Simplified Arabic" w:cs="Simplified Arabic" w:hint="cs"/>
          <w:color w:val="1B1C1D"/>
          <w:sz w:val="32"/>
          <w:szCs w:val="32"/>
          <w:rtl/>
        </w:rPr>
        <w:t>) في الولايات المتحدة. هذه التشريعات فرضت متطلبات صارمة على الشركات فيما يتعلق بالحوكمة الداخلية والرقابة المالية، مما دفع المؤسسات لإعادة التفكير في كيفية إدارة هذه الوظائف.</w:t>
      </w:r>
    </w:p>
    <w:p w14:paraId="619B8C21" w14:textId="77777777" w:rsidR="00665B18" w:rsidRPr="005D70B4" w:rsidRDefault="00665B18" w:rsidP="005D70B4">
      <w:pPr>
        <w:pStyle w:val="NormalWeb"/>
        <w:numPr>
          <w:ilvl w:val="0"/>
          <w:numId w:val="52"/>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منذ عام 2005 وما بعده:</w:t>
      </w:r>
      <w:r w:rsidRPr="005D70B4">
        <w:rPr>
          <w:rFonts w:ascii="Simplified Arabic" w:hAnsi="Simplified Arabic" w:cs="Simplified Arabic" w:hint="cs"/>
          <w:color w:val="1B1C1D"/>
          <w:sz w:val="32"/>
          <w:szCs w:val="32"/>
          <w:rtl/>
        </w:rPr>
        <w:t xml:space="preserve"> أدت هذه التطورات إلى إدراك أن التعامل مع الحوكمة والمخاطر والامتثال كوظائف منعزلة يؤدي إلى عدم الكفاءة، الازدواجية، والثغرات. بدأ مفهوم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المتكامل</w:t>
      </w:r>
      <w:r w:rsidRPr="005D70B4">
        <w:rPr>
          <w:rFonts w:ascii="Simplified Arabic" w:hAnsi="Simplified Arabic" w:cs="Simplified Arabic" w:hint="cs"/>
          <w:color w:val="1B1C1D"/>
          <w:sz w:val="32"/>
          <w:szCs w:val="32"/>
          <w:rtl/>
        </w:rPr>
        <w:t xml:space="preserve"> في التبلور كاستجابة للحاجة إلى نهج شامل يضمن التوافق بين هذه المجالات الثلاثة، ويسهل تبادل المعلومات، ويحسن الرؤية الشاملة للمؤسسة. اليوم، يعتبر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نهجاً استراتيجياً أساسياً للمؤسسات في جميع الصناعات، وخاصة في القطاع المالي.</w:t>
      </w:r>
    </w:p>
    <w:p w14:paraId="275BB4DE" w14:textId="77777777" w:rsidR="00665B18" w:rsidRPr="005D70B4" w:rsidRDefault="00665B18" w:rsidP="005D70B4">
      <w:pPr>
        <w:pStyle w:val="Heading2"/>
        <w:spacing w:before="0" w:after="120" w:line="360" w:lineRule="auto"/>
        <w:divId w:val="695623974"/>
        <w:rPr>
          <w:rFonts w:ascii="Simplified Arabic" w:eastAsia="Times New Roman" w:hAnsi="Simplified Arabic" w:cs="Simplified Arabic"/>
          <w:color w:val="1B1C1D"/>
          <w:rtl/>
        </w:rPr>
      </w:pPr>
      <w:r w:rsidRPr="005D70B4">
        <w:rPr>
          <w:rFonts w:ascii="Simplified Arabic" w:eastAsia="Times New Roman" w:hAnsi="Simplified Arabic" w:cs="Simplified Arabic" w:hint="cs"/>
          <w:color w:val="1B1C1D"/>
          <w:rtl/>
        </w:rPr>
        <w:t>2. الحوكمة المؤسسية في المنشآت المالية</w:t>
      </w:r>
    </w:p>
    <w:p w14:paraId="04366B30"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مفهوم الحوكمة المؤسسية</w:t>
      </w:r>
    </w:p>
    <w:p w14:paraId="36BACF4E" w14:textId="77777777" w:rsidR="00665B18" w:rsidRPr="005D70B4" w:rsidRDefault="00665B18" w:rsidP="005D70B4">
      <w:pPr>
        <w:pStyle w:val="NormalWeb"/>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الحوكمة المؤسسية (</w:t>
      </w:r>
      <w:r w:rsidRPr="005D70B4">
        <w:rPr>
          <w:rStyle w:val="Strong"/>
          <w:rFonts w:ascii="Simplified Arabic" w:hAnsi="Simplified Arabic" w:cs="Simplified Arabic" w:hint="cs"/>
          <w:color w:val="1B1C1D"/>
          <w:sz w:val="32"/>
          <w:szCs w:val="32"/>
          <w:bdr w:val="none" w:sz="0" w:space="0" w:color="auto" w:frame="1"/>
        </w:rPr>
        <w:t>Corporate Governance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 نظام يحدد من خلاله توجيه الشركات والتحكم فيها. إنه يضع إطارًا للعلاقات بين إدارة الشركة، مجلس الإدارة، المساهمين، وغيرهم من أصحاب المصلحة. يشمل هذا المفهوم مجموعة من العمليات، العادات، السياسات، القوانين، والمؤسسات التي تؤثر على كيفية إدارة الشركة، تشغيلها، أو التحكم فيها. تهدف الحوكمة المؤسسية إلى تحقيق التوازن بين الأهداف الاقتصادية </w:t>
      </w:r>
      <w:r w:rsidRPr="005D70B4">
        <w:rPr>
          <w:rFonts w:ascii="Simplified Arabic" w:hAnsi="Simplified Arabic" w:cs="Simplified Arabic" w:hint="cs"/>
          <w:color w:val="1B1C1D"/>
          <w:sz w:val="32"/>
          <w:szCs w:val="32"/>
          <w:rtl/>
        </w:rPr>
        <w:lastRenderedPageBreak/>
        <w:t>والاجتماعية، وبين مصالح الأفراد والمجتمع، مما يضمن أن الشركة تدار بكفاءة ومسؤولية وشفافية.</w:t>
      </w:r>
    </w:p>
    <w:p w14:paraId="37AFA606" w14:textId="77777777" w:rsidR="00665B18" w:rsidRPr="005D70B4" w:rsidRDefault="00665B18" w:rsidP="005D70B4">
      <w:pPr>
        <w:pStyle w:val="NormalWeb"/>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أهدافها الرئيسية:</w:t>
      </w:r>
    </w:p>
    <w:p w14:paraId="688100FB" w14:textId="77777777" w:rsidR="00665B18" w:rsidRPr="005D70B4" w:rsidRDefault="00665B18" w:rsidP="005D70B4">
      <w:pPr>
        <w:pStyle w:val="NormalWeb"/>
        <w:numPr>
          <w:ilvl w:val="0"/>
          <w:numId w:val="53"/>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حماية حقوق المساهمين:</w:t>
      </w:r>
      <w:r w:rsidRPr="005D70B4">
        <w:rPr>
          <w:rFonts w:ascii="Simplified Arabic" w:hAnsi="Simplified Arabic" w:cs="Simplified Arabic" w:hint="cs"/>
          <w:color w:val="1B1C1D"/>
          <w:sz w:val="32"/>
          <w:szCs w:val="32"/>
          <w:rtl/>
        </w:rPr>
        <w:t xml:space="preserve"> ضمان المعاملة العادلة لجميع المساهمين، سواء كانوا صغارًا أم كبارًا، وحماية حقوقهم الأساسية.</w:t>
      </w:r>
    </w:p>
    <w:p w14:paraId="380F7DFE" w14:textId="77777777" w:rsidR="00665B18" w:rsidRPr="005D70B4" w:rsidRDefault="00665B18" w:rsidP="005D70B4">
      <w:pPr>
        <w:pStyle w:val="NormalWeb"/>
        <w:numPr>
          <w:ilvl w:val="0"/>
          <w:numId w:val="53"/>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تحسين أداء الشركة:</w:t>
      </w:r>
      <w:r w:rsidRPr="005D70B4">
        <w:rPr>
          <w:rFonts w:ascii="Simplified Arabic" w:hAnsi="Simplified Arabic" w:cs="Simplified Arabic" w:hint="cs"/>
          <w:color w:val="1B1C1D"/>
          <w:sz w:val="32"/>
          <w:szCs w:val="32"/>
          <w:rtl/>
        </w:rPr>
        <w:t xml:space="preserve"> من خلال توفير إطار لاتخاذ القرارات الاستراتيجية الفعالة والإشراف الجيد.</w:t>
      </w:r>
    </w:p>
    <w:p w14:paraId="456146D3" w14:textId="77777777" w:rsidR="00665B18" w:rsidRPr="005D70B4" w:rsidRDefault="00665B18" w:rsidP="005D70B4">
      <w:pPr>
        <w:pStyle w:val="NormalWeb"/>
        <w:numPr>
          <w:ilvl w:val="0"/>
          <w:numId w:val="53"/>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تعزيز الشفافية والإفصاح:</w:t>
      </w:r>
      <w:r w:rsidRPr="005D70B4">
        <w:rPr>
          <w:rFonts w:ascii="Simplified Arabic" w:hAnsi="Simplified Arabic" w:cs="Simplified Arabic" w:hint="cs"/>
          <w:color w:val="1B1C1D"/>
          <w:sz w:val="32"/>
          <w:szCs w:val="32"/>
          <w:rtl/>
        </w:rPr>
        <w:t xml:space="preserve"> ضمان كشف المعلومات المالية وغير المالية ذات الصلة بشكل دقيق وفي الوقت المناسب.</w:t>
      </w:r>
    </w:p>
    <w:p w14:paraId="3FE6E66B" w14:textId="77777777" w:rsidR="00665B18" w:rsidRPr="005D70B4" w:rsidRDefault="00665B18" w:rsidP="005D70B4">
      <w:pPr>
        <w:pStyle w:val="NormalWeb"/>
        <w:numPr>
          <w:ilvl w:val="0"/>
          <w:numId w:val="53"/>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بناء الثقة:</w:t>
      </w:r>
      <w:r w:rsidRPr="005D70B4">
        <w:rPr>
          <w:rFonts w:ascii="Simplified Arabic" w:hAnsi="Simplified Arabic" w:cs="Simplified Arabic" w:hint="cs"/>
          <w:color w:val="1B1C1D"/>
          <w:sz w:val="32"/>
          <w:szCs w:val="32"/>
          <w:rtl/>
        </w:rPr>
        <w:t xml:space="preserve"> تعزيز ثقة المستثمرين والعملاء والجهات التنظيمية في إدارة الشركة.</w:t>
      </w:r>
    </w:p>
    <w:p w14:paraId="18226194" w14:textId="77777777" w:rsidR="00665B18" w:rsidRPr="005D70B4" w:rsidRDefault="00665B18" w:rsidP="005D70B4">
      <w:pPr>
        <w:pStyle w:val="NormalWeb"/>
        <w:numPr>
          <w:ilvl w:val="0"/>
          <w:numId w:val="53"/>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تحقيق الامتثال:</w:t>
      </w:r>
      <w:r w:rsidRPr="005D70B4">
        <w:rPr>
          <w:rFonts w:ascii="Simplified Arabic" w:hAnsi="Simplified Arabic" w:cs="Simplified Arabic" w:hint="cs"/>
          <w:color w:val="1B1C1D"/>
          <w:sz w:val="32"/>
          <w:szCs w:val="32"/>
          <w:rtl/>
        </w:rPr>
        <w:t xml:space="preserve"> ضمان التزام الشركة بجميع القوانين واللوائح والمعايير الأخلاقية.</w:t>
      </w:r>
    </w:p>
    <w:p w14:paraId="7A0621E9" w14:textId="77777777" w:rsidR="00665B18" w:rsidRPr="005D70B4" w:rsidRDefault="00665B18" w:rsidP="005D70B4">
      <w:pPr>
        <w:pStyle w:val="NormalWeb"/>
        <w:numPr>
          <w:ilvl w:val="0"/>
          <w:numId w:val="53"/>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المساءلة:</w:t>
      </w:r>
      <w:r w:rsidRPr="005D70B4">
        <w:rPr>
          <w:rFonts w:ascii="Simplified Arabic" w:hAnsi="Simplified Arabic" w:cs="Simplified Arabic" w:hint="cs"/>
          <w:color w:val="1B1C1D"/>
          <w:sz w:val="32"/>
          <w:szCs w:val="32"/>
          <w:rtl/>
        </w:rPr>
        <w:t xml:space="preserve"> تحديد مسؤوليات واضحة لمجلس الإدارة والإدارة التنفيذية تجاه المساهمين وأصحاب المصلحة الآخرين.</w:t>
      </w:r>
    </w:p>
    <w:p w14:paraId="584FDBDB"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مبادئ الحوكمة الرشيدة</w:t>
      </w:r>
    </w:p>
    <w:p w14:paraId="0AB25646"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تعتمد الحوكمة الرشيدة على عدة مبادئ أساسية تضمن فعالية النظام:</w:t>
      </w:r>
    </w:p>
    <w:p w14:paraId="76A47C9D" w14:textId="77777777" w:rsidR="00665B18" w:rsidRPr="005D70B4" w:rsidRDefault="00665B18" w:rsidP="005D70B4">
      <w:pPr>
        <w:pStyle w:val="NormalWeb"/>
        <w:numPr>
          <w:ilvl w:val="0"/>
          <w:numId w:val="54"/>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الشفافية (</w:t>
      </w:r>
      <w:r w:rsidRPr="005D70B4">
        <w:rPr>
          <w:rStyle w:val="Strong"/>
          <w:rFonts w:ascii="Simplified Arabic" w:hAnsi="Simplified Arabic" w:cs="Simplified Arabic" w:hint="cs"/>
          <w:color w:val="1B1C1D"/>
          <w:sz w:val="32"/>
          <w:szCs w:val="32"/>
          <w:bdr w:val="none" w:sz="0" w:space="0" w:color="auto" w:frame="1"/>
        </w:rPr>
        <w:t>Transparency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تعني الوضوح والصراحة في جميع العمليات والإفصاح عن المعلومات ذات الصلة (مالية وغير مالية) لأصحاب المصلحة بشكل منتظم وفي الوقت المناسب، بطريقة سهلة الفهم.</w:t>
      </w:r>
    </w:p>
    <w:p w14:paraId="1F4D944A" w14:textId="77777777" w:rsidR="00665B18" w:rsidRPr="005D70B4" w:rsidRDefault="00665B18" w:rsidP="005D70B4">
      <w:pPr>
        <w:pStyle w:val="NormalWeb"/>
        <w:numPr>
          <w:ilvl w:val="0"/>
          <w:numId w:val="54"/>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المساءلة (</w:t>
      </w:r>
      <w:r w:rsidRPr="005D70B4">
        <w:rPr>
          <w:rStyle w:val="Strong"/>
          <w:rFonts w:ascii="Simplified Arabic" w:hAnsi="Simplified Arabic" w:cs="Simplified Arabic" w:hint="cs"/>
          <w:color w:val="1B1C1D"/>
          <w:sz w:val="32"/>
          <w:szCs w:val="32"/>
          <w:bdr w:val="none" w:sz="0" w:space="0" w:color="auto" w:frame="1"/>
        </w:rPr>
        <w:t>Accountability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تعني أن الأفراد والكيانات داخل المؤسسة، وخاصة مجلس الإدارة والإدارة التنفيذية، مسؤولون عن قراراتهم وأفعالهم أمام أصحاب المصلحة، ويجب أن يكونوا مستعدين لتبريرها.</w:t>
      </w:r>
    </w:p>
    <w:p w14:paraId="7E3E9B18" w14:textId="77777777" w:rsidR="00665B18" w:rsidRPr="005D70B4" w:rsidRDefault="00665B18" w:rsidP="005D70B4">
      <w:pPr>
        <w:pStyle w:val="NormalWeb"/>
        <w:numPr>
          <w:ilvl w:val="0"/>
          <w:numId w:val="54"/>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الإنصاف (</w:t>
      </w:r>
      <w:r w:rsidRPr="005D70B4">
        <w:rPr>
          <w:rStyle w:val="Strong"/>
          <w:rFonts w:ascii="Simplified Arabic" w:hAnsi="Simplified Arabic" w:cs="Simplified Arabic" w:hint="cs"/>
          <w:color w:val="1B1C1D"/>
          <w:sz w:val="32"/>
          <w:szCs w:val="32"/>
          <w:bdr w:val="none" w:sz="0" w:space="0" w:color="auto" w:frame="1"/>
        </w:rPr>
        <w:t>Fairness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ضمان المعاملة المتساوية والمنصفة لجميع أصحاب المصلحة، وخاصة المساهمين، وحماية حقوقهم. يجب أن لا يكون هناك تمييز أو محاباة.</w:t>
      </w:r>
    </w:p>
    <w:p w14:paraId="42D0DB1C" w14:textId="77777777" w:rsidR="00665B18" w:rsidRPr="005D70B4" w:rsidRDefault="00665B18" w:rsidP="005D70B4">
      <w:pPr>
        <w:pStyle w:val="NormalWeb"/>
        <w:numPr>
          <w:ilvl w:val="0"/>
          <w:numId w:val="54"/>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المسؤولية (</w:t>
      </w:r>
      <w:r w:rsidRPr="005D70B4">
        <w:rPr>
          <w:rStyle w:val="Strong"/>
          <w:rFonts w:ascii="Simplified Arabic" w:hAnsi="Simplified Arabic" w:cs="Simplified Arabic" w:hint="cs"/>
          <w:color w:val="1B1C1D"/>
          <w:sz w:val="32"/>
          <w:szCs w:val="32"/>
          <w:bdr w:val="none" w:sz="0" w:space="0" w:color="auto" w:frame="1"/>
        </w:rPr>
        <w:t>Responsibility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تعني أن مجلس الإدارة والإدارة العليا مسؤولان عن الإشراف على إدارة الشركة، وتحديد اتجاهها الاستراتيجي، وضمان الامتثال للقوانين واللوائح، وحماية مصالح الشركة على المدى الطويل.</w:t>
      </w:r>
    </w:p>
    <w:p w14:paraId="61729085" w14:textId="77777777" w:rsidR="00665B18" w:rsidRPr="005D70B4" w:rsidRDefault="00665B18" w:rsidP="005D70B4">
      <w:pPr>
        <w:pStyle w:val="NormalWeb"/>
        <w:numPr>
          <w:ilvl w:val="0"/>
          <w:numId w:val="54"/>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الاستقلالية (</w:t>
      </w:r>
      <w:r w:rsidRPr="005D70B4">
        <w:rPr>
          <w:rStyle w:val="Strong"/>
          <w:rFonts w:ascii="Simplified Arabic" w:hAnsi="Simplified Arabic" w:cs="Simplified Arabic" w:hint="cs"/>
          <w:color w:val="1B1C1D"/>
          <w:sz w:val="32"/>
          <w:szCs w:val="32"/>
          <w:bdr w:val="none" w:sz="0" w:space="0" w:color="auto" w:frame="1"/>
        </w:rPr>
        <w:t>Independence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يجب أن يكون هناك قدر كافٍ من الاستقلالية في مجلس الإدارة لضمان أن القرارات تتخذ بناءً على مصلحة الشركة وليس بناءً على مصالح شخصية أو ضغوط خارجية. يشمل ذلك وجود أعضاء مجلس إدارة مستقلين.</w:t>
      </w:r>
    </w:p>
    <w:p w14:paraId="031F25DF"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lastRenderedPageBreak/>
        <w:t>دور مجلس الإدارة والإدارة العليا</w:t>
      </w:r>
    </w:p>
    <w:p w14:paraId="5CFC9089"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يمثل مجلس الإدارة والإدارة العليا الركيزتين الأساسيتين في تطبيق الحوكمة المؤسسية الفعالة:</w:t>
      </w:r>
    </w:p>
    <w:p w14:paraId="6041BE46" w14:textId="77777777" w:rsidR="00665B18" w:rsidRPr="005D70B4" w:rsidRDefault="00665B18" w:rsidP="005D70B4">
      <w:pPr>
        <w:pStyle w:val="NormalWeb"/>
        <w:numPr>
          <w:ilvl w:val="0"/>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مجلس الإدارة (</w:t>
      </w:r>
      <w:r w:rsidRPr="005D70B4">
        <w:rPr>
          <w:rStyle w:val="Strong"/>
          <w:rFonts w:ascii="Simplified Arabic" w:hAnsi="Simplified Arabic" w:cs="Simplified Arabic" w:hint="cs"/>
          <w:color w:val="1B1C1D"/>
          <w:sz w:val="32"/>
          <w:szCs w:val="32"/>
          <w:bdr w:val="none" w:sz="0" w:space="0" w:color="auto" w:frame="1"/>
        </w:rPr>
        <w:t>Board of Directors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هو الجهة المسؤولة عن الإشراف على الشركة وتوجيهها.</w:t>
      </w:r>
    </w:p>
    <w:p w14:paraId="552D607D"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وضع استراتيجيات الحوكمة:</w:t>
      </w:r>
      <w:r w:rsidRPr="005D70B4">
        <w:rPr>
          <w:rFonts w:ascii="Simplified Arabic" w:hAnsi="Simplified Arabic" w:cs="Simplified Arabic" w:hint="cs"/>
          <w:color w:val="1B1C1D"/>
          <w:sz w:val="32"/>
          <w:szCs w:val="32"/>
          <w:rtl/>
        </w:rPr>
        <w:t xml:space="preserve"> تحديد الإطار العام للحوكمة، بما في ذلك السياسات والإجراءات، وهيكل اللجان الفرعية (مثل لجنة المراجعة، لجنة المخاطر).</w:t>
      </w:r>
    </w:p>
    <w:p w14:paraId="48DB8C2D"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الإشراف الاستراتيجي:</w:t>
      </w:r>
      <w:r w:rsidRPr="005D70B4">
        <w:rPr>
          <w:rFonts w:ascii="Simplified Arabic" w:hAnsi="Simplified Arabic" w:cs="Simplified Arabic" w:hint="cs"/>
          <w:color w:val="1B1C1D"/>
          <w:sz w:val="32"/>
          <w:szCs w:val="32"/>
          <w:rtl/>
        </w:rPr>
        <w:t xml:space="preserve"> وضع الرؤية والرسالة والأهداف الاستراتيجية للشركة، ومراجعة وتقييم الأداء العام.</w:t>
      </w:r>
    </w:p>
    <w:p w14:paraId="299D825A"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تعيين ومراقبة الإدارة التنفيذية:</w:t>
      </w:r>
      <w:r w:rsidRPr="005D70B4">
        <w:rPr>
          <w:rFonts w:ascii="Simplified Arabic" w:hAnsi="Simplified Arabic" w:cs="Simplified Arabic" w:hint="cs"/>
          <w:color w:val="1B1C1D"/>
          <w:sz w:val="32"/>
          <w:szCs w:val="32"/>
          <w:rtl/>
        </w:rPr>
        <w:t xml:space="preserve"> تعيين الرئيس التنفيذي وكبار المديرين، وتقييم أدائهم، وتحديد تعويضاتهم.</w:t>
      </w:r>
    </w:p>
    <w:p w14:paraId="1A9E6EAB"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إدارة المخاطر:</w:t>
      </w:r>
      <w:r w:rsidRPr="005D70B4">
        <w:rPr>
          <w:rFonts w:ascii="Simplified Arabic" w:hAnsi="Simplified Arabic" w:cs="Simplified Arabic" w:hint="cs"/>
          <w:color w:val="1B1C1D"/>
          <w:sz w:val="32"/>
          <w:szCs w:val="32"/>
          <w:rtl/>
        </w:rPr>
        <w:t xml:space="preserve"> التأكد من وجود نظام فعال لإدارة المخاطر ومراجعته بانتظام.</w:t>
      </w:r>
    </w:p>
    <w:p w14:paraId="4B0863E5"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ضمان الامتثال:</w:t>
      </w:r>
      <w:r w:rsidRPr="005D70B4">
        <w:rPr>
          <w:rFonts w:ascii="Simplified Arabic" w:hAnsi="Simplified Arabic" w:cs="Simplified Arabic" w:hint="cs"/>
          <w:color w:val="1B1C1D"/>
          <w:sz w:val="32"/>
          <w:szCs w:val="32"/>
          <w:rtl/>
        </w:rPr>
        <w:t xml:space="preserve"> التأكد من أن الشركة تلتزم بجميع القوانين واللوائح والمعايير الأخلاقية.</w:t>
      </w:r>
    </w:p>
    <w:p w14:paraId="1BED36DD"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حماية حقوق أصحاب المصلحة:</w:t>
      </w:r>
      <w:r w:rsidRPr="005D70B4">
        <w:rPr>
          <w:rFonts w:ascii="Simplified Arabic" w:hAnsi="Simplified Arabic" w:cs="Simplified Arabic" w:hint="cs"/>
          <w:color w:val="1B1C1D"/>
          <w:sz w:val="32"/>
          <w:szCs w:val="32"/>
          <w:rtl/>
        </w:rPr>
        <w:t xml:space="preserve"> العمل كوصي على مصالح المساهمين وغيرهم من أصحاب المصلحة.</w:t>
      </w:r>
    </w:p>
    <w:p w14:paraId="765E7A9F" w14:textId="77777777" w:rsidR="00665B18" w:rsidRPr="005D70B4" w:rsidRDefault="00665B18" w:rsidP="005D70B4">
      <w:pPr>
        <w:pStyle w:val="NormalWeb"/>
        <w:numPr>
          <w:ilvl w:val="0"/>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الإدارة العليا (</w:t>
      </w:r>
      <w:r w:rsidRPr="005D70B4">
        <w:rPr>
          <w:rStyle w:val="Strong"/>
          <w:rFonts w:ascii="Simplified Arabic" w:hAnsi="Simplified Arabic" w:cs="Simplified Arabic" w:hint="cs"/>
          <w:color w:val="1B1C1D"/>
          <w:sz w:val="32"/>
          <w:szCs w:val="32"/>
          <w:bdr w:val="none" w:sz="0" w:space="0" w:color="auto" w:frame="1"/>
        </w:rPr>
        <w:t>Senior Management / Executive Management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 المسؤولة عن التنفيذ اليومي لاستراتيجيات وسياسات الحوكمة التي يضعها مجلس الإدارة.</w:t>
      </w:r>
    </w:p>
    <w:p w14:paraId="21932AC3"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تنفيذ الاستراتيجيات:</w:t>
      </w:r>
      <w:r w:rsidRPr="005D70B4">
        <w:rPr>
          <w:rFonts w:ascii="Simplified Arabic" w:hAnsi="Simplified Arabic" w:cs="Simplified Arabic" w:hint="cs"/>
          <w:color w:val="1B1C1D"/>
          <w:sz w:val="32"/>
          <w:szCs w:val="32"/>
          <w:rtl/>
        </w:rPr>
        <w:t xml:space="preserve"> ترجمة الأهداف الاستراتيجية لمجلس الإدارة إلى خطط عمل تشغيلية.</w:t>
      </w:r>
    </w:p>
    <w:p w14:paraId="25DC3E34"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إدارة المخاطر اليومية:</w:t>
      </w:r>
      <w:r w:rsidRPr="005D70B4">
        <w:rPr>
          <w:rFonts w:ascii="Simplified Arabic" w:hAnsi="Simplified Arabic" w:cs="Simplified Arabic" w:hint="cs"/>
          <w:color w:val="1B1C1D"/>
          <w:sz w:val="32"/>
          <w:szCs w:val="32"/>
          <w:rtl/>
        </w:rPr>
        <w:t xml:space="preserve"> تنفيذ عمليات تحديد وتقييم ومعالجة ومراقبة المخاطر على مستوى العمليات.</w:t>
      </w:r>
    </w:p>
    <w:p w14:paraId="0D4B0FAF"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ضمان الامتثال:</w:t>
      </w:r>
      <w:r w:rsidRPr="005D70B4">
        <w:rPr>
          <w:rFonts w:ascii="Simplified Arabic" w:hAnsi="Simplified Arabic" w:cs="Simplified Arabic" w:hint="cs"/>
          <w:color w:val="1B1C1D"/>
          <w:sz w:val="32"/>
          <w:szCs w:val="32"/>
          <w:rtl/>
        </w:rPr>
        <w:t xml:space="preserve"> التأكد من أن جميع الأقسام والعمليات تلتزم بالسياسات والإجراءات الداخلية والمتطلبات التنظيمية الخارجية.</w:t>
      </w:r>
    </w:p>
    <w:p w14:paraId="13A5684C"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تقديم التقارير:</w:t>
      </w:r>
      <w:r w:rsidRPr="005D70B4">
        <w:rPr>
          <w:rFonts w:ascii="Simplified Arabic" w:hAnsi="Simplified Arabic" w:cs="Simplified Arabic" w:hint="cs"/>
          <w:color w:val="1B1C1D"/>
          <w:sz w:val="32"/>
          <w:szCs w:val="32"/>
          <w:rtl/>
        </w:rPr>
        <w:t xml:space="preserve"> إبلاغ مجلس الإدارة بانتظام عن الأداء المالي، المخاطر، قضايا الامتثال، والتقدم المحرز نحو تحقيق الأهداف.</w:t>
      </w:r>
    </w:p>
    <w:p w14:paraId="4B9ED62B" w14:textId="77777777" w:rsidR="00665B18" w:rsidRPr="005D70B4" w:rsidRDefault="00665B18" w:rsidP="005D70B4">
      <w:pPr>
        <w:pStyle w:val="NormalWeb"/>
        <w:numPr>
          <w:ilvl w:val="1"/>
          <w:numId w:val="55"/>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تطوير ثقافة الحوكمة:</w:t>
      </w:r>
      <w:r w:rsidRPr="005D70B4">
        <w:rPr>
          <w:rFonts w:ascii="Simplified Arabic" w:hAnsi="Simplified Arabic" w:cs="Simplified Arabic" w:hint="cs"/>
          <w:color w:val="1B1C1D"/>
          <w:sz w:val="32"/>
          <w:szCs w:val="32"/>
          <w:rtl/>
        </w:rPr>
        <w:t xml:space="preserve"> غرس ثقافة الشفافية والمساءلة والنزاهة بين جميع الموظفين.</w:t>
      </w:r>
    </w:p>
    <w:p w14:paraId="278B100E"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lastRenderedPageBreak/>
        <w:t>أهمية الحوكمة في القطاع المالي السعودي</w:t>
      </w:r>
    </w:p>
    <w:p w14:paraId="1CF3BA29"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تكتسب الحوكمة المؤسسية أهمية بالغة في القطاع المالي السعودي نظراً لكونه ركيزة أساسية للاقتصاد الوطني، ونظرًا للجهود المتواصلة للمملكة في تعزيز بيئة استثمارية جاذبة ومستقرة، بما يتماشى مع رؤية 2030.</w:t>
      </w:r>
    </w:p>
    <w:p w14:paraId="4D397EE6" w14:textId="77777777" w:rsidR="00665B18" w:rsidRPr="005D70B4" w:rsidRDefault="00665B18" w:rsidP="005D70B4">
      <w:pPr>
        <w:pStyle w:val="NormalWeb"/>
        <w:numPr>
          <w:ilvl w:val="0"/>
          <w:numId w:val="56"/>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الإطار التنظيمي:</w:t>
      </w:r>
      <w:r w:rsidRPr="005D70B4">
        <w:rPr>
          <w:rFonts w:ascii="Simplified Arabic" w:hAnsi="Simplified Arabic" w:cs="Simplified Arabic" w:hint="cs"/>
          <w:color w:val="1B1C1D"/>
          <w:sz w:val="32"/>
          <w:szCs w:val="32"/>
          <w:rtl/>
        </w:rPr>
        <w:t xml:space="preserve"> وضعت المملكة العربية السعودية إطاراً تنظيمياً متيناً لتعزيز الحوكمة في القطاع المالي، من خلال:</w:t>
      </w:r>
    </w:p>
    <w:p w14:paraId="31C62CC0" w14:textId="77777777" w:rsidR="00665B18" w:rsidRPr="005D70B4" w:rsidRDefault="00665B18" w:rsidP="005D70B4">
      <w:pPr>
        <w:pStyle w:val="NormalWeb"/>
        <w:numPr>
          <w:ilvl w:val="1"/>
          <w:numId w:val="56"/>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البنك المركزي السعودي (</w:t>
      </w:r>
      <w:r w:rsidRPr="005D70B4">
        <w:rPr>
          <w:rStyle w:val="Strong"/>
          <w:rFonts w:ascii="Simplified Arabic" w:hAnsi="Simplified Arabic" w:cs="Simplified Arabic" w:hint="cs"/>
          <w:color w:val="1B1C1D"/>
          <w:sz w:val="32"/>
          <w:szCs w:val="32"/>
          <w:bdr w:val="none" w:sz="0" w:space="0" w:color="auto" w:frame="1"/>
        </w:rPr>
        <w:t>SAMA</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يلعب دوراً محورياً في تنظيم البنوك وشركات التأمين وشركات التمويل. يصدر </w:t>
      </w:r>
      <w:r w:rsidRPr="005D70B4">
        <w:rPr>
          <w:rFonts w:ascii="Simplified Arabic" w:hAnsi="Simplified Arabic" w:cs="Simplified Arabic" w:hint="cs"/>
          <w:color w:val="1B1C1D"/>
          <w:sz w:val="32"/>
          <w:szCs w:val="32"/>
        </w:rPr>
        <w:t>SAMA</w:t>
      </w:r>
      <w:r w:rsidRPr="005D70B4">
        <w:rPr>
          <w:rFonts w:ascii="Simplified Arabic" w:hAnsi="Simplified Arabic" w:cs="Simplified Arabic" w:hint="cs"/>
          <w:color w:val="1B1C1D"/>
          <w:sz w:val="32"/>
          <w:szCs w:val="32"/>
          <w:rtl/>
        </w:rPr>
        <w:t xml:space="preserve"> لوائح ومعايير صارمة للحوكمة المؤسسية تلتزم بها جميع المؤسسات الخاضعة لإشرافه. تشمل هذه اللوائح متطلبات تتعلق بهيكل مجلس الإدارة، تكوين اللجان، سياسات إدارة المخاطر، والإفصاح.</w:t>
      </w:r>
    </w:p>
    <w:p w14:paraId="1AAF8A82" w14:textId="77777777" w:rsidR="00665B18" w:rsidRPr="005D70B4" w:rsidRDefault="00665B18" w:rsidP="005D70B4">
      <w:pPr>
        <w:pStyle w:val="NormalWeb"/>
        <w:numPr>
          <w:ilvl w:val="1"/>
          <w:numId w:val="56"/>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هيئة السوق المالية (</w:t>
      </w:r>
      <w:r w:rsidRPr="005D70B4">
        <w:rPr>
          <w:rStyle w:val="Strong"/>
          <w:rFonts w:ascii="Simplified Arabic" w:hAnsi="Simplified Arabic" w:cs="Simplified Arabic" w:hint="cs"/>
          <w:color w:val="1B1C1D"/>
          <w:sz w:val="32"/>
          <w:szCs w:val="32"/>
          <w:bdr w:val="none" w:sz="0" w:space="0" w:color="auto" w:frame="1"/>
        </w:rPr>
        <w:t>CMA</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تختص بتنظيم سوق رأس المال والإشراف عليه، بما في ذلك الشركات المدرجة في السوق المالية السعودية (تداول). أصدرت هيئة السوق المالية لائحة حوكمة الشركات التي تحدد أفضل الممارسات والمتطلبات القانونية للشركات المدرجة، بهدف حماية حقوق المساهمين وتعزيز الشفافية وكفاءة السوق.</w:t>
      </w:r>
    </w:p>
    <w:p w14:paraId="5B615F03" w14:textId="77777777" w:rsidR="00665B18" w:rsidRPr="005D70B4" w:rsidRDefault="00665B18" w:rsidP="005D70B4">
      <w:pPr>
        <w:pStyle w:val="NormalWeb"/>
        <w:numPr>
          <w:ilvl w:val="0"/>
          <w:numId w:val="56"/>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تعزيز الثقة الاستثمارية:</w:t>
      </w:r>
      <w:r w:rsidRPr="005D70B4">
        <w:rPr>
          <w:rFonts w:ascii="Simplified Arabic" w:hAnsi="Simplified Arabic" w:cs="Simplified Arabic" w:hint="cs"/>
          <w:color w:val="1B1C1D"/>
          <w:sz w:val="32"/>
          <w:szCs w:val="32"/>
          <w:rtl/>
        </w:rPr>
        <w:t xml:space="preserve"> تساهم الحوكمة القوية في بناء ثقة المستثمرين المحليين والدوليين، مما يشجع على جذب الاستثمارات إلى القطاع المالي السعودي ويدعم نموه.</w:t>
      </w:r>
    </w:p>
    <w:p w14:paraId="4186E25D" w14:textId="77777777" w:rsidR="00665B18" w:rsidRPr="005D70B4" w:rsidRDefault="00665B18" w:rsidP="005D70B4">
      <w:pPr>
        <w:pStyle w:val="NormalWeb"/>
        <w:numPr>
          <w:ilvl w:val="0"/>
          <w:numId w:val="56"/>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حماية المستهلكين:</w:t>
      </w:r>
      <w:r w:rsidRPr="005D70B4">
        <w:rPr>
          <w:rFonts w:ascii="Simplified Arabic" w:hAnsi="Simplified Arabic" w:cs="Simplified Arabic" w:hint="cs"/>
          <w:color w:val="1B1C1D"/>
          <w:sz w:val="32"/>
          <w:szCs w:val="32"/>
          <w:rtl/>
        </w:rPr>
        <w:t xml:space="preserve"> تضمن الحوكمة الرشيدة أن المؤسسات المالية تعمل بشفافية وإنصاف مع عملائها، وتحمي حقوقهم ومصالحهم.</w:t>
      </w:r>
    </w:p>
    <w:p w14:paraId="6EA6CF51" w14:textId="77777777" w:rsidR="00665B18" w:rsidRPr="005D70B4" w:rsidRDefault="00665B18" w:rsidP="005D70B4">
      <w:pPr>
        <w:pStyle w:val="NormalWeb"/>
        <w:numPr>
          <w:ilvl w:val="0"/>
          <w:numId w:val="56"/>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الاستقرار المالي:</w:t>
      </w:r>
      <w:r w:rsidRPr="005D70B4">
        <w:rPr>
          <w:rFonts w:ascii="Simplified Arabic" w:hAnsi="Simplified Arabic" w:cs="Simplified Arabic" w:hint="cs"/>
          <w:color w:val="1B1C1D"/>
          <w:sz w:val="32"/>
          <w:szCs w:val="32"/>
          <w:rtl/>
        </w:rPr>
        <w:t xml:space="preserve"> تقلل الحوكمة الفعالة من المخاطر النظامية وتساهم في استقرار النظام المالي ككل، من خلال ضمان أن المؤسسات المالية تدار بحكمة ومسؤولية.</w:t>
      </w:r>
    </w:p>
    <w:p w14:paraId="106C45D9" w14:textId="77777777" w:rsidR="00665B18" w:rsidRPr="005D70B4" w:rsidRDefault="00665B18" w:rsidP="005D70B4">
      <w:pPr>
        <w:pStyle w:val="NormalWeb"/>
        <w:numPr>
          <w:ilvl w:val="0"/>
          <w:numId w:val="56"/>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التوافق مع المعايير الدولية:</w:t>
      </w:r>
      <w:r w:rsidRPr="005D70B4">
        <w:rPr>
          <w:rFonts w:ascii="Simplified Arabic" w:hAnsi="Simplified Arabic" w:cs="Simplified Arabic" w:hint="cs"/>
          <w:color w:val="1B1C1D"/>
          <w:sz w:val="32"/>
          <w:szCs w:val="32"/>
          <w:rtl/>
        </w:rPr>
        <w:t xml:space="preserve"> تساعد الحوكمة القوية المؤسسات المالية السعودية على التوافق مع أفضل الممارسات والمعايير الدولية، مما يعزز مكانة المملكة كمركز مالي إقليمي ودولي.</w:t>
      </w:r>
    </w:p>
    <w:p w14:paraId="24C04D35" w14:textId="77777777" w:rsidR="00665B18" w:rsidRPr="005D70B4" w:rsidRDefault="00665B18" w:rsidP="005D70B4">
      <w:pPr>
        <w:pStyle w:val="Heading2"/>
        <w:spacing w:before="0" w:after="120" w:line="360" w:lineRule="auto"/>
        <w:divId w:val="695623974"/>
        <w:rPr>
          <w:rFonts w:ascii="Simplified Arabic" w:eastAsia="Times New Roman" w:hAnsi="Simplified Arabic" w:cs="Simplified Arabic"/>
          <w:color w:val="1B1C1D"/>
          <w:rtl/>
        </w:rPr>
      </w:pPr>
      <w:r w:rsidRPr="005D70B4">
        <w:rPr>
          <w:rFonts w:ascii="Simplified Arabic" w:eastAsia="Times New Roman" w:hAnsi="Simplified Arabic" w:cs="Simplified Arabic" w:hint="cs"/>
          <w:color w:val="1B1C1D"/>
          <w:rtl/>
        </w:rPr>
        <w:t>3. إدارة المخاطر التشغيلية</w:t>
      </w:r>
    </w:p>
    <w:p w14:paraId="005EA6A6"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تعريف المخاطر التشغيلية</w:t>
      </w:r>
    </w:p>
    <w:p w14:paraId="4A2BF137" w14:textId="77777777" w:rsidR="00665B18" w:rsidRPr="005D70B4" w:rsidRDefault="00665B18" w:rsidP="005D70B4">
      <w:pPr>
        <w:pStyle w:val="NormalWeb"/>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المخاطر التشغيلية (</w:t>
      </w:r>
      <w:r w:rsidRPr="005D70B4">
        <w:rPr>
          <w:rStyle w:val="Strong"/>
          <w:rFonts w:ascii="Simplified Arabic" w:hAnsi="Simplified Arabic" w:cs="Simplified Arabic" w:hint="cs"/>
          <w:color w:val="1B1C1D"/>
          <w:sz w:val="32"/>
          <w:szCs w:val="32"/>
          <w:bdr w:val="none" w:sz="0" w:space="0" w:color="auto" w:frame="1"/>
        </w:rPr>
        <w:t>Operational Risk</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 المخاطر الناتجة عن قصور أو فشل في العمليات الداخلية، أو الأشخاص، أو الأنظمة، أو من أحداث خارجية. على عكس مخاطر الائتمان أو مخاطر السوق، لا ترتبط المخاطر التشغيلية بشكل مباشر بالتقلبات </w:t>
      </w:r>
      <w:r w:rsidRPr="005D70B4">
        <w:rPr>
          <w:rFonts w:ascii="Simplified Arabic" w:hAnsi="Simplified Arabic" w:cs="Simplified Arabic" w:hint="cs"/>
          <w:color w:val="1B1C1D"/>
          <w:sz w:val="32"/>
          <w:szCs w:val="32"/>
          <w:rtl/>
        </w:rPr>
        <w:lastRenderedPageBreak/>
        <w:t>في السوق أو قدرة المقترضين على السداد، بل تتعلق بكيفية سير الأعمال اليومية للمؤسسة.</w:t>
      </w:r>
    </w:p>
    <w:p w14:paraId="12D1ACB1" w14:textId="77777777" w:rsidR="00665B18" w:rsidRPr="005D70B4" w:rsidRDefault="00665B18" w:rsidP="005D70B4">
      <w:pPr>
        <w:pStyle w:val="NormalWeb"/>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أنواعها المختلفة:</w:t>
      </w:r>
    </w:p>
    <w:p w14:paraId="10DABEC5" w14:textId="77777777" w:rsidR="00665B18" w:rsidRPr="005D70B4" w:rsidRDefault="00665B18" w:rsidP="005D70B4">
      <w:pPr>
        <w:pStyle w:val="NormalWeb"/>
        <w:numPr>
          <w:ilvl w:val="0"/>
          <w:numId w:val="57"/>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مخاطر الأفراد (</w:t>
      </w:r>
      <w:r w:rsidRPr="005D70B4">
        <w:rPr>
          <w:rStyle w:val="Strong"/>
          <w:rFonts w:ascii="Simplified Arabic" w:hAnsi="Simplified Arabic" w:cs="Simplified Arabic" w:hint="cs"/>
          <w:color w:val="1B1C1D"/>
          <w:sz w:val="32"/>
          <w:szCs w:val="32"/>
          <w:bdr w:val="none" w:sz="0" w:space="0" w:color="auto" w:frame="1"/>
        </w:rPr>
        <w:t>People Risk</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تنشأ من الأخطاء البشرية، الإهمال، نقص الكفاءة، الاحتيال الداخلي، أو عدم كفاية التدريب. أمثلة: موظف يرتكب خطأ في إدخال البيانات، موظف يختلس أموالاً، نقص الموظفين ذوي الخبرة.</w:t>
      </w:r>
    </w:p>
    <w:p w14:paraId="32D55572" w14:textId="77777777" w:rsidR="00665B18" w:rsidRPr="005D70B4" w:rsidRDefault="00665B18" w:rsidP="005D70B4">
      <w:pPr>
        <w:pStyle w:val="NormalWeb"/>
        <w:numPr>
          <w:ilvl w:val="0"/>
          <w:numId w:val="57"/>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مخاطر العمليات (</w:t>
      </w:r>
      <w:r w:rsidRPr="005D70B4">
        <w:rPr>
          <w:rStyle w:val="Strong"/>
          <w:rFonts w:ascii="Simplified Arabic" w:hAnsi="Simplified Arabic" w:cs="Simplified Arabic" w:hint="cs"/>
          <w:color w:val="1B1C1D"/>
          <w:sz w:val="32"/>
          <w:szCs w:val="32"/>
          <w:bdr w:val="none" w:sz="0" w:space="0" w:color="auto" w:frame="1"/>
        </w:rPr>
        <w:t>Process Risk</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تنشأ من قصور في تصميم العمليات أو تنفيذها، أو عدم وجود إجراءات واضحة، أو فشل في الرقابة الداخلية. أمثلة: عملية صرف أموال معقدة تؤدي إلى أخطاء، عدم وجود خطوات واضحة لمراجعة المعاملات، عدم وجود سياسات كافية.</w:t>
      </w:r>
    </w:p>
    <w:p w14:paraId="3D3BD400" w14:textId="77777777" w:rsidR="00665B18" w:rsidRPr="005D70B4" w:rsidRDefault="00665B18" w:rsidP="005D70B4">
      <w:pPr>
        <w:pStyle w:val="NormalWeb"/>
        <w:numPr>
          <w:ilvl w:val="0"/>
          <w:numId w:val="57"/>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مخاطر الأنظمة (</w:t>
      </w:r>
      <w:r w:rsidRPr="005D70B4">
        <w:rPr>
          <w:rStyle w:val="Strong"/>
          <w:rFonts w:ascii="Simplified Arabic" w:hAnsi="Simplified Arabic" w:cs="Simplified Arabic" w:hint="cs"/>
          <w:color w:val="1B1C1D"/>
          <w:sz w:val="32"/>
          <w:szCs w:val="32"/>
          <w:bdr w:val="none" w:sz="0" w:space="0" w:color="auto" w:frame="1"/>
        </w:rPr>
        <w:t>Systems Risk</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تنشأ من فشل في الأنظمة التكنولوجية، أو ضعف الأمن السيبراني، أو انقطاع الأنظمة، أو أخطاء برمجية. أمثلة: عطل في نظام الدفع الإلكتروني، اختراق للبيانات، فقدان البيانات بسبب فشل في النسخ الاحتياطي.</w:t>
      </w:r>
    </w:p>
    <w:p w14:paraId="3B40D8D2" w14:textId="77777777" w:rsidR="00665B18" w:rsidRPr="005D70B4" w:rsidRDefault="00665B18" w:rsidP="005D70B4">
      <w:pPr>
        <w:pStyle w:val="NormalWeb"/>
        <w:numPr>
          <w:ilvl w:val="0"/>
          <w:numId w:val="57"/>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مخاطر الأحداث الخارجية (</w:t>
      </w:r>
      <w:r w:rsidRPr="005D70B4">
        <w:rPr>
          <w:rStyle w:val="Strong"/>
          <w:rFonts w:ascii="Simplified Arabic" w:hAnsi="Simplified Arabic" w:cs="Simplified Arabic" w:hint="cs"/>
          <w:color w:val="1B1C1D"/>
          <w:sz w:val="32"/>
          <w:szCs w:val="32"/>
          <w:bdr w:val="none" w:sz="0" w:space="0" w:color="auto" w:frame="1"/>
        </w:rPr>
        <w:t>External Events Risk</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تنشأ من أحداث خارجة عن سيطرة المؤسسة ولكن يمكن أن تؤثر عليها. أمثلة: الكوارث الطبيعية </w:t>
      </w:r>
      <w:r w:rsidRPr="005D70B4">
        <w:rPr>
          <w:rFonts w:ascii="Simplified Arabic" w:hAnsi="Simplified Arabic" w:cs="Simplified Arabic" w:hint="cs"/>
          <w:color w:val="1B1C1D"/>
          <w:sz w:val="32"/>
          <w:szCs w:val="32"/>
          <w:rtl/>
        </w:rPr>
        <w:lastRenderedPageBreak/>
        <w:t>(الزلازل، الفيضانات)، الهجمات الإرهابية، انقطاع التيار الكهربائي على نطاق واسع، التغيرات التنظيمية المفاجئة، الجرائم الإلكترونية الخارجية.</w:t>
      </w:r>
    </w:p>
    <w:p w14:paraId="41CABB71"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مراحل عملية إدارة المخاطر</w:t>
      </w:r>
    </w:p>
    <w:p w14:paraId="1985BF03"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تتبع إدارة المخاطر التشغيلية، شأنها شأن أنواع المخاطر الأخرى، دورة حياة منظمة لضمان التعامل الفعال معها:</w:t>
      </w:r>
    </w:p>
    <w:p w14:paraId="3AFD8B37" w14:textId="77777777" w:rsidR="00665B18" w:rsidRPr="005D70B4" w:rsidRDefault="00665B18" w:rsidP="005D70B4">
      <w:pPr>
        <w:pStyle w:val="NormalWeb"/>
        <w:numPr>
          <w:ilvl w:val="0"/>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تحديد المخاطر (</w:t>
      </w:r>
      <w:r w:rsidRPr="005D70B4">
        <w:rPr>
          <w:rStyle w:val="Strong"/>
          <w:rFonts w:ascii="Simplified Arabic" w:hAnsi="Simplified Arabic" w:cs="Simplified Arabic" w:hint="cs"/>
          <w:color w:val="1B1C1D"/>
          <w:sz w:val="32"/>
          <w:szCs w:val="32"/>
          <w:bdr w:val="none" w:sz="0" w:space="0" w:color="auto" w:frame="1"/>
        </w:rPr>
        <w:t>Risk Identification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 الخطوة الأولى التي يتم فيها التعرف على جميع المخاطر المحتملة التي قد تؤثر على الأهداف التشغيلية للمؤسسة. يمكن أن يتم ذلك من خلال ورش العمل، تحليل البيانات التاريخية للخسائر، قوائم المراجعة (</w:t>
      </w:r>
      <w:r w:rsidRPr="005D70B4">
        <w:rPr>
          <w:rFonts w:ascii="Simplified Arabic" w:hAnsi="Simplified Arabic" w:cs="Simplified Arabic" w:hint="cs"/>
          <w:color w:val="1B1C1D"/>
          <w:sz w:val="32"/>
          <w:szCs w:val="32"/>
        </w:rPr>
        <w:t>checklists</w:t>
      </w:r>
      <w:r w:rsidRPr="005D70B4">
        <w:rPr>
          <w:rFonts w:ascii="Simplified Arabic" w:hAnsi="Simplified Arabic" w:cs="Simplified Arabic" w:hint="cs"/>
          <w:color w:val="1B1C1D"/>
          <w:sz w:val="32"/>
          <w:szCs w:val="32"/>
          <w:rtl/>
        </w:rPr>
        <w:t>)، ومقابلات مع الموظفين في جميع الأقسام. الهدف هو إنشاء قائمة شاملة بالمخاطر.</w:t>
      </w:r>
    </w:p>
    <w:p w14:paraId="2BD28E81" w14:textId="77777777" w:rsidR="00665B18" w:rsidRPr="005D70B4" w:rsidRDefault="00665B18" w:rsidP="005D70B4">
      <w:pPr>
        <w:pStyle w:val="NormalWeb"/>
        <w:numPr>
          <w:ilvl w:val="0"/>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تقييم المخاطر (</w:t>
      </w:r>
      <w:r w:rsidRPr="005D70B4">
        <w:rPr>
          <w:rStyle w:val="Strong"/>
          <w:rFonts w:ascii="Simplified Arabic" w:hAnsi="Simplified Arabic" w:cs="Simplified Arabic" w:hint="cs"/>
          <w:color w:val="1B1C1D"/>
          <w:sz w:val="32"/>
          <w:szCs w:val="32"/>
          <w:bdr w:val="none" w:sz="0" w:space="0" w:color="auto" w:frame="1"/>
        </w:rPr>
        <w:t>Risk Assessment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بعد تحديد المخاطر، يتم تقييمها لتحديد احتمالية وقوعها وتأثيرها المحتمل في حال وقوعها.</w:t>
      </w:r>
    </w:p>
    <w:p w14:paraId="47B1B651" w14:textId="77777777" w:rsidR="00665B18" w:rsidRPr="005D70B4" w:rsidRDefault="00665B18" w:rsidP="005D70B4">
      <w:pPr>
        <w:pStyle w:val="NormalWeb"/>
        <w:numPr>
          <w:ilvl w:val="1"/>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الاحتمالية (</w:t>
      </w:r>
      <w:r w:rsidRPr="005D70B4">
        <w:rPr>
          <w:rStyle w:val="Strong"/>
          <w:rFonts w:ascii="Simplified Arabic" w:hAnsi="Simplified Arabic" w:cs="Simplified Arabic" w:hint="cs"/>
          <w:color w:val="1B1C1D"/>
          <w:sz w:val="32"/>
          <w:szCs w:val="32"/>
          <w:bdr w:val="none" w:sz="0" w:space="0" w:color="auto" w:frame="1"/>
        </w:rPr>
        <w:t>Likelihood</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مدى تكرار حدوث الخطر (مرتفع، متوسط، منخفض).</w:t>
      </w:r>
    </w:p>
    <w:p w14:paraId="07AC17E6" w14:textId="77777777" w:rsidR="00665B18" w:rsidRPr="005D70B4" w:rsidRDefault="00665B18" w:rsidP="005D70B4">
      <w:pPr>
        <w:pStyle w:val="NormalWeb"/>
        <w:numPr>
          <w:ilvl w:val="1"/>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التأثير (</w:t>
      </w:r>
      <w:r w:rsidRPr="005D70B4">
        <w:rPr>
          <w:rStyle w:val="Strong"/>
          <w:rFonts w:ascii="Simplified Arabic" w:hAnsi="Simplified Arabic" w:cs="Simplified Arabic" w:hint="cs"/>
          <w:color w:val="1B1C1D"/>
          <w:sz w:val="32"/>
          <w:szCs w:val="32"/>
          <w:bdr w:val="none" w:sz="0" w:space="0" w:color="auto" w:frame="1"/>
        </w:rPr>
        <w:t>Impact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حجم الخسارة أو الضرر الذي قد يسببه الخطر (كارثي، كبير، متوسط، طفيف).</w:t>
      </w:r>
    </w:p>
    <w:p w14:paraId="701D7731" w14:textId="77777777" w:rsidR="00665B18" w:rsidRPr="005D70B4" w:rsidRDefault="00665B18" w:rsidP="005D70B4">
      <w:pPr>
        <w:pStyle w:val="NormalWeb"/>
        <w:numPr>
          <w:ilvl w:val="1"/>
          <w:numId w:val="58"/>
        </w:numPr>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يتم دمج الاحتمالية والتأثير لتحديد مستوى الأهمية الكلي للخطر.</w:t>
      </w:r>
    </w:p>
    <w:p w14:paraId="35728C30" w14:textId="77777777" w:rsidR="00665B18" w:rsidRPr="005D70B4" w:rsidRDefault="00665B18" w:rsidP="005D70B4">
      <w:pPr>
        <w:pStyle w:val="NormalWeb"/>
        <w:numPr>
          <w:ilvl w:val="0"/>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قياس المخاطر (</w:t>
      </w:r>
      <w:r w:rsidRPr="005D70B4">
        <w:rPr>
          <w:rStyle w:val="Strong"/>
          <w:rFonts w:ascii="Simplified Arabic" w:hAnsi="Simplified Arabic" w:cs="Simplified Arabic" w:hint="cs"/>
          <w:color w:val="1B1C1D"/>
          <w:sz w:val="32"/>
          <w:szCs w:val="32"/>
          <w:bdr w:val="none" w:sz="0" w:space="0" w:color="auto" w:frame="1"/>
        </w:rPr>
        <w:t>Risk Measurement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تتضمن هذه المرحلة تكميم المخاطر، حيثما أمكن، باستخدام مقاييس مالية. في المخاطر التشغيلية، قد يكون من الصعب دائمًا تحديد قيمة مالية دقيقة، ولكن يتم تقدير الخسائر المتوقعة (</w:t>
      </w:r>
      <w:r w:rsidRPr="005D70B4">
        <w:rPr>
          <w:rFonts w:ascii="Simplified Arabic" w:hAnsi="Simplified Arabic" w:cs="Simplified Arabic" w:hint="cs"/>
          <w:color w:val="1B1C1D"/>
          <w:sz w:val="32"/>
          <w:szCs w:val="32"/>
        </w:rPr>
        <w:t>Expected Loss</w:t>
      </w:r>
      <w:r w:rsidRPr="005D70B4">
        <w:rPr>
          <w:rFonts w:ascii="Simplified Arabic" w:hAnsi="Simplified Arabic" w:cs="Simplified Arabic" w:hint="cs"/>
          <w:color w:val="1B1C1D"/>
          <w:sz w:val="32"/>
          <w:szCs w:val="32"/>
          <w:rtl/>
        </w:rPr>
        <w:t>) والخسائر غير المتوقعة (</w:t>
      </w:r>
      <w:r w:rsidRPr="005D70B4">
        <w:rPr>
          <w:rFonts w:ascii="Simplified Arabic" w:hAnsi="Simplified Arabic" w:cs="Simplified Arabic" w:hint="cs"/>
          <w:color w:val="1B1C1D"/>
          <w:sz w:val="32"/>
          <w:szCs w:val="32"/>
        </w:rPr>
        <w:t>Unexpected Loss</w:t>
      </w:r>
      <w:r w:rsidRPr="005D70B4">
        <w:rPr>
          <w:rFonts w:ascii="Simplified Arabic" w:hAnsi="Simplified Arabic" w:cs="Simplified Arabic" w:hint="cs"/>
          <w:color w:val="1B1C1D"/>
          <w:sz w:val="32"/>
          <w:szCs w:val="32"/>
          <w:rtl/>
        </w:rPr>
        <w:t>) التي قد تنتج عن حدث خطر تشغيلي.</w:t>
      </w:r>
    </w:p>
    <w:p w14:paraId="0678CACF" w14:textId="77777777" w:rsidR="00665B18" w:rsidRPr="005D70B4" w:rsidRDefault="00665B18" w:rsidP="005D70B4">
      <w:pPr>
        <w:pStyle w:val="NormalWeb"/>
        <w:numPr>
          <w:ilvl w:val="0"/>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معالجة المخاطر (</w:t>
      </w:r>
      <w:r w:rsidRPr="005D70B4">
        <w:rPr>
          <w:rStyle w:val="Strong"/>
          <w:rFonts w:ascii="Simplified Arabic" w:hAnsi="Simplified Arabic" w:cs="Simplified Arabic" w:hint="cs"/>
          <w:color w:val="1B1C1D"/>
          <w:sz w:val="32"/>
          <w:szCs w:val="32"/>
          <w:bdr w:val="none" w:sz="0" w:space="0" w:color="auto" w:frame="1"/>
        </w:rPr>
        <w:t>Risk Treatment / Mitigation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بعد تقييم المخاطر، يتم تطوير استراتيجيات للتعامل معها. تشمل الخيارات الأربعة الرئيسية:</w:t>
      </w:r>
    </w:p>
    <w:p w14:paraId="6309119B" w14:textId="77777777" w:rsidR="00665B18" w:rsidRPr="005D70B4" w:rsidRDefault="00665B18" w:rsidP="005D70B4">
      <w:pPr>
        <w:pStyle w:val="NormalWeb"/>
        <w:numPr>
          <w:ilvl w:val="1"/>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تجنب المخاطر (</w:t>
      </w:r>
      <w:r w:rsidRPr="005D70B4">
        <w:rPr>
          <w:rStyle w:val="Strong"/>
          <w:rFonts w:ascii="Simplified Arabic" w:hAnsi="Simplified Arabic" w:cs="Simplified Arabic" w:hint="cs"/>
          <w:color w:val="1B1C1D"/>
          <w:sz w:val="32"/>
          <w:szCs w:val="32"/>
          <w:bdr w:val="none" w:sz="0" w:space="0" w:color="auto" w:frame="1"/>
        </w:rPr>
        <w:t>Avoidance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إزالة النشاط أو العملية التي تسبب الخطر.</w:t>
      </w:r>
    </w:p>
    <w:p w14:paraId="6DF5602A" w14:textId="77777777" w:rsidR="00665B18" w:rsidRPr="005D70B4" w:rsidRDefault="00665B18" w:rsidP="005D70B4">
      <w:pPr>
        <w:pStyle w:val="NormalWeb"/>
        <w:numPr>
          <w:ilvl w:val="1"/>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تخفيف المخاطر (</w:t>
      </w:r>
      <w:r w:rsidRPr="005D70B4">
        <w:rPr>
          <w:rStyle w:val="Strong"/>
          <w:rFonts w:ascii="Simplified Arabic" w:hAnsi="Simplified Arabic" w:cs="Simplified Arabic" w:hint="cs"/>
          <w:color w:val="1B1C1D"/>
          <w:sz w:val="32"/>
          <w:szCs w:val="32"/>
          <w:bdr w:val="none" w:sz="0" w:space="0" w:color="auto" w:frame="1"/>
        </w:rPr>
        <w:t>Mitigation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اتخاذ إجراءات لتقليل احتمالية وقوع الخطر أو تخفيف تأثيره (مثل تحسين الضوابط، التدريب، تحديث الأنظمة).</w:t>
      </w:r>
    </w:p>
    <w:p w14:paraId="79772AEF" w14:textId="77777777" w:rsidR="00665B18" w:rsidRPr="005D70B4" w:rsidRDefault="00665B18" w:rsidP="005D70B4">
      <w:pPr>
        <w:pStyle w:val="NormalWeb"/>
        <w:numPr>
          <w:ilvl w:val="1"/>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تحويل المخاطر (</w:t>
      </w:r>
      <w:r w:rsidRPr="005D70B4">
        <w:rPr>
          <w:rStyle w:val="Strong"/>
          <w:rFonts w:ascii="Simplified Arabic" w:hAnsi="Simplified Arabic" w:cs="Simplified Arabic" w:hint="cs"/>
          <w:color w:val="1B1C1D"/>
          <w:sz w:val="32"/>
          <w:szCs w:val="32"/>
          <w:bdr w:val="none" w:sz="0" w:space="0" w:color="auto" w:frame="1"/>
        </w:rPr>
        <w:t>Transfer</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نقل جزء أو كل الخطر إلى طرف ثالث (مثل التأمين).</w:t>
      </w:r>
    </w:p>
    <w:p w14:paraId="6BB70071" w14:textId="77777777" w:rsidR="00665B18" w:rsidRPr="005D70B4" w:rsidRDefault="00665B18" w:rsidP="005D70B4">
      <w:pPr>
        <w:pStyle w:val="NormalWeb"/>
        <w:numPr>
          <w:ilvl w:val="1"/>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قبول المخاطر (</w:t>
      </w:r>
      <w:r w:rsidRPr="005D70B4">
        <w:rPr>
          <w:rStyle w:val="Strong"/>
          <w:rFonts w:ascii="Simplified Arabic" w:hAnsi="Simplified Arabic" w:cs="Simplified Arabic" w:hint="cs"/>
          <w:color w:val="1B1C1D"/>
          <w:sz w:val="32"/>
          <w:szCs w:val="32"/>
          <w:bdr w:val="none" w:sz="0" w:space="0" w:color="auto" w:frame="1"/>
        </w:rPr>
        <w:t>Acceptance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قرار واعٍ بقبول الخطر، عادةً عندما تكون تكلفة المعالجة أكبر من الخطر نفسه، أو عندما يكون الخطر ضمن مستويات التحمل المقبولة للمؤسسة.</w:t>
      </w:r>
    </w:p>
    <w:p w14:paraId="6698E55C" w14:textId="77777777" w:rsidR="00665B18" w:rsidRPr="005D70B4" w:rsidRDefault="00665B18" w:rsidP="005D70B4">
      <w:pPr>
        <w:pStyle w:val="NormalWeb"/>
        <w:numPr>
          <w:ilvl w:val="0"/>
          <w:numId w:val="58"/>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مراقبة المخاطر (</w:t>
      </w:r>
      <w:r w:rsidRPr="005D70B4">
        <w:rPr>
          <w:rStyle w:val="Strong"/>
          <w:rFonts w:ascii="Simplified Arabic" w:hAnsi="Simplified Arabic" w:cs="Simplified Arabic" w:hint="cs"/>
          <w:color w:val="1B1C1D"/>
          <w:sz w:val="32"/>
          <w:szCs w:val="32"/>
          <w:bdr w:val="none" w:sz="0" w:space="0" w:color="auto" w:frame="1"/>
        </w:rPr>
        <w:t>Risk Monitoring</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 عملية مستمرة لمتابعة المخاطر القائمة والجديدة، وفعالية ضوابط المخاطر، وتقييم أداء استراتيجيات المعالجة. يتم ذلك من خلال المراجعات الدورية، مؤشرات المخاطر الرئيسية (</w:t>
      </w:r>
      <w:r w:rsidRPr="005D70B4">
        <w:rPr>
          <w:rFonts w:ascii="Simplified Arabic" w:hAnsi="Simplified Arabic" w:cs="Simplified Arabic" w:hint="cs"/>
          <w:color w:val="1B1C1D"/>
          <w:sz w:val="32"/>
          <w:szCs w:val="32"/>
        </w:rPr>
        <w:t>KRIs</w:t>
      </w:r>
      <w:r w:rsidRPr="005D70B4">
        <w:rPr>
          <w:rFonts w:ascii="Simplified Arabic" w:hAnsi="Simplified Arabic" w:cs="Simplified Arabic" w:hint="cs"/>
          <w:color w:val="1B1C1D"/>
          <w:sz w:val="32"/>
          <w:szCs w:val="32"/>
          <w:rtl/>
        </w:rPr>
        <w:t>)، وتقارير الحوادث، لضمان أن تبقى إدارة المخاطر فعالة ومتوافقة مع بيئة الأعمال المتغيرة.</w:t>
      </w:r>
    </w:p>
    <w:p w14:paraId="12A3F36F"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أدوات وتقنيات إدارة المخاطر التشغيلية</w:t>
      </w:r>
    </w:p>
    <w:p w14:paraId="36BEAA37"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تستخدم المؤسسات المالية مجموعة متنوعة من الأدوات والتقنيات لإدارة المخاطر التشغيلية:</w:t>
      </w:r>
    </w:p>
    <w:p w14:paraId="4B94BEFF" w14:textId="77777777" w:rsidR="00665B18" w:rsidRPr="005D70B4" w:rsidRDefault="00665B18" w:rsidP="005D70B4">
      <w:pPr>
        <w:pStyle w:val="NormalWeb"/>
        <w:numPr>
          <w:ilvl w:val="0"/>
          <w:numId w:val="59"/>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خرائط المخاطر (</w:t>
      </w:r>
      <w:r w:rsidRPr="005D70B4">
        <w:rPr>
          <w:rStyle w:val="Strong"/>
          <w:rFonts w:ascii="Simplified Arabic" w:hAnsi="Simplified Arabic" w:cs="Simplified Arabic" w:hint="cs"/>
          <w:color w:val="1B1C1D"/>
          <w:sz w:val="32"/>
          <w:szCs w:val="32"/>
          <w:bdr w:val="none" w:sz="0" w:space="0" w:color="auto" w:frame="1"/>
        </w:rPr>
        <w:t>Risk Maps / Heatmaps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رسوم بيانية ثنائية الأبعاد تصور المخاطر بناءً على احتمالية وقوعها وتأثيرها. تساعد الإدارة على تحديد المخاطر ذات الأولوية العالية التي تتطلب اهتمامًا فوريًا.</w:t>
      </w:r>
    </w:p>
    <w:p w14:paraId="24700D43" w14:textId="77777777" w:rsidR="00665B18" w:rsidRPr="005D70B4" w:rsidRDefault="00665B18" w:rsidP="005D70B4">
      <w:pPr>
        <w:pStyle w:val="NormalWeb"/>
        <w:numPr>
          <w:ilvl w:val="0"/>
          <w:numId w:val="59"/>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سجلات المخاطر (</w:t>
      </w:r>
      <w:r w:rsidRPr="005D70B4">
        <w:rPr>
          <w:rStyle w:val="Strong"/>
          <w:rFonts w:ascii="Simplified Arabic" w:hAnsi="Simplified Arabic" w:cs="Simplified Arabic" w:hint="cs"/>
          <w:color w:val="1B1C1D"/>
          <w:sz w:val="32"/>
          <w:szCs w:val="32"/>
          <w:bdr w:val="none" w:sz="0" w:space="0" w:color="auto" w:frame="1"/>
        </w:rPr>
        <w:t>Risk Registers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وثيقة مفصلة تسجل جميع المخاطر المحددة، وتقييمها، وخطط المعالجة، والمسؤولين عن كل خطر، وحالة المخاطر الحالية. تعمل كقاعدة بيانات مركزية للمخاطر.</w:t>
      </w:r>
    </w:p>
    <w:p w14:paraId="79B987E5" w14:textId="77777777" w:rsidR="00665B18" w:rsidRPr="005D70B4" w:rsidRDefault="00665B18" w:rsidP="005D70B4">
      <w:pPr>
        <w:pStyle w:val="NormalWeb"/>
        <w:numPr>
          <w:ilvl w:val="0"/>
          <w:numId w:val="59"/>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مؤشرات المخاطر الرئيسية (</w:t>
      </w:r>
      <w:r w:rsidRPr="005D70B4">
        <w:rPr>
          <w:rStyle w:val="Strong"/>
          <w:rFonts w:ascii="Simplified Arabic" w:hAnsi="Simplified Arabic" w:cs="Simplified Arabic" w:hint="cs"/>
          <w:color w:val="1B1C1D"/>
          <w:sz w:val="32"/>
          <w:szCs w:val="32"/>
          <w:bdr w:val="none" w:sz="0" w:space="0" w:color="auto" w:frame="1"/>
        </w:rPr>
        <w:t>Key Risk Indicators - KRIs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مقاييس قابلة للقياس توفر إشارة مبكرة لزيادة مستوى التعرض للمخاطر. على سبيل المثال، عدد الأخطاء في إدخال البيانات، عدد حوادث أمن المعلومات، معدل دوران </w:t>
      </w:r>
      <w:r w:rsidRPr="005D70B4">
        <w:rPr>
          <w:rFonts w:ascii="Simplified Arabic" w:hAnsi="Simplified Arabic" w:cs="Simplified Arabic" w:hint="cs"/>
          <w:color w:val="1B1C1D"/>
          <w:sz w:val="32"/>
          <w:szCs w:val="32"/>
          <w:rtl/>
        </w:rPr>
        <w:lastRenderedPageBreak/>
        <w:t xml:space="preserve">الموظفين في الأقسام الحساسة. تساعد </w:t>
      </w:r>
      <w:r w:rsidRPr="005D70B4">
        <w:rPr>
          <w:rFonts w:ascii="Simplified Arabic" w:hAnsi="Simplified Arabic" w:cs="Simplified Arabic" w:hint="cs"/>
          <w:color w:val="1B1C1D"/>
          <w:sz w:val="32"/>
          <w:szCs w:val="32"/>
        </w:rPr>
        <w:t>KRIs</w:t>
      </w:r>
      <w:r w:rsidRPr="005D70B4">
        <w:rPr>
          <w:rFonts w:ascii="Simplified Arabic" w:hAnsi="Simplified Arabic" w:cs="Simplified Arabic" w:hint="cs"/>
          <w:color w:val="1B1C1D"/>
          <w:sz w:val="32"/>
          <w:szCs w:val="32"/>
          <w:rtl/>
        </w:rPr>
        <w:t xml:space="preserve"> في مراقبة فعالية الضوابط التشغيلية.</w:t>
      </w:r>
    </w:p>
    <w:p w14:paraId="5D9F641C" w14:textId="77777777" w:rsidR="00665B18" w:rsidRPr="005D70B4" w:rsidRDefault="00665B18" w:rsidP="005D70B4">
      <w:pPr>
        <w:pStyle w:val="NormalWeb"/>
        <w:numPr>
          <w:ilvl w:val="0"/>
          <w:numId w:val="59"/>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تحليل السيناريوهات (</w:t>
      </w:r>
      <w:r w:rsidRPr="005D70B4">
        <w:rPr>
          <w:rStyle w:val="Strong"/>
          <w:rFonts w:ascii="Simplified Arabic" w:hAnsi="Simplified Arabic" w:cs="Simplified Arabic" w:hint="cs"/>
          <w:color w:val="1B1C1D"/>
          <w:sz w:val="32"/>
          <w:szCs w:val="32"/>
          <w:bdr w:val="none" w:sz="0" w:space="0" w:color="auto" w:frame="1"/>
        </w:rPr>
        <w:t>Scenario Analysis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تقنية تستخدم لتحديد وتحليل سيناريوهات المخاطر المحتملة (الافتراضية) وتأثيراتها المحتملة على المؤسسة. يساعد هذا في فهم المخاطر "المتطرفة" أو النادرة ذات التأثير الكبير.</w:t>
      </w:r>
    </w:p>
    <w:p w14:paraId="46D0730B" w14:textId="77777777" w:rsidR="00665B18" w:rsidRPr="005D70B4" w:rsidRDefault="00665B18" w:rsidP="005D70B4">
      <w:pPr>
        <w:pStyle w:val="NormalWeb"/>
        <w:numPr>
          <w:ilvl w:val="0"/>
          <w:numId w:val="59"/>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تحليل السبب الجذري (</w:t>
      </w:r>
      <w:r w:rsidRPr="005D70B4">
        <w:rPr>
          <w:rStyle w:val="Strong"/>
          <w:rFonts w:ascii="Simplified Arabic" w:hAnsi="Simplified Arabic" w:cs="Simplified Arabic" w:hint="cs"/>
          <w:color w:val="1B1C1D"/>
          <w:sz w:val="32"/>
          <w:szCs w:val="32"/>
          <w:bdr w:val="none" w:sz="0" w:space="0" w:color="auto" w:frame="1"/>
        </w:rPr>
        <w:t>Root Cause Analysis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تقنية تستخدم لتحديد الأسباب الكامنة وراء الحوادث أو الإخفاقات التشغيلية، بدلاً من مجرد معالجة الأعراض.</w:t>
      </w:r>
    </w:p>
    <w:p w14:paraId="45DA43EA" w14:textId="77777777" w:rsidR="00665B18" w:rsidRPr="005D70B4" w:rsidRDefault="00665B18" w:rsidP="005D70B4">
      <w:pPr>
        <w:pStyle w:val="NormalWeb"/>
        <w:numPr>
          <w:ilvl w:val="0"/>
          <w:numId w:val="59"/>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التقارير عن الخسائر (</w:t>
      </w:r>
      <w:r w:rsidRPr="005D70B4">
        <w:rPr>
          <w:rStyle w:val="Strong"/>
          <w:rFonts w:ascii="Simplified Arabic" w:hAnsi="Simplified Arabic" w:cs="Simplified Arabic" w:hint="cs"/>
          <w:color w:val="1B1C1D"/>
          <w:sz w:val="32"/>
          <w:szCs w:val="32"/>
          <w:bdr w:val="none" w:sz="0" w:space="0" w:color="auto" w:frame="1"/>
        </w:rPr>
        <w:t>Loss Data Collection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جمع وتحليل البيانات التاريخية عن الخسائر التشغيلية الفعلية التي تكبدتها المؤسسة. تساعد هذه البيانات في فهم أنماط المخاطر وتحديد المجالات التي تتطلب تحسينات في الضوابط.</w:t>
      </w:r>
    </w:p>
    <w:p w14:paraId="616C3675" w14:textId="77777777" w:rsidR="00665B18" w:rsidRPr="005D70B4" w:rsidRDefault="00665B18" w:rsidP="005D70B4">
      <w:pPr>
        <w:pStyle w:val="NormalWeb"/>
        <w:numPr>
          <w:ilvl w:val="0"/>
          <w:numId w:val="59"/>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التقييم الذاتي للمخاطر والتحكم (</w:t>
      </w:r>
      <w:r w:rsidRPr="005D70B4">
        <w:rPr>
          <w:rStyle w:val="Strong"/>
          <w:rFonts w:ascii="Simplified Arabic" w:hAnsi="Simplified Arabic" w:cs="Simplified Arabic" w:hint="cs"/>
          <w:color w:val="1B1C1D"/>
          <w:sz w:val="32"/>
          <w:szCs w:val="32"/>
          <w:bdr w:val="none" w:sz="0" w:space="0" w:color="auto" w:frame="1"/>
        </w:rPr>
        <w:t>Risk and Control Self-Assessment - RCSA</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عملية تقوم فيها وحدات الأعمال بتقييم مخاطرها التشغيلية الخاصة بها وتحديد مدى فعالية الضوابط الموجودة لإدارة تلك المخاطر.</w:t>
      </w:r>
    </w:p>
    <w:p w14:paraId="0F72072A" w14:textId="77777777" w:rsidR="00665B18" w:rsidRPr="005D70B4" w:rsidRDefault="00665B18" w:rsidP="005D70B4">
      <w:pPr>
        <w:pStyle w:val="Heading3"/>
        <w:spacing w:before="0" w:after="120" w:line="360" w:lineRule="auto"/>
        <w:divId w:val="695623974"/>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أهمية إدارة المخاطر التشغيلية في المنشآت المالية</w:t>
      </w:r>
    </w:p>
    <w:p w14:paraId="248995E0" w14:textId="77777777" w:rsidR="00665B18" w:rsidRPr="005D70B4" w:rsidRDefault="00665B18" w:rsidP="005D70B4">
      <w:pPr>
        <w:pStyle w:val="NormalWeb"/>
        <w:bidi/>
        <w:spacing w:before="0" w:beforeAutospacing="0" w:after="120" w:afterAutospacing="0" w:line="360" w:lineRule="auto"/>
        <w:divId w:val="695623974"/>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تعد إدارة المخاطر التشغيلية أمراً بالغ الأهمية للمنشآت المالية لعدة أسباب:</w:t>
      </w:r>
    </w:p>
    <w:p w14:paraId="4D476E04" w14:textId="77777777" w:rsidR="00665B18" w:rsidRPr="005D70B4" w:rsidRDefault="00665B18" w:rsidP="005D70B4">
      <w:pPr>
        <w:pStyle w:val="NormalWeb"/>
        <w:numPr>
          <w:ilvl w:val="0"/>
          <w:numId w:val="6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حماية الأصول:</w:t>
      </w:r>
      <w:r w:rsidRPr="005D70B4">
        <w:rPr>
          <w:rFonts w:ascii="Simplified Arabic" w:hAnsi="Simplified Arabic" w:cs="Simplified Arabic" w:hint="cs"/>
          <w:color w:val="1B1C1D"/>
          <w:sz w:val="32"/>
          <w:szCs w:val="32"/>
          <w:rtl/>
        </w:rPr>
        <w:t xml:space="preserve"> تساعد في حماية الأصول المادية والمالية والمعلوماتية للمؤسسة من الخسائر الناجمة عن الأخطاء، الاحتيال، فشل الأنظمة، أو الأحداث الخارجية.</w:t>
      </w:r>
    </w:p>
    <w:p w14:paraId="48547FC5" w14:textId="77777777" w:rsidR="00665B18" w:rsidRPr="005D70B4" w:rsidRDefault="00665B18" w:rsidP="005D70B4">
      <w:pPr>
        <w:pStyle w:val="NormalWeb"/>
        <w:numPr>
          <w:ilvl w:val="0"/>
          <w:numId w:val="6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تقليل الخسائر:</w:t>
      </w:r>
      <w:r w:rsidRPr="005D70B4">
        <w:rPr>
          <w:rFonts w:ascii="Simplified Arabic" w:hAnsi="Simplified Arabic" w:cs="Simplified Arabic" w:hint="cs"/>
          <w:color w:val="1B1C1D"/>
          <w:sz w:val="32"/>
          <w:szCs w:val="32"/>
          <w:rtl/>
        </w:rPr>
        <w:t xml:space="preserve"> من خلال تحديد ومعالجة المخاطر التشغيلية، يمكن للمؤسسات تقليل حجم وتكرار الخسائر المالية الناتجة عن الحوادث التشغيلية، والتي يمكن أن تكون كبيرة جداً.</w:t>
      </w:r>
    </w:p>
    <w:p w14:paraId="6CB68D1E" w14:textId="77777777" w:rsidR="00665B18" w:rsidRPr="005D70B4" w:rsidRDefault="00665B18" w:rsidP="005D70B4">
      <w:pPr>
        <w:pStyle w:val="NormalWeb"/>
        <w:numPr>
          <w:ilvl w:val="0"/>
          <w:numId w:val="6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ضمان استمرارية الأعمال (</w:t>
      </w:r>
      <w:r w:rsidRPr="005D70B4">
        <w:rPr>
          <w:rStyle w:val="Strong"/>
          <w:rFonts w:ascii="Simplified Arabic" w:hAnsi="Simplified Arabic" w:cs="Simplified Arabic" w:hint="cs"/>
          <w:color w:val="1B1C1D"/>
          <w:sz w:val="32"/>
          <w:szCs w:val="32"/>
          <w:bdr w:val="none" w:sz="0" w:space="0" w:color="auto" w:frame="1"/>
        </w:rPr>
        <w:t>Business Continuity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تساعد الإدارة الفعالة للمخاطر التشغيلية في تطوير خطط استمرارية الأعمال والتعافي من الكوارث، مما يضمن قدرة المؤسسة على مواصلة عملياتها الأساسية حتى في ظل الظروف الصعبة.</w:t>
      </w:r>
    </w:p>
    <w:p w14:paraId="3250AEF6" w14:textId="77777777" w:rsidR="00665B18" w:rsidRPr="005D70B4" w:rsidRDefault="00665B18" w:rsidP="005D70B4">
      <w:pPr>
        <w:pStyle w:val="NormalWeb"/>
        <w:numPr>
          <w:ilvl w:val="0"/>
          <w:numId w:val="6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الامتثال التنظيمي:</w:t>
      </w:r>
      <w:r w:rsidRPr="005D70B4">
        <w:rPr>
          <w:rFonts w:ascii="Simplified Arabic" w:hAnsi="Simplified Arabic" w:cs="Simplified Arabic" w:hint="cs"/>
          <w:color w:val="1B1C1D"/>
          <w:sz w:val="32"/>
          <w:szCs w:val="32"/>
          <w:rtl/>
        </w:rPr>
        <w:t xml:space="preserve"> تتطلب العديد من اللوائح المالية (مثل اتفاقيات بازل </w:t>
      </w:r>
      <w:r w:rsidRPr="005D70B4">
        <w:rPr>
          <w:rFonts w:ascii="Simplified Arabic" w:hAnsi="Simplified Arabic" w:cs="Simplified Arabic" w:hint="cs"/>
          <w:color w:val="1B1C1D"/>
          <w:sz w:val="32"/>
          <w:szCs w:val="32"/>
        </w:rPr>
        <w:t>III</w:t>
      </w:r>
      <w:r w:rsidRPr="005D70B4">
        <w:rPr>
          <w:rFonts w:ascii="Simplified Arabic" w:hAnsi="Simplified Arabic" w:cs="Simplified Arabic" w:hint="cs"/>
          <w:color w:val="1B1C1D"/>
          <w:sz w:val="32"/>
          <w:szCs w:val="32"/>
          <w:rtl/>
        </w:rPr>
        <w:t>) من المؤسسات المالية أن يكون لديها أطر قوية لإدارة المخاطر التشغيلية. تساعد الإدارة الفعالة في تحقيق هذا الامتثال وتجنب العقوبات.</w:t>
      </w:r>
    </w:p>
    <w:p w14:paraId="5C54DEF8" w14:textId="77777777" w:rsidR="00665B18" w:rsidRPr="005D70B4" w:rsidRDefault="00665B18" w:rsidP="005D70B4">
      <w:pPr>
        <w:pStyle w:val="NormalWeb"/>
        <w:numPr>
          <w:ilvl w:val="0"/>
          <w:numId w:val="6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تعزيز الكفاءة التشغيلية:</w:t>
      </w:r>
      <w:r w:rsidRPr="005D70B4">
        <w:rPr>
          <w:rFonts w:ascii="Simplified Arabic" w:hAnsi="Simplified Arabic" w:cs="Simplified Arabic" w:hint="cs"/>
          <w:color w:val="1B1C1D"/>
          <w:sz w:val="32"/>
          <w:szCs w:val="32"/>
          <w:rtl/>
        </w:rPr>
        <w:t xml:space="preserve"> من خلال تحديد نقاط الضعف في العمليات والأنظمة والأفراد، يمكن لإدارة المخاطر التشغيلية أن تؤدي إلى تحسينات في الكفاءة والفعالية التشغيلية.</w:t>
      </w:r>
    </w:p>
    <w:p w14:paraId="3EFAB480" w14:textId="77777777" w:rsidR="00665B18" w:rsidRPr="005D70B4" w:rsidRDefault="00665B18" w:rsidP="005D70B4">
      <w:pPr>
        <w:pStyle w:val="NormalWeb"/>
        <w:numPr>
          <w:ilvl w:val="0"/>
          <w:numId w:val="6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حماية السمعة:</w:t>
      </w:r>
      <w:r w:rsidRPr="005D70B4">
        <w:rPr>
          <w:rFonts w:ascii="Simplified Arabic" w:hAnsi="Simplified Arabic" w:cs="Simplified Arabic" w:hint="cs"/>
          <w:color w:val="1B1C1D"/>
          <w:sz w:val="32"/>
          <w:szCs w:val="32"/>
          <w:rtl/>
        </w:rPr>
        <w:t xml:space="preserve"> يمكن أن تؤدي حوادث المخاطر التشغيلية (مثل خروقات البيانات أو فشل الأنظمة) إلى الإضرار بسمعة المؤسسة المالية وثقة العملاء، لذا فإن إدارتها الفعالة ضرورية للحفاظ على السمعة.</w:t>
      </w:r>
    </w:p>
    <w:p w14:paraId="32EB5543" w14:textId="77777777" w:rsidR="00665B18" w:rsidRPr="005D70B4" w:rsidRDefault="00665B18" w:rsidP="005D70B4">
      <w:pPr>
        <w:pStyle w:val="NormalWeb"/>
        <w:numPr>
          <w:ilvl w:val="0"/>
          <w:numId w:val="60"/>
        </w:numPr>
        <w:bidi/>
        <w:spacing w:before="0" w:beforeAutospacing="0" w:after="0" w:afterAutospacing="0" w:line="360" w:lineRule="auto"/>
        <w:divId w:val="695623974"/>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دعم الابتكار:</w:t>
      </w:r>
      <w:r w:rsidRPr="005D70B4">
        <w:rPr>
          <w:rFonts w:ascii="Simplified Arabic" w:hAnsi="Simplified Arabic" w:cs="Simplified Arabic" w:hint="cs"/>
          <w:color w:val="1B1C1D"/>
          <w:sz w:val="32"/>
          <w:szCs w:val="32"/>
          <w:rtl/>
        </w:rPr>
        <w:t xml:space="preserve"> من خلال فهم المخاطر المرتبطة بالمنتجات والخدمات الجديدة، يمكن للمؤسسات إدارة هذه المخاطر بشكل استباقي، مما يتيح لها الابتكار بثقة أكبر.</w:t>
      </w:r>
    </w:p>
    <w:p w14:paraId="52BFD579"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25299F82" w14:textId="77777777" w:rsidR="00C84CF4" w:rsidRPr="005D70B4" w:rsidRDefault="00C84CF4" w:rsidP="005D70B4">
      <w:pPr>
        <w:pStyle w:val="Heading2"/>
        <w:spacing w:before="0" w:after="120" w:line="360" w:lineRule="auto"/>
        <w:divId w:val="1814521841"/>
        <w:rPr>
          <w:rFonts w:ascii="Simplified Arabic" w:eastAsia="Times New Roman" w:hAnsi="Simplified Arabic" w:cs="Simplified Arabic"/>
          <w:color w:val="1B1C1D"/>
          <w:kern w:val="0"/>
          <w14:ligatures w14:val="none"/>
        </w:rPr>
      </w:pPr>
      <w:r w:rsidRPr="005D70B4">
        <w:rPr>
          <w:rFonts w:ascii="Simplified Arabic" w:eastAsia="Times New Roman" w:hAnsi="Simplified Arabic" w:cs="Simplified Arabic" w:hint="cs"/>
          <w:color w:val="1B1C1D"/>
          <w:rtl/>
        </w:rPr>
        <w:t>4. الامتثال في القطاع المالي</w:t>
      </w:r>
    </w:p>
    <w:p w14:paraId="48D913A5"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مفهوم الامتثال</w:t>
      </w:r>
    </w:p>
    <w:p w14:paraId="4AD37D7A" w14:textId="77777777" w:rsidR="00C84CF4" w:rsidRPr="005D70B4" w:rsidRDefault="00C84CF4" w:rsidP="005D70B4">
      <w:pPr>
        <w:pStyle w:val="NormalWeb"/>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الامتثال (</w:t>
      </w:r>
      <w:r w:rsidRPr="005D70B4">
        <w:rPr>
          <w:rStyle w:val="Strong"/>
          <w:rFonts w:ascii="Simplified Arabic" w:hAnsi="Simplified Arabic" w:cs="Simplified Arabic" w:hint="cs"/>
          <w:color w:val="1B1C1D"/>
          <w:sz w:val="32"/>
          <w:szCs w:val="32"/>
          <w:bdr w:val="none" w:sz="0" w:space="0" w:color="auto" w:frame="1"/>
        </w:rPr>
        <w:t>Compliance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في القطاع المالي يعني التزام المؤسسة بجميع القوانين واللوائح والمعايير الداخلية والخارجية التي تحكم عملياتها. هذا يشمل الالتزام بالتشريعات الصادرة عن الجهات الحكومية، القواعد الصادرة عن الهيئات التنظيمية الخاصة بالصناعة، المعايير الدولية، بالإضافة إلى السياسات والإجراءات الداخلية التي تضعها المؤسسة بنفسها. الهدف الأساسي من الامتثال هو ضمان أن المؤسسة تعمل بطريقة قانونية وأخلاقية ومسؤولة، مما يحميها من المخاطر القانونية، التشغيلية، ومخاطر السمعة.</w:t>
      </w:r>
    </w:p>
    <w:p w14:paraId="2E8197AC"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lastRenderedPageBreak/>
        <w:t>أنواع متطلبات الامتثال</w:t>
      </w:r>
    </w:p>
    <w:p w14:paraId="3CA47FF8" w14:textId="77777777" w:rsidR="00C84CF4" w:rsidRPr="005D70B4" w:rsidRDefault="00C84CF4" w:rsidP="005D70B4">
      <w:pPr>
        <w:pStyle w:val="NormalWeb"/>
        <w:bidi/>
        <w:spacing w:before="0" w:beforeAutospacing="0" w:after="24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تتعرض المؤسسات المالية لمجموعة واسعة من متطلبات الامتثال، والتي يمكن تقسيمها إلى محلية ودولية:</w:t>
      </w:r>
    </w:p>
    <w:p w14:paraId="0DCE28CF" w14:textId="77777777" w:rsidR="00C84CF4" w:rsidRPr="005D70B4" w:rsidRDefault="00C84CF4" w:rsidP="005D70B4">
      <w:pPr>
        <w:pStyle w:val="NormalWeb"/>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اللوائح المحلية (في السياق السعودي):</w:t>
      </w:r>
    </w:p>
    <w:p w14:paraId="39004D43" w14:textId="77777777" w:rsidR="00C84CF4" w:rsidRPr="005D70B4" w:rsidRDefault="00C84CF4" w:rsidP="005D70B4">
      <w:pPr>
        <w:pStyle w:val="NormalWeb"/>
        <w:numPr>
          <w:ilvl w:val="0"/>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البنك المركزي السعودي (</w:t>
      </w:r>
      <w:r w:rsidRPr="005D70B4">
        <w:rPr>
          <w:rStyle w:val="Strong"/>
          <w:rFonts w:ascii="Simplified Arabic" w:hAnsi="Simplified Arabic" w:cs="Simplified Arabic" w:hint="cs"/>
          <w:color w:val="1B1C1D"/>
          <w:sz w:val="32"/>
          <w:szCs w:val="32"/>
          <w:bdr w:val="none" w:sz="0" w:space="0" w:color="auto" w:frame="1"/>
        </w:rPr>
        <w:t>SAMA</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هو الجهة التنظيمية الرئيسية للبنوك وشركات التأمين والتمويل في المملكة. يصدر </w:t>
      </w:r>
      <w:r w:rsidRPr="005D70B4">
        <w:rPr>
          <w:rFonts w:ascii="Simplified Arabic" w:hAnsi="Simplified Arabic" w:cs="Simplified Arabic" w:hint="cs"/>
          <w:color w:val="1B1C1D"/>
          <w:sz w:val="32"/>
          <w:szCs w:val="32"/>
        </w:rPr>
        <w:t>SAMA</w:t>
      </w:r>
      <w:r w:rsidRPr="005D70B4">
        <w:rPr>
          <w:rFonts w:ascii="Simplified Arabic" w:hAnsi="Simplified Arabic" w:cs="Simplified Arabic" w:hint="cs"/>
          <w:color w:val="1B1C1D"/>
          <w:sz w:val="32"/>
          <w:szCs w:val="32"/>
          <w:rtl/>
        </w:rPr>
        <w:t xml:space="preserve"> لوائح صارمة تغطي جوانب متعددة مثل:</w:t>
      </w:r>
    </w:p>
    <w:p w14:paraId="5BA0E8CB" w14:textId="77777777" w:rsidR="00C84CF4" w:rsidRPr="005D70B4" w:rsidRDefault="00C84CF4" w:rsidP="005D70B4">
      <w:pPr>
        <w:pStyle w:val="NormalWeb"/>
        <w:numPr>
          <w:ilvl w:val="1"/>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مكافحة غسل الأموال وتمويل الإرهاب (</w:t>
      </w:r>
      <w:r w:rsidRPr="005D70B4">
        <w:rPr>
          <w:rStyle w:val="Strong"/>
          <w:rFonts w:ascii="Simplified Arabic" w:hAnsi="Simplified Arabic" w:cs="Simplified Arabic" w:hint="cs"/>
          <w:color w:val="1B1C1D"/>
          <w:sz w:val="32"/>
          <w:szCs w:val="32"/>
          <w:bdr w:val="none" w:sz="0" w:space="0" w:color="auto" w:frame="1"/>
        </w:rPr>
        <w:t>AML/CTF</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يتطلب من المؤسسات المالية تطبيق ضوابط قوية للتعرف على العملاء (</w:t>
      </w:r>
      <w:r w:rsidRPr="005D70B4">
        <w:rPr>
          <w:rFonts w:ascii="Simplified Arabic" w:hAnsi="Simplified Arabic" w:cs="Simplified Arabic" w:hint="cs"/>
          <w:color w:val="1B1C1D"/>
          <w:sz w:val="32"/>
          <w:szCs w:val="32"/>
        </w:rPr>
        <w:t>KYC</w:t>
      </w:r>
      <w:r w:rsidRPr="005D70B4">
        <w:rPr>
          <w:rFonts w:ascii="Simplified Arabic" w:hAnsi="Simplified Arabic" w:cs="Simplified Arabic" w:hint="cs"/>
          <w:color w:val="1B1C1D"/>
          <w:sz w:val="32"/>
          <w:szCs w:val="32"/>
          <w:rtl/>
        </w:rPr>
        <w:t>)، مراقبة المعاملات المشبوهة، والإبلاغ عنها.</w:t>
      </w:r>
    </w:p>
    <w:p w14:paraId="470F8B56" w14:textId="77777777" w:rsidR="00C84CF4" w:rsidRPr="005D70B4" w:rsidRDefault="00C84CF4" w:rsidP="005D70B4">
      <w:pPr>
        <w:pStyle w:val="NormalWeb"/>
        <w:numPr>
          <w:ilvl w:val="1"/>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حماية المستهلك:</w:t>
      </w:r>
      <w:r w:rsidRPr="005D70B4">
        <w:rPr>
          <w:rFonts w:ascii="Simplified Arabic" w:hAnsi="Simplified Arabic" w:cs="Simplified Arabic" w:hint="cs"/>
          <w:color w:val="1B1C1D"/>
          <w:sz w:val="32"/>
          <w:szCs w:val="32"/>
          <w:rtl/>
        </w:rPr>
        <w:t xml:space="preserve"> يضع قواعد لحماية حقوق العملاء في الخدمات المصرفية والتأمينية والتمويلية.</w:t>
      </w:r>
    </w:p>
    <w:p w14:paraId="3A61490B" w14:textId="77777777" w:rsidR="00C84CF4" w:rsidRPr="005D70B4" w:rsidRDefault="00C84CF4" w:rsidP="005D70B4">
      <w:pPr>
        <w:pStyle w:val="NormalWeb"/>
        <w:numPr>
          <w:ilvl w:val="1"/>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إدارة المخاطر التشغيلية والائتمانية والسوقية:</w:t>
      </w:r>
      <w:r w:rsidRPr="005D70B4">
        <w:rPr>
          <w:rFonts w:ascii="Simplified Arabic" w:hAnsi="Simplified Arabic" w:cs="Simplified Arabic" w:hint="cs"/>
          <w:color w:val="1B1C1D"/>
          <w:sz w:val="32"/>
          <w:szCs w:val="32"/>
          <w:rtl/>
        </w:rPr>
        <w:t xml:space="preserve"> يحدد متطلبات لأنظمة إدارة المخاطر في المؤسسات.</w:t>
      </w:r>
    </w:p>
    <w:p w14:paraId="413C0CED" w14:textId="77777777" w:rsidR="00C84CF4" w:rsidRPr="005D70B4" w:rsidRDefault="00C84CF4" w:rsidP="005D70B4">
      <w:pPr>
        <w:pStyle w:val="NormalWeb"/>
        <w:numPr>
          <w:ilvl w:val="1"/>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حوكمة الشركات:</w:t>
      </w:r>
      <w:r w:rsidRPr="005D70B4">
        <w:rPr>
          <w:rFonts w:ascii="Simplified Arabic" w:hAnsi="Simplified Arabic" w:cs="Simplified Arabic" w:hint="cs"/>
          <w:color w:val="1B1C1D"/>
          <w:sz w:val="32"/>
          <w:szCs w:val="32"/>
          <w:rtl/>
        </w:rPr>
        <w:t xml:space="preserve"> يفرض قواعد محددة لهياكل الحوكمة ومسؤوليات مجلس الإدارة.</w:t>
      </w:r>
    </w:p>
    <w:p w14:paraId="37C8C973" w14:textId="77777777" w:rsidR="00C84CF4" w:rsidRPr="005D70B4" w:rsidRDefault="00C84CF4" w:rsidP="005D70B4">
      <w:pPr>
        <w:pStyle w:val="NormalWeb"/>
        <w:numPr>
          <w:ilvl w:val="0"/>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هيئة السوق المالية (</w:t>
      </w:r>
      <w:r w:rsidRPr="005D70B4">
        <w:rPr>
          <w:rStyle w:val="Strong"/>
          <w:rFonts w:ascii="Simplified Arabic" w:hAnsi="Simplified Arabic" w:cs="Simplified Arabic" w:hint="cs"/>
          <w:color w:val="1B1C1D"/>
          <w:sz w:val="32"/>
          <w:szCs w:val="32"/>
          <w:bdr w:val="none" w:sz="0" w:space="0" w:color="auto" w:frame="1"/>
        </w:rPr>
        <w:t>CMA</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الجهة المسؤولة عن تنظيم وتطوير والإشراف على سوق رأس المال في المملكة. لوائحها تشمل:</w:t>
      </w:r>
    </w:p>
    <w:p w14:paraId="2CE50317" w14:textId="77777777" w:rsidR="00C84CF4" w:rsidRPr="005D70B4" w:rsidRDefault="00C84CF4" w:rsidP="005D70B4">
      <w:pPr>
        <w:pStyle w:val="NormalWeb"/>
        <w:numPr>
          <w:ilvl w:val="1"/>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حوكمة الشركات للشركات المدرجة:</w:t>
      </w:r>
      <w:r w:rsidRPr="005D70B4">
        <w:rPr>
          <w:rFonts w:ascii="Simplified Arabic" w:hAnsi="Simplified Arabic" w:cs="Simplified Arabic" w:hint="cs"/>
          <w:color w:val="1B1C1D"/>
          <w:sz w:val="32"/>
          <w:szCs w:val="32"/>
          <w:rtl/>
        </w:rPr>
        <w:t xml:space="preserve"> تحدد مبادئ وقواعد الحوكمة لضمان الشفافية وحماية المساهمين.</w:t>
      </w:r>
    </w:p>
    <w:p w14:paraId="68B459AD" w14:textId="77777777" w:rsidR="00C84CF4" w:rsidRPr="005D70B4" w:rsidRDefault="00C84CF4" w:rsidP="005D70B4">
      <w:pPr>
        <w:pStyle w:val="NormalWeb"/>
        <w:numPr>
          <w:ilvl w:val="1"/>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الشفافية والإفصاح:</w:t>
      </w:r>
      <w:r w:rsidRPr="005D70B4">
        <w:rPr>
          <w:rFonts w:ascii="Simplified Arabic" w:hAnsi="Simplified Arabic" w:cs="Simplified Arabic" w:hint="cs"/>
          <w:color w:val="1B1C1D"/>
          <w:sz w:val="32"/>
          <w:szCs w:val="32"/>
          <w:rtl/>
        </w:rPr>
        <w:t xml:space="preserve"> تفرض على الشركات المدرجة الإفصاح عن معلومات مالية وغير مالية هامة بشكل دوري.</w:t>
      </w:r>
    </w:p>
    <w:p w14:paraId="69E13742" w14:textId="77777777" w:rsidR="00C84CF4" w:rsidRPr="005D70B4" w:rsidRDefault="00C84CF4" w:rsidP="005D70B4">
      <w:pPr>
        <w:pStyle w:val="NormalWeb"/>
        <w:numPr>
          <w:ilvl w:val="1"/>
          <w:numId w:val="6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مكافحة تضارب المصالح والتداول بناءً على معلومات داخلية.</w:t>
      </w:r>
    </w:p>
    <w:p w14:paraId="0011D106" w14:textId="77777777" w:rsidR="00C84CF4" w:rsidRPr="005D70B4" w:rsidRDefault="00C84CF4" w:rsidP="005D70B4">
      <w:pPr>
        <w:pStyle w:val="NormalWeb"/>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اللوائح والمعايير الدولية:</w:t>
      </w:r>
    </w:p>
    <w:p w14:paraId="468C71D3" w14:textId="77777777" w:rsidR="00C84CF4" w:rsidRPr="005D70B4" w:rsidRDefault="00C84CF4" w:rsidP="005D70B4">
      <w:pPr>
        <w:pStyle w:val="NormalWeb"/>
        <w:numPr>
          <w:ilvl w:val="0"/>
          <w:numId w:val="62"/>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معايير بازل (</w:t>
      </w:r>
      <w:r w:rsidRPr="005D70B4">
        <w:rPr>
          <w:rStyle w:val="Strong"/>
          <w:rFonts w:ascii="Simplified Arabic" w:hAnsi="Simplified Arabic" w:cs="Simplified Arabic" w:hint="cs"/>
          <w:color w:val="1B1C1D"/>
          <w:sz w:val="32"/>
          <w:szCs w:val="32"/>
          <w:bdr w:val="none" w:sz="0" w:space="0" w:color="auto" w:frame="1"/>
        </w:rPr>
        <w:t>Basel Accords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مجموعة من التوصيات المصرفية الدولية التي تصدرها لجنة بازل للرقابة المصرفية. تهدف إلى تعزيز استقرار النظام المالي العالمي من خلال وضع متطلبات لرأس المال، وإدارة المخاطر، والرقابة المصرفية.</w:t>
      </w:r>
    </w:p>
    <w:p w14:paraId="14F790A9" w14:textId="77777777" w:rsidR="00C84CF4" w:rsidRPr="005D70B4" w:rsidRDefault="00C84CF4" w:rsidP="005D70B4">
      <w:pPr>
        <w:pStyle w:val="NormalWeb"/>
        <w:numPr>
          <w:ilvl w:val="1"/>
          <w:numId w:val="62"/>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 xml:space="preserve">بازل </w:t>
      </w:r>
      <w:r w:rsidRPr="005D70B4">
        <w:rPr>
          <w:rStyle w:val="Strong"/>
          <w:rFonts w:ascii="Simplified Arabic" w:hAnsi="Simplified Arabic" w:cs="Simplified Arabic" w:hint="cs"/>
          <w:color w:val="1B1C1D"/>
          <w:sz w:val="32"/>
          <w:szCs w:val="32"/>
          <w:bdr w:val="none" w:sz="0" w:space="0" w:color="auto" w:frame="1"/>
        </w:rPr>
        <w:t>III</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على سبيل المثال، يركز على تعزيز المتطلبات الرأسمالية، إدارة السيولة، ومعالجة المخاطر النظامية.</w:t>
      </w:r>
    </w:p>
    <w:p w14:paraId="78755ECF" w14:textId="77777777" w:rsidR="00C84CF4" w:rsidRPr="005D70B4" w:rsidRDefault="00C84CF4" w:rsidP="005D70B4">
      <w:pPr>
        <w:pStyle w:val="NormalWeb"/>
        <w:numPr>
          <w:ilvl w:val="0"/>
          <w:numId w:val="62"/>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مكافحة غسل الأموال وتمويل الإرهاب (</w:t>
      </w:r>
      <w:r w:rsidRPr="005D70B4">
        <w:rPr>
          <w:rStyle w:val="Strong"/>
          <w:rFonts w:ascii="Simplified Arabic" w:hAnsi="Simplified Arabic" w:cs="Simplified Arabic" w:hint="cs"/>
          <w:color w:val="1B1C1D"/>
          <w:sz w:val="32"/>
          <w:szCs w:val="32"/>
          <w:bdr w:val="none" w:sz="0" w:space="0" w:color="auto" w:frame="1"/>
        </w:rPr>
        <w:t>AML/CTF</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لوائح وتوصيات دولية صادرة عن هيئات مثل مجموعة العمل المالي (</w:t>
      </w:r>
      <w:r w:rsidRPr="005D70B4">
        <w:rPr>
          <w:rFonts w:ascii="Simplified Arabic" w:hAnsi="Simplified Arabic" w:cs="Simplified Arabic" w:hint="cs"/>
          <w:color w:val="1B1C1D"/>
          <w:sz w:val="32"/>
          <w:szCs w:val="32"/>
        </w:rPr>
        <w:t>FATF</w:t>
      </w:r>
      <w:r w:rsidRPr="005D70B4">
        <w:rPr>
          <w:rFonts w:ascii="Simplified Arabic" w:hAnsi="Simplified Arabic" w:cs="Simplified Arabic" w:hint="cs"/>
          <w:color w:val="1B1C1D"/>
          <w:sz w:val="32"/>
          <w:szCs w:val="32"/>
          <w:rtl/>
        </w:rPr>
        <w:t xml:space="preserve">) التي تهدف إلى مكافحة </w:t>
      </w:r>
      <w:r w:rsidRPr="005D70B4">
        <w:rPr>
          <w:rFonts w:ascii="Simplified Arabic" w:hAnsi="Simplified Arabic" w:cs="Simplified Arabic" w:hint="cs"/>
          <w:color w:val="1B1C1D"/>
          <w:sz w:val="32"/>
          <w:szCs w:val="32"/>
          <w:rtl/>
        </w:rPr>
        <w:lastRenderedPageBreak/>
        <w:t>الجرائم المالية عبر الحدود. تتطلب هذه اللوائح من المؤسسات المالية حول العالم تطبيق ضوابط صارمة لمنع استخدام النظام المالي في الأنشطة غير المشروعة.</w:t>
      </w:r>
    </w:p>
    <w:p w14:paraId="49C32CFA" w14:textId="77777777" w:rsidR="00C84CF4" w:rsidRPr="005D70B4" w:rsidRDefault="00C84CF4" w:rsidP="005D70B4">
      <w:pPr>
        <w:pStyle w:val="NormalWeb"/>
        <w:numPr>
          <w:ilvl w:val="0"/>
          <w:numId w:val="62"/>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اللائحة العامة لحماية البيانات (</w:t>
      </w:r>
      <w:r w:rsidRPr="005D70B4">
        <w:rPr>
          <w:rStyle w:val="Strong"/>
          <w:rFonts w:ascii="Simplified Arabic" w:hAnsi="Simplified Arabic" w:cs="Simplified Arabic" w:hint="cs"/>
          <w:color w:val="1B1C1D"/>
          <w:sz w:val="32"/>
          <w:szCs w:val="32"/>
          <w:bdr w:val="none" w:sz="0" w:space="0" w:color="auto" w:frame="1"/>
        </w:rPr>
        <w:t>GDPR</w:t>
      </w:r>
      <w:r w:rsidRPr="005D70B4">
        <w:rPr>
          <w:rStyle w:val="Strong"/>
          <w:rFonts w:ascii="Simplified Arabic" w:hAnsi="Simplified Arabic" w:cs="Simplified Arabic" w:hint="cs"/>
          <w:color w:val="1B1C1D"/>
          <w:sz w:val="32"/>
          <w:szCs w:val="32"/>
          <w:bdr w:val="none" w:sz="0" w:space="0" w:color="auto" w:frame="1"/>
          <w:rtl/>
        </w:rPr>
        <w:t>) في الاتحاد الأوروبي:</w:t>
      </w:r>
      <w:r w:rsidRPr="005D70B4">
        <w:rPr>
          <w:rFonts w:ascii="Simplified Arabic" w:hAnsi="Simplified Arabic" w:cs="Simplified Arabic" w:hint="cs"/>
          <w:color w:val="1B1C1D"/>
          <w:sz w:val="32"/>
          <w:szCs w:val="32"/>
          <w:rtl/>
        </w:rPr>
        <w:t xml:space="preserve"> على الرغم من أنها أوروبية، فإن المؤسسات المالية التي تتعامل مع بيانات مواطنين أوروبيين يجب أن تمتثل لها، مما يؤثر على ممارسات حماية البيانات العالمية.</w:t>
      </w:r>
    </w:p>
    <w:p w14:paraId="5FA13D5F" w14:textId="77777777" w:rsidR="00C84CF4" w:rsidRPr="005D70B4" w:rsidRDefault="00C84CF4" w:rsidP="005D70B4">
      <w:pPr>
        <w:pStyle w:val="NormalWeb"/>
        <w:numPr>
          <w:ilvl w:val="0"/>
          <w:numId w:val="62"/>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قانون الامتثال الضريبي للحسابات الأجنبية (</w:t>
      </w:r>
      <w:r w:rsidRPr="005D70B4">
        <w:rPr>
          <w:rStyle w:val="Strong"/>
          <w:rFonts w:ascii="Simplified Arabic" w:hAnsi="Simplified Arabic" w:cs="Simplified Arabic" w:hint="cs"/>
          <w:color w:val="1B1C1D"/>
          <w:sz w:val="32"/>
          <w:szCs w:val="32"/>
          <w:bdr w:val="none" w:sz="0" w:space="0" w:color="auto" w:frame="1"/>
        </w:rPr>
        <w:t>FATCA</w:t>
      </w:r>
      <w:r w:rsidRPr="005D70B4">
        <w:rPr>
          <w:rStyle w:val="Strong"/>
          <w:rFonts w:ascii="Simplified Arabic" w:hAnsi="Simplified Arabic" w:cs="Simplified Arabic" w:hint="cs"/>
          <w:color w:val="1B1C1D"/>
          <w:sz w:val="32"/>
          <w:szCs w:val="32"/>
          <w:bdr w:val="none" w:sz="0" w:space="0" w:color="auto" w:frame="1"/>
          <w:rtl/>
        </w:rPr>
        <w:t>) في الولايات المتحدة:</w:t>
      </w:r>
      <w:r w:rsidRPr="005D70B4">
        <w:rPr>
          <w:rFonts w:ascii="Simplified Arabic" w:hAnsi="Simplified Arabic" w:cs="Simplified Arabic" w:hint="cs"/>
          <w:color w:val="1B1C1D"/>
          <w:sz w:val="32"/>
          <w:szCs w:val="32"/>
          <w:rtl/>
        </w:rPr>
        <w:t xml:space="preserve"> يتطلب من المؤسسات المالية الأجنبية الإبلاغ عن معلومات الحسابات التي يملكها دافعو الضرائب الأمريكيون.</w:t>
      </w:r>
    </w:p>
    <w:p w14:paraId="47BC5B73"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أهمية وظيفة الامتثال</w:t>
      </w:r>
    </w:p>
    <w:p w14:paraId="200D20DF" w14:textId="77777777" w:rsidR="00C84CF4" w:rsidRPr="005D70B4" w:rsidRDefault="00C84CF4" w:rsidP="005D70B4">
      <w:pPr>
        <w:pStyle w:val="NormalWeb"/>
        <w:bidi/>
        <w:spacing w:before="0" w:beforeAutospacing="0" w:after="12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تعتبر وظيفة الامتثال حجر الزاوية في استدامة ونجاح أي مؤسسة مالية، وأهميتها تكمن في:</w:t>
      </w:r>
    </w:p>
    <w:p w14:paraId="32B2D98A" w14:textId="77777777" w:rsidR="00C84CF4" w:rsidRPr="005D70B4" w:rsidRDefault="00C84CF4" w:rsidP="005D70B4">
      <w:pPr>
        <w:pStyle w:val="NormalWeb"/>
        <w:numPr>
          <w:ilvl w:val="0"/>
          <w:numId w:val="63"/>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تجنب العقوبات والغرامات:</w:t>
      </w:r>
      <w:r w:rsidRPr="005D70B4">
        <w:rPr>
          <w:rFonts w:ascii="Simplified Arabic" w:hAnsi="Simplified Arabic" w:cs="Simplified Arabic" w:hint="cs"/>
          <w:color w:val="1B1C1D"/>
          <w:sz w:val="32"/>
          <w:szCs w:val="32"/>
          <w:rtl/>
        </w:rPr>
        <w:t xml:space="preserve"> عدم الامتثال يمكن أن يؤدي إلى غرامات مالية ضخمة، عقوبات قانونية، بل وقد يصل إلى سحب التراخيص، مما يؤثر بشكل كارثي على المؤسسة.</w:t>
      </w:r>
    </w:p>
    <w:p w14:paraId="12504466" w14:textId="77777777" w:rsidR="00C84CF4" w:rsidRPr="005D70B4" w:rsidRDefault="00C84CF4" w:rsidP="005D70B4">
      <w:pPr>
        <w:pStyle w:val="NormalWeb"/>
        <w:numPr>
          <w:ilvl w:val="0"/>
          <w:numId w:val="63"/>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الحفاظ على السمعة:</w:t>
      </w:r>
      <w:r w:rsidRPr="005D70B4">
        <w:rPr>
          <w:rFonts w:ascii="Simplified Arabic" w:hAnsi="Simplified Arabic" w:cs="Simplified Arabic" w:hint="cs"/>
          <w:color w:val="1B1C1D"/>
          <w:sz w:val="32"/>
          <w:szCs w:val="32"/>
          <w:rtl/>
        </w:rPr>
        <w:t xml:space="preserve"> السمعة هي أحد الأصول الأكثر قيمة للمؤسسات المالية. أي فشل في الامتثال، خاصة فيما يتعلق بقضايا مثل غسل الأموال أو الاحتيال، يمكن أن يدمر ثقة العملاء والمستثمرين والجمهور، ويستغرق سنوات لإصلاحها.</w:t>
      </w:r>
    </w:p>
    <w:p w14:paraId="2C5CB88D" w14:textId="77777777" w:rsidR="00C84CF4" w:rsidRPr="005D70B4" w:rsidRDefault="00C84CF4" w:rsidP="005D70B4">
      <w:pPr>
        <w:pStyle w:val="NormalWeb"/>
        <w:numPr>
          <w:ilvl w:val="0"/>
          <w:numId w:val="63"/>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بناء الثقة:</w:t>
      </w:r>
      <w:r w:rsidRPr="005D70B4">
        <w:rPr>
          <w:rFonts w:ascii="Simplified Arabic" w:hAnsi="Simplified Arabic" w:cs="Simplified Arabic" w:hint="cs"/>
          <w:color w:val="1B1C1D"/>
          <w:sz w:val="32"/>
          <w:szCs w:val="32"/>
          <w:rtl/>
        </w:rPr>
        <w:t xml:space="preserve"> يرسخ الامتثال ثقة أصحاب المصلحة (العملاء، المستثمرين، الجهات التنظيمية) في أن المؤسسة تعمل بمسؤولية ونزاهة، مما يعزز علاقاتها ويجذب أعمالاً جديدة.</w:t>
      </w:r>
    </w:p>
    <w:p w14:paraId="7C20B53D" w14:textId="77777777" w:rsidR="00C84CF4" w:rsidRPr="005D70B4" w:rsidRDefault="00C84CF4" w:rsidP="005D70B4">
      <w:pPr>
        <w:pStyle w:val="NormalWeb"/>
        <w:numPr>
          <w:ilvl w:val="0"/>
          <w:numId w:val="63"/>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تحسين اتخاذ القرار:</w:t>
      </w:r>
      <w:r w:rsidRPr="005D70B4">
        <w:rPr>
          <w:rFonts w:ascii="Simplified Arabic" w:hAnsi="Simplified Arabic" w:cs="Simplified Arabic" w:hint="cs"/>
          <w:color w:val="1B1C1D"/>
          <w:sz w:val="32"/>
          <w:szCs w:val="32"/>
          <w:rtl/>
        </w:rPr>
        <w:t xml:space="preserve"> توفر وظيفة الامتثال للإدارة العليا رؤى حول المخاطر التنظيمية المحتملة، مما يساعد في اتخاذ قرارات مستنيرة تحمي المؤسسة.</w:t>
      </w:r>
    </w:p>
    <w:p w14:paraId="0DD5D1F6" w14:textId="77777777" w:rsidR="00C84CF4" w:rsidRPr="005D70B4" w:rsidRDefault="00C84CF4" w:rsidP="005D70B4">
      <w:pPr>
        <w:pStyle w:val="NormalWeb"/>
        <w:numPr>
          <w:ilvl w:val="0"/>
          <w:numId w:val="63"/>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تعزيز ثقافة المؤسسة:</w:t>
      </w:r>
      <w:r w:rsidRPr="005D70B4">
        <w:rPr>
          <w:rFonts w:ascii="Simplified Arabic" w:hAnsi="Simplified Arabic" w:cs="Simplified Arabic" w:hint="cs"/>
          <w:color w:val="1B1C1D"/>
          <w:sz w:val="32"/>
          <w:szCs w:val="32"/>
          <w:rtl/>
        </w:rPr>
        <w:t xml:space="preserve"> تساهم وظيفة الامتثال في ترسيخ ثقافة الشفافية والمساءلة والسلوك الأخلاقي في جميع أنحاء المؤسسة.</w:t>
      </w:r>
    </w:p>
    <w:p w14:paraId="5EE473F3"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تحديات الامتثال</w:t>
      </w:r>
    </w:p>
    <w:p w14:paraId="7D412A35" w14:textId="77777777" w:rsidR="00C84CF4" w:rsidRPr="005D70B4" w:rsidRDefault="00C84CF4" w:rsidP="005D70B4">
      <w:pPr>
        <w:pStyle w:val="NormalWeb"/>
        <w:bidi/>
        <w:spacing w:before="0" w:beforeAutospacing="0" w:after="12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تواجه المؤسسات المالية تحديات مستمرة في مجال الامتثال، أبرزها:</w:t>
      </w:r>
    </w:p>
    <w:p w14:paraId="47FD39E6" w14:textId="77777777" w:rsidR="00C84CF4" w:rsidRPr="005D70B4" w:rsidRDefault="00C84CF4" w:rsidP="005D70B4">
      <w:pPr>
        <w:pStyle w:val="NormalWeb"/>
        <w:numPr>
          <w:ilvl w:val="0"/>
          <w:numId w:val="64"/>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التغيرات المستمرة في البيئة التنظيمية:</w:t>
      </w:r>
      <w:r w:rsidRPr="005D70B4">
        <w:rPr>
          <w:rFonts w:ascii="Simplified Arabic" w:hAnsi="Simplified Arabic" w:cs="Simplified Arabic" w:hint="cs"/>
          <w:color w:val="1B1C1D"/>
          <w:sz w:val="32"/>
          <w:szCs w:val="32"/>
          <w:rtl/>
        </w:rPr>
        <w:t xml:space="preserve"> تتغير القوانين واللوائح بشكل متكرر، وتصدر هيئات الرقابة تحديثات وتفسيرات جديدة باستمرار. يتطلب هذا من المؤسسات أن تكون مرنة وقادرة على التكيف بسرعة.</w:t>
      </w:r>
    </w:p>
    <w:p w14:paraId="58A31621" w14:textId="77777777" w:rsidR="00C84CF4" w:rsidRPr="005D70B4" w:rsidRDefault="00C84CF4" w:rsidP="005D70B4">
      <w:pPr>
        <w:pStyle w:val="NormalWeb"/>
        <w:numPr>
          <w:ilvl w:val="1"/>
          <w:numId w:val="64"/>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كيفية مواجهتها:</w:t>
      </w:r>
      <w:r w:rsidRPr="005D70B4">
        <w:rPr>
          <w:rFonts w:ascii="Simplified Arabic" w:hAnsi="Simplified Arabic" w:cs="Simplified Arabic" w:hint="cs"/>
          <w:color w:val="1B1C1D"/>
          <w:sz w:val="32"/>
          <w:szCs w:val="32"/>
          <w:rtl/>
        </w:rPr>
        <w:t xml:space="preserve"> يجب على المؤسسات الاستثمار في أنظمة مراقبة تنظيمية فعالة، وتدريب مستمر للموظفين، واستخدام التكنولوجيا لمواكبة التغييرات. يجب أن يكون هناك فريق مخصص لمتابعة التحديثات التنظيمية وتقييم تأثيرها على العمليات.</w:t>
      </w:r>
    </w:p>
    <w:p w14:paraId="0394C735" w14:textId="77777777" w:rsidR="00C84CF4" w:rsidRPr="005D70B4" w:rsidRDefault="00C84CF4" w:rsidP="005D70B4">
      <w:pPr>
        <w:pStyle w:val="NormalWeb"/>
        <w:numPr>
          <w:ilvl w:val="0"/>
          <w:numId w:val="64"/>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التعقيد التنظيمي:</w:t>
      </w:r>
      <w:r w:rsidRPr="005D70B4">
        <w:rPr>
          <w:rFonts w:ascii="Simplified Arabic" w:hAnsi="Simplified Arabic" w:cs="Simplified Arabic" w:hint="cs"/>
          <w:color w:val="1B1C1D"/>
          <w:sz w:val="32"/>
          <w:szCs w:val="32"/>
          <w:rtl/>
        </w:rPr>
        <w:t xml:space="preserve"> العدد الهائل من القوانين واللوائح، سواء المحلية أو الدولية، يجعل مهمة الامتثال معقدة، خاصة للمؤسسات التي تعمل عبر ولايات قضائية متعددة.</w:t>
      </w:r>
    </w:p>
    <w:p w14:paraId="7DAB0036" w14:textId="77777777" w:rsidR="00C84CF4" w:rsidRPr="005D70B4" w:rsidRDefault="00C84CF4" w:rsidP="005D70B4">
      <w:pPr>
        <w:pStyle w:val="NormalWeb"/>
        <w:numPr>
          <w:ilvl w:val="0"/>
          <w:numId w:val="64"/>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نقص الموارد والخبرات:</w:t>
      </w:r>
      <w:r w:rsidRPr="005D70B4">
        <w:rPr>
          <w:rFonts w:ascii="Simplified Arabic" w:hAnsi="Simplified Arabic" w:cs="Simplified Arabic" w:hint="cs"/>
          <w:color w:val="1B1C1D"/>
          <w:sz w:val="32"/>
          <w:szCs w:val="32"/>
          <w:rtl/>
        </w:rPr>
        <w:t xml:space="preserve"> قد تفتقر بعض المؤسسات إلى الموارد الكافية (البشرية أو التكنولوجية) أو الخبرة اللازمة لتلبية جميع متطلبات الامتثال المعقدة.</w:t>
      </w:r>
    </w:p>
    <w:p w14:paraId="24340E28" w14:textId="77777777" w:rsidR="00C84CF4" w:rsidRPr="005D70B4" w:rsidRDefault="00C84CF4" w:rsidP="005D70B4">
      <w:pPr>
        <w:pStyle w:val="NormalWeb"/>
        <w:numPr>
          <w:ilvl w:val="0"/>
          <w:numId w:val="64"/>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تزايد حجم البيانات:</w:t>
      </w:r>
      <w:r w:rsidRPr="005D70B4">
        <w:rPr>
          <w:rFonts w:ascii="Simplified Arabic" w:hAnsi="Simplified Arabic" w:cs="Simplified Arabic" w:hint="cs"/>
          <w:color w:val="1B1C1D"/>
          <w:sz w:val="32"/>
          <w:szCs w:val="32"/>
          <w:rtl/>
        </w:rPr>
        <w:t xml:space="preserve"> مع تزايد حجم البيانات التي تتعامل معها المؤسسات، يصبح مراقبة جميع المعاملات للكشف عن المخاطر التشغيلية ومخاطر الامتثال تحديًا كبيرًا.</w:t>
      </w:r>
    </w:p>
    <w:p w14:paraId="7C0FD5A4" w14:textId="77777777" w:rsidR="00C84CF4" w:rsidRPr="005D70B4" w:rsidRDefault="00C84CF4" w:rsidP="005D70B4">
      <w:pPr>
        <w:pStyle w:val="NormalWeb"/>
        <w:numPr>
          <w:ilvl w:val="0"/>
          <w:numId w:val="64"/>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التهديدات السيبرانية:</w:t>
      </w:r>
      <w:r w:rsidRPr="005D70B4">
        <w:rPr>
          <w:rFonts w:ascii="Simplified Arabic" w:hAnsi="Simplified Arabic" w:cs="Simplified Arabic" w:hint="cs"/>
          <w:color w:val="1B1C1D"/>
          <w:sz w:val="32"/>
          <w:szCs w:val="32"/>
          <w:rtl/>
        </w:rPr>
        <w:t xml:space="preserve"> الحفاظ على أمن البيانات والأنظمة الامتثالية يعد تحديًا كبيرًا في مواجهة التهديدات السيبرانية المتزايدة.</w:t>
      </w:r>
    </w:p>
    <w:p w14:paraId="0683EEDD" w14:textId="77777777" w:rsidR="00C84CF4" w:rsidRPr="005D70B4" w:rsidRDefault="00C84CF4" w:rsidP="005D70B4">
      <w:pPr>
        <w:pStyle w:val="Heading2"/>
        <w:spacing w:before="0" w:after="120" w:line="360" w:lineRule="auto"/>
        <w:divId w:val="1814521841"/>
        <w:rPr>
          <w:rFonts w:ascii="Simplified Arabic" w:eastAsia="Times New Roman" w:hAnsi="Simplified Arabic" w:cs="Simplified Arabic"/>
          <w:color w:val="1B1C1D"/>
          <w:rtl/>
        </w:rPr>
      </w:pPr>
      <w:r w:rsidRPr="005D70B4">
        <w:rPr>
          <w:rFonts w:ascii="Simplified Arabic" w:eastAsia="Times New Roman" w:hAnsi="Simplified Arabic" w:cs="Simplified Arabic" w:hint="cs"/>
          <w:color w:val="1B1C1D"/>
          <w:rtl/>
        </w:rPr>
        <w:t>5. العلاقة التكاملية بين الحوكمة والمخاطر والامتثال (</w:t>
      </w:r>
      <w:r w:rsidRPr="005D70B4">
        <w:rPr>
          <w:rFonts w:ascii="Simplified Arabic" w:eastAsia="Times New Roman" w:hAnsi="Simplified Arabic" w:cs="Simplified Arabic" w:hint="cs"/>
          <w:color w:val="1B1C1D"/>
        </w:rPr>
        <w:t>GRC Integration</w:t>
      </w:r>
      <w:r w:rsidRPr="005D70B4">
        <w:rPr>
          <w:rFonts w:ascii="Simplified Arabic" w:eastAsia="Times New Roman" w:hAnsi="Simplified Arabic" w:cs="Simplified Arabic" w:hint="cs"/>
          <w:color w:val="1B1C1D"/>
          <w:rtl/>
        </w:rPr>
        <w:t>)</w:t>
      </w:r>
    </w:p>
    <w:p w14:paraId="0E6F588C"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 xml:space="preserve">النهج المتكامل لـ </w:t>
      </w:r>
      <w:r w:rsidRPr="005D70B4">
        <w:rPr>
          <w:rFonts w:ascii="Simplified Arabic" w:eastAsia="Times New Roman" w:hAnsi="Simplified Arabic" w:cs="Simplified Arabic" w:hint="cs"/>
          <w:color w:val="1B1C1D"/>
          <w:sz w:val="32"/>
          <w:szCs w:val="32"/>
        </w:rPr>
        <w:t>GRC</w:t>
      </w:r>
    </w:p>
    <w:p w14:paraId="60A4B88B" w14:textId="77777777" w:rsidR="00C84CF4" w:rsidRPr="005D70B4" w:rsidRDefault="00C84CF4" w:rsidP="005D70B4">
      <w:pPr>
        <w:pStyle w:val="NormalWeb"/>
        <w:bidi/>
        <w:spacing w:before="0" w:beforeAutospacing="0" w:after="24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النهج المتكامل لحوكمة المخاطر والامتثال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هو تحول من إدارة الحوكمة وإدارة المخاطر والامتثال كوظائف منفصلة ومنعزلة إلى رؤية استراتيجية موحدة. بدلاً من أن يكون لكل قسم (الحوكمة، المخاطر، الامتثال، التدقيق الداخلي، القانوني) عملياته وأنظمته وتقاريره الخاصة، يهدف النهج المتكامل إلى دمج هذه الوظائف في إطار عمل متماسك. </w:t>
      </w:r>
      <w:r w:rsidRPr="005D70B4">
        <w:rPr>
          <w:rFonts w:ascii="Simplified Arabic" w:hAnsi="Simplified Arabic" w:cs="Simplified Arabic" w:hint="cs"/>
          <w:color w:val="1B1C1D"/>
          <w:sz w:val="32"/>
          <w:szCs w:val="32"/>
          <w:rtl/>
        </w:rPr>
        <w:lastRenderedPageBreak/>
        <w:t>هذا يعني مشاركة البيانات، تنسيق العمليات، وتوحيد السياسات والإجراءات عبر المؤسسة لضمان أن جميع الأنشطة تدعم بعضها البعض وتحقق الأهداف المشتركة.</w:t>
      </w:r>
    </w:p>
    <w:p w14:paraId="2A48837D" w14:textId="77777777" w:rsidR="00C84CF4" w:rsidRPr="005D70B4" w:rsidRDefault="00C84CF4" w:rsidP="005D70B4">
      <w:pPr>
        <w:pStyle w:val="NormalWeb"/>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كيف يمكن دمج وظائف الحوكمة، إدارة المخاطر، والامتثال لتحقيق أقصى فائدة:</w:t>
      </w:r>
    </w:p>
    <w:p w14:paraId="3AE927D4" w14:textId="77777777" w:rsidR="00C84CF4" w:rsidRPr="005D70B4" w:rsidRDefault="00C84CF4" w:rsidP="005D70B4">
      <w:pPr>
        <w:pStyle w:val="NormalWeb"/>
        <w:numPr>
          <w:ilvl w:val="0"/>
          <w:numId w:val="65"/>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التوحيد:</w:t>
      </w:r>
      <w:r w:rsidRPr="005D70B4">
        <w:rPr>
          <w:rFonts w:ascii="Simplified Arabic" w:hAnsi="Simplified Arabic" w:cs="Simplified Arabic" w:hint="cs"/>
          <w:color w:val="1B1C1D"/>
          <w:sz w:val="32"/>
          <w:szCs w:val="32"/>
          <w:rtl/>
        </w:rPr>
        <w:t xml:space="preserve"> توحيد السياسات والإجراءات والضوابط التي تخدم أكثر من وظيفة. على سبيل المثال، يمكن لسياسة أمن المعلومات أن تخدم متطلبات الحوكمة، وتقلل مخاطر التشغيل، وتضمن الامتثال للوائح حماية البيانات.</w:t>
      </w:r>
    </w:p>
    <w:p w14:paraId="1DA9CC8E" w14:textId="77777777" w:rsidR="00C84CF4" w:rsidRPr="005D70B4" w:rsidRDefault="00C84CF4" w:rsidP="005D70B4">
      <w:pPr>
        <w:pStyle w:val="NormalWeb"/>
        <w:numPr>
          <w:ilvl w:val="0"/>
          <w:numId w:val="65"/>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الرؤية المشتركة:</w:t>
      </w:r>
      <w:r w:rsidRPr="005D70B4">
        <w:rPr>
          <w:rFonts w:ascii="Simplified Arabic" w:hAnsi="Simplified Arabic" w:cs="Simplified Arabic" w:hint="cs"/>
          <w:color w:val="1B1C1D"/>
          <w:sz w:val="32"/>
          <w:szCs w:val="32"/>
          <w:rtl/>
        </w:rPr>
        <w:t xml:space="preserve"> إنشاء رؤية موحدة للمخاطر والامتثال عبر المؤسسة، مما يتيح للإدارة اتخاذ قرارات مستنيرة بناءً على صورة كاملة للوضع.</w:t>
      </w:r>
    </w:p>
    <w:p w14:paraId="16192394" w14:textId="77777777" w:rsidR="00C84CF4" w:rsidRPr="005D70B4" w:rsidRDefault="00C84CF4" w:rsidP="005D70B4">
      <w:pPr>
        <w:pStyle w:val="NormalWeb"/>
        <w:numPr>
          <w:ilvl w:val="0"/>
          <w:numId w:val="65"/>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تبادل المعلومات:</w:t>
      </w:r>
      <w:r w:rsidRPr="005D70B4">
        <w:rPr>
          <w:rFonts w:ascii="Simplified Arabic" w:hAnsi="Simplified Arabic" w:cs="Simplified Arabic" w:hint="cs"/>
          <w:color w:val="1B1C1D"/>
          <w:sz w:val="32"/>
          <w:szCs w:val="32"/>
          <w:rtl/>
        </w:rPr>
        <w:t xml:space="preserve"> بناء قنوات لتبادل المعلومات بين الأقسام المختلفة. على سبيل المثال، يمكن لبيانات الخسائر التشغيلية أن تغذي تقييمات المخاطر، وتُستخدم لإثبات الامتثال، وتُبلغ مجلس الإدارة كجزء من الحوكمة.</w:t>
      </w:r>
    </w:p>
    <w:p w14:paraId="5D769CE3" w14:textId="77777777" w:rsidR="00C84CF4" w:rsidRPr="005D70B4" w:rsidRDefault="00C84CF4" w:rsidP="005D70B4">
      <w:pPr>
        <w:pStyle w:val="NormalWeb"/>
        <w:numPr>
          <w:ilvl w:val="0"/>
          <w:numId w:val="65"/>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المنصات التكنولوجية المشتركة:</w:t>
      </w:r>
      <w:r w:rsidRPr="005D70B4">
        <w:rPr>
          <w:rFonts w:ascii="Simplified Arabic" w:hAnsi="Simplified Arabic" w:cs="Simplified Arabic" w:hint="cs"/>
          <w:color w:val="1B1C1D"/>
          <w:sz w:val="32"/>
          <w:szCs w:val="32"/>
          <w:rtl/>
        </w:rPr>
        <w:t xml:space="preserve"> استخدام حلول برمجية متكاملة تدعم جميع وظائف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بدلاً من أنظمة منفصلة لكل وظيفة.</w:t>
      </w:r>
    </w:p>
    <w:p w14:paraId="2A6D8C2E"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فوائد التكامل</w:t>
      </w:r>
    </w:p>
    <w:p w14:paraId="47A780C6" w14:textId="77777777" w:rsidR="00C84CF4" w:rsidRPr="005D70B4" w:rsidRDefault="00C84CF4" w:rsidP="005D70B4">
      <w:pPr>
        <w:pStyle w:val="NormalWeb"/>
        <w:bidi/>
        <w:spacing w:before="0" w:beforeAutospacing="0" w:after="12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يجلب النهج المتكامل لـ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العديد من الفوائد للمؤسسات المالية:</w:t>
      </w:r>
    </w:p>
    <w:p w14:paraId="00041163" w14:textId="77777777" w:rsidR="00C84CF4" w:rsidRPr="005D70B4" w:rsidRDefault="00C84CF4" w:rsidP="005D70B4">
      <w:pPr>
        <w:pStyle w:val="NormalWeb"/>
        <w:numPr>
          <w:ilvl w:val="0"/>
          <w:numId w:val="66"/>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تعزيز التنسيق (</w:t>
      </w:r>
      <w:r w:rsidRPr="005D70B4">
        <w:rPr>
          <w:rStyle w:val="Strong"/>
          <w:rFonts w:ascii="Simplified Arabic" w:hAnsi="Simplified Arabic" w:cs="Simplified Arabic" w:hint="cs"/>
          <w:color w:val="1B1C1D"/>
          <w:sz w:val="32"/>
          <w:szCs w:val="32"/>
          <w:bdr w:val="none" w:sz="0" w:space="0" w:color="auto" w:frame="1"/>
        </w:rPr>
        <w:t>Enhanced Coordination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يقلل من الصوامع التنظيمية ويضمن أن فرق الحوكمة والمخاطر والامتثال تعمل معًا نحو أهداف مشتركة، مما يقلل من سوء الفهم والتعارض.</w:t>
      </w:r>
    </w:p>
    <w:p w14:paraId="371BB432" w14:textId="77777777" w:rsidR="00C84CF4" w:rsidRPr="005D70B4" w:rsidRDefault="00C84CF4" w:rsidP="005D70B4">
      <w:pPr>
        <w:pStyle w:val="NormalWeb"/>
        <w:numPr>
          <w:ilvl w:val="0"/>
          <w:numId w:val="66"/>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تقليل الازدواجية (</w:t>
      </w:r>
      <w:r w:rsidRPr="005D70B4">
        <w:rPr>
          <w:rStyle w:val="Strong"/>
          <w:rFonts w:ascii="Simplified Arabic" w:hAnsi="Simplified Arabic" w:cs="Simplified Arabic" w:hint="cs"/>
          <w:color w:val="1B1C1D"/>
          <w:sz w:val="32"/>
          <w:szCs w:val="32"/>
          <w:bdr w:val="none" w:sz="0" w:space="0" w:color="auto" w:frame="1"/>
        </w:rPr>
        <w:t>Reduced Duplication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يجنب تكرار الجهود والأنشطة، مثل جمع البيانات، وإعداد التقارير، وتقييم الضوابط، في أقسام مختلفة، مما يوفر الوقت والموارد.</w:t>
      </w:r>
    </w:p>
    <w:p w14:paraId="3CDCA29B" w14:textId="77777777" w:rsidR="00C84CF4" w:rsidRPr="005D70B4" w:rsidRDefault="00C84CF4" w:rsidP="005D70B4">
      <w:pPr>
        <w:pStyle w:val="NormalWeb"/>
        <w:numPr>
          <w:ilvl w:val="0"/>
          <w:numId w:val="66"/>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تحسين اتخاذ القرار (</w:t>
      </w:r>
      <w:r w:rsidRPr="005D70B4">
        <w:rPr>
          <w:rStyle w:val="Strong"/>
          <w:rFonts w:ascii="Simplified Arabic" w:hAnsi="Simplified Arabic" w:cs="Simplified Arabic" w:hint="cs"/>
          <w:color w:val="1B1C1D"/>
          <w:sz w:val="32"/>
          <w:szCs w:val="32"/>
          <w:bdr w:val="none" w:sz="0" w:space="0" w:color="auto" w:frame="1"/>
        </w:rPr>
        <w:t>Improved Decision Making</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من خلال توفير رؤية شاملة للمخاطر، حالة الامتثال، وفعالية الضوابط، يمكن للإدارة العليا ومجلس الإدارة اتخاذ قرارات استراتيجية وتشغيلية أكثر استنارة.</w:t>
      </w:r>
    </w:p>
    <w:p w14:paraId="7756DDBC" w14:textId="77777777" w:rsidR="00C84CF4" w:rsidRPr="005D70B4" w:rsidRDefault="00C84CF4" w:rsidP="005D70B4">
      <w:pPr>
        <w:pStyle w:val="NormalWeb"/>
        <w:numPr>
          <w:ilvl w:val="0"/>
          <w:numId w:val="66"/>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زيادة الشفافية (</w:t>
      </w:r>
      <w:r w:rsidRPr="005D70B4">
        <w:rPr>
          <w:rStyle w:val="Strong"/>
          <w:rFonts w:ascii="Simplified Arabic" w:hAnsi="Simplified Arabic" w:cs="Simplified Arabic" w:hint="cs"/>
          <w:color w:val="1B1C1D"/>
          <w:sz w:val="32"/>
          <w:szCs w:val="32"/>
          <w:bdr w:val="none" w:sz="0" w:space="0" w:color="auto" w:frame="1"/>
        </w:rPr>
        <w:t>Increased Transparency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يؤدي النهج المتكامل إلى تقارير أكثر شمولاً وتماسكًا حول الوضع العام للمؤسسة من حيث الحوكمة والمخاطر والامتثال، مما يعزز الشفافية الداخلية والخارجية.</w:t>
      </w:r>
    </w:p>
    <w:p w14:paraId="5A8575CC" w14:textId="77777777" w:rsidR="00C84CF4" w:rsidRPr="005D70B4" w:rsidRDefault="00C84CF4" w:rsidP="005D70B4">
      <w:pPr>
        <w:pStyle w:val="NormalWeb"/>
        <w:numPr>
          <w:ilvl w:val="0"/>
          <w:numId w:val="66"/>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خفض التكاليف (</w:t>
      </w:r>
      <w:r w:rsidRPr="005D70B4">
        <w:rPr>
          <w:rStyle w:val="Strong"/>
          <w:rFonts w:ascii="Simplified Arabic" w:hAnsi="Simplified Arabic" w:cs="Simplified Arabic" w:hint="cs"/>
          <w:color w:val="1B1C1D"/>
          <w:sz w:val="32"/>
          <w:szCs w:val="32"/>
          <w:bdr w:val="none" w:sz="0" w:space="0" w:color="auto" w:frame="1"/>
        </w:rPr>
        <w:t>Cost Reduction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الكفاءة الناتجة عن تقليل الازدواجية وتحسين العمليات تترجم إلى خفض في التكاليف التشغيلية.</w:t>
      </w:r>
    </w:p>
    <w:p w14:paraId="4D0500BB" w14:textId="77777777" w:rsidR="00C84CF4" w:rsidRPr="005D70B4" w:rsidRDefault="00C84CF4" w:rsidP="005D70B4">
      <w:pPr>
        <w:pStyle w:val="NormalWeb"/>
        <w:numPr>
          <w:ilvl w:val="0"/>
          <w:numId w:val="66"/>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الاستجابة السريعة للتغييرات (</w:t>
      </w:r>
      <w:r w:rsidRPr="005D70B4">
        <w:rPr>
          <w:rStyle w:val="Strong"/>
          <w:rFonts w:ascii="Simplified Arabic" w:hAnsi="Simplified Arabic" w:cs="Simplified Arabic" w:hint="cs"/>
          <w:color w:val="1B1C1D"/>
          <w:sz w:val="32"/>
          <w:szCs w:val="32"/>
          <w:bdr w:val="none" w:sz="0" w:space="0" w:color="auto" w:frame="1"/>
        </w:rPr>
        <w:t>Faster Response to Changes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يمكن للمؤسسة المتكاملة لـ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التكيف بسرعة أكبر مع التغييرات في البيئة التنظيمية أو ظهور مخاطر جديدة.</w:t>
      </w:r>
    </w:p>
    <w:p w14:paraId="53F9D5CE"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lastRenderedPageBreak/>
        <w:t>تحديات التكامل</w:t>
      </w:r>
    </w:p>
    <w:p w14:paraId="328C31CE" w14:textId="77777777" w:rsidR="00C84CF4" w:rsidRPr="005D70B4" w:rsidRDefault="00C84CF4" w:rsidP="005D70B4">
      <w:pPr>
        <w:pStyle w:val="NormalWeb"/>
        <w:bidi/>
        <w:spacing w:before="0" w:beforeAutospacing="0" w:after="12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على الرغم من الفوائد الواضحة، يواجه تطبيق النهج المتكامل لـ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تحديات كبيرة:</w:t>
      </w:r>
    </w:p>
    <w:p w14:paraId="475F69E0" w14:textId="77777777" w:rsidR="00C84CF4" w:rsidRPr="005D70B4" w:rsidRDefault="00C84CF4" w:rsidP="005D70B4">
      <w:pPr>
        <w:pStyle w:val="NormalWeb"/>
        <w:numPr>
          <w:ilvl w:val="0"/>
          <w:numId w:val="67"/>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الصوامع التنظيمية (</w:t>
      </w:r>
      <w:r w:rsidRPr="005D70B4">
        <w:rPr>
          <w:rStyle w:val="Strong"/>
          <w:rFonts w:ascii="Simplified Arabic" w:hAnsi="Simplified Arabic" w:cs="Simplified Arabic" w:hint="cs"/>
          <w:color w:val="1B1C1D"/>
          <w:sz w:val="32"/>
          <w:szCs w:val="32"/>
          <w:bdr w:val="none" w:sz="0" w:space="0" w:color="auto" w:frame="1"/>
        </w:rPr>
        <w:t>Organizational Silos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غالبًا ما تكون الأقسام المختلفة (المخاطر، الامتثال، التدقيق) تعمل بمعزل عن بعضها البعض، ولها أهداف وميزانيات منفصلة. كسر هذه الصوامع يتطلب تغييرًا ثقافيًا وجهدًا إداريًا كبيرًا.</w:t>
      </w:r>
    </w:p>
    <w:p w14:paraId="326D9F80" w14:textId="77777777" w:rsidR="00C84CF4" w:rsidRPr="005D70B4" w:rsidRDefault="00C84CF4" w:rsidP="005D70B4">
      <w:pPr>
        <w:pStyle w:val="NormalWeb"/>
        <w:numPr>
          <w:ilvl w:val="0"/>
          <w:numId w:val="67"/>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نقص التكنولوجيا المتكاملة (</w:t>
      </w:r>
      <w:r w:rsidRPr="005D70B4">
        <w:rPr>
          <w:rStyle w:val="Strong"/>
          <w:rFonts w:ascii="Simplified Arabic" w:hAnsi="Simplified Arabic" w:cs="Simplified Arabic" w:hint="cs"/>
          <w:color w:val="1B1C1D"/>
          <w:sz w:val="32"/>
          <w:szCs w:val="32"/>
          <w:bdr w:val="none" w:sz="0" w:space="0" w:color="auto" w:frame="1"/>
        </w:rPr>
        <w:t>Lack of Integrated Technology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قد تعتمد المؤسسات على أنظمة قديمة أو منفصلة لكل وظيفة، مما يجعل دمج البيانات والعمليات أمرًا صعبًا ومكلفًا.</w:t>
      </w:r>
    </w:p>
    <w:p w14:paraId="328CC545" w14:textId="77777777" w:rsidR="00C84CF4" w:rsidRPr="005D70B4" w:rsidRDefault="00C84CF4" w:rsidP="005D70B4">
      <w:pPr>
        <w:pStyle w:val="NormalWeb"/>
        <w:numPr>
          <w:ilvl w:val="0"/>
          <w:numId w:val="67"/>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مقاومة التغيير (</w:t>
      </w:r>
      <w:r w:rsidRPr="005D70B4">
        <w:rPr>
          <w:rStyle w:val="Strong"/>
          <w:rFonts w:ascii="Simplified Arabic" w:hAnsi="Simplified Arabic" w:cs="Simplified Arabic" w:hint="cs"/>
          <w:color w:val="1B1C1D"/>
          <w:sz w:val="32"/>
          <w:szCs w:val="32"/>
          <w:bdr w:val="none" w:sz="0" w:space="0" w:color="auto" w:frame="1"/>
        </w:rPr>
        <w:t>Resistance to Change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قد يقاوم الموظفون التغييرات في أدوارهم ومسؤولياتهم وعملياتهم التي تأتي مع تبني نهج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متكامل.</w:t>
      </w:r>
    </w:p>
    <w:p w14:paraId="5D78C4C0" w14:textId="77777777" w:rsidR="00C84CF4" w:rsidRPr="005D70B4" w:rsidRDefault="00C84CF4" w:rsidP="005D70B4">
      <w:pPr>
        <w:pStyle w:val="NormalWeb"/>
        <w:numPr>
          <w:ilvl w:val="0"/>
          <w:numId w:val="67"/>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التعقيد في تحديد الملكية (</w:t>
      </w:r>
      <w:r w:rsidRPr="005D70B4">
        <w:rPr>
          <w:rStyle w:val="Strong"/>
          <w:rFonts w:ascii="Simplified Arabic" w:hAnsi="Simplified Arabic" w:cs="Simplified Arabic" w:hint="cs"/>
          <w:color w:val="1B1C1D"/>
          <w:sz w:val="32"/>
          <w:szCs w:val="32"/>
          <w:bdr w:val="none" w:sz="0" w:space="0" w:color="auto" w:frame="1"/>
        </w:rPr>
        <w:t>Complexity in Ownership</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قد يكون من الصعب تحديد من يمتلك المسؤولية النهائية لبعض جوانب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المشتركة.</w:t>
      </w:r>
    </w:p>
    <w:p w14:paraId="7D20EE09" w14:textId="77777777" w:rsidR="00C84CF4" w:rsidRPr="005D70B4" w:rsidRDefault="00C84CF4" w:rsidP="005D70B4">
      <w:pPr>
        <w:pStyle w:val="NormalWeb"/>
        <w:numPr>
          <w:ilvl w:val="0"/>
          <w:numId w:val="67"/>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نقص الميزانية والخبرة:</w:t>
      </w:r>
      <w:r w:rsidRPr="005D70B4">
        <w:rPr>
          <w:rFonts w:ascii="Simplified Arabic" w:hAnsi="Simplified Arabic" w:cs="Simplified Arabic" w:hint="cs"/>
          <w:color w:val="1B1C1D"/>
          <w:sz w:val="32"/>
          <w:szCs w:val="32"/>
          <w:rtl/>
        </w:rPr>
        <w:t xml:space="preserve"> قد يتطلب الاستثمار في حلول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المتكاملة والموظفين ذوي الخبرة ميزانية كبيرة، وهو ما قد لا يكون متاحًا دائمًا.</w:t>
      </w:r>
    </w:p>
    <w:p w14:paraId="7358CBDF"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 xml:space="preserve">أهمية البنية التحتية التكنولوجية لـ </w:t>
      </w:r>
      <w:r w:rsidRPr="005D70B4">
        <w:rPr>
          <w:rFonts w:ascii="Simplified Arabic" w:eastAsia="Times New Roman" w:hAnsi="Simplified Arabic" w:cs="Simplified Arabic" w:hint="cs"/>
          <w:color w:val="1B1C1D"/>
          <w:sz w:val="32"/>
          <w:szCs w:val="32"/>
        </w:rPr>
        <w:t>GRC</w:t>
      </w:r>
    </w:p>
    <w:p w14:paraId="30922CEA" w14:textId="77777777" w:rsidR="00C84CF4" w:rsidRPr="005D70B4" w:rsidRDefault="00C84CF4" w:rsidP="005D70B4">
      <w:pPr>
        <w:pStyle w:val="NormalWeb"/>
        <w:bidi/>
        <w:spacing w:before="0" w:beforeAutospacing="0" w:after="12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تلعب البنية التحتية التكنولوجية دوراً حاسماً في نجاح 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المتكامل:</w:t>
      </w:r>
    </w:p>
    <w:p w14:paraId="72D1CD12" w14:textId="77777777" w:rsidR="00C84CF4" w:rsidRPr="005D70B4" w:rsidRDefault="00C84CF4" w:rsidP="005D70B4">
      <w:pPr>
        <w:pStyle w:val="NormalWeb"/>
        <w:numPr>
          <w:ilvl w:val="0"/>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 xml:space="preserve">أنظمة إدارة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المتكاملة (</w:t>
      </w:r>
      <w:r w:rsidRPr="005D70B4">
        <w:rPr>
          <w:rStyle w:val="Strong"/>
          <w:rFonts w:ascii="Simplified Arabic" w:hAnsi="Simplified Arabic" w:cs="Simplified Arabic" w:hint="cs"/>
          <w:color w:val="1B1C1D"/>
          <w:sz w:val="32"/>
          <w:szCs w:val="32"/>
          <w:bdr w:val="none" w:sz="0" w:space="0" w:color="auto" w:frame="1"/>
        </w:rPr>
        <w:t>Integrated GRC Software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توفر منصة موحدة لإدارة السياسات، المخاطر، الضوابط، الحوادث، متطلبات الامتثال، وعمليات التدقيق. تساعد هذه الأنظمة على:</w:t>
      </w:r>
    </w:p>
    <w:p w14:paraId="75B510FD" w14:textId="77777777" w:rsidR="00C84CF4" w:rsidRPr="005D70B4" w:rsidRDefault="00C84CF4" w:rsidP="005D70B4">
      <w:pPr>
        <w:pStyle w:val="NormalWeb"/>
        <w:numPr>
          <w:ilvl w:val="1"/>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مركزية البيانات:</w:t>
      </w:r>
      <w:r w:rsidRPr="005D70B4">
        <w:rPr>
          <w:rFonts w:ascii="Simplified Arabic" w:hAnsi="Simplified Arabic" w:cs="Simplified Arabic" w:hint="cs"/>
          <w:color w:val="1B1C1D"/>
          <w:sz w:val="32"/>
          <w:szCs w:val="32"/>
          <w:rtl/>
        </w:rPr>
        <w:t xml:space="preserve"> جمع وتخزين جميع البيانات ذات الصلة بـ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في مكان واحد.</w:t>
      </w:r>
    </w:p>
    <w:p w14:paraId="3E59B7DD" w14:textId="77777777" w:rsidR="00C84CF4" w:rsidRPr="005D70B4" w:rsidRDefault="00C84CF4" w:rsidP="005D70B4">
      <w:pPr>
        <w:pStyle w:val="NormalWeb"/>
        <w:numPr>
          <w:ilvl w:val="1"/>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الأتمتة:</w:t>
      </w:r>
      <w:r w:rsidRPr="005D70B4">
        <w:rPr>
          <w:rFonts w:ascii="Simplified Arabic" w:hAnsi="Simplified Arabic" w:cs="Simplified Arabic" w:hint="cs"/>
          <w:color w:val="1B1C1D"/>
          <w:sz w:val="32"/>
          <w:szCs w:val="32"/>
          <w:rtl/>
        </w:rPr>
        <w:t xml:space="preserve"> أتمتة العديد من المهام الروتينية للامتثال وإدارة المخاطر.</w:t>
      </w:r>
    </w:p>
    <w:p w14:paraId="12EF802A" w14:textId="77777777" w:rsidR="00C84CF4" w:rsidRPr="005D70B4" w:rsidRDefault="00C84CF4" w:rsidP="005D70B4">
      <w:pPr>
        <w:pStyle w:val="NormalWeb"/>
        <w:numPr>
          <w:ilvl w:val="1"/>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التقارير ولوحات المعلومات (</w:t>
      </w:r>
      <w:r w:rsidRPr="005D70B4">
        <w:rPr>
          <w:rStyle w:val="Strong"/>
          <w:rFonts w:ascii="Simplified Arabic" w:hAnsi="Simplified Arabic" w:cs="Simplified Arabic" w:hint="cs"/>
          <w:color w:val="1B1C1D"/>
          <w:sz w:val="32"/>
          <w:szCs w:val="32"/>
          <w:bdr w:val="none" w:sz="0" w:space="0" w:color="auto" w:frame="1"/>
        </w:rPr>
        <w:t>Dashboards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توفير رؤية فورية وواضحة للمخاطر وحالة الامتثال من خلال تقارير ولوحات معلومات مخصصة.</w:t>
      </w:r>
    </w:p>
    <w:p w14:paraId="09148DCC" w14:textId="77777777" w:rsidR="00C84CF4" w:rsidRPr="005D70B4" w:rsidRDefault="00C84CF4" w:rsidP="005D70B4">
      <w:pPr>
        <w:pStyle w:val="NormalWeb"/>
        <w:numPr>
          <w:ilvl w:val="1"/>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إدارة سير العمل (</w:t>
      </w:r>
      <w:r w:rsidRPr="005D70B4">
        <w:rPr>
          <w:rStyle w:val="Strong"/>
          <w:rFonts w:ascii="Simplified Arabic" w:hAnsi="Simplified Arabic" w:cs="Simplified Arabic" w:hint="cs"/>
          <w:color w:val="1B1C1D"/>
          <w:sz w:val="32"/>
          <w:szCs w:val="32"/>
          <w:bdr w:val="none" w:sz="0" w:space="0" w:color="auto" w:frame="1"/>
        </w:rPr>
        <w:t>Workflow Management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تبسيط العمليات وتخصيص المهام وتتبع التقدم.</w:t>
      </w:r>
    </w:p>
    <w:p w14:paraId="749089F9" w14:textId="77777777" w:rsidR="00C84CF4" w:rsidRPr="005D70B4" w:rsidRDefault="00C84CF4" w:rsidP="005D70B4">
      <w:pPr>
        <w:pStyle w:val="NormalWeb"/>
        <w:numPr>
          <w:ilvl w:val="0"/>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الذكاء الاصطناعي والتعلم الآلي (</w:t>
      </w:r>
      <w:r w:rsidRPr="005D70B4">
        <w:rPr>
          <w:rStyle w:val="Strong"/>
          <w:rFonts w:ascii="Simplified Arabic" w:hAnsi="Simplified Arabic" w:cs="Simplified Arabic" w:hint="cs"/>
          <w:color w:val="1B1C1D"/>
          <w:sz w:val="32"/>
          <w:szCs w:val="32"/>
          <w:bdr w:val="none" w:sz="0" w:space="0" w:color="auto" w:frame="1"/>
        </w:rPr>
        <w:t>AI</w:t>
      </w:r>
      <w:r w:rsidRPr="005D70B4">
        <w:rPr>
          <w:rStyle w:val="Strong"/>
          <w:rFonts w:ascii="Simplified Arabic" w:hAnsi="Simplified Arabic" w:cs="Simplified Arabic" w:hint="cs"/>
          <w:color w:val="1B1C1D"/>
          <w:sz w:val="32"/>
          <w:szCs w:val="32"/>
          <w:bdr w:val="none" w:sz="0" w:space="0" w:color="auto" w:frame="1"/>
          <w:rtl/>
        </w:rPr>
        <w:t xml:space="preserve"> &amp; </w:t>
      </w:r>
      <w:r w:rsidRPr="005D70B4">
        <w:rPr>
          <w:rStyle w:val="Strong"/>
          <w:rFonts w:ascii="Simplified Arabic" w:hAnsi="Simplified Arabic" w:cs="Simplified Arabic" w:hint="cs"/>
          <w:color w:val="1B1C1D"/>
          <w:sz w:val="32"/>
          <w:szCs w:val="32"/>
          <w:bdr w:val="none" w:sz="0" w:space="0" w:color="auto" w:frame="1"/>
        </w:rPr>
        <w:t>Machine Learning</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يمكن استخدامها لتحليل كميات هائلة من البيانات لتحديد الأنماط الشاذة، الكشف عن الاحتيال، توقع المخاطر، وتحسين كفاءة عمليات الامتثال.</w:t>
      </w:r>
    </w:p>
    <w:p w14:paraId="6809FE81" w14:textId="77777777" w:rsidR="00C84CF4" w:rsidRPr="005D70B4" w:rsidRDefault="00C84CF4" w:rsidP="005D70B4">
      <w:pPr>
        <w:pStyle w:val="NormalWeb"/>
        <w:numPr>
          <w:ilvl w:val="0"/>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تحليلات البيانات (</w:t>
      </w:r>
      <w:r w:rsidRPr="005D70B4">
        <w:rPr>
          <w:rStyle w:val="Strong"/>
          <w:rFonts w:ascii="Simplified Arabic" w:hAnsi="Simplified Arabic" w:cs="Simplified Arabic" w:hint="cs"/>
          <w:color w:val="1B1C1D"/>
          <w:sz w:val="32"/>
          <w:szCs w:val="32"/>
          <w:bdr w:val="none" w:sz="0" w:space="0" w:color="auto" w:frame="1"/>
        </w:rPr>
        <w:t>Data Analytics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تسمح بتحليل البيانات المتعلقة بالمخاطر والخسائر والامتثال لتحديد الاتجاهات وتوفير رؤى استراتيجية.</w:t>
      </w:r>
    </w:p>
    <w:p w14:paraId="62758E07" w14:textId="77777777" w:rsidR="00C84CF4" w:rsidRPr="005D70B4" w:rsidRDefault="00C84CF4" w:rsidP="005D70B4">
      <w:pPr>
        <w:pStyle w:val="NormalWeb"/>
        <w:numPr>
          <w:ilvl w:val="0"/>
          <w:numId w:val="68"/>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الأمن السيبراني (</w:t>
      </w:r>
      <w:r w:rsidRPr="005D70B4">
        <w:rPr>
          <w:rStyle w:val="Strong"/>
          <w:rFonts w:ascii="Simplified Arabic" w:hAnsi="Simplified Arabic" w:cs="Simplified Arabic" w:hint="cs"/>
          <w:color w:val="1B1C1D"/>
          <w:sz w:val="32"/>
          <w:szCs w:val="32"/>
          <w:bdr w:val="none" w:sz="0" w:space="0" w:color="auto" w:frame="1"/>
        </w:rPr>
        <w:t>Cybersecurity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أنظمة أمن المعلومات القوية ضرورية لحماية بيانات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الحساسة وضمان سلامة الأنظمة.</w:t>
      </w:r>
    </w:p>
    <w:p w14:paraId="52D68359" w14:textId="77777777" w:rsidR="00C84CF4" w:rsidRPr="005D70B4" w:rsidRDefault="00C84CF4" w:rsidP="005D70B4">
      <w:pPr>
        <w:pStyle w:val="Heading2"/>
        <w:spacing w:before="0" w:after="120" w:line="360" w:lineRule="auto"/>
        <w:divId w:val="1814521841"/>
        <w:rPr>
          <w:rFonts w:ascii="Simplified Arabic" w:eastAsia="Times New Roman" w:hAnsi="Simplified Arabic" w:cs="Simplified Arabic"/>
          <w:color w:val="1B1C1D"/>
          <w:rtl/>
        </w:rPr>
      </w:pPr>
      <w:r w:rsidRPr="005D70B4">
        <w:rPr>
          <w:rFonts w:ascii="Simplified Arabic" w:eastAsia="Times New Roman" w:hAnsi="Simplified Arabic" w:cs="Simplified Arabic" w:hint="cs"/>
          <w:color w:val="1B1C1D"/>
          <w:rtl/>
        </w:rPr>
        <w:t>6. كفاءة الأداء التشغيلي في المنشآت المالية</w:t>
      </w:r>
    </w:p>
    <w:p w14:paraId="0A79E140"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مفهوم كفاءة الأداء التشغيلي</w:t>
      </w:r>
    </w:p>
    <w:p w14:paraId="00C307A8" w14:textId="77777777" w:rsidR="00C84CF4" w:rsidRPr="005D70B4" w:rsidRDefault="00C84CF4" w:rsidP="005D70B4">
      <w:pPr>
        <w:pStyle w:val="NormalWeb"/>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كفاءة الأداء التشغيلي (</w:t>
      </w:r>
      <w:r w:rsidRPr="005D70B4">
        <w:rPr>
          <w:rStyle w:val="Strong"/>
          <w:rFonts w:ascii="Simplified Arabic" w:hAnsi="Simplified Arabic" w:cs="Simplified Arabic" w:hint="cs"/>
          <w:color w:val="1B1C1D"/>
          <w:sz w:val="32"/>
          <w:szCs w:val="32"/>
          <w:bdr w:val="none" w:sz="0" w:space="0" w:color="auto" w:frame="1"/>
        </w:rPr>
        <w:t>Operational Performance Efficiency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في المنشآت المالية تعني القدرة على تحقيق أهداف العمليات التشغيلية (مثل تقديم الخدمات المصرفية، معالجة المعاملات، إدارة الحسابات) بأقل قدر ممكن من الموارد (الوقت، المال، الجهد البشري)، مع الحفاظ على مستويات عالية من الجودة والدقة والامتثال. بعبارة أخرى، هي القيام بالعمليات "بالطريقة الصحيحة" و"بأقل تكلفة".</w:t>
      </w:r>
    </w:p>
    <w:p w14:paraId="55095C5F" w14:textId="77777777" w:rsidR="00C84CF4" w:rsidRPr="005D70B4" w:rsidRDefault="00C84CF4" w:rsidP="005D70B4">
      <w:pPr>
        <w:pStyle w:val="NormalWeb"/>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مؤشراتها الرئيسية في سياق المنشآت المالية:</w:t>
      </w:r>
    </w:p>
    <w:p w14:paraId="63298606" w14:textId="77777777" w:rsidR="00C84CF4" w:rsidRPr="005D70B4" w:rsidRDefault="00C84CF4" w:rsidP="005D70B4">
      <w:pPr>
        <w:pStyle w:val="NormalWeb"/>
        <w:numPr>
          <w:ilvl w:val="0"/>
          <w:numId w:val="69"/>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سرعة المعاملات (</w:t>
      </w:r>
      <w:r w:rsidRPr="005D70B4">
        <w:rPr>
          <w:rStyle w:val="Strong"/>
          <w:rFonts w:ascii="Simplified Arabic" w:hAnsi="Simplified Arabic" w:cs="Simplified Arabic" w:hint="cs"/>
          <w:color w:val="1B1C1D"/>
          <w:sz w:val="32"/>
          <w:szCs w:val="32"/>
          <w:bdr w:val="none" w:sz="0" w:space="0" w:color="auto" w:frame="1"/>
        </w:rPr>
        <w:t>Transaction Speed</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متوسط الوقت المستغرق لإتمام معاملة معينة (مثل فتح حساب جديد، الموافقة على قرض، تنفيذ حوالة).</w:t>
      </w:r>
    </w:p>
    <w:p w14:paraId="4B076D7E" w14:textId="77777777" w:rsidR="00C84CF4" w:rsidRPr="005D70B4" w:rsidRDefault="00C84CF4" w:rsidP="005D70B4">
      <w:pPr>
        <w:pStyle w:val="NormalWeb"/>
        <w:numPr>
          <w:ilvl w:val="0"/>
          <w:numId w:val="69"/>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تقليل الأخطاء (</w:t>
      </w:r>
      <w:r w:rsidRPr="005D70B4">
        <w:rPr>
          <w:rStyle w:val="Strong"/>
          <w:rFonts w:ascii="Simplified Arabic" w:hAnsi="Simplified Arabic" w:cs="Simplified Arabic" w:hint="cs"/>
          <w:color w:val="1B1C1D"/>
          <w:sz w:val="32"/>
          <w:szCs w:val="32"/>
          <w:bdr w:val="none" w:sz="0" w:space="0" w:color="auto" w:frame="1"/>
        </w:rPr>
        <w:t>Error Reduction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عدد الأخطاء لكل عملية أو لكل معاملة. الأخطاء يمكن أن تؤدي إلى خسائر مالية، عدم رضا العملاء، ومشاكل امتثال.</w:t>
      </w:r>
    </w:p>
    <w:p w14:paraId="77006864" w14:textId="77777777" w:rsidR="00C84CF4" w:rsidRPr="005D70B4" w:rsidRDefault="00C84CF4" w:rsidP="005D70B4">
      <w:pPr>
        <w:pStyle w:val="NormalWeb"/>
        <w:numPr>
          <w:ilvl w:val="0"/>
          <w:numId w:val="69"/>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استخدام الموارد (</w:t>
      </w:r>
      <w:r w:rsidRPr="005D70B4">
        <w:rPr>
          <w:rStyle w:val="Strong"/>
          <w:rFonts w:ascii="Simplified Arabic" w:hAnsi="Simplified Arabic" w:cs="Simplified Arabic" w:hint="cs"/>
          <w:color w:val="1B1C1D"/>
          <w:sz w:val="32"/>
          <w:szCs w:val="32"/>
          <w:bdr w:val="none" w:sz="0" w:space="0" w:color="auto" w:frame="1"/>
        </w:rPr>
        <w:t>Resource Utilization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مدى فعالية استخدام الموارد مثل الموظفين، الأنظمة التكنولوجية، والميزانية. على سبيل المثال، عدد المعاملات التي يمكن معالجتها لكل موظف.</w:t>
      </w:r>
    </w:p>
    <w:p w14:paraId="65B1BA90" w14:textId="77777777" w:rsidR="00C84CF4" w:rsidRPr="005D70B4" w:rsidRDefault="00C84CF4" w:rsidP="005D70B4">
      <w:pPr>
        <w:pStyle w:val="NormalWeb"/>
        <w:numPr>
          <w:ilvl w:val="0"/>
          <w:numId w:val="69"/>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تكلفة الوحدة (</w:t>
      </w:r>
      <w:r w:rsidRPr="005D70B4">
        <w:rPr>
          <w:rStyle w:val="Strong"/>
          <w:rFonts w:ascii="Simplified Arabic" w:hAnsi="Simplified Arabic" w:cs="Simplified Arabic" w:hint="cs"/>
          <w:color w:val="1B1C1D"/>
          <w:sz w:val="32"/>
          <w:szCs w:val="32"/>
          <w:bdr w:val="none" w:sz="0" w:space="0" w:color="auto" w:frame="1"/>
        </w:rPr>
        <w:t>Cost Per Unit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التكلفة المرتبطة بكل معاملة أو خدمة (مثلاً، تكلفة معالجة كل حوالة).</w:t>
      </w:r>
    </w:p>
    <w:p w14:paraId="6E4F1847" w14:textId="77777777" w:rsidR="00C84CF4" w:rsidRPr="005D70B4" w:rsidRDefault="00C84CF4" w:rsidP="005D70B4">
      <w:pPr>
        <w:pStyle w:val="NormalWeb"/>
        <w:numPr>
          <w:ilvl w:val="0"/>
          <w:numId w:val="69"/>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رضا العملاء (</w:t>
      </w:r>
      <w:r w:rsidRPr="005D70B4">
        <w:rPr>
          <w:rStyle w:val="Strong"/>
          <w:rFonts w:ascii="Simplified Arabic" w:hAnsi="Simplified Arabic" w:cs="Simplified Arabic" w:hint="cs"/>
          <w:color w:val="1B1C1D"/>
          <w:sz w:val="32"/>
          <w:szCs w:val="32"/>
          <w:bdr w:val="none" w:sz="0" w:space="0" w:color="auto" w:frame="1"/>
        </w:rPr>
        <w:t>Customer Satisfaction</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غالبًا ما يكون مؤشرًا غير مباشر للكفاءة، حيث تعكس العمليات الفعالة تجربة أفضل للعميل.</w:t>
      </w:r>
    </w:p>
    <w:p w14:paraId="6B634032" w14:textId="77777777" w:rsidR="00C84CF4" w:rsidRPr="005D70B4" w:rsidRDefault="00C84CF4" w:rsidP="005D70B4">
      <w:pPr>
        <w:pStyle w:val="NormalWeb"/>
        <w:numPr>
          <w:ilvl w:val="0"/>
          <w:numId w:val="69"/>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وقت الدورة (</w:t>
      </w:r>
      <w:r w:rsidRPr="005D70B4">
        <w:rPr>
          <w:rStyle w:val="Strong"/>
          <w:rFonts w:ascii="Simplified Arabic" w:hAnsi="Simplified Arabic" w:cs="Simplified Arabic" w:hint="cs"/>
          <w:color w:val="1B1C1D"/>
          <w:sz w:val="32"/>
          <w:szCs w:val="32"/>
          <w:bdr w:val="none" w:sz="0" w:space="0" w:color="auto" w:frame="1"/>
        </w:rPr>
        <w:t>Cycle Time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الوقت الكلي المستغرق لإكمال عملية من البداية إلى النهاية.</w:t>
      </w:r>
    </w:p>
    <w:p w14:paraId="59A2A74A"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العوامل المؤثرة على كفاءة الأداء</w:t>
      </w:r>
    </w:p>
    <w:p w14:paraId="4FF895BA" w14:textId="77777777" w:rsidR="00C84CF4" w:rsidRPr="005D70B4" w:rsidRDefault="00C84CF4" w:rsidP="005D70B4">
      <w:pPr>
        <w:pStyle w:val="NormalWeb"/>
        <w:bidi/>
        <w:spacing w:before="0" w:beforeAutospacing="0" w:after="12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تتأثر كفاءة الأداء التشغيلي بمجموعة من العوامل المترابطة:</w:t>
      </w:r>
    </w:p>
    <w:p w14:paraId="0E94E43A" w14:textId="77777777" w:rsidR="00C84CF4" w:rsidRPr="005D70B4" w:rsidRDefault="00C84CF4" w:rsidP="005D70B4">
      <w:pPr>
        <w:pStyle w:val="NormalWeb"/>
        <w:numPr>
          <w:ilvl w:val="0"/>
          <w:numId w:val="70"/>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التكنولوجيا (</w:t>
      </w:r>
      <w:r w:rsidRPr="005D70B4">
        <w:rPr>
          <w:rStyle w:val="Strong"/>
          <w:rFonts w:ascii="Simplified Arabic" w:hAnsi="Simplified Arabic" w:cs="Simplified Arabic" w:hint="cs"/>
          <w:color w:val="1B1C1D"/>
          <w:sz w:val="32"/>
          <w:szCs w:val="32"/>
          <w:bdr w:val="none" w:sz="0" w:space="0" w:color="auto" w:frame="1"/>
        </w:rPr>
        <w:t>Technology</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استخدام أنظمة تكنولوجية حديثة ومتكاملة (مثل أنظمة إدارة علاقات العملاء </w:t>
      </w:r>
      <w:r w:rsidRPr="005D70B4">
        <w:rPr>
          <w:rFonts w:ascii="Simplified Arabic" w:hAnsi="Simplified Arabic" w:cs="Simplified Arabic" w:hint="cs"/>
          <w:color w:val="1B1C1D"/>
          <w:sz w:val="32"/>
          <w:szCs w:val="32"/>
        </w:rPr>
        <w:t>CRM</w:t>
      </w:r>
      <w:r w:rsidRPr="005D70B4">
        <w:rPr>
          <w:rFonts w:ascii="Simplified Arabic" w:hAnsi="Simplified Arabic" w:cs="Simplified Arabic" w:hint="cs"/>
          <w:color w:val="1B1C1D"/>
          <w:sz w:val="32"/>
          <w:szCs w:val="32"/>
          <w:rtl/>
        </w:rPr>
        <w:t xml:space="preserve">، أنظمة التخطيط لموارد المؤسسة </w:t>
      </w:r>
      <w:r w:rsidRPr="005D70B4">
        <w:rPr>
          <w:rFonts w:ascii="Simplified Arabic" w:hAnsi="Simplified Arabic" w:cs="Simplified Arabic" w:hint="cs"/>
          <w:color w:val="1B1C1D"/>
          <w:sz w:val="32"/>
          <w:szCs w:val="32"/>
        </w:rPr>
        <w:t>ERP</w:t>
      </w:r>
      <w:r w:rsidRPr="005D70B4">
        <w:rPr>
          <w:rFonts w:ascii="Simplified Arabic" w:hAnsi="Simplified Arabic" w:cs="Simplified Arabic" w:hint="cs"/>
          <w:color w:val="1B1C1D"/>
          <w:sz w:val="32"/>
          <w:szCs w:val="32"/>
          <w:rtl/>
        </w:rPr>
        <w:t>، الذكاء الاصطناعي) يمكن أن يزيد بشكل كبير من سرعة ودقة العمليات ويقلل من الحاجة إلى التدخل البشري.</w:t>
      </w:r>
    </w:p>
    <w:p w14:paraId="01044EE1" w14:textId="77777777" w:rsidR="00C84CF4" w:rsidRPr="005D70B4" w:rsidRDefault="00C84CF4" w:rsidP="005D70B4">
      <w:pPr>
        <w:pStyle w:val="NormalWeb"/>
        <w:numPr>
          <w:ilvl w:val="0"/>
          <w:numId w:val="70"/>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الموارد البشرية (</w:t>
      </w:r>
      <w:r w:rsidRPr="005D70B4">
        <w:rPr>
          <w:rStyle w:val="Strong"/>
          <w:rFonts w:ascii="Simplified Arabic" w:hAnsi="Simplified Arabic" w:cs="Simplified Arabic" w:hint="cs"/>
          <w:color w:val="1B1C1D"/>
          <w:sz w:val="32"/>
          <w:szCs w:val="32"/>
          <w:bdr w:val="none" w:sz="0" w:space="0" w:color="auto" w:frame="1"/>
        </w:rPr>
        <w:t>Human Resources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الكفاءة والتدريب والتحفيز للموظفين تؤثر بشكل مباشر على جودة وسرعة العمليات. الموظفون المدربون جيدًا يرتكبون أخطاء أقل ويعملون بكفاءة أكبر.</w:t>
      </w:r>
    </w:p>
    <w:p w14:paraId="1D52BDFF" w14:textId="77777777" w:rsidR="00C84CF4" w:rsidRPr="005D70B4" w:rsidRDefault="00C84CF4" w:rsidP="005D70B4">
      <w:pPr>
        <w:pStyle w:val="NormalWeb"/>
        <w:numPr>
          <w:ilvl w:val="0"/>
          <w:numId w:val="70"/>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العمليات (</w:t>
      </w:r>
      <w:r w:rsidRPr="005D70B4">
        <w:rPr>
          <w:rStyle w:val="Strong"/>
          <w:rFonts w:ascii="Simplified Arabic" w:hAnsi="Simplified Arabic" w:cs="Simplified Arabic" w:hint="cs"/>
          <w:color w:val="1B1C1D"/>
          <w:sz w:val="32"/>
          <w:szCs w:val="32"/>
          <w:bdr w:val="none" w:sz="0" w:space="0" w:color="auto" w:frame="1"/>
        </w:rPr>
        <w:t>Processes</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تصميم العمليات بشكل فعال ومبسط، وتوثيقها بوضوح، وإزالة الخطوات غير الضرورية، كلها تساهم في زيادة الكفاءة. العمليات المعقدة والبيروقراطية تقتل الكفاءة.</w:t>
      </w:r>
    </w:p>
    <w:p w14:paraId="0A4F9238" w14:textId="77777777" w:rsidR="00C84CF4" w:rsidRPr="005D70B4" w:rsidRDefault="00C84CF4" w:rsidP="005D70B4">
      <w:pPr>
        <w:pStyle w:val="NormalWeb"/>
        <w:numPr>
          <w:ilvl w:val="0"/>
          <w:numId w:val="70"/>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الهيكل التنظيمي (</w:t>
      </w:r>
      <w:r w:rsidRPr="005D70B4">
        <w:rPr>
          <w:rStyle w:val="Strong"/>
          <w:rFonts w:ascii="Simplified Arabic" w:hAnsi="Simplified Arabic" w:cs="Simplified Arabic" w:hint="cs"/>
          <w:color w:val="1B1C1D"/>
          <w:sz w:val="32"/>
          <w:szCs w:val="32"/>
          <w:bdr w:val="none" w:sz="0" w:space="0" w:color="auto" w:frame="1"/>
        </w:rPr>
        <w:t>Organizational Structure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هيكل تنظيمي مرن ومسطح يشجع على التواصل والتعاون يمكن أن يحسن الكفاءة. الهياكل الهرمية الصلبة يمكن أن تعيق تدفق المعلومات واتخاذ القرار.</w:t>
      </w:r>
    </w:p>
    <w:p w14:paraId="29A91E43" w14:textId="77777777" w:rsidR="00C84CF4" w:rsidRPr="005D70B4" w:rsidRDefault="00C84CF4" w:rsidP="005D70B4">
      <w:pPr>
        <w:pStyle w:val="NormalWeb"/>
        <w:numPr>
          <w:ilvl w:val="0"/>
          <w:numId w:val="70"/>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الثقافة المؤسسية (</w:t>
      </w:r>
      <w:r w:rsidRPr="005D70B4">
        <w:rPr>
          <w:rStyle w:val="Strong"/>
          <w:rFonts w:ascii="Simplified Arabic" w:hAnsi="Simplified Arabic" w:cs="Simplified Arabic" w:hint="cs"/>
          <w:color w:val="1B1C1D"/>
          <w:sz w:val="32"/>
          <w:szCs w:val="32"/>
          <w:bdr w:val="none" w:sz="0" w:space="0" w:color="auto" w:frame="1"/>
        </w:rPr>
        <w:t>Organizational Culture</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ثقافة تشجع على التحسين المستمر، وتبني التغيير، والتركيز على العميل، تدعم الكفاءة التشغيلية.</w:t>
      </w:r>
    </w:p>
    <w:p w14:paraId="57FABD1A" w14:textId="77777777" w:rsidR="00C84CF4" w:rsidRPr="005D70B4" w:rsidRDefault="00C84CF4" w:rsidP="005D70B4">
      <w:pPr>
        <w:pStyle w:val="NormalWeb"/>
        <w:numPr>
          <w:ilvl w:val="0"/>
          <w:numId w:val="70"/>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إدارة البيانات (</w:t>
      </w:r>
      <w:r w:rsidRPr="005D70B4">
        <w:rPr>
          <w:rStyle w:val="Strong"/>
          <w:rFonts w:ascii="Simplified Arabic" w:hAnsi="Simplified Arabic" w:cs="Simplified Arabic" w:hint="cs"/>
          <w:color w:val="1B1C1D"/>
          <w:sz w:val="32"/>
          <w:szCs w:val="32"/>
          <w:bdr w:val="none" w:sz="0" w:space="0" w:color="auto" w:frame="1"/>
        </w:rPr>
        <w:t>Data Management</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توافر بيانات دقيقة وحديثة ومنظمة أمر حاسم لاتخاذ قرارات فعالة وتحسين العمليات.</w:t>
      </w:r>
    </w:p>
    <w:p w14:paraId="49357EF3" w14:textId="77777777" w:rsidR="00C84CF4" w:rsidRPr="005D70B4" w:rsidRDefault="00C84CF4" w:rsidP="005D70B4">
      <w:pPr>
        <w:pStyle w:val="Heading3"/>
        <w:spacing w:before="0" w:after="120" w:line="360" w:lineRule="auto"/>
        <w:divId w:val="1814521841"/>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نماذج قياس الأداء التشغيلي</w:t>
      </w:r>
    </w:p>
    <w:p w14:paraId="2454131C" w14:textId="77777777" w:rsidR="00C84CF4" w:rsidRPr="005D70B4" w:rsidRDefault="00C84CF4" w:rsidP="005D70B4">
      <w:pPr>
        <w:pStyle w:val="NormalWeb"/>
        <w:bidi/>
        <w:spacing w:before="0" w:beforeAutospacing="0" w:after="120" w:afterAutospacing="0" w:line="360" w:lineRule="auto"/>
        <w:divId w:val="1814521841"/>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تستخدم المؤسسات المالية نماذج مختلفة لقياس وتقييم الأداء التشغيلي، منها:</w:t>
      </w:r>
    </w:p>
    <w:p w14:paraId="486DE30D" w14:textId="77777777" w:rsidR="00C84CF4" w:rsidRPr="005D70B4" w:rsidRDefault="00C84CF4" w:rsidP="005D70B4">
      <w:pPr>
        <w:pStyle w:val="NormalWeb"/>
        <w:numPr>
          <w:ilvl w:val="0"/>
          <w:numId w:val="71"/>
        </w:numPr>
        <w:bidi/>
        <w:spacing w:before="0" w:beforeAutospacing="0" w:after="0" w:afterAutospacing="0" w:line="360" w:lineRule="auto"/>
        <w:divId w:val="1814521841"/>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بطاقة الأداء المتوازن (</w:t>
      </w:r>
      <w:r w:rsidRPr="005D70B4">
        <w:rPr>
          <w:rStyle w:val="Strong"/>
          <w:rFonts w:ascii="Simplified Arabic" w:hAnsi="Simplified Arabic" w:cs="Simplified Arabic" w:hint="cs"/>
          <w:color w:val="1B1C1D"/>
          <w:sz w:val="32"/>
          <w:szCs w:val="32"/>
          <w:bdr w:val="none" w:sz="0" w:space="0" w:color="auto" w:frame="1"/>
        </w:rPr>
        <w:t>Balanced Scorecard</w:t>
      </w:r>
      <w:r w:rsidRPr="005D70B4">
        <w:rPr>
          <w:rStyle w:val="Strong"/>
          <w:rFonts w:ascii="Simplified Arabic" w:hAnsi="Simplified Arabic" w:cs="Simplified Arabic" w:hint="cs"/>
          <w:color w:val="1B1C1D"/>
          <w:sz w:val="32"/>
          <w:szCs w:val="32"/>
          <w:bdr w:val="none" w:sz="0" w:space="0" w:color="auto" w:frame="1"/>
          <w:rtl/>
        </w:rPr>
        <w:t>):</w:t>
      </w:r>
      <w:r w:rsidRPr="005D70B4">
        <w:rPr>
          <w:rFonts w:ascii="Simplified Arabic" w:hAnsi="Simplified Arabic" w:cs="Simplified Arabic" w:hint="cs"/>
          <w:color w:val="1B1C1D"/>
          <w:sz w:val="32"/>
          <w:szCs w:val="32"/>
          <w:rtl/>
        </w:rPr>
        <w:t xml:space="preserve"> نموذج شامل يقيس الأداء ليس فقط من المنظور المالي، ولكن أيضًا من منظور العملاء، العمليات الداخلية، </w:t>
      </w:r>
      <w:r w:rsidRPr="005D70B4">
        <w:rPr>
          <w:rFonts w:ascii="Simplified Arabic" w:hAnsi="Simplified Arabic" w:cs="Simplified Arabic" w:hint="cs"/>
          <w:color w:val="1B1C1D"/>
          <w:sz w:val="32"/>
          <w:szCs w:val="32"/>
          <w:rtl/>
        </w:rPr>
        <w:lastRenderedPageBreak/>
        <w:t>والتعلم والنمو. يسمح بتقييم متوازن للكفاءة التشغيلية وتأثيرها على الأهداف الاستراتيجية.</w:t>
      </w:r>
    </w:p>
    <w:p w14:paraId="15945B7A" w14:textId="77777777" w:rsidR="00E373F3" w:rsidRPr="005D70B4" w:rsidRDefault="00E373F3" w:rsidP="005D70B4">
      <w:pPr>
        <w:pStyle w:val="Heading2"/>
        <w:spacing w:before="0" w:after="120" w:line="360" w:lineRule="auto"/>
        <w:divId w:val="1946188226"/>
        <w:rPr>
          <w:rFonts w:ascii="Simplified Arabic" w:eastAsia="Times New Roman" w:hAnsi="Simplified Arabic" w:cs="Simplified Arabic"/>
          <w:color w:val="1B1C1D"/>
          <w:kern w:val="0"/>
          <w14:ligatures w14:val="none"/>
        </w:rPr>
      </w:pPr>
      <w:r w:rsidRPr="005D70B4">
        <w:rPr>
          <w:rFonts w:ascii="Simplified Arabic" w:eastAsia="Times New Roman" w:hAnsi="Simplified Arabic" w:cs="Simplified Arabic" w:hint="cs"/>
          <w:color w:val="1B1C1D"/>
          <w:rtl/>
        </w:rPr>
        <w:t xml:space="preserve">7. تأثير </w:t>
      </w:r>
      <w:r w:rsidRPr="005D70B4">
        <w:rPr>
          <w:rFonts w:ascii="Simplified Arabic" w:eastAsia="Times New Roman" w:hAnsi="Simplified Arabic" w:cs="Simplified Arabic" w:hint="cs"/>
          <w:color w:val="1B1C1D"/>
        </w:rPr>
        <w:t>GRC</w:t>
      </w:r>
      <w:r w:rsidRPr="005D70B4">
        <w:rPr>
          <w:rFonts w:ascii="Simplified Arabic" w:eastAsia="Times New Roman" w:hAnsi="Simplified Arabic" w:cs="Simplified Arabic" w:hint="cs"/>
          <w:color w:val="1B1C1D"/>
          <w:rtl/>
        </w:rPr>
        <w:t xml:space="preserve"> على كفاءة الأداء التشغيلي</w:t>
      </w:r>
    </w:p>
    <w:p w14:paraId="778608EB" w14:textId="77777777" w:rsidR="00E373F3" w:rsidRPr="005D70B4" w:rsidRDefault="00E373F3" w:rsidP="005D70B4">
      <w:pPr>
        <w:pStyle w:val="NormalWeb"/>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يلعب تطبيق إطار حوكمة المخاطر والامتثال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دورًا محوريًا في تعزيز كفاءة الأداء التشغيلي للمنشآت المالية من خلال عدة جوانب رئيسية:</w:t>
      </w:r>
    </w:p>
    <w:p w14:paraId="6C112903" w14:textId="77777777" w:rsidR="00E373F3" w:rsidRPr="005D70B4" w:rsidRDefault="00E373F3" w:rsidP="005D70B4">
      <w:pPr>
        <w:pStyle w:val="NormalWeb"/>
        <w:numPr>
          <w:ilvl w:val="0"/>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تبسيط العمليات (</w:t>
      </w:r>
      <w:r w:rsidRPr="005D70B4">
        <w:rPr>
          <w:rStyle w:val="Strong"/>
          <w:rFonts w:ascii="Simplified Arabic" w:hAnsi="Simplified Arabic" w:cs="Simplified Arabic" w:hint="cs"/>
          <w:color w:val="1B1C1D"/>
          <w:sz w:val="32"/>
          <w:szCs w:val="32"/>
          <w:bdr w:val="none" w:sz="0" w:space="0" w:color="auto" w:frame="1"/>
        </w:rPr>
        <w:t>Streamlining Processes</w:t>
      </w:r>
      <w:r w:rsidRPr="005D70B4">
        <w:rPr>
          <w:rStyle w:val="Strong"/>
          <w:rFonts w:ascii="Simplified Arabic" w:hAnsi="Simplified Arabic" w:cs="Simplified Arabic" w:hint="cs"/>
          <w:color w:val="1B1C1D"/>
          <w:sz w:val="32"/>
          <w:szCs w:val="32"/>
          <w:bdr w:val="none" w:sz="0" w:space="0" w:color="auto" w:frame="1"/>
          <w:rtl/>
        </w:rPr>
        <w:t>):</w:t>
      </w:r>
    </w:p>
    <w:p w14:paraId="695F4BDA" w14:textId="77777777" w:rsidR="00E373F3" w:rsidRPr="005D70B4" w:rsidRDefault="00E373F3" w:rsidP="005D70B4">
      <w:pPr>
        <w:pStyle w:val="NormalWeb"/>
        <w:numPr>
          <w:ilvl w:val="1"/>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 xml:space="preserve">كيف يسهم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في توحيد العمليات وتبسيطها:</w:t>
      </w:r>
      <w:r w:rsidRPr="005D70B4">
        <w:rPr>
          <w:rFonts w:ascii="Simplified Arabic" w:hAnsi="Simplified Arabic" w:cs="Simplified Arabic" w:hint="cs"/>
          <w:color w:val="1B1C1D"/>
          <w:sz w:val="32"/>
          <w:szCs w:val="32"/>
          <w:rtl/>
        </w:rPr>
        <w:t xml:space="preserve"> يفرض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نهجًا موحدًا لتصميم العمليات التشغيلية وتوثيقها. عندما تدمج المؤسسة الحوكمة والمخاطر والامتثال، فإنها غالبًا ما تكتشف تكرارًا في المهام، وخطوات غير ضرورية، وتضاربًا في الإجراءات عبر الأقسام المختلفة. من خلال عدسة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يمكن تحليل هذه العمليات، وتحديد نقاط الضعف، وإعادة تصميمها لتكون أكثر كفاءة، وأقل عرضة للأخطاء، وأكثر توافقًا مع الأهداف التنظيمية ومتطلبات الامتثال. على سبيل المثال، قد تؤدي مراجعة عملية فتح الحسابات من منظور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إلى تقليل عدد الموافقات المطلوبة أو أتمتة بعض خطوات التحقق من الامتثال، مما يسرع العملية دون المساس بالضوابط.</w:t>
      </w:r>
    </w:p>
    <w:p w14:paraId="07EDDC77" w14:textId="77777777" w:rsidR="00E373F3" w:rsidRPr="005D70B4" w:rsidRDefault="00E373F3" w:rsidP="005D70B4">
      <w:pPr>
        <w:pStyle w:val="NormalWeb"/>
        <w:numPr>
          <w:ilvl w:val="0"/>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تقليل الهدر والأخطاء (</w:t>
      </w:r>
      <w:r w:rsidRPr="005D70B4">
        <w:rPr>
          <w:rStyle w:val="Strong"/>
          <w:rFonts w:ascii="Simplified Arabic" w:hAnsi="Simplified Arabic" w:cs="Simplified Arabic" w:hint="cs"/>
          <w:color w:val="1B1C1D"/>
          <w:sz w:val="32"/>
          <w:szCs w:val="32"/>
          <w:bdr w:val="none" w:sz="0" w:space="0" w:color="auto" w:frame="1"/>
        </w:rPr>
        <w:t>Reducing Waste and Errors</w:t>
      </w:r>
      <w:r w:rsidRPr="005D70B4">
        <w:rPr>
          <w:rStyle w:val="Strong"/>
          <w:rFonts w:ascii="Simplified Arabic" w:hAnsi="Simplified Arabic" w:cs="Simplified Arabic" w:hint="cs"/>
          <w:color w:val="1B1C1D"/>
          <w:sz w:val="32"/>
          <w:szCs w:val="32"/>
          <w:bdr w:val="none" w:sz="0" w:space="0" w:color="auto" w:frame="1"/>
          <w:rtl/>
        </w:rPr>
        <w:t>):</w:t>
      </w:r>
    </w:p>
    <w:p w14:paraId="4B2F74C8" w14:textId="77777777" w:rsidR="00E373F3" w:rsidRPr="005D70B4" w:rsidRDefault="00E373F3" w:rsidP="005D70B4">
      <w:pPr>
        <w:pStyle w:val="NormalWeb"/>
        <w:numPr>
          <w:ilvl w:val="1"/>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 xml:space="preserve">دور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في تحديد ومعالجة نقاط الضعف التي تؤدي إلى الهدر والأخطاء التشغيلية:</w:t>
      </w:r>
      <w:r w:rsidRPr="005D70B4">
        <w:rPr>
          <w:rFonts w:ascii="Simplified Arabic" w:hAnsi="Simplified Arabic" w:cs="Simplified Arabic" w:hint="cs"/>
          <w:color w:val="1B1C1D"/>
          <w:sz w:val="32"/>
          <w:szCs w:val="32"/>
          <w:rtl/>
        </w:rPr>
        <w:t xml:space="preserve"> من خلال مكون إدارة المخاطر في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يتم تحديد المخاطر التشغيلية المحتملة بشكل استباقي، بما في ذلك الأسباب الجذرية للهدر والأخطاء (مثل ضعف التدريب، الأنظمة القديمة، العمليات غير الواضحة). يساعد إطار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في وضع ضوابط داخلية فعالة لمعالجة هذه النقاط. على سبيل المثال، يمكن أن يكشف تحليل المخاطر عن أن الأخطاء المتكررة في قسم معين تنتج عن نقص التدريب، مما يدفع المؤسسة لتوفير برامج تدريب مستهدفة. كما يضمن الامتثال أن الضوابط الموضوعة فعالة وتُطبق باستمرار، مما يقلل من حوادث الهدر والأخطاء.</w:t>
      </w:r>
    </w:p>
    <w:p w14:paraId="769FF54B" w14:textId="77777777" w:rsidR="00E373F3" w:rsidRPr="005D70B4" w:rsidRDefault="00E373F3" w:rsidP="005D70B4">
      <w:pPr>
        <w:pStyle w:val="NormalWeb"/>
        <w:numPr>
          <w:ilvl w:val="0"/>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تعزيز الشفافية في العمليات (</w:t>
      </w:r>
      <w:r w:rsidRPr="005D70B4">
        <w:rPr>
          <w:rStyle w:val="Strong"/>
          <w:rFonts w:ascii="Simplified Arabic" w:hAnsi="Simplified Arabic" w:cs="Simplified Arabic" w:hint="cs"/>
          <w:color w:val="1B1C1D"/>
          <w:sz w:val="32"/>
          <w:szCs w:val="32"/>
          <w:bdr w:val="none" w:sz="0" w:space="0" w:color="auto" w:frame="1"/>
        </w:rPr>
        <w:t>Enhancing Operational Transparency</w:t>
      </w:r>
      <w:r w:rsidRPr="005D70B4">
        <w:rPr>
          <w:rStyle w:val="Strong"/>
          <w:rFonts w:ascii="Simplified Arabic" w:hAnsi="Simplified Arabic" w:cs="Simplified Arabic" w:hint="cs"/>
          <w:color w:val="1B1C1D"/>
          <w:sz w:val="32"/>
          <w:szCs w:val="32"/>
          <w:bdr w:val="none" w:sz="0" w:space="0" w:color="auto" w:frame="1"/>
          <w:rtl/>
        </w:rPr>
        <w:t>):</w:t>
      </w:r>
    </w:p>
    <w:p w14:paraId="719239E0" w14:textId="77777777" w:rsidR="00E373F3" w:rsidRPr="005D70B4" w:rsidRDefault="00E373F3" w:rsidP="005D70B4">
      <w:pPr>
        <w:pStyle w:val="NormalWeb"/>
        <w:numPr>
          <w:ilvl w:val="1"/>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 xml:space="preserve">كيف يساهم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في توفير رؤية أوضح للعمليات وتحسين الرقابة:</w:t>
      </w:r>
      <w:r w:rsidRPr="005D70B4">
        <w:rPr>
          <w:rFonts w:ascii="Simplified Arabic" w:hAnsi="Simplified Arabic" w:cs="Simplified Arabic" w:hint="cs"/>
          <w:color w:val="1B1C1D"/>
          <w:sz w:val="32"/>
          <w:szCs w:val="32"/>
          <w:rtl/>
        </w:rPr>
        <w:t xml:space="preserve"> يفرض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متطلبات صارمة للتوثيق والإبلاغ عن العمليات والضوابط وحالة المخاطر والامتثال. هذا يؤدي إلى فهم أوضح لكيفية سير العمليات، من المسؤول عن كل خطوة، وما هي المخاطر المرتبطة بها، وما هي الضوابط المعمول بها. تزيد هذه الشفافية من القدرة على الرقابة الداخلية، حيث يمكن للإدارة وموظفي التدقيق الداخلي تتبع العمليات بسهولة أكبر </w:t>
      </w:r>
      <w:r w:rsidRPr="005D70B4">
        <w:rPr>
          <w:rFonts w:ascii="Simplified Arabic" w:hAnsi="Simplified Arabic" w:cs="Simplified Arabic" w:hint="cs"/>
          <w:color w:val="1B1C1D"/>
          <w:sz w:val="32"/>
          <w:szCs w:val="32"/>
          <w:rtl/>
        </w:rPr>
        <w:lastRenderedPageBreak/>
        <w:t xml:space="preserve">وتحديد أي انحرافات أو نقاط ضعف محتملة. تتيح أدوات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المتكاملة لوحات معلومات وتقارير موحدة توفر رؤية شاملة لأداء العمليات وحالة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w:t>
      </w:r>
    </w:p>
    <w:p w14:paraId="11C33B57" w14:textId="77777777" w:rsidR="00E373F3" w:rsidRPr="005D70B4" w:rsidRDefault="00E373F3" w:rsidP="005D70B4">
      <w:pPr>
        <w:pStyle w:val="NormalWeb"/>
        <w:numPr>
          <w:ilvl w:val="0"/>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تحسين اتخاذ القرار (</w:t>
      </w:r>
      <w:r w:rsidRPr="005D70B4">
        <w:rPr>
          <w:rStyle w:val="Strong"/>
          <w:rFonts w:ascii="Simplified Arabic" w:hAnsi="Simplified Arabic" w:cs="Simplified Arabic" w:hint="cs"/>
          <w:color w:val="1B1C1D"/>
          <w:sz w:val="32"/>
          <w:szCs w:val="32"/>
          <w:bdr w:val="none" w:sz="0" w:space="0" w:color="auto" w:frame="1"/>
        </w:rPr>
        <w:t>Improving Decision Making</w:t>
      </w:r>
      <w:r w:rsidRPr="005D70B4">
        <w:rPr>
          <w:rStyle w:val="Strong"/>
          <w:rFonts w:ascii="Simplified Arabic" w:hAnsi="Simplified Arabic" w:cs="Simplified Arabic" w:hint="cs"/>
          <w:color w:val="1B1C1D"/>
          <w:sz w:val="32"/>
          <w:szCs w:val="32"/>
          <w:bdr w:val="none" w:sz="0" w:space="0" w:color="auto" w:frame="1"/>
          <w:rtl/>
        </w:rPr>
        <w:t>):</w:t>
      </w:r>
    </w:p>
    <w:p w14:paraId="09C840EA" w14:textId="77777777" w:rsidR="00E373F3" w:rsidRPr="005D70B4" w:rsidRDefault="00E373F3" w:rsidP="005D70B4">
      <w:pPr>
        <w:pStyle w:val="NormalWeb"/>
        <w:numPr>
          <w:ilvl w:val="1"/>
          <w:numId w:val="72"/>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توفير معلومات دقيقة وفي الوقت المناسب لدعم القرارات التشغيلية:</w:t>
      </w:r>
      <w:r w:rsidRPr="005D70B4">
        <w:rPr>
          <w:rFonts w:ascii="Simplified Arabic" w:hAnsi="Simplified Arabic" w:cs="Simplified Arabic" w:hint="cs"/>
          <w:color w:val="1B1C1D"/>
          <w:sz w:val="32"/>
          <w:szCs w:val="32"/>
          <w:rtl/>
        </w:rPr>
        <w:t xml:space="preserve"> يضمن إطار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أن المعلومات المتعلقة بالمخاطر التشغيلية، وحالة الامتثال، وفعالية الضوابط متاحة للإدارة في الوقت المناسب وبشكل دقيق. بدلاً من اتخاذ القرارات بناءً على معلومات مجزأة أو غير مكتملة، يمكن للمديرين اتخاذ قرارات مستنيرة تدعم الأهداف التشغيلية مع مراعاة المخاطر المحتملة ومتطلبات الامتثال. على سبيل المثال، عند التفكير في إطلاق منتج جديد، يوفر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تحليلاً شاملاً للمخاطر المرتبطة بالعمليات الجديدة، ومتطلبات الامتثال، والضوابط اللازمة، مما يمكن الإدارة من اتخاذ قرار استراتيجي مستنير.</w:t>
      </w:r>
    </w:p>
    <w:p w14:paraId="626F0F59" w14:textId="77777777" w:rsidR="00E373F3" w:rsidRPr="005D70B4" w:rsidRDefault="00E373F3" w:rsidP="005D70B4">
      <w:pPr>
        <w:pStyle w:val="Heading2"/>
        <w:spacing w:before="0" w:after="120" w:line="360" w:lineRule="auto"/>
        <w:divId w:val="1946188226"/>
        <w:rPr>
          <w:rFonts w:ascii="Simplified Arabic" w:eastAsia="Times New Roman" w:hAnsi="Simplified Arabic" w:cs="Simplified Arabic"/>
          <w:color w:val="1B1C1D"/>
          <w:rtl/>
        </w:rPr>
      </w:pPr>
      <w:r w:rsidRPr="005D70B4">
        <w:rPr>
          <w:rFonts w:ascii="Simplified Arabic" w:eastAsia="Times New Roman" w:hAnsi="Simplified Arabic" w:cs="Simplified Arabic" w:hint="cs"/>
          <w:color w:val="1B1C1D"/>
          <w:rtl/>
        </w:rPr>
        <w:t xml:space="preserve">8. تأثير </w:t>
      </w:r>
      <w:r w:rsidRPr="005D70B4">
        <w:rPr>
          <w:rFonts w:ascii="Simplified Arabic" w:eastAsia="Times New Roman" w:hAnsi="Simplified Arabic" w:cs="Simplified Arabic" w:hint="cs"/>
          <w:color w:val="1B1C1D"/>
        </w:rPr>
        <w:t>GRC</w:t>
      </w:r>
      <w:r w:rsidRPr="005D70B4">
        <w:rPr>
          <w:rFonts w:ascii="Simplified Arabic" w:eastAsia="Times New Roman" w:hAnsi="Simplified Arabic" w:cs="Simplified Arabic" w:hint="cs"/>
          <w:color w:val="1B1C1D"/>
          <w:rtl/>
        </w:rPr>
        <w:t xml:space="preserve"> على الحد من المخاطر التشغيلية</w:t>
      </w:r>
    </w:p>
    <w:p w14:paraId="59ACA7F7" w14:textId="77777777" w:rsidR="00E373F3" w:rsidRPr="005D70B4" w:rsidRDefault="00E373F3" w:rsidP="005D70B4">
      <w:pPr>
        <w:pStyle w:val="NormalWeb"/>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تطبيق إطار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ليس فقط يعزز الكفاءة، بل هو أداة أساسية للحد من المخاطر التشغيلية وحماية المؤسسات المالية من الخسائر المحتملة:</w:t>
      </w:r>
    </w:p>
    <w:p w14:paraId="4FB49861" w14:textId="77777777" w:rsidR="00E373F3" w:rsidRPr="005D70B4" w:rsidRDefault="00E373F3" w:rsidP="005D70B4">
      <w:pPr>
        <w:pStyle w:val="NormalWeb"/>
        <w:numPr>
          <w:ilvl w:val="0"/>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تحديد المخاطر بشكل استباقي (</w:t>
      </w:r>
      <w:r w:rsidRPr="005D70B4">
        <w:rPr>
          <w:rStyle w:val="Strong"/>
          <w:rFonts w:ascii="Simplified Arabic" w:hAnsi="Simplified Arabic" w:cs="Simplified Arabic" w:hint="cs"/>
          <w:color w:val="1B1C1D"/>
          <w:sz w:val="32"/>
          <w:szCs w:val="32"/>
          <w:bdr w:val="none" w:sz="0" w:space="0" w:color="auto" w:frame="1"/>
        </w:rPr>
        <w:t>Proactive Risk Identification</w:t>
      </w:r>
      <w:r w:rsidRPr="005D70B4">
        <w:rPr>
          <w:rStyle w:val="Strong"/>
          <w:rFonts w:ascii="Simplified Arabic" w:hAnsi="Simplified Arabic" w:cs="Simplified Arabic" w:hint="cs"/>
          <w:color w:val="1B1C1D"/>
          <w:sz w:val="32"/>
          <w:szCs w:val="32"/>
          <w:bdr w:val="none" w:sz="0" w:space="0" w:color="auto" w:frame="1"/>
          <w:rtl/>
        </w:rPr>
        <w:t>):</w:t>
      </w:r>
    </w:p>
    <w:p w14:paraId="5E469F6C" w14:textId="77777777" w:rsidR="00E373F3" w:rsidRPr="005D70B4" w:rsidRDefault="00E373F3" w:rsidP="005D70B4">
      <w:pPr>
        <w:pStyle w:val="NormalWeb"/>
        <w:numPr>
          <w:ilvl w:val="1"/>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 xml:space="preserve">كيف يمكن لـ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تعزيز قدرة المنشأة على تحديد المخاطر المحتملة قبل وقوعها:</w:t>
      </w:r>
      <w:r w:rsidRPr="005D70B4">
        <w:rPr>
          <w:rFonts w:ascii="Simplified Arabic" w:hAnsi="Simplified Arabic" w:cs="Simplified Arabic" w:hint="cs"/>
          <w:color w:val="1B1C1D"/>
          <w:sz w:val="32"/>
          <w:szCs w:val="32"/>
          <w:rtl/>
        </w:rPr>
        <w:t xml:space="preserve"> يركز النهج المتكامل لـ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على دمج معلومات المخاطر من مصادر متعددة (العمليات، الأنظمة، الموظفين، البيئة الخارجية). من خلال أدوات مثل سجلات المخاطر، مؤشرات المخاطر الرئيسية (</w:t>
      </w:r>
      <w:r w:rsidRPr="005D70B4">
        <w:rPr>
          <w:rFonts w:ascii="Simplified Arabic" w:hAnsi="Simplified Arabic" w:cs="Simplified Arabic" w:hint="cs"/>
          <w:color w:val="1B1C1D"/>
          <w:sz w:val="32"/>
          <w:szCs w:val="32"/>
        </w:rPr>
        <w:t>KRIs</w:t>
      </w:r>
      <w:r w:rsidRPr="005D70B4">
        <w:rPr>
          <w:rFonts w:ascii="Simplified Arabic" w:hAnsi="Simplified Arabic" w:cs="Simplified Arabic" w:hint="cs"/>
          <w:color w:val="1B1C1D"/>
          <w:sz w:val="32"/>
          <w:szCs w:val="32"/>
          <w:rtl/>
        </w:rPr>
        <w:t xml:space="preserve">)، وتحليل السيناريوهات، يمكن لـ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تحديد التهديدات المحتملة في وقت مبكر. كما يضمن الإشراف المستمر من قبل الحوكمة ومراقبة الامتثال رصد التغيرات في البيئة التنظيمية أو التشغيلية التي قد تنشئ مخاطر جديدة، مما يمكن المؤسسة من اتخاذ تدابير وقائية بدلاً من رد الفعل.</w:t>
      </w:r>
    </w:p>
    <w:p w14:paraId="565ED86F" w14:textId="77777777" w:rsidR="00E373F3" w:rsidRPr="005D70B4" w:rsidRDefault="00E373F3" w:rsidP="005D70B4">
      <w:pPr>
        <w:pStyle w:val="NormalWeb"/>
        <w:numPr>
          <w:ilvl w:val="0"/>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تقييم المخاطر بشكل دقيق (</w:t>
      </w:r>
      <w:r w:rsidRPr="005D70B4">
        <w:rPr>
          <w:rStyle w:val="Strong"/>
          <w:rFonts w:ascii="Simplified Arabic" w:hAnsi="Simplified Arabic" w:cs="Simplified Arabic" w:hint="cs"/>
          <w:color w:val="1B1C1D"/>
          <w:sz w:val="32"/>
          <w:szCs w:val="32"/>
          <w:bdr w:val="none" w:sz="0" w:space="0" w:color="auto" w:frame="1"/>
        </w:rPr>
        <w:t>Accurate Risk Assessment</w:t>
      </w:r>
      <w:r w:rsidRPr="005D70B4">
        <w:rPr>
          <w:rStyle w:val="Strong"/>
          <w:rFonts w:ascii="Simplified Arabic" w:hAnsi="Simplified Arabic" w:cs="Simplified Arabic" w:hint="cs"/>
          <w:color w:val="1B1C1D"/>
          <w:sz w:val="32"/>
          <w:szCs w:val="32"/>
          <w:bdr w:val="none" w:sz="0" w:space="0" w:color="auto" w:frame="1"/>
          <w:rtl/>
        </w:rPr>
        <w:t>):</w:t>
      </w:r>
    </w:p>
    <w:p w14:paraId="0FA2113D" w14:textId="77777777" w:rsidR="00E373F3" w:rsidRPr="005D70B4" w:rsidRDefault="00E373F3" w:rsidP="005D70B4">
      <w:pPr>
        <w:pStyle w:val="NormalWeb"/>
        <w:numPr>
          <w:ilvl w:val="1"/>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 xml:space="preserve">دور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في توفير أدوات ومنهجيات لتقييم حجم وتأثير المخاطر التشغيلية:</w:t>
      </w:r>
      <w:r w:rsidRPr="005D70B4">
        <w:rPr>
          <w:rFonts w:ascii="Simplified Arabic" w:hAnsi="Simplified Arabic" w:cs="Simplified Arabic" w:hint="cs"/>
          <w:color w:val="1B1C1D"/>
          <w:sz w:val="32"/>
          <w:szCs w:val="32"/>
          <w:rtl/>
        </w:rPr>
        <w:t xml:space="preserve"> يوفر إطار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منهجيات موحدة لتقييم المخاطر، مثل خرائط المخاطر، التي تساعد في تحديد احتمالية وتأثير المخاطر التشغيلية بدقة. هذا التقييم الموحد يضمن أن جميع الأقسام تستخدم نفس المعايير لفهم المخاطر، مما يسهل مقارنة المخاطر وتحديد أولوياتها عبر المؤسسة. كما يدعم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استخدام البيانات التاريخية للخسائر والنماذج الكمية (حيثما أمكن) لتقدير التعرض المالي للمخاطر التشغيلية بشكل أكثر واقعية.</w:t>
      </w:r>
    </w:p>
    <w:p w14:paraId="577C0EC0" w14:textId="77777777" w:rsidR="00E373F3" w:rsidRPr="005D70B4" w:rsidRDefault="00E373F3" w:rsidP="005D70B4">
      <w:pPr>
        <w:pStyle w:val="NormalWeb"/>
        <w:numPr>
          <w:ilvl w:val="0"/>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بناء ضوابط داخلية فعالة (</w:t>
      </w:r>
      <w:r w:rsidRPr="005D70B4">
        <w:rPr>
          <w:rStyle w:val="Strong"/>
          <w:rFonts w:ascii="Simplified Arabic" w:hAnsi="Simplified Arabic" w:cs="Simplified Arabic" w:hint="cs"/>
          <w:color w:val="1B1C1D"/>
          <w:sz w:val="32"/>
          <w:szCs w:val="32"/>
          <w:bdr w:val="none" w:sz="0" w:space="0" w:color="auto" w:frame="1"/>
        </w:rPr>
        <w:t>Building Effective Internal Controls</w:t>
      </w:r>
      <w:r w:rsidRPr="005D70B4">
        <w:rPr>
          <w:rStyle w:val="Strong"/>
          <w:rFonts w:ascii="Simplified Arabic" w:hAnsi="Simplified Arabic" w:cs="Simplified Arabic" w:hint="cs"/>
          <w:color w:val="1B1C1D"/>
          <w:sz w:val="32"/>
          <w:szCs w:val="32"/>
          <w:bdr w:val="none" w:sz="0" w:space="0" w:color="auto" w:frame="1"/>
          <w:rtl/>
        </w:rPr>
        <w:t>):</w:t>
      </w:r>
    </w:p>
    <w:p w14:paraId="4D4EC16D" w14:textId="77777777" w:rsidR="00E373F3" w:rsidRPr="005D70B4" w:rsidRDefault="00E373F3" w:rsidP="005D70B4">
      <w:pPr>
        <w:pStyle w:val="NormalWeb"/>
        <w:numPr>
          <w:ilvl w:val="1"/>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 xml:space="preserve">مساهمة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في تصميم وتنفيذ ضوابط داخلية قوية للحد من المخاطر:</w:t>
      </w:r>
      <w:r w:rsidRPr="005D70B4">
        <w:rPr>
          <w:rFonts w:ascii="Simplified Arabic" w:hAnsi="Simplified Arabic" w:cs="Simplified Arabic" w:hint="cs"/>
          <w:color w:val="1B1C1D"/>
          <w:sz w:val="32"/>
          <w:szCs w:val="32"/>
          <w:rtl/>
        </w:rPr>
        <w:t xml:space="preserve"> يعتمد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على مبدأ أن الحوكمة تحدد التوجه، وإدارة المخاطر تحدد التحديات، والامتثال يضمن تطبيق القواعد. هذا التعاون يؤدي إلى تصميم ضوابط داخلية قوية وموجهة خصيصًا لمعالجة المخاطر التشغيلية المحددة. على سبيل المثال، إذا تم تحديد مخاطر الاحتيال الداخلي، فإن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يضمن وجود ضوابط مثل الفصل بين الواجبات، والموافقات المتعددة، والمراجعات الدورية للحسابات. كما يضمن الامتثال أن هذه الضوابط يتم تنفيذها ومراقبتها بشكل مستمر وفعال.</w:t>
      </w:r>
    </w:p>
    <w:p w14:paraId="615F5F18" w14:textId="77777777" w:rsidR="00E373F3" w:rsidRPr="005D70B4" w:rsidRDefault="00E373F3" w:rsidP="005D70B4">
      <w:pPr>
        <w:pStyle w:val="NormalWeb"/>
        <w:numPr>
          <w:ilvl w:val="0"/>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الاستجابة للمخاطر وتخفيف حدتها (</w:t>
      </w:r>
      <w:r w:rsidRPr="005D70B4">
        <w:rPr>
          <w:rStyle w:val="Strong"/>
          <w:rFonts w:ascii="Simplified Arabic" w:hAnsi="Simplified Arabic" w:cs="Simplified Arabic" w:hint="cs"/>
          <w:color w:val="1B1C1D"/>
          <w:sz w:val="32"/>
          <w:szCs w:val="32"/>
          <w:bdr w:val="none" w:sz="0" w:space="0" w:color="auto" w:frame="1"/>
        </w:rPr>
        <w:t>Risk Response and Mitigation</w:t>
      </w:r>
      <w:r w:rsidRPr="005D70B4">
        <w:rPr>
          <w:rStyle w:val="Strong"/>
          <w:rFonts w:ascii="Simplified Arabic" w:hAnsi="Simplified Arabic" w:cs="Simplified Arabic" w:hint="cs"/>
          <w:color w:val="1B1C1D"/>
          <w:sz w:val="32"/>
          <w:szCs w:val="32"/>
          <w:bdr w:val="none" w:sz="0" w:space="0" w:color="auto" w:frame="1"/>
          <w:rtl/>
        </w:rPr>
        <w:t>):</w:t>
      </w:r>
    </w:p>
    <w:p w14:paraId="22CFF629" w14:textId="77777777" w:rsidR="00E373F3" w:rsidRPr="005D70B4" w:rsidRDefault="00E373F3" w:rsidP="005D70B4">
      <w:pPr>
        <w:pStyle w:val="NormalWeb"/>
        <w:numPr>
          <w:ilvl w:val="1"/>
          <w:numId w:val="73"/>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 xml:space="preserve">كيف يمكن لـ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 xml:space="preserve"> تعزيز قدرة المنشأة على الاستجابة السريعة والفعالة للأحداث المخاطرية:</w:t>
      </w:r>
      <w:r w:rsidRPr="005D70B4">
        <w:rPr>
          <w:rFonts w:ascii="Simplified Arabic" w:hAnsi="Simplified Arabic" w:cs="Simplified Arabic" w:hint="cs"/>
          <w:color w:val="1B1C1D"/>
          <w:sz w:val="32"/>
          <w:szCs w:val="32"/>
          <w:rtl/>
        </w:rPr>
        <w:t xml:space="preserve"> من خلال إطار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يتم وضع خطط واضحة للاستجابة للحوادث (</w:t>
      </w:r>
      <w:r w:rsidRPr="005D70B4">
        <w:rPr>
          <w:rFonts w:ascii="Simplified Arabic" w:hAnsi="Simplified Arabic" w:cs="Simplified Arabic" w:hint="cs"/>
          <w:color w:val="1B1C1D"/>
          <w:sz w:val="32"/>
          <w:szCs w:val="32"/>
        </w:rPr>
        <w:t>Incident Response Plans</w:t>
      </w:r>
      <w:r w:rsidRPr="005D70B4">
        <w:rPr>
          <w:rFonts w:ascii="Simplified Arabic" w:hAnsi="Simplified Arabic" w:cs="Simplified Arabic" w:hint="cs"/>
          <w:color w:val="1B1C1D"/>
          <w:sz w:val="32"/>
          <w:szCs w:val="32"/>
          <w:rtl/>
        </w:rPr>
        <w:t>) وخطط استمرارية الأعمال (</w:t>
      </w:r>
      <w:r w:rsidRPr="005D70B4">
        <w:rPr>
          <w:rFonts w:ascii="Simplified Arabic" w:hAnsi="Simplified Arabic" w:cs="Simplified Arabic" w:hint="cs"/>
          <w:color w:val="1B1C1D"/>
          <w:sz w:val="32"/>
          <w:szCs w:val="32"/>
        </w:rPr>
        <w:t>Business Continuity Plans</w:t>
      </w:r>
      <w:r w:rsidRPr="005D70B4">
        <w:rPr>
          <w:rFonts w:ascii="Simplified Arabic" w:hAnsi="Simplified Arabic" w:cs="Simplified Arabic" w:hint="cs"/>
          <w:color w:val="1B1C1D"/>
          <w:sz w:val="32"/>
          <w:szCs w:val="32"/>
          <w:rtl/>
        </w:rPr>
        <w:t xml:space="preserve">) لمواجهة المخاطر التشغيلية عند وقوعها. يضمن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أن هذه الخطط يتم اختبارها وتحديثها بانتظام. على سبيل المثال، في حالة انقطاع نظام تكنولوجي رئيسي، تحدد خطة الاستجابة مسؤوليات الأقسام المختلفة، وخطوات التعافي، والإجراءات البديلة لضمان استمرارية الخدمات الأساسية. كما توفر آليات الإبلاغ </w:t>
      </w:r>
      <w:r w:rsidRPr="005D70B4">
        <w:rPr>
          <w:rFonts w:ascii="Simplified Arabic" w:hAnsi="Simplified Arabic" w:cs="Simplified Arabic" w:hint="cs"/>
          <w:color w:val="1B1C1D"/>
          <w:sz w:val="32"/>
          <w:szCs w:val="32"/>
          <w:rtl/>
        </w:rPr>
        <w:lastRenderedPageBreak/>
        <w:t xml:space="preserve">والمساءلة ضمن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استجابة سريعة وفعالة لأي حدث خطر، وتقلل من تأثيره السلبي.</w:t>
      </w:r>
    </w:p>
    <w:p w14:paraId="1F233F97" w14:textId="77777777" w:rsidR="00E373F3" w:rsidRPr="005D70B4" w:rsidRDefault="00E373F3" w:rsidP="005D70B4">
      <w:pPr>
        <w:pStyle w:val="Heading2"/>
        <w:spacing w:before="0" w:after="120" w:line="360" w:lineRule="auto"/>
        <w:divId w:val="1946188226"/>
        <w:rPr>
          <w:rFonts w:ascii="Simplified Arabic" w:eastAsia="Times New Roman" w:hAnsi="Simplified Arabic" w:cs="Simplified Arabic"/>
          <w:color w:val="1B1C1D"/>
          <w:rtl/>
        </w:rPr>
      </w:pPr>
      <w:r w:rsidRPr="005D70B4">
        <w:rPr>
          <w:rFonts w:ascii="Simplified Arabic" w:eastAsia="Times New Roman" w:hAnsi="Simplified Arabic" w:cs="Simplified Arabic" w:hint="cs"/>
          <w:color w:val="1B1C1D"/>
          <w:rtl/>
        </w:rPr>
        <w:t xml:space="preserve">9. التحديات والفرص في تطبيق </w:t>
      </w:r>
      <w:r w:rsidRPr="005D70B4">
        <w:rPr>
          <w:rFonts w:ascii="Simplified Arabic" w:eastAsia="Times New Roman" w:hAnsi="Simplified Arabic" w:cs="Simplified Arabic" w:hint="cs"/>
          <w:color w:val="1B1C1D"/>
        </w:rPr>
        <w:t>GRC</w:t>
      </w:r>
      <w:r w:rsidRPr="005D70B4">
        <w:rPr>
          <w:rFonts w:ascii="Simplified Arabic" w:eastAsia="Times New Roman" w:hAnsi="Simplified Arabic" w:cs="Simplified Arabic" w:hint="cs"/>
          <w:color w:val="1B1C1D"/>
          <w:rtl/>
        </w:rPr>
        <w:t xml:space="preserve"> بالمنشآت المالية السعودية</w:t>
      </w:r>
    </w:p>
    <w:p w14:paraId="264B3C47" w14:textId="77777777" w:rsidR="00E373F3" w:rsidRPr="005D70B4" w:rsidRDefault="00E373F3" w:rsidP="005D70B4">
      <w:pPr>
        <w:pStyle w:val="NormalWeb"/>
        <w:bidi/>
        <w:spacing w:before="0" w:beforeAutospacing="0" w:after="24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يواجه 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في المنشآت المالية السعودية مجموعة من التحديات، ولكنه يقدم في الوقت نفسه فرصًا كبيرة للنمو والتطوير، خاصة في ظل التوجهات الوطنية.</w:t>
      </w:r>
    </w:p>
    <w:p w14:paraId="2F544104" w14:textId="77777777" w:rsidR="00E373F3" w:rsidRPr="005D70B4" w:rsidRDefault="00E373F3" w:rsidP="005D70B4">
      <w:pPr>
        <w:pStyle w:val="Heading3"/>
        <w:spacing w:before="0" w:after="120" w:line="360" w:lineRule="auto"/>
        <w:divId w:val="1946188226"/>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التحديات الشائعة:</w:t>
      </w:r>
    </w:p>
    <w:p w14:paraId="4E4F0C65" w14:textId="77777777" w:rsidR="00E373F3" w:rsidRPr="005D70B4" w:rsidRDefault="00E373F3" w:rsidP="005D70B4">
      <w:pPr>
        <w:pStyle w:val="NormalWeb"/>
        <w:numPr>
          <w:ilvl w:val="0"/>
          <w:numId w:val="74"/>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مقاومة التغيير (</w:t>
      </w:r>
      <w:r w:rsidRPr="005D70B4">
        <w:rPr>
          <w:rStyle w:val="Strong"/>
          <w:rFonts w:ascii="Simplified Arabic" w:hAnsi="Simplified Arabic" w:cs="Simplified Arabic" w:hint="cs"/>
          <w:color w:val="1B1C1D"/>
          <w:sz w:val="32"/>
          <w:szCs w:val="32"/>
          <w:bdr w:val="none" w:sz="0" w:space="0" w:color="auto" w:frame="1"/>
        </w:rPr>
        <w:t>Resistance to Change</w:t>
      </w:r>
      <w:r w:rsidRPr="005D70B4">
        <w:rPr>
          <w:rStyle w:val="Strong"/>
          <w:rFonts w:ascii="Simplified Arabic" w:hAnsi="Simplified Arabic" w:cs="Simplified Arabic" w:hint="cs"/>
          <w:color w:val="1B1C1D"/>
          <w:sz w:val="32"/>
          <w:szCs w:val="32"/>
          <w:bdr w:val="none" w:sz="0" w:space="0" w:color="auto" w:frame="1"/>
          <w:rtl/>
        </w:rPr>
        <w:t>):</w:t>
      </w:r>
    </w:p>
    <w:p w14:paraId="499B65A5" w14:textId="77777777" w:rsidR="00E373F3" w:rsidRPr="005D70B4" w:rsidRDefault="00E373F3" w:rsidP="005D70B4">
      <w:pPr>
        <w:pStyle w:val="NormalWeb"/>
        <w:numPr>
          <w:ilvl w:val="1"/>
          <w:numId w:val="74"/>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غالبًا ما يجد الموظفون والإدارة مقاومة لتبني أنظمة وعمليات جديدة تتطلب تغييرًا في أساليب العمل التقليدية. قد يشعرون بأن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يضيف عبئًا إداريًا إضافيًا بدلاً من تبسيط العمل.</w:t>
      </w:r>
    </w:p>
    <w:p w14:paraId="69973472" w14:textId="77777777" w:rsidR="00E373F3" w:rsidRPr="005D70B4" w:rsidRDefault="00E373F3" w:rsidP="005D70B4">
      <w:pPr>
        <w:pStyle w:val="NormalWeb"/>
        <w:numPr>
          <w:ilvl w:val="1"/>
          <w:numId w:val="74"/>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تتطلب طبيعة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التعاون بين أقسام كانت تعمل بشكل منعزل سابقًا، مما قد يواجه مقاومة من الثقافات التنظيمية القائمة على الصوامع.</w:t>
      </w:r>
    </w:p>
    <w:p w14:paraId="68C3DA85" w14:textId="77777777" w:rsidR="00E373F3" w:rsidRPr="005D70B4" w:rsidRDefault="00E373F3" w:rsidP="005D70B4">
      <w:pPr>
        <w:pStyle w:val="NormalWeb"/>
        <w:numPr>
          <w:ilvl w:val="0"/>
          <w:numId w:val="74"/>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نقص الموارد (</w:t>
      </w:r>
      <w:r w:rsidRPr="005D70B4">
        <w:rPr>
          <w:rStyle w:val="Strong"/>
          <w:rFonts w:ascii="Simplified Arabic" w:hAnsi="Simplified Arabic" w:cs="Simplified Arabic" w:hint="cs"/>
          <w:color w:val="1B1C1D"/>
          <w:sz w:val="32"/>
          <w:szCs w:val="32"/>
          <w:bdr w:val="none" w:sz="0" w:space="0" w:color="auto" w:frame="1"/>
        </w:rPr>
        <w:t>Lack of Resources</w:t>
      </w:r>
      <w:r w:rsidRPr="005D70B4">
        <w:rPr>
          <w:rStyle w:val="Strong"/>
          <w:rFonts w:ascii="Simplified Arabic" w:hAnsi="Simplified Arabic" w:cs="Simplified Arabic" w:hint="cs"/>
          <w:color w:val="1B1C1D"/>
          <w:sz w:val="32"/>
          <w:szCs w:val="32"/>
          <w:bdr w:val="none" w:sz="0" w:space="0" w:color="auto" w:frame="1"/>
          <w:rtl/>
        </w:rPr>
        <w:t>):</w:t>
      </w:r>
    </w:p>
    <w:p w14:paraId="3CA309BE" w14:textId="77777777" w:rsidR="00E373F3" w:rsidRPr="005D70B4" w:rsidRDefault="00E373F3" w:rsidP="005D70B4">
      <w:pPr>
        <w:pStyle w:val="NormalWeb"/>
        <w:numPr>
          <w:ilvl w:val="1"/>
          <w:numId w:val="74"/>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الموارد البشرية:</w:t>
      </w:r>
      <w:r w:rsidRPr="005D70B4">
        <w:rPr>
          <w:rFonts w:ascii="Simplified Arabic" w:hAnsi="Simplified Arabic" w:cs="Simplified Arabic" w:hint="cs"/>
          <w:color w:val="1B1C1D"/>
          <w:sz w:val="32"/>
          <w:szCs w:val="32"/>
          <w:rtl/>
        </w:rPr>
        <w:t xml:space="preserve"> قد تواجه المنشآت نقصًا في الكفاءات والخبرات المتخصصة في مجالات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المتعددة (إدارة المخاطر، الامتثال، الحوكمة)، خاصة مع التطور السريع للوائح والتقنيات.</w:t>
      </w:r>
    </w:p>
    <w:p w14:paraId="55B9874D" w14:textId="77777777" w:rsidR="00E373F3" w:rsidRPr="005D70B4" w:rsidRDefault="00E373F3" w:rsidP="005D70B4">
      <w:pPr>
        <w:pStyle w:val="NormalWeb"/>
        <w:numPr>
          <w:ilvl w:val="1"/>
          <w:numId w:val="74"/>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lastRenderedPageBreak/>
        <w:t>الموارد المالية:</w:t>
      </w:r>
      <w:r w:rsidRPr="005D70B4">
        <w:rPr>
          <w:rFonts w:ascii="Simplified Arabic" w:hAnsi="Simplified Arabic" w:cs="Simplified Arabic" w:hint="cs"/>
          <w:color w:val="1B1C1D"/>
          <w:sz w:val="32"/>
          <w:szCs w:val="32"/>
          <w:rtl/>
        </w:rPr>
        <w:t xml:space="preserve"> قد يكون الاستثمار في أنظمة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المتكاملة وتدريب الموظفين مكلفًا، مما يشكل تحديًا للمنشآت ذات الميزانيات المحدودة.</w:t>
      </w:r>
    </w:p>
    <w:p w14:paraId="4988878A" w14:textId="77777777" w:rsidR="00E373F3" w:rsidRPr="005D70B4" w:rsidRDefault="00E373F3" w:rsidP="005D70B4">
      <w:pPr>
        <w:pStyle w:val="NormalWeb"/>
        <w:numPr>
          <w:ilvl w:val="0"/>
          <w:numId w:val="74"/>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تعقيد البيئة التنظيمية (</w:t>
      </w:r>
      <w:r w:rsidRPr="005D70B4">
        <w:rPr>
          <w:rStyle w:val="Strong"/>
          <w:rFonts w:ascii="Simplified Arabic" w:hAnsi="Simplified Arabic" w:cs="Simplified Arabic" w:hint="cs"/>
          <w:color w:val="1B1C1D"/>
          <w:sz w:val="32"/>
          <w:szCs w:val="32"/>
          <w:bdr w:val="none" w:sz="0" w:space="0" w:color="auto" w:frame="1"/>
        </w:rPr>
        <w:t>Complexity of Regulatory Environment</w:t>
      </w:r>
      <w:r w:rsidRPr="005D70B4">
        <w:rPr>
          <w:rStyle w:val="Strong"/>
          <w:rFonts w:ascii="Simplified Arabic" w:hAnsi="Simplified Arabic" w:cs="Simplified Arabic" w:hint="cs"/>
          <w:color w:val="1B1C1D"/>
          <w:sz w:val="32"/>
          <w:szCs w:val="32"/>
          <w:bdr w:val="none" w:sz="0" w:space="0" w:color="auto" w:frame="1"/>
          <w:rtl/>
        </w:rPr>
        <w:t>):</w:t>
      </w:r>
    </w:p>
    <w:p w14:paraId="15C4888F" w14:textId="77777777" w:rsidR="00E373F3" w:rsidRPr="005D70B4" w:rsidRDefault="00E373F3" w:rsidP="005D70B4">
      <w:pPr>
        <w:pStyle w:val="NormalWeb"/>
        <w:numPr>
          <w:ilvl w:val="1"/>
          <w:numId w:val="74"/>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القطاع المالي السعودي خاضع لعدد كبير من اللوائح الصادرة عن جهات متعددة مثل البنك المركزي السعودي وهيئة السوق المالية، بالإضافة إلى المعايير الدولية. هذا التعقيد يمكن أن يجعل مواكبة جميع المتطلبات وتطبيقها تحديًا.</w:t>
      </w:r>
    </w:p>
    <w:p w14:paraId="2FB79E1B" w14:textId="77777777" w:rsidR="00E373F3" w:rsidRPr="005D70B4" w:rsidRDefault="00E373F3" w:rsidP="005D70B4">
      <w:pPr>
        <w:pStyle w:val="NormalWeb"/>
        <w:numPr>
          <w:ilvl w:val="1"/>
          <w:numId w:val="74"/>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التغيرات المستمرة في اللوائح تتطلب مرونة عالية وقدرة على التكيف السريع.</w:t>
      </w:r>
    </w:p>
    <w:p w14:paraId="32394894" w14:textId="77777777" w:rsidR="00E373F3" w:rsidRPr="005D70B4" w:rsidRDefault="00E373F3" w:rsidP="005D70B4">
      <w:pPr>
        <w:pStyle w:val="NormalWeb"/>
        <w:numPr>
          <w:ilvl w:val="0"/>
          <w:numId w:val="74"/>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عدم تكامل الأنظمة (</w:t>
      </w:r>
      <w:r w:rsidRPr="005D70B4">
        <w:rPr>
          <w:rStyle w:val="Strong"/>
          <w:rFonts w:ascii="Simplified Arabic" w:hAnsi="Simplified Arabic" w:cs="Simplified Arabic" w:hint="cs"/>
          <w:color w:val="1B1C1D"/>
          <w:sz w:val="32"/>
          <w:szCs w:val="32"/>
          <w:bdr w:val="none" w:sz="0" w:space="0" w:color="auto" w:frame="1"/>
        </w:rPr>
        <w:t>Lack of System Integration</w:t>
      </w:r>
      <w:r w:rsidRPr="005D70B4">
        <w:rPr>
          <w:rStyle w:val="Strong"/>
          <w:rFonts w:ascii="Simplified Arabic" w:hAnsi="Simplified Arabic" w:cs="Simplified Arabic" w:hint="cs"/>
          <w:color w:val="1B1C1D"/>
          <w:sz w:val="32"/>
          <w:szCs w:val="32"/>
          <w:bdr w:val="none" w:sz="0" w:space="0" w:color="auto" w:frame="1"/>
          <w:rtl/>
        </w:rPr>
        <w:t>):</w:t>
      </w:r>
    </w:p>
    <w:p w14:paraId="5AA21647" w14:textId="77777777" w:rsidR="00E373F3" w:rsidRPr="005D70B4" w:rsidRDefault="00E373F3" w:rsidP="005D70B4">
      <w:pPr>
        <w:pStyle w:val="NormalWeb"/>
        <w:numPr>
          <w:ilvl w:val="1"/>
          <w:numId w:val="74"/>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قد تستخدم المنشآت أنظمة تكنولوجية مختلفة لكل وظيفة من وظائف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(نظام للمخاطر، آخر للامتثال، وثالث للتدقيق)، مما يؤدي إلى صعوبة في تبادل البيانات، وعدم وجود رؤية موحدة، وازدواجية في العمل. دمج هذه الأنظمة قد يكون معقدًا ومكلفًا.</w:t>
      </w:r>
    </w:p>
    <w:p w14:paraId="173D8AB2" w14:textId="77777777" w:rsidR="00E373F3" w:rsidRPr="005D70B4" w:rsidRDefault="00E373F3" w:rsidP="005D70B4">
      <w:pPr>
        <w:pStyle w:val="Heading3"/>
        <w:spacing w:before="0" w:after="120" w:line="360" w:lineRule="auto"/>
        <w:divId w:val="1946188226"/>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الفرص المتاحة:</w:t>
      </w:r>
    </w:p>
    <w:p w14:paraId="2EFE8D88" w14:textId="77777777" w:rsidR="00E373F3" w:rsidRPr="005D70B4" w:rsidRDefault="00E373F3" w:rsidP="005D70B4">
      <w:pPr>
        <w:pStyle w:val="NormalWeb"/>
        <w:numPr>
          <w:ilvl w:val="0"/>
          <w:numId w:val="75"/>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دعم رؤية المملكة 2030 (</w:t>
      </w:r>
      <w:r w:rsidRPr="005D70B4">
        <w:rPr>
          <w:rStyle w:val="Strong"/>
          <w:rFonts w:ascii="Simplified Arabic" w:hAnsi="Simplified Arabic" w:cs="Simplified Arabic" w:hint="cs"/>
          <w:color w:val="1B1C1D"/>
          <w:sz w:val="32"/>
          <w:szCs w:val="32"/>
          <w:bdr w:val="none" w:sz="0" w:space="0" w:color="auto" w:frame="1"/>
        </w:rPr>
        <w:t>Supporting Vision 2030</w:t>
      </w:r>
      <w:r w:rsidRPr="005D70B4">
        <w:rPr>
          <w:rStyle w:val="Strong"/>
          <w:rFonts w:ascii="Simplified Arabic" w:hAnsi="Simplified Arabic" w:cs="Simplified Arabic" w:hint="cs"/>
          <w:color w:val="1B1C1D"/>
          <w:sz w:val="32"/>
          <w:szCs w:val="32"/>
          <w:bdr w:val="none" w:sz="0" w:space="0" w:color="auto" w:frame="1"/>
          <w:rtl/>
        </w:rPr>
        <w:t>):</w:t>
      </w:r>
    </w:p>
    <w:p w14:paraId="76885D17" w14:textId="77777777" w:rsidR="00E373F3" w:rsidRPr="005D70B4" w:rsidRDefault="00E373F3" w:rsidP="005D70B4">
      <w:pPr>
        <w:pStyle w:val="NormalWeb"/>
        <w:numPr>
          <w:ilvl w:val="1"/>
          <w:numId w:val="75"/>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lastRenderedPageBreak/>
        <w:t xml:space="preserve">تؤكد رؤية 2030 على تعزيز الحوكمة والشفافية والاستقرار المالي، بالإضافة إلى تنويع الاقتصاد وجذب الاستثمارات. 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القوي يدعم بشكل مباشر هذه الأهداف من خلال بناء قطاع مالي أكثر مرونة وموثوقية وجاذبية للمستثمرين.</w:t>
      </w:r>
    </w:p>
    <w:p w14:paraId="68682E85" w14:textId="77777777" w:rsidR="00E373F3" w:rsidRPr="005D70B4" w:rsidRDefault="00E373F3" w:rsidP="005D70B4">
      <w:pPr>
        <w:pStyle w:val="NormalWeb"/>
        <w:numPr>
          <w:ilvl w:val="1"/>
          <w:numId w:val="75"/>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يعتبر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أداة لتعزيز الكفاءة التشغيلية والحد من المخاطر، مما يتماشى مع أهداف الرؤية في تحسين بيئة الأعمال.</w:t>
      </w:r>
    </w:p>
    <w:p w14:paraId="7FCD8532" w14:textId="77777777" w:rsidR="00E373F3" w:rsidRPr="005D70B4" w:rsidRDefault="00E373F3" w:rsidP="005D70B4">
      <w:pPr>
        <w:pStyle w:val="NormalWeb"/>
        <w:numPr>
          <w:ilvl w:val="0"/>
          <w:numId w:val="75"/>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التطور التكنولوجي (</w:t>
      </w:r>
      <w:r w:rsidRPr="005D70B4">
        <w:rPr>
          <w:rStyle w:val="Strong"/>
          <w:rFonts w:ascii="Simplified Arabic" w:hAnsi="Simplified Arabic" w:cs="Simplified Arabic" w:hint="cs"/>
          <w:color w:val="1B1C1D"/>
          <w:sz w:val="32"/>
          <w:szCs w:val="32"/>
          <w:bdr w:val="none" w:sz="0" w:space="0" w:color="auto" w:frame="1"/>
        </w:rPr>
        <w:t>Technological Advancement</w:t>
      </w:r>
      <w:r w:rsidRPr="005D70B4">
        <w:rPr>
          <w:rStyle w:val="Strong"/>
          <w:rFonts w:ascii="Simplified Arabic" w:hAnsi="Simplified Arabic" w:cs="Simplified Arabic" w:hint="cs"/>
          <w:color w:val="1B1C1D"/>
          <w:sz w:val="32"/>
          <w:szCs w:val="32"/>
          <w:bdr w:val="none" w:sz="0" w:space="0" w:color="auto" w:frame="1"/>
          <w:rtl/>
        </w:rPr>
        <w:t>):</w:t>
      </w:r>
    </w:p>
    <w:p w14:paraId="0A7BCA0D" w14:textId="77777777" w:rsidR="00E373F3" w:rsidRPr="005D70B4" w:rsidRDefault="00E373F3" w:rsidP="005D70B4">
      <w:pPr>
        <w:pStyle w:val="NormalWeb"/>
        <w:numPr>
          <w:ilvl w:val="1"/>
          <w:numId w:val="75"/>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توفر التطورات في التكنولوجيا (مثل الذكاء الاصطناعي، التعلم الآلي، تحليلات البيانات، الروبوتات) فرصًا كبيرة لأتمتة عمليات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وتحسين دقة تحديد المخاطر، وتعزيز كفاءة المراقبة والامتثال.</w:t>
      </w:r>
    </w:p>
    <w:p w14:paraId="4A030401" w14:textId="77777777" w:rsidR="00E373F3" w:rsidRPr="005D70B4" w:rsidRDefault="00E373F3" w:rsidP="005D70B4">
      <w:pPr>
        <w:pStyle w:val="NormalWeb"/>
        <w:numPr>
          <w:ilvl w:val="1"/>
          <w:numId w:val="75"/>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حلول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السحابية (</w:t>
      </w:r>
      <w:r w:rsidRPr="005D70B4">
        <w:rPr>
          <w:rFonts w:ascii="Simplified Arabic" w:hAnsi="Simplified Arabic" w:cs="Simplified Arabic" w:hint="cs"/>
          <w:color w:val="1B1C1D"/>
          <w:sz w:val="32"/>
          <w:szCs w:val="32"/>
        </w:rPr>
        <w:t>Cloud-based GRC solutions</w:t>
      </w:r>
      <w:r w:rsidRPr="005D70B4">
        <w:rPr>
          <w:rFonts w:ascii="Simplified Arabic" w:hAnsi="Simplified Arabic" w:cs="Simplified Arabic" w:hint="cs"/>
          <w:color w:val="1B1C1D"/>
          <w:sz w:val="32"/>
          <w:szCs w:val="32"/>
          <w:rtl/>
        </w:rPr>
        <w:t>) تقلل من التكاليف الأولية وتوفر مرونة أكبر للمنشآت.</w:t>
      </w:r>
    </w:p>
    <w:p w14:paraId="70BD6570" w14:textId="77777777" w:rsidR="00E373F3" w:rsidRPr="005D70B4" w:rsidRDefault="00E373F3" w:rsidP="005D70B4">
      <w:pPr>
        <w:pStyle w:val="NormalWeb"/>
        <w:numPr>
          <w:ilvl w:val="0"/>
          <w:numId w:val="75"/>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 xml:space="preserve">زيادة وعي الإدارة بأهمية </w:t>
      </w:r>
      <w:r w:rsidRPr="005D70B4">
        <w:rPr>
          <w:rStyle w:val="Strong"/>
          <w:rFonts w:ascii="Simplified Arabic" w:hAnsi="Simplified Arabic" w:cs="Simplified Arabic" w:hint="cs"/>
          <w:color w:val="1B1C1D"/>
          <w:sz w:val="32"/>
          <w:szCs w:val="32"/>
          <w:bdr w:val="none" w:sz="0" w:space="0" w:color="auto" w:frame="1"/>
        </w:rPr>
        <w:t>GRC (Increased Management Awareness)</w:t>
      </w:r>
      <w:r w:rsidRPr="005D70B4">
        <w:rPr>
          <w:rStyle w:val="Strong"/>
          <w:rFonts w:ascii="Simplified Arabic" w:hAnsi="Simplified Arabic" w:cs="Simplified Arabic" w:hint="cs"/>
          <w:color w:val="1B1C1D"/>
          <w:sz w:val="32"/>
          <w:szCs w:val="32"/>
          <w:bdr w:val="none" w:sz="0" w:space="0" w:color="auto" w:frame="1"/>
          <w:rtl/>
        </w:rPr>
        <w:t>:</w:t>
      </w:r>
    </w:p>
    <w:p w14:paraId="2CE97A0B" w14:textId="77777777" w:rsidR="00E373F3" w:rsidRPr="005D70B4" w:rsidRDefault="00E373F3" w:rsidP="005D70B4">
      <w:pPr>
        <w:pStyle w:val="NormalWeb"/>
        <w:numPr>
          <w:ilvl w:val="1"/>
          <w:numId w:val="75"/>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تزايد الوعي في الإدارة العليا ومجالس الإدارة بأهمية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ليس فقط كمطلب تنظيمي، ولكن كقيمة مضافة للأعمال تعزز الأداء وتحمي </w:t>
      </w:r>
      <w:r w:rsidRPr="005D70B4">
        <w:rPr>
          <w:rFonts w:ascii="Simplified Arabic" w:hAnsi="Simplified Arabic" w:cs="Simplified Arabic" w:hint="cs"/>
          <w:color w:val="1B1C1D"/>
          <w:sz w:val="32"/>
          <w:szCs w:val="32"/>
          <w:rtl/>
        </w:rPr>
        <w:lastRenderedPageBreak/>
        <w:t xml:space="preserve">السمعة. هذا الوعي يدفع نحو تخصيص الموارد والدعم اللازمين لتطبيق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بفعالية.</w:t>
      </w:r>
    </w:p>
    <w:p w14:paraId="13FBB152" w14:textId="77777777" w:rsidR="00E373F3" w:rsidRPr="005D70B4" w:rsidRDefault="00E373F3" w:rsidP="005D70B4">
      <w:pPr>
        <w:pStyle w:val="NormalWeb"/>
        <w:numPr>
          <w:ilvl w:val="1"/>
          <w:numId w:val="75"/>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الدروس المستفادة من الأزمات المالية العالمية والمحلية تؤكد على حيوية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w:t>
      </w:r>
    </w:p>
    <w:p w14:paraId="39CE488B" w14:textId="77777777" w:rsidR="00E373F3" w:rsidRPr="005D70B4" w:rsidRDefault="00E373F3" w:rsidP="005D70B4">
      <w:pPr>
        <w:pStyle w:val="Heading3"/>
        <w:spacing w:before="0" w:after="120" w:line="360" w:lineRule="auto"/>
        <w:divId w:val="1946188226"/>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t>دور الجهات الرقابية:</w:t>
      </w:r>
    </w:p>
    <w:p w14:paraId="39C1C75A" w14:textId="77777777" w:rsidR="00E373F3" w:rsidRPr="005D70B4" w:rsidRDefault="00E373F3" w:rsidP="005D70B4">
      <w:pPr>
        <w:pStyle w:val="NormalWeb"/>
        <w:numPr>
          <w:ilvl w:val="0"/>
          <w:numId w:val="76"/>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 xml:space="preserve">تأثير لوائح البنك المركزي السعودي وهيئة السوق المالية في دفع عجلة تطبيق </w:t>
      </w:r>
      <w:r w:rsidRPr="005D70B4">
        <w:rPr>
          <w:rStyle w:val="Strong"/>
          <w:rFonts w:ascii="Simplified Arabic" w:hAnsi="Simplified Arabic" w:cs="Simplified Arabic" w:hint="cs"/>
          <w:color w:val="1B1C1D"/>
          <w:sz w:val="32"/>
          <w:szCs w:val="32"/>
          <w:bdr w:val="none" w:sz="0" w:space="0" w:color="auto" w:frame="1"/>
        </w:rPr>
        <w:t>GRC</w:t>
      </w:r>
      <w:r w:rsidRPr="005D70B4">
        <w:rPr>
          <w:rStyle w:val="Strong"/>
          <w:rFonts w:ascii="Simplified Arabic" w:hAnsi="Simplified Arabic" w:cs="Simplified Arabic" w:hint="cs"/>
          <w:color w:val="1B1C1D"/>
          <w:sz w:val="32"/>
          <w:szCs w:val="32"/>
          <w:bdr w:val="none" w:sz="0" w:space="0" w:color="auto" w:frame="1"/>
          <w:rtl/>
        </w:rPr>
        <w:t>:</w:t>
      </w:r>
    </w:p>
    <w:p w14:paraId="5A098CC7" w14:textId="77777777" w:rsidR="00E373F3" w:rsidRPr="005D70B4" w:rsidRDefault="00E373F3" w:rsidP="005D70B4">
      <w:pPr>
        <w:pStyle w:val="NormalWeb"/>
        <w:numPr>
          <w:ilvl w:val="1"/>
          <w:numId w:val="76"/>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تلعب الجهات الرقابية السعودية دورًا حاسمًا في فرض وتعزيز 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من خلال إصدار اللوائح والمعايير الصارمة، وتكثيف عمليات الرقابة والتفتيش، وفرض العقوبات على المخالفين، تجبر هذه الهيئات المنشآت المالية على الاستثمار في أطر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قوية.</w:t>
      </w:r>
    </w:p>
    <w:p w14:paraId="3B6A9A44" w14:textId="77777777" w:rsidR="00E373F3" w:rsidRPr="005D70B4" w:rsidRDefault="00E373F3" w:rsidP="005D70B4">
      <w:pPr>
        <w:pStyle w:val="NormalWeb"/>
        <w:numPr>
          <w:ilvl w:val="1"/>
          <w:numId w:val="76"/>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تساهم متطلبات الإبلاغ الدورية التي تفرضها الجهات الرقابية في تعزيز الشفافية وتدفع المنشآت إلى تطوير أنظمة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فعالة لجمع وتحليل وتقديم هذه التقارير.</w:t>
      </w:r>
    </w:p>
    <w:p w14:paraId="03ACF2BB" w14:textId="77777777" w:rsidR="00E373F3" w:rsidRPr="005D70B4" w:rsidRDefault="00E373F3" w:rsidP="005D70B4">
      <w:pPr>
        <w:pStyle w:val="NormalWeb"/>
        <w:numPr>
          <w:ilvl w:val="1"/>
          <w:numId w:val="76"/>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كما تقدم هذه الجهات أحيانًا إرشادات وأفضل الممارسات لدعم المنشآت في رحلة الامتثال.</w:t>
      </w:r>
    </w:p>
    <w:p w14:paraId="1CE8A31D" w14:textId="77777777" w:rsidR="00E373F3" w:rsidRPr="005D70B4" w:rsidRDefault="00E373F3" w:rsidP="005D70B4">
      <w:pPr>
        <w:pStyle w:val="Heading3"/>
        <w:spacing w:before="0" w:after="120" w:line="360" w:lineRule="auto"/>
        <w:divId w:val="1946188226"/>
        <w:rPr>
          <w:rFonts w:ascii="Simplified Arabic" w:eastAsia="Times New Roman" w:hAnsi="Simplified Arabic" w:cs="Simplified Arabic"/>
          <w:color w:val="1B1C1D"/>
          <w:sz w:val="32"/>
          <w:szCs w:val="32"/>
          <w:rtl/>
        </w:rPr>
      </w:pPr>
      <w:r w:rsidRPr="005D70B4">
        <w:rPr>
          <w:rFonts w:ascii="Simplified Arabic" w:eastAsia="Times New Roman" w:hAnsi="Simplified Arabic" w:cs="Simplified Arabic" w:hint="cs"/>
          <w:color w:val="1B1C1D"/>
          <w:sz w:val="32"/>
          <w:szCs w:val="32"/>
          <w:rtl/>
        </w:rPr>
        <w:lastRenderedPageBreak/>
        <w:t>دراسات حالة وتجارب سابقة:</w:t>
      </w:r>
    </w:p>
    <w:p w14:paraId="23C64556" w14:textId="77777777" w:rsidR="00E373F3" w:rsidRPr="005D70B4" w:rsidRDefault="00E373F3" w:rsidP="005D70B4">
      <w:pPr>
        <w:pStyle w:val="NormalWeb"/>
        <w:numPr>
          <w:ilvl w:val="0"/>
          <w:numId w:val="77"/>
        </w:numPr>
        <w:bidi/>
        <w:spacing w:before="0" w:beforeAutospacing="0" w:after="0" w:afterAutospacing="0" w:line="360" w:lineRule="auto"/>
        <w:divId w:val="1946188226"/>
        <w:rPr>
          <w:rFonts w:ascii="Simplified Arabic" w:hAnsi="Simplified Arabic" w:cs="Simplified Arabic"/>
          <w:color w:val="1B1C1D"/>
          <w:sz w:val="32"/>
          <w:szCs w:val="32"/>
          <w:rtl/>
        </w:rPr>
      </w:pPr>
      <w:r w:rsidRPr="005D70B4">
        <w:rPr>
          <w:rStyle w:val="Strong"/>
          <w:rFonts w:ascii="Simplified Arabic" w:hAnsi="Simplified Arabic" w:cs="Simplified Arabic" w:hint="cs"/>
          <w:color w:val="1B1C1D"/>
          <w:sz w:val="32"/>
          <w:szCs w:val="32"/>
          <w:bdr w:val="none" w:sz="0" w:space="0" w:color="auto" w:frame="1"/>
          <w:rtl/>
        </w:rPr>
        <w:t>استعراض موجز لتجارب مشابهة في سياقات مماثلة:</w:t>
      </w:r>
    </w:p>
    <w:p w14:paraId="085EB7C2" w14:textId="77777777" w:rsidR="00E373F3" w:rsidRPr="005D70B4" w:rsidRDefault="00E373F3" w:rsidP="005D70B4">
      <w:pPr>
        <w:pStyle w:val="NormalWeb"/>
        <w:numPr>
          <w:ilvl w:val="1"/>
          <w:numId w:val="77"/>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على الرغم من أن التفاصيل الدقيقة لدراسات الحالة الفردية غالبًا ما تكون خاصة بالشركات، إلا أن هناك اتجاهًا عالميًا نحو تبني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المتكامل في القطاع المالي. العديد من البنوك الكبرى والشركات الاستثمارية حول العالم، وكذلك في منطقة الخليج، استثمرت بشكل كبير في أنظمة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لتعزيز الامتثال لمعايير بازل، ولوائح مكافحة غسل الأموال، ومتطلبات حماية البيانات.</w:t>
      </w:r>
    </w:p>
    <w:p w14:paraId="34BC33D7" w14:textId="77777777" w:rsidR="00E373F3" w:rsidRPr="005D70B4" w:rsidRDefault="00E373F3" w:rsidP="005D70B4">
      <w:pPr>
        <w:pStyle w:val="NormalWeb"/>
        <w:numPr>
          <w:ilvl w:val="1"/>
          <w:numId w:val="77"/>
        </w:numPr>
        <w:bidi/>
        <w:spacing w:before="0" w:beforeAutospacing="0" w:after="12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تظهر التجارب أن المؤسسات التي نجحت في 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المتكامل هي تلك التي حظيت بدعم الإدارة العليا، واستثمرت في التكنولوجيا المناسبة، وركزت على تغيير الثقافة التنظيمية، وتوفير التدريب المستمر للموظفين. وغالبًا ما تشهد هذه المؤسسات تحسينات ملحوظة في الكفاءة التشغيلية، وانخفاضًا في حوادث المخاطر، وتعزيزًا لسمعتها وثقة أصحاب المصلحة.</w:t>
      </w:r>
    </w:p>
    <w:p w14:paraId="331D98F2" w14:textId="77777777" w:rsidR="00E373F3" w:rsidRPr="005D70B4" w:rsidRDefault="00E373F3" w:rsidP="005D70B4">
      <w:pPr>
        <w:pStyle w:val="Heading2"/>
        <w:spacing w:before="0" w:after="120" w:line="360" w:lineRule="auto"/>
        <w:divId w:val="1946188226"/>
        <w:rPr>
          <w:rFonts w:ascii="Simplified Arabic" w:eastAsia="Times New Roman" w:hAnsi="Simplified Arabic" w:cs="Simplified Arabic"/>
          <w:color w:val="1B1C1D"/>
          <w:rtl/>
        </w:rPr>
      </w:pPr>
      <w:r w:rsidRPr="005D70B4">
        <w:rPr>
          <w:rFonts w:ascii="Simplified Arabic" w:eastAsia="Times New Roman" w:hAnsi="Simplified Arabic" w:cs="Simplified Arabic" w:hint="cs"/>
          <w:color w:val="1B1C1D"/>
          <w:rtl/>
        </w:rPr>
        <w:t>الخاتمة</w:t>
      </w:r>
    </w:p>
    <w:p w14:paraId="11814D97" w14:textId="77777777" w:rsidR="00E373F3" w:rsidRPr="005D70B4" w:rsidRDefault="00E373F3" w:rsidP="005D70B4">
      <w:pPr>
        <w:pStyle w:val="NormalWeb"/>
        <w:bidi/>
        <w:spacing w:before="0" w:beforeAutospacing="0" w:after="24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في الختام، يمثل إطار حوكمة المخاطر والامتثال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ضرورة استراتيجية وليست مجرد خيار تكميلي للمنشآت المالية الحديثة. في بيئة تتسم بالتعقيد التنظيمي المتزايد، </w:t>
      </w:r>
      <w:r w:rsidRPr="005D70B4">
        <w:rPr>
          <w:rFonts w:ascii="Simplified Arabic" w:hAnsi="Simplified Arabic" w:cs="Simplified Arabic" w:hint="cs"/>
          <w:color w:val="1B1C1D"/>
          <w:sz w:val="32"/>
          <w:szCs w:val="32"/>
          <w:rtl/>
        </w:rPr>
        <w:lastRenderedPageBreak/>
        <w:t xml:space="preserve">والمخاطر المتطورة، والضغوط المستمرة لتحقيق الكفاءة التشغيلية، يوفر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النهج المتكامل الذي يضمن أن المؤسسات تعمل بفعالية ومسؤولية وشفافية.</w:t>
      </w:r>
    </w:p>
    <w:p w14:paraId="288A4CE2" w14:textId="77777777" w:rsidR="00E373F3" w:rsidRPr="005D70B4" w:rsidRDefault="00E373F3" w:rsidP="005D70B4">
      <w:pPr>
        <w:pStyle w:val="NormalWeb"/>
        <w:bidi/>
        <w:spacing w:before="0" w:beforeAutospacing="0" w:after="24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لقد استعرضنا كيف يجمع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بين الحوكمة، وإدارة المخاطر، والامتثال في إطار عمل متماسك، مما يعزز الاستقرار، والشفافية، والمساءلة في القطاع المالي. كما رأينا كيف تساهم الحوكمة المؤسسية في توجيه المؤسسات، وكيف تحمي إدارة المخاطر التشغيلية أصولها، وكيف يضمن الامتثال التزامها بالضوابط الداخلية والخارجية.</w:t>
      </w:r>
    </w:p>
    <w:p w14:paraId="5CB44853" w14:textId="77777777" w:rsidR="00E373F3" w:rsidRPr="005D70B4" w:rsidRDefault="00E373F3" w:rsidP="005D70B4">
      <w:pPr>
        <w:pStyle w:val="NormalWeb"/>
        <w:bidi/>
        <w:spacing w:before="0" w:beforeAutospacing="0" w:after="24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إن التأثير الإيجابي لـ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على كفاءة الأداء التشغيلي لا يقتصر على تبسيط العمليات وتقليل الهدر، بل يمتد ليشمل تعزيز الشفافية ودعم اتخاذ القرارات المستنيرة. وعلى صعيد الحد من المخاطر التشغيلية، يمكّن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المنشآت من تحديد المخاطر وتقييمها بشكل استباقي، وبناء ضوابط داخلية قوية، والاستجابة بفعالية للأحداث المخاطرية.</w:t>
      </w:r>
    </w:p>
    <w:p w14:paraId="0B478A46" w14:textId="77777777" w:rsidR="00E373F3" w:rsidRPr="005D70B4" w:rsidRDefault="00E373F3" w:rsidP="005D70B4">
      <w:pPr>
        <w:pStyle w:val="NormalWeb"/>
        <w:bidi/>
        <w:spacing w:before="0" w:beforeAutospacing="0" w:after="24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t xml:space="preserve">بالرغم من التحديات المتمثلة في مقاومة التغيير، ونقص الموارد، وتعقيد البيئة التنظيمية، يقدم 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فرصًا ذهبية للمنشآت المالية السعودية لدعم رؤية المملكة 2030، والاستفادة من التطور التكنولوجي، وتعزيز مكانتها في السوق. ومع الدور الفعال للجهات الرقابية مثل البنك المركزي السعودي وهيئة السوق المالية في دفع عجلة تطبيق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فإن المستقبل يبشر بمزيد من النضج والكفاءة في المشهد المالي للمملكة.</w:t>
      </w:r>
    </w:p>
    <w:p w14:paraId="5290450B" w14:textId="77777777" w:rsidR="00E373F3" w:rsidRPr="005D70B4" w:rsidRDefault="00E373F3" w:rsidP="005D70B4">
      <w:pPr>
        <w:pStyle w:val="NormalWeb"/>
        <w:bidi/>
        <w:spacing w:before="0" w:beforeAutospacing="0" w:after="240" w:afterAutospacing="0" w:line="360" w:lineRule="auto"/>
        <w:divId w:val="1946188226"/>
        <w:rPr>
          <w:rFonts w:ascii="Simplified Arabic" w:hAnsi="Simplified Arabic" w:cs="Simplified Arabic"/>
          <w:color w:val="1B1C1D"/>
          <w:sz w:val="32"/>
          <w:szCs w:val="32"/>
          <w:rtl/>
        </w:rPr>
      </w:pPr>
      <w:r w:rsidRPr="005D70B4">
        <w:rPr>
          <w:rFonts w:ascii="Simplified Arabic" w:hAnsi="Simplified Arabic" w:cs="Simplified Arabic" w:hint="cs"/>
          <w:color w:val="1B1C1D"/>
          <w:sz w:val="32"/>
          <w:szCs w:val="32"/>
          <w:rtl/>
        </w:rPr>
        <w:lastRenderedPageBreak/>
        <w:t xml:space="preserve">في جوهر الأمر، </w:t>
      </w:r>
      <w:r w:rsidRPr="005D70B4">
        <w:rPr>
          <w:rFonts w:ascii="Simplified Arabic" w:hAnsi="Simplified Arabic" w:cs="Simplified Arabic" w:hint="cs"/>
          <w:color w:val="1B1C1D"/>
          <w:sz w:val="32"/>
          <w:szCs w:val="32"/>
        </w:rPr>
        <w:t>GRC</w:t>
      </w:r>
      <w:r w:rsidRPr="005D70B4">
        <w:rPr>
          <w:rFonts w:ascii="Simplified Arabic" w:hAnsi="Simplified Arabic" w:cs="Simplified Arabic" w:hint="cs"/>
          <w:color w:val="1B1C1D"/>
          <w:sz w:val="32"/>
          <w:szCs w:val="32"/>
          <w:rtl/>
        </w:rPr>
        <w:t xml:space="preserve"> ليس مجرد مجموعة من القواعد والإجراءات، بل هو ثقافة مؤسسية متكاملة تهدف إلى تحقيق التوازن بين حماية القيمة وخلقها، مما يضمن للمنشآت المالية الاستدامة والنمو في عالم دائم التغير.</w:t>
      </w:r>
    </w:p>
    <w:p w14:paraId="3AAC474F" w14:textId="20CA5A8E" w:rsidR="00C84CF4" w:rsidRPr="005D70B4" w:rsidRDefault="00C84CF4" w:rsidP="005D70B4">
      <w:pPr>
        <w:spacing w:line="360" w:lineRule="auto"/>
        <w:divId w:val="1814521841"/>
        <w:rPr>
          <w:rFonts w:ascii="Simplified Arabic" w:eastAsia="Times New Roman" w:hAnsi="Simplified Arabic" w:cs="Simplified Arabic"/>
          <w:color w:val="1B1C1D"/>
          <w:sz w:val="32"/>
          <w:szCs w:val="32"/>
          <w:rtl/>
        </w:rPr>
      </w:pPr>
    </w:p>
    <w:p w14:paraId="149058A3"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574F7FE1"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64E98194"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0C96F0A7"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713274D6"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578B1455"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170A66DF" w14:textId="77777777" w:rsidR="00427281" w:rsidRPr="005D70B4"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224CA232" w14:textId="77777777" w:rsidR="00427281" w:rsidRDefault="00427281"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7F4CC56A" w14:textId="77777777" w:rsidR="00695564" w:rsidRDefault="00695564"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p w14:paraId="58856EE6" w14:textId="77777777" w:rsidR="00695564" w:rsidRDefault="00695564" w:rsidP="005D70B4">
      <w:pPr>
        <w:spacing w:after="120" w:line="360" w:lineRule="auto"/>
        <w:divId w:val="1900549326"/>
        <w:rPr>
          <w:rFonts w:ascii="Simplified Arabic" w:eastAsia="Times New Roman" w:hAnsi="Simplified Arabic" w:cs="Simplified Arabic"/>
          <w:color w:val="000000" w:themeColor="text1"/>
          <w:kern w:val="0"/>
          <w:sz w:val="32"/>
          <w:szCs w:val="32"/>
          <w:rtl/>
          <w14:ligatures w14:val="none"/>
        </w:rPr>
      </w:pPr>
    </w:p>
    <w:sectPr w:rsidR="00695564"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E76EF" w14:textId="77777777" w:rsidR="0081561E" w:rsidRDefault="0081561E" w:rsidP="009125CE">
      <w:pPr>
        <w:spacing w:after="0" w:line="240" w:lineRule="auto"/>
      </w:pPr>
      <w:r>
        <w:separator/>
      </w:r>
    </w:p>
  </w:endnote>
  <w:endnote w:type="continuationSeparator" w:id="0">
    <w:p w14:paraId="1D6AD075" w14:textId="77777777" w:rsidR="0081561E" w:rsidRDefault="0081561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38781334"/>
      <w:docPartObj>
        <w:docPartGallery w:val="Page Numbers (Bottom of Page)"/>
        <w:docPartUnique/>
      </w:docPartObj>
    </w:sdtPr>
    <w:sdtContent>
      <w:p w14:paraId="10D91D7C" w14:textId="4385F279" w:rsidR="00000DD2" w:rsidRDefault="00000DD2" w:rsidP="006D64CD">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7633B11" w14:textId="77777777" w:rsidR="00000DD2" w:rsidRDefault="00000D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60384432"/>
      <w:docPartObj>
        <w:docPartGallery w:val="Page Numbers (Bottom of Page)"/>
        <w:docPartUnique/>
      </w:docPartObj>
    </w:sdtPr>
    <w:sdtContent>
      <w:p w14:paraId="79A9F07B" w14:textId="73836F48" w:rsidR="00000DD2" w:rsidRDefault="00000DD2" w:rsidP="006D64CD">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0FB74FCE" w14:textId="77777777" w:rsidR="00000DD2" w:rsidRDefault="00000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01788" w14:textId="77777777" w:rsidR="0081561E" w:rsidRDefault="0081561E" w:rsidP="009125CE">
      <w:pPr>
        <w:spacing w:after="0" w:line="240" w:lineRule="auto"/>
      </w:pPr>
      <w:r>
        <w:separator/>
      </w:r>
    </w:p>
  </w:footnote>
  <w:footnote w:type="continuationSeparator" w:id="0">
    <w:p w14:paraId="1083D14E" w14:textId="77777777" w:rsidR="0081561E" w:rsidRDefault="0081561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7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87F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C0C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85D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036F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C94A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4637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D823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9B52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3026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711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F126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DB51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6F7E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560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382C2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6548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E5F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F31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F03D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5D15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AA06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E32C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FD1C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460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734C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9959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A107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4F12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C754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3D6D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4401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F36F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8136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B226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F762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AC17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7921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0E28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6E70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A543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4045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EB48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CD14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E535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7127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B029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1545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9732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FF10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1758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602B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347F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A317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160E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E5176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F460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55F33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AF39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324809"/>
    <w:multiLevelType w:val="hybridMultilevel"/>
    <w:tmpl w:val="653AB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85B3E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6F45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8631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4843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8C46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BA37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C264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C429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0438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9A2B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C80F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2E1D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FB19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F23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AA22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BB53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A300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4347563">
    <w:abstractNumId w:val="20"/>
  </w:num>
  <w:num w:numId="2" w16cid:durableId="1557157557">
    <w:abstractNumId w:val="16"/>
  </w:num>
  <w:num w:numId="3" w16cid:durableId="2052873478">
    <w:abstractNumId w:val="35"/>
  </w:num>
  <w:num w:numId="4" w16cid:durableId="384374305">
    <w:abstractNumId w:val="75"/>
  </w:num>
  <w:num w:numId="5" w16cid:durableId="308176010">
    <w:abstractNumId w:val="44"/>
  </w:num>
  <w:num w:numId="6" w16cid:durableId="123624723">
    <w:abstractNumId w:val="36"/>
  </w:num>
  <w:num w:numId="7" w16cid:durableId="1837528703">
    <w:abstractNumId w:val="40"/>
  </w:num>
  <w:num w:numId="8" w16cid:durableId="1112436253">
    <w:abstractNumId w:val="33"/>
  </w:num>
  <w:num w:numId="9" w16cid:durableId="825319871">
    <w:abstractNumId w:val="13"/>
  </w:num>
  <w:num w:numId="10" w16cid:durableId="755368312">
    <w:abstractNumId w:val="24"/>
  </w:num>
  <w:num w:numId="11" w16cid:durableId="1452286223">
    <w:abstractNumId w:val="45"/>
  </w:num>
  <w:num w:numId="12" w16cid:durableId="1809468039">
    <w:abstractNumId w:val="7"/>
  </w:num>
  <w:num w:numId="13" w16cid:durableId="674921897">
    <w:abstractNumId w:val="62"/>
  </w:num>
  <w:num w:numId="14" w16cid:durableId="2110807342">
    <w:abstractNumId w:val="21"/>
  </w:num>
  <w:num w:numId="15" w16cid:durableId="293557954">
    <w:abstractNumId w:val="64"/>
  </w:num>
  <w:num w:numId="16" w16cid:durableId="897327461">
    <w:abstractNumId w:val="8"/>
  </w:num>
  <w:num w:numId="17" w16cid:durableId="1886209227">
    <w:abstractNumId w:val="43"/>
  </w:num>
  <w:num w:numId="18" w16cid:durableId="1743482454">
    <w:abstractNumId w:val="2"/>
  </w:num>
  <w:num w:numId="19" w16cid:durableId="174196246">
    <w:abstractNumId w:val="19"/>
  </w:num>
  <w:num w:numId="20" w16cid:durableId="262423444">
    <w:abstractNumId w:val="18"/>
  </w:num>
  <w:num w:numId="21" w16cid:durableId="11612351">
    <w:abstractNumId w:val="46"/>
  </w:num>
  <w:num w:numId="22" w16cid:durableId="74590353">
    <w:abstractNumId w:val="48"/>
  </w:num>
  <w:num w:numId="23" w16cid:durableId="978267931">
    <w:abstractNumId w:val="3"/>
  </w:num>
  <w:num w:numId="24" w16cid:durableId="710150353">
    <w:abstractNumId w:val="61"/>
  </w:num>
  <w:num w:numId="25" w16cid:durableId="772822341">
    <w:abstractNumId w:val="72"/>
  </w:num>
  <w:num w:numId="26" w16cid:durableId="1388652103">
    <w:abstractNumId w:val="74"/>
  </w:num>
  <w:num w:numId="27" w16cid:durableId="213657605">
    <w:abstractNumId w:val="22"/>
  </w:num>
  <w:num w:numId="28" w16cid:durableId="1975138503">
    <w:abstractNumId w:val="68"/>
  </w:num>
  <w:num w:numId="29" w16cid:durableId="1020397275">
    <w:abstractNumId w:val="58"/>
  </w:num>
  <w:num w:numId="30" w16cid:durableId="2090076865">
    <w:abstractNumId w:val="32"/>
  </w:num>
  <w:num w:numId="31" w16cid:durableId="794635391">
    <w:abstractNumId w:val="17"/>
  </w:num>
  <w:num w:numId="32" w16cid:durableId="792137280">
    <w:abstractNumId w:val="28"/>
  </w:num>
  <w:num w:numId="33" w16cid:durableId="348801587">
    <w:abstractNumId w:val="47"/>
  </w:num>
  <w:num w:numId="34" w16cid:durableId="1942568990">
    <w:abstractNumId w:val="52"/>
  </w:num>
  <w:num w:numId="35" w16cid:durableId="206066111">
    <w:abstractNumId w:val="69"/>
  </w:num>
  <w:num w:numId="36" w16cid:durableId="260990029">
    <w:abstractNumId w:val="51"/>
  </w:num>
  <w:num w:numId="37" w16cid:durableId="445924791">
    <w:abstractNumId w:val="25"/>
  </w:num>
  <w:num w:numId="38" w16cid:durableId="1087190858">
    <w:abstractNumId w:val="31"/>
  </w:num>
  <w:num w:numId="39" w16cid:durableId="2104257479">
    <w:abstractNumId w:val="42"/>
  </w:num>
  <w:num w:numId="40" w16cid:durableId="1722561027">
    <w:abstractNumId w:val="66"/>
  </w:num>
  <w:num w:numId="41" w16cid:durableId="902446355">
    <w:abstractNumId w:val="38"/>
  </w:num>
  <w:num w:numId="42" w16cid:durableId="483089429">
    <w:abstractNumId w:val="59"/>
  </w:num>
  <w:num w:numId="43" w16cid:durableId="2051418963">
    <w:abstractNumId w:val="4"/>
  </w:num>
  <w:num w:numId="44" w16cid:durableId="364058489">
    <w:abstractNumId w:val="71"/>
  </w:num>
  <w:num w:numId="45" w16cid:durableId="1894928451">
    <w:abstractNumId w:val="27"/>
  </w:num>
  <w:num w:numId="46" w16cid:durableId="892036007">
    <w:abstractNumId w:val="49"/>
  </w:num>
  <w:num w:numId="47" w16cid:durableId="670986331">
    <w:abstractNumId w:val="50"/>
  </w:num>
  <w:num w:numId="48" w16cid:durableId="2125222867">
    <w:abstractNumId w:val="6"/>
  </w:num>
  <w:num w:numId="49" w16cid:durableId="482895030">
    <w:abstractNumId w:val="15"/>
  </w:num>
  <w:num w:numId="50" w16cid:durableId="1744378465">
    <w:abstractNumId w:val="73"/>
  </w:num>
  <w:num w:numId="51" w16cid:durableId="396132197">
    <w:abstractNumId w:val="12"/>
  </w:num>
  <w:num w:numId="52" w16cid:durableId="1505509140">
    <w:abstractNumId w:val="5"/>
  </w:num>
  <w:num w:numId="53" w16cid:durableId="1106585771">
    <w:abstractNumId w:val="14"/>
  </w:num>
  <w:num w:numId="54" w16cid:durableId="686713463">
    <w:abstractNumId w:val="57"/>
  </w:num>
  <w:num w:numId="55" w16cid:durableId="1754274334">
    <w:abstractNumId w:val="10"/>
  </w:num>
  <w:num w:numId="56" w16cid:durableId="1829710198">
    <w:abstractNumId w:val="23"/>
  </w:num>
  <w:num w:numId="57" w16cid:durableId="258872476">
    <w:abstractNumId w:val="39"/>
  </w:num>
  <w:num w:numId="58" w16cid:durableId="1597640487">
    <w:abstractNumId w:val="55"/>
  </w:num>
  <w:num w:numId="59" w16cid:durableId="1031610964">
    <w:abstractNumId w:val="0"/>
  </w:num>
  <w:num w:numId="60" w16cid:durableId="149366206">
    <w:abstractNumId w:val="29"/>
  </w:num>
  <w:num w:numId="61" w16cid:durableId="704254556">
    <w:abstractNumId w:val="11"/>
  </w:num>
  <w:num w:numId="62" w16cid:durableId="1293901563">
    <w:abstractNumId w:val="76"/>
  </w:num>
  <w:num w:numId="63" w16cid:durableId="412556551">
    <w:abstractNumId w:val="9"/>
  </w:num>
  <w:num w:numId="64" w16cid:durableId="1715274927">
    <w:abstractNumId w:val="37"/>
  </w:num>
  <w:num w:numId="65" w16cid:durableId="604579256">
    <w:abstractNumId w:val="41"/>
  </w:num>
  <w:num w:numId="66" w16cid:durableId="1382748063">
    <w:abstractNumId w:val="26"/>
  </w:num>
  <w:num w:numId="67" w16cid:durableId="1319651522">
    <w:abstractNumId w:val="67"/>
  </w:num>
  <w:num w:numId="68" w16cid:durableId="30234437">
    <w:abstractNumId w:val="70"/>
  </w:num>
  <w:num w:numId="69" w16cid:durableId="1486051735">
    <w:abstractNumId w:val="34"/>
  </w:num>
  <w:num w:numId="70" w16cid:durableId="205798025">
    <w:abstractNumId w:val="30"/>
  </w:num>
  <w:num w:numId="71" w16cid:durableId="381750888">
    <w:abstractNumId w:val="60"/>
  </w:num>
  <w:num w:numId="72" w16cid:durableId="2109232242">
    <w:abstractNumId w:val="65"/>
  </w:num>
  <w:num w:numId="73" w16cid:durableId="570500624">
    <w:abstractNumId w:val="53"/>
  </w:num>
  <w:num w:numId="74" w16cid:durableId="31536317">
    <w:abstractNumId w:val="54"/>
  </w:num>
  <w:num w:numId="75" w16cid:durableId="256250739">
    <w:abstractNumId w:val="1"/>
  </w:num>
  <w:num w:numId="76" w16cid:durableId="543837078">
    <w:abstractNumId w:val="56"/>
  </w:num>
  <w:num w:numId="77" w16cid:durableId="1225481865">
    <w:abstractNumId w:val="6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DD2"/>
    <w:rsid w:val="0001312B"/>
    <w:rsid w:val="00062150"/>
    <w:rsid w:val="00085DB1"/>
    <w:rsid w:val="00092FD4"/>
    <w:rsid w:val="000A772C"/>
    <w:rsid w:val="000C199E"/>
    <w:rsid w:val="000C7A1B"/>
    <w:rsid w:val="000F44B4"/>
    <w:rsid w:val="00107668"/>
    <w:rsid w:val="001332DC"/>
    <w:rsid w:val="00175FD0"/>
    <w:rsid w:val="001902DB"/>
    <w:rsid w:val="00195E97"/>
    <w:rsid w:val="001A6390"/>
    <w:rsid w:val="001B7FFE"/>
    <w:rsid w:val="001C2162"/>
    <w:rsid w:val="002052AB"/>
    <w:rsid w:val="00212861"/>
    <w:rsid w:val="00246BD8"/>
    <w:rsid w:val="00262410"/>
    <w:rsid w:val="002A2F7B"/>
    <w:rsid w:val="0030100C"/>
    <w:rsid w:val="00323EE9"/>
    <w:rsid w:val="00343804"/>
    <w:rsid w:val="00397850"/>
    <w:rsid w:val="003B5142"/>
    <w:rsid w:val="003E2947"/>
    <w:rsid w:val="00427281"/>
    <w:rsid w:val="004473B7"/>
    <w:rsid w:val="004506C9"/>
    <w:rsid w:val="00461CB0"/>
    <w:rsid w:val="004E1596"/>
    <w:rsid w:val="00563F13"/>
    <w:rsid w:val="00567BEE"/>
    <w:rsid w:val="005814DF"/>
    <w:rsid w:val="005827B7"/>
    <w:rsid w:val="00590B27"/>
    <w:rsid w:val="005A4714"/>
    <w:rsid w:val="005A4BC6"/>
    <w:rsid w:val="005B42FC"/>
    <w:rsid w:val="005C3CB8"/>
    <w:rsid w:val="005D70B4"/>
    <w:rsid w:val="0062761F"/>
    <w:rsid w:val="00665B18"/>
    <w:rsid w:val="006948DE"/>
    <w:rsid w:val="00695564"/>
    <w:rsid w:val="006C2569"/>
    <w:rsid w:val="006C30DA"/>
    <w:rsid w:val="006E079D"/>
    <w:rsid w:val="006F2FF8"/>
    <w:rsid w:val="00717C64"/>
    <w:rsid w:val="00735066"/>
    <w:rsid w:val="0078229C"/>
    <w:rsid w:val="00791FF1"/>
    <w:rsid w:val="007B0E54"/>
    <w:rsid w:val="007E2AC4"/>
    <w:rsid w:val="007E3A20"/>
    <w:rsid w:val="0081561E"/>
    <w:rsid w:val="00827594"/>
    <w:rsid w:val="008339DB"/>
    <w:rsid w:val="008571A7"/>
    <w:rsid w:val="00877AAC"/>
    <w:rsid w:val="008F1EAE"/>
    <w:rsid w:val="009125CE"/>
    <w:rsid w:val="0093171C"/>
    <w:rsid w:val="0097703E"/>
    <w:rsid w:val="00992005"/>
    <w:rsid w:val="009B6888"/>
    <w:rsid w:val="009C0161"/>
    <w:rsid w:val="009C3897"/>
    <w:rsid w:val="009D108D"/>
    <w:rsid w:val="009E1436"/>
    <w:rsid w:val="009E5668"/>
    <w:rsid w:val="00A74F76"/>
    <w:rsid w:val="00A87FEF"/>
    <w:rsid w:val="00AA51A5"/>
    <w:rsid w:val="00AA79E9"/>
    <w:rsid w:val="00AB0A70"/>
    <w:rsid w:val="00AC1FC9"/>
    <w:rsid w:val="00AE4EC4"/>
    <w:rsid w:val="00B63556"/>
    <w:rsid w:val="00B63B0F"/>
    <w:rsid w:val="00B6441F"/>
    <w:rsid w:val="00B7678A"/>
    <w:rsid w:val="00BA16D1"/>
    <w:rsid w:val="00BC378E"/>
    <w:rsid w:val="00BF6272"/>
    <w:rsid w:val="00C02295"/>
    <w:rsid w:val="00C23241"/>
    <w:rsid w:val="00C71E18"/>
    <w:rsid w:val="00C84CF4"/>
    <w:rsid w:val="00CE064D"/>
    <w:rsid w:val="00D22171"/>
    <w:rsid w:val="00D30A77"/>
    <w:rsid w:val="00D47A14"/>
    <w:rsid w:val="00DE1FC1"/>
    <w:rsid w:val="00E2072B"/>
    <w:rsid w:val="00E373F3"/>
    <w:rsid w:val="00E71C79"/>
    <w:rsid w:val="00EA6B5D"/>
    <w:rsid w:val="00EF28B5"/>
    <w:rsid w:val="00F036FA"/>
    <w:rsid w:val="00F14364"/>
    <w:rsid w:val="00F30F83"/>
    <w:rsid w:val="00F546CE"/>
    <w:rsid w:val="00FA0007"/>
    <w:rsid w:val="00FA448B"/>
    <w:rsid w:val="00FB351A"/>
    <w:rsid w:val="00FD68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C0229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3978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67BEE"/>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39785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9785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397850"/>
    <w:rPr>
      <w:b/>
      <w:bCs/>
    </w:rPr>
  </w:style>
  <w:style w:type="character" w:customStyle="1" w:styleId="Heading3Char">
    <w:name w:val="Heading 3 Char"/>
    <w:basedOn w:val="DefaultParagraphFont"/>
    <w:link w:val="Heading3"/>
    <w:uiPriority w:val="9"/>
    <w:rsid w:val="00567BEE"/>
    <w:rPr>
      <w:rFonts w:eastAsiaTheme="majorEastAsia" w:cstheme="majorBidi"/>
      <w:color w:val="2F5496" w:themeColor="accent1" w:themeShade="BF"/>
      <w:sz w:val="28"/>
      <w:szCs w:val="28"/>
    </w:rPr>
  </w:style>
  <w:style w:type="paragraph" w:styleId="ListParagraph">
    <w:name w:val="List Paragraph"/>
    <w:basedOn w:val="Normal"/>
    <w:uiPriority w:val="34"/>
    <w:qFormat/>
    <w:rsid w:val="00D47A14"/>
    <w:pPr>
      <w:ind w:left="720"/>
      <w:contextualSpacing/>
    </w:pPr>
  </w:style>
  <w:style w:type="character" w:styleId="Emphasis">
    <w:name w:val="Emphasis"/>
    <w:basedOn w:val="DefaultParagraphFont"/>
    <w:uiPriority w:val="20"/>
    <w:qFormat/>
    <w:rsid w:val="00AE4EC4"/>
    <w:rPr>
      <w:i/>
      <w:iCs/>
    </w:rPr>
  </w:style>
  <w:style w:type="character" w:styleId="PageNumber">
    <w:name w:val="page number"/>
    <w:basedOn w:val="DefaultParagraphFont"/>
    <w:uiPriority w:val="99"/>
    <w:semiHidden/>
    <w:unhideWhenUsed/>
    <w:rsid w:val="00000DD2"/>
  </w:style>
  <w:style w:type="character" w:customStyle="1" w:styleId="Heading1Char">
    <w:name w:val="Heading 1 Char"/>
    <w:basedOn w:val="DefaultParagraphFont"/>
    <w:link w:val="Heading1"/>
    <w:uiPriority w:val="9"/>
    <w:rsid w:val="00C02295"/>
    <w:rPr>
      <w:rFonts w:ascii="Times New Roman" w:eastAsiaTheme="minorEastAsia" w:hAnsi="Times New Roman" w:cs="Times New Roman"/>
      <w:b/>
      <w:bCs/>
      <w:kern w:val="36"/>
      <w:sz w:val="48"/>
      <w:szCs w:val="48"/>
      <w14:ligatures w14:val="none"/>
    </w:rPr>
  </w:style>
  <w:style w:type="paragraph" w:customStyle="1" w:styleId="gds-label-m-alt">
    <w:name w:val="gds-label-m-alt"/>
    <w:basedOn w:val="Normal"/>
    <w:rsid w:val="00175FD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Hyperlink">
    <w:name w:val="Hyperlink"/>
    <w:basedOn w:val="DefaultParagraphFont"/>
    <w:uiPriority w:val="99"/>
    <w:semiHidden/>
    <w:unhideWhenUsed/>
    <w:rsid w:val="00C84CF4"/>
    <w:rPr>
      <w:color w:val="0000FF"/>
      <w:u w:val="single"/>
    </w:rPr>
  </w:style>
  <w:style w:type="table" w:styleId="TableGrid">
    <w:name w:val="Table Grid"/>
    <w:basedOn w:val="TableNormal"/>
    <w:uiPriority w:val="39"/>
    <w:rsid w:val="00D30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5D70B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1180">
      <w:bodyDiv w:val="1"/>
      <w:marLeft w:val="0"/>
      <w:marRight w:val="0"/>
      <w:marTop w:val="0"/>
      <w:marBottom w:val="0"/>
      <w:divBdr>
        <w:top w:val="none" w:sz="0" w:space="0" w:color="auto"/>
        <w:left w:val="none" w:sz="0" w:space="0" w:color="auto"/>
        <w:bottom w:val="none" w:sz="0" w:space="0" w:color="auto"/>
        <w:right w:val="none" w:sz="0" w:space="0" w:color="auto"/>
      </w:divBdr>
    </w:div>
    <w:div w:id="247737242">
      <w:bodyDiv w:val="1"/>
      <w:marLeft w:val="0"/>
      <w:marRight w:val="0"/>
      <w:marTop w:val="0"/>
      <w:marBottom w:val="0"/>
      <w:divBdr>
        <w:top w:val="none" w:sz="0" w:space="0" w:color="auto"/>
        <w:left w:val="none" w:sz="0" w:space="0" w:color="auto"/>
        <w:bottom w:val="none" w:sz="0" w:space="0" w:color="auto"/>
        <w:right w:val="none" w:sz="0" w:space="0" w:color="auto"/>
      </w:divBdr>
    </w:div>
    <w:div w:id="261840252">
      <w:bodyDiv w:val="1"/>
      <w:marLeft w:val="0"/>
      <w:marRight w:val="0"/>
      <w:marTop w:val="0"/>
      <w:marBottom w:val="0"/>
      <w:divBdr>
        <w:top w:val="none" w:sz="0" w:space="0" w:color="auto"/>
        <w:left w:val="none" w:sz="0" w:space="0" w:color="auto"/>
        <w:bottom w:val="none" w:sz="0" w:space="0" w:color="auto"/>
        <w:right w:val="none" w:sz="0" w:space="0" w:color="auto"/>
      </w:divBdr>
    </w:div>
    <w:div w:id="522481092">
      <w:bodyDiv w:val="1"/>
      <w:marLeft w:val="0"/>
      <w:marRight w:val="0"/>
      <w:marTop w:val="0"/>
      <w:marBottom w:val="0"/>
      <w:divBdr>
        <w:top w:val="none" w:sz="0" w:space="0" w:color="auto"/>
        <w:left w:val="none" w:sz="0" w:space="0" w:color="auto"/>
        <w:bottom w:val="none" w:sz="0" w:space="0" w:color="auto"/>
        <w:right w:val="none" w:sz="0" w:space="0" w:color="auto"/>
      </w:divBdr>
    </w:div>
    <w:div w:id="543716290">
      <w:bodyDiv w:val="1"/>
      <w:marLeft w:val="0"/>
      <w:marRight w:val="0"/>
      <w:marTop w:val="0"/>
      <w:marBottom w:val="0"/>
      <w:divBdr>
        <w:top w:val="none" w:sz="0" w:space="0" w:color="auto"/>
        <w:left w:val="none" w:sz="0" w:space="0" w:color="auto"/>
        <w:bottom w:val="none" w:sz="0" w:space="0" w:color="auto"/>
        <w:right w:val="none" w:sz="0" w:space="0" w:color="auto"/>
      </w:divBdr>
      <w:divsChild>
        <w:div w:id="1260599743">
          <w:marLeft w:val="0"/>
          <w:marRight w:val="0"/>
          <w:marTop w:val="0"/>
          <w:marBottom w:val="0"/>
          <w:divBdr>
            <w:top w:val="none" w:sz="0" w:space="0" w:color="auto"/>
            <w:left w:val="none" w:sz="0" w:space="0" w:color="auto"/>
            <w:bottom w:val="none" w:sz="0" w:space="0" w:color="auto"/>
            <w:right w:val="none" w:sz="0" w:space="0" w:color="auto"/>
          </w:divBdr>
        </w:div>
      </w:divsChild>
    </w:div>
    <w:div w:id="668481948">
      <w:bodyDiv w:val="1"/>
      <w:marLeft w:val="0"/>
      <w:marRight w:val="0"/>
      <w:marTop w:val="0"/>
      <w:marBottom w:val="0"/>
      <w:divBdr>
        <w:top w:val="none" w:sz="0" w:space="0" w:color="auto"/>
        <w:left w:val="none" w:sz="0" w:space="0" w:color="auto"/>
        <w:bottom w:val="none" w:sz="0" w:space="0" w:color="auto"/>
        <w:right w:val="none" w:sz="0" w:space="0" w:color="auto"/>
      </w:divBdr>
    </w:div>
    <w:div w:id="926840852">
      <w:bodyDiv w:val="1"/>
      <w:marLeft w:val="0"/>
      <w:marRight w:val="0"/>
      <w:marTop w:val="0"/>
      <w:marBottom w:val="0"/>
      <w:divBdr>
        <w:top w:val="none" w:sz="0" w:space="0" w:color="auto"/>
        <w:left w:val="none" w:sz="0" w:space="0" w:color="auto"/>
        <w:bottom w:val="none" w:sz="0" w:space="0" w:color="auto"/>
        <w:right w:val="none" w:sz="0" w:space="0" w:color="auto"/>
      </w:divBdr>
      <w:divsChild>
        <w:div w:id="972098292">
          <w:marLeft w:val="0"/>
          <w:marRight w:val="0"/>
          <w:marTop w:val="0"/>
          <w:marBottom w:val="0"/>
          <w:divBdr>
            <w:top w:val="none" w:sz="0" w:space="0" w:color="auto"/>
            <w:left w:val="none" w:sz="0" w:space="0" w:color="auto"/>
            <w:bottom w:val="none" w:sz="0" w:space="0" w:color="auto"/>
            <w:right w:val="none" w:sz="0" w:space="0" w:color="auto"/>
          </w:divBdr>
          <w:divsChild>
            <w:div w:id="302472156">
              <w:marLeft w:val="0"/>
              <w:marRight w:val="0"/>
              <w:marTop w:val="0"/>
              <w:marBottom w:val="0"/>
              <w:divBdr>
                <w:top w:val="none" w:sz="0" w:space="0" w:color="auto"/>
                <w:left w:val="none" w:sz="0" w:space="0" w:color="auto"/>
                <w:bottom w:val="none" w:sz="0" w:space="0" w:color="auto"/>
                <w:right w:val="none" w:sz="0" w:space="0" w:color="auto"/>
              </w:divBdr>
              <w:divsChild>
                <w:div w:id="1776631856">
                  <w:marLeft w:val="0"/>
                  <w:marRight w:val="0"/>
                  <w:marTop w:val="0"/>
                  <w:marBottom w:val="0"/>
                  <w:divBdr>
                    <w:top w:val="none" w:sz="0" w:space="0" w:color="auto"/>
                    <w:left w:val="none" w:sz="0" w:space="0" w:color="auto"/>
                    <w:bottom w:val="none" w:sz="0" w:space="0" w:color="auto"/>
                    <w:right w:val="none" w:sz="0" w:space="0" w:color="auto"/>
                  </w:divBdr>
                  <w:divsChild>
                    <w:div w:id="1212041190">
                      <w:marLeft w:val="0"/>
                      <w:marRight w:val="0"/>
                      <w:marTop w:val="0"/>
                      <w:marBottom w:val="0"/>
                      <w:divBdr>
                        <w:top w:val="none" w:sz="0" w:space="0" w:color="auto"/>
                        <w:left w:val="none" w:sz="0" w:space="0" w:color="auto"/>
                        <w:bottom w:val="none" w:sz="0" w:space="0" w:color="auto"/>
                        <w:right w:val="none" w:sz="0" w:space="0" w:color="auto"/>
                      </w:divBdr>
                      <w:divsChild>
                        <w:div w:id="1499690461">
                          <w:marLeft w:val="0"/>
                          <w:marRight w:val="0"/>
                          <w:marTop w:val="0"/>
                          <w:marBottom w:val="0"/>
                          <w:divBdr>
                            <w:top w:val="none" w:sz="0" w:space="0" w:color="auto"/>
                            <w:left w:val="none" w:sz="0" w:space="0" w:color="auto"/>
                            <w:bottom w:val="none" w:sz="0" w:space="0" w:color="auto"/>
                            <w:right w:val="none" w:sz="0" w:space="0" w:color="auto"/>
                          </w:divBdr>
                          <w:divsChild>
                            <w:div w:id="1209296375">
                              <w:marLeft w:val="0"/>
                              <w:marRight w:val="0"/>
                              <w:marTop w:val="0"/>
                              <w:marBottom w:val="0"/>
                              <w:divBdr>
                                <w:top w:val="none" w:sz="0" w:space="0" w:color="auto"/>
                                <w:left w:val="none" w:sz="0" w:space="0" w:color="auto"/>
                                <w:bottom w:val="none" w:sz="0" w:space="0" w:color="auto"/>
                                <w:right w:val="none" w:sz="0" w:space="0" w:color="auto"/>
                              </w:divBdr>
                              <w:divsChild>
                                <w:div w:id="1326083462">
                                  <w:marLeft w:val="0"/>
                                  <w:marRight w:val="0"/>
                                  <w:marTop w:val="0"/>
                                  <w:marBottom w:val="0"/>
                                  <w:divBdr>
                                    <w:top w:val="none" w:sz="0" w:space="0" w:color="auto"/>
                                    <w:left w:val="none" w:sz="0" w:space="0" w:color="auto"/>
                                    <w:bottom w:val="none" w:sz="0" w:space="0" w:color="auto"/>
                                    <w:right w:val="none" w:sz="0" w:space="0" w:color="auto"/>
                                  </w:divBdr>
                                  <w:divsChild>
                                    <w:div w:id="26989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831508">
          <w:marLeft w:val="0"/>
          <w:marRight w:val="0"/>
          <w:marTop w:val="0"/>
          <w:marBottom w:val="0"/>
          <w:divBdr>
            <w:top w:val="none" w:sz="0" w:space="0" w:color="auto"/>
            <w:left w:val="none" w:sz="0" w:space="0" w:color="auto"/>
            <w:bottom w:val="none" w:sz="0" w:space="0" w:color="auto"/>
            <w:right w:val="none" w:sz="0" w:space="0" w:color="auto"/>
          </w:divBdr>
        </w:div>
        <w:div w:id="735594580">
          <w:marLeft w:val="0"/>
          <w:marRight w:val="0"/>
          <w:marTop w:val="0"/>
          <w:marBottom w:val="0"/>
          <w:divBdr>
            <w:top w:val="none" w:sz="0" w:space="0" w:color="auto"/>
            <w:left w:val="none" w:sz="0" w:space="0" w:color="auto"/>
            <w:bottom w:val="none" w:sz="0" w:space="0" w:color="auto"/>
            <w:right w:val="none" w:sz="0" w:space="0" w:color="auto"/>
          </w:divBdr>
          <w:divsChild>
            <w:div w:id="1823233965">
              <w:marLeft w:val="0"/>
              <w:marRight w:val="0"/>
              <w:marTop w:val="0"/>
              <w:marBottom w:val="0"/>
              <w:divBdr>
                <w:top w:val="none" w:sz="0" w:space="0" w:color="auto"/>
                <w:left w:val="none" w:sz="0" w:space="0" w:color="auto"/>
                <w:bottom w:val="none" w:sz="0" w:space="0" w:color="auto"/>
                <w:right w:val="none" w:sz="0" w:space="0" w:color="auto"/>
              </w:divBdr>
              <w:divsChild>
                <w:div w:id="1200900628">
                  <w:marLeft w:val="0"/>
                  <w:marRight w:val="0"/>
                  <w:marTop w:val="0"/>
                  <w:marBottom w:val="0"/>
                  <w:divBdr>
                    <w:top w:val="none" w:sz="0" w:space="0" w:color="auto"/>
                    <w:left w:val="none" w:sz="0" w:space="0" w:color="auto"/>
                    <w:bottom w:val="none" w:sz="0" w:space="0" w:color="auto"/>
                    <w:right w:val="none" w:sz="0" w:space="0" w:color="auto"/>
                  </w:divBdr>
                  <w:divsChild>
                    <w:div w:id="1347445107">
                      <w:marLeft w:val="0"/>
                      <w:marRight w:val="0"/>
                      <w:marTop w:val="0"/>
                      <w:marBottom w:val="0"/>
                      <w:divBdr>
                        <w:top w:val="none" w:sz="0" w:space="0" w:color="auto"/>
                        <w:left w:val="none" w:sz="0" w:space="0" w:color="auto"/>
                        <w:bottom w:val="none" w:sz="0" w:space="0" w:color="auto"/>
                        <w:right w:val="none" w:sz="0" w:space="0" w:color="auto"/>
                      </w:divBdr>
                      <w:divsChild>
                        <w:div w:id="304627612">
                          <w:marLeft w:val="0"/>
                          <w:marRight w:val="0"/>
                          <w:marTop w:val="0"/>
                          <w:marBottom w:val="0"/>
                          <w:divBdr>
                            <w:top w:val="none" w:sz="0" w:space="0" w:color="auto"/>
                            <w:left w:val="none" w:sz="0" w:space="0" w:color="auto"/>
                            <w:bottom w:val="none" w:sz="0" w:space="0" w:color="auto"/>
                            <w:right w:val="none" w:sz="0" w:space="0" w:color="auto"/>
                          </w:divBdr>
                          <w:divsChild>
                            <w:div w:id="1575579686">
                              <w:marLeft w:val="0"/>
                              <w:marRight w:val="0"/>
                              <w:marTop w:val="0"/>
                              <w:marBottom w:val="0"/>
                              <w:divBdr>
                                <w:top w:val="none" w:sz="0" w:space="0" w:color="auto"/>
                                <w:left w:val="none" w:sz="0" w:space="0" w:color="auto"/>
                                <w:bottom w:val="none" w:sz="0" w:space="0" w:color="auto"/>
                                <w:right w:val="none" w:sz="0" w:space="0" w:color="auto"/>
                              </w:divBdr>
                              <w:divsChild>
                                <w:div w:id="16671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06192">
                      <w:marLeft w:val="0"/>
                      <w:marRight w:val="0"/>
                      <w:marTop w:val="0"/>
                      <w:marBottom w:val="0"/>
                      <w:divBdr>
                        <w:top w:val="none" w:sz="0" w:space="0" w:color="auto"/>
                        <w:left w:val="none" w:sz="0" w:space="0" w:color="auto"/>
                        <w:bottom w:val="none" w:sz="0" w:space="0" w:color="auto"/>
                        <w:right w:val="none" w:sz="0" w:space="0" w:color="auto"/>
                      </w:divBdr>
                      <w:divsChild>
                        <w:div w:id="783887221">
                          <w:marLeft w:val="0"/>
                          <w:marRight w:val="0"/>
                          <w:marTop w:val="0"/>
                          <w:marBottom w:val="0"/>
                          <w:divBdr>
                            <w:top w:val="none" w:sz="0" w:space="0" w:color="auto"/>
                            <w:left w:val="none" w:sz="0" w:space="0" w:color="auto"/>
                            <w:bottom w:val="none" w:sz="0" w:space="0" w:color="auto"/>
                            <w:right w:val="none" w:sz="0" w:space="0" w:color="auto"/>
                          </w:divBdr>
                          <w:divsChild>
                            <w:div w:id="40024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146062">
          <w:marLeft w:val="0"/>
          <w:marRight w:val="0"/>
          <w:marTop w:val="0"/>
          <w:marBottom w:val="0"/>
          <w:divBdr>
            <w:top w:val="none" w:sz="0" w:space="0" w:color="auto"/>
            <w:left w:val="none" w:sz="0" w:space="0" w:color="auto"/>
            <w:bottom w:val="none" w:sz="0" w:space="0" w:color="auto"/>
            <w:right w:val="none" w:sz="0" w:space="0" w:color="auto"/>
          </w:divBdr>
        </w:div>
      </w:divsChild>
    </w:div>
    <w:div w:id="1222525572">
      <w:bodyDiv w:val="1"/>
      <w:marLeft w:val="0"/>
      <w:marRight w:val="0"/>
      <w:marTop w:val="0"/>
      <w:marBottom w:val="0"/>
      <w:divBdr>
        <w:top w:val="none" w:sz="0" w:space="0" w:color="auto"/>
        <w:left w:val="none" w:sz="0" w:space="0" w:color="auto"/>
        <w:bottom w:val="none" w:sz="0" w:space="0" w:color="auto"/>
        <w:right w:val="none" w:sz="0" w:space="0" w:color="auto"/>
      </w:divBdr>
    </w:div>
    <w:div w:id="1385716120">
      <w:bodyDiv w:val="1"/>
      <w:marLeft w:val="0"/>
      <w:marRight w:val="0"/>
      <w:marTop w:val="0"/>
      <w:marBottom w:val="0"/>
      <w:divBdr>
        <w:top w:val="none" w:sz="0" w:space="0" w:color="auto"/>
        <w:left w:val="none" w:sz="0" w:space="0" w:color="auto"/>
        <w:bottom w:val="none" w:sz="0" w:space="0" w:color="auto"/>
        <w:right w:val="none" w:sz="0" w:space="0" w:color="auto"/>
      </w:divBdr>
    </w:div>
    <w:div w:id="1554000371">
      <w:bodyDiv w:val="1"/>
      <w:marLeft w:val="0"/>
      <w:marRight w:val="0"/>
      <w:marTop w:val="0"/>
      <w:marBottom w:val="0"/>
      <w:divBdr>
        <w:top w:val="none" w:sz="0" w:space="0" w:color="auto"/>
        <w:left w:val="none" w:sz="0" w:space="0" w:color="auto"/>
        <w:bottom w:val="none" w:sz="0" w:space="0" w:color="auto"/>
        <w:right w:val="none" w:sz="0" w:space="0" w:color="auto"/>
      </w:divBdr>
    </w:div>
    <w:div w:id="1878657154">
      <w:bodyDiv w:val="1"/>
      <w:marLeft w:val="0"/>
      <w:marRight w:val="0"/>
      <w:marTop w:val="0"/>
      <w:marBottom w:val="0"/>
      <w:divBdr>
        <w:top w:val="none" w:sz="0" w:space="0" w:color="auto"/>
        <w:left w:val="none" w:sz="0" w:space="0" w:color="auto"/>
        <w:bottom w:val="none" w:sz="0" w:space="0" w:color="auto"/>
        <w:right w:val="none" w:sz="0" w:space="0" w:color="auto"/>
      </w:divBdr>
    </w:div>
    <w:div w:id="1885943060">
      <w:bodyDiv w:val="1"/>
      <w:marLeft w:val="0"/>
      <w:marRight w:val="0"/>
      <w:marTop w:val="0"/>
      <w:marBottom w:val="0"/>
      <w:divBdr>
        <w:top w:val="none" w:sz="0" w:space="0" w:color="auto"/>
        <w:left w:val="none" w:sz="0" w:space="0" w:color="auto"/>
        <w:bottom w:val="none" w:sz="0" w:space="0" w:color="auto"/>
        <w:right w:val="none" w:sz="0" w:space="0" w:color="auto"/>
      </w:divBdr>
    </w:div>
    <w:div w:id="1900549326">
      <w:bodyDiv w:val="1"/>
      <w:marLeft w:val="0"/>
      <w:marRight w:val="0"/>
      <w:marTop w:val="0"/>
      <w:marBottom w:val="0"/>
      <w:divBdr>
        <w:top w:val="none" w:sz="0" w:space="0" w:color="auto"/>
        <w:left w:val="none" w:sz="0" w:space="0" w:color="auto"/>
        <w:bottom w:val="none" w:sz="0" w:space="0" w:color="auto"/>
        <w:right w:val="none" w:sz="0" w:space="0" w:color="auto"/>
      </w:divBdr>
      <w:divsChild>
        <w:div w:id="471367573">
          <w:marLeft w:val="0"/>
          <w:marRight w:val="0"/>
          <w:marTop w:val="0"/>
          <w:marBottom w:val="0"/>
          <w:divBdr>
            <w:top w:val="none" w:sz="0" w:space="0" w:color="auto"/>
            <w:left w:val="none" w:sz="0" w:space="0" w:color="auto"/>
            <w:bottom w:val="none" w:sz="0" w:space="0" w:color="auto"/>
            <w:right w:val="none" w:sz="0" w:space="0" w:color="auto"/>
          </w:divBdr>
        </w:div>
        <w:div w:id="695623974">
          <w:marLeft w:val="0"/>
          <w:marRight w:val="0"/>
          <w:marTop w:val="0"/>
          <w:marBottom w:val="0"/>
          <w:divBdr>
            <w:top w:val="none" w:sz="0" w:space="0" w:color="auto"/>
            <w:left w:val="none" w:sz="0" w:space="0" w:color="auto"/>
            <w:bottom w:val="none" w:sz="0" w:space="0" w:color="auto"/>
            <w:right w:val="none" w:sz="0" w:space="0" w:color="auto"/>
          </w:divBdr>
        </w:div>
        <w:div w:id="1814521841">
          <w:marLeft w:val="0"/>
          <w:marRight w:val="0"/>
          <w:marTop w:val="0"/>
          <w:marBottom w:val="0"/>
          <w:divBdr>
            <w:top w:val="none" w:sz="0" w:space="0" w:color="auto"/>
            <w:left w:val="none" w:sz="0" w:space="0" w:color="auto"/>
            <w:bottom w:val="none" w:sz="0" w:space="0" w:color="auto"/>
            <w:right w:val="none" w:sz="0" w:space="0" w:color="auto"/>
          </w:divBdr>
          <w:divsChild>
            <w:div w:id="194618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88865">
      <w:bodyDiv w:val="1"/>
      <w:marLeft w:val="0"/>
      <w:marRight w:val="0"/>
      <w:marTop w:val="0"/>
      <w:marBottom w:val="0"/>
      <w:divBdr>
        <w:top w:val="none" w:sz="0" w:space="0" w:color="auto"/>
        <w:left w:val="none" w:sz="0" w:space="0" w:color="auto"/>
        <w:bottom w:val="none" w:sz="0" w:space="0" w:color="auto"/>
        <w:right w:val="none" w:sz="0" w:space="0" w:color="auto"/>
      </w:divBdr>
    </w:div>
    <w:div w:id="2033988547">
      <w:bodyDiv w:val="1"/>
      <w:marLeft w:val="0"/>
      <w:marRight w:val="0"/>
      <w:marTop w:val="0"/>
      <w:marBottom w:val="0"/>
      <w:divBdr>
        <w:top w:val="none" w:sz="0" w:space="0" w:color="auto"/>
        <w:left w:val="none" w:sz="0" w:space="0" w:color="auto"/>
        <w:bottom w:val="none" w:sz="0" w:space="0" w:color="auto"/>
        <w:right w:val="none" w:sz="0" w:space="0" w:color="auto"/>
      </w:divBdr>
    </w:div>
    <w:div w:id="2056075697">
      <w:bodyDiv w:val="1"/>
      <w:marLeft w:val="0"/>
      <w:marRight w:val="0"/>
      <w:marTop w:val="0"/>
      <w:marBottom w:val="0"/>
      <w:divBdr>
        <w:top w:val="none" w:sz="0" w:space="0" w:color="auto"/>
        <w:left w:val="none" w:sz="0" w:space="0" w:color="auto"/>
        <w:bottom w:val="none" w:sz="0" w:space="0" w:color="auto"/>
        <w:right w:val="none" w:sz="0" w:space="0" w:color="auto"/>
      </w:divBdr>
    </w:div>
    <w:div w:id="2133786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8817</Words>
  <Characters>50260</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مشاري</cp:lastModifiedBy>
  <cp:revision>7</cp:revision>
  <cp:lastPrinted>2025-11-10T15:16:00Z</cp:lastPrinted>
  <dcterms:created xsi:type="dcterms:W3CDTF">2025-08-25T15:02:00Z</dcterms:created>
  <dcterms:modified xsi:type="dcterms:W3CDTF">2025-11-11T14:38:00Z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