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24420" w14:textId="25015305" w:rsidR="00200D83" w:rsidRDefault="00200D83" w:rsidP="00E74E15">
      <w:pPr>
        <w:pStyle w:val="NormalText"/>
        <w:jc w:val="both"/>
      </w:pPr>
      <w:r>
        <w:t>2) The cost reconciliation report has two sections: "Costs to be accounted for" followed by "Costs accounted for". The "Costs accounted for" portion of the cost reconciliation report includes the cost of ending work in process inventory and the cost of beginning work in process inventory.</w:t>
      </w:r>
    </w:p>
    <w:p w14:paraId="68FC6886" w14:textId="77777777" w:rsidR="00200D83" w:rsidRDefault="00200D83" w:rsidP="00E74E15">
      <w:pPr>
        <w:pStyle w:val="NormalText"/>
        <w:jc w:val="both"/>
      </w:pPr>
    </w:p>
    <w:p w14:paraId="570EE668" w14:textId="77777777" w:rsidR="00302158" w:rsidRDefault="00302158" w:rsidP="00E74E15">
      <w:pPr>
        <w:pStyle w:val="NormalText"/>
        <w:jc w:val="both"/>
      </w:pPr>
    </w:p>
    <w:p w14:paraId="25DA5BBD" w14:textId="3F5DF2EF" w:rsidR="00302158" w:rsidRDefault="00302158" w:rsidP="00E74E15">
      <w:pPr>
        <w:pStyle w:val="NormalText"/>
        <w:jc w:val="both"/>
      </w:pPr>
      <w:r w:rsidRPr="00302158">
        <w:rPr>
          <w:rtl/>
        </w:rPr>
        <w:t>يتكون تقرير تسوية التكلفة من قسمين: "التكاليف التي يجب احتسابها" متبوعًا بـ "التكاليف المحتسبة". يتضمن جزء "التكاليف المحسوبة" من تقرير تسوية التكلفة تكلفة إنهاء العمل في مخزون العملية وتكلفة بدء العمل في مخزون العملية</w:t>
      </w:r>
    </w:p>
    <w:p w14:paraId="3642C1E9" w14:textId="77777777" w:rsidR="00200D83" w:rsidRDefault="00200D83" w:rsidP="00E74E15">
      <w:pPr>
        <w:pStyle w:val="NormalText"/>
        <w:jc w:val="both"/>
      </w:pPr>
      <w:r>
        <w:t>Answer:  FALSE</w:t>
      </w:r>
    </w:p>
    <w:p w14:paraId="4BF470C8" w14:textId="77777777" w:rsidR="00200D83" w:rsidRDefault="00200D83" w:rsidP="00E74E15">
      <w:pPr>
        <w:pStyle w:val="NormalText"/>
        <w:jc w:val="both"/>
      </w:pPr>
    </w:p>
    <w:p w14:paraId="6020E80E" w14:textId="77777777" w:rsidR="00302158" w:rsidRDefault="00302158" w:rsidP="00E74E15">
      <w:pPr>
        <w:pStyle w:val="NormalText"/>
        <w:jc w:val="both"/>
      </w:pPr>
    </w:p>
    <w:p w14:paraId="7594CA12" w14:textId="77777777" w:rsidR="00200D83" w:rsidRDefault="00200D83" w:rsidP="00E74E15">
      <w:pPr>
        <w:pStyle w:val="NormalText"/>
        <w:jc w:val="both"/>
      </w:pPr>
    </w:p>
    <w:p w14:paraId="27639513" w14:textId="0794E152" w:rsidR="00200D83" w:rsidRDefault="00200D83" w:rsidP="00E74E15">
      <w:pPr>
        <w:pStyle w:val="NormalText"/>
        <w:jc w:val="both"/>
      </w:pPr>
      <w:r>
        <w:t>5) The units in beginning work in process inventory plus the units started into production must equal the units transferred out of the department plus the units in ending work in process inventory.</w:t>
      </w:r>
    </w:p>
    <w:p w14:paraId="325AD338" w14:textId="77777777" w:rsidR="00200D83" w:rsidRDefault="00200D83" w:rsidP="00E74E15">
      <w:pPr>
        <w:pStyle w:val="NormalText"/>
        <w:jc w:val="both"/>
      </w:pPr>
    </w:p>
    <w:p w14:paraId="37CE24F7" w14:textId="27938BE7" w:rsidR="00302158" w:rsidRDefault="00302158" w:rsidP="00E74E15">
      <w:pPr>
        <w:pStyle w:val="NormalText"/>
        <w:jc w:val="both"/>
      </w:pPr>
      <w:r w:rsidRPr="00302158">
        <w:rPr>
          <w:rtl/>
        </w:rPr>
        <w:t>يجب أن تساوي الوحدات في بداية العمل في مخزون العملية بالإضافة إلى الوحدات التي بدأت في الإنتاج الوحدات المنقولة من القسم بالإضافة إلى الوحدات في إنهاء العمل في مخزون العملية</w:t>
      </w:r>
    </w:p>
    <w:p w14:paraId="38D78CB3" w14:textId="77777777" w:rsidR="00302158" w:rsidRDefault="00302158" w:rsidP="00E74E15">
      <w:pPr>
        <w:pStyle w:val="NormalText"/>
        <w:jc w:val="both"/>
      </w:pPr>
    </w:p>
    <w:p w14:paraId="6165D299" w14:textId="626ADE1B" w:rsidR="00200D83" w:rsidRDefault="00200D83" w:rsidP="00E74E15">
      <w:pPr>
        <w:pStyle w:val="NormalText"/>
        <w:jc w:val="both"/>
      </w:pPr>
      <w:r>
        <w:t>Answer:  TRUE</w:t>
      </w:r>
    </w:p>
    <w:p w14:paraId="12DA62F9" w14:textId="77777777" w:rsidR="00200D83" w:rsidRDefault="00200D83" w:rsidP="00E74E15">
      <w:pPr>
        <w:pStyle w:val="NormalText"/>
        <w:jc w:val="both"/>
      </w:pPr>
    </w:p>
    <w:p w14:paraId="614AA47B" w14:textId="77777777" w:rsidR="00200D83" w:rsidRDefault="00200D83" w:rsidP="00E74E15">
      <w:pPr>
        <w:pStyle w:val="NormalText"/>
        <w:jc w:val="both"/>
      </w:pPr>
    </w:p>
    <w:p w14:paraId="53BF65BF" w14:textId="77646384" w:rsidR="00200D83" w:rsidRDefault="00200D83" w:rsidP="00E74E15">
      <w:pPr>
        <w:pStyle w:val="NormalText"/>
        <w:jc w:val="both"/>
      </w:pPr>
      <w:r>
        <w:t>7) The equivalent units in beginning work in process inventory plus the equivalent units in ending work in process inventory equals the units transferred out plus the equivalent units for the work done during the period.</w:t>
      </w:r>
    </w:p>
    <w:p w14:paraId="70AF3DEE" w14:textId="77777777" w:rsidR="00200D83" w:rsidRDefault="00200D83" w:rsidP="00E74E15">
      <w:pPr>
        <w:pStyle w:val="NormalText"/>
        <w:jc w:val="both"/>
      </w:pPr>
    </w:p>
    <w:p w14:paraId="0ECEE6CA" w14:textId="143174A7" w:rsidR="00302158" w:rsidRDefault="00302158" w:rsidP="00E74E15">
      <w:pPr>
        <w:pStyle w:val="NormalText"/>
        <w:jc w:val="both"/>
        <w:rPr>
          <w:lang w:val="en-EG"/>
        </w:rPr>
      </w:pPr>
      <w:r w:rsidRPr="00302158">
        <w:rPr>
          <w:rtl/>
          <w:lang w:val="en-EG"/>
        </w:rPr>
        <w:t>الوحدات المكافئة في بداية العمل في مخزون العملية بالإضافة إلى الوحدات المكافئة في إنهاء العمل في جرد العملية تساوي الوحدات المنقولة بالإضافة إلى الوحدات المكافئة للعمل المنجز خلال الفترة</w:t>
      </w:r>
    </w:p>
    <w:p w14:paraId="7E41FBED" w14:textId="77777777" w:rsidR="00302158" w:rsidRPr="00302158" w:rsidRDefault="00302158" w:rsidP="00E74E15">
      <w:pPr>
        <w:pStyle w:val="NormalText"/>
        <w:jc w:val="both"/>
        <w:rPr>
          <w:lang w:val="en-EG"/>
        </w:rPr>
      </w:pPr>
    </w:p>
    <w:p w14:paraId="0DE7C2BC" w14:textId="77777777" w:rsidR="00200D83" w:rsidRDefault="00200D83" w:rsidP="00E74E15">
      <w:pPr>
        <w:pStyle w:val="NormalText"/>
        <w:jc w:val="both"/>
      </w:pPr>
      <w:r>
        <w:t>Answer:  FALSE</w:t>
      </w:r>
    </w:p>
    <w:p w14:paraId="4E8417E2" w14:textId="77777777" w:rsidR="00200D83" w:rsidRDefault="00200D83" w:rsidP="00E74E15">
      <w:pPr>
        <w:pStyle w:val="NormalText"/>
        <w:jc w:val="both"/>
      </w:pPr>
    </w:p>
    <w:p w14:paraId="3C952107" w14:textId="77777777" w:rsidR="00200D83" w:rsidRDefault="00200D83" w:rsidP="00E74E15">
      <w:pPr>
        <w:pStyle w:val="NormalText"/>
        <w:jc w:val="both"/>
      </w:pPr>
      <w:r>
        <w:t xml:space="preserve">8) When all materials are added at the beginning of the production process, under a weighted-average process costing system the equivalent </w:t>
      </w:r>
      <w:proofErr w:type="gramStart"/>
      <w:r>
        <w:t>units</w:t>
      </w:r>
      <w:proofErr w:type="gramEnd"/>
      <w:r>
        <w:t xml:space="preserve"> for materials is equal to the units completed and transferred out.</w:t>
      </w:r>
    </w:p>
    <w:p w14:paraId="4020E0E9" w14:textId="77777777" w:rsidR="00200D83" w:rsidRDefault="00200D83" w:rsidP="00E74E15">
      <w:pPr>
        <w:pStyle w:val="NormalText"/>
        <w:jc w:val="both"/>
      </w:pPr>
    </w:p>
    <w:p w14:paraId="1349B09F" w14:textId="32A31552" w:rsidR="00625083" w:rsidRDefault="00625083" w:rsidP="00E74E15">
      <w:pPr>
        <w:pStyle w:val="NormalText"/>
        <w:jc w:val="both"/>
      </w:pPr>
      <w:r w:rsidRPr="00625083">
        <w:rPr>
          <w:rtl/>
        </w:rPr>
        <w:t xml:space="preserve">عند إضافة جميع المواد في بداية عملية </w:t>
      </w:r>
      <w:proofErr w:type="gramStart"/>
      <w:r w:rsidRPr="00625083">
        <w:rPr>
          <w:rtl/>
        </w:rPr>
        <w:t>الإنتاج ،</w:t>
      </w:r>
      <w:proofErr w:type="gramEnd"/>
      <w:r w:rsidRPr="00625083">
        <w:rPr>
          <w:rtl/>
        </w:rPr>
        <w:t xml:space="preserve"> في ظل نظام تكلفة عملية المتوسط ​​المرجح ، تكون الوحدات المكافئة للمواد مساوية للوحدات المكتملة والمنقولة</w:t>
      </w:r>
    </w:p>
    <w:p w14:paraId="48611C8A" w14:textId="77777777" w:rsidR="00200D83" w:rsidRDefault="00200D83" w:rsidP="00E74E15">
      <w:pPr>
        <w:pStyle w:val="NormalText"/>
        <w:jc w:val="both"/>
      </w:pPr>
      <w:r>
        <w:t>Answer:  FALSE</w:t>
      </w:r>
    </w:p>
    <w:p w14:paraId="49ACD5BA" w14:textId="77777777" w:rsidR="00200D83" w:rsidRDefault="00200D83" w:rsidP="00E74E15">
      <w:pPr>
        <w:pStyle w:val="NormalText"/>
        <w:jc w:val="both"/>
      </w:pPr>
    </w:p>
    <w:p w14:paraId="701882F2" w14:textId="77777777" w:rsidR="00200D83" w:rsidRDefault="00200D83" w:rsidP="00E74E15">
      <w:pPr>
        <w:pStyle w:val="NormalText"/>
        <w:jc w:val="both"/>
      </w:pPr>
    </w:p>
    <w:p w14:paraId="6A589A17" w14:textId="77777777" w:rsidR="00200D83" w:rsidRDefault="00200D83" w:rsidP="00E74E15">
      <w:pPr>
        <w:pStyle w:val="NormalText"/>
        <w:jc w:val="both"/>
      </w:pPr>
    </w:p>
    <w:p w14:paraId="641C4CF4" w14:textId="77777777" w:rsidR="00200D83" w:rsidRDefault="00200D83" w:rsidP="00E74E15">
      <w:pPr>
        <w:pStyle w:val="NormalText"/>
        <w:jc w:val="both"/>
        <w:rPr>
          <w:rtl/>
        </w:rPr>
      </w:pPr>
      <w:r>
        <w:t>11) In calculating cost per equivalent unit under the weighted-average method, prior period costs are combined with current period costs.</w:t>
      </w:r>
    </w:p>
    <w:p w14:paraId="329908EE" w14:textId="77777777" w:rsidR="00625083" w:rsidRDefault="00625083" w:rsidP="00E74E15">
      <w:pPr>
        <w:pStyle w:val="NormalText"/>
        <w:jc w:val="both"/>
        <w:rPr>
          <w:rtl/>
        </w:rPr>
      </w:pPr>
    </w:p>
    <w:p w14:paraId="588883DF" w14:textId="7A3AC0E1" w:rsidR="00625083" w:rsidRDefault="00625083" w:rsidP="00E74E15">
      <w:pPr>
        <w:pStyle w:val="NormalText"/>
        <w:jc w:val="both"/>
      </w:pPr>
      <w:r w:rsidRPr="00625083">
        <w:rPr>
          <w:rtl/>
        </w:rPr>
        <w:t>عند حساب التكلفة لكل وحدة معا</w:t>
      </w:r>
      <w:r>
        <w:rPr>
          <w:rFonts w:hint="cs"/>
          <w:rtl/>
        </w:rPr>
        <w:t>دلة</w:t>
      </w:r>
      <w:r w:rsidRPr="00625083">
        <w:rPr>
          <w:rtl/>
        </w:rPr>
        <w:t xml:space="preserve"> وفقًا لطريقة المتوسط ​​</w:t>
      </w:r>
      <w:r w:rsidRPr="00625083">
        <w:rPr>
          <w:rFonts w:hint="cs"/>
          <w:rtl/>
        </w:rPr>
        <w:t>المرجح،</w:t>
      </w:r>
      <w:r w:rsidRPr="00625083">
        <w:rPr>
          <w:rtl/>
        </w:rPr>
        <w:t xml:space="preserve"> يتم دمج تكاليف الفترة السابقة مع تكاليف الفترة الحالية</w:t>
      </w:r>
    </w:p>
    <w:p w14:paraId="2CC11C5C" w14:textId="77777777" w:rsidR="00200D83" w:rsidRDefault="00200D83" w:rsidP="00E74E15">
      <w:pPr>
        <w:pStyle w:val="NormalText"/>
        <w:jc w:val="both"/>
      </w:pPr>
    </w:p>
    <w:p w14:paraId="0769C899" w14:textId="77777777" w:rsidR="00200D83" w:rsidRDefault="00200D83" w:rsidP="00E74E15">
      <w:pPr>
        <w:pStyle w:val="NormalText"/>
        <w:jc w:val="both"/>
      </w:pPr>
      <w:r>
        <w:t>Answer:  TRUE</w:t>
      </w:r>
    </w:p>
    <w:p w14:paraId="3669B776" w14:textId="77777777" w:rsidR="00200D83" w:rsidRDefault="00200D83" w:rsidP="00E74E15">
      <w:pPr>
        <w:pStyle w:val="NormalText"/>
        <w:jc w:val="both"/>
      </w:pPr>
    </w:p>
    <w:p w14:paraId="10AFE8CF" w14:textId="77777777" w:rsidR="00200D83" w:rsidRDefault="00200D83" w:rsidP="00E74E15">
      <w:pPr>
        <w:pStyle w:val="NormalText"/>
        <w:jc w:val="both"/>
        <w:rPr>
          <w:rtl/>
        </w:rPr>
      </w:pPr>
      <w:r>
        <w:lastRenderedPageBreak/>
        <w:t>12) Under the weighted-average method, the cost of ending work in process inventory is determined by dividing the equivalent units of production for ending inventory by the cost per equivalent unit for each cost category and then summing the result.</w:t>
      </w:r>
    </w:p>
    <w:p w14:paraId="1A2144A6" w14:textId="77777777" w:rsidR="00625083" w:rsidRDefault="00625083" w:rsidP="00E74E15">
      <w:pPr>
        <w:pStyle w:val="NormalText"/>
        <w:jc w:val="both"/>
        <w:rPr>
          <w:rtl/>
        </w:rPr>
      </w:pPr>
    </w:p>
    <w:p w14:paraId="5B4611B5" w14:textId="15CAEF50" w:rsidR="00625083" w:rsidRDefault="00625083" w:rsidP="00E74E15">
      <w:pPr>
        <w:pStyle w:val="NormalText"/>
        <w:jc w:val="both"/>
      </w:pPr>
      <w:r w:rsidRPr="00625083">
        <w:rPr>
          <w:rtl/>
        </w:rPr>
        <w:t>وفقًا لطريقة المتوسط ​​</w:t>
      </w:r>
      <w:proofErr w:type="gramStart"/>
      <w:r w:rsidRPr="00625083">
        <w:rPr>
          <w:rtl/>
        </w:rPr>
        <w:t>المرجح ،</w:t>
      </w:r>
      <w:proofErr w:type="gramEnd"/>
      <w:r w:rsidRPr="00625083">
        <w:rPr>
          <w:rtl/>
        </w:rPr>
        <w:t xml:space="preserve"> يتم تحديد تكلفة إنهاء العمل في مخزون العملية بقسمة وحدات الإنتاج المكافئة لإنهاء المخزون على التكلفة لكل وحدة معادلة لكل فئة تكلفة ثم تجميع النتيجة</w:t>
      </w:r>
    </w:p>
    <w:p w14:paraId="478316DB" w14:textId="77777777" w:rsidR="00200D83" w:rsidRDefault="00200D83" w:rsidP="00E74E15">
      <w:pPr>
        <w:pStyle w:val="NormalText"/>
        <w:jc w:val="both"/>
      </w:pPr>
    </w:p>
    <w:p w14:paraId="0B10983E" w14:textId="77777777" w:rsidR="00200D83" w:rsidRDefault="00200D83" w:rsidP="00E74E15">
      <w:pPr>
        <w:pStyle w:val="NormalText"/>
        <w:jc w:val="both"/>
      </w:pPr>
      <w:r>
        <w:t>Answer:  FALSE</w:t>
      </w:r>
    </w:p>
    <w:p w14:paraId="58378DDD" w14:textId="77777777" w:rsidR="00E74E15" w:rsidRDefault="00E74E15" w:rsidP="00E74E15">
      <w:pPr>
        <w:pStyle w:val="NormalText"/>
        <w:jc w:val="both"/>
      </w:pPr>
    </w:p>
    <w:p w14:paraId="157B3EFA" w14:textId="715DE433" w:rsidR="00E74E15" w:rsidRDefault="00E74E15" w:rsidP="00E74E15">
      <w:pPr>
        <w:pStyle w:val="NormalText"/>
        <w:jc w:val="both"/>
      </w:pPr>
      <w:r>
        <w:t>13) A job-order costing system would be best suited for production of a large quantity of a homogeneous product.</w:t>
      </w:r>
    </w:p>
    <w:p w14:paraId="342BA788" w14:textId="418CE367" w:rsidR="00E74E15" w:rsidRPr="00625083" w:rsidRDefault="00625083" w:rsidP="00625083">
      <w:pPr>
        <w:pStyle w:val="NormalText"/>
        <w:bidi/>
        <w:jc w:val="both"/>
        <w:rPr>
          <w:rtl/>
        </w:rPr>
      </w:pPr>
      <w:r w:rsidRPr="00625083">
        <w:rPr>
          <w:rtl/>
        </w:rPr>
        <w:t>سيكون نظام تحديد تكاليف أمر العمل هو الأنسب لإنتاج كمية كبيرة من منتج متجانس.</w:t>
      </w:r>
    </w:p>
    <w:p w14:paraId="09C6D46A" w14:textId="77777777" w:rsidR="00E74E15" w:rsidRDefault="00E74E15" w:rsidP="00E74E15">
      <w:pPr>
        <w:pStyle w:val="NormalText"/>
        <w:jc w:val="both"/>
      </w:pPr>
      <w:r>
        <w:t>Answer:  FALSE</w:t>
      </w:r>
    </w:p>
    <w:p w14:paraId="763BBDDF" w14:textId="77777777" w:rsidR="00E74E15" w:rsidRDefault="00E74E15" w:rsidP="00E74E15">
      <w:pPr>
        <w:pStyle w:val="NormalText"/>
        <w:jc w:val="both"/>
      </w:pPr>
    </w:p>
    <w:p w14:paraId="6CF01629" w14:textId="6DCDE090" w:rsidR="00E74E15" w:rsidRDefault="00E74E15" w:rsidP="00E74E15">
      <w:pPr>
        <w:pStyle w:val="NormalText"/>
        <w:jc w:val="both"/>
      </w:pPr>
      <w:r>
        <w:t>14) A flour manufacturer is more likely to use process costing than job-order costing whereas a manufacturer of customized leather jackets is more likely to use job-order costing than process costing.</w:t>
      </w:r>
    </w:p>
    <w:p w14:paraId="518F105D" w14:textId="77777777" w:rsidR="00E74E15" w:rsidRDefault="00E74E15" w:rsidP="00E74E15">
      <w:pPr>
        <w:pStyle w:val="NormalText"/>
        <w:jc w:val="both"/>
        <w:rPr>
          <w:rtl/>
        </w:rPr>
      </w:pPr>
    </w:p>
    <w:p w14:paraId="7EFE9434" w14:textId="5DF8BD60" w:rsidR="00625083" w:rsidRDefault="00625083" w:rsidP="00E74E15">
      <w:pPr>
        <w:pStyle w:val="NormalText"/>
        <w:jc w:val="both"/>
      </w:pPr>
      <w:r w:rsidRPr="00625083">
        <w:rPr>
          <w:rtl/>
        </w:rPr>
        <w:t>من المرجح أن يستخدم مصنع الدقيق تكلفة العملية أكثر من تكلفة طلب العمل في حين أن الشركة المصنعة للسترات الجلدية المخصصة من المرجح أن تستخدم تكلفة طلب العمل بدلاً من تكلفة العملية</w:t>
      </w:r>
    </w:p>
    <w:p w14:paraId="7873A828" w14:textId="77777777" w:rsidR="00E74E15" w:rsidRDefault="00E74E15" w:rsidP="00E74E15">
      <w:pPr>
        <w:pStyle w:val="NormalText"/>
        <w:jc w:val="both"/>
      </w:pPr>
      <w:r>
        <w:t>Answer:  TRUE</w:t>
      </w:r>
    </w:p>
    <w:p w14:paraId="39B5329D" w14:textId="77777777" w:rsidR="00E74E15" w:rsidRDefault="00E74E15" w:rsidP="00E74E15">
      <w:pPr>
        <w:pStyle w:val="NormalText"/>
        <w:jc w:val="both"/>
      </w:pPr>
    </w:p>
    <w:p w14:paraId="776386FA" w14:textId="6C62AC7F" w:rsidR="00E74E15" w:rsidRDefault="00E74E15" w:rsidP="00E74E15">
      <w:pPr>
        <w:pStyle w:val="NormalText"/>
        <w:jc w:val="both"/>
      </w:pPr>
      <w:r>
        <w:t>15) Process costing is employed in industries that produce basically homogeneous products such as bricks, flour, or cement but would not be appropriate for assembly-type operations such as those that manufacture computers.</w:t>
      </w:r>
    </w:p>
    <w:p w14:paraId="403E0BC6" w14:textId="77777777" w:rsidR="00E74E15" w:rsidRDefault="00E74E15" w:rsidP="00E74E15">
      <w:pPr>
        <w:pStyle w:val="NormalText"/>
        <w:jc w:val="both"/>
        <w:rPr>
          <w:rtl/>
        </w:rPr>
      </w:pPr>
    </w:p>
    <w:p w14:paraId="62046289" w14:textId="09049DA1" w:rsidR="00625083" w:rsidRDefault="00625083" w:rsidP="00E74E15">
      <w:pPr>
        <w:pStyle w:val="NormalText"/>
        <w:jc w:val="both"/>
      </w:pPr>
      <w:r w:rsidRPr="00625083">
        <w:rPr>
          <w:rtl/>
        </w:rPr>
        <w:t xml:space="preserve">يتم استخدام تكلفة العملية في الصناعات التي تنتج منتجات متجانسة بشكل أساسي مثل الطوب أو الدقيق أو </w:t>
      </w:r>
      <w:proofErr w:type="gramStart"/>
      <w:r w:rsidRPr="00625083">
        <w:rPr>
          <w:rtl/>
        </w:rPr>
        <w:t>الأسمنت</w:t>
      </w:r>
      <w:proofErr w:type="gramEnd"/>
      <w:r w:rsidRPr="00625083">
        <w:rPr>
          <w:rtl/>
        </w:rPr>
        <w:t xml:space="preserve"> ولكنها لن تكون مناسبة لعمليات التجميع مثل تلك التي تصنع أجهزة الكمبيوتر</w:t>
      </w:r>
    </w:p>
    <w:p w14:paraId="0E168549" w14:textId="77777777" w:rsidR="00625083" w:rsidRDefault="00625083" w:rsidP="00E74E15">
      <w:pPr>
        <w:pStyle w:val="NormalText"/>
        <w:jc w:val="both"/>
        <w:rPr>
          <w:rtl/>
        </w:rPr>
      </w:pPr>
    </w:p>
    <w:p w14:paraId="27567496" w14:textId="111FDAB8" w:rsidR="00E74E15" w:rsidRDefault="00E74E15" w:rsidP="00E74E15">
      <w:pPr>
        <w:pStyle w:val="NormalText"/>
        <w:jc w:val="both"/>
      </w:pPr>
      <w:r>
        <w:t>Answer:  FALSE</w:t>
      </w:r>
    </w:p>
    <w:p w14:paraId="79991B02" w14:textId="77777777" w:rsidR="00E74E15" w:rsidRDefault="00E74E15" w:rsidP="00E74E15">
      <w:pPr>
        <w:pStyle w:val="NormalText"/>
        <w:jc w:val="both"/>
      </w:pPr>
    </w:p>
    <w:p w14:paraId="143DE3F1" w14:textId="7AD8E396" w:rsidR="00E74E15" w:rsidRDefault="00E74E15" w:rsidP="00E74E15">
      <w:pPr>
        <w:pStyle w:val="NormalText"/>
        <w:jc w:val="both"/>
        <w:rPr>
          <w:rtl/>
        </w:rPr>
      </w:pPr>
      <w:r>
        <w:t>16) In process costing, a separate work in process account is kept for each:</w:t>
      </w:r>
    </w:p>
    <w:p w14:paraId="556742F9" w14:textId="5648AC94" w:rsidR="00625083" w:rsidRDefault="00625083" w:rsidP="00E74E15">
      <w:pPr>
        <w:pStyle w:val="NormalText"/>
        <w:jc w:val="both"/>
        <w:rPr>
          <w:rtl/>
        </w:rPr>
      </w:pPr>
      <w:r w:rsidRPr="00625083">
        <w:rPr>
          <w:rtl/>
        </w:rPr>
        <w:t xml:space="preserve">في عملية احتساب </w:t>
      </w:r>
      <w:proofErr w:type="gramStart"/>
      <w:r w:rsidRPr="00625083">
        <w:rPr>
          <w:rtl/>
        </w:rPr>
        <w:t>التكلفة ،</w:t>
      </w:r>
      <w:proofErr w:type="gramEnd"/>
      <w:r w:rsidRPr="00625083">
        <w:rPr>
          <w:rtl/>
        </w:rPr>
        <w:t xml:space="preserve"> يتم الاحتفاظ بحساب عمل منفصل في العملية لكل</w:t>
      </w:r>
      <w:r w:rsidR="00530A09">
        <w:rPr>
          <w:rFonts w:hint="cs"/>
          <w:rtl/>
        </w:rPr>
        <w:t>:</w:t>
      </w:r>
    </w:p>
    <w:p w14:paraId="65C72DE6" w14:textId="77777777" w:rsidR="00530A09" w:rsidRDefault="00530A09" w:rsidP="00E74E15">
      <w:pPr>
        <w:pStyle w:val="NormalText"/>
        <w:jc w:val="both"/>
        <w:rPr>
          <w:rtl/>
        </w:rPr>
      </w:pPr>
    </w:p>
    <w:p w14:paraId="4CB3C37B" w14:textId="77777777" w:rsidR="00625083" w:rsidRDefault="00625083" w:rsidP="00E74E15">
      <w:pPr>
        <w:pStyle w:val="NormalText"/>
        <w:jc w:val="both"/>
        <w:rPr>
          <w:rtl/>
        </w:rPr>
      </w:pPr>
    </w:p>
    <w:p w14:paraId="61111E57" w14:textId="77777777" w:rsidR="00625083" w:rsidRDefault="00625083" w:rsidP="00E74E15">
      <w:pPr>
        <w:pStyle w:val="NormalText"/>
        <w:jc w:val="both"/>
      </w:pPr>
    </w:p>
    <w:p w14:paraId="255E5F68" w14:textId="77777777" w:rsidR="00E74E15" w:rsidRDefault="00E74E15" w:rsidP="00E74E15">
      <w:pPr>
        <w:pStyle w:val="NormalText"/>
        <w:jc w:val="both"/>
      </w:pPr>
      <w:r>
        <w:t>A) individual order.</w:t>
      </w:r>
    </w:p>
    <w:p w14:paraId="307EDDDE" w14:textId="77777777" w:rsidR="00E74E15" w:rsidRDefault="00E74E15" w:rsidP="00E74E15">
      <w:pPr>
        <w:pStyle w:val="NormalText"/>
        <w:jc w:val="both"/>
      </w:pPr>
      <w:r>
        <w:t>B) equivalent unit.</w:t>
      </w:r>
    </w:p>
    <w:p w14:paraId="0E125343" w14:textId="77777777" w:rsidR="00E74E15" w:rsidRDefault="00E74E15" w:rsidP="00E74E15">
      <w:pPr>
        <w:pStyle w:val="NormalText"/>
        <w:jc w:val="both"/>
      </w:pPr>
      <w:r>
        <w:t>C) processing department.</w:t>
      </w:r>
    </w:p>
    <w:p w14:paraId="7010DAFF" w14:textId="77777777" w:rsidR="00E74E15" w:rsidRDefault="00E74E15" w:rsidP="00E74E15">
      <w:pPr>
        <w:pStyle w:val="NormalText"/>
        <w:jc w:val="both"/>
      </w:pPr>
      <w:r>
        <w:t>D) cost category (i.e., materials, conversion cost).</w:t>
      </w:r>
    </w:p>
    <w:p w14:paraId="51AE688A" w14:textId="77777777" w:rsidR="00E74E15" w:rsidRDefault="00E74E15" w:rsidP="00E74E15">
      <w:pPr>
        <w:pStyle w:val="NormalText"/>
        <w:jc w:val="both"/>
      </w:pPr>
    </w:p>
    <w:p w14:paraId="2AED525F" w14:textId="77777777" w:rsidR="00E74E15" w:rsidRDefault="00E74E15" w:rsidP="00E74E15">
      <w:pPr>
        <w:pStyle w:val="NormalText"/>
        <w:jc w:val="both"/>
      </w:pPr>
      <w:r>
        <w:t>Answer:  C</w:t>
      </w:r>
    </w:p>
    <w:p w14:paraId="43822F70" w14:textId="77777777" w:rsidR="00E74E15" w:rsidRDefault="00E74E15" w:rsidP="00E74E15">
      <w:pPr>
        <w:jc w:val="both"/>
      </w:pPr>
    </w:p>
    <w:p w14:paraId="080922AB" w14:textId="77777777" w:rsidR="00E74E15" w:rsidRDefault="00E74E15" w:rsidP="00E74E15">
      <w:pPr>
        <w:jc w:val="both"/>
      </w:pPr>
    </w:p>
    <w:p w14:paraId="6183BC95" w14:textId="3F6A8A02" w:rsidR="00E74E15" w:rsidRDefault="00E74E15" w:rsidP="00E74E15">
      <w:pPr>
        <w:pStyle w:val="NormalText"/>
        <w:jc w:val="both"/>
        <w:rPr>
          <w:rtl/>
        </w:rPr>
      </w:pPr>
      <w:r>
        <w:t>17) Assume there was no beginning work in process inventory and the ending work in process inventory is 70% complete with respect to conversion costs. Under the weighted-average method, the number of equivalent units of production with respect to conversion costs would be:</w:t>
      </w:r>
    </w:p>
    <w:p w14:paraId="06187710" w14:textId="77777777" w:rsidR="00625083" w:rsidRDefault="00625083" w:rsidP="00E74E15">
      <w:pPr>
        <w:pStyle w:val="NormalText"/>
        <w:jc w:val="both"/>
        <w:rPr>
          <w:rtl/>
        </w:rPr>
      </w:pPr>
    </w:p>
    <w:p w14:paraId="34F387D6" w14:textId="4971F69C" w:rsidR="00530A09" w:rsidRDefault="00530A09" w:rsidP="00E74E15">
      <w:pPr>
        <w:pStyle w:val="NormalText"/>
        <w:jc w:val="both"/>
        <w:rPr>
          <w:rtl/>
        </w:rPr>
      </w:pPr>
      <w:r w:rsidRPr="00530A09">
        <w:rPr>
          <w:rtl/>
        </w:rPr>
        <w:t>افترض أنه لم يكن هناك بداية عمل في مخزون العملية وأن العمل المنتهي في مخزون العملية اكتمل بنسبة 70٪ فيما يتعلق بتكاليف التحويل. بموجب طريقة المتوسط ​​</w:t>
      </w:r>
      <w:proofErr w:type="gramStart"/>
      <w:r w:rsidRPr="00530A09">
        <w:rPr>
          <w:rtl/>
        </w:rPr>
        <w:t>المرجح ،</w:t>
      </w:r>
      <w:proofErr w:type="gramEnd"/>
      <w:r w:rsidRPr="00530A09">
        <w:rPr>
          <w:rtl/>
        </w:rPr>
        <w:t xml:space="preserve"> سيكون عدد وحدات الإنتاج المكافئة فيما يتعلق بتكاليف التحويل كما يلي</w:t>
      </w:r>
      <w:r>
        <w:rPr>
          <w:rFonts w:hint="cs"/>
          <w:rtl/>
        </w:rPr>
        <w:t>:</w:t>
      </w:r>
    </w:p>
    <w:p w14:paraId="30DAD5CB" w14:textId="77777777" w:rsidR="00530A09" w:rsidRDefault="00530A09" w:rsidP="00E74E15">
      <w:pPr>
        <w:pStyle w:val="NormalText"/>
        <w:jc w:val="both"/>
      </w:pPr>
    </w:p>
    <w:p w14:paraId="15E67E64" w14:textId="77777777" w:rsidR="00E74E15" w:rsidRDefault="00E74E15" w:rsidP="00E74E15">
      <w:pPr>
        <w:pStyle w:val="NormalText"/>
        <w:jc w:val="both"/>
      </w:pPr>
      <w:r>
        <w:t>A) the same as the units completed.</w:t>
      </w:r>
    </w:p>
    <w:p w14:paraId="468B8923" w14:textId="77777777" w:rsidR="00E74E15" w:rsidRDefault="00E74E15" w:rsidP="00E74E15">
      <w:pPr>
        <w:pStyle w:val="NormalText"/>
        <w:jc w:val="both"/>
      </w:pPr>
      <w:r>
        <w:t>B) less than the units completed.</w:t>
      </w:r>
    </w:p>
    <w:p w14:paraId="7218D024" w14:textId="77777777" w:rsidR="00E74E15" w:rsidRDefault="00E74E15" w:rsidP="00E74E15">
      <w:pPr>
        <w:pStyle w:val="NormalText"/>
        <w:jc w:val="both"/>
      </w:pPr>
      <w:r>
        <w:t>C) the same as the units started during the period.</w:t>
      </w:r>
    </w:p>
    <w:p w14:paraId="3CF5D968" w14:textId="77777777" w:rsidR="00E74E15" w:rsidRDefault="00E74E15" w:rsidP="00E74E15">
      <w:pPr>
        <w:pStyle w:val="NormalText"/>
        <w:jc w:val="both"/>
      </w:pPr>
      <w:r>
        <w:t>D) less than the units started during the period.</w:t>
      </w:r>
    </w:p>
    <w:p w14:paraId="3EA24D03" w14:textId="77777777" w:rsidR="00E74E15" w:rsidRDefault="00E74E15" w:rsidP="00E74E15">
      <w:pPr>
        <w:pStyle w:val="NormalText"/>
        <w:jc w:val="both"/>
      </w:pPr>
    </w:p>
    <w:p w14:paraId="73714AF2" w14:textId="77777777" w:rsidR="00E74E15" w:rsidRDefault="00E74E15" w:rsidP="00E74E15">
      <w:pPr>
        <w:pStyle w:val="NormalText"/>
        <w:jc w:val="both"/>
      </w:pPr>
      <w:r>
        <w:t>Answer:  D</w:t>
      </w:r>
    </w:p>
    <w:p w14:paraId="494FE0AF" w14:textId="77777777" w:rsidR="00E74E15" w:rsidRDefault="00E74E15" w:rsidP="00E74E15">
      <w:pPr>
        <w:pStyle w:val="NormalText"/>
        <w:jc w:val="both"/>
      </w:pPr>
    </w:p>
    <w:p w14:paraId="186B73B7" w14:textId="37C4C07F" w:rsidR="00E74E15" w:rsidRDefault="00E74E15" w:rsidP="00E74E15">
      <w:pPr>
        <w:pStyle w:val="NormalText"/>
        <w:jc w:val="both"/>
        <w:rPr>
          <w:rtl/>
        </w:rPr>
      </w:pPr>
      <w:r>
        <w:t>18) Malcolm Company uses a weighted-average process costing system. All materials at Malcolm are added at the beginning of the production process. The equivalent units for materials at Malcolm would be the sum of:</w:t>
      </w:r>
    </w:p>
    <w:p w14:paraId="4DBB3BD7" w14:textId="77777777" w:rsidR="00530A09" w:rsidRDefault="00530A09" w:rsidP="00E74E15">
      <w:pPr>
        <w:pStyle w:val="NormalText"/>
        <w:jc w:val="both"/>
        <w:rPr>
          <w:rtl/>
        </w:rPr>
      </w:pPr>
    </w:p>
    <w:p w14:paraId="0CADF6AF" w14:textId="6F781269" w:rsidR="00530A09" w:rsidRDefault="00530A09" w:rsidP="00E74E15">
      <w:pPr>
        <w:pStyle w:val="NormalText"/>
        <w:jc w:val="both"/>
        <w:rPr>
          <w:rtl/>
        </w:rPr>
      </w:pPr>
      <w:r w:rsidRPr="00530A09">
        <w:rPr>
          <w:rtl/>
        </w:rPr>
        <w:t xml:space="preserve">تستخدم شركة </w:t>
      </w:r>
      <w:proofErr w:type="spellStart"/>
      <w:r w:rsidRPr="00530A09">
        <w:rPr>
          <w:rtl/>
        </w:rPr>
        <w:t>مالكولم</w:t>
      </w:r>
      <w:proofErr w:type="spellEnd"/>
      <w:r w:rsidRPr="00530A09">
        <w:rPr>
          <w:rtl/>
        </w:rPr>
        <w:t xml:space="preserve"> نظام متوسط ​​مرجح لتقدير تكاليف العمليات. تتم إضافة جميع المواد في </w:t>
      </w:r>
      <w:proofErr w:type="spellStart"/>
      <w:r w:rsidRPr="00530A09">
        <w:rPr>
          <w:rtl/>
        </w:rPr>
        <w:t>مالكولم</w:t>
      </w:r>
      <w:proofErr w:type="spellEnd"/>
      <w:r w:rsidRPr="00530A09">
        <w:rPr>
          <w:rtl/>
        </w:rPr>
        <w:t xml:space="preserve"> في بداية عملية الإنتاج. ستكون الوحدات المكافئة للمواد في </w:t>
      </w:r>
      <w:proofErr w:type="spellStart"/>
      <w:r w:rsidRPr="00530A09">
        <w:rPr>
          <w:rtl/>
        </w:rPr>
        <w:t>مالكولم</w:t>
      </w:r>
      <w:proofErr w:type="spellEnd"/>
      <w:r w:rsidRPr="00530A09">
        <w:rPr>
          <w:rtl/>
        </w:rPr>
        <w:t xml:space="preserve"> هي مجموع</w:t>
      </w:r>
    </w:p>
    <w:p w14:paraId="2AAF3941" w14:textId="77777777" w:rsidR="00530A09" w:rsidRDefault="00530A09" w:rsidP="00E74E15">
      <w:pPr>
        <w:pStyle w:val="NormalText"/>
        <w:jc w:val="both"/>
      </w:pPr>
    </w:p>
    <w:p w14:paraId="6D42FAA9" w14:textId="77777777" w:rsidR="00E74E15" w:rsidRDefault="00E74E15" w:rsidP="00E74E15">
      <w:pPr>
        <w:pStyle w:val="NormalText"/>
        <w:jc w:val="both"/>
      </w:pPr>
      <w:r>
        <w:t>A) units in ending work in process and the units started.</w:t>
      </w:r>
    </w:p>
    <w:p w14:paraId="3D9714AA" w14:textId="77777777" w:rsidR="00E74E15" w:rsidRDefault="00E74E15" w:rsidP="00E74E15">
      <w:pPr>
        <w:pStyle w:val="NormalText"/>
        <w:jc w:val="both"/>
      </w:pPr>
      <w:r>
        <w:t>B) units in beginning work in process and the units started.</w:t>
      </w:r>
    </w:p>
    <w:p w14:paraId="68008D8E" w14:textId="77777777" w:rsidR="00E74E15" w:rsidRDefault="00E74E15" w:rsidP="00E74E15">
      <w:pPr>
        <w:pStyle w:val="NormalText"/>
        <w:jc w:val="both"/>
      </w:pPr>
      <w:r>
        <w:t>C) units in ending work in process and the units started and completed.</w:t>
      </w:r>
    </w:p>
    <w:p w14:paraId="78436B95" w14:textId="77777777" w:rsidR="00E74E15" w:rsidRDefault="00E74E15" w:rsidP="00E74E15">
      <w:pPr>
        <w:pStyle w:val="NormalText"/>
        <w:jc w:val="both"/>
      </w:pPr>
      <w:r>
        <w:t>D) units in beginning work in process and the units started and completed.</w:t>
      </w:r>
    </w:p>
    <w:p w14:paraId="4D831BA7" w14:textId="77777777" w:rsidR="00E74E15" w:rsidRDefault="00E74E15" w:rsidP="00E74E15">
      <w:pPr>
        <w:pStyle w:val="NormalText"/>
        <w:jc w:val="both"/>
      </w:pPr>
    </w:p>
    <w:p w14:paraId="39C8BE7E" w14:textId="77777777" w:rsidR="00E74E15" w:rsidRDefault="00E74E15" w:rsidP="00E74E15">
      <w:pPr>
        <w:pStyle w:val="NormalText"/>
        <w:jc w:val="both"/>
      </w:pPr>
      <w:r>
        <w:t>Answer:  B</w:t>
      </w:r>
    </w:p>
    <w:p w14:paraId="7C848432" w14:textId="77777777" w:rsidR="00E74E15" w:rsidRDefault="00E74E15" w:rsidP="00E74E15">
      <w:pPr>
        <w:pStyle w:val="NormalText"/>
        <w:jc w:val="both"/>
      </w:pPr>
    </w:p>
    <w:p w14:paraId="288EA971" w14:textId="463B9F68" w:rsidR="00E74E15" w:rsidRDefault="00E74E15" w:rsidP="00E74E15">
      <w:pPr>
        <w:pStyle w:val="NormalText"/>
        <w:jc w:val="both"/>
        <w:rPr>
          <w:rtl/>
        </w:rPr>
      </w:pPr>
      <w:r>
        <w:t>19) When computing the cost per equivalent unit, the weighted-average method of process costing considers:</w:t>
      </w:r>
    </w:p>
    <w:p w14:paraId="1E7E991D" w14:textId="77777777" w:rsidR="00530A09" w:rsidRDefault="00530A09" w:rsidP="00E74E15">
      <w:pPr>
        <w:pStyle w:val="NormalText"/>
        <w:jc w:val="both"/>
        <w:rPr>
          <w:rtl/>
        </w:rPr>
      </w:pPr>
    </w:p>
    <w:p w14:paraId="0B3BB568" w14:textId="35FD2DE5" w:rsidR="00530A09" w:rsidRDefault="00530A09" w:rsidP="00E74E15">
      <w:pPr>
        <w:pStyle w:val="NormalText"/>
        <w:jc w:val="both"/>
        <w:rPr>
          <w:rtl/>
        </w:rPr>
      </w:pPr>
      <w:r w:rsidRPr="00530A09">
        <w:rPr>
          <w:rtl/>
        </w:rPr>
        <w:t xml:space="preserve">عند حساب التكلفة لكل وحدة </w:t>
      </w:r>
      <w:proofErr w:type="gramStart"/>
      <w:r w:rsidRPr="00530A09">
        <w:rPr>
          <w:rtl/>
        </w:rPr>
        <w:t>معادلة ،</w:t>
      </w:r>
      <w:proofErr w:type="gramEnd"/>
      <w:r w:rsidRPr="00530A09">
        <w:rPr>
          <w:rtl/>
        </w:rPr>
        <w:t xml:space="preserve"> تراعي طريقة المتوسط ​​المرجح لتقدير تكلفة العملية ما يلي</w:t>
      </w:r>
    </w:p>
    <w:p w14:paraId="75BFF1E4" w14:textId="77777777" w:rsidR="00530A09" w:rsidRDefault="00530A09" w:rsidP="00E74E15">
      <w:pPr>
        <w:pStyle w:val="NormalText"/>
        <w:jc w:val="both"/>
      </w:pPr>
    </w:p>
    <w:p w14:paraId="04071F95" w14:textId="77777777" w:rsidR="00E74E15" w:rsidRDefault="00E74E15" w:rsidP="00E74E15">
      <w:pPr>
        <w:pStyle w:val="NormalText"/>
        <w:jc w:val="both"/>
      </w:pPr>
      <w:r>
        <w:t>A) costs incurred during the current period only.</w:t>
      </w:r>
    </w:p>
    <w:p w14:paraId="20534E34" w14:textId="77777777" w:rsidR="00E74E15" w:rsidRDefault="00E74E15" w:rsidP="00E74E15">
      <w:pPr>
        <w:pStyle w:val="NormalText"/>
        <w:jc w:val="both"/>
      </w:pPr>
      <w:r>
        <w:t>B) costs incurred during the current period plus cost of ending work in process inventory.</w:t>
      </w:r>
    </w:p>
    <w:p w14:paraId="36EBE7C6" w14:textId="77777777" w:rsidR="00E74E15" w:rsidRDefault="00E74E15" w:rsidP="00E74E15">
      <w:pPr>
        <w:pStyle w:val="NormalText"/>
        <w:jc w:val="both"/>
      </w:pPr>
      <w:r>
        <w:t>C) costs incurred during the current period plus cost of beginning work in process inventory.</w:t>
      </w:r>
    </w:p>
    <w:p w14:paraId="13276A54" w14:textId="77777777" w:rsidR="00E74E15" w:rsidRDefault="00E74E15" w:rsidP="00E74E15">
      <w:pPr>
        <w:pStyle w:val="NormalText"/>
        <w:jc w:val="both"/>
      </w:pPr>
      <w:r>
        <w:t>D) costs incurred during the current period less cost of beginning work in process inventory.</w:t>
      </w:r>
    </w:p>
    <w:p w14:paraId="6A26D25C" w14:textId="77777777" w:rsidR="00E74E15" w:rsidRDefault="00E74E15" w:rsidP="00E74E15">
      <w:pPr>
        <w:pStyle w:val="NormalText"/>
        <w:jc w:val="both"/>
      </w:pPr>
    </w:p>
    <w:p w14:paraId="6E60F5F3" w14:textId="77777777" w:rsidR="00E74E15" w:rsidRDefault="00E74E15" w:rsidP="00E74E15">
      <w:pPr>
        <w:pStyle w:val="NormalText"/>
        <w:jc w:val="both"/>
      </w:pPr>
      <w:r>
        <w:t>Answer:  C</w:t>
      </w:r>
    </w:p>
    <w:p w14:paraId="418231CC" w14:textId="77777777" w:rsidR="00E74E15" w:rsidRDefault="00E74E15" w:rsidP="00E74E15">
      <w:pPr>
        <w:pStyle w:val="NormalText"/>
        <w:jc w:val="both"/>
      </w:pPr>
    </w:p>
    <w:p w14:paraId="3ABD246B" w14:textId="79B531F2" w:rsidR="00E74E15" w:rsidRDefault="00E74E15" w:rsidP="00E74E15">
      <w:pPr>
        <w:pStyle w:val="NormalText"/>
        <w:jc w:val="both"/>
        <w:rPr>
          <w:rtl/>
        </w:rPr>
      </w:pPr>
      <w:r>
        <w:t>20) Under the weighted-average method, the cost of units transferred out of a department is computed as follows for a cost category:</w:t>
      </w:r>
    </w:p>
    <w:p w14:paraId="5BA8432E" w14:textId="77777777" w:rsidR="00530A09" w:rsidRDefault="00530A09" w:rsidP="00E74E15">
      <w:pPr>
        <w:pStyle w:val="NormalText"/>
        <w:jc w:val="both"/>
        <w:rPr>
          <w:rtl/>
        </w:rPr>
      </w:pPr>
    </w:p>
    <w:p w14:paraId="1D98A216" w14:textId="0F320D9A" w:rsidR="00530A09" w:rsidRDefault="00530A09" w:rsidP="00E74E15">
      <w:pPr>
        <w:pStyle w:val="NormalText"/>
        <w:jc w:val="both"/>
        <w:rPr>
          <w:rtl/>
        </w:rPr>
      </w:pPr>
      <w:r w:rsidRPr="00530A09">
        <w:rPr>
          <w:rtl/>
        </w:rPr>
        <w:t>وفقًا لطريقة المتوسط ​​</w:t>
      </w:r>
      <w:proofErr w:type="gramStart"/>
      <w:r w:rsidRPr="00530A09">
        <w:rPr>
          <w:rtl/>
        </w:rPr>
        <w:t>المرجح ،</w:t>
      </w:r>
      <w:proofErr w:type="gramEnd"/>
      <w:r w:rsidRPr="00530A09">
        <w:rPr>
          <w:rtl/>
        </w:rPr>
        <w:t xml:space="preserve"> يتم حساب تكلفة الوحدات المحولة خارج القسم على النحو التالي لفئة التكلفة</w:t>
      </w:r>
      <w:r>
        <w:rPr>
          <w:rFonts w:hint="cs"/>
          <w:rtl/>
        </w:rPr>
        <w:t>:</w:t>
      </w:r>
    </w:p>
    <w:p w14:paraId="5C9F747D" w14:textId="77777777" w:rsidR="00530A09" w:rsidRDefault="00530A09" w:rsidP="00E74E15">
      <w:pPr>
        <w:pStyle w:val="NormalText"/>
        <w:jc w:val="both"/>
      </w:pPr>
    </w:p>
    <w:p w14:paraId="052AF763" w14:textId="77777777" w:rsidR="00E74E15" w:rsidRDefault="00E74E15" w:rsidP="00E74E15">
      <w:pPr>
        <w:pStyle w:val="NormalText"/>
        <w:jc w:val="both"/>
      </w:pPr>
      <w:r>
        <w:t>A) Costs added during the period + Cost of beginning work in process inventory</w:t>
      </w:r>
    </w:p>
    <w:p w14:paraId="5C6154A0" w14:textId="77777777" w:rsidR="00E74E15" w:rsidRDefault="00E74E15" w:rsidP="00E74E15">
      <w:pPr>
        <w:pStyle w:val="NormalText"/>
        <w:jc w:val="both"/>
      </w:pPr>
      <w:r>
        <w:t>B) Units transferred to the next department × Cost per equivalent unit</w:t>
      </w:r>
    </w:p>
    <w:p w14:paraId="1CF858CA" w14:textId="77777777" w:rsidR="00E74E15" w:rsidRDefault="00E74E15" w:rsidP="00E74E15">
      <w:pPr>
        <w:pStyle w:val="NormalText"/>
        <w:jc w:val="both"/>
      </w:pPr>
      <w:r>
        <w:t>C) Units in ending work in process inventory × Cost per equivalent unit</w:t>
      </w:r>
    </w:p>
    <w:p w14:paraId="7E730EFA" w14:textId="77777777" w:rsidR="00E74E15" w:rsidRDefault="00E74E15" w:rsidP="00E74E15">
      <w:pPr>
        <w:pStyle w:val="NormalText"/>
        <w:jc w:val="both"/>
      </w:pPr>
      <w:r>
        <w:t>D) Cost of ending work in process inventory − Cost of beginning work in process inventory</w:t>
      </w:r>
    </w:p>
    <w:p w14:paraId="1F12859B" w14:textId="77777777" w:rsidR="00E74E15" w:rsidRDefault="00E74E15" w:rsidP="00E74E15">
      <w:pPr>
        <w:pStyle w:val="NormalText"/>
        <w:jc w:val="both"/>
      </w:pPr>
    </w:p>
    <w:p w14:paraId="249C5DA8" w14:textId="77777777" w:rsidR="00E74E15" w:rsidRDefault="00E74E15" w:rsidP="00E74E15">
      <w:pPr>
        <w:pStyle w:val="NormalText"/>
        <w:jc w:val="both"/>
      </w:pPr>
      <w:r>
        <w:t>Answer:  B</w:t>
      </w:r>
    </w:p>
    <w:p w14:paraId="2C9F9EC1" w14:textId="77777777" w:rsidR="00E74E15" w:rsidRDefault="00E74E15" w:rsidP="00E74E15">
      <w:pPr>
        <w:pStyle w:val="NormalText"/>
        <w:jc w:val="both"/>
      </w:pPr>
    </w:p>
    <w:p w14:paraId="334DC904" w14:textId="3B5C1382" w:rsidR="00E74E15" w:rsidRDefault="00E74E15" w:rsidP="00E74E15">
      <w:pPr>
        <w:pStyle w:val="NormalText"/>
        <w:jc w:val="both"/>
        <w:rPr>
          <w:rtl/>
        </w:rPr>
      </w:pPr>
      <w:r>
        <w:t>21) In the cost reconciliation report under the weighted-average method, the "Total cost accounted for" equals:</w:t>
      </w:r>
    </w:p>
    <w:p w14:paraId="14BCE2E3" w14:textId="128E503C" w:rsidR="00530A09" w:rsidRPr="00530A09" w:rsidRDefault="00530A09" w:rsidP="00530A09">
      <w:pPr>
        <w:pStyle w:val="NormalText"/>
        <w:bidi/>
        <w:jc w:val="both"/>
        <w:rPr>
          <w:rtl/>
        </w:rPr>
      </w:pPr>
      <w:r w:rsidRPr="00530A09">
        <w:rPr>
          <w:rtl/>
        </w:rPr>
        <w:t>في تقرير تسوية التكلفة وفقًا لطريقة المتوسط ​​</w:t>
      </w:r>
      <w:proofErr w:type="gramStart"/>
      <w:r w:rsidRPr="00530A09">
        <w:rPr>
          <w:rtl/>
        </w:rPr>
        <w:t>المرجح ،</w:t>
      </w:r>
      <w:proofErr w:type="gramEnd"/>
      <w:r w:rsidRPr="00530A09">
        <w:rPr>
          <w:rtl/>
        </w:rPr>
        <w:t xml:space="preserve"> تساوي "التكلفة الإجمالية المحسوبة":</w:t>
      </w:r>
    </w:p>
    <w:p w14:paraId="2766312D" w14:textId="77777777" w:rsidR="00530A09" w:rsidRDefault="00530A09" w:rsidP="00E74E15">
      <w:pPr>
        <w:pStyle w:val="NormalText"/>
        <w:jc w:val="both"/>
      </w:pPr>
    </w:p>
    <w:p w14:paraId="4A257E10" w14:textId="77777777" w:rsidR="00E74E15" w:rsidRDefault="00E74E15" w:rsidP="00E74E15">
      <w:pPr>
        <w:pStyle w:val="NormalText"/>
        <w:jc w:val="both"/>
      </w:pPr>
      <w:r>
        <w:t>A) Cost of beginning work in process inventory + Cost of units transferred out</w:t>
      </w:r>
    </w:p>
    <w:p w14:paraId="1B61FCF6" w14:textId="77777777" w:rsidR="00E74E15" w:rsidRDefault="00E74E15" w:rsidP="00E74E15">
      <w:pPr>
        <w:pStyle w:val="NormalText"/>
        <w:jc w:val="both"/>
      </w:pPr>
      <w:r>
        <w:t>B) Cost of beginning work in process inventory + Cost of units transferred in</w:t>
      </w:r>
    </w:p>
    <w:p w14:paraId="19323858" w14:textId="77777777" w:rsidR="00E74E15" w:rsidRDefault="00E74E15" w:rsidP="00E74E15">
      <w:pPr>
        <w:pStyle w:val="NormalText"/>
        <w:jc w:val="both"/>
      </w:pPr>
      <w:r>
        <w:t>C) Cost of ending work in process inventory + Cost of units transferred out</w:t>
      </w:r>
    </w:p>
    <w:p w14:paraId="36A84CAE" w14:textId="77777777" w:rsidR="00E74E15" w:rsidRDefault="00E74E15" w:rsidP="00E74E15">
      <w:pPr>
        <w:pStyle w:val="NormalText"/>
        <w:jc w:val="both"/>
      </w:pPr>
      <w:r>
        <w:t>D) Cost of ending work in process inventory + Cost added to production during the period</w:t>
      </w:r>
    </w:p>
    <w:p w14:paraId="71927857" w14:textId="77777777" w:rsidR="00E74E15" w:rsidRDefault="00E74E15" w:rsidP="00E74E15">
      <w:pPr>
        <w:pStyle w:val="NormalText"/>
        <w:jc w:val="both"/>
      </w:pPr>
    </w:p>
    <w:p w14:paraId="1B1F863D" w14:textId="77777777" w:rsidR="00E74E15" w:rsidRDefault="00E74E15" w:rsidP="00E74E15">
      <w:pPr>
        <w:pStyle w:val="NormalText"/>
        <w:jc w:val="both"/>
      </w:pPr>
      <w:r>
        <w:t>Answer:  C</w:t>
      </w:r>
    </w:p>
    <w:p w14:paraId="6DAF372B" w14:textId="77777777" w:rsidR="00E74E15" w:rsidRDefault="00E74E15" w:rsidP="00E74E15">
      <w:pPr>
        <w:pStyle w:val="NormalText"/>
        <w:jc w:val="both"/>
      </w:pPr>
    </w:p>
    <w:p w14:paraId="5241DC2D" w14:textId="77777777" w:rsidR="00E74E15" w:rsidRDefault="00E74E15" w:rsidP="00E74E15">
      <w:pPr>
        <w:pStyle w:val="NormalText"/>
        <w:jc w:val="both"/>
      </w:pPr>
    </w:p>
    <w:p w14:paraId="616A05BD" w14:textId="75E44BEE" w:rsidR="00111F58" w:rsidRDefault="00111F58" w:rsidP="00E74E15">
      <w:pPr>
        <w:pStyle w:val="NormalText"/>
        <w:jc w:val="both"/>
        <w:rPr>
          <w:rtl/>
        </w:rPr>
      </w:pPr>
      <w:r>
        <w:t>22) Janner Corporation uses the weighted-average method in its process costing system. Operating data for the Painting Department for the month of April appear below:</w:t>
      </w:r>
    </w:p>
    <w:p w14:paraId="1917A913" w14:textId="77777777" w:rsidR="00530A09" w:rsidRDefault="00530A09" w:rsidP="00E74E15">
      <w:pPr>
        <w:pStyle w:val="NormalText"/>
        <w:jc w:val="both"/>
        <w:rPr>
          <w:rtl/>
        </w:rPr>
      </w:pPr>
    </w:p>
    <w:p w14:paraId="01606239" w14:textId="6AC97596" w:rsidR="00530A09" w:rsidRDefault="00530A09" w:rsidP="00E74E15">
      <w:pPr>
        <w:pStyle w:val="NormalText"/>
        <w:jc w:val="both"/>
      </w:pPr>
      <w:r w:rsidRPr="00530A09">
        <w:rPr>
          <w:rtl/>
        </w:rPr>
        <w:t>تستخدم شركة</w:t>
      </w:r>
      <w:r w:rsidRPr="00530A09">
        <w:t xml:space="preserve"> Janner Corporation </w:t>
      </w:r>
      <w:r w:rsidRPr="00530A09">
        <w:rPr>
          <w:rtl/>
        </w:rPr>
        <w:t>طريقة المتوسط ​​المرجح في نظام تقدير تكاليف العملية. تظهر بيانات التشغيل الخاصة بقسم الرسم لشهر أبريل أدناه</w:t>
      </w:r>
    </w:p>
    <w:p w14:paraId="3B6B0B96" w14:textId="77777777" w:rsidR="00111F58" w:rsidRDefault="00111F58" w:rsidP="00E74E15">
      <w:pPr>
        <w:pStyle w:val="NormalText"/>
        <w:jc w:val="both"/>
      </w:pPr>
    </w:p>
    <w:tbl>
      <w:tblPr>
        <w:tblW w:w="0" w:type="auto"/>
        <w:tblLayout w:type="fixed"/>
        <w:tblCellMar>
          <w:left w:w="0" w:type="dxa"/>
          <w:right w:w="0" w:type="dxa"/>
        </w:tblCellMar>
        <w:tblLook w:val="0000" w:firstRow="0" w:lastRow="0" w:firstColumn="0" w:lastColumn="0" w:noHBand="0" w:noVBand="0"/>
      </w:tblPr>
      <w:tblGrid>
        <w:gridCol w:w="5340"/>
        <w:gridCol w:w="220"/>
        <w:gridCol w:w="840"/>
        <w:gridCol w:w="200"/>
        <w:gridCol w:w="20"/>
        <w:gridCol w:w="200"/>
        <w:gridCol w:w="20"/>
        <w:gridCol w:w="500"/>
        <w:gridCol w:w="500"/>
        <w:gridCol w:w="440"/>
        <w:gridCol w:w="20"/>
      </w:tblGrid>
      <w:tr w:rsidR="00111F58" w14:paraId="7DFDC6BA" w14:textId="77777777" w:rsidTr="00A57F79">
        <w:trPr>
          <w:gridAfter w:val="1"/>
          <w:wAfter w:w="20" w:type="dxa"/>
        </w:trPr>
        <w:tc>
          <w:tcPr>
            <w:tcW w:w="5340" w:type="dxa"/>
            <w:tcBorders>
              <w:top w:val="nil"/>
              <w:left w:val="nil"/>
              <w:bottom w:val="nil"/>
              <w:right w:val="nil"/>
            </w:tcBorders>
            <w:vAlign w:val="bottom"/>
          </w:tcPr>
          <w:p w14:paraId="14A850DD" w14:textId="77777777" w:rsidR="00111F58" w:rsidRDefault="00111F58" w:rsidP="00E74E15">
            <w:pPr>
              <w:pStyle w:val="NormalText"/>
              <w:jc w:val="both"/>
            </w:pPr>
            <w:r>
              <w:t> </w:t>
            </w:r>
          </w:p>
        </w:tc>
        <w:tc>
          <w:tcPr>
            <w:tcW w:w="1260" w:type="dxa"/>
            <w:gridSpan w:val="3"/>
            <w:tcBorders>
              <w:top w:val="nil"/>
              <w:left w:val="nil"/>
              <w:bottom w:val="nil"/>
              <w:right w:val="nil"/>
            </w:tcBorders>
            <w:tcMar>
              <w:top w:w="0" w:type="dxa"/>
              <w:left w:w="0" w:type="dxa"/>
              <w:bottom w:w="0" w:type="dxa"/>
              <w:right w:w="0" w:type="dxa"/>
            </w:tcMar>
            <w:vAlign w:val="bottom"/>
          </w:tcPr>
          <w:p w14:paraId="1832D9D2" w14:textId="77777777" w:rsidR="00111F58" w:rsidRDefault="00111F58" w:rsidP="00E74E15">
            <w:pPr>
              <w:pStyle w:val="NormalText"/>
              <w:jc w:val="both"/>
            </w:pPr>
            <w:r>
              <w:t>Units</w:t>
            </w:r>
          </w:p>
        </w:tc>
        <w:tc>
          <w:tcPr>
            <w:tcW w:w="220" w:type="dxa"/>
            <w:gridSpan w:val="2"/>
            <w:tcBorders>
              <w:top w:val="nil"/>
              <w:left w:val="nil"/>
              <w:bottom w:val="nil"/>
              <w:right w:val="nil"/>
            </w:tcBorders>
            <w:tcMar>
              <w:top w:w="0" w:type="dxa"/>
              <w:left w:w="0" w:type="dxa"/>
              <w:bottom w:w="0" w:type="dxa"/>
              <w:right w:w="0" w:type="dxa"/>
            </w:tcMar>
            <w:vAlign w:val="bottom"/>
          </w:tcPr>
          <w:p w14:paraId="71DB1538" w14:textId="77777777" w:rsidR="00111F58" w:rsidRDefault="00111F58" w:rsidP="00E74E15">
            <w:pPr>
              <w:pStyle w:val="NormalText"/>
              <w:jc w:val="both"/>
            </w:pPr>
            <w:r>
              <w:t> </w:t>
            </w:r>
          </w:p>
        </w:tc>
        <w:tc>
          <w:tcPr>
            <w:tcW w:w="1460" w:type="dxa"/>
            <w:gridSpan w:val="4"/>
            <w:tcBorders>
              <w:top w:val="nil"/>
              <w:left w:val="nil"/>
              <w:bottom w:val="nil"/>
              <w:right w:val="nil"/>
            </w:tcBorders>
            <w:tcMar>
              <w:top w:w="0" w:type="dxa"/>
              <w:left w:w="0" w:type="dxa"/>
              <w:bottom w:w="0" w:type="dxa"/>
              <w:right w:w="0" w:type="dxa"/>
            </w:tcMar>
            <w:vAlign w:val="bottom"/>
          </w:tcPr>
          <w:p w14:paraId="7CC9ED91" w14:textId="77777777" w:rsidR="00111F58" w:rsidRDefault="00111F58" w:rsidP="00E74E15">
            <w:pPr>
              <w:pStyle w:val="NormalText"/>
              <w:jc w:val="both"/>
            </w:pPr>
            <w:r>
              <w:t>Percent Complete with</w:t>
            </w:r>
          </w:p>
          <w:p w14:paraId="69ABC6FD" w14:textId="77777777" w:rsidR="00111F58" w:rsidRDefault="00111F58" w:rsidP="00E74E15">
            <w:pPr>
              <w:pStyle w:val="NormalText"/>
              <w:jc w:val="both"/>
            </w:pPr>
            <w:r>
              <w:t>Respect to Conversion</w:t>
            </w:r>
          </w:p>
        </w:tc>
      </w:tr>
      <w:tr w:rsidR="00111F58" w14:paraId="564F1E63" w14:textId="77777777" w:rsidTr="00A57F79">
        <w:tc>
          <w:tcPr>
            <w:tcW w:w="5340" w:type="dxa"/>
            <w:tcBorders>
              <w:top w:val="nil"/>
              <w:left w:val="nil"/>
              <w:bottom w:val="nil"/>
              <w:right w:val="nil"/>
            </w:tcBorders>
            <w:vAlign w:val="bottom"/>
          </w:tcPr>
          <w:p w14:paraId="0BBDC037" w14:textId="77777777" w:rsidR="00111F58" w:rsidRDefault="00111F58" w:rsidP="00E74E15">
            <w:pPr>
              <w:pStyle w:val="NormalText"/>
              <w:jc w:val="both"/>
            </w:pPr>
            <w:r>
              <w:t>Beginning work in process inventory</w:t>
            </w:r>
          </w:p>
        </w:tc>
        <w:tc>
          <w:tcPr>
            <w:tcW w:w="220" w:type="dxa"/>
            <w:tcBorders>
              <w:top w:val="nil"/>
              <w:left w:val="nil"/>
              <w:bottom w:val="nil"/>
              <w:right w:val="nil"/>
            </w:tcBorders>
            <w:tcMar>
              <w:top w:w="0" w:type="dxa"/>
              <w:left w:w="0" w:type="dxa"/>
              <w:bottom w:w="0" w:type="dxa"/>
              <w:right w:w="0" w:type="dxa"/>
            </w:tcMar>
            <w:vAlign w:val="bottom"/>
          </w:tcPr>
          <w:p w14:paraId="0983AE2A" w14:textId="77777777" w:rsidR="00111F58" w:rsidRDefault="00111F58" w:rsidP="00E74E15">
            <w:pPr>
              <w:pStyle w:val="NormalText"/>
              <w:jc w:val="both"/>
            </w:pPr>
            <w:r>
              <w:t> </w:t>
            </w:r>
          </w:p>
        </w:tc>
        <w:tc>
          <w:tcPr>
            <w:tcW w:w="840" w:type="dxa"/>
            <w:tcBorders>
              <w:top w:val="nil"/>
              <w:left w:val="nil"/>
              <w:bottom w:val="nil"/>
              <w:right w:val="nil"/>
            </w:tcBorders>
            <w:tcMar>
              <w:top w:w="0" w:type="dxa"/>
              <w:left w:w="0" w:type="dxa"/>
              <w:bottom w:w="0" w:type="dxa"/>
              <w:right w:w="0" w:type="dxa"/>
            </w:tcMar>
            <w:vAlign w:val="bottom"/>
          </w:tcPr>
          <w:p w14:paraId="1BBD2CDE" w14:textId="77777777" w:rsidR="00111F58" w:rsidRDefault="00111F58" w:rsidP="00E74E15">
            <w:pPr>
              <w:pStyle w:val="NormalText"/>
              <w:jc w:val="both"/>
            </w:pPr>
            <w:r>
              <w:t>4,000</w:t>
            </w:r>
          </w:p>
        </w:tc>
        <w:tc>
          <w:tcPr>
            <w:tcW w:w="220" w:type="dxa"/>
            <w:gridSpan w:val="2"/>
            <w:tcBorders>
              <w:top w:val="nil"/>
              <w:left w:val="nil"/>
              <w:bottom w:val="nil"/>
              <w:right w:val="nil"/>
            </w:tcBorders>
            <w:tcMar>
              <w:top w:w="0" w:type="dxa"/>
              <w:left w:w="0" w:type="dxa"/>
              <w:bottom w:w="0" w:type="dxa"/>
              <w:right w:w="0" w:type="dxa"/>
            </w:tcMar>
            <w:vAlign w:val="bottom"/>
          </w:tcPr>
          <w:p w14:paraId="436F0F8C" w14:textId="77777777" w:rsidR="00111F58" w:rsidRDefault="00111F58" w:rsidP="00E74E15">
            <w:pPr>
              <w:pStyle w:val="NormalText"/>
              <w:jc w:val="both"/>
            </w:pPr>
            <w:r>
              <w:t> </w:t>
            </w:r>
          </w:p>
        </w:tc>
        <w:tc>
          <w:tcPr>
            <w:tcW w:w="220" w:type="dxa"/>
            <w:gridSpan w:val="2"/>
            <w:tcBorders>
              <w:top w:val="nil"/>
              <w:left w:val="nil"/>
              <w:bottom w:val="nil"/>
              <w:right w:val="nil"/>
            </w:tcBorders>
            <w:tcMar>
              <w:top w:w="0" w:type="dxa"/>
              <w:left w:w="0" w:type="dxa"/>
              <w:bottom w:w="0" w:type="dxa"/>
              <w:right w:w="0" w:type="dxa"/>
            </w:tcMar>
            <w:vAlign w:val="bottom"/>
          </w:tcPr>
          <w:p w14:paraId="16B451F7" w14:textId="77777777" w:rsidR="00111F58" w:rsidRDefault="00111F58" w:rsidP="00E74E15">
            <w:pPr>
              <w:pStyle w:val="NormalText"/>
              <w:jc w:val="both"/>
            </w:pPr>
            <w:r>
              <w:t> </w:t>
            </w:r>
          </w:p>
        </w:tc>
        <w:tc>
          <w:tcPr>
            <w:tcW w:w="500" w:type="dxa"/>
            <w:tcBorders>
              <w:top w:val="nil"/>
              <w:left w:val="nil"/>
              <w:bottom w:val="nil"/>
              <w:right w:val="nil"/>
            </w:tcBorders>
            <w:tcMar>
              <w:top w:w="0" w:type="dxa"/>
              <w:left w:w="0" w:type="dxa"/>
              <w:bottom w:w="0" w:type="dxa"/>
              <w:right w:w="0" w:type="dxa"/>
            </w:tcMar>
            <w:vAlign w:val="bottom"/>
          </w:tcPr>
          <w:p w14:paraId="1EB93DFC" w14:textId="77777777" w:rsidR="00111F58" w:rsidRDefault="00111F58" w:rsidP="00E74E15">
            <w:pPr>
              <w:pStyle w:val="NormalText"/>
              <w:jc w:val="both"/>
            </w:pPr>
            <w:r>
              <w:t> </w:t>
            </w:r>
          </w:p>
        </w:tc>
        <w:tc>
          <w:tcPr>
            <w:tcW w:w="500" w:type="dxa"/>
            <w:tcBorders>
              <w:top w:val="nil"/>
              <w:left w:val="nil"/>
              <w:bottom w:val="nil"/>
              <w:right w:val="nil"/>
            </w:tcBorders>
            <w:tcMar>
              <w:top w:w="0" w:type="dxa"/>
              <w:left w:w="0" w:type="dxa"/>
              <w:bottom w:w="0" w:type="dxa"/>
              <w:right w:w="0" w:type="dxa"/>
            </w:tcMar>
            <w:vAlign w:val="bottom"/>
          </w:tcPr>
          <w:p w14:paraId="438BAA70" w14:textId="77777777" w:rsidR="00111F58" w:rsidRDefault="00111F58" w:rsidP="00E74E15">
            <w:pPr>
              <w:pStyle w:val="NormalText"/>
              <w:jc w:val="both"/>
            </w:pPr>
            <w:r>
              <w:t>50</w:t>
            </w:r>
          </w:p>
        </w:tc>
        <w:tc>
          <w:tcPr>
            <w:tcW w:w="460" w:type="dxa"/>
            <w:gridSpan w:val="2"/>
            <w:tcBorders>
              <w:top w:val="nil"/>
              <w:left w:val="nil"/>
              <w:bottom w:val="nil"/>
              <w:right w:val="nil"/>
            </w:tcBorders>
            <w:tcMar>
              <w:top w:w="0" w:type="dxa"/>
              <w:left w:w="0" w:type="dxa"/>
              <w:bottom w:w="0" w:type="dxa"/>
              <w:right w:w="0" w:type="dxa"/>
            </w:tcMar>
            <w:vAlign w:val="bottom"/>
          </w:tcPr>
          <w:p w14:paraId="601665E0" w14:textId="77777777" w:rsidR="00111F58" w:rsidRDefault="00111F58" w:rsidP="00E74E15">
            <w:pPr>
              <w:pStyle w:val="NormalText"/>
              <w:jc w:val="both"/>
            </w:pPr>
            <w:r>
              <w:t>%</w:t>
            </w:r>
          </w:p>
        </w:tc>
      </w:tr>
      <w:tr w:rsidR="00111F58" w14:paraId="7D4F3D84" w14:textId="77777777" w:rsidTr="00A57F79">
        <w:tc>
          <w:tcPr>
            <w:tcW w:w="5340" w:type="dxa"/>
            <w:tcBorders>
              <w:top w:val="nil"/>
              <w:left w:val="nil"/>
              <w:bottom w:val="nil"/>
              <w:right w:val="nil"/>
            </w:tcBorders>
            <w:vAlign w:val="bottom"/>
          </w:tcPr>
          <w:p w14:paraId="344D97E7" w14:textId="77777777" w:rsidR="00111F58" w:rsidRDefault="00111F58" w:rsidP="00E74E15">
            <w:pPr>
              <w:pStyle w:val="NormalText"/>
              <w:jc w:val="both"/>
            </w:pPr>
            <w:r>
              <w:t>Transferred in from the prior department during April</w:t>
            </w:r>
          </w:p>
        </w:tc>
        <w:tc>
          <w:tcPr>
            <w:tcW w:w="220" w:type="dxa"/>
            <w:tcBorders>
              <w:top w:val="nil"/>
              <w:left w:val="nil"/>
              <w:bottom w:val="nil"/>
              <w:right w:val="nil"/>
            </w:tcBorders>
            <w:tcMar>
              <w:top w:w="0" w:type="dxa"/>
              <w:left w:w="0" w:type="dxa"/>
              <w:bottom w:w="0" w:type="dxa"/>
              <w:right w:w="0" w:type="dxa"/>
            </w:tcMar>
            <w:vAlign w:val="bottom"/>
          </w:tcPr>
          <w:p w14:paraId="1FC94DE4" w14:textId="77777777" w:rsidR="00111F58" w:rsidRDefault="00111F58" w:rsidP="00E74E15">
            <w:pPr>
              <w:pStyle w:val="NormalText"/>
              <w:jc w:val="both"/>
            </w:pPr>
            <w:r>
              <w:t> </w:t>
            </w:r>
          </w:p>
        </w:tc>
        <w:tc>
          <w:tcPr>
            <w:tcW w:w="840" w:type="dxa"/>
            <w:tcBorders>
              <w:top w:val="nil"/>
              <w:left w:val="nil"/>
              <w:bottom w:val="nil"/>
              <w:right w:val="nil"/>
            </w:tcBorders>
            <w:tcMar>
              <w:top w:w="0" w:type="dxa"/>
              <w:left w:w="0" w:type="dxa"/>
              <w:bottom w:w="0" w:type="dxa"/>
              <w:right w:w="0" w:type="dxa"/>
            </w:tcMar>
            <w:vAlign w:val="bottom"/>
          </w:tcPr>
          <w:p w14:paraId="08BDD68F" w14:textId="77777777" w:rsidR="00111F58" w:rsidRDefault="00111F58" w:rsidP="00E74E15">
            <w:pPr>
              <w:pStyle w:val="NormalText"/>
              <w:jc w:val="both"/>
            </w:pPr>
            <w:r>
              <w:t>90,400</w:t>
            </w:r>
          </w:p>
        </w:tc>
        <w:tc>
          <w:tcPr>
            <w:tcW w:w="220" w:type="dxa"/>
            <w:gridSpan w:val="2"/>
            <w:tcBorders>
              <w:top w:val="nil"/>
              <w:left w:val="nil"/>
              <w:bottom w:val="nil"/>
              <w:right w:val="nil"/>
            </w:tcBorders>
            <w:tcMar>
              <w:top w:w="0" w:type="dxa"/>
              <w:left w:w="0" w:type="dxa"/>
              <w:bottom w:w="0" w:type="dxa"/>
              <w:right w:w="0" w:type="dxa"/>
            </w:tcMar>
            <w:vAlign w:val="bottom"/>
          </w:tcPr>
          <w:p w14:paraId="75DCDE4C" w14:textId="77777777" w:rsidR="00111F58" w:rsidRDefault="00111F58" w:rsidP="00E74E15">
            <w:pPr>
              <w:pStyle w:val="NormalText"/>
              <w:jc w:val="both"/>
            </w:pPr>
            <w:r>
              <w:t> </w:t>
            </w:r>
          </w:p>
        </w:tc>
        <w:tc>
          <w:tcPr>
            <w:tcW w:w="220" w:type="dxa"/>
            <w:gridSpan w:val="2"/>
            <w:tcBorders>
              <w:top w:val="nil"/>
              <w:left w:val="nil"/>
              <w:bottom w:val="nil"/>
              <w:right w:val="nil"/>
            </w:tcBorders>
            <w:tcMar>
              <w:top w:w="0" w:type="dxa"/>
              <w:left w:w="0" w:type="dxa"/>
              <w:bottom w:w="0" w:type="dxa"/>
              <w:right w:w="0" w:type="dxa"/>
            </w:tcMar>
            <w:vAlign w:val="bottom"/>
          </w:tcPr>
          <w:p w14:paraId="35490C36" w14:textId="77777777" w:rsidR="00111F58" w:rsidRDefault="00111F58" w:rsidP="00E74E15">
            <w:pPr>
              <w:pStyle w:val="NormalText"/>
              <w:jc w:val="both"/>
            </w:pPr>
            <w:r>
              <w:t> </w:t>
            </w:r>
          </w:p>
        </w:tc>
        <w:tc>
          <w:tcPr>
            <w:tcW w:w="500" w:type="dxa"/>
            <w:tcBorders>
              <w:top w:val="nil"/>
              <w:left w:val="nil"/>
              <w:bottom w:val="nil"/>
              <w:right w:val="nil"/>
            </w:tcBorders>
            <w:tcMar>
              <w:top w:w="0" w:type="dxa"/>
              <w:left w:w="0" w:type="dxa"/>
              <w:bottom w:w="0" w:type="dxa"/>
              <w:right w:w="0" w:type="dxa"/>
            </w:tcMar>
            <w:vAlign w:val="bottom"/>
          </w:tcPr>
          <w:p w14:paraId="4E663E2C" w14:textId="77777777" w:rsidR="00111F58" w:rsidRDefault="00111F58" w:rsidP="00E74E15">
            <w:pPr>
              <w:pStyle w:val="NormalText"/>
              <w:jc w:val="both"/>
            </w:pPr>
            <w:r>
              <w:t> </w:t>
            </w:r>
          </w:p>
        </w:tc>
        <w:tc>
          <w:tcPr>
            <w:tcW w:w="500" w:type="dxa"/>
            <w:tcBorders>
              <w:top w:val="nil"/>
              <w:left w:val="nil"/>
              <w:bottom w:val="nil"/>
              <w:right w:val="nil"/>
            </w:tcBorders>
            <w:tcMar>
              <w:top w:w="0" w:type="dxa"/>
              <w:left w:w="0" w:type="dxa"/>
              <w:bottom w:w="0" w:type="dxa"/>
              <w:right w:w="0" w:type="dxa"/>
            </w:tcMar>
            <w:vAlign w:val="bottom"/>
          </w:tcPr>
          <w:p w14:paraId="436BED8F" w14:textId="77777777" w:rsidR="00111F58" w:rsidRDefault="00111F58" w:rsidP="00E74E15">
            <w:pPr>
              <w:pStyle w:val="NormalText"/>
              <w:jc w:val="both"/>
            </w:pPr>
            <w:r>
              <w:t> </w:t>
            </w:r>
          </w:p>
        </w:tc>
        <w:tc>
          <w:tcPr>
            <w:tcW w:w="460" w:type="dxa"/>
            <w:gridSpan w:val="2"/>
            <w:tcBorders>
              <w:top w:val="nil"/>
              <w:left w:val="nil"/>
              <w:bottom w:val="nil"/>
              <w:right w:val="nil"/>
            </w:tcBorders>
            <w:tcMar>
              <w:top w:w="0" w:type="dxa"/>
              <w:left w:w="0" w:type="dxa"/>
              <w:bottom w:w="0" w:type="dxa"/>
              <w:right w:w="0" w:type="dxa"/>
            </w:tcMar>
            <w:vAlign w:val="bottom"/>
          </w:tcPr>
          <w:p w14:paraId="1E855D0B" w14:textId="77777777" w:rsidR="00111F58" w:rsidRDefault="00111F58" w:rsidP="00E74E15">
            <w:pPr>
              <w:pStyle w:val="NormalText"/>
              <w:jc w:val="both"/>
            </w:pPr>
            <w:r>
              <w:t> </w:t>
            </w:r>
          </w:p>
        </w:tc>
      </w:tr>
      <w:tr w:rsidR="00111F58" w14:paraId="7D30064D" w14:textId="77777777" w:rsidTr="00A57F79">
        <w:tc>
          <w:tcPr>
            <w:tcW w:w="5340" w:type="dxa"/>
            <w:tcBorders>
              <w:top w:val="nil"/>
              <w:left w:val="nil"/>
              <w:bottom w:val="nil"/>
              <w:right w:val="nil"/>
            </w:tcBorders>
            <w:vAlign w:val="bottom"/>
          </w:tcPr>
          <w:p w14:paraId="63F7FEF1" w14:textId="77777777" w:rsidR="00111F58" w:rsidRDefault="00111F58" w:rsidP="00E74E15">
            <w:pPr>
              <w:pStyle w:val="NormalText"/>
              <w:jc w:val="both"/>
            </w:pPr>
            <w:r>
              <w:t>Ending work in process inventory</w:t>
            </w:r>
          </w:p>
        </w:tc>
        <w:tc>
          <w:tcPr>
            <w:tcW w:w="220" w:type="dxa"/>
            <w:tcBorders>
              <w:top w:val="nil"/>
              <w:left w:val="nil"/>
              <w:bottom w:val="nil"/>
              <w:right w:val="nil"/>
            </w:tcBorders>
            <w:tcMar>
              <w:top w:w="0" w:type="dxa"/>
              <w:left w:w="0" w:type="dxa"/>
              <w:bottom w:w="0" w:type="dxa"/>
              <w:right w:w="0" w:type="dxa"/>
            </w:tcMar>
            <w:vAlign w:val="bottom"/>
          </w:tcPr>
          <w:p w14:paraId="3BFC457C" w14:textId="77777777" w:rsidR="00111F58" w:rsidRDefault="00111F58" w:rsidP="00E74E15">
            <w:pPr>
              <w:pStyle w:val="NormalText"/>
              <w:jc w:val="both"/>
            </w:pPr>
            <w:r>
              <w:t> </w:t>
            </w:r>
          </w:p>
        </w:tc>
        <w:tc>
          <w:tcPr>
            <w:tcW w:w="840" w:type="dxa"/>
            <w:tcBorders>
              <w:top w:val="nil"/>
              <w:left w:val="nil"/>
              <w:bottom w:val="nil"/>
              <w:right w:val="nil"/>
            </w:tcBorders>
            <w:tcMar>
              <w:top w:w="0" w:type="dxa"/>
              <w:left w:w="0" w:type="dxa"/>
              <w:bottom w:w="0" w:type="dxa"/>
              <w:right w:w="0" w:type="dxa"/>
            </w:tcMar>
            <w:vAlign w:val="bottom"/>
          </w:tcPr>
          <w:p w14:paraId="58026908" w14:textId="77777777" w:rsidR="00111F58" w:rsidRDefault="00111F58" w:rsidP="00E74E15">
            <w:pPr>
              <w:pStyle w:val="NormalText"/>
              <w:jc w:val="both"/>
            </w:pPr>
            <w:r>
              <w:t>1,600</w:t>
            </w:r>
          </w:p>
        </w:tc>
        <w:tc>
          <w:tcPr>
            <w:tcW w:w="220" w:type="dxa"/>
            <w:gridSpan w:val="2"/>
            <w:tcBorders>
              <w:top w:val="nil"/>
              <w:left w:val="nil"/>
              <w:bottom w:val="nil"/>
              <w:right w:val="nil"/>
            </w:tcBorders>
            <w:tcMar>
              <w:top w:w="0" w:type="dxa"/>
              <w:left w:w="0" w:type="dxa"/>
              <w:bottom w:w="0" w:type="dxa"/>
              <w:right w:w="0" w:type="dxa"/>
            </w:tcMar>
            <w:vAlign w:val="bottom"/>
          </w:tcPr>
          <w:p w14:paraId="6F844094" w14:textId="77777777" w:rsidR="00111F58" w:rsidRDefault="00111F58" w:rsidP="00E74E15">
            <w:pPr>
              <w:pStyle w:val="NormalText"/>
              <w:jc w:val="both"/>
            </w:pPr>
            <w:r>
              <w:t> </w:t>
            </w:r>
          </w:p>
        </w:tc>
        <w:tc>
          <w:tcPr>
            <w:tcW w:w="220" w:type="dxa"/>
            <w:gridSpan w:val="2"/>
            <w:tcBorders>
              <w:top w:val="nil"/>
              <w:left w:val="nil"/>
              <w:bottom w:val="nil"/>
              <w:right w:val="nil"/>
            </w:tcBorders>
            <w:tcMar>
              <w:top w:w="0" w:type="dxa"/>
              <w:left w:w="0" w:type="dxa"/>
              <w:bottom w:w="0" w:type="dxa"/>
              <w:right w:w="0" w:type="dxa"/>
            </w:tcMar>
            <w:vAlign w:val="bottom"/>
          </w:tcPr>
          <w:p w14:paraId="3FAE6474" w14:textId="77777777" w:rsidR="00111F58" w:rsidRDefault="00111F58" w:rsidP="00E74E15">
            <w:pPr>
              <w:pStyle w:val="NormalText"/>
              <w:jc w:val="both"/>
            </w:pPr>
            <w:r>
              <w:t> </w:t>
            </w:r>
          </w:p>
        </w:tc>
        <w:tc>
          <w:tcPr>
            <w:tcW w:w="500" w:type="dxa"/>
            <w:tcBorders>
              <w:top w:val="nil"/>
              <w:left w:val="nil"/>
              <w:bottom w:val="nil"/>
              <w:right w:val="nil"/>
            </w:tcBorders>
            <w:tcMar>
              <w:top w:w="0" w:type="dxa"/>
              <w:left w:w="0" w:type="dxa"/>
              <w:bottom w:w="0" w:type="dxa"/>
              <w:right w:w="0" w:type="dxa"/>
            </w:tcMar>
            <w:vAlign w:val="bottom"/>
          </w:tcPr>
          <w:p w14:paraId="20508531" w14:textId="77777777" w:rsidR="00111F58" w:rsidRDefault="00111F58" w:rsidP="00E74E15">
            <w:pPr>
              <w:pStyle w:val="NormalText"/>
              <w:jc w:val="both"/>
            </w:pPr>
            <w:r>
              <w:t> </w:t>
            </w:r>
          </w:p>
        </w:tc>
        <w:tc>
          <w:tcPr>
            <w:tcW w:w="500" w:type="dxa"/>
            <w:tcBorders>
              <w:top w:val="nil"/>
              <w:left w:val="nil"/>
              <w:bottom w:val="nil"/>
              <w:right w:val="nil"/>
            </w:tcBorders>
            <w:tcMar>
              <w:top w:w="0" w:type="dxa"/>
              <w:left w:w="0" w:type="dxa"/>
              <w:bottom w:w="0" w:type="dxa"/>
              <w:right w:w="0" w:type="dxa"/>
            </w:tcMar>
            <w:vAlign w:val="bottom"/>
          </w:tcPr>
          <w:p w14:paraId="4C12747A" w14:textId="77777777" w:rsidR="00111F58" w:rsidRDefault="00111F58" w:rsidP="00E74E15">
            <w:pPr>
              <w:pStyle w:val="NormalText"/>
              <w:jc w:val="both"/>
            </w:pPr>
            <w:r>
              <w:t>60</w:t>
            </w:r>
          </w:p>
        </w:tc>
        <w:tc>
          <w:tcPr>
            <w:tcW w:w="460" w:type="dxa"/>
            <w:gridSpan w:val="2"/>
            <w:tcBorders>
              <w:top w:val="nil"/>
              <w:left w:val="nil"/>
              <w:bottom w:val="nil"/>
              <w:right w:val="nil"/>
            </w:tcBorders>
            <w:tcMar>
              <w:top w:w="0" w:type="dxa"/>
              <w:left w:w="0" w:type="dxa"/>
              <w:bottom w:w="0" w:type="dxa"/>
              <w:right w:w="0" w:type="dxa"/>
            </w:tcMar>
            <w:vAlign w:val="bottom"/>
          </w:tcPr>
          <w:p w14:paraId="7B0B57B0" w14:textId="77777777" w:rsidR="00111F58" w:rsidRDefault="00111F58" w:rsidP="00E74E15">
            <w:pPr>
              <w:pStyle w:val="NormalText"/>
              <w:jc w:val="both"/>
            </w:pPr>
            <w:r>
              <w:t>%</w:t>
            </w:r>
          </w:p>
        </w:tc>
      </w:tr>
    </w:tbl>
    <w:p w14:paraId="366EB27B" w14:textId="77777777" w:rsidR="00111F58" w:rsidRDefault="00111F58" w:rsidP="00E74E15">
      <w:pPr>
        <w:pStyle w:val="NormalText"/>
        <w:jc w:val="both"/>
      </w:pPr>
    </w:p>
    <w:p w14:paraId="4FC1F1EC" w14:textId="77777777" w:rsidR="00111F58" w:rsidRDefault="00111F58" w:rsidP="00E74E15">
      <w:pPr>
        <w:pStyle w:val="NormalText"/>
        <w:jc w:val="both"/>
      </w:pPr>
      <w:r>
        <w:t>What were the equivalent units for conversion costs in the Painting Department for April?</w:t>
      </w:r>
    </w:p>
    <w:p w14:paraId="5E6AD162" w14:textId="77777777" w:rsidR="00111F58" w:rsidRDefault="00111F58" w:rsidP="00E74E15">
      <w:pPr>
        <w:pStyle w:val="NormalText"/>
        <w:jc w:val="both"/>
      </w:pPr>
      <w:r>
        <w:t>A) 93,760</w:t>
      </w:r>
    </w:p>
    <w:p w14:paraId="42EF96F6" w14:textId="77777777" w:rsidR="00111F58" w:rsidRDefault="00111F58" w:rsidP="00E74E15">
      <w:pPr>
        <w:pStyle w:val="NormalText"/>
        <w:jc w:val="both"/>
      </w:pPr>
      <w:r>
        <w:t>B) 92,800</w:t>
      </w:r>
    </w:p>
    <w:p w14:paraId="7C7F2698" w14:textId="77777777" w:rsidR="00111F58" w:rsidRDefault="00111F58" w:rsidP="00E74E15">
      <w:pPr>
        <w:pStyle w:val="NormalText"/>
        <w:jc w:val="both"/>
      </w:pPr>
      <w:r>
        <w:t>C) 91,360</w:t>
      </w:r>
    </w:p>
    <w:p w14:paraId="34F87D25" w14:textId="77777777" w:rsidR="00111F58" w:rsidRDefault="00111F58" w:rsidP="00E74E15">
      <w:pPr>
        <w:pStyle w:val="NormalText"/>
        <w:jc w:val="both"/>
      </w:pPr>
      <w:r>
        <w:t>D) 88,000</w:t>
      </w:r>
    </w:p>
    <w:p w14:paraId="3BE5CBE2" w14:textId="77777777" w:rsidR="00111F58" w:rsidRDefault="00111F58" w:rsidP="00E74E15">
      <w:pPr>
        <w:pStyle w:val="NormalText"/>
        <w:jc w:val="both"/>
      </w:pPr>
    </w:p>
    <w:p w14:paraId="79CB75F7" w14:textId="77777777" w:rsidR="00111F58" w:rsidRDefault="00111F58" w:rsidP="00E74E15">
      <w:pPr>
        <w:pStyle w:val="NormalText"/>
        <w:jc w:val="both"/>
      </w:pPr>
      <w:r>
        <w:t>Answer:  A</w:t>
      </w:r>
    </w:p>
    <w:p w14:paraId="0D796EE8" w14:textId="77777777" w:rsidR="00111F58" w:rsidRDefault="00111F58" w:rsidP="00E74E15">
      <w:pPr>
        <w:pStyle w:val="NormalText"/>
        <w:jc w:val="both"/>
        <w:rPr>
          <w:i/>
          <w:iCs/>
        </w:rPr>
      </w:pPr>
      <w:r>
        <w:t xml:space="preserve">Explanation:  </w:t>
      </w:r>
      <w:r>
        <w:rPr>
          <w:i/>
          <w:iCs/>
        </w:rPr>
        <w:t>Weighted-average method</w:t>
      </w:r>
    </w:p>
    <w:p w14:paraId="06A07C99" w14:textId="77777777" w:rsidR="00111F58" w:rsidRDefault="00111F58" w:rsidP="00E74E15">
      <w:pPr>
        <w:pStyle w:val="NormalText"/>
        <w:jc w:val="both"/>
      </w:pPr>
    </w:p>
    <w:p w14:paraId="55D8A38A" w14:textId="77777777" w:rsidR="00111F58" w:rsidRDefault="00111F58" w:rsidP="00E74E15">
      <w:pPr>
        <w:pStyle w:val="NormalText"/>
        <w:jc w:val="both"/>
      </w:pPr>
      <w:r>
        <w:t>Units transferred to the next department = Units in beginning work in process + Units started into production – Units in ending work in process = 4,000 + 90,400 – 1,600 = 92,800</w:t>
      </w:r>
    </w:p>
    <w:p w14:paraId="7306DA8B" w14:textId="77777777" w:rsidR="00111F58" w:rsidRDefault="00111F58" w:rsidP="00E74E15">
      <w:pPr>
        <w:pStyle w:val="NormalText"/>
        <w:jc w:val="both"/>
      </w:pPr>
    </w:p>
    <w:tbl>
      <w:tblPr>
        <w:tblW w:w="0" w:type="auto"/>
        <w:tblLayout w:type="fixed"/>
        <w:tblCellMar>
          <w:left w:w="0" w:type="dxa"/>
          <w:right w:w="0" w:type="dxa"/>
        </w:tblCellMar>
        <w:tblLook w:val="0000" w:firstRow="0" w:lastRow="0" w:firstColumn="0" w:lastColumn="0" w:noHBand="0" w:noVBand="0"/>
      </w:tblPr>
      <w:tblGrid>
        <w:gridCol w:w="5760"/>
        <w:gridCol w:w="220"/>
        <w:gridCol w:w="840"/>
        <w:gridCol w:w="200"/>
        <w:gridCol w:w="20"/>
      </w:tblGrid>
      <w:tr w:rsidR="00111F58" w14:paraId="2B7588D3" w14:textId="77777777" w:rsidTr="00A57F79">
        <w:trPr>
          <w:gridAfter w:val="1"/>
          <w:wAfter w:w="20" w:type="dxa"/>
        </w:trPr>
        <w:tc>
          <w:tcPr>
            <w:tcW w:w="5760" w:type="dxa"/>
            <w:tcBorders>
              <w:top w:val="nil"/>
              <w:left w:val="nil"/>
              <w:bottom w:val="nil"/>
              <w:right w:val="nil"/>
            </w:tcBorders>
            <w:vAlign w:val="center"/>
          </w:tcPr>
          <w:p w14:paraId="68FAF889" w14:textId="77777777" w:rsidR="00111F58" w:rsidRDefault="00111F58" w:rsidP="00E74E15">
            <w:pPr>
              <w:pStyle w:val="NormalText"/>
              <w:jc w:val="both"/>
            </w:pPr>
            <w:r>
              <w:t> </w:t>
            </w:r>
          </w:p>
        </w:tc>
        <w:tc>
          <w:tcPr>
            <w:tcW w:w="1260" w:type="dxa"/>
            <w:gridSpan w:val="3"/>
            <w:tcBorders>
              <w:top w:val="nil"/>
              <w:left w:val="nil"/>
              <w:bottom w:val="nil"/>
              <w:right w:val="nil"/>
            </w:tcBorders>
            <w:tcMar>
              <w:top w:w="0" w:type="dxa"/>
              <w:left w:w="0" w:type="dxa"/>
              <w:bottom w:w="0" w:type="dxa"/>
              <w:right w:w="0" w:type="dxa"/>
            </w:tcMar>
            <w:vAlign w:val="center"/>
          </w:tcPr>
          <w:p w14:paraId="7F1D8B4A" w14:textId="77777777" w:rsidR="00111F58" w:rsidRDefault="00111F58" w:rsidP="00E74E15">
            <w:pPr>
              <w:pStyle w:val="NormalText"/>
              <w:jc w:val="both"/>
            </w:pPr>
            <w:r>
              <w:t>Conversion</w:t>
            </w:r>
          </w:p>
        </w:tc>
      </w:tr>
      <w:tr w:rsidR="00111F58" w14:paraId="0AF45B8B" w14:textId="77777777" w:rsidTr="00A57F79">
        <w:tc>
          <w:tcPr>
            <w:tcW w:w="5760" w:type="dxa"/>
            <w:tcBorders>
              <w:top w:val="nil"/>
              <w:left w:val="nil"/>
              <w:bottom w:val="nil"/>
              <w:right w:val="nil"/>
            </w:tcBorders>
            <w:vAlign w:val="center"/>
          </w:tcPr>
          <w:p w14:paraId="570ED2B4" w14:textId="77777777" w:rsidR="00111F58" w:rsidRDefault="00111F58" w:rsidP="00E74E15">
            <w:pPr>
              <w:pStyle w:val="NormalText"/>
              <w:jc w:val="both"/>
            </w:pPr>
            <w:r>
              <w:t>Units transferred to the next department</w:t>
            </w:r>
          </w:p>
        </w:tc>
        <w:tc>
          <w:tcPr>
            <w:tcW w:w="220" w:type="dxa"/>
            <w:tcBorders>
              <w:top w:val="nil"/>
              <w:left w:val="nil"/>
              <w:bottom w:val="nil"/>
              <w:right w:val="nil"/>
            </w:tcBorders>
            <w:tcMar>
              <w:top w:w="0" w:type="dxa"/>
              <w:left w:w="0" w:type="dxa"/>
              <w:bottom w:w="0" w:type="dxa"/>
              <w:right w:w="0" w:type="dxa"/>
            </w:tcMar>
            <w:vAlign w:val="center"/>
          </w:tcPr>
          <w:p w14:paraId="6EB62B3D" w14:textId="77777777" w:rsidR="00111F58" w:rsidRDefault="00111F58" w:rsidP="00E74E15">
            <w:pPr>
              <w:pStyle w:val="NormalText"/>
              <w:jc w:val="both"/>
            </w:pPr>
            <w:r>
              <w:t> </w:t>
            </w:r>
          </w:p>
        </w:tc>
        <w:tc>
          <w:tcPr>
            <w:tcW w:w="840" w:type="dxa"/>
            <w:tcBorders>
              <w:top w:val="nil"/>
              <w:left w:val="nil"/>
              <w:bottom w:val="nil"/>
              <w:right w:val="nil"/>
            </w:tcBorders>
            <w:tcMar>
              <w:top w:w="0" w:type="dxa"/>
              <w:left w:w="0" w:type="dxa"/>
              <w:bottom w:w="0" w:type="dxa"/>
              <w:right w:w="0" w:type="dxa"/>
            </w:tcMar>
            <w:vAlign w:val="center"/>
          </w:tcPr>
          <w:p w14:paraId="5DA5B9EC" w14:textId="77777777" w:rsidR="00111F58" w:rsidRDefault="00111F58" w:rsidP="00E74E15">
            <w:pPr>
              <w:pStyle w:val="NormalText"/>
              <w:jc w:val="both"/>
            </w:pPr>
            <w:r>
              <w:t>92,800</w:t>
            </w:r>
          </w:p>
        </w:tc>
        <w:tc>
          <w:tcPr>
            <w:tcW w:w="220" w:type="dxa"/>
            <w:gridSpan w:val="2"/>
            <w:tcBorders>
              <w:top w:val="nil"/>
              <w:left w:val="nil"/>
              <w:bottom w:val="nil"/>
              <w:right w:val="nil"/>
            </w:tcBorders>
            <w:tcMar>
              <w:top w:w="0" w:type="dxa"/>
              <w:left w:w="0" w:type="dxa"/>
              <w:bottom w:w="0" w:type="dxa"/>
              <w:right w:w="0" w:type="dxa"/>
            </w:tcMar>
            <w:vAlign w:val="bottom"/>
          </w:tcPr>
          <w:p w14:paraId="39DA68D4" w14:textId="77777777" w:rsidR="00111F58" w:rsidRDefault="00111F58" w:rsidP="00E74E15">
            <w:pPr>
              <w:pStyle w:val="NormalText"/>
              <w:jc w:val="both"/>
            </w:pPr>
            <w:r>
              <w:t> </w:t>
            </w:r>
          </w:p>
        </w:tc>
      </w:tr>
      <w:tr w:rsidR="00111F58" w14:paraId="2BCCAC50" w14:textId="77777777" w:rsidTr="00A57F79">
        <w:tc>
          <w:tcPr>
            <w:tcW w:w="5760" w:type="dxa"/>
            <w:tcBorders>
              <w:top w:val="nil"/>
              <w:left w:val="nil"/>
              <w:bottom w:val="nil"/>
              <w:right w:val="nil"/>
            </w:tcBorders>
            <w:vAlign w:val="center"/>
          </w:tcPr>
          <w:p w14:paraId="5B68A4C2" w14:textId="77777777" w:rsidR="00111F58" w:rsidRDefault="00111F58" w:rsidP="00E74E15">
            <w:pPr>
              <w:pStyle w:val="NormalText"/>
              <w:jc w:val="both"/>
            </w:pPr>
            <w:r>
              <w:t>Ending work in process:</w:t>
            </w:r>
          </w:p>
          <w:p w14:paraId="58858855" w14:textId="77777777" w:rsidR="00111F58" w:rsidRDefault="00111F58" w:rsidP="00E74E15">
            <w:pPr>
              <w:pStyle w:val="NormalText"/>
              <w:jc w:val="both"/>
            </w:pPr>
            <w:r>
              <w:t>Conversion: 1,600 units × 60%</w:t>
            </w:r>
          </w:p>
        </w:tc>
        <w:tc>
          <w:tcPr>
            <w:tcW w:w="220" w:type="dxa"/>
            <w:tcBorders>
              <w:top w:val="nil"/>
              <w:left w:val="nil"/>
              <w:bottom w:val="single" w:sz="21" w:space="0" w:color="000000"/>
              <w:right w:val="nil"/>
            </w:tcBorders>
            <w:tcMar>
              <w:top w:w="0" w:type="dxa"/>
              <w:left w:w="0" w:type="dxa"/>
              <w:bottom w:w="0" w:type="dxa"/>
              <w:right w:w="0" w:type="dxa"/>
            </w:tcMar>
            <w:vAlign w:val="center"/>
          </w:tcPr>
          <w:p w14:paraId="15CC0743" w14:textId="77777777" w:rsidR="00111F58" w:rsidRDefault="00111F58" w:rsidP="00E74E15">
            <w:pPr>
              <w:pStyle w:val="NormalText"/>
              <w:jc w:val="both"/>
            </w:pPr>
            <w:r>
              <w:t> </w:t>
            </w:r>
          </w:p>
        </w:tc>
        <w:tc>
          <w:tcPr>
            <w:tcW w:w="840" w:type="dxa"/>
            <w:tcBorders>
              <w:top w:val="nil"/>
              <w:left w:val="nil"/>
              <w:bottom w:val="single" w:sz="21" w:space="0" w:color="000000"/>
              <w:right w:val="nil"/>
            </w:tcBorders>
            <w:tcMar>
              <w:top w:w="0" w:type="dxa"/>
              <w:left w:w="0" w:type="dxa"/>
              <w:bottom w:w="0" w:type="dxa"/>
              <w:right w:w="0" w:type="dxa"/>
            </w:tcMar>
            <w:vAlign w:val="bottom"/>
          </w:tcPr>
          <w:p w14:paraId="4F3F5BC6" w14:textId="77777777" w:rsidR="00111F58" w:rsidRDefault="00111F58" w:rsidP="00E74E15">
            <w:pPr>
              <w:pStyle w:val="NormalText"/>
              <w:jc w:val="both"/>
            </w:pPr>
            <w:r>
              <w:t>960</w:t>
            </w:r>
          </w:p>
        </w:tc>
        <w:tc>
          <w:tcPr>
            <w:tcW w:w="220" w:type="dxa"/>
            <w:gridSpan w:val="2"/>
            <w:tcBorders>
              <w:top w:val="nil"/>
              <w:left w:val="nil"/>
              <w:bottom w:val="single" w:sz="21" w:space="0" w:color="000000"/>
              <w:right w:val="nil"/>
            </w:tcBorders>
            <w:tcMar>
              <w:top w:w="0" w:type="dxa"/>
              <w:left w:w="0" w:type="dxa"/>
              <w:bottom w:w="0" w:type="dxa"/>
              <w:right w:w="0" w:type="dxa"/>
            </w:tcMar>
            <w:vAlign w:val="center"/>
          </w:tcPr>
          <w:p w14:paraId="4CB08AE1" w14:textId="77777777" w:rsidR="00111F58" w:rsidRDefault="00111F58" w:rsidP="00E74E15">
            <w:pPr>
              <w:pStyle w:val="NormalText"/>
              <w:jc w:val="both"/>
            </w:pPr>
            <w:r>
              <w:t> </w:t>
            </w:r>
          </w:p>
        </w:tc>
      </w:tr>
      <w:tr w:rsidR="00111F58" w14:paraId="719A6AF7" w14:textId="77777777" w:rsidTr="00A57F79">
        <w:tc>
          <w:tcPr>
            <w:tcW w:w="5760" w:type="dxa"/>
            <w:tcBorders>
              <w:top w:val="nil"/>
              <w:left w:val="nil"/>
              <w:bottom w:val="nil"/>
              <w:right w:val="nil"/>
            </w:tcBorders>
            <w:vAlign w:val="center"/>
          </w:tcPr>
          <w:p w14:paraId="65FB32FB" w14:textId="77777777" w:rsidR="00111F58" w:rsidRDefault="00111F58" w:rsidP="00E74E15">
            <w:pPr>
              <w:pStyle w:val="NormalText"/>
              <w:jc w:val="both"/>
            </w:pPr>
            <w:r>
              <w:t>Equivalent units of production</w:t>
            </w:r>
          </w:p>
        </w:tc>
        <w:tc>
          <w:tcPr>
            <w:tcW w:w="220" w:type="dxa"/>
            <w:tcBorders>
              <w:top w:val="nil"/>
              <w:left w:val="nil"/>
              <w:bottom w:val="double" w:sz="2" w:space="0" w:color="000000"/>
              <w:right w:val="nil"/>
            </w:tcBorders>
            <w:tcMar>
              <w:top w:w="0" w:type="dxa"/>
              <w:left w:w="0" w:type="dxa"/>
              <w:bottom w:w="0" w:type="dxa"/>
              <w:right w:w="0" w:type="dxa"/>
            </w:tcMar>
            <w:vAlign w:val="center"/>
          </w:tcPr>
          <w:p w14:paraId="70DFB0AE" w14:textId="77777777" w:rsidR="00111F58" w:rsidRDefault="00111F58" w:rsidP="00E74E15">
            <w:pPr>
              <w:pStyle w:val="NormalText"/>
              <w:jc w:val="both"/>
            </w:pPr>
            <w:r>
              <w:t> </w:t>
            </w:r>
          </w:p>
        </w:tc>
        <w:tc>
          <w:tcPr>
            <w:tcW w:w="840" w:type="dxa"/>
            <w:tcBorders>
              <w:top w:val="nil"/>
              <w:left w:val="nil"/>
              <w:bottom w:val="double" w:sz="2" w:space="0" w:color="000000"/>
              <w:right w:val="nil"/>
            </w:tcBorders>
            <w:tcMar>
              <w:top w:w="0" w:type="dxa"/>
              <w:left w:w="0" w:type="dxa"/>
              <w:bottom w:w="0" w:type="dxa"/>
              <w:right w:w="0" w:type="dxa"/>
            </w:tcMar>
            <w:vAlign w:val="center"/>
          </w:tcPr>
          <w:p w14:paraId="5089F9D2" w14:textId="77777777" w:rsidR="00111F58" w:rsidRDefault="00111F58" w:rsidP="00E74E15">
            <w:pPr>
              <w:pStyle w:val="NormalText"/>
              <w:jc w:val="both"/>
            </w:pPr>
            <w:r>
              <w:t>93,760</w:t>
            </w:r>
          </w:p>
        </w:tc>
        <w:tc>
          <w:tcPr>
            <w:tcW w:w="220" w:type="dxa"/>
            <w:gridSpan w:val="2"/>
            <w:tcBorders>
              <w:top w:val="nil"/>
              <w:left w:val="nil"/>
              <w:bottom w:val="double" w:sz="2" w:space="0" w:color="000000"/>
              <w:right w:val="nil"/>
            </w:tcBorders>
            <w:tcMar>
              <w:top w:w="0" w:type="dxa"/>
              <w:left w:w="0" w:type="dxa"/>
              <w:bottom w:w="0" w:type="dxa"/>
              <w:right w:w="0" w:type="dxa"/>
            </w:tcMar>
            <w:vAlign w:val="center"/>
          </w:tcPr>
          <w:p w14:paraId="5841DBCF" w14:textId="77777777" w:rsidR="00111F58" w:rsidRDefault="00111F58" w:rsidP="00E74E15">
            <w:pPr>
              <w:pStyle w:val="NormalText"/>
              <w:jc w:val="both"/>
            </w:pPr>
            <w:r>
              <w:t> </w:t>
            </w:r>
          </w:p>
        </w:tc>
      </w:tr>
    </w:tbl>
    <w:p w14:paraId="4C066C9B" w14:textId="77777777" w:rsidR="00111F58" w:rsidRDefault="00111F58" w:rsidP="00E74E15">
      <w:pPr>
        <w:pStyle w:val="NormalText"/>
        <w:jc w:val="both"/>
      </w:pPr>
    </w:p>
    <w:p w14:paraId="60A5ECFD" w14:textId="77777777" w:rsidR="00111F58" w:rsidRDefault="00111F58" w:rsidP="00E74E15">
      <w:pPr>
        <w:jc w:val="both"/>
        <w:rPr>
          <w:color w:val="000000"/>
          <w:sz w:val="24"/>
          <w:szCs w:val="24"/>
        </w:rPr>
      </w:pPr>
      <w:r>
        <w:br w:type="page"/>
      </w:r>
    </w:p>
    <w:p w14:paraId="58818F7C" w14:textId="0D8F8EB9" w:rsidR="00111F58" w:rsidRDefault="00111F58" w:rsidP="00E74E15">
      <w:pPr>
        <w:pStyle w:val="NormalText"/>
        <w:jc w:val="both"/>
      </w:pPr>
      <w:r>
        <w:lastRenderedPageBreak/>
        <w:t xml:space="preserve">23) </w:t>
      </w:r>
      <w:proofErr w:type="spellStart"/>
      <w:r>
        <w:t>Nabais</w:t>
      </w:r>
      <w:proofErr w:type="spellEnd"/>
      <w:r>
        <w:t xml:space="preserve"> Corporation uses the weighted-average method in its process costing system. Operating data for the Lubricating Department for the month of October appear below:</w:t>
      </w:r>
    </w:p>
    <w:p w14:paraId="7D6A5F43" w14:textId="77777777" w:rsidR="00111F58" w:rsidRDefault="00111F58" w:rsidP="00E74E15">
      <w:pPr>
        <w:pStyle w:val="NormalText"/>
        <w:jc w:val="both"/>
        <w:rPr>
          <w:rtl/>
        </w:rPr>
      </w:pPr>
    </w:p>
    <w:p w14:paraId="144B3AEC" w14:textId="77777777" w:rsidR="00530A09" w:rsidRDefault="00530A09" w:rsidP="00E74E15">
      <w:pPr>
        <w:pStyle w:val="NormalText"/>
        <w:jc w:val="both"/>
        <w:rPr>
          <w:rtl/>
        </w:rPr>
      </w:pPr>
    </w:p>
    <w:p w14:paraId="6054F05D" w14:textId="57FD651F" w:rsidR="00530A09" w:rsidRDefault="00530A09" w:rsidP="00530A09">
      <w:pPr>
        <w:pStyle w:val="NormalText"/>
        <w:bidi/>
        <w:jc w:val="both"/>
      </w:pPr>
      <w:r w:rsidRPr="00530A09">
        <w:rPr>
          <w:rtl/>
        </w:rPr>
        <w:t>تستخدم شركة</w:t>
      </w:r>
      <w:r w:rsidRPr="00530A09">
        <w:t xml:space="preserve"> </w:t>
      </w:r>
      <w:proofErr w:type="spellStart"/>
      <w:r w:rsidRPr="00530A09">
        <w:t>Nabais</w:t>
      </w:r>
      <w:proofErr w:type="spellEnd"/>
      <w:r w:rsidRPr="00530A09">
        <w:t xml:space="preserve"> </w:t>
      </w:r>
      <w:r w:rsidRPr="00530A09">
        <w:rPr>
          <w:rtl/>
        </w:rPr>
        <w:t>طريقة المتوسط ​​المرجح في نظام تقدير تكاليف العمليات. تظهر بيانات التشغيل الخاصة بقسم التشحيم لشهر أكتوبر أدناه</w:t>
      </w:r>
      <w:r w:rsidRPr="00530A09">
        <w:t>:</w:t>
      </w:r>
    </w:p>
    <w:tbl>
      <w:tblPr>
        <w:tblW w:w="0" w:type="auto"/>
        <w:tblLayout w:type="fixed"/>
        <w:tblCellMar>
          <w:left w:w="0" w:type="dxa"/>
          <w:right w:w="0" w:type="dxa"/>
        </w:tblCellMar>
        <w:tblLook w:val="0000" w:firstRow="0" w:lastRow="0" w:firstColumn="0" w:lastColumn="0" w:noHBand="0" w:noVBand="0"/>
      </w:tblPr>
      <w:tblGrid>
        <w:gridCol w:w="5540"/>
        <w:gridCol w:w="220"/>
        <w:gridCol w:w="820"/>
        <w:gridCol w:w="220"/>
        <w:gridCol w:w="20"/>
        <w:gridCol w:w="200"/>
        <w:gridCol w:w="20"/>
        <w:gridCol w:w="300"/>
        <w:gridCol w:w="500"/>
        <w:gridCol w:w="440"/>
        <w:gridCol w:w="20"/>
      </w:tblGrid>
      <w:tr w:rsidR="00111F58" w14:paraId="4FC4E994" w14:textId="77777777" w:rsidTr="00A57F79">
        <w:trPr>
          <w:gridAfter w:val="1"/>
          <w:wAfter w:w="20" w:type="dxa"/>
        </w:trPr>
        <w:tc>
          <w:tcPr>
            <w:tcW w:w="5540" w:type="dxa"/>
            <w:tcBorders>
              <w:top w:val="nil"/>
              <w:left w:val="nil"/>
              <w:bottom w:val="nil"/>
              <w:right w:val="nil"/>
            </w:tcBorders>
            <w:vAlign w:val="bottom"/>
          </w:tcPr>
          <w:p w14:paraId="74D577A9" w14:textId="77777777" w:rsidR="00111F58" w:rsidRDefault="00111F58" w:rsidP="00E74E15">
            <w:pPr>
              <w:pStyle w:val="NormalText"/>
              <w:jc w:val="both"/>
            </w:pPr>
            <w:r>
              <w:t> </w:t>
            </w:r>
          </w:p>
        </w:tc>
        <w:tc>
          <w:tcPr>
            <w:tcW w:w="1260" w:type="dxa"/>
            <w:gridSpan w:val="3"/>
            <w:tcBorders>
              <w:top w:val="nil"/>
              <w:left w:val="nil"/>
              <w:bottom w:val="nil"/>
              <w:right w:val="nil"/>
            </w:tcBorders>
            <w:tcMar>
              <w:top w:w="0" w:type="dxa"/>
              <w:left w:w="0" w:type="dxa"/>
              <w:bottom w:w="0" w:type="dxa"/>
              <w:right w:w="0" w:type="dxa"/>
            </w:tcMar>
            <w:vAlign w:val="bottom"/>
          </w:tcPr>
          <w:p w14:paraId="3C5C8502" w14:textId="77777777" w:rsidR="00111F58" w:rsidRDefault="00111F58" w:rsidP="00E74E15">
            <w:pPr>
              <w:pStyle w:val="NormalText"/>
              <w:jc w:val="both"/>
            </w:pPr>
            <w:r>
              <w:t>Units</w:t>
            </w:r>
          </w:p>
        </w:tc>
        <w:tc>
          <w:tcPr>
            <w:tcW w:w="220" w:type="dxa"/>
            <w:gridSpan w:val="2"/>
            <w:tcBorders>
              <w:top w:val="nil"/>
              <w:left w:val="nil"/>
              <w:bottom w:val="nil"/>
              <w:right w:val="nil"/>
            </w:tcBorders>
            <w:tcMar>
              <w:top w:w="0" w:type="dxa"/>
              <w:left w:w="0" w:type="dxa"/>
              <w:bottom w:w="0" w:type="dxa"/>
              <w:right w:w="0" w:type="dxa"/>
            </w:tcMar>
            <w:vAlign w:val="bottom"/>
          </w:tcPr>
          <w:p w14:paraId="446765E2" w14:textId="77777777" w:rsidR="00111F58" w:rsidRDefault="00111F58" w:rsidP="00E74E15">
            <w:pPr>
              <w:pStyle w:val="NormalText"/>
              <w:jc w:val="both"/>
            </w:pPr>
            <w:r>
              <w:t> </w:t>
            </w:r>
          </w:p>
        </w:tc>
        <w:tc>
          <w:tcPr>
            <w:tcW w:w="1260" w:type="dxa"/>
            <w:gridSpan w:val="4"/>
            <w:tcBorders>
              <w:top w:val="nil"/>
              <w:left w:val="nil"/>
              <w:bottom w:val="nil"/>
              <w:right w:val="nil"/>
            </w:tcBorders>
            <w:tcMar>
              <w:top w:w="0" w:type="dxa"/>
              <w:left w:w="0" w:type="dxa"/>
              <w:bottom w:w="0" w:type="dxa"/>
              <w:right w:w="0" w:type="dxa"/>
            </w:tcMar>
            <w:vAlign w:val="bottom"/>
          </w:tcPr>
          <w:p w14:paraId="4DBC65DE" w14:textId="77777777" w:rsidR="00111F58" w:rsidRDefault="00111F58" w:rsidP="00E74E15">
            <w:pPr>
              <w:pStyle w:val="NormalText"/>
              <w:jc w:val="both"/>
            </w:pPr>
            <w:r>
              <w:t>Percent Complete with</w:t>
            </w:r>
          </w:p>
          <w:p w14:paraId="4F9CDC86" w14:textId="77777777" w:rsidR="00111F58" w:rsidRDefault="00111F58" w:rsidP="00E74E15">
            <w:pPr>
              <w:pStyle w:val="NormalText"/>
              <w:jc w:val="both"/>
            </w:pPr>
            <w:r>
              <w:t>Respect to Conversion</w:t>
            </w:r>
          </w:p>
        </w:tc>
      </w:tr>
      <w:tr w:rsidR="00111F58" w14:paraId="0F068B2E" w14:textId="77777777" w:rsidTr="00A57F79">
        <w:tc>
          <w:tcPr>
            <w:tcW w:w="5540" w:type="dxa"/>
            <w:tcBorders>
              <w:top w:val="nil"/>
              <w:left w:val="nil"/>
              <w:bottom w:val="nil"/>
              <w:right w:val="nil"/>
            </w:tcBorders>
            <w:vAlign w:val="bottom"/>
          </w:tcPr>
          <w:p w14:paraId="5041B7FE" w14:textId="77777777" w:rsidR="00111F58" w:rsidRDefault="00111F58" w:rsidP="00E74E15">
            <w:pPr>
              <w:pStyle w:val="NormalText"/>
              <w:jc w:val="both"/>
            </w:pPr>
            <w:r>
              <w:t>Beginning work in process inventory</w:t>
            </w:r>
          </w:p>
        </w:tc>
        <w:tc>
          <w:tcPr>
            <w:tcW w:w="220" w:type="dxa"/>
            <w:tcBorders>
              <w:top w:val="nil"/>
              <w:left w:val="nil"/>
              <w:bottom w:val="nil"/>
              <w:right w:val="nil"/>
            </w:tcBorders>
            <w:tcMar>
              <w:top w:w="0" w:type="dxa"/>
              <w:left w:w="0" w:type="dxa"/>
              <w:bottom w:w="0" w:type="dxa"/>
              <w:right w:w="0" w:type="dxa"/>
            </w:tcMar>
            <w:vAlign w:val="bottom"/>
          </w:tcPr>
          <w:p w14:paraId="043C7454" w14:textId="77777777" w:rsidR="00111F58" w:rsidRDefault="00111F58" w:rsidP="00E74E15">
            <w:pPr>
              <w:pStyle w:val="NormalText"/>
              <w:jc w:val="both"/>
            </w:pPr>
            <w:r>
              <w:t> </w:t>
            </w:r>
          </w:p>
        </w:tc>
        <w:tc>
          <w:tcPr>
            <w:tcW w:w="820" w:type="dxa"/>
            <w:tcBorders>
              <w:top w:val="nil"/>
              <w:left w:val="nil"/>
              <w:bottom w:val="nil"/>
              <w:right w:val="nil"/>
            </w:tcBorders>
            <w:tcMar>
              <w:top w:w="0" w:type="dxa"/>
              <w:left w:w="0" w:type="dxa"/>
              <w:bottom w:w="0" w:type="dxa"/>
              <w:right w:w="0" w:type="dxa"/>
            </w:tcMar>
            <w:vAlign w:val="bottom"/>
          </w:tcPr>
          <w:p w14:paraId="1E4760F5" w14:textId="77777777" w:rsidR="00111F58" w:rsidRDefault="00111F58" w:rsidP="00E74E15">
            <w:pPr>
              <w:pStyle w:val="NormalText"/>
              <w:jc w:val="both"/>
            </w:pPr>
            <w:r>
              <w:t>3,300</w:t>
            </w:r>
          </w:p>
        </w:tc>
        <w:tc>
          <w:tcPr>
            <w:tcW w:w="240" w:type="dxa"/>
            <w:gridSpan w:val="2"/>
            <w:tcBorders>
              <w:top w:val="nil"/>
              <w:left w:val="nil"/>
              <w:bottom w:val="nil"/>
              <w:right w:val="nil"/>
            </w:tcBorders>
            <w:tcMar>
              <w:top w:w="0" w:type="dxa"/>
              <w:left w:w="0" w:type="dxa"/>
              <w:bottom w:w="0" w:type="dxa"/>
              <w:right w:w="0" w:type="dxa"/>
            </w:tcMar>
            <w:vAlign w:val="bottom"/>
          </w:tcPr>
          <w:p w14:paraId="335F5173" w14:textId="77777777" w:rsidR="00111F58" w:rsidRDefault="00111F58" w:rsidP="00E74E15">
            <w:pPr>
              <w:pStyle w:val="NormalText"/>
              <w:jc w:val="both"/>
            </w:pPr>
            <w:r>
              <w:t> </w:t>
            </w:r>
          </w:p>
        </w:tc>
        <w:tc>
          <w:tcPr>
            <w:tcW w:w="220" w:type="dxa"/>
            <w:gridSpan w:val="2"/>
            <w:tcBorders>
              <w:top w:val="nil"/>
              <w:left w:val="nil"/>
              <w:bottom w:val="nil"/>
              <w:right w:val="nil"/>
            </w:tcBorders>
            <w:tcMar>
              <w:top w:w="0" w:type="dxa"/>
              <w:left w:w="0" w:type="dxa"/>
              <w:bottom w:w="0" w:type="dxa"/>
              <w:right w:w="0" w:type="dxa"/>
            </w:tcMar>
            <w:vAlign w:val="bottom"/>
          </w:tcPr>
          <w:p w14:paraId="6AC47653" w14:textId="77777777" w:rsidR="00111F58" w:rsidRDefault="00111F58" w:rsidP="00E74E15">
            <w:pPr>
              <w:pStyle w:val="NormalText"/>
              <w:jc w:val="both"/>
            </w:pPr>
            <w:r>
              <w:t> </w:t>
            </w:r>
          </w:p>
        </w:tc>
        <w:tc>
          <w:tcPr>
            <w:tcW w:w="300" w:type="dxa"/>
            <w:tcBorders>
              <w:top w:val="nil"/>
              <w:left w:val="nil"/>
              <w:bottom w:val="nil"/>
              <w:right w:val="nil"/>
            </w:tcBorders>
            <w:tcMar>
              <w:top w:w="0" w:type="dxa"/>
              <w:left w:w="0" w:type="dxa"/>
              <w:bottom w:w="0" w:type="dxa"/>
              <w:right w:w="0" w:type="dxa"/>
            </w:tcMar>
            <w:vAlign w:val="bottom"/>
          </w:tcPr>
          <w:p w14:paraId="0DFC4E48" w14:textId="77777777" w:rsidR="00111F58" w:rsidRDefault="00111F58" w:rsidP="00E74E15">
            <w:pPr>
              <w:pStyle w:val="NormalText"/>
              <w:jc w:val="both"/>
            </w:pPr>
            <w:r>
              <w:t> </w:t>
            </w:r>
          </w:p>
        </w:tc>
        <w:tc>
          <w:tcPr>
            <w:tcW w:w="500" w:type="dxa"/>
            <w:tcBorders>
              <w:top w:val="nil"/>
              <w:left w:val="nil"/>
              <w:bottom w:val="nil"/>
              <w:right w:val="nil"/>
            </w:tcBorders>
            <w:tcMar>
              <w:top w:w="0" w:type="dxa"/>
              <w:left w:w="0" w:type="dxa"/>
              <w:bottom w:w="0" w:type="dxa"/>
              <w:right w:w="0" w:type="dxa"/>
            </w:tcMar>
            <w:vAlign w:val="bottom"/>
          </w:tcPr>
          <w:p w14:paraId="2353EADD" w14:textId="77777777" w:rsidR="00111F58" w:rsidRDefault="00111F58" w:rsidP="00E74E15">
            <w:pPr>
              <w:pStyle w:val="NormalText"/>
              <w:jc w:val="both"/>
            </w:pPr>
            <w:r>
              <w:t>80</w:t>
            </w:r>
          </w:p>
        </w:tc>
        <w:tc>
          <w:tcPr>
            <w:tcW w:w="460" w:type="dxa"/>
            <w:gridSpan w:val="2"/>
            <w:tcBorders>
              <w:top w:val="nil"/>
              <w:left w:val="nil"/>
              <w:bottom w:val="nil"/>
              <w:right w:val="nil"/>
            </w:tcBorders>
            <w:tcMar>
              <w:top w:w="0" w:type="dxa"/>
              <w:left w:w="0" w:type="dxa"/>
              <w:bottom w:w="0" w:type="dxa"/>
              <w:right w:w="0" w:type="dxa"/>
            </w:tcMar>
            <w:vAlign w:val="bottom"/>
          </w:tcPr>
          <w:p w14:paraId="6565D76E" w14:textId="77777777" w:rsidR="00111F58" w:rsidRDefault="00111F58" w:rsidP="00E74E15">
            <w:pPr>
              <w:pStyle w:val="NormalText"/>
              <w:jc w:val="both"/>
            </w:pPr>
            <w:r>
              <w:t>%</w:t>
            </w:r>
          </w:p>
        </w:tc>
      </w:tr>
      <w:tr w:rsidR="00111F58" w14:paraId="3D05481F" w14:textId="77777777" w:rsidTr="00A57F79">
        <w:tc>
          <w:tcPr>
            <w:tcW w:w="5540" w:type="dxa"/>
            <w:tcBorders>
              <w:top w:val="nil"/>
              <w:left w:val="nil"/>
              <w:bottom w:val="nil"/>
              <w:right w:val="nil"/>
            </w:tcBorders>
            <w:vAlign w:val="bottom"/>
          </w:tcPr>
          <w:p w14:paraId="09160CA0" w14:textId="77777777" w:rsidR="00111F58" w:rsidRDefault="00111F58" w:rsidP="00E74E15">
            <w:pPr>
              <w:pStyle w:val="NormalText"/>
              <w:jc w:val="both"/>
            </w:pPr>
            <w:r>
              <w:t>Transferred in from the prior department during October</w:t>
            </w:r>
          </w:p>
        </w:tc>
        <w:tc>
          <w:tcPr>
            <w:tcW w:w="220" w:type="dxa"/>
            <w:tcBorders>
              <w:top w:val="nil"/>
              <w:left w:val="nil"/>
              <w:bottom w:val="nil"/>
              <w:right w:val="nil"/>
            </w:tcBorders>
            <w:tcMar>
              <w:top w:w="0" w:type="dxa"/>
              <w:left w:w="0" w:type="dxa"/>
              <w:bottom w:w="0" w:type="dxa"/>
              <w:right w:w="0" w:type="dxa"/>
            </w:tcMar>
            <w:vAlign w:val="bottom"/>
          </w:tcPr>
          <w:p w14:paraId="2DEF1059" w14:textId="77777777" w:rsidR="00111F58" w:rsidRDefault="00111F58" w:rsidP="00E74E15">
            <w:pPr>
              <w:pStyle w:val="NormalText"/>
              <w:jc w:val="both"/>
            </w:pPr>
            <w:r>
              <w:t> </w:t>
            </w:r>
          </w:p>
        </w:tc>
        <w:tc>
          <w:tcPr>
            <w:tcW w:w="820" w:type="dxa"/>
            <w:tcBorders>
              <w:top w:val="nil"/>
              <w:left w:val="nil"/>
              <w:bottom w:val="nil"/>
              <w:right w:val="nil"/>
            </w:tcBorders>
            <w:tcMar>
              <w:top w:w="0" w:type="dxa"/>
              <w:left w:w="0" w:type="dxa"/>
              <w:bottom w:w="0" w:type="dxa"/>
              <w:right w:w="0" w:type="dxa"/>
            </w:tcMar>
            <w:vAlign w:val="bottom"/>
          </w:tcPr>
          <w:p w14:paraId="4752DEFA" w14:textId="77777777" w:rsidR="00111F58" w:rsidRDefault="00111F58" w:rsidP="00E74E15">
            <w:pPr>
              <w:pStyle w:val="NormalText"/>
              <w:jc w:val="both"/>
            </w:pPr>
            <w:r>
              <w:t>30,700</w:t>
            </w:r>
          </w:p>
        </w:tc>
        <w:tc>
          <w:tcPr>
            <w:tcW w:w="240" w:type="dxa"/>
            <w:gridSpan w:val="2"/>
            <w:tcBorders>
              <w:top w:val="nil"/>
              <w:left w:val="nil"/>
              <w:bottom w:val="nil"/>
              <w:right w:val="nil"/>
            </w:tcBorders>
            <w:tcMar>
              <w:top w:w="0" w:type="dxa"/>
              <w:left w:w="0" w:type="dxa"/>
              <w:bottom w:w="0" w:type="dxa"/>
              <w:right w:w="0" w:type="dxa"/>
            </w:tcMar>
            <w:vAlign w:val="bottom"/>
          </w:tcPr>
          <w:p w14:paraId="514102F2" w14:textId="77777777" w:rsidR="00111F58" w:rsidRDefault="00111F58" w:rsidP="00E74E15">
            <w:pPr>
              <w:pStyle w:val="NormalText"/>
              <w:jc w:val="both"/>
            </w:pPr>
            <w:r>
              <w:t> </w:t>
            </w:r>
          </w:p>
        </w:tc>
        <w:tc>
          <w:tcPr>
            <w:tcW w:w="220" w:type="dxa"/>
            <w:gridSpan w:val="2"/>
            <w:tcBorders>
              <w:top w:val="nil"/>
              <w:left w:val="nil"/>
              <w:bottom w:val="nil"/>
              <w:right w:val="nil"/>
            </w:tcBorders>
            <w:tcMar>
              <w:top w:w="0" w:type="dxa"/>
              <w:left w:w="0" w:type="dxa"/>
              <w:bottom w:w="0" w:type="dxa"/>
              <w:right w:w="0" w:type="dxa"/>
            </w:tcMar>
            <w:vAlign w:val="bottom"/>
          </w:tcPr>
          <w:p w14:paraId="461AEDDB" w14:textId="77777777" w:rsidR="00111F58" w:rsidRDefault="00111F58" w:rsidP="00E74E15">
            <w:pPr>
              <w:pStyle w:val="NormalText"/>
              <w:jc w:val="both"/>
            </w:pPr>
            <w:r>
              <w:t> </w:t>
            </w:r>
          </w:p>
        </w:tc>
        <w:tc>
          <w:tcPr>
            <w:tcW w:w="300" w:type="dxa"/>
            <w:tcBorders>
              <w:top w:val="nil"/>
              <w:left w:val="nil"/>
              <w:bottom w:val="nil"/>
              <w:right w:val="nil"/>
            </w:tcBorders>
            <w:tcMar>
              <w:top w:w="0" w:type="dxa"/>
              <w:left w:w="0" w:type="dxa"/>
              <w:bottom w:w="0" w:type="dxa"/>
              <w:right w:w="0" w:type="dxa"/>
            </w:tcMar>
            <w:vAlign w:val="bottom"/>
          </w:tcPr>
          <w:p w14:paraId="1223D2A3" w14:textId="77777777" w:rsidR="00111F58" w:rsidRDefault="00111F58" w:rsidP="00E74E15">
            <w:pPr>
              <w:pStyle w:val="NormalText"/>
              <w:jc w:val="both"/>
            </w:pPr>
            <w:r>
              <w:t> </w:t>
            </w:r>
          </w:p>
        </w:tc>
        <w:tc>
          <w:tcPr>
            <w:tcW w:w="500" w:type="dxa"/>
            <w:tcBorders>
              <w:top w:val="nil"/>
              <w:left w:val="nil"/>
              <w:bottom w:val="nil"/>
              <w:right w:val="nil"/>
            </w:tcBorders>
            <w:tcMar>
              <w:top w:w="0" w:type="dxa"/>
              <w:left w:w="0" w:type="dxa"/>
              <w:bottom w:w="0" w:type="dxa"/>
              <w:right w:w="0" w:type="dxa"/>
            </w:tcMar>
            <w:vAlign w:val="bottom"/>
          </w:tcPr>
          <w:p w14:paraId="03547629" w14:textId="77777777" w:rsidR="00111F58" w:rsidRDefault="00111F58" w:rsidP="00E74E15">
            <w:pPr>
              <w:pStyle w:val="NormalText"/>
              <w:jc w:val="both"/>
            </w:pPr>
            <w:r>
              <w:t> </w:t>
            </w:r>
          </w:p>
        </w:tc>
        <w:tc>
          <w:tcPr>
            <w:tcW w:w="460" w:type="dxa"/>
            <w:gridSpan w:val="2"/>
            <w:tcBorders>
              <w:top w:val="nil"/>
              <w:left w:val="nil"/>
              <w:bottom w:val="nil"/>
              <w:right w:val="nil"/>
            </w:tcBorders>
            <w:tcMar>
              <w:top w:w="0" w:type="dxa"/>
              <w:left w:w="0" w:type="dxa"/>
              <w:bottom w:w="0" w:type="dxa"/>
              <w:right w:w="0" w:type="dxa"/>
            </w:tcMar>
            <w:vAlign w:val="bottom"/>
          </w:tcPr>
          <w:p w14:paraId="5A45A62F" w14:textId="77777777" w:rsidR="00111F58" w:rsidRDefault="00111F58" w:rsidP="00E74E15">
            <w:pPr>
              <w:pStyle w:val="NormalText"/>
              <w:jc w:val="both"/>
            </w:pPr>
            <w:r>
              <w:t> </w:t>
            </w:r>
          </w:p>
        </w:tc>
      </w:tr>
      <w:tr w:rsidR="00111F58" w14:paraId="64D3BF7B" w14:textId="77777777" w:rsidTr="00A57F79">
        <w:tc>
          <w:tcPr>
            <w:tcW w:w="5540" w:type="dxa"/>
            <w:tcBorders>
              <w:top w:val="nil"/>
              <w:left w:val="nil"/>
              <w:bottom w:val="nil"/>
              <w:right w:val="nil"/>
            </w:tcBorders>
            <w:vAlign w:val="bottom"/>
          </w:tcPr>
          <w:p w14:paraId="0EAC9F16" w14:textId="77777777" w:rsidR="00111F58" w:rsidRDefault="00111F58" w:rsidP="00E74E15">
            <w:pPr>
              <w:pStyle w:val="NormalText"/>
              <w:jc w:val="both"/>
            </w:pPr>
            <w:r>
              <w:t>Completed and transferred to the next department during October</w:t>
            </w:r>
          </w:p>
        </w:tc>
        <w:tc>
          <w:tcPr>
            <w:tcW w:w="220" w:type="dxa"/>
            <w:tcBorders>
              <w:top w:val="nil"/>
              <w:left w:val="nil"/>
              <w:bottom w:val="nil"/>
              <w:right w:val="nil"/>
            </w:tcBorders>
            <w:tcMar>
              <w:top w:w="0" w:type="dxa"/>
              <w:left w:w="0" w:type="dxa"/>
              <w:bottom w:w="0" w:type="dxa"/>
              <w:right w:w="0" w:type="dxa"/>
            </w:tcMar>
            <w:vAlign w:val="bottom"/>
          </w:tcPr>
          <w:p w14:paraId="0F5FCFF5" w14:textId="77777777" w:rsidR="00111F58" w:rsidRDefault="00111F58" w:rsidP="00E74E15">
            <w:pPr>
              <w:pStyle w:val="NormalText"/>
              <w:jc w:val="both"/>
            </w:pPr>
            <w:r>
              <w:t> </w:t>
            </w:r>
          </w:p>
        </w:tc>
        <w:tc>
          <w:tcPr>
            <w:tcW w:w="820" w:type="dxa"/>
            <w:tcBorders>
              <w:top w:val="nil"/>
              <w:left w:val="nil"/>
              <w:bottom w:val="nil"/>
              <w:right w:val="nil"/>
            </w:tcBorders>
            <w:tcMar>
              <w:top w:w="0" w:type="dxa"/>
              <w:left w:w="0" w:type="dxa"/>
              <w:bottom w:w="0" w:type="dxa"/>
              <w:right w:w="0" w:type="dxa"/>
            </w:tcMar>
            <w:vAlign w:val="bottom"/>
          </w:tcPr>
          <w:p w14:paraId="69B9AFFC" w14:textId="77777777" w:rsidR="00111F58" w:rsidRDefault="00111F58" w:rsidP="00E74E15">
            <w:pPr>
              <w:pStyle w:val="NormalText"/>
              <w:jc w:val="both"/>
            </w:pPr>
            <w:r>
              <w:t>32,200</w:t>
            </w:r>
          </w:p>
        </w:tc>
        <w:tc>
          <w:tcPr>
            <w:tcW w:w="240" w:type="dxa"/>
            <w:gridSpan w:val="2"/>
            <w:tcBorders>
              <w:top w:val="nil"/>
              <w:left w:val="nil"/>
              <w:bottom w:val="nil"/>
              <w:right w:val="nil"/>
            </w:tcBorders>
            <w:tcMar>
              <w:top w:w="0" w:type="dxa"/>
              <w:left w:w="0" w:type="dxa"/>
              <w:bottom w:w="0" w:type="dxa"/>
              <w:right w:w="0" w:type="dxa"/>
            </w:tcMar>
            <w:vAlign w:val="bottom"/>
          </w:tcPr>
          <w:p w14:paraId="13A1496A" w14:textId="77777777" w:rsidR="00111F58" w:rsidRDefault="00111F58" w:rsidP="00E74E15">
            <w:pPr>
              <w:pStyle w:val="NormalText"/>
              <w:jc w:val="both"/>
            </w:pPr>
            <w:r>
              <w:t> </w:t>
            </w:r>
          </w:p>
        </w:tc>
        <w:tc>
          <w:tcPr>
            <w:tcW w:w="220" w:type="dxa"/>
            <w:gridSpan w:val="2"/>
            <w:tcBorders>
              <w:top w:val="nil"/>
              <w:left w:val="nil"/>
              <w:bottom w:val="nil"/>
              <w:right w:val="nil"/>
            </w:tcBorders>
            <w:tcMar>
              <w:top w:w="0" w:type="dxa"/>
              <w:left w:w="0" w:type="dxa"/>
              <w:bottom w:w="0" w:type="dxa"/>
              <w:right w:w="0" w:type="dxa"/>
            </w:tcMar>
            <w:vAlign w:val="bottom"/>
          </w:tcPr>
          <w:p w14:paraId="2D8A2C71" w14:textId="77777777" w:rsidR="00111F58" w:rsidRDefault="00111F58" w:rsidP="00E74E15">
            <w:pPr>
              <w:pStyle w:val="NormalText"/>
              <w:jc w:val="both"/>
            </w:pPr>
            <w:r>
              <w:t> </w:t>
            </w:r>
          </w:p>
        </w:tc>
        <w:tc>
          <w:tcPr>
            <w:tcW w:w="300" w:type="dxa"/>
            <w:tcBorders>
              <w:top w:val="nil"/>
              <w:left w:val="nil"/>
              <w:bottom w:val="nil"/>
              <w:right w:val="nil"/>
            </w:tcBorders>
            <w:tcMar>
              <w:top w:w="0" w:type="dxa"/>
              <w:left w:w="0" w:type="dxa"/>
              <w:bottom w:w="0" w:type="dxa"/>
              <w:right w:w="0" w:type="dxa"/>
            </w:tcMar>
            <w:vAlign w:val="bottom"/>
          </w:tcPr>
          <w:p w14:paraId="28D7C916" w14:textId="77777777" w:rsidR="00111F58" w:rsidRDefault="00111F58" w:rsidP="00E74E15">
            <w:pPr>
              <w:pStyle w:val="NormalText"/>
              <w:jc w:val="both"/>
            </w:pPr>
            <w:r>
              <w:t> </w:t>
            </w:r>
          </w:p>
        </w:tc>
        <w:tc>
          <w:tcPr>
            <w:tcW w:w="500" w:type="dxa"/>
            <w:tcBorders>
              <w:top w:val="nil"/>
              <w:left w:val="nil"/>
              <w:bottom w:val="nil"/>
              <w:right w:val="nil"/>
            </w:tcBorders>
            <w:tcMar>
              <w:top w:w="0" w:type="dxa"/>
              <w:left w:w="0" w:type="dxa"/>
              <w:bottom w:w="0" w:type="dxa"/>
              <w:right w:w="0" w:type="dxa"/>
            </w:tcMar>
            <w:vAlign w:val="bottom"/>
          </w:tcPr>
          <w:p w14:paraId="794A2941" w14:textId="77777777" w:rsidR="00111F58" w:rsidRDefault="00111F58" w:rsidP="00E74E15">
            <w:pPr>
              <w:pStyle w:val="NormalText"/>
              <w:jc w:val="both"/>
            </w:pPr>
            <w:r>
              <w:t> </w:t>
            </w:r>
          </w:p>
        </w:tc>
        <w:tc>
          <w:tcPr>
            <w:tcW w:w="460" w:type="dxa"/>
            <w:gridSpan w:val="2"/>
            <w:tcBorders>
              <w:top w:val="nil"/>
              <w:left w:val="nil"/>
              <w:bottom w:val="nil"/>
              <w:right w:val="nil"/>
            </w:tcBorders>
            <w:tcMar>
              <w:top w:w="0" w:type="dxa"/>
              <w:left w:w="0" w:type="dxa"/>
              <w:bottom w:w="0" w:type="dxa"/>
              <w:right w:w="0" w:type="dxa"/>
            </w:tcMar>
            <w:vAlign w:val="bottom"/>
          </w:tcPr>
          <w:p w14:paraId="2D1DA1C5" w14:textId="77777777" w:rsidR="00111F58" w:rsidRDefault="00111F58" w:rsidP="00E74E15">
            <w:pPr>
              <w:pStyle w:val="NormalText"/>
              <w:jc w:val="both"/>
            </w:pPr>
            <w:r>
              <w:t> </w:t>
            </w:r>
          </w:p>
        </w:tc>
      </w:tr>
      <w:tr w:rsidR="00111F58" w14:paraId="118223B1" w14:textId="77777777" w:rsidTr="00A57F79">
        <w:tc>
          <w:tcPr>
            <w:tcW w:w="5540" w:type="dxa"/>
            <w:tcBorders>
              <w:top w:val="nil"/>
              <w:left w:val="nil"/>
              <w:bottom w:val="nil"/>
              <w:right w:val="nil"/>
            </w:tcBorders>
            <w:vAlign w:val="bottom"/>
          </w:tcPr>
          <w:p w14:paraId="2A65C560" w14:textId="77777777" w:rsidR="00111F58" w:rsidRDefault="00111F58" w:rsidP="00E74E15">
            <w:pPr>
              <w:pStyle w:val="NormalText"/>
              <w:jc w:val="both"/>
            </w:pPr>
            <w:r>
              <w:t>Ending work in process inventory</w:t>
            </w:r>
          </w:p>
        </w:tc>
        <w:tc>
          <w:tcPr>
            <w:tcW w:w="220" w:type="dxa"/>
            <w:tcBorders>
              <w:top w:val="nil"/>
              <w:left w:val="nil"/>
              <w:bottom w:val="nil"/>
              <w:right w:val="nil"/>
            </w:tcBorders>
            <w:tcMar>
              <w:top w:w="0" w:type="dxa"/>
              <w:left w:w="0" w:type="dxa"/>
              <w:bottom w:w="0" w:type="dxa"/>
              <w:right w:w="0" w:type="dxa"/>
            </w:tcMar>
            <w:vAlign w:val="bottom"/>
          </w:tcPr>
          <w:p w14:paraId="1D51B8BD" w14:textId="77777777" w:rsidR="00111F58" w:rsidRDefault="00111F58" w:rsidP="00E74E15">
            <w:pPr>
              <w:pStyle w:val="NormalText"/>
              <w:jc w:val="both"/>
            </w:pPr>
            <w:r>
              <w:t> </w:t>
            </w:r>
          </w:p>
        </w:tc>
        <w:tc>
          <w:tcPr>
            <w:tcW w:w="820" w:type="dxa"/>
            <w:tcBorders>
              <w:top w:val="nil"/>
              <w:left w:val="nil"/>
              <w:bottom w:val="nil"/>
              <w:right w:val="nil"/>
            </w:tcBorders>
            <w:tcMar>
              <w:top w:w="0" w:type="dxa"/>
              <w:left w:w="0" w:type="dxa"/>
              <w:bottom w:w="0" w:type="dxa"/>
              <w:right w:w="0" w:type="dxa"/>
            </w:tcMar>
            <w:vAlign w:val="bottom"/>
          </w:tcPr>
          <w:p w14:paraId="6328DB5D" w14:textId="77777777" w:rsidR="00111F58" w:rsidRDefault="00111F58" w:rsidP="00E74E15">
            <w:pPr>
              <w:pStyle w:val="NormalText"/>
              <w:jc w:val="both"/>
            </w:pPr>
            <w:r>
              <w:t>1,800</w:t>
            </w:r>
          </w:p>
        </w:tc>
        <w:tc>
          <w:tcPr>
            <w:tcW w:w="240" w:type="dxa"/>
            <w:gridSpan w:val="2"/>
            <w:tcBorders>
              <w:top w:val="nil"/>
              <w:left w:val="nil"/>
              <w:bottom w:val="nil"/>
              <w:right w:val="nil"/>
            </w:tcBorders>
            <w:tcMar>
              <w:top w:w="0" w:type="dxa"/>
              <w:left w:w="0" w:type="dxa"/>
              <w:bottom w:w="0" w:type="dxa"/>
              <w:right w:w="0" w:type="dxa"/>
            </w:tcMar>
            <w:vAlign w:val="bottom"/>
          </w:tcPr>
          <w:p w14:paraId="31745B2C" w14:textId="77777777" w:rsidR="00111F58" w:rsidRDefault="00111F58" w:rsidP="00E74E15">
            <w:pPr>
              <w:pStyle w:val="NormalText"/>
              <w:jc w:val="both"/>
            </w:pPr>
            <w:r>
              <w:t> </w:t>
            </w:r>
          </w:p>
        </w:tc>
        <w:tc>
          <w:tcPr>
            <w:tcW w:w="220" w:type="dxa"/>
            <w:gridSpan w:val="2"/>
            <w:tcBorders>
              <w:top w:val="nil"/>
              <w:left w:val="nil"/>
              <w:bottom w:val="nil"/>
              <w:right w:val="nil"/>
            </w:tcBorders>
            <w:tcMar>
              <w:top w:w="0" w:type="dxa"/>
              <w:left w:w="0" w:type="dxa"/>
              <w:bottom w:w="0" w:type="dxa"/>
              <w:right w:w="0" w:type="dxa"/>
            </w:tcMar>
            <w:vAlign w:val="bottom"/>
          </w:tcPr>
          <w:p w14:paraId="57DA7F66" w14:textId="77777777" w:rsidR="00111F58" w:rsidRDefault="00111F58" w:rsidP="00E74E15">
            <w:pPr>
              <w:pStyle w:val="NormalText"/>
              <w:jc w:val="both"/>
            </w:pPr>
            <w:r>
              <w:t> </w:t>
            </w:r>
          </w:p>
        </w:tc>
        <w:tc>
          <w:tcPr>
            <w:tcW w:w="300" w:type="dxa"/>
            <w:tcBorders>
              <w:top w:val="nil"/>
              <w:left w:val="nil"/>
              <w:bottom w:val="nil"/>
              <w:right w:val="nil"/>
            </w:tcBorders>
            <w:tcMar>
              <w:top w:w="0" w:type="dxa"/>
              <w:left w:w="0" w:type="dxa"/>
              <w:bottom w:w="0" w:type="dxa"/>
              <w:right w:w="0" w:type="dxa"/>
            </w:tcMar>
            <w:vAlign w:val="bottom"/>
          </w:tcPr>
          <w:p w14:paraId="745652C7" w14:textId="77777777" w:rsidR="00111F58" w:rsidRDefault="00111F58" w:rsidP="00E74E15">
            <w:pPr>
              <w:pStyle w:val="NormalText"/>
              <w:jc w:val="both"/>
            </w:pPr>
            <w:r>
              <w:t> </w:t>
            </w:r>
          </w:p>
        </w:tc>
        <w:tc>
          <w:tcPr>
            <w:tcW w:w="500" w:type="dxa"/>
            <w:tcBorders>
              <w:top w:val="nil"/>
              <w:left w:val="nil"/>
              <w:bottom w:val="nil"/>
              <w:right w:val="nil"/>
            </w:tcBorders>
            <w:tcMar>
              <w:top w:w="0" w:type="dxa"/>
              <w:left w:w="0" w:type="dxa"/>
              <w:bottom w:w="0" w:type="dxa"/>
              <w:right w:w="0" w:type="dxa"/>
            </w:tcMar>
            <w:vAlign w:val="bottom"/>
          </w:tcPr>
          <w:p w14:paraId="2EB29D9F" w14:textId="77777777" w:rsidR="00111F58" w:rsidRDefault="00111F58" w:rsidP="00E74E15">
            <w:pPr>
              <w:pStyle w:val="NormalText"/>
              <w:jc w:val="both"/>
            </w:pPr>
            <w:r>
              <w:t>60</w:t>
            </w:r>
          </w:p>
        </w:tc>
        <w:tc>
          <w:tcPr>
            <w:tcW w:w="460" w:type="dxa"/>
            <w:gridSpan w:val="2"/>
            <w:tcBorders>
              <w:top w:val="nil"/>
              <w:left w:val="nil"/>
              <w:bottom w:val="nil"/>
              <w:right w:val="nil"/>
            </w:tcBorders>
            <w:tcMar>
              <w:top w:w="0" w:type="dxa"/>
              <w:left w:w="0" w:type="dxa"/>
              <w:bottom w:w="0" w:type="dxa"/>
              <w:right w:w="0" w:type="dxa"/>
            </w:tcMar>
            <w:vAlign w:val="bottom"/>
          </w:tcPr>
          <w:p w14:paraId="1555A405" w14:textId="77777777" w:rsidR="00111F58" w:rsidRDefault="00111F58" w:rsidP="00E74E15">
            <w:pPr>
              <w:pStyle w:val="NormalText"/>
              <w:jc w:val="both"/>
            </w:pPr>
            <w:r>
              <w:t>%</w:t>
            </w:r>
          </w:p>
        </w:tc>
      </w:tr>
    </w:tbl>
    <w:p w14:paraId="48A008E7" w14:textId="77777777" w:rsidR="00111F58" w:rsidRDefault="00111F58" w:rsidP="00E74E15">
      <w:pPr>
        <w:pStyle w:val="NormalText"/>
        <w:jc w:val="both"/>
      </w:pPr>
    </w:p>
    <w:p w14:paraId="3E826A53" w14:textId="77777777" w:rsidR="00111F58" w:rsidRDefault="00111F58" w:rsidP="00E74E15">
      <w:pPr>
        <w:pStyle w:val="NormalText"/>
        <w:jc w:val="both"/>
      </w:pPr>
      <w:r>
        <w:t>What were the equivalent units for conversion costs in the Lubricating Department for October?</w:t>
      </w:r>
    </w:p>
    <w:p w14:paraId="2C35B4EA" w14:textId="77777777" w:rsidR="00111F58" w:rsidRDefault="00111F58" w:rsidP="00E74E15">
      <w:pPr>
        <w:pStyle w:val="NormalText"/>
        <w:jc w:val="both"/>
      </w:pPr>
      <w:r>
        <w:t>A) 31,780</w:t>
      </w:r>
    </w:p>
    <w:p w14:paraId="236A48C8" w14:textId="77777777" w:rsidR="00111F58" w:rsidRDefault="00111F58" w:rsidP="00E74E15">
      <w:pPr>
        <w:pStyle w:val="NormalText"/>
        <w:jc w:val="both"/>
      </w:pPr>
      <w:r>
        <w:t>B) 33,280</w:t>
      </w:r>
    </w:p>
    <w:p w14:paraId="3F76D6FB" w14:textId="77777777" w:rsidR="00111F58" w:rsidRDefault="00111F58" w:rsidP="00E74E15">
      <w:pPr>
        <w:pStyle w:val="NormalText"/>
        <w:jc w:val="both"/>
      </w:pPr>
      <w:r>
        <w:t>C) 32,200</w:t>
      </w:r>
    </w:p>
    <w:p w14:paraId="4D22291C" w14:textId="77777777" w:rsidR="00111F58" w:rsidRDefault="00111F58" w:rsidP="00E74E15">
      <w:pPr>
        <w:pStyle w:val="NormalText"/>
        <w:jc w:val="both"/>
      </w:pPr>
      <w:r>
        <w:t>D) 29,200</w:t>
      </w:r>
    </w:p>
    <w:p w14:paraId="328FED6A" w14:textId="77777777" w:rsidR="00111F58" w:rsidRDefault="00111F58" w:rsidP="00E74E15">
      <w:pPr>
        <w:pStyle w:val="NormalText"/>
        <w:jc w:val="both"/>
      </w:pPr>
    </w:p>
    <w:p w14:paraId="5693D7F8" w14:textId="77777777" w:rsidR="00111F58" w:rsidRDefault="00111F58" w:rsidP="00E74E15">
      <w:pPr>
        <w:pStyle w:val="NormalText"/>
        <w:jc w:val="both"/>
      </w:pPr>
      <w:r>
        <w:t>Answer:  B</w:t>
      </w:r>
    </w:p>
    <w:p w14:paraId="00D1247B" w14:textId="77777777" w:rsidR="00111F58" w:rsidRDefault="00111F58" w:rsidP="00E74E15">
      <w:pPr>
        <w:pStyle w:val="NormalText"/>
        <w:jc w:val="both"/>
        <w:rPr>
          <w:i/>
          <w:iCs/>
        </w:rPr>
      </w:pPr>
      <w:r>
        <w:t xml:space="preserve">Explanation:  </w:t>
      </w:r>
      <w:r>
        <w:rPr>
          <w:i/>
          <w:iCs/>
        </w:rPr>
        <w:t xml:space="preserve">Weighted-average method </w:t>
      </w:r>
    </w:p>
    <w:p w14:paraId="72713EEC" w14:textId="77777777" w:rsidR="00111F58" w:rsidRDefault="00111F58" w:rsidP="00E74E15">
      <w:pPr>
        <w:pStyle w:val="NormalText"/>
        <w:jc w:val="both"/>
      </w:pPr>
    </w:p>
    <w:tbl>
      <w:tblPr>
        <w:tblW w:w="0" w:type="auto"/>
        <w:tblLayout w:type="fixed"/>
        <w:tblCellMar>
          <w:left w:w="0" w:type="dxa"/>
          <w:right w:w="0" w:type="dxa"/>
        </w:tblCellMar>
        <w:tblLook w:val="0000" w:firstRow="0" w:lastRow="0" w:firstColumn="0" w:lastColumn="0" w:noHBand="0" w:noVBand="0"/>
      </w:tblPr>
      <w:tblGrid>
        <w:gridCol w:w="5480"/>
        <w:gridCol w:w="220"/>
        <w:gridCol w:w="820"/>
        <w:gridCol w:w="220"/>
        <w:gridCol w:w="20"/>
      </w:tblGrid>
      <w:tr w:rsidR="00111F58" w14:paraId="181C8628" w14:textId="77777777" w:rsidTr="00A57F79">
        <w:trPr>
          <w:gridAfter w:val="1"/>
          <w:wAfter w:w="20" w:type="dxa"/>
        </w:trPr>
        <w:tc>
          <w:tcPr>
            <w:tcW w:w="5480" w:type="dxa"/>
            <w:tcBorders>
              <w:top w:val="nil"/>
              <w:left w:val="nil"/>
              <w:bottom w:val="nil"/>
              <w:right w:val="nil"/>
            </w:tcBorders>
            <w:vAlign w:val="center"/>
          </w:tcPr>
          <w:p w14:paraId="7D87E56F" w14:textId="77777777" w:rsidR="00111F58" w:rsidRDefault="00111F58" w:rsidP="00E74E15">
            <w:pPr>
              <w:pStyle w:val="NormalText"/>
              <w:jc w:val="both"/>
            </w:pPr>
            <w:r>
              <w:t> </w:t>
            </w:r>
          </w:p>
        </w:tc>
        <w:tc>
          <w:tcPr>
            <w:tcW w:w="1260" w:type="dxa"/>
            <w:gridSpan w:val="3"/>
            <w:tcBorders>
              <w:top w:val="nil"/>
              <w:left w:val="nil"/>
              <w:bottom w:val="nil"/>
              <w:right w:val="nil"/>
            </w:tcBorders>
            <w:tcMar>
              <w:top w:w="0" w:type="dxa"/>
              <w:left w:w="0" w:type="dxa"/>
              <w:bottom w:w="0" w:type="dxa"/>
              <w:right w:w="0" w:type="dxa"/>
            </w:tcMar>
            <w:vAlign w:val="center"/>
          </w:tcPr>
          <w:p w14:paraId="6179C8E3" w14:textId="77777777" w:rsidR="00111F58" w:rsidRDefault="00111F58" w:rsidP="00E74E15">
            <w:pPr>
              <w:pStyle w:val="NormalText"/>
              <w:jc w:val="both"/>
            </w:pPr>
            <w:r>
              <w:t>Conversion</w:t>
            </w:r>
          </w:p>
        </w:tc>
      </w:tr>
      <w:tr w:rsidR="00111F58" w14:paraId="289D0D7B" w14:textId="77777777" w:rsidTr="00A57F79">
        <w:tc>
          <w:tcPr>
            <w:tcW w:w="5480" w:type="dxa"/>
            <w:tcBorders>
              <w:top w:val="nil"/>
              <w:left w:val="nil"/>
              <w:bottom w:val="nil"/>
              <w:right w:val="nil"/>
            </w:tcBorders>
            <w:vAlign w:val="center"/>
          </w:tcPr>
          <w:p w14:paraId="19537045" w14:textId="77777777" w:rsidR="00111F58" w:rsidRDefault="00111F58" w:rsidP="00E74E15">
            <w:pPr>
              <w:pStyle w:val="NormalText"/>
              <w:jc w:val="both"/>
            </w:pPr>
            <w:r>
              <w:t>Units transferred to the next department</w:t>
            </w:r>
          </w:p>
        </w:tc>
        <w:tc>
          <w:tcPr>
            <w:tcW w:w="220" w:type="dxa"/>
            <w:tcBorders>
              <w:top w:val="nil"/>
              <w:left w:val="nil"/>
              <w:bottom w:val="nil"/>
              <w:right w:val="nil"/>
            </w:tcBorders>
            <w:tcMar>
              <w:top w:w="0" w:type="dxa"/>
              <w:left w:w="0" w:type="dxa"/>
              <w:bottom w:w="0" w:type="dxa"/>
              <w:right w:w="0" w:type="dxa"/>
            </w:tcMar>
            <w:vAlign w:val="center"/>
          </w:tcPr>
          <w:p w14:paraId="3106C256" w14:textId="77777777" w:rsidR="00111F58" w:rsidRDefault="00111F58" w:rsidP="00E74E15">
            <w:pPr>
              <w:pStyle w:val="NormalText"/>
              <w:jc w:val="both"/>
            </w:pPr>
            <w:r>
              <w:t> </w:t>
            </w:r>
          </w:p>
        </w:tc>
        <w:tc>
          <w:tcPr>
            <w:tcW w:w="820" w:type="dxa"/>
            <w:tcBorders>
              <w:top w:val="nil"/>
              <w:left w:val="nil"/>
              <w:bottom w:val="nil"/>
              <w:right w:val="nil"/>
            </w:tcBorders>
            <w:tcMar>
              <w:top w:w="0" w:type="dxa"/>
              <w:left w:w="0" w:type="dxa"/>
              <w:bottom w:w="0" w:type="dxa"/>
              <w:right w:w="0" w:type="dxa"/>
            </w:tcMar>
            <w:vAlign w:val="center"/>
          </w:tcPr>
          <w:p w14:paraId="6B5A2AB7" w14:textId="77777777" w:rsidR="00111F58" w:rsidRDefault="00111F58" w:rsidP="00E74E15">
            <w:pPr>
              <w:pStyle w:val="NormalText"/>
              <w:jc w:val="both"/>
            </w:pPr>
            <w:r>
              <w:t>32,200</w:t>
            </w:r>
          </w:p>
        </w:tc>
        <w:tc>
          <w:tcPr>
            <w:tcW w:w="240" w:type="dxa"/>
            <w:gridSpan w:val="2"/>
            <w:tcBorders>
              <w:top w:val="nil"/>
              <w:left w:val="nil"/>
              <w:bottom w:val="nil"/>
              <w:right w:val="nil"/>
            </w:tcBorders>
            <w:tcMar>
              <w:top w:w="0" w:type="dxa"/>
              <w:left w:w="0" w:type="dxa"/>
              <w:bottom w:w="0" w:type="dxa"/>
              <w:right w:w="0" w:type="dxa"/>
            </w:tcMar>
            <w:vAlign w:val="bottom"/>
          </w:tcPr>
          <w:p w14:paraId="7D25A7A3" w14:textId="77777777" w:rsidR="00111F58" w:rsidRDefault="00111F58" w:rsidP="00E74E15">
            <w:pPr>
              <w:pStyle w:val="NormalText"/>
              <w:jc w:val="both"/>
            </w:pPr>
            <w:r>
              <w:t> </w:t>
            </w:r>
          </w:p>
        </w:tc>
      </w:tr>
      <w:tr w:rsidR="00111F58" w14:paraId="5129070D" w14:textId="77777777" w:rsidTr="00A57F79">
        <w:tc>
          <w:tcPr>
            <w:tcW w:w="5480" w:type="dxa"/>
            <w:tcBorders>
              <w:top w:val="nil"/>
              <w:left w:val="nil"/>
              <w:bottom w:val="nil"/>
              <w:right w:val="nil"/>
            </w:tcBorders>
            <w:vAlign w:val="center"/>
          </w:tcPr>
          <w:p w14:paraId="2C1AE580" w14:textId="77777777" w:rsidR="00111F58" w:rsidRDefault="00111F58" w:rsidP="00E74E15">
            <w:pPr>
              <w:pStyle w:val="NormalText"/>
              <w:jc w:val="both"/>
            </w:pPr>
            <w:r>
              <w:t>Ending work in process:</w:t>
            </w:r>
          </w:p>
          <w:p w14:paraId="1EE333B9" w14:textId="77777777" w:rsidR="00111F58" w:rsidRDefault="00111F58" w:rsidP="00E74E15">
            <w:pPr>
              <w:pStyle w:val="NormalText"/>
              <w:jc w:val="both"/>
            </w:pPr>
            <w:r>
              <w:t>Conversion: 1,800 units × 60%</w:t>
            </w:r>
          </w:p>
        </w:tc>
        <w:tc>
          <w:tcPr>
            <w:tcW w:w="220" w:type="dxa"/>
            <w:tcBorders>
              <w:top w:val="nil"/>
              <w:left w:val="nil"/>
              <w:bottom w:val="single" w:sz="21" w:space="0" w:color="000000"/>
              <w:right w:val="nil"/>
            </w:tcBorders>
            <w:tcMar>
              <w:top w:w="0" w:type="dxa"/>
              <w:left w:w="0" w:type="dxa"/>
              <w:bottom w:w="0" w:type="dxa"/>
              <w:right w:w="0" w:type="dxa"/>
            </w:tcMar>
            <w:vAlign w:val="center"/>
          </w:tcPr>
          <w:p w14:paraId="0D43F9FB" w14:textId="77777777" w:rsidR="00111F58" w:rsidRDefault="00111F58" w:rsidP="00E74E15">
            <w:pPr>
              <w:pStyle w:val="NormalText"/>
              <w:jc w:val="both"/>
            </w:pPr>
            <w:r>
              <w:t> </w:t>
            </w:r>
          </w:p>
        </w:tc>
        <w:tc>
          <w:tcPr>
            <w:tcW w:w="820" w:type="dxa"/>
            <w:tcBorders>
              <w:top w:val="nil"/>
              <w:left w:val="nil"/>
              <w:bottom w:val="single" w:sz="21" w:space="0" w:color="000000"/>
              <w:right w:val="nil"/>
            </w:tcBorders>
            <w:tcMar>
              <w:top w:w="0" w:type="dxa"/>
              <w:left w:w="0" w:type="dxa"/>
              <w:bottom w:w="0" w:type="dxa"/>
              <w:right w:w="0" w:type="dxa"/>
            </w:tcMar>
            <w:vAlign w:val="bottom"/>
          </w:tcPr>
          <w:p w14:paraId="03D9C763" w14:textId="77777777" w:rsidR="00111F58" w:rsidRDefault="00111F58" w:rsidP="00E74E15">
            <w:pPr>
              <w:pStyle w:val="NormalText"/>
              <w:jc w:val="both"/>
            </w:pPr>
            <w:r>
              <w:t>1,080</w:t>
            </w:r>
          </w:p>
        </w:tc>
        <w:tc>
          <w:tcPr>
            <w:tcW w:w="240" w:type="dxa"/>
            <w:gridSpan w:val="2"/>
            <w:tcBorders>
              <w:top w:val="nil"/>
              <w:left w:val="nil"/>
              <w:bottom w:val="single" w:sz="21" w:space="0" w:color="000000"/>
              <w:right w:val="nil"/>
            </w:tcBorders>
            <w:tcMar>
              <w:top w:w="0" w:type="dxa"/>
              <w:left w:w="0" w:type="dxa"/>
              <w:bottom w:w="0" w:type="dxa"/>
              <w:right w:w="0" w:type="dxa"/>
            </w:tcMar>
            <w:vAlign w:val="center"/>
          </w:tcPr>
          <w:p w14:paraId="54C2D317" w14:textId="77777777" w:rsidR="00111F58" w:rsidRDefault="00111F58" w:rsidP="00E74E15">
            <w:pPr>
              <w:pStyle w:val="NormalText"/>
              <w:jc w:val="both"/>
            </w:pPr>
            <w:r>
              <w:t> </w:t>
            </w:r>
          </w:p>
        </w:tc>
      </w:tr>
      <w:tr w:rsidR="00111F58" w14:paraId="02B51481" w14:textId="77777777" w:rsidTr="00A57F79">
        <w:tc>
          <w:tcPr>
            <w:tcW w:w="5480" w:type="dxa"/>
            <w:tcBorders>
              <w:top w:val="nil"/>
              <w:left w:val="nil"/>
              <w:bottom w:val="nil"/>
              <w:right w:val="nil"/>
            </w:tcBorders>
            <w:vAlign w:val="center"/>
          </w:tcPr>
          <w:p w14:paraId="2E005491" w14:textId="77777777" w:rsidR="00111F58" w:rsidRDefault="00111F58" w:rsidP="00E74E15">
            <w:pPr>
              <w:pStyle w:val="NormalText"/>
              <w:jc w:val="both"/>
            </w:pPr>
            <w:r>
              <w:t>Equivalent units of production</w:t>
            </w:r>
          </w:p>
        </w:tc>
        <w:tc>
          <w:tcPr>
            <w:tcW w:w="220" w:type="dxa"/>
            <w:tcBorders>
              <w:top w:val="nil"/>
              <w:left w:val="nil"/>
              <w:bottom w:val="double" w:sz="2" w:space="0" w:color="000000"/>
              <w:right w:val="nil"/>
            </w:tcBorders>
            <w:tcMar>
              <w:top w:w="0" w:type="dxa"/>
              <w:left w:w="0" w:type="dxa"/>
              <w:bottom w:w="0" w:type="dxa"/>
              <w:right w:w="0" w:type="dxa"/>
            </w:tcMar>
            <w:vAlign w:val="center"/>
          </w:tcPr>
          <w:p w14:paraId="5DB90628" w14:textId="77777777" w:rsidR="00111F58" w:rsidRDefault="00111F58" w:rsidP="00E74E15">
            <w:pPr>
              <w:pStyle w:val="NormalText"/>
              <w:jc w:val="both"/>
            </w:pPr>
            <w:r>
              <w:t> </w:t>
            </w:r>
          </w:p>
        </w:tc>
        <w:tc>
          <w:tcPr>
            <w:tcW w:w="820" w:type="dxa"/>
            <w:tcBorders>
              <w:top w:val="nil"/>
              <w:left w:val="nil"/>
              <w:bottom w:val="double" w:sz="2" w:space="0" w:color="000000"/>
              <w:right w:val="nil"/>
            </w:tcBorders>
            <w:tcMar>
              <w:top w:w="0" w:type="dxa"/>
              <w:left w:w="0" w:type="dxa"/>
              <w:bottom w:w="0" w:type="dxa"/>
              <w:right w:w="0" w:type="dxa"/>
            </w:tcMar>
            <w:vAlign w:val="center"/>
          </w:tcPr>
          <w:p w14:paraId="1E2E1150" w14:textId="77777777" w:rsidR="00111F58" w:rsidRDefault="00111F58" w:rsidP="00E74E15">
            <w:pPr>
              <w:pStyle w:val="NormalText"/>
              <w:jc w:val="both"/>
            </w:pPr>
            <w:r>
              <w:t>33,280</w:t>
            </w:r>
          </w:p>
        </w:tc>
        <w:tc>
          <w:tcPr>
            <w:tcW w:w="240" w:type="dxa"/>
            <w:gridSpan w:val="2"/>
            <w:tcBorders>
              <w:top w:val="nil"/>
              <w:left w:val="nil"/>
              <w:bottom w:val="double" w:sz="2" w:space="0" w:color="000000"/>
              <w:right w:val="nil"/>
            </w:tcBorders>
            <w:tcMar>
              <w:top w:w="0" w:type="dxa"/>
              <w:left w:w="0" w:type="dxa"/>
              <w:bottom w:w="0" w:type="dxa"/>
              <w:right w:w="0" w:type="dxa"/>
            </w:tcMar>
            <w:vAlign w:val="center"/>
          </w:tcPr>
          <w:p w14:paraId="685AE94D" w14:textId="77777777" w:rsidR="00111F58" w:rsidRDefault="00111F58" w:rsidP="00E74E15">
            <w:pPr>
              <w:pStyle w:val="NormalText"/>
              <w:jc w:val="both"/>
            </w:pPr>
            <w:r>
              <w:t> </w:t>
            </w:r>
          </w:p>
        </w:tc>
      </w:tr>
    </w:tbl>
    <w:p w14:paraId="77E0510E" w14:textId="77777777" w:rsidR="00111F58" w:rsidRDefault="00111F58" w:rsidP="00E74E15">
      <w:pPr>
        <w:pStyle w:val="NormalText"/>
        <w:jc w:val="both"/>
      </w:pPr>
    </w:p>
    <w:p w14:paraId="213904DC" w14:textId="2D6E67D1" w:rsidR="00111F58" w:rsidRDefault="00111F58" w:rsidP="00E74E15">
      <w:pPr>
        <w:pStyle w:val="NormalText"/>
        <w:jc w:val="both"/>
        <w:rPr>
          <w:rtl/>
        </w:rPr>
      </w:pPr>
      <w:r>
        <w:t xml:space="preserve">24) </w:t>
      </w:r>
      <w:proofErr w:type="spellStart"/>
      <w:r>
        <w:t>Fabert</w:t>
      </w:r>
      <w:proofErr w:type="spellEnd"/>
      <w:r>
        <w:t xml:space="preserve"> Corporation uses the weighted-average method in its process costing system. The Assembly Department started the month with 16,000 units in its beginning work in process inventory that were 40% complete with respect to conversion costs. An additional 60,000 units were transferred in from the prior department during the month to begin processing in the Assembly Department. During the month 65,000 units were completed in the Assembly Department and transferred to the next processing department. There were 11,000 units in the ending work in process inventory of the Assembly Department that were 50% complete with respect to conversion costs. What were the equivalent units for conversion costs in the Assembly Department for the month?</w:t>
      </w:r>
    </w:p>
    <w:p w14:paraId="5E738F6E" w14:textId="77777777" w:rsidR="00530A09" w:rsidRDefault="00530A09" w:rsidP="00E74E15">
      <w:pPr>
        <w:pStyle w:val="NormalText"/>
        <w:jc w:val="both"/>
        <w:rPr>
          <w:rtl/>
        </w:rPr>
      </w:pPr>
    </w:p>
    <w:p w14:paraId="792D18BD" w14:textId="3983667E" w:rsidR="00530A09" w:rsidRDefault="00530A09" w:rsidP="00A165DE">
      <w:pPr>
        <w:pStyle w:val="NormalText"/>
        <w:bidi/>
        <w:jc w:val="both"/>
        <w:rPr>
          <w:rtl/>
        </w:rPr>
      </w:pPr>
      <w:r w:rsidRPr="00530A09">
        <w:rPr>
          <w:rtl/>
        </w:rPr>
        <w:t>تستخدم شركة</w:t>
      </w:r>
      <w:r w:rsidRPr="00530A09">
        <w:t xml:space="preserve"> </w:t>
      </w:r>
      <w:proofErr w:type="spellStart"/>
      <w:r w:rsidRPr="00530A09">
        <w:t>Fabert</w:t>
      </w:r>
      <w:proofErr w:type="spellEnd"/>
      <w:r w:rsidRPr="00530A09">
        <w:t xml:space="preserve"> </w:t>
      </w:r>
      <w:r w:rsidRPr="00530A09">
        <w:rPr>
          <w:rtl/>
        </w:rPr>
        <w:t xml:space="preserve">طريقة المتوسط ​​المرجح في نظام تقدير تكاليف العمليات. بدأت إدارة التجميع الشهر بـ 16000 وحدة في بداية عملها في عملية الجرد التي اكتملت بنسبة 40٪ فيما يتعلق بتكاليف التحويل. تم نقل 60.000 وحدة إضافية من الإدارة السابقة خلال الشهر لبدء المعالجة في قسم التجميع. خلال الشهر تم الانتهاء من 65000 وحدة في قسم التجميع ونقلها إلى قسم المعالجة التالي. كان هناك 11000 وحدة في العمل النهائي في جرد العمليات لقسم الجمعية التي كانت 50 ٪ كاملة فيما يتعلق </w:t>
      </w:r>
      <w:r w:rsidRPr="00530A09">
        <w:rPr>
          <w:rtl/>
        </w:rPr>
        <w:lastRenderedPageBreak/>
        <w:t>بتكاليف التحويل. ما هي الوحدات المعادلة لتكاليف التحويل في قسم التجميع للشهر؟</w:t>
      </w:r>
    </w:p>
    <w:p w14:paraId="0DCB271F" w14:textId="77777777" w:rsidR="00530A09" w:rsidRDefault="00530A09" w:rsidP="00E74E15">
      <w:pPr>
        <w:pStyle w:val="NormalText"/>
        <w:jc w:val="both"/>
        <w:rPr>
          <w:rtl/>
        </w:rPr>
      </w:pPr>
    </w:p>
    <w:p w14:paraId="6CC17C1B" w14:textId="77777777" w:rsidR="00530A09" w:rsidRDefault="00530A09" w:rsidP="00E74E15">
      <w:pPr>
        <w:pStyle w:val="NormalText"/>
        <w:jc w:val="both"/>
      </w:pPr>
    </w:p>
    <w:p w14:paraId="237C2F49" w14:textId="77777777" w:rsidR="00111F58" w:rsidRDefault="00111F58" w:rsidP="00E74E15">
      <w:pPr>
        <w:pStyle w:val="NormalText"/>
        <w:jc w:val="both"/>
      </w:pPr>
      <w:r>
        <w:t>A) 65,000</w:t>
      </w:r>
    </w:p>
    <w:p w14:paraId="6E2EC24F" w14:textId="77777777" w:rsidR="00111F58" w:rsidRDefault="00111F58" w:rsidP="00E74E15">
      <w:pPr>
        <w:pStyle w:val="NormalText"/>
        <w:jc w:val="both"/>
      </w:pPr>
      <w:r>
        <w:t>B) 70,500</w:t>
      </w:r>
    </w:p>
    <w:p w14:paraId="12E132C9" w14:textId="77777777" w:rsidR="00111F58" w:rsidRDefault="00111F58" w:rsidP="00E74E15">
      <w:pPr>
        <w:pStyle w:val="NormalText"/>
        <w:jc w:val="both"/>
      </w:pPr>
      <w:r>
        <w:t>C) 64,100</w:t>
      </w:r>
    </w:p>
    <w:p w14:paraId="6465F3A7" w14:textId="77777777" w:rsidR="00111F58" w:rsidRDefault="00111F58" w:rsidP="00E74E15">
      <w:pPr>
        <w:pStyle w:val="NormalText"/>
        <w:jc w:val="both"/>
      </w:pPr>
      <w:r>
        <w:t>D) 55,000</w:t>
      </w:r>
    </w:p>
    <w:p w14:paraId="36413512" w14:textId="77777777" w:rsidR="00111F58" w:rsidRDefault="00111F58" w:rsidP="00E74E15">
      <w:pPr>
        <w:pStyle w:val="NormalText"/>
        <w:jc w:val="both"/>
      </w:pPr>
    </w:p>
    <w:p w14:paraId="7E9DC07D" w14:textId="77777777" w:rsidR="00111F58" w:rsidRDefault="00111F58" w:rsidP="00E74E15">
      <w:pPr>
        <w:pStyle w:val="NormalText"/>
        <w:jc w:val="both"/>
      </w:pPr>
      <w:r>
        <w:t>Answer:  B</w:t>
      </w:r>
    </w:p>
    <w:p w14:paraId="04EE6A28" w14:textId="77777777" w:rsidR="00111F58" w:rsidRDefault="00111F58" w:rsidP="00E74E15">
      <w:pPr>
        <w:pStyle w:val="NormalText"/>
        <w:jc w:val="both"/>
        <w:rPr>
          <w:i/>
          <w:iCs/>
        </w:rPr>
      </w:pPr>
      <w:r>
        <w:t xml:space="preserve">Explanation:  </w:t>
      </w:r>
      <w:r>
        <w:rPr>
          <w:i/>
          <w:iCs/>
        </w:rPr>
        <w:t xml:space="preserve">Weighted-average method </w:t>
      </w:r>
    </w:p>
    <w:p w14:paraId="496B45FD" w14:textId="77777777" w:rsidR="00111F58" w:rsidRDefault="00111F58" w:rsidP="00E74E15">
      <w:pPr>
        <w:pStyle w:val="NormalText"/>
        <w:jc w:val="both"/>
      </w:pPr>
    </w:p>
    <w:tbl>
      <w:tblPr>
        <w:tblW w:w="0" w:type="auto"/>
        <w:tblLayout w:type="fixed"/>
        <w:tblCellMar>
          <w:left w:w="0" w:type="dxa"/>
          <w:right w:w="0" w:type="dxa"/>
        </w:tblCellMar>
        <w:tblLook w:val="0000" w:firstRow="0" w:lastRow="0" w:firstColumn="0" w:lastColumn="0" w:noHBand="0" w:noVBand="0"/>
      </w:tblPr>
      <w:tblGrid>
        <w:gridCol w:w="5760"/>
        <w:gridCol w:w="220"/>
        <w:gridCol w:w="840"/>
        <w:gridCol w:w="200"/>
        <w:gridCol w:w="20"/>
      </w:tblGrid>
      <w:tr w:rsidR="00111F58" w14:paraId="1318004E" w14:textId="77777777" w:rsidTr="00A57F79">
        <w:trPr>
          <w:gridAfter w:val="1"/>
          <w:wAfter w:w="20" w:type="dxa"/>
        </w:trPr>
        <w:tc>
          <w:tcPr>
            <w:tcW w:w="5760" w:type="dxa"/>
            <w:tcBorders>
              <w:top w:val="nil"/>
              <w:left w:val="nil"/>
              <w:bottom w:val="nil"/>
              <w:right w:val="nil"/>
            </w:tcBorders>
            <w:vAlign w:val="center"/>
          </w:tcPr>
          <w:p w14:paraId="3368E35C" w14:textId="77777777" w:rsidR="00111F58" w:rsidRDefault="00111F58" w:rsidP="00E74E15">
            <w:pPr>
              <w:pStyle w:val="NormalText"/>
              <w:jc w:val="both"/>
            </w:pPr>
            <w:r>
              <w:t> </w:t>
            </w:r>
          </w:p>
        </w:tc>
        <w:tc>
          <w:tcPr>
            <w:tcW w:w="1260" w:type="dxa"/>
            <w:gridSpan w:val="3"/>
            <w:tcBorders>
              <w:top w:val="nil"/>
              <w:left w:val="nil"/>
              <w:bottom w:val="nil"/>
              <w:right w:val="nil"/>
            </w:tcBorders>
            <w:tcMar>
              <w:top w:w="0" w:type="dxa"/>
              <w:left w:w="0" w:type="dxa"/>
              <w:bottom w:w="0" w:type="dxa"/>
              <w:right w:w="0" w:type="dxa"/>
            </w:tcMar>
            <w:vAlign w:val="center"/>
          </w:tcPr>
          <w:p w14:paraId="59E72234" w14:textId="77777777" w:rsidR="00111F58" w:rsidRDefault="00111F58" w:rsidP="00E74E15">
            <w:pPr>
              <w:pStyle w:val="NormalText"/>
              <w:jc w:val="both"/>
            </w:pPr>
            <w:r>
              <w:t>Conversion</w:t>
            </w:r>
          </w:p>
        </w:tc>
      </w:tr>
      <w:tr w:rsidR="00111F58" w14:paraId="38219929" w14:textId="77777777" w:rsidTr="00A57F79">
        <w:tc>
          <w:tcPr>
            <w:tcW w:w="5760" w:type="dxa"/>
            <w:tcBorders>
              <w:top w:val="nil"/>
              <w:left w:val="nil"/>
              <w:bottom w:val="nil"/>
              <w:right w:val="nil"/>
            </w:tcBorders>
            <w:vAlign w:val="center"/>
          </w:tcPr>
          <w:p w14:paraId="1AD07AE4" w14:textId="77777777" w:rsidR="00111F58" w:rsidRDefault="00111F58" w:rsidP="00E74E15">
            <w:pPr>
              <w:pStyle w:val="NormalText"/>
              <w:jc w:val="both"/>
            </w:pPr>
            <w:r>
              <w:t>Units transferred to the next department</w:t>
            </w:r>
          </w:p>
        </w:tc>
        <w:tc>
          <w:tcPr>
            <w:tcW w:w="220" w:type="dxa"/>
            <w:tcBorders>
              <w:top w:val="nil"/>
              <w:left w:val="nil"/>
              <w:bottom w:val="nil"/>
              <w:right w:val="nil"/>
            </w:tcBorders>
            <w:tcMar>
              <w:top w:w="0" w:type="dxa"/>
              <w:left w:w="0" w:type="dxa"/>
              <w:bottom w:w="0" w:type="dxa"/>
              <w:right w:w="0" w:type="dxa"/>
            </w:tcMar>
            <w:vAlign w:val="center"/>
          </w:tcPr>
          <w:p w14:paraId="4B074C67" w14:textId="77777777" w:rsidR="00111F58" w:rsidRDefault="00111F58" w:rsidP="00E74E15">
            <w:pPr>
              <w:pStyle w:val="NormalText"/>
              <w:jc w:val="both"/>
            </w:pPr>
            <w:r>
              <w:t> </w:t>
            </w:r>
          </w:p>
        </w:tc>
        <w:tc>
          <w:tcPr>
            <w:tcW w:w="840" w:type="dxa"/>
            <w:tcBorders>
              <w:top w:val="nil"/>
              <w:left w:val="nil"/>
              <w:bottom w:val="nil"/>
              <w:right w:val="nil"/>
            </w:tcBorders>
            <w:tcMar>
              <w:top w:w="0" w:type="dxa"/>
              <w:left w:w="0" w:type="dxa"/>
              <w:bottom w:w="0" w:type="dxa"/>
              <w:right w:w="0" w:type="dxa"/>
            </w:tcMar>
            <w:vAlign w:val="center"/>
          </w:tcPr>
          <w:p w14:paraId="720AE182" w14:textId="77777777" w:rsidR="00111F58" w:rsidRDefault="00111F58" w:rsidP="00E74E15">
            <w:pPr>
              <w:pStyle w:val="NormalText"/>
              <w:jc w:val="both"/>
            </w:pPr>
            <w:r>
              <w:t>65,000</w:t>
            </w:r>
          </w:p>
        </w:tc>
        <w:tc>
          <w:tcPr>
            <w:tcW w:w="220" w:type="dxa"/>
            <w:gridSpan w:val="2"/>
            <w:tcBorders>
              <w:top w:val="nil"/>
              <w:left w:val="nil"/>
              <w:bottom w:val="nil"/>
              <w:right w:val="nil"/>
            </w:tcBorders>
            <w:tcMar>
              <w:top w:w="0" w:type="dxa"/>
              <w:left w:w="0" w:type="dxa"/>
              <w:bottom w:w="0" w:type="dxa"/>
              <w:right w:w="0" w:type="dxa"/>
            </w:tcMar>
            <w:vAlign w:val="bottom"/>
          </w:tcPr>
          <w:p w14:paraId="267A2D1E" w14:textId="77777777" w:rsidR="00111F58" w:rsidRDefault="00111F58" w:rsidP="00E74E15">
            <w:pPr>
              <w:pStyle w:val="NormalText"/>
              <w:jc w:val="both"/>
            </w:pPr>
            <w:r>
              <w:t> </w:t>
            </w:r>
          </w:p>
        </w:tc>
      </w:tr>
      <w:tr w:rsidR="00111F58" w14:paraId="4B6E113E" w14:textId="77777777" w:rsidTr="00A57F79">
        <w:tc>
          <w:tcPr>
            <w:tcW w:w="5760" w:type="dxa"/>
            <w:tcBorders>
              <w:top w:val="nil"/>
              <w:left w:val="nil"/>
              <w:bottom w:val="nil"/>
              <w:right w:val="nil"/>
            </w:tcBorders>
            <w:vAlign w:val="center"/>
          </w:tcPr>
          <w:p w14:paraId="7BFD9BBF" w14:textId="77777777" w:rsidR="00111F58" w:rsidRDefault="00111F58" w:rsidP="00E74E15">
            <w:pPr>
              <w:pStyle w:val="NormalText"/>
              <w:jc w:val="both"/>
            </w:pPr>
            <w:r>
              <w:t>Ending work in process:</w:t>
            </w:r>
          </w:p>
          <w:p w14:paraId="4B4CF721" w14:textId="77777777" w:rsidR="00111F58" w:rsidRDefault="00111F58" w:rsidP="00E74E15">
            <w:pPr>
              <w:pStyle w:val="NormalText"/>
              <w:jc w:val="both"/>
            </w:pPr>
            <w:r>
              <w:t>Conversion: 11,000 units × 50%</w:t>
            </w:r>
          </w:p>
        </w:tc>
        <w:tc>
          <w:tcPr>
            <w:tcW w:w="220" w:type="dxa"/>
            <w:tcBorders>
              <w:top w:val="nil"/>
              <w:left w:val="nil"/>
              <w:bottom w:val="single" w:sz="21" w:space="0" w:color="000000"/>
              <w:right w:val="nil"/>
            </w:tcBorders>
            <w:tcMar>
              <w:top w:w="0" w:type="dxa"/>
              <w:left w:w="0" w:type="dxa"/>
              <w:bottom w:w="0" w:type="dxa"/>
              <w:right w:w="0" w:type="dxa"/>
            </w:tcMar>
            <w:vAlign w:val="center"/>
          </w:tcPr>
          <w:p w14:paraId="62B199DB" w14:textId="77777777" w:rsidR="00111F58" w:rsidRDefault="00111F58" w:rsidP="00E74E15">
            <w:pPr>
              <w:pStyle w:val="NormalText"/>
              <w:jc w:val="both"/>
            </w:pPr>
            <w:r>
              <w:t> </w:t>
            </w:r>
          </w:p>
        </w:tc>
        <w:tc>
          <w:tcPr>
            <w:tcW w:w="840" w:type="dxa"/>
            <w:tcBorders>
              <w:top w:val="nil"/>
              <w:left w:val="nil"/>
              <w:bottom w:val="single" w:sz="21" w:space="0" w:color="000000"/>
              <w:right w:val="nil"/>
            </w:tcBorders>
            <w:tcMar>
              <w:top w:w="0" w:type="dxa"/>
              <w:left w:w="0" w:type="dxa"/>
              <w:bottom w:w="0" w:type="dxa"/>
              <w:right w:w="0" w:type="dxa"/>
            </w:tcMar>
            <w:vAlign w:val="bottom"/>
          </w:tcPr>
          <w:p w14:paraId="526863D7" w14:textId="77777777" w:rsidR="00111F58" w:rsidRDefault="00111F58" w:rsidP="00E74E15">
            <w:pPr>
              <w:pStyle w:val="NormalText"/>
              <w:jc w:val="both"/>
            </w:pPr>
            <w:r>
              <w:t>5,500</w:t>
            </w:r>
          </w:p>
        </w:tc>
        <w:tc>
          <w:tcPr>
            <w:tcW w:w="220" w:type="dxa"/>
            <w:gridSpan w:val="2"/>
            <w:tcBorders>
              <w:top w:val="nil"/>
              <w:left w:val="nil"/>
              <w:bottom w:val="single" w:sz="21" w:space="0" w:color="000000"/>
              <w:right w:val="nil"/>
            </w:tcBorders>
            <w:tcMar>
              <w:top w:w="0" w:type="dxa"/>
              <w:left w:w="0" w:type="dxa"/>
              <w:bottom w:w="0" w:type="dxa"/>
              <w:right w:w="0" w:type="dxa"/>
            </w:tcMar>
            <w:vAlign w:val="center"/>
          </w:tcPr>
          <w:p w14:paraId="09CAFD8F" w14:textId="77777777" w:rsidR="00111F58" w:rsidRDefault="00111F58" w:rsidP="00E74E15">
            <w:pPr>
              <w:pStyle w:val="NormalText"/>
              <w:jc w:val="both"/>
            </w:pPr>
            <w:r>
              <w:t> </w:t>
            </w:r>
          </w:p>
        </w:tc>
      </w:tr>
      <w:tr w:rsidR="00111F58" w14:paraId="01537068" w14:textId="77777777" w:rsidTr="00A57F79">
        <w:tc>
          <w:tcPr>
            <w:tcW w:w="5760" w:type="dxa"/>
            <w:tcBorders>
              <w:top w:val="nil"/>
              <w:left w:val="nil"/>
              <w:bottom w:val="nil"/>
              <w:right w:val="nil"/>
            </w:tcBorders>
            <w:vAlign w:val="center"/>
          </w:tcPr>
          <w:p w14:paraId="58985D80" w14:textId="77777777" w:rsidR="00111F58" w:rsidRDefault="00111F58" w:rsidP="00E74E15">
            <w:pPr>
              <w:pStyle w:val="NormalText"/>
              <w:jc w:val="both"/>
            </w:pPr>
            <w:r>
              <w:t>Equivalent units of production</w:t>
            </w:r>
          </w:p>
        </w:tc>
        <w:tc>
          <w:tcPr>
            <w:tcW w:w="220" w:type="dxa"/>
            <w:tcBorders>
              <w:top w:val="nil"/>
              <w:left w:val="nil"/>
              <w:bottom w:val="double" w:sz="2" w:space="0" w:color="000000"/>
              <w:right w:val="nil"/>
            </w:tcBorders>
            <w:tcMar>
              <w:top w:w="0" w:type="dxa"/>
              <w:left w:w="0" w:type="dxa"/>
              <w:bottom w:w="0" w:type="dxa"/>
              <w:right w:w="0" w:type="dxa"/>
            </w:tcMar>
            <w:vAlign w:val="center"/>
          </w:tcPr>
          <w:p w14:paraId="6847D981" w14:textId="77777777" w:rsidR="00111F58" w:rsidRDefault="00111F58" w:rsidP="00E74E15">
            <w:pPr>
              <w:pStyle w:val="NormalText"/>
              <w:jc w:val="both"/>
            </w:pPr>
            <w:r>
              <w:t> </w:t>
            </w:r>
          </w:p>
        </w:tc>
        <w:tc>
          <w:tcPr>
            <w:tcW w:w="840" w:type="dxa"/>
            <w:tcBorders>
              <w:top w:val="nil"/>
              <w:left w:val="nil"/>
              <w:bottom w:val="double" w:sz="2" w:space="0" w:color="000000"/>
              <w:right w:val="nil"/>
            </w:tcBorders>
            <w:tcMar>
              <w:top w:w="0" w:type="dxa"/>
              <w:left w:w="0" w:type="dxa"/>
              <w:bottom w:w="0" w:type="dxa"/>
              <w:right w:w="0" w:type="dxa"/>
            </w:tcMar>
            <w:vAlign w:val="center"/>
          </w:tcPr>
          <w:p w14:paraId="27701A2F" w14:textId="77777777" w:rsidR="00111F58" w:rsidRDefault="00111F58" w:rsidP="00E74E15">
            <w:pPr>
              <w:pStyle w:val="NormalText"/>
              <w:jc w:val="both"/>
            </w:pPr>
            <w:r>
              <w:t>70,500</w:t>
            </w:r>
          </w:p>
        </w:tc>
        <w:tc>
          <w:tcPr>
            <w:tcW w:w="220" w:type="dxa"/>
            <w:gridSpan w:val="2"/>
            <w:tcBorders>
              <w:top w:val="nil"/>
              <w:left w:val="nil"/>
              <w:bottom w:val="double" w:sz="2" w:space="0" w:color="000000"/>
              <w:right w:val="nil"/>
            </w:tcBorders>
            <w:tcMar>
              <w:top w:w="0" w:type="dxa"/>
              <w:left w:w="0" w:type="dxa"/>
              <w:bottom w:w="0" w:type="dxa"/>
              <w:right w:w="0" w:type="dxa"/>
            </w:tcMar>
            <w:vAlign w:val="center"/>
          </w:tcPr>
          <w:p w14:paraId="12A93B45" w14:textId="77777777" w:rsidR="00111F58" w:rsidRDefault="00111F58" w:rsidP="00E74E15">
            <w:pPr>
              <w:pStyle w:val="NormalText"/>
              <w:jc w:val="both"/>
            </w:pPr>
            <w:r>
              <w:t> </w:t>
            </w:r>
          </w:p>
        </w:tc>
      </w:tr>
    </w:tbl>
    <w:p w14:paraId="790BEAF1" w14:textId="77777777" w:rsidR="00111F58" w:rsidRDefault="00111F58" w:rsidP="00E74E15">
      <w:pPr>
        <w:pStyle w:val="NormalText"/>
        <w:jc w:val="both"/>
      </w:pPr>
    </w:p>
    <w:p w14:paraId="27151B7D" w14:textId="53AAC9B5" w:rsidR="00111F58" w:rsidRDefault="00111F58" w:rsidP="00E74E15">
      <w:pPr>
        <w:jc w:val="both"/>
        <w:rPr>
          <w:color w:val="000000"/>
          <w:sz w:val="24"/>
          <w:szCs w:val="24"/>
        </w:rPr>
      </w:pPr>
    </w:p>
    <w:sectPr w:rsidR="00111F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D0DED"/>
    <w:multiLevelType w:val="hybridMultilevel"/>
    <w:tmpl w:val="EFC035D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436438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D83"/>
    <w:rsid w:val="00111F58"/>
    <w:rsid w:val="00200D83"/>
    <w:rsid w:val="00302158"/>
    <w:rsid w:val="00350E3F"/>
    <w:rsid w:val="00530A09"/>
    <w:rsid w:val="00625083"/>
    <w:rsid w:val="009674DE"/>
    <w:rsid w:val="00A165DE"/>
    <w:rsid w:val="00E74E15"/>
    <w:rsid w:val="00EA12E7"/>
    <w:rsid w:val="00EC06B2"/>
  </w:rsids>
  <m:mathPr>
    <m:mathFont m:val="Cambria Math"/>
    <m:brkBin m:val="before"/>
    <m:brkBinSub m:val="--"/>
    <m:smallFrac m:val="0"/>
    <m:dispDef/>
    <m:lMargin m:val="0"/>
    <m:rMargin m:val="0"/>
    <m:defJc m:val="centerGroup"/>
    <m:wrapIndent m:val="1440"/>
    <m:intLim m:val="subSup"/>
    <m:naryLim m:val="undOvr"/>
  </m:mathPr>
  <w:themeFontLang w:val="en-EG" w:bidi="ar-SA"/>
  <w:clrSchemeMapping w:bg1="light1" w:t1="dark1" w:bg2="light2" w:t2="dark2" w:accent1="accent1" w:accent2="accent2" w:accent3="accent3" w:accent4="accent4" w:accent5="accent5" w:accent6="accent6" w:hyperlink="hyperlink" w:followedHyperlink="followedHyperlink"/>
  <w:decimalSymbol w:val="."/>
  <w:listSeparator w:val=","/>
  <w14:docId w14:val="440EFE70"/>
  <w15:chartTrackingRefBased/>
  <w15:docId w15:val="{03DD544F-91D4-A14A-956C-CC8205FCA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E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D83"/>
    <w:rPr>
      <w:rFonts w:ascii="Times New Roman" w:eastAsia="Times New Roman" w:hAnsi="Times New Roman" w:cs="Times New Roman"/>
      <w:kern w:val="0"/>
      <w:sz w:val="20"/>
      <w:szCs w:val="2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200D83"/>
    <w:pPr>
      <w:widowControl w:val="0"/>
      <w:autoSpaceDE w:val="0"/>
      <w:autoSpaceDN w:val="0"/>
      <w:adjustRightInd w:val="0"/>
    </w:pPr>
    <w:rPr>
      <w:rFonts w:ascii="Times New Roman" w:eastAsia="Times New Roman" w:hAnsi="Times New Roman" w:cs="Times New Roman"/>
      <w:color w:val="000000"/>
      <w:kern w:val="0"/>
      <w:lang w:val="en-US"/>
      <w14:ligatures w14:val="none"/>
    </w:rPr>
  </w:style>
  <w:style w:type="paragraph" w:styleId="Header">
    <w:name w:val="header"/>
    <w:basedOn w:val="Normal"/>
    <w:link w:val="HeaderChar"/>
    <w:uiPriority w:val="99"/>
    <w:unhideWhenUsed/>
    <w:rsid w:val="00111F58"/>
    <w:pPr>
      <w:tabs>
        <w:tab w:val="center" w:pos="4680"/>
        <w:tab w:val="right" w:pos="9360"/>
      </w:tabs>
    </w:pPr>
  </w:style>
  <w:style w:type="character" w:customStyle="1" w:styleId="HeaderChar">
    <w:name w:val="Header Char"/>
    <w:basedOn w:val="DefaultParagraphFont"/>
    <w:link w:val="Header"/>
    <w:uiPriority w:val="99"/>
    <w:rsid w:val="00111F58"/>
    <w:rPr>
      <w:rFonts w:ascii="Times New Roman" w:eastAsia="Times New Roman" w:hAnsi="Times New Roman" w:cs="Times New Roman"/>
      <w:kern w:val="0"/>
      <w:sz w:val="20"/>
      <w:szCs w:val="20"/>
      <w:lang w:val="en-US"/>
      <w14:ligatures w14:val="none"/>
    </w:rPr>
  </w:style>
  <w:style w:type="paragraph" w:styleId="Footer">
    <w:name w:val="footer"/>
    <w:basedOn w:val="Normal"/>
    <w:link w:val="FooterChar"/>
    <w:uiPriority w:val="99"/>
    <w:unhideWhenUsed/>
    <w:rsid w:val="00111F58"/>
    <w:pPr>
      <w:tabs>
        <w:tab w:val="center" w:pos="4680"/>
        <w:tab w:val="right" w:pos="9360"/>
      </w:tabs>
    </w:pPr>
  </w:style>
  <w:style w:type="character" w:customStyle="1" w:styleId="FooterChar">
    <w:name w:val="Footer Char"/>
    <w:basedOn w:val="DefaultParagraphFont"/>
    <w:link w:val="Footer"/>
    <w:uiPriority w:val="99"/>
    <w:rsid w:val="00111F58"/>
    <w:rPr>
      <w:rFonts w:ascii="Times New Roman" w:eastAsia="Times New Roman" w:hAnsi="Times New Roman" w:cs="Times New Roman"/>
      <w:kern w:val="0"/>
      <w:sz w:val="20"/>
      <w:szCs w:val="20"/>
      <w:lang w:val="en-US"/>
      <w14:ligatures w14:val="none"/>
    </w:rPr>
  </w:style>
  <w:style w:type="paragraph" w:styleId="HTMLPreformatted">
    <w:name w:val="HTML Preformatted"/>
    <w:basedOn w:val="Normal"/>
    <w:link w:val="HTMLPreformattedChar"/>
    <w:uiPriority w:val="99"/>
    <w:semiHidden/>
    <w:unhideWhenUsed/>
    <w:rsid w:val="003021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EG"/>
    </w:rPr>
  </w:style>
  <w:style w:type="character" w:customStyle="1" w:styleId="HTMLPreformattedChar">
    <w:name w:val="HTML Preformatted Char"/>
    <w:basedOn w:val="DefaultParagraphFont"/>
    <w:link w:val="HTMLPreformatted"/>
    <w:uiPriority w:val="99"/>
    <w:semiHidden/>
    <w:rsid w:val="00302158"/>
    <w:rPr>
      <w:rFonts w:ascii="Courier New" w:eastAsia="Times New Roman" w:hAnsi="Courier New" w:cs="Courier New"/>
      <w:kern w:val="0"/>
      <w:sz w:val="20"/>
      <w:szCs w:val="20"/>
      <w14:ligatures w14:val="none"/>
    </w:rPr>
  </w:style>
  <w:style w:type="character" w:customStyle="1" w:styleId="y2iqfc">
    <w:name w:val="y2iqfc"/>
    <w:basedOn w:val="DefaultParagraphFont"/>
    <w:rsid w:val="003021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950771">
      <w:bodyDiv w:val="1"/>
      <w:marLeft w:val="0"/>
      <w:marRight w:val="0"/>
      <w:marTop w:val="0"/>
      <w:marBottom w:val="0"/>
      <w:divBdr>
        <w:top w:val="none" w:sz="0" w:space="0" w:color="auto"/>
        <w:left w:val="none" w:sz="0" w:space="0" w:color="auto"/>
        <w:bottom w:val="none" w:sz="0" w:space="0" w:color="auto"/>
        <w:right w:val="none" w:sz="0" w:space="0" w:color="auto"/>
      </w:divBdr>
    </w:div>
    <w:div w:id="346711474">
      <w:bodyDiv w:val="1"/>
      <w:marLeft w:val="0"/>
      <w:marRight w:val="0"/>
      <w:marTop w:val="0"/>
      <w:marBottom w:val="0"/>
      <w:divBdr>
        <w:top w:val="none" w:sz="0" w:space="0" w:color="auto"/>
        <w:left w:val="none" w:sz="0" w:space="0" w:color="auto"/>
        <w:bottom w:val="none" w:sz="0" w:space="0" w:color="auto"/>
        <w:right w:val="none" w:sz="0" w:space="0" w:color="auto"/>
      </w:divBdr>
    </w:div>
    <w:div w:id="375355005">
      <w:bodyDiv w:val="1"/>
      <w:marLeft w:val="0"/>
      <w:marRight w:val="0"/>
      <w:marTop w:val="0"/>
      <w:marBottom w:val="0"/>
      <w:divBdr>
        <w:top w:val="none" w:sz="0" w:space="0" w:color="auto"/>
        <w:left w:val="none" w:sz="0" w:space="0" w:color="auto"/>
        <w:bottom w:val="none" w:sz="0" w:space="0" w:color="auto"/>
        <w:right w:val="none" w:sz="0" w:space="0" w:color="auto"/>
      </w:divBdr>
    </w:div>
    <w:div w:id="88868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7</Pages>
  <Words>1551</Words>
  <Characters>8843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Abdullah</dc:creator>
  <cp:keywords/>
  <dc:description/>
  <cp:lastModifiedBy>Sarah Abdullah</cp:lastModifiedBy>
  <cp:revision>4</cp:revision>
  <dcterms:created xsi:type="dcterms:W3CDTF">2023-06-07T19:21:00Z</dcterms:created>
  <dcterms:modified xsi:type="dcterms:W3CDTF">2023-07-03T23:45:00Z</dcterms:modified>
</cp:coreProperties>
</file>