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E16F" w14:textId="43A34159" w:rsidR="001C7DB2" w:rsidRPr="0072768E" w:rsidRDefault="00264677" w:rsidP="006E2853">
      <w:pPr>
        <w:bidi/>
        <w:spacing w:line="240" w:lineRule="auto"/>
        <w:ind w:hanging="283"/>
        <w:rPr>
          <w:rFonts w:ascii="Simplified Arabic" w:hAnsi="Simplified Arabic" w:cs="Simplified Arabic"/>
          <w:b/>
          <w:bCs/>
          <w:sz w:val="28"/>
          <w:szCs w:val="28"/>
        </w:rPr>
      </w:pPr>
      <w:r w:rsidRPr="0072768E">
        <w:rPr>
          <w:rFonts w:ascii="Simplified Arabic" w:hAnsi="Simplified Arabic" w:cs="Simplified Arabic"/>
          <w:b/>
          <w:noProof/>
          <w:sz w:val="28"/>
          <w:szCs w:val="28"/>
        </w:rPr>
        <w:drawing>
          <wp:anchor distT="0" distB="0" distL="114300" distR="114300" simplePos="0" relativeHeight="251658240" behindDoc="0" locked="0" layoutInCell="1" allowOverlap="1" wp14:anchorId="20E6F61A" wp14:editId="33087387">
            <wp:simplePos x="0" y="0"/>
            <wp:positionH relativeFrom="margin">
              <wp:posOffset>-798271</wp:posOffset>
            </wp:positionH>
            <wp:positionV relativeFrom="margin">
              <wp:posOffset>-587960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CBA0549" w14:textId="77777777" w:rsidR="00A95690" w:rsidRPr="0072768E" w:rsidRDefault="00A95690" w:rsidP="006E2853">
      <w:pPr>
        <w:bidi/>
        <w:jc w:val="center"/>
        <w:rPr>
          <w:rFonts w:ascii="Simplified Arabic" w:hAnsi="Simplified Arabic" w:cs="Simplified Arabic"/>
          <w:b/>
          <w:bCs/>
          <w:sz w:val="28"/>
          <w:szCs w:val="28"/>
        </w:rPr>
      </w:pPr>
    </w:p>
    <w:p w14:paraId="7C56E943" w14:textId="77777777" w:rsidR="00A95690" w:rsidRPr="0072768E" w:rsidRDefault="00A95690" w:rsidP="00A95690">
      <w:pPr>
        <w:bidi/>
        <w:jc w:val="center"/>
        <w:rPr>
          <w:rFonts w:ascii="Simplified Arabic" w:hAnsi="Simplified Arabic" w:cs="Simplified Arabic"/>
          <w:b/>
          <w:bCs/>
          <w:sz w:val="28"/>
          <w:szCs w:val="28"/>
        </w:rPr>
      </w:pPr>
    </w:p>
    <w:p w14:paraId="1A9CD56B" w14:textId="0769AE78" w:rsidR="007A31DC" w:rsidRPr="0072768E" w:rsidRDefault="00C11026" w:rsidP="00A95690">
      <w:pPr>
        <w:bidi/>
        <w:jc w:val="center"/>
        <w:rPr>
          <w:rFonts w:ascii="Simplified Arabic" w:hAnsi="Simplified Arabic" w:cs="Simplified Arabic"/>
          <w:b/>
          <w:bCs/>
          <w:sz w:val="28"/>
          <w:szCs w:val="28"/>
          <w:rtl/>
        </w:rPr>
      </w:pPr>
      <w:r w:rsidRPr="0072768E">
        <w:rPr>
          <w:rFonts w:ascii="Simplified Arabic" w:hAnsi="Simplified Arabic" w:cs="Simplified Arabic"/>
          <w:b/>
          <w:bCs/>
          <w:sz w:val="28"/>
          <w:szCs w:val="28"/>
          <w:rtl/>
        </w:rPr>
        <w:t xml:space="preserve">مشروع </w:t>
      </w:r>
      <w:r w:rsidR="007A31DC" w:rsidRPr="0072768E">
        <w:rPr>
          <w:rFonts w:ascii="Simplified Arabic" w:hAnsi="Simplified Arabic" w:cs="Simplified Arabic"/>
          <w:b/>
          <w:bCs/>
          <w:sz w:val="28"/>
          <w:szCs w:val="28"/>
          <w:rtl/>
        </w:rPr>
        <w:t xml:space="preserve">خطة </w:t>
      </w:r>
      <w:r w:rsidR="00BE609B" w:rsidRPr="0072768E">
        <w:rPr>
          <w:rFonts w:ascii="Simplified Arabic" w:hAnsi="Simplified Arabic" w:cs="Simplified Arabic"/>
          <w:b/>
          <w:bCs/>
          <w:sz w:val="28"/>
          <w:szCs w:val="28"/>
          <w:rtl/>
        </w:rPr>
        <w:t xml:space="preserve">أطروحة </w:t>
      </w:r>
      <w:r w:rsidR="002D3349" w:rsidRPr="0072768E">
        <w:rPr>
          <w:rFonts w:ascii="Simplified Arabic" w:hAnsi="Simplified Arabic" w:cs="Simplified Arabic"/>
          <w:b/>
          <w:bCs/>
          <w:sz w:val="28"/>
          <w:szCs w:val="28"/>
          <w:rtl/>
        </w:rPr>
        <w:t>ل</w:t>
      </w:r>
      <w:r w:rsidR="007A31DC" w:rsidRPr="0072768E">
        <w:rPr>
          <w:rFonts w:ascii="Simplified Arabic" w:hAnsi="Simplified Arabic" w:cs="Simplified Arabic"/>
          <w:b/>
          <w:bCs/>
          <w:sz w:val="28"/>
          <w:szCs w:val="28"/>
          <w:rtl/>
        </w:rPr>
        <w:t xml:space="preserve">لتسجيل </w:t>
      </w:r>
      <w:r w:rsidR="00395E1F" w:rsidRPr="0072768E">
        <w:rPr>
          <w:rFonts w:ascii="Simplified Arabic" w:hAnsi="Simplified Arabic" w:cs="Simplified Arabic"/>
          <w:b/>
          <w:bCs/>
          <w:sz w:val="28"/>
          <w:szCs w:val="28"/>
          <w:rtl/>
        </w:rPr>
        <w:t>ل</w:t>
      </w:r>
      <w:r w:rsidR="007A31DC" w:rsidRPr="0072768E">
        <w:rPr>
          <w:rFonts w:ascii="Simplified Arabic" w:hAnsi="Simplified Arabic" w:cs="Simplified Arabic"/>
          <w:b/>
          <w:bCs/>
          <w:sz w:val="28"/>
          <w:szCs w:val="28"/>
          <w:rtl/>
        </w:rPr>
        <w:t>درجة الدكتوراه</w:t>
      </w:r>
    </w:p>
    <w:p w14:paraId="2CA46BFA" w14:textId="77777777" w:rsidR="007A31DC" w:rsidRPr="0072768E" w:rsidRDefault="007A31DC" w:rsidP="00F307DE">
      <w:pPr>
        <w:pStyle w:val="NormalWeb"/>
        <w:bidi/>
        <w:spacing w:before="0" w:beforeAutospacing="0" w:after="0" w:afterAutospacing="0"/>
        <w:ind w:right="-270"/>
        <w:rPr>
          <w:rFonts w:ascii="Simplified Arabic" w:hAnsi="Simplified Arabic" w:cs="Simplified Arabic"/>
          <w:b/>
          <w:bCs/>
          <w:sz w:val="28"/>
          <w:szCs w:val="28"/>
          <w:rtl/>
          <w:lang w:bidi="ar-JO"/>
        </w:rPr>
      </w:pPr>
    </w:p>
    <w:p w14:paraId="66BAE000" w14:textId="37C36CA9" w:rsidR="005B37D4" w:rsidRPr="0072768E" w:rsidRDefault="00AD070F" w:rsidP="00AD070F">
      <w:pPr>
        <w:bidi/>
        <w:spacing w:line="360" w:lineRule="auto"/>
        <w:jc w:val="center"/>
        <w:rPr>
          <w:rFonts w:ascii="Simplified Arabic" w:eastAsia="Times New Roman" w:hAnsi="Simplified Arabic" w:cs="Simplified Arabic"/>
          <w:b/>
          <w:bCs/>
          <w:sz w:val="28"/>
          <w:szCs w:val="28"/>
          <w:rtl/>
        </w:rPr>
      </w:pPr>
      <w:bookmarkStart w:id="0" w:name="_Hlk195359241"/>
      <w:r w:rsidRPr="0072768E">
        <w:rPr>
          <w:rFonts w:ascii="Simplified Arabic" w:eastAsia="Times New Roman" w:hAnsi="Simplified Arabic" w:cs="Simplified Arabic"/>
          <w:b/>
          <w:bCs/>
          <w:sz w:val="36"/>
          <w:szCs w:val="36"/>
          <w:rtl/>
        </w:rPr>
        <w:t>أثر تقنية الترميز على الأمن السيبراني وكفاءة العمليات المالية في المؤسسات السعودية: دراسة تحليلية وفق رؤية 2030</w:t>
      </w:r>
    </w:p>
    <w:bookmarkEnd w:id="0"/>
    <w:p w14:paraId="5A8B63BA" w14:textId="3638D99A" w:rsidR="006E2853" w:rsidRPr="0072768E" w:rsidRDefault="00AD070F" w:rsidP="006E2853">
      <w:pPr>
        <w:pStyle w:val="NormalWeb"/>
        <w:bidi/>
        <w:spacing w:before="0" w:beforeAutospacing="0" w:after="0" w:afterAutospacing="0"/>
        <w:ind w:right="-270"/>
        <w:jc w:val="center"/>
        <w:rPr>
          <w:rFonts w:ascii="Simplified Arabic" w:hAnsi="Simplified Arabic" w:cs="Simplified Arabic"/>
          <w:b/>
          <w:bCs/>
          <w:sz w:val="36"/>
          <w:szCs w:val="36"/>
        </w:rPr>
      </w:pPr>
      <w:r w:rsidRPr="0072768E">
        <w:rPr>
          <w:rFonts w:ascii="Simplified Arabic" w:hAnsi="Simplified Arabic" w:cs="Simplified Arabic"/>
          <w:b/>
          <w:bCs/>
          <w:sz w:val="36"/>
          <w:szCs w:val="36"/>
        </w:rPr>
        <w:t>The Impact of Tokenization on Cybersecurity and Financial Operations Efficiency in Saudi Institutions: An Analytical Study According to Vision 2030</w:t>
      </w:r>
    </w:p>
    <w:p w14:paraId="3DD02F9B" w14:textId="77777777" w:rsidR="00AD070F" w:rsidRPr="0072768E" w:rsidRDefault="00AD070F" w:rsidP="00AD070F">
      <w:pPr>
        <w:pStyle w:val="NormalWeb"/>
        <w:bidi/>
        <w:spacing w:before="0" w:beforeAutospacing="0" w:after="0" w:afterAutospacing="0"/>
        <w:ind w:right="-270"/>
        <w:jc w:val="center"/>
        <w:rPr>
          <w:rFonts w:ascii="Simplified Arabic" w:hAnsi="Simplified Arabic" w:cs="Simplified Arabic"/>
          <w:b/>
          <w:bCs/>
          <w:sz w:val="36"/>
          <w:szCs w:val="36"/>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72768E" w:rsidRPr="0072768E" w14:paraId="42F9CBE0" w14:textId="4104E405" w:rsidTr="00BE609B">
        <w:tc>
          <w:tcPr>
            <w:tcW w:w="1763" w:type="dxa"/>
          </w:tcPr>
          <w:p w14:paraId="4059763A" w14:textId="6A53FEA7"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اسم الباحث</w:t>
            </w:r>
          </w:p>
        </w:tc>
        <w:tc>
          <w:tcPr>
            <w:tcW w:w="252" w:type="dxa"/>
          </w:tcPr>
          <w:p w14:paraId="43197712" w14:textId="0CFEB903"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w:t>
            </w:r>
          </w:p>
        </w:tc>
        <w:tc>
          <w:tcPr>
            <w:tcW w:w="5778" w:type="dxa"/>
          </w:tcPr>
          <w:p w14:paraId="73AC6230" w14:textId="67153E12" w:rsidR="004B484B" w:rsidRPr="0072768E" w:rsidRDefault="005B37D4"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فيصل معيض الشريف</w:t>
            </w:r>
          </w:p>
        </w:tc>
      </w:tr>
      <w:tr w:rsidR="0072768E" w:rsidRPr="0072768E" w14:paraId="6FA7B4A8" w14:textId="02E32D0F" w:rsidTr="00BE609B">
        <w:tc>
          <w:tcPr>
            <w:tcW w:w="1763" w:type="dxa"/>
          </w:tcPr>
          <w:p w14:paraId="040F1E28" w14:textId="61B47481" w:rsidR="004B484B" w:rsidRPr="0072768E" w:rsidRDefault="00395E1F"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 xml:space="preserve">الرقم </w:t>
            </w:r>
            <w:r w:rsidR="006E2853" w:rsidRPr="0072768E">
              <w:rPr>
                <w:rFonts w:ascii="Simplified Arabic" w:hAnsi="Simplified Arabic" w:cs="Simplified Arabic" w:hint="cs"/>
                <w:b/>
                <w:bCs/>
                <w:sz w:val="28"/>
                <w:szCs w:val="28"/>
                <w:rtl/>
              </w:rPr>
              <w:t>الأكاديمي</w:t>
            </w:r>
          </w:p>
        </w:tc>
        <w:tc>
          <w:tcPr>
            <w:tcW w:w="252" w:type="dxa"/>
          </w:tcPr>
          <w:p w14:paraId="53048679" w14:textId="235E86A8"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w:t>
            </w:r>
          </w:p>
        </w:tc>
        <w:tc>
          <w:tcPr>
            <w:tcW w:w="5778" w:type="dxa"/>
          </w:tcPr>
          <w:p w14:paraId="60443D63" w14:textId="0EF3FFCD" w:rsidR="00BE609B" w:rsidRPr="0072768E" w:rsidRDefault="00770426"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222001870</w:t>
            </w:r>
          </w:p>
        </w:tc>
      </w:tr>
      <w:tr w:rsidR="0072768E" w:rsidRPr="0072768E" w14:paraId="627B39DB" w14:textId="0373C5D2" w:rsidTr="00BE609B">
        <w:tc>
          <w:tcPr>
            <w:tcW w:w="1763" w:type="dxa"/>
          </w:tcPr>
          <w:p w14:paraId="0FCA9608" w14:textId="2B6BE0D9" w:rsidR="004B484B" w:rsidRPr="0072768E" w:rsidRDefault="00BE609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 xml:space="preserve">الكلية                    </w:t>
            </w:r>
          </w:p>
        </w:tc>
        <w:tc>
          <w:tcPr>
            <w:tcW w:w="252" w:type="dxa"/>
          </w:tcPr>
          <w:p w14:paraId="69EA7444" w14:textId="2B4C85B0" w:rsidR="004B484B" w:rsidRPr="0072768E" w:rsidRDefault="00BE609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w:t>
            </w:r>
          </w:p>
        </w:tc>
        <w:tc>
          <w:tcPr>
            <w:tcW w:w="5778" w:type="dxa"/>
          </w:tcPr>
          <w:p w14:paraId="0B78AAB6" w14:textId="1423EF6D" w:rsidR="004B484B" w:rsidRPr="0072768E" w:rsidRDefault="006E2853"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hint="cs"/>
                <w:b/>
                <w:bCs/>
                <w:sz w:val="28"/>
                <w:szCs w:val="28"/>
                <w:rtl/>
              </w:rPr>
              <w:t>كلية الإدارة</w:t>
            </w:r>
          </w:p>
        </w:tc>
      </w:tr>
      <w:tr w:rsidR="006E2853" w:rsidRPr="0072768E" w14:paraId="51860AEF" w14:textId="0FB5AA02" w:rsidTr="00BE609B">
        <w:tc>
          <w:tcPr>
            <w:tcW w:w="1763" w:type="dxa"/>
          </w:tcPr>
          <w:p w14:paraId="2C6768A4" w14:textId="49EB9922"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c>
          <w:tcPr>
            <w:tcW w:w="252" w:type="dxa"/>
          </w:tcPr>
          <w:p w14:paraId="16262C81" w14:textId="42441BCF"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c>
          <w:tcPr>
            <w:tcW w:w="5778" w:type="dxa"/>
          </w:tcPr>
          <w:p w14:paraId="4747D229" w14:textId="77777777"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r>
    </w:tbl>
    <w:p w14:paraId="7097FBB9" w14:textId="77777777" w:rsidR="00395E1F" w:rsidRPr="0072768E" w:rsidRDefault="00395E1F" w:rsidP="00F307DE">
      <w:pPr>
        <w:pStyle w:val="NormalWeb"/>
        <w:bidi/>
        <w:spacing w:before="0" w:beforeAutospacing="0" w:after="0" w:afterAutospacing="0"/>
        <w:ind w:right="-270"/>
        <w:rPr>
          <w:rFonts w:ascii="Simplified Arabic" w:hAnsi="Simplified Arabic" w:cs="Simplified Arabic"/>
          <w:b/>
          <w:bCs/>
          <w:sz w:val="28"/>
          <w:szCs w:val="28"/>
          <w:rtl/>
        </w:rPr>
      </w:pPr>
    </w:p>
    <w:p w14:paraId="796D8FB3" w14:textId="67F77596" w:rsidR="004B484B" w:rsidRPr="0072768E" w:rsidRDefault="004B484B" w:rsidP="00F307DE">
      <w:pPr>
        <w:bidi/>
        <w:spacing w:line="240" w:lineRule="auto"/>
        <w:rPr>
          <w:rFonts w:ascii="Simplified Arabic" w:hAnsi="Simplified Arabic" w:cs="Simplified Arabic"/>
          <w:noProof/>
          <w:sz w:val="28"/>
          <w:szCs w:val="28"/>
          <w:rtl/>
          <w:lang w:bidi="ar-JO"/>
        </w:rPr>
      </w:pPr>
    </w:p>
    <w:p w14:paraId="567EE102" w14:textId="3ABCF257" w:rsidR="00395E1F" w:rsidRPr="0072768E" w:rsidRDefault="00770426" w:rsidP="006E2853">
      <w:pPr>
        <w:bidi/>
        <w:jc w:val="center"/>
        <w:rPr>
          <w:rFonts w:ascii="Simplified Arabic" w:hAnsi="Simplified Arabic" w:cs="Simplified Arabic"/>
          <w:b/>
          <w:bCs/>
          <w:sz w:val="28"/>
          <w:szCs w:val="28"/>
          <w:rtl/>
        </w:rPr>
      </w:pPr>
      <w:r w:rsidRPr="0072768E">
        <w:rPr>
          <w:rFonts w:ascii="Simplified Arabic" w:hAnsi="Simplified Arabic" w:cs="Simplified Arabic"/>
          <w:b/>
          <w:bCs/>
          <w:sz w:val="28"/>
          <w:szCs w:val="28"/>
        </w:rPr>
        <w:t>46</w:t>
      </w:r>
      <w:r w:rsidR="00883E09" w:rsidRPr="0072768E">
        <w:rPr>
          <w:rFonts w:ascii="Simplified Arabic" w:hAnsi="Simplified Arabic" w:cs="Simplified Arabic"/>
          <w:b/>
          <w:bCs/>
          <w:sz w:val="28"/>
          <w:szCs w:val="28"/>
          <w:rtl/>
        </w:rPr>
        <w:t>14</w:t>
      </w:r>
      <w:r w:rsidR="006E2853" w:rsidRPr="0072768E">
        <w:rPr>
          <w:rFonts w:ascii="Simplified Arabic" w:hAnsi="Simplified Arabic" w:cs="Simplified Arabic" w:hint="cs"/>
          <w:b/>
          <w:bCs/>
          <w:sz w:val="28"/>
          <w:szCs w:val="28"/>
          <w:rtl/>
        </w:rPr>
        <w:t>ه</w:t>
      </w:r>
      <w:r w:rsidR="006E2853" w:rsidRPr="0072768E">
        <w:rPr>
          <w:rFonts w:ascii="Simplified Arabic" w:hAnsi="Simplified Arabic" w:cs="Simplified Arabic"/>
          <w:b/>
          <w:bCs/>
          <w:sz w:val="28"/>
          <w:szCs w:val="28"/>
        </w:rPr>
        <w:t xml:space="preserve"> </w:t>
      </w:r>
      <w:r w:rsidR="006E2853" w:rsidRPr="0072768E">
        <w:rPr>
          <w:rFonts w:ascii="Simplified Arabic" w:hAnsi="Simplified Arabic" w:cs="Simplified Arabic" w:hint="cs"/>
          <w:b/>
          <w:bCs/>
          <w:sz w:val="28"/>
          <w:szCs w:val="28"/>
          <w:rtl/>
        </w:rPr>
        <w:t>- 2025</w:t>
      </w:r>
      <w:r w:rsidR="00883E09" w:rsidRPr="0072768E">
        <w:rPr>
          <w:rFonts w:ascii="Simplified Arabic" w:hAnsi="Simplified Arabic" w:cs="Simplified Arabic"/>
          <w:b/>
          <w:bCs/>
          <w:sz w:val="28"/>
          <w:szCs w:val="28"/>
          <w:rtl/>
        </w:rPr>
        <w:t xml:space="preserve"> </w:t>
      </w:r>
      <w:r w:rsidR="00C472D8" w:rsidRPr="0072768E">
        <w:rPr>
          <w:rFonts w:ascii="Simplified Arabic" w:hAnsi="Simplified Arabic" w:cs="Simplified Arabic"/>
          <w:b/>
          <w:bCs/>
          <w:sz w:val="28"/>
          <w:szCs w:val="28"/>
          <w:rtl/>
        </w:rPr>
        <w:t>م</w:t>
      </w:r>
      <w:r w:rsidR="00C472D8" w:rsidRPr="0072768E">
        <w:rPr>
          <w:rFonts w:ascii="Simplified Arabic" w:hAnsi="Simplified Arabic" w:cs="Simplified Arabic"/>
          <w:b/>
          <w:bCs/>
          <w:sz w:val="28"/>
          <w:szCs w:val="28"/>
          <w:rtl/>
        </w:rPr>
        <w:br/>
      </w:r>
    </w:p>
    <w:p w14:paraId="2C7F9F9E" w14:textId="442AB77D" w:rsidR="00BF2A76" w:rsidRPr="0072768E" w:rsidRDefault="00BF2A76" w:rsidP="00F307DE">
      <w:pPr>
        <w:bidi/>
        <w:rPr>
          <w:rFonts w:ascii="Simplified Arabic" w:hAnsi="Simplified Arabic" w:cs="Simplified Arabic"/>
          <w:b/>
          <w:bCs/>
          <w:sz w:val="28"/>
          <w:szCs w:val="28"/>
          <w:rtl/>
        </w:rPr>
      </w:pPr>
    </w:p>
    <w:p w14:paraId="35CE0815" w14:textId="09BC1F05" w:rsidR="00AD783C" w:rsidRPr="0072768E" w:rsidRDefault="00AD783C" w:rsidP="00F307DE">
      <w:pPr>
        <w:bidi/>
        <w:rPr>
          <w:rFonts w:ascii="Simplified Arabic" w:hAnsi="Simplified Arabic" w:cs="Simplified Arabic"/>
          <w:b/>
          <w:bCs/>
          <w:sz w:val="28"/>
          <w:szCs w:val="28"/>
        </w:rPr>
      </w:pPr>
    </w:p>
    <w:p w14:paraId="1EB529D3" w14:textId="77777777" w:rsidR="00AD070F" w:rsidRPr="0072768E" w:rsidRDefault="00AD070F" w:rsidP="00AD070F">
      <w:pPr>
        <w:bidi/>
        <w:rPr>
          <w:rFonts w:ascii="Simplified Arabic" w:hAnsi="Simplified Arabic" w:cs="Simplified Arabic"/>
          <w:b/>
          <w:bCs/>
          <w:sz w:val="28"/>
          <w:szCs w:val="28"/>
        </w:rPr>
      </w:pPr>
    </w:p>
    <w:p w14:paraId="23E1243A" w14:textId="77777777" w:rsidR="00AD070F" w:rsidRPr="0072768E" w:rsidRDefault="00AD070F" w:rsidP="00AD070F">
      <w:pPr>
        <w:rPr>
          <w:rtl/>
        </w:rPr>
      </w:pPr>
    </w:p>
    <w:p w14:paraId="7E6CA43F" w14:textId="77777777" w:rsidR="00DF1676" w:rsidRDefault="006E2853" w:rsidP="000C2DBF">
      <w:pPr>
        <w:pStyle w:val="Heading1"/>
        <w:numPr>
          <w:ilvl w:val="0"/>
          <w:numId w:val="0"/>
        </w:numPr>
        <w:bidi/>
        <w:ind w:left="432" w:hanging="432"/>
        <w:rPr>
          <w:rFonts w:ascii="Simplified Arabic" w:hAnsi="Simplified Arabic" w:cs="Simplified Arabic"/>
          <w:b/>
          <w:bCs/>
          <w:color w:val="auto"/>
          <w:sz w:val="28"/>
          <w:szCs w:val="28"/>
          <w:u w:val="single"/>
        </w:rPr>
      </w:pPr>
      <w:r w:rsidRPr="0072768E">
        <w:rPr>
          <w:rFonts w:ascii="Simplified Arabic" w:hAnsi="Simplified Arabic" w:cs="Simplified Arabic"/>
          <w:b/>
          <w:bCs/>
          <w:color w:val="auto"/>
          <w:sz w:val="28"/>
          <w:szCs w:val="28"/>
          <w:u w:val="single"/>
          <w:rtl/>
        </w:rPr>
        <w:br w:type="page"/>
      </w:r>
      <w:bookmarkStart w:id="1" w:name="_Toc224563911"/>
      <w:bookmarkStart w:id="2" w:name="_Toc224563968"/>
      <w:r w:rsidR="003A195A" w:rsidRPr="0072768E">
        <w:rPr>
          <w:rFonts w:ascii="Simplified Arabic" w:hAnsi="Simplified Arabic" w:cs="Simplified Arabic" w:hint="cs"/>
          <w:b/>
          <w:bCs/>
          <w:color w:val="auto"/>
          <w:sz w:val="28"/>
          <w:szCs w:val="28"/>
          <w:u w:val="single"/>
          <w:rtl/>
        </w:rPr>
        <w:lastRenderedPageBreak/>
        <w:t>المحتويات</w:t>
      </w:r>
      <w:bookmarkEnd w:id="1"/>
      <w:bookmarkEnd w:id="2"/>
    </w:p>
    <w:p w14:paraId="3D377D4A" w14:textId="72E197D0"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r>
        <w:rPr>
          <w:rFonts w:ascii="Simplified Arabic" w:hAnsi="Simplified Arabic" w:cs="Simplified Arabic"/>
          <w:b w:val="0"/>
          <w:bCs w:val="0"/>
          <w:sz w:val="28"/>
          <w:u w:val="single"/>
          <w:rtl/>
        </w:rPr>
        <w:fldChar w:fldCharType="begin"/>
      </w:r>
      <w:r>
        <w:rPr>
          <w:rFonts w:ascii="Simplified Arabic" w:hAnsi="Simplified Arabic" w:cs="Simplified Arabic"/>
          <w:b w:val="0"/>
          <w:bCs w:val="0"/>
          <w:sz w:val="28"/>
          <w:u w:val="single"/>
          <w:rtl/>
        </w:rPr>
        <w:instrText xml:space="preserve"> </w:instrText>
      </w:r>
      <w:r>
        <w:rPr>
          <w:rFonts w:ascii="Simplified Arabic" w:hAnsi="Simplified Arabic" w:cs="Simplified Arabic"/>
          <w:b w:val="0"/>
          <w:bCs w:val="0"/>
          <w:sz w:val="28"/>
          <w:u w:val="single"/>
        </w:rPr>
        <w:instrText>TOC</w:instrText>
      </w:r>
      <w:r>
        <w:rPr>
          <w:rFonts w:ascii="Simplified Arabic" w:hAnsi="Simplified Arabic" w:cs="Simplified Arabic"/>
          <w:b w:val="0"/>
          <w:bCs w:val="0"/>
          <w:sz w:val="28"/>
          <w:u w:val="single"/>
          <w:rtl/>
        </w:rPr>
        <w:instrText xml:space="preserve"> \</w:instrText>
      </w:r>
      <w:r>
        <w:rPr>
          <w:rFonts w:ascii="Simplified Arabic" w:hAnsi="Simplified Arabic" w:cs="Simplified Arabic"/>
          <w:b w:val="0"/>
          <w:bCs w:val="0"/>
          <w:sz w:val="28"/>
          <w:u w:val="single"/>
        </w:rPr>
        <w:instrText>o "1-1" \h \z \u</w:instrText>
      </w:r>
      <w:r>
        <w:rPr>
          <w:rFonts w:ascii="Simplified Arabic" w:hAnsi="Simplified Arabic" w:cs="Simplified Arabic"/>
          <w:b w:val="0"/>
          <w:bCs w:val="0"/>
          <w:sz w:val="28"/>
          <w:u w:val="single"/>
          <w:rtl/>
        </w:rPr>
        <w:instrText xml:space="preserve"> </w:instrText>
      </w:r>
      <w:r>
        <w:rPr>
          <w:rFonts w:ascii="Simplified Arabic" w:hAnsi="Simplified Arabic" w:cs="Simplified Arabic"/>
          <w:b w:val="0"/>
          <w:bCs w:val="0"/>
          <w:sz w:val="28"/>
          <w:u w:val="single"/>
          <w:rtl/>
        </w:rPr>
        <w:fldChar w:fldCharType="separate"/>
      </w:r>
      <w:hyperlink w:anchor="_Toc224563968" w:history="1">
        <w:r w:rsidRPr="00DF1676">
          <w:rPr>
            <w:rStyle w:val="Hyperlink"/>
            <w:rFonts w:ascii="Sakkal Majalla" w:hAnsi="Sakkal Majalla" w:cs="Sakkal Majalla"/>
            <w:noProof/>
            <w:sz w:val="20"/>
            <w:szCs w:val="20"/>
            <w:rtl/>
          </w:rPr>
          <w:t>المحتويات</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Toc224563968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2</w:t>
        </w:r>
        <w:r w:rsidRPr="00DF1676">
          <w:rPr>
            <w:rFonts w:ascii="Sakkal Majalla" w:hAnsi="Sakkal Majalla" w:cs="Sakkal Majalla"/>
            <w:noProof/>
            <w:webHidden/>
            <w:sz w:val="20"/>
            <w:szCs w:val="20"/>
            <w:rtl/>
          </w:rPr>
          <w:fldChar w:fldCharType="end"/>
        </w:r>
      </w:hyperlink>
    </w:p>
    <w:p w14:paraId="14CE67BD" w14:textId="708E8665"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69" w:history="1">
        <w:r w:rsidRPr="00DF1676">
          <w:rPr>
            <w:rStyle w:val="Hyperlink"/>
            <w:rFonts w:ascii="Sakkal Majalla" w:hAnsi="Sakkal Majalla" w:cs="Sakkal Majalla"/>
            <w:noProof/>
            <w:sz w:val="20"/>
            <w:szCs w:val="20"/>
            <w:rtl/>
          </w:rPr>
          <w:t>الملخص (بالعربية)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Toc224563969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8</w:t>
        </w:r>
        <w:r w:rsidRPr="00DF1676">
          <w:rPr>
            <w:rFonts w:ascii="Sakkal Majalla" w:hAnsi="Sakkal Majalla" w:cs="Sakkal Majalla"/>
            <w:noProof/>
            <w:webHidden/>
            <w:sz w:val="20"/>
            <w:szCs w:val="20"/>
            <w:rtl/>
          </w:rPr>
          <w:fldChar w:fldCharType="end"/>
        </w:r>
      </w:hyperlink>
    </w:p>
    <w:p w14:paraId="4D6E67B2" w14:textId="314375CE"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70" w:history="1">
        <w:r w:rsidRPr="00DF1676">
          <w:rPr>
            <w:rStyle w:val="Hyperlink"/>
            <w:rFonts w:ascii="Sakkal Majalla" w:hAnsi="Sakkal Majalla" w:cs="Sakkal Majalla"/>
            <w:noProof/>
            <w:sz w:val="20"/>
            <w:szCs w:val="20"/>
          </w:rPr>
          <w:t>Abstract (English)</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Toc224563970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9</w:t>
        </w:r>
        <w:r w:rsidRPr="00DF1676">
          <w:rPr>
            <w:rFonts w:ascii="Sakkal Majalla" w:hAnsi="Sakkal Majalla" w:cs="Sakkal Majalla"/>
            <w:noProof/>
            <w:webHidden/>
            <w:sz w:val="20"/>
            <w:szCs w:val="20"/>
            <w:rtl/>
          </w:rPr>
          <w:fldChar w:fldCharType="end"/>
        </w:r>
      </w:hyperlink>
    </w:p>
    <w:p w14:paraId="1F8CEDAF" w14:textId="395DC550"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71" w:history="1">
        <w:r w:rsidRPr="00DF1676">
          <w:rPr>
            <w:rStyle w:val="Hyperlink"/>
            <w:rFonts w:ascii="Sakkal Majalla" w:hAnsi="Sakkal Majalla" w:cs="Sakkal Majalla"/>
            <w:noProof/>
            <w:sz w:val="20"/>
            <w:szCs w:val="20"/>
            <w:rtl/>
          </w:rPr>
          <w:t>الفصل الأول</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Toc224563971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11</w:t>
        </w:r>
        <w:r w:rsidRPr="00DF1676">
          <w:rPr>
            <w:rFonts w:ascii="Sakkal Majalla" w:hAnsi="Sakkal Majalla" w:cs="Sakkal Majalla"/>
            <w:noProof/>
            <w:webHidden/>
            <w:sz w:val="20"/>
            <w:szCs w:val="20"/>
            <w:rtl/>
          </w:rPr>
          <w:fldChar w:fldCharType="end"/>
        </w:r>
      </w:hyperlink>
    </w:p>
    <w:p w14:paraId="7C871A21" w14:textId="5F46E5EA"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72" w:history="1">
        <w:r w:rsidRPr="00DF1676">
          <w:rPr>
            <w:rStyle w:val="Hyperlink"/>
            <w:rFonts w:ascii="Sakkal Majalla" w:hAnsi="Sakkal Majalla" w:cs="Sakkal Majalla"/>
            <w:noProof/>
            <w:sz w:val="20"/>
            <w:szCs w:val="20"/>
            <w:rtl/>
          </w:rPr>
          <w:t>مقدمة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Toc224563972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12</w:t>
        </w:r>
        <w:r w:rsidRPr="00DF1676">
          <w:rPr>
            <w:rFonts w:ascii="Sakkal Majalla" w:hAnsi="Sakkal Majalla" w:cs="Sakkal Majalla"/>
            <w:noProof/>
            <w:webHidden/>
            <w:sz w:val="20"/>
            <w:szCs w:val="20"/>
            <w:rtl/>
          </w:rPr>
          <w:fldChar w:fldCharType="end"/>
        </w:r>
      </w:hyperlink>
    </w:p>
    <w:p w14:paraId="66024FBC" w14:textId="18E6C730"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73" w:history="1">
        <w:r w:rsidRPr="00DF1676">
          <w:rPr>
            <w:rStyle w:val="Hyperlink"/>
            <w:rFonts w:ascii="Sakkal Majalla" w:hAnsi="Sakkal Majalla" w:cs="Sakkal Majalla"/>
            <w:noProof/>
            <w:sz w:val="20"/>
            <w:szCs w:val="20"/>
            <w:rtl/>
          </w:rPr>
          <w:t>مشكلة الدراسة وأسئلتها:</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Toc224563973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14</w:t>
        </w:r>
        <w:r w:rsidRPr="00DF1676">
          <w:rPr>
            <w:rFonts w:ascii="Sakkal Majalla" w:hAnsi="Sakkal Majalla" w:cs="Sakkal Majalla"/>
            <w:noProof/>
            <w:webHidden/>
            <w:sz w:val="20"/>
            <w:szCs w:val="20"/>
            <w:rtl/>
          </w:rPr>
          <w:fldChar w:fldCharType="end"/>
        </w:r>
      </w:hyperlink>
    </w:p>
    <w:p w14:paraId="01B9C0EF" w14:textId="4E953C34"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74" w:history="1">
        <w:r w:rsidRPr="00DF1676">
          <w:rPr>
            <w:rStyle w:val="Hyperlink"/>
            <w:rFonts w:ascii="Sakkal Majalla" w:hAnsi="Sakkal Majalla" w:cs="Sakkal Majalla"/>
            <w:noProof/>
            <w:sz w:val="20"/>
            <w:szCs w:val="20"/>
            <w:rtl/>
          </w:rPr>
          <w:t>أسئلة البحث</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Toc224563974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16</w:t>
        </w:r>
        <w:r w:rsidRPr="00DF1676">
          <w:rPr>
            <w:rFonts w:ascii="Sakkal Majalla" w:hAnsi="Sakkal Majalla" w:cs="Sakkal Majalla"/>
            <w:noProof/>
            <w:webHidden/>
            <w:sz w:val="20"/>
            <w:szCs w:val="20"/>
            <w:rtl/>
          </w:rPr>
          <w:fldChar w:fldCharType="end"/>
        </w:r>
      </w:hyperlink>
    </w:p>
    <w:p w14:paraId="59504C61" w14:textId="2D4BA9A5"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2" w:history="1">
        <w:r w:rsidRPr="00DF1676">
          <w:rPr>
            <w:rStyle w:val="Hyperlink"/>
            <w:rFonts w:ascii="Sakkal Majalla" w:hAnsi="Sakkal Majalla" w:cs="Sakkal Majalla"/>
            <w:noProof/>
            <w:sz w:val="20"/>
            <w:szCs w:val="20"/>
            <w:rtl/>
          </w:rPr>
          <w:t>أهمية الدراسة (النظرية والتطبيقية):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Toc224563992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17</w:t>
        </w:r>
        <w:r w:rsidRPr="00DF1676">
          <w:rPr>
            <w:rFonts w:ascii="Sakkal Majalla" w:hAnsi="Sakkal Majalla" w:cs="Sakkal Majalla"/>
            <w:noProof/>
            <w:webHidden/>
            <w:sz w:val="20"/>
            <w:szCs w:val="20"/>
            <w:rtl/>
          </w:rPr>
          <w:fldChar w:fldCharType="end"/>
        </w:r>
      </w:hyperlink>
    </w:p>
    <w:p w14:paraId="788F164D" w14:textId="0F541C62"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3" w:history="1">
        <w:r w:rsidRPr="00DF1676">
          <w:rPr>
            <w:rStyle w:val="Hyperlink"/>
            <w:rFonts w:ascii="Sakkal Majalla" w:hAnsi="Sakkal Majalla" w:cs="Sakkal Majalla"/>
            <w:noProof/>
            <w:sz w:val="20"/>
            <w:szCs w:val="20"/>
            <w:rtl/>
          </w:rPr>
          <w:t>أهداف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Toc224563993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21</w:t>
        </w:r>
        <w:r w:rsidRPr="00DF1676">
          <w:rPr>
            <w:rFonts w:ascii="Sakkal Majalla" w:hAnsi="Sakkal Majalla" w:cs="Sakkal Majalla"/>
            <w:noProof/>
            <w:webHidden/>
            <w:sz w:val="20"/>
            <w:szCs w:val="20"/>
            <w:rtl/>
          </w:rPr>
          <w:fldChar w:fldCharType="end"/>
        </w:r>
      </w:hyperlink>
    </w:p>
    <w:p w14:paraId="24578BD9" w14:textId="0AAFC0D6"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4" w:history="1">
        <w:r w:rsidRPr="00DF1676">
          <w:rPr>
            <w:rStyle w:val="Hyperlink"/>
            <w:rFonts w:ascii="Sakkal Majalla" w:hAnsi="Sakkal Majalla" w:cs="Sakkal Majalla"/>
            <w:noProof/>
            <w:sz w:val="20"/>
            <w:szCs w:val="20"/>
            <w:rtl/>
          </w:rPr>
          <w:t>فرضيات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Toc224563994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22</w:t>
        </w:r>
        <w:r w:rsidRPr="00DF1676">
          <w:rPr>
            <w:rFonts w:ascii="Sakkal Majalla" w:hAnsi="Sakkal Majalla" w:cs="Sakkal Majalla"/>
            <w:noProof/>
            <w:webHidden/>
            <w:sz w:val="20"/>
            <w:szCs w:val="20"/>
            <w:rtl/>
          </w:rPr>
          <w:fldChar w:fldCharType="end"/>
        </w:r>
      </w:hyperlink>
    </w:p>
    <w:p w14:paraId="4D9CD1AF" w14:textId="06B02BDC"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5" w:history="1">
        <w:r w:rsidRPr="00DF1676">
          <w:rPr>
            <w:rStyle w:val="Hyperlink"/>
            <w:rFonts w:ascii="Sakkal Majalla" w:hAnsi="Sakkal Majalla" w:cs="Sakkal Majalla"/>
            <w:noProof/>
            <w:sz w:val="20"/>
            <w:szCs w:val="20"/>
            <w:rtl/>
          </w:rPr>
          <w:t>الدراسات المرجعية: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Toc224563995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25</w:t>
        </w:r>
        <w:r w:rsidRPr="00DF1676">
          <w:rPr>
            <w:rFonts w:ascii="Sakkal Majalla" w:hAnsi="Sakkal Majalla" w:cs="Sakkal Majalla"/>
            <w:noProof/>
            <w:webHidden/>
            <w:sz w:val="20"/>
            <w:szCs w:val="20"/>
            <w:rtl/>
          </w:rPr>
          <w:fldChar w:fldCharType="end"/>
        </w:r>
      </w:hyperlink>
    </w:p>
    <w:p w14:paraId="1424F5DA" w14:textId="299E6047"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6" w:history="1">
        <w:r w:rsidRPr="00DF1676">
          <w:rPr>
            <w:rStyle w:val="Hyperlink"/>
            <w:rFonts w:ascii="Sakkal Majalla" w:hAnsi="Sakkal Majalla" w:cs="Sakkal Majalla"/>
            <w:noProof/>
            <w:sz w:val="20"/>
            <w:szCs w:val="20"/>
            <w:rtl/>
          </w:rPr>
          <w:t>مصطلحات الدراسة وتعريفاتها الإجرائية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Toc224563996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30</w:t>
        </w:r>
        <w:r w:rsidRPr="00DF1676">
          <w:rPr>
            <w:rFonts w:ascii="Sakkal Majalla" w:hAnsi="Sakkal Majalla" w:cs="Sakkal Majalla"/>
            <w:noProof/>
            <w:webHidden/>
            <w:sz w:val="20"/>
            <w:szCs w:val="20"/>
            <w:rtl/>
          </w:rPr>
          <w:fldChar w:fldCharType="end"/>
        </w:r>
      </w:hyperlink>
    </w:p>
    <w:p w14:paraId="68F8666A" w14:textId="25C04C34"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7" w:history="1">
        <w:r w:rsidRPr="00DF1676">
          <w:rPr>
            <w:rStyle w:val="Hyperlink"/>
            <w:rFonts w:ascii="Sakkal Majalla" w:hAnsi="Sakkal Majalla" w:cs="Sakkal Majalla"/>
            <w:noProof/>
            <w:sz w:val="20"/>
            <w:szCs w:val="20"/>
            <w:rtl/>
          </w:rPr>
          <w:t>إجراءات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Toc224563997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35</w:t>
        </w:r>
        <w:r w:rsidRPr="00DF1676">
          <w:rPr>
            <w:rFonts w:ascii="Sakkal Majalla" w:hAnsi="Sakkal Majalla" w:cs="Sakkal Majalla"/>
            <w:noProof/>
            <w:webHidden/>
            <w:sz w:val="20"/>
            <w:szCs w:val="20"/>
            <w:rtl/>
          </w:rPr>
          <w:fldChar w:fldCharType="end"/>
        </w:r>
      </w:hyperlink>
    </w:p>
    <w:p w14:paraId="1C7DCF85" w14:textId="4EDC3CDA"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8" w:history="1">
        <w:r w:rsidRPr="00DF1676">
          <w:rPr>
            <w:rStyle w:val="Hyperlink"/>
            <w:rFonts w:ascii="Sakkal Majalla" w:hAnsi="Sakkal Majalla" w:cs="Sakkal Majalla"/>
            <w:noProof/>
            <w:sz w:val="20"/>
            <w:szCs w:val="20"/>
            <w:rtl/>
          </w:rPr>
          <w:t>مجتمع وعينة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Toc224563998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40</w:t>
        </w:r>
        <w:r w:rsidRPr="00DF1676">
          <w:rPr>
            <w:rFonts w:ascii="Sakkal Majalla" w:hAnsi="Sakkal Majalla" w:cs="Sakkal Majalla"/>
            <w:noProof/>
            <w:webHidden/>
            <w:sz w:val="20"/>
            <w:szCs w:val="20"/>
            <w:rtl/>
          </w:rPr>
          <w:fldChar w:fldCharType="end"/>
        </w:r>
      </w:hyperlink>
    </w:p>
    <w:p w14:paraId="218EE115" w14:textId="031F5CDC"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3999" w:history="1">
        <w:r w:rsidRPr="00DF1676">
          <w:rPr>
            <w:rStyle w:val="Hyperlink"/>
            <w:rFonts w:ascii="Sakkal Majalla" w:hAnsi="Sakkal Majalla" w:cs="Sakkal Majalla"/>
            <w:noProof/>
            <w:sz w:val="20"/>
            <w:szCs w:val="20"/>
            <w:rtl/>
          </w:rPr>
          <w:t>حدود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Toc224563999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43</w:t>
        </w:r>
        <w:r w:rsidRPr="00DF1676">
          <w:rPr>
            <w:rFonts w:ascii="Sakkal Majalla" w:hAnsi="Sakkal Majalla" w:cs="Sakkal Majalla"/>
            <w:noProof/>
            <w:webHidden/>
            <w:sz w:val="20"/>
            <w:szCs w:val="20"/>
            <w:rtl/>
          </w:rPr>
          <w:fldChar w:fldCharType="end"/>
        </w:r>
      </w:hyperlink>
    </w:p>
    <w:p w14:paraId="015DAC36" w14:textId="0107F114"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00" w:history="1">
        <w:r w:rsidRPr="00DF1676">
          <w:rPr>
            <w:rStyle w:val="Hyperlink"/>
            <w:rFonts w:ascii="Sakkal Majalla" w:hAnsi="Sakkal Majalla" w:cs="Sakkal Majalla"/>
            <w:noProof/>
            <w:sz w:val="20"/>
            <w:szCs w:val="20"/>
            <w:rtl/>
          </w:rPr>
          <w:t xml:space="preserve">المراجعة المنهجية </w:t>
        </w:r>
        <w:r w:rsidRPr="00DF1676">
          <w:rPr>
            <w:rStyle w:val="Hyperlink"/>
            <w:rFonts w:ascii="Sakkal Majalla" w:hAnsi="Sakkal Majalla" w:cs="Sakkal Majalla"/>
            <w:noProof/>
            <w:sz w:val="20"/>
            <w:szCs w:val="20"/>
          </w:rPr>
          <w:t>(Systematic Review)</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Toc224564000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49</w:t>
        </w:r>
        <w:r w:rsidRPr="00DF1676">
          <w:rPr>
            <w:rFonts w:ascii="Sakkal Majalla" w:hAnsi="Sakkal Majalla" w:cs="Sakkal Majalla"/>
            <w:noProof/>
            <w:webHidden/>
            <w:sz w:val="20"/>
            <w:szCs w:val="20"/>
            <w:rtl/>
          </w:rPr>
          <w:fldChar w:fldCharType="end"/>
        </w:r>
      </w:hyperlink>
    </w:p>
    <w:p w14:paraId="01A45555" w14:textId="3DD72031"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01" w:history="1">
        <w:r w:rsidRPr="00DF1676">
          <w:rPr>
            <w:rStyle w:val="Hyperlink"/>
            <w:rFonts w:ascii="Sakkal Majalla" w:hAnsi="Sakkal Majalla" w:cs="Sakkal Majalla"/>
            <w:noProof/>
            <w:sz w:val="20"/>
            <w:szCs w:val="20"/>
            <w:rtl/>
          </w:rPr>
          <w:t>تحليل الوثائق</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Toc224564001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52</w:t>
        </w:r>
        <w:r w:rsidRPr="00DF1676">
          <w:rPr>
            <w:rFonts w:ascii="Sakkal Majalla" w:hAnsi="Sakkal Majalla" w:cs="Sakkal Majalla"/>
            <w:noProof/>
            <w:webHidden/>
            <w:sz w:val="20"/>
            <w:szCs w:val="20"/>
            <w:rtl/>
          </w:rPr>
          <w:fldChar w:fldCharType="end"/>
        </w:r>
      </w:hyperlink>
    </w:p>
    <w:p w14:paraId="186A5CD3" w14:textId="2F45596E"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02" w:history="1">
        <w:r w:rsidRPr="00DF1676">
          <w:rPr>
            <w:rStyle w:val="Hyperlink"/>
            <w:rFonts w:ascii="Sakkal Majalla" w:hAnsi="Sakkal Majalla" w:cs="Sakkal Majalla"/>
            <w:noProof/>
            <w:sz w:val="20"/>
            <w:szCs w:val="20"/>
            <w:rtl/>
          </w:rPr>
          <w:t>المعالجات الإحصائية المقترحة: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Toc224564002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53</w:t>
        </w:r>
        <w:r w:rsidRPr="00DF1676">
          <w:rPr>
            <w:rFonts w:ascii="Sakkal Majalla" w:hAnsi="Sakkal Majalla" w:cs="Sakkal Majalla"/>
            <w:noProof/>
            <w:webHidden/>
            <w:sz w:val="20"/>
            <w:szCs w:val="20"/>
            <w:rtl/>
          </w:rPr>
          <w:fldChar w:fldCharType="end"/>
        </w:r>
      </w:hyperlink>
    </w:p>
    <w:p w14:paraId="07F31246" w14:textId="445B57A1"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2" w:history="1">
        <w:r w:rsidRPr="00DF1676">
          <w:rPr>
            <w:rStyle w:val="Hyperlink"/>
            <w:rFonts w:ascii="Sakkal Majalla" w:hAnsi="Sakkal Majalla" w:cs="Sakkal Majalla"/>
            <w:noProof/>
            <w:sz w:val="20"/>
            <w:szCs w:val="20"/>
            <w:rtl/>
          </w:rPr>
          <w:t>خطوات تنفيذ خطة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Toc224564012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56</w:t>
        </w:r>
        <w:r w:rsidRPr="00DF1676">
          <w:rPr>
            <w:rFonts w:ascii="Sakkal Majalla" w:hAnsi="Sakkal Majalla" w:cs="Sakkal Majalla"/>
            <w:noProof/>
            <w:webHidden/>
            <w:sz w:val="20"/>
            <w:szCs w:val="20"/>
            <w:rtl/>
          </w:rPr>
          <w:fldChar w:fldCharType="end"/>
        </w:r>
      </w:hyperlink>
    </w:p>
    <w:p w14:paraId="1310BAE9" w14:textId="7A8D928D"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3" w:history="1">
        <w:r w:rsidRPr="00DF1676">
          <w:rPr>
            <w:rStyle w:val="Hyperlink"/>
            <w:rFonts w:ascii="Sakkal Majalla" w:hAnsi="Sakkal Majalla" w:cs="Sakkal Majalla"/>
            <w:noProof/>
            <w:sz w:val="20"/>
            <w:szCs w:val="20"/>
            <w:rtl/>
          </w:rPr>
          <w:t>الفصل الثاني</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Toc224564013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66</w:t>
        </w:r>
        <w:r w:rsidRPr="00DF1676">
          <w:rPr>
            <w:rFonts w:ascii="Sakkal Majalla" w:hAnsi="Sakkal Majalla" w:cs="Sakkal Majalla"/>
            <w:noProof/>
            <w:webHidden/>
            <w:sz w:val="20"/>
            <w:szCs w:val="20"/>
            <w:rtl/>
          </w:rPr>
          <w:fldChar w:fldCharType="end"/>
        </w:r>
      </w:hyperlink>
    </w:p>
    <w:p w14:paraId="03DF27F5" w14:textId="347479AC"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4" w:history="1">
        <w:r w:rsidRPr="00DF1676">
          <w:rPr>
            <w:rStyle w:val="Hyperlink"/>
            <w:rFonts w:ascii="Sakkal Majalla" w:hAnsi="Sakkal Majalla" w:cs="Sakkal Majalla"/>
            <w:noProof/>
            <w:sz w:val="20"/>
            <w:szCs w:val="20"/>
            <w:rtl/>
          </w:rPr>
          <w:t>مقدمة الفصل</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Toc224564014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67</w:t>
        </w:r>
        <w:r w:rsidRPr="00DF1676">
          <w:rPr>
            <w:rFonts w:ascii="Sakkal Majalla" w:hAnsi="Sakkal Majalla" w:cs="Sakkal Majalla"/>
            <w:noProof/>
            <w:webHidden/>
            <w:sz w:val="20"/>
            <w:szCs w:val="20"/>
            <w:rtl/>
          </w:rPr>
          <w:fldChar w:fldCharType="end"/>
        </w:r>
      </w:hyperlink>
    </w:p>
    <w:p w14:paraId="230C9508" w14:textId="259B5A7E"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5" w:history="1">
        <w:r w:rsidRPr="00DF1676">
          <w:rPr>
            <w:rStyle w:val="Hyperlink"/>
            <w:rFonts w:ascii="Sakkal Majalla" w:hAnsi="Sakkal Majalla" w:cs="Sakkal Majalla"/>
            <w:noProof/>
            <w:sz w:val="20"/>
            <w:szCs w:val="20"/>
          </w:rPr>
          <w:t>2.1</w:t>
        </w:r>
        <w:r w:rsidRPr="00DF1676">
          <w:rPr>
            <w:rStyle w:val="Hyperlink"/>
            <w:rFonts w:ascii="Sakkal Majalla" w:hAnsi="Sakkal Majalla" w:cs="Sakkal Majalla"/>
            <w:noProof/>
            <w:sz w:val="20"/>
            <w:szCs w:val="20"/>
            <w:rtl/>
          </w:rPr>
          <w:t xml:space="preserve"> الإطار النظري</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Toc224564015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67</w:t>
        </w:r>
        <w:r w:rsidRPr="00DF1676">
          <w:rPr>
            <w:rFonts w:ascii="Sakkal Majalla" w:hAnsi="Sakkal Majalla" w:cs="Sakkal Majalla"/>
            <w:noProof/>
            <w:webHidden/>
            <w:sz w:val="20"/>
            <w:szCs w:val="20"/>
            <w:rtl/>
          </w:rPr>
          <w:fldChar w:fldCharType="end"/>
        </w:r>
      </w:hyperlink>
    </w:p>
    <w:p w14:paraId="34BE2222" w14:textId="07D388FD"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6" w:history="1">
        <w:r w:rsidRPr="00DF1676">
          <w:rPr>
            <w:rStyle w:val="Hyperlink"/>
            <w:rFonts w:ascii="Sakkal Majalla" w:hAnsi="Sakkal Majalla" w:cs="Sakkal Majalla"/>
            <w:noProof/>
            <w:sz w:val="20"/>
            <w:szCs w:val="20"/>
          </w:rPr>
          <w:t xml:space="preserve">2.2 </w:t>
        </w:r>
        <w:r w:rsidRPr="00DF1676">
          <w:rPr>
            <w:rStyle w:val="Hyperlink"/>
            <w:rFonts w:ascii="Sakkal Majalla" w:hAnsi="Sakkal Majalla" w:cs="Sakkal Majalla"/>
            <w:noProof/>
            <w:sz w:val="20"/>
            <w:szCs w:val="20"/>
            <w:rtl/>
          </w:rPr>
          <w:t>الدراسات السابقة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Toc224564016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95</w:t>
        </w:r>
        <w:r w:rsidRPr="00DF1676">
          <w:rPr>
            <w:rFonts w:ascii="Sakkal Majalla" w:hAnsi="Sakkal Majalla" w:cs="Sakkal Majalla"/>
            <w:noProof/>
            <w:webHidden/>
            <w:sz w:val="20"/>
            <w:szCs w:val="20"/>
            <w:rtl/>
          </w:rPr>
          <w:fldChar w:fldCharType="end"/>
        </w:r>
      </w:hyperlink>
    </w:p>
    <w:p w14:paraId="7D303E1A" w14:textId="4A27A32B"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7" w:history="1">
        <w:r w:rsidRPr="00DF1676">
          <w:rPr>
            <w:rStyle w:val="Hyperlink"/>
            <w:rFonts w:ascii="Sakkal Majalla" w:hAnsi="Sakkal Majalla" w:cs="Sakkal Majalla"/>
            <w:noProof/>
            <w:sz w:val="20"/>
            <w:szCs w:val="20"/>
          </w:rPr>
          <w:t xml:space="preserve">2.3 </w:t>
        </w:r>
        <w:r w:rsidRPr="00DF1676">
          <w:rPr>
            <w:rStyle w:val="Hyperlink"/>
            <w:rFonts w:ascii="Sakkal Majalla" w:hAnsi="Sakkal Majalla" w:cs="Sakkal Majalla"/>
            <w:noProof/>
            <w:sz w:val="20"/>
            <w:szCs w:val="20"/>
            <w:rtl/>
          </w:rPr>
          <w:t>جدول شامل للدراسات السابقة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Toc224564017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100</w:t>
        </w:r>
        <w:r w:rsidRPr="00DF1676">
          <w:rPr>
            <w:rFonts w:ascii="Sakkal Majalla" w:hAnsi="Sakkal Majalla" w:cs="Sakkal Majalla"/>
            <w:noProof/>
            <w:webHidden/>
            <w:sz w:val="20"/>
            <w:szCs w:val="20"/>
            <w:rtl/>
          </w:rPr>
          <w:fldChar w:fldCharType="end"/>
        </w:r>
      </w:hyperlink>
    </w:p>
    <w:p w14:paraId="3ECB5DC9" w14:textId="689EB031"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8" w:history="1">
        <w:r w:rsidRPr="00DF1676">
          <w:rPr>
            <w:rStyle w:val="Hyperlink"/>
            <w:rFonts w:ascii="Sakkal Majalla" w:hAnsi="Sakkal Majalla" w:cs="Sakkal Majalla"/>
            <w:noProof/>
            <w:sz w:val="20"/>
            <w:szCs w:val="20"/>
          </w:rPr>
          <w:t xml:space="preserve">2.4 </w:t>
        </w:r>
        <w:r w:rsidRPr="00DF1676">
          <w:rPr>
            <w:rStyle w:val="Hyperlink"/>
            <w:rFonts w:ascii="Sakkal Majalla" w:hAnsi="Sakkal Majalla" w:cs="Sakkal Majalla"/>
            <w:noProof/>
            <w:sz w:val="20"/>
            <w:szCs w:val="20"/>
            <w:rtl/>
          </w:rPr>
          <w:t>التعليق على الدراسات السابقة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Toc224564018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103</w:t>
        </w:r>
        <w:r w:rsidRPr="00DF1676">
          <w:rPr>
            <w:rFonts w:ascii="Sakkal Majalla" w:hAnsi="Sakkal Majalla" w:cs="Sakkal Majalla"/>
            <w:noProof/>
            <w:webHidden/>
            <w:sz w:val="20"/>
            <w:szCs w:val="20"/>
            <w:rtl/>
          </w:rPr>
          <w:fldChar w:fldCharType="end"/>
        </w:r>
      </w:hyperlink>
    </w:p>
    <w:p w14:paraId="1AD9C90E" w14:textId="0F93C7DF"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19" w:history="1">
        <w:r w:rsidRPr="00DF1676">
          <w:rPr>
            <w:rStyle w:val="Hyperlink"/>
            <w:rFonts w:ascii="Sakkal Majalla" w:hAnsi="Sakkal Majalla" w:cs="Sakkal Majalla"/>
            <w:noProof/>
            <w:sz w:val="20"/>
            <w:szCs w:val="20"/>
          </w:rPr>
          <w:t xml:space="preserve">2.5 </w:t>
        </w:r>
        <w:r w:rsidRPr="00DF1676">
          <w:rPr>
            <w:rStyle w:val="Hyperlink"/>
            <w:rFonts w:ascii="Sakkal Majalla" w:hAnsi="Sakkal Majalla" w:cs="Sakkal Majalla"/>
            <w:noProof/>
            <w:sz w:val="20"/>
            <w:szCs w:val="20"/>
            <w:rtl/>
          </w:rPr>
          <w:t>خلاصة الفصل</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Toc224564019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110</w:t>
        </w:r>
        <w:r w:rsidRPr="00DF1676">
          <w:rPr>
            <w:rFonts w:ascii="Sakkal Majalla" w:hAnsi="Sakkal Majalla" w:cs="Sakkal Majalla"/>
            <w:noProof/>
            <w:webHidden/>
            <w:sz w:val="20"/>
            <w:szCs w:val="20"/>
            <w:rtl/>
          </w:rPr>
          <w:fldChar w:fldCharType="end"/>
        </w:r>
      </w:hyperlink>
    </w:p>
    <w:p w14:paraId="3002DA2E" w14:textId="21B3ED2B"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20" w:history="1">
        <w:r w:rsidRPr="00DF1676">
          <w:rPr>
            <w:rStyle w:val="Hyperlink"/>
            <w:rFonts w:ascii="Sakkal Majalla" w:hAnsi="Sakkal Majalla" w:cs="Sakkal Majalla"/>
            <w:noProof/>
            <w:sz w:val="20"/>
            <w:szCs w:val="20"/>
            <w:rtl/>
          </w:rPr>
          <w:t>الفصل</w:t>
        </w:r>
        <w:r w:rsidRPr="00DF1676">
          <w:rPr>
            <w:rStyle w:val="Hyperlink"/>
            <w:rFonts w:ascii="Sakkal Majalla" w:hAnsi="Sakkal Majalla" w:cs="Sakkal Majalla"/>
            <w:noProof/>
            <w:sz w:val="20"/>
            <w:szCs w:val="20"/>
            <w:rtl/>
            <w:lang w:bidi="ar-EG"/>
          </w:rPr>
          <w:t xml:space="preserve"> </w:t>
        </w:r>
        <w:r w:rsidRPr="00DF1676">
          <w:rPr>
            <w:rStyle w:val="Hyperlink"/>
            <w:rFonts w:ascii="Sakkal Majalla" w:hAnsi="Sakkal Majalla" w:cs="Sakkal Majalla"/>
            <w:noProof/>
            <w:sz w:val="20"/>
            <w:szCs w:val="20"/>
            <w:rtl/>
          </w:rPr>
          <w:t>الثالث</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Toc224564020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112</w:t>
        </w:r>
        <w:r w:rsidRPr="00DF1676">
          <w:rPr>
            <w:rFonts w:ascii="Sakkal Majalla" w:hAnsi="Sakkal Majalla" w:cs="Sakkal Majalla"/>
            <w:noProof/>
            <w:webHidden/>
            <w:sz w:val="20"/>
            <w:szCs w:val="20"/>
            <w:rtl/>
          </w:rPr>
          <w:fldChar w:fldCharType="end"/>
        </w:r>
      </w:hyperlink>
    </w:p>
    <w:p w14:paraId="7878E41C" w14:textId="6CF6DABF"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21" w:history="1">
        <w:r w:rsidRPr="00DF1676">
          <w:rPr>
            <w:rStyle w:val="Hyperlink"/>
            <w:rFonts w:ascii="Sakkal Majalla" w:hAnsi="Sakkal Majalla" w:cs="Sakkal Majalla"/>
            <w:noProof/>
            <w:sz w:val="20"/>
            <w:szCs w:val="20"/>
            <w:rtl/>
            <w:lang w:bidi="ar-EG"/>
          </w:rPr>
          <w:t>منهجية الدراسة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Toc224564021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112</w:t>
        </w:r>
        <w:r w:rsidRPr="00DF1676">
          <w:rPr>
            <w:rFonts w:ascii="Sakkal Majalla" w:hAnsi="Sakkal Majalla" w:cs="Sakkal Majalla"/>
            <w:noProof/>
            <w:webHidden/>
            <w:sz w:val="20"/>
            <w:szCs w:val="20"/>
            <w:rtl/>
          </w:rPr>
          <w:fldChar w:fldCharType="end"/>
        </w:r>
      </w:hyperlink>
    </w:p>
    <w:p w14:paraId="50D3F85D" w14:textId="14B45840"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22" w:history="1">
        <w:r w:rsidRPr="00DF1676">
          <w:rPr>
            <w:rStyle w:val="Hyperlink"/>
            <w:rFonts w:ascii="Sakkal Majalla" w:hAnsi="Sakkal Majalla" w:cs="Sakkal Majalla"/>
            <w:noProof/>
            <w:sz w:val="20"/>
            <w:szCs w:val="20"/>
            <w:rtl/>
          </w:rPr>
          <w:t>المراجع:</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Toc224564022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125</w:t>
        </w:r>
        <w:r w:rsidRPr="00DF1676">
          <w:rPr>
            <w:rFonts w:ascii="Sakkal Majalla" w:hAnsi="Sakkal Majalla" w:cs="Sakkal Majalla"/>
            <w:noProof/>
            <w:webHidden/>
            <w:sz w:val="20"/>
            <w:szCs w:val="20"/>
            <w:rtl/>
          </w:rPr>
          <w:fldChar w:fldCharType="end"/>
        </w:r>
      </w:hyperlink>
    </w:p>
    <w:p w14:paraId="6EEBDABA" w14:textId="51137CA1" w:rsidR="00DF1676" w:rsidRPr="00DF1676" w:rsidRDefault="00DF1676" w:rsidP="00DF1676">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24564023" w:history="1">
        <w:r w:rsidRPr="00DF1676">
          <w:rPr>
            <w:rStyle w:val="Hyperlink"/>
            <w:rFonts w:ascii="Sakkal Majalla" w:hAnsi="Sakkal Majalla" w:cs="Sakkal Majalla"/>
            <w:noProof/>
            <w:sz w:val="20"/>
            <w:szCs w:val="20"/>
            <w:rtl/>
          </w:rPr>
          <w:t>المراجع العربية: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Toc224564023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125</w:t>
        </w:r>
        <w:r w:rsidRPr="00DF1676">
          <w:rPr>
            <w:rFonts w:ascii="Sakkal Majalla" w:hAnsi="Sakkal Majalla" w:cs="Sakkal Majalla"/>
            <w:noProof/>
            <w:webHidden/>
            <w:sz w:val="20"/>
            <w:szCs w:val="20"/>
            <w:rtl/>
          </w:rPr>
          <w:fldChar w:fldCharType="end"/>
        </w:r>
      </w:hyperlink>
    </w:p>
    <w:p w14:paraId="693314B1" w14:textId="029F4026" w:rsidR="00DF1676" w:rsidRDefault="00DF1676" w:rsidP="00DF1676">
      <w:pPr>
        <w:pStyle w:val="TOC1"/>
        <w:tabs>
          <w:tab w:val="right" w:leader="dot" w:pos="8296"/>
        </w:tabs>
        <w:spacing w:before="0" w:line="240" w:lineRule="auto"/>
        <w:rPr>
          <w:rFonts w:asciiTheme="minorHAnsi" w:eastAsiaTheme="minorEastAsia" w:hAnsiTheme="minorHAnsi" w:cstheme="minorBidi"/>
          <w:b w:val="0"/>
          <w:bCs w:val="0"/>
          <w:caps w:val="0"/>
          <w:noProof/>
          <w:kern w:val="2"/>
          <w:szCs w:val="24"/>
          <w:rtl/>
          <w14:ligatures w14:val="standardContextual"/>
        </w:rPr>
      </w:pPr>
      <w:hyperlink w:anchor="_Toc224564024" w:history="1">
        <w:r w:rsidRPr="00DF1676">
          <w:rPr>
            <w:rStyle w:val="Hyperlink"/>
            <w:rFonts w:ascii="Sakkal Majalla" w:hAnsi="Sakkal Majalla" w:cs="Sakkal Majalla"/>
            <w:noProof/>
            <w:sz w:val="20"/>
            <w:szCs w:val="20"/>
            <w:rtl/>
          </w:rPr>
          <w:t>المراجع الأجنبية:</w:t>
        </w:r>
        <w:r w:rsidRPr="00DF1676">
          <w:rPr>
            <w:rFonts w:ascii="Sakkal Majalla" w:hAnsi="Sakkal Majalla" w:cs="Sakkal Majalla"/>
            <w:noProof/>
            <w:webHidden/>
            <w:sz w:val="20"/>
            <w:szCs w:val="20"/>
            <w:rtl/>
          </w:rPr>
          <w:tab/>
        </w:r>
        <w:r w:rsidRPr="00DF1676">
          <w:rPr>
            <w:rFonts w:ascii="Sakkal Majalla" w:hAnsi="Sakkal Majalla" w:cs="Sakkal Majalla"/>
            <w:noProof/>
            <w:webHidden/>
            <w:sz w:val="20"/>
            <w:szCs w:val="20"/>
            <w:rtl/>
          </w:rPr>
          <w:fldChar w:fldCharType="begin"/>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Pr>
          <w:instrText>PAGEREF</w:instrText>
        </w:r>
        <w:r w:rsidRPr="00DF1676">
          <w:rPr>
            <w:rFonts w:ascii="Sakkal Majalla" w:hAnsi="Sakkal Majalla" w:cs="Sakkal Majalla"/>
            <w:noProof/>
            <w:webHidden/>
            <w:sz w:val="20"/>
            <w:szCs w:val="20"/>
            <w:rtl/>
          </w:rPr>
          <w:instrText xml:space="preserve"> _</w:instrText>
        </w:r>
        <w:r w:rsidRPr="00DF1676">
          <w:rPr>
            <w:rFonts w:ascii="Sakkal Majalla" w:hAnsi="Sakkal Majalla" w:cs="Sakkal Majalla"/>
            <w:noProof/>
            <w:webHidden/>
            <w:sz w:val="20"/>
            <w:szCs w:val="20"/>
          </w:rPr>
          <w:instrText>Toc224564024 \h</w:instrText>
        </w:r>
        <w:r w:rsidRPr="00DF1676">
          <w:rPr>
            <w:rFonts w:ascii="Sakkal Majalla" w:hAnsi="Sakkal Majalla" w:cs="Sakkal Majalla"/>
            <w:noProof/>
            <w:webHidden/>
            <w:sz w:val="20"/>
            <w:szCs w:val="20"/>
            <w:rtl/>
          </w:rPr>
          <w:instrText xml:space="preserve"> </w:instrText>
        </w:r>
        <w:r w:rsidRPr="00DF1676">
          <w:rPr>
            <w:rFonts w:ascii="Sakkal Majalla" w:hAnsi="Sakkal Majalla" w:cs="Sakkal Majalla"/>
            <w:noProof/>
            <w:webHidden/>
            <w:sz w:val="20"/>
            <w:szCs w:val="20"/>
            <w:rtl/>
          </w:rPr>
        </w:r>
        <w:r w:rsidRPr="00DF1676">
          <w:rPr>
            <w:rFonts w:ascii="Sakkal Majalla" w:hAnsi="Sakkal Majalla" w:cs="Sakkal Majalla"/>
            <w:noProof/>
            <w:webHidden/>
            <w:sz w:val="20"/>
            <w:szCs w:val="20"/>
            <w:rtl/>
          </w:rPr>
          <w:fldChar w:fldCharType="separate"/>
        </w:r>
        <w:r w:rsidRPr="00DF1676">
          <w:rPr>
            <w:rFonts w:ascii="Sakkal Majalla" w:hAnsi="Sakkal Majalla" w:cs="Sakkal Majalla"/>
            <w:noProof/>
            <w:webHidden/>
            <w:sz w:val="20"/>
            <w:szCs w:val="20"/>
            <w:rtl/>
          </w:rPr>
          <w:t>128</w:t>
        </w:r>
        <w:r w:rsidRPr="00DF1676">
          <w:rPr>
            <w:rFonts w:ascii="Sakkal Majalla" w:hAnsi="Sakkal Majalla" w:cs="Sakkal Majalla"/>
            <w:noProof/>
            <w:webHidden/>
            <w:sz w:val="20"/>
            <w:szCs w:val="20"/>
            <w:rtl/>
          </w:rPr>
          <w:fldChar w:fldCharType="end"/>
        </w:r>
      </w:hyperlink>
    </w:p>
    <w:p w14:paraId="0272A65F" w14:textId="67ADC5B5" w:rsidR="00DF1676" w:rsidRDefault="00DF1676" w:rsidP="00DF1676">
      <w:pPr>
        <w:pStyle w:val="Heading1"/>
        <w:numPr>
          <w:ilvl w:val="0"/>
          <w:numId w:val="0"/>
        </w:numPr>
        <w:bidi/>
        <w:ind w:left="432" w:hanging="432"/>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tl/>
        </w:rPr>
        <w:fldChar w:fldCharType="end"/>
      </w:r>
    </w:p>
    <w:p w14:paraId="0F12BB29" w14:textId="77777777" w:rsidR="00DF1676" w:rsidRDefault="00DF1676" w:rsidP="00DF1676">
      <w:pPr>
        <w:pStyle w:val="Heading1"/>
        <w:numPr>
          <w:ilvl w:val="0"/>
          <w:numId w:val="0"/>
        </w:numPr>
        <w:bidi/>
        <w:ind w:left="432" w:hanging="432"/>
        <w:rPr>
          <w:rFonts w:ascii="Simplified Arabic" w:hAnsi="Simplified Arabic" w:cs="Simplified Arabic"/>
          <w:b/>
          <w:bCs/>
          <w:color w:val="auto"/>
          <w:sz w:val="28"/>
          <w:szCs w:val="28"/>
          <w:u w:val="single"/>
        </w:rPr>
      </w:pPr>
    </w:p>
    <w:p w14:paraId="326E3AF2" w14:textId="6AC47D95" w:rsidR="00722179" w:rsidRPr="000C2DBF" w:rsidRDefault="00722179" w:rsidP="00DF1676">
      <w:pPr>
        <w:pStyle w:val="Heading1"/>
        <w:numPr>
          <w:ilvl w:val="0"/>
          <w:numId w:val="0"/>
        </w:numPr>
        <w:bidi/>
        <w:ind w:left="432" w:hanging="432"/>
        <w:rPr>
          <w:rFonts w:ascii="Simplified Arabic" w:hAnsi="Simplified Arabic" w:cs="Simplified Arabic"/>
          <w:b/>
          <w:bCs/>
          <w:color w:val="auto"/>
          <w:sz w:val="28"/>
          <w:szCs w:val="28"/>
          <w:u w:val="single"/>
        </w:rPr>
      </w:pPr>
      <w:r w:rsidRPr="0072768E">
        <w:rPr>
          <w:rFonts w:ascii="Simplified Arabic" w:hAnsi="Simplified Arabic" w:cs="Simplified Arabic"/>
          <w:b/>
          <w:bCs/>
          <w:sz w:val="20"/>
          <w:szCs w:val="20"/>
        </w:rPr>
        <w:br w:type="page"/>
      </w:r>
    </w:p>
    <w:p w14:paraId="6DCA3EAC" w14:textId="553A5F81" w:rsidR="00C6300C" w:rsidRPr="00AD7D4E" w:rsidRDefault="00C6300C" w:rsidP="00AD7D4E">
      <w:pPr>
        <w:pStyle w:val="Heading1"/>
        <w:numPr>
          <w:ilvl w:val="0"/>
          <w:numId w:val="0"/>
        </w:numPr>
        <w:bidi/>
        <w:ind w:left="432" w:hanging="432"/>
        <w:rPr>
          <w:rFonts w:ascii="Simplified Arabic" w:hAnsi="Simplified Arabic" w:cs="Simplified Arabic"/>
          <w:b/>
          <w:bCs/>
          <w:color w:val="auto"/>
          <w:sz w:val="28"/>
          <w:szCs w:val="28"/>
          <w:u w:val="single"/>
        </w:rPr>
      </w:pPr>
      <w:bookmarkStart w:id="3" w:name="_Toc224563912"/>
      <w:bookmarkStart w:id="4" w:name="_Toc224563969"/>
      <w:r w:rsidRPr="00C6300C">
        <w:rPr>
          <w:rFonts w:ascii="Simplified Arabic" w:hAnsi="Simplified Arabic" w:cs="Simplified Arabic"/>
          <w:b/>
          <w:bCs/>
          <w:color w:val="auto"/>
          <w:sz w:val="28"/>
          <w:szCs w:val="28"/>
          <w:u w:val="single"/>
          <w:rtl/>
        </w:rPr>
        <w:lastRenderedPageBreak/>
        <w:t>الملخص (بالعربية)</w:t>
      </w:r>
      <w:bookmarkEnd w:id="3"/>
      <w:bookmarkEnd w:id="4"/>
    </w:p>
    <w:p w14:paraId="7A8323AF" w14:textId="2EC8CAFC" w:rsidR="00C6300C" w:rsidRP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تهدف هذه الدراسة إلى تحليل وتقييم أثر تقنية الترميز على تعزيز الأمن السيبراني وتحسين كفاءة العمليات المالية في المؤسسات المالية السعودية، في إطار رؤية المملكة 2030 للتحول الرقمي وتطوير القطاع المالي. تكتسب هذه الدراسة أهمية بالغة في ظل التحديات المتزايدة التي تواجه القطاع المالي السعودي من ناحية الهجمات السيبرانية المتصاعدة، والحاجة الملحة لتحسين كفاءة المعاملات المالية لتحقيق مستهدفات الرؤية.</w:t>
      </w:r>
    </w:p>
    <w:p w14:paraId="6A858157" w14:textId="3A7B2E75" w:rsidR="00C6300C" w:rsidRP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تتمثل أهداف الدراسة في قياس تأثير تقنية الترميز على مؤشرات الأمن السيبراني مثل معدلات الاختراقات الأمنية وحوادث سرقة البيانات والامتثال للمعايير الأمنية، بالإضافة إلى تحليل تأثيرها على كفاءة العمليات المالية من حيث تقليل وقت المعاملات وخفض التكاليف التشغيلية وتحسين تجربة العملاء. كما تهدف إلى تحديد الفروق في التأثير حسب حجم ونوع المؤسسات المالية، واستكشاف التحديات التي تواجه تبني هذه التقنية.</w:t>
      </w:r>
    </w:p>
    <w:p w14:paraId="42514D05" w14:textId="78E63238" w:rsidR="00C6300C" w:rsidRP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تعتمد الدراسة على المنهج المختلط الذي يجمع بين الأساليب الكمية والنوعية، باستخدام التصميم التتابعي التفسيري. تشمل عينة الدراسة 19 مؤسسة مالية سعودية مختارة قصدياً، تضم البنوك التقليدية والرقمية وشركات التقنية المالية، مع استهداف 95 مستجيباً من القيادات الإدارية والخبراء التقنيين. تستخدم الدراسة أدوات متنوعة لجمع البيانات تشمل الاستبانات الإلكترونية والمقابلات المتعمقة ومجموعات التركيز وتحليل الوثائق الرسمية.</w:t>
      </w:r>
    </w:p>
    <w:p w14:paraId="1A76C465" w14:textId="6372C100" w:rsid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تتوقع الدراسة إثبات وجود تأثير إيجابي كبير لتقنية الترميز على تعزيز الأمن السيبراني بانخفاض معدلات الاختراق بنسبة 25-30%، وتحسين كفاءة العمليات المالية بتقليل وقت المعاملات بنسبة 40% وخفض التكاليف بنسبة 25%. من المتوقع أيضاً تحديد اختلافات في التأثير حسب خصائص المؤسسات. تقدم الدراسة توصيات عملية لصناع القرار والجهات التنظيمية حول أفضل الممارسات لتبني تقنية الترميز، ونموذجاً مقترحاً لتقييم أثرها، مما يساهم في دعم تحقيق أهداف رؤية 2030 وتعزيز مكانة المملكة كمركز مالي رائد.</w:t>
      </w:r>
    </w:p>
    <w:p w14:paraId="24E0998E" w14:textId="77777777" w:rsidR="00AD7D4E" w:rsidRPr="00AD7D4E" w:rsidRDefault="00AD7D4E" w:rsidP="00AD7D4E">
      <w:pPr>
        <w:bidi/>
      </w:pPr>
    </w:p>
    <w:p w14:paraId="610C2F89" w14:textId="0C255587" w:rsidR="00C6300C" w:rsidRPr="00AD7D4E" w:rsidRDefault="00C6300C" w:rsidP="00AD7D4E">
      <w:pPr>
        <w:pStyle w:val="Heading1"/>
        <w:numPr>
          <w:ilvl w:val="0"/>
          <w:numId w:val="0"/>
        </w:numPr>
        <w:rPr>
          <w:rFonts w:ascii="Simplified Arabic" w:hAnsi="Simplified Arabic" w:cs="Simplified Arabic"/>
          <w:b/>
          <w:bCs/>
          <w:color w:val="auto"/>
          <w:sz w:val="28"/>
          <w:szCs w:val="28"/>
          <w:u w:val="single"/>
        </w:rPr>
      </w:pPr>
      <w:bookmarkStart w:id="5" w:name="_Toc224563913"/>
      <w:bookmarkStart w:id="6" w:name="_Toc224563970"/>
      <w:r w:rsidRPr="00C6300C">
        <w:rPr>
          <w:rFonts w:ascii="Simplified Arabic" w:hAnsi="Simplified Arabic" w:cs="Simplified Arabic"/>
          <w:b/>
          <w:bCs/>
          <w:color w:val="auto"/>
          <w:sz w:val="28"/>
          <w:szCs w:val="28"/>
          <w:u w:val="single"/>
        </w:rPr>
        <w:lastRenderedPageBreak/>
        <w:t>Abstract (English)</w:t>
      </w:r>
      <w:bookmarkEnd w:id="5"/>
      <w:bookmarkEnd w:id="6"/>
    </w:p>
    <w:p w14:paraId="2D8F4F1A" w14:textId="67EF166A" w:rsidR="00C6300C" w:rsidRPr="00C6300C" w:rsidRDefault="00C6300C" w:rsidP="00AD7D4E">
      <w:pPr>
        <w:pStyle w:val="Heading2"/>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Pr>
        <w:t xml:space="preserve">This study aims to analyze and evaluate the impact of tokenization technology on enhancing cybersecurity and improving financial operations efficiency in Saudi financial institutions, within the framework of Saudi Vision 2030 for digital transformation and financial sector development. The study gains significant importance amid the escalating challenges facing the Saudi financial sector regarding increasing </w:t>
      </w:r>
      <w:r w:rsidR="002529BB" w:rsidRPr="00C6300C">
        <w:rPr>
          <w:rFonts w:ascii="Simplified Arabic" w:hAnsi="Simplified Arabic" w:cs="Simplified Arabic"/>
          <w:color w:val="auto"/>
          <w:sz w:val="28"/>
          <w:szCs w:val="28"/>
        </w:rPr>
        <w:t>cyber-attacks</w:t>
      </w:r>
      <w:r w:rsidRPr="00C6300C">
        <w:rPr>
          <w:rFonts w:ascii="Simplified Arabic" w:hAnsi="Simplified Arabic" w:cs="Simplified Arabic"/>
          <w:color w:val="auto"/>
          <w:sz w:val="28"/>
          <w:szCs w:val="28"/>
        </w:rPr>
        <w:t xml:space="preserve"> and the urgent need to improve financial transaction efficiency to achieve Vision targets</w:t>
      </w:r>
      <w:r w:rsidRPr="00C6300C">
        <w:rPr>
          <w:rFonts w:ascii="Simplified Arabic" w:hAnsi="Simplified Arabic" w:cs="Simplified Arabic"/>
          <w:color w:val="auto"/>
          <w:sz w:val="28"/>
          <w:szCs w:val="28"/>
          <w:rtl/>
        </w:rPr>
        <w:t>.</w:t>
      </w:r>
    </w:p>
    <w:p w14:paraId="7036EE00" w14:textId="2EC98264" w:rsidR="00C6300C" w:rsidRPr="00C6300C" w:rsidRDefault="00C6300C" w:rsidP="00AD7D4E">
      <w:pPr>
        <w:pStyle w:val="Heading2"/>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Pr>
        <w:t>The study objectives include measuring tokenization technology's impact on cybersecurity indicators such as security breach rates, data theft incidents, and compliance with security standards, in addition to analyzing its effect on financial operations efficiency in terms of reducing transaction time, lowering operational costs, and improving customer experience. It also aims to identify differences in impact according to the size and type of financial institutions and explore challenges facing the adoption of this technology</w:t>
      </w:r>
      <w:r w:rsidRPr="00C6300C">
        <w:rPr>
          <w:rFonts w:ascii="Simplified Arabic" w:hAnsi="Simplified Arabic" w:cs="Simplified Arabic"/>
          <w:color w:val="auto"/>
          <w:sz w:val="28"/>
          <w:szCs w:val="28"/>
          <w:rtl/>
        </w:rPr>
        <w:t>.</w:t>
      </w:r>
    </w:p>
    <w:p w14:paraId="14B91C44" w14:textId="2DA31B96" w:rsidR="00C6300C" w:rsidRPr="00C6300C" w:rsidRDefault="00C6300C" w:rsidP="00AD7D4E">
      <w:pPr>
        <w:pStyle w:val="Heading2"/>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Pr>
        <w:t>The study employs a mixed-methods approach combining quantitative and qualitative methodologies using an explanatory sequential design. The study sample includes 19 purposively selected Saudi financial institutions, comprising traditional and digital banks and fintech companies, targeting 95 respondents from administrative leadership and technical experts. The study utilizes diverse data collection tools including electronic questionnaires, in-depth interviews, focus groups, and official document analysis</w:t>
      </w:r>
      <w:r w:rsidR="00AD7D4E">
        <w:rPr>
          <w:rFonts w:ascii="Simplified Arabic" w:hAnsi="Simplified Arabic" w:cs="Simplified Arabic"/>
          <w:color w:val="auto"/>
          <w:sz w:val="28"/>
          <w:szCs w:val="28"/>
        </w:rPr>
        <w:t>.</w:t>
      </w:r>
    </w:p>
    <w:p w14:paraId="6AB6CD3B" w14:textId="13E651C1" w:rsidR="00C6300C" w:rsidRDefault="00C6300C" w:rsidP="00C6300C">
      <w:pPr>
        <w:pStyle w:val="Heading2"/>
        <w:spacing w:before="0" w:after="120" w:line="276" w:lineRule="auto"/>
        <w:jc w:val="both"/>
        <w:rPr>
          <w:rFonts w:ascii="Simplified Arabic" w:hAnsi="Simplified Arabic" w:cs="Simplified Arabic"/>
          <w:color w:val="auto"/>
          <w:sz w:val="28"/>
          <w:szCs w:val="28"/>
          <w:rtl/>
        </w:rPr>
      </w:pPr>
      <w:r w:rsidRPr="00C6300C">
        <w:rPr>
          <w:rFonts w:ascii="Simplified Arabic" w:hAnsi="Simplified Arabic" w:cs="Simplified Arabic"/>
          <w:color w:val="auto"/>
          <w:sz w:val="28"/>
          <w:szCs w:val="28"/>
        </w:rPr>
        <w:lastRenderedPageBreak/>
        <w:t>The study expects to demonstrate a significant positive impact of tokenization technology on cybersecurity enhancement with breach rate reductions of 25-30%, and improved financial operations efficiency by reducing transaction time by 40% and costs by 25%. Variations in impact according to institutional characteristics are also expected to be identified. The study provides practical recommendations for decision-makers and regulatory bodies regarding best practices for tokenization adoption and proposes an evaluation model for assessing its impact, contributing to achieving Vision 2030 objectives and enhancing the Kingdom's position as a leading financial center</w:t>
      </w:r>
      <w:r w:rsidRPr="00C6300C">
        <w:rPr>
          <w:rFonts w:ascii="Simplified Arabic" w:hAnsi="Simplified Arabic" w:cs="Simplified Arabic"/>
          <w:color w:val="auto"/>
          <w:sz w:val="28"/>
          <w:szCs w:val="28"/>
          <w:rtl/>
        </w:rPr>
        <w:t>.</w:t>
      </w:r>
      <w:r>
        <w:rPr>
          <w:rFonts w:ascii="Simplified Arabic" w:hAnsi="Simplified Arabic" w:cs="Simplified Arabic"/>
          <w:color w:val="auto"/>
          <w:sz w:val="28"/>
          <w:szCs w:val="28"/>
          <w:rtl/>
        </w:rPr>
        <w:br w:type="page"/>
      </w:r>
    </w:p>
    <w:p w14:paraId="6B6FAE60" w14:textId="77777777" w:rsidR="00D370C1" w:rsidRDefault="00D370C1" w:rsidP="00D370C1">
      <w:pPr>
        <w:bidi/>
        <w:jc w:val="center"/>
        <w:rPr>
          <w:b/>
          <w:bCs/>
          <w:sz w:val="96"/>
          <w:szCs w:val="96"/>
          <w:rtl/>
          <w:lang w:bidi="ar-EG"/>
        </w:rPr>
      </w:pPr>
    </w:p>
    <w:p w14:paraId="21902BFB" w14:textId="77777777" w:rsidR="00D370C1" w:rsidRDefault="00D370C1" w:rsidP="00D370C1">
      <w:pPr>
        <w:bidi/>
        <w:jc w:val="center"/>
        <w:rPr>
          <w:b/>
          <w:bCs/>
          <w:sz w:val="96"/>
          <w:szCs w:val="96"/>
          <w:rtl/>
          <w:lang w:bidi="ar-EG"/>
        </w:rPr>
      </w:pPr>
    </w:p>
    <w:p w14:paraId="57FDE15C" w14:textId="77777777" w:rsidR="00D370C1" w:rsidRDefault="00D370C1" w:rsidP="00D370C1">
      <w:pPr>
        <w:bidi/>
        <w:jc w:val="center"/>
        <w:rPr>
          <w:b/>
          <w:bCs/>
          <w:sz w:val="96"/>
          <w:szCs w:val="96"/>
          <w:rtl/>
          <w:lang w:bidi="ar-EG"/>
        </w:rPr>
      </w:pPr>
    </w:p>
    <w:p w14:paraId="602248CA" w14:textId="32F40F5B" w:rsidR="00D370C1" w:rsidRPr="000C2DBF" w:rsidRDefault="00D370C1" w:rsidP="000C2DBF">
      <w:pPr>
        <w:pStyle w:val="Heading1"/>
        <w:numPr>
          <w:ilvl w:val="0"/>
          <w:numId w:val="0"/>
        </w:numPr>
        <w:bidi/>
        <w:spacing w:before="0" w:line="240" w:lineRule="auto"/>
        <w:ind w:left="432" w:hanging="432"/>
        <w:jc w:val="center"/>
        <w:rPr>
          <w:rFonts w:ascii="Simplified Arabic" w:hAnsi="Simplified Arabic" w:cs="Simplified Arabic"/>
          <w:b/>
          <w:bCs/>
          <w:color w:val="auto"/>
          <w:sz w:val="96"/>
          <w:szCs w:val="96"/>
          <w:rtl/>
        </w:rPr>
      </w:pPr>
      <w:bookmarkStart w:id="7" w:name="_Toc224563914"/>
      <w:bookmarkStart w:id="8" w:name="_Toc224563971"/>
      <w:r w:rsidRPr="000C2DBF">
        <w:rPr>
          <w:rFonts w:ascii="Simplified Arabic" w:hAnsi="Simplified Arabic" w:cs="Simplified Arabic" w:hint="cs"/>
          <w:b/>
          <w:bCs/>
          <w:color w:val="auto"/>
          <w:sz w:val="96"/>
          <w:szCs w:val="96"/>
          <w:rtl/>
        </w:rPr>
        <w:t>الفصل الأول</w:t>
      </w:r>
      <w:bookmarkEnd w:id="7"/>
      <w:bookmarkEnd w:id="8"/>
      <w:r w:rsidRPr="000C2DBF">
        <w:rPr>
          <w:rFonts w:ascii="Simplified Arabic" w:hAnsi="Simplified Arabic" w:cs="Simplified Arabic" w:hint="cs"/>
          <w:b/>
          <w:bCs/>
          <w:color w:val="auto"/>
          <w:sz w:val="96"/>
          <w:szCs w:val="96"/>
          <w:rtl/>
        </w:rPr>
        <w:t xml:space="preserve"> </w:t>
      </w:r>
    </w:p>
    <w:p w14:paraId="71507879" w14:textId="77777777" w:rsidR="00D370C1" w:rsidRDefault="00D370C1" w:rsidP="00D370C1">
      <w:pPr>
        <w:bidi/>
        <w:jc w:val="center"/>
        <w:rPr>
          <w:b/>
          <w:bCs/>
          <w:sz w:val="96"/>
          <w:szCs w:val="96"/>
          <w:rtl/>
          <w:lang w:bidi="ar-EG"/>
        </w:rPr>
      </w:pPr>
    </w:p>
    <w:p w14:paraId="7B519E5D" w14:textId="77777777" w:rsidR="00D370C1" w:rsidRPr="00542E5A" w:rsidRDefault="00D370C1" w:rsidP="00D370C1">
      <w:pPr>
        <w:bidi/>
        <w:jc w:val="center"/>
        <w:rPr>
          <w:b/>
          <w:bCs/>
          <w:sz w:val="96"/>
          <w:szCs w:val="96"/>
          <w:rtl/>
          <w:lang w:bidi="ar-EG"/>
        </w:rPr>
      </w:pPr>
    </w:p>
    <w:p w14:paraId="1E4F61D3" w14:textId="77777777" w:rsidR="00D370C1" w:rsidRPr="00542E5A" w:rsidRDefault="00D370C1" w:rsidP="00D370C1">
      <w:pPr>
        <w:bidi/>
        <w:jc w:val="center"/>
        <w:rPr>
          <w:b/>
          <w:bCs/>
          <w:sz w:val="96"/>
          <w:szCs w:val="96"/>
          <w:rtl/>
          <w:lang w:bidi="ar-EG"/>
        </w:rPr>
      </w:pPr>
      <w:r w:rsidRPr="00542E5A">
        <w:rPr>
          <w:rFonts w:hint="cs"/>
          <w:b/>
          <w:bCs/>
          <w:sz w:val="96"/>
          <w:szCs w:val="96"/>
          <w:rtl/>
          <w:lang w:bidi="ar-EG"/>
        </w:rPr>
        <w:t xml:space="preserve">الإطار العام </w:t>
      </w:r>
    </w:p>
    <w:p w14:paraId="02B695D8" w14:textId="5B5E24B1" w:rsidR="00C11026" w:rsidRPr="0072768E" w:rsidRDefault="00C11026" w:rsidP="00D370C1">
      <w:pPr>
        <w:pStyle w:val="Heading1"/>
        <w:numPr>
          <w:ilvl w:val="0"/>
          <w:numId w:val="0"/>
        </w:numPr>
        <w:bidi/>
        <w:ind w:left="432" w:hanging="432"/>
        <w:rPr>
          <w:rFonts w:ascii="Simplified Arabic" w:hAnsi="Simplified Arabic" w:cs="Simplified Arabic"/>
          <w:b/>
          <w:bCs/>
          <w:color w:val="auto"/>
          <w:sz w:val="28"/>
          <w:szCs w:val="28"/>
          <w:u w:val="single"/>
          <w:rtl/>
        </w:rPr>
      </w:pPr>
      <w:bookmarkStart w:id="9" w:name="_Toc224563915"/>
      <w:bookmarkStart w:id="10" w:name="_Toc224563972"/>
      <w:r w:rsidRPr="0072768E">
        <w:rPr>
          <w:rFonts w:ascii="Simplified Arabic" w:hAnsi="Simplified Arabic" w:cs="Simplified Arabic"/>
          <w:b/>
          <w:bCs/>
          <w:color w:val="auto"/>
          <w:sz w:val="28"/>
          <w:szCs w:val="28"/>
          <w:u w:val="single"/>
          <w:rtl/>
        </w:rPr>
        <w:lastRenderedPageBreak/>
        <w:t>مقدمة الدراسة</w:t>
      </w:r>
      <w:bookmarkEnd w:id="9"/>
      <w:bookmarkEnd w:id="10"/>
    </w:p>
    <w:p w14:paraId="6F7432A6"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يشهد العالم تحولات متسارعة في قطاع التكنولوجيا المالية</w:t>
      </w:r>
      <w:r w:rsidRPr="00E62032">
        <w:rPr>
          <w:rFonts w:ascii="Simplified Arabic" w:hAnsi="Simplified Arabic" w:cs="Simplified Arabic"/>
          <w:color w:val="auto"/>
          <w:sz w:val="28"/>
          <w:szCs w:val="28"/>
        </w:rPr>
        <w:t xml:space="preserve"> (Fintech) </w:t>
      </w:r>
      <w:r w:rsidRPr="00E62032">
        <w:rPr>
          <w:rFonts w:ascii="Simplified Arabic" w:hAnsi="Simplified Arabic" w:cs="Simplified Arabic"/>
          <w:color w:val="auto"/>
          <w:sz w:val="28"/>
          <w:szCs w:val="28"/>
          <w:rtl/>
        </w:rPr>
        <w:t>وتطبيقاتها المتنوعة، حيث برزت تقنية الترميز</w:t>
      </w:r>
      <w:r w:rsidRPr="00E62032">
        <w:rPr>
          <w:rFonts w:ascii="Simplified Arabic" w:hAnsi="Simplified Arabic" w:cs="Simplified Arabic"/>
          <w:color w:val="auto"/>
          <w:sz w:val="28"/>
          <w:szCs w:val="28"/>
        </w:rPr>
        <w:t xml:space="preserve"> (Tokenization) </w:t>
      </w:r>
      <w:r w:rsidRPr="00E62032">
        <w:rPr>
          <w:rFonts w:ascii="Simplified Arabic" w:hAnsi="Simplified Arabic" w:cs="Simplified Arabic"/>
          <w:color w:val="auto"/>
          <w:sz w:val="28"/>
          <w:szCs w:val="28"/>
          <w:rtl/>
        </w:rPr>
        <w:t>كأحد أهم الابتكارات التقنية التي تؤثر بشكل مباشر على مستقبل القطاع المالي. تعتبر هذه التقنية محورية في تعزيز الأمن السيبراني وتحسين كفاءة المعاملات المالية في ظل التحديات المتزايدة التي تواجهها المؤسسات المالية عالمياً</w:t>
      </w:r>
      <w:r w:rsidRPr="00E62032">
        <w:rPr>
          <w:rFonts w:ascii="Simplified Arabic" w:hAnsi="Simplified Arabic" w:cs="Simplified Arabic"/>
          <w:color w:val="auto"/>
          <w:sz w:val="28"/>
          <w:szCs w:val="28"/>
        </w:rPr>
        <w:t>.</w:t>
      </w:r>
    </w:p>
    <w:p w14:paraId="57C80C14"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في المملكة العربية السعودية، تكتسب تقنية الترميز أهمية استراتيجية خاصة في إطار رؤية 2030 التي تستهدف تحقيق تحول رقمي شامل وتطوير القطاع المالي ليصبح أكثر تنوعاً واستقراراً. وقد أكد "برنامج تطوير القطاع المالي" كأحد برامج تحقيق الرؤية على أهمية تبني التقنيات المالية الحديثة لتعزيز الابتكار وزيادة الشمول المالي وتحسين تجربة العملاء</w:t>
      </w:r>
      <w:r w:rsidRPr="00E62032">
        <w:rPr>
          <w:rFonts w:ascii="Simplified Arabic" w:hAnsi="Simplified Arabic" w:cs="Simplified Arabic"/>
          <w:color w:val="auto"/>
          <w:sz w:val="28"/>
          <w:szCs w:val="28"/>
        </w:rPr>
        <w:t>.</w:t>
      </w:r>
    </w:p>
    <w:p w14:paraId="30844C2F"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وفقاً لتقرير "فنتك السعودية" الصادر عن برنامج تطوير القطاع المالي (2023)، شهد حجم الاستثمار في قطاع التقنية المالية بالمملكة نمواً استثنائياً بنسبة 79% مقارنة بالعام السابق، حيث بلغ إجمالي الاستثمارات في هذا القطاع ما يقارب 3.1 مليار ريال سعودي. وتشير دراسات متخصصة صادرة عن مؤسسة</w:t>
      </w:r>
      <w:r w:rsidRPr="00E62032">
        <w:rPr>
          <w:rFonts w:ascii="Simplified Arabic" w:hAnsi="Simplified Arabic" w:cs="Simplified Arabic"/>
          <w:color w:val="auto"/>
          <w:sz w:val="28"/>
          <w:szCs w:val="28"/>
        </w:rPr>
        <w:t xml:space="preserve"> Mordor Intelligence (2023) </w:t>
      </w:r>
      <w:r w:rsidRPr="00E62032">
        <w:rPr>
          <w:rFonts w:ascii="Simplified Arabic" w:hAnsi="Simplified Arabic" w:cs="Simplified Arabic"/>
          <w:color w:val="auto"/>
          <w:sz w:val="28"/>
          <w:szCs w:val="28"/>
          <w:rtl/>
        </w:rPr>
        <w:t>إلى أن سوق الترميز العالمي يتوقع أن ينمو بمعدل سنوي مركب قدره 22.5% خلال الفترة 2024-2029، مدفوعاً بالزيادة المقلقة في معدلات الاحتيال الإلكتروني التي وصلت إلى 45% في عام 2023 ويُتوقع أن تصل إلى 60% بحلول عام 2026</w:t>
      </w:r>
      <w:r w:rsidRPr="00E62032">
        <w:rPr>
          <w:rFonts w:ascii="Simplified Arabic" w:hAnsi="Simplified Arabic" w:cs="Simplified Arabic"/>
          <w:color w:val="auto"/>
          <w:sz w:val="28"/>
          <w:szCs w:val="28"/>
        </w:rPr>
        <w:t>.</w:t>
      </w:r>
    </w:p>
    <w:p w14:paraId="5E6B76A6"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ويتزامن هذا النمو مع تصاعد التهديدات السيبرانية التي تستهدف القطاع المالي. فقد كشف تقرير المركز الوطني للأمن السيبراني (2023) أن القطاع المالي السعودي يعد من أكثر القطاعات استهدافاً بالهجمات السيبرانية، حيث تعرض لأكثر من 57,000 محاولة اختراق خلال عام 2023 وحده، بزيادة قدرها 37% عن العام السابق</w:t>
      </w:r>
      <w:r w:rsidRPr="00E62032">
        <w:rPr>
          <w:rFonts w:ascii="Simplified Arabic" w:hAnsi="Simplified Arabic" w:cs="Simplified Arabic"/>
          <w:color w:val="auto"/>
          <w:sz w:val="28"/>
          <w:szCs w:val="28"/>
        </w:rPr>
        <w:t>.</w:t>
      </w:r>
    </w:p>
    <w:p w14:paraId="5BB3946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في ظل هذه التحديات، تبرز تقنية الترميز كحل واعد يمكن أن يساهم في تعزيز الأمن السيبراني من خلال استبدال البيانات الحساسة برموز رقمية، كما تسهم في تحسين كفاءة المعاملات المالية من خلال تقليل وقت المعالجة وخفض التكاليف التشغيلية. وقد أكدت دراسة حديثة لشركة</w:t>
      </w:r>
      <w:r w:rsidRPr="00E62032">
        <w:rPr>
          <w:rFonts w:ascii="Simplified Arabic" w:hAnsi="Simplified Arabic" w:cs="Simplified Arabic"/>
          <w:color w:val="auto"/>
          <w:sz w:val="28"/>
          <w:szCs w:val="28"/>
        </w:rPr>
        <w:t xml:space="preserve"> PwC (2022) </w:t>
      </w:r>
      <w:r w:rsidRPr="00E62032">
        <w:rPr>
          <w:rFonts w:ascii="Simplified Arabic" w:hAnsi="Simplified Arabic" w:cs="Simplified Arabic"/>
          <w:color w:val="auto"/>
          <w:sz w:val="28"/>
          <w:szCs w:val="28"/>
          <w:rtl/>
        </w:rPr>
        <w:t>أن المؤسسات المالية التي تطبق تقنيات الترميز بشكل فعال تشهد انخفاضاً في معدلات الاختراق بنسبة تصل إلى 73% وتحسناً في كفاءة المعاملات بنسبة 62</w:t>
      </w:r>
      <w:r w:rsidRPr="00E62032">
        <w:rPr>
          <w:rFonts w:ascii="Simplified Arabic" w:hAnsi="Simplified Arabic" w:cs="Simplified Arabic"/>
          <w:color w:val="auto"/>
          <w:sz w:val="28"/>
          <w:szCs w:val="28"/>
        </w:rPr>
        <w:t>%.</w:t>
      </w:r>
    </w:p>
    <w:p w14:paraId="1350DB9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lastRenderedPageBreak/>
        <w:t>تواجه المؤسسات المالية السعودية تحديات متعددة الأبعاد في تبني هذه التقنية المبتكرة. فعلى المستوى التنظيمي والتشريعي، تظهر الحاجة لتطوير لوائح أكثر تفصيلاً تحكم استخدام تقنيات الترميز في القطاع المالي، خاصة مع المعايير المحدثة للبنك المركزي السعودي في 2023 التي تتطلب مستويات عالية من الامتثال لحماية البيانات المالية. وعلى الصعيد الثقافي والاجتماعي، تشير دراسة مركز الملك عبد العزيز للحوار الوطني (2023) إلى أن 42% من المواطنين السعوديين لا يزالون يشعرون بالقلق حول مشاركة معلوماتهم المالية رقمياً، مما يتطلب برامج توعية شاملة لبناء الثقة المجتمعية. أما من الناحية التقنية والبشرية، فتواجه المؤسسات نقصاً في المواهب الوطنية المتخصصة بنسبة تقدر بـ 35% وفقاً لتقرير وزارة الموارد البشرية والتنمية الاجتماعية (2023)، بالإضافة إلى تحديات تكامل أنظمة الترميز الحديثة مع الأنظمة التقليدية القائمة</w:t>
      </w:r>
      <w:r w:rsidRPr="00E62032">
        <w:rPr>
          <w:rFonts w:ascii="Simplified Arabic" w:hAnsi="Simplified Arabic" w:cs="Simplified Arabic"/>
          <w:color w:val="auto"/>
          <w:sz w:val="28"/>
          <w:szCs w:val="28"/>
        </w:rPr>
        <w:t>.</w:t>
      </w:r>
    </w:p>
    <w:p w14:paraId="2004A46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رغم هذه التحديات، تظهر فجوة بحثية واضحة تتمثل في ندرة الدراسات العلمية التي تتناول تأثير تقنية الترميز في السياق السعودي تحديداً، وكيفية مساهمتها في تعزيز الأمن السيبراني وتحسين كفاءة العمليات المالية في المؤسسات السعودية بما يتوافق مع مستهدفات رؤية 2030. وتزداد أهمية هذه الفجوة في ظل خصوصية البيئة التنظيمية والتشريعية السعودية، والتحديات الثقافية والتقنية التي قد تؤثر على تبني هذه التقنية وفعاليتها</w:t>
      </w:r>
      <w:r w:rsidRPr="00E62032">
        <w:rPr>
          <w:rFonts w:ascii="Simplified Arabic" w:hAnsi="Simplified Arabic" w:cs="Simplified Arabic"/>
          <w:color w:val="auto"/>
          <w:sz w:val="28"/>
          <w:szCs w:val="28"/>
        </w:rPr>
        <w:t>.</w:t>
      </w:r>
    </w:p>
    <w:p w14:paraId="6D23722F"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وتأتي هذه الدراسة لسد هذه الفجوة البحثية من خلال تقييم أثر تقنية الترميز على الأمن السيبراني وكفاءة العمليات المالية في المؤسسات السعودية، مع التركيز على الفرص والتحديات في سياق رؤية 2030. كما تسعى الدراسة لتقديم نموذج مقترح يمكن المؤسسات المالية السعودية من تبني هذه التقنية بطريقة تعزز من أمن وكفاءة عملياتها</w:t>
      </w:r>
      <w:r w:rsidRPr="00E62032">
        <w:rPr>
          <w:rFonts w:ascii="Simplified Arabic" w:hAnsi="Simplified Arabic" w:cs="Simplified Arabic"/>
          <w:color w:val="auto"/>
          <w:sz w:val="28"/>
          <w:szCs w:val="28"/>
        </w:rPr>
        <w:t>.</w:t>
      </w:r>
    </w:p>
    <w:p w14:paraId="20D71732" w14:textId="368D4EB1" w:rsidR="00CF3CD3" w:rsidRPr="0072768E" w:rsidRDefault="00E62032" w:rsidP="00C327A0">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ستعتمد هذه الدراسة المنهج المختلط (الكمي والنوعي) لتقييم هذا التأثير من خلال جمع وتحليل البيانات من مجموعة متنوعة من المؤسسات المالية السعودية، للوصول إلى فهم شامل حول واقع استخدام هذه التقنية وإمكاناتها المستقبلية في دعم التحول الرقمي الآمن للقطاع المالي السعودي</w:t>
      </w:r>
      <w:r w:rsidR="000025FB">
        <w:rPr>
          <w:rFonts w:ascii="Simplified Arabic" w:hAnsi="Simplified Arabic" w:cs="Simplified Arabic" w:hint="cs"/>
          <w:color w:val="auto"/>
          <w:sz w:val="28"/>
          <w:szCs w:val="28"/>
          <w:rtl/>
        </w:rPr>
        <w:t>.</w:t>
      </w:r>
    </w:p>
    <w:p w14:paraId="319E5BA6" w14:textId="77777777" w:rsidR="00CF3CD3" w:rsidRPr="0072768E" w:rsidRDefault="00CF3CD3" w:rsidP="00CF3CD3">
      <w:pPr>
        <w:bidi/>
        <w:rPr>
          <w:rtl/>
        </w:rPr>
      </w:pPr>
    </w:p>
    <w:p w14:paraId="0A8D624F" w14:textId="663EF36C" w:rsidR="00257F01" w:rsidRPr="0072768E" w:rsidRDefault="00883E09" w:rsidP="004C6F90">
      <w:pPr>
        <w:pStyle w:val="Heading1"/>
        <w:numPr>
          <w:ilvl w:val="0"/>
          <w:numId w:val="0"/>
        </w:numPr>
        <w:bidi/>
        <w:ind w:left="432" w:hanging="432"/>
        <w:rPr>
          <w:rFonts w:ascii="Simplified Arabic" w:hAnsi="Simplified Arabic" w:cs="Simplified Arabic"/>
          <w:b/>
          <w:bCs/>
          <w:color w:val="auto"/>
          <w:sz w:val="28"/>
          <w:szCs w:val="28"/>
          <w:u w:val="single"/>
        </w:rPr>
      </w:pPr>
      <w:bookmarkStart w:id="11" w:name="_Toc224563916"/>
      <w:bookmarkStart w:id="12" w:name="_Toc224563973"/>
      <w:r w:rsidRPr="0072768E">
        <w:rPr>
          <w:rFonts w:ascii="Simplified Arabic" w:hAnsi="Simplified Arabic" w:cs="Simplified Arabic"/>
          <w:b/>
          <w:bCs/>
          <w:color w:val="auto"/>
          <w:sz w:val="28"/>
          <w:szCs w:val="28"/>
          <w:u w:val="single"/>
          <w:rtl/>
        </w:rPr>
        <w:lastRenderedPageBreak/>
        <w:t>مشكلة الدراسة</w:t>
      </w:r>
      <w:r w:rsidR="00231AB1" w:rsidRPr="0072768E">
        <w:rPr>
          <w:rFonts w:ascii="Simplified Arabic" w:hAnsi="Simplified Arabic" w:cs="Simplified Arabic"/>
          <w:b/>
          <w:bCs/>
          <w:color w:val="auto"/>
          <w:sz w:val="28"/>
          <w:szCs w:val="28"/>
          <w:u w:val="single"/>
          <w:rtl/>
        </w:rPr>
        <w:t xml:space="preserve"> وأسئلتها</w:t>
      </w:r>
      <w:r w:rsidR="006E2853" w:rsidRPr="0072768E">
        <w:rPr>
          <w:rFonts w:ascii="Simplified Arabic" w:hAnsi="Simplified Arabic" w:cs="Simplified Arabic" w:hint="cs"/>
          <w:b/>
          <w:bCs/>
          <w:color w:val="auto"/>
          <w:sz w:val="28"/>
          <w:szCs w:val="28"/>
          <w:u w:val="single"/>
          <w:rtl/>
        </w:rPr>
        <w:t>:</w:t>
      </w:r>
      <w:bookmarkEnd w:id="11"/>
      <w:bookmarkEnd w:id="12"/>
    </w:p>
    <w:p w14:paraId="51B0FBF9"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يواجه القطاع المالي السعودي تحديات متزايدة ومحددة فيما يتعلق بأمن البيانات وكفاءة المعاملات المالية في ظل التسارع الرقمي والاعتماد المتنامي على الخدمات المالية الإلكترونية. وقد كشفت التقارير الرسمية عن تصاعد مقلق في التهديدات السيبرانية التي تستهدف القطاع المالي السعودي، حيث أشارت الهيئة الوطنية للأمن السيبراني في تقريرها السنوي لعام 2023 إلى تسجيل أكثر من 57,000 هجمة سيبرانية بزيادة قدرها 37% مقارنة بالعام السابق، تتضمن محاولات التصيد الاحتيالي</w:t>
      </w:r>
      <w:r w:rsidRPr="007235B9">
        <w:rPr>
          <w:rFonts w:ascii="Simplified Arabic" w:hAnsi="Simplified Arabic" w:cs="Simplified Arabic"/>
          <w:color w:val="auto"/>
          <w:sz w:val="28"/>
          <w:szCs w:val="28"/>
        </w:rPr>
        <w:t xml:space="preserve"> (Phishing) </w:t>
      </w:r>
      <w:r w:rsidRPr="007235B9">
        <w:rPr>
          <w:rFonts w:ascii="Simplified Arabic" w:hAnsi="Simplified Arabic" w:cs="Simplified Arabic"/>
          <w:color w:val="auto"/>
          <w:sz w:val="28"/>
          <w:szCs w:val="28"/>
          <w:rtl/>
        </w:rPr>
        <w:t>وهجمات حجب الخدمة الموزعة</w:t>
      </w:r>
      <w:r w:rsidRPr="007235B9">
        <w:rPr>
          <w:rFonts w:ascii="Simplified Arabic" w:hAnsi="Simplified Arabic" w:cs="Simplified Arabic"/>
          <w:color w:val="auto"/>
          <w:sz w:val="28"/>
          <w:szCs w:val="28"/>
        </w:rPr>
        <w:t xml:space="preserve"> (DDoS) </w:t>
      </w:r>
      <w:r w:rsidRPr="007235B9">
        <w:rPr>
          <w:rFonts w:ascii="Simplified Arabic" w:hAnsi="Simplified Arabic" w:cs="Simplified Arabic"/>
          <w:color w:val="auto"/>
          <w:sz w:val="28"/>
          <w:szCs w:val="28"/>
          <w:rtl/>
        </w:rPr>
        <w:t>والبرمجيات الخبيثة المصممة لسرقة بيانات العملاء</w:t>
      </w:r>
      <w:r w:rsidRPr="007235B9">
        <w:rPr>
          <w:rFonts w:ascii="Simplified Arabic" w:hAnsi="Simplified Arabic" w:cs="Simplified Arabic"/>
          <w:color w:val="auto"/>
          <w:sz w:val="28"/>
          <w:szCs w:val="28"/>
        </w:rPr>
        <w:t>.</w:t>
      </w:r>
    </w:p>
    <w:p w14:paraId="0DBF71CD"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وتعكس هذه التهديدات تأثيراً مباشراً على ثقة المستهلكين، حيث يشير تقرير</w:t>
      </w:r>
      <w:r w:rsidRPr="007235B9">
        <w:rPr>
          <w:rFonts w:ascii="Simplified Arabic" w:hAnsi="Simplified Arabic" w:cs="Simplified Arabic"/>
          <w:color w:val="auto"/>
          <w:sz w:val="28"/>
          <w:szCs w:val="28"/>
        </w:rPr>
        <w:t xml:space="preserve"> Saudi Payments (2023) </w:t>
      </w:r>
      <w:r w:rsidRPr="007235B9">
        <w:rPr>
          <w:rFonts w:ascii="Simplified Arabic" w:hAnsi="Simplified Arabic" w:cs="Simplified Arabic"/>
          <w:color w:val="auto"/>
          <w:sz w:val="28"/>
          <w:szCs w:val="28"/>
          <w:rtl/>
        </w:rPr>
        <w:t>إلى أن 62% من المستهلكين السعوديين أصبحوا أكثر قلقاً بشأن أمن معاملاتهم المالية الرقمية، وأن 47% منهم واجهوا شكلاً من أشكال الاحتيال أو محاولات الاختراق خلال العام الماضي. وتُقدر الخسائر المالية الناتجة عن الاحتيال الإلكتروني في القطاع المالي السعودي بحوالي 1.5 مليار ريال سعودي سنوياً (البنك المركزي السعودي، 2023)</w:t>
      </w:r>
      <w:r w:rsidRPr="007235B9">
        <w:rPr>
          <w:rFonts w:ascii="Simplified Arabic" w:hAnsi="Simplified Arabic" w:cs="Simplified Arabic"/>
          <w:color w:val="auto"/>
          <w:sz w:val="28"/>
          <w:szCs w:val="28"/>
        </w:rPr>
        <w:t>.</w:t>
      </w:r>
    </w:p>
    <w:p w14:paraId="047D7FFF"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من جهة أخرى، تواجه المؤسسات المالية السعودية فجوة حقيقية في كفاءة المعاملات المالية، حيث تكشف دراسة أجرتها شركة ديلويت (2022) أن معالجة المعاملات المالية التقليدية تستغرق في المتوسط 2-3 أيام عمل، وتكلف ما بين 15-20 ريالاً للمعاملة الواحدة، بالإضافة إلى استهلاك موارد بشرية كبيرة للتحقق والمصادقة، مما يؤثر سلباً على تنافسية هذه المؤسسات وتجربة العملاء</w:t>
      </w:r>
      <w:r w:rsidRPr="007235B9">
        <w:rPr>
          <w:rFonts w:ascii="Simplified Arabic" w:hAnsi="Simplified Arabic" w:cs="Simplified Arabic"/>
          <w:color w:val="auto"/>
          <w:sz w:val="28"/>
          <w:szCs w:val="28"/>
        </w:rPr>
        <w:t>.</w:t>
      </w:r>
    </w:p>
    <w:p w14:paraId="5DA407CB"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وفي ظل هذا الواقع، تبرز تقنية الترميز كحل تقني واعد يمكن أن يعالج هذه التحديات المزدوجة، حيث تشير دراسة معهد ماكينزي العالمي (2023) إلى إمكانية تقليل مخاطر الاختراق الأمني بنسبة تصل إلى 80%، وخفض تكاليف المعاملات بنسبة 35-45%، وتقليص وقت المعالجة من أيام إلى دقائق في بعض الحالات. كما أكد تقرير البنك الدولي للتسويات (2023) أن "تقنية الترميز تمثل إحدى التقنيات الواعدة التي يمكن أن تحدث تحولاً جذرياً في طريقة عمل الأسواق المالية، من خلال تقليل المخاطر وتعزيز الكفاءة وزيادة الشفافية</w:t>
      </w:r>
      <w:r w:rsidRPr="007235B9">
        <w:rPr>
          <w:rFonts w:ascii="Simplified Arabic" w:hAnsi="Simplified Arabic" w:cs="Simplified Arabic"/>
          <w:color w:val="auto"/>
          <w:sz w:val="28"/>
          <w:szCs w:val="28"/>
        </w:rPr>
        <w:t>".</w:t>
      </w:r>
    </w:p>
    <w:p w14:paraId="78CBCC63"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lastRenderedPageBreak/>
        <w:t>غير أن تبني تقنية الترميز في القطاع المالي السعودي لا يزال في مراحله الأولى، وهناك نقص واضح في الدراسات والأبحاث التي تتناول تأثير هذه التقنية على الأمن والكفاءة المالية في السياق السعودي تحديداً، كما أكدت دراسة المنتدى الاقتصادي العالمي</w:t>
      </w:r>
      <w:r w:rsidRPr="007235B9">
        <w:rPr>
          <w:rFonts w:ascii="Simplified Arabic" w:hAnsi="Simplified Arabic" w:cs="Simplified Arabic"/>
          <w:color w:val="auto"/>
          <w:sz w:val="28"/>
          <w:szCs w:val="28"/>
        </w:rPr>
        <w:t xml:space="preserve"> (World Economic Forum, 2024) </w:t>
      </w:r>
      <w:r w:rsidRPr="007235B9">
        <w:rPr>
          <w:rFonts w:ascii="Simplified Arabic" w:hAnsi="Simplified Arabic" w:cs="Simplified Arabic"/>
          <w:color w:val="auto"/>
          <w:sz w:val="28"/>
          <w:szCs w:val="28"/>
          <w:rtl/>
        </w:rPr>
        <w:t>حول فجوات البحث في تقنيات التمويل الرقمي بالأسواق الناشئة. وقد كشف استطلاع أجرته مؤسسة فنتك السعودية (2023) أن 68% من المؤسسات المالية السعودية تخطط لزيادة استثماراتها في تقنيات الترميز خلال السنوات الثلاث القادمة، لكن 57% منها تواجه تحديات في فهم الآثار الكاملة لهذه التقنية على عملياتها، خاصة فيما يتعلق بالأمن السيبراني والكفاءة التشغيلية والامتثال للمتطلبات التنظيمية</w:t>
      </w:r>
      <w:r w:rsidRPr="007235B9">
        <w:rPr>
          <w:rFonts w:ascii="Simplified Arabic" w:hAnsi="Simplified Arabic" w:cs="Simplified Arabic"/>
          <w:color w:val="auto"/>
          <w:sz w:val="28"/>
          <w:szCs w:val="28"/>
        </w:rPr>
        <w:t>.</w:t>
      </w:r>
    </w:p>
    <w:p w14:paraId="3D6CE368"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وعليه، تتمثل مشكلة الدراسة في الحاجة الملحة لفهم وتقييم أثر تقنية الترميز على تعزيز الأمن السيبراني وتحسين كفاءة المعاملات المالية في القطاع المالي السعودي، ودورها في دعم تحقيق أهداف رؤية المملكة 2030، وتحديد التحديات والعوامل المؤثرة في نجاح تطبيقها</w:t>
      </w:r>
      <w:r w:rsidRPr="007235B9">
        <w:rPr>
          <w:rFonts w:ascii="Simplified Arabic" w:hAnsi="Simplified Arabic" w:cs="Simplified Arabic"/>
          <w:color w:val="auto"/>
          <w:sz w:val="28"/>
          <w:szCs w:val="28"/>
        </w:rPr>
        <w:t>.</w:t>
      </w:r>
    </w:p>
    <w:p w14:paraId="27B02111" w14:textId="77777777" w:rsidR="00091751" w:rsidRPr="0072768E" w:rsidRDefault="00091751" w:rsidP="00091751">
      <w:pPr>
        <w:bidi/>
        <w:rPr>
          <w:rtl/>
        </w:rPr>
      </w:pPr>
      <w:bookmarkStart w:id="13" w:name="_Toc195285632"/>
    </w:p>
    <w:p w14:paraId="74D2BC59" w14:textId="77777777" w:rsidR="000F651A" w:rsidRPr="0072768E" w:rsidRDefault="000F651A" w:rsidP="00B62F7E">
      <w:pPr>
        <w:pStyle w:val="Heading1"/>
        <w:numPr>
          <w:ilvl w:val="0"/>
          <w:numId w:val="0"/>
        </w:numPr>
        <w:bidi/>
        <w:ind w:left="432" w:hanging="432"/>
        <w:rPr>
          <w:rFonts w:ascii="Simplified Arabic" w:hAnsi="Simplified Arabic" w:cs="Simplified Arabic"/>
          <w:b/>
          <w:bCs/>
          <w:color w:val="auto"/>
          <w:sz w:val="28"/>
          <w:szCs w:val="28"/>
          <w:u w:val="single"/>
          <w:rtl/>
        </w:rPr>
        <w:sectPr w:rsidR="000F651A" w:rsidRPr="0072768E" w:rsidSect="006E2853">
          <w:headerReference w:type="even" r:id="rId12"/>
          <w:headerReference w:type="default" r:id="rId13"/>
          <w:footerReference w:type="default" r:id="rId14"/>
          <w:headerReference w:type="first" r:id="rId15"/>
          <w:footerReference w:type="first" r:id="rId16"/>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57AA48D8" w14:textId="73BF133B" w:rsidR="00D64F3E" w:rsidRPr="0072768E" w:rsidRDefault="004C6F90"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14" w:name="_Toc224563917"/>
      <w:bookmarkStart w:id="15" w:name="_Toc224563974"/>
      <w:r w:rsidRPr="0072768E">
        <w:rPr>
          <w:rFonts w:ascii="Simplified Arabic" w:hAnsi="Simplified Arabic" w:cs="Simplified Arabic" w:hint="cs"/>
          <w:b/>
          <w:bCs/>
          <w:color w:val="auto"/>
          <w:sz w:val="28"/>
          <w:szCs w:val="28"/>
          <w:u w:val="single"/>
          <w:rtl/>
        </w:rPr>
        <w:lastRenderedPageBreak/>
        <w:t>أسئلة البحث</w:t>
      </w:r>
      <w:bookmarkEnd w:id="13"/>
      <w:bookmarkEnd w:id="14"/>
      <w:bookmarkEnd w:id="15"/>
    </w:p>
    <w:p w14:paraId="79E8F692" w14:textId="77777777" w:rsidR="00091751" w:rsidRPr="0072768E" w:rsidRDefault="00091751" w:rsidP="00F611F5">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تسعى هذه الدراسة إلى الإجابة على التساؤل الرئيسي التالي</w:t>
      </w:r>
      <w:r w:rsidRPr="0072768E">
        <w:rPr>
          <w:rFonts w:ascii="Simplified Arabic" w:hAnsi="Simplified Arabic" w:cs="Simplified Arabic"/>
          <w:color w:val="auto"/>
          <w:sz w:val="28"/>
          <w:szCs w:val="28"/>
        </w:rPr>
        <w:t>:</w:t>
      </w:r>
    </w:p>
    <w:p w14:paraId="79482EC1" w14:textId="77777777" w:rsidR="00091751" w:rsidRPr="0072768E" w:rsidRDefault="00091751" w:rsidP="00F611F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ما هو أثر تقنية الترميز على الأمن السيبراني وكفاءة العمليات المالية في المؤسسات السعودية؟</w:t>
      </w:r>
    </w:p>
    <w:p w14:paraId="5DD31A27"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16" w:name="_Toc217927615"/>
      <w:bookmarkStart w:id="17" w:name="_Toc224563918"/>
      <w:bookmarkStart w:id="18" w:name="_Toc224563975"/>
      <w:bookmarkStart w:id="19" w:name="_Hlk195360523"/>
      <w:r w:rsidRPr="004A6241">
        <w:rPr>
          <w:rFonts w:ascii="Simplified Arabic" w:hAnsi="Simplified Arabic" w:cs="Simplified Arabic"/>
          <w:color w:val="auto"/>
          <w:sz w:val="28"/>
          <w:szCs w:val="28"/>
          <w:rtl/>
        </w:rPr>
        <w:t>وفي ضوء مشكلة الدراسة والتساؤل الرئيسي، يمكن تحديد التساؤلات البحثية الفرعية التالية</w:t>
      </w:r>
      <w:r w:rsidRPr="004A6241">
        <w:rPr>
          <w:rFonts w:ascii="Simplified Arabic" w:hAnsi="Simplified Arabic" w:cs="Simplified Arabic"/>
          <w:color w:val="auto"/>
          <w:sz w:val="28"/>
          <w:szCs w:val="28"/>
        </w:rPr>
        <w:t>:</w:t>
      </w:r>
      <w:bookmarkEnd w:id="16"/>
      <w:bookmarkEnd w:id="17"/>
      <w:bookmarkEnd w:id="18"/>
    </w:p>
    <w:p w14:paraId="069F24C3"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20" w:name="_Toc217927616"/>
      <w:bookmarkStart w:id="21" w:name="_Toc224563919"/>
      <w:bookmarkStart w:id="22" w:name="_Toc224563976"/>
      <w:r w:rsidRPr="004A6241">
        <w:rPr>
          <w:rFonts w:ascii="Simplified Arabic" w:hAnsi="Simplified Arabic" w:cs="Simplified Arabic"/>
          <w:b/>
          <w:bCs/>
          <w:color w:val="auto"/>
          <w:sz w:val="28"/>
          <w:szCs w:val="28"/>
          <w:rtl/>
        </w:rPr>
        <w:t>التساؤل البحثي الأول</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ما أثر تبنّي تقنية الترميز على مؤشرات الأمن السيبراني في المؤسسات المالية السعودية؟</w:t>
      </w:r>
      <w:bookmarkEnd w:id="20"/>
      <w:bookmarkEnd w:id="21"/>
      <w:bookmarkEnd w:id="22"/>
    </w:p>
    <w:p w14:paraId="2251F11B"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23" w:name="_Toc217927617"/>
      <w:bookmarkStart w:id="24" w:name="_Toc224563920"/>
      <w:bookmarkStart w:id="25" w:name="_Toc224563977"/>
      <w:r w:rsidRPr="004A6241">
        <w:rPr>
          <w:rFonts w:ascii="Simplified Arabic" w:hAnsi="Simplified Arabic" w:cs="Simplified Arabic"/>
          <w:color w:val="auto"/>
          <w:sz w:val="28"/>
          <w:szCs w:val="28"/>
          <w:rtl/>
        </w:rPr>
        <w:t>الأسئلة الفرعية</w:t>
      </w:r>
      <w:r w:rsidRPr="004A6241">
        <w:rPr>
          <w:rFonts w:ascii="Simplified Arabic" w:hAnsi="Simplified Arabic" w:cs="Simplified Arabic"/>
          <w:color w:val="auto"/>
          <w:sz w:val="28"/>
          <w:szCs w:val="28"/>
        </w:rPr>
        <w:t>:</w:t>
      </w:r>
      <w:bookmarkEnd w:id="23"/>
      <w:bookmarkEnd w:id="24"/>
      <w:bookmarkEnd w:id="25"/>
    </w:p>
    <w:p w14:paraId="3C9B6F5A" w14:textId="77777777" w:rsidR="004A6241" w:rsidRPr="004A6241" w:rsidRDefault="004A6241" w:rsidP="00786A9D">
      <w:pPr>
        <w:pStyle w:val="Heading1"/>
        <w:numPr>
          <w:ilvl w:val="0"/>
          <w:numId w:val="67"/>
        </w:numPr>
        <w:bidi/>
        <w:jc w:val="both"/>
        <w:rPr>
          <w:rFonts w:ascii="Simplified Arabic" w:hAnsi="Simplified Arabic" w:cs="Simplified Arabic"/>
          <w:color w:val="auto"/>
          <w:sz w:val="28"/>
          <w:szCs w:val="28"/>
        </w:rPr>
      </w:pPr>
      <w:bookmarkStart w:id="26" w:name="_Toc217927618"/>
      <w:bookmarkStart w:id="27" w:name="_Toc224563921"/>
      <w:bookmarkStart w:id="28" w:name="_Toc224563978"/>
      <w:r w:rsidRPr="004A6241">
        <w:rPr>
          <w:rFonts w:ascii="Simplified Arabic" w:hAnsi="Simplified Arabic" w:cs="Simplified Arabic"/>
          <w:color w:val="auto"/>
          <w:sz w:val="28"/>
          <w:szCs w:val="28"/>
          <w:rtl/>
        </w:rPr>
        <w:t>ما تأثير تبني تقنية الترميز في تقليل الاختراقات الأمنية وحوادث سرقة البيانات؟</w:t>
      </w:r>
      <w:bookmarkEnd w:id="26"/>
      <w:bookmarkEnd w:id="27"/>
      <w:bookmarkEnd w:id="28"/>
    </w:p>
    <w:p w14:paraId="320BA1AB" w14:textId="77777777" w:rsidR="004A6241" w:rsidRPr="004A6241" w:rsidRDefault="004A6241" w:rsidP="00786A9D">
      <w:pPr>
        <w:pStyle w:val="Heading1"/>
        <w:numPr>
          <w:ilvl w:val="0"/>
          <w:numId w:val="67"/>
        </w:numPr>
        <w:bidi/>
        <w:jc w:val="both"/>
        <w:rPr>
          <w:rFonts w:ascii="Simplified Arabic" w:hAnsi="Simplified Arabic" w:cs="Simplified Arabic"/>
          <w:color w:val="auto"/>
          <w:sz w:val="28"/>
          <w:szCs w:val="28"/>
        </w:rPr>
      </w:pPr>
      <w:bookmarkStart w:id="29" w:name="_Toc217927619"/>
      <w:bookmarkStart w:id="30" w:name="_Toc224563922"/>
      <w:bookmarkStart w:id="31" w:name="_Toc224563979"/>
      <w:r w:rsidRPr="004A6241">
        <w:rPr>
          <w:rFonts w:ascii="Simplified Arabic" w:hAnsi="Simplified Arabic" w:cs="Simplified Arabic"/>
          <w:color w:val="auto"/>
          <w:sz w:val="28"/>
          <w:szCs w:val="28"/>
          <w:rtl/>
        </w:rPr>
        <w:t>ما تأثير تبني تقنية الترميز في تحسين الامتثال للمعايير الأمنية؟</w:t>
      </w:r>
      <w:bookmarkEnd w:id="29"/>
      <w:bookmarkEnd w:id="30"/>
      <w:bookmarkEnd w:id="31"/>
    </w:p>
    <w:p w14:paraId="0345EC06" w14:textId="77777777" w:rsidR="004A6241" w:rsidRPr="004A6241" w:rsidRDefault="004A6241" w:rsidP="00786A9D">
      <w:pPr>
        <w:pStyle w:val="Heading1"/>
        <w:numPr>
          <w:ilvl w:val="0"/>
          <w:numId w:val="67"/>
        </w:numPr>
        <w:bidi/>
        <w:jc w:val="both"/>
        <w:rPr>
          <w:rFonts w:ascii="Simplified Arabic" w:hAnsi="Simplified Arabic" w:cs="Simplified Arabic"/>
          <w:color w:val="auto"/>
          <w:sz w:val="28"/>
          <w:szCs w:val="28"/>
        </w:rPr>
      </w:pPr>
      <w:bookmarkStart w:id="32" w:name="_Toc217927620"/>
      <w:bookmarkStart w:id="33" w:name="_Toc224563923"/>
      <w:bookmarkStart w:id="34" w:name="_Toc224563980"/>
      <w:r w:rsidRPr="004A6241">
        <w:rPr>
          <w:rFonts w:ascii="Simplified Arabic" w:hAnsi="Simplified Arabic" w:cs="Simplified Arabic"/>
          <w:color w:val="auto"/>
          <w:sz w:val="28"/>
          <w:szCs w:val="28"/>
          <w:rtl/>
        </w:rPr>
        <w:t>ما تأثير تبني تقنية الترميز في تعزيز قدرة المؤسسات على اكتشاف والتصدي للهجمات السيبرانية؟</w:t>
      </w:r>
      <w:bookmarkEnd w:id="32"/>
      <w:bookmarkEnd w:id="33"/>
      <w:bookmarkEnd w:id="34"/>
    </w:p>
    <w:p w14:paraId="2C7C5FEC"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35" w:name="_Toc217927621"/>
      <w:bookmarkStart w:id="36" w:name="_Toc224563924"/>
      <w:bookmarkStart w:id="37" w:name="_Toc224563981"/>
      <w:r w:rsidRPr="004A6241">
        <w:rPr>
          <w:rFonts w:ascii="Simplified Arabic" w:hAnsi="Simplified Arabic" w:cs="Simplified Arabic"/>
          <w:b/>
          <w:bCs/>
          <w:color w:val="auto"/>
          <w:sz w:val="28"/>
          <w:szCs w:val="28"/>
          <w:rtl/>
        </w:rPr>
        <w:t>التساؤل البحثي الثاني</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ما أثر تبنّي تقنية الترميز على كفاءة العمليات المالية في المؤسسات المالية السعودية؟</w:t>
      </w:r>
      <w:bookmarkEnd w:id="35"/>
      <w:bookmarkEnd w:id="36"/>
      <w:bookmarkEnd w:id="37"/>
    </w:p>
    <w:p w14:paraId="3A78ADFD"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38" w:name="_Toc217927622"/>
      <w:bookmarkStart w:id="39" w:name="_Toc224563925"/>
      <w:bookmarkStart w:id="40" w:name="_Toc224563982"/>
      <w:r w:rsidRPr="004A6241">
        <w:rPr>
          <w:rFonts w:ascii="Simplified Arabic" w:hAnsi="Simplified Arabic" w:cs="Simplified Arabic"/>
          <w:color w:val="auto"/>
          <w:sz w:val="28"/>
          <w:szCs w:val="28"/>
          <w:rtl/>
        </w:rPr>
        <w:t>الأسئلة الفرعية</w:t>
      </w:r>
      <w:r w:rsidRPr="004A6241">
        <w:rPr>
          <w:rFonts w:ascii="Simplified Arabic" w:hAnsi="Simplified Arabic" w:cs="Simplified Arabic"/>
          <w:color w:val="auto"/>
          <w:sz w:val="28"/>
          <w:szCs w:val="28"/>
        </w:rPr>
        <w:t>:</w:t>
      </w:r>
      <w:bookmarkEnd w:id="38"/>
      <w:bookmarkEnd w:id="39"/>
      <w:bookmarkEnd w:id="40"/>
    </w:p>
    <w:p w14:paraId="42B797CE" w14:textId="77777777" w:rsidR="004A6241" w:rsidRPr="004A6241" w:rsidRDefault="004A6241" w:rsidP="00786A9D">
      <w:pPr>
        <w:pStyle w:val="Heading1"/>
        <w:numPr>
          <w:ilvl w:val="0"/>
          <w:numId w:val="68"/>
        </w:numPr>
        <w:bidi/>
        <w:jc w:val="both"/>
        <w:rPr>
          <w:rFonts w:ascii="Simplified Arabic" w:hAnsi="Simplified Arabic" w:cs="Simplified Arabic"/>
          <w:color w:val="auto"/>
          <w:sz w:val="28"/>
          <w:szCs w:val="28"/>
        </w:rPr>
      </w:pPr>
      <w:bookmarkStart w:id="41" w:name="_Toc217927623"/>
      <w:bookmarkStart w:id="42" w:name="_Toc224563926"/>
      <w:bookmarkStart w:id="43" w:name="_Toc224563983"/>
      <w:r w:rsidRPr="004A6241">
        <w:rPr>
          <w:rFonts w:ascii="Simplified Arabic" w:hAnsi="Simplified Arabic" w:cs="Simplified Arabic"/>
          <w:color w:val="auto"/>
          <w:sz w:val="28"/>
          <w:szCs w:val="28"/>
          <w:rtl/>
        </w:rPr>
        <w:t>ما تأثير تبني تقنية الترميز في تقليل وقت المعاملات وخفض التكاليف التشغيلية؟</w:t>
      </w:r>
      <w:bookmarkEnd w:id="41"/>
      <w:bookmarkEnd w:id="42"/>
      <w:bookmarkEnd w:id="43"/>
    </w:p>
    <w:p w14:paraId="18478BF6" w14:textId="77777777" w:rsidR="004A6241" w:rsidRPr="004A6241" w:rsidRDefault="004A6241" w:rsidP="00786A9D">
      <w:pPr>
        <w:pStyle w:val="Heading1"/>
        <w:numPr>
          <w:ilvl w:val="0"/>
          <w:numId w:val="68"/>
        </w:numPr>
        <w:bidi/>
        <w:jc w:val="both"/>
        <w:rPr>
          <w:rFonts w:ascii="Simplified Arabic" w:hAnsi="Simplified Arabic" w:cs="Simplified Arabic"/>
          <w:color w:val="auto"/>
          <w:sz w:val="28"/>
          <w:szCs w:val="28"/>
        </w:rPr>
      </w:pPr>
      <w:bookmarkStart w:id="44" w:name="_Toc217927624"/>
      <w:bookmarkStart w:id="45" w:name="_Toc224563927"/>
      <w:bookmarkStart w:id="46" w:name="_Toc224563984"/>
      <w:r w:rsidRPr="004A6241">
        <w:rPr>
          <w:rFonts w:ascii="Simplified Arabic" w:hAnsi="Simplified Arabic" w:cs="Simplified Arabic"/>
          <w:color w:val="auto"/>
          <w:sz w:val="28"/>
          <w:szCs w:val="28"/>
          <w:rtl/>
        </w:rPr>
        <w:t>ما تأثير تبني تقنية الترميز على تحسين السيولة وتوسيع الوصول للخدمات المالية؟</w:t>
      </w:r>
      <w:bookmarkEnd w:id="44"/>
      <w:bookmarkEnd w:id="45"/>
      <w:bookmarkEnd w:id="46"/>
    </w:p>
    <w:p w14:paraId="0BD112D8" w14:textId="77777777" w:rsidR="004A6241" w:rsidRPr="004A6241" w:rsidRDefault="004A6241" w:rsidP="00786A9D">
      <w:pPr>
        <w:pStyle w:val="Heading1"/>
        <w:numPr>
          <w:ilvl w:val="0"/>
          <w:numId w:val="68"/>
        </w:numPr>
        <w:bidi/>
        <w:jc w:val="both"/>
        <w:rPr>
          <w:rFonts w:ascii="Simplified Arabic" w:hAnsi="Simplified Arabic" w:cs="Simplified Arabic"/>
          <w:color w:val="auto"/>
          <w:sz w:val="28"/>
          <w:szCs w:val="28"/>
        </w:rPr>
      </w:pPr>
      <w:bookmarkStart w:id="47" w:name="_Toc217927625"/>
      <w:bookmarkStart w:id="48" w:name="_Toc224563928"/>
      <w:bookmarkStart w:id="49" w:name="_Toc224563985"/>
      <w:r w:rsidRPr="004A6241">
        <w:rPr>
          <w:rFonts w:ascii="Simplified Arabic" w:hAnsi="Simplified Arabic" w:cs="Simplified Arabic"/>
          <w:color w:val="auto"/>
          <w:sz w:val="28"/>
          <w:szCs w:val="28"/>
          <w:rtl/>
        </w:rPr>
        <w:t>ما تأثير تبني تقنية الترميز على تجربة العملاء ورضاهم؟</w:t>
      </w:r>
      <w:bookmarkEnd w:id="47"/>
      <w:bookmarkEnd w:id="48"/>
      <w:bookmarkEnd w:id="49"/>
    </w:p>
    <w:p w14:paraId="6ECC9DF7"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50" w:name="_Toc217927626"/>
      <w:bookmarkStart w:id="51" w:name="_Toc224563929"/>
      <w:bookmarkStart w:id="52" w:name="_Toc224563986"/>
      <w:r w:rsidRPr="004A6241">
        <w:rPr>
          <w:rFonts w:ascii="Simplified Arabic" w:hAnsi="Simplified Arabic" w:cs="Simplified Arabic"/>
          <w:b/>
          <w:bCs/>
          <w:color w:val="auto"/>
          <w:sz w:val="28"/>
          <w:szCs w:val="28"/>
          <w:rtl/>
        </w:rPr>
        <w:t>التساؤل البحثي الثالث</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هل تختلف آثار تبنّي تقنية الترميز باختلاف حجم المؤسسة المالية (كبيرة/متوسطة/صغيرة)؟</w:t>
      </w:r>
      <w:bookmarkEnd w:id="50"/>
      <w:bookmarkEnd w:id="51"/>
      <w:bookmarkEnd w:id="52"/>
    </w:p>
    <w:p w14:paraId="3AD50118"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53" w:name="_Toc217927627"/>
      <w:bookmarkStart w:id="54" w:name="_Toc224563930"/>
      <w:bookmarkStart w:id="55" w:name="_Toc224563987"/>
      <w:r w:rsidRPr="004A6241">
        <w:rPr>
          <w:rFonts w:ascii="Simplified Arabic" w:hAnsi="Simplified Arabic" w:cs="Simplified Arabic"/>
          <w:b/>
          <w:bCs/>
          <w:color w:val="auto"/>
          <w:sz w:val="28"/>
          <w:szCs w:val="28"/>
          <w:rtl/>
        </w:rPr>
        <w:lastRenderedPageBreak/>
        <w:t>التساؤل البحثي الرابع</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هل تختلف آثار تبنّي تقنية الترميز باختلاف نوع المؤسسة (بنك تقليدي/بنك رقمي/شركة تقنية مالية)؟</w:t>
      </w:r>
      <w:bookmarkEnd w:id="53"/>
      <w:bookmarkEnd w:id="54"/>
      <w:bookmarkEnd w:id="55"/>
    </w:p>
    <w:p w14:paraId="1897D302"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56" w:name="_Toc217927628"/>
      <w:bookmarkStart w:id="57" w:name="_Toc224563931"/>
      <w:bookmarkStart w:id="58" w:name="_Toc224563988"/>
      <w:r w:rsidRPr="004A6241">
        <w:rPr>
          <w:rFonts w:ascii="Simplified Arabic" w:hAnsi="Simplified Arabic" w:cs="Simplified Arabic"/>
          <w:b/>
          <w:bCs/>
          <w:color w:val="auto"/>
          <w:sz w:val="28"/>
          <w:szCs w:val="28"/>
          <w:rtl/>
        </w:rPr>
        <w:t>التساؤل البحثي الخامس</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ما أبرز التحديات التقنية والتنظيمية والتشغيلية والثقافية التي تواجه تبنّي تقنية الترميز في المؤسسات المالية السعودية، وما الحلول المقترحة لتجاوزها؟</w:t>
      </w:r>
      <w:bookmarkEnd w:id="56"/>
      <w:bookmarkEnd w:id="57"/>
      <w:bookmarkEnd w:id="58"/>
    </w:p>
    <w:p w14:paraId="1386ACAD"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59" w:name="_Toc217927629"/>
      <w:bookmarkStart w:id="60" w:name="_Toc224563932"/>
      <w:bookmarkStart w:id="61" w:name="_Toc224563989"/>
      <w:r w:rsidRPr="004A6241">
        <w:rPr>
          <w:rFonts w:ascii="Simplified Arabic" w:hAnsi="Simplified Arabic" w:cs="Simplified Arabic"/>
          <w:color w:val="auto"/>
          <w:sz w:val="28"/>
          <w:szCs w:val="28"/>
          <w:rtl/>
        </w:rPr>
        <w:t>الأسئلة الفرعية</w:t>
      </w:r>
      <w:r w:rsidRPr="004A6241">
        <w:rPr>
          <w:rFonts w:ascii="Simplified Arabic" w:hAnsi="Simplified Arabic" w:cs="Simplified Arabic"/>
          <w:color w:val="auto"/>
          <w:sz w:val="28"/>
          <w:szCs w:val="28"/>
        </w:rPr>
        <w:t>:</w:t>
      </w:r>
      <w:bookmarkEnd w:id="59"/>
      <w:bookmarkEnd w:id="60"/>
      <w:bookmarkEnd w:id="61"/>
    </w:p>
    <w:p w14:paraId="309B1E1F" w14:textId="77777777" w:rsidR="004A6241" w:rsidRPr="004A6241" w:rsidRDefault="004A6241" w:rsidP="00786A9D">
      <w:pPr>
        <w:pStyle w:val="Heading1"/>
        <w:numPr>
          <w:ilvl w:val="0"/>
          <w:numId w:val="69"/>
        </w:numPr>
        <w:bidi/>
        <w:jc w:val="both"/>
        <w:rPr>
          <w:rFonts w:ascii="Simplified Arabic" w:hAnsi="Simplified Arabic" w:cs="Simplified Arabic"/>
          <w:color w:val="auto"/>
          <w:sz w:val="28"/>
          <w:szCs w:val="28"/>
        </w:rPr>
      </w:pPr>
      <w:bookmarkStart w:id="62" w:name="_Toc217927630"/>
      <w:bookmarkStart w:id="63" w:name="_Toc224563933"/>
      <w:bookmarkStart w:id="64" w:name="_Toc224563990"/>
      <w:r w:rsidRPr="004A6241">
        <w:rPr>
          <w:rFonts w:ascii="Simplified Arabic" w:hAnsi="Simplified Arabic" w:cs="Simplified Arabic"/>
          <w:color w:val="auto"/>
          <w:sz w:val="28"/>
          <w:szCs w:val="28"/>
          <w:rtl/>
        </w:rPr>
        <w:t>ما أبرز التحديات التقنية والتنظيمية والتشغيلية والثقافية؟</w:t>
      </w:r>
      <w:bookmarkEnd w:id="62"/>
      <w:bookmarkEnd w:id="63"/>
      <w:bookmarkEnd w:id="64"/>
    </w:p>
    <w:p w14:paraId="7BD4A94E" w14:textId="61FBF6E8" w:rsidR="00C327A0" w:rsidRPr="00C327A0" w:rsidRDefault="004A6241" w:rsidP="00C327A0">
      <w:pPr>
        <w:pStyle w:val="Heading1"/>
        <w:numPr>
          <w:ilvl w:val="0"/>
          <w:numId w:val="69"/>
        </w:numPr>
        <w:bidi/>
        <w:jc w:val="both"/>
        <w:rPr>
          <w:rFonts w:ascii="Simplified Arabic" w:hAnsi="Simplified Arabic" w:cs="Simplified Arabic"/>
          <w:color w:val="auto"/>
          <w:sz w:val="28"/>
          <w:szCs w:val="28"/>
          <w:rtl/>
        </w:rPr>
      </w:pPr>
      <w:bookmarkStart w:id="65" w:name="_Toc217927631"/>
      <w:bookmarkStart w:id="66" w:name="_Toc224563934"/>
      <w:bookmarkStart w:id="67" w:name="_Toc224563991"/>
      <w:r w:rsidRPr="004A6241">
        <w:rPr>
          <w:rFonts w:ascii="Simplified Arabic" w:hAnsi="Simplified Arabic" w:cs="Simplified Arabic"/>
          <w:color w:val="auto"/>
          <w:sz w:val="28"/>
          <w:szCs w:val="28"/>
          <w:rtl/>
        </w:rPr>
        <w:t>ما الحلول المقترحة لضمان تبني فعّال ومستدام لتقنية الترميز؟</w:t>
      </w:r>
      <w:bookmarkEnd w:id="65"/>
      <w:bookmarkEnd w:id="66"/>
      <w:bookmarkEnd w:id="67"/>
    </w:p>
    <w:p w14:paraId="15174074" w14:textId="1921BA16" w:rsidR="00883E09" w:rsidRPr="0072768E" w:rsidRDefault="00C11026" w:rsidP="00F611F5">
      <w:pPr>
        <w:pStyle w:val="Heading1"/>
        <w:numPr>
          <w:ilvl w:val="0"/>
          <w:numId w:val="0"/>
        </w:numPr>
        <w:bidi/>
        <w:ind w:left="432" w:hanging="432"/>
        <w:rPr>
          <w:rFonts w:ascii="Simplified Arabic" w:hAnsi="Simplified Arabic" w:cs="Simplified Arabic"/>
          <w:b/>
          <w:bCs/>
          <w:color w:val="auto"/>
          <w:sz w:val="28"/>
          <w:szCs w:val="28"/>
          <w:u w:val="single"/>
          <w:rtl/>
        </w:rPr>
      </w:pPr>
      <w:bookmarkStart w:id="68" w:name="_Toc224563935"/>
      <w:bookmarkStart w:id="69" w:name="_Toc224563992"/>
      <w:r w:rsidRPr="0072768E">
        <w:rPr>
          <w:rFonts w:ascii="Simplified Arabic" w:hAnsi="Simplified Arabic" w:cs="Simplified Arabic"/>
          <w:b/>
          <w:bCs/>
          <w:color w:val="auto"/>
          <w:sz w:val="28"/>
          <w:szCs w:val="28"/>
          <w:u w:val="single"/>
          <w:rtl/>
        </w:rPr>
        <w:t>أهمية الدراسة (</w:t>
      </w:r>
      <w:r w:rsidR="000A1E46" w:rsidRPr="0072768E">
        <w:rPr>
          <w:rFonts w:ascii="Simplified Arabic" w:hAnsi="Simplified Arabic" w:cs="Simplified Arabic"/>
          <w:b/>
          <w:bCs/>
          <w:color w:val="auto"/>
          <w:sz w:val="28"/>
          <w:szCs w:val="28"/>
          <w:u w:val="single"/>
          <w:rtl/>
        </w:rPr>
        <w:t>النظرية والتطبيقية</w:t>
      </w:r>
      <w:r w:rsidRPr="0072768E">
        <w:rPr>
          <w:rFonts w:ascii="Simplified Arabic" w:hAnsi="Simplified Arabic" w:cs="Simplified Arabic"/>
          <w:b/>
          <w:bCs/>
          <w:color w:val="auto"/>
          <w:sz w:val="28"/>
          <w:szCs w:val="28"/>
          <w:u w:val="single"/>
          <w:rtl/>
        </w:rPr>
        <w:t>)</w:t>
      </w:r>
      <w:r w:rsidR="00883E09" w:rsidRPr="0072768E">
        <w:rPr>
          <w:rFonts w:ascii="Simplified Arabic" w:hAnsi="Simplified Arabic" w:cs="Simplified Arabic"/>
          <w:b/>
          <w:bCs/>
          <w:color w:val="auto"/>
          <w:sz w:val="28"/>
          <w:szCs w:val="28"/>
          <w:u w:val="single"/>
          <w:rtl/>
        </w:rPr>
        <w:t>:</w:t>
      </w:r>
      <w:bookmarkEnd w:id="68"/>
      <w:bookmarkEnd w:id="69"/>
    </w:p>
    <w:bookmarkEnd w:id="19"/>
    <w:p w14:paraId="4A1AF931" w14:textId="77777777" w:rsidR="00870DE8" w:rsidRPr="0072768E" w:rsidRDefault="00870DE8" w:rsidP="00870DE8">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تكتسب هذه الدراسة أهمية كبيرة من الناحيتين النظرية والتطبيقية، وتستمد هذه الأهمية من الدور المحوري الذي تلعبه تقنية الترميز في تعزيز الأمن السيبراني وتحسين كفاءة العمليات المالية، وارتباط ذلك بأهداف رؤية المملكة 2030. وفيما يلي توضيح تفصيلي لأهمية الدراسة</w:t>
      </w:r>
      <w:r w:rsidRPr="0072768E">
        <w:rPr>
          <w:rFonts w:ascii="Simplified Arabic" w:hAnsi="Simplified Arabic" w:cs="Simplified Arabic"/>
          <w:color w:val="auto"/>
          <w:sz w:val="28"/>
          <w:szCs w:val="28"/>
        </w:rPr>
        <w:t>:</w:t>
      </w:r>
    </w:p>
    <w:p w14:paraId="32DC2206" w14:textId="77777777" w:rsidR="00421EDA" w:rsidRPr="0072768E" w:rsidRDefault="00421EDA" w:rsidP="00D5405D">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الأهمية النظرية</w:t>
      </w:r>
    </w:p>
    <w:p w14:paraId="0A4B2450" w14:textId="6F1FA67B"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إثراء المعرفة العلمية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هذه الدراسة في إثراء المعرفة العلمية حول تقنية الترميز وتأثيرها على الأمن والكفاءة المالية، خاصة في ظل ندرة الدراسات العربية التي تناولت هذا الموضوع. وتشير مراجعة الأدبيات السابقة إلى وجود فجوة معرفية كبيرة في فهم تطبيقات هذه التقنية في السياق السعودي تحديداً، مما يجعل هذه الدراسة إضافة مهمة للمكتبة العربية في مجال التكنولوجيا المالية والأمن السيبراني</w:t>
      </w:r>
      <w:r w:rsidRPr="0072768E">
        <w:rPr>
          <w:rFonts w:ascii="Simplified Arabic" w:hAnsi="Simplified Arabic" w:cs="Simplified Arabic"/>
          <w:color w:val="auto"/>
          <w:sz w:val="28"/>
          <w:szCs w:val="28"/>
        </w:rPr>
        <w:t xml:space="preserve">. </w:t>
      </w:r>
    </w:p>
    <w:p w14:paraId="7FBCCC7A" w14:textId="2C42C02F"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الأطر النظرية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تطوير الأطر النظرية لفهم العلاقة بين الترميز والأمن السيبراني والكفاءة المالية، مما يفتح المجال لمزيد من البحوث والدراسات في هذا المجال. وتقدم الدراسة نموذجاً متكاملاً يربط بين مختلف أبعاد تقنية الترميز وتأثيراتها على المتغيرات التابعة، مع مراعاة العوامل الوسيطة التي قد تؤثر على هذه العلاقة</w:t>
      </w:r>
      <w:r w:rsidRPr="0072768E">
        <w:rPr>
          <w:rFonts w:ascii="Simplified Arabic" w:hAnsi="Simplified Arabic" w:cs="Simplified Arabic"/>
          <w:color w:val="auto"/>
          <w:sz w:val="28"/>
          <w:szCs w:val="28"/>
        </w:rPr>
        <w:t xml:space="preserve">. </w:t>
      </w:r>
    </w:p>
    <w:p w14:paraId="08FD661A" w14:textId="17D39C86"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سد الفجوة البحثية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تسعى الدراسة إلى سد الفجوة البحثية المتمثلة في ندرة الدراسات التي تناولت تأثير تقنية الترميز على القطاع المالي السعودي في سياق رؤية المملكة 2030. وفقاً لدراسة أجراها مركز البحوث والدراسات المالية بجامعة الملك سعود (2023)، فإن أقل من 5% من الدراسات العلمية في مجال التكنولوجيا المالية تناولت تقنية الترميز في السياق السعودي، مما يؤكد الحاجة الملحة لمثل هذه الدراسة</w:t>
      </w:r>
      <w:r w:rsidRPr="0072768E">
        <w:rPr>
          <w:rFonts w:ascii="Simplified Arabic" w:hAnsi="Simplified Arabic" w:cs="Simplified Arabic"/>
          <w:color w:val="auto"/>
          <w:sz w:val="28"/>
          <w:szCs w:val="28"/>
        </w:rPr>
        <w:t xml:space="preserve">. </w:t>
      </w:r>
    </w:p>
    <w:p w14:paraId="7C4297A2" w14:textId="2C28852A"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مؤشرات قياس</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مؤشرات علمية دقيقة لقياس تأثير تقنية الترميز على الأمن والكفاءة المالية، مما يساعد الباحثين على إجراء دراسات تقييمية في المستقبل. وتشمل هذه المؤشرات معدلات الاختراق الأمني، وقت معالجة المعاملات، التكاليف التشغيلية، ومستويات رضا العملاء، وغيرها من المقاييس الكمية والنوعية</w:t>
      </w:r>
      <w:r w:rsidRPr="0072768E">
        <w:rPr>
          <w:rFonts w:ascii="Simplified Arabic" w:hAnsi="Simplified Arabic" w:cs="Simplified Arabic"/>
          <w:color w:val="auto"/>
          <w:sz w:val="28"/>
          <w:szCs w:val="28"/>
        </w:rPr>
        <w:t xml:space="preserve">. </w:t>
      </w:r>
    </w:p>
    <w:p w14:paraId="21C017CA" w14:textId="298976D9"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تأصيل المفاهيم العلمية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تأصيل المفاهيم العلمية المرتبطة بتقنية الترميز وتطبيقاتها المختلفة (ترميز البيانات الحساسة، ترميز المدفوعات، ترميز الأصول، الترميز غير القابل للاستبدال) باللغة العربية، مما يثري المحتوى العربي في هذا المجال التقني المتخصص</w:t>
      </w:r>
      <w:r w:rsidRPr="0072768E">
        <w:rPr>
          <w:rFonts w:ascii="Simplified Arabic" w:hAnsi="Simplified Arabic" w:cs="Simplified Arabic"/>
          <w:color w:val="auto"/>
          <w:sz w:val="28"/>
          <w:szCs w:val="28"/>
        </w:rPr>
        <w:t xml:space="preserve">. </w:t>
      </w:r>
    </w:p>
    <w:p w14:paraId="2DEA6E78" w14:textId="6600A2FB"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إنشاء قاعدة معرفية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إنشاء قاعدة معرفية متكاملة يمكن أن تستفيد منها الدراسات المستقبلية في مجال التكنولوجيا المالية والأمن السيبراني، من خلال توثيق التجارب الحالية والدروس المستفادة والتحديات التي تواجه تطبيق تقنية الترميز في المؤسسات المالية السعودية</w:t>
      </w:r>
      <w:r w:rsidRPr="0072768E">
        <w:rPr>
          <w:rFonts w:ascii="Simplified Arabic" w:hAnsi="Simplified Arabic" w:cs="Simplified Arabic"/>
          <w:color w:val="auto"/>
          <w:sz w:val="28"/>
          <w:szCs w:val="28"/>
        </w:rPr>
        <w:t>.</w:t>
      </w:r>
    </w:p>
    <w:p w14:paraId="0ED5F7B2" w14:textId="77777777" w:rsidR="00421EDA" w:rsidRPr="0072768E" w:rsidRDefault="00421EDA" w:rsidP="00D5405D">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الأهمية التطبيقية</w:t>
      </w:r>
    </w:p>
    <w:p w14:paraId="0C351743" w14:textId="3F4FB64D"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دعم صناع القرار</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معلومات وتحليلات استراتيجية يمكن أن تساعد صناع القرار في القطاعين العام والخاص على فهم أهمية تقنية الترميز ودورها في تعزيز الأمن والكفاءة المالية. وتقدم توصيات عملية تستند إلى أدلة علمية حول كيفية تبني هذه التقنية بفعالية وتعظيم فوائدها</w:t>
      </w:r>
      <w:r w:rsidRPr="0072768E">
        <w:rPr>
          <w:rFonts w:ascii="Simplified Arabic" w:hAnsi="Simplified Arabic" w:cs="Simplified Arabic"/>
          <w:color w:val="auto"/>
          <w:sz w:val="28"/>
          <w:szCs w:val="28"/>
        </w:rPr>
        <w:t xml:space="preserve">. </w:t>
      </w:r>
    </w:p>
    <w:p w14:paraId="6BCA1D16" w14:textId="70116C28"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توجيه الاستثمارات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تساعد نتائج الدراسة على توجيه استثمارات المؤسسات المالية نحو تطبيقات الترميز الأكثر فعالية وتأثيراً على الأمن والكفاءة المالية. وتشير تقديرات هيئة السوق المالية (2023) إلى أن الاستثمارات المتوقعة في تقنيات الأمن السيبراني والتكنولوجيا المالية في المملكة ستتجاوز 20 مليار ريال بحلول عام 2030، مما يبرز أهمية ترشيد هذه الاستثمارات وتوجيهها بشكل صحيح</w:t>
      </w:r>
      <w:r w:rsidRPr="0072768E">
        <w:rPr>
          <w:rFonts w:ascii="Simplified Arabic" w:hAnsi="Simplified Arabic" w:cs="Simplified Arabic"/>
          <w:color w:val="auto"/>
          <w:sz w:val="28"/>
          <w:szCs w:val="28"/>
        </w:rPr>
        <w:t xml:space="preserve">. </w:t>
      </w:r>
    </w:p>
    <w:p w14:paraId="43CACB38" w14:textId="676F1F9C"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تطوير السياسات واللوائح</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تقدم الدراسة توصيات يمكن أن تساعد الجهات التنظيمية (مثل البنك المركزي السعودي وهيئة السوق المالية) على تطوير سياسات ولوائح تدعم تبني تقنية الترميز وتنظم استخدامها بما يحقق التوازن بين الابتكار والأمن. وتساهم في سد الفجوة التنظيمية التي أشارت إليها دراسة المنتدى الاقتصادي العالمي (2023) كأحد أهم تحديات تبني التقنيات المالية الحديثة في الاقتصادات الناشئة</w:t>
      </w:r>
      <w:r w:rsidRPr="0072768E">
        <w:rPr>
          <w:rFonts w:ascii="Simplified Arabic" w:hAnsi="Simplified Arabic" w:cs="Simplified Arabic"/>
          <w:color w:val="auto"/>
          <w:sz w:val="28"/>
          <w:szCs w:val="28"/>
        </w:rPr>
        <w:t xml:space="preserve">. </w:t>
      </w:r>
    </w:p>
    <w:p w14:paraId="55E3062C" w14:textId="2D1C7EDC"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تحسين الممارسات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أفضل الممارسات والدروس المستفادة في مجال تطبيق تقنية الترميز، مما يساعد المؤسسات المالية على تبني هذه التقنية بفعالية وتجنب الأخطاء الشائعة التي قد تؤثر على نجاح التطبيق. وتقدم نماذج عملية يمكن للمؤسسات تبنيها وتكييفها وفقاً لاحتياجاتها وقدراتها</w:t>
      </w:r>
      <w:r w:rsidRPr="0072768E">
        <w:rPr>
          <w:rFonts w:ascii="Simplified Arabic" w:hAnsi="Simplified Arabic" w:cs="Simplified Arabic"/>
          <w:color w:val="auto"/>
          <w:sz w:val="28"/>
          <w:szCs w:val="28"/>
        </w:rPr>
        <w:t xml:space="preserve">. </w:t>
      </w:r>
    </w:p>
    <w:p w14:paraId="0170B63B" w14:textId="393B99EF"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دعم رؤية المملكة 2030</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بشكل مباشر في دعم جهود المملكة لتحقيق التحول الرقمي وتطوير القطاع المالي تماشياً مع رؤية المملكة 2030، خاصة فيما يتعلق بمستهدفات برنامج تطوير القطاع المالي الذي يهدف إلى زيادة نسبة المعاملات غير النقدية إلى 70% بحلول عام 2030، وتعزيز مكانة المملكة كمركز مالي إقليمي وعالمي</w:t>
      </w:r>
      <w:r w:rsidRPr="0072768E">
        <w:rPr>
          <w:rFonts w:ascii="Simplified Arabic" w:hAnsi="Simplified Arabic" w:cs="Simplified Arabic"/>
          <w:color w:val="auto"/>
          <w:sz w:val="28"/>
          <w:szCs w:val="28"/>
        </w:rPr>
        <w:t xml:space="preserve">. </w:t>
      </w:r>
    </w:p>
    <w:p w14:paraId="5C0BACA8" w14:textId="3E8D41C3"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تعزيز التنافسية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تساعد نتائج الدراسة المؤسسات المالية السعودية على تعزيز تنافسيتها محلياً وإقليمياً من خلال تبني تقنيات مبتكرة مثل الترميز التي يمكن أن تحسن من جودة خدماتها وتقلل من تكاليفها التشغيلية. وقد أشارت دراسة شركة</w:t>
      </w:r>
      <w:r w:rsidRPr="0072768E">
        <w:rPr>
          <w:rFonts w:ascii="Simplified Arabic" w:hAnsi="Simplified Arabic" w:cs="Simplified Arabic"/>
          <w:color w:val="auto"/>
          <w:sz w:val="28"/>
          <w:szCs w:val="28"/>
        </w:rPr>
        <w:t xml:space="preserve"> KPMG (2023) </w:t>
      </w:r>
      <w:r w:rsidRPr="0072768E">
        <w:rPr>
          <w:rFonts w:ascii="Simplified Arabic" w:hAnsi="Simplified Arabic" w:cs="Simplified Arabic"/>
          <w:color w:val="auto"/>
          <w:sz w:val="28"/>
          <w:szCs w:val="28"/>
          <w:rtl/>
        </w:rPr>
        <w:t>إلى أن المؤسسات المالية التي تتبنى التقنيات المبتكرة تحقق ميزة تنافسية تقدر بـ 15-20% مقارنة بنظيراتها التقليدية</w:t>
      </w:r>
      <w:r w:rsidRPr="0072768E">
        <w:rPr>
          <w:rFonts w:ascii="Simplified Arabic" w:hAnsi="Simplified Arabic" w:cs="Simplified Arabic"/>
          <w:color w:val="auto"/>
          <w:sz w:val="28"/>
          <w:szCs w:val="28"/>
        </w:rPr>
        <w:t xml:space="preserve">. </w:t>
      </w:r>
    </w:p>
    <w:p w14:paraId="46EB7DDA" w14:textId="4C20AACF"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حماية المستهلك</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تعزيز حماية المستهلك من خلال تسليط الضوء على دور الترميز في تأمين المعلومات المالية والشخصية للعملاء، مما يعزز الثقة في النظام المالي ويشجع على استخدام الخدمات المالية الرقمية. وتشير إحصاءات برنامج حماية العملاء بالبنك المركزي السعودي (2023) إلى أن قضايا الاحتيال والاختراق تمثل 42% من شكاوى عملاء المؤسسات المالية، مما يبرز أهمية تعزيز الأمن السيبراني</w:t>
      </w:r>
      <w:r w:rsidRPr="0072768E">
        <w:rPr>
          <w:rFonts w:ascii="Simplified Arabic" w:hAnsi="Simplified Arabic" w:cs="Simplified Arabic"/>
          <w:color w:val="auto"/>
          <w:sz w:val="28"/>
          <w:szCs w:val="28"/>
        </w:rPr>
        <w:t xml:space="preserve">. </w:t>
      </w:r>
    </w:p>
    <w:p w14:paraId="7FB2074C" w14:textId="1C45A04B" w:rsidR="00491655" w:rsidRPr="0072768E" w:rsidRDefault="00491655" w:rsidP="00491655">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lastRenderedPageBreak/>
        <w:t>تطوير الكفاءات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معلومات قيمة يمكن أن تساعد في تحديد احتياجات تطوير الكفاءات البشرية في مجال الترميز والأمن السيبراني، مما يدعم جهود توطين المعرفة والمهارات في هذا المجال التقني المتقدم. وتساهم في تحديد الفجوات المهارية التي يجب معالجتها من خلال برامج التدريب والتأهيل</w:t>
      </w:r>
      <w:r w:rsidRPr="0072768E">
        <w:rPr>
          <w:rFonts w:ascii="Simplified Arabic" w:hAnsi="Simplified Arabic" w:cs="Simplified Arabic"/>
          <w:color w:val="auto"/>
          <w:sz w:val="28"/>
          <w:szCs w:val="28"/>
        </w:rPr>
        <w:t>.</w:t>
      </w:r>
    </w:p>
    <w:p w14:paraId="0CAD3073" w14:textId="36230F99"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تعزيز الشمول المالي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تسلط الدراسة الضوء على دور تقنية الترميز في تعزيز الشمول المالي من خلال توفير خدمات مالية آمنة وفعالة لشرائح أوسع من المجتمع، مما يدعم هدف رؤية 2030 المتمثل في زيادة نسبة الشمول المالي إلى 80% بحلول عام 2030. وفقاً لتقرير البنك المركزي السعودي (2023)، فإن تحسين أمن المعاملات المالية يعد عاملاً أساسياً في زيادة ثقة الأفراد والشركات الصغيرة في استخدام الخدمات المالية الرقمية</w:t>
      </w:r>
      <w:r w:rsidRPr="0072768E">
        <w:rPr>
          <w:rFonts w:ascii="Simplified Arabic" w:hAnsi="Simplified Arabic" w:cs="Simplified Arabic"/>
          <w:color w:val="auto"/>
          <w:sz w:val="28"/>
          <w:szCs w:val="28"/>
        </w:rPr>
        <w:t xml:space="preserve">. </w:t>
      </w:r>
    </w:p>
    <w:p w14:paraId="6B286D1D" w14:textId="7A1A3CD1"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دعم الابتكار</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تشجع الدراسة على الابتكار في القطاع المالي من خلال استكشاف إمكانات تقنية الترميز وتطبيقاتها المختلفة، مما يساهم في تطوير منتجات وخدمات مالية جديدة تلبي احتياجات العملاء وتحسن تجربتهم. وتدعم الدراسة مبادرة "فنتك السعودية" التي تهدف إلى جعل المملكة مركزاً رائداً للابتكار في مجال التكنولوجيا المالية</w:t>
      </w:r>
      <w:r w:rsidRPr="0072768E">
        <w:rPr>
          <w:rFonts w:ascii="Simplified Arabic" w:hAnsi="Simplified Arabic" w:cs="Simplified Arabic"/>
          <w:color w:val="auto"/>
          <w:sz w:val="28"/>
          <w:szCs w:val="28"/>
        </w:rPr>
        <w:t xml:space="preserve">. </w:t>
      </w:r>
    </w:p>
    <w:p w14:paraId="1E345B10" w14:textId="5B9C0EC4"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تحسين إدارة المخاطر</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إطاراً متكاملاً لفهم وتقييم المخاطر المرتبطة بتبني تقنية الترميز، والاستراتيجيات الفعالة لإدارة هذه المخاطر، مما يساعد المؤسسات المالية على اتخاذ قرارات مدروسة عند تطبيق هذه التقنية. وتقدم منهجية علمية لتقييم العائد على الاستثمار من تطبيقات الترميز المختلفة</w:t>
      </w:r>
      <w:r w:rsidRPr="0072768E">
        <w:rPr>
          <w:rFonts w:ascii="Simplified Arabic" w:hAnsi="Simplified Arabic" w:cs="Simplified Arabic"/>
          <w:color w:val="auto"/>
          <w:sz w:val="28"/>
          <w:szCs w:val="28"/>
        </w:rPr>
        <w:t>.</w:t>
      </w:r>
    </w:p>
    <w:p w14:paraId="7844FE2A" w14:textId="77777777" w:rsidR="0080377D" w:rsidRPr="0072768E" w:rsidRDefault="0080377D" w:rsidP="00B64268">
      <w:pPr>
        <w:pStyle w:val="Heading1"/>
        <w:numPr>
          <w:ilvl w:val="0"/>
          <w:numId w:val="0"/>
        </w:numPr>
        <w:bidi/>
        <w:ind w:left="432" w:hanging="432"/>
        <w:rPr>
          <w:rFonts w:ascii="Simplified Arabic" w:hAnsi="Simplified Arabic" w:cs="Simplified Arabic"/>
          <w:b/>
          <w:bCs/>
          <w:color w:val="auto"/>
          <w:sz w:val="28"/>
          <w:szCs w:val="28"/>
          <w:u w:val="single"/>
          <w:rtl/>
        </w:rPr>
        <w:sectPr w:rsidR="0080377D"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0E8E9098" w14:textId="56B9CE2B" w:rsidR="00A16E60" w:rsidRPr="0072768E" w:rsidRDefault="00C11026" w:rsidP="00B64268">
      <w:pPr>
        <w:pStyle w:val="Heading1"/>
        <w:numPr>
          <w:ilvl w:val="0"/>
          <w:numId w:val="0"/>
        </w:numPr>
        <w:bidi/>
        <w:ind w:left="432" w:hanging="432"/>
        <w:rPr>
          <w:rFonts w:ascii="Simplified Arabic" w:hAnsi="Simplified Arabic" w:cs="Simplified Arabic"/>
          <w:b/>
          <w:bCs/>
          <w:color w:val="auto"/>
          <w:sz w:val="28"/>
          <w:szCs w:val="28"/>
          <w:u w:val="single"/>
          <w:rtl/>
        </w:rPr>
      </w:pPr>
      <w:bookmarkStart w:id="70" w:name="_Toc224563936"/>
      <w:bookmarkStart w:id="71" w:name="_Toc224563993"/>
      <w:r w:rsidRPr="0072768E">
        <w:rPr>
          <w:rFonts w:ascii="Simplified Arabic" w:hAnsi="Simplified Arabic" w:cs="Simplified Arabic"/>
          <w:b/>
          <w:bCs/>
          <w:color w:val="auto"/>
          <w:sz w:val="28"/>
          <w:szCs w:val="28"/>
          <w:u w:val="single"/>
          <w:rtl/>
        </w:rPr>
        <w:lastRenderedPageBreak/>
        <w:t>أ</w:t>
      </w:r>
      <w:r w:rsidR="00A16E60" w:rsidRPr="0072768E">
        <w:rPr>
          <w:rFonts w:ascii="Simplified Arabic" w:hAnsi="Simplified Arabic" w:cs="Simplified Arabic"/>
          <w:b/>
          <w:bCs/>
          <w:color w:val="auto"/>
          <w:sz w:val="28"/>
          <w:szCs w:val="28"/>
          <w:u w:val="single"/>
          <w:rtl/>
        </w:rPr>
        <w:t>هد</w:t>
      </w:r>
      <w:r w:rsidRPr="0072768E">
        <w:rPr>
          <w:rFonts w:ascii="Simplified Arabic" w:hAnsi="Simplified Arabic" w:cs="Simplified Arabic"/>
          <w:b/>
          <w:bCs/>
          <w:color w:val="auto"/>
          <w:sz w:val="28"/>
          <w:szCs w:val="28"/>
          <w:u w:val="single"/>
          <w:rtl/>
        </w:rPr>
        <w:t>ا</w:t>
      </w:r>
      <w:r w:rsidR="00A16E60" w:rsidRPr="0072768E">
        <w:rPr>
          <w:rFonts w:ascii="Simplified Arabic" w:hAnsi="Simplified Arabic" w:cs="Simplified Arabic"/>
          <w:b/>
          <w:bCs/>
          <w:color w:val="auto"/>
          <w:sz w:val="28"/>
          <w:szCs w:val="28"/>
          <w:u w:val="single"/>
          <w:rtl/>
        </w:rPr>
        <w:t>ف الدراسة:</w:t>
      </w:r>
      <w:bookmarkEnd w:id="70"/>
      <w:bookmarkEnd w:id="71"/>
    </w:p>
    <w:p w14:paraId="7A049149" w14:textId="77777777" w:rsidR="00A34BF0" w:rsidRPr="0072768E" w:rsidRDefault="00A34BF0" w:rsidP="009365EF">
      <w:pPr>
        <w:pStyle w:val="Heading2"/>
        <w:bidi/>
        <w:spacing w:before="0" w:after="120" w:line="276" w:lineRule="auto"/>
        <w:jc w:val="both"/>
        <w:rPr>
          <w:rFonts w:ascii="Simplified Arabic" w:hAnsi="Simplified Arabic" w:cs="Simplified Arabic"/>
          <w:color w:val="auto"/>
          <w:sz w:val="28"/>
          <w:szCs w:val="28"/>
        </w:rPr>
      </w:pPr>
      <w:bookmarkStart w:id="72" w:name="_Hlk195360772"/>
      <w:r w:rsidRPr="0072768E">
        <w:rPr>
          <w:rFonts w:ascii="Simplified Arabic" w:hAnsi="Simplified Arabic" w:cs="Simplified Arabic"/>
          <w:color w:val="auto"/>
          <w:sz w:val="28"/>
          <w:szCs w:val="28"/>
          <w:rtl/>
        </w:rPr>
        <w:t>تهدف هذه الدراسة بشكل عام إلى تحليل وتقييم تأثير تقنية الترميز على تعزيز الأمن السيبراني وتحسين كفاءة المعاملات المالية في القطاع المالي السعودي، ودورها في دعم تحقيق أهداف رؤية المملكة 2030. وتتمثل الأهداف التفصيلية للدراسة فيما يلي</w:t>
      </w:r>
      <w:r w:rsidRPr="0072768E">
        <w:rPr>
          <w:rFonts w:ascii="Simplified Arabic" w:hAnsi="Simplified Arabic" w:cs="Simplified Arabic"/>
          <w:color w:val="auto"/>
          <w:sz w:val="28"/>
          <w:szCs w:val="28"/>
        </w:rPr>
        <w:t>:</w:t>
      </w:r>
    </w:p>
    <w:bookmarkEnd w:id="72"/>
    <w:p w14:paraId="2BBFE9B4" w14:textId="77777777" w:rsidR="00E04048" w:rsidRPr="0072768E" w:rsidRDefault="00E04048" w:rsidP="009365EF">
      <w:pPr>
        <w:pStyle w:val="Heading2"/>
        <w:numPr>
          <w:ilvl w:val="0"/>
          <w:numId w:val="3"/>
        </w:numPr>
        <w:bidi/>
        <w:spacing w:after="120" w:line="276" w:lineRule="auto"/>
        <w:jc w:val="both"/>
        <w:rPr>
          <w:rFonts w:ascii="Simplified Arabic" w:hAnsi="Simplified Arabic" w:cs="Simplified Arabic"/>
          <w:color w:val="auto"/>
          <w:sz w:val="28"/>
          <w:szCs w:val="28"/>
        </w:rPr>
      </w:pPr>
      <w:r w:rsidRPr="00E04048">
        <w:rPr>
          <w:rFonts w:ascii="Simplified Arabic" w:hAnsi="Simplified Arabic" w:cs="Simplified Arabic"/>
          <w:b/>
          <w:bCs/>
          <w:color w:val="auto"/>
          <w:sz w:val="28"/>
          <w:szCs w:val="28"/>
          <w:rtl/>
        </w:rPr>
        <w:t>قياس وتحليل تأثير تقنية الترميز على مؤشرات الأمن السيبراني في المؤسسات المالية السعودية، بما يشمل</w:t>
      </w:r>
      <w:r w:rsidRPr="0072768E">
        <w:rPr>
          <w:rFonts w:ascii="Simplified Arabic" w:hAnsi="Simplified Arabic" w:cs="Simplified Arabic" w:hint="cs"/>
          <w:b/>
          <w:bCs/>
          <w:color w:val="auto"/>
          <w:sz w:val="28"/>
          <w:szCs w:val="28"/>
          <w:rtl/>
        </w:rPr>
        <w:t>:</w:t>
      </w:r>
    </w:p>
    <w:p w14:paraId="60C9C8C5" w14:textId="77777777" w:rsidR="00A35F9B"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E04048">
        <w:rPr>
          <w:rFonts w:ascii="Simplified Arabic" w:hAnsi="Simplified Arabic" w:cs="Simplified Arabic"/>
          <w:color w:val="auto"/>
          <w:sz w:val="28"/>
          <w:szCs w:val="28"/>
          <w:rtl/>
        </w:rPr>
        <w:t>تحليل تأثيرها على معدلات الاختراقات الأمنية وحوادث سرقة البيانات</w:t>
      </w:r>
      <w:r w:rsidR="00A35F9B" w:rsidRPr="0072768E">
        <w:rPr>
          <w:rFonts w:ascii="Simplified Arabic" w:hAnsi="Simplified Arabic" w:cs="Simplified Arabic" w:hint="cs"/>
          <w:color w:val="auto"/>
          <w:sz w:val="28"/>
          <w:szCs w:val="28"/>
          <w:rtl/>
        </w:rPr>
        <w:t>.</w:t>
      </w:r>
    </w:p>
    <w:p w14:paraId="69CE6C5E" w14:textId="77777777" w:rsidR="00A35F9B"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E04048">
        <w:rPr>
          <w:rFonts w:ascii="Simplified Arabic" w:hAnsi="Simplified Arabic" w:cs="Simplified Arabic"/>
          <w:color w:val="auto"/>
          <w:sz w:val="28"/>
          <w:szCs w:val="28"/>
          <w:rtl/>
        </w:rPr>
        <w:t>تقييم دورها في تحسين مستوى الامتثال للمعايير الأمنية المحلية والدولية</w:t>
      </w:r>
      <w:r w:rsidR="00A35F9B" w:rsidRPr="0072768E">
        <w:rPr>
          <w:rFonts w:ascii="Simplified Arabic" w:hAnsi="Simplified Arabic" w:cs="Simplified Arabic" w:hint="cs"/>
          <w:color w:val="auto"/>
          <w:sz w:val="28"/>
          <w:szCs w:val="28"/>
          <w:rtl/>
        </w:rPr>
        <w:t>.</w:t>
      </w:r>
    </w:p>
    <w:p w14:paraId="5001E94C" w14:textId="03C161F5" w:rsidR="001058D2"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tl/>
        </w:rPr>
      </w:pPr>
      <w:r w:rsidRPr="00E04048">
        <w:rPr>
          <w:rFonts w:ascii="Simplified Arabic" w:hAnsi="Simplified Arabic" w:cs="Simplified Arabic"/>
          <w:color w:val="auto"/>
          <w:sz w:val="28"/>
          <w:szCs w:val="28"/>
          <w:rtl/>
        </w:rPr>
        <w:t>قياس فعاليتها في تعزيز القدرة على اكتشاف والتصدي للهجمات السيبرانية</w:t>
      </w:r>
      <w:r w:rsidR="001058D2" w:rsidRPr="0072768E">
        <w:rPr>
          <w:rFonts w:ascii="Simplified Arabic" w:hAnsi="Simplified Arabic" w:cs="Simplified Arabic" w:hint="cs"/>
          <w:color w:val="auto"/>
          <w:sz w:val="28"/>
          <w:szCs w:val="28"/>
          <w:rtl/>
        </w:rPr>
        <w:t>.</w:t>
      </w:r>
    </w:p>
    <w:p w14:paraId="567F0426" w14:textId="77777777" w:rsidR="00D16538" w:rsidRPr="0072768E"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تحليل مساهمة تقنية الترميز في تحسين كفاءة العمليات المالية في القطاع المالي السعودي من حيث</w:t>
      </w:r>
      <w:r w:rsidRPr="0072768E">
        <w:rPr>
          <w:rFonts w:ascii="Simplified Arabic" w:hAnsi="Simplified Arabic" w:cs="Simplified Arabic" w:hint="cs"/>
          <w:b/>
          <w:bCs/>
          <w:color w:val="auto"/>
          <w:sz w:val="28"/>
          <w:szCs w:val="28"/>
          <w:rtl/>
        </w:rPr>
        <w:t>:</w:t>
      </w:r>
    </w:p>
    <w:p w14:paraId="453FDEF3" w14:textId="7B8C5B45"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تقليل وقت معالجة المعاملات المالية</w:t>
      </w:r>
      <w:r w:rsidR="009365EF" w:rsidRPr="0072768E">
        <w:rPr>
          <w:rFonts w:ascii="Simplified Arabic" w:hAnsi="Simplified Arabic" w:cs="Simplified Arabic" w:hint="cs"/>
          <w:color w:val="auto"/>
          <w:sz w:val="28"/>
          <w:szCs w:val="28"/>
          <w:rtl/>
        </w:rPr>
        <w:t>.</w:t>
      </w:r>
    </w:p>
    <w:p w14:paraId="747DCE84" w14:textId="52965B7A"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خفض تكاليف العمليات التشغيلية</w:t>
      </w:r>
      <w:r w:rsidR="009365EF" w:rsidRPr="0072768E">
        <w:rPr>
          <w:rFonts w:ascii="Simplified Arabic" w:hAnsi="Simplified Arabic" w:cs="Simplified Arabic" w:hint="cs"/>
          <w:color w:val="auto"/>
          <w:sz w:val="28"/>
          <w:szCs w:val="28"/>
          <w:rtl/>
        </w:rPr>
        <w:t>.</w:t>
      </w:r>
    </w:p>
    <w:p w14:paraId="703B12B7" w14:textId="6D40496F"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تحسين مستويات السيولة والوصول إلى الخدمات المالية</w:t>
      </w:r>
      <w:r w:rsidR="009365EF" w:rsidRPr="0072768E">
        <w:rPr>
          <w:rFonts w:ascii="Simplified Arabic" w:hAnsi="Simplified Arabic" w:cs="Simplified Arabic" w:hint="cs"/>
          <w:color w:val="auto"/>
          <w:sz w:val="28"/>
          <w:szCs w:val="28"/>
          <w:rtl/>
        </w:rPr>
        <w:t>.</w:t>
      </w:r>
    </w:p>
    <w:p w14:paraId="67F91C57" w14:textId="7AECF9E0" w:rsidR="00D16538"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تعزيز تجربة العملاء وزيادة رضاهم</w:t>
      </w:r>
      <w:r w:rsidRPr="0072768E">
        <w:rPr>
          <w:rFonts w:ascii="Simplified Arabic" w:hAnsi="Simplified Arabic" w:cs="Simplified Arabic"/>
          <w:color w:val="auto"/>
          <w:sz w:val="28"/>
          <w:szCs w:val="28"/>
        </w:rPr>
        <w:t>.</w:t>
      </w:r>
    </w:p>
    <w:p w14:paraId="5AC11EA7" w14:textId="77777777" w:rsidR="00D16538" w:rsidRPr="00D16538"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الكشف عن الفروق ذات الدلالة الإحصائية في تأثير تقنية الترميز على الأمن السيبراني وكفاءة العمليات المالية تبعاً لحجم المؤسسة المالية (كبيرة، متوسطة، صغيرة)</w:t>
      </w:r>
      <w:r w:rsidRPr="00D16538">
        <w:rPr>
          <w:rFonts w:ascii="Simplified Arabic" w:hAnsi="Simplified Arabic" w:cs="Simplified Arabic"/>
          <w:b/>
          <w:bCs/>
          <w:color w:val="auto"/>
          <w:sz w:val="28"/>
          <w:szCs w:val="28"/>
        </w:rPr>
        <w:t>.</w:t>
      </w:r>
    </w:p>
    <w:p w14:paraId="3DC1DFD5" w14:textId="77777777" w:rsidR="00D16538" w:rsidRPr="00D16538"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الكشف عن الفروق ذات الدلالة الإحصائية في تأثير تقنية الترميز على الأمن السيبراني وكفاءة العمليات المالية تبعاً لنوع المؤسسة المالية (بنوك تقليدية، بنوك رقمية، شركات تقنية مالية)</w:t>
      </w:r>
      <w:r w:rsidRPr="00D16538">
        <w:rPr>
          <w:rFonts w:ascii="Simplified Arabic" w:hAnsi="Simplified Arabic" w:cs="Simplified Arabic"/>
          <w:b/>
          <w:bCs/>
          <w:color w:val="auto"/>
          <w:sz w:val="28"/>
          <w:szCs w:val="28"/>
        </w:rPr>
        <w:t>.</w:t>
      </w:r>
    </w:p>
    <w:p w14:paraId="24119D18" w14:textId="77777777" w:rsidR="009365EF" w:rsidRPr="0072768E"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تحديد التحديات التقنية والتنظيمية والتشغيلية والثقافية التي تواجه تبني تقنية الترميز في القطاع المالي السعودي، واقتراح حلول لمواجهتها، مع التركيز على</w:t>
      </w:r>
      <w:r w:rsidR="009365EF" w:rsidRPr="0072768E">
        <w:rPr>
          <w:rFonts w:ascii="Simplified Arabic" w:hAnsi="Simplified Arabic" w:cs="Simplified Arabic" w:hint="cs"/>
          <w:b/>
          <w:bCs/>
          <w:color w:val="auto"/>
          <w:sz w:val="28"/>
          <w:szCs w:val="28"/>
          <w:rtl/>
        </w:rPr>
        <w:t>:</w:t>
      </w:r>
    </w:p>
    <w:p w14:paraId="20768371"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lastRenderedPageBreak/>
        <w:t>العوائق التقنية المرتبطة بالبنية التحتية والأنظمة الحالية</w:t>
      </w:r>
      <w:r w:rsidR="009365EF" w:rsidRPr="0072768E">
        <w:rPr>
          <w:rFonts w:ascii="Simplified Arabic" w:hAnsi="Simplified Arabic" w:cs="Simplified Arabic" w:hint="cs"/>
          <w:color w:val="auto"/>
          <w:sz w:val="28"/>
          <w:szCs w:val="28"/>
          <w:rtl/>
        </w:rPr>
        <w:t>.</w:t>
      </w:r>
    </w:p>
    <w:p w14:paraId="28170BB1"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t>التحديات التنظيمية والتشريعية المتعلقة بتطبيق التقنية</w:t>
      </w:r>
      <w:r w:rsidR="009365EF" w:rsidRPr="0072768E">
        <w:rPr>
          <w:rFonts w:ascii="Simplified Arabic" w:hAnsi="Simplified Arabic" w:cs="Simplified Arabic" w:hint="cs"/>
          <w:color w:val="auto"/>
          <w:sz w:val="28"/>
          <w:szCs w:val="28"/>
          <w:rtl/>
        </w:rPr>
        <w:t>.</w:t>
      </w:r>
    </w:p>
    <w:p w14:paraId="5D96C18E"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t>المعوقات التشغيلية المرتبطة بالعمليات والإجراءات والكفاءات البشرية</w:t>
      </w:r>
      <w:r w:rsidR="009365EF" w:rsidRPr="0072768E">
        <w:rPr>
          <w:rFonts w:ascii="Simplified Arabic" w:hAnsi="Simplified Arabic" w:cs="Simplified Arabic" w:hint="cs"/>
          <w:color w:val="auto"/>
          <w:sz w:val="28"/>
          <w:szCs w:val="28"/>
          <w:rtl/>
        </w:rPr>
        <w:t>.</w:t>
      </w:r>
    </w:p>
    <w:p w14:paraId="40CB5575" w14:textId="12C9AA4B" w:rsidR="00D16538"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t>الحواجز الثقافية التي قد تؤثر على قبول واستخدام التقنية</w:t>
      </w:r>
      <w:r w:rsidRPr="00D16538">
        <w:rPr>
          <w:rFonts w:ascii="Simplified Arabic" w:hAnsi="Simplified Arabic" w:cs="Simplified Arabic"/>
          <w:color w:val="auto"/>
          <w:sz w:val="28"/>
          <w:szCs w:val="28"/>
        </w:rPr>
        <w:t>.</w:t>
      </w:r>
    </w:p>
    <w:p w14:paraId="56AD5A23" w14:textId="4061F7ED" w:rsidR="009365EF" w:rsidRPr="00C327A0" w:rsidRDefault="00D16538" w:rsidP="00C327A0">
      <w:pPr>
        <w:pStyle w:val="Heading2"/>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تتميز هذه الأهداف بكونها محددة وقابلة للقياس وقابلة للتحقيق وواقعية ومحددة زمنياً</w:t>
      </w:r>
      <w:r w:rsidRPr="00D16538">
        <w:rPr>
          <w:rFonts w:ascii="Simplified Arabic" w:hAnsi="Simplified Arabic" w:cs="Simplified Arabic"/>
          <w:b/>
          <w:bCs/>
          <w:color w:val="auto"/>
          <w:sz w:val="28"/>
          <w:szCs w:val="28"/>
        </w:rPr>
        <w:t xml:space="preserve"> (SMART)</w:t>
      </w:r>
      <w:r w:rsidRPr="00D16538">
        <w:rPr>
          <w:rFonts w:ascii="Simplified Arabic" w:hAnsi="Simplified Arabic" w:cs="Simplified Arabic"/>
          <w:b/>
          <w:bCs/>
          <w:color w:val="auto"/>
          <w:sz w:val="28"/>
          <w:szCs w:val="28"/>
          <w:rtl/>
        </w:rPr>
        <w:t>، مما يساعد على توجيه الدراسة وضمان تحقيق نتائج ملموسة وعملية يمكن الاستفادة منها في تطوير القطاع المالي السعودي</w:t>
      </w:r>
      <w:r w:rsidR="009365EF" w:rsidRPr="0072768E">
        <w:rPr>
          <w:rFonts w:ascii="Simplified Arabic" w:hAnsi="Simplified Arabic" w:cs="Simplified Arabic" w:hint="cs"/>
          <w:b/>
          <w:bCs/>
          <w:color w:val="auto"/>
          <w:sz w:val="28"/>
          <w:szCs w:val="28"/>
          <w:rtl/>
        </w:rPr>
        <w:t>.</w:t>
      </w:r>
    </w:p>
    <w:p w14:paraId="69389CED" w14:textId="18BA8147" w:rsidR="00A16E60" w:rsidRPr="0072768E" w:rsidRDefault="00A16E60" w:rsidP="00D16538">
      <w:pPr>
        <w:pStyle w:val="Heading1"/>
        <w:numPr>
          <w:ilvl w:val="0"/>
          <w:numId w:val="0"/>
        </w:numPr>
        <w:bidi/>
        <w:ind w:left="432" w:hanging="432"/>
        <w:rPr>
          <w:rFonts w:ascii="Simplified Arabic" w:hAnsi="Simplified Arabic" w:cs="Simplified Arabic"/>
          <w:b/>
          <w:bCs/>
          <w:color w:val="auto"/>
          <w:sz w:val="28"/>
          <w:szCs w:val="28"/>
          <w:u w:val="single"/>
          <w:rtl/>
        </w:rPr>
      </w:pPr>
      <w:bookmarkStart w:id="73" w:name="_Toc224563937"/>
      <w:bookmarkStart w:id="74" w:name="_Toc224563994"/>
      <w:r w:rsidRPr="0072768E">
        <w:rPr>
          <w:rFonts w:ascii="Simplified Arabic" w:hAnsi="Simplified Arabic" w:cs="Simplified Arabic"/>
          <w:b/>
          <w:bCs/>
          <w:color w:val="auto"/>
          <w:sz w:val="28"/>
          <w:szCs w:val="28"/>
          <w:u w:val="single"/>
          <w:rtl/>
        </w:rPr>
        <w:t>فرضيات الدراسة:</w:t>
      </w:r>
      <w:bookmarkEnd w:id="73"/>
      <w:bookmarkEnd w:id="74"/>
    </w:p>
    <w:p w14:paraId="38D11016" w14:textId="684C5BE1" w:rsidR="0072065B" w:rsidRPr="0072768E" w:rsidRDefault="0072065B" w:rsidP="0072065B">
      <w:pPr>
        <w:pStyle w:val="Heading2"/>
        <w:bidi/>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بناءً على مشكلة الدراسة وأهدافها والتساؤلات البحثية، تم صياغة الفرضيات التالي</w:t>
      </w:r>
      <w:r w:rsidR="00E92308" w:rsidRPr="0072768E">
        <w:rPr>
          <w:rFonts w:ascii="Simplified Arabic" w:hAnsi="Simplified Arabic" w:cs="Simplified Arabic" w:hint="cs"/>
          <w:color w:val="auto"/>
          <w:sz w:val="28"/>
          <w:szCs w:val="28"/>
          <w:rtl/>
        </w:rPr>
        <w:t>ة:</w:t>
      </w:r>
    </w:p>
    <w:p w14:paraId="6EFC6699" w14:textId="50F034D4"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الرئيسية</w:t>
      </w:r>
      <w:r w:rsidRPr="0072768E">
        <w:rPr>
          <w:rFonts w:ascii="Simplified Arabic" w:hAnsi="Simplified Arabic" w:cs="Simplified Arabic" w:hint="cs"/>
          <w:b/>
          <w:bCs/>
          <w:color w:val="auto"/>
          <w:sz w:val="28"/>
          <w:szCs w:val="28"/>
          <w:rtl/>
        </w:rPr>
        <w:t>:</w:t>
      </w:r>
    </w:p>
    <w:p w14:paraId="63F8FCAE"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يوجد تأثير إيجابي ذو دلالة إحصائية لتبني تقنية الترميز على تحسين مستوى الأمن السيبراني وكفاءة العمليات المالية في القطاع المالي السعودي</w:t>
      </w:r>
      <w:r w:rsidRPr="005345EE">
        <w:rPr>
          <w:rFonts w:ascii="Simplified Arabic" w:hAnsi="Simplified Arabic" w:cs="Simplified Arabic"/>
          <w:b/>
          <w:bCs/>
          <w:color w:val="auto"/>
          <w:sz w:val="28"/>
          <w:szCs w:val="28"/>
        </w:rPr>
        <w:t>.</w:t>
      </w:r>
    </w:p>
    <w:p w14:paraId="62029E36"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الفرضيات الفرعية</w:t>
      </w:r>
      <w:r w:rsidRPr="005345EE">
        <w:rPr>
          <w:rFonts w:ascii="Simplified Arabic" w:hAnsi="Simplified Arabic" w:cs="Simplified Arabic"/>
          <w:b/>
          <w:bCs/>
          <w:color w:val="auto"/>
          <w:sz w:val="28"/>
          <w:szCs w:val="28"/>
        </w:rPr>
        <w:t>:</w:t>
      </w:r>
    </w:p>
    <w:p w14:paraId="197C7940" w14:textId="20F6E933"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الأولى</w:t>
      </w:r>
      <w:r w:rsidRPr="0072768E">
        <w:rPr>
          <w:rFonts w:ascii="Simplified Arabic" w:hAnsi="Simplified Arabic" w:cs="Simplified Arabic" w:hint="cs"/>
          <w:b/>
          <w:b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الترميز على تعزيز الأمن السيبراني في المؤسسات المالية السعودية. ويتفرع منها الفرضيات التالية</w:t>
      </w:r>
      <w:r w:rsidRPr="005345EE">
        <w:rPr>
          <w:rFonts w:ascii="Simplified Arabic" w:hAnsi="Simplified Arabic" w:cs="Simplified Arabic"/>
          <w:color w:val="auto"/>
          <w:sz w:val="28"/>
          <w:szCs w:val="28"/>
        </w:rPr>
        <w:t>:</w:t>
      </w:r>
    </w:p>
    <w:p w14:paraId="57445AD9" w14:textId="584EB5C6" w:rsidR="005345EE" w:rsidRPr="005345EE" w:rsidRDefault="005345EE" w:rsidP="00786A9D">
      <w:pPr>
        <w:pStyle w:val="Heading2"/>
        <w:numPr>
          <w:ilvl w:val="0"/>
          <w:numId w:val="70"/>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H1a</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البيانات الحساسة على انخفاض معدل الاختراقات الأمنية بنسبة لا تقل عن 25% في المؤسسات المالية السعودية</w:t>
      </w:r>
      <w:r w:rsidRPr="005345EE">
        <w:rPr>
          <w:rFonts w:ascii="Simplified Arabic" w:hAnsi="Simplified Arabic" w:cs="Simplified Arabic"/>
          <w:color w:val="auto"/>
          <w:sz w:val="28"/>
          <w:szCs w:val="28"/>
        </w:rPr>
        <w:t>.</w:t>
      </w:r>
    </w:p>
    <w:p w14:paraId="745E256C" w14:textId="73A317A6" w:rsidR="005345EE" w:rsidRPr="005345EE" w:rsidRDefault="005345EE" w:rsidP="00786A9D">
      <w:pPr>
        <w:pStyle w:val="Heading2"/>
        <w:numPr>
          <w:ilvl w:val="0"/>
          <w:numId w:val="70"/>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H1b</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البيانات الحساسة على انخفاض حوادث سرقة البيانات بنسبة لا تقل عن 30% في المؤسسات المالية السعودية</w:t>
      </w:r>
      <w:r w:rsidRPr="005345EE">
        <w:rPr>
          <w:rFonts w:ascii="Simplified Arabic" w:hAnsi="Simplified Arabic" w:cs="Simplified Arabic"/>
          <w:color w:val="auto"/>
          <w:sz w:val="28"/>
          <w:szCs w:val="28"/>
        </w:rPr>
        <w:t>.</w:t>
      </w:r>
    </w:p>
    <w:p w14:paraId="5ACEA455" w14:textId="7FB13B4C" w:rsidR="005345EE" w:rsidRPr="005345EE" w:rsidRDefault="005345EE" w:rsidP="00786A9D">
      <w:pPr>
        <w:pStyle w:val="Heading2"/>
        <w:numPr>
          <w:ilvl w:val="0"/>
          <w:numId w:val="70"/>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H1c</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البيانات الحساسة على تحسين مستوى الامتثال للمعايير الأمنية المحلية والدولية في المؤسسات المالية السعودية</w:t>
      </w:r>
      <w:r w:rsidRPr="005345EE">
        <w:rPr>
          <w:rFonts w:ascii="Simplified Arabic" w:hAnsi="Simplified Arabic" w:cs="Simplified Arabic"/>
          <w:color w:val="auto"/>
          <w:sz w:val="28"/>
          <w:szCs w:val="28"/>
        </w:rPr>
        <w:t>.</w:t>
      </w:r>
    </w:p>
    <w:p w14:paraId="448333B6"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الثانية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يوجد تأثير إيجابي ذو دلالة إحصائية لتبني تقنية الترميز على تحسين كفاءة العمليات المالية في المؤسسات المالية السعودية. ويتفرع منها الفرضيات التالية</w:t>
      </w:r>
      <w:r w:rsidRPr="005345EE">
        <w:rPr>
          <w:rFonts w:ascii="Simplified Arabic" w:hAnsi="Simplified Arabic" w:cs="Simplified Arabic"/>
          <w:color w:val="auto"/>
          <w:sz w:val="28"/>
          <w:szCs w:val="28"/>
        </w:rPr>
        <w:t>:</w:t>
      </w:r>
    </w:p>
    <w:p w14:paraId="786396FE" w14:textId="04542F8D" w:rsidR="005345EE" w:rsidRPr="005345EE" w:rsidRDefault="005345EE" w:rsidP="00786A9D">
      <w:pPr>
        <w:pStyle w:val="Heading2"/>
        <w:numPr>
          <w:ilvl w:val="0"/>
          <w:numId w:val="71"/>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lastRenderedPageBreak/>
        <w:t>H2a</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المدفوعات على تقليل وقت معالجة المعاملات المالية بنسبة لا تقل عن 40% في المؤسسات المالية السعودية</w:t>
      </w:r>
      <w:r w:rsidRPr="005345EE">
        <w:rPr>
          <w:rFonts w:ascii="Simplified Arabic" w:hAnsi="Simplified Arabic" w:cs="Simplified Arabic"/>
          <w:color w:val="auto"/>
          <w:sz w:val="28"/>
          <w:szCs w:val="28"/>
        </w:rPr>
        <w:t>.</w:t>
      </w:r>
    </w:p>
    <w:p w14:paraId="1FA49239" w14:textId="395D2161" w:rsidR="005345EE" w:rsidRPr="005345EE" w:rsidRDefault="005345EE" w:rsidP="00786A9D">
      <w:pPr>
        <w:pStyle w:val="Heading2"/>
        <w:numPr>
          <w:ilvl w:val="0"/>
          <w:numId w:val="71"/>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H2b</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المدفوعات على خفض تكاليف العمليات التشغيلية بنسبة لا تقل عن 25% في المؤسسات المالية السعودية</w:t>
      </w:r>
      <w:r w:rsidRPr="005345EE">
        <w:rPr>
          <w:rFonts w:ascii="Simplified Arabic" w:hAnsi="Simplified Arabic" w:cs="Simplified Arabic"/>
          <w:color w:val="auto"/>
          <w:sz w:val="28"/>
          <w:szCs w:val="28"/>
        </w:rPr>
        <w:t>.</w:t>
      </w:r>
    </w:p>
    <w:p w14:paraId="078A699B" w14:textId="04D1608D" w:rsidR="005345EE" w:rsidRPr="005345EE" w:rsidRDefault="005345EE" w:rsidP="00786A9D">
      <w:pPr>
        <w:pStyle w:val="Heading2"/>
        <w:numPr>
          <w:ilvl w:val="0"/>
          <w:numId w:val="71"/>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H2c</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المدفوعات على تحسين مستويات السيولة في المؤسسات المالية السعودية</w:t>
      </w:r>
      <w:r w:rsidRPr="005345EE">
        <w:rPr>
          <w:rFonts w:ascii="Simplified Arabic" w:hAnsi="Simplified Arabic" w:cs="Simplified Arabic"/>
          <w:color w:val="auto"/>
          <w:sz w:val="28"/>
          <w:szCs w:val="28"/>
        </w:rPr>
        <w:t>.</w:t>
      </w:r>
    </w:p>
    <w:p w14:paraId="64020B11"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الثالثة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يختلف تأثير تبني تقنية الترميز على الأمن السيبراني وكفاءة العمليات المالية باختلاف حجم المؤسسات المالية السعودية (كبيرة، متوسطة، صغيرة)</w:t>
      </w:r>
      <w:r w:rsidRPr="005345EE">
        <w:rPr>
          <w:rFonts w:ascii="Simplified Arabic" w:hAnsi="Simplified Arabic" w:cs="Simplified Arabic"/>
          <w:color w:val="auto"/>
          <w:sz w:val="28"/>
          <w:szCs w:val="28"/>
        </w:rPr>
        <w:t>.</w:t>
      </w:r>
    </w:p>
    <w:p w14:paraId="3D6F6803"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الرابعة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يختلف تأثير تبني تقنية الترميز على الأمن السيبراني وكفاءة العمليات المالية باختلاف نوع المؤسسات المالية السعودية (بنوك تقليدية، بنوك رقمية، شركات تقنية مالية)</w:t>
      </w:r>
      <w:r w:rsidRPr="005345EE">
        <w:rPr>
          <w:rFonts w:ascii="Simplified Arabic" w:hAnsi="Simplified Arabic" w:cs="Simplified Arabic"/>
          <w:color w:val="auto"/>
          <w:sz w:val="28"/>
          <w:szCs w:val="28"/>
        </w:rPr>
        <w:t>.</w:t>
      </w:r>
    </w:p>
    <w:p w14:paraId="75F616F3"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الخامسة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توجد علاقة عكسية ذات دلالة إحصائية بين التحديات التقنية والتنظيمية والتشغيلية والثقافية ومستوى تبني تقنية الترميز في المؤسسات المالية السعودية</w:t>
      </w:r>
      <w:r w:rsidRPr="005345EE">
        <w:rPr>
          <w:rFonts w:ascii="Simplified Arabic" w:hAnsi="Simplified Arabic" w:cs="Simplified Arabic"/>
          <w:color w:val="auto"/>
          <w:sz w:val="28"/>
          <w:szCs w:val="28"/>
        </w:rPr>
        <w:t>.</w:t>
      </w:r>
    </w:p>
    <w:p w14:paraId="1D184652" w14:textId="77777777" w:rsidR="005345EE" w:rsidRPr="0072768E" w:rsidRDefault="005345EE" w:rsidP="005345EE">
      <w:pPr>
        <w:pStyle w:val="Heading2"/>
        <w:bidi/>
        <w:jc w:val="both"/>
        <w:rPr>
          <w:rFonts w:ascii="Simplified Arabic" w:hAnsi="Simplified Arabic" w:cs="Simplified Arabic"/>
          <w:color w:val="auto"/>
          <w:sz w:val="28"/>
          <w:szCs w:val="28"/>
          <w:rtl/>
        </w:rPr>
      </w:pPr>
      <w:r w:rsidRPr="005345EE">
        <w:rPr>
          <w:rFonts w:ascii="Simplified Arabic" w:hAnsi="Simplified Arabic" w:cs="Simplified Arabic"/>
          <w:color w:val="auto"/>
          <w:sz w:val="28"/>
          <w:szCs w:val="28"/>
          <w:rtl/>
        </w:rPr>
        <w:t>تم صياغة هذه الفرضيات بناءً على مراجعة الأدبيات السابقة والإطار النظري للدراسة، وهي تغطي مختلف جوانب تأثير تقنية الترميز على الأمن السيبراني وكفاءة العمليات المالية، مع مراعاة المتغيرات المعدّلة التي قد تؤثر على هذه العلاقة. وسيتم اختبار هذه الفرضيات باستخدام الأساليب الإحصائية المناسبة للتحقق من صحتها أو نفيها</w:t>
      </w:r>
      <w:r w:rsidRPr="0072768E">
        <w:rPr>
          <w:rFonts w:ascii="Simplified Arabic" w:hAnsi="Simplified Arabic" w:cs="Simplified Arabic" w:hint="cs"/>
          <w:color w:val="auto"/>
          <w:sz w:val="28"/>
          <w:szCs w:val="28"/>
          <w:rtl/>
        </w:rPr>
        <w:t>.</w:t>
      </w:r>
    </w:p>
    <w:p w14:paraId="76A43A6A" w14:textId="77777777" w:rsidR="0072768E" w:rsidRPr="0072768E" w:rsidRDefault="0072768E" w:rsidP="0072768E">
      <w:pPr>
        <w:bidi/>
        <w:rPr>
          <w:rtl/>
        </w:rPr>
      </w:pPr>
    </w:p>
    <w:p w14:paraId="64182AC3" w14:textId="176F1F81" w:rsidR="003C0190" w:rsidRPr="0072768E" w:rsidRDefault="00AD783C" w:rsidP="005345E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b/>
          <w:bCs/>
          <w:color w:val="auto"/>
          <w:sz w:val="28"/>
          <w:szCs w:val="28"/>
          <w:u w:val="single"/>
          <w:rtl/>
        </w:rPr>
        <w:t>نموذج الدراسة</w:t>
      </w:r>
    </w:p>
    <w:p w14:paraId="4732385E" w14:textId="0F3BD74C" w:rsidR="002C300C" w:rsidRPr="0072768E" w:rsidRDefault="002C300C" w:rsidP="002C300C">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يعتبر نموذج الدراسة تمثيلاً بصرياً للعلاقات بين المتغيرات المختلفة التي تتناولها الدراسة، ويساعد على فهم الإطار المفاهيمي للبحث بشكل أوضح. يقدم النموذج التالي تصوراً شاملاً للعلاقة بين تبني تقنية الترميز (كمتغير مستقل) وتأثيرها على الأمن السيبراني وكفاءة العمليات المالية (كمتغيرات تابعة)، مع الأخذ في الاعتبار تأثير المتغيرات الوسيطة</w:t>
      </w:r>
      <w:r w:rsidRPr="0072768E">
        <w:rPr>
          <w:rFonts w:ascii="Simplified Arabic" w:hAnsi="Simplified Arabic" w:cs="Simplified Arabic"/>
          <w:color w:val="auto"/>
          <w:sz w:val="28"/>
          <w:szCs w:val="28"/>
        </w:rPr>
        <w:t>.</w:t>
      </w:r>
    </w:p>
    <w:p w14:paraId="3544EE58" w14:textId="3E2CAF0A" w:rsidR="00EE1529" w:rsidRPr="0072768E" w:rsidRDefault="00EE1529" w:rsidP="00EE1529">
      <w:pPr>
        <w:pStyle w:val="Heading2"/>
        <w:bidi/>
        <w:rPr>
          <w:color w:val="auto"/>
        </w:rPr>
      </w:pPr>
      <w:r w:rsidRPr="0072768E">
        <w:rPr>
          <w:rFonts w:ascii="Simplified Arabic" w:hAnsi="Simplified Arabic" w:cs="Simplified Arabic"/>
          <w:b/>
          <w:bCs/>
          <w:color w:val="auto"/>
          <w:sz w:val="28"/>
          <w:szCs w:val="28"/>
          <w:rtl/>
        </w:rPr>
        <w:t>المتغير المستقل: تبني تقنية الترميز</w:t>
      </w:r>
      <w:r w:rsidRPr="0072768E">
        <w:rPr>
          <w:rFonts w:ascii="Simplified Arabic" w:hAnsi="Simplified Arabic" w:cs="Simplified Arabic"/>
          <w:b/>
          <w:bCs/>
          <w:color w:val="auto"/>
          <w:sz w:val="28"/>
          <w:szCs w:val="28"/>
        </w:rPr>
        <w:t xml:space="preserve"> (Tokenization)</w:t>
      </w:r>
    </w:p>
    <w:p w14:paraId="3078747F"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تقنية ترميز البيانات الحساسة</w:t>
      </w:r>
    </w:p>
    <w:p w14:paraId="1819ED67"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تقنية ترميز المدفوعات</w:t>
      </w:r>
    </w:p>
    <w:p w14:paraId="35B543E9"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تقنية ترميز الأصول</w:t>
      </w:r>
    </w:p>
    <w:p w14:paraId="05FB2407"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الترميز غير القابل للاستبدال</w:t>
      </w:r>
    </w:p>
    <w:p w14:paraId="0EA1E6FB" w14:textId="77777777" w:rsidR="00EE1529" w:rsidRPr="0072768E" w:rsidRDefault="00EE1529" w:rsidP="00EE1529">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المتغيرات الوسيطة</w:t>
      </w:r>
      <w:r w:rsidRPr="0072768E">
        <w:rPr>
          <w:rFonts w:ascii="Simplified Arabic" w:hAnsi="Simplified Arabic" w:cs="Simplified Arabic"/>
          <w:b/>
          <w:bCs/>
          <w:color w:val="auto"/>
          <w:sz w:val="28"/>
          <w:szCs w:val="28"/>
        </w:rPr>
        <w:t>:</w:t>
      </w:r>
    </w:p>
    <w:p w14:paraId="7426D4C4"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حجم المؤسسات المالية (كبيرة، متوسطة، صغيرة)</w:t>
      </w:r>
    </w:p>
    <w:p w14:paraId="10BD5C24"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مستوى الرقمنة في المؤسسات المالية</w:t>
      </w:r>
    </w:p>
    <w:p w14:paraId="4B848B26"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التحديات التقنية والتنظيمية والتشغيلية</w:t>
      </w:r>
    </w:p>
    <w:p w14:paraId="36DB01E1" w14:textId="77777777" w:rsidR="00EE1529" w:rsidRPr="0072768E" w:rsidRDefault="00EE1529" w:rsidP="00EE1529">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المتغير التابع</w:t>
      </w:r>
      <w:r w:rsidRPr="0072768E">
        <w:rPr>
          <w:rFonts w:ascii="Simplified Arabic" w:hAnsi="Simplified Arabic" w:cs="Simplified Arabic"/>
          <w:b/>
          <w:bCs/>
          <w:color w:val="auto"/>
          <w:sz w:val="28"/>
          <w:szCs w:val="28"/>
        </w:rPr>
        <w:t>:</w:t>
      </w:r>
    </w:p>
    <w:p w14:paraId="0AE3DCBF"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مستوى الأمن السيبراني (معدل الاختراقات الأمنية، حوادث سرقة البيانات، الامتثال للمعايير الأمنية)</w:t>
      </w:r>
    </w:p>
    <w:p w14:paraId="7FA9FFBB" w14:textId="6B46284F" w:rsidR="00B1069E"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كفاءة المعاملات المالية (وقت المعالجة، التكلفة، السيولة)</w:t>
      </w:r>
    </w:p>
    <w:p w14:paraId="7DA8577E" w14:textId="77777777" w:rsidR="00B1069E" w:rsidRPr="0072768E" w:rsidRDefault="00B1069E" w:rsidP="00B1069E">
      <w:pPr>
        <w:pStyle w:val="ListBullet"/>
        <w:numPr>
          <w:ilvl w:val="0"/>
          <w:numId w:val="0"/>
        </w:numPr>
        <w:bidi/>
        <w:rPr>
          <w:rFonts w:ascii="Simplified Arabic" w:hAnsi="Simplified Arabic" w:cs="Simplified Arabic"/>
          <w:sz w:val="24"/>
          <w:szCs w:val="24"/>
          <w:rtl/>
        </w:rPr>
      </w:pPr>
    </w:p>
    <w:p w14:paraId="427204E1" w14:textId="378856BA" w:rsidR="001A46CD" w:rsidRPr="0072768E" w:rsidRDefault="00B1069E" w:rsidP="006037BB">
      <w:pPr>
        <w:pStyle w:val="ListBullet"/>
        <w:numPr>
          <w:ilvl w:val="0"/>
          <w:numId w:val="0"/>
        </w:numPr>
        <w:bidi/>
        <w:jc w:val="center"/>
        <w:rPr>
          <w:rFonts w:ascii="Simplified Arabic" w:hAnsi="Simplified Arabic" w:cs="Simplified Arabic"/>
          <w:sz w:val="24"/>
          <w:szCs w:val="24"/>
          <w:rtl/>
        </w:rPr>
      </w:pPr>
      <w:r w:rsidRPr="0072768E">
        <w:rPr>
          <w:rFonts w:ascii="Simplified Arabic" w:hAnsi="Simplified Arabic" w:cs="Simplified Arabic"/>
          <w:noProof/>
          <w:sz w:val="24"/>
          <w:szCs w:val="24"/>
          <w:rtl/>
        </w:rPr>
        <w:drawing>
          <wp:inline distT="0" distB="0" distL="0" distR="0" wp14:anchorId="0C75BCEA" wp14:editId="1DD73753">
            <wp:extent cx="4675223" cy="2708910"/>
            <wp:effectExtent l="0" t="0" r="0" b="0"/>
            <wp:docPr id="1446412030" name="Picture 1"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412030" name="Picture 1" descr="A diagram of a diagram"/>
                    <pic:cNvPicPr/>
                  </pic:nvPicPr>
                  <pic:blipFill rotWithShape="1">
                    <a:blip r:embed="rId17"/>
                    <a:srcRect t="9696" b="12743"/>
                    <a:stretch/>
                  </pic:blipFill>
                  <pic:spPr bwMode="auto">
                    <a:xfrm>
                      <a:off x="0" y="0"/>
                      <a:ext cx="4686767" cy="2715599"/>
                    </a:xfrm>
                    <a:prstGeom prst="rect">
                      <a:avLst/>
                    </a:prstGeom>
                    <a:ln>
                      <a:noFill/>
                    </a:ln>
                    <a:extLst>
                      <a:ext uri="{53640926-AAD7-44D8-BBD7-CCE9431645EC}">
                        <a14:shadowObscured xmlns:a14="http://schemas.microsoft.com/office/drawing/2010/main"/>
                      </a:ext>
                    </a:extLst>
                  </pic:spPr>
                </pic:pic>
              </a:graphicData>
            </a:graphic>
          </wp:inline>
        </w:drawing>
      </w:r>
    </w:p>
    <w:p w14:paraId="0C2090D3" w14:textId="77777777" w:rsidR="00061609" w:rsidRPr="0072768E" w:rsidRDefault="00061609" w:rsidP="00061609">
      <w:pPr>
        <w:pStyle w:val="ListBullet"/>
        <w:numPr>
          <w:ilvl w:val="0"/>
          <w:numId w:val="0"/>
        </w:numPr>
        <w:bidi/>
        <w:ind w:left="360"/>
        <w:jc w:val="center"/>
        <w:rPr>
          <w:rFonts w:ascii="Simplified Arabic" w:hAnsi="Simplified Arabic" w:cs="Simplified Arabic"/>
          <w:b/>
          <w:bCs/>
          <w:sz w:val="20"/>
          <w:szCs w:val="20"/>
          <w:u w:val="single"/>
        </w:rPr>
      </w:pPr>
      <w:r w:rsidRPr="0072768E">
        <w:rPr>
          <w:rFonts w:ascii="Simplified Arabic" w:hAnsi="Simplified Arabic" w:cs="Simplified Arabic"/>
          <w:b/>
          <w:bCs/>
          <w:sz w:val="20"/>
          <w:szCs w:val="20"/>
          <w:u w:val="single"/>
          <w:rtl/>
        </w:rPr>
        <w:t>ملاحظة</w:t>
      </w:r>
      <w:r w:rsidRPr="0072768E">
        <w:rPr>
          <w:rFonts w:ascii="Simplified Arabic" w:hAnsi="Simplified Arabic" w:cs="Simplified Arabic"/>
          <w:b/>
          <w:bCs/>
          <w:sz w:val="20"/>
          <w:szCs w:val="20"/>
          <w:u w:val="single"/>
        </w:rPr>
        <w:t xml:space="preserve">: </w:t>
      </w:r>
      <w:r w:rsidRPr="0072768E">
        <w:rPr>
          <w:rFonts w:ascii="Simplified Arabic" w:hAnsi="Simplified Arabic" w:cs="Simplified Arabic"/>
          <w:b/>
          <w:bCs/>
          <w:sz w:val="20"/>
          <w:szCs w:val="20"/>
          <w:u w:val="single"/>
          <w:rtl/>
        </w:rPr>
        <w:t>تشير الأسهم في النموذج إلى اتجاه التأثير المفترض، حيث تؤثر المتغيرات المعدّلة على قوة واتجاه العلاقة بين المتغير المستقل والمتغيرات التابعة، وليس كوسيط في العلاقة السببية</w:t>
      </w:r>
      <w:r w:rsidRPr="0072768E">
        <w:rPr>
          <w:rFonts w:ascii="Simplified Arabic" w:hAnsi="Simplified Arabic" w:cs="Simplified Arabic"/>
          <w:b/>
          <w:bCs/>
          <w:sz w:val="20"/>
          <w:szCs w:val="20"/>
          <w:u w:val="single"/>
        </w:rPr>
        <w:t>.</w:t>
      </w:r>
    </w:p>
    <w:p w14:paraId="70AAC005" w14:textId="77777777" w:rsidR="006037BB" w:rsidRPr="0072768E" w:rsidRDefault="006037BB" w:rsidP="00061609">
      <w:pPr>
        <w:pStyle w:val="ListBullet"/>
        <w:numPr>
          <w:ilvl w:val="0"/>
          <w:numId w:val="0"/>
        </w:numPr>
        <w:bidi/>
        <w:rPr>
          <w:rFonts w:ascii="Simplified Arabic" w:hAnsi="Simplified Arabic" w:cs="Simplified Arabic"/>
          <w:sz w:val="24"/>
          <w:szCs w:val="24"/>
          <w:rtl/>
        </w:rPr>
      </w:pPr>
    </w:p>
    <w:p w14:paraId="526D7D4E" w14:textId="77777777" w:rsidR="009D7E0E" w:rsidRDefault="009D7E0E">
      <w:pPr>
        <w:spacing w:after="200" w:line="276" w:lineRule="auto"/>
        <w:rPr>
          <w:rFonts w:ascii="Traditional Arabic" w:hAnsi="Traditional Arabic" w:cs="Traditional Arabic"/>
          <w:b/>
          <w:sz w:val="48"/>
        </w:rPr>
      </w:pPr>
      <w:bookmarkStart w:id="75" w:name="_Hlk195361194"/>
      <w:r>
        <w:rPr>
          <w:rFonts w:ascii="Traditional Arabic" w:hAnsi="Traditional Arabic" w:cs="Traditional Arabic"/>
          <w:b/>
          <w:sz w:val="48"/>
        </w:rPr>
        <w:br w:type="page"/>
      </w:r>
    </w:p>
    <w:p w14:paraId="50D09FEA" w14:textId="6D95C0E2" w:rsidR="00063B0F" w:rsidRPr="0072768E" w:rsidRDefault="00533AA9" w:rsidP="008C178F">
      <w:pPr>
        <w:pStyle w:val="Heading1"/>
        <w:numPr>
          <w:ilvl w:val="0"/>
          <w:numId w:val="0"/>
        </w:numPr>
        <w:bidi/>
        <w:rPr>
          <w:rFonts w:ascii="Simplified Arabic" w:hAnsi="Simplified Arabic" w:cs="Simplified Arabic"/>
          <w:b/>
          <w:bCs/>
          <w:color w:val="auto"/>
          <w:sz w:val="28"/>
          <w:szCs w:val="28"/>
          <w:u w:val="single"/>
          <w:rtl/>
        </w:rPr>
      </w:pPr>
      <w:bookmarkStart w:id="76" w:name="_Toc224563938"/>
      <w:bookmarkStart w:id="77" w:name="_Toc224563995"/>
      <w:r w:rsidRPr="00810843">
        <w:rPr>
          <w:rFonts w:ascii="Simplified Arabic" w:hAnsi="Simplified Arabic" w:cs="Simplified Arabic"/>
          <w:b/>
          <w:bCs/>
          <w:color w:val="auto"/>
          <w:sz w:val="28"/>
          <w:szCs w:val="28"/>
          <w:u w:val="single"/>
          <w:rtl/>
        </w:rPr>
        <w:lastRenderedPageBreak/>
        <w:t>الدراسات المرجعية:</w:t>
      </w:r>
      <w:bookmarkEnd w:id="76"/>
      <w:bookmarkEnd w:id="77"/>
    </w:p>
    <w:p w14:paraId="76ABE43F" w14:textId="77777777" w:rsidR="003B0E76" w:rsidRPr="0072768E" w:rsidRDefault="003B0E76" w:rsidP="003B0E7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تم تصنيف الدراسات السابقة إلى أربعة محاور رئيسية وفقاً لموضوع الدراسة الحالية، وذلك على النحو التالي</w:t>
      </w:r>
      <w:r w:rsidRPr="0072768E">
        <w:rPr>
          <w:rFonts w:ascii="Simplified Arabic" w:hAnsi="Simplified Arabic" w:cs="Simplified Arabic"/>
          <w:color w:val="auto"/>
          <w:sz w:val="28"/>
          <w:szCs w:val="28"/>
        </w:rPr>
        <w:t>:</w:t>
      </w:r>
    </w:p>
    <w:p w14:paraId="3C40A0C6" w14:textId="77777777" w:rsidR="003B0E76" w:rsidRPr="0072768E" w:rsidRDefault="003B0E76" w:rsidP="003B0E76">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أولاً: محور الأمن السيبراني وتقنية الترميز</w:t>
      </w:r>
    </w:p>
    <w:tbl>
      <w:tblPr>
        <w:tblStyle w:val="TableGrid"/>
        <w:bidiVisual/>
        <w:tblW w:w="0" w:type="auto"/>
        <w:tblLook w:val="04A0" w:firstRow="1" w:lastRow="0" w:firstColumn="1" w:lastColumn="0" w:noHBand="0" w:noVBand="1"/>
      </w:tblPr>
      <w:tblGrid>
        <w:gridCol w:w="2425"/>
        <w:gridCol w:w="1170"/>
        <w:gridCol w:w="1410"/>
        <w:gridCol w:w="1696"/>
        <w:gridCol w:w="1595"/>
      </w:tblGrid>
      <w:tr w:rsidR="0072768E" w:rsidRPr="0072768E" w14:paraId="2379725B" w14:textId="77777777" w:rsidTr="003B0E76">
        <w:tc>
          <w:tcPr>
            <w:tcW w:w="2425" w:type="dxa"/>
            <w:vAlign w:val="center"/>
            <w:hideMark/>
          </w:tcPr>
          <w:p w14:paraId="7775C889"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عنوان الدراسة</w:t>
            </w:r>
          </w:p>
        </w:tc>
        <w:tc>
          <w:tcPr>
            <w:tcW w:w="1170" w:type="dxa"/>
            <w:vAlign w:val="center"/>
            <w:hideMark/>
          </w:tcPr>
          <w:p w14:paraId="7C9B1BF6"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المنهجية</w:t>
            </w:r>
          </w:p>
        </w:tc>
        <w:tc>
          <w:tcPr>
            <w:tcW w:w="1410" w:type="dxa"/>
            <w:vAlign w:val="center"/>
            <w:hideMark/>
          </w:tcPr>
          <w:p w14:paraId="658CB7A8"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العينة</w:t>
            </w:r>
          </w:p>
        </w:tc>
        <w:tc>
          <w:tcPr>
            <w:tcW w:w="0" w:type="auto"/>
            <w:vAlign w:val="center"/>
            <w:hideMark/>
          </w:tcPr>
          <w:p w14:paraId="626E9BA5"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أهم النتائج</w:t>
            </w:r>
          </w:p>
        </w:tc>
        <w:tc>
          <w:tcPr>
            <w:tcW w:w="0" w:type="auto"/>
            <w:vAlign w:val="center"/>
            <w:hideMark/>
          </w:tcPr>
          <w:p w14:paraId="4855ED32"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أوجه التشابه والاختلاف مع البحث الحالي</w:t>
            </w:r>
          </w:p>
        </w:tc>
      </w:tr>
      <w:tr w:rsidR="0072768E" w:rsidRPr="0072768E" w14:paraId="540737E7" w14:textId="77777777" w:rsidTr="00B348C7">
        <w:tc>
          <w:tcPr>
            <w:tcW w:w="2425" w:type="dxa"/>
            <w:vAlign w:val="center"/>
            <w:hideMark/>
          </w:tcPr>
          <w:p w14:paraId="0524C2B6" w14:textId="57BEFD41"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Pr>
              <w:t xml:space="preserve">Mohamad, S., &amp; Abdul-Ghani, H. (2023). Token-based security enhancement in financial institutions. Journal of Cybersecurity, 15(3), 217-236. </w:t>
            </w:r>
          </w:p>
        </w:tc>
        <w:tc>
          <w:tcPr>
            <w:tcW w:w="1170" w:type="dxa"/>
            <w:vAlign w:val="center"/>
            <w:hideMark/>
          </w:tcPr>
          <w:p w14:paraId="6E4E75B0" w14:textId="77777777"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دراسة تحليلية مقارنة</w:t>
            </w:r>
          </w:p>
        </w:tc>
        <w:tc>
          <w:tcPr>
            <w:tcW w:w="1410" w:type="dxa"/>
            <w:vAlign w:val="center"/>
            <w:hideMark/>
          </w:tcPr>
          <w:p w14:paraId="6F07C2D1" w14:textId="77777777" w:rsidR="00B348C7" w:rsidRPr="0072768E" w:rsidRDefault="003B0E76" w:rsidP="00B348C7">
            <w:pPr>
              <w:pStyle w:val="Heading2"/>
              <w:bidi/>
              <w:jc w:val="center"/>
              <w:rPr>
                <w:rFonts w:ascii="Simplified Arabic" w:hAnsi="Simplified Arabic" w:cs="Simplified Arabic"/>
                <w:color w:val="auto"/>
                <w:sz w:val="20"/>
                <w:szCs w:val="20"/>
                <w:rtl/>
              </w:rPr>
            </w:pPr>
            <w:r w:rsidRPr="0072768E">
              <w:rPr>
                <w:rFonts w:ascii="Simplified Arabic" w:hAnsi="Simplified Arabic" w:cs="Simplified Arabic"/>
                <w:color w:val="auto"/>
                <w:sz w:val="20"/>
                <w:szCs w:val="20"/>
              </w:rPr>
              <w:t>28</w:t>
            </w:r>
          </w:p>
          <w:p w14:paraId="5305DC45" w14:textId="56EA212E"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مؤسسة مالية عالمية</w:t>
            </w:r>
          </w:p>
        </w:tc>
        <w:tc>
          <w:tcPr>
            <w:tcW w:w="0" w:type="auto"/>
            <w:vAlign w:val="center"/>
            <w:hideMark/>
          </w:tcPr>
          <w:p w14:paraId="22E01C4F"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أظهرت انخفاض معدل الاختراقات الأمنية بنسبة 73% في المؤسسات التي تستخدم الترميز</w:t>
            </w:r>
          </w:p>
        </w:tc>
        <w:tc>
          <w:tcPr>
            <w:tcW w:w="0" w:type="auto"/>
            <w:vAlign w:val="center"/>
            <w:hideMark/>
          </w:tcPr>
          <w:p w14:paraId="0AAAC2FE"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تتشابه في دراسة أثر الترميز على الأمن وتختلف في التركيز على السياق السعودي</w:t>
            </w:r>
          </w:p>
        </w:tc>
      </w:tr>
      <w:tr w:rsidR="0072768E" w:rsidRPr="0072768E" w14:paraId="572183F2" w14:textId="77777777" w:rsidTr="00B348C7">
        <w:tc>
          <w:tcPr>
            <w:tcW w:w="2425" w:type="dxa"/>
            <w:vAlign w:val="center"/>
            <w:hideMark/>
          </w:tcPr>
          <w:p w14:paraId="33F88A83" w14:textId="6E56CA43"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العتيبي، خالد. (2024). تقنيات تعزيز الأمن السيبراني في القطاع المصرفي السعودي. المجلة العربية للأمن المعلوماتي، 12(3)، 87-104</w:t>
            </w:r>
          </w:p>
        </w:tc>
        <w:tc>
          <w:tcPr>
            <w:tcW w:w="1170" w:type="dxa"/>
            <w:vAlign w:val="center"/>
            <w:hideMark/>
          </w:tcPr>
          <w:p w14:paraId="60E68527" w14:textId="77777777"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دراسة استطلاعية</w:t>
            </w:r>
          </w:p>
        </w:tc>
        <w:tc>
          <w:tcPr>
            <w:tcW w:w="1410" w:type="dxa"/>
            <w:vAlign w:val="center"/>
            <w:hideMark/>
          </w:tcPr>
          <w:p w14:paraId="303F070D" w14:textId="77777777" w:rsidR="00B348C7" w:rsidRPr="0072768E" w:rsidRDefault="003B0E76" w:rsidP="00B348C7">
            <w:pPr>
              <w:pStyle w:val="Heading2"/>
              <w:bidi/>
              <w:jc w:val="center"/>
              <w:rPr>
                <w:rFonts w:ascii="Simplified Arabic" w:hAnsi="Simplified Arabic" w:cs="Simplified Arabic"/>
                <w:color w:val="auto"/>
                <w:sz w:val="20"/>
                <w:szCs w:val="20"/>
                <w:rtl/>
              </w:rPr>
            </w:pPr>
            <w:r w:rsidRPr="0072768E">
              <w:rPr>
                <w:rFonts w:ascii="Simplified Arabic" w:hAnsi="Simplified Arabic" w:cs="Simplified Arabic"/>
                <w:color w:val="auto"/>
                <w:sz w:val="20"/>
                <w:szCs w:val="20"/>
              </w:rPr>
              <w:t>18</w:t>
            </w:r>
          </w:p>
          <w:p w14:paraId="068F008A" w14:textId="0E21CCBF"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بنكاً سعودياً</w:t>
            </w:r>
          </w:p>
        </w:tc>
        <w:tc>
          <w:tcPr>
            <w:tcW w:w="0" w:type="auto"/>
            <w:vAlign w:val="center"/>
            <w:hideMark/>
          </w:tcPr>
          <w:p w14:paraId="371459AB"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كشفت أن استخدام الترميز ساهم في تقليل مخاطر سرقة البيانات بنسبة 64</w:t>
            </w:r>
            <w:r w:rsidRPr="0072768E">
              <w:rPr>
                <w:rFonts w:ascii="Simplified Arabic" w:hAnsi="Simplified Arabic" w:cs="Simplified Arabic"/>
                <w:color w:val="auto"/>
                <w:sz w:val="20"/>
                <w:szCs w:val="20"/>
              </w:rPr>
              <w:t>%</w:t>
            </w:r>
          </w:p>
        </w:tc>
        <w:tc>
          <w:tcPr>
            <w:tcW w:w="0" w:type="auto"/>
            <w:vAlign w:val="center"/>
            <w:hideMark/>
          </w:tcPr>
          <w:p w14:paraId="22C0BD0E"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تتشابه في السياق السعودي وتختلف في شمولية عينة الدراسة</w:t>
            </w:r>
          </w:p>
        </w:tc>
      </w:tr>
      <w:tr w:rsidR="003B0E76" w:rsidRPr="0072768E" w14:paraId="00FCA0F8" w14:textId="77777777" w:rsidTr="00B348C7">
        <w:tc>
          <w:tcPr>
            <w:tcW w:w="2425" w:type="dxa"/>
            <w:vAlign w:val="center"/>
            <w:hideMark/>
          </w:tcPr>
          <w:p w14:paraId="3BCFCE28" w14:textId="45AFE635"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Pr>
              <w:t>Digital Guardian. (2025). What is data tokenization? Key concepts and benefits. Digital Guardian Research</w:t>
            </w:r>
          </w:p>
        </w:tc>
        <w:tc>
          <w:tcPr>
            <w:tcW w:w="1170" w:type="dxa"/>
            <w:vAlign w:val="center"/>
            <w:hideMark/>
          </w:tcPr>
          <w:p w14:paraId="2E2495F2" w14:textId="77777777"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دراسة وصفية تحليلية</w:t>
            </w:r>
          </w:p>
        </w:tc>
        <w:tc>
          <w:tcPr>
            <w:tcW w:w="1410" w:type="dxa"/>
            <w:vAlign w:val="center"/>
            <w:hideMark/>
          </w:tcPr>
          <w:p w14:paraId="43722C7F" w14:textId="77777777" w:rsidR="00B348C7" w:rsidRPr="0072768E" w:rsidRDefault="003B0E76" w:rsidP="00B348C7">
            <w:pPr>
              <w:pStyle w:val="Heading2"/>
              <w:bidi/>
              <w:jc w:val="center"/>
              <w:rPr>
                <w:rFonts w:ascii="Simplified Arabic" w:hAnsi="Simplified Arabic" w:cs="Simplified Arabic"/>
                <w:color w:val="auto"/>
                <w:sz w:val="20"/>
                <w:szCs w:val="20"/>
                <w:rtl/>
              </w:rPr>
            </w:pPr>
            <w:r w:rsidRPr="0072768E">
              <w:rPr>
                <w:rFonts w:ascii="Simplified Arabic" w:hAnsi="Simplified Arabic" w:cs="Simplified Arabic"/>
                <w:color w:val="auto"/>
                <w:sz w:val="20"/>
                <w:szCs w:val="20"/>
              </w:rPr>
              <w:t>45</w:t>
            </w:r>
          </w:p>
          <w:p w14:paraId="4C992E58" w14:textId="41B86F3D"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شركة عالمية</w:t>
            </w:r>
          </w:p>
        </w:tc>
        <w:tc>
          <w:tcPr>
            <w:tcW w:w="0" w:type="auto"/>
            <w:vAlign w:val="center"/>
            <w:hideMark/>
          </w:tcPr>
          <w:p w14:paraId="2B93C01C"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أشارت إلى أن الترميز يعزز الأمن من خلال استبدال البيانات الحساسة برموز غير حساسة</w:t>
            </w:r>
          </w:p>
        </w:tc>
        <w:tc>
          <w:tcPr>
            <w:tcW w:w="0" w:type="auto"/>
            <w:vAlign w:val="center"/>
            <w:hideMark/>
          </w:tcPr>
          <w:p w14:paraId="5E3DB95A"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تتشابه في الإطار النظري للترميز وتختلف في منهجية البحث</w:t>
            </w:r>
          </w:p>
        </w:tc>
      </w:tr>
    </w:tbl>
    <w:p w14:paraId="42623D90" w14:textId="77777777" w:rsidR="00B348C7" w:rsidRPr="0072768E" w:rsidRDefault="00B348C7" w:rsidP="003B0E76">
      <w:pPr>
        <w:pStyle w:val="Heading2"/>
        <w:bidi/>
        <w:rPr>
          <w:color w:val="auto"/>
          <w:rtl/>
        </w:rPr>
      </w:pPr>
    </w:p>
    <w:p w14:paraId="39EB9DAC" w14:textId="77777777" w:rsidR="00B348C7" w:rsidRPr="0072768E" w:rsidRDefault="00B348C7" w:rsidP="00B348C7">
      <w:pPr>
        <w:bidi/>
        <w:rPr>
          <w:rtl/>
        </w:rPr>
      </w:pPr>
    </w:p>
    <w:p w14:paraId="418F806E" w14:textId="77777777" w:rsidR="00B348C7" w:rsidRPr="0072768E" w:rsidRDefault="00B348C7" w:rsidP="00B348C7">
      <w:pPr>
        <w:bidi/>
        <w:rPr>
          <w:rtl/>
        </w:rPr>
      </w:pPr>
    </w:p>
    <w:p w14:paraId="3C185A13" w14:textId="77777777" w:rsidR="00B348C7" w:rsidRPr="0072768E" w:rsidRDefault="00B348C7" w:rsidP="00B348C7">
      <w:pPr>
        <w:bidi/>
        <w:rPr>
          <w:rtl/>
        </w:rPr>
      </w:pPr>
    </w:p>
    <w:p w14:paraId="12BFEB5F" w14:textId="77777777" w:rsidR="00B348C7" w:rsidRPr="0072768E" w:rsidRDefault="00B348C7" w:rsidP="00B348C7">
      <w:pPr>
        <w:bidi/>
        <w:rPr>
          <w:rtl/>
        </w:rPr>
      </w:pPr>
    </w:p>
    <w:p w14:paraId="349AEF71" w14:textId="77777777" w:rsidR="00B348C7" w:rsidRPr="0072768E" w:rsidRDefault="00B348C7" w:rsidP="00B348C7">
      <w:pPr>
        <w:bidi/>
        <w:rPr>
          <w:rtl/>
        </w:rPr>
      </w:pPr>
    </w:p>
    <w:p w14:paraId="5FA72412" w14:textId="77777777" w:rsidR="00B348C7" w:rsidRPr="0072768E" w:rsidRDefault="00B348C7" w:rsidP="00B348C7">
      <w:pPr>
        <w:bidi/>
        <w:rPr>
          <w:rtl/>
        </w:rPr>
      </w:pPr>
    </w:p>
    <w:p w14:paraId="1CA2E088" w14:textId="77777777" w:rsidR="00B348C7" w:rsidRPr="0072768E" w:rsidRDefault="00B348C7" w:rsidP="00B348C7">
      <w:pPr>
        <w:bidi/>
        <w:rPr>
          <w:rtl/>
        </w:rPr>
      </w:pPr>
    </w:p>
    <w:p w14:paraId="4710BEE9" w14:textId="72A516A2" w:rsidR="003B0E76" w:rsidRPr="0072768E" w:rsidRDefault="003B0E76" w:rsidP="00B348C7">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ثانياً: محور كفاءة المعاملات المالية وتقنية الترميز</w:t>
      </w:r>
    </w:p>
    <w:tbl>
      <w:tblPr>
        <w:tblStyle w:val="TableGrid"/>
        <w:bidiVisual/>
        <w:tblW w:w="0" w:type="auto"/>
        <w:tblLook w:val="04A0" w:firstRow="1" w:lastRow="0" w:firstColumn="1" w:lastColumn="0" w:noHBand="0" w:noVBand="1"/>
      </w:tblPr>
      <w:tblGrid>
        <w:gridCol w:w="2993"/>
        <w:gridCol w:w="903"/>
        <w:gridCol w:w="899"/>
        <w:gridCol w:w="1970"/>
        <w:gridCol w:w="1531"/>
      </w:tblGrid>
      <w:tr w:rsidR="0072768E" w:rsidRPr="0072768E" w14:paraId="424A2C45" w14:textId="77777777" w:rsidTr="00D7258E">
        <w:tc>
          <w:tcPr>
            <w:tcW w:w="0" w:type="auto"/>
            <w:vAlign w:val="center"/>
            <w:hideMark/>
          </w:tcPr>
          <w:p w14:paraId="3DA7BCEA" w14:textId="77777777" w:rsidR="00D7258E" w:rsidRPr="0072768E" w:rsidRDefault="00D7258E" w:rsidP="00D7258E">
            <w:pPr>
              <w:bidi/>
              <w:jc w:val="center"/>
              <w:rPr>
                <w:b/>
                <w:bCs/>
                <w:sz w:val="20"/>
                <w:szCs w:val="20"/>
              </w:rPr>
            </w:pPr>
            <w:r w:rsidRPr="0072768E">
              <w:rPr>
                <w:b/>
                <w:bCs/>
                <w:sz w:val="20"/>
                <w:szCs w:val="20"/>
                <w:rtl/>
              </w:rPr>
              <w:t>عنوان الدراسة</w:t>
            </w:r>
          </w:p>
        </w:tc>
        <w:tc>
          <w:tcPr>
            <w:tcW w:w="0" w:type="auto"/>
            <w:vAlign w:val="center"/>
            <w:hideMark/>
          </w:tcPr>
          <w:p w14:paraId="67073C9D" w14:textId="77777777" w:rsidR="00D7258E" w:rsidRPr="0072768E" w:rsidRDefault="00D7258E" w:rsidP="00D7258E">
            <w:pPr>
              <w:bidi/>
              <w:jc w:val="center"/>
              <w:rPr>
                <w:b/>
                <w:bCs/>
                <w:sz w:val="20"/>
                <w:szCs w:val="20"/>
              </w:rPr>
            </w:pPr>
            <w:r w:rsidRPr="0072768E">
              <w:rPr>
                <w:b/>
                <w:bCs/>
                <w:sz w:val="20"/>
                <w:szCs w:val="20"/>
                <w:rtl/>
              </w:rPr>
              <w:t>المنهجية</w:t>
            </w:r>
          </w:p>
        </w:tc>
        <w:tc>
          <w:tcPr>
            <w:tcW w:w="0" w:type="auto"/>
            <w:vAlign w:val="center"/>
            <w:hideMark/>
          </w:tcPr>
          <w:p w14:paraId="1BAD4A8C" w14:textId="77777777" w:rsidR="00D7258E" w:rsidRPr="0072768E" w:rsidRDefault="00D7258E" w:rsidP="00D7258E">
            <w:pPr>
              <w:bidi/>
              <w:jc w:val="center"/>
              <w:rPr>
                <w:b/>
                <w:bCs/>
                <w:sz w:val="20"/>
                <w:szCs w:val="20"/>
              </w:rPr>
            </w:pPr>
            <w:r w:rsidRPr="0072768E">
              <w:rPr>
                <w:b/>
                <w:bCs/>
                <w:sz w:val="20"/>
                <w:szCs w:val="20"/>
                <w:rtl/>
              </w:rPr>
              <w:t>العينة</w:t>
            </w:r>
          </w:p>
        </w:tc>
        <w:tc>
          <w:tcPr>
            <w:tcW w:w="0" w:type="auto"/>
            <w:vAlign w:val="center"/>
            <w:hideMark/>
          </w:tcPr>
          <w:p w14:paraId="6211ABD5" w14:textId="77777777" w:rsidR="00D7258E" w:rsidRPr="0072768E" w:rsidRDefault="00D7258E" w:rsidP="00D7258E">
            <w:pPr>
              <w:bidi/>
              <w:jc w:val="center"/>
              <w:rPr>
                <w:b/>
                <w:bCs/>
                <w:sz w:val="20"/>
                <w:szCs w:val="20"/>
              </w:rPr>
            </w:pPr>
            <w:r w:rsidRPr="0072768E">
              <w:rPr>
                <w:b/>
                <w:bCs/>
                <w:sz w:val="20"/>
                <w:szCs w:val="20"/>
                <w:rtl/>
              </w:rPr>
              <w:t>أهم النتائج</w:t>
            </w:r>
          </w:p>
        </w:tc>
        <w:tc>
          <w:tcPr>
            <w:tcW w:w="0" w:type="auto"/>
            <w:vAlign w:val="center"/>
            <w:hideMark/>
          </w:tcPr>
          <w:p w14:paraId="5AF9F573" w14:textId="77777777" w:rsidR="00D7258E" w:rsidRPr="0072768E" w:rsidRDefault="00D7258E" w:rsidP="00D7258E">
            <w:pPr>
              <w:bidi/>
              <w:jc w:val="center"/>
              <w:rPr>
                <w:b/>
                <w:bCs/>
                <w:sz w:val="20"/>
                <w:szCs w:val="20"/>
              </w:rPr>
            </w:pPr>
            <w:r w:rsidRPr="0072768E">
              <w:rPr>
                <w:b/>
                <w:bCs/>
                <w:sz w:val="20"/>
                <w:szCs w:val="20"/>
                <w:rtl/>
              </w:rPr>
              <w:t>أوجه التشابه والاختلاف مع البحث الحالي</w:t>
            </w:r>
          </w:p>
        </w:tc>
      </w:tr>
      <w:tr w:rsidR="0072768E" w:rsidRPr="0072768E" w14:paraId="71F28A63" w14:textId="77777777" w:rsidTr="00B348C7">
        <w:tc>
          <w:tcPr>
            <w:tcW w:w="0" w:type="auto"/>
            <w:vAlign w:val="center"/>
            <w:hideMark/>
          </w:tcPr>
          <w:p w14:paraId="329137B2" w14:textId="5EE09381" w:rsidR="00D7258E" w:rsidRPr="0072768E" w:rsidRDefault="00D7258E" w:rsidP="00B348C7">
            <w:pPr>
              <w:bidi/>
              <w:rPr>
                <w:sz w:val="20"/>
                <w:szCs w:val="20"/>
              </w:rPr>
            </w:pPr>
            <w:r w:rsidRPr="0072768E">
              <w:rPr>
                <w:sz w:val="20"/>
                <w:szCs w:val="20"/>
              </w:rPr>
              <w:t xml:space="preserve">Johnson, K., &amp; Smith, P. (2024). Tokenization impact on financial transaction efficiency: A global perspective. Financial Technology Research, 7(2), 89-105. </w:t>
            </w:r>
            <w:hyperlink r:id="rId18" w:history="1"/>
          </w:p>
        </w:tc>
        <w:tc>
          <w:tcPr>
            <w:tcW w:w="0" w:type="auto"/>
            <w:vAlign w:val="center"/>
            <w:hideMark/>
          </w:tcPr>
          <w:p w14:paraId="08127F55" w14:textId="77777777" w:rsidR="00D7258E" w:rsidRPr="0072768E" w:rsidRDefault="00D7258E" w:rsidP="00B348C7">
            <w:pPr>
              <w:bidi/>
              <w:jc w:val="center"/>
              <w:rPr>
                <w:sz w:val="20"/>
                <w:szCs w:val="20"/>
              </w:rPr>
            </w:pPr>
            <w:r w:rsidRPr="0072768E">
              <w:rPr>
                <w:sz w:val="20"/>
                <w:szCs w:val="20"/>
                <w:rtl/>
              </w:rPr>
              <w:t>دراسة كمية</w:t>
            </w:r>
          </w:p>
        </w:tc>
        <w:tc>
          <w:tcPr>
            <w:tcW w:w="0" w:type="auto"/>
            <w:vAlign w:val="center"/>
            <w:hideMark/>
          </w:tcPr>
          <w:p w14:paraId="48ABA749" w14:textId="77777777" w:rsidR="00D7258E" w:rsidRPr="0072768E" w:rsidRDefault="00D7258E" w:rsidP="00B348C7">
            <w:pPr>
              <w:bidi/>
              <w:jc w:val="center"/>
              <w:rPr>
                <w:sz w:val="20"/>
                <w:szCs w:val="20"/>
              </w:rPr>
            </w:pPr>
            <w:r w:rsidRPr="0072768E">
              <w:rPr>
                <w:sz w:val="20"/>
                <w:szCs w:val="20"/>
              </w:rPr>
              <w:t xml:space="preserve">200 </w:t>
            </w:r>
            <w:r w:rsidRPr="0072768E">
              <w:rPr>
                <w:sz w:val="20"/>
                <w:szCs w:val="20"/>
                <w:rtl/>
              </w:rPr>
              <w:t>مؤسسة مالية من 15 دولة</w:t>
            </w:r>
          </w:p>
        </w:tc>
        <w:tc>
          <w:tcPr>
            <w:tcW w:w="0" w:type="auto"/>
            <w:vAlign w:val="center"/>
            <w:hideMark/>
          </w:tcPr>
          <w:p w14:paraId="7C3D7954" w14:textId="77777777" w:rsidR="00D7258E" w:rsidRPr="0072768E" w:rsidRDefault="00D7258E" w:rsidP="00B348C7">
            <w:pPr>
              <w:bidi/>
              <w:rPr>
                <w:sz w:val="20"/>
                <w:szCs w:val="20"/>
              </w:rPr>
            </w:pPr>
            <w:r w:rsidRPr="0072768E">
              <w:rPr>
                <w:sz w:val="20"/>
                <w:szCs w:val="20"/>
                <w:rtl/>
              </w:rPr>
              <w:t>خفض وقت معالجة المعاملات بنسبة 87% وتكلفتها بنسبة 62</w:t>
            </w:r>
            <w:r w:rsidRPr="0072768E">
              <w:rPr>
                <w:sz w:val="20"/>
                <w:szCs w:val="20"/>
              </w:rPr>
              <w:t>%</w:t>
            </w:r>
          </w:p>
        </w:tc>
        <w:tc>
          <w:tcPr>
            <w:tcW w:w="0" w:type="auto"/>
            <w:vAlign w:val="center"/>
            <w:hideMark/>
          </w:tcPr>
          <w:p w14:paraId="5D64753D" w14:textId="77777777" w:rsidR="00D7258E" w:rsidRPr="0072768E" w:rsidRDefault="00D7258E" w:rsidP="00B348C7">
            <w:pPr>
              <w:bidi/>
              <w:rPr>
                <w:sz w:val="20"/>
                <w:szCs w:val="20"/>
              </w:rPr>
            </w:pPr>
            <w:r w:rsidRPr="0072768E">
              <w:rPr>
                <w:sz w:val="20"/>
                <w:szCs w:val="20"/>
                <w:rtl/>
              </w:rPr>
              <w:t>تتشابه في دراسة أثر الترميز على كفاءة المعاملات وتختلف في النطاق الجغرافي</w:t>
            </w:r>
          </w:p>
        </w:tc>
      </w:tr>
      <w:tr w:rsidR="0072768E" w:rsidRPr="0072768E" w14:paraId="0F7DB3A5" w14:textId="77777777" w:rsidTr="00B348C7">
        <w:tc>
          <w:tcPr>
            <w:tcW w:w="0" w:type="auto"/>
            <w:vAlign w:val="center"/>
            <w:hideMark/>
          </w:tcPr>
          <w:p w14:paraId="00B3E105" w14:textId="35A93F00" w:rsidR="00D7258E" w:rsidRPr="0072768E" w:rsidRDefault="00D7258E" w:rsidP="00B348C7">
            <w:pPr>
              <w:bidi/>
              <w:rPr>
                <w:sz w:val="20"/>
                <w:szCs w:val="20"/>
              </w:rPr>
            </w:pPr>
            <w:r w:rsidRPr="0072768E">
              <w:rPr>
                <w:sz w:val="20"/>
                <w:szCs w:val="20"/>
                <w:rtl/>
              </w:rPr>
              <w:t>الزهراني، سارة. (2024). تحليل كفاءة المعاملات المالية الرقمية في المصارف السعودية. مجلة العلوم الاقتصادية والإدارية، 18(2)، 125-143</w:t>
            </w:r>
            <w:r w:rsidRPr="0072768E">
              <w:rPr>
                <w:sz w:val="20"/>
                <w:szCs w:val="20"/>
              </w:rPr>
              <w:t>.</w:t>
            </w:r>
          </w:p>
        </w:tc>
        <w:tc>
          <w:tcPr>
            <w:tcW w:w="0" w:type="auto"/>
            <w:vAlign w:val="center"/>
            <w:hideMark/>
          </w:tcPr>
          <w:p w14:paraId="0FCC2368" w14:textId="77777777" w:rsidR="00D7258E" w:rsidRPr="0072768E" w:rsidRDefault="00D7258E" w:rsidP="00B348C7">
            <w:pPr>
              <w:bidi/>
              <w:jc w:val="center"/>
              <w:rPr>
                <w:sz w:val="20"/>
                <w:szCs w:val="20"/>
              </w:rPr>
            </w:pPr>
            <w:r w:rsidRPr="0072768E">
              <w:rPr>
                <w:sz w:val="20"/>
                <w:szCs w:val="20"/>
                <w:rtl/>
              </w:rPr>
              <w:t>دراسة تحليلية</w:t>
            </w:r>
          </w:p>
        </w:tc>
        <w:tc>
          <w:tcPr>
            <w:tcW w:w="0" w:type="auto"/>
            <w:vAlign w:val="center"/>
            <w:hideMark/>
          </w:tcPr>
          <w:p w14:paraId="2577152A" w14:textId="77777777" w:rsidR="00D7258E" w:rsidRPr="0072768E" w:rsidRDefault="00D7258E" w:rsidP="00B348C7">
            <w:pPr>
              <w:bidi/>
              <w:jc w:val="center"/>
              <w:rPr>
                <w:sz w:val="20"/>
                <w:szCs w:val="20"/>
              </w:rPr>
            </w:pPr>
            <w:r w:rsidRPr="0072768E">
              <w:rPr>
                <w:sz w:val="20"/>
                <w:szCs w:val="20"/>
              </w:rPr>
              <w:t xml:space="preserve">12 </w:t>
            </w:r>
            <w:r w:rsidRPr="0072768E">
              <w:rPr>
                <w:sz w:val="20"/>
                <w:szCs w:val="20"/>
                <w:rtl/>
              </w:rPr>
              <w:t>مصرفاً سعودياً</w:t>
            </w:r>
          </w:p>
        </w:tc>
        <w:tc>
          <w:tcPr>
            <w:tcW w:w="0" w:type="auto"/>
            <w:vAlign w:val="center"/>
            <w:hideMark/>
          </w:tcPr>
          <w:p w14:paraId="6473BD11" w14:textId="77777777" w:rsidR="00D7258E" w:rsidRPr="0072768E" w:rsidRDefault="00D7258E" w:rsidP="00B348C7">
            <w:pPr>
              <w:bidi/>
              <w:rPr>
                <w:sz w:val="20"/>
                <w:szCs w:val="20"/>
              </w:rPr>
            </w:pPr>
            <w:r w:rsidRPr="0072768E">
              <w:rPr>
                <w:sz w:val="20"/>
                <w:szCs w:val="20"/>
                <w:rtl/>
              </w:rPr>
              <w:t>أظهرت أن التقنيات الحديثة بما فيها الترميز ساهمت في زيادة كفاءة المعاملات بنسبة 41</w:t>
            </w:r>
            <w:r w:rsidRPr="0072768E">
              <w:rPr>
                <w:sz w:val="20"/>
                <w:szCs w:val="20"/>
              </w:rPr>
              <w:t>%</w:t>
            </w:r>
          </w:p>
        </w:tc>
        <w:tc>
          <w:tcPr>
            <w:tcW w:w="0" w:type="auto"/>
            <w:vAlign w:val="center"/>
            <w:hideMark/>
          </w:tcPr>
          <w:p w14:paraId="47291E56" w14:textId="77777777" w:rsidR="00D7258E" w:rsidRPr="0072768E" w:rsidRDefault="00D7258E" w:rsidP="00B348C7">
            <w:pPr>
              <w:bidi/>
              <w:rPr>
                <w:sz w:val="20"/>
                <w:szCs w:val="20"/>
              </w:rPr>
            </w:pPr>
            <w:r w:rsidRPr="0072768E">
              <w:rPr>
                <w:sz w:val="20"/>
                <w:szCs w:val="20"/>
                <w:rtl/>
              </w:rPr>
              <w:t>تتشابه في التركيز على القطاع المالي السعودي وتختلف في شمولية عينة البحث</w:t>
            </w:r>
          </w:p>
        </w:tc>
      </w:tr>
      <w:tr w:rsidR="00D7258E" w:rsidRPr="0072768E" w14:paraId="7A6BE781" w14:textId="77777777" w:rsidTr="00B348C7">
        <w:tc>
          <w:tcPr>
            <w:tcW w:w="0" w:type="auto"/>
            <w:vAlign w:val="center"/>
            <w:hideMark/>
          </w:tcPr>
          <w:p w14:paraId="646171B8" w14:textId="38E2C229" w:rsidR="00D7258E" w:rsidRPr="0072768E" w:rsidRDefault="00D7258E" w:rsidP="00B348C7">
            <w:pPr>
              <w:bidi/>
              <w:rPr>
                <w:sz w:val="20"/>
                <w:szCs w:val="20"/>
              </w:rPr>
            </w:pPr>
            <w:r w:rsidRPr="0072768E">
              <w:rPr>
                <w:sz w:val="20"/>
                <w:szCs w:val="20"/>
              </w:rPr>
              <w:t xml:space="preserve">Coinbase Institutional. (2025). 2025 crypto outlook: Tokenization trends in financial markets. Coinbase Research. </w:t>
            </w:r>
          </w:p>
        </w:tc>
        <w:tc>
          <w:tcPr>
            <w:tcW w:w="0" w:type="auto"/>
            <w:vAlign w:val="center"/>
            <w:hideMark/>
          </w:tcPr>
          <w:p w14:paraId="09548334" w14:textId="77777777" w:rsidR="00D7258E" w:rsidRPr="0072768E" w:rsidRDefault="00D7258E" w:rsidP="00B348C7">
            <w:pPr>
              <w:bidi/>
              <w:jc w:val="center"/>
              <w:rPr>
                <w:sz w:val="20"/>
                <w:szCs w:val="20"/>
              </w:rPr>
            </w:pPr>
            <w:r w:rsidRPr="0072768E">
              <w:rPr>
                <w:sz w:val="20"/>
                <w:szCs w:val="20"/>
                <w:rtl/>
              </w:rPr>
              <w:t>دراسة استشرافية</w:t>
            </w:r>
          </w:p>
        </w:tc>
        <w:tc>
          <w:tcPr>
            <w:tcW w:w="0" w:type="auto"/>
            <w:vAlign w:val="center"/>
            <w:hideMark/>
          </w:tcPr>
          <w:p w14:paraId="0A3A0FD3" w14:textId="77777777" w:rsidR="00D7258E" w:rsidRPr="0072768E" w:rsidRDefault="00D7258E" w:rsidP="00B348C7">
            <w:pPr>
              <w:bidi/>
              <w:jc w:val="center"/>
              <w:rPr>
                <w:sz w:val="20"/>
                <w:szCs w:val="20"/>
              </w:rPr>
            </w:pPr>
            <w:r w:rsidRPr="0072768E">
              <w:rPr>
                <w:sz w:val="20"/>
                <w:szCs w:val="20"/>
              </w:rPr>
              <w:t xml:space="preserve">150 </w:t>
            </w:r>
            <w:r w:rsidRPr="0072768E">
              <w:rPr>
                <w:sz w:val="20"/>
                <w:szCs w:val="20"/>
                <w:rtl/>
              </w:rPr>
              <w:t>مؤسسة مالية عالمية</w:t>
            </w:r>
          </w:p>
        </w:tc>
        <w:tc>
          <w:tcPr>
            <w:tcW w:w="0" w:type="auto"/>
            <w:vAlign w:val="center"/>
            <w:hideMark/>
          </w:tcPr>
          <w:p w14:paraId="707DD263" w14:textId="77777777" w:rsidR="00D7258E" w:rsidRPr="0072768E" w:rsidRDefault="00D7258E" w:rsidP="00B348C7">
            <w:pPr>
              <w:bidi/>
              <w:rPr>
                <w:sz w:val="20"/>
                <w:szCs w:val="20"/>
              </w:rPr>
            </w:pPr>
            <w:r w:rsidRPr="0072768E">
              <w:rPr>
                <w:sz w:val="20"/>
                <w:szCs w:val="20"/>
                <w:rtl/>
              </w:rPr>
              <w:t>أشارت إلى أن فوائد التسوية الأسرع وانخفاض تكاليف المعاملات وزيادة كفاءة رأس المال للترميز أصبحت واضحة للمؤسسات</w:t>
            </w:r>
          </w:p>
        </w:tc>
        <w:tc>
          <w:tcPr>
            <w:tcW w:w="0" w:type="auto"/>
            <w:vAlign w:val="center"/>
            <w:hideMark/>
          </w:tcPr>
          <w:p w14:paraId="25FD1DC5" w14:textId="77777777" w:rsidR="00D7258E" w:rsidRPr="0072768E" w:rsidRDefault="00D7258E" w:rsidP="00B348C7">
            <w:pPr>
              <w:bidi/>
              <w:rPr>
                <w:sz w:val="20"/>
                <w:szCs w:val="20"/>
              </w:rPr>
            </w:pPr>
            <w:r w:rsidRPr="0072768E">
              <w:rPr>
                <w:sz w:val="20"/>
                <w:szCs w:val="20"/>
                <w:rtl/>
              </w:rPr>
              <w:t>تتشابه في تحليل فوائد الترميز وتختلف في التركيز على بيئة الأعمال السعودية</w:t>
            </w:r>
          </w:p>
        </w:tc>
      </w:tr>
    </w:tbl>
    <w:p w14:paraId="63139753" w14:textId="77777777" w:rsidR="003B0E76" w:rsidRPr="0072768E" w:rsidRDefault="003B0E76" w:rsidP="003B0E76">
      <w:pPr>
        <w:bidi/>
      </w:pPr>
    </w:p>
    <w:p w14:paraId="20C1172B" w14:textId="2AA29049" w:rsidR="003B0E76" w:rsidRPr="0072768E" w:rsidRDefault="003B0E76" w:rsidP="003B0E76">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ثالثاً: محور تقنية الترميز ورؤية 2030 والتحول الرقمي</w:t>
      </w:r>
    </w:p>
    <w:tbl>
      <w:tblPr>
        <w:tblStyle w:val="TableGrid"/>
        <w:bidiVisual/>
        <w:tblW w:w="0" w:type="auto"/>
        <w:tblLook w:val="04A0" w:firstRow="1" w:lastRow="0" w:firstColumn="1" w:lastColumn="0" w:noHBand="0" w:noVBand="1"/>
      </w:tblPr>
      <w:tblGrid>
        <w:gridCol w:w="3210"/>
        <w:gridCol w:w="946"/>
        <w:gridCol w:w="1005"/>
        <w:gridCol w:w="1609"/>
        <w:gridCol w:w="1526"/>
      </w:tblGrid>
      <w:tr w:rsidR="0072768E" w:rsidRPr="0072768E" w14:paraId="0A2C652A" w14:textId="77777777" w:rsidTr="00B348C7">
        <w:tc>
          <w:tcPr>
            <w:tcW w:w="0" w:type="auto"/>
            <w:vAlign w:val="center"/>
            <w:hideMark/>
          </w:tcPr>
          <w:p w14:paraId="6B16ED65"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عنوان الدراسة</w:t>
            </w:r>
          </w:p>
        </w:tc>
        <w:tc>
          <w:tcPr>
            <w:tcW w:w="0" w:type="auto"/>
            <w:vAlign w:val="center"/>
            <w:hideMark/>
          </w:tcPr>
          <w:p w14:paraId="699E2DCE"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المنهجية</w:t>
            </w:r>
          </w:p>
        </w:tc>
        <w:tc>
          <w:tcPr>
            <w:tcW w:w="0" w:type="auto"/>
            <w:vAlign w:val="center"/>
            <w:hideMark/>
          </w:tcPr>
          <w:p w14:paraId="745038A3"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العينة</w:t>
            </w:r>
          </w:p>
        </w:tc>
        <w:tc>
          <w:tcPr>
            <w:tcW w:w="0" w:type="auto"/>
            <w:vAlign w:val="center"/>
            <w:hideMark/>
          </w:tcPr>
          <w:p w14:paraId="4499A845"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أهم النتائج</w:t>
            </w:r>
          </w:p>
        </w:tc>
        <w:tc>
          <w:tcPr>
            <w:tcW w:w="0" w:type="auto"/>
            <w:vAlign w:val="center"/>
            <w:hideMark/>
          </w:tcPr>
          <w:p w14:paraId="55D93E00"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أوجه التشابه والاختلاف مع البحث الحالي</w:t>
            </w:r>
          </w:p>
        </w:tc>
      </w:tr>
      <w:tr w:rsidR="0072768E" w:rsidRPr="0072768E" w14:paraId="797B5F34" w14:textId="77777777" w:rsidTr="00B348C7">
        <w:tc>
          <w:tcPr>
            <w:tcW w:w="0" w:type="auto"/>
            <w:vAlign w:val="center"/>
            <w:hideMark/>
          </w:tcPr>
          <w:p w14:paraId="6431A398" w14:textId="48BFD2D9"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lang w:val="es-ES"/>
              </w:rPr>
              <w:t xml:space="preserve">Yang, T., &amp; Al-Ghamdi, S. (2023). </w:t>
            </w:r>
            <w:r w:rsidRPr="0072768E">
              <w:rPr>
                <w:rFonts w:ascii="Simplified Arabic" w:hAnsi="Simplified Arabic" w:cs="Simplified Arabic"/>
                <w:sz w:val="20"/>
                <w:szCs w:val="20"/>
              </w:rPr>
              <w:t>Digital transformation strategies in Saudi Arabia: Challenges and opportunities. Journal of Digital Economy, 5(4), 412-429.</w:t>
            </w:r>
          </w:p>
        </w:tc>
        <w:tc>
          <w:tcPr>
            <w:tcW w:w="0" w:type="auto"/>
            <w:vAlign w:val="center"/>
            <w:hideMark/>
          </w:tcPr>
          <w:p w14:paraId="5F5DE5EB"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دراسة نوعية</w:t>
            </w:r>
          </w:p>
        </w:tc>
        <w:tc>
          <w:tcPr>
            <w:tcW w:w="0" w:type="auto"/>
            <w:vAlign w:val="center"/>
            <w:hideMark/>
          </w:tcPr>
          <w:p w14:paraId="67A26DA9" w14:textId="77777777" w:rsidR="00B348C7" w:rsidRPr="0072768E" w:rsidRDefault="00B348C7" w:rsidP="00B348C7">
            <w:pPr>
              <w:bidi/>
              <w:jc w:val="center"/>
              <w:rPr>
                <w:rFonts w:ascii="Simplified Arabic" w:hAnsi="Simplified Arabic" w:cs="Simplified Arabic"/>
                <w:sz w:val="20"/>
                <w:szCs w:val="20"/>
                <w:rtl/>
              </w:rPr>
            </w:pPr>
            <w:r w:rsidRPr="0072768E">
              <w:rPr>
                <w:rFonts w:ascii="Simplified Arabic" w:hAnsi="Simplified Arabic" w:cs="Simplified Arabic"/>
                <w:sz w:val="20"/>
                <w:szCs w:val="20"/>
              </w:rPr>
              <w:t>25</w:t>
            </w:r>
          </w:p>
          <w:p w14:paraId="304A5132" w14:textId="0D0DDB4A"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مقابلة مع مسؤولين وخبراء</w:t>
            </w:r>
          </w:p>
        </w:tc>
        <w:tc>
          <w:tcPr>
            <w:tcW w:w="0" w:type="auto"/>
            <w:vAlign w:val="center"/>
            <w:hideMark/>
          </w:tcPr>
          <w:p w14:paraId="2E19C96D"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أظهرت أن تقنيات الترميز والبلوكتشين من أهم محفزات التحول الرقمي في المملكة</w:t>
            </w:r>
          </w:p>
        </w:tc>
        <w:tc>
          <w:tcPr>
            <w:tcW w:w="0" w:type="auto"/>
            <w:vAlign w:val="center"/>
            <w:hideMark/>
          </w:tcPr>
          <w:p w14:paraId="2E512168"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تتشابه في ربط التقنية برؤية 2030 وتختلف في التركيز على تقنية الترميز تحديداً</w:t>
            </w:r>
          </w:p>
        </w:tc>
      </w:tr>
      <w:tr w:rsidR="0072768E" w:rsidRPr="0072768E" w14:paraId="6ADB4F7E" w14:textId="77777777" w:rsidTr="00B348C7">
        <w:tc>
          <w:tcPr>
            <w:tcW w:w="0" w:type="auto"/>
            <w:vAlign w:val="center"/>
            <w:hideMark/>
          </w:tcPr>
          <w:p w14:paraId="0D005896" w14:textId="1FC5F0F9"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الشمري، محمد. (2023). دور التقنيات المالية الحديثة في تحقيق أهداف رؤية المملكة 2030. مجلة رؤية اقتصادية، 10(1)، 78-96</w:t>
            </w:r>
            <w:r w:rsidRPr="0072768E">
              <w:rPr>
                <w:rFonts w:ascii="Simplified Arabic" w:hAnsi="Simplified Arabic" w:cs="Simplified Arabic"/>
                <w:sz w:val="20"/>
                <w:szCs w:val="20"/>
              </w:rPr>
              <w:t>.</w:t>
            </w:r>
          </w:p>
        </w:tc>
        <w:tc>
          <w:tcPr>
            <w:tcW w:w="0" w:type="auto"/>
            <w:vAlign w:val="center"/>
            <w:hideMark/>
          </w:tcPr>
          <w:p w14:paraId="61532E5C"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دراسة استطلاعية</w:t>
            </w:r>
          </w:p>
        </w:tc>
        <w:tc>
          <w:tcPr>
            <w:tcW w:w="0" w:type="auto"/>
            <w:vAlign w:val="center"/>
            <w:hideMark/>
          </w:tcPr>
          <w:p w14:paraId="4F265E48"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عينة من 30 خبيراً في القطاع المالي</w:t>
            </w:r>
          </w:p>
        </w:tc>
        <w:tc>
          <w:tcPr>
            <w:tcW w:w="0" w:type="auto"/>
            <w:vAlign w:val="center"/>
            <w:hideMark/>
          </w:tcPr>
          <w:p w14:paraId="0DFBC85A"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أوضحت أن تقنية الترميز تساهم في تحقيق 3 من أهداف رؤية 2030</w:t>
            </w:r>
          </w:p>
        </w:tc>
        <w:tc>
          <w:tcPr>
            <w:tcW w:w="0" w:type="auto"/>
            <w:vAlign w:val="center"/>
            <w:hideMark/>
          </w:tcPr>
          <w:p w14:paraId="0F41D028"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تتشابه في ربط التقنية برؤية 2030 وتختلف في منهجية البحث والنطاق</w:t>
            </w:r>
          </w:p>
        </w:tc>
      </w:tr>
      <w:tr w:rsidR="00B348C7" w:rsidRPr="0072768E" w14:paraId="2D539F13" w14:textId="77777777" w:rsidTr="00B348C7">
        <w:tc>
          <w:tcPr>
            <w:tcW w:w="0" w:type="auto"/>
            <w:vAlign w:val="center"/>
            <w:hideMark/>
          </w:tcPr>
          <w:p w14:paraId="7A85811E" w14:textId="07BA3224"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Pr>
              <w:t xml:space="preserve">Evergon Labs. (2025). Saudi Arabia's digital finance transformation: Vision 2030 alignment. Evergon Research Report. </w:t>
            </w:r>
          </w:p>
        </w:tc>
        <w:tc>
          <w:tcPr>
            <w:tcW w:w="0" w:type="auto"/>
            <w:vAlign w:val="center"/>
            <w:hideMark/>
          </w:tcPr>
          <w:p w14:paraId="6EB74EE9"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دراسة حالة</w:t>
            </w:r>
          </w:p>
        </w:tc>
        <w:tc>
          <w:tcPr>
            <w:tcW w:w="0" w:type="auto"/>
            <w:vAlign w:val="center"/>
            <w:hideMark/>
          </w:tcPr>
          <w:p w14:paraId="26C5C159" w14:textId="77777777" w:rsidR="00B348C7" w:rsidRPr="0072768E" w:rsidRDefault="00B348C7" w:rsidP="00B348C7">
            <w:pPr>
              <w:bidi/>
              <w:jc w:val="center"/>
              <w:rPr>
                <w:rFonts w:ascii="Simplified Arabic" w:hAnsi="Simplified Arabic" w:cs="Simplified Arabic"/>
                <w:sz w:val="20"/>
                <w:szCs w:val="20"/>
                <w:rtl/>
              </w:rPr>
            </w:pPr>
            <w:r w:rsidRPr="0072768E">
              <w:rPr>
                <w:rFonts w:ascii="Simplified Arabic" w:hAnsi="Simplified Arabic" w:cs="Simplified Arabic"/>
                <w:sz w:val="20"/>
                <w:szCs w:val="20"/>
              </w:rPr>
              <w:t>5</w:t>
            </w:r>
          </w:p>
          <w:p w14:paraId="095B39F5" w14:textId="4473BA7A"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مشاريع تقنية مالية سعودية</w:t>
            </w:r>
          </w:p>
        </w:tc>
        <w:tc>
          <w:tcPr>
            <w:tcW w:w="0" w:type="auto"/>
            <w:vAlign w:val="center"/>
            <w:hideMark/>
          </w:tcPr>
          <w:p w14:paraId="0BCB227B"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أشارت إلى أن المملكة العربية السعودية تتبنى الترميز كجزء من رؤية 2030 الطموحة</w:t>
            </w:r>
          </w:p>
        </w:tc>
        <w:tc>
          <w:tcPr>
            <w:tcW w:w="0" w:type="auto"/>
            <w:vAlign w:val="center"/>
            <w:hideMark/>
          </w:tcPr>
          <w:p w14:paraId="0AF67E30"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تتشابه في تقييم مساهمة الترميز في تحقيق رؤية 2030 وتختلف في منهجية البحث</w:t>
            </w:r>
          </w:p>
        </w:tc>
      </w:tr>
    </w:tbl>
    <w:p w14:paraId="64C72A08" w14:textId="77777777" w:rsidR="003B0E76" w:rsidRPr="0072768E" w:rsidRDefault="003B0E76" w:rsidP="003B0E76">
      <w:pPr>
        <w:bidi/>
        <w:rPr>
          <w:rtl/>
        </w:rPr>
      </w:pPr>
    </w:p>
    <w:p w14:paraId="3ADA0EDC" w14:textId="77777777" w:rsidR="00B348C7" w:rsidRPr="0072768E" w:rsidRDefault="00B348C7" w:rsidP="00B348C7">
      <w:pPr>
        <w:bidi/>
        <w:rPr>
          <w:rtl/>
        </w:rPr>
      </w:pPr>
    </w:p>
    <w:p w14:paraId="2A592236" w14:textId="01A136D4" w:rsidR="003B0E76" w:rsidRPr="0072768E" w:rsidRDefault="003B0E76" w:rsidP="003B0E76">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رابعاً: محور تطبيقات الترميز في المؤسسات المالية</w:t>
      </w:r>
    </w:p>
    <w:tbl>
      <w:tblPr>
        <w:tblStyle w:val="TableGrid"/>
        <w:bidiVisual/>
        <w:tblW w:w="0" w:type="auto"/>
        <w:tblLook w:val="04A0" w:firstRow="1" w:lastRow="0" w:firstColumn="1" w:lastColumn="0" w:noHBand="0" w:noVBand="1"/>
      </w:tblPr>
      <w:tblGrid>
        <w:gridCol w:w="3372"/>
        <w:gridCol w:w="920"/>
        <w:gridCol w:w="917"/>
        <w:gridCol w:w="1559"/>
        <w:gridCol w:w="1528"/>
      </w:tblGrid>
      <w:tr w:rsidR="0072768E" w:rsidRPr="0072768E" w14:paraId="44A7D0A2" w14:textId="77777777" w:rsidTr="00B348C7">
        <w:tc>
          <w:tcPr>
            <w:tcW w:w="0" w:type="auto"/>
            <w:vAlign w:val="center"/>
            <w:hideMark/>
          </w:tcPr>
          <w:p w14:paraId="1776D4FA" w14:textId="77777777" w:rsidR="00B348C7" w:rsidRPr="0072768E" w:rsidRDefault="00B348C7" w:rsidP="00B348C7">
            <w:pPr>
              <w:bidi/>
              <w:jc w:val="center"/>
              <w:rPr>
                <w:b/>
                <w:bCs/>
              </w:rPr>
            </w:pPr>
            <w:r w:rsidRPr="0072768E">
              <w:rPr>
                <w:b/>
                <w:bCs/>
                <w:rtl/>
              </w:rPr>
              <w:t>عنوان الدراسة</w:t>
            </w:r>
          </w:p>
        </w:tc>
        <w:tc>
          <w:tcPr>
            <w:tcW w:w="0" w:type="auto"/>
            <w:vAlign w:val="center"/>
            <w:hideMark/>
          </w:tcPr>
          <w:p w14:paraId="44D548AC" w14:textId="77777777" w:rsidR="00B348C7" w:rsidRPr="0072768E" w:rsidRDefault="00B348C7" w:rsidP="00B348C7">
            <w:pPr>
              <w:bidi/>
              <w:jc w:val="center"/>
              <w:rPr>
                <w:b/>
                <w:bCs/>
              </w:rPr>
            </w:pPr>
            <w:r w:rsidRPr="0072768E">
              <w:rPr>
                <w:b/>
                <w:bCs/>
                <w:rtl/>
              </w:rPr>
              <w:t>المنهجية</w:t>
            </w:r>
          </w:p>
        </w:tc>
        <w:tc>
          <w:tcPr>
            <w:tcW w:w="0" w:type="auto"/>
            <w:vAlign w:val="center"/>
            <w:hideMark/>
          </w:tcPr>
          <w:p w14:paraId="4551BDC2" w14:textId="77777777" w:rsidR="00B348C7" w:rsidRPr="0072768E" w:rsidRDefault="00B348C7" w:rsidP="00B348C7">
            <w:pPr>
              <w:bidi/>
              <w:jc w:val="center"/>
              <w:rPr>
                <w:b/>
                <w:bCs/>
              </w:rPr>
            </w:pPr>
            <w:r w:rsidRPr="0072768E">
              <w:rPr>
                <w:b/>
                <w:bCs/>
                <w:rtl/>
              </w:rPr>
              <w:t>العينة</w:t>
            </w:r>
          </w:p>
        </w:tc>
        <w:tc>
          <w:tcPr>
            <w:tcW w:w="0" w:type="auto"/>
            <w:vAlign w:val="center"/>
            <w:hideMark/>
          </w:tcPr>
          <w:p w14:paraId="6BE99C0F" w14:textId="77777777" w:rsidR="00B348C7" w:rsidRPr="0072768E" w:rsidRDefault="00B348C7" w:rsidP="00B348C7">
            <w:pPr>
              <w:bidi/>
              <w:jc w:val="center"/>
              <w:rPr>
                <w:b/>
                <w:bCs/>
              </w:rPr>
            </w:pPr>
            <w:r w:rsidRPr="0072768E">
              <w:rPr>
                <w:b/>
                <w:bCs/>
                <w:rtl/>
              </w:rPr>
              <w:t>أهم النتائج</w:t>
            </w:r>
          </w:p>
        </w:tc>
        <w:tc>
          <w:tcPr>
            <w:tcW w:w="0" w:type="auto"/>
            <w:vAlign w:val="center"/>
            <w:hideMark/>
          </w:tcPr>
          <w:p w14:paraId="7C14CA74" w14:textId="77777777" w:rsidR="00B348C7" w:rsidRPr="0072768E" w:rsidRDefault="00B348C7" w:rsidP="00B348C7">
            <w:pPr>
              <w:bidi/>
              <w:jc w:val="center"/>
              <w:rPr>
                <w:b/>
                <w:bCs/>
              </w:rPr>
            </w:pPr>
            <w:r w:rsidRPr="0072768E">
              <w:rPr>
                <w:b/>
                <w:bCs/>
                <w:rtl/>
              </w:rPr>
              <w:t>أوجه التشابه والاختلاف مع البحث الحالي</w:t>
            </w:r>
          </w:p>
        </w:tc>
      </w:tr>
      <w:tr w:rsidR="0072768E" w:rsidRPr="0072768E" w14:paraId="68051B5F" w14:textId="77777777" w:rsidTr="00B348C7">
        <w:tc>
          <w:tcPr>
            <w:tcW w:w="0" w:type="auto"/>
            <w:vAlign w:val="center"/>
            <w:hideMark/>
          </w:tcPr>
          <w:p w14:paraId="74FBA081" w14:textId="708D8AA7" w:rsidR="00B348C7" w:rsidRPr="0072768E" w:rsidRDefault="00B348C7" w:rsidP="00B348C7">
            <w:pPr>
              <w:bidi/>
            </w:pPr>
            <w:r w:rsidRPr="0072768E">
              <w:t>Brown, A., &amp; Wilson, T. (2023). Tokenization in banking: Case studies and implementation challenges. International Journal of Banking Technology, 14(2), 178-195.</w:t>
            </w:r>
          </w:p>
        </w:tc>
        <w:tc>
          <w:tcPr>
            <w:tcW w:w="0" w:type="auto"/>
            <w:vAlign w:val="center"/>
            <w:hideMark/>
          </w:tcPr>
          <w:p w14:paraId="744963E7" w14:textId="77777777" w:rsidR="00B348C7" w:rsidRPr="0072768E" w:rsidRDefault="00B348C7" w:rsidP="00B348C7">
            <w:pPr>
              <w:bidi/>
              <w:jc w:val="center"/>
            </w:pPr>
            <w:r w:rsidRPr="0072768E">
              <w:rPr>
                <w:rtl/>
              </w:rPr>
              <w:t>دراسة حالة متعددة</w:t>
            </w:r>
          </w:p>
        </w:tc>
        <w:tc>
          <w:tcPr>
            <w:tcW w:w="0" w:type="auto"/>
            <w:vAlign w:val="center"/>
            <w:hideMark/>
          </w:tcPr>
          <w:p w14:paraId="6CE0E7FE" w14:textId="77777777" w:rsidR="00B348C7" w:rsidRPr="0072768E" w:rsidRDefault="00B348C7" w:rsidP="00B348C7">
            <w:pPr>
              <w:bidi/>
              <w:jc w:val="center"/>
              <w:rPr>
                <w:rtl/>
              </w:rPr>
            </w:pPr>
            <w:r w:rsidRPr="0072768E">
              <w:t>7</w:t>
            </w:r>
          </w:p>
          <w:p w14:paraId="3E8A9C9D" w14:textId="71308165" w:rsidR="00B348C7" w:rsidRPr="0072768E" w:rsidRDefault="00B348C7" w:rsidP="00B348C7">
            <w:pPr>
              <w:bidi/>
              <w:jc w:val="center"/>
            </w:pPr>
            <w:r w:rsidRPr="0072768E">
              <w:rPr>
                <w:rtl/>
              </w:rPr>
              <w:t>بنوك عالمية</w:t>
            </w:r>
          </w:p>
        </w:tc>
        <w:tc>
          <w:tcPr>
            <w:tcW w:w="0" w:type="auto"/>
            <w:vAlign w:val="center"/>
            <w:hideMark/>
          </w:tcPr>
          <w:p w14:paraId="66A70B13" w14:textId="77777777" w:rsidR="00B348C7" w:rsidRPr="0072768E" w:rsidRDefault="00B348C7" w:rsidP="00B348C7">
            <w:pPr>
              <w:bidi/>
            </w:pPr>
            <w:r w:rsidRPr="0072768E">
              <w:rPr>
                <w:rtl/>
              </w:rPr>
              <w:t>حددت 5 تحديات رئيسية تواجه تنفيذ الترميز في المؤسسات المالية</w:t>
            </w:r>
          </w:p>
        </w:tc>
        <w:tc>
          <w:tcPr>
            <w:tcW w:w="0" w:type="auto"/>
            <w:vAlign w:val="center"/>
            <w:hideMark/>
          </w:tcPr>
          <w:p w14:paraId="3160C227" w14:textId="77777777" w:rsidR="00B348C7" w:rsidRPr="0072768E" w:rsidRDefault="00B348C7" w:rsidP="00B348C7">
            <w:pPr>
              <w:bidi/>
            </w:pPr>
            <w:r w:rsidRPr="0072768E">
              <w:rPr>
                <w:rtl/>
              </w:rPr>
              <w:t>تتشابه في دراسة تطبيقات الترميز وتختلف في التركيز على السياق السعودي</w:t>
            </w:r>
          </w:p>
        </w:tc>
      </w:tr>
      <w:tr w:rsidR="00B348C7" w:rsidRPr="0072768E" w14:paraId="41215227" w14:textId="77777777" w:rsidTr="00B348C7">
        <w:tc>
          <w:tcPr>
            <w:tcW w:w="0" w:type="auto"/>
            <w:vAlign w:val="center"/>
            <w:hideMark/>
          </w:tcPr>
          <w:p w14:paraId="26F7F71C" w14:textId="40DB87E2" w:rsidR="00B348C7" w:rsidRPr="0072768E" w:rsidRDefault="00B348C7" w:rsidP="00B348C7">
            <w:pPr>
              <w:bidi/>
            </w:pPr>
            <w:r w:rsidRPr="0072768E">
              <w:rPr>
                <w:rtl/>
              </w:rPr>
              <w:t xml:space="preserve">القحطاني، </w:t>
            </w:r>
            <w:r w:rsidRPr="0072768E">
              <w:rPr>
                <w:rFonts w:hint="cs"/>
                <w:rtl/>
              </w:rPr>
              <w:t>عبد الل</w:t>
            </w:r>
            <w:r w:rsidRPr="0072768E">
              <w:rPr>
                <w:rFonts w:hint="eastAsia"/>
                <w:rtl/>
              </w:rPr>
              <w:t>ه</w:t>
            </w:r>
            <w:r w:rsidRPr="0072768E">
              <w:rPr>
                <w:rtl/>
              </w:rPr>
              <w:t>. (2024). تطبيقات تقنية الترميز في المصارف السعودية: الواقع والتحديات. المجلة السعودية للمالية والاقتصاد، 8(3)، 215-238</w:t>
            </w:r>
            <w:r w:rsidRPr="0072768E">
              <w:t>.</w:t>
            </w:r>
          </w:p>
        </w:tc>
        <w:tc>
          <w:tcPr>
            <w:tcW w:w="0" w:type="auto"/>
            <w:vAlign w:val="center"/>
            <w:hideMark/>
          </w:tcPr>
          <w:p w14:paraId="11CFC0B8" w14:textId="77777777" w:rsidR="00B348C7" w:rsidRPr="0072768E" w:rsidRDefault="00B348C7" w:rsidP="00B348C7">
            <w:pPr>
              <w:bidi/>
              <w:jc w:val="center"/>
            </w:pPr>
            <w:r w:rsidRPr="0072768E">
              <w:rPr>
                <w:rtl/>
              </w:rPr>
              <w:t>دراسة ميدانية</w:t>
            </w:r>
          </w:p>
        </w:tc>
        <w:tc>
          <w:tcPr>
            <w:tcW w:w="0" w:type="auto"/>
            <w:vAlign w:val="center"/>
            <w:hideMark/>
          </w:tcPr>
          <w:p w14:paraId="6A211A9F" w14:textId="77777777" w:rsidR="00B348C7" w:rsidRPr="0072768E" w:rsidRDefault="00B348C7" w:rsidP="00B348C7">
            <w:pPr>
              <w:bidi/>
              <w:jc w:val="center"/>
            </w:pPr>
            <w:r w:rsidRPr="0072768E">
              <w:t xml:space="preserve">8 </w:t>
            </w:r>
            <w:r w:rsidRPr="0072768E">
              <w:rPr>
                <w:rtl/>
              </w:rPr>
              <w:t>مصارف سعودية</w:t>
            </w:r>
          </w:p>
        </w:tc>
        <w:tc>
          <w:tcPr>
            <w:tcW w:w="0" w:type="auto"/>
            <w:vAlign w:val="center"/>
            <w:hideMark/>
          </w:tcPr>
          <w:p w14:paraId="1307466B" w14:textId="77777777" w:rsidR="00B348C7" w:rsidRPr="0072768E" w:rsidRDefault="00B348C7" w:rsidP="00B348C7">
            <w:pPr>
              <w:bidi/>
            </w:pPr>
            <w:r w:rsidRPr="0072768E">
              <w:rPr>
                <w:rtl/>
              </w:rPr>
              <w:t>كشفت أن 62% من المصارف السعودية بدأت تطبيق تقنية الترميز بشكل جزئي</w:t>
            </w:r>
          </w:p>
        </w:tc>
        <w:tc>
          <w:tcPr>
            <w:tcW w:w="0" w:type="auto"/>
            <w:vAlign w:val="center"/>
            <w:hideMark/>
          </w:tcPr>
          <w:p w14:paraId="192525A1" w14:textId="77777777" w:rsidR="00B348C7" w:rsidRPr="0072768E" w:rsidRDefault="00B348C7" w:rsidP="00B348C7">
            <w:pPr>
              <w:bidi/>
            </w:pPr>
            <w:r w:rsidRPr="0072768E">
              <w:rPr>
                <w:rtl/>
              </w:rPr>
              <w:t>تتشابه في دراسة الواقع السعودي وتختلف في حجم العينة ونطاق البحث</w:t>
            </w:r>
          </w:p>
        </w:tc>
      </w:tr>
    </w:tbl>
    <w:p w14:paraId="0A2230E0" w14:textId="77777777" w:rsidR="003B0E76" w:rsidRPr="0072768E" w:rsidRDefault="003B0E76" w:rsidP="003B0E76">
      <w:pPr>
        <w:bidi/>
      </w:pPr>
    </w:p>
    <w:p w14:paraId="3AD99295" w14:textId="77777777" w:rsidR="0044728A" w:rsidRPr="0072768E" w:rsidRDefault="003B0E76" w:rsidP="0044728A">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الفجوة البحثية والإضافة العلمية للدراسة الحالية</w:t>
      </w:r>
      <w:r w:rsidRPr="0072768E">
        <w:rPr>
          <w:rFonts w:ascii="Simplified Arabic" w:hAnsi="Simplified Arabic" w:cs="Simplified Arabic" w:hint="cs"/>
          <w:b/>
          <w:bCs/>
          <w:color w:val="auto"/>
          <w:sz w:val="28"/>
          <w:szCs w:val="28"/>
          <w:rtl/>
        </w:rPr>
        <w:t>:</w:t>
      </w:r>
      <w:bookmarkEnd w:id="75"/>
    </w:p>
    <w:p w14:paraId="5F702BAC" w14:textId="77777777" w:rsidR="0044728A" w:rsidRPr="0072768E" w:rsidRDefault="0044728A" w:rsidP="0044728A">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من خلال استعراض الدراسات السابقة، يتضح وجود فجوة بحثية تتمثل في النقاط التالية</w:t>
      </w:r>
      <w:r w:rsidRPr="0072768E">
        <w:rPr>
          <w:rFonts w:ascii="Simplified Arabic" w:hAnsi="Simplified Arabic" w:cs="Simplified Arabic"/>
          <w:color w:val="auto"/>
          <w:sz w:val="28"/>
          <w:szCs w:val="28"/>
        </w:rPr>
        <w:t>:</w:t>
      </w:r>
    </w:p>
    <w:p w14:paraId="6D4852A7"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ندرة الدراسات الشاملة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على الرغم من وجود دراسات تناولت جوانب محددة من تأثير تقنية الترميز، إلا أنه لا توجد دراسة شاملة تناولت تأثير هذه التقنية على الأمن السيبراني وكفاءة العمليات المالية في المؤسسات السعودية بشكل متكامل</w:t>
      </w:r>
      <w:r w:rsidRPr="0072768E">
        <w:rPr>
          <w:rFonts w:ascii="Simplified Arabic" w:hAnsi="Simplified Arabic" w:cs="Simplified Arabic"/>
          <w:color w:val="auto"/>
          <w:sz w:val="28"/>
          <w:szCs w:val="28"/>
        </w:rPr>
        <w:t>.</w:t>
      </w:r>
    </w:p>
    <w:p w14:paraId="0A97C376"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غياب الربط بين التقنية ورؤية 2030</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معظم الدراسات السابقة لم تربط بشكل مباشر بين تبني تقنية الترميز وتحقيق أهداف رؤية المملكة 2030، خاصة فيما يتعلق بتطوير القطاع المالي وزيادة نسبة المعاملات غير النقدية</w:t>
      </w:r>
      <w:r w:rsidRPr="0072768E">
        <w:rPr>
          <w:rFonts w:ascii="Simplified Arabic" w:hAnsi="Simplified Arabic" w:cs="Simplified Arabic"/>
          <w:color w:val="auto"/>
          <w:sz w:val="28"/>
          <w:szCs w:val="28"/>
        </w:rPr>
        <w:t>.</w:t>
      </w:r>
    </w:p>
    <w:p w14:paraId="7B3243D4"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التركيز على نوع محدد من المؤسسات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غالبية الدراسات السابقة ركزت على البنوك التقليدية دون شمول البنوك الرقمية وشركات التقنية المالية التي تلعب دوراً متزايد الأهمية في القطاع المالي السعودي</w:t>
      </w:r>
      <w:r w:rsidRPr="0072768E">
        <w:rPr>
          <w:rFonts w:ascii="Simplified Arabic" w:hAnsi="Simplified Arabic" w:cs="Simplified Arabic"/>
          <w:color w:val="auto"/>
          <w:sz w:val="28"/>
          <w:szCs w:val="28"/>
        </w:rPr>
        <w:t>.</w:t>
      </w:r>
    </w:p>
    <w:p w14:paraId="52612489"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غياب نموذج متكامل للتقييم</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لم تقدم الدراسات السابقة نموذجاً متكاملاً لتقييم تأثير تقنية الترميز على القطاع المالي السعودي يمكن استخدامه من قبل المؤسسات المالية والجهات التنظيمية</w:t>
      </w:r>
      <w:r w:rsidRPr="0072768E">
        <w:rPr>
          <w:rFonts w:ascii="Simplified Arabic" w:hAnsi="Simplified Arabic" w:cs="Simplified Arabic"/>
          <w:color w:val="auto"/>
          <w:sz w:val="28"/>
          <w:szCs w:val="28"/>
        </w:rPr>
        <w:t>.</w:t>
      </w:r>
    </w:p>
    <w:p w14:paraId="73C373CF"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عدم تحليل المتغيرات الوسيطة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معظم الدراسات السابقة لم تتناول تأثير المتغيرات الوسيطة مثل حجم المؤسسة ونوعها ومستوى نضجها الرقمي على العلاقة بين تبني تقنية الترميز والمتغيرات التابعة</w:t>
      </w:r>
      <w:r w:rsidRPr="0072768E">
        <w:rPr>
          <w:rFonts w:ascii="Simplified Arabic" w:hAnsi="Simplified Arabic" w:cs="Simplified Arabic"/>
          <w:color w:val="auto"/>
          <w:sz w:val="28"/>
          <w:szCs w:val="28"/>
        </w:rPr>
        <w:t>.</w:t>
      </w:r>
    </w:p>
    <w:p w14:paraId="2C3EB673" w14:textId="77777777" w:rsidR="0044728A" w:rsidRPr="0072768E" w:rsidRDefault="0044728A" w:rsidP="0044728A">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وتتمثل الإضافة العلمية للدراسة الحالية في النقاط التالية</w:t>
      </w:r>
      <w:r w:rsidRPr="0072768E">
        <w:rPr>
          <w:rFonts w:ascii="Simplified Arabic" w:hAnsi="Simplified Arabic" w:cs="Simplified Arabic"/>
          <w:color w:val="auto"/>
          <w:sz w:val="28"/>
          <w:szCs w:val="28"/>
        </w:rPr>
        <w:t>:</w:t>
      </w:r>
    </w:p>
    <w:p w14:paraId="7CEA2321"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تقديم نموذج متكامل</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تقدم الدراسة الحالية نموذجاً متكاملاً لتقييم تأثير تقنية الترميز على القطاع المالي السعودي، مع التركيز على دورها في تحقيق أهداف رؤية المملكة 2030</w:t>
      </w:r>
      <w:r w:rsidRPr="0072768E">
        <w:rPr>
          <w:rFonts w:ascii="Simplified Arabic" w:hAnsi="Simplified Arabic" w:cs="Simplified Arabic"/>
          <w:color w:val="auto"/>
          <w:sz w:val="28"/>
          <w:szCs w:val="28"/>
        </w:rPr>
        <w:t>.</w:t>
      </w:r>
    </w:p>
    <w:p w14:paraId="3D52A286"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الجمع بين الجوانب المختلفة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تجمع الدراسة بين الجوانب الأمنية والتشغيلية والاستراتيجية لتقنية الترميز في سياق واحد، وهو ما لم تتناوله الدراسات السابقة بشكل كافٍ</w:t>
      </w:r>
      <w:r w:rsidRPr="0072768E">
        <w:rPr>
          <w:rFonts w:ascii="Simplified Arabic" w:hAnsi="Simplified Arabic" w:cs="Simplified Arabic"/>
          <w:color w:val="auto"/>
          <w:sz w:val="28"/>
          <w:szCs w:val="28"/>
        </w:rPr>
        <w:t>.</w:t>
      </w:r>
    </w:p>
    <w:p w14:paraId="2631BA22"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شمولية العينة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تشمل الدراسة عينة متنوعة من المؤسسات المالية السعودية تتضمن البنوك التقليدية والرقمية وشركات التقنية المالية، مما يتيح فهماً أشمل لواقع تبني تقنية الترميز في القطاع المالي السعودي</w:t>
      </w:r>
      <w:r w:rsidRPr="0072768E">
        <w:rPr>
          <w:rFonts w:ascii="Simplified Arabic" w:hAnsi="Simplified Arabic" w:cs="Simplified Arabic" w:hint="cs"/>
          <w:color w:val="auto"/>
          <w:sz w:val="28"/>
          <w:szCs w:val="28"/>
          <w:rtl/>
        </w:rPr>
        <w:t>.</w:t>
      </w:r>
    </w:p>
    <w:p w14:paraId="5CBE80D1"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المتغيرات الوسيطة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تتناول الدراسة تأثير المتغيرات الوسيطة على العلاقة بين تبني تقنية الترميز والمتغيرات التابعة، مما يساهم في فهم أعمق للعوامل المؤثرة في نجاح تطبيق هذه التقنية في مختلف أنواع وأحجام المؤسسات المالية</w:t>
      </w:r>
      <w:r w:rsidRPr="0072768E">
        <w:rPr>
          <w:rFonts w:ascii="Simplified Arabic" w:hAnsi="Simplified Arabic" w:cs="Simplified Arabic"/>
          <w:color w:val="auto"/>
          <w:sz w:val="28"/>
          <w:szCs w:val="28"/>
        </w:rPr>
        <w:t>.</w:t>
      </w:r>
    </w:p>
    <w:p w14:paraId="1360C34C"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المنهجية المختلطة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تعتمد الدراسة على منهجية مختلطة تجمع بين الأساليب الكمية والنوعية، مما يتيح فهماً أكثر شمولاً وعمقاً لموضوع الدراسة مقارنة بالدراسات السابقة التي اعتمدت على منهجية واحدة</w:t>
      </w:r>
      <w:r w:rsidRPr="0072768E">
        <w:rPr>
          <w:rFonts w:ascii="Simplified Arabic" w:hAnsi="Simplified Arabic" w:cs="Simplified Arabic"/>
          <w:color w:val="auto"/>
          <w:sz w:val="28"/>
          <w:szCs w:val="28"/>
        </w:rPr>
        <w:t>.</w:t>
      </w:r>
    </w:p>
    <w:p w14:paraId="0230E745"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تقديم توصيات عملية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تقدم الدراسة توصيات عملية للجهات التنظيمية والمؤسسات المالية حول كيفية تبني تقنية الترميز بفعالية لتعزيز الأمن السيبراني وتحسين كفاءة العمليات المالية بما يتماشى مع أهداف رؤية 2030</w:t>
      </w:r>
      <w:r w:rsidRPr="0072768E">
        <w:rPr>
          <w:rFonts w:ascii="Simplified Arabic" w:hAnsi="Simplified Arabic" w:cs="Simplified Arabic"/>
          <w:color w:val="auto"/>
          <w:sz w:val="28"/>
          <w:szCs w:val="28"/>
        </w:rPr>
        <w:t>.</w:t>
      </w:r>
    </w:p>
    <w:p w14:paraId="2924FF6F"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التوقيت الاستراتيجي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تأتي الدراسة في توقيت استراتيجي مع اقتراب منتصف المدة الزمنية لرؤية 2030، مما يتيح تقييم ما تم إنجازه وما يجب التركيز عليه في النصف الثاني من الفترة المحددة لتحقيق الرؤية</w:t>
      </w:r>
      <w:r w:rsidRPr="0072768E">
        <w:rPr>
          <w:rFonts w:ascii="Simplified Arabic" w:hAnsi="Simplified Arabic" w:cs="Simplified Arabic"/>
          <w:color w:val="auto"/>
          <w:sz w:val="28"/>
          <w:szCs w:val="28"/>
        </w:rPr>
        <w:t>.</w:t>
      </w:r>
    </w:p>
    <w:p w14:paraId="0B68161A" w14:textId="38950E46" w:rsidR="0044728A" w:rsidRPr="0072768E" w:rsidRDefault="0044728A" w:rsidP="0044728A">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من خلال سد هذه الفجوات البحثية، تقدم الدراسة الحالية إضافة علمية قيمة للمكتبة العربية في مجال التكنولوجيا المالية والأمن السيبراني، وتوفر إطاراً مرجعياً يمكن الاستناد إليه في الدراسات المستقبلية والتطبيقات العملية في القطاع المالي السعودي</w:t>
      </w:r>
      <w:r w:rsidRPr="0072768E">
        <w:rPr>
          <w:rFonts w:ascii="Simplified Arabic" w:hAnsi="Simplified Arabic" w:cs="Simplified Arabic" w:hint="cs"/>
          <w:color w:val="auto"/>
          <w:sz w:val="28"/>
          <w:szCs w:val="28"/>
          <w:rtl/>
        </w:rPr>
        <w:t>.</w:t>
      </w:r>
    </w:p>
    <w:p w14:paraId="58EDE84B" w14:textId="77777777" w:rsidR="00834851" w:rsidRPr="0072768E" w:rsidRDefault="00834851" w:rsidP="00834851">
      <w:pPr>
        <w:bidi/>
        <w:rPr>
          <w:rtl/>
        </w:rPr>
      </w:pPr>
    </w:p>
    <w:p w14:paraId="14F484AD" w14:textId="77777777" w:rsidR="00834851" w:rsidRPr="0072768E" w:rsidRDefault="00834851" w:rsidP="00834851">
      <w:pPr>
        <w:bidi/>
        <w:rPr>
          <w:rtl/>
        </w:rPr>
      </w:pPr>
    </w:p>
    <w:p w14:paraId="20370FAF" w14:textId="77777777" w:rsidR="00834851" w:rsidRPr="0072768E" w:rsidRDefault="00834851" w:rsidP="00834851">
      <w:pPr>
        <w:bidi/>
        <w:rPr>
          <w:rtl/>
        </w:rPr>
      </w:pPr>
    </w:p>
    <w:p w14:paraId="670EFD9C" w14:textId="77777777" w:rsidR="00834851" w:rsidRPr="0072768E" w:rsidRDefault="00834851" w:rsidP="00834851">
      <w:pPr>
        <w:bidi/>
        <w:rPr>
          <w:rtl/>
        </w:rPr>
      </w:pPr>
    </w:p>
    <w:p w14:paraId="59BBA661" w14:textId="42104647" w:rsidR="00AD783C" w:rsidRPr="0072768E" w:rsidRDefault="00AD783C" w:rsidP="00834851">
      <w:pPr>
        <w:pStyle w:val="Heading1"/>
        <w:numPr>
          <w:ilvl w:val="0"/>
          <w:numId w:val="0"/>
        </w:numPr>
        <w:bidi/>
        <w:ind w:left="432" w:hanging="432"/>
        <w:rPr>
          <w:rFonts w:ascii="Simplified Arabic" w:hAnsi="Simplified Arabic" w:cs="Simplified Arabic"/>
          <w:b/>
          <w:bCs/>
          <w:color w:val="auto"/>
          <w:sz w:val="28"/>
          <w:szCs w:val="28"/>
          <w:u w:val="single"/>
        </w:rPr>
      </w:pPr>
      <w:bookmarkStart w:id="78" w:name="_Toc224563939"/>
      <w:bookmarkStart w:id="79" w:name="_Toc224563996"/>
      <w:r w:rsidRPr="0072768E">
        <w:rPr>
          <w:rFonts w:ascii="Simplified Arabic" w:hAnsi="Simplified Arabic" w:cs="Simplified Arabic"/>
          <w:b/>
          <w:bCs/>
          <w:color w:val="auto"/>
          <w:sz w:val="28"/>
          <w:szCs w:val="28"/>
          <w:u w:val="single"/>
          <w:rtl/>
        </w:rPr>
        <w:lastRenderedPageBreak/>
        <w:t>مصطلحات الدراسة وتعريفاتها الإجرائية</w:t>
      </w:r>
      <w:bookmarkEnd w:id="78"/>
      <w:bookmarkEnd w:id="79"/>
    </w:p>
    <w:p w14:paraId="69ADC6CE" w14:textId="1E8733A2" w:rsidR="00DA2FBD" w:rsidRPr="0072768E" w:rsidRDefault="00DA2FBD" w:rsidP="00834851">
      <w:pPr>
        <w:pStyle w:val="Heading2"/>
        <w:bidi/>
        <w:spacing w:before="0" w:after="120" w:line="276" w:lineRule="auto"/>
        <w:jc w:val="both"/>
        <w:rPr>
          <w:color w:val="auto"/>
          <w:rtl/>
        </w:rPr>
      </w:pPr>
      <w:r w:rsidRPr="0072768E">
        <w:rPr>
          <w:rFonts w:ascii="Simplified Arabic" w:hAnsi="Simplified Arabic" w:cs="Simplified Arabic"/>
          <w:color w:val="auto"/>
          <w:sz w:val="28"/>
          <w:szCs w:val="28"/>
          <w:rtl/>
        </w:rPr>
        <w:t>تتناول هذه الدراسة مجموعة من المصطلحات والمفاهيم الأساسية المرتبطة بموضوع البحث، وفيما يلي تعريف لهذه المصطلحات من الناحيتين الاصطلاحية والإجرائية</w:t>
      </w:r>
      <w:r w:rsidRPr="0072768E">
        <w:rPr>
          <w:rFonts w:ascii="Simplified Arabic" w:hAnsi="Simplified Arabic" w:cs="Simplified Arabic"/>
          <w:color w:val="auto"/>
          <w:sz w:val="28"/>
          <w:szCs w:val="28"/>
        </w:rPr>
        <w:t>:</w:t>
      </w:r>
    </w:p>
    <w:p w14:paraId="228E2DE2"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الترمي</w:t>
      </w:r>
      <w:r w:rsidR="00FC3D33" w:rsidRPr="0072768E">
        <w:rPr>
          <w:rFonts w:ascii="Simplified Arabic" w:hAnsi="Simplified Arabic" w:cs="Simplified Arabic" w:hint="cs"/>
          <w:b/>
          <w:bCs/>
          <w:color w:val="auto"/>
          <w:sz w:val="28"/>
          <w:szCs w:val="28"/>
          <w:rtl/>
        </w:rPr>
        <w:t xml:space="preserve">ز </w:t>
      </w:r>
      <w:r w:rsidRPr="0072768E">
        <w:rPr>
          <w:rFonts w:ascii="Simplified Arabic" w:hAnsi="Simplified Arabic" w:cs="Simplified Arabic"/>
          <w:b/>
          <w:bCs/>
          <w:color w:val="auto"/>
          <w:sz w:val="28"/>
          <w:szCs w:val="28"/>
        </w:rPr>
        <w:t>(Tokenization)</w:t>
      </w:r>
      <w:r w:rsidR="00FC3D33" w:rsidRPr="0072768E">
        <w:rPr>
          <w:rFonts w:ascii="Simplified Arabic" w:hAnsi="Simplified Arabic" w:cs="Simplified Arabic" w:hint="cs"/>
          <w:b/>
          <w:bCs/>
          <w:color w:val="auto"/>
          <w:sz w:val="28"/>
          <w:szCs w:val="28"/>
          <w:rtl/>
        </w:rPr>
        <w:t>:</w:t>
      </w:r>
    </w:p>
    <w:p w14:paraId="0B74D128" w14:textId="77C08086" w:rsidR="00F21814" w:rsidRPr="0072768E" w:rsidRDefault="00F21814" w:rsidP="00F218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002E3203"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يُعرّف الترميز اصطلاحاً بأنه عملية استبدال البيانات الحساسة برموز رقمية فريدة تحافظ على قيمة البيانات الأصلية وسلامتها دون الكشف عنها، بهدف تعزيز الأمن وتحسين الكفاءة</w:t>
      </w:r>
      <w:r w:rsidRPr="0072768E">
        <w:rPr>
          <w:rFonts w:ascii="Simplified Arabic" w:hAnsi="Simplified Arabic" w:cs="Simplified Arabic"/>
          <w:color w:val="auto"/>
          <w:sz w:val="28"/>
          <w:szCs w:val="28"/>
        </w:rPr>
        <w:t xml:space="preserve"> (Payment Card Industry Data Security Standard [PCI DSS], 2022). </w:t>
      </w:r>
      <w:r w:rsidRPr="0072768E">
        <w:rPr>
          <w:rFonts w:ascii="Simplified Arabic" w:hAnsi="Simplified Arabic" w:cs="Simplified Arabic"/>
          <w:color w:val="auto"/>
          <w:sz w:val="28"/>
          <w:szCs w:val="28"/>
          <w:rtl/>
        </w:rPr>
        <w:t>كما تعرفه المنظمة الدولية للتوحيد القياسي</w:t>
      </w:r>
      <w:r w:rsidRPr="0072768E">
        <w:rPr>
          <w:rFonts w:ascii="Simplified Arabic" w:hAnsi="Simplified Arabic" w:cs="Simplified Arabic"/>
          <w:color w:val="auto"/>
          <w:sz w:val="28"/>
          <w:szCs w:val="28"/>
        </w:rPr>
        <w:t xml:space="preserve"> (ISO) </w:t>
      </w:r>
      <w:r w:rsidRPr="0072768E">
        <w:rPr>
          <w:rFonts w:ascii="Simplified Arabic" w:hAnsi="Simplified Arabic" w:cs="Simplified Arabic"/>
          <w:color w:val="auto"/>
          <w:sz w:val="28"/>
          <w:szCs w:val="28"/>
          <w:rtl/>
        </w:rPr>
        <w:t>بأنه "عملية استبدال المعلومات الحساسة بقيمة رمزية غير حساسة تشير إلى البيانات الأصلية دون الكشف عنها</w:t>
      </w:r>
      <w:r w:rsidRPr="0072768E">
        <w:rPr>
          <w:rFonts w:ascii="Simplified Arabic" w:hAnsi="Simplified Arabic" w:cs="Simplified Arabic"/>
          <w:color w:val="auto"/>
          <w:sz w:val="28"/>
          <w:szCs w:val="28"/>
        </w:rPr>
        <w:t>" (ISO 20022, 2022).</w:t>
      </w:r>
    </w:p>
    <w:p w14:paraId="1B889F16" w14:textId="3E0FD5A6" w:rsidR="00F21814" w:rsidRPr="0072768E" w:rsidRDefault="00F21814" w:rsidP="00F218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002E3203"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يُعرّف الترميز إجرائياً في هذه الدراسة بأنه مدى استخدام المؤسسات المالية السعودية لتقنية استبدال المعلومات المالية والشخصية الحساسة برموز رقمية فريدة، ويقاس من خلال مستوى تبني مختلف أنواع الترميز (ترميز البيانات الحساسة، ترميز المدفوعات، ترميز الأصول، الترميز غير القابل للاستبدال) باستخدام مقياس ليكرت الخماسي في استبانة الدراسة، بالإضافة إلى المؤشرات الكمية مثل نسبة البيانات والمعاملات المرمزة من إجمالي البيانات والمعاملات</w:t>
      </w:r>
      <w:r w:rsidRPr="0072768E">
        <w:rPr>
          <w:rFonts w:ascii="Simplified Arabic" w:hAnsi="Simplified Arabic" w:cs="Simplified Arabic"/>
          <w:color w:val="auto"/>
          <w:sz w:val="28"/>
          <w:szCs w:val="28"/>
        </w:rPr>
        <w:t>.</w:t>
      </w:r>
    </w:p>
    <w:p w14:paraId="354879AC" w14:textId="6A81C2D3"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ترميز البيانات الحساسة</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(Sensitive Data Tokenization)</w:t>
      </w:r>
      <w:r w:rsidR="00FC3D33" w:rsidRPr="0072768E">
        <w:rPr>
          <w:rFonts w:ascii="Simplified Arabic" w:hAnsi="Simplified Arabic" w:cs="Simplified Arabic" w:hint="cs"/>
          <w:b/>
          <w:bCs/>
          <w:color w:val="auto"/>
          <w:sz w:val="28"/>
          <w:szCs w:val="28"/>
          <w:rtl/>
        </w:rPr>
        <w:t xml:space="preserve">: </w:t>
      </w:r>
    </w:p>
    <w:p w14:paraId="11F1C607" w14:textId="32E5A827" w:rsidR="0041700F" w:rsidRPr="0072768E" w:rsidRDefault="0041700F" w:rsidP="002E3203">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التعريف الاصطلاحي</w:t>
      </w:r>
      <w:r w:rsidR="002E320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يُعرّف اصطلاحاً بأنه استبدال البيانات الحساسة مثل أرقام بطاقات الائتمان وبيانات العملاء الشخصية والمعلومات المالية برموز رقمية فريدة بهدف حماية هذه البيانات من السرقة والاختراق</w:t>
      </w:r>
      <w:r w:rsidRPr="0072768E">
        <w:rPr>
          <w:rFonts w:ascii="Simplified Arabic" w:eastAsiaTheme="majorEastAsia" w:hAnsi="Simplified Arabic" w:cs="Simplified Arabic"/>
          <w:sz w:val="28"/>
          <w:szCs w:val="28"/>
        </w:rPr>
        <w:t xml:space="preserve"> (National Institute of Standards and Technology [NIST], 2023). </w:t>
      </w:r>
      <w:r w:rsidRPr="0072768E">
        <w:rPr>
          <w:rFonts w:ascii="Simplified Arabic" w:eastAsiaTheme="majorEastAsia" w:hAnsi="Simplified Arabic" w:cs="Simplified Arabic"/>
          <w:sz w:val="28"/>
          <w:szCs w:val="28"/>
          <w:rtl/>
        </w:rPr>
        <w:t>ويشير تعريف</w:t>
      </w:r>
      <w:r w:rsidRPr="0072768E">
        <w:rPr>
          <w:rFonts w:ascii="Simplified Arabic" w:eastAsiaTheme="majorEastAsia" w:hAnsi="Simplified Arabic" w:cs="Simplified Arabic"/>
          <w:sz w:val="28"/>
          <w:szCs w:val="28"/>
        </w:rPr>
        <w:t xml:space="preserve"> Gartner (2023) </w:t>
      </w:r>
      <w:r w:rsidRPr="0072768E">
        <w:rPr>
          <w:rFonts w:ascii="Simplified Arabic" w:eastAsiaTheme="majorEastAsia" w:hAnsi="Simplified Arabic" w:cs="Simplified Arabic"/>
          <w:sz w:val="28"/>
          <w:szCs w:val="28"/>
          <w:rtl/>
        </w:rPr>
        <w:t>إلى أنه "عملية إحلال رموز غير ذات معنى محل البيانات الحساسة مع الاحتفاظ بالقيمة التجارية للبيانات</w:t>
      </w:r>
      <w:r w:rsidRPr="0072768E">
        <w:rPr>
          <w:rFonts w:ascii="Simplified Arabic" w:eastAsiaTheme="majorEastAsia" w:hAnsi="Simplified Arabic" w:cs="Simplified Arabic"/>
          <w:sz w:val="28"/>
          <w:szCs w:val="28"/>
        </w:rPr>
        <w:t>".</w:t>
      </w:r>
    </w:p>
    <w:p w14:paraId="05512EEF" w14:textId="2EB22D96" w:rsidR="0041700F" w:rsidRPr="0072768E" w:rsidRDefault="0041700F" w:rsidP="002E3203">
      <w:pPr>
        <w:bidi/>
        <w:jc w:val="both"/>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sz w:val="28"/>
          <w:szCs w:val="28"/>
          <w:rtl/>
        </w:rPr>
        <w:t>التعريف الإجرائي</w:t>
      </w:r>
      <w:r w:rsidR="002E320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 xml:space="preserve">يُعرّف إجرائياً في هذه الدراسة بأنه درجة استخدام المؤسسات المالية السعودية لتقنية الترميز في حماية بيانات العملاء والمعلومات المالية الحساسة، ويقاس من خلال مؤشرات </w:t>
      </w:r>
      <w:r w:rsidRPr="0072768E">
        <w:rPr>
          <w:rFonts w:ascii="Simplified Arabic" w:eastAsiaTheme="majorEastAsia" w:hAnsi="Simplified Arabic" w:cs="Simplified Arabic"/>
          <w:sz w:val="28"/>
          <w:szCs w:val="28"/>
          <w:rtl/>
        </w:rPr>
        <w:lastRenderedPageBreak/>
        <w:t>مثل نسبة البيانات الحساسة المرمزة، ومستوى تكامل تقنية الترميز مع أنظمة إدارة الهويات والوصول، ومستوى الامتثال لمعايير أمن البيانات كما يقيسها الاستبيان المطور لهذه الدراسة</w:t>
      </w:r>
      <w:r w:rsidRPr="0072768E">
        <w:rPr>
          <w:rFonts w:ascii="Simplified Arabic" w:eastAsiaTheme="majorEastAsia" w:hAnsi="Simplified Arabic" w:cs="Simplified Arabic"/>
          <w:sz w:val="28"/>
          <w:szCs w:val="28"/>
        </w:rPr>
        <w:t>.</w:t>
      </w:r>
    </w:p>
    <w:p w14:paraId="5D542F96" w14:textId="77777777" w:rsidR="0041700F" w:rsidRPr="0072768E" w:rsidRDefault="00A279D5" w:rsidP="0041700F">
      <w:pPr>
        <w:bidi/>
        <w:rPr>
          <w:rFonts w:ascii="Simplified Arabic" w:hAnsi="Simplified Arabic" w:cs="Simplified Arabic"/>
          <w:b/>
          <w:bCs/>
          <w:sz w:val="28"/>
          <w:szCs w:val="28"/>
          <w:rtl/>
        </w:rPr>
      </w:pPr>
      <w:r w:rsidRPr="0072768E">
        <w:rPr>
          <w:rFonts w:ascii="Simplified Arabic" w:hAnsi="Simplified Arabic" w:cs="Simplified Arabic"/>
          <w:b/>
          <w:bCs/>
          <w:sz w:val="28"/>
          <w:szCs w:val="28"/>
          <w:rtl/>
        </w:rPr>
        <w:t>ترميز المدفوعات</w:t>
      </w:r>
      <w:r w:rsidR="00FC3D33" w:rsidRPr="0072768E">
        <w:rPr>
          <w:rFonts w:ascii="Simplified Arabic" w:hAnsi="Simplified Arabic" w:cs="Simplified Arabic" w:hint="cs"/>
          <w:b/>
          <w:bCs/>
          <w:sz w:val="28"/>
          <w:szCs w:val="28"/>
          <w:rtl/>
        </w:rPr>
        <w:t xml:space="preserve"> </w:t>
      </w:r>
      <w:r w:rsidRPr="0072768E">
        <w:rPr>
          <w:rFonts w:ascii="Simplified Arabic" w:hAnsi="Simplified Arabic" w:cs="Simplified Arabic"/>
          <w:b/>
          <w:bCs/>
          <w:sz w:val="28"/>
          <w:szCs w:val="28"/>
        </w:rPr>
        <w:t>(Payment Tokenization)</w:t>
      </w:r>
      <w:r w:rsidR="00FC3D33" w:rsidRPr="0072768E">
        <w:rPr>
          <w:rFonts w:ascii="Simplified Arabic" w:hAnsi="Simplified Arabic" w:cs="Simplified Arabic" w:hint="cs"/>
          <w:b/>
          <w:bCs/>
          <w:sz w:val="28"/>
          <w:szCs w:val="28"/>
          <w:rtl/>
        </w:rPr>
        <w:t xml:space="preserve">: </w:t>
      </w:r>
    </w:p>
    <w:p w14:paraId="7D09154A" w14:textId="4A7E941E" w:rsidR="0041700F" w:rsidRPr="0072768E" w:rsidRDefault="003B18D4" w:rsidP="0041700F">
      <w:pPr>
        <w:bidi/>
        <w:jc w:val="both"/>
        <w:rPr>
          <w:rFonts w:ascii="Simplified Arabic" w:hAnsi="Simplified Arabic" w:cs="Simplified Arabic"/>
          <w:sz w:val="28"/>
          <w:szCs w:val="28"/>
          <w:rtl/>
        </w:rPr>
      </w:pPr>
      <w:r w:rsidRPr="0072768E">
        <w:rPr>
          <w:rFonts w:ascii="Simplified Arabic" w:hAnsi="Simplified Arabic" w:cs="Simplified Arabic"/>
          <w:sz w:val="28"/>
          <w:szCs w:val="28"/>
          <w:rtl/>
        </w:rPr>
        <w:t>التعريف الاصطلاحي</w:t>
      </w:r>
      <w:r w:rsidR="0041700F"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tl/>
        </w:rPr>
        <w:t xml:space="preserve">يُعرّف اصطلاحاً بأنه استبدال معلومات الدفع الحساسة مثل أرقام بطاقات الائتمان برموز رقمية فريدة أثناء معالجة المعاملات المالية </w:t>
      </w:r>
      <w:r w:rsidR="00E13189" w:rsidRPr="0072768E">
        <w:rPr>
          <w:rFonts w:ascii="Simplified Arabic" w:hAnsi="Simplified Arabic" w:cs="Simplified Arabic" w:hint="cs"/>
          <w:sz w:val="28"/>
          <w:szCs w:val="28"/>
          <w:rtl/>
        </w:rPr>
        <w:t>الإلكترونية</w:t>
      </w:r>
      <w:r w:rsidR="002E3203" w:rsidRPr="0072768E">
        <w:rPr>
          <w:rFonts w:ascii="Simplified Arabic" w:hAnsi="Simplified Arabic" w:cs="Simplified Arabic" w:hint="cs"/>
          <w:sz w:val="28"/>
          <w:szCs w:val="28"/>
          <w:rtl/>
        </w:rPr>
        <w:t xml:space="preserve"> </w:t>
      </w:r>
      <w:r w:rsidR="00E13189" w:rsidRPr="0072768E">
        <w:rPr>
          <w:rFonts w:ascii="Simplified Arabic" w:hAnsi="Simplified Arabic" w:cs="Simplified Arabic"/>
          <w:sz w:val="28"/>
          <w:szCs w:val="28"/>
        </w:rPr>
        <w:t xml:space="preserve">(International </w:t>
      </w:r>
      <w:r w:rsidR="00E13189" w:rsidRPr="0072768E">
        <w:rPr>
          <w:rFonts w:ascii="Simplified Arabic" w:hAnsi="Simplified Arabic" w:cs="Simplified Arabic" w:hint="cs"/>
          <w:sz w:val="28"/>
          <w:szCs w:val="28"/>
        </w:rPr>
        <w:t>Organization</w:t>
      </w:r>
      <w:r w:rsidRPr="0072768E">
        <w:rPr>
          <w:rFonts w:ascii="Simplified Arabic" w:hAnsi="Simplified Arabic" w:cs="Simplified Arabic"/>
          <w:sz w:val="28"/>
          <w:szCs w:val="28"/>
        </w:rPr>
        <w:t xml:space="preserve"> for Standardization [ISO], 2020).</w:t>
      </w:r>
      <w:r w:rsidR="002E3203"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tl/>
        </w:rPr>
        <w:t>وتعرفه جمعية المدفوعات العالمي</w:t>
      </w:r>
      <w:r w:rsidR="00E13189" w:rsidRPr="0072768E">
        <w:rPr>
          <w:rFonts w:ascii="Simplified Arabic" w:hAnsi="Simplified Arabic" w:cs="Simplified Arabic" w:hint="cs"/>
          <w:sz w:val="28"/>
          <w:szCs w:val="28"/>
          <w:rtl/>
        </w:rPr>
        <w:t>ة</w:t>
      </w:r>
      <w:r w:rsidR="002E3203"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Pr>
        <w:t>(Global Payments Association, 2023</w:t>
      </w:r>
      <w:r w:rsidR="00E13189" w:rsidRPr="0072768E">
        <w:rPr>
          <w:rFonts w:ascii="Simplified Arabic" w:hAnsi="Simplified Arabic" w:cs="Simplified Arabic"/>
          <w:sz w:val="28"/>
          <w:szCs w:val="28"/>
        </w:rPr>
        <w:t>)</w:t>
      </w:r>
      <w:r w:rsidR="002E3203" w:rsidRPr="0072768E">
        <w:rPr>
          <w:rFonts w:ascii="Simplified Arabic" w:hAnsi="Simplified Arabic" w:cs="Simplified Arabic" w:hint="cs"/>
          <w:sz w:val="28"/>
          <w:szCs w:val="28"/>
          <w:rtl/>
        </w:rPr>
        <w:t xml:space="preserve"> </w:t>
      </w:r>
      <w:r w:rsidR="00E13189" w:rsidRPr="0072768E">
        <w:rPr>
          <w:rFonts w:ascii="Simplified Arabic" w:hAnsi="Simplified Arabic" w:cs="Simplified Arabic" w:hint="cs"/>
          <w:sz w:val="28"/>
          <w:szCs w:val="28"/>
          <w:rtl/>
        </w:rPr>
        <w:t>بأنه</w:t>
      </w:r>
      <w:r w:rsidRPr="0072768E">
        <w:rPr>
          <w:rFonts w:ascii="Simplified Arabic" w:hAnsi="Simplified Arabic" w:cs="Simplified Arabic"/>
          <w:sz w:val="28"/>
          <w:szCs w:val="28"/>
          <w:rtl/>
        </w:rPr>
        <w:t xml:space="preserve"> "عملية استبدال بيانات حامل البطاقة برمز رقمي فريد يمكن استخدامه لإتمام المعاملة دون الكشف عن المعلومات الأصلية</w:t>
      </w:r>
      <w:r w:rsidRPr="0072768E">
        <w:rPr>
          <w:rFonts w:ascii="Simplified Arabic" w:hAnsi="Simplified Arabic" w:cs="Simplified Arabic"/>
          <w:sz w:val="28"/>
          <w:szCs w:val="28"/>
        </w:rPr>
        <w:t>"</w:t>
      </w:r>
      <w:r w:rsidR="0041700F" w:rsidRPr="0072768E">
        <w:rPr>
          <w:rFonts w:ascii="Simplified Arabic" w:hAnsi="Simplified Arabic" w:cs="Simplified Arabic" w:hint="cs"/>
          <w:sz w:val="28"/>
          <w:szCs w:val="28"/>
          <w:rtl/>
        </w:rPr>
        <w:t>.</w:t>
      </w:r>
    </w:p>
    <w:p w14:paraId="3E1A521E" w14:textId="77777777" w:rsidR="00CD417C" w:rsidRPr="0072768E" w:rsidRDefault="003B18D4" w:rsidP="00CD417C">
      <w:pPr>
        <w:bidi/>
        <w:jc w:val="both"/>
        <w:rPr>
          <w:rFonts w:ascii="Simplified Arabic" w:hAnsi="Simplified Arabic" w:cs="Simplified Arabic"/>
          <w:sz w:val="28"/>
          <w:szCs w:val="28"/>
          <w:rtl/>
        </w:rPr>
      </w:pPr>
      <w:r w:rsidRPr="0072768E">
        <w:rPr>
          <w:rFonts w:ascii="Simplified Arabic" w:hAnsi="Simplified Arabic" w:cs="Simplified Arabic"/>
          <w:sz w:val="28"/>
          <w:szCs w:val="28"/>
          <w:rtl/>
        </w:rPr>
        <w:t>التعريف الإجرائي</w:t>
      </w:r>
      <w:r w:rsidR="0041700F"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tl/>
        </w:rPr>
        <w:t>يُعرّف إجرائياً في هذه الدراسة بأنه مستوى استخدام المؤسسات المالية السعودية لتقنية الترميز في تأمين المدفوعات الإلكترونية وتحسين كفاءتها، ويقاس من خلال مؤشرات مثل نسبة المدفوعات المرمزة، ومستوى تكامل تقنية الترميز مع أنظمة المدفوعات الوطنية والعالمية، ومؤشرات وقت وتكلفة معالجة المدفوعات، باستخدام استبانة الدراسة</w:t>
      </w:r>
      <w:r w:rsidRPr="0072768E">
        <w:rPr>
          <w:rFonts w:ascii="Simplified Arabic" w:hAnsi="Simplified Arabic" w:cs="Simplified Arabic"/>
          <w:sz w:val="28"/>
          <w:szCs w:val="28"/>
        </w:rPr>
        <w:t>.</w:t>
      </w:r>
    </w:p>
    <w:p w14:paraId="51D38524" w14:textId="77777777" w:rsidR="00CD417C" w:rsidRPr="0072768E" w:rsidRDefault="00A279D5" w:rsidP="00CD417C">
      <w:pPr>
        <w:bidi/>
        <w:jc w:val="both"/>
        <w:rPr>
          <w:rFonts w:ascii="Simplified Arabic" w:hAnsi="Simplified Arabic" w:cs="Simplified Arabic"/>
          <w:b/>
          <w:bCs/>
          <w:sz w:val="28"/>
          <w:szCs w:val="28"/>
          <w:rtl/>
        </w:rPr>
      </w:pPr>
      <w:r w:rsidRPr="0072768E">
        <w:rPr>
          <w:rFonts w:ascii="Simplified Arabic" w:hAnsi="Simplified Arabic" w:cs="Simplified Arabic"/>
          <w:b/>
          <w:bCs/>
          <w:sz w:val="28"/>
          <w:szCs w:val="28"/>
          <w:rtl/>
        </w:rPr>
        <w:t>ترميز الأصول</w:t>
      </w:r>
      <w:r w:rsidR="00FC3D33" w:rsidRPr="0072768E">
        <w:rPr>
          <w:rFonts w:ascii="Simplified Arabic" w:hAnsi="Simplified Arabic" w:cs="Simplified Arabic" w:hint="cs"/>
          <w:b/>
          <w:bCs/>
          <w:sz w:val="28"/>
          <w:szCs w:val="28"/>
          <w:rtl/>
        </w:rPr>
        <w:t xml:space="preserve"> </w:t>
      </w:r>
      <w:r w:rsidRPr="0072768E">
        <w:rPr>
          <w:rFonts w:ascii="Simplified Arabic" w:hAnsi="Simplified Arabic" w:cs="Simplified Arabic"/>
          <w:b/>
          <w:bCs/>
          <w:sz w:val="28"/>
          <w:szCs w:val="28"/>
        </w:rPr>
        <w:t>(Asset Tokenization)</w:t>
      </w:r>
      <w:r w:rsidR="00FC3D33" w:rsidRPr="0072768E">
        <w:rPr>
          <w:rFonts w:ascii="Simplified Arabic" w:hAnsi="Simplified Arabic" w:cs="Simplified Arabic" w:hint="cs"/>
          <w:b/>
          <w:bCs/>
          <w:sz w:val="28"/>
          <w:szCs w:val="28"/>
          <w:rtl/>
        </w:rPr>
        <w:t xml:space="preserve">: </w:t>
      </w:r>
    </w:p>
    <w:p w14:paraId="6D2C578C" w14:textId="77777777" w:rsidR="00CD417C" w:rsidRPr="0072768E" w:rsidRDefault="003B18D4" w:rsidP="00CD417C">
      <w:pPr>
        <w:bidi/>
        <w:jc w:val="both"/>
        <w:rPr>
          <w:rFonts w:ascii="Simplified Arabic" w:hAnsi="Simplified Arabic" w:cs="Simplified Arabic"/>
          <w:sz w:val="28"/>
          <w:szCs w:val="28"/>
          <w:rtl/>
        </w:rPr>
      </w:pPr>
      <w:r w:rsidRPr="0072768E">
        <w:rPr>
          <w:rFonts w:ascii="Simplified Arabic" w:hAnsi="Simplified Arabic" w:cs="Simplified Arabic"/>
          <w:sz w:val="28"/>
          <w:szCs w:val="28"/>
          <w:rtl/>
        </w:rPr>
        <w:t>التعريف الاصطلاحي</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يُعرّف اصطلاحاً بأنه تحويل الأصول المالية التقليدية مثل الأسهم والسندات والعقارات إلى رموز رقمية يمكن تداولها على منصات سلسلة الكتل</w:t>
      </w:r>
      <w:r w:rsidRPr="0072768E">
        <w:rPr>
          <w:rFonts w:ascii="Simplified Arabic" w:hAnsi="Simplified Arabic" w:cs="Simplified Arabic"/>
          <w:sz w:val="28"/>
          <w:szCs w:val="28"/>
        </w:rPr>
        <w:t xml:space="preserve"> (World Economic Forum [WEF], 2023). </w:t>
      </w:r>
      <w:r w:rsidRPr="0072768E">
        <w:rPr>
          <w:rFonts w:ascii="Simplified Arabic" w:hAnsi="Simplified Arabic" w:cs="Simplified Arabic"/>
          <w:sz w:val="28"/>
          <w:szCs w:val="28"/>
          <w:rtl/>
        </w:rPr>
        <w:t>ويعرفه البنك الدولي</w:t>
      </w:r>
      <w:r w:rsidRPr="0072768E">
        <w:rPr>
          <w:rFonts w:ascii="Simplified Arabic" w:hAnsi="Simplified Arabic" w:cs="Simplified Arabic"/>
          <w:sz w:val="28"/>
          <w:szCs w:val="28"/>
        </w:rPr>
        <w:t xml:space="preserve"> (World Bank, 2022) </w:t>
      </w:r>
      <w:r w:rsidRPr="0072768E">
        <w:rPr>
          <w:rFonts w:ascii="Simplified Arabic" w:hAnsi="Simplified Arabic" w:cs="Simplified Arabic"/>
          <w:sz w:val="28"/>
          <w:szCs w:val="28"/>
          <w:rtl/>
        </w:rPr>
        <w:t>بأنه "عملية تمثيل رقمي للأصول المادية أو المالية التقليدية على شكل رموز رقمية على منصة لامركزية، مما يسمح بتجزئة ملكية الأصل وتداوله بكفاءة أعلى وتكلفة أقل</w:t>
      </w:r>
      <w:r w:rsidRPr="0072768E">
        <w:rPr>
          <w:rFonts w:ascii="Simplified Arabic" w:hAnsi="Simplified Arabic" w:cs="Simplified Arabic"/>
          <w:sz w:val="28"/>
          <w:szCs w:val="28"/>
        </w:rPr>
        <w:t>".</w:t>
      </w:r>
    </w:p>
    <w:p w14:paraId="599A995A" w14:textId="045C8A25" w:rsidR="003B18D4" w:rsidRPr="0072768E" w:rsidRDefault="003B18D4" w:rsidP="00CD417C">
      <w:p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التعريف الإجرائي</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يُعرّف إجرائياً في هذه الدراسة بأنه مستوى استخدام المؤسسات المالية السعودية لتقنية الترميز في تمثيل الأصول المالية التقليدية في صورة رقمية، ويقاس من خلال مؤشرات مثل نسبة الأصول المرمزة، وتنوع الأصول المرمزة، ومستوى تكامل تقنية الترميز مع منصات التداول والتسوية، باستخدام استبانة الدراسة</w:t>
      </w:r>
      <w:r w:rsidRPr="0072768E">
        <w:rPr>
          <w:rFonts w:ascii="Simplified Arabic" w:hAnsi="Simplified Arabic" w:cs="Simplified Arabic"/>
          <w:sz w:val="28"/>
          <w:szCs w:val="28"/>
        </w:rPr>
        <w:t>.</w:t>
      </w:r>
    </w:p>
    <w:p w14:paraId="35B73CA1"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الترميز غير القابل للاستبدال</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(Non-Fungible Tokenization)</w:t>
      </w:r>
      <w:r w:rsidR="00FC3D33" w:rsidRPr="0072768E">
        <w:rPr>
          <w:rFonts w:ascii="Simplified Arabic" w:hAnsi="Simplified Arabic" w:cs="Simplified Arabic" w:hint="cs"/>
          <w:b/>
          <w:bCs/>
          <w:color w:val="auto"/>
          <w:sz w:val="28"/>
          <w:szCs w:val="28"/>
          <w:rtl/>
        </w:rPr>
        <w:t xml:space="preserve">: </w:t>
      </w:r>
    </w:p>
    <w:p w14:paraId="22E3E3A3"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إنشاء رموز رقمية فريدة غير قابلة للاستبدال لتمثيل الأصول الفريدة مثل الأعمال الفنية والملكية الفكرية</w:t>
      </w:r>
      <w:r w:rsidRPr="0072768E">
        <w:rPr>
          <w:rFonts w:ascii="Simplified Arabic" w:hAnsi="Simplified Arabic" w:cs="Simplified Arabic"/>
          <w:color w:val="auto"/>
          <w:sz w:val="28"/>
          <w:szCs w:val="28"/>
        </w:rPr>
        <w:t xml:space="preserve"> (Ethereum Foundation, 2024). </w:t>
      </w:r>
      <w:r w:rsidRPr="0072768E">
        <w:rPr>
          <w:rFonts w:ascii="Simplified Arabic" w:hAnsi="Simplified Arabic" w:cs="Simplified Arabic"/>
          <w:color w:val="auto"/>
          <w:sz w:val="28"/>
          <w:szCs w:val="28"/>
          <w:rtl/>
        </w:rPr>
        <w:t>ويعرفه قاموس أكسفورد للتقنيات المالية</w:t>
      </w:r>
      <w:r w:rsidRPr="0072768E">
        <w:rPr>
          <w:rFonts w:ascii="Simplified Arabic" w:hAnsi="Simplified Arabic" w:cs="Simplified Arabic"/>
          <w:color w:val="auto"/>
          <w:sz w:val="28"/>
          <w:szCs w:val="28"/>
        </w:rPr>
        <w:t xml:space="preserve"> (Oxford FinTech Dictionary, 2023) </w:t>
      </w:r>
      <w:r w:rsidRPr="0072768E">
        <w:rPr>
          <w:rFonts w:ascii="Simplified Arabic" w:hAnsi="Simplified Arabic" w:cs="Simplified Arabic"/>
          <w:color w:val="auto"/>
          <w:sz w:val="28"/>
          <w:szCs w:val="28"/>
          <w:rtl/>
        </w:rPr>
        <w:t>بأنه "رمز رقمي فريد لا يمكن استبداله بآخر، يمثل ملكية أصل فريد أو محتوى رقمي، ويستخدم تقنية البلوكتشين لتوثيق الملكية والأصالة</w:t>
      </w:r>
      <w:r w:rsidRPr="0072768E">
        <w:rPr>
          <w:rFonts w:ascii="Simplified Arabic" w:hAnsi="Simplified Arabic" w:cs="Simplified Arabic"/>
          <w:color w:val="auto"/>
          <w:sz w:val="28"/>
          <w:szCs w:val="28"/>
        </w:rPr>
        <w:t>".</w:t>
      </w:r>
    </w:p>
    <w:p w14:paraId="1BA0AB53"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استخدام المؤسسات المالية السعودية لتقنية الترميز في تمثيل الأصول الفريدة غير القابلة للاستبدال، ويقاس من خلال مؤشرات مثل عدد الرموز غير القابلة للاستبدال التي أصدرتها المؤسسة، وتنوع الأصول الممثلة بهذه الرموز، ومستوى تكامل تقنية الترميز مع منصات التداول الخاصة بالرموز غير القابلة للاستبدال، باستخدام استبانة الدراسة</w:t>
      </w:r>
      <w:r w:rsidRPr="0072768E">
        <w:rPr>
          <w:rFonts w:ascii="Simplified Arabic" w:hAnsi="Simplified Arabic" w:cs="Simplified Arabic"/>
          <w:color w:val="auto"/>
          <w:sz w:val="28"/>
          <w:szCs w:val="28"/>
        </w:rPr>
        <w:t>.</w:t>
      </w:r>
    </w:p>
    <w:p w14:paraId="6F9B88FD"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الأمن السيبراني</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(Cybersecurity)</w:t>
      </w:r>
      <w:r w:rsidR="00FC3D33" w:rsidRPr="0072768E">
        <w:rPr>
          <w:rFonts w:ascii="Simplified Arabic" w:hAnsi="Simplified Arabic" w:cs="Simplified Arabic" w:hint="cs"/>
          <w:b/>
          <w:bCs/>
          <w:color w:val="auto"/>
          <w:sz w:val="28"/>
          <w:szCs w:val="28"/>
          <w:rtl/>
        </w:rPr>
        <w:t xml:space="preserve">: </w:t>
      </w:r>
    </w:p>
    <w:p w14:paraId="041235C0"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مجموعة من التدابير والإجراءات والتقنيات التي تهدف إلى حماية الأنظمة والشبكات والبرامج من الهجمات الرقمية (الهيئة الوطنية للأمن السيبراني، 2022). كما يعرفه المعيار الدولي</w:t>
      </w:r>
      <w:r w:rsidRPr="0072768E">
        <w:rPr>
          <w:rFonts w:ascii="Simplified Arabic" w:hAnsi="Simplified Arabic" w:cs="Simplified Arabic"/>
          <w:color w:val="auto"/>
          <w:sz w:val="28"/>
          <w:szCs w:val="28"/>
        </w:rPr>
        <w:t xml:space="preserve"> (ISO/IEC 27032, 2023) </w:t>
      </w:r>
      <w:r w:rsidRPr="0072768E">
        <w:rPr>
          <w:rFonts w:ascii="Simplified Arabic" w:hAnsi="Simplified Arabic" w:cs="Simplified Arabic"/>
          <w:color w:val="auto"/>
          <w:sz w:val="28"/>
          <w:szCs w:val="28"/>
          <w:rtl/>
        </w:rPr>
        <w:t>بأنه "حماية سلامة وسرية وتوافر المعلومات في الفضاء الإلكتروني". وتعرفه وكالة الأمن السيبراني والبنية التحتية</w:t>
      </w:r>
      <w:r w:rsidRPr="0072768E">
        <w:rPr>
          <w:rFonts w:ascii="Simplified Arabic" w:hAnsi="Simplified Arabic" w:cs="Simplified Arabic"/>
          <w:color w:val="auto"/>
          <w:sz w:val="28"/>
          <w:szCs w:val="28"/>
        </w:rPr>
        <w:t xml:space="preserve"> (CISA, 2023) </w:t>
      </w:r>
      <w:r w:rsidRPr="0072768E">
        <w:rPr>
          <w:rFonts w:ascii="Simplified Arabic" w:hAnsi="Simplified Arabic" w:cs="Simplified Arabic"/>
          <w:color w:val="auto"/>
          <w:sz w:val="28"/>
          <w:szCs w:val="28"/>
          <w:rtl/>
        </w:rPr>
        <w:t>بأنه "فن حماية الشبكات والأنظمة والبرامج من الهجمات الرقمية التي تهدف إلى الوصول غير المصرح به للبيانات أو تعطيل العمليات الرقمية</w:t>
      </w:r>
      <w:r w:rsidRPr="0072768E">
        <w:rPr>
          <w:rFonts w:ascii="Simplified Arabic" w:hAnsi="Simplified Arabic" w:cs="Simplified Arabic"/>
          <w:color w:val="auto"/>
          <w:sz w:val="28"/>
          <w:szCs w:val="28"/>
        </w:rPr>
        <w:t>".</w:t>
      </w:r>
    </w:p>
    <w:p w14:paraId="71E598BE" w14:textId="6E065172" w:rsidR="00BB33BD" w:rsidRPr="0072768E" w:rsidRDefault="00AB6C56" w:rsidP="00AB6C56">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حماية المعلومات المالية والشخصية في المؤسسات المالية السعودية، ويتم قياسه من خلال مؤشرات مثل معدل الاختراقات الأمنية (عدد الحوادث الأمنية الناجحة خلال فترة زمنية محددة)، وحوادث سرقة البيانات (عدد حالات تسرب البيانات الحساسة)، والامتثال للمعايير الأمنية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مستوى الالتزام بالمعايير المحلية والدولية مثل</w:t>
      </w:r>
      <w:r w:rsidRPr="0072768E">
        <w:rPr>
          <w:rFonts w:ascii="Simplified Arabic" w:hAnsi="Simplified Arabic" w:cs="Simplified Arabic"/>
          <w:color w:val="auto"/>
          <w:sz w:val="28"/>
          <w:szCs w:val="28"/>
        </w:rPr>
        <w:t xml:space="preserve"> ISO 27001 </w:t>
      </w:r>
      <w:r w:rsidRPr="0072768E">
        <w:rPr>
          <w:rFonts w:ascii="Simplified Arabic" w:hAnsi="Simplified Arabic" w:cs="Simplified Arabic"/>
          <w:color w:val="auto"/>
          <w:sz w:val="28"/>
          <w:szCs w:val="28"/>
          <w:rtl/>
        </w:rPr>
        <w:t>ومعايير الهيئة الوطنية للأمن السيبراني</w:t>
      </w:r>
      <w:r w:rsidRPr="0072768E">
        <w:rPr>
          <w:rFonts w:ascii="Simplified Arabic" w:hAnsi="Simplified Arabic" w:cs="Simplified Arabic"/>
          <w:color w:val="auto"/>
          <w:sz w:val="28"/>
          <w:szCs w:val="28"/>
        </w:rPr>
        <w:t>)</w:t>
      </w:r>
      <w:r w:rsidRPr="0072768E">
        <w:rPr>
          <w:rFonts w:ascii="Simplified Arabic" w:hAnsi="Simplified Arabic" w:cs="Simplified Arabic"/>
          <w:color w:val="auto"/>
          <w:sz w:val="28"/>
          <w:szCs w:val="28"/>
          <w:rtl/>
        </w:rPr>
        <w:t>، والقدرة على اكتشاف والتصدي للهجمات السيبرانية (متوسط وقت اكتشاف ومعالجة الحوادث الأمنية)، باستخدام استبانة الدراسة والبيانات الثانوية من تقارير المؤسسات</w:t>
      </w:r>
      <w:r w:rsidRPr="0072768E">
        <w:rPr>
          <w:rFonts w:ascii="Simplified Arabic" w:hAnsi="Simplified Arabic" w:cs="Simplified Arabic" w:hint="cs"/>
          <w:color w:val="auto"/>
          <w:sz w:val="28"/>
          <w:szCs w:val="28"/>
          <w:rtl/>
        </w:rPr>
        <w:t>.</w:t>
      </w:r>
    </w:p>
    <w:p w14:paraId="7CB59208"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كفاءة المعاملات المالية</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(Financial Transaction Efficiency)</w:t>
      </w:r>
      <w:r w:rsidR="00FC3D33" w:rsidRPr="0072768E">
        <w:rPr>
          <w:rFonts w:ascii="Simplified Arabic" w:hAnsi="Simplified Arabic" w:cs="Simplified Arabic" w:hint="cs"/>
          <w:b/>
          <w:bCs/>
          <w:color w:val="auto"/>
          <w:sz w:val="28"/>
          <w:szCs w:val="28"/>
          <w:rtl/>
        </w:rPr>
        <w:t xml:space="preserve">: </w:t>
      </w:r>
    </w:p>
    <w:p w14:paraId="3FE4CC4C" w14:textId="77777777" w:rsidR="00A34922"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اصطلاحاً بأنها مدى سرعة ودقة وتكلفة إجراء المعاملات المالية</w:t>
      </w:r>
      <w:r w:rsidRPr="0072768E">
        <w:rPr>
          <w:rFonts w:ascii="Simplified Arabic" w:hAnsi="Simplified Arabic" w:cs="Simplified Arabic"/>
          <w:color w:val="auto"/>
          <w:sz w:val="28"/>
          <w:szCs w:val="28"/>
        </w:rPr>
        <w:t xml:space="preserve"> (Bank for International Settlements [BIS], 2023). </w:t>
      </w:r>
      <w:r w:rsidRPr="0072768E">
        <w:rPr>
          <w:rFonts w:ascii="Simplified Arabic" w:hAnsi="Simplified Arabic" w:cs="Simplified Arabic"/>
          <w:color w:val="auto"/>
          <w:sz w:val="28"/>
          <w:szCs w:val="28"/>
          <w:rtl/>
        </w:rPr>
        <w:t>ويعرفها معهد التمويل الدولي</w:t>
      </w:r>
      <w:r w:rsidRPr="0072768E">
        <w:rPr>
          <w:rFonts w:ascii="Simplified Arabic" w:hAnsi="Simplified Arabic" w:cs="Simplified Arabic"/>
          <w:color w:val="auto"/>
          <w:sz w:val="28"/>
          <w:szCs w:val="28"/>
        </w:rPr>
        <w:t xml:space="preserve"> (Institute of International Finance, 2022) </w:t>
      </w:r>
      <w:r w:rsidRPr="0072768E">
        <w:rPr>
          <w:rFonts w:ascii="Simplified Arabic" w:hAnsi="Simplified Arabic" w:cs="Simplified Arabic"/>
          <w:color w:val="auto"/>
          <w:sz w:val="28"/>
          <w:szCs w:val="28"/>
          <w:rtl/>
        </w:rPr>
        <w:t>بأنها "قدرة النظام المالي على تنفيذ المعاملات بسرعة وتكلفة منخفضة وبأقل قدر من المخاطر</w:t>
      </w:r>
      <w:r w:rsidRPr="0072768E">
        <w:rPr>
          <w:rFonts w:ascii="Simplified Arabic" w:hAnsi="Simplified Arabic" w:cs="Simplified Arabic"/>
          <w:color w:val="auto"/>
          <w:sz w:val="28"/>
          <w:szCs w:val="28"/>
        </w:rPr>
        <w:t>".</w:t>
      </w:r>
    </w:p>
    <w:p w14:paraId="3E43BC17" w14:textId="71826F08" w:rsidR="00A279D5"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إجرائياً في هذه الدراسة بأنها مستوى سرعة ودقة وتكلفة إجراء المعاملات المالية في المؤسسات المالية السعودية، ويتم قياسها من خلال مؤشرات مثل وقت معالجة المعاملات (متوسط الوقت المستغرق لإتمام معاملة مالية من البداية إلى النهاية)، وتكلفة المعاملات (متوسط التكلفة التشغيلية لكل معاملة)، والسيولة (سرعة تحويل الأصول إلى نقد)، وتنوع المنتجات والخدمات المالية (عدد المنتجات والخدمات المالية التي تقدمها المؤسسة)، ومستوى رضا العملاء (قياس رضا العملاء عن سرعة وسهولة المعاملات المالية)، باستخدام استبانة الدراسة والبيانات الثانوية من تقارير المؤسسات</w:t>
      </w:r>
      <w:r w:rsidRPr="0072768E">
        <w:rPr>
          <w:rFonts w:ascii="Simplified Arabic" w:hAnsi="Simplified Arabic" w:cs="Simplified Arabic"/>
          <w:color w:val="auto"/>
          <w:sz w:val="28"/>
          <w:szCs w:val="28"/>
        </w:rPr>
        <w:t>.</w:t>
      </w:r>
    </w:p>
    <w:p w14:paraId="733AA1D2"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رؤية المملكة 2030</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(Vision 2030)</w:t>
      </w:r>
      <w:r w:rsidR="00FC3D33" w:rsidRPr="0072768E">
        <w:rPr>
          <w:rFonts w:ascii="Simplified Arabic" w:hAnsi="Simplified Arabic" w:cs="Simplified Arabic" w:hint="cs"/>
          <w:b/>
          <w:bCs/>
          <w:color w:val="auto"/>
          <w:sz w:val="28"/>
          <w:szCs w:val="28"/>
          <w:rtl/>
        </w:rPr>
        <w:t xml:space="preserve">: </w:t>
      </w:r>
    </w:p>
    <w:p w14:paraId="0BADCDA3" w14:textId="77777777" w:rsidR="00A34922"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اصطلاحاً بأنها خطة استراتيجية وطنية تهدف إلى تنويع الاقتصاد السعودي وتقليل الاعتماد على النفط وتطوير القطاعات الحيوية مثل الصحة والتعليم والسياحة والترفيه والبنية التحتية (مجلس الشؤون الاقتصادية والتنمية، 2016). وتشير وثيقة الرؤية إلى أنها "خارطة طريق واضحة للإصلاح الاقتصادي والتنموي في المملكة العربية السعودية، تعبر عن الأهداف والالتزامات طويلة المدى المبنية على مكامن القوة والقدرات الفريدة للمملكة</w:t>
      </w:r>
      <w:r w:rsidRPr="0072768E">
        <w:rPr>
          <w:rFonts w:ascii="Simplified Arabic" w:hAnsi="Simplified Arabic" w:cs="Simplified Arabic"/>
          <w:color w:val="auto"/>
          <w:sz w:val="28"/>
          <w:szCs w:val="28"/>
        </w:rPr>
        <w:t>".</w:t>
      </w:r>
    </w:p>
    <w:p w14:paraId="4793987E" w14:textId="0DF65EA3" w:rsidR="00A279D5"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إجرائياً في هذه الدراسة بأنها مجموعة الأهداف والمبادرات المتعلقة بالتحول الرقمي وتطوير القطاع المالي في المملكة العربية السعودية، ويتم قياس مستوى تحقيقها من خلال مؤشرات مثل نسبة المعاملات غير النقدية (النسبة المئوية للمعاملات التي تتم بوسائل إلكترونية)، ومكانة المملكة كمركز مالي إقليمي (ترتيب المملكة في المؤشرات العالمية للمراكز المالية)، ومستوى التحول الرقمي في القطاع المالي (نسبة الخدمات المالية المقدمة رقمياً)، ومؤشرات تطوير القطاع المالي (مساهمة القطاع المالي في الناتج المحلي الإجمالي، نسبة الشمول المالي)، باستخدام البيانات الثانوية من التقارير الرسمية</w:t>
      </w:r>
      <w:r w:rsidRPr="0072768E">
        <w:rPr>
          <w:rFonts w:ascii="Simplified Arabic" w:hAnsi="Simplified Arabic" w:cs="Simplified Arabic" w:hint="cs"/>
          <w:color w:val="auto"/>
          <w:sz w:val="28"/>
          <w:szCs w:val="28"/>
          <w:rtl/>
        </w:rPr>
        <w:t>.</w:t>
      </w:r>
    </w:p>
    <w:p w14:paraId="730072AD"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التحول الرقمي</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(Digital Transformation)</w:t>
      </w:r>
      <w:r w:rsidR="00FC3D33" w:rsidRPr="0072768E">
        <w:rPr>
          <w:rFonts w:ascii="Simplified Arabic" w:hAnsi="Simplified Arabic" w:cs="Simplified Arabic" w:hint="cs"/>
          <w:b/>
          <w:bCs/>
          <w:color w:val="auto"/>
          <w:sz w:val="28"/>
          <w:szCs w:val="28"/>
          <w:rtl/>
        </w:rPr>
        <w:t xml:space="preserve">: </w:t>
      </w:r>
    </w:p>
    <w:p w14:paraId="4647DA67" w14:textId="77777777" w:rsidR="00C41974" w:rsidRPr="0072768E" w:rsidRDefault="00C41974" w:rsidP="00C4197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عملية توظيف التكنولوجيا الرقمية وتبنيها في مختلف جوانب الأعمال لتحسين الأداء وزيادة القيمة وتعزيز تجربة العملاء</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برنامج التحول الوطني، 2020؛</w:t>
      </w:r>
      <w:r w:rsidRPr="0072768E">
        <w:rPr>
          <w:rFonts w:ascii="Simplified Arabic" w:hAnsi="Simplified Arabic" w:cs="Simplified Arabic"/>
          <w:color w:val="auto"/>
          <w:sz w:val="28"/>
          <w:szCs w:val="28"/>
        </w:rPr>
        <w:t xml:space="preserve"> Gartner, 2023). </w:t>
      </w:r>
      <w:r w:rsidRPr="0072768E">
        <w:rPr>
          <w:rFonts w:ascii="Simplified Arabic" w:hAnsi="Simplified Arabic" w:cs="Simplified Arabic"/>
          <w:color w:val="auto"/>
          <w:sz w:val="28"/>
          <w:szCs w:val="28"/>
          <w:rtl/>
        </w:rPr>
        <w:t>وتعرفه مؤسسة</w:t>
      </w:r>
      <w:r w:rsidRPr="0072768E">
        <w:rPr>
          <w:rFonts w:ascii="Simplified Arabic" w:hAnsi="Simplified Arabic" w:cs="Simplified Arabic"/>
          <w:color w:val="auto"/>
          <w:sz w:val="28"/>
          <w:szCs w:val="28"/>
        </w:rPr>
        <w:t xml:space="preserve"> MIT Sloan (2022) </w:t>
      </w:r>
      <w:r w:rsidRPr="0072768E">
        <w:rPr>
          <w:rFonts w:ascii="Simplified Arabic" w:hAnsi="Simplified Arabic" w:cs="Simplified Arabic"/>
          <w:color w:val="auto"/>
          <w:sz w:val="28"/>
          <w:szCs w:val="28"/>
          <w:rtl/>
        </w:rPr>
        <w:t>بأنه "عملية تكامل التقنيات الرقمية في جميع مجالات الأعمال، مما يؤدي إلى تغيير جوهري في طريقة عمل المؤسسات وتقديم قيمة للعملاء</w:t>
      </w:r>
      <w:r w:rsidRPr="0072768E">
        <w:rPr>
          <w:rFonts w:ascii="Simplified Arabic" w:hAnsi="Simplified Arabic" w:cs="Simplified Arabic"/>
          <w:color w:val="auto"/>
          <w:sz w:val="28"/>
          <w:szCs w:val="28"/>
        </w:rPr>
        <w:t>".</w:t>
      </w:r>
    </w:p>
    <w:p w14:paraId="2DCA44C9" w14:textId="39EF3A76" w:rsidR="00BB33BD" w:rsidRPr="0072768E" w:rsidRDefault="00C41974" w:rsidP="00C4197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استخدام التكنولوجيا الرقمية في المؤسسات المالية السعودية لتحسين عملياتها وخدماتها، ويقاس من خلال مؤشرات مثل نسبة العمليات المؤتمتة، ونسبة الخدمات المقدمة رقمياً، ومستوى استخدام التقنيات الحديثة مثل الذكاء الاصطناعي والبلوكتشين وإنترنت الأشياء، ومستوى النضج الرقمي للمؤسسة وفقاً لنماذج النضج الرقمي المعتمدة، باستخدام استبانة الدراسة</w:t>
      </w:r>
      <w:r w:rsidRPr="0072768E">
        <w:rPr>
          <w:rFonts w:ascii="Simplified Arabic" w:hAnsi="Simplified Arabic" w:cs="Simplified Arabic"/>
          <w:color w:val="auto"/>
          <w:sz w:val="28"/>
          <w:szCs w:val="28"/>
        </w:rPr>
        <w:t>.</w:t>
      </w:r>
    </w:p>
    <w:p w14:paraId="00766D4E"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تطوير القطاع المالي</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(Financial Sector Development)</w:t>
      </w:r>
      <w:r w:rsidR="00FC3D33" w:rsidRPr="0072768E">
        <w:rPr>
          <w:rFonts w:ascii="Simplified Arabic" w:hAnsi="Simplified Arabic" w:cs="Simplified Arabic" w:hint="cs"/>
          <w:b/>
          <w:bCs/>
          <w:color w:val="auto"/>
          <w:sz w:val="28"/>
          <w:szCs w:val="28"/>
          <w:rtl/>
        </w:rPr>
        <w:t xml:space="preserve">: </w:t>
      </w:r>
    </w:p>
    <w:p w14:paraId="1BA49F4A" w14:textId="77777777" w:rsidR="00656233" w:rsidRPr="0072768E" w:rsidRDefault="00656233" w:rsidP="00656233">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مجموعة الإجراءات والسياسات التي تهدف إلى تعزيز استقرار وكفاءة وتنافسية القطاع المالي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برنامج تطوير القطاع المالي، 2018؛</w:t>
      </w:r>
      <w:r w:rsidRPr="0072768E">
        <w:rPr>
          <w:rFonts w:ascii="Simplified Arabic" w:hAnsi="Simplified Arabic" w:cs="Simplified Arabic"/>
          <w:color w:val="auto"/>
          <w:sz w:val="28"/>
          <w:szCs w:val="28"/>
        </w:rPr>
        <w:t xml:space="preserve"> International Monetary Fund [IMF], 2022). </w:t>
      </w:r>
      <w:r w:rsidRPr="0072768E">
        <w:rPr>
          <w:rFonts w:ascii="Simplified Arabic" w:hAnsi="Simplified Arabic" w:cs="Simplified Arabic"/>
          <w:color w:val="auto"/>
          <w:sz w:val="28"/>
          <w:szCs w:val="28"/>
          <w:rtl/>
        </w:rPr>
        <w:t>ويعرفه البنك الدولي (2023) بأنه "عملية تحسين وتوسيع الخدمات المالية وجعلها أكثر كفاءة واستقراراً وشمولاً، مما يساهم في النمو الاقتصادي والتنمية المستدامة</w:t>
      </w:r>
      <w:r w:rsidRPr="0072768E">
        <w:rPr>
          <w:rFonts w:ascii="Simplified Arabic" w:hAnsi="Simplified Arabic" w:cs="Simplified Arabic"/>
          <w:color w:val="auto"/>
          <w:sz w:val="28"/>
          <w:szCs w:val="28"/>
        </w:rPr>
        <w:t>".</w:t>
      </w:r>
    </w:p>
    <w:p w14:paraId="157FA81C" w14:textId="77777777" w:rsidR="00656233" w:rsidRPr="0072768E" w:rsidRDefault="00656233" w:rsidP="00656233">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تحسين أداء ونمو القطاع المالي السعودي، ويتم قياسه من خلال مؤشرات مثل نمو أصول القطاع المالي (معدل النمو السنوي لإجمالي أصول القطاع المالي)، وتنوع المنتجات والخدمات المالية (عدد وتنوع المنتجات والخدمات المالية المقدمة)، والشمول المالي (نسبة السكان البالغين الذين يمتلكون حسابات مصرفية أو يستخدمون خدمات مالية رسمية)، ومساهمة القطاع المالي في الناتج المحلي الإجمالي (النسبة المئوية لمساهمة القطاع المالي في الناتج المحلي الإجمالي)، باستخدام البيانات الثانوية من التقارير الرسمية</w:t>
      </w:r>
      <w:r w:rsidRPr="0072768E">
        <w:rPr>
          <w:rFonts w:ascii="Simplified Arabic" w:hAnsi="Simplified Arabic" w:cs="Simplified Arabic"/>
          <w:color w:val="auto"/>
          <w:sz w:val="28"/>
          <w:szCs w:val="28"/>
        </w:rPr>
        <w:t>.</w:t>
      </w:r>
    </w:p>
    <w:p w14:paraId="7E3AFA9D" w14:textId="042C51F4" w:rsidR="00FC3D33" w:rsidRPr="0072768E" w:rsidRDefault="00656233" w:rsidP="00656233">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lastRenderedPageBreak/>
        <w:t>تمثل هذه المصطلحات والتعريفات الإطار المفاهيمي للدراسة، وستساعد في توجيه عملية جمع البيانات وتحليلها وتفسير النتائج بشكل دقيق وعلمي. كما ستساهم في توحيد المفاهيم والمصطلحات المستخدمة في الدراسة، مما يعزز من دقة وموضوعية البحث العلمي</w:t>
      </w:r>
      <w:r w:rsidRPr="0072768E">
        <w:rPr>
          <w:rFonts w:ascii="Simplified Arabic" w:hAnsi="Simplified Arabic" w:cs="Simplified Arabic"/>
          <w:color w:val="auto"/>
          <w:sz w:val="28"/>
          <w:szCs w:val="28"/>
        </w:rPr>
        <w:t>.</w:t>
      </w:r>
    </w:p>
    <w:p w14:paraId="0E27CCF0" w14:textId="223FA21D" w:rsidR="00257F01" w:rsidRPr="0072768E" w:rsidRDefault="00257F01"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80" w:name="_Toc224563940"/>
      <w:bookmarkStart w:id="81" w:name="_Toc224563997"/>
      <w:r w:rsidRPr="0072768E">
        <w:rPr>
          <w:rFonts w:ascii="Simplified Arabic" w:hAnsi="Simplified Arabic" w:cs="Simplified Arabic"/>
          <w:b/>
          <w:bCs/>
          <w:color w:val="auto"/>
          <w:sz w:val="28"/>
          <w:szCs w:val="28"/>
          <w:u w:val="single"/>
          <w:rtl/>
        </w:rPr>
        <w:t xml:space="preserve">إجراءات </w:t>
      </w:r>
      <w:r w:rsidR="00325D77" w:rsidRPr="0072768E">
        <w:rPr>
          <w:rFonts w:ascii="Simplified Arabic" w:hAnsi="Simplified Arabic" w:cs="Simplified Arabic" w:hint="cs"/>
          <w:b/>
          <w:bCs/>
          <w:color w:val="auto"/>
          <w:sz w:val="28"/>
          <w:szCs w:val="28"/>
          <w:u w:val="single"/>
          <w:rtl/>
        </w:rPr>
        <w:t>الدراسة:</w:t>
      </w:r>
      <w:bookmarkEnd w:id="80"/>
      <w:bookmarkEnd w:id="81"/>
    </w:p>
    <w:p w14:paraId="19351B93" w14:textId="7329301D" w:rsidR="00533AA9" w:rsidRPr="0072768E" w:rsidRDefault="00533AA9" w:rsidP="00862094">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منهج الدراسة:</w:t>
      </w:r>
    </w:p>
    <w:p w14:paraId="1E125D9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تعتمد هذه الدراسة على المنهج المختلط</w:t>
      </w:r>
      <w:r w:rsidRPr="0072768E">
        <w:rPr>
          <w:rFonts w:ascii="Simplified Arabic" w:hAnsi="Simplified Arabic" w:cs="Simplified Arabic"/>
          <w:color w:val="auto"/>
          <w:sz w:val="28"/>
          <w:szCs w:val="28"/>
        </w:rPr>
        <w:t xml:space="preserve"> (Mixed Methods Approach) </w:t>
      </w:r>
      <w:r w:rsidRPr="0072768E">
        <w:rPr>
          <w:rFonts w:ascii="Simplified Arabic" w:hAnsi="Simplified Arabic" w:cs="Simplified Arabic"/>
          <w:color w:val="auto"/>
          <w:sz w:val="28"/>
          <w:szCs w:val="28"/>
          <w:rtl/>
        </w:rPr>
        <w:t>الذي يجمع بين المنهجين الكمي والنوعي، وذلك لتحقيق فهم شامل ومتعمق لأثر تقنية الترميز على الأمن السيبراني وكفاءة العمليات المالية في المؤسسات السعودية. يعد المنهج المختلط الأكثر ملاءمة لطبيعة مشكلة الدراسة ومتغيراتها المتعددة والمتشابكة، حيث يتيح الجمع بين قوة التحليل الإحصائي الكمي وعمق التحليل الاستكشافي النوعي</w:t>
      </w:r>
      <w:r w:rsidRPr="0072768E">
        <w:rPr>
          <w:rFonts w:ascii="Simplified Arabic" w:hAnsi="Simplified Arabic" w:cs="Simplified Arabic"/>
          <w:color w:val="auto"/>
          <w:sz w:val="28"/>
          <w:szCs w:val="28"/>
        </w:rPr>
        <w:t>.</w:t>
      </w:r>
    </w:p>
    <w:p w14:paraId="419CF8FE"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المنهج الوصفي التحليلي</w:t>
      </w:r>
    </w:p>
    <w:p w14:paraId="3E08F64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يستخدم المنهج الوصفي التحليلي كجزء أساسي من المنهج المختلط لوصف وتحليل واقع استخدام تقنية الترميز في القطاع المالي السعودي وتأثيرها على الأمن السيبراني وكفاءة المعاملات المالية. يتميز هذا المنهج بقدرته على</w:t>
      </w:r>
      <w:r w:rsidRPr="0072768E">
        <w:rPr>
          <w:rFonts w:ascii="Simplified Arabic" w:hAnsi="Simplified Arabic" w:cs="Simplified Arabic"/>
          <w:color w:val="auto"/>
          <w:sz w:val="28"/>
          <w:szCs w:val="28"/>
        </w:rPr>
        <w:t>:</w:t>
      </w:r>
    </w:p>
    <w:p w14:paraId="78DCB8A3" w14:textId="77777777" w:rsidR="00D51A70" w:rsidRPr="0072768E" w:rsidRDefault="00D51A70" w:rsidP="00786A9D">
      <w:pPr>
        <w:numPr>
          <w:ilvl w:val="0"/>
          <w:numId w:val="7"/>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وصف الظاهرة بدقة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يتيح توصيف مستويات تبني تقنية الترميز في المؤسسات المالية السعودية وتطبيقاتها المختلفة بشكل دقيق ومنظم</w:t>
      </w:r>
      <w:r w:rsidRPr="0072768E">
        <w:rPr>
          <w:rFonts w:ascii="Simplified Arabic" w:eastAsiaTheme="majorEastAsia" w:hAnsi="Simplified Arabic" w:cs="Simplified Arabic"/>
          <w:sz w:val="28"/>
          <w:szCs w:val="28"/>
        </w:rPr>
        <w:t>.</w:t>
      </w:r>
    </w:p>
    <w:p w14:paraId="46A443EB" w14:textId="77777777" w:rsidR="00D51A70" w:rsidRPr="0072768E" w:rsidRDefault="00D51A70" w:rsidP="00786A9D">
      <w:pPr>
        <w:numPr>
          <w:ilvl w:val="0"/>
          <w:numId w:val="7"/>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العلاقات بين المتغيرات</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من خلال تحليل العلاقات بين متغيرات الدراسة المستقلة (تبني تقنية الترميز) والتابعة (الأمن السيبراني وكفاءة العمليات المالية) والمتغيرات الوسيطة (حجم المؤسسة، نوعها، مستوى النضج الرقمي)</w:t>
      </w:r>
      <w:r w:rsidRPr="0072768E">
        <w:rPr>
          <w:rFonts w:ascii="Simplified Arabic" w:eastAsiaTheme="majorEastAsia" w:hAnsi="Simplified Arabic" w:cs="Simplified Arabic"/>
          <w:sz w:val="28"/>
          <w:szCs w:val="28"/>
        </w:rPr>
        <w:t>.</w:t>
      </w:r>
    </w:p>
    <w:p w14:paraId="26CE6E35" w14:textId="77777777" w:rsidR="00D51A70" w:rsidRPr="0072768E" w:rsidRDefault="00D51A70" w:rsidP="00786A9D">
      <w:pPr>
        <w:numPr>
          <w:ilvl w:val="0"/>
          <w:numId w:val="7"/>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اختبار الفرضيات</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يمكّن من اختبار الفرضيات التي تمت صياغتها باستخدام الأساليب الإحصائية المناسبة للتحقق من صحتها أو نفيها</w:t>
      </w:r>
      <w:r w:rsidRPr="0072768E">
        <w:rPr>
          <w:rFonts w:ascii="Simplified Arabic" w:eastAsiaTheme="majorEastAsia" w:hAnsi="Simplified Arabic" w:cs="Simplified Arabic"/>
          <w:sz w:val="28"/>
          <w:szCs w:val="28"/>
        </w:rPr>
        <w:t>.</w:t>
      </w:r>
    </w:p>
    <w:p w14:paraId="5866A6F1"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المنهج النوعي الاستكشافي</w:t>
      </w:r>
    </w:p>
    <w:p w14:paraId="751F548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يستخدم المنهج النوعي الاستكشافي كجزء مكمل من المنهج المختلط لفهم وجهات نظر وتجارب المشاركين بشكل أعمق، واستكشاف العوامل المؤثرة في تبني تقنية الترميز والتحديات التي تواجهها. يتميز هذا المنهج بقدرته على</w:t>
      </w:r>
      <w:r w:rsidRPr="0072768E">
        <w:rPr>
          <w:rFonts w:ascii="Simplified Arabic" w:hAnsi="Simplified Arabic" w:cs="Simplified Arabic"/>
          <w:color w:val="auto"/>
          <w:sz w:val="28"/>
          <w:szCs w:val="28"/>
        </w:rPr>
        <w:t>:</w:t>
      </w:r>
    </w:p>
    <w:p w14:paraId="4DFA84E0" w14:textId="77777777" w:rsidR="00D51A70" w:rsidRPr="0072768E" w:rsidRDefault="00D51A70" w:rsidP="00786A9D">
      <w:pPr>
        <w:numPr>
          <w:ilvl w:val="0"/>
          <w:numId w:val="8"/>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الفهم المتعمق للظاهرة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من خلال استكشاف تجارب المؤسسات المالية السعودية في تبني تقنية الترميز بشكل معمق</w:t>
      </w:r>
      <w:r w:rsidRPr="0072768E">
        <w:rPr>
          <w:rFonts w:ascii="Simplified Arabic" w:eastAsiaTheme="majorEastAsia" w:hAnsi="Simplified Arabic" w:cs="Simplified Arabic"/>
          <w:sz w:val="28"/>
          <w:szCs w:val="28"/>
        </w:rPr>
        <w:t>.</w:t>
      </w:r>
    </w:p>
    <w:p w14:paraId="1EC86A4E" w14:textId="77777777" w:rsidR="00D51A70" w:rsidRPr="0072768E" w:rsidRDefault="00D51A70" w:rsidP="00786A9D">
      <w:pPr>
        <w:numPr>
          <w:ilvl w:val="0"/>
          <w:numId w:val="8"/>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استكشاف العوامل المؤثرة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عبر تحديد العوامل السياقية والتنظيمية والثقافية التي تؤثر على تبني واستخدام تقنية الترميز</w:t>
      </w:r>
      <w:r w:rsidRPr="0072768E">
        <w:rPr>
          <w:rFonts w:ascii="Simplified Arabic" w:eastAsiaTheme="majorEastAsia" w:hAnsi="Simplified Arabic" w:cs="Simplified Arabic"/>
          <w:sz w:val="28"/>
          <w:szCs w:val="28"/>
        </w:rPr>
        <w:t>.</w:t>
      </w:r>
    </w:p>
    <w:p w14:paraId="09A2FF84" w14:textId="77777777" w:rsidR="00D51A70" w:rsidRPr="0072768E" w:rsidRDefault="00D51A70" w:rsidP="00786A9D">
      <w:pPr>
        <w:numPr>
          <w:ilvl w:val="0"/>
          <w:numId w:val="8"/>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فهم التحديات والفرص</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من خلال التعرف على التحديات التي تواجه تبني تقنية الترميز والفرص المتاحة لتعظيم الاستفادة منها</w:t>
      </w:r>
      <w:r w:rsidRPr="0072768E">
        <w:rPr>
          <w:rFonts w:ascii="Simplified Arabic" w:eastAsiaTheme="majorEastAsia" w:hAnsi="Simplified Arabic" w:cs="Simplified Arabic"/>
          <w:sz w:val="28"/>
          <w:szCs w:val="28"/>
        </w:rPr>
        <w:t>.</w:t>
      </w:r>
    </w:p>
    <w:p w14:paraId="4D3121E0"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مبررات اختيار المنهج المختلط</w:t>
      </w:r>
    </w:p>
    <w:p w14:paraId="70ED6DAE"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تم اختيار المنهج المختلط للأسباب التالية</w:t>
      </w:r>
      <w:r w:rsidRPr="0072768E">
        <w:rPr>
          <w:rFonts w:ascii="Simplified Arabic" w:hAnsi="Simplified Arabic" w:cs="Simplified Arabic"/>
          <w:b/>
          <w:bCs/>
          <w:color w:val="auto"/>
          <w:sz w:val="28"/>
          <w:szCs w:val="28"/>
        </w:rPr>
        <w:t>:</w:t>
      </w:r>
    </w:p>
    <w:p w14:paraId="5F95AE36"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تعقيد الظاهرة المدروسة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تتضمن الدراسة متغيرات متعددة ومتشابكة تتطلب استخدام أساليب متنوعة لفهمها بشكل شامل</w:t>
      </w:r>
      <w:r w:rsidRPr="0072768E">
        <w:rPr>
          <w:rFonts w:ascii="Simplified Arabic" w:eastAsiaTheme="majorEastAsia" w:hAnsi="Simplified Arabic" w:cs="Simplified Arabic"/>
          <w:sz w:val="28"/>
          <w:szCs w:val="28"/>
        </w:rPr>
        <w:t>.</w:t>
      </w:r>
    </w:p>
    <w:p w14:paraId="0C492D27"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تكامل البيانات</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يتيح المنهج المختلط الجمع بين البيانات الكمية والنوعية، مما يساهم في تحقيق فهم أكثر شمولاً وعمقاً لموضوع الدراسة</w:t>
      </w:r>
      <w:r w:rsidRPr="0072768E">
        <w:rPr>
          <w:rFonts w:ascii="Simplified Arabic" w:eastAsiaTheme="majorEastAsia" w:hAnsi="Simplified Arabic" w:cs="Simplified Arabic"/>
          <w:sz w:val="28"/>
          <w:szCs w:val="28"/>
        </w:rPr>
        <w:t>.</w:t>
      </w:r>
    </w:p>
    <w:p w14:paraId="6E55FB58"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التثليث</w:t>
      </w:r>
      <w:r w:rsidRPr="0072768E">
        <w:rPr>
          <w:rFonts w:ascii="Simplified Arabic" w:eastAsiaTheme="majorEastAsia" w:hAnsi="Simplified Arabic" w:cs="Simplified Arabic"/>
          <w:sz w:val="28"/>
          <w:szCs w:val="28"/>
        </w:rPr>
        <w:t xml:space="preserve"> (Triangulation): </w:t>
      </w:r>
      <w:r w:rsidRPr="0072768E">
        <w:rPr>
          <w:rFonts w:ascii="Simplified Arabic" w:eastAsiaTheme="majorEastAsia" w:hAnsi="Simplified Arabic" w:cs="Simplified Arabic"/>
          <w:sz w:val="28"/>
          <w:szCs w:val="28"/>
          <w:rtl/>
        </w:rPr>
        <w:t>يسمح بتثليث البيانات من مصادر متعددة (استبانات، مقابلات، وثائق)، مما يعزز صحة ودقة النتائج</w:t>
      </w:r>
      <w:r w:rsidRPr="0072768E">
        <w:rPr>
          <w:rFonts w:ascii="Simplified Arabic" w:eastAsiaTheme="majorEastAsia" w:hAnsi="Simplified Arabic" w:cs="Simplified Arabic"/>
          <w:sz w:val="28"/>
          <w:szCs w:val="28"/>
        </w:rPr>
        <w:t>.</w:t>
      </w:r>
    </w:p>
    <w:p w14:paraId="7398586D"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معالجة القصور</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يساعد في التغلب على قصور كل منهج عند استخدامه بمفرده، حيث يكمل المنهج النوعي المنهج الكمي والعكس</w:t>
      </w:r>
      <w:r w:rsidRPr="0072768E">
        <w:rPr>
          <w:rFonts w:ascii="Simplified Arabic" w:eastAsiaTheme="majorEastAsia" w:hAnsi="Simplified Arabic" w:cs="Simplified Arabic"/>
          <w:sz w:val="28"/>
          <w:szCs w:val="28"/>
        </w:rPr>
        <w:t>.</w:t>
      </w:r>
    </w:p>
    <w:p w14:paraId="3685385F"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مرونة التصميم</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يوفر مرونة في تصميم الدراسة وتنفيذها، مما يتيح التعامل مع التحديات التي قد تظهر أثناء جمع البيانات وتحليلها</w:t>
      </w:r>
      <w:r w:rsidRPr="0072768E">
        <w:rPr>
          <w:rFonts w:ascii="Simplified Arabic" w:eastAsiaTheme="majorEastAsia" w:hAnsi="Simplified Arabic" w:cs="Simplified Arabic"/>
          <w:sz w:val="28"/>
          <w:szCs w:val="28"/>
        </w:rPr>
        <w:t>.</w:t>
      </w:r>
    </w:p>
    <w:p w14:paraId="2FD06835"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تصميم البحث المختلط</w:t>
      </w:r>
    </w:p>
    <w:p w14:paraId="693A8EF8"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يعتمد تصميم البحث المختلط في هذه الدراسة على النموذج التتابعي التفسيري</w:t>
      </w:r>
      <w:r w:rsidRPr="0072768E">
        <w:rPr>
          <w:rFonts w:ascii="Simplified Arabic" w:hAnsi="Simplified Arabic" w:cs="Simplified Arabic"/>
          <w:color w:val="auto"/>
          <w:sz w:val="28"/>
          <w:szCs w:val="28"/>
        </w:rPr>
        <w:t xml:space="preserve"> (Explanatory Sequential Design)</w:t>
      </w:r>
      <w:r w:rsidRPr="0072768E">
        <w:rPr>
          <w:rFonts w:ascii="Simplified Arabic" w:hAnsi="Simplified Arabic" w:cs="Simplified Arabic"/>
          <w:color w:val="auto"/>
          <w:sz w:val="28"/>
          <w:szCs w:val="28"/>
          <w:rtl/>
        </w:rPr>
        <w:t>، الذي يتكون من مرحلتين رئيسيتين</w:t>
      </w:r>
      <w:r w:rsidRPr="0072768E">
        <w:rPr>
          <w:rFonts w:ascii="Simplified Arabic" w:hAnsi="Simplified Arabic" w:cs="Simplified Arabic"/>
          <w:color w:val="auto"/>
          <w:sz w:val="28"/>
          <w:szCs w:val="28"/>
        </w:rPr>
        <w:t>:</w:t>
      </w:r>
    </w:p>
    <w:p w14:paraId="068BB882"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الأولى: الدراسة الكمية</w:t>
      </w:r>
      <w:r w:rsidRPr="0072768E">
        <w:rPr>
          <w:rFonts w:ascii="Simplified Arabic" w:hAnsi="Simplified Arabic" w:cs="Simplified Arabic"/>
          <w:b/>
          <w:bCs/>
          <w:color w:val="auto"/>
          <w:sz w:val="28"/>
          <w:szCs w:val="28"/>
        </w:rPr>
        <w:t xml:space="preserve"> (Quantitative Phase)</w:t>
      </w:r>
    </w:p>
    <w:p w14:paraId="393202BB"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في هذه المرحلة، سيتم جمع وتحليل البيانات الكمية من خلال</w:t>
      </w:r>
      <w:r w:rsidRPr="0072768E">
        <w:rPr>
          <w:rFonts w:ascii="Simplified Arabic" w:hAnsi="Simplified Arabic" w:cs="Simplified Arabic"/>
          <w:color w:val="auto"/>
          <w:sz w:val="28"/>
          <w:szCs w:val="28"/>
        </w:rPr>
        <w:t>:</w:t>
      </w:r>
    </w:p>
    <w:p w14:paraId="4E9F9FEB" w14:textId="77777777" w:rsidR="00D51A70" w:rsidRPr="0072768E" w:rsidRDefault="00D51A70" w:rsidP="00786A9D">
      <w:pPr>
        <w:numPr>
          <w:ilvl w:val="0"/>
          <w:numId w:val="10"/>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استبانة الدراسة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توزيع استبانة على عينة من المؤسسات المالية السعودية تشمل البنوك التقليدية والرقمية وشركات التقنية المالية لقياس مستوى تبني تقنية الترميز وتأثيرها على الأمن السيبراني وكفاءة العمليات المالية</w:t>
      </w:r>
      <w:r w:rsidRPr="0072768E">
        <w:rPr>
          <w:rFonts w:ascii="Simplified Arabic" w:eastAsiaTheme="majorEastAsia" w:hAnsi="Simplified Arabic" w:cs="Simplified Arabic"/>
          <w:sz w:val="28"/>
          <w:szCs w:val="28"/>
        </w:rPr>
        <w:t>.</w:t>
      </w:r>
    </w:p>
    <w:p w14:paraId="5CC6C7FF" w14:textId="77777777" w:rsidR="00D51A70" w:rsidRPr="0072768E" w:rsidRDefault="00D51A70" w:rsidP="00786A9D">
      <w:pPr>
        <w:numPr>
          <w:ilvl w:val="0"/>
          <w:numId w:val="10"/>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البيانات الثانوية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جمع وتحليل البيانات الثانوية من التقارير السنوية للمؤسسات المالية وتقارير الجهات التنظيمية مثل البنك المركزي السعودي وهيئة السوق المالية والهيئة الوطنية للأمن السيبراني</w:t>
      </w:r>
      <w:r w:rsidRPr="0072768E">
        <w:rPr>
          <w:rFonts w:ascii="Simplified Arabic" w:eastAsiaTheme="majorEastAsia" w:hAnsi="Simplified Arabic" w:cs="Simplified Arabic"/>
          <w:sz w:val="28"/>
          <w:szCs w:val="28"/>
        </w:rPr>
        <w:t>.</w:t>
      </w:r>
    </w:p>
    <w:p w14:paraId="50F3625E"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سيتم تحليل البيانات الكمية باستخدام الأساليب الإحصائية المناسبة مثل الإحصاء الوصفي واختبار الفرضيات وتحليل العلاقات، للإجابة على أسئلة الدراسة واختبار فرضياتها</w:t>
      </w:r>
      <w:r w:rsidRPr="0072768E">
        <w:rPr>
          <w:rFonts w:ascii="Simplified Arabic" w:hAnsi="Simplified Arabic" w:cs="Simplified Arabic"/>
          <w:color w:val="auto"/>
          <w:sz w:val="28"/>
          <w:szCs w:val="28"/>
        </w:rPr>
        <w:t>.</w:t>
      </w:r>
    </w:p>
    <w:p w14:paraId="24119D19"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الثانية: الدراسة النوعية</w:t>
      </w:r>
      <w:r w:rsidRPr="0072768E">
        <w:rPr>
          <w:rFonts w:ascii="Simplified Arabic" w:hAnsi="Simplified Arabic" w:cs="Simplified Arabic"/>
          <w:b/>
          <w:bCs/>
          <w:color w:val="auto"/>
          <w:sz w:val="28"/>
          <w:szCs w:val="28"/>
        </w:rPr>
        <w:t xml:space="preserve"> (Qualitative Phase)</w:t>
      </w:r>
    </w:p>
    <w:p w14:paraId="52C47F9A"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في هذه المرحلة، سيتم جمع وتحليل البيانات النوعية من خلال</w:t>
      </w:r>
      <w:r w:rsidRPr="0072768E">
        <w:rPr>
          <w:rFonts w:ascii="Simplified Arabic" w:hAnsi="Simplified Arabic" w:cs="Simplified Arabic"/>
          <w:color w:val="auto"/>
          <w:sz w:val="28"/>
          <w:szCs w:val="28"/>
        </w:rPr>
        <w:t>:</w:t>
      </w:r>
    </w:p>
    <w:p w14:paraId="576027A3" w14:textId="77777777" w:rsidR="00D51A70" w:rsidRPr="0072768E" w:rsidRDefault="00D51A70" w:rsidP="00786A9D">
      <w:pPr>
        <w:numPr>
          <w:ilvl w:val="0"/>
          <w:numId w:val="11"/>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المقابلات شبه المنظمة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إجراء مقابلات متعمقة مع مسؤولي تقنية المعلومات والأمن السيبراني والعمليات في عينة مختارة من المؤسسات المالية، بالإضافة إلى خبراء في مجال التكنولوجيا المالية والأمن السيبراني</w:t>
      </w:r>
      <w:r w:rsidRPr="0072768E">
        <w:rPr>
          <w:rFonts w:ascii="Simplified Arabic" w:eastAsiaTheme="majorEastAsia" w:hAnsi="Simplified Arabic" w:cs="Simplified Arabic"/>
          <w:sz w:val="28"/>
          <w:szCs w:val="28"/>
        </w:rPr>
        <w:t>.</w:t>
      </w:r>
    </w:p>
    <w:p w14:paraId="1EDD7940" w14:textId="77777777" w:rsidR="00D51A70" w:rsidRPr="0072768E" w:rsidRDefault="00D51A70" w:rsidP="00786A9D">
      <w:pPr>
        <w:numPr>
          <w:ilvl w:val="0"/>
          <w:numId w:val="11"/>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مجموعات التركيز</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تنظيم مجموعات تركيز مع مديري المؤسسات المالية والخبراء لمناقشة نتائج المرحلة الكمية بشكل متعمق وتفسيرها</w:t>
      </w:r>
      <w:r w:rsidRPr="0072768E">
        <w:rPr>
          <w:rFonts w:ascii="Simplified Arabic" w:eastAsiaTheme="majorEastAsia" w:hAnsi="Simplified Arabic" w:cs="Simplified Arabic"/>
          <w:sz w:val="28"/>
          <w:szCs w:val="28"/>
        </w:rPr>
        <w:t>.</w:t>
      </w:r>
    </w:p>
    <w:p w14:paraId="31814858" w14:textId="77777777" w:rsidR="00D51A70" w:rsidRPr="0072768E" w:rsidRDefault="00D51A70" w:rsidP="00786A9D">
      <w:pPr>
        <w:numPr>
          <w:ilvl w:val="0"/>
          <w:numId w:val="11"/>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الوثائق</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تحليل الوثائق والتقارير والسياسات المتعلقة بتقنية الترميز والأمن السيبراني في المؤسسات المالية السعودية</w:t>
      </w:r>
      <w:r w:rsidRPr="0072768E">
        <w:rPr>
          <w:rFonts w:ascii="Simplified Arabic" w:eastAsiaTheme="majorEastAsia" w:hAnsi="Simplified Arabic" w:cs="Simplified Arabic"/>
          <w:sz w:val="28"/>
          <w:szCs w:val="28"/>
        </w:rPr>
        <w:t>.</w:t>
      </w:r>
    </w:p>
    <w:p w14:paraId="47C1255F"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سيتم تحليل البيانات النوعية باستخدام تقنيات التحليل الموضوعي</w:t>
      </w:r>
      <w:r w:rsidRPr="0072768E">
        <w:rPr>
          <w:rFonts w:ascii="Simplified Arabic" w:hAnsi="Simplified Arabic" w:cs="Simplified Arabic"/>
          <w:color w:val="auto"/>
          <w:sz w:val="28"/>
          <w:szCs w:val="28"/>
        </w:rPr>
        <w:t xml:space="preserve"> (Thematic Analysis) </w:t>
      </w:r>
      <w:r w:rsidRPr="0072768E">
        <w:rPr>
          <w:rFonts w:ascii="Simplified Arabic" w:hAnsi="Simplified Arabic" w:cs="Simplified Arabic"/>
          <w:color w:val="auto"/>
          <w:sz w:val="28"/>
          <w:szCs w:val="28"/>
          <w:rtl/>
        </w:rPr>
        <w:t>وتحليل المحتوى</w:t>
      </w:r>
      <w:r w:rsidRPr="0072768E">
        <w:rPr>
          <w:rFonts w:ascii="Simplified Arabic" w:hAnsi="Simplified Arabic" w:cs="Simplified Arabic"/>
          <w:color w:val="auto"/>
          <w:sz w:val="28"/>
          <w:szCs w:val="28"/>
        </w:rPr>
        <w:t xml:space="preserve"> (Content Analysis) </w:t>
      </w:r>
      <w:r w:rsidRPr="0072768E">
        <w:rPr>
          <w:rFonts w:ascii="Simplified Arabic" w:hAnsi="Simplified Arabic" w:cs="Simplified Arabic"/>
          <w:color w:val="auto"/>
          <w:sz w:val="28"/>
          <w:szCs w:val="28"/>
          <w:rtl/>
        </w:rPr>
        <w:t>لاستخراج الأنماط والموضوعات الرئيسية وتفسير نتائج المرحلة الكمية بشكل أعمق</w:t>
      </w:r>
      <w:r w:rsidRPr="0072768E">
        <w:rPr>
          <w:rFonts w:ascii="Simplified Arabic" w:hAnsi="Simplified Arabic" w:cs="Simplified Arabic"/>
          <w:color w:val="auto"/>
          <w:sz w:val="28"/>
          <w:szCs w:val="28"/>
        </w:rPr>
        <w:t>.</w:t>
      </w:r>
    </w:p>
    <w:p w14:paraId="57C37957"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التكامل بين المرحلتين</w:t>
      </w:r>
      <w:r w:rsidRPr="0072768E">
        <w:rPr>
          <w:rFonts w:ascii="Simplified Arabic" w:hAnsi="Simplified Arabic" w:cs="Simplified Arabic"/>
          <w:b/>
          <w:bCs/>
          <w:color w:val="auto"/>
          <w:sz w:val="28"/>
          <w:szCs w:val="28"/>
        </w:rPr>
        <w:t xml:space="preserve"> (Integration)</w:t>
      </w:r>
    </w:p>
    <w:p w14:paraId="0112D18E"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سيتم تحقيق التكامل بين المرحلتين الكمية والنوعية من خلال</w:t>
      </w:r>
      <w:r w:rsidRPr="0072768E">
        <w:rPr>
          <w:rFonts w:ascii="Simplified Arabic" w:hAnsi="Simplified Arabic" w:cs="Simplified Arabic"/>
          <w:color w:val="auto"/>
          <w:sz w:val="28"/>
          <w:szCs w:val="28"/>
        </w:rPr>
        <w:t>:</w:t>
      </w:r>
    </w:p>
    <w:p w14:paraId="49FDEAFC"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التصميم التتابعي</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تستند المرحلة النوعية إلى نتائج المرحلة الكمية وتسعى لتفسيرها بشكل أعمق</w:t>
      </w:r>
      <w:r w:rsidRPr="0072768E">
        <w:rPr>
          <w:rFonts w:ascii="Simplified Arabic" w:eastAsiaTheme="majorEastAsia" w:hAnsi="Simplified Arabic" w:cs="Simplified Arabic"/>
          <w:sz w:val="28"/>
          <w:szCs w:val="28"/>
        </w:rPr>
        <w:t>.</w:t>
      </w:r>
    </w:p>
    <w:p w14:paraId="2D2C9A71"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التثليث</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يتم التحقق من صحة النتائج من خلال مقارنة البيانات من مصادر متعددة</w:t>
      </w:r>
      <w:r w:rsidRPr="0072768E">
        <w:rPr>
          <w:rFonts w:ascii="Simplified Arabic" w:eastAsiaTheme="majorEastAsia" w:hAnsi="Simplified Arabic" w:cs="Simplified Arabic"/>
          <w:sz w:val="28"/>
          <w:szCs w:val="28"/>
        </w:rPr>
        <w:t>.</w:t>
      </w:r>
    </w:p>
    <w:p w14:paraId="232DBEA3"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التكامل في التحليل</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يتم دمج نتائج التحليل الكمي والنوعي للوصول إلى فهم شامل للظاهرة المدروسة</w:t>
      </w:r>
      <w:r w:rsidRPr="0072768E">
        <w:rPr>
          <w:rFonts w:ascii="Simplified Arabic" w:eastAsiaTheme="majorEastAsia" w:hAnsi="Simplified Arabic" w:cs="Simplified Arabic"/>
          <w:sz w:val="28"/>
          <w:szCs w:val="28"/>
        </w:rPr>
        <w:t>.</w:t>
      </w:r>
    </w:p>
    <w:p w14:paraId="2CF74809"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التكامل في التفسير</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يتم تفسير النتائج الكمية والنوعية معاً للإجابة على أسئلة الدراسة بشكل شامل ومتكامل</w:t>
      </w:r>
      <w:r w:rsidRPr="0072768E">
        <w:rPr>
          <w:rFonts w:ascii="Simplified Arabic" w:eastAsiaTheme="majorEastAsia" w:hAnsi="Simplified Arabic" w:cs="Simplified Arabic"/>
          <w:sz w:val="28"/>
          <w:szCs w:val="28"/>
        </w:rPr>
        <w:t>.</w:t>
      </w:r>
    </w:p>
    <w:p w14:paraId="25934C6D"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مزايا المنهج المختلط في الدراسة الحالية</w:t>
      </w:r>
    </w:p>
    <w:p w14:paraId="1EE7AC32"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يوفر استخدام المنهج المختلط في هذه الدراسة عدة مزايا</w:t>
      </w:r>
      <w:r w:rsidRPr="0072768E">
        <w:rPr>
          <w:rFonts w:ascii="Simplified Arabic" w:hAnsi="Simplified Arabic" w:cs="Simplified Arabic"/>
          <w:color w:val="auto"/>
          <w:sz w:val="28"/>
          <w:szCs w:val="28"/>
        </w:rPr>
        <w:t>:</w:t>
      </w:r>
    </w:p>
    <w:p w14:paraId="38C5AF4A"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فهم شامل</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يتيح فهماً شاملاً ومتعمقاً لتأثير تقنية الترميز على الأمن السيبراني وكفاءة العمليات المالية</w:t>
      </w:r>
      <w:r w:rsidRPr="0072768E">
        <w:rPr>
          <w:rFonts w:ascii="Simplified Arabic" w:eastAsiaTheme="majorEastAsia" w:hAnsi="Simplified Arabic" w:cs="Simplified Arabic"/>
          <w:sz w:val="28"/>
          <w:szCs w:val="28"/>
        </w:rPr>
        <w:t>.</w:t>
      </w:r>
    </w:p>
    <w:p w14:paraId="12E27B68"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معالجة التعقيد</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يمكّن من معالجة التعقيد والتشابك في العلاقات بين متغيرات الدراسة</w:t>
      </w:r>
      <w:r w:rsidRPr="0072768E">
        <w:rPr>
          <w:rFonts w:ascii="Simplified Arabic" w:eastAsiaTheme="majorEastAsia" w:hAnsi="Simplified Arabic" w:cs="Simplified Arabic"/>
          <w:sz w:val="28"/>
          <w:szCs w:val="28"/>
        </w:rPr>
        <w:t>.</w:t>
      </w:r>
    </w:p>
    <w:p w14:paraId="15A5103D"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تعزيز الصحة والموثوقية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يعزز من صحة وموثوقية النتائج من خلال التثليث وتعدد مصادر البيانات</w:t>
      </w:r>
      <w:r w:rsidRPr="0072768E">
        <w:rPr>
          <w:rFonts w:ascii="Simplified Arabic" w:eastAsiaTheme="majorEastAsia" w:hAnsi="Simplified Arabic" w:cs="Simplified Arabic"/>
          <w:sz w:val="28"/>
          <w:szCs w:val="28"/>
        </w:rPr>
        <w:t>.</w:t>
      </w:r>
    </w:p>
    <w:p w14:paraId="786CA443"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توليد معرفة متكاملة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يساهم في توليد معرفة متكاملة تجمع بين الجوانب الكمية والنوعية للظاهرة المدروسة</w:t>
      </w:r>
      <w:r w:rsidRPr="0072768E">
        <w:rPr>
          <w:rFonts w:ascii="Simplified Arabic" w:eastAsiaTheme="majorEastAsia" w:hAnsi="Simplified Arabic" w:cs="Simplified Arabic"/>
          <w:sz w:val="28"/>
          <w:szCs w:val="28"/>
        </w:rPr>
        <w:t>.</w:t>
      </w:r>
    </w:p>
    <w:p w14:paraId="488625C1" w14:textId="77777777" w:rsidR="009A6E2C" w:rsidRPr="0072768E" w:rsidRDefault="00D51A70" w:rsidP="00786A9D">
      <w:pPr>
        <w:numPr>
          <w:ilvl w:val="0"/>
          <w:numId w:val="13"/>
        </w:numPr>
        <w:bidi/>
        <w:spacing w:after="120" w:line="276" w:lineRule="auto"/>
        <w:jc w:val="both"/>
        <w:rPr>
          <w:rFonts w:ascii="Simplified Arabic" w:hAnsi="Simplified Arabic" w:cs="Simplified Arabic"/>
          <w:sz w:val="28"/>
          <w:szCs w:val="28"/>
        </w:rPr>
      </w:pPr>
      <w:r w:rsidRPr="0072768E">
        <w:rPr>
          <w:rFonts w:ascii="Simplified Arabic" w:eastAsiaTheme="majorEastAsia" w:hAnsi="Simplified Arabic" w:cs="Simplified Arabic"/>
          <w:sz w:val="28"/>
          <w:szCs w:val="28"/>
          <w:rtl/>
        </w:rPr>
        <w:lastRenderedPageBreak/>
        <w:t>تقديم توصيات عملية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يساعد في تقديم توصيات عملية مبنية على فهم عميق للواقع وتحليل دقيق للبيانات</w:t>
      </w:r>
      <w:r w:rsidRPr="0072768E">
        <w:rPr>
          <w:rFonts w:ascii="Simplified Arabic" w:eastAsiaTheme="majorEastAsia" w:hAnsi="Simplified Arabic" w:cs="Simplified Arabic"/>
          <w:sz w:val="28"/>
          <w:szCs w:val="28"/>
        </w:rPr>
        <w:t>.</w:t>
      </w:r>
    </w:p>
    <w:p w14:paraId="6A572992" w14:textId="77777777" w:rsidR="009A6E2C" w:rsidRPr="0072768E" w:rsidRDefault="009A6E2C" w:rsidP="009A6E2C">
      <w:pPr>
        <w:bidi/>
        <w:spacing w:after="120" w:line="276" w:lineRule="auto"/>
        <w:jc w:val="both"/>
        <w:rPr>
          <w:rFonts w:ascii="Simplified Arabic" w:hAnsi="Simplified Arabic" w:cs="Simplified Arabic"/>
          <w:sz w:val="28"/>
          <w:szCs w:val="28"/>
          <w:rtl/>
        </w:rPr>
      </w:pPr>
    </w:p>
    <w:p w14:paraId="750DB541" w14:textId="2D63D7B6" w:rsidR="00DD12BB" w:rsidRPr="0072768E" w:rsidRDefault="00D51A70" w:rsidP="009A6E2C">
      <w:pPr>
        <w:bidi/>
        <w:spacing w:after="120" w:line="276" w:lineRule="auto"/>
        <w:jc w:val="both"/>
        <w:rPr>
          <w:rFonts w:ascii="Simplified Arabic" w:hAnsi="Simplified Arabic" w:cs="Simplified Arabic"/>
          <w:sz w:val="28"/>
          <w:szCs w:val="28"/>
          <w:rtl/>
        </w:rPr>
      </w:pPr>
      <w:r w:rsidRPr="0072768E">
        <w:rPr>
          <w:rFonts w:ascii="Simplified Arabic" w:hAnsi="Simplified Arabic" w:cs="Simplified Arabic"/>
          <w:sz w:val="28"/>
          <w:szCs w:val="28"/>
          <w:rtl/>
        </w:rPr>
        <w:t>يُعتبر المنهج المختلط الأنسب لتحقيق أهداف هذه الدراسة، حيث يمكّن من الإجابة على أسئلتها المتنوعة واختبار فرضياتها بشكل علمي ودقيق، ويساهم في تقديم فهم شامل ومتعمق لتأثير تقنية الترميز على الأمن السيبراني وكفاءة العمليات المالية في المؤسسات السعودية في ضوء رؤية 2030</w:t>
      </w:r>
      <w:r w:rsidRPr="0072768E">
        <w:rPr>
          <w:rFonts w:ascii="Simplified Arabic" w:hAnsi="Simplified Arabic" w:cs="Simplified Arabic" w:hint="cs"/>
          <w:sz w:val="28"/>
          <w:szCs w:val="28"/>
          <w:rtl/>
        </w:rPr>
        <w:t>.</w:t>
      </w:r>
    </w:p>
    <w:p w14:paraId="0F9C021E" w14:textId="77777777" w:rsidR="00EE7EE6" w:rsidRPr="0072768E" w:rsidRDefault="00EE7EE6" w:rsidP="00BE6B62">
      <w:pPr>
        <w:pStyle w:val="Heading1"/>
        <w:numPr>
          <w:ilvl w:val="0"/>
          <w:numId w:val="0"/>
        </w:numPr>
        <w:bidi/>
        <w:ind w:left="432" w:hanging="432"/>
        <w:rPr>
          <w:rFonts w:ascii="Simplified Arabic" w:hAnsi="Simplified Arabic" w:cs="Simplified Arabic"/>
          <w:b/>
          <w:bCs/>
          <w:color w:val="auto"/>
          <w:sz w:val="28"/>
          <w:szCs w:val="28"/>
          <w:u w:val="single"/>
          <w:rtl/>
        </w:rPr>
        <w:sectPr w:rsidR="00EE7EE6"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6C1FA1E1" w14:textId="3DC72C73" w:rsidR="00533AA9" w:rsidRPr="0072768E" w:rsidRDefault="00533AA9" w:rsidP="00BE6B62">
      <w:pPr>
        <w:pStyle w:val="Heading1"/>
        <w:numPr>
          <w:ilvl w:val="0"/>
          <w:numId w:val="0"/>
        </w:numPr>
        <w:bidi/>
        <w:ind w:left="432" w:hanging="432"/>
        <w:rPr>
          <w:rFonts w:ascii="Simplified Arabic" w:hAnsi="Simplified Arabic" w:cs="Simplified Arabic"/>
          <w:b/>
          <w:bCs/>
          <w:color w:val="auto"/>
          <w:sz w:val="28"/>
          <w:szCs w:val="28"/>
          <w:u w:val="single"/>
          <w:rtl/>
        </w:rPr>
      </w:pPr>
      <w:bookmarkStart w:id="82" w:name="_Toc224563941"/>
      <w:bookmarkStart w:id="83" w:name="_Toc224563998"/>
      <w:r w:rsidRPr="0072768E">
        <w:rPr>
          <w:rFonts w:ascii="Simplified Arabic" w:hAnsi="Simplified Arabic" w:cs="Simplified Arabic"/>
          <w:b/>
          <w:bCs/>
          <w:color w:val="auto"/>
          <w:sz w:val="28"/>
          <w:szCs w:val="28"/>
          <w:u w:val="single"/>
          <w:rtl/>
        </w:rPr>
        <w:lastRenderedPageBreak/>
        <w:t>مجتمع وعينة الدراسة:</w:t>
      </w:r>
      <w:bookmarkEnd w:id="82"/>
      <w:bookmarkEnd w:id="83"/>
    </w:p>
    <w:p w14:paraId="02E0CC71" w14:textId="2E2298EF" w:rsidR="003235C8" w:rsidRPr="0072768E" w:rsidRDefault="003235C8" w:rsidP="00862094">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مجتمع الدراسة:</w:t>
      </w:r>
    </w:p>
    <w:p w14:paraId="187B324F" w14:textId="77777777" w:rsidR="008C3A5B" w:rsidRPr="0072768E" w:rsidRDefault="008C3A5B" w:rsidP="008C3A5B">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يتكون مجتمع الدراسة من جميع المؤسسات المالية العاملة في المملكة العربية السعودية والتي تطبق أو تخطط لتطبيق تقنية الترميز في عملياتها. وبناءً على البيانات الرسمية الصادرة عن البنك المركزي السعودي (ساما) وهيئة السوق المالية لعام 2023، يشمل مجتمع الدراسة</w:t>
      </w:r>
      <w:r w:rsidRPr="0072768E">
        <w:rPr>
          <w:rFonts w:ascii="Simplified Arabic" w:hAnsi="Simplified Arabic" w:cs="Simplified Arabic"/>
          <w:color w:val="auto"/>
          <w:sz w:val="28"/>
          <w:szCs w:val="28"/>
        </w:rPr>
        <w:t>:</w:t>
      </w:r>
    </w:p>
    <w:p w14:paraId="5B8A92CE" w14:textId="22AE0AB7" w:rsidR="00C70032" w:rsidRPr="0072768E" w:rsidRDefault="00C70032" w:rsidP="00786A9D">
      <w:pPr>
        <w:pStyle w:val="Heading2"/>
        <w:numPr>
          <w:ilvl w:val="0"/>
          <w:numId w:val="14"/>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البنوك </w:t>
      </w:r>
      <w:r w:rsidR="00CE1603" w:rsidRPr="0072768E">
        <w:rPr>
          <w:rFonts w:ascii="Simplified Arabic" w:hAnsi="Simplified Arabic" w:cs="Simplified Arabic"/>
          <w:b/>
          <w:bCs/>
          <w:color w:val="auto"/>
          <w:sz w:val="28"/>
          <w:szCs w:val="28"/>
          <w:rtl/>
        </w:rPr>
        <w:t>السعودية (المصدر: البنك المركزي السعودي، 2023)</w:t>
      </w:r>
    </w:p>
    <w:p w14:paraId="6E2EE1B1" w14:textId="77777777" w:rsidR="00C70032" w:rsidRPr="0072768E" w:rsidRDefault="00C70032" w:rsidP="00C70032">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وتشمل هذه الفئة جميع البنوك العاملة في المملكة العربية السعودية، والتي تنقسم إلى</w:t>
      </w:r>
      <w:r w:rsidRPr="0072768E">
        <w:rPr>
          <w:rFonts w:ascii="Simplified Arabic" w:hAnsi="Simplified Arabic" w:cs="Simplified Arabic"/>
          <w:color w:val="auto"/>
          <w:sz w:val="28"/>
          <w:szCs w:val="28"/>
        </w:rPr>
        <w:t>:</w:t>
      </w:r>
    </w:p>
    <w:p w14:paraId="179542FB" w14:textId="2FF0EC68" w:rsidR="00C70032" w:rsidRPr="0072768E" w:rsidRDefault="00C70032" w:rsidP="00786A9D">
      <w:pPr>
        <w:pStyle w:val="Heading2"/>
        <w:numPr>
          <w:ilvl w:val="0"/>
          <w:numId w:val="1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البنوك </w:t>
      </w:r>
      <w:r w:rsidR="00BE6B62" w:rsidRPr="0072768E">
        <w:rPr>
          <w:rFonts w:ascii="Simplified Arabic" w:hAnsi="Simplified Arabic" w:cs="Simplified Arabic"/>
          <w:b/>
          <w:bCs/>
          <w:color w:val="auto"/>
          <w:sz w:val="28"/>
          <w:szCs w:val="28"/>
          <w:rtl/>
        </w:rPr>
        <w:t>التجارية المحلية: 11 بنكاً مرخصاً</w:t>
      </w:r>
      <w:r w:rsidR="00BE6B62" w:rsidRPr="0072768E">
        <w:rPr>
          <w:rFonts w:ascii="Simplified Arabic" w:hAnsi="Simplified Arabic" w:cs="Simplified Arabic" w:hint="cs"/>
          <w:b/>
          <w:bCs/>
          <w:color w:val="auto"/>
          <w:sz w:val="28"/>
          <w:szCs w:val="28"/>
          <w:rtl/>
        </w:rPr>
        <w:t>.</w:t>
      </w:r>
    </w:p>
    <w:p w14:paraId="3A79A71E" w14:textId="09B99760" w:rsidR="00C70032" w:rsidRPr="0072768E" w:rsidRDefault="00C70032" w:rsidP="00786A9D">
      <w:pPr>
        <w:pStyle w:val="Heading2"/>
        <w:numPr>
          <w:ilvl w:val="0"/>
          <w:numId w:val="1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البنوك الرقمية </w:t>
      </w:r>
      <w:r w:rsidR="00BE6B62" w:rsidRPr="0072768E">
        <w:rPr>
          <w:rFonts w:ascii="Simplified Arabic" w:hAnsi="Simplified Arabic" w:cs="Simplified Arabic"/>
          <w:b/>
          <w:bCs/>
          <w:color w:val="auto"/>
          <w:sz w:val="28"/>
          <w:szCs w:val="28"/>
          <w:rtl/>
        </w:rPr>
        <w:t>المحلية: 3 بنوك مرخصة</w:t>
      </w:r>
      <w:r w:rsidR="00BE6B62" w:rsidRPr="0072768E">
        <w:rPr>
          <w:rFonts w:ascii="Simplified Arabic" w:hAnsi="Simplified Arabic" w:cs="Simplified Arabic" w:hint="cs"/>
          <w:b/>
          <w:bCs/>
          <w:color w:val="auto"/>
          <w:sz w:val="28"/>
          <w:szCs w:val="28"/>
          <w:rtl/>
        </w:rPr>
        <w:t>.</w:t>
      </w:r>
    </w:p>
    <w:p w14:paraId="5CB9A5A8" w14:textId="77EC15C4" w:rsidR="005609CC" w:rsidRPr="0072768E" w:rsidRDefault="00C70032" w:rsidP="00786A9D">
      <w:pPr>
        <w:pStyle w:val="Heading2"/>
        <w:numPr>
          <w:ilvl w:val="0"/>
          <w:numId w:val="14"/>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شركات</w:t>
      </w:r>
      <w:r w:rsidR="005609CC" w:rsidRPr="0072768E">
        <w:rPr>
          <w:rFonts w:ascii="Simplified Arabic" w:hAnsi="Simplified Arabic" w:cs="Simplified Arabic"/>
          <w:b/>
          <w:bCs/>
          <w:color w:val="auto"/>
          <w:sz w:val="28"/>
          <w:szCs w:val="28"/>
          <w:rtl/>
        </w:rPr>
        <w:t xml:space="preserve"> التقنية المالية (المصدر: برنامج فنتك السعودية، 2023)</w:t>
      </w:r>
    </w:p>
    <w:p w14:paraId="5BF5E310" w14:textId="7F6E5653"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إجمالي الشركات المرخص</w:t>
      </w:r>
      <w:r w:rsidR="00084EFA" w:rsidRPr="0072768E">
        <w:rPr>
          <w:rFonts w:ascii="Simplified Arabic" w:hAnsi="Simplified Arabic" w:cs="Simplified Arabic" w:hint="cs"/>
          <w:color w:val="auto"/>
          <w:sz w:val="28"/>
          <w:szCs w:val="28"/>
          <w:rtl/>
        </w:rPr>
        <w:t xml:space="preserve">ة: </w:t>
      </w:r>
      <w:r w:rsidRPr="0072768E">
        <w:rPr>
          <w:rFonts w:ascii="Simplified Arabic" w:hAnsi="Simplified Arabic" w:cs="Simplified Arabic"/>
          <w:color w:val="auto"/>
          <w:sz w:val="28"/>
          <w:szCs w:val="28"/>
        </w:rPr>
        <w:t>224</w:t>
      </w:r>
      <w:r w:rsidR="001C6421"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شركة تقنية مالية</w:t>
      </w:r>
    </w:p>
    <w:p w14:paraId="0314D633" w14:textId="5D3D15B1"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شركات كبيرة</w:t>
      </w:r>
      <w:r w:rsidR="003A7D4B" w:rsidRPr="0072768E">
        <w:rPr>
          <w:rFonts w:ascii="Simplified Arabic" w:hAnsi="Simplified Arabic" w:cs="Simplified Arabic" w:hint="cs"/>
          <w:b/>
          <w:bCs/>
          <w:color w:val="auto"/>
          <w:sz w:val="28"/>
          <w:szCs w:val="28"/>
          <w:rtl/>
        </w:rPr>
        <w:t>:</w:t>
      </w:r>
      <w:r w:rsidR="003A7D4B" w:rsidRPr="0072768E">
        <w:rPr>
          <w:rFonts w:ascii="Simplified Arabic" w:hAnsi="Simplified Arabic" w:cs="Simplified Arabic" w:hint="cs"/>
          <w:color w:val="auto"/>
          <w:sz w:val="28"/>
          <w:szCs w:val="28"/>
          <w:rtl/>
        </w:rPr>
        <w:t xml:space="preserve"> </w:t>
      </w:r>
      <w:r w:rsidR="00084EFA" w:rsidRPr="0072768E">
        <w:rPr>
          <w:rFonts w:ascii="Simplified Arabic" w:hAnsi="Simplified Arabic" w:cs="Simplified Arabic" w:hint="cs"/>
          <w:color w:val="auto"/>
          <w:sz w:val="28"/>
          <w:szCs w:val="28"/>
          <w:rtl/>
        </w:rPr>
        <w:t xml:space="preserve">18 </w:t>
      </w:r>
      <w:r w:rsidRPr="0072768E">
        <w:rPr>
          <w:rFonts w:ascii="Simplified Arabic" w:hAnsi="Simplified Arabic" w:cs="Simplified Arabic"/>
          <w:color w:val="auto"/>
          <w:sz w:val="28"/>
          <w:szCs w:val="28"/>
          <w:rtl/>
        </w:rPr>
        <w:t>شركة (حجم أعمال سنو</w:t>
      </w:r>
      <w:r w:rsidR="00DB288F" w:rsidRPr="0072768E">
        <w:rPr>
          <w:rFonts w:ascii="Simplified Arabic" w:hAnsi="Simplified Arabic" w:cs="Simplified Arabic" w:hint="cs"/>
          <w:color w:val="auto"/>
          <w:sz w:val="28"/>
          <w:szCs w:val="28"/>
          <w:rtl/>
        </w:rPr>
        <w:t>ي</w:t>
      </w:r>
      <w:r w:rsidR="001C6421" w:rsidRPr="0072768E">
        <w:rPr>
          <w:rFonts w:ascii="Times New Roman" w:hAnsi="Times New Roman" w:cs="Times New Roman" w:hint="cs"/>
          <w:color w:val="auto"/>
          <w:sz w:val="28"/>
          <w:szCs w:val="28"/>
          <w:rtl/>
        </w:rPr>
        <w:t xml:space="preserve"> </w:t>
      </w:r>
      <w:r w:rsidR="001C6421" w:rsidRPr="0072768E">
        <w:rPr>
          <w:rFonts w:ascii="Times New Roman" w:hAnsi="Times New Roman" w:cs="Times New Roman"/>
          <w:color w:val="auto"/>
          <w:sz w:val="28"/>
          <w:szCs w:val="28"/>
        </w:rPr>
        <w:t>&lt;</w:t>
      </w:r>
      <w:r w:rsidR="001C6421" w:rsidRPr="0072768E">
        <w:rPr>
          <w:rFonts w:ascii="Times New Roman" w:hAnsi="Times New Roman" w:cs="Times New Roman" w:hint="cs"/>
          <w:color w:val="auto"/>
          <w:sz w:val="28"/>
          <w:szCs w:val="28"/>
          <w:rtl/>
        </w:rPr>
        <w:t xml:space="preserve"> </w:t>
      </w:r>
      <w:r w:rsidRPr="0072768E">
        <w:rPr>
          <w:rFonts w:ascii="Simplified Arabic" w:hAnsi="Simplified Arabic" w:cs="Simplified Arabic"/>
          <w:color w:val="auto"/>
          <w:sz w:val="28"/>
          <w:szCs w:val="28"/>
        </w:rPr>
        <w:t>100</w:t>
      </w:r>
      <w:r w:rsidR="00902126"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مليون ريال</w:t>
      </w:r>
      <w:r w:rsidR="003A7D4B" w:rsidRPr="0072768E">
        <w:rPr>
          <w:rFonts w:ascii="Simplified Arabic" w:hAnsi="Simplified Arabic" w:cs="Simplified Arabic" w:hint="cs"/>
          <w:color w:val="auto"/>
          <w:sz w:val="28"/>
          <w:szCs w:val="28"/>
          <w:rtl/>
        </w:rPr>
        <w:t>)</w:t>
      </w:r>
    </w:p>
    <w:p w14:paraId="516A1FE5" w14:textId="21D1FC4B"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شركات متوسط</w:t>
      </w:r>
      <w:r w:rsidR="00084EFA" w:rsidRPr="0072768E">
        <w:rPr>
          <w:rFonts w:ascii="Simplified Arabic" w:hAnsi="Simplified Arabic" w:cs="Simplified Arabic" w:hint="cs"/>
          <w:b/>
          <w:bCs/>
          <w:color w:val="auto"/>
          <w:sz w:val="28"/>
          <w:szCs w:val="28"/>
          <w:rtl/>
        </w:rPr>
        <w:t xml:space="preserve">ة: </w:t>
      </w:r>
      <w:r w:rsidR="00084EFA" w:rsidRPr="0072768E">
        <w:rPr>
          <w:rFonts w:ascii="Simplified Arabic" w:hAnsi="Simplified Arabic" w:cs="Simplified Arabic"/>
          <w:color w:val="auto"/>
          <w:sz w:val="28"/>
          <w:szCs w:val="28"/>
        </w:rPr>
        <w:t>67</w:t>
      </w:r>
      <w:r w:rsidR="00084EFA" w:rsidRPr="0072768E">
        <w:rPr>
          <w:rFonts w:ascii="Simplified Arabic" w:hAnsi="Simplified Arabic" w:cs="Simplified Arabic" w:hint="cs"/>
          <w:color w:val="auto"/>
          <w:sz w:val="28"/>
          <w:szCs w:val="28"/>
          <w:rtl/>
        </w:rPr>
        <w:t xml:space="preserve"> </w:t>
      </w:r>
      <w:r w:rsidR="00084EFA" w:rsidRPr="0072768E">
        <w:rPr>
          <w:rFonts w:ascii="Simplified Arabic" w:hAnsi="Simplified Arabic" w:cs="Simplified Arabic"/>
          <w:color w:val="auto"/>
          <w:sz w:val="28"/>
          <w:szCs w:val="28"/>
          <w:rtl/>
        </w:rPr>
        <w:t>شركة</w:t>
      </w:r>
      <w:r w:rsidRPr="0072768E">
        <w:rPr>
          <w:rFonts w:ascii="Simplified Arabic" w:hAnsi="Simplified Arabic" w:cs="Simplified Arabic"/>
          <w:color w:val="auto"/>
          <w:sz w:val="28"/>
          <w:szCs w:val="28"/>
          <w:rtl/>
        </w:rPr>
        <w:t xml:space="preserve"> (حجم أعمال سنوي 10-100 مليون ريال)</w:t>
      </w:r>
    </w:p>
    <w:p w14:paraId="6F5664F7" w14:textId="28379B17"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شركات صغيرة وناشئ</w:t>
      </w:r>
      <w:r w:rsidR="00084EFA" w:rsidRPr="0072768E">
        <w:rPr>
          <w:rFonts w:ascii="Simplified Arabic" w:hAnsi="Simplified Arabic" w:cs="Simplified Arabic" w:hint="cs"/>
          <w:b/>
          <w:bCs/>
          <w:color w:val="auto"/>
          <w:sz w:val="28"/>
          <w:szCs w:val="28"/>
          <w:rtl/>
        </w:rPr>
        <w:t xml:space="preserve">ة: </w:t>
      </w:r>
      <w:r w:rsidR="00084EFA" w:rsidRPr="0072768E">
        <w:rPr>
          <w:rFonts w:ascii="Simplified Arabic" w:hAnsi="Simplified Arabic" w:cs="Simplified Arabic"/>
          <w:color w:val="auto"/>
          <w:sz w:val="28"/>
          <w:szCs w:val="28"/>
        </w:rPr>
        <w:t>139</w:t>
      </w:r>
      <w:r w:rsidR="00084EFA" w:rsidRPr="0072768E">
        <w:rPr>
          <w:rFonts w:ascii="Simplified Arabic" w:hAnsi="Simplified Arabic" w:cs="Simplified Arabic" w:hint="cs"/>
          <w:color w:val="auto"/>
          <w:sz w:val="28"/>
          <w:szCs w:val="28"/>
          <w:rtl/>
        </w:rPr>
        <w:t xml:space="preserve"> </w:t>
      </w:r>
      <w:r w:rsidR="00084EFA" w:rsidRPr="0072768E">
        <w:rPr>
          <w:rFonts w:ascii="Simplified Arabic" w:hAnsi="Simplified Arabic" w:cs="Simplified Arabic"/>
          <w:color w:val="auto"/>
          <w:sz w:val="28"/>
          <w:szCs w:val="28"/>
          <w:rtl/>
        </w:rPr>
        <w:t>شركة</w:t>
      </w:r>
      <w:r w:rsidRPr="0072768E">
        <w:rPr>
          <w:rFonts w:ascii="Simplified Arabic" w:hAnsi="Simplified Arabic" w:cs="Simplified Arabic"/>
          <w:color w:val="auto"/>
          <w:sz w:val="28"/>
          <w:szCs w:val="28"/>
          <w:rtl/>
        </w:rPr>
        <w:t xml:space="preserve"> (حجم أعمال سنو</w:t>
      </w:r>
      <w:r w:rsidR="00902126" w:rsidRPr="0072768E">
        <w:rPr>
          <w:rFonts w:ascii="Simplified Arabic" w:hAnsi="Simplified Arabic" w:cs="Simplified Arabic" w:hint="cs"/>
          <w:color w:val="auto"/>
          <w:sz w:val="28"/>
          <w:szCs w:val="28"/>
          <w:rtl/>
        </w:rPr>
        <w:t xml:space="preserve">ي </w:t>
      </w:r>
      <w:r w:rsidR="00902126" w:rsidRPr="0072768E">
        <w:rPr>
          <w:rFonts w:ascii="Simplified Arabic" w:hAnsi="Simplified Arabic" w:cs="Simplified Arabic"/>
          <w:color w:val="auto"/>
          <w:sz w:val="28"/>
          <w:szCs w:val="28"/>
        </w:rPr>
        <w:t>&gt;</w:t>
      </w:r>
      <w:r w:rsidR="00902126" w:rsidRPr="0072768E">
        <w:rPr>
          <w:rFonts w:ascii="Simplified Arabic" w:hAnsi="Simplified Arabic" w:cs="Simplified Arabic" w:hint="cs"/>
          <w:color w:val="auto"/>
          <w:sz w:val="28"/>
          <w:szCs w:val="28"/>
          <w:rtl/>
        </w:rPr>
        <w:t xml:space="preserve"> 10 </w:t>
      </w:r>
      <w:r w:rsidRPr="0072768E">
        <w:rPr>
          <w:rFonts w:ascii="Simplified Arabic" w:hAnsi="Simplified Arabic" w:cs="Simplified Arabic"/>
          <w:color w:val="auto"/>
          <w:sz w:val="28"/>
          <w:szCs w:val="28"/>
          <w:rtl/>
        </w:rPr>
        <w:t>مليون ريال</w:t>
      </w:r>
      <w:r w:rsidR="003A7D4B" w:rsidRPr="0072768E">
        <w:rPr>
          <w:rFonts w:ascii="Simplified Arabic" w:hAnsi="Simplified Arabic" w:cs="Simplified Arabic" w:hint="cs"/>
          <w:color w:val="auto"/>
          <w:sz w:val="28"/>
          <w:szCs w:val="28"/>
          <w:rtl/>
        </w:rPr>
        <w:t>)</w:t>
      </w:r>
    </w:p>
    <w:p w14:paraId="606C413A" w14:textId="203D3BFF" w:rsidR="00B95BC3" w:rsidRPr="0072768E" w:rsidRDefault="00B95BC3" w:rsidP="00B95BC3">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إجمالي مجتمع الدراسة</w:t>
      </w:r>
      <w:r w:rsidRPr="0072768E">
        <w:rPr>
          <w:rFonts w:ascii="Simplified Arabic" w:hAnsi="Simplified Arabic" w:cs="Simplified Arabic" w:hint="cs"/>
          <w:b/>
          <w:bCs/>
          <w:color w:val="auto"/>
          <w:sz w:val="28"/>
          <w:szCs w:val="28"/>
          <w:rtl/>
        </w:rPr>
        <w:t xml:space="preserve">: </w:t>
      </w:r>
      <w:r w:rsidR="003A7D4B" w:rsidRPr="0072768E">
        <w:rPr>
          <w:rFonts w:ascii="Simplified Arabic" w:hAnsi="Simplified Arabic" w:cs="Simplified Arabic" w:hint="cs"/>
          <w:color w:val="auto"/>
          <w:sz w:val="28"/>
          <w:szCs w:val="28"/>
          <w:rtl/>
        </w:rPr>
        <w:t>238</w:t>
      </w:r>
      <w:r w:rsidR="003A7D4B"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color w:val="auto"/>
          <w:sz w:val="28"/>
          <w:szCs w:val="28"/>
          <w:rtl/>
        </w:rPr>
        <w:t>مؤسسة مالية (14 بنك + 224 شركة تقنية مالية)</w:t>
      </w:r>
    </w:p>
    <w:p w14:paraId="46DD0A1D" w14:textId="77777777" w:rsidR="00B95BC3" w:rsidRPr="0072768E" w:rsidRDefault="00B95BC3" w:rsidP="00B95BC3">
      <w:pPr>
        <w:bidi/>
        <w:rPr>
          <w:rtl/>
        </w:rPr>
      </w:pPr>
    </w:p>
    <w:p w14:paraId="1E6D5146" w14:textId="5142EB41" w:rsidR="00DD12BB" w:rsidRPr="0072768E" w:rsidRDefault="003235C8" w:rsidP="00C70032">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عينة الدراسة:</w:t>
      </w:r>
    </w:p>
    <w:p w14:paraId="6F3E625E" w14:textId="77777777" w:rsidR="00EE7EE6" w:rsidRPr="0072768E" w:rsidRDefault="00EE7EE6" w:rsidP="00EE7EE6">
      <w:pPr>
        <w:bidi/>
        <w:spacing w:after="200" w:line="276" w:lineRule="auto"/>
        <w:jc w:val="both"/>
        <w:rPr>
          <w:rFonts w:ascii="Simplified Arabic" w:hAnsi="Simplified Arabic" w:cs="Simplified Arabic"/>
          <w:sz w:val="28"/>
          <w:szCs w:val="28"/>
        </w:rPr>
      </w:pPr>
      <w:bookmarkStart w:id="84" w:name="_Hlk195363915"/>
      <w:r w:rsidRPr="0072768E">
        <w:rPr>
          <w:rFonts w:ascii="Simplified Arabic" w:hAnsi="Simplified Arabic" w:cs="Simplified Arabic"/>
          <w:sz w:val="28"/>
          <w:szCs w:val="28"/>
          <w:rtl/>
        </w:rPr>
        <w:t xml:space="preserve">نظراً لطبيعة الدراسة التي تتطلب مؤسسات لديها خبرة أو تطبيق فعلي لتقنية الترميز، تم اختيار </w:t>
      </w:r>
      <w:r w:rsidRPr="0072768E">
        <w:rPr>
          <w:rFonts w:ascii="Simplified Arabic" w:hAnsi="Simplified Arabic" w:cs="Simplified Arabic"/>
          <w:b/>
          <w:bCs/>
          <w:sz w:val="28"/>
          <w:szCs w:val="28"/>
          <w:rtl/>
        </w:rPr>
        <w:t>عينة قصدية (غير عشوائية)</w:t>
      </w:r>
      <w:r w:rsidRPr="0072768E">
        <w:rPr>
          <w:rFonts w:ascii="Simplified Arabic" w:hAnsi="Simplified Arabic" w:cs="Simplified Arabic"/>
          <w:sz w:val="28"/>
          <w:szCs w:val="28"/>
          <w:rtl/>
        </w:rPr>
        <w:t xml:space="preserve"> وفقاً للمعايير التالية</w:t>
      </w:r>
      <w:r w:rsidRPr="0072768E">
        <w:rPr>
          <w:rFonts w:ascii="Simplified Arabic" w:hAnsi="Simplified Arabic" w:cs="Simplified Arabic"/>
          <w:sz w:val="28"/>
          <w:szCs w:val="28"/>
        </w:rPr>
        <w:t>:</w:t>
      </w:r>
    </w:p>
    <w:p w14:paraId="4AB314C3" w14:textId="77777777" w:rsidR="00146BC6" w:rsidRPr="0072768E" w:rsidRDefault="00146BC6" w:rsidP="000D3DC3">
      <w:pPr>
        <w:pStyle w:val="Heading3"/>
        <w:bidi/>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lastRenderedPageBreak/>
        <w:t>معايير الاختيار</w:t>
      </w:r>
      <w:r w:rsidRPr="0072768E">
        <w:rPr>
          <w:rFonts w:ascii="Simplified Arabic" w:hAnsi="Simplified Arabic" w:cs="Simplified Arabic" w:hint="cs"/>
          <w:b/>
          <w:bCs/>
          <w:color w:val="auto"/>
          <w:sz w:val="28"/>
          <w:szCs w:val="28"/>
          <w:rtl/>
        </w:rPr>
        <w:t>:</w:t>
      </w:r>
    </w:p>
    <w:p w14:paraId="139973E4" w14:textId="1B59A46E"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المؤسسات التي تطبق حالياً تقنية الترميز في عملياتها </w:t>
      </w:r>
    </w:p>
    <w:p w14:paraId="00FFA037" w14:textId="495D89DD"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المؤسسات التي لديها خطط واضحة لتطبيق تقنية الترميز خلال عامين </w:t>
      </w:r>
    </w:p>
    <w:p w14:paraId="69B1FBCD" w14:textId="247EB961"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توفر خبراء تقنيين ومسؤولين يمكنهم تقديم معلومات دقيقة </w:t>
      </w:r>
    </w:p>
    <w:p w14:paraId="7E357D01" w14:textId="4CE04316"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الموافقة على المشاركة في الدراسة</w:t>
      </w:r>
    </w:p>
    <w:p w14:paraId="415B7A4F" w14:textId="77777777" w:rsidR="00146BC6" w:rsidRPr="0072768E" w:rsidRDefault="00146BC6" w:rsidP="00146BC6">
      <w:pPr>
        <w:bidi/>
        <w:rPr>
          <w:rtl/>
        </w:rPr>
      </w:pPr>
    </w:p>
    <w:p w14:paraId="24DC54BC" w14:textId="77777777" w:rsidR="005634D4" w:rsidRPr="0072768E" w:rsidRDefault="005634D4" w:rsidP="005634D4">
      <w:pPr>
        <w:pStyle w:val="Heading3"/>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تركيبة العينة القصدية</w:t>
      </w:r>
      <w:r w:rsidRPr="0072768E">
        <w:rPr>
          <w:rFonts w:ascii="Simplified Arabic" w:hAnsi="Simplified Arabic" w:cs="Simplified Arabic"/>
          <w:b/>
          <w:bCs/>
          <w:color w:val="auto"/>
          <w:sz w:val="28"/>
          <w:szCs w:val="28"/>
        </w:rPr>
        <w:t>:</w:t>
      </w:r>
    </w:p>
    <w:p w14:paraId="5030CDEB" w14:textId="290860D5" w:rsidR="00275033" w:rsidRPr="0072768E" w:rsidRDefault="00275033" w:rsidP="00786A9D">
      <w:pPr>
        <w:pStyle w:val="Heading2"/>
        <w:numPr>
          <w:ilvl w:val="0"/>
          <w:numId w:val="54"/>
        </w:numPr>
        <w:bidi/>
        <w:spacing w:before="160" w:after="80"/>
        <w:ind w:left="432" w:hanging="432"/>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البنوك المختارة (7 بنوك)</w:t>
      </w:r>
      <w:r w:rsidR="00CF4B56" w:rsidRPr="0072768E">
        <w:rPr>
          <w:rFonts w:ascii="Simplified Arabic" w:hAnsi="Simplified Arabic" w:cs="Simplified Arabic" w:hint="cs"/>
          <w:b/>
          <w:bCs/>
          <w:color w:val="auto"/>
          <w:sz w:val="28"/>
          <w:szCs w:val="28"/>
          <w:rtl/>
        </w:rPr>
        <w:t>:</w:t>
      </w:r>
    </w:p>
    <w:p w14:paraId="6CD78186" w14:textId="22529470" w:rsidR="00CF4B56" w:rsidRPr="0072768E" w:rsidRDefault="00CF4B56" w:rsidP="00786A9D">
      <w:pPr>
        <w:pStyle w:val="Heading2"/>
        <w:numPr>
          <w:ilvl w:val="0"/>
          <w:numId w:val="5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3</w:t>
      </w:r>
      <w:r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tl/>
        </w:rPr>
        <w:t>بنوك تقليدية</w:t>
      </w:r>
      <w:r w:rsidRPr="0072768E">
        <w:rPr>
          <w:rFonts w:ascii="Simplified Arabic" w:hAnsi="Simplified Arabic" w:cs="Simplified Arabic"/>
          <w:color w:val="auto"/>
          <w:sz w:val="28"/>
          <w:szCs w:val="28"/>
          <w:rtl/>
        </w:rPr>
        <w:t>: البنك السعودي البريطاني (ساب)، البنك السعودي للاستثمار، بنك الإنماء</w:t>
      </w:r>
      <w:r w:rsidRPr="0072768E">
        <w:rPr>
          <w:rFonts w:ascii="Simplified Arabic" w:hAnsi="Simplified Arabic" w:cs="Simplified Arabic"/>
          <w:b/>
          <w:bCs/>
          <w:color w:val="auto"/>
          <w:sz w:val="28"/>
          <w:szCs w:val="28"/>
          <w:rtl/>
        </w:rPr>
        <w:t xml:space="preserve"> </w:t>
      </w:r>
    </w:p>
    <w:p w14:paraId="2290F58E" w14:textId="33BE3060" w:rsidR="00CF4B56" w:rsidRPr="0072768E" w:rsidRDefault="00CF4B56" w:rsidP="00786A9D">
      <w:pPr>
        <w:pStyle w:val="Heading2"/>
        <w:numPr>
          <w:ilvl w:val="0"/>
          <w:numId w:val="55"/>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Pr>
        <w:t>2</w:t>
      </w:r>
      <w:r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tl/>
        </w:rPr>
        <w:t xml:space="preserve">بنوك رقمية: </w:t>
      </w:r>
      <w:r w:rsidRPr="0072768E">
        <w:rPr>
          <w:rFonts w:ascii="Simplified Arabic" w:hAnsi="Simplified Arabic" w:cs="Simplified Arabic"/>
          <w:color w:val="auto"/>
          <w:sz w:val="28"/>
          <w:szCs w:val="28"/>
          <w:rtl/>
        </w:rPr>
        <w:t xml:space="preserve">بنك إس تي سي، بنك د 360 </w:t>
      </w:r>
    </w:p>
    <w:p w14:paraId="25944C52" w14:textId="46437582" w:rsidR="00CF4B56" w:rsidRPr="0072768E" w:rsidRDefault="00CF4B56" w:rsidP="00CF4B56">
      <w:pPr>
        <w:pStyle w:val="Heading2"/>
        <w:bidi/>
        <w:spacing w:before="160" w:after="80"/>
        <w:jc w:val="both"/>
        <w:rPr>
          <w:rFonts w:ascii="Simplified Arabic" w:hAnsi="Simplified Arabic" w:cs="Simplified Arabic"/>
          <w:color w:val="auto"/>
          <w:sz w:val="28"/>
          <w:szCs w:val="28"/>
          <w:rtl/>
        </w:rPr>
      </w:pPr>
      <w:r w:rsidRPr="0072768E">
        <w:rPr>
          <w:rFonts w:ascii="Simplified Arabic" w:hAnsi="Simplified Arabic" w:cs="Simplified Arabic"/>
          <w:b/>
          <w:bCs/>
          <w:color w:val="auto"/>
          <w:sz w:val="28"/>
          <w:szCs w:val="28"/>
          <w:rtl/>
        </w:rPr>
        <w:t>مبرر الاختيار</w:t>
      </w:r>
      <w:r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color w:val="auto"/>
          <w:sz w:val="28"/>
          <w:szCs w:val="28"/>
          <w:rtl/>
        </w:rPr>
        <w:t>هذه البنوك رائدة في تطبيق التقنيات المالية الحديثة ولديها استثمارات كبيرة في</w:t>
      </w:r>
      <w:r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الترميز</w:t>
      </w:r>
      <w:r w:rsidRPr="0072768E">
        <w:rPr>
          <w:rFonts w:ascii="Simplified Arabic" w:hAnsi="Simplified Arabic" w:cs="Simplified Arabic" w:hint="cs"/>
          <w:color w:val="auto"/>
          <w:sz w:val="28"/>
          <w:szCs w:val="28"/>
          <w:rtl/>
        </w:rPr>
        <w:t>.</w:t>
      </w:r>
    </w:p>
    <w:p w14:paraId="7BA2CADF" w14:textId="461258D5" w:rsidR="00146BC6" w:rsidRPr="0072768E" w:rsidRDefault="003D062F" w:rsidP="00786A9D">
      <w:pPr>
        <w:pStyle w:val="Heading2"/>
        <w:numPr>
          <w:ilvl w:val="0"/>
          <w:numId w:val="54"/>
        </w:numPr>
        <w:bidi/>
        <w:spacing w:before="160" w:after="80"/>
        <w:ind w:left="432" w:hanging="432"/>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شركات التقنية المالية (</w:t>
      </w:r>
      <w:r w:rsidR="008B54F8" w:rsidRPr="0072768E">
        <w:rPr>
          <w:rFonts w:ascii="Simplified Arabic" w:hAnsi="Simplified Arabic" w:cs="Simplified Arabic" w:hint="cs"/>
          <w:b/>
          <w:bCs/>
          <w:color w:val="auto"/>
          <w:sz w:val="28"/>
          <w:szCs w:val="28"/>
          <w:rtl/>
        </w:rPr>
        <w:t>6 شركات</w:t>
      </w:r>
      <w:r w:rsidRPr="0072768E">
        <w:rPr>
          <w:rFonts w:ascii="Simplified Arabic" w:hAnsi="Simplified Arabic" w:cs="Simplified Arabic"/>
          <w:b/>
          <w:bCs/>
          <w:color w:val="auto"/>
          <w:sz w:val="28"/>
          <w:szCs w:val="28"/>
          <w:rtl/>
        </w:rPr>
        <w:t>)</w:t>
      </w:r>
      <w:r w:rsidRPr="0072768E">
        <w:rPr>
          <w:rFonts w:ascii="Simplified Arabic" w:hAnsi="Simplified Arabic" w:cs="Simplified Arabic"/>
          <w:b/>
          <w:bCs/>
          <w:color w:val="auto"/>
          <w:sz w:val="28"/>
          <w:szCs w:val="28"/>
        </w:rPr>
        <w:t>:</w:t>
      </w:r>
    </w:p>
    <w:p w14:paraId="4368B832" w14:textId="0426F85E" w:rsidR="008437E3" w:rsidRPr="0072768E" w:rsidRDefault="004332D4" w:rsidP="00786A9D">
      <w:pPr>
        <w:pStyle w:val="Heading2"/>
        <w:numPr>
          <w:ilvl w:val="0"/>
          <w:numId w:val="56"/>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hint="cs"/>
          <w:b/>
          <w:bCs/>
          <w:color w:val="auto"/>
          <w:sz w:val="28"/>
          <w:szCs w:val="28"/>
          <w:rtl/>
        </w:rPr>
        <w:t xml:space="preserve">عدد </w:t>
      </w:r>
      <w:r w:rsidR="008B54F8" w:rsidRPr="0072768E">
        <w:rPr>
          <w:rFonts w:ascii="Simplified Arabic" w:hAnsi="Simplified Arabic" w:cs="Simplified Arabic" w:hint="cs"/>
          <w:b/>
          <w:bCs/>
          <w:color w:val="auto"/>
          <w:sz w:val="28"/>
          <w:szCs w:val="28"/>
          <w:rtl/>
        </w:rPr>
        <w:t>3</w:t>
      </w:r>
      <w:r w:rsidRPr="0072768E">
        <w:rPr>
          <w:rFonts w:ascii="Simplified Arabic" w:hAnsi="Simplified Arabic" w:cs="Simplified Arabic" w:hint="cs"/>
          <w:b/>
          <w:bCs/>
          <w:color w:val="auto"/>
          <w:sz w:val="28"/>
          <w:szCs w:val="28"/>
          <w:rtl/>
        </w:rPr>
        <w:t xml:space="preserve"> </w:t>
      </w:r>
      <w:r w:rsidR="008437E3" w:rsidRPr="0072768E">
        <w:rPr>
          <w:rFonts w:ascii="Simplified Arabic" w:hAnsi="Simplified Arabic" w:cs="Simplified Arabic"/>
          <w:b/>
          <w:bCs/>
          <w:color w:val="auto"/>
          <w:sz w:val="28"/>
          <w:szCs w:val="28"/>
          <w:rtl/>
        </w:rPr>
        <w:t>شركات كبير</w:t>
      </w:r>
      <w:r w:rsidRPr="0072768E">
        <w:rPr>
          <w:rFonts w:ascii="Simplified Arabic" w:hAnsi="Simplified Arabic" w:cs="Simplified Arabic" w:hint="cs"/>
          <w:b/>
          <w:bCs/>
          <w:color w:val="auto"/>
          <w:sz w:val="28"/>
          <w:szCs w:val="28"/>
          <w:rtl/>
        </w:rPr>
        <w:t xml:space="preserve">ة: </w:t>
      </w:r>
      <w:r w:rsidR="008437E3" w:rsidRPr="0072768E">
        <w:rPr>
          <w:rFonts w:ascii="Simplified Arabic" w:hAnsi="Simplified Arabic" w:cs="Simplified Arabic"/>
          <w:b/>
          <w:bCs/>
          <w:color w:val="auto"/>
          <w:sz w:val="28"/>
          <w:szCs w:val="28"/>
        </w:rPr>
        <w:t>Tamara</w:t>
      </w:r>
      <w:r w:rsidR="008437E3" w:rsidRPr="0072768E">
        <w:rPr>
          <w:rFonts w:ascii="Simplified Arabic" w:hAnsi="Simplified Arabic" w:cs="Simplified Arabic"/>
          <w:b/>
          <w:bCs/>
          <w:color w:val="auto"/>
          <w:sz w:val="28"/>
          <w:szCs w:val="28"/>
          <w:rtl/>
        </w:rPr>
        <w:t xml:space="preserve">، </w:t>
      </w:r>
      <w:r w:rsidR="008437E3" w:rsidRPr="0072768E">
        <w:rPr>
          <w:rFonts w:ascii="Simplified Arabic" w:hAnsi="Simplified Arabic" w:cs="Simplified Arabic"/>
          <w:b/>
          <w:bCs/>
          <w:color w:val="auto"/>
          <w:sz w:val="28"/>
          <w:szCs w:val="28"/>
        </w:rPr>
        <w:t>Hala</w:t>
      </w:r>
      <w:r w:rsidR="008437E3" w:rsidRPr="0072768E">
        <w:rPr>
          <w:rFonts w:ascii="Simplified Arabic" w:hAnsi="Simplified Arabic" w:cs="Simplified Arabic"/>
          <w:b/>
          <w:bCs/>
          <w:color w:val="auto"/>
          <w:sz w:val="28"/>
          <w:szCs w:val="28"/>
          <w:rtl/>
        </w:rPr>
        <w:t xml:space="preserve">، </w:t>
      </w:r>
      <w:r w:rsidR="008437E3" w:rsidRPr="0072768E">
        <w:rPr>
          <w:rFonts w:ascii="Simplified Arabic" w:hAnsi="Simplified Arabic" w:cs="Simplified Arabic"/>
          <w:b/>
          <w:bCs/>
          <w:color w:val="auto"/>
          <w:sz w:val="28"/>
          <w:szCs w:val="28"/>
        </w:rPr>
        <w:t>Rasan</w:t>
      </w:r>
      <w:r w:rsidR="008B54F8" w:rsidRPr="0072768E">
        <w:rPr>
          <w:rFonts w:ascii="Simplified Arabic" w:hAnsi="Simplified Arabic" w:cs="Simplified Arabic" w:hint="cs"/>
          <w:b/>
          <w:bCs/>
          <w:color w:val="auto"/>
          <w:sz w:val="28"/>
          <w:szCs w:val="28"/>
          <w:rtl/>
        </w:rPr>
        <w:t>.</w:t>
      </w:r>
    </w:p>
    <w:p w14:paraId="236F26F0" w14:textId="1D2D7164" w:rsidR="008437E3" w:rsidRPr="0072768E" w:rsidRDefault="004332D4" w:rsidP="00786A9D">
      <w:pPr>
        <w:pStyle w:val="Heading2"/>
        <w:numPr>
          <w:ilvl w:val="0"/>
          <w:numId w:val="56"/>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hint="cs"/>
          <w:b/>
          <w:bCs/>
          <w:color w:val="auto"/>
          <w:sz w:val="28"/>
          <w:szCs w:val="28"/>
          <w:rtl/>
        </w:rPr>
        <w:t xml:space="preserve">عدد </w:t>
      </w:r>
      <w:r w:rsidR="008B54F8" w:rsidRPr="0072768E">
        <w:rPr>
          <w:rFonts w:ascii="Simplified Arabic" w:hAnsi="Simplified Arabic" w:cs="Simplified Arabic" w:hint="cs"/>
          <w:b/>
          <w:bCs/>
          <w:color w:val="auto"/>
          <w:sz w:val="28"/>
          <w:szCs w:val="28"/>
          <w:rtl/>
        </w:rPr>
        <w:t>2</w:t>
      </w:r>
      <w:r w:rsidRPr="0072768E">
        <w:rPr>
          <w:rFonts w:ascii="Simplified Arabic" w:hAnsi="Simplified Arabic" w:cs="Simplified Arabic" w:hint="cs"/>
          <w:b/>
          <w:bCs/>
          <w:color w:val="auto"/>
          <w:sz w:val="28"/>
          <w:szCs w:val="28"/>
          <w:rtl/>
        </w:rPr>
        <w:t xml:space="preserve"> </w:t>
      </w:r>
      <w:r w:rsidR="008437E3" w:rsidRPr="0072768E">
        <w:rPr>
          <w:rFonts w:ascii="Simplified Arabic" w:hAnsi="Simplified Arabic" w:cs="Simplified Arabic"/>
          <w:b/>
          <w:bCs/>
          <w:color w:val="auto"/>
          <w:sz w:val="28"/>
          <w:szCs w:val="28"/>
          <w:rtl/>
        </w:rPr>
        <w:t>شركات متوسط</w:t>
      </w:r>
      <w:r w:rsidRPr="0072768E">
        <w:rPr>
          <w:rFonts w:ascii="Simplified Arabic" w:hAnsi="Simplified Arabic" w:cs="Simplified Arabic" w:hint="cs"/>
          <w:b/>
          <w:bCs/>
          <w:color w:val="auto"/>
          <w:sz w:val="28"/>
          <w:szCs w:val="28"/>
          <w:rtl/>
        </w:rPr>
        <w:t xml:space="preserve">ة: </w:t>
      </w:r>
      <w:r w:rsidR="008437E3" w:rsidRPr="0072768E">
        <w:rPr>
          <w:rFonts w:ascii="Simplified Arabic" w:hAnsi="Simplified Arabic" w:cs="Simplified Arabic"/>
          <w:b/>
          <w:bCs/>
          <w:color w:val="auto"/>
          <w:sz w:val="28"/>
          <w:szCs w:val="28"/>
        </w:rPr>
        <w:t>Telr Payments</w:t>
      </w:r>
      <w:r w:rsidR="008437E3" w:rsidRPr="0072768E">
        <w:rPr>
          <w:rFonts w:ascii="Simplified Arabic" w:hAnsi="Simplified Arabic" w:cs="Simplified Arabic"/>
          <w:b/>
          <w:bCs/>
          <w:color w:val="auto"/>
          <w:sz w:val="28"/>
          <w:szCs w:val="28"/>
          <w:rtl/>
        </w:rPr>
        <w:t xml:space="preserve">، </w:t>
      </w:r>
      <w:r w:rsidR="008437E3" w:rsidRPr="0072768E">
        <w:rPr>
          <w:rFonts w:ascii="Simplified Arabic" w:hAnsi="Simplified Arabic" w:cs="Simplified Arabic"/>
          <w:b/>
          <w:bCs/>
          <w:color w:val="auto"/>
          <w:sz w:val="28"/>
          <w:szCs w:val="28"/>
        </w:rPr>
        <w:t>Forus</w:t>
      </w:r>
      <w:r w:rsidR="008B54F8" w:rsidRPr="0072768E">
        <w:rPr>
          <w:rFonts w:ascii="Simplified Arabic" w:hAnsi="Simplified Arabic" w:cs="Simplified Arabic" w:hint="cs"/>
          <w:b/>
          <w:bCs/>
          <w:color w:val="auto"/>
          <w:sz w:val="28"/>
          <w:szCs w:val="28"/>
          <w:rtl/>
        </w:rPr>
        <w:t>.</w:t>
      </w:r>
    </w:p>
    <w:p w14:paraId="7A3597AE" w14:textId="0B75DAC1" w:rsidR="008437E3" w:rsidRPr="0072768E" w:rsidRDefault="00861188" w:rsidP="00786A9D">
      <w:pPr>
        <w:pStyle w:val="Heading2"/>
        <w:numPr>
          <w:ilvl w:val="0"/>
          <w:numId w:val="56"/>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hint="cs"/>
          <w:b/>
          <w:bCs/>
          <w:color w:val="auto"/>
          <w:sz w:val="28"/>
          <w:szCs w:val="28"/>
          <w:rtl/>
        </w:rPr>
        <w:t xml:space="preserve">عدد </w:t>
      </w:r>
      <w:r w:rsidR="008B54F8" w:rsidRPr="0072768E">
        <w:rPr>
          <w:rFonts w:ascii="Simplified Arabic" w:hAnsi="Simplified Arabic" w:cs="Simplified Arabic" w:hint="cs"/>
          <w:b/>
          <w:bCs/>
          <w:color w:val="auto"/>
          <w:sz w:val="28"/>
          <w:szCs w:val="28"/>
          <w:rtl/>
        </w:rPr>
        <w:t>1</w:t>
      </w:r>
      <w:r w:rsidRPr="0072768E">
        <w:rPr>
          <w:rFonts w:ascii="Simplified Arabic" w:hAnsi="Simplified Arabic" w:cs="Simplified Arabic" w:hint="cs"/>
          <w:b/>
          <w:bCs/>
          <w:color w:val="auto"/>
          <w:sz w:val="28"/>
          <w:szCs w:val="28"/>
          <w:rtl/>
        </w:rPr>
        <w:t xml:space="preserve"> </w:t>
      </w:r>
      <w:r w:rsidR="008437E3" w:rsidRPr="0072768E">
        <w:rPr>
          <w:rFonts w:ascii="Simplified Arabic" w:hAnsi="Simplified Arabic" w:cs="Simplified Arabic"/>
          <w:b/>
          <w:bCs/>
          <w:color w:val="auto"/>
          <w:sz w:val="28"/>
          <w:szCs w:val="28"/>
          <w:rtl/>
        </w:rPr>
        <w:t>شرك</w:t>
      </w:r>
      <w:r w:rsidR="008B54F8" w:rsidRPr="0072768E">
        <w:rPr>
          <w:rFonts w:ascii="Simplified Arabic" w:hAnsi="Simplified Arabic" w:cs="Simplified Arabic" w:hint="cs"/>
          <w:b/>
          <w:bCs/>
          <w:color w:val="auto"/>
          <w:sz w:val="28"/>
          <w:szCs w:val="28"/>
          <w:rtl/>
        </w:rPr>
        <w:t>ة</w:t>
      </w:r>
      <w:r w:rsidR="008437E3" w:rsidRPr="0072768E">
        <w:rPr>
          <w:rFonts w:ascii="Simplified Arabic" w:hAnsi="Simplified Arabic" w:cs="Simplified Arabic"/>
          <w:b/>
          <w:bCs/>
          <w:color w:val="auto"/>
          <w:sz w:val="28"/>
          <w:szCs w:val="28"/>
          <w:rtl/>
        </w:rPr>
        <w:t xml:space="preserve"> صغيرة/ناشئ</w:t>
      </w:r>
      <w:r w:rsidRPr="0072768E">
        <w:rPr>
          <w:rFonts w:ascii="Simplified Arabic" w:hAnsi="Simplified Arabic" w:cs="Simplified Arabic" w:hint="cs"/>
          <w:b/>
          <w:bCs/>
          <w:color w:val="auto"/>
          <w:sz w:val="28"/>
          <w:szCs w:val="28"/>
          <w:rtl/>
        </w:rPr>
        <w:t xml:space="preserve">ة: </w:t>
      </w:r>
      <w:r w:rsidR="008437E3" w:rsidRPr="0072768E">
        <w:rPr>
          <w:rFonts w:ascii="Simplified Arabic" w:hAnsi="Simplified Arabic" w:cs="Simplified Arabic"/>
          <w:b/>
          <w:bCs/>
          <w:color w:val="auto"/>
          <w:sz w:val="28"/>
          <w:szCs w:val="28"/>
        </w:rPr>
        <w:t>Pay Hence</w:t>
      </w:r>
      <w:r w:rsidR="008B54F8" w:rsidRPr="0072768E">
        <w:rPr>
          <w:rFonts w:ascii="Simplified Arabic" w:hAnsi="Simplified Arabic" w:cs="Simplified Arabic" w:hint="cs"/>
          <w:b/>
          <w:bCs/>
          <w:color w:val="auto"/>
          <w:sz w:val="28"/>
          <w:szCs w:val="28"/>
          <w:rtl/>
        </w:rPr>
        <w:t>.</w:t>
      </w:r>
    </w:p>
    <w:p w14:paraId="7508EDE3" w14:textId="77777777" w:rsidR="008437E3" w:rsidRPr="0072768E" w:rsidRDefault="008437E3" w:rsidP="00861188">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مبرر الاختيار: </w:t>
      </w:r>
      <w:r w:rsidRPr="0072768E">
        <w:rPr>
          <w:rFonts w:ascii="Simplified Arabic" w:hAnsi="Simplified Arabic" w:cs="Simplified Arabic"/>
          <w:color w:val="auto"/>
          <w:sz w:val="28"/>
          <w:szCs w:val="28"/>
          <w:rtl/>
        </w:rPr>
        <w:t>تمثل مختلف أحجام الشركات وتطبيقات الترميز المتنوعة</w:t>
      </w:r>
    </w:p>
    <w:p w14:paraId="729B0B15" w14:textId="356882C4" w:rsidR="008437E3" w:rsidRPr="0072768E" w:rsidRDefault="008437E3" w:rsidP="00861188">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color w:val="auto"/>
          <w:sz w:val="28"/>
          <w:szCs w:val="28"/>
          <w:rtl/>
        </w:rPr>
        <w:t>إجمالي عينة الدراس</w:t>
      </w:r>
      <w:r w:rsidR="00861188" w:rsidRPr="0072768E">
        <w:rPr>
          <w:rFonts w:ascii="Simplified Arabic" w:hAnsi="Simplified Arabic" w:cs="Simplified Arabic" w:hint="cs"/>
          <w:color w:val="auto"/>
          <w:sz w:val="28"/>
          <w:szCs w:val="28"/>
          <w:rtl/>
        </w:rPr>
        <w:t xml:space="preserve">ة: </w:t>
      </w:r>
      <w:r w:rsidRPr="0072768E">
        <w:rPr>
          <w:rFonts w:ascii="Simplified Arabic" w:hAnsi="Simplified Arabic" w:cs="Simplified Arabic"/>
          <w:b/>
          <w:bCs/>
          <w:color w:val="auto"/>
          <w:sz w:val="28"/>
          <w:szCs w:val="28"/>
        </w:rPr>
        <w:t>19</w:t>
      </w:r>
      <w:r w:rsidR="00861188"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tl/>
        </w:rPr>
        <w:t>مؤسسة مالية (نسبة تمثيل: 8% من المجتمع الكلي)</w:t>
      </w:r>
    </w:p>
    <w:p w14:paraId="50AD309E" w14:textId="77777777" w:rsidR="003D062F" w:rsidRPr="0072768E" w:rsidRDefault="003D062F" w:rsidP="003D062F">
      <w:pPr>
        <w:bidi/>
        <w:rPr>
          <w:rtl/>
        </w:rPr>
      </w:pPr>
    </w:p>
    <w:p w14:paraId="7DF6BE4B" w14:textId="77777777" w:rsidR="002E2FBF" w:rsidRPr="0072768E" w:rsidRDefault="002E2FBF" w:rsidP="002E2FBF">
      <w:pPr>
        <w:pStyle w:val="Heading3"/>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مبررات استخدام العينة القصدية</w:t>
      </w:r>
      <w:r w:rsidRPr="0072768E">
        <w:rPr>
          <w:rFonts w:ascii="Simplified Arabic" w:hAnsi="Simplified Arabic" w:cs="Simplified Arabic"/>
          <w:b/>
          <w:bCs/>
          <w:color w:val="auto"/>
          <w:sz w:val="28"/>
          <w:szCs w:val="28"/>
        </w:rPr>
        <w:t>:</w:t>
      </w:r>
    </w:p>
    <w:p w14:paraId="41CCE2F5" w14:textId="04EA0113"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طبيعة الموضوع المتخصص</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تقنية الترميز تطبق في عدد محدود من المؤسسات </w:t>
      </w:r>
    </w:p>
    <w:p w14:paraId="6C2BB9FA" w14:textId="2037EBC7"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ضمان جودة البيانات</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المؤسسات المختارة لديها خبرة فعلية في التقنية </w:t>
      </w:r>
    </w:p>
    <w:p w14:paraId="648A9804" w14:textId="1C5CFBC6"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إمكانية الوصول</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توفر خبراء ومسؤولين مؤهلين للمشاركة </w:t>
      </w:r>
    </w:p>
    <w:p w14:paraId="7DEF3210" w14:textId="574680C3"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lastRenderedPageBreak/>
        <w:t>التمثيل النوعي</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تغطية جميع أنواع وأحجام المؤسسات المالية</w:t>
      </w:r>
    </w:p>
    <w:p w14:paraId="4AAE121E" w14:textId="77777777" w:rsidR="0031677D" w:rsidRPr="0072768E" w:rsidRDefault="0031677D" w:rsidP="0031677D">
      <w:pPr>
        <w:bidi/>
        <w:spacing w:after="0" w:line="240" w:lineRule="auto"/>
        <w:jc w:val="both"/>
        <w:rPr>
          <w:rFonts w:ascii="Simplified Arabic" w:eastAsiaTheme="majorEastAsia" w:hAnsi="Simplified Arabic" w:cs="Simplified Arabic"/>
          <w:sz w:val="28"/>
          <w:szCs w:val="28"/>
        </w:rPr>
      </w:pPr>
    </w:p>
    <w:bookmarkEnd w:id="84"/>
    <w:p w14:paraId="7944A0FA" w14:textId="77777777"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حجم العينة للتحليل الكمي</w:t>
      </w:r>
    </w:p>
    <w:p w14:paraId="58E0803E" w14:textId="77777777" w:rsidR="0031677D" w:rsidRPr="0072768E" w:rsidRDefault="0031677D" w:rsidP="0031677D">
      <w:p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عينة الاستبانة</w:t>
      </w:r>
      <w:r w:rsidRPr="0072768E">
        <w:rPr>
          <w:rFonts w:ascii="Simplified Arabic" w:eastAsiaTheme="majorEastAsia" w:hAnsi="Simplified Arabic" w:cs="Simplified Arabic"/>
          <w:b/>
          <w:bCs/>
          <w:sz w:val="28"/>
          <w:szCs w:val="28"/>
        </w:rPr>
        <w:t>:</w:t>
      </w:r>
    </w:p>
    <w:p w14:paraId="37A4BA3E" w14:textId="0C2103B0"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الفئة المستهدفة</w:t>
      </w:r>
      <w:r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مديرو تقنية المعلومات، مسؤولو الأمن السيبراني، مديرو العمليات المالية</w:t>
      </w:r>
    </w:p>
    <w:p w14:paraId="4589AFB2" w14:textId="6D843411"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العدد المستهدف</w:t>
      </w:r>
      <w:r w:rsidR="001C47CB"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Pr>
        <w:t>95</w:t>
      </w:r>
      <w:r w:rsidR="001C47CB"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مستجيب (5 مستجيبين لكل مؤسسة × 19 مؤسسة)</w:t>
      </w:r>
    </w:p>
    <w:p w14:paraId="4E260AF7" w14:textId="754BD2B0"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الحد الأدنى المقبول</w:t>
      </w:r>
      <w:r w:rsidR="001C47CB"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Pr>
        <w:t>76</w:t>
      </w:r>
      <w:r w:rsidR="001C47CB"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استجابة (معدل استجابة 80%)</w:t>
      </w:r>
    </w:p>
    <w:p w14:paraId="73974DBB" w14:textId="45B7453B" w:rsidR="009145A4" w:rsidRPr="00F60DA3" w:rsidRDefault="0031677D" w:rsidP="00F60DA3">
      <w:pPr>
        <w:bidi/>
        <w:spacing w:after="0" w:line="240" w:lineRule="auto"/>
        <w:jc w:val="both"/>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مبرر حجم العينة</w:t>
      </w:r>
      <w:r w:rsidR="001C47CB"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وفقاً لمعادلة كوكران للعينات المحدودة مع مستوى ثقة 95% وهامش خطأ 5%، فإن الحد الأدنى المطلوب هو 72 استجابة، والعدد المستهدف (95) يوفر هامش أمان مناسب</w:t>
      </w:r>
      <w:r w:rsidRPr="0072768E">
        <w:rPr>
          <w:rFonts w:ascii="Simplified Arabic" w:eastAsiaTheme="majorEastAsia" w:hAnsi="Simplified Arabic" w:cs="Simplified Arabic"/>
          <w:sz w:val="28"/>
          <w:szCs w:val="28"/>
        </w:rPr>
        <w:t>.</w:t>
      </w:r>
    </w:p>
    <w:p w14:paraId="7CD55549" w14:textId="260E93B3" w:rsidR="001E44BC" w:rsidRPr="0072768E" w:rsidRDefault="000A1E46"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85" w:name="_Toc224563942"/>
      <w:bookmarkStart w:id="86" w:name="_Toc224563999"/>
      <w:r w:rsidRPr="0072768E">
        <w:rPr>
          <w:rFonts w:ascii="Simplified Arabic" w:hAnsi="Simplified Arabic" w:cs="Simplified Arabic"/>
          <w:b/>
          <w:bCs/>
          <w:color w:val="auto"/>
          <w:sz w:val="28"/>
          <w:szCs w:val="28"/>
          <w:u w:val="single"/>
          <w:rtl/>
        </w:rPr>
        <w:lastRenderedPageBreak/>
        <w:t>حدود الدراسة:</w:t>
      </w:r>
      <w:bookmarkEnd w:id="85"/>
      <w:bookmarkEnd w:id="86"/>
      <w:r w:rsidRPr="0072768E">
        <w:rPr>
          <w:rFonts w:ascii="Simplified Arabic" w:hAnsi="Simplified Arabic" w:cs="Simplified Arabic"/>
          <w:b/>
          <w:bCs/>
          <w:color w:val="auto"/>
          <w:sz w:val="28"/>
          <w:szCs w:val="28"/>
          <w:u w:val="single"/>
          <w:rtl/>
        </w:rPr>
        <w:t xml:space="preserve"> </w:t>
      </w:r>
    </w:p>
    <w:p w14:paraId="75AB61D2" w14:textId="77777777" w:rsidR="007F6F3E" w:rsidRPr="0072768E" w:rsidRDefault="007F6F3E" w:rsidP="007F6F3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hint="cs"/>
          <w:color w:val="auto"/>
          <w:sz w:val="28"/>
          <w:szCs w:val="28"/>
          <w:rtl/>
        </w:rPr>
        <w:t>تعتبر</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حدود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الدراسة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إطاراً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منهجياً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يحدد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نطاق</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البحث</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ومجاله،</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مما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يساعد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في</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تركيز</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الجهود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البحثية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وضمان</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دقة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النتائج</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وإمكانية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تعميمها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تتضمن</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هذه</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الدراسة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الحدود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التالية</w:t>
      </w:r>
      <w:r w:rsidRPr="0072768E">
        <w:rPr>
          <w:rFonts w:ascii="Simplified Arabic" w:hAnsi="Simplified Arabic" w:cs="Simplified Arabic"/>
          <w:color w:val="auto"/>
          <w:sz w:val="28"/>
          <w:szCs w:val="28"/>
          <w:rtl/>
        </w:rPr>
        <w:t>:</w:t>
      </w:r>
    </w:p>
    <w:p w14:paraId="4AD4B93D" w14:textId="77777777" w:rsidR="007F6F3E" w:rsidRPr="0072768E" w:rsidRDefault="007F6F3E" w:rsidP="007F6F3E">
      <w:pPr>
        <w:pStyle w:val="Heading2"/>
        <w:bidi/>
        <w:spacing w:before="160" w:after="80"/>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الموضوعية</w:t>
      </w:r>
    </w:p>
    <w:p w14:paraId="5DD32E0D" w14:textId="77777777" w:rsidR="007F6F3E" w:rsidRPr="0072768E" w:rsidRDefault="007F6F3E" w:rsidP="007F6F3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تقتصر الدراسة على تحليل وتقييم أثر تقنية الترميز بأنواعها المختلفة (ترميز البيانات الحساسة، ترميز المدفوعات، ترميز الأصول، والترميز غير القابل للاستبدال) على مؤشرات الأمن السيبراني وكفاءة العمليات المالية في المؤسسات السعودية. ولن تتطرق الدراسة إلى التقنيات الأخرى المستخدمة في الأمن السيبراني أو تحسين كفاءة العمليات المالية مثل الذكاء الاصطناعي أو تقنيات التشفير التقليدية إلا بالقدر الذي يخدم أهداف الدراسة الرئيسية</w:t>
      </w:r>
      <w:r w:rsidRPr="0072768E">
        <w:rPr>
          <w:rFonts w:ascii="Simplified Arabic" w:hAnsi="Simplified Arabic" w:cs="Simplified Arabic" w:hint="cs"/>
          <w:color w:val="auto"/>
          <w:sz w:val="28"/>
          <w:szCs w:val="28"/>
          <w:rtl/>
        </w:rPr>
        <w:t>.</w:t>
      </w:r>
    </w:p>
    <w:p w14:paraId="099AA136"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المكانية</w:t>
      </w:r>
    </w:p>
    <w:p w14:paraId="0C274B18"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تقتصر الدراسة على المؤسسات المالية العاملة في المملكة العربية السعودية، وتحديداً</w:t>
      </w:r>
      <w:r w:rsidRPr="0072768E">
        <w:rPr>
          <w:rFonts w:ascii="Simplified Arabic" w:hAnsi="Simplified Arabic" w:cs="Simplified Arabic"/>
          <w:color w:val="auto"/>
          <w:sz w:val="28"/>
          <w:szCs w:val="28"/>
        </w:rPr>
        <w:t>:</w:t>
      </w:r>
    </w:p>
    <w:p w14:paraId="5A788D37" w14:textId="77777777" w:rsidR="007F6F3E" w:rsidRPr="0072768E" w:rsidRDefault="007F6F3E" w:rsidP="00786A9D">
      <w:pPr>
        <w:pStyle w:val="Heading2"/>
        <w:numPr>
          <w:ilvl w:val="0"/>
          <w:numId w:val="1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البنوك التجارية المحلية التقليدية المرخصة من قبل البنك المركزي السعودي (ساما) وعددها 11 بنكاً</w:t>
      </w:r>
      <w:r w:rsidRPr="0072768E">
        <w:rPr>
          <w:rFonts w:ascii="Simplified Arabic" w:hAnsi="Simplified Arabic" w:cs="Simplified Arabic"/>
          <w:color w:val="auto"/>
          <w:sz w:val="28"/>
          <w:szCs w:val="28"/>
        </w:rPr>
        <w:t>.</w:t>
      </w:r>
    </w:p>
    <w:p w14:paraId="5DCE6B58" w14:textId="77777777" w:rsidR="007F6F3E" w:rsidRPr="0072768E" w:rsidRDefault="007F6F3E" w:rsidP="00786A9D">
      <w:pPr>
        <w:pStyle w:val="Heading2"/>
        <w:numPr>
          <w:ilvl w:val="0"/>
          <w:numId w:val="1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البنوك الرقمية المحلية المرخصة وعددها 3 بنوك</w:t>
      </w:r>
      <w:r w:rsidRPr="0072768E">
        <w:rPr>
          <w:rFonts w:ascii="Simplified Arabic" w:hAnsi="Simplified Arabic" w:cs="Simplified Arabic"/>
          <w:color w:val="auto"/>
          <w:sz w:val="28"/>
          <w:szCs w:val="28"/>
        </w:rPr>
        <w:t>.</w:t>
      </w:r>
    </w:p>
    <w:p w14:paraId="52F8EC2E" w14:textId="77777777" w:rsidR="007F6F3E" w:rsidRPr="0072768E" w:rsidRDefault="007F6F3E" w:rsidP="00786A9D">
      <w:pPr>
        <w:pStyle w:val="Heading2"/>
        <w:numPr>
          <w:ilvl w:val="0"/>
          <w:numId w:val="1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شركات التقنية المالية</w:t>
      </w:r>
      <w:r w:rsidRPr="0072768E">
        <w:rPr>
          <w:rFonts w:ascii="Simplified Arabic" w:hAnsi="Simplified Arabic" w:cs="Simplified Arabic"/>
          <w:color w:val="auto"/>
          <w:sz w:val="28"/>
          <w:szCs w:val="28"/>
        </w:rPr>
        <w:t xml:space="preserve"> (Fintech) </w:t>
      </w:r>
      <w:r w:rsidRPr="0072768E">
        <w:rPr>
          <w:rFonts w:ascii="Simplified Arabic" w:hAnsi="Simplified Arabic" w:cs="Simplified Arabic"/>
          <w:color w:val="auto"/>
          <w:sz w:val="28"/>
          <w:szCs w:val="28"/>
          <w:rtl/>
        </w:rPr>
        <w:t>المرخصة من قبل البنك المركزي السعودي وعددها 224 شركة</w:t>
      </w:r>
      <w:r w:rsidRPr="0072768E">
        <w:rPr>
          <w:rFonts w:ascii="Simplified Arabic" w:hAnsi="Simplified Arabic" w:cs="Simplified Arabic"/>
          <w:color w:val="auto"/>
          <w:sz w:val="28"/>
          <w:szCs w:val="28"/>
        </w:rPr>
        <w:t>.</w:t>
      </w:r>
    </w:p>
    <w:p w14:paraId="3289790D"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تم اختيار هذا النطاق المكاني نظراً لأهمية هذه المؤسسات في تحقيق مستهدفات رؤية 2030 المتعلقة بالتحول الرقمي وتطوير القطاع المالي، ولكونها الأكثر تبنياً لتقنيات الترميز في القطاع المالي السعودي</w:t>
      </w:r>
      <w:r w:rsidRPr="0072768E">
        <w:rPr>
          <w:rFonts w:ascii="Simplified Arabic" w:hAnsi="Simplified Arabic" w:cs="Simplified Arabic"/>
          <w:color w:val="auto"/>
          <w:sz w:val="28"/>
          <w:szCs w:val="28"/>
        </w:rPr>
        <w:t>.</w:t>
      </w:r>
    </w:p>
    <w:p w14:paraId="5EF5C77B"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الزمانية</w:t>
      </w:r>
    </w:p>
    <w:p w14:paraId="15F298C5"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تغطي الدراسة الفترة من يناير 2025 إلى ديسمبر 2026، وهي الفترة المخصصة لتنفيذ خطة البحث على النحو التالي</w:t>
      </w:r>
      <w:r w:rsidRPr="0072768E">
        <w:rPr>
          <w:rFonts w:ascii="Simplified Arabic" w:hAnsi="Simplified Arabic" w:cs="Simplified Arabic"/>
          <w:color w:val="auto"/>
          <w:sz w:val="28"/>
          <w:szCs w:val="28"/>
        </w:rPr>
        <w:t>:</w:t>
      </w:r>
    </w:p>
    <w:p w14:paraId="16DB844D"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الفترة من يناير إلى أبريل 2025: مراجعة الأدبيات وتطوير أدوات الدراسة</w:t>
      </w:r>
      <w:r w:rsidRPr="0072768E">
        <w:rPr>
          <w:rFonts w:ascii="Simplified Arabic" w:hAnsi="Simplified Arabic" w:cs="Simplified Arabic"/>
          <w:color w:val="auto"/>
          <w:sz w:val="28"/>
          <w:szCs w:val="28"/>
        </w:rPr>
        <w:t>.</w:t>
      </w:r>
    </w:p>
    <w:p w14:paraId="7E6F436D"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الفترة من مايو إلى ديسمبر 2025: جمع البيانات من عينة الدراسة</w:t>
      </w:r>
      <w:r w:rsidRPr="0072768E">
        <w:rPr>
          <w:rFonts w:ascii="Simplified Arabic" w:hAnsi="Simplified Arabic" w:cs="Simplified Arabic"/>
          <w:color w:val="auto"/>
          <w:sz w:val="28"/>
          <w:szCs w:val="28"/>
        </w:rPr>
        <w:t>.</w:t>
      </w:r>
    </w:p>
    <w:p w14:paraId="0D7ABB6A"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الفترة من يناير إلى يونيو 2026: تحليل البيانات واستخلاص النتائج</w:t>
      </w:r>
      <w:r w:rsidRPr="0072768E">
        <w:rPr>
          <w:rFonts w:ascii="Simplified Arabic" w:hAnsi="Simplified Arabic" w:cs="Simplified Arabic"/>
          <w:color w:val="auto"/>
          <w:sz w:val="28"/>
          <w:szCs w:val="28"/>
        </w:rPr>
        <w:t>.</w:t>
      </w:r>
    </w:p>
    <w:p w14:paraId="38748D14"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الفترة من يوليو إلى ديسمبر 2026: كتابة التقرير النهائي وتقديم التوصيات</w:t>
      </w:r>
      <w:r w:rsidRPr="0072768E">
        <w:rPr>
          <w:rFonts w:ascii="Simplified Arabic" w:hAnsi="Simplified Arabic" w:cs="Simplified Arabic"/>
          <w:color w:val="auto"/>
          <w:sz w:val="28"/>
          <w:szCs w:val="28"/>
        </w:rPr>
        <w:t>.</w:t>
      </w:r>
    </w:p>
    <w:p w14:paraId="6A54FB40"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تم تحديد هذا الإطار الزمني لضمان توفير وقت كافٍ لجمع بيانات شاملة ودقيقة عن تبني تقنيات الترميز الحديثة وتأثيرها، خاصة مع سرعة تطور هذه التقنيات وتزايد تبنيها في القطاع المالي السعودي</w:t>
      </w:r>
      <w:r w:rsidRPr="0072768E">
        <w:rPr>
          <w:rFonts w:ascii="Simplified Arabic" w:hAnsi="Simplified Arabic" w:cs="Simplified Arabic"/>
          <w:color w:val="auto"/>
          <w:sz w:val="28"/>
          <w:szCs w:val="28"/>
        </w:rPr>
        <w:t>.</w:t>
      </w:r>
    </w:p>
    <w:p w14:paraId="5937AEEC"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البشرية</w:t>
      </w:r>
    </w:p>
    <w:p w14:paraId="483E8A6C" w14:textId="77777777" w:rsidR="007F6F3E" w:rsidRPr="0072768E" w:rsidRDefault="007F6F3E" w:rsidP="007F6F3E">
      <w:pPr>
        <w:bidi/>
        <w:jc w:val="both"/>
        <w:rPr>
          <w:rFonts w:ascii="Simplified Arabic" w:hAnsi="Simplified Arabic" w:cs="Simplified Arabic"/>
          <w:sz w:val="28"/>
          <w:szCs w:val="28"/>
        </w:rPr>
      </w:pPr>
      <w:r w:rsidRPr="0072768E">
        <w:rPr>
          <w:rFonts w:ascii="Simplified Arabic" w:hAnsi="Simplified Arabic" w:cs="Simplified Arabic"/>
          <w:sz w:val="28"/>
          <w:szCs w:val="28"/>
          <w:rtl/>
        </w:rPr>
        <w:t>تشمل الدراسة الفئات التالية</w:t>
      </w:r>
      <w:r w:rsidRPr="0072768E">
        <w:rPr>
          <w:rFonts w:ascii="Simplified Arabic" w:hAnsi="Simplified Arabic" w:cs="Simplified Arabic"/>
          <w:sz w:val="28"/>
          <w:szCs w:val="28"/>
        </w:rPr>
        <w:t>:</w:t>
      </w:r>
    </w:p>
    <w:p w14:paraId="22512049"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القيادات الإدارية والتنفيذية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المديرين والمسؤولين في إدارات تقنية المعلومات والأمن السيبراني والعمليات المالية في المؤسسات المالية المستهدفة، والذين يشاركون في اتخاذ القرارات المتعلقة بتبني تقنية الترميز</w:t>
      </w:r>
      <w:r w:rsidRPr="0072768E">
        <w:rPr>
          <w:rFonts w:ascii="Simplified Arabic" w:hAnsi="Simplified Arabic" w:cs="Simplified Arabic"/>
          <w:sz w:val="28"/>
          <w:szCs w:val="28"/>
        </w:rPr>
        <w:t>.</w:t>
      </w:r>
    </w:p>
    <w:p w14:paraId="1D505C33"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الخبراء والمتخصصون</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المستشارون والخبراء في مجال التكنولوجيا المالية والأمن السيبراني، بما في ذلك الخبراء من الهيئة الوطنية للأمن السيبراني والبنك المركزي السعودي وهيئة السوق المالية</w:t>
      </w:r>
      <w:r w:rsidRPr="0072768E">
        <w:rPr>
          <w:rFonts w:ascii="Simplified Arabic" w:hAnsi="Simplified Arabic" w:cs="Simplified Arabic"/>
          <w:sz w:val="28"/>
          <w:szCs w:val="28"/>
        </w:rPr>
        <w:t>.</w:t>
      </w:r>
    </w:p>
    <w:p w14:paraId="2EEDD58A"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الفنيون والمختصون التقنيون</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الموظفون الفنيون العاملون في مجال تطبيق الترميز مثل محللي البيانات ومطوري البرمجيات ومسؤولي الأمن السيبراني والمختصين في تقنيات الترميز المختلفة</w:t>
      </w:r>
      <w:r w:rsidRPr="0072768E">
        <w:rPr>
          <w:rFonts w:ascii="Simplified Arabic" w:hAnsi="Simplified Arabic" w:cs="Simplified Arabic"/>
          <w:sz w:val="28"/>
          <w:szCs w:val="28"/>
        </w:rPr>
        <w:t>.</w:t>
      </w:r>
    </w:p>
    <w:p w14:paraId="7525CDC5"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المستخدمون النهائيون</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عينة من العملاء والمستخدمين النهائيين للخدمات المالية للتعرف على تجاربهم وانطباعاتهم حول تأثير تقنية الترميز على أمان وكفاءة تعاملاتهم المالية</w:t>
      </w:r>
      <w:r w:rsidRPr="0072768E">
        <w:rPr>
          <w:rFonts w:ascii="Simplified Arabic" w:hAnsi="Simplified Arabic" w:cs="Simplified Arabic"/>
          <w:sz w:val="28"/>
          <w:szCs w:val="28"/>
        </w:rPr>
        <w:t>.</w:t>
      </w:r>
    </w:p>
    <w:p w14:paraId="4653F913" w14:textId="77777777" w:rsidR="007F6F3E" w:rsidRPr="0072768E" w:rsidRDefault="007F6F3E" w:rsidP="007F6F3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تم اختيار هذه الفئات البشرية المتنوعة لضمان الحصول على رؤية شاملة ومتكاملة حول موضوع الدراسة من مختلف الزوايا (الإدارية، التقنية، التنظيمية، والمستخدم النهائي)، مما يسهم في تعزيز دقة النتائج وشموليتها</w:t>
      </w:r>
      <w:r w:rsidRPr="0072768E">
        <w:rPr>
          <w:rFonts w:ascii="Simplified Arabic" w:hAnsi="Simplified Arabic" w:cs="Simplified Arabic" w:hint="cs"/>
          <w:color w:val="auto"/>
          <w:sz w:val="28"/>
          <w:szCs w:val="28"/>
          <w:rtl/>
        </w:rPr>
        <w:t>.</w:t>
      </w:r>
    </w:p>
    <w:p w14:paraId="1E872725"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مبررات اختيار حدود الدراسة</w:t>
      </w:r>
    </w:p>
    <w:p w14:paraId="41F576BB"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مبررات الحدود الموضوعية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التركيز على تقنية الترميز تحديداً نظراً لأهميتها المتزايدة في تعزيز الأمن السيبراني وكفاءة العمليات المالية، وارتباطها الوثيق بأهداف رؤية 2030 في مجال التحول الرقمي وتطوير القطاع المالي</w:t>
      </w:r>
      <w:r w:rsidRPr="0072768E">
        <w:rPr>
          <w:rFonts w:ascii="Simplified Arabic" w:hAnsi="Simplified Arabic" w:cs="Simplified Arabic"/>
          <w:sz w:val="28"/>
          <w:szCs w:val="28"/>
        </w:rPr>
        <w:t>.</w:t>
      </w:r>
    </w:p>
    <w:p w14:paraId="00D8B7EF"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مبررات الحدود المكانية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اختيار المؤسسات المالية السعودية لكونها تشهد تحولاً رقمياً متسارعاً، ولوجود فجوة بحثية في دراسة تأثير تقنية الترميز في السياق السعودي تحديداً</w:t>
      </w:r>
      <w:r w:rsidRPr="0072768E">
        <w:rPr>
          <w:rFonts w:ascii="Simplified Arabic" w:hAnsi="Simplified Arabic" w:cs="Simplified Arabic"/>
          <w:sz w:val="28"/>
          <w:szCs w:val="28"/>
        </w:rPr>
        <w:t>.</w:t>
      </w:r>
    </w:p>
    <w:p w14:paraId="1514F0B1"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مبررات الحدود الزمانية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تحديد الفترة 2025-2026 لضمان الحصول على بيانات حديثة تعكس الواقع الحالي لتبني تقنية الترميز وتأثيرها، في ظل التطور المتسارع للتكنولوجيا المالية</w:t>
      </w:r>
      <w:r w:rsidRPr="0072768E">
        <w:rPr>
          <w:rFonts w:ascii="Simplified Arabic" w:hAnsi="Simplified Arabic" w:cs="Simplified Arabic"/>
          <w:sz w:val="28"/>
          <w:szCs w:val="28"/>
        </w:rPr>
        <w:t>.</w:t>
      </w:r>
    </w:p>
    <w:p w14:paraId="5F6277DD"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مبررات الحدود البشرية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اختيار مجموعة متنوعة من المشاركين لضمان الحصول على رؤية متكاملة تجمع بين الجوانب الإدارية والتقنية والتنظيمية والمستخدم النهائي</w:t>
      </w:r>
      <w:r w:rsidRPr="0072768E">
        <w:rPr>
          <w:rFonts w:ascii="Simplified Arabic" w:hAnsi="Simplified Arabic" w:cs="Simplified Arabic"/>
          <w:sz w:val="28"/>
          <w:szCs w:val="28"/>
        </w:rPr>
        <w:t>.</w:t>
      </w:r>
    </w:p>
    <w:p w14:paraId="68977925" w14:textId="044E8549" w:rsidR="007E4F21" w:rsidRDefault="007F6F3E" w:rsidP="00AF5C9F">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تساهم هذه الحدود مجتمعة في تركيز البحث وضمان عمق التحليل وشموليته، مع إمكانية تعميم النتائج على مؤسسات مالية مماثلة في المنطقة، مما يعزز من القيمة العلمية والتطبيقية للدراسة</w:t>
      </w:r>
      <w:r w:rsidRPr="0072768E">
        <w:rPr>
          <w:rFonts w:ascii="Simplified Arabic" w:hAnsi="Simplified Arabic" w:cs="Simplified Arabic"/>
          <w:color w:val="auto"/>
          <w:sz w:val="28"/>
          <w:szCs w:val="28"/>
        </w:rPr>
        <w:t>.</w:t>
      </w:r>
    </w:p>
    <w:p w14:paraId="0B0EDE16" w14:textId="77777777" w:rsidR="00AF5C9F" w:rsidRPr="00AF5C9F" w:rsidRDefault="00AF5C9F" w:rsidP="00AF5C9F">
      <w:pPr>
        <w:bidi/>
        <w:rPr>
          <w:rtl/>
        </w:rPr>
      </w:pPr>
    </w:p>
    <w:p w14:paraId="54BD9CFC" w14:textId="38246DDD" w:rsidR="007F4183" w:rsidRPr="0072768E" w:rsidRDefault="007F4183" w:rsidP="007E4F21">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b/>
          <w:bCs/>
          <w:color w:val="auto"/>
          <w:sz w:val="28"/>
          <w:szCs w:val="28"/>
          <w:u w:val="single"/>
          <w:rtl/>
        </w:rPr>
        <w:t>وسائل جمع بيانات الدراسة:</w:t>
      </w:r>
    </w:p>
    <w:p w14:paraId="21D61027"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تعتمد منهجية البحث العلمي الرصين على استخدام وسائل متعددة لجمع البيانات، وذلك لضمان الشمولية والتكامل في المعلومات المجمعة، مما يسهم في الوصول إلى نتائج دقيقة وموثوقة. وفي إطار هذه الدراسة التي تتناول "أثر تقنية الترميز على الأمن السيبراني وكفاءة العمليات المالية في المؤسسات السعودية"، سيتم الاعتماد على مجموعة متنوعة من وسائل جمع البيانات التي تتوافق مع طبيعة الدراسة وأهدافها، وفيما يلي تفصيل لهذه الوسائل</w:t>
      </w:r>
      <w:r w:rsidRPr="0072768E">
        <w:rPr>
          <w:rFonts w:ascii="Simplified Arabic" w:hAnsi="Simplified Arabic" w:cs="Simplified Arabic"/>
          <w:sz w:val="28"/>
          <w:szCs w:val="28"/>
        </w:rPr>
        <w:t>:</w:t>
      </w:r>
    </w:p>
    <w:p w14:paraId="2C365D98"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الاستبانة الإلكترونية</w:t>
      </w:r>
    </w:p>
    <w:p w14:paraId="3CB15740"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تمثل الاستبانة الأداة الرئيسية لجمع البيانات الكمية في هذه الدراسة، حيث تم تصميمها بعناية لتغطي جميع جوانب ومتغيرات الدراسة. وقد تم الاعتماد على نماذج</w:t>
      </w:r>
      <w:r w:rsidRPr="0072768E">
        <w:rPr>
          <w:rFonts w:ascii="Simplified Arabic" w:hAnsi="Simplified Arabic" w:cs="Simplified Arabic"/>
          <w:sz w:val="28"/>
          <w:szCs w:val="28"/>
        </w:rPr>
        <w:t xml:space="preserve"> Google Forms </w:t>
      </w:r>
      <w:r w:rsidRPr="0072768E">
        <w:rPr>
          <w:rFonts w:ascii="Simplified Arabic" w:hAnsi="Simplified Arabic" w:cs="Simplified Arabic"/>
          <w:sz w:val="28"/>
          <w:szCs w:val="28"/>
          <w:rtl/>
        </w:rPr>
        <w:t>لتصميم استبانة إلكترونية سهلة الوصول والاستخدام من قبل أفراد العينة المستهدفة</w:t>
      </w:r>
      <w:r w:rsidRPr="0072768E">
        <w:rPr>
          <w:rFonts w:ascii="Simplified Arabic" w:hAnsi="Simplified Arabic" w:cs="Simplified Arabic"/>
          <w:sz w:val="28"/>
          <w:szCs w:val="28"/>
        </w:rPr>
        <w:t>.</w:t>
      </w:r>
    </w:p>
    <w:p w14:paraId="7A6D139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تصميم الاستبانة</w:t>
      </w:r>
    </w:p>
    <w:p w14:paraId="45951318"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روعي في تصميم الاستبانة المعايير العلمية والمنهجية التالية</w:t>
      </w:r>
      <w:r w:rsidRPr="0072768E">
        <w:rPr>
          <w:rFonts w:ascii="Simplified Arabic" w:hAnsi="Simplified Arabic" w:cs="Simplified Arabic"/>
          <w:sz w:val="28"/>
          <w:szCs w:val="28"/>
        </w:rPr>
        <w:t>:</w:t>
      </w:r>
    </w:p>
    <w:p w14:paraId="030A6327"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الشمولية: تغطية جميع متغيرات الدراسة المستقلة والتابعة والوسيطة</w:t>
      </w:r>
      <w:r w:rsidRPr="0072768E">
        <w:rPr>
          <w:rFonts w:ascii="Simplified Arabic" w:hAnsi="Simplified Arabic" w:cs="Simplified Arabic"/>
          <w:sz w:val="28"/>
          <w:szCs w:val="28"/>
        </w:rPr>
        <w:t>.</w:t>
      </w:r>
    </w:p>
    <w:p w14:paraId="408A8411"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الوضوح: صياغة الأسئلة بلغة واضحة ومباشرة تجنباً للالتباس أو سوء الفهم</w:t>
      </w:r>
      <w:r w:rsidRPr="0072768E">
        <w:rPr>
          <w:rFonts w:ascii="Simplified Arabic" w:hAnsi="Simplified Arabic" w:cs="Simplified Arabic"/>
          <w:sz w:val="28"/>
          <w:szCs w:val="28"/>
        </w:rPr>
        <w:t>.</w:t>
      </w:r>
    </w:p>
    <w:p w14:paraId="1CF96329"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التسلسل المنطقي: ترتيب المحاور والأسئلة بشكل منطقي يسهل على المستجيب الانتقال بينها</w:t>
      </w:r>
      <w:r w:rsidRPr="0072768E">
        <w:rPr>
          <w:rFonts w:ascii="Simplified Arabic" w:hAnsi="Simplified Arabic" w:cs="Simplified Arabic"/>
          <w:sz w:val="28"/>
          <w:szCs w:val="28"/>
        </w:rPr>
        <w:t>.</w:t>
      </w:r>
    </w:p>
    <w:p w14:paraId="265DE45A"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الموضوعية: صياغة الأسئلة بطريقة محايدة لا توجه المستجيب نحو إجابة معينة</w:t>
      </w:r>
      <w:r w:rsidRPr="0072768E">
        <w:rPr>
          <w:rFonts w:ascii="Simplified Arabic" w:hAnsi="Simplified Arabic" w:cs="Simplified Arabic"/>
          <w:sz w:val="28"/>
          <w:szCs w:val="28"/>
        </w:rPr>
        <w:t>.</w:t>
      </w:r>
    </w:p>
    <w:p w14:paraId="7B0E1CF8"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الملاءمة: مراعاة مستوى فهم وخبرة المستجيبين المستهدفين</w:t>
      </w:r>
      <w:r w:rsidRPr="0072768E">
        <w:rPr>
          <w:rFonts w:ascii="Simplified Arabic" w:hAnsi="Simplified Arabic" w:cs="Simplified Arabic"/>
          <w:sz w:val="28"/>
          <w:szCs w:val="28"/>
        </w:rPr>
        <w:t>.</w:t>
      </w:r>
    </w:p>
    <w:p w14:paraId="677A52D9"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محاور الاستبانة</w:t>
      </w:r>
    </w:p>
    <w:p w14:paraId="5AC9394E"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تتكون الاستبانة من ستة محاور رئيسية تغطي جميع جوانب الدراسة</w:t>
      </w:r>
      <w:r w:rsidRPr="0072768E">
        <w:rPr>
          <w:rFonts w:ascii="Simplified Arabic" w:hAnsi="Simplified Arabic" w:cs="Simplified Arabic"/>
          <w:sz w:val="28"/>
          <w:szCs w:val="28"/>
        </w:rPr>
        <w:t>:</w:t>
      </w:r>
    </w:p>
    <w:p w14:paraId="74A84371"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الأول: البيانات الديموغرافية للمؤسسة</w:t>
      </w:r>
    </w:p>
    <w:p w14:paraId="76304BA5"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يتضمن هذا المحور معلومات أساسية عن المؤسسة المشاركة تشمل</w:t>
      </w:r>
      <w:r w:rsidRPr="0072768E">
        <w:rPr>
          <w:rFonts w:ascii="Simplified Arabic" w:hAnsi="Simplified Arabic" w:cs="Simplified Arabic"/>
          <w:sz w:val="28"/>
          <w:szCs w:val="28"/>
        </w:rPr>
        <w:t>:</w:t>
      </w:r>
    </w:p>
    <w:p w14:paraId="35D2F40D"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نوع المؤسسة (بنك تقليدي، بنك رقمي، شركة تقنية مالية، مؤسسة مالية أخرى)</w:t>
      </w:r>
      <w:r w:rsidRPr="0072768E">
        <w:rPr>
          <w:rFonts w:ascii="Simplified Arabic" w:hAnsi="Simplified Arabic" w:cs="Simplified Arabic"/>
          <w:sz w:val="28"/>
          <w:szCs w:val="28"/>
        </w:rPr>
        <w:t>.</w:t>
      </w:r>
    </w:p>
    <w:p w14:paraId="78E95AFB"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حجم المؤسسة (كبيرة: أكثر من 250 موظفاً، متوسطة: 50-250 موظفاً، صغيرة: أقل من 50 موظفاً)</w:t>
      </w:r>
      <w:r w:rsidRPr="0072768E">
        <w:rPr>
          <w:rFonts w:ascii="Simplified Arabic" w:hAnsi="Simplified Arabic" w:cs="Simplified Arabic"/>
          <w:sz w:val="28"/>
          <w:szCs w:val="28"/>
        </w:rPr>
        <w:t>.</w:t>
      </w:r>
    </w:p>
    <w:p w14:paraId="2B543B3B"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عمر المؤسسة (أقل من 5 سنوات، 5-10 سنوات، 10-20 سنة، أكثر من 20 سنة)</w:t>
      </w:r>
      <w:r w:rsidRPr="0072768E">
        <w:rPr>
          <w:rFonts w:ascii="Simplified Arabic" w:hAnsi="Simplified Arabic" w:cs="Simplified Arabic"/>
          <w:sz w:val="28"/>
          <w:szCs w:val="28"/>
        </w:rPr>
        <w:t>.</w:t>
      </w:r>
    </w:p>
    <w:p w14:paraId="59711D93"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مستوى النضج التقني (مبتدئ، متوسط، متقدم، رائد)</w:t>
      </w:r>
      <w:r w:rsidRPr="0072768E">
        <w:rPr>
          <w:rFonts w:ascii="Simplified Arabic" w:hAnsi="Simplified Arabic" w:cs="Simplified Arabic"/>
          <w:sz w:val="28"/>
          <w:szCs w:val="28"/>
        </w:rPr>
        <w:t>.</w:t>
      </w:r>
    </w:p>
    <w:p w14:paraId="638873C1"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حجم الاستثمار السنوي في التقنيات المالية والأمن السيبراني</w:t>
      </w:r>
      <w:r w:rsidRPr="0072768E">
        <w:rPr>
          <w:rFonts w:ascii="Simplified Arabic" w:hAnsi="Simplified Arabic" w:cs="Simplified Arabic"/>
          <w:sz w:val="28"/>
          <w:szCs w:val="28"/>
        </w:rPr>
        <w:t>.</w:t>
      </w:r>
    </w:p>
    <w:p w14:paraId="04CDADC6"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عدد العملاء النشطين ومعدل النمو السنوي</w:t>
      </w:r>
      <w:r w:rsidRPr="0072768E">
        <w:rPr>
          <w:rFonts w:ascii="Simplified Arabic" w:hAnsi="Simplified Arabic" w:cs="Simplified Arabic"/>
          <w:sz w:val="28"/>
          <w:szCs w:val="28"/>
        </w:rPr>
        <w:t>.</w:t>
      </w:r>
    </w:p>
    <w:p w14:paraId="619045AA"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الثاني: واقع استخدام تقنية الترميز في المؤسسة</w:t>
      </w:r>
    </w:p>
    <w:p w14:paraId="76CD888F"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يهدف هذا المحور إلى تقييم الوضع الحالي لاستخدام تقنية الترميز داخل المؤسسة، ويشمل</w:t>
      </w:r>
      <w:r w:rsidRPr="0072768E">
        <w:rPr>
          <w:rFonts w:ascii="Simplified Arabic" w:hAnsi="Simplified Arabic" w:cs="Simplified Arabic"/>
          <w:sz w:val="28"/>
          <w:szCs w:val="28"/>
        </w:rPr>
        <w:t>:</w:t>
      </w:r>
    </w:p>
    <w:p w14:paraId="45FCD52D"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أنواع تقنيات الترميز المستخدمة (ترميز البيانات الحساسة، ترميز المدفوعات، ترميز الأصول، الترميز غير القابل للاستبدال)</w:t>
      </w:r>
      <w:r w:rsidRPr="0072768E">
        <w:rPr>
          <w:rFonts w:ascii="Simplified Arabic" w:hAnsi="Simplified Arabic" w:cs="Simplified Arabic"/>
          <w:sz w:val="28"/>
          <w:szCs w:val="28"/>
        </w:rPr>
        <w:t>.</w:t>
      </w:r>
    </w:p>
    <w:p w14:paraId="0F8B09AD"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مجالات تطبيق تقنية الترميز (حماية بيانات العملاء، تأمين المدفوعات، تداول الأصول الرقمية، إثبات الملكية)</w:t>
      </w:r>
      <w:r w:rsidRPr="0072768E">
        <w:rPr>
          <w:rFonts w:ascii="Simplified Arabic" w:hAnsi="Simplified Arabic" w:cs="Simplified Arabic"/>
          <w:sz w:val="28"/>
          <w:szCs w:val="28"/>
        </w:rPr>
        <w:t>.</w:t>
      </w:r>
    </w:p>
    <w:p w14:paraId="63FEDBA8"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مستوى تبني تقنية الترميز (مرحلة تجريبية، تطبيق جزئي، تطبيق شامل)</w:t>
      </w:r>
      <w:r w:rsidRPr="0072768E">
        <w:rPr>
          <w:rFonts w:ascii="Simplified Arabic" w:hAnsi="Simplified Arabic" w:cs="Simplified Arabic"/>
          <w:sz w:val="28"/>
          <w:szCs w:val="28"/>
        </w:rPr>
        <w:t>.</w:t>
      </w:r>
    </w:p>
    <w:p w14:paraId="433DA382"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مدة استخدام تقنية الترميز في المؤسسة</w:t>
      </w:r>
      <w:r w:rsidRPr="0072768E">
        <w:rPr>
          <w:rFonts w:ascii="Simplified Arabic" w:hAnsi="Simplified Arabic" w:cs="Simplified Arabic"/>
          <w:sz w:val="28"/>
          <w:szCs w:val="28"/>
        </w:rPr>
        <w:t>.</w:t>
      </w:r>
    </w:p>
    <w:p w14:paraId="2EB68626"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المنصات والتقنيات المستخدمة في تنفيذ الترميز</w:t>
      </w:r>
      <w:r w:rsidRPr="0072768E">
        <w:rPr>
          <w:rFonts w:ascii="Simplified Arabic" w:hAnsi="Simplified Arabic" w:cs="Simplified Arabic"/>
          <w:sz w:val="28"/>
          <w:szCs w:val="28"/>
        </w:rPr>
        <w:t>.</w:t>
      </w:r>
    </w:p>
    <w:p w14:paraId="2B452411"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التكامل مع الأنظمة والتقنيات الأخرى المستخدمة في المؤسسة</w:t>
      </w:r>
      <w:r w:rsidRPr="0072768E">
        <w:rPr>
          <w:rFonts w:ascii="Simplified Arabic" w:hAnsi="Simplified Arabic" w:cs="Simplified Arabic"/>
          <w:sz w:val="28"/>
          <w:szCs w:val="28"/>
        </w:rPr>
        <w:t>.</w:t>
      </w:r>
    </w:p>
    <w:p w14:paraId="168565DD"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الثالث: تأثير تقنية الترميز على الأمن السيبراني</w:t>
      </w:r>
    </w:p>
    <w:p w14:paraId="16A17FEB"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يركز هذا المحور على قياس أثر تطبيق تقنية الترميز على مؤشرات الأمن السيبراني في المؤسسة، ويتضمن</w:t>
      </w:r>
      <w:r w:rsidRPr="0072768E">
        <w:rPr>
          <w:rFonts w:ascii="Simplified Arabic" w:hAnsi="Simplified Arabic" w:cs="Simplified Arabic"/>
          <w:sz w:val="28"/>
          <w:szCs w:val="28"/>
        </w:rPr>
        <w:t>:</w:t>
      </w:r>
    </w:p>
    <w:p w14:paraId="4CB5096D"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معدل الاختراقات الأمنية قبل وبعد تطبيق تقنية الترميز</w:t>
      </w:r>
      <w:r w:rsidRPr="0072768E">
        <w:rPr>
          <w:rFonts w:ascii="Simplified Arabic" w:hAnsi="Simplified Arabic" w:cs="Simplified Arabic"/>
          <w:sz w:val="28"/>
          <w:szCs w:val="28"/>
        </w:rPr>
        <w:t>.</w:t>
      </w:r>
    </w:p>
    <w:p w14:paraId="58377722"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عدد حوادث سرقة البيانات أو تسريبها قبل وبعد تطبيق تقنية الترميز</w:t>
      </w:r>
      <w:r w:rsidRPr="0072768E">
        <w:rPr>
          <w:rFonts w:ascii="Simplified Arabic" w:hAnsi="Simplified Arabic" w:cs="Simplified Arabic"/>
          <w:sz w:val="28"/>
          <w:szCs w:val="28"/>
        </w:rPr>
        <w:t>.</w:t>
      </w:r>
    </w:p>
    <w:p w14:paraId="62E239B4"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 xml:space="preserve">مستوى الامتثال للمعايير الأمنية المحلية والدولية (معايير البنك المركزي السعودي، </w:t>
      </w:r>
      <w:r w:rsidRPr="0072768E">
        <w:rPr>
          <w:rFonts w:ascii="Simplified Arabic" w:hAnsi="Simplified Arabic" w:cs="Simplified Arabic"/>
          <w:sz w:val="28"/>
          <w:szCs w:val="28"/>
        </w:rPr>
        <w:t>PCI DSS</w:t>
      </w:r>
      <w:r w:rsidRPr="0072768E">
        <w:rPr>
          <w:rFonts w:ascii="Simplified Arabic" w:hAnsi="Simplified Arabic" w:cs="Simplified Arabic"/>
          <w:sz w:val="28"/>
          <w:szCs w:val="28"/>
          <w:rtl/>
        </w:rPr>
        <w:t xml:space="preserve">، </w:t>
      </w:r>
      <w:r w:rsidRPr="0072768E">
        <w:rPr>
          <w:rFonts w:ascii="Simplified Arabic" w:hAnsi="Simplified Arabic" w:cs="Simplified Arabic"/>
          <w:sz w:val="28"/>
          <w:szCs w:val="28"/>
        </w:rPr>
        <w:t>ISO 27001</w:t>
      </w:r>
      <w:r w:rsidRPr="0072768E">
        <w:rPr>
          <w:rFonts w:ascii="Simplified Arabic" w:hAnsi="Simplified Arabic" w:cs="Simplified Arabic"/>
          <w:sz w:val="28"/>
          <w:szCs w:val="28"/>
          <w:rtl/>
        </w:rPr>
        <w:t>).</w:t>
      </w:r>
    </w:p>
    <w:p w14:paraId="1BCC8CE1"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فعالية تقنية الترميز في مواجهة التهديدات السيبرانية المختلفة</w:t>
      </w:r>
      <w:r w:rsidRPr="0072768E">
        <w:rPr>
          <w:rFonts w:ascii="Simplified Arabic" w:hAnsi="Simplified Arabic" w:cs="Simplified Arabic"/>
          <w:sz w:val="28"/>
          <w:szCs w:val="28"/>
        </w:rPr>
        <w:t>.</w:t>
      </w:r>
    </w:p>
    <w:p w14:paraId="11454917"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مستوى الثقة والأمان لدى العملاء</w:t>
      </w:r>
      <w:r w:rsidRPr="0072768E">
        <w:rPr>
          <w:rFonts w:ascii="Simplified Arabic" w:hAnsi="Simplified Arabic" w:cs="Simplified Arabic"/>
          <w:sz w:val="28"/>
          <w:szCs w:val="28"/>
        </w:rPr>
        <w:t>.</w:t>
      </w:r>
    </w:p>
    <w:p w14:paraId="2A11B76C"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التحسن في مؤشرات إدارة المخاطر السيبرانية بعد تطبيق تقنية الترميز</w:t>
      </w:r>
      <w:r w:rsidRPr="0072768E">
        <w:rPr>
          <w:rFonts w:ascii="Simplified Arabic" w:hAnsi="Simplified Arabic" w:cs="Simplified Arabic"/>
          <w:sz w:val="28"/>
          <w:szCs w:val="28"/>
        </w:rPr>
        <w:t>.</w:t>
      </w:r>
    </w:p>
    <w:p w14:paraId="04B6695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الرابع: تأثير تقنية الترميز على كفاءة العمليات المالية</w:t>
      </w:r>
    </w:p>
    <w:p w14:paraId="64F36CBE"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يستهدف هذا المحور قياس أثر تقنية الترميز على مؤشرات كفاءة العمليات المالية، ويشمل</w:t>
      </w:r>
      <w:r w:rsidRPr="0072768E">
        <w:rPr>
          <w:rFonts w:ascii="Simplified Arabic" w:hAnsi="Simplified Arabic" w:cs="Simplified Arabic"/>
          <w:sz w:val="28"/>
          <w:szCs w:val="28"/>
        </w:rPr>
        <w:t>:</w:t>
      </w:r>
    </w:p>
    <w:p w14:paraId="699F9BD3"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متوسط وقت معالجة المعاملات المالية قبل وبعد تطبيق تقنية الترميز</w:t>
      </w:r>
      <w:r w:rsidRPr="0072768E">
        <w:rPr>
          <w:rFonts w:ascii="Simplified Arabic" w:hAnsi="Simplified Arabic" w:cs="Simplified Arabic"/>
          <w:sz w:val="28"/>
          <w:szCs w:val="28"/>
        </w:rPr>
        <w:t>.</w:t>
      </w:r>
    </w:p>
    <w:p w14:paraId="2B29CF96"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تكلفة إجراء المعاملات المالية قبل وبعد تطبيق تقنية الترميز</w:t>
      </w:r>
      <w:r w:rsidRPr="0072768E">
        <w:rPr>
          <w:rFonts w:ascii="Simplified Arabic" w:hAnsi="Simplified Arabic" w:cs="Simplified Arabic"/>
          <w:sz w:val="28"/>
          <w:szCs w:val="28"/>
        </w:rPr>
        <w:t>.</w:t>
      </w:r>
    </w:p>
    <w:p w14:paraId="7E0D707A"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مستوى السيولة وسرعة تسوية المعاملات</w:t>
      </w:r>
      <w:r w:rsidRPr="0072768E">
        <w:rPr>
          <w:rFonts w:ascii="Simplified Arabic" w:hAnsi="Simplified Arabic" w:cs="Simplified Arabic"/>
          <w:sz w:val="28"/>
          <w:szCs w:val="28"/>
        </w:rPr>
        <w:t>.</w:t>
      </w:r>
    </w:p>
    <w:p w14:paraId="64A0E0FE"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كفاءة إدارة الأصول المالية</w:t>
      </w:r>
      <w:r w:rsidRPr="0072768E">
        <w:rPr>
          <w:rFonts w:ascii="Simplified Arabic" w:hAnsi="Simplified Arabic" w:cs="Simplified Arabic"/>
          <w:sz w:val="28"/>
          <w:szCs w:val="28"/>
        </w:rPr>
        <w:t>.</w:t>
      </w:r>
    </w:p>
    <w:p w14:paraId="0AE4670A"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مستوى الشفافية في المعاملات المالية</w:t>
      </w:r>
      <w:r w:rsidRPr="0072768E">
        <w:rPr>
          <w:rFonts w:ascii="Simplified Arabic" w:hAnsi="Simplified Arabic" w:cs="Simplified Arabic"/>
          <w:sz w:val="28"/>
          <w:szCs w:val="28"/>
        </w:rPr>
        <w:t>.</w:t>
      </w:r>
    </w:p>
    <w:p w14:paraId="77519A49"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التحسن في مؤشرات الأداء التشغيلي للعمليات المالية بعد تطبيق تقنية الترميز</w:t>
      </w:r>
      <w:r w:rsidRPr="0072768E">
        <w:rPr>
          <w:rFonts w:ascii="Simplified Arabic" w:hAnsi="Simplified Arabic" w:cs="Simplified Arabic"/>
          <w:sz w:val="28"/>
          <w:szCs w:val="28"/>
        </w:rPr>
        <w:t>.</w:t>
      </w:r>
    </w:p>
    <w:p w14:paraId="1098D071"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الخامس: التحديات التي تواجه تبني تقنية الترميز</w:t>
      </w:r>
    </w:p>
    <w:p w14:paraId="51814482"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يهدف هذا المحور إلى تحديد وتقييم التحديات المختلفة التي تواجه المؤسسات في تبني وتطبيق تقنية الترميز، ويتضمن</w:t>
      </w:r>
      <w:r w:rsidRPr="0072768E">
        <w:rPr>
          <w:rFonts w:ascii="Simplified Arabic" w:hAnsi="Simplified Arabic" w:cs="Simplified Arabic"/>
          <w:sz w:val="28"/>
          <w:szCs w:val="28"/>
        </w:rPr>
        <w:t>:</w:t>
      </w:r>
    </w:p>
    <w:p w14:paraId="672E17AD"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التقنية (نقص الخبرات، تعقيد التكامل مع الأنظمة الحالية، مشكلات الأداء والقابلية للتوسع)</w:t>
      </w:r>
      <w:r w:rsidRPr="0072768E">
        <w:rPr>
          <w:rFonts w:ascii="Simplified Arabic" w:hAnsi="Simplified Arabic" w:cs="Simplified Arabic"/>
          <w:sz w:val="28"/>
          <w:szCs w:val="28"/>
        </w:rPr>
        <w:t>.</w:t>
      </w:r>
    </w:p>
    <w:p w14:paraId="6E4F29A0"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التنظيمية (غموض الإطار التنظيمي، تعارض المعايير، متطلبات الامتثال)</w:t>
      </w:r>
      <w:r w:rsidRPr="0072768E">
        <w:rPr>
          <w:rFonts w:ascii="Simplified Arabic" w:hAnsi="Simplified Arabic" w:cs="Simplified Arabic"/>
          <w:sz w:val="28"/>
          <w:szCs w:val="28"/>
        </w:rPr>
        <w:t>.</w:t>
      </w:r>
    </w:p>
    <w:p w14:paraId="6DFCE0E6"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التشغيلية (تكاليف التنفيذ، مقاومة التغيير، إدارة المخاطر)</w:t>
      </w:r>
      <w:r w:rsidRPr="0072768E">
        <w:rPr>
          <w:rFonts w:ascii="Simplified Arabic" w:hAnsi="Simplified Arabic" w:cs="Simplified Arabic"/>
          <w:sz w:val="28"/>
          <w:szCs w:val="28"/>
        </w:rPr>
        <w:t>.</w:t>
      </w:r>
    </w:p>
    <w:p w14:paraId="194CC879"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المتعلقة بالموارد البشرية والكفاءات</w:t>
      </w:r>
      <w:r w:rsidRPr="0072768E">
        <w:rPr>
          <w:rFonts w:ascii="Simplified Arabic" w:hAnsi="Simplified Arabic" w:cs="Simplified Arabic"/>
          <w:sz w:val="28"/>
          <w:szCs w:val="28"/>
        </w:rPr>
        <w:t>.</w:t>
      </w:r>
    </w:p>
    <w:p w14:paraId="31B3999B"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المرتبطة بقبول العملاء واستخدامهم للتقنية</w:t>
      </w:r>
      <w:r w:rsidRPr="0072768E">
        <w:rPr>
          <w:rFonts w:ascii="Simplified Arabic" w:hAnsi="Simplified Arabic" w:cs="Simplified Arabic"/>
          <w:sz w:val="28"/>
          <w:szCs w:val="28"/>
        </w:rPr>
        <w:t>.</w:t>
      </w:r>
    </w:p>
    <w:p w14:paraId="5218AC5E"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استراتيجيات التغلب على هذه التحديات</w:t>
      </w:r>
      <w:r w:rsidRPr="0072768E">
        <w:rPr>
          <w:rFonts w:ascii="Simplified Arabic" w:hAnsi="Simplified Arabic" w:cs="Simplified Arabic"/>
          <w:sz w:val="28"/>
          <w:szCs w:val="28"/>
        </w:rPr>
        <w:t>.</w:t>
      </w:r>
    </w:p>
    <w:p w14:paraId="179982EB"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السادس: دور تقنية الترميز في دعم تحقيق أهداف رؤية المملكة 2030</w:t>
      </w:r>
    </w:p>
    <w:p w14:paraId="77403301"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يركز هذا المحور على تقييم مساهمة تقنية الترميز في تحقيق أهداف رؤية المملكة 2030، خاصة فيما يتعلق بالتحول الرقمي وتطوير القطاع المالي، ويشمل</w:t>
      </w:r>
      <w:r w:rsidRPr="0072768E">
        <w:rPr>
          <w:rFonts w:ascii="Simplified Arabic" w:hAnsi="Simplified Arabic" w:cs="Simplified Arabic"/>
          <w:sz w:val="28"/>
          <w:szCs w:val="28"/>
        </w:rPr>
        <w:t>:</w:t>
      </w:r>
    </w:p>
    <w:p w14:paraId="74F1B20F"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مساهمة تقنية الترميز في تعزيز التحول الرقمي للقطاع المالي</w:t>
      </w:r>
      <w:r w:rsidRPr="0072768E">
        <w:rPr>
          <w:rFonts w:ascii="Simplified Arabic" w:hAnsi="Simplified Arabic" w:cs="Simplified Arabic"/>
          <w:sz w:val="28"/>
          <w:szCs w:val="28"/>
        </w:rPr>
        <w:t>.</w:t>
      </w:r>
    </w:p>
    <w:p w14:paraId="7748DDA9"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دور تقنية الترميز في زيادة مستوى الشمول المالي</w:t>
      </w:r>
      <w:r w:rsidRPr="0072768E">
        <w:rPr>
          <w:rFonts w:ascii="Simplified Arabic" w:hAnsi="Simplified Arabic" w:cs="Simplified Arabic"/>
          <w:sz w:val="28"/>
          <w:szCs w:val="28"/>
        </w:rPr>
        <w:t>.</w:t>
      </w:r>
    </w:p>
    <w:p w14:paraId="416C921B"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تنويع المنتجات والخدمات المالية</w:t>
      </w:r>
      <w:r w:rsidRPr="0072768E">
        <w:rPr>
          <w:rFonts w:ascii="Simplified Arabic" w:hAnsi="Simplified Arabic" w:cs="Simplified Arabic"/>
          <w:sz w:val="28"/>
          <w:szCs w:val="28"/>
        </w:rPr>
        <w:t>.</w:t>
      </w:r>
    </w:p>
    <w:p w14:paraId="7D2DFD6E"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مساهمة تقنية الترميز في تعزيز تنافسية القطاع المالي السعودي إقليمياً وعالمياً</w:t>
      </w:r>
      <w:r w:rsidRPr="0072768E">
        <w:rPr>
          <w:rFonts w:ascii="Simplified Arabic" w:hAnsi="Simplified Arabic" w:cs="Simplified Arabic"/>
          <w:sz w:val="28"/>
          <w:szCs w:val="28"/>
        </w:rPr>
        <w:t>.</w:t>
      </w:r>
    </w:p>
    <w:p w14:paraId="68606D2E"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دور تقنية الترميز في دعم مبادرات فنتك السعودية</w:t>
      </w:r>
      <w:r w:rsidRPr="0072768E">
        <w:rPr>
          <w:rFonts w:ascii="Simplified Arabic" w:hAnsi="Simplified Arabic" w:cs="Simplified Arabic"/>
          <w:sz w:val="28"/>
          <w:szCs w:val="28"/>
        </w:rPr>
        <w:t>.</w:t>
      </w:r>
    </w:p>
    <w:p w14:paraId="5649603E"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الفرص المستقبلية لتطبيق تقنية الترميز في إطار رؤية 2030</w:t>
      </w:r>
      <w:r w:rsidRPr="0072768E">
        <w:rPr>
          <w:rFonts w:ascii="Simplified Arabic" w:hAnsi="Simplified Arabic" w:cs="Simplified Arabic"/>
          <w:sz w:val="28"/>
          <w:szCs w:val="28"/>
        </w:rPr>
        <w:t>.</w:t>
      </w:r>
    </w:p>
    <w:p w14:paraId="57FDFEE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مقياس الاستبانة</w:t>
      </w:r>
    </w:p>
    <w:p w14:paraId="46285EE6"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سيتم استخدام مقياس ليكرت الخماسي لتصميم فقرات الاستبانة، وذلك على النحو التالي</w:t>
      </w:r>
      <w:r w:rsidRPr="0072768E">
        <w:rPr>
          <w:rFonts w:ascii="Simplified Arabic" w:hAnsi="Simplified Arabic" w:cs="Simplified Arabic"/>
          <w:sz w:val="28"/>
          <w:szCs w:val="28"/>
        </w:rPr>
        <w:t>:</w:t>
      </w:r>
    </w:p>
    <w:p w14:paraId="15CD70E1"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5</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موافق بشدة</w:t>
      </w:r>
    </w:p>
    <w:p w14:paraId="05701A9E"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4</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موافق</w:t>
      </w:r>
    </w:p>
    <w:p w14:paraId="38B9DFB0"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3</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محايد</w:t>
      </w:r>
    </w:p>
    <w:p w14:paraId="4DC736EE"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2</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غير موافق</w:t>
      </w:r>
    </w:p>
    <w:p w14:paraId="6E933A0D"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1</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غير موافق بشدة</w:t>
      </w:r>
    </w:p>
    <w:p w14:paraId="2126ECA7" w14:textId="77777777" w:rsidR="009E3672" w:rsidRPr="0072768E" w:rsidRDefault="00037DA0" w:rsidP="00037DA0">
      <w:pPr>
        <w:bidi/>
        <w:spacing w:after="200" w:line="276" w:lineRule="auto"/>
        <w:jc w:val="both"/>
        <w:rPr>
          <w:rFonts w:ascii="Simplified Arabic" w:hAnsi="Simplified Arabic" w:cs="Simplified Arabic"/>
          <w:sz w:val="28"/>
          <w:szCs w:val="28"/>
          <w:rtl/>
        </w:rPr>
      </w:pPr>
      <w:r w:rsidRPr="0072768E">
        <w:rPr>
          <w:rFonts w:ascii="Simplified Arabic" w:hAnsi="Simplified Arabic" w:cs="Simplified Arabic"/>
          <w:sz w:val="28"/>
          <w:szCs w:val="28"/>
          <w:rtl/>
        </w:rPr>
        <w:t>وقد تم اختيار هذا المقياس لأنه يتيح قياس اتجاهات وآراء المستجيبين بدقة أكبر، ويسهل تحويل البيانات النوعية إلى قيم كمية يمكن تحليلها إحصائياً</w:t>
      </w:r>
      <w:r w:rsidRPr="0072768E">
        <w:rPr>
          <w:rFonts w:ascii="Simplified Arabic" w:hAnsi="Simplified Arabic" w:cs="Simplified Arabic"/>
          <w:sz w:val="28"/>
          <w:szCs w:val="28"/>
        </w:rPr>
        <w:t>.</w:t>
      </w:r>
    </w:p>
    <w:p w14:paraId="4E0825FA" w14:textId="77777777" w:rsidR="009E3672" w:rsidRPr="0072768E" w:rsidRDefault="009E3672" w:rsidP="00037DA0">
      <w:pPr>
        <w:bidi/>
        <w:spacing w:after="200" w:line="276" w:lineRule="auto"/>
        <w:jc w:val="both"/>
        <w:rPr>
          <w:rFonts w:ascii="Simplified Arabic" w:hAnsi="Simplified Arabic" w:cs="Simplified Arabic"/>
          <w:sz w:val="28"/>
          <w:szCs w:val="28"/>
        </w:rPr>
      </w:pPr>
    </w:p>
    <w:p w14:paraId="1986AF40" w14:textId="5B0D9927" w:rsidR="001E44BC" w:rsidRPr="0072768E" w:rsidRDefault="001E44BC"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87" w:name="_Toc224563943"/>
      <w:bookmarkStart w:id="88" w:name="_Toc224564000"/>
      <w:r w:rsidRPr="0072768E">
        <w:rPr>
          <w:rFonts w:ascii="Simplified Arabic" w:hAnsi="Simplified Arabic" w:cs="Simplified Arabic"/>
          <w:b/>
          <w:bCs/>
          <w:color w:val="auto"/>
          <w:sz w:val="28"/>
          <w:szCs w:val="28"/>
          <w:u w:val="single"/>
          <w:rtl/>
        </w:rPr>
        <w:t>المراجعة المنهجي</w:t>
      </w:r>
      <w:r w:rsidR="001A46CD" w:rsidRPr="0072768E">
        <w:rPr>
          <w:rFonts w:ascii="Simplified Arabic" w:hAnsi="Simplified Arabic" w:cs="Simplified Arabic" w:hint="cs"/>
          <w:b/>
          <w:bCs/>
          <w:color w:val="auto"/>
          <w:sz w:val="28"/>
          <w:szCs w:val="28"/>
          <w:u w:val="single"/>
          <w:rtl/>
        </w:rPr>
        <w:t xml:space="preserve">ة </w:t>
      </w:r>
      <w:r w:rsidRPr="0072768E">
        <w:rPr>
          <w:rFonts w:ascii="Simplified Arabic" w:hAnsi="Simplified Arabic" w:cs="Simplified Arabic"/>
          <w:b/>
          <w:bCs/>
          <w:color w:val="auto"/>
          <w:sz w:val="28"/>
          <w:szCs w:val="28"/>
          <w:u w:val="single"/>
        </w:rPr>
        <w:t>(Systematic Review)</w:t>
      </w:r>
      <w:bookmarkEnd w:id="87"/>
      <w:bookmarkEnd w:id="88"/>
    </w:p>
    <w:p w14:paraId="50A806C5" w14:textId="4BC5BD7B" w:rsidR="001E44BC" w:rsidRPr="0072768E" w:rsidRDefault="001A46CD" w:rsidP="006E2853">
      <w:pPr>
        <w:bidi/>
        <w:spacing w:after="200" w:line="276" w:lineRule="auto"/>
        <w:jc w:val="both"/>
        <w:rPr>
          <w:rFonts w:ascii="Simplified Arabic" w:hAnsi="Simplified Arabic" w:cs="Simplified Arabic"/>
          <w:sz w:val="28"/>
          <w:szCs w:val="28"/>
          <w:rtl/>
        </w:rPr>
      </w:pPr>
      <w:r w:rsidRPr="0072768E">
        <w:rPr>
          <w:rFonts w:ascii="Simplified Arabic" w:hAnsi="Simplified Arabic" w:cs="Simplified Arabic" w:hint="cs"/>
          <w:sz w:val="28"/>
          <w:szCs w:val="28"/>
          <w:rtl/>
        </w:rPr>
        <w:t>سي</w:t>
      </w:r>
      <w:r w:rsidR="001E44BC" w:rsidRPr="0072768E">
        <w:rPr>
          <w:rFonts w:ascii="Simplified Arabic" w:hAnsi="Simplified Arabic" w:cs="Simplified Arabic"/>
          <w:sz w:val="28"/>
          <w:szCs w:val="28"/>
          <w:rtl/>
        </w:rPr>
        <w:t>تم استخدام المراجعة المنهجية كأداة بحثية لجمع وتحليل وتوليف نتائج الدراسات السابقة ذات الصلة بتقنية الترميز في القطاع المالي، وذلك وفقاً لبروتوكول</w:t>
      </w:r>
      <w:r w:rsidR="001609B6" w:rsidRPr="0072768E">
        <w:rPr>
          <w:rFonts w:ascii="Simplified Arabic" w:hAnsi="Simplified Arabic" w:cs="Simplified Arabic" w:hint="cs"/>
          <w:sz w:val="28"/>
          <w:szCs w:val="28"/>
          <w:rtl/>
        </w:rPr>
        <w:t xml:space="preserve"> </w:t>
      </w:r>
      <w:r w:rsidR="001E44BC" w:rsidRPr="0072768E">
        <w:rPr>
          <w:rFonts w:ascii="Simplified Arabic" w:hAnsi="Simplified Arabic" w:cs="Simplified Arabic"/>
          <w:sz w:val="28"/>
          <w:szCs w:val="28"/>
        </w:rPr>
        <w:t>PRISMA</w:t>
      </w:r>
      <w:r w:rsidR="001609B6" w:rsidRPr="0072768E">
        <w:rPr>
          <w:rFonts w:ascii="Simplified Arabic" w:hAnsi="Simplified Arabic" w:cs="Simplified Arabic"/>
          <w:sz w:val="28"/>
          <w:szCs w:val="28"/>
          <w:rtl/>
        </w:rPr>
        <w:br/>
      </w:r>
      <w:r w:rsidR="001E44BC" w:rsidRPr="0072768E">
        <w:rPr>
          <w:rFonts w:ascii="Simplified Arabic" w:hAnsi="Simplified Arabic" w:cs="Simplified Arabic"/>
          <w:sz w:val="28"/>
          <w:szCs w:val="28"/>
        </w:rPr>
        <w:t>(Preferred Reporting Items for Systematic Reviews and Meta-Analyses)</w:t>
      </w:r>
      <w:r w:rsidRPr="0072768E">
        <w:rPr>
          <w:rFonts w:ascii="Simplified Arabic" w:hAnsi="Simplified Arabic" w:cs="Simplified Arabic" w:hint="cs"/>
          <w:sz w:val="28"/>
          <w:szCs w:val="28"/>
          <w:rtl/>
        </w:rPr>
        <w:t xml:space="preserve">، </w:t>
      </w:r>
      <w:r w:rsidR="001E44BC" w:rsidRPr="0072768E">
        <w:rPr>
          <w:rFonts w:ascii="Simplified Arabic" w:hAnsi="Simplified Arabic" w:cs="Simplified Arabic"/>
          <w:sz w:val="28"/>
          <w:szCs w:val="28"/>
          <w:rtl/>
        </w:rPr>
        <w:t>و</w:t>
      </w:r>
      <w:r w:rsidRPr="0072768E">
        <w:rPr>
          <w:rFonts w:ascii="Simplified Arabic" w:hAnsi="Simplified Arabic" w:cs="Simplified Arabic" w:hint="cs"/>
          <w:sz w:val="28"/>
          <w:szCs w:val="28"/>
          <w:rtl/>
        </w:rPr>
        <w:t>س</w:t>
      </w:r>
      <w:r w:rsidR="001E44BC" w:rsidRPr="0072768E">
        <w:rPr>
          <w:rFonts w:ascii="Simplified Arabic" w:hAnsi="Simplified Arabic" w:cs="Simplified Arabic"/>
          <w:sz w:val="28"/>
          <w:szCs w:val="28"/>
          <w:rtl/>
        </w:rPr>
        <w:t>تتضمن هذه المنهجية الخطوات التالية</w:t>
      </w:r>
      <w:r w:rsidR="001E44BC" w:rsidRPr="0072768E">
        <w:rPr>
          <w:rFonts w:ascii="Simplified Arabic" w:hAnsi="Simplified Arabic" w:cs="Simplified Arabic"/>
          <w:sz w:val="28"/>
          <w:szCs w:val="28"/>
        </w:rPr>
        <w:t>:</w:t>
      </w:r>
    </w:p>
    <w:p w14:paraId="1F1AFE54"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صياغة أسئلة البحث</w:t>
      </w:r>
    </w:p>
    <w:p w14:paraId="699B93B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صياغة أسئلة محددة حول تأثير تقنية الترميز على الأمن السيبراني وكفاءة المعاملات المالية في القطاع المالي السعودي، وعلاقتها برؤية المملكة 2030، مثل</w:t>
      </w:r>
      <w:r w:rsidRPr="0072768E">
        <w:rPr>
          <w:rFonts w:ascii="Simplified Arabic" w:eastAsiaTheme="majorEastAsia" w:hAnsi="Simplified Arabic" w:cs="Simplified Arabic"/>
          <w:sz w:val="28"/>
          <w:szCs w:val="28"/>
        </w:rPr>
        <w:t>:</w:t>
      </w:r>
    </w:p>
    <w:p w14:paraId="107F8E7B"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ما تأثير تقنية الترميز على مؤشرات الأمن السيبراني في المؤسسات المالية؟</w:t>
      </w:r>
    </w:p>
    <w:p w14:paraId="0889CFD7"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كيف تساهم تقنية الترميز في تحسين كفاءة المعاملات المالية؟</w:t>
      </w:r>
    </w:p>
    <w:p w14:paraId="29F725B3"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ما التحديات الرئيسية التي تواجه تبني تقنية الترميز في القطاع المالي؟</w:t>
      </w:r>
    </w:p>
    <w:p w14:paraId="096E1F85"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كيف يمكن توظيف تقنية الترميز لدعم تحقيق أهداف رؤية المملكة 2030؟</w:t>
      </w:r>
    </w:p>
    <w:p w14:paraId="60BBDC79"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تحديد معايير الشمول والاستبعاد</w:t>
      </w:r>
    </w:p>
    <w:p w14:paraId="2205FFC6"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تحديد معايير واضحة لشمول واستبعاد الدراسات، حيث سيتم التركيز على</w:t>
      </w:r>
      <w:r w:rsidRPr="0072768E">
        <w:rPr>
          <w:rFonts w:ascii="Simplified Arabic" w:eastAsiaTheme="majorEastAsia" w:hAnsi="Simplified Arabic" w:cs="Simplified Arabic"/>
          <w:sz w:val="28"/>
          <w:szCs w:val="28"/>
        </w:rPr>
        <w:t>:</w:t>
      </w:r>
    </w:p>
    <w:p w14:paraId="5B322565"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المنشورة بين 2020-2025 (لضمان حداثة المعلومات)</w:t>
      </w:r>
      <w:r w:rsidRPr="0072768E">
        <w:rPr>
          <w:rFonts w:ascii="Simplified Arabic" w:eastAsiaTheme="majorEastAsia" w:hAnsi="Simplified Arabic" w:cs="Simplified Arabic"/>
          <w:sz w:val="28"/>
          <w:szCs w:val="28"/>
        </w:rPr>
        <w:t>.</w:t>
      </w:r>
    </w:p>
    <w:p w14:paraId="2DD1850F"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التي تتناول تقنية الترميز في القطاع المالي</w:t>
      </w:r>
      <w:r w:rsidRPr="0072768E">
        <w:rPr>
          <w:rFonts w:ascii="Simplified Arabic" w:eastAsiaTheme="majorEastAsia" w:hAnsi="Simplified Arabic" w:cs="Simplified Arabic"/>
          <w:sz w:val="28"/>
          <w:szCs w:val="28"/>
        </w:rPr>
        <w:t>.</w:t>
      </w:r>
    </w:p>
    <w:p w14:paraId="59EA6378"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التي تركز على المملكة العربية السعودية أو دول مجلس التعاون الخليجي أو منطقة الشرق الأوسط</w:t>
      </w:r>
      <w:r w:rsidRPr="0072768E">
        <w:rPr>
          <w:rFonts w:ascii="Simplified Arabic" w:eastAsiaTheme="majorEastAsia" w:hAnsi="Simplified Arabic" w:cs="Simplified Arabic"/>
          <w:sz w:val="28"/>
          <w:szCs w:val="28"/>
        </w:rPr>
        <w:t>.</w:t>
      </w:r>
    </w:p>
    <w:p w14:paraId="0FF6D654"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المنشورة باللغتين العربية والإنجليزية</w:t>
      </w:r>
      <w:r w:rsidRPr="0072768E">
        <w:rPr>
          <w:rFonts w:ascii="Simplified Arabic" w:eastAsiaTheme="majorEastAsia" w:hAnsi="Simplified Arabic" w:cs="Simplified Arabic"/>
          <w:sz w:val="28"/>
          <w:szCs w:val="28"/>
        </w:rPr>
        <w:t>.</w:t>
      </w:r>
    </w:p>
    <w:p w14:paraId="0B88FEEE"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المنشورة في مجلات علمية محكمة أو مؤتمرات علمية معتبرة أو تقارير رسمية صادرة عن جهات موثوقة</w:t>
      </w:r>
      <w:r w:rsidRPr="0072768E">
        <w:rPr>
          <w:rFonts w:ascii="Simplified Arabic" w:eastAsiaTheme="majorEastAsia" w:hAnsi="Simplified Arabic" w:cs="Simplified Arabic"/>
          <w:sz w:val="28"/>
          <w:szCs w:val="28"/>
        </w:rPr>
        <w:t>.</w:t>
      </w:r>
    </w:p>
    <w:p w14:paraId="21A89C99"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استراتيجية البحث</w:t>
      </w:r>
    </w:p>
    <w:p w14:paraId="5C8C4C88"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البحث في قواعد البيانات العلمية التالية</w:t>
      </w:r>
      <w:r w:rsidRPr="0072768E">
        <w:rPr>
          <w:rFonts w:ascii="Simplified Arabic" w:eastAsiaTheme="majorEastAsia" w:hAnsi="Simplified Arabic" w:cs="Simplified Arabic"/>
          <w:sz w:val="28"/>
          <w:szCs w:val="28"/>
        </w:rPr>
        <w:t>:</w:t>
      </w:r>
    </w:p>
    <w:p w14:paraId="0D60EB08"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قواعد البيانات العالمية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Scopus</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Web of Science</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IEEE Xplore</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ScienceDirect</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EBSCO</w:t>
      </w:r>
      <w:r w:rsidRPr="0072768E">
        <w:rPr>
          <w:rFonts w:ascii="Simplified Arabic" w:eastAsiaTheme="majorEastAsia" w:hAnsi="Simplified Arabic" w:cs="Simplified Arabic" w:hint="cs"/>
          <w:sz w:val="28"/>
          <w:szCs w:val="28"/>
          <w:rtl/>
        </w:rPr>
        <w:t>.</w:t>
      </w:r>
    </w:p>
    <w:p w14:paraId="5A253B6A"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قواعد البيانات الإقليمية: دار المنظومة، المكتبة الرقمية السعودية</w:t>
      </w:r>
      <w:r w:rsidRPr="0072768E">
        <w:rPr>
          <w:rFonts w:ascii="Simplified Arabic" w:eastAsiaTheme="majorEastAsia" w:hAnsi="Simplified Arabic" w:cs="Simplified Arabic"/>
          <w:sz w:val="28"/>
          <w:szCs w:val="28"/>
        </w:rPr>
        <w:t>.</w:t>
      </w:r>
    </w:p>
    <w:p w14:paraId="61654379"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المصادر المتخصصة: تقارير البنك المركزي السعودي، هيئة السوق المالية، فنتك السعودية</w:t>
      </w:r>
      <w:r w:rsidRPr="0072768E">
        <w:rPr>
          <w:rFonts w:ascii="Simplified Arabic" w:eastAsiaTheme="majorEastAsia" w:hAnsi="Simplified Arabic" w:cs="Simplified Arabic"/>
          <w:sz w:val="28"/>
          <w:szCs w:val="28"/>
        </w:rPr>
        <w:t>.</w:t>
      </w:r>
    </w:p>
    <w:p w14:paraId="04DA5D5D"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المستودعات الأكاديمية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ProQuest</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للأطروحات الجامعية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Google Scholar</w:t>
      </w:r>
      <w:r w:rsidRPr="0072768E">
        <w:rPr>
          <w:rFonts w:ascii="Simplified Arabic" w:eastAsiaTheme="majorEastAsia" w:hAnsi="Simplified Arabic" w:cs="Simplified Arabic" w:hint="cs"/>
          <w:sz w:val="28"/>
          <w:szCs w:val="28"/>
          <w:rtl/>
        </w:rPr>
        <w:t>.</w:t>
      </w:r>
    </w:p>
    <w:p w14:paraId="483C7B8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سيتم استخدام مجموعة من الكلمات المفتاحية مثل: "تقنية الترميز"، "الترميز المالي"، "الأمن السيبراني"، "كفاءة العمليات المالية"، "القطاع المالي السعودي"، "رؤية 2030"، وما يقابلها باللغة الإنجليزية</w:t>
      </w:r>
      <w:r w:rsidRPr="0072768E">
        <w:rPr>
          <w:rFonts w:ascii="Simplified Arabic" w:eastAsiaTheme="majorEastAsia" w:hAnsi="Simplified Arabic" w:cs="Simplified Arabic"/>
          <w:sz w:val="28"/>
          <w:szCs w:val="28"/>
        </w:rPr>
        <w:t>.</w:t>
      </w:r>
    </w:p>
    <w:p w14:paraId="535C7DA1"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فرز وتقييم الدراسات</w:t>
      </w:r>
    </w:p>
    <w:p w14:paraId="1E4C662D"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فرز الدراسات من خلال</w:t>
      </w:r>
      <w:r w:rsidRPr="0072768E">
        <w:rPr>
          <w:rFonts w:ascii="Simplified Arabic" w:eastAsiaTheme="majorEastAsia" w:hAnsi="Simplified Arabic" w:cs="Simplified Arabic"/>
          <w:sz w:val="28"/>
          <w:szCs w:val="28"/>
        </w:rPr>
        <w:t>:</w:t>
      </w:r>
    </w:p>
    <w:p w14:paraId="73F89A45" w14:textId="77777777" w:rsidR="006C53DE" w:rsidRPr="0072768E" w:rsidRDefault="006C53DE" w:rsidP="00786A9D">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مراجعة العناوين والملخصات أولاً لاستبعاد الدراسات غير ذات الصلة</w:t>
      </w:r>
      <w:r w:rsidRPr="0072768E">
        <w:rPr>
          <w:rFonts w:ascii="Simplified Arabic" w:eastAsiaTheme="majorEastAsia" w:hAnsi="Simplified Arabic" w:cs="Simplified Arabic"/>
          <w:sz w:val="28"/>
          <w:szCs w:val="28"/>
        </w:rPr>
        <w:t>.</w:t>
      </w:r>
    </w:p>
    <w:p w14:paraId="234345AD" w14:textId="77777777" w:rsidR="006C53DE" w:rsidRPr="0072768E" w:rsidRDefault="006C53DE" w:rsidP="00786A9D">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قراءة النصوص الكاملة للدراسات المختارة</w:t>
      </w:r>
      <w:r w:rsidRPr="0072768E">
        <w:rPr>
          <w:rFonts w:ascii="Simplified Arabic" w:eastAsiaTheme="majorEastAsia" w:hAnsi="Simplified Arabic" w:cs="Simplified Arabic"/>
          <w:sz w:val="28"/>
          <w:szCs w:val="28"/>
        </w:rPr>
        <w:t>.</w:t>
      </w:r>
    </w:p>
    <w:p w14:paraId="66D4B405" w14:textId="77777777" w:rsidR="006C53DE" w:rsidRPr="0072768E" w:rsidRDefault="006C53DE" w:rsidP="00786A9D">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تقييم جودة الدراسات باستخدام أدوات قياسية مثل مقياس</w:t>
      </w:r>
      <w:r w:rsidRPr="0072768E">
        <w:rPr>
          <w:rFonts w:ascii="Simplified Arabic" w:eastAsiaTheme="majorEastAsia" w:hAnsi="Simplified Arabic" w:cs="Simplified Arabic"/>
          <w:sz w:val="28"/>
          <w:szCs w:val="28"/>
        </w:rPr>
        <w:t xml:space="preserve"> Newcastle-Ottawa Scale </w:t>
      </w:r>
      <w:r w:rsidRPr="0072768E">
        <w:rPr>
          <w:rFonts w:ascii="Simplified Arabic" w:eastAsiaTheme="majorEastAsia" w:hAnsi="Simplified Arabic" w:cs="Simplified Arabic"/>
          <w:sz w:val="28"/>
          <w:szCs w:val="28"/>
          <w:rtl/>
        </w:rPr>
        <w:t>للدراسات غير التجريبية وقائمة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CASP</w:t>
      </w:r>
      <w:r w:rsidRPr="0072768E">
        <w:rPr>
          <w:rFonts w:ascii="Simplified Arabic" w:eastAsiaTheme="majorEastAsia" w:hAnsi="Simplified Arabic" w:cs="Simplified Arabic" w:hint="cs"/>
          <w:sz w:val="28"/>
          <w:szCs w:val="28"/>
          <w:rtl/>
        </w:rPr>
        <w:t>.</w:t>
      </w:r>
    </w:p>
    <w:p w14:paraId="090B0A2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استخلاص البيانات</w:t>
      </w:r>
    </w:p>
    <w:p w14:paraId="0791F21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استخلاص البيانات من الدراسات المختارة باستخدام نموذج موحد يشمل</w:t>
      </w:r>
      <w:r w:rsidRPr="0072768E">
        <w:rPr>
          <w:rFonts w:ascii="Simplified Arabic" w:eastAsiaTheme="majorEastAsia" w:hAnsi="Simplified Arabic" w:cs="Simplified Arabic"/>
          <w:sz w:val="28"/>
          <w:szCs w:val="28"/>
        </w:rPr>
        <w:t>:</w:t>
      </w:r>
    </w:p>
    <w:p w14:paraId="0501D186"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معلومات الدراسة (المؤلفون، سنة النشر، نوع الدراسة)</w:t>
      </w:r>
      <w:r w:rsidRPr="0072768E">
        <w:rPr>
          <w:rFonts w:ascii="Simplified Arabic" w:eastAsiaTheme="majorEastAsia" w:hAnsi="Simplified Arabic" w:cs="Simplified Arabic"/>
          <w:sz w:val="28"/>
          <w:szCs w:val="28"/>
        </w:rPr>
        <w:t>.</w:t>
      </w:r>
    </w:p>
    <w:p w14:paraId="31CFC1BF"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نطاق الدراسة وعينتها</w:t>
      </w:r>
      <w:r w:rsidRPr="0072768E">
        <w:rPr>
          <w:rFonts w:ascii="Simplified Arabic" w:eastAsiaTheme="majorEastAsia" w:hAnsi="Simplified Arabic" w:cs="Simplified Arabic"/>
          <w:sz w:val="28"/>
          <w:szCs w:val="28"/>
        </w:rPr>
        <w:t>.</w:t>
      </w:r>
    </w:p>
    <w:p w14:paraId="0A487B7B"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أنواع الترميز المستخدمة</w:t>
      </w:r>
      <w:r w:rsidRPr="0072768E">
        <w:rPr>
          <w:rFonts w:ascii="Simplified Arabic" w:eastAsiaTheme="majorEastAsia" w:hAnsi="Simplified Arabic" w:cs="Simplified Arabic"/>
          <w:sz w:val="28"/>
          <w:szCs w:val="28"/>
        </w:rPr>
        <w:t>.</w:t>
      </w:r>
    </w:p>
    <w:p w14:paraId="19B5CEEA"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النتائج المتعلقة بالأمن السيبراني وكفاءة المعاملات</w:t>
      </w:r>
      <w:r w:rsidRPr="0072768E">
        <w:rPr>
          <w:rFonts w:ascii="Simplified Arabic" w:eastAsiaTheme="majorEastAsia" w:hAnsi="Simplified Arabic" w:cs="Simplified Arabic"/>
          <w:sz w:val="28"/>
          <w:szCs w:val="28"/>
        </w:rPr>
        <w:t>.</w:t>
      </w:r>
    </w:p>
    <w:p w14:paraId="6ECFA772"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التحديات والفرص المذكورة</w:t>
      </w:r>
      <w:r w:rsidRPr="0072768E">
        <w:rPr>
          <w:rFonts w:ascii="Simplified Arabic" w:eastAsiaTheme="majorEastAsia" w:hAnsi="Simplified Arabic" w:cs="Simplified Arabic"/>
          <w:sz w:val="28"/>
          <w:szCs w:val="28"/>
        </w:rPr>
        <w:t>.</w:t>
      </w:r>
    </w:p>
    <w:p w14:paraId="2F57A259"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العلاقة برؤية المملكة 2030</w:t>
      </w:r>
      <w:r w:rsidRPr="0072768E">
        <w:rPr>
          <w:rFonts w:ascii="Simplified Arabic" w:eastAsiaTheme="majorEastAsia" w:hAnsi="Simplified Arabic" w:cs="Simplified Arabic"/>
          <w:sz w:val="28"/>
          <w:szCs w:val="28"/>
        </w:rPr>
        <w:t>.</w:t>
      </w:r>
    </w:p>
    <w:p w14:paraId="4FFBF364"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وتوليف النتائج</w:t>
      </w:r>
    </w:p>
    <w:p w14:paraId="0FB532F9"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إجراء</w:t>
      </w:r>
      <w:r w:rsidRPr="0072768E">
        <w:rPr>
          <w:rFonts w:ascii="Simplified Arabic" w:eastAsiaTheme="majorEastAsia" w:hAnsi="Simplified Arabic" w:cs="Simplified Arabic"/>
          <w:sz w:val="28"/>
          <w:szCs w:val="28"/>
        </w:rPr>
        <w:t>:</w:t>
      </w:r>
    </w:p>
    <w:p w14:paraId="357146A9" w14:textId="77777777" w:rsidR="006C53DE"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وصفي للدراسات المشمولة</w:t>
      </w:r>
      <w:r w:rsidRPr="0072768E">
        <w:rPr>
          <w:rFonts w:ascii="Simplified Arabic" w:eastAsiaTheme="majorEastAsia" w:hAnsi="Simplified Arabic" w:cs="Simplified Arabic"/>
          <w:sz w:val="28"/>
          <w:szCs w:val="28"/>
        </w:rPr>
        <w:t>.</w:t>
      </w:r>
    </w:p>
    <w:p w14:paraId="55B090D1" w14:textId="77777777" w:rsidR="006C53DE"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موضوعي للنتائج</w:t>
      </w:r>
      <w:r w:rsidRPr="0072768E">
        <w:rPr>
          <w:rFonts w:ascii="Simplified Arabic" w:eastAsiaTheme="majorEastAsia" w:hAnsi="Simplified Arabic" w:cs="Simplified Arabic"/>
          <w:sz w:val="28"/>
          <w:szCs w:val="28"/>
        </w:rPr>
        <w:t>.</w:t>
      </w:r>
    </w:p>
    <w:p w14:paraId="71B09071" w14:textId="77777777" w:rsidR="006C53DE"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تقييم جودة الأدلة ومستوى التوافق بين الدراسات</w:t>
      </w:r>
      <w:r w:rsidRPr="0072768E">
        <w:rPr>
          <w:rFonts w:ascii="Simplified Arabic" w:eastAsiaTheme="majorEastAsia" w:hAnsi="Simplified Arabic" w:cs="Simplified Arabic"/>
          <w:sz w:val="28"/>
          <w:szCs w:val="28"/>
        </w:rPr>
        <w:t>.</w:t>
      </w:r>
    </w:p>
    <w:p w14:paraId="7930E62C" w14:textId="1A46FA64" w:rsidR="001A46CD"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تحديد الفجوات البحثية</w:t>
      </w:r>
      <w:r w:rsidRPr="0072768E">
        <w:rPr>
          <w:rFonts w:ascii="Simplified Arabic" w:eastAsiaTheme="majorEastAsia" w:hAnsi="Simplified Arabic" w:cs="Simplified Arabic" w:hint="cs"/>
          <w:sz w:val="28"/>
          <w:szCs w:val="28"/>
          <w:rtl/>
        </w:rPr>
        <w:t>.</w:t>
      </w:r>
    </w:p>
    <w:p w14:paraId="40C45B54" w14:textId="204B8A5C" w:rsidR="001E44BC" w:rsidRPr="0072768E" w:rsidRDefault="001E44BC"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89" w:name="_Toc224563944"/>
      <w:bookmarkStart w:id="90" w:name="_Toc224564001"/>
      <w:r w:rsidRPr="0072768E">
        <w:rPr>
          <w:rFonts w:ascii="Simplified Arabic" w:hAnsi="Simplified Arabic" w:cs="Simplified Arabic"/>
          <w:b/>
          <w:bCs/>
          <w:color w:val="auto"/>
          <w:sz w:val="28"/>
          <w:szCs w:val="28"/>
          <w:u w:val="single"/>
          <w:rtl/>
        </w:rPr>
        <w:t>تحليل الوثائق</w:t>
      </w:r>
      <w:bookmarkEnd w:id="89"/>
      <w:bookmarkEnd w:id="90"/>
    </w:p>
    <w:p w14:paraId="0285D31E" w14:textId="77777777" w:rsidR="00220EB9" w:rsidRPr="0072768E" w:rsidRDefault="00220EB9" w:rsidP="00220EB9">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سيتم جمع وتحليل مجموعة من الوثائق والتقارير ذات الصلة بموضوع الدراسة، بما في ذلك</w:t>
      </w:r>
      <w:r w:rsidRPr="0072768E">
        <w:rPr>
          <w:rFonts w:ascii="Simplified Arabic" w:hAnsi="Simplified Arabic" w:cs="Simplified Arabic"/>
          <w:sz w:val="28"/>
          <w:szCs w:val="28"/>
        </w:rPr>
        <w:t>:</w:t>
      </w:r>
    </w:p>
    <w:p w14:paraId="6300D0AE" w14:textId="77777777" w:rsidR="00220EB9" w:rsidRPr="0072768E" w:rsidRDefault="00220EB9" w:rsidP="00C3762E">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أنواع الوثائق</w:t>
      </w:r>
    </w:p>
    <w:p w14:paraId="3152988D"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التقارير السنوية للبنوك والمؤسسات المالية المستهدفة</w:t>
      </w:r>
      <w:r w:rsidRPr="0072768E">
        <w:rPr>
          <w:rFonts w:ascii="Simplified Arabic" w:hAnsi="Simplified Arabic" w:cs="Simplified Arabic"/>
          <w:sz w:val="28"/>
          <w:szCs w:val="28"/>
        </w:rPr>
        <w:t xml:space="preserve"> (2020-2025).</w:t>
      </w:r>
    </w:p>
    <w:p w14:paraId="48B334EF"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تقارير البنك المركزي السعودي وهيئة السوق المالية حول التقنية المالية والأمن السيبراني</w:t>
      </w:r>
      <w:r w:rsidRPr="0072768E">
        <w:rPr>
          <w:rFonts w:ascii="Simplified Arabic" w:hAnsi="Simplified Arabic" w:cs="Simplified Arabic"/>
          <w:sz w:val="28"/>
          <w:szCs w:val="28"/>
        </w:rPr>
        <w:t>.</w:t>
      </w:r>
    </w:p>
    <w:p w14:paraId="1E029B41"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تقارير الأمن السيبراني في القطاع المالي الصادرة عن الهيئة الوطنية للأمن السيبراني</w:t>
      </w:r>
      <w:r w:rsidRPr="0072768E">
        <w:rPr>
          <w:rFonts w:ascii="Simplified Arabic" w:hAnsi="Simplified Arabic" w:cs="Simplified Arabic"/>
          <w:sz w:val="28"/>
          <w:szCs w:val="28"/>
        </w:rPr>
        <w:t>.</w:t>
      </w:r>
    </w:p>
    <w:p w14:paraId="650ACBB3"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الدراسات والأبحاث السابقة حول تقنية الترميز في القطاع المالي</w:t>
      </w:r>
      <w:r w:rsidRPr="0072768E">
        <w:rPr>
          <w:rFonts w:ascii="Simplified Arabic" w:hAnsi="Simplified Arabic" w:cs="Simplified Arabic"/>
          <w:sz w:val="28"/>
          <w:szCs w:val="28"/>
        </w:rPr>
        <w:t>.</w:t>
      </w:r>
    </w:p>
    <w:p w14:paraId="6A358FFB"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وثائق ومستندات رؤية المملكة 2030 وبرامجها التنفيذية، خاصة برنامج تطوير القطاع المالي</w:t>
      </w:r>
      <w:r w:rsidRPr="0072768E">
        <w:rPr>
          <w:rFonts w:ascii="Simplified Arabic" w:hAnsi="Simplified Arabic" w:cs="Simplified Arabic"/>
          <w:sz w:val="28"/>
          <w:szCs w:val="28"/>
        </w:rPr>
        <w:t>.</w:t>
      </w:r>
    </w:p>
    <w:p w14:paraId="23E176FD"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التشريعات واللوائح التنظيمية المتعلقة بالتقنية المالية والأمن السيبراني في المملكة</w:t>
      </w:r>
      <w:r w:rsidRPr="0072768E">
        <w:rPr>
          <w:rFonts w:ascii="Simplified Arabic" w:hAnsi="Simplified Arabic" w:cs="Simplified Arabic"/>
          <w:sz w:val="28"/>
          <w:szCs w:val="28"/>
        </w:rPr>
        <w:t>.</w:t>
      </w:r>
    </w:p>
    <w:p w14:paraId="1B9E837B" w14:textId="06BF406C"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تقارير المؤتمرات والفعاليات المتخصصة مثل "فنتك السعودية" و"مؤتمر المصارف السعودية</w:t>
      </w:r>
      <w:r w:rsidRPr="0072768E">
        <w:rPr>
          <w:rFonts w:ascii="Simplified Arabic" w:hAnsi="Simplified Arabic" w:cs="Simplified Arabic"/>
          <w:sz w:val="28"/>
          <w:szCs w:val="28"/>
        </w:rPr>
        <w:t>"</w:t>
      </w:r>
    </w:p>
    <w:p w14:paraId="2B26C8AC" w14:textId="77777777" w:rsidR="00220EB9" w:rsidRPr="0072768E" w:rsidRDefault="00220EB9" w:rsidP="00C3762E">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منهجية تحليل الوثائق</w:t>
      </w:r>
    </w:p>
    <w:p w14:paraId="09ED30CD" w14:textId="77777777" w:rsidR="00220EB9" w:rsidRPr="0072768E" w:rsidRDefault="00220EB9" w:rsidP="00220EB9">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سيتم تحليل الوثائق باستخدام</w:t>
      </w:r>
      <w:r w:rsidRPr="0072768E">
        <w:rPr>
          <w:rFonts w:ascii="Simplified Arabic" w:hAnsi="Simplified Arabic" w:cs="Simplified Arabic"/>
          <w:sz w:val="28"/>
          <w:szCs w:val="28"/>
        </w:rPr>
        <w:t>:</w:t>
      </w:r>
    </w:p>
    <w:p w14:paraId="6B75D26E"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تحليل المحتوى الكمي والنوعي</w:t>
      </w:r>
      <w:r w:rsidRPr="0072768E">
        <w:rPr>
          <w:rFonts w:ascii="Simplified Arabic" w:hAnsi="Simplified Arabic" w:cs="Simplified Arabic"/>
          <w:sz w:val="28"/>
          <w:szCs w:val="28"/>
        </w:rPr>
        <w:t>.</w:t>
      </w:r>
    </w:p>
    <w:p w14:paraId="2216BB60"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استخراج المؤشرات والإحصاءات ذات الصلة بمتغيرات الدراسة</w:t>
      </w:r>
      <w:r w:rsidRPr="0072768E">
        <w:rPr>
          <w:rFonts w:ascii="Simplified Arabic" w:hAnsi="Simplified Arabic" w:cs="Simplified Arabic"/>
          <w:sz w:val="28"/>
          <w:szCs w:val="28"/>
        </w:rPr>
        <w:t>.</w:t>
      </w:r>
    </w:p>
    <w:p w14:paraId="5D1F1DA0"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تحديد الاتجاهات والتطورات في مجال تقنية الترميز والأمن السيبراني</w:t>
      </w:r>
      <w:r w:rsidRPr="0072768E">
        <w:rPr>
          <w:rFonts w:ascii="Simplified Arabic" w:hAnsi="Simplified Arabic" w:cs="Simplified Arabic"/>
          <w:sz w:val="28"/>
          <w:szCs w:val="28"/>
        </w:rPr>
        <w:t>.</w:t>
      </w:r>
    </w:p>
    <w:p w14:paraId="0DC07578"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مقارنة السياسات والممارسات بين المؤسسات المختلفة</w:t>
      </w:r>
      <w:r w:rsidRPr="0072768E">
        <w:rPr>
          <w:rFonts w:ascii="Simplified Arabic" w:hAnsi="Simplified Arabic" w:cs="Simplified Arabic"/>
          <w:sz w:val="28"/>
          <w:szCs w:val="28"/>
        </w:rPr>
        <w:t>.</w:t>
      </w:r>
    </w:p>
    <w:p w14:paraId="10B16697" w14:textId="53296354" w:rsidR="00862094" w:rsidRPr="0072768E" w:rsidRDefault="00862094">
      <w:pPr>
        <w:spacing w:after="200" w:line="276" w:lineRule="auto"/>
        <w:rPr>
          <w:rFonts w:ascii="Simplified Arabic" w:hAnsi="Simplified Arabic" w:cs="Simplified Arabic"/>
          <w:b/>
          <w:bCs/>
          <w:sz w:val="28"/>
          <w:szCs w:val="28"/>
          <w:rtl/>
        </w:rPr>
      </w:pPr>
      <w:r w:rsidRPr="0072768E">
        <w:rPr>
          <w:rFonts w:ascii="Simplified Arabic" w:hAnsi="Simplified Arabic" w:cs="Simplified Arabic"/>
          <w:b/>
          <w:bCs/>
          <w:sz w:val="28"/>
          <w:szCs w:val="28"/>
          <w:rtl/>
        </w:rPr>
        <w:br w:type="page"/>
      </w:r>
    </w:p>
    <w:p w14:paraId="2770DAC6" w14:textId="08BDE2E1" w:rsidR="00C61182" w:rsidRPr="0072768E" w:rsidRDefault="00C61182"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91" w:name="_Toc224563945"/>
      <w:bookmarkStart w:id="92" w:name="_Toc224564002"/>
      <w:r w:rsidRPr="0072768E">
        <w:rPr>
          <w:rFonts w:ascii="Simplified Arabic" w:hAnsi="Simplified Arabic" w:cs="Simplified Arabic"/>
          <w:b/>
          <w:bCs/>
          <w:color w:val="auto"/>
          <w:sz w:val="28"/>
          <w:szCs w:val="28"/>
          <w:u w:val="single"/>
          <w:rtl/>
        </w:rPr>
        <w:lastRenderedPageBreak/>
        <w:t xml:space="preserve">المعالجات </w:t>
      </w:r>
      <w:r w:rsidR="00325D77" w:rsidRPr="0072768E">
        <w:rPr>
          <w:rFonts w:ascii="Simplified Arabic" w:hAnsi="Simplified Arabic" w:cs="Simplified Arabic" w:hint="cs"/>
          <w:b/>
          <w:bCs/>
          <w:color w:val="auto"/>
          <w:sz w:val="28"/>
          <w:szCs w:val="28"/>
          <w:u w:val="single"/>
          <w:rtl/>
        </w:rPr>
        <w:t>الإحصائية المقترحة</w:t>
      </w:r>
      <w:r w:rsidRPr="0072768E">
        <w:rPr>
          <w:rFonts w:ascii="Simplified Arabic" w:hAnsi="Simplified Arabic" w:cs="Simplified Arabic"/>
          <w:b/>
          <w:bCs/>
          <w:color w:val="auto"/>
          <w:sz w:val="28"/>
          <w:szCs w:val="28"/>
          <w:u w:val="single"/>
          <w:rtl/>
        </w:rPr>
        <w:t>:</w:t>
      </w:r>
      <w:bookmarkEnd w:id="91"/>
      <w:bookmarkEnd w:id="92"/>
    </w:p>
    <w:p w14:paraId="1CA82EDE" w14:textId="77777777" w:rsidR="004E78D0" w:rsidRPr="0072768E" w:rsidRDefault="004E78D0" w:rsidP="004E78D0">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تتطلب طبيعة العينة القصدية (غير العشوائية) استخدام أساليب إحصائية مناسبة لهذا النوع من العينات، مع تجنب الأساليب المصممة للعينات العشوائية. فيما يلي المعالجات الإحصائية المقترحة مع مبررات اختيارها</w:t>
      </w:r>
      <w:r w:rsidRPr="0072768E">
        <w:rPr>
          <w:rFonts w:ascii="Simplified Arabic" w:eastAsiaTheme="majorEastAsia" w:hAnsi="Simplified Arabic" w:cs="Simplified Arabic"/>
          <w:sz w:val="28"/>
          <w:szCs w:val="28"/>
        </w:rPr>
        <w:t>:</w:t>
      </w:r>
    </w:p>
    <w:p w14:paraId="60D36EE5" w14:textId="77777777" w:rsidR="00847997" w:rsidRPr="0072768E" w:rsidRDefault="00A30195" w:rsidP="00847997">
      <w:pPr>
        <w:bidi/>
        <w:jc w:val="both"/>
        <w:rPr>
          <w:rFonts w:ascii="Simplified Arabic" w:eastAsiaTheme="majorEastAsia" w:hAnsi="Simplified Arabic" w:cs="Simplified Arabic"/>
          <w:b/>
          <w:bCs/>
          <w:sz w:val="28"/>
          <w:szCs w:val="28"/>
          <w:rtl/>
        </w:rPr>
      </w:pPr>
      <w:r w:rsidRPr="0072768E">
        <w:rPr>
          <w:rFonts w:ascii="Simplified Arabic" w:eastAsiaTheme="majorEastAsia" w:hAnsi="Simplified Arabic" w:cs="Simplified Arabic"/>
          <w:b/>
          <w:bCs/>
          <w:sz w:val="28"/>
          <w:szCs w:val="28"/>
          <w:rtl/>
        </w:rPr>
        <w:t>أولاً:</w:t>
      </w:r>
      <w:r w:rsidR="00847997" w:rsidRPr="0072768E">
        <w:rPr>
          <w:rFonts w:ascii="Simplified Arabic" w:eastAsiaTheme="majorEastAsia" w:hAnsi="Simplified Arabic" w:cs="Simplified Arabic" w:hint="cs"/>
          <w:b/>
          <w:bCs/>
          <w:sz w:val="28"/>
          <w:szCs w:val="28"/>
          <w:rtl/>
        </w:rPr>
        <w:t xml:space="preserve"> </w:t>
      </w:r>
      <w:r w:rsidR="00847997" w:rsidRPr="0072768E">
        <w:rPr>
          <w:rFonts w:ascii="Simplified Arabic" w:eastAsiaTheme="majorEastAsia" w:hAnsi="Simplified Arabic" w:cs="Simplified Arabic"/>
          <w:b/>
          <w:bCs/>
          <w:sz w:val="28"/>
          <w:szCs w:val="28"/>
          <w:rtl/>
        </w:rPr>
        <w:t>الإحصاء الوصفي</w:t>
      </w:r>
    </w:p>
    <w:p w14:paraId="5F87455D" w14:textId="18CE6D13" w:rsidR="00847997" w:rsidRPr="0072768E" w:rsidRDefault="00847997" w:rsidP="00786A9D">
      <w:pPr>
        <w:pStyle w:val="Heading1"/>
        <w:numPr>
          <w:ilvl w:val="0"/>
          <w:numId w:val="59"/>
        </w:numPr>
        <w:bidi/>
        <w:jc w:val="both"/>
        <w:rPr>
          <w:rFonts w:ascii="Simplified Arabic" w:hAnsi="Simplified Arabic" w:cs="Simplified Arabic"/>
          <w:b/>
          <w:bCs/>
          <w:color w:val="auto"/>
          <w:sz w:val="28"/>
          <w:szCs w:val="28"/>
          <w:rtl/>
        </w:rPr>
      </w:pPr>
      <w:bookmarkStart w:id="93" w:name="_Toc217927643"/>
      <w:bookmarkStart w:id="94" w:name="_Toc224563946"/>
      <w:bookmarkStart w:id="95" w:name="_Toc224564003"/>
      <w:r w:rsidRPr="0072768E">
        <w:rPr>
          <w:rFonts w:ascii="Simplified Arabic" w:hAnsi="Simplified Arabic" w:cs="Simplified Arabic"/>
          <w:b/>
          <w:bCs/>
          <w:color w:val="auto"/>
          <w:sz w:val="28"/>
          <w:szCs w:val="28"/>
          <w:rtl/>
        </w:rPr>
        <w:t>التكرارات والنسب المئوية</w:t>
      </w:r>
      <w:bookmarkEnd w:id="93"/>
      <w:bookmarkEnd w:id="94"/>
      <w:bookmarkEnd w:id="95"/>
    </w:p>
    <w:p w14:paraId="397A39F4" w14:textId="0819F170" w:rsidR="008E538A" w:rsidRPr="0072768E" w:rsidRDefault="008E538A" w:rsidP="008E538A">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وصف خصائص عينة الدراسة وتوزيع المتغيرات الديموغرافية</w:t>
      </w:r>
      <w:r w:rsidR="0025077C" w:rsidRPr="0072768E">
        <w:rPr>
          <w:rFonts w:ascii="Simplified Arabic" w:eastAsiaTheme="majorEastAsia" w:hAnsi="Simplified Arabic" w:cs="Simplified Arabic" w:hint="cs"/>
          <w:sz w:val="28"/>
          <w:szCs w:val="28"/>
          <w:rtl/>
        </w:rPr>
        <w:t>.</w:t>
      </w:r>
    </w:p>
    <w:p w14:paraId="192CFF13" w14:textId="3644CA84" w:rsidR="0025077C" w:rsidRPr="0072768E" w:rsidRDefault="008E538A" w:rsidP="008E538A">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المبرر</w:t>
      </w:r>
      <w:r w:rsidR="0025077C"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مناسب لجميع أنواع العينات ولا يتطلب افتراضات حول التوزيع</w:t>
      </w:r>
      <w:r w:rsidR="0025077C" w:rsidRPr="0072768E">
        <w:rPr>
          <w:rFonts w:ascii="Simplified Arabic" w:eastAsiaTheme="majorEastAsia" w:hAnsi="Simplified Arabic" w:cs="Simplified Arabic" w:hint="cs"/>
          <w:sz w:val="28"/>
          <w:szCs w:val="28"/>
          <w:rtl/>
        </w:rPr>
        <w:t>.</w:t>
      </w:r>
    </w:p>
    <w:p w14:paraId="66DBD7F0" w14:textId="398896F3" w:rsidR="00D53FE2" w:rsidRPr="0072768E" w:rsidRDefault="008E538A" w:rsidP="0025077C">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التطبيق</w:t>
      </w:r>
      <w:r w:rsidR="0025077C"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توزيع المؤسسات حسب النوع والحجم ومستوى تبني الترميز</w:t>
      </w:r>
      <w:r w:rsidRPr="0072768E">
        <w:rPr>
          <w:rFonts w:ascii="Simplified Arabic" w:eastAsiaTheme="majorEastAsia" w:hAnsi="Simplified Arabic" w:cs="Simplified Arabic" w:hint="cs"/>
          <w:sz w:val="28"/>
          <w:szCs w:val="28"/>
          <w:rtl/>
        </w:rPr>
        <w:t>.</w:t>
      </w:r>
    </w:p>
    <w:p w14:paraId="4B5BA7D5" w14:textId="29FFF5C6" w:rsidR="00D53FE2" w:rsidRPr="0072768E" w:rsidRDefault="00D53FE2" w:rsidP="00786A9D">
      <w:pPr>
        <w:pStyle w:val="Heading1"/>
        <w:numPr>
          <w:ilvl w:val="0"/>
          <w:numId w:val="59"/>
        </w:numPr>
        <w:bidi/>
        <w:jc w:val="both"/>
        <w:rPr>
          <w:rFonts w:ascii="Simplified Arabic" w:hAnsi="Simplified Arabic" w:cs="Simplified Arabic"/>
          <w:b/>
          <w:bCs/>
          <w:color w:val="auto"/>
          <w:sz w:val="28"/>
          <w:szCs w:val="28"/>
        </w:rPr>
      </w:pPr>
      <w:bookmarkStart w:id="96" w:name="_Toc217927644"/>
      <w:bookmarkStart w:id="97" w:name="_Toc224563947"/>
      <w:bookmarkStart w:id="98" w:name="_Toc224564004"/>
      <w:r w:rsidRPr="0072768E">
        <w:rPr>
          <w:rFonts w:ascii="Simplified Arabic" w:hAnsi="Simplified Arabic" w:cs="Simplified Arabic"/>
          <w:b/>
          <w:bCs/>
          <w:color w:val="auto"/>
          <w:sz w:val="28"/>
          <w:szCs w:val="28"/>
          <w:rtl/>
        </w:rPr>
        <w:t>المتوسطات الحسابية والانحرافات المعيارية</w:t>
      </w:r>
      <w:bookmarkEnd w:id="96"/>
      <w:bookmarkEnd w:id="97"/>
      <w:bookmarkEnd w:id="98"/>
    </w:p>
    <w:p w14:paraId="4409F706" w14:textId="558CC082" w:rsidR="0025077C" w:rsidRPr="0072768E" w:rsidRDefault="0025077C" w:rsidP="00C570AB">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hint="cs"/>
          <w:b/>
          <w:bCs/>
          <w:sz w:val="28"/>
          <w:szCs w:val="28"/>
          <w:rtl/>
        </w:rPr>
        <w:t xml:space="preserve">: </w:t>
      </w:r>
      <w:r w:rsidR="00C570AB" w:rsidRPr="0072768E">
        <w:rPr>
          <w:rFonts w:ascii="Simplified Arabic" w:eastAsiaTheme="majorEastAsia" w:hAnsi="Simplified Arabic" w:cs="Simplified Arabic"/>
          <w:sz w:val="28"/>
          <w:szCs w:val="28"/>
          <w:rtl/>
        </w:rPr>
        <w:t>قياس متوسط مستوى المتغيرات وتشتتها</w:t>
      </w:r>
      <w:r w:rsidRPr="0072768E">
        <w:rPr>
          <w:rFonts w:ascii="Simplified Arabic" w:eastAsiaTheme="majorEastAsia" w:hAnsi="Simplified Arabic" w:cs="Simplified Arabic" w:hint="cs"/>
          <w:sz w:val="28"/>
          <w:szCs w:val="28"/>
          <w:rtl/>
        </w:rPr>
        <w:t>.</w:t>
      </w:r>
    </w:p>
    <w:p w14:paraId="4D5683DC" w14:textId="0E18F7F0" w:rsidR="0025077C" w:rsidRPr="0072768E" w:rsidRDefault="0025077C" w:rsidP="00C570AB">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hint="cs"/>
          <w:b/>
          <w:bCs/>
          <w:sz w:val="28"/>
          <w:szCs w:val="28"/>
          <w:rtl/>
        </w:rPr>
        <w:t xml:space="preserve">: </w:t>
      </w:r>
      <w:r w:rsidR="00C570AB" w:rsidRPr="0072768E">
        <w:rPr>
          <w:rFonts w:ascii="Simplified Arabic" w:eastAsiaTheme="majorEastAsia" w:hAnsi="Simplified Arabic" w:cs="Simplified Arabic"/>
          <w:sz w:val="28"/>
          <w:szCs w:val="28"/>
          <w:rtl/>
        </w:rPr>
        <w:t>مقاييس وصفية لا تتطلب تعميم على المجتمع</w:t>
      </w:r>
      <w:r w:rsidRPr="0072768E">
        <w:rPr>
          <w:rFonts w:ascii="Simplified Arabic" w:eastAsiaTheme="majorEastAsia" w:hAnsi="Simplified Arabic" w:cs="Simplified Arabic" w:hint="cs"/>
          <w:sz w:val="28"/>
          <w:szCs w:val="28"/>
          <w:rtl/>
        </w:rPr>
        <w:t>.</w:t>
      </w:r>
    </w:p>
    <w:p w14:paraId="75AAC2A7" w14:textId="66BCA746" w:rsidR="00D53FE2" w:rsidRPr="0072768E" w:rsidRDefault="0025077C" w:rsidP="00896B6A">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hint="cs"/>
          <w:b/>
          <w:bCs/>
          <w:sz w:val="28"/>
          <w:szCs w:val="28"/>
          <w:rtl/>
        </w:rPr>
        <w:t xml:space="preserve">: </w:t>
      </w:r>
      <w:r w:rsidR="00C570AB" w:rsidRPr="0072768E">
        <w:rPr>
          <w:rFonts w:ascii="Simplified Arabic" w:eastAsiaTheme="majorEastAsia" w:hAnsi="Simplified Arabic" w:cs="Simplified Arabic"/>
          <w:sz w:val="28"/>
          <w:szCs w:val="28"/>
          <w:rtl/>
        </w:rPr>
        <w:t>متوسط درجات الأمن السيبراني وكفاءة العمليات المالية</w:t>
      </w:r>
      <w:r w:rsidRPr="0072768E">
        <w:rPr>
          <w:rFonts w:ascii="Simplified Arabic" w:eastAsiaTheme="majorEastAsia" w:hAnsi="Simplified Arabic" w:cs="Simplified Arabic" w:hint="cs"/>
          <w:sz w:val="28"/>
          <w:szCs w:val="28"/>
          <w:rtl/>
        </w:rPr>
        <w:t>.</w:t>
      </w:r>
    </w:p>
    <w:p w14:paraId="104658D1" w14:textId="52767AB6" w:rsidR="00896B6A" w:rsidRPr="0072768E" w:rsidRDefault="00896B6A" w:rsidP="00896B6A">
      <w:pPr>
        <w:bidi/>
        <w:jc w:val="both"/>
        <w:rPr>
          <w:rFonts w:ascii="Simplified Arabic" w:eastAsiaTheme="majorEastAsia" w:hAnsi="Simplified Arabic" w:cs="Simplified Arabic"/>
          <w:b/>
          <w:bCs/>
          <w:sz w:val="28"/>
          <w:szCs w:val="28"/>
          <w:rtl/>
        </w:rPr>
      </w:pPr>
      <w:r w:rsidRPr="0072768E">
        <w:rPr>
          <w:rFonts w:ascii="Simplified Arabic" w:eastAsiaTheme="majorEastAsia" w:hAnsi="Simplified Arabic" w:cs="Simplified Arabic" w:hint="cs"/>
          <w:b/>
          <w:bCs/>
          <w:sz w:val="28"/>
          <w:szCs w:val="28"/>
          <w:rtl/>
        </w:rPr>
        <w:t>ثانياً</w:t>
      </w:r>
      <w:r w:rsidRPr="0072768E">
        <w:rPr>
          <w:rFonts w:ascii="Simplified Arabic" w:eastAsiaTheme="majorEastAsia" w:hAnsi="Simplified Arabic" w:cs="Simplified Arabic"/>
          <w:b/>
          <w:bCs/>
          <w:sz w:val="28"/>
          <w:szCs w:val="28"/>
          <w:rtl/>
        </w:rPr>
        <w:t>:</w:t>
      </w:r>
      <w:r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b/>
          <w:bCs/>
          <w:sz w:val="28"/>
          <w:szCs w:val="28"/>
          <w:rtl/>
        </w:rPr>
        <w:t>اختبارات الفروق (للعينات القصدية)</w:t>
      </w:r>
    </w:p>
    <w:p w14:paraId="7157554D" w14:textId="77777777" w:rsidR="00D05D80" w:rsidRPr="0072768E" w:rsidRDefault="00D05D80" w:rsidP="00786A9D">
      <w:pPr>
        <w:pStyle w:val="Heading1"/>
        <w:numPr>
          <w:ilvl w:val="0"/>
          <w:numId w:val="63"/>
        </w:numPr>
        <w:bidi/>
        <w:jc w:val="both"/>
        <w:rPr>
          <w:rFonts w:ascii="Simplified Arabic" w:hAnsi="Simplified Arabic" w:cs="Simplified Arabic"/>
          <w:b/>
          <w:bCs/>
          <w:color w:val="auto"/>
          <w:sz w:val="28"/>
          <w:szCs w:val="28"/>
        </w:rPr>
      </w:pPr>
      <w:bookmarkStart w:id="99" w:name="_Toc217927645"/>
      <w:bookmarkStart w:id="100" w:name="_Toc224563948"/>
      <w:bookmarkStart w:id="101" w:name="_Toc224564005"/>
      <w:r w:rsidRPr="0072768E">
        <w:rPr>
          <w:rFonts w:ascii="Simplified Arabic" w:hAnsi="Simplified Arabic" w:cs="Simplified Arabic"/>
          <w:b/>
          <w:bCs/>
          <w:color w:val="auto"/>
          <w:sz w:val="28"/>
          <w:szCs w:val="28"/>
        </w:rPr>
        <w:t xml:space="preserve">3. </w:t>
      </w:r>
      <w:r w:rsidRPr="0072768E">
        <w:rPr>
          <w:rFonts w:ascii="Simplified Arabic" w:hAnsi="Simplified Arabic" w:cs="Simplified Arabic"/>
          <w:b/>
          <w:bCs/>
          <w:color w:val="auto"/>
          <w:sz w:val="28"/>
          <w:szCs w:val="28"/>
          <w:rtl/>
        </w:rPr>
        <w:t>اختبار مان-ويتني</w:t>
      </w:r>
      <w:r w:rsidRPr="0072768E">
        <w:rPr>
          <w:rFonts w:ascii="Simplified Arabic" w:hAnsi="Simplified Arabic" w:cs="Simplified Arabic"/>
          <w:b/>
          <w:bCs/>
          <w:color w:val="auto"/>
          <w:sz w:val="28"/>
          <w:szCs w:val="28"/>
        </w:rPr>
        <w:t xml:space="preserve"> (Mann-Whitney U Test)</w:t>
      </w:r>
      <w:bookmarkEnd w:id="99"/>
      <w:bookmarkEnd w:id="100"/>
      <w:bookmarkEnd w:id="101"/>
    </w:p>
    <w:p w14:paraId="046232B3" w14:textId="77777777" w:rsidR="00D05D80" w:rsidRPr="0072768E" w:rsidRDefault="00D05D80" w:rsidP="00D05D80">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متوسطات مجموعتين مستقلتين </w:t>
      </w:r>
    </w:p>
    <w:p w14:paraId="164600D0" w14:textId="77777777" w:rsidR="00D05D80" w:rsidRPr="0072768E" w:rsidRDefault="00D05D80" w:rsidP="00D05D80">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اختبار لامعلمي لا يتطلب افتراض التوزيع الطبيعي أو العشوائية </w:t>
      </w:r>
    </w:p>
    <w:p w14:paraId="27B81830" w14:textId="77777777" w:rsidR="00D05D80" w:rsidRPr="0072768E" w:rsidRDefault="00D05D80" w:rsidP="00D05D80">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تأثير الترميز بين البنوك التقليدية والرقمية </w:t>
      </w:r>
    </w:p>
    <w:p w14:paraId="3E706E9F" w14:textId="1699DCCB"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اختبار تي (المصمم للعينات العشوائية)</w:t>
      </w:r>
    </w:p>
    <w:p w14:paraId="7A50A924" w14:textId="77777777" w:rsidR="00D05D80" w:rsidRPr="0072768E" w:rsidRDefault="00D05D80" w:rsidP="00786A9D">
      <w:pPr>
        <w:pStyle w:val="Heading1"/>
        <w:numPr>
          <w:ilvl w:val="0"/>
          <w:numId w:val="59"/>
        </w:numPr>
        <w:bidi/>
        <w:jc w:val="both"/>
        <w:rPr>
          <w:rFonts w:ascii="Simplified Arabic" w:hAnsi="Simplified Arabic" w:cs="Simplified Arabic"/>
          <w:b/>
          <w:bCs/>
          <w:color w:val="auto"/>
          <w:sz w:val="28"/>
          <w:szCs w:val="28"/>
        </w:rPr>
      </w:pPr>
      <w:bookmarkStart w:id="102" w:name="_Toc217927646"/>
      <w:bookmarkStart w:id="103" w:name="_Toc224563949"/>
      <w:bookmarkStart w:id="104" w:name="_Toc224564006"/>
      <w:r w:rsidRPr="0072768E">
        <w:rPr>
          <w:rFonts w:ascii="Simplified Arabic" w:hAnsi="Simplified Arabic" w:cs="Simplified Arabic"/>
          <w:b/>
          <w:bCs/>
          <w:color w:val="auto"/>
          <w:sz w:val="28"/>
          <w:szCs w:val="28"/>
        </w:rPr>
        <w:t xml:space="preserve">4. </w:t>
      </w:r>
      <w:r w:rsidRPr="0072768E">
        <w:rPr>
          <w:rFonts w:ascii="Simplified Arabic" w:hAnsi="Simplified Arabic" w:cs="Simplified Arabic"/>
          <w:b/>
          <w:bCs/>
          <w:color w:val="auto"/>
          <w:sz w:val="28"/>
          <w:szCs w:val="28"/>
          <w:rtl/>
        </w:rPr>
        <w:t>اختبار كروسكال-واليس</w:t>
      </w:r>
      <w:r w:rsidRPr="0072768E">
        <w:rPr>
          <w:rFonts w:ascii="Simplified Arabic" w:hAnsi="Simplified Arabic" w:cs="Simplified Arabic"/>
          <w:b/>
          <w:bCs/>
          <w:color w:val="auto"/>
          <w:sz w:val="28"/>
          <w:szCs w:val="28"/>
        </w:rPr>
        <w:t xml:space="preserve"> (Kruskal-Wallis Test)</w:t>
      </w:r>
      <w:bookmarkEnd w:id="102"/>
      <w:bookmarkEnd w:id="103"/>
      <w:bookmarkEnd w:id="104"/>
    </w:p>
    <w:p w14:paraId="0375D30D"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متوسطات أكثر من مجموعتين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اختبار لامعلمي مناسب للعينات القصدية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تأثير الترميز بين أحجام المؤسسات المختلفة (كبيرة، متوسطة، صغيرة) </w:t>
      </w: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تحليل التباين الأحادي</w:t>
      </w:r>
      <w:r w:rsidRPr="0072768E">
        <w:rPr>
          <w:rFonts w:ascii="Simplified Arabic" w:eastAsiaTheme="majorEastAsia" w:hAnsi="Simplified Arabic" w:cs="Simplified Arabic"/>
          <w:sz w:val="28"/>
          <w:szCs w:val="28"/>
        </w:rPr>
        <w:t xml:space="preserve"> ANOVA (</w:t>
      </w:r>
      <w:r w:rsidRPr="0072768E">
        <w:rPr>
          <w:rFonts w:ascii="Simplified Arabic" w:eastAsiaTheme="majorEastAsia" w:hAnsi="Simplified Arabic" w:cs="Simplified Arabic"/>
          <w:sz w:val="28"/>
          <w:szCs w:val="28"/>
          <w:rtl/>
        </w:rPr>
        <w:t>المصمم للعينات العشوائية</w:t>
      </w:r>
      <w:r w:rsidRPr="0072768E">
        <w:rPr>
          <w:rFonts w:ascii="Simplified Arabic" w:eastAsiaTheme="majorEastAsia" w:hAnsi="Simplified Arabic" w:cs="Simplified Arabic"/>
          <w:sz w:val="28"/>
          <w:szCs w:val="28"/>
        </w:rPr>
        <w:t>)</w:t>
      </w:r>
    </w:p>
    <w:p w14:paraId="5A2E4EB2" w14:textId="77777777" w:rsidR="00D05D80" w:rsidRPr="0072768E" w:rsidRDefault="00D05D80" w:rsidP="00D56961">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lastRenderedPageBreak/>
        <w:t>ثالثاً: تحليل العلاقات</w:t>
      </w:r>
    </w:p>
    <w:p w14:paraId="3D8DEC9D" w14:textId="77777777" w:rsidR="00D05D80" w:rsidRPr="0072768E" w:rsidRDefault="00D05D80" w:rsidP="00786A9D">
      <w:pPr>
        <w:pStyle w:val="Heading1"/>
        <w:numPr>
          <w:ilvl w:val="0"/>
          <w:numId w:val="64"/>
        </w:numPr>
        <w:bidi/>
        <w:jc w:val="both"/>
        <w:rPr>
          <w:rFonts w:ascii="Simplified Arabic" w:hAnsi="Simplified Arabic" w:cs="Simplified Arabic"/>
          <w:b/>
          <w:bCs/>
          <w:color w:val="auto"/>
          <w:sz w:val="28"/>
          <w:szCs w:val="28"/>
        </w:rPr>
      </w:pPr>
      <w:bookmarkStart w:id="105" w:name="_Toc217927647"/>
      <w:bookmarkStart w:id="106" w:name="_Toc224563950"/>
      <w:bookmarkStart w:id="107" w:name="_Toc224564007"/>
      <w:r w:rsidRPr="0072768E">
        <w:rPr>
          <w:rFonts w:ascii="Simplified Arabic" w:hAnsi="Simplified Arabic" w:cs="Simplified Arabic"/>
          <w:b/>
          <w:bCs/>
          <w:color w:val="auto"/>
          <w:sz w:val="28"/>
          <w:szCs w:val="28"/>
        </w:rPr>
        <w:t xml:space="preserve">5. </w:t>
      </w:r>
      <w:r w:rsidRPr="0072768E">
        <w:rPr>
          <w:rFonts w:ascii="Simplified Arabic" w:hAnsi="Simplified Arabic" w:cs="Simplified Arabic"/>
          <w:b/>
          <w:bCs/>
          <w:color w:val="auto"/>
          <w:sz w:val="28"/>
          <w:szCs w:val="28"/>
          <w:rtl/>
        </w:rPr>
        <w:t>معامل ارتباط سبيرمان</w:t>
      </w:r>
      <w:r w:rsidRPr="0072768E">
        <w:rPr>
          <w:rFonts w:ascii="Simplified Arabic" w:hAnsi="Simplified Arabic" w:cs="Simplified Arabic"/>
          <w:b/>
          <w:bCs/>
          <w:color w:val="auto"/>
          <w:sz w:val="28"/>
          <w:szCs w:val="28"/>
        </w:rPr>
        <w:t xml:space="preserve"> (Spearman's Correlation)</w:t>
      </w:r>
      <w:bookmarkEnd w:id="105"/>
      <w:bookmarkEnd w:id="106"/>
      <w:bookmarkEnd w:id="107"/>
    </w:p>
    <w:p w14:paraId="08BB16BC"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قياس قوة واتجاه العلاقة بين المتغيرات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مقياس لامعلمي لا يتطلب التوزيع الطبيعي ومناسب للعينات القصدية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العلاقة بين مستوى تبني الترميز ومؤشرات الأمن السيبراني </w:t>
      </w: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معامل ارتباط بيرسون (يتطلب التوزيع الطبيعي والعشوائية)</w:t>
      </w:r>
    </w:p>
    <w:p w14:paraId="0C63D9A8" w14:textId="77777777" w:rsidR="00D05D80" w:rsidRPr="0072768E" w:rsidRDefault="00D05D80" w:rsidP="00786A9D">
      <w:pPr>
        <w:pStyle w:val="Heading1"/>
        <w:numPr>
          <w:ilvl w:val="0"/>
          <w:numId w:val="59"/>
        </w:numPr>
        <w:bidi/>
        <w:jc w:val="both"/>
        <w:rPr>
          <w:rFonts w:ascii="Simplified Arabic" w:hAnsi="Simplified Arabic" w:cs="Simplified Arabic"/>
          <w:b/>
          <w:bCs/>
          <w:color w:val="auto"/>
          <w:sz w:val="28"/>
          <w:szCs w:val="28"/>
        </w:rPr>
      </w:pPr>
      <w:bookmarkStart w:id="108" w:name="_Toc217927648"/>
      <w:bookmarkStart w:id="109" w:name="_Toc224563951"/>
      <w:bookmarkStart w:id="110" w:name="_Toc224564008"/>
      <w:r w:rsidRPr="0072768E">
        <w:rPr>
          <w:rFonts w:ascii="Simplified Arabic" w:hAnsi="Simplified Arabic" w:cs="Simplified Arabic"/>
          <w:b/>
          <w:bCs/>
          <w:color w:val="auto"/>
          <w:sz w:val="28"/>
          <w:szCs w:val="28"/>
        </w:rPr>
        <w:t xml:space="preserve">6. </w:t>
      </w:r>
      <w:r w:rsidRPr="0072768E">
        <w:rPr>
          <w:rFonts w:ascii="Simplified Arabic" w:hAnsi="Simplified Arabic" w:cs="Simplified Arabic"/>
          <w:b/>
          <w:bCs/>
          <w:color w:val="auto"/>
          <w:sz w:val="28"/>
          <w:szCs w:val="28"/>
          <w:rtl/>
        </w:rPr>
        <w:t>تحليل الانحدار القوي</w:t>
      </w:r>
      <w:r w:rsidRPr="0072768E">
        <w:rPr>
          <w:rFonts w:ascii="Simplified Arabic" w:hAnsi="Simplified Arabic" w:cs="Simplified Arabic"/>
          <w:b/>
          <w:bCs/>
          <w:color w:val="auto"/>
          <w:sz w:val="28"/>
          <w:szCs w:val="28"/>
        </w:rPr>
        <w:t xml:space="preserve"> (Robust Regression)</w:t>
      </w:r>
      <w:bookmarkEnd w:id="108"/>
      <w:bookmarkEnd w:id="109"/>
      <w:bookmarkEnd w:id="110"/>
    </w:p>
    <w:p w14:paraId="6DA1ADB6"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تأثير المتغيرات المستقلة على التابعة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أقل تأثراً بالقيم الشاذة ومناسب للعينات غير العشوائية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تأثير أنواع الترميز المختلفة على الأمن والكفاءة المالية </w:t>
      </w: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الانحدار الخطي التقليدي (يفترض العشوائية)</w:t>
      </w:r>
    </w:p>
    <w:p w14:paraId="6E921B59" w14:textId="77777777" w:rsidR="00D05D80" w:rsidRPr="0072768E" w:rsidRDefault="00D05D80" w:rsidP="008063CC">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رابعاً: تحليل البيانات النوعية</w:t>
      </w:r>
    </w:p>
    <w:p w14:paraId="76300576" w14:textId="77777777" w:rsidR="00D05D80" w:rsidRPr="0072768E" w:rsidRDefault="00D05D80" w:rsidP="00786A9D">
      <w:pPr>
        <w:pStyle w:val="Heading1"/>
        <w:numPr>
          <w:ilvl w:val="0"/>
          <w:numId w:val="65"/>
        </w:numPr>
        <w:bidi/>
        <w:jc w:val="both"/>
        <w:rPr>
          <w:rFonts w:ascii="Simplified Arabic" w:hAnsi="Simplified Arabic" w:cs="Simplified Arabic"/>
          <w:b/>
          <w:bCs/>
          <w:color w:val="auto"/>
          <w:sz w:val="28"/>
          <w:szCs w:val="28"/>
        </w:rPr>
      </w:pPr>
      <w:bookmarkStart w:id="111" w:name="_Toc217927649"/>
      <w:bookmarkStart w:id="112" w:name="_Toc224563952"/>
      <w:bookmarkStart w:id="113" w:name="_Toc224564009"/>
      <w:r w:rsidRPr="0072768E">
        <w:rPr>
          <w:rFonts w:ascii="Simplified Arabic" w:hAnsi="Simplified Arabic" w:cs="Simplified Arabic"/>
          <w:b/>
          <w:bCs/>
          <w:color w:val="auto"/>
          <w:sz w:val="28"/>
          <w:szCs w:val="28"/>
        </w:rPr>
        <w:t xml:space="preserve">7. </w:t>
      </w:r>
      <w:r w:rsidRPr="0072768E">
        <w:rPr>
          <w:rFonts w:ascii="Simplified Arabic" w:hAnsi="Simplified Arabic" w:cs="Simplified Arabic"/>
          <w:b/>
          <w:bCs/>
          <w:color w:val="auto"/>
          <w:sz w:val="28"/>
          <w:szCs w:val="28"/>
          <w:rtl/>
        </w:rPr>
        <w:t>التحليل الموضوعي</w:t>
      </w:r>
      <w:r w:rsidRPr="0072768E">
        <w:rPr>
          <w:rFonts w:ascii="Simplified Arabic" w:hAnsi="Simplified Arabic" w:cs="Simplified Arabic"/>
          <w:b/>
          <w:bCs/>
          <w:color w:val="auto"/>
          <w:sz w:val="28"/>
          <w:szCs w:val="28"/>
        </w:rPr>
        <w:t xml:space="preserve"> (Thematic Analysis)</w:t>
      </w:r>
      <w:bookmarkEnd w:id="111"/>
      <w:bookmarkEnd w:id="112"/>
      <w:bookmarkEnd w:id="113"/>
    </w:p>
    <w:p w14:paraId="2B4E81DF"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البيانات النوعية من المقابلات ومجموعات التركيز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مناسب لجميع أنواع العينات ولا يتطلب التمثيل الإحصائي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تحليل التحديات والفرص في تبني تقنية الترميز</w:t>
      </w:r>
    </w:p>
    <w:p w14:paraId="7DD9012E" w14:textId="77777777" w:rsidR="00D05D80" w:rsidRPr="0072768E" w:rsidRDefault="00D05D80" w:rsidP="00786A9D">
      <w:pPr>
        <w:pStyle w:val="Heading1"/>
        <w:numPr>
          <w:ilvl w:val="0"/>
          <w:numId w:val="59"/>
        </w:numPr>
        <w:bidi/>
        <w:jc w:val="both"/>
        <w:rPr>
          <w:rFonts w:ascii="Simplified Arabic" w:hAnsi="Simplified Arabic" w:cs="Simplified Arabic"/>
          <w:b/>
          <w:bCs/>
          <w:color w:val="auto"/>
          <w:sz w:val="28"/>
          <w:szCs w:val="28"/>
        </w:rPr>
      </w:pPr>
      <w:bookmarkStart w:id="114" w:name="_Toc217927650"/>
      <w:bookmarkStart w:id="115" w:name="_Toc224563953"/>
      <w:bookmarkStart w:id="116" w:name="_Toc224564010"/>
      <w:r w:rsidRPr="0072768E">
        <w:rPr>
          <w:rFonts w:ascii="Simplified Arabic" w:hAnsi="Simplified Arabic" w:cs="Simplified Arabic"/>
          <w:b/>
          <w:bCs/>
          <w:color w:val="auto"/>
          <w:sz w:val="28"/>
          <w:szCs w:val="28"/>
        </w:rPr>
        <w:t xml:space="preserve">8. </w:t>
      </w:r>
      <w:r w:rsidRPr="0072768E">
        <w:rPr>
          <w:rFonts w:ascii="Simplified Arabic" w:hAnsi="Simplified Arabic" w:cs="Simplified Arabic"/>
          <w:b/>
          <w:bCs/>
          <w:color w:val="auto"/>
          <w:sz w:val="28"/>
          <w:szCs w:val="28"/>
          <w:rtl/>
        </w:rPr>
        <w:t>تحليل المحتوى الكمي والنوعي</w:t>
      </w:r>
      <w:bookmarkEnd w:id="114"/>
      <w:bookmarkEnd w:id="115"/>
      <w:bookmarkEnd w:id="116"/>
    </w:p>
    <w:p w14:paraId="090F3242"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الوثائق والتقارير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وصفي لا يتطلب افتراضات إحصائية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تحليل تقارير المؤسسات حول الأمن السيبراني والكفاءة المالية</w:t>
      </w:r>
    </w:p>
    <w:p w14:paraId="2707BADC" w14:textId="77777777" w:rsidR="00D05D80" w:rsidRPr="0072768E" w:rsidRDefault="00D05D80" w:rsidP="008063CC">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خامساً: التثليث المنهجي</w:t>
      </w:r>
    </w:p>
    <w:p w14:paraId="6E985C31" w14:textId="77777777" w:rsidR="00D05D80" w:rsidRPr="0072768E" w:rsidRDefault="00D05D80" w:rsidP="00745221">
      <w:pPr>
        <w:pStyle w:val="Heading1"/>
        <w:bidi/>
        <w:jc w:val="both"/>
        <w:rPr>
          <w:rFonts w:ascii="Simplified Arabic" w:hAnsi="Simplified Arabic" w:cs="Simplified Arabic"/>
          <w:b/>
          <w:bCs/>
          <w:color w:val="auto"/>
          <w:sz w:val="28"/>
          <w:szCs w:val="28"/>
        </w:rPr>
      </w:pPr>
      <w:bookmarkStart w:id="117" w:name="_Toc217927651"/>
      <w:bookmarkStart w:id="118" w:name="_Toc224563954"/>
      <w:bookmarkStart w:id="119" w:name="_Toc224564011"/>
      <w:r w:rsidRPr="0072768E">
        <w:rPr>
          <w:rFonts w:ascii="Simplified Arabic" w:hAnsi="Simplified Arabic" w:cs="Simplified Arabic"/>
          <w:b/>
          <w:bCs/>
          <w:color w:val="auto"/>
          <w:sz w:val="28"/>
          <w:szCs w:val="28"/>
        </w:rPr>
        <w:t xml:space="preserve">9. </w:t>
      </w:r>
      <w:r w:rsidRPr="0072768E">
        <w:rPr>
          <w:rFonts w:ascii="Simplified Arabic" w:hAnsi="Simplified Arabic" w:cs="Simplified Arabic"/>
          <w:b/>
          <w:bCs/>
          <w:color w:val="auto"/>
          <w:sz w:val="28"/>
          <w:szCs w:val="28"/>
          <w:rtl/>
        </w:rPr>
        <w:t>التثليث بين المصادر المختلفة</w:t>
      </w:r>
      <w:bookmarkEnd w:id="117"/>
      <w:bookmarkEnd w:id="118"/>
      <w:bookmarkEnd w:id="119"/>
    </w:p>
    <w:p w14:paraId="6615AE92"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تعزيز صحة النتائج من خلال مقارنة البيانات من مصادر متعددة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يعوض عن قيود العينة القصدية ويزيد الموثوقية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مقارنة نتائج الاستبانات مع المقابلات والوثائق</w:t>
      </w:r>
    </w:p>
    <w:p w14:paraId="68D71118" w14:textId="77777777" w:rsidR="00D05D80" w:rsidRPr="0072768E" w:rsidRDefault="00D05D80" w:rsidP="008063CC">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الأساليب المستبعدة (لعدم ملاءمتها للعينة القصدية)</w:t>
      </w:r>
      <w:r w:rsidRPr="0072768E">
        <w:rPr>
          <w:rFonts w:ascii="Simplified Arabic" w:eastAsiaTheme="majorEastAsia" w:hAnsi="Simplified Arabic" w:cs="Simplified Arabic"/>
          <w:b/>
          <w:bCs/>
          <w:sz w:val="28"/>
          <w:szCs w:val="28"/>
        </w:rPr>
        <w:t>:</w:t>
      </w:r>
    </w:p>
    <w:p w14:paraId="1DB7C1CD" w14:textId="762B7FD5"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اختبارات المعنوية التقليدية</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(t-test, ANOVA)</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تفترض العشوائية في العينة</w:t>
      </w:r>
    </w:p>
    <w:p w14:paraId="2D92A785" w14:textId="48353ED9"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اختبارات التوزيع الطبيعي الصارمة</w:t>
      </w:r>
      <w:r w:rsidRPr="0072768E">
        <w:rPr>
          <w:rFonts w:ascii="Simplified Arabic" w:eastAsiaTheme="majorEastAsia" w:hAnsi="Simplified Arabic" w:cs="Simplified Arabic"/>
          <w:sz w:val="28"/>
          <w:szCs w:val="28"/>
        </w:rPr>
        <w:t>:</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غير ضرورية مع الأساليب اللامعلمية</w:t>
      </w:r>
    </w:p>
    <w:p w14:paraId="6E316F2F" w14:textId="79BEE56E"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التعميم الإحصائي على المجتمع</w:t>
      </w:r>
      <w:r w:rsidRPr="0072768E">
        <w:rPr>
          <w:rFonts w:ascii="Simplified Arabic" w:eastAsiaTheme="majorEastAsia" w:hAnsi="Simplified Arabic" w:cs="Simplified Arabic"/>
          <w:sz w:val="28"/>
          <w:szCs w:val="28"/>
        </w:rPr>
        <w:t>:</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العينة القصدية لا تسمح بالتعميم الإحصائي المباشر</w:t>
      </w:r>
    </w:p>
    <w:p w14:paraId="79833E0E" w14:textId="12D84EA9"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العاملي الاستكشافي الكلاسيكي</w:t>
      </w:r>
      <w:r w:rsidRPr="0072768E">
        <w:rPr>
          <w:rFonts w:ascii="Simplified Arabic" w:eastAsiaTheme="majorEastAsia" w:hAnsi="Simplified Arabic" w:cs="Simplified Arabic"/>
          <w:sz w:val="28"/>
          <w:szCs w:val="28"/>
        </w:rPr>
        <w:t>:</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يتطلب عينة عشوائية كبيرة</w:t>
      </w:r>
    </w:p>
    <w:p w14:paraId="3AF09327" w14:textId="77777777" w:rsidR="00D05D80" w:rsidRPr="0072768E" w:rsidRDefault="00D05D80" w:rsidP="0006274F">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البرامج الإحصائية المستخدمة</w:t>
      </w:r>
      <w:r w:rsidRPr="0072768E">
        <w:rPr>
          <w:rFonts w:ascii="Simplified Arabic" w:eastAsiaTheme="majorEastAsia" w:hAnsi="Simplified Arabic" w:cs="Simplified Arabic"/>
          <w:b/>
          <w:bCs/>
          <w:sz w:val="28"/>
          <w:szCs w:val="28"/>
        </w:rPr>
        <w:t>:</w:t>
      </w:r>
    </w:p>
    <w:p w14:paraId="3A4A0095" w14:textId="78B1B923" w:rsidR="00D05D80" w:rsidRPr="0072768E" w:rsidRDefault="00D05D80" w:rsidP="00786A9D">
      <w:pPr>
        <w:numPr>
          <w:ilvl w:val="0"/>
          <w:numId w:val="60"/>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Pr>
        <w:t>SPSS</w:t>
      </w:r>
      <w:r w:rsidR="00E568E3"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للتحليلات الوصفية والاختبارات اللامعلمية</w:t>
      </w:r>
    </w:p>
    <w:p w14:paraId="44051D8F" w14:textId="04FB8103" w:rsidR="00D05D80" w:rsidRPr="0072768E" w:rsidRDefault="00D05D80" w:rsidP="00786A9D">
      <w:pPr>
        <w:numPr>
          <w:ilvl w:val="0"/>
          <w:numId w:val="60"/>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Pr>
        <w:t>R</w:t>
      </w:r>
      <w:r w:rsidR="00E568E3"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للتحليلات القوية والمتقدمة</w:t>
      </w:r>
    </w:p>
    <w:p w14:paraId="134BD117" w14:textId="5347F5FD" w:rsidR="00D05D80" w:rsidRPr="0072768E" w:rsidRDefault="00D05D80" w:rsidP="00786A9D">
      <w:pPr>
        <w:numPr>
          <w:ilvl w:val="0"/>
          <w:numId w:val="60"/>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Pr>
        <w:t>MAXQDA</w:t>
      </w:r>
      <w:r w:rsidR="00E568E3"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لتحليل البيانات النوعية</w:t>
      </w:r>
    </w:p>
    <w:p w14:paraId="5EA12689" w14:textId="77777777" w:rsidR="00D05D80" w:rsidRPr="0072768E" w:rsidRDefault="00D05D80" w:rsidP="0006274F">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ضمانات الجودة</w:t>
      </w:r>
      <w:r w:rsidRPr="0072768E">
        <w:rPr>
          <w:rFonts w:ascii="Simplified Arabic" w:eastAsiaTheme="majorEastAsia" w:hAnsi="Simplified Arabic" w:cs="Simplified Arabic"/>
          <w:b/>
          <w:bCs/>
          <w:sz w:val="28"/>
          <w:szCs w:val="28"/>
        </w:rPr>
        <w:t>:</w:t>
      </w:r>
    </w:p>
    <w:p w14:paraId="67504509" w14:textId="5FF9C4E0"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التحقق من افتراضات الاختبارات</w:t>
      </w:r>
      <w:r w:rsidRPr="0072768E">
        <w:rPr>
          <w:rFonts w:ascii="Simplified Arabic" w:eastAsiaTheme="majorEastAsia" w:hAnsi="Simplified Arabic" w:cs="Simplified Arabic"/>
          <w:sz w:val="28"/>
          <w:szCs w:val="28"/>
        </w:rPr>
        <w:t>:</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قبل تطبيق أي اختبار إحصائي</w:t>
      </w:r>
    </w:p>
    <w:p w14:paraId="0D75605C" w14:textId="0BA7EE31"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استخدام اختبارات بديلة</w:t>
      </w:r>
      <w:r w:rsidRPr="0072768E">
        <w:rPr>
          <w:rFonts w:ascii="Simplified Arabic" w:eastAsiaTheme="majorEastAsia" w:hAnsi="Simplified Arabic" w:cs="Simplified Arabic"/>
          <w:sz w:val="28"/>
          <w:szCs w:val="28"/>
        </w:rPr>
        <w:t>:</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عند عدم تحقق الافتراضات</w:t>
      </w:r>
    </w:p>
    <w:p w14:paraId="6AFE6716" w14:textId="33DC6528"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التثليث المنهجي</w:t>
      </w:r>
      <w:r w:rsidRPr="0072768E">
        <w:rPr>
          <w:rFonts w:ascii="Simplified Arabic" w:eastAsiaTheme="majorEastAsia" w:hAnsi="Simplified Arabic" w:cs="Simplified Arabic"/>
          <w:sz w:val="28"/>
          <w:szCs w:val="28"/>
        </w:rPr>
        <w:t>:</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تعزيز صحة النتائج</w:t>
      </w:r>
    </w:p>
    <w:p w14:paraId="3CC5A3A4" w14:textId="104614F3"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الشفافية في التقرير</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توضيح قيود العينة القصدية في تفسير النتائج</w:t>
      </w:r>
    </w:p>
    <w:p w14:paraId="05238CBE"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هذا التصميم الإحصائي يضمن الحصول على نتائج موثوقة ومناسبة لطبيعة العينة القصدية، مع تجنب الأخطاء الإحصائية التي قد تنجم عن استخدام أساليب غير مناسبة لنوع العينة</w:t>
      </w:r>
      <w:r w:rsidRPr="0072768E">
        <w:rPr>
          <w:rFonts w:ascii="Simplified Arabic" w:eastAsiaTheme="majorEastAsia" w:hAnsi="Simplified Arabic" w:cs="Simplified Arabic"/>
          <w:sz w:val="28"/>
          <w:szCs w:val="28"/>
        </w:rPr>
        <w:t>.</w:t>
      </w:r>
    </w:p>
    <w:p w14:paraId="7DB1CCBA" w14:textId="77777777" w:rsidR="00A554AC" w:rsidRPr="0072768E" w:rsidRDefault="00A554AC" w:rsidP="00A554AC">
      <w:pPr>
        <w:bidi/>
        <w:jc w:val="both"/>
        <w:rPr>
          <w:rFonts w:ascii="Simplified Arabic" w:eastAsiaTheme="majorEastAsia" w:hAnsi="Simplified Arabic" w:cs="Simplified Arabic"/>
          <w:b/>
          <w:bCs/>
          <w:sz w:val="28"/>
          <w:szCs w:val="28"/>
          <w:rtl/>
        </w:rPr>
      </w:pPr>
    </w:p>
    <w:p w14:paraId="253D93FC" w14:textId="77777777" w:rsidR="004E6090" w:rsidRPr="0072768E" w:rsidRDefault="004E6090" w:rsidP="004E6090">
      <w:pPr>
        <w:bidi/>
        <w:jc w:val="both"/>
        <w:rPr>
          <w:rFonts w:ascii="Simplified Arabic" w:eastAsiaTheme="majorEastAsia" w:hAnsi="Simplified Arabic" w:cs="Simplified Arabic"/>
          <w:sz w:val="28"/>
          <w:szCs w:val="28"/>
          <w:rtl/>
        </w:rPr>
        <w:sectPr w:rsidR="004E6090"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25B5F6DE" w14:textId="0889923E" w:rsidR="00374A8C" w:rsidRPr="0072768E" w:rsidRDefault="007F4183"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120" w:name="_Toc224563955"/>
      <w:bookmarkStart w:id="121" w:name="_Toc224564012"/>
      <w:r w:rsidRPr="0072768E">
        <w:rPr>
          <w:rFonts w:ascii="Simplified Arabic" w:hAnsi="Simplified Arabic" w:cs="Simplified Arabic"/>
          <w:b/>
          <w:bCs/>
          <w:color w:val="auto"/>
          <w:sz w:val="28"/>
          <w:szCs w:val="28"/>
          <w:u w:val="single"/>
          <w:rtl/>
        </w:rPr>
        <w:lastRenderedPageBreak/>
        <w:t>خطوات تنفيذ خطة الدراسة:</w:t>
      </w:r>
      <w:bookmarkEnd w:id="120"/>
      <w:bookmarkEnd w:id="121"/>
    </w:p>
    <w:p w14:paraId="23F8B1DE" w14:textId="77777777" w:rsidR="003E3C9B" w:rsidRPr="0072768E" w:rsidRDefault="003E3C9B" w:rsidP="003E3C9B">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سيتم تنفيذ خطة الدراسة وفق جدول زمني دقيق يضمن إنجاز جميع مراحل البحث بكفاءة وجودة عالية، وذلك على النحو التالي</w:t>
      </w:r>
      <w:r w:rsidRPr="0072768E">
        <w:rPr>
          <w:rFonts w:ascii="Simplified Arabic" w:hAnsi="Simplified Arabic" w:cs="Simplified Arabic"/>
          <w:color w:val="auto"/>
          <w:sz w:val="28"/>
          <w:szCs w:val="28"/>
        </w:rPr>
        <w:t>:</w:t>
      </w:r>
    </w:p>
    <w:p w14:paraId="16CC60ED" w14:textId="77777777" w:rsidR="003E3C9B" w:rsidRPr="0072768E" w:rsidRDefault="003E3C9B" w:rsidP="00786A9D">
      <w:pPr>
        <w:pStyle w:val="Heading2"/>
        <w:numPr>
          <w:ilvl w:val="0"/>
          <w:numId w:val="48"/>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الأولى: التحضير والإعداد (مايو 2025 - يوليو 2025)</w:t>
      </w:r>
    </w:p>
    <w:p w14:paraId="39AF1E51"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مراجعة الأدبيات والدراسات السابقة (مايو 2025)</w:t>
      </w:r>
    </w:p>
    <w:p w14:paraId="0E2AE870"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مراجعة منهجية شاملة للأدبيات المتعلقة بتقنية الترميز والأمن السيبراني وكفاءة العمليات المالية</w:t>
      </w:r>
      <w:r w:rsidRPr="0072768E">
        <w:rPr>
          <w:rFonts w:ascii="Simplified Arabic" w:hAnsi="Simplified Arabic" w:cs="Simplified Arabic"/>
          <w:color w:val="auto"/>
          <w:sz w:val="28"/>
          <w:szCs w:val="28"/>
        </w:rPr>
        <w:t>.</w:t>
      </w:r>
    </w:p>
    <w:p w14:paraId="1F23D074"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الدراسات السابقة وتصنيفها حسب المتغيرات والمنهجية والنتائج</w:t>
      </w:r>
      <w:r w:rsidRPr="0072768E">
        <w:rPr>
          <w:rFonts w:ascii="Simplified Arabic" w:hAnsi="Simplified Arabic" w:cs="Simplified Arabic"/>
          <w:color w:val="auto"/>
          <w:sz w:val="28"/>
          <w:szCs w:val="28"/>
        </w:rPr>
        <w:t>.</w:t>
      </w:r>
    </w:p>
    <w:p w14:paraId="3C00BBB9"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الفجوات البحثية والفرص المتاحة للدراسة الحالية</w:t>
      </w:r>
      <w:r w:rsidRPr="0072768E">
        <w:rPr>
          <w:rFonts w:ascii="Simplified Arabic" w:hAnsi="Simplified Arabic" w:cs="Simplified Arabic"/>
          <w:color w:val="auto"/>
          <w:sz w:val="28"/>
          <w:szCs w:val="28"/>
        </w:rPr>
        <w:t>.</w:t>
      </w:r>
    </w:p>
    <w:p w14:paraId="032E69EC"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المراجع وإعداد قاعدة بيانات للمصادر المستخدمة</w:t>
      </w:r>
      <w:r w:rsidRPr="0072768E">
        <w:rPr>
          <w:rFonts w:ascii="Simplified Arabic" w:hAnsi="Simplified Arabic" w:cs="Simplified Arabic"/>
          <w:color w:val="auto"/>
          <w:sz w:val="28"/>
          <w:szCs w:val="28"/>
        </w:rPr>
        <w:t>.</w:t>
      </w:r>
    </w:p>
    <w:p w14:paraId="26A241AD"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تطوير الإطار النظري للدراسة (مايو - يونيو 2025)</w:t>
      </w:r>
    </w:p>
    <w:p w14:paraId="39BE5381"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صياغة الإطار النظري للدراسة بناءً على نتائج مراجعة الأدبيات</w:t>
      </w:r>
      <w:r w:rsidRPr="0072768E">
        <w:rPr>
          <w:rFonts w:ascii="Simplified Arabic" w:hAnsi="Simplified Arabic" w:cs="Simplified Arabic"/>
          <w:color w:val="auto"/>
          <w:sz w:val="28"/>
          <w:szCs w:val="28"/>
        </w:rPr>
        <w:t>.</w:t>
      </w:r>
    </w:p>
    <w:p w14:paraId="55965B8C"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المفاهيم والمتغيرات الرئيسية والعلاقات بينها</w:t>
      </w:r>
      <w:r w:rsidRPr="0072768E">
        <w:rPr>
          <w:rFonts w:ascii="Simplified Arabic" w:hAnsi="Simplified Arabic" w:cs="Simplified Arabic"/>
          <w:color w:val="auto"/>
          <w:sz w:val="28"/>
          <w:szCs w:val="28"/>
        </w:rPr>
        <w:t>.</w:t>
      </w:r>
    </w:p>
    <w:p w14:paraId="0442E1FB"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نموذج الدراسة النظري</w:t>
      </w:r>
      <w:r w:rsidRPr="0072768E">
        <w:rPr>
          <w:rFonts w:ascii="Simplified Arabic" w:hAnsi="Simplified Arabic" w:cs="Simplified Arabic"/>
          <w:color w:val="auto"/>
          <w:sz w:val="28"/>
          <w:szCs w:val="28"/>
        </w:rPr>
        <w:t>.</w:t>
      </w:r>
    </w:p>
    <w:p w14:paraId="14E3FEAD"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الإطار النظري وتنقيحه</w:t>
      </w:r>
      <w:r w:rsidRPr="0072768E">
        <w:rPr>
          <w:rFonts w:ascii="Simplified Arabic" w:hAnsi="Simplified Arabic" w:cs="Simplified Arabic"/>
          <w:color w:val="auto"/>
          <w:sz w:val="28"/>
          <w:szCs w:val="28"/>
        </w:rPr>
        <w:t>.</w:t>
      </w:r>
    </w:p>
    <w:p w14:paraId="09ADF7EF"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تصميم وتحكيم أدوات الدراسة (يونيو 2025)</w:t>
      </w:r>
    </w:p>
    <w:p w14:paraId="720D516E"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تصميم الاستبانة الإلكترونية وفق محاور الدراسة</w:t>
      </w:r>
      <w:r w:rsidRPr="0072768E">
        <w:rPr>
          <w:rFonts w:ascii="Simplified Arabic" w:hAnsi="Simplified Arabic" w:cs="Simplified Arabic"/>
          <w:color w:val="auto"/>
          <w:sz w:val="28"/>
          <w:szCs w:val="28"/>
        </w:rPr>
        <w:t>.</w:t>
      </w:r>
    </w:p>
    <w:p w14:paraId="03F9DF5A"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دليل المقابلة شبه المنظمة</w:t>
      </w:r>
      <w:r w:rsidRPr="0072768E">
        <w:rPr>
          <w:rFonts w:ascii="Simplified Arabic" w:hAnsi="Simplified Arabic" w:cs="Simplified Arabic"/>
          <w:color w:val="auto"/>
          <w:sz w:val="28"/>
          <w:szCs w:val="28"/>
        </w:rPr>
        <w:t>.</w:t>
      </w:r>
    </w:p>
    <w:p w14:paraId="23FA32E0"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بروتوكول مجموعات التركيز</w:t>
      </w:r>
      <w:r w:rsidRPr="0072768E">
        <w:rPr>
          <w:rFonts w:ascii="Simplified Arabic" w:hAnsi="Simplified Arabic" w:cs="Simplified Arabic"/>
          <w:color w:val="auto"/>
          <w:sz w:val="28"/>
          <w:szCs w:val="28"/>
        </w:rPr>
        <w:t>.</w:t>
      </w:r>
    </w:p>
    <w:p w14:paraId="507E712C"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نماذج تحليل الوثائق</w:t>
      </w:r>
      <w:r w:rsidRPr="0072768E">
        <w:rPr>
          <w:rFonts w:ascii="Simplified Arabic" w:hAnsi="Simplified Arabic" w:cs="Simplified Arabic"/>
          <w:color w:val="auto"/>
          <w:sz w:val="28"/>
          <w:szCs w:val="28"/>
        </w:rPr>
        <w:t>.</w:t>
      </w:r>
    </w:p>
    <w:p w14:paraId="1DC88EDC"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عرض أدوات الدراسة على مجموعة من المحكمين المتخصصين (7-10 محكمين)</w:t>
      </w:r>
      <w:r w:rsidRPr="0072768E">
        <w:rPr>
          <w:rFonts w:ascii="Simplified Arabic" w:hAnsi="Simplified Arabic" w:cs="Simplified Arabic"/>
          <w:color w:val="auto"/>
          <w:sz w:val="28"/>
          <w:szCs w:val="28"/>
        </w:rPr>
        <w:t>.</w:t>
      </w:r>
    </w:p>
    <w:p w14:paraId="321D5AA6"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تعديل الأدوات بناءً على ملاحظات المحكمين</w:t>
      </w:r>
      <w:r w:rsidRPr="0072768E">
        <w:rPr>
          <w:rFonts w:ascii="Simplified Arabic" w:hAnsi="Simplified Arabic" w:cs="Simplified Arabic"/>
          <w:color w:val="auto"/>
          <w:sz w:val="28"/>
          <w:szCs w:val="28"/>
        </w:rPr>
        <w:t>.</w:t>
      </w:r>
    </w:p>
    <w:p w14:paraId="2B2B6C25"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إجراء دراسة استطلاعية (يوليو 2025)</w:t>
      </w:r>
    </w:p>
    <w:p w14:paraId="3BE0991D"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تطبيق الاستبانة على عينة استطلاعية من 30 مستجيباً من خارج عينة الدراسة الأساسية</w:t>
      </w:r>
      <w:r w:rsidRPr="0072768E">
        <w:rPr>
          <w:rFonts w:ascii="Simplified Arabic" w:hAnsi="Simplified Arabic" w:cs="Simplified Arabic"/>
          <w:color w:val="auto"/>
          <w:sz w:val="28"/>
          <w:szCs w:val="28"/>
        </w:rPr>
        <w:t>.</w:t>
      </w:r>
    </w:p>
    <w:p w14:paraId="325EC6ED"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3-4 مقابلات استطلاعية لاختبار دليل المقابلة</w:t>
      </w:r>
      <w:r w:rsidRPr="0072768E">
        <w:rPr>
          <w:rFonts w:ascii="Simplified Arabic" w:hAnsi="Simplified Arabic" w:cs="Simplified Arabic"/>
          <w:color w:val="auto"/>
          <w:sz w:val="28"/>
          <w:szCs w:val="28"/>
        </w:rPr>
        <w:t>.</w:t>
      </w:r>
    </w:p>
    <w:p w14:paraId="79024052"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مجموعة تركيز استطلاعية واحدة</w:t>
      </w:r>
      <w:r w:rsidRPr="0072768E">
        <w:rPr>
          <w:rFonts w:ascii="Simplified Arabic" w:hAnsi="Simplified Arabic" w:cs="Simplified Arabic"/>
          <w:color w:val="auto"/>
          <w:sz w:val="28"/>
          <w:szCs w:val="28"/>
        </w:rPr>
        <w:t>.</w:t>
      </w:r>
    </w:p>
    <w:p w14:paraId="666A7BE7"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نتائج الدراسة الاستطلاعية وحساب معاملات الصدق والثبات</w:t>
      </w:r>
      <w:r w:rsidRPr="0072768E">
        <w:rPr>
          <w:rFonts w:ascii="Simplified Arabic" w:hAnsi="Simplified Arabic" w:cs="Simplified Arabic"/>
          <w:color w:val="auto"/>
          <w:sz w:val="28"/>
          <w:szCs w:val="28"/>
        </w:rPr>
        <w:t>.</w:t>
      </w:r>
    </w:p>
    <w:p w14:paraId="1E203F56"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التعديلات اللازمة على أدوات الدراسة</w:t>
      </w:r>
      <w:r w:rsidRPr="0072768E">
        <w:rPr>
          <w:rFonts w:ascii="Simplified Arabic" w:hAnsi="Simplified Arabic" w:cs="Simplified Arabic"/>
          <w:color w:val="auto"/>
          <w:sz w:val="28"/>
          <w:szCs w:val="28"/>
        </w:rPr>
        <w:t>.</w:t>
      </w:r>
    </w:p>
    <w:p w14:paraId="562A87BA"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الحصول على الموافقات الأخلاقية والإدارية (يونيو - يوليو 2025)</w:t>
      </w:r>
    </w:p>
    <w:p w14:paraId="38A5E155"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تقديم طلب الموافقة الأخلاقية للجنة أخلاقيات البحث العلمي بالجامعة</w:t>
      </w:r>
      <w:r w:rsidRPr="0072768E">
        <w:rPr>
          <w:rFonts w:ascii="Simplified Arabic" w:hAnsi="Simplified Arabic" w:cs="Simplified Arabic"/>
          <w:color w:val="auto"/>
          <w:sz w:val="28"/>
          <w:szCs w:val="28"/>
        </w:rPr>
        <w:t>.</w:t>
      </w:r>
    </w:p>
    <w:p w14:paraId="4EC24FE5"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الحصول على موافقات الجهات المعنية (البنك المركزي السعودي، هيئة السوق المالية، المؤسسات المالية المستهدفة)</w:t>
      </w:r>
      <w:r w:rsidRPr="0072768E">
        <w:rPr>
          <w:rFonts w:ascii="Simplified Arabic" w:hAnsi="Simplified Arabic" w:cs="Simplified Arabic"/>
          <w:color w:val="auto"/>
          <w:sz w:val="28"/>
          <w:szCs w:val="28"/>
        </w:rPr>
        <w:t>.</w:t>
      </w:r>
    </w:p>
    <w:p w14:paraId="0F7FF21D"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توقيع نماذج الموافقة المستنيرة مع المشاركين في الدراسة</w:t>
      </w:r>
      <w:r w:rsidRPr="0072768E">
        <w:rPr>
          <w:rFonts w:ascii="Simplified Arabic" w:hAnsi="Simplified Arabic" w:cs="Simplified Arabic"/>
          <w:color w:val="auto"/>
          <w:sz w:val="28"/>
          <w:szCs w:val="28"/>
        </w:rPr>
        <w:t>.</w:t>
      </w:r>
    </w:p>
    <w:p w14:paraId="3A7807EB"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خطة لحماية سرية البيانات وخصوصية المشاركين</w:t>
      </w:r>
      <w:r w:rsidRPr="0072768E">
        <w:rPr>
          <w:rFonts w:ascii="Simplified Arabic" w:hAnsi="Simplified Arabic" w:cs="Simplified Arabic"/>
          <w:color w:val="auto"/>
          <w:sz w:val="28"/>
          <w:szCs w:val="28"/>
        </w:rPr>
        <w:t>.</w:t>
      </w:r>
    </w:p>
    <w:p w14:paraId="29D4A3DB" w14:textId="77777777" w:rsidR="003E3C9B" w:rsidRPr="0072768E" w:rsidRDefault="003E3C9B" w:rsidP="00786A9D">
      <w:pPr>
        <w:pStyle w:val="Heading2"/>
        <w:numPr>
          <w:ilvl w:val="0"/>
          <w:numId w:val="48"/>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الثانية: جمع البيانات (أغسطس 2025 - ديسمبر 2025)</w:t>
      </w:r>
    </w:p>
    <w:p w14:paraId="5D9EC819"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توزيع الاستبانات (أغسطس - أكتوبر 2025)</w:t>
      </w:r>
    </w:p>
    <w:p w14:paraId="2F6F421F"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قائمة بالمؤسسات المالية المستهدفة وجهات الاتصال</w:t>
      </w:r>
      <w:r w:rsidRPr="0072768E">
        <w:rPr>
          <w:rFonts w:ascii="Simplified Arabic" w:hAnsi="Simplified Arabic" w:cs="Simplified Arabic"/>
          <w:color w:val="auto"/>
          <w:sz w:val="28"/>
          <w:szCs w:val="28"/>
        </w:rPr>
        <w:t>.</w:t>
      </w:r>
    </w:p>
    <w:p w14:paraId="5A486D56"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إرسال دعوات المشاركة مع رابط الاستبانة الإلكترونية</w:t>
      </w:r>
      <w:r w:rsidRPr="0072768E">
        <w:rPr>
          <w:rFonts w:ascii="Simplified Arabic" w:hAnsi="Simplified Arabic" w:cs="Simplified Arabic"/>
          <w:color w:val="auto"/>
          <w:sz w:val="28"/>
          <w:szCs w:val="28"/>
        </w:rPr>
        <w:t>.</w:t>
      </w:r>
    </w:p>
    <w:p w14:paraId="2797606C"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متابعة عملية جمع البيانات وإرسال رسائل تذكير</w:t>
      </w:r>
      <w:r w:rsidRPr="0072768E">
        <w:rPr>
          <w:rFonts w:ascii="Simplified Arabic" w:hAnsi="Simplified Arabic" w:cs="Simplified Arabic"/>
          <w:color w:val="auto"/>
          <w:sz w:val="28"/>
          <w:szCs w:val="28"/>
        </w:rPr>
        <w:t>.</w:t>
      </w:r>
    </w:p>
    <w:p w14:paraId="755AE373"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مراقبة معدل الاستجابة واتخاذ الإجراءات اللازمة لزيادته</w:t>
      </w:r>
      <w:r w:rsidRPr="0072768E">
        <w:rPr>
          <w:rFonts w:ascii="Simplified Arabic" w:hAnsi="Simplified Arabic" w:cs="Simplified Arabic"/>
          <w:color w:val="auto"/>
          <w:sz w:val="28"/>
          <w:szCs w:val="28"/>
        </w:rPr>
        <w:t>.</w:t>
      </w:r>
    </w:p>
    <w:p w14:paraId="3AD4B946"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جمع الاستبانات المكتملة وتخزينها بشكل آمن</w:t>
      </w:r>
      <w:r w:rsidRPr="0072768E">
        <w:rPr>
          <w:rFonts w:ascii="Simplified Arabic" w:hAnsi="Simplified Arabic" w:cs="Simplified Arabic"/>
          <w:color w:val="auto"/>
          <w:sz w:val="28"/>
          <w:szCs w:val="28"/>
        </w:rPr>
        <w:t>.</w:t>
      </w:r>
    </w:p>
    <w:p w14:paraId="0DD48E12"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إجراء المقابلات (سبتمبر - نوفمبر 2025)</w:t>
      </w:r>
    </w:p>
    <w:p w14:paraId="2E5B01A3"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تحديد قائمة المستهدفين للمقابلات وفق معايير الاختيار</w:t>
      </w:r>
      <w:r w:rsidRPr="0072768E">
        <w:rPr>
          <w:rFonts w:ascii="Simplified Arabic" w:hAnsi="Simplified Arabic" w:cs="Simplified Arabic"/>
          <w:color w:val="auto"/>
          <w:sz w:val="28"/>
          <w:szCs w:val="28"/>
        </w:rPr>
        <w:t>.</w:t>
      </w:r>
    </w:p>
    <w:p w14:paraId="745A8D6C"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جدولة المقابلات وإرسال الدعوات</w:t>
      </w:r>
      <w:r w:rsidRPr="0072768E">
        <w:rPr>
          <w:rFonts w:ascii="Simplified Arabic" w:hAnsi="Simplified Arabic" w:cs="Simplified Arabic"/>
          <w:color w:val="auto"/>
          <w:sz w:val="28"/>
          <w:szCs w:val="28"/>
        </w:rPr>
        <w:t>.</w:t>
      </w:r>
    </w:p>
    <w:p w14:paraId="50F065D0"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المقابلات وتسجيلها (بعد الحصول على موافقة المشاركين)</w:t>
      </w:r>
      <w:r w:rsidRPr="0072768E">
        <w:rPr>
          <w:rFonts w:ascii="Simplified Arabic" w:hAnsi="Simplified Arabic" w:cs="Simplified Arabic"/>
          <w:color w:val="auto"/>
          <w:sz w:val="28"/>
          <w:szCs w:val="28"/>
        </w:rPr>
        <w:t>.</w:t>
      </w:r>
    </w:p>
    <w:p w14:paraId="317EC6E3"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تفريغ محتوى المقابلات وترميزه</w:t>
      </w:r>
      <w:r w:rsidRPr="0072768E">
        <w:rPr>
          <w:rFonts w:ascii="Simplified Arabic" w:hAnsi="Simplified Arabic" w:cs="Simplified Arabic"/>
          <w:color w:val="auto"/>
          <w:sz w:val="28"/>
          <w:szCs w:val="28"/>
        </w:rPr>
        <w:t>.</w:t>
      </w:r>
    </w:p>
    <w:p w14:paraId="67A0C2A3"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أولي للبيانات لتحديد الحاجة لمزيد من المقابلات</w:t>
      </w:r>
      <w:r w:rsidRPr="0072768E">
        <w:rPr>
          <w:rFonts w:ascii="Simplified Arabic" w:hAnsi="Simplified Arabic" w:cs="Simplified Arabic"/>
          <w:color w:val="auto"/>
          <w:sz w:val="28"/>
          <w:szCs w:val="28"/>
        </w:rPr>
        <w:t>.</w:t>
      </w:r>
    </w:p>
    <w:p w14:paraId="1D57CEB1"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تنظيم مجموعات التركيز (أكتوبر - نوفمبر 2025)</w:t>
      </w:r>
    </w:p>
    <w:p w14:paraId="4CA13038"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المشاركين في كل مجموعة تركيز</w:t>
      </w:r>
      <w:r w:rsidRPr="0072768E">
        <w:rPr>
          <w:rFonts w:ascii="Simplified Arabic" w:hAnsi="Simplified Arabic" w:cs="Simplified Arabic"/>
          <w:color w:val="auto"/>
          <w:sz w:val="28"/>
          <w:szCs w:val="28"/>
        </w:rPr>
        <w:t>.</w:t>
      </w:r>
    </w:p>
    <w:p w14:paraId="5EC3BEF7"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وإدارة جلسات مجموعات التركيز</w:t>
      </w:r>
      <w:r w:rsidRPr="0072768E">
        <w:rPr>
          <w:rFonts w:ascii="Simplified Arabic" w:hAnsi="Simplified Arabic" w:cs="Simplified Arabic"/>
          <w:color w:val="auto"/>
          <w:sz w:val="28"/>
          <w:szCs w:val="28"/>
        </w:rPr>
        <w:t>.</w:t>
      </w:r>
    </w:p>
    <w:p w14:paraId="1681F5C8"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تسجيل الجلسات وتدوين الملاحظات</w:t>
      </w:r>
      <w:r w:rsidRPr="0072768E">
        <w:rPr>
          <w:rFonts w:ascii="Simplified Arabic" w:hAnsi="Simplified Arabic" w:cs="Simplified Arabic"/>
          <w:color w:val="auto"/>
          <w:sz w:val="28"/>
          <w:szCs w:val="28"/>
        </w:rPr>
        <w:t>.</w:t>
      </w:r>
    </w:p>
    <w:p w14:paraId="12BEAA4A"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تفريغ محتوى الجلسات وترميزه</w:t>
      </w:r>
      <w:r w:rsidRPr="0072768E">
        <w:rPr>
          <w:rFonts w:ascii="Simplified Arabic" w:hAnsi="Simplified Arabic" w:cs="Simplified Arabic"/>
          <w:color w:val="auto"/>
          <w:sz w:val="28"/>
          <w:szCs w:val="28"/>
        </w:rPr>
        <w:t>.</w:t>
      </w:r>
    </w:p>
    <w:p w14:paraId="379787F0"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أولي للبيانات لتحديد الحاجة لمزيد من مجموعات التركيز</w:t>
      </w:r>
      <w:r w:rsidRPr="0072768E">
        <w:rPr>
          <w:rFonts w:ascii="Simplified Arabic" w:hAnsi="Simplified Arabic" w:cs="Simplified Arabic"/>
          <w:color w:val="auto"/>
          <w:sz w:val="28"/>
          <w:szCs w:val="28"/>
        </w:rPr>
        <w:t>.</w:t>
      </w:r>
    </w:p>
    <w:p w14:paraId="4B46DEB9"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جمع وتنظيم الوثائق والتقارير (أغسطس - ديسمبر 2025)</w:t>
      </w:r>
    </w:p>
    <w:p w14:paraId="78DB458E"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الوثائق والتقارير ذات الصلة بموضوع الدراسة</w:t>
      </w:r>
      <w:r w:rsidRPr="0072768E">
        <w:rPr>
          <w:rFonts w:ascii="Simplified Arabic" w:hAnsi="Simplified Arabic" w:cs="Simplified Arabic"/>
          <w:color w:val="auto"/>
          <w:sz w:val="28"/>
          <w:szCs w:val="28"/>
        </w:rPr>
        <w:t>.</w:t>
      </w:r>
    </w:p>
    <w:p w14:paraId="0F085D70"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جمع الوثائق من المصادر المتاحة (مواقع إلكترونية، مكتبات، مؤسسات)</w:t>
      </w:r>
      <w:r w:rsidRPr="0072768E">
        <w:rPr>
          <w:rFonts w:ascii="Simplified Arabic" w:hAnsi="Simplified Arabic" w:cs="Simplified Arabic"/>
          <w:color w:val="auto"/>
          <w:sz w:val="28"/>
          <w:szCs w:val="28"/>
        </w:rPr>
        <w:t>.</w:t>
      </w:r>
    </w:p>
    <w:p w14:paraId="4EF5471C"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تصنيف الوثائق وتنظيمها حسب الموضوع والمصدر والتاريخ</w:t>
      </w:r>
      <w:r w:rsidRPr="0072768E">
        <w:rPr>
          <w:rFonts w:ascii="Simplified Arabic" w:hAnsi="Simplified Arabic" w:cs="Simplified Arabic"/>
          <w:color w:val="auto"/>
          <w:sz w:val="28"/>
          <w:szCs w:val="28"/>
        </w:rPr>
        <w:t>.</w:t>
      </w:r>
    </w:p>
    <w:p w14:paraId="32B5EA91"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قاعدة بيانات للوثائق المجمعة</w:t>
      </w:r>
      <w:r w:rsidRPr="0072768E">
        <w:rPr>
          <w:rFonts w:ascii="Simplified Arabic" w:hAnsi="Simplified Arabic" w:cs="Simplified Arabic"/>
          <w:color w:val="auto"/>
          <w:sz w:val="28"/>
          <w:szCs w:val="28"/>
        </w:rPr>
        <w:t>.</w:t>
      </w:r>
    </w:p>
    <w:p w14:paraId="07F49E03"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أولي لمحتوى الوثائق</w:t>
      </w:r>
      <w:r w:rsidRPr="0072768E">
        <w:rPr>
          <w:rFonts w:ascii="Simplified Arabic" w:hAnsi="Simplified Arabic" w:cs="Simplified Arabic"/>
          <w:color w:val="auto"/>
          <w:sz w:val="28"/>
          <w:szCs w:val="28"/>
        </w:rPr>
        <w:t>.</w:t>
      </w:r>
    </w:p>
    <w:p w14:paraId="4E5E8AB1"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متابعة عملية جمع البيانات (أغسطس - ديسمبر 2025)</w:t>
      </w:r>
    </w:p>
    <w:p w14:paraId="1BFB8B95"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مراقبة تقدم عملية جمع البيانات وفق الجدول الزمني</w:t>
      </w:r>
      <w:r w:rsidRPr="0072768E">
        <w:rPr>
          <w:rFonts w:ascii="Simplified Arabic" w:hAnsi="Simplified Arabic" w:cs="Simplified Arabic"/>
          <w:color w:val="auto"/>
          <w:sz w:val="28"/>
          <w:szCs w:val="28"/>
        </w:rPr>
        <w:t>.</w:t>
      </w:r>
    </w:p>
    <w:p w14:paraId="1C26A075"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تحفيز المشاركين على الاستجابة من خلال رسائل تذكير وحوافز مناسبة</w:t>
      </w:r>
      <w:r w:rsidRPr="0072768E">
        <w:rPr>
          <w:rFonts w:ascii="Simplified Arabic" w:hAnsi="Simplified Arabic" w:cs="Simplified Arabic"/>
          <w:color w:val="auto"/>
          <w:sz w:val="28"/>
          <w:szCs w:val="28"/>
        </w:rPr>
        <w:t>.</w:t>
      </w:r>
    </w:p>
    <w:p w14:paraId="10E66D5E"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التعامل مع التحديات والصعوبات التي قد تواجه عملية جمع البيانات</w:t>
      </w:r>
      <w:r w:rsidRPr="0072768E">
        <w:rPr>
          <w:rFonts w:ascii="Simplified Arabic" w:hAnsi="Simplified Arabic" w:cs="Simplified Arabic"/>
          <w:color w:val="auto"/>
          <w:sz w:val="28"/>
          <w:szCs w:val="28"/>
        </w:rPr>
        <w:t>.</w:t>
      </w:r>
    </w:p>
    <w:p w14:paraId="72FE5FD9"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ضمان جودة البيانات المجمعة واكتمالها</w:t>
      </w:r>
      <w:r w:rsidRPr="0072768E">
        <w:rPr>
          <w:rFonts w:ascii="Simplified Arabic" w:hAnsi="Simplified Arabic" w:cs="Simplified Arabic"/>
          <w:color w:val="auto"/>
          <w:sz w:val="28"/>
          <w:szCs w:val="28"/>
        </w:rPr>
        <w:t>.</w:t>
      </w:r>
    </w:p>
    <w:p w14:paraId="3392CE9F" w14:textId="547E9F71"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التأكد من تخزين البيانات بشكل آمن ومناسب.</w:t>
      </w:r>
    </w:p>
    <w:p w14:paraId="220D7118" w14:textId="77777777" w:rsidR="003E3C9B" w:rsidRPr="0072768E" w:rsidRDefault="003E3C9B" w:rsidP="00786A9D">
      <w:pPr>
        <w:pStyle w:val="Heading2"/>
        <w:numPr>
          <w:ilvl w:val="0"/>
          <w:numId w:val="48"/>
        </w:numPr>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الثالثة: تحليل البيانات وتفسير النتائج (يناير 2026 - مارس 2026)</w:t>
      </w:r>
    </w:p>
    <w:p w14:paraId="78B87C8F"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إدخال وترميز البيانات الكمية (يناير 2026)</w:t>
      </w:r>
    </w:p>
    <w:p w14:paraId="588F67C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البيانات الكمية وإعدادها للإدخال</w:t>
      </w:r>
      <w:r w:rsidRPr="0072768E">
        <w:rPr>
          <w:rFonts w:ascii="Simplified Arabic" w:hAnsi="Simplified Arabic" w:cs="Simplified Arabic"/>
          <w:color w:val="auto"/>
          <w:sz w:val="28"/>
          <w:szCs w:val="28"/>
        </w:rPr>
        <w:t>.</w:t>
      </w:r>
    </w:p>
    <w:p w14:paraId="108DBBA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إنشاء قاعدة بيانات في برنامج</w:t>
      </w:r>
      <w:r w:rsidRPr="0072768E">
        <w:rPr>
          <w:rFonts w:ascii="Simplified Arabic" w:hAnsi="Simplified Arabic" w:cs="Simplified Arabic"/>
          <w:color w:val="auto"/>
          <w:sz w:val="28"/>
          <w:szCs w:val="28"/>
        </w:rPr>
        <w:t xml:space="preserve"> SPSS </w:t>
      </w:r>
      <w:r w:rsidRPr="0072768E">
        <w:rPr>
          <w:rFonts w:ascii="Simplified Arabic" w:hAnsi="Simplified Arabic" w:cs="Simplified Arabic"/>
          <w:color w:val="auto"/>
          <w:sz w:val="28"/>
          <w:szCs w:val="28"/>
          <w:rtl/>
        </w:rPr>
        <w:t>وتحديد المتغيرات وقيمها</w:t>
      </w:r>
      <w:r w:rsidRPr="0072768E">
        <w:rPr>
          <w:rFonts w:ascii="Simplified Arabic" w:hAnsi="Simplified Arabic" w:cs="Simplified Arabic"/>
          <w:color w:val="auto"/>
          <w:sz w:val="28"/>
          <w:szCs w:val="28"/>
        </w:rPr>
        <w:t>.</w:t>
      </w:r>
    </w:p>
    <w:p w14:paraId="2865A90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إدخال البيانات من الاستبانات المكتملة</w:t>
      </w:r>
      <w:r w:rsidRPr="0072768E">
        <w:rPr>
          <w:rFonts w:ascii="Simplified Arabic" w:hAnsi="Simplified Arabic" w:cs="Simplified Arabic"/>
          <w:color w:val="auto"/>
          <w:sz w:val="28"/>
          <w:szCs w:val="28"/>
        </w:rPr>
        <w:t>.</w:t>
      </w:r>
    </w:p>
    <w:p w14:paraId="5F12287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تدقيق البيانات المدخلة للتأكد من دقتها واكتمالها</w:t>
      </w:r>
      <w:r w:rsidRPr="0072768E">
        <w:rPr>
          <w:rFonts w:ascii="Simplified Arabic" w:hAnsi="Simplified Arabic" w:cs="Simplified Arabic"/>
          <w:color w:val="auto"/>
          <w:sz w:val="28"/>
          <w:szCs w:val="28"/>
        </w:rPr>
        <w:t>.</w:t>
      </w:r>
    </w:p>
    <w:p w14:paraId="56A73C8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معالجة القيم المفقودة والشاذة وفق الأساليب الإحصائية المناسبة</w:t>
      </w:r>
      <w:r w:rsidRPr="0072768E">
        <w:rPr>
          <w:rFonts w:ascii="Simplified Arabic" w:hAnsi="Simplified Arabic" w:cs="Simplified Arabic"/>
          <w:color w:val="auto"/>
          <w:sz w:val="28"/>
          <w:szCs w:val="28"/>
        </w:rPr>
        <w:t>.</w:t>
      </w:r>
    </w:p>
    <w:p w14:paraId="68CA55C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ترميز المتغيرات النوعية وتحويلها إلى قيم كمية قابلة للتحليل</w:t>
      </w:r>
      <w:r w:rsidRPr="0072768E">
        <w:rPr>
          <w:rFonts w:ascii="Simplified Arabic" w:hAnsi="Simplified Arabic" w:cs="Simplified Arabic"/>
          <w:color w:val="auto"/>
          <w:sz w:val="28"/>
          <w:szCs w:val="28"/>
        </w:rPr>
        <w:t>.</w:t>
      </w:r>
    </w:p>
    <w:p w14:paraId="35494607"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تحليل البيانات الكمية (يناير - فبراير 2026)</w:t>
      </w:r>
    </w:p>
    <w:p w14:paraId="57103DC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التحليل الوصفي للبيانات (التكرارات، النسب المئوية، المتوسطات، الانحرافات المعيارية)</w:t>
      </w:r>
      <w:r w:rsidRPr="0072768E">
        <w:rPr>
          <w:rFonts w:ascii="Simplified Arabic" w:hAnsi="Simplified Arabic" w:cs="Simplified Arabic"/>
          <w:color w:val="auto"/>
          <w:sz w:val="28"/>
          <w:szCs w:val="28"/>
        </w:rPr>
        <w:t>.</w:t>
      </w:r>
    </w:p>
    <w:p w14:paraId="251DEC5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التوزيع الطبيعي للبيانات وشروط استخدام الاختبارات المعلمية</w:t>
      </w:r>
      <w:r w:rsidRPr="0072768E">
        <w:rPr>
          <w:rFonts w:ascii="Simplified Arabic" w:hAnsi="Simplified Arabic" w:cs="Simplified Arabic"/>
          <w:color w:val="auto"/>
          <w:sz w:val="28"/>
          <w:szCs w:val="28"/>
        </w:rPr>
        <w:t>.</w:t>
      </w:r>
    </w:p>
    <w:p w14:paraId="08003CD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الاختبارات الإحصائية المناسبة (اختبار تي، تحليل التباين، معاملات الارتباط)</w:t>
      </w:r>
      <w:r w:rsidRPr="0072768E">
        <w:rPr>
          <w:rFonts w:ascii="Simplified Arabic" w:hAnsi="Simplified Arabic" w:cs="Simplified Arabic"/>
          <w:color w:val="auto"/>
          <w:sz w:val="28"/>
          <w:szCs w:val="28"/>
        </w:rPr>
        <w:t>.</w:t>
      </w:r>
    </w:p>
    <w:p w14:paraId="0C2AD44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تنفيذ تحليل الانحدار المتعدد لقياس تأثير المتغيرات المستقلة على المتغيرات التابعة</w:t>
      </w:r>
      <w:r w:rsidRPr="0072768E">
        <w:rPr>
          <w:rFonts w:ascii="Simplified Arabic" w:hAnsi="Simplified Arabic" w:cs="Simplified Arabic"/>
          <w:color w:val="auto"/>
          <w:sz w:val="28"/>
          <w:szCs w:val="28"/>
        </w:rPr>
        <w:t>.</w:t>
      </w:r>
    </w:p>
    <w:p w14:paraId="621E8F4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تحليل المسار لاختبار النموذج النظري للدراسة</w:t>
      </w:r>
      <w:r w:rsidRPr="0072768E">
        <w:rPr>
          <w:rFonts w:ascii="Simplified Arabic" w:hAnsi="Simplified Arabic" w:cs="Simplified Arabic"/>
          <w:color w:val="auto"/>
          <w:sz w:val="28"/>
          <w:szCs w:val="28"/>
        </w:rPr>
        <w:t>.</w:t>
      </w:r>
    </w:p>
    <w:p w14:paraId="496B1DF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استخراج النتائج وعرضها في جداول ورسوم بيانية</w:t>
      </w:r>
      <w:r w:rsidRPr="0072768E">
        <w:rPr>
          <w:rFonts w:ascii="Simplified Arabic" w:hAnsi="Simplified Arabic" w:cs="Simplified Arabic"/>
          <w:color w:val="auto"/>
          <w:sz w:val="28"/>
          <w:szCs w:val="28"/>
        </w:rPr>
        <w:t>.</w:t>
      </w:r>
    </w:p>
    <w:p w14:paraId="2D6A372C"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تحليل البيانات النوعية (يناير - فبراير 2026)</w:t>
      </w:r>
    </w:p>
    <w:p w14:paraId="5ED358A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البيانات النوعية من المقابلات ومجموعات التركيز</w:t>
      </w:r>
      <w:r w:rsidRPr="0072768E">
        <w:rPr>
          <w:rFonts w:ascii="Simplified Arabic" w:hAnsi="Simplified Arabic" w:cs="Simplified Arabic"/>
          <w:color w:val="auto"/>
          <w:sz w:val="28"/>
          <w:szCs w:val="28"/>
        </w:rPr>
        <w:t>.</w:t>
      </w:r>
    </w:p>
    <w:p w14:paraId="6CFD6F1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قراءة النصوص المفرغة وتدوين الملاحظات الأولية</w:t>
      </w:r>
      <w:r w:rsidRPr="0072768E">
        <w:rPr>
          <w:rFonts w:ascii="Simplified Arabic" w:hAnsi="Simplified Arabic" w:cs="Simplified Arabic"/>
          <w:color w:val="auto"/>
          <w:sz w:val="28"/>
          <w:szCs w:val="28"/>
        </w:rPr>
        <w:t>.</w:t>
      </w:r>
    </w:p>
    <w:p w14:paraId="519C80F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ترميز البيانات وتصنيفها وفق الموضوعات الرئيسية</w:t>
      </w:r>
      <w:r w:rsidRPr="0072768E">
        <w:rPr>
          <w:rFonts w:ascii="Simplified Arabic" w:hAnsi="Simplified Arabic" w:cs="Simplified Arabic"/>
          <w:color w:val="auto"/>
          <w:sz w:val="28"/>
          <w:szCs w:val="28"/>
        </w:rPr>
        <w:t>.</w:t>
      </w:r>
    </w:p>
    <w:p w14:paraId="7C0BED2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الأنماط والعلاقات بين الموضوعات</w:t>
      </w:r>
      <w:r w:rsidRPr="0072768E">
        <w:rPr>
          <w:rFonts w:ascii="Simplified Arabic" w:hAnsi="Simplified Arabic" w:cs="Simplified Arabic"/>
          <w:color w:val="auto"/>
          <w:sz w:val="28"/>
          <w:szCs w:val="28"/>
        </w:rPr>
        <w:t>.</w:t>
      </w:r>
    </w:p>
    <w:p w14:paraId="7096BDB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استخلاص الاقتباسات المهمة والأمثلة التوضيحية</w:t>
      </w:r>
      <w:r w:rsidRPr="0072768E">
        <w:rPr>
          <w:rFonts w:ascii="Simplified Arabic" w:hAnsi="Simplified Arabic" w:cs="Simplified Arabic"/>
          <w:color w:val="auto"/>
          <w:sz w:val="28"/>
          <w:szCs w:val="28"/>
        </w:rPr>
        <w:t>.</w:t>
      </w:r>
    </w:p>
    <w:p w14:paraId="61F85AA9"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محتوى الوثائق والتقارير وفق الفئات المحددة</w:t>
      </w:r>
      <w:r w:rsidRPr="0072768E">
        <w:rPr>
          <w:rFonts w:ascii="Simplified Arabic" w:hAnsi="Simplified Arabic" w:cs="Simplified Arabic"/>
          <w:color w:val="auto"/>
          <w:sz w:val="28"/>
          <w:szCs w:val="28"/>
        </w:rPr>
        <w:t>.</w:t>
      </w:r>
    </w:p>
    <w:p w14:paraId="0FBAEF1F"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دمج وتكامل نتائج التحليلات المختلفة (فبراير 2026)</w:t>
      </w:r>
    </w:p>
    <w:p w14:paraId="1174370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مقارنة نتائج التحليلات الكمية والنوعية</w:t>
      </w:r>
      <w:r w:rsidRPr="0072768E">
        <w:rPr>
          <w:rFonts w:ascii="Simplified Arabic" w:hAnsi="Simplified Arabic" w:cs="Simplified Arabic"/>
          <w:color w:val="auto"/>
          <w:sz w:val="28"/>
          <w:szCs w:val="28"/>
        </w:rPr>
        <w:t>.</w:t>
      </w:r>
    </w:p>
    <w:p w14:paraId="3270CFC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أوجه الاتفاق والاختلاف بين النتائج</w:t>
      </w:r>
      <w:r w:rsidRPr="0072768E">
        <w:rPr>
          <w:rFonts w:ascii="Simplified Arabic" w:hAnsi="Simplified Arabic" w:cs="Simplified Arabic"/>
          <w:color w:val="auto"/>
          <w:sz w:val="28"/>
          <w:szCs w:val="28"/>
        </w:rPr>
        <w:t>.</w:t>
      </w:r>
    </w:p>
    <w:p w14:paraId="2CE0E2C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التثليث المنهجي لتعزيز صدق وثبات النتائج</w:t>
      </w:r>
      <w:r w:rsidRPr="0072768E">
        <w:rPr>
          <w:rFonts w:ascii="Simplified Arabic" w:hAnsi="Simplified Arabic" w:cs="Simplified Arabic"/>
          <w:color w:val="auto"/>
          <w:sz w:val="28"/>
          <w:szCs w:val="28"/>
        </w:rPr>
        <w:t>.</w:t>
      </w:r>
    </w:p>
    <w:p w14:paraId="4A680CE9"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تفسير النتائج المتكاملة في ضوء أسئلة وفرضيات الدراسة</w:t>
      </w:r>
      <w:r w:rsidRPr="0072768E">
        <w:rPr>
          <w:rFonts w:ascii="Simplified Arabic" w:hAnsi="Simplified Arabic" w:cs="Simplified Arabic"/>
          <w:color w:val="auto"/>
          <w:sz w:val="28"/>
          <w:szCs w:val="28"/>
        </w:rPr>
        <w:t>.</w:t>
      </w:r>
    </w:p>
    <w:p w14:paraId="14C417B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الدلالات والتطبيقات العملية للنتائج</w:t>
      </w:r>
      <w:r w:rsidRPr="0072768E">
        <w:rPr>
          <w:rFonts w:ascii="Simplified Arabic" w:hAnsi="Simplified Arabic" w:cs="Simplified Arabic"/>
          <w:color w:val="auto"/>
          <w:sz w:val="28"/>
          <w:szCs w:val="28"/>
        </w:rPr>
        <w:t>.</w:t>
      </w:r>
    </w:p>
    <w:p w14:paraId="41CEB5DA"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التحقق من فرضيات الدراسة (فبراير - مارس 2026)</w:t>
      </w:r>
    </w:p>
    <w:p w14:paraId="3223350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اختبار الفرضية الرئيسية للدراسة</w:t>
      </w:r>
      <w:r w:rsidRPr="0072768E">
        <w:rPr>
          <w:rFonts w:ascii="Simplified Arabic" w:hAnsi="Simplified Arabic" w:cs="Simplified Arabic"/>
          <w:color w:val="auto"/>
          <w:sz w:val="28"/>
          <w:szCs w:val="28"/>
        </w:rPr>
        <w:t>.</w:t>
      </w:r>
    </w:p>
    <w:p w14:paraId="0BB6164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اختبار الفرضيات الفرعية باستخدام الأساليب الإحصائية المناسبة</w:t>
      </w:r>
      <w:r w:rsidRPr="0072768E">
        <w:rPr>
          <w:rFonts w:ascii="Simplified Arabic" w:hAnsi="Simplified Arabic" w:cs="Simplified Arabic"/>
          <w:color w:val="auto"/>
          <w:sz w:val="28"/>
          <w:szCs w:val="28"/>
        </w:rPr>
        <w:t>.</w:t>
      </w:r>
    </w:p>
    <w:p w14:paraId="638249C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الفرضيات المقبولة والمرفوضة</w:t>
      </w:r>
      <w:r w:rsidRPr="0072768E">
        <w:rPr>
          <w:rFonts w:ascii="Simplified Arabic" w:hAnsi="Simplified Arabic" w:cs="Simplified Arabic"/>
          <w:color w:val="auto"/>
          <w:sz w:val="28"/>
          <w:szCs w:val="28"/>
        </w:rPr>
        <w:t>.</w:t>
      </w:r>
    </w:p>
    <w:p w14:paraId="185483C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تفسير نتائج اختبار الفرضيات في ضوء الإطار النظري للدراسة</w:t>
      </w:r>
      <w:r w:rsidRPr="0072768E">
        <w:rPr>
          <w:rFonts w:ascii="Simplified Arabic" w:hAnsi="Simplified Arabic" w:cs="Simplified Arabic"/>
          <w:color w:val="auto"/>
          <w:sz w:val="28"/>
          <w:szCs w:val="28"/>
        </w:rPr>
        <w:t>.</w:t>
      </w:r>
    </w:p>
    <w:p w14:paraId="7D4F224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استخلاص الاستنتاجات العامة من نتائج اختبار الفرضيات</w:t>
      </w:r>
      <w:r w:rsidRPr="0072768E">
        <w:rPr>
          <w:rFonts w:ascii="Simplified Arabic" w:hAnsi="Simplified Arabic" w:cs="Simplified Arabic"/>
          <w:color w:val="auto"/>
          <w:sz w:val="28"/>
          <w:szCs w:val="28"/>
        </w:rPr>
        <w:t>.</w:t>
      </w:r>
    </w:p>
    <w:p w14:paraId="5FE31393"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مقارنة نتائج الدراسة الحالية بنتائج الدراسات السابقة (مارس 2026)</w:t>
      </w:r>
    </w:p>
    <w:p w14:paraId="2572CC2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مقارنة نتائج الدراسة الحالية بنتائج الدراسات السابقة ذات الصلة</w:t>
      </w:r>
      <w:r w:rsidRPr="0072768E">
        <w:rPr>
          <w:rFonts w:ascii="Simplified Arabic" w:hAnsi="Simplified Arabic" w:cs="Simplified Arabic"/>
          <w:color w:val="auto"/>
          <w:sz w:val="28"/>
          <w:szCs w:val="28"/>
        </w:rPr>
        <w:t>.</w:t>
      </w:r>
    </w:p>
    <w:p w14:paraId="400E3D7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أوجه الاتفاق والاختلاف بين النتائج</w:t>
      </w:r>
      <w:r w:rsidRPr="0072768E">
        <w:rPr>
          <w:rFonts w:ascii="Simplified Arabic" w:hAnsi="Simplified Arabic" w:cs="Simplified Arabic"/>
          <w:color w:val="auto"/>
          <w:sz w:val="28"/>
          <w:szCs w:val="28"/>
        </w:rPr>
        <w:t>.</w:t>
      </w:r>
    </w:p>
    <w:p w14:paraId="7D590DD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تفسير أسباب الاتفاق والاختلاف في ضوء الاختلافات المنهجية والسياقية</w:t>
      </w:r>
      <w:r w:rsidRPr="0072768E">
        <w:rPr>
          <w:rFonts w:ascii="Simplified Arabic" w:hAnsi="Simplified Arabic" w:cs="Simplified Arabic"/>
          <w:color w:val="auto"/>
          <w:sz w:val="28"/>
          <w:szCs w:val="28"/>
        </w:rPr>
        <w:t>.</w:t>
      </w:r>
    </w:p>
    <w:p w14:paraId="5C75DF5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الإضافات العلمية للدراسة الحالية</w:t>
      </w:r>
      <w:r w:rsidRPr="0072768E">
        <w:rPr>
          <w:rFonts w:ascii="Simplified Arabic" w:hAnsi="Simplified Arabic" w:cs="Simplified Arabic"/>
          <w:color w:val="auto"/>
          <w:sz w:val="28"/>
          <w:szCs w:val="28"/>
        </w:rPr>
        <w:t>.</w:t>
      </w:r>
    </w:p>
    <w:p w14:paraId="31067A8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تقييم مدى تحقيق الدراسة لأهدافها وإجابتها على أسئلتها</w:t>
      </w:r>
      <w:r w:rsidRPr="0072768E">
        <w:rPr>
          <w:rFonts w:ascii="Simplified Arabic" w:hAnsi="Simplified Arabic" w:cs="Simplified Arabic"/>
          <w:color w:val="auto"/>
          <w:sz w:val="28"/>
          <w:szCs w:val="28"/>
        </w:rPr>
        <w:t>.</w:t>
      </w:r>
    </w:p>
    <w:p w14:paraId="60967589" w14:textId="77777777" w:rsidR="003E3C9B" w:rsidRPr="0072768E" w:rsidRDefault="003E3C9B" w:rsidP="00786A9D">
      <w:pPr>
        <w:pStyle w:val="Heading2"/>
        <w:numPr>
          <w:ilvl w:val="0"/>
          <w:numId w:val="48"/>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الرابعة: إعداد التقرير النهائي (أبريل 2026 - ديسمبر 2026)</w:t>
      </w:r>
    </w:p>
    <w:p w14:paraId="0727FE56"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كتابة مسودة التقرير النهائي (أبريل - يونيو 2026)</w:t>
      </w:r>
    </w:p>
    <w:p w14:paraId="2454DC7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مخطط تفصيلي للتقرير وفق الهيكل المعتمد لرسائل الدكتوراه</w:t>
      </w:r>
      <w:r w:rsidRPr="0072768E">
        <w:rPr>
          <w:rFonts w:ascii="Simplified Arabic" w:hAnsi="Simplified Arabic" w:cs="Simplified Arabic"/>
          <w:color w:val="auto"/>
          <w:sz w:val="28"/>
          <w:szCs w:val="28"/>
        </w:rPr>
        <w:t>.</w:t>
      </w:r>
    </w:p>
    <w:p w14:paraId="669BB0E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الأول: الإطار العام للدراسة (المقدمة، المشكلة، الأسئلة، الأهمية، الأهداف، الفرضيات)</w:t>
      </w:r>
      <w:r w:rsidRPr="0072768E">
        <w:rPr>
          <w:rFonts w:ascii="Simplified Arabic" w:hAnsi="Simplified Arabic" w:cs="Simplified Arabic"/>
          <w:color w:val="auto"/>
          <w:sz w:val="28"/>
          <w:szCs w:val="28"/>
        </w:rPr>
        <w:t>.</w:t>
      </w:r>
    </w:p>
    <w:p w14:paraId="7DDE73A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الثاني: الإطار النظري والدراسات السابقة</w:t>
      </w:r>
      <w:r w:rsidRPr="0072768E">
        <w:rPr>
          <w:rFonts w:ascii="Simplified Arabic" w:hAnsi="Simplified Arabic" w:cs="Simplified Arabic"/>
          <w:color w:val="auto"/>
          <w:sz w:val="28"/>
          <w:szCs w:val="28"/>
        </w:rPr>
        <w:t>.</w:t>
      </w:r>
    </w:p>
    <w:p w14:paraId="5A085A9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الثالث: منهجية الدراسة وإجراءاتها</w:t>
      </w:r>
      <w:r w:rsidRPr="0072768E">
        <w:rPr>
          <w:rFonts w:ascii="Simplified Arabic" w:hAnsi="Simplified Arabic" w:cs="Simplified Arabic"/>
          <w:color w:val="auto"/>
          <w:sz w:val="28"/>
          <w:szCs w:val="28"/>
        </w:rPr>
        <w:t>.</w:t>
      </w:r>
    </w:p>
    <w:p w14:paraId="0D8802E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الرابع: عرض نتائج الدراسة وتحليلها</w:t>
      </w:r>
      <w:r w:rsidRPr="0072768E">
        <w:rPr>
          <w:rFonts w:ascii="Simplified Arabic" w:hAnsi="Simplified Arabic" w:cs="Simplified Arabic"/>
          <w:color w:val="auto"/>
          <w:sz w:val="28"/>
          <w:szCs w:val="28"/>
        </w:rPr>
        <w:t>.</w:t>
      </w:r>
    </w:p>
    <w:p w14:paraId="35E3828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كتابة الفصل الخامس: مناقشة النتائج وتفسيرها</w:t>
      </w:r>
      <w:r w:rsidRPr="0072768E">
        <w:rPr>
          <w:rFonts w:ascii="Simplified Arabic" w:hAnsi="Simplified Arabic" w:cs="Simplified Arabic"/>
          <w:color w:val="auto"/>
          <w:sz w:val="28"/>
          <w:szCs w:val="28"/>
        </w:rPr>
        <w:t>.</w:t>
      </w:r>
    </w:p>
    <w:p w14:paraId="74123FA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الخاتمة والتوصيات والمقترحات</w:t>
      </w:r>
      <w:r w:rsidRPr="0072768E">
        <w:rPr>
          <w:rFonts w:ascii="Simplified Arabic" w:hAnsi="Simplified Arabic" w:cs="Simplified Arabic"/>
          <w:color w:val="auto"/>
          <w:sz w:val="28"/>
          <w:szCs w:val="28"/>
        </w:rPr>
        <w:t>.</w:t>
      </w:r>
    </w:p>
    <w:p w14:paraId="7B2059E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قائمة المراجع والملاحق</w:t>
      </w:r>
      <w:r w:rsidRPr="0072768E">
        <w:rPr>
          <w:rFonts w:ascii="Simplified Arabic" w:hAnsi="Simplified Arabic" w:cs="Simplified Arabic"/>
          <w:color w:val="auto"/>
          <w:sz w:val="28"/>
          <w:szCs w:val="28"/>
        </w:rPr>
        <w:t>.</w:t>
      </w:r>
    </w:p>
    <w:p w14:paraId="2326FA45"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مراجعة وتنقيح التقرير (يوليو - سبتمبر 2026)</w:t>
      </w:r>
    </w:p>
    <w:p w14:paraId="295BF7D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المسودة الأولى للتقرير للتأكد من اكتمالها وتناسقها</w:t>
      </w:r>
      <w:r w:rsidRPr="0072768E">
        <w:rPr>
          <w:rFonts w:ascii="Simplified Arabic" w:hAnsi="Simplified Arabic" w:cs="Simplified Arabic"/>
          <w:color w:val="auto"/>
          <w:sz w:val="28"/>
          <w:szCs w:val="28"/>
        </w:rPr>
        <w:t>.</w:t>
      </w:r>
    </w:p>
    <w:p w14:paraId="483EE31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الاتساق الداخلي بين فصول التقرير</w:t>
      </w:r>
      <w:r w:rsidRPr="0072768E">
        <w:rPr>
          <w:rFonts w:ascii="Simplified Arabic" w:hAnsi="Simplified Arabic" w:cs="Simplified Arabic"/>
          <w:color w:val="auto"/>
          <w:sz w:val="28"/>
          <w:szCs w:val="28"/>
        </w:rPr>
        <w:t>.</w:t>
      </w:r>
    </w:p>
    <w:p w14:paraId="2F9AE53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الصياغة اللغوية والأسلوبية</w:t>
      </w:r>
      <w:r w:rsidRPr="0072768E">
        <w:rPr>
          <w:rFonts w:ascii="Simplified Arabic" w:hAnsi="Simplified Arabic" w:cs="Simplified Arabic"/>
          <w:color w:val="auto"/>
          <w:sz w:val="28"/>
          <w:szCs w:val="28"/>
        </w:rPr>
        <w:t>.</w:t>
      </w:r>
    </w:p>
    <w:p w14:paraId="64582C1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التأكد من دقة التوثيق والاقتباسات والمراجع</w:t>
      </w:r>
      <w:r w:rsidRPr="0072768E">
        <w:rPr>
          <w:rFonts w:ascii="Simplified Arabic" w:hAnsi="Simplified Arabic" w:cs="Simplified Arabic"/>
          <w:color w:val="auto"/>
          <w:sz w:val="28"/>
          <w:szCs w:val="28"/>
        </w:rPr>
        <w:t>.</w:t>
      </w:r>
    </w:p>
    <w:p w14:paraId="25A1837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جودة وملاءمة الجداول والرسوم البيانية</w:t>
      </w:r>
      <w:r w:rsidRPr="0072768E">
        <w:rPr>
          <w:rFonts w:ascii="Simplified Arabic" w:hAnsi="Simplified Arabic" w:cs="Simplified Arabic"/>
          <w:color w:val="auto"/>
          <w:sz w:val="28"/>
          <w:szCs w:val="28"/>
        </w:rPr>
        <w:t>.</w:t>
      </w:r>
    </w:p>
    <w:p w14:paraId="403E57A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تنقيح التقرير بناءً على الملاحظات والتصويبات</w:t>
      </w:r>
      <w:r w:rsidRPr="0072768E">
        <w:rPr>
          <w:rFonts w:ascii="Simplified Arabic" w:hAnsi="Simplified Arabic" w:cs="Simplified Arabic"/>
          <w:color w:val="auto"/>
          <w:sz w:val="28"/>
          <w:szCs w:val="28"/>
        </w:rPr>
        <w:t>.</w:t>
      </w:r>
    </w:p>
    <w:p w14:paraId="32B4BA0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عرض المسودة على مراجعين خارجيين للحصول على تغذية راجعة</w:t>
      </w:r>
      <w:r w:rsidRPr="0072768E">
        <w:rPr>
          <w:rFonts w:ascii="Simplified Arabic" w:hAnsi="Simplified Arabic" w:cs="Simplified Arabic"/>
          <w:color w:val="auto"/>
          <w:sz w:val="28"/>
          <w:szCs w:val="28"/>
        </w:rPr>
        <w:t>.</w:t>
      </w:r>
    </w:p>
    <w:p w14:paraId="5A5209D1"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كتابة التوصيات والمقترحات (أكتوبر 2026)</w:t>
      </w:r>
    </w:p>
    <w:p w14:paraId="184F7E4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صياغة توصيات محددة وعملية بناءً على نتائج الدراسة، موجهة إلى</w:t>
      </w:r>
      <w:r w:rsidRPr="0072768E">
        <w:rPr>
          <w:rFonts w:ascii="Simplified Arabic" w:hAnsi="Simplified Arabic" w:cs="Simplified Arabic"/>
          <w:color w:val="auto"/>
          <w:sz w:val="28"/>
          <w:szCs w:val="28"/>
        </w:rPr>
        <w:t xml:space="preserve">: </w:t>
      </w:r>
    </w:p>
    <w:p w14:paraId="3CAB4999"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صناع القرار في المؤسسات المالية</w:t>
      </w:r>
      <w:r w:rsidRPr="0072768E">
        <w:rPr>
          <w:rFonts w:ascii="Simplified Arabic" w:hAnsi="Simplified Arabic" w:cs="Simplified Arabic"/>
          <w:color w:val="auto"/>
          <w:sz w:val="28"/>
          <w:szCs w:val="28"/>
        </w:rPr>
        <w:t>.</w:t>
      </w:r>
    </w:p>
    <w:p w14:paraId="12333F16"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الجهات التنظيمية والرقابية</w:t>
      </w:r>
      <w:r w:rsidRPr="0072768E">
        <w:rPr>
          <w:rFonts w:ascii="Simplified Arabic" w:hAnsi="Simplified Arabic" w:cs="Simplified Arabic"/>
          <w:color w:val="auto"/>
          <w:sz w:val="28"/>
          <w:szCs w:val="28"/>
        </w:rPr>
        <w:t>.</w:t>
      </w:r>
    </w:p>
    <w:p w14:paraId="5307F3ED"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شركات التقنية المالية ومطوري حلول الترميز</w:t>
      </w:r>
      <w:r w:rsidRPr="0072768E">
        <w:rPr>
          <w:rFonts w:ascii="Simplified Arabic" w:hAnsi="Simplified Arabic" w:cs="Simplified Arabic"/>
          <w:color w:val="auto"/>
          <w:sz w:val="28"/>
          <w:szCs w:val="28"/>
        </w:rPr>
        <w:t>.</w:t>
      </w:r>
    </w:p>
    <w:p w14:paraId="7325A921"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الباحثين والأكاديميين</w:t>
      </w:r>
      <w:r w:rsidRPr="0072768E">
        <w:rPr>
          <w:rFonts w:ascii="Simplified Arabic" w:hAnsi="Simplified Arabic" w:cs="Simplified Arabic"/>
          <w:color w:val="auto"/>
          <w:sz w:val="28"/>
          <w:szCs w:val="28"/>
        </w:rPr>
        <w:t>.</w:t>
      </w:r>
    </w:p>
    <w:p w14:paraId="06D6559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اقتراح موضوعات لبحوث مستقبلية تكمل وتوسع نطاق الدراسة الحالية</w:t>
      </w:r>
      <w:r w:rsidRPr="0072768E">
        <w:rPr>
          <w:rFonts w:ascii="Simplified Arabic" w:hAnsi="Simplified Arabic" w:cs="Simplified Arabic"/>
          <w:color w:val="auto"/>
          <w:sz w:val="28"/>
          <w:szCs w:val="28"/>
        </w:rPr>
        <w:t>.</w:t>
      </w:r>
    </w:p>
    <w:p w14:paraId="679F675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نموذج مقترح لتقييم تأثير تقنية الترميز على القطاع المالي السعودي</w:t>
      </w:r>
      <w:r w:rsidRPr="0072768E">
        <w:rPr>
          <w:rFonts w:ascii="Simplified Arabic" w:hAnsi="Simplified Arabic" w:cs="Simplified Arabic"/>
          <w:color w:val="auto"/>
          <w:sz w:val="28"/>
          <w:szCs w:val="28"/>
        </w:rPr>
        <w:t>.</w:t>
      </w:r>
    </w:p>
    <w:p w14:paraId="694C3F6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متطلبات ومراحل تطبيق التوصيات</w:t>
      </w:r>
      <w:r w:rsidRPr="0072768E">
        <w:rPr>
          <w:rFonts w:ascii="Simplified Arabic" w:hAnsi="Simplified Arabic" w:cs="Simplified Arabic"/>
          <w:color w:val="auto"/>
          <w:sz w:val="28"/>
          <w:szCs w:val="28"/>
        </w:rPr>
        <w:t>.</w:t>
      </w:r>
    </w:p>
    <w:p w14:paraId="2D287715"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إعداد الإصدار النهائي للتقرير (نوفمبر 2026)</w:t>
      </w:r>
    </w:p>
    <w:p w14:paraId="046D2A5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دمج جميع التعديلات والتصويبات في النسخة النهائية</w:t>
      </w:r>
      <w:r w:rsidRPr="0072768E">
        <w:rPr>
          <w:rFonts w:ascii="Simplified Arabic" w:hAnsi="Simplified Arabic" w:cs="Simplified Arabic"/>
          <w:color w:val="auto"/>
          <w:sz w:val="28"/>
          <w:szCs w:val="28"/>
        </w:rPr>
        <w:t>.</w:t>
      </w:r>
    </w:p>
    <w:p w14:paraId="6AFEDB1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التدقيق النهائي للتقرير لغوياً وفنياً</w:t>
      </w:r>
      <w:r w:rsidRPr="0072768E">
        <w:rPr>
          <w:rFonts w:ascii="Simplified Arabic" w:hAnsi="Simplified Arabic" w:cs="Simplified Arabic"/>
          <w:color w:val="auto"/>
          <w:sz w:val="28"/>
          <w:szCs w:val="28"/>
        </w:rPr>
        <w:t>.</w:t>
      </w:r>
    </w:p>
    <w:p w14:paraId="4E271E99"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تنسيق التقرير وفق متطلبات وقواعد الجامعة</w:t>
      </w:r>
      <w:r w:rsidRPr="0072768E">
        <w:rPr>
          <w:rFonts w:ascii="Simplified Arabic" w:hAnsi="Simplified Arabic" w:cs="Simplified Arabic"/>
          <w:color w:val="auto"/>
          <w:sz w:val="28"/>
          <w:szCs w:val="28"/>
        </w:rPr>
        <w:t>.</w:t>
      </w:r>
    </w:p>
    <w:p w14:paraId="4DCDC48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الملخص التنفيذي للدراسة باللغتين العربية والإنجليزية</w:t>
      </w:r>
      <w:r w:rsidRPr="0072768E">
        <w:rPr>
          <w:rFonts w:ascii="Simplified Arabic" w:hAnsi="Simplified Arabic" w:cs="Simplified Arabic"/>
          <w:color w:val="auto"/>
          <w:sz w:val="28"/>
          <w:szCs w:val="28"/>
        </w:rPr>
        <w:t>.</w:t>
      </w:r>
    </w:p>
    <w:p w14:paraId="69F8321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تجهيز الملاحق والمرفقات</w:t>
      </w:r>
      <w:r w:rsidRPr="0072768E">
        <w:rPr>
          <w:rFonts w:ascii="Simplified Arabic" w:hAnsi="Simplified Arabic" w:cs="Simplified Arabic"/>
          <w:color w:val="auto"/>
          <w:sz w:val="28"/>
          <w:szCs w:val="28"/>
        </w:rPr>
        <w:t>.</w:t>
      </w:r>
    </w:p>
    <w:p w14:paraId="71A5D8F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عرض تقديمي للنتائج الرئيسية للدراسة</w:t>
      </w:r>
      <w:r w:rsidRPr="0072768E">
        <w:rPr>
          <w:rFonts w:ascii="Simplified Arabic" w:hAnsi="Simplified Arabic" w:cs="Simplified Arabic"/>
          <w:color w:val="auto"/>
          <w:sz w:val="28"/>
          <w:szCs w:val="28"/>
        </w:rPr>
        <w:t>.</w:t>
      </w:r>
    </w:p>
    <w:p w14:paraId="02827D2A"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تقديم التقرير النهائي ومناقشته (ديسمبر 2026)</w:t>
      </w:r>
    </w:p>
    <w:p w14:paraId="6308758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تسليم النسخة النهائية من التقرير إلى لجنة الإشراف والمناقشة</w:t>
      </w:r>
      <w:r w:rsidRPr="0072768E">
        <w:rPr>
          <w:rFonts w:ascii="Simplified Arabic" w:hAnsi="Simplified Arabic" w:cs="Simplified Arabic"/>
          <w:color w:val="auto"/>
          <w:sz w:val="28"/>
          <w:szCs w:val="28"/>
        </w:rPr>
        <w:t>.</w:t>
      </w:r>
    </w:p>
    <w:p w14:paraId="5691512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الاستعداد للمناقشة من خلال</w:t>
      </w:r>
      <w:r w:rsidRPr="0072768E">
        <w:rPr>
          <w:rFonts w:ascii="Simplified Arabic" w:hAnsi="Simplified Arabic" w:cs="Simplified Arabic"/>
          <w:color w:val="auto"/>
          <w:sz w:val="28"/>
          <w:szCs w:val="28"/>
        </w:rPr>
        <w:t xml:space="preserve">: </w:t>
      </w:r>
    </w:p>
    <w:p w14:paraId="1FE3FE5F"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عرض تقديمي شامل ومركز</w:t>
      </w:r>
      <w:r w:rsidRPr="0072768E">
        <w:rPr>
          <w:rFonts w:ascii="Simplified Arabic" w:hAnsi="Simplified Arabic" w:cs="Simplified Arabic"/>
          <w:color w:val="auto"/>
          <w:sz w:val="28"/>
          <w:szCs w:val="28"/>
        </w:rPr>
        <w:t>.</w:t>
      </w:r>
    </w:p>
    <w:p w14:paraId="08A23FE2"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التدرب على عرض النتائج والإجابة على الأسئلة المتوقعة</w:t>
      </w:r>
      <w:r w:rsidRPr="0072768E">
        <w:rPr>
          <w:rFonts w:ascii="Simplified Arabic" w:hAnsi="Simplified Arabic" w:cs="Simplified Arabic"/>
          <w:color w:val="auto"/>
          <w:sz w:val="28"/>
          <w:szCs w:val="28"/>
        </w:rPr>
        <w:t>.</w:t>
      </w:r>
    </w:p>
    <w:p w14:paraId="53796B83"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تجهيز المواد والوثائق الداعمة</w:t>
      </w:r>
      <w:r w:rsidRPr="0072768E">
        <w:rPr>
          <w:rFonts w:ascii="Simplified Arabic" w:hAnsi="Simplified Arabic" w:cs="Simplified Arabic"/>
          <w:color w:val="auto"/>
          <w:sz w:val="28"/>
          <w:szCs w:val="28"/>
        </w:rPr>
        <w:t>.</w:t>
      </w:r>
    </w:p>
    <w:p w14:paraId="741E531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مناقشة الرسالة والدفاع عنها أمام لجنة المناقشة</w:t>
      </w:r>
      <w:r w:rsidRPr="0072768E">
        <w:rPr>
          <w:rFonts w:ascii="Simplified Arabic" w:hAnsi="Simplified Arabic" w:cs="Simplified Arabic"/>
          <w:color w:val="auto"/>
          <w:sz w:val="28"/>
          <w:szCs w:val="28"/>
        </w:rPr>
        <w:t>.</w:t>
      </w:r>
    </w:p>
    <w:p w14:paraId="4A664C4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التعديلات المطلوبة من لجنة المناقشة</w:t>
      </w:r>
      <w:r w:rsidRPr="0072768E">
        <w:rPr>
          <w:rFonts w:ascii="Simplified Arabic" w:hAnsi="Simplified Arabic" w:cs="Simplified Arabic"/>
          <w:color w:val="auto"/>
          <w:sz w:val="28"/>
          <w:szCs w:val="28"/>
        </w:rPr>
        <w:t>.</w:t>
      </w:r>
    </w:p>
    <w:p w14:paraId="02ADFC3D" w14:textId="63246128"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تسليم النسخة النهائية المعتمدة من الرسالة</w:t>
      </w:r>
      <w:r w:rsidRPr="0072768E">
        <w:rPr>
          <w:rFonts w:ascii="Simplified Arabic" w:hAnsi="Simplified Arabic" w:cs="Simplified Arabic" w:hint="cs"/>
          <w:color w:val="auto"/>
          <w:sz w:val="28"/>
          <w:szCs w:val="28"/>
          <w:rtl/>
        </w:rPr>
        <w:t>.</w:t>
      </w:r>
    </w:p>
    <w:p w14:paraId="6EABF257" w14:textId="700B75AA" w:rsidR="003E3C9B" w:rsidRPr="0072768E" w:rsidRDefault="003E3C9B" w:rsidP="003E3C9B">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جودة البحث وموثوقيته</w:t>
      </w:r>
    </w:p>
    <w:p w14:paraId="557CD802" w14:textId="77777777" w:rsidR="003E3C9B" w:rsidRPr="0072768E" w:rsidRDefault="003E3C9B" w:rsidP="003E3C9B">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لضمان جودة البحث وموثوقيته، سيتم اتخاذ الإجراءات التالية</w:t>
      </w:r>
      <w:r w:rsidRPr="0072768E">
        <w:rPr>
          <w:rFonts w:ascii="Simplified Arabic" w:hAnsi="Simplified Arabic" w:cs="Simplified Arabic"/>
          <w:color w:val="auto"/>
          <w:sz w:val="28"/>
          <w:szCs w:val="28"/>
        </w:rPr>
        <w:t>:</w:t>
      </w:r>
    </w:p>
    <w:p w14:paraId="3177ADDA"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صدق وثبات أدوات الدراسة</w:t>
      </w:r>
    </w:p>
    <w:p w14:paraId="575557F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التحكيم الخارجي لأدوات الدراسة من قبل خبراء متخصصين</w:t>
      </w:r>
      <w:r w:rsidRPr="0072768E">
        <w:rPr>
          <w:rFonts w:ascii="Simplified Arabic" w:hAnsi="Simplified Arabic" w:cs="Simplified Arabic"/>
          <w:color w:val="auto"/>
          <w:sz w:val="28"/>
          <w:szCs w:val="28"/>
        </w:rPr>
        <w:t>.</w:t>
      </w:r>
    </w:p>
    <w:p w14:paraId="001C7B6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دراسة استطلاعية للتحقق من وضوح وفهم أدوات الدراسة</w:t>
      </w:r>
      <w:r w:rsidRPr="0072768E">
        <w:rPr>
          <w:rFonts w:ascii="Simplified Arabic" w:hAnsi="Simplified Arabic" w:cs="Simplified Arabic"/>
          <w:color w:val="auto"/>
          <w:sz w:val="28"/>
          <w:szCs w:val="28"/>
        </w:rPr>
        <w:t>.</w:t>
      </w:r>
    </w:p>
    <w:p w14:paraId="5FB785C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قياس الصدق والثبات باستخدام الأساليب الإحصائية المناسبة</w:t>
      </w:r>
      <w:r w:rsidRPr="0072768E">
        <w:rPr>
          <w:rFonts w:ascii="Simplified Arabic" w:hAnsi="Simplified Arabic" w:cs="Simplified Arabic"/>
          <w:color w:val="auto"/>
          <w:sz w:val="28"/>
          <w:szCs w:val="28"/>
        </w:rPr>
        <w:t>.</w:t>
      </w:r>
    </w:p>
    <w:p w14:paraId="1E94B95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التثليث المنهجي لتعزيز صدق وثبات النتائج</w:t>
      </w:r>
      <w:r w:rsidRPr="0072768E">
        <w:rPr>
          <w:rFonts w:ascii="Simplified Arabic" w:hAnsi="Simplified Arabic" w:cs="Simplified Arabic"/>
          <w:color w:val="auto"/>
          <w:sz w:val="28"/>
          <w:szCs w:val="28"/>
        </w:rPr>
        <w:t>.</w:t>
      </w:r>
    </w:p>
    <w:p w14:paraId="4A979C8B"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تمثيل العينة للمجتمع الأصلي</w:t>
      </w:r>
    </w:p>
    <w:p w14:paraId="355D5B1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أساليب المعاينة العلمية المناسبة</w:t>
      </w:r>
      <w:r w:rsidRPr="0072768E">
        <w:rPr>
          <w:rFonts w:ascii="Simplified Arabic" w:hAnsi="Simplified Arabic" w:cs="Simplified Arabic"/>
          <w:color w:val="auto"/>
          <w:sz w:val="28"/>
          <w:szCs w:val="28"/>
        </w:rPr>
        <w:t>.</w:t>
      </w:r>
    </w:p>
    <w:p w14:paraId="597C259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حجم العينة وفق المعادلات الإحصائية المعتمدة</w:t>
      </w:r>
      <w:r w:rsidRPr="0072768E">
        <w:rPr>
          <w:rFonts w:ascii="Simplified Arabic" w:hAnsi="Simplified Arabic" w:cs="Simplified Arabic"/>
          <w:color w:val="auto"/>
          <w:sz w:val="28"/>
          <w:szCs w:val="28"/>
        </w:rPr>
        <w:t>.</w:t>
      </w:r>
    </w:p>
    <w:p w14:paraId="0ABC1B4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التأكد من تمثيل العينة لمختلف فئات وخصائص المجتمع الأصلي</w:t>
      </w:r>
      <w:r w:rsidRPr="0072768E">
        <w:rPr>
          <w:rFonts w:ascii="Simplified Arabic" w:hAnsi="Simplified Arabic" w:cs="Simplified Arabic"/>
          <w:color w:val="auto"/>
          <w:sz w:val="28"/>
          <w:szCs w:val="28"/>
        </w:rPr>
        <w:t>.</w:t>
      </w:r>
    </w:p>
    <w:p w14:paraId="6D70514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إجراءات اختيار العينة بشكل دقيق وشفاف</w:t>
      </w:r>
      <w:r w:rsidRPr="0072768E">
        <w:rPr>
          <w:rFonts w:ascii="Simplified Arabic" w:hAnsi="Simplified Arabic" w:cs="Simplified Arabic"/>
          <w:color w:val="auto"/>
          <w:sz w:val="28"/>
          <w:szCs w:val="28"/>
        </w:rPr>
        <w:t>.</w:t>
      </w:r>
    </w:p>
    <w:p w14:paraId="08EC129A"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دقة التحليل الإحصائي</w:t>
      </w:r>
    </w:p>
    <w:p w14:paraId="63925BC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شروط استخدام الاختبارات الإحصائية المعلمية</w:t>
      </w:r>
      <w:r w:rsidRPr="0072768E">
        <w:rPr>
          <w:rFonts w:ascii="Simplified Arabic" w:hAnsi="Simplified Arabic" w:cs="Simplified Arabic"/>
          <w:color w:val="auto"/>
          <w:sz w:val="28"/>
          <w:szCs w:val="28"/>
        </w:rPr>
        <w:t>.</w:t>
      </w:r>
    </w:p>
    <w:p w14:paraId="00D71C1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استخدام الاختبارات البديلة في حال عدم تحقق الشروط</w:t>
      </w:r>
      <w:r w:rsidRPr="0072768E">
        <w:rPr>
          <w:rFonts w:ascii="Simplified Arabic" w:hAnsi="Simplified Arabic" w:cs="Simplified Arabic"/>
          <w:color w:val="auto"/>
          <w:sz w:val="28"/>
          <w:szCs w:val="28"/>
        </w:rPr>
        <w:t>.</w:t>
      </w:r>
    </w:p>
    <w:p w14:paraId="575C4B9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التحليل الإحصائي من قبل متخصص في الإحصاء</w:t>
      </w:r>
      <w:r w:rsidRPr="0072768E">
        <w:rPr>
          <w:rFonts w:ascii="Simplified Arabic" w:hAnsi="Simplified Arabic" w:cs="Simplified Arabic"/>
          <w:color w:val="auto"/>
          <w:sz w:val="28"/>
          <w:szCs w:val="28"/>
        </w:rPr>
        <w:t>.</w:t>
      </w:r>
    </w:p>
    <w:p w14:paraId="0ACC6EB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إجراءات التحليل الإحصائي بشكل دقيق وشفاف</w:t>
      </w:r>
      <w:r w:rsidRPr="0072768E">
        <w:rPr>
          <w:rFonts w:ascii="Simplified Arabic" w:hAnsi="Simplified Arabic" w:cs="Simplified Arabic"/>
          <w:color w:val="auto"/>
          <w:sz w:val="28"/>
          <w:szCs w:val="28"/>
        </w:rPr>
        <w:t>.</w:t>
      </w:r>
    </w:p>
    <w:p w14:paraId="5FBF6041"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موضوعية التحليل النوعي</w:t>
      </w:r>
    </w:p>
    <w:p w14:paraId="4BDC834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أساليب منهجية لتحليل البيانات النوعية</w:t>
      </w:r>
      <w:r w:rsidRPr="0072768E">
        <w:rPr>
          <w:rFonts w:ascii="Simplified Arabic" w:hAnsi="Simplified Arabic" w:cs="Simplified Arabic"/>
          <w:color w:val="auto"/>
          <w:sz w:val="28"/>
          <w:szCs w:val="28"/>
        </w:rPr>
        <w:t>.</w:t>
      </w:r>
    </w:p>
    <w:p w14:paraId="65A59A6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بباحث ثانٍ لترميز عينة من البيانات النوعية</w:t>
      </w:r>
      <w:r w:rsidRPr="0072768E">
        <w:rPr>
          <w:rFonts w:ascii="Simplified Arabic" w:hAnsi="Simplified Arabic" w:cs="Simplified Arabic"/>
          <w:color w:val="auto"/>
          <w:sz w:val="28"/>
          <w:szCs w:val="28"/>
        </w:rPr>
        <w:t>.</w:t>
      </w:r>
    </w:p>
    <w:p w14:paraId="1D2055A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مقارنة نتائج الترميز بين الباحثين والتوصل إلى توافق</w:t>
      </w:r>
      <w:r w:rsidRPr="0072768E">
        <w:rPr>
          <w:rFonts w:ascii="Simplified Arabic" w:hAnsi="Simplified Arabic" w:cs="Simplified Arabic"/>
          <w:color w:val="auto"/>
          <w:sz w:val="28"/>
          <w:szCs w:val="28"/>
        </w:rPr>
        <w:t>.</w:t>
      </w:r>
    </w:p>
    <w:p w14:paraId="7C83B0E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إجراءات التحليل النوعي بشكل دقيق وشفاف</w:t>
      </w:r>
      <w:r w:rsidRPr="0072768E">
        <w:rPr>
          <w:rFonts w:ascii="Simplified Arabic" w:hAnsi="Simplified Arabic" w:cs="Simplified Arabic"/>
          <w:color w:val="auto"/>
          <w:sz w:val="28"/>
          <w:szCs w:val="28"/>
        </w:rPr>
        <w:t>.</w:t>
      </w:r>
    </w:p>
    <w:p w14:paraId="63266CB3"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الالتزام بأخلاقيات البحث العلمي</w:t>
      </w:r>
    </w:p>
    <w:p w14:paraId="542506B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الحصول على موافقة لجنة أخلاقيات البحث العلمي</w:t>
      </w:r>
      <w:r w:rsidRPr="0072768E">
        <w:rPr>
          <w:rFonts w:ascii="Simplified Arabic" w:hAnsi="Simplified Arabic" w:cs="Simplified Arabic"/>
          <w:color w:val="auto"/>
          <w:sz w:val="28"/>
          <w:szCs w:val="28"/>
        </w:rPr>
        <w:t>.</w:t>
      </w:r>
    </w:p>
    <w:p w14:paraId="2B7E6AD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الحصول على موافقة مستنيرة من جميع المشاركين</w:t>
      </w:r>
      <w:r w:rsidRPr="0072768E">
        <w:rPr>
          <w:rFonts w:ascii="Simplified Arabic" w:hAnsi="Simplified Arabic" w:cs="Simplified Arabic"/>
          <w:color w:val="auto"/>
          <w:sz w:val="28"/>
          <w:szCs w:val="28"/>
        </w:rPr>
        <w:t>.</w:t>
      </w:r>
    </w:p>
    <w:p w14:paraId="2BD5E9A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ضمان سرية وخصوصية البيانات والمشاركين</w:t>
      </w:r>
      <w:r w:rsidRPr="0072768E">
        <w:rPr>
          <w:rFonts w:ascii="Simplified Arabic" w:hAnsi="Simplified Arabic" w:cs="Simplified Arabic"/>
          <w:color w:val="auto"/>
          <w:sz w:val="28"/>
          <w:szCs w:val="28"/>
        </w:rPr>
        <w:t>.</w:t>
      </w:r>
    </w:p>
    <w:p w14:paraId="4871E8A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الالتزام بالأمانة العلمية في التوثيق والاقتباس</w:t>
      </w:r>
      <w:r w:rsidRPr="0072768E">
        <w:rPr>
          <w:rFonts w:ascii="Simplified Arabic" w:hAnsi="Simplified Arabic" w:cs="Simplified Arabic"/>
          <w:color w:val="auto"/>
          <w:sz w:val="28"/>
          <w:szCs w:val="28"/>
        </w:rPr>
        <w:t>.</w:t>
      </w:r>
    </w:p>
    <w:p w14:paraId="54F692C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تجنب التحيز في جمع وتحليل وتفسير البيانات</w:t>
      </w:r>
      <w:r w:rsidRPr="0072768E">
        <w:rPr>
          <w:rFonts w:ascii="Simplified Arabic" w:hAnsi="Simplified Arabic" w:cs="Simplified Arabic"/>
          <w:color w:val="auto"/>
          <w:sz w:val="28"/>
          <w:szCs w:val="28"/>
        </w:rPr>
        <w:t>.</w:t>
      </w:r>
    </w:p>
    <w:p w14:paraId="126A974B"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الشفافية والموثوقية</w:t>
      </w:r>
    </w:p>
    <w:p w14:paraId="1E3AE36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جميع إجراءات البحث بشكل دقيق وشفاف</w:t>
      </w:r>
      <w:r w:rsidRPr="0072768E">
        <w:rPr>
          <w:rFonts w:ascii="Simplified Arabic" w:hAnsi="Simplified Arabic" w:cs="Simplified Arabic"/>
          <w:color w:val="auto"/>
          <w:sz w:val="28"/>
          <w:szCs w:val="28"/>
        </w:rPr>
        <w:t>.</w:t>
      </w:r>
    </w:p>
    <w:p w14:paraId="5432A10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الاحتفاظ بسجلات تفصيلية لجميع مراحل البحث</w:t>
      </w:r>
      <w:r w:rsidRPr="0072768E">
        <w:rPr>
          <w:rFonts w:ascii="Simplified Arabic" w:hAnsi="Simplified Arabic" w:cs="Simplified Arabic"/>
          <w:color w:val="auto"/>
          <w:sz w:val="28"/>
          <w:szCs w:val="28"/>
        </w:rPr>
        <w:t>.</w:t>
      </w:r>
    </w:p>
    <w:p w14:paraId="3557CB9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إتاحة البيانات الخام (بعد إزالة المعلومات الشخصية) للتدقيق عند الطلب</w:t>
      </w:r>
      <w:r w:rsidRPr="0072768E">
        <w:rPr>
          <w:rFonts w:ascii="Simplified Arabic" w:hAnsi="Simplified Arabic" w:cs="Simplified Arabic"/>
          <w:color w:val="auto"/>
          <w:sz w:val="28"/>
          <w:szCs w:val="28"/>
        </w:rPr>
        <w:t>.</w:t>
      </w:r>
    </w:p>
    <w:p w14:paraId="377BE5EC" w14:textId="67239C96" w:rsidR="007937D4"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عرض النتائج بشكل كامل ودقيق، بما في ذلك النتائج السلبية أو غير المتوقعة</w:t>
      </w:r>
      <w:r w:rsidR="007937D4" w:rsidRPr="0072768E">
        <w:rPr>
          <w:rFonts w:ascii="Simplified Arabic" w:hAnsi="Simplified Arabic" w:cs="Simplified Arabic" w:hint="cs"/>
          <w:color w:val="auto"/>
          <w:sz w:val="28"/>
          <w:szCs w:val="28"/>
          <w:rtl/>
        </w:rPr>
        <w:t>.</w:t>
      </w:r>
    </w:p>
    <w:p w14:paraId="565F01B5" w14:textId="77777777" w:rsidR="003E3C9B" w:rsidRPr="0072768E" w:rsidRDefault="003E3C9B" w:rsidP="007937D4">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القيود والتحديات المحتملة وخطط التعامل معها</w:t>
      </w:r>
    </w:p>
    <w:p w14:paraId="15D16E20" w14:textId="19CA4952" w:rsidR="003E3C9B" w:rsidRPr="0072768E" w:rsidRDefault="003E3C9B" w:rsidP="007937D4">
      <w:pPr>
        <w:pStyle w:val="Heading2"/>
        <w:bidi/>
        <w:spacing w:before="160" w:after="80"/>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قد تواجه الدراسة بعض القيود والتحديات، وفيما يلي خطط التعامل معها</w:t>
      </w:r>
      <w:r w:rsidRPr="0072768E">
        <w:rPr>
          <w:rFonts w:ascii="Simplified Arabic" w:hAnsi="Simplified Arabic" w:cs="Simplified Arabic" w:hint="cs"/>
          <w:color w:val="auto"/>
          <w:sz w:val="28"/>
          <w:szCs w:val="28"/>
          <w:rtl/>
        </w:rPr>
        <w:t>:</w:t>
      </w:r>
    </w:p>
    <w:p w14:paraId="1E7A6E49"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جمع البيانات</w:t>
      </w:r>
    </w:p>
    <w:p w14:paraId="59E5A3E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انخفاض معدل الاستجابة للاستبانات</w:t>
      </w:r>
      <w:r w:rsidRPr="0072768E">
        <w:rPr>
          <w:rFonts w:ascii="Simplified Arabic" w:hAnsi="Simplified Arabic" w:cs="Simplified Arabic"/>
          <w:color w:val="auto"/>
          <w:sz w:val="28"/>
          <w:szCs w:val="28"/>
        </w:rPr>
        <w:t>.</w:t>
      </w:r>
    </w:p>
    <w:p w14:paraId="59CD0C3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استخدام استراتيجيات لزيادة معدل الاستجابة مثل</w:t>
      </w:r>
      <w:r w:rsidRPr="0072768E">
        <w:rPr>
          <w:rFonts w:ascii="Simplified Arabic" w:hAnsi="Simplified Arabic" w:cs="Simplified Arabic"/>
          <w:color w:val="auto"/>
          <w:sz w:val="28"/>
          <w:szCs w:val="28"/>
        </w:rPr>
        <w:t xml:space="preserve">: </w:t>
      </w:r>
    </w:p>
    <w:p w14:paraId="2A5B52A8"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إرسال رسائل تذكير متعددة</w:t>
      </w:r>
      <w:r w:rsidRPr="0072768E">
        <w:rPr>
          <w:rFonts w:ascii="Simplified Arabic" w:hAnsi="Simplified Arabic" w:cs="Simplified Arabic"/>
          <w:color w:val="auto"/>
          <w:sz w:val="28"/>
          <w:szCs w:val="28"/>
        </w:rPr>
        <w:t>.</w:t>
      </w:r>
    </w:p>
    <w:p w14:paraId="0C7ED059"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توفير حوافز للمشاركة (شهادات تقدير، تقارير مخصصة بالنتائج)</w:t>
      </w:r>
      <w:r w:rsidRPr="0072768E">
        <w:rPr>
          <w:rFonts w:ascii="Simplified Arabic" w:hAnsi="Simplified Arabic" w:cs="Simplified Arabic"/>
          <w:color w:val="auto"/>
          <w:sz w:val="28"/>
          <w:szCs w:val="28"/>
        </w:rPr>
        <w:t>.</w:t>
      </w:r>
    </w:p>
    <w:p w14:paraId="780BAD96"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بجهات رسمية لدعم الدراسة وتشجيع المشاركة</w:t>
      </w:r>
      <w:r w:rsidRPr="0072768E">
        <w:rPr>
          <w:rFonts w:ascii="Simplified Arabic" w:hAnsi="Simplified Arabic" w:cs="Simplified Arabic"/>
          <w:color w:val="auto"/>
          <w:sz w:val="28"/>
          <w:szCs w:val="28"/>
        </w:rPr>
        <w:t>.</w:t>
      </w:r>
    </w:p>
    <w:p w14:paraId="730F49BA"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تبسيط الاستبانة وتقليل زمن الإجابة عليها</w:t>
      </w:r>
      <w:r w:rsidRPr="0072768E">
        <w:rPr>
          <w:rFonts w:ascii="Simplified Arabic" w:hAnsi="Simplified Arabic" w:cs="Simplified Arabic"/>
          <w:color w:val="auto"/>
          <w:sz w:val="28"/>
          <w:szCs w:val="28"/>
        </w:rPr>
        <w:t>.</w:t>
      </w:r>
    </w:p>
    <w:p w14:paraId="2C8C56B0"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تحليل البيانات</w:t>
      </w:r>
    </w:p>
    <w:p w14:paraId="1EE669F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تعقيد العلاقات بين المتغيرات وصعوبة تفسيرها</w:t>
      </w:r>
      <w:r w:rsidRPr="0072768E">
        <w:rPr>
          <w:rFonts w:ascii="Simplified Arabic" w:hAnsi="Simplified Arabic" w:cs="Simplified Arabic"/>
          <w:color w:val="auto"/>
          <w:sz w:val="28"/>
          <w:szCs w:val="28"/>
        </w:rPr>
        <w:t>.</w:t>
      </w:r>
    </w:p>
    <w:p w14:paraId="087CF6C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p>
    <w:p w14:paraId="3D13673D"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نماذج إحصائية متقدمة مناسبة لتحليل العلاقات المعقدة</w:t>
      </w:r>
      <w:r w:rsidRPr="0072768E">
        <w:rPr>
          <w:rFonts w:ascii="Simplified Arabic" w:hAnsi="Simplified Arabic" w:cs="Simplified Arabic"/>
          <w:color w:val="auto"/>
          <w:sz w:val="28"/>
          <w:szCs w:val="28"/>
        </w:rPr>
        <w:t>.</w:t>
      </w:r>
    </w:p>
    <w:p w14:paraId="2C6C652E"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بخبراء في الإحصاء والنمذجة</w:t>
      </w:r>
      <w:r w:rsidRPr="0072768E">
        <w:rPr>
          <w:rFonts w:ascii="Simplified Arabic" w:hAnsi="Simplified Arabic" w:cs="Simplified Arabic"/>
          <w:color w:val="auto"/>
          <w:sz w:val="28"/>
          <w:szCs w:val="28"/>
        </w:rPr>
        <w:t>.</w:t>
      </w:r>
    </w:p>
    <w:p w14:paraId="55725D44"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التثليث المنهجي لتعزيز فهم العلاقات بين المتغيرات</w:t>
      </w:r>
      <w:r w:rsidRPr="0072768E">
        <w:rPr>
          <w:rFonts w:ascii="Simplified Arabic" w:hAnsi="Simplified Arabic" w:cs="Simplified Arabic"/>
          <w:color w:val="auto"/>
          <w:sz w:val="28"/>
          <w:szCs w:val="28"/>
        </w:rPr>
        <w:t>.</w:t>
      </w:r>
    </w:p>
    <w:p w14:paraId="1F70E574"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نماذج مفاهيمية توضح العلاقات المعقدة</w:t>
      </w:r>
      <w:r w:rsidRPr="0072768E">
        <w:rPr>
          <w:rFonts w:ascii="Simplified Arabic" w:hAnsi="Simplified Arabic" w:cs="Simplified Arabic"/>
          <w:color w:val="auto"/>
          <w:sz w:val="28"/>
          <w:szCs w:val="28"/>
        </w:rPr>
        <w:t>.</w:t>
      </w:r>
    </w:p>
    <w:p w14:paraId="491F4E42"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الوصول إلى المشاركين</w:t>
      </w:r>
    </w:p>
    <w:p w14:paraId="510A1FE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صعوبة الوصول إلى بعض المسؤولين والخبراء المستهدفين</w:t>
      </w:r>
      <w:r w:rsidRPr="0072768E">
        <w:rPr>
          <w:rFonts w:ascii="Simplified Arabic" w:hAnsi="Simplified Arabic" w:cs="Simplified Arabic"/>
          <w:color w:val="auto"/>
          <w:sz w:val="28"/>
          <w:szCs w:val="28"/>
        </w:rPr>
        <w:t>.</w:t>
      </w:r>
    </w:p>
    <w:p w14:paraId="0C75D5C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p>
    <w:p w14:paraId="1F97015F"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بناء شبكة علاقات مع الجهات المعنية منذ بداية الدراسة</w:t>
      </w:r>
      <w:r w:rsidRPr="0072768E">
        <w:rPr>
          <w:rFonts w:ascii="Simplified Arabic" w:hAnsi="Simplified Arabic" w:cs="Simplified Arabic"/>
          <w:color w:val="auto"/>
          <w:sz w:val="28"/>
          <w:szCs w:val="28"/>
        </w:rPr>
        <w:t>.</w:t>
      </w:r>
    </w:p>
    <w:p w14:paraId="7F1C5753"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بوسطاء للوصول إلى المشاركين المستهدفين</w:t>
      </w:r>
      <w:r w:rsidRPr="0072768E">
        <w:rPr>
          <w:rFonts w:ascii="Simplified Arabic" w:hAnsi="Simplified Arabic" w:cs="Simplified Arabic"/>
          <w:color w:val="auto"/>
          <w:sz w:val="28"/>
          <w:szCs w:val="28"/>
        </w:rPr>
        <w:t>.</w:t>
      </w:r>
    </w:p>
    <w:p w14:paraId="7D4F05BB"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توفير خيارات متعددة للمشاركة</w:t>
      </w:r>
      <w:r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(مقابلات شخصية، مقابلات عن بعد</w:t>
      </w:r>
      <w:r w:rsidRPr="0072768E">
        <w:rPr>
          <w:rFonts w:ascii="Simplified Arabic" w:hAnsi="Simplified Arabic" w:cs="Simplified Arabic" w:hint="cs"/>
          <w:color w:val="auto"/>
          <w:sz w:val="28"/>
          <w:szCs w:val="28"/>
          <w:rtl/>
        </w:rPr>
        <w:t>).</w:t>
      </w:r>
    </w:p>
    <w:p w14:paraId="5B9BDD6E"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تعديل خطة العينة في حال تعذر الوصول إلى بعض المشاركين</w:t>
      </w:r>
      <w:r w:rsidRPr="0072768E">
        <w:rPr>
          <w:rFonts w:ascii="Simplified Arabic" w:hAnsi="Simplified Arabic" w:cs="Simplified Arabic"/>
          <w:color w:val="auto"/>
          <w:sz w:val="28"/>
          <w:szCs w:val="28"/>
        </w:rPr>
        <w:t>.</w:t>
      </w:r>
    </w:p>
    <w:p w14:paraId="058AA09A"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حداثة الموضوع وتطوره المستمر</w:t>
      </w:r>
    </w:p>
    <w:p w14:paraId="323FED0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التطور السريع لتقنية الترميز والأمن السيبراني</w:t>
      </w:r>
      <w:r w:rsidRPr="0072768E">
        <w:rPr>
          <w:rFonts w:ascii="Simplified Arabic" w:hAnsi="Simplified Arabic" w:cs="Simplified Arabic"/>
          <w:color w:val="auto"/>
          <w:sz w:val="28"/>
          <w:szCs w:val="28"/>
        </w:rPr>
        <w:t>.</w:t>
      </w:r>
    </w:p>
    <w:p w14:paraId="5975823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p>
    <w:p w14:paraId="0C110279"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المتابعة المستمرة للتطورات في مجال تقنية الترميز والأمن السيبراني</w:t>
      </w:r>
      <w:r w:rsidRPr="0072768E">
        <w:rPr>
          <w:rFonts w:ascii="Simplified Arabic" w:hAnsi="Simplified Arabic" w:cs="Simplified Arabic"/>
          <w:sz w:val="28"/>
          <w:szCs w:val="28"/>
        </w:rPr>
        <w:t>.</w:t>
      </w:r>
    </w:p>
    <w:p w14:paraId="03989FEC"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تحديث الإطار النظري والأدوات البحثية وفقاً للمستجدات</w:t>
      </w:r>
      <w:r w:rsidRPr="0072768E">
        <w:rPr>
          <w:rFonts w:ascii="Simplified Arabic" w:hAnsi="Simplified Arabic" w:cs="Simplified Arabic"/>
          <w:sz w:val="28"/>
          <w:szCs w:val="28"/>
        </w:rPr>
        <w:t>.</w:t>
      </w:r>
    </w:p>
    <w:p w14:paraId="113BCA8C"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الاستعانة بخبراء متخصصين لمواكبة التطورات التقنية</w:t>
      </w:r>
      <w:r w:rsidRPr="0072768E">
        <w:rPr>
          <w:rFonts w:ascii="Simplified Arabic" w:hAnsi="Simplified Arabic" w:cs="Simplified Arabic"/>
          <w:sz w:val="28"/>
          <w:szCs w:val="28"/>
        </w:rPr>
        <w:t>.</w:t>
      </w:r>
    </w:p>
    <w:p w14:paraId="3DD61DF9"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تضمين آليات مرنة في تصميم الدراسة للتكيف مع المستجدات</w:t>
      </w:r>
      <w:r w:rsidRPr="0072768E">
        <w:rPr>
          <w:rFonts w:ascii="Simplified Arabic" w:hAnsi="Simplified Arabic" w:cs="Simplified Arabic"/>
          <w:sz w:val="28"/>
          <w:szCs w:val="28"/>
        </w:rPr>
        <w:t>.</w:t>
      </w:r>
    </w:p>
    <w:p w14:paraId="5A48AD60"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تحديات سرية وحساسية البيانات</w:t>
      </w:r>
    </w:p>
    <w:p w14:paraId="31302680" w14:textId="77777777" w:rsidR="003E3C9B" w:rsidRPr="0072768E" w:rsidRDefault="003E3C9B" w:rsidP="00786A9D">
      <w:pPr>
        <w:numPr>
          <w:ilvl w:val="0"/>
          <w:numId w:val="47"/>
        </w:numPr>
        <w:bidi/>
        <w:jc w:val="both"/>
        <w:rPr>
          <w:rFonts w:ascii="Simplified Arabic" w:hAnsi="Simplified Arabic" w:cs="Simplified Arabic"/>
          <w:sz w:val="28"/>
          <w:szCs w:val="28"/>
        </w:rPr>
      </w:pPr>
      <w:r w:rsidRPr="0072768E">
        <w:rPr>
          <w:rFonts w:ascii="Simplified Arabic" w:hAnsi="Simplified Arabic" w:cs="Simplified Arabic"/>
          <w:b/>
          <w:bCs/>
          <w:sz w:val="28"/>
          <w:szCs w:val="28"/>
          <w:rtl/>
        </w:rPr>
        <w:t>التحدي</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حساسية بعض البيانات المتعلقة بالأمن السيبراني والعمليات المالية</w:t>
      </w:r>
      <w:r w:rsidRPr="0072768E">
        <w:rPr>
          <w:rFonts w:ascii="Simplified Arabic" w:hAnsi="Simplified Arabic" w:cs="Simplified Arabic"/>
          <w:sz w:val="28"/>
          <w:szCs w:val="28"/>
        </w:rPr>
        <w:t>.</w:t>
      </w:r>
    </w:p>
    <w:p w14:paraId="1F41C230" w14:textId="77777777" w:rsidR="003E3C9B" w:rsidRPr="0072768E" w:rsidRDefault="003E3C9B" w:rsidP="00786A9D">
      <w:pPr>
        <w:numPr>
          <w:ilvl w:val="0"/>
          <w:numId w:val="47"/>
        </w:numPr>
        <w:bidi/>
        <w:jc w:val="both"/>
        <w:rPr>
          <w:rFonts w:ascii="Simplified Arabic" w:hAnsi="Simplified Arabic" w:cs="Simplified Arabic"/>
          <w:sz w:val="28"/>
          <w:szCs w:val="28"/>
        </w:rPr>
      </w:pPr>
      <w:r w:rsidRPr="0072768E">
        <w:rPr>
          <w:rFonts w:ascii="Simplified Arabic" w:hAnsi="Simplified Arabic" w:cs="Simplified Arabic"/>
          <w:b/>
          <w:bCs/>
          <w:sz w:val="28"/>
          <w:szCs w:val="28"/>
          <w:rtl/>
        </w:rPr>
        <w:t>خطة التعامل</w:t>
      </w:r>
      <w:r w:rsidRPr="0072768E">
        <w:rPr>
          <w:rFonts w:ascii="Simplified Arabic" w:hAnsi="Simplified Arabic" w:cs="Simplified Arabic"/>
          <w:sz w:val="28"/>
          <w:szCs w:val="28"/>
        </w:rPr>
        <w:t xml:space="preserve">: </w:t>
      </w:r>
    </w:p>
    <w:p w14:paraId="38C35C11"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وضع بروتوكولات صارمة لحماية سرية البيانات وخصوصية المشاركين</w:t>
      </w:r>
      <w:r w:rsidRPr="0072768E">
        <w:rPr>
          <w:rFonts w:ascii="Simplified Arabic" w:hAnsi="Simplified Arabic" w:cs="Simplified Arabic"/>
          <w:sz w:val="28"/>
          <w:szCs w:val="28"/>
        </w:rPr>
        <w:t>.</w:t>
      </w:r>
    </w:p>
    <w:p w14:paraId="39AFCD98"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استخدام التشفير وأساليب حماية البيانات أثناء جمعها وتخزينها وتحليلها</w:t>
      </w:r>
      <w:r w:rsidRPr="0072768E">
        <w:rPr>
          <w:rFonts w:ascii="Simplified Arabic" w:hAnsi="Simplified Arabic" w:cs="Simplified Arabic"/>
          <w:sz w:val="28"/>
          <w:szCs w:val="28"/>
        </w:rPr>
        <w:t>.</w:t>
      </w:r>
    </w:p>
    <w:p w14:paraId="286F1CC2"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توقيع اتفاقيات سرية وعدم إفشاء مع المشاركين</w:t>
      </w:r>
      <w:r w:rsidRPr="0072768E">
        <w:rPr>
          <w:rFonts w:ascii="Simplified Arabic" w:hAnsi="Simplified Arabic" w:cs="Simplified Arabic"/>
          <w:sz w:val="28"/>
          <w:szCs w:val="28"/>
        </w:rPr>
        <w:t>.</w:t>
      </w:r>
    </w:p>
    <w:p w14:paraId="49AEFE77"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عرض النتائج بشكل مجمع دون الإشارة إلى مؤسسات أو أشخاص محددين</w:t>
      </w:r>
      <w:r w:rsidRPr="0072768E">
        <w:rPr>
          <w:rFonts w:ascii="Simplified Arabic" w:hAnsi="Simplified Arabic" w:cs="Simplified Arabic"/>
          <w:sz w:val="28"/>
          <w:szCs w:val="28"/>
        </w:rPr>
        <w:t>.</w:t>
      </w:r>
    </w:p>
    <w:p w14:paraId="40AC8D4C" w14:textId="183334C2" w:rsidR="00A40CCF" w:rsidRPr="003C5B0F" w:rsidRDefault="003E3C9B" w:rsidP="003C5B0F">
      <w:pPr>
        <w:pStyle w:val="Heading2"/>
        <w:bidi/>
        <w:spacing w:before="160" w:after="80"/>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من خلال هذه الخطة المفصلة للمعالجات الإحصائية وخطوات تنفيذ الدراسة، يسعى الباحث إلى ضمان تحقيق أهداف الدراسة بدقة وموثوقية عالية، والوصول إلى نتائج علمية رصينة يمكن الاعتماد عليها في فهم تأثير تقنية الترميز على الأمن السيبراني وكفاءة العمليات المالية في المؤسسات السعودية، ودورها في دعم تحقيق أهداف رؤية المملكة 2030</w:t>
      </w:r>
      <w:r w:rsidR="003C5B0F">
        <w:rPr>
          <w:rFonts w:ascii="Simplified Arabic" w:hAnsi="Simplified Arabic" w:cs="Simplified Arabic" w:hint="cs"/>
          <w:color w:val="auto"/>
          <w:sz w:val="28"/>
          <w:szCs w:val="28"/>
          <w:rtl/>
        </w:rPr>
        <w:t>.</w:t>
      </w:r>
    </w:p>
    <w:p w14:paraId="7EB6E85A" w14:textId="21F387CA" w:rsidR="00A40CCF" w:rsidRPr="00A40CCF" w:rsidRDefault="00A40CCF" w:rsidP="00A40CCF">
      <w:pPr>
        <w:spacing w:after="200" w:line="276" w:lineRule="auto"/>
        <w:rPr>
          <w:rFonts w:ascii="Simplified Arabic" w:hAnsi="Simplified Arabic" w:cs="Simplified Arabic"/>
          <w:b/>
          <w:bCs/>
          <w:sz w:val="28"/>
          <w:szCs w:val="28"/>
          <w:rtl/>
        </w:rPr>
      </w:pPr>
      <w:r w:rsidRPr="00A40CCF">
        <w:rPr>
          <w:rFonts w:ascii="Simplified Arabic" w:hAnsi="Simplified Arabic" w:cs="Simplified Arabic"/>
          <w:b/>
          <w:bCs/>
          <w:sz w:val="28"/>
          <w:szCs w:val="28"/>
          <w:rtl/>
        </w:rPr>
        <w:br w:type="page"/>
      </w:r>
    </w:p>
    <w:p w14:paraId="0706BA43" w14:textId="77777777" w:rsidR="00A40CCF" w:rsidRDefault="00A40CCF" w:rsidP="00A40CCF">
      <w:pPr>
        <w:bidi/>
        <w:jc w:val="center"/>
        <w:rPr>
          <w:rFonts w:ascii="Simplified Arabic" w:hAnsi="Simplified Arabic" w:cs="Simplified Arabic"/>
          <w:b/>
          <w:bCs/>
          <w:sz w:val="48"/>
          <w:szCs w:val="48"/>
        </w:rPr>
      </w:pPr>
    </w:p>
    <w:p w14:paraId="28244541" w14:textId="77777777" w:rsidR="00A40CCF" w:rsidRDefault="00A40CCF" w:rsidP="00A40CCF">
      <w:pPr>
        <w:bidi/>
        <w:jc w:val="center"/>
        <w:rPr>
          <w:rFonts w:ascii="Simplified Arabic" w:hAnsi="Simplified Arabic" w:cs="Simplified Arabic"/>
          <w:b/>
          <w:bCs/>
          <w:sz w:val="48"/>
          <w:szCs w:val="48"/>
        </w:rPr>
      </w:pPr>
    </w:p>
    <w:p w14:paraId="128188D6" w14:textId="77777777" w:rsidR="00A40CCF" w:rsidRDefault="00A40CCF" w:rsidP="00A40CCF">
      <w:pPr>
        <w:bidi/>
        <w:jc w:val="center"/>
        <w:rPr>
          <w:rFonts w:ascii="Simplified Arabic" w:hAnsi="Simplified Arabic" w:cs="Simplified Arabic"/>
          <w:b/>
          <w:bCs/>
          <w:sz w:val="48"/>
          <w:szCs w:val="48"/>
        </w:rPr>
      </w:pPr>
    </w:p>
    <w:p w14:paraId="0E6B3264" w14:textId="77777777" w:rsidR="00A40CCF" w:rsidRPr="000C2DBF" w:rsidRDefault="00A40CCF" w:rsidP="000C2DBF">
      <w:pPr>
        <w:pStyle w:val="Heading1"/>
        <w:numPr>
          <w:ilvl w:val="0"/>
          <w:numId w:val="0"/>
        </w:numPr>
        <w:bidi/>
        <w:spacing w:before="0" w:line="240" w:lineRule="auto"/>
        <w:ind w:left="432" w:hanging="432"/>
        <w:jc w:val="center"/>
        <w:rPr>
          <w:rFonts w:ascii="Simplified Arabic" w:hAnsi="Simplified Arabic" w:cs="Simplified Arabic"/>
          <w:b/>
          <w:bCs/>
          <w:color w:val="auto"/>
          <w:sz w:val="96"/>
          <w:szCs w:val="96"/>
          <w:rtl/>
        </w:rPr>
      </w:pPr>
      <w:bookmarkStart w:id="122" w:name="_Toc224563956"/>
      <w:bookmarkStart w:id="123" w:name="_Toc224564013"/>
      <w:r w:rsidRPr="000C2DBF">
        <w:rPr>
          <w:rFonts w:ascii="Simplified Arabic" w:hAnsi="Simplified Arabic" w:cs="Simplified Arabic"/>
          <w:b/>
          <w:bCs/>
          <w:color w:val="auto"/>
          <w:sz w:val="96"/>
          <w:szCs w:val="96"/>
          <w:rtl/>
        </w:rPr>
        <w:t>الفصل الثاني</w:t>
      </w:r>
      <w:bookmarkEnd w:id="122"/>
      <w:bookmarkEnd w:id="123"/>
    </w:p>
    <w:p w14:paraId="4178E618" w14:textId="77777777" w:rsidR="00A40CCF" w:rsidRDefault="00A40CCF" w:rsidP="00A40CCF">
      <w:pPr>
        <w:bidi/>
        <w:jc w:val="center"/>
        <w:rPr>
          <w:b/>
          <w:bCs/>
          <w:sz w:val="96"/>
          <w:szCs w:val="96"/>
          <w:rtl/>
          <w:lang w:bidi="ar-EG"/>
        </w:rPr>
      </w:pPr>
    </w:p>
    <w:p w14:paraId="7D12126F" w14:textId="77777777" w:rsidR="00D370C1" w:rsidRPr="00D370C1" w:rsidRDefault="00D370C1" w:rsidP="00D370C1">
      <w:pPr>
        <w:bidi/>
        <w:jc w:val="center"/>
        <w:rPr>
          <w:b/>
          <w:bCs/>
          <w:sz w:val="96"/>
          <w:szCs w:val="96"/>
          <w:lang w:bidi="ar-EG"/>
        </w:rPr>
      </w:pPr>
    </w:p>
    <w:p w14:paraId="642CB666" w14:textId="1FD9B072" w:rsidR="00BC00FF" w:rsidRPr="000C2DBF" w:rsidRDefault="00A40CCF" w:rsidP="00BC0354">
      <w:pPr>
        <w:bidi/>
        <w:jc w:val="center"/>
        <w:rPr>
          <w:rFonts w:ascii="Simplified Arabic" w:hAnsi="Simplified Arabic" w:cs="Simplified Arabic"/>
          <w:b/>
          <w:bCs/>
          <w:sz w:val="96"/>
          <w:szCs w:val="96"/>
          <w:rtl/>
        </w:rPr>
      </w:pPr>
      <w:r w:rsidRPr="000C2DBF">
        <w:rPr>
          <w:rFonts w:ascii="Simplified Arabic" w:hAnsi="Simplified Arabic" w:cs="Simplified Arabic"/>
          <w:b/>
          <w:bCs/>
          <w:sz w:val="96"/>
          <w:szCs w:val="96"/>
          <w:rtl/>
          <w:lang w:bidi="ar-EG"/>
        </w:rPr>
        <w:t>الإطار النظر</w:t>
      </w:r>
      <w:r w:rsidR="00D93936" w:rsidRPr="000C2DBF">
        <w:rPr>
          <w:rFonts w:ascii="Simplified Arabic" w:hAnsi="Simplified Arabic" w:cs="Simplified Arabic"/>
          <w:b/>
          <w:bCs/>
          <w:sz w:val="96"/>
          <w:szCs w:val="96"/>
          <w:rtl/>
        </w:rPr>
        <w:t>ي والدراسات السابقة</w:t>
      </w:r>
    </w:p>
    <w:p w14:paraId="151D0399" w14:textId="77777777" w:rsidR="00F16CC0" w:rsidRPr="00F16CC0" w:rsidRDefault="00F16CC0">
      <w:pPr>
        <w:spacing w:after="200" w:line="276" w:lineRule="auto"/>
        <w:rPr>
          <w:rFonts w:ascii="Simplified Arabic" w:eastAsiaTheme="majorEastAsia" w:hAnsi="Simplified Arabic" w:cs="Simplified Arabic"/>
          <w:b/>
          <w:bCs/>
          <w:sz w:val="28"/>
          <w:szCs w:val="28"/>
          <w:rtl/>
        </w:rPr>
      </w:pPr>
      <w:r w:rsidRPr="00F16CC0">
        <w:rPr>
          <w:rFonts w:ascii="Simplified Arabic" w:hAnsi="Simplified Arabic" w:cs="Simplified Arabic"/>
          <w:b/>
          <w:bCs/>
          <w:sz w:val="28"/>
          <w:szCs w:val="28"/>
          <w:rtl/>
        </w:rPr>
        <w:br w:type="page"/>
      </w:r>
    </w:p>
    <w:p w14:paraId="5DB6E8FB" w14:textId="6E92E9B7" w:rsidR="00786A9D" w:rsidRPr="00D26972" w:rsidRDefault="00786A9D" w:rsidP="00F16CC0">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24" w:name="_Toc224563957"/>
      <w:bookmarkStart w:id="125" w:name="_Toc224564014"/>
      <w:r w:rsidRPr="00D26972">
        <w:rPr>
          <w:rFonts w:ascii="Simplified Arabic" w:hAnsi="Simplified Arabic" w:cs="Simplified Arabic"/>
          <w:b/>
          <w:bCs/>
          <w:color w:val="auto"/>
          <w:sz w:val="28"/>
          <w:szCs w:val="28"/>
          <w:u w:val="single"/>
          <w:rtl/>
        </w:rPr>
        <w:lastRenderedPageBreak/>
        <w:t>مقدمة الفصل</w:t>
      </w:r>
      <w:bookmarkEnd w:id="124"/>
      <w:bookmarkEnd w:id="125"/>
    </w:p>
    <w:p w14:paraId="0FD04E44"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tl/>
        </w:rPr>
        <w:t>تمهيد</w:t>
      </w:r>
    </w:p>
    <w:p w14:paraId="455733A9"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يتناول هذا الفصل الأسس النظرية والدراسات السابقة المرتبطة بموضوع الدراسة حول أثر تقنية الترميز على الأمن السيبراني وكفاءة العمليات المالية في المؤسسات السعودية في ضوء رؤية 2030، حيث يعرض الباحث في القسم الأول الإطار النظري الذي يشمل المفاهيم الأساسية والأبعاد المختلفة لمتغيرات الدراسة، من خلال استعراض التعريفات والمفاهيم المتعددة التي تناولها الباحثون والممارسون في هذا المجال، بحيث يتم بناء فهم شامل ومتكامل للموضوع محل الدراسة</w:t>
      </w:r>
      <w:r w:rsidRPr="005E1B5F">
        <w:rPr>
          <w:rFonts w:ascii="Simplified Arabic" w:hAnsi="Simplified Arabic" w:cs="Simplified Arabic"/>
          <w:sz w:val="28"/>
          <w:szCs w:val="28"/>
        </w:rPr>
        <w:t xml:space="preserve"> (Financial Stability Board, 2024; McKinsey &amp; Company, 2024). </w:t>
      </w:r>
      <w:r w:rsidRPr="005E1B5F">
        <w:rPr>
          <w:rFonts w:ascii="Simplified Arabic" w:hAnsi="Simplified Arabic" w:cs="Simplified Arabic"/>
          <w:sz w:val="28"/>
          <w:szCs w:val="28"/>
          <w:rtl/>
        </w:rPr>
        <w:t>ثم ينتقل الباحث في القسم الثاني إلى عرض وتحليل الدراسات السابقة ذات الصلة المباشرة بموضوع الدراسة، والتي تم تقسيمها إلى أربع مجموعات رئيسية تغطي مختلف أبعاد الدراسة، وذلك بغرض الوقوف على ما توصلت إليه تلك الدراسات من نتائج وما أوصت به من توصيات، مما يساعد في تحديد الفجوة البحثية التي تسعى الدراسة الحالية لسدها من خلال التطبيق على المؤسسات المالية السعودية بأنواعها المختلفة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 Ahammad et al., 2025)</w:t>
      </w:r>
      <w:r>
        <w:rPr>
          <w:rFonts w:ascii="Simplified Arabic" w:hAnsi="Simplified Arabic" w:cs="Simplified Arabic" w:hint="cs"/>
          <w:sz w:val="28"/>
          <w:szCs w:val="28"/>
          <w:rtl/>
        </w:rPr>
        <w:t>.</w:t>
      </w:r>
    </w:p>
    <w:p w14:paraId="01A93482" w14:textId="77777777" w:rsidR="00F00638" w:rsidRPr="005E1B5F" w:rsidRDefault="00F00638" w:rsidP="00F00638">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26" w:name="_Toc224563958"/>
      <w:bookmarkStart w:id="127" w:name="_Toc224564015"/>
      <w:r w:rsidRPr="005E1B5F">
        <w:rPr>
          <w:rFonts w:ascii="Simplified Arabic" w:hAnsi="Simplified Arabic" w:cs="Simplified Arabic"/>
          <w:b/>
          <w:bCs/>
          <w:color w:val="auto"/>
          <w:sz w:val="28"/>
          <w:szCs w:val="28"/>
          <w:u w:val="single"/>
        </w:rPr>
        <w:t>2.1</w:t>
      </w:r>
      <w:r w:rsidRPr="00F00638">
        <w:rPr>
          <w:rFonts w:ascii="Simplified Arabic" w:hAnsi="Simplified Arabic" w:cs="Simplified Arabic" w:hint="cs"/>
          <w:b/>
          <w:bCs/>
          <w:color w:val="auto"/>
          <w:sz w:val="28"/>
          <w:szCs w:val="28"/>
          <w:u w:val="single"/>
          <w:rtl/>
        </w:rPr>
        <w:t xml:space="preserve"> </w:t>
      </w:r>
      <w:r w:rsidRPr="005E1B5F">
        <w:rPr>
          <w:rFonts w:ascii="Simplified Arabic" w:hAnsi="Simplified Arabic" w:cs="Simplified Arabic"/>
          <w:b/>
          <w:bCs/>
          <w:color w:val="auto"/>
          <w:sz w:val="28"/>
          <w:szCs w:val="28"/>
          <w:u w:val="single"/>
          <w:rtl/>
        </w:rPr>
        <w:t>الإطار النظري</w:t>
      </w:r>
      <w:bookmarkEnd w:id="126"/>
      <w:bookmarkEnd w:id="127"/>
    </w:p>
    <w:p w14:paraId="53500CDB"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2.1.1</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tl/>
        </w:rPr>
        <w:t>تقنية الترميز في المؤسسات المالية</w:t>
      </w:r>
    </w:p>
    <w:p w14:paraId="410A1F27"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tl/>
        </w:rPr>
        <w:t>تعد تقنية الترميز من أبرز التطورات التقنية التي شهدها القطاع المالي في السنوات الأخيرة، حيث أصبحت تمثل ركيزة أساسية في التحول الرقمي للمؤسسات المالية على مستوى العالم، وذلك من خلال قدرتها على تحويل الأصول والبيانات الحساسة إلى رموز رقمية يمكن تداولها وإدارتها بشكل آمن وفعال</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sidRPr="005E1B5F">
        <w:rPr>
          <w:rFonts w:ascii="Simplified Arabic" w:hAnsi="Simplified Arabic" w:cs="Simplified Arabic"/>
          <w:sz w:val="28"/>
          <w:szCs w:val="28"/>
        </w:rPr>
        <w:t>(Financial Stability Board, 2024; PCI Security Standards Council, 2024)</w:t>
      </w:r>
      <w:r>
        <w:rPr>
          <w:rFonts w:ascii="Simplified Arabic" w:hAnsi="Simplified Arabic" w:cs="Simplified Arabic" w:hint="cs"/>
          <w:sz w:val="28"/>
          <w:szCs w:val="28"/>
          <w:rtl/>
        </w:rPr>
        <w:t xml:space="preserve">. </w:t>
      </w:r>
    </w:p>
    <w:p w14:paraId="3C59E832"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وقد برزت أهمية هذه التقنية بشكل خاص في ظل التزايد المستمر لحجم التهديدات السيبرانية التي تستهدف القطاع المالي، والحاجة الملحة لتقليل تكاليف العمليات وتحسين سرعة التنفيذ</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(IBM Security, 2024; ENISA, 2024)</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tl/>
        </w:rPr>
        <w:t>مما جعل من الترميز حلاً تقنياً متكاملاً يجمع بين الأمان والكفاءة والابتكار</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(McKinsey &amp; Company, 2024; World Economic Forum, 2024)</w:t>
      </w:r>
      <w:r>
        <w:rPr>
          <w:rFonts w:ascii="Simplified Arabic" w:hAnsi="Simplified Arabic" w:cs="Simplified Arabic" w:hint="cs"/>
          <w:sz w:val="28"/>
          <w:szCs w:val="28"/>
          <w:rtl/>
        </w:rPr>
        <w:t>.</w:t>
      </w:r>
    </w:p>
    <w:p w14:paraId="602D9583"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lastRenderedPageBreak/>
        <w:t>2.1.1.1</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tl/>
        </w:rPr>
        <w:t>مفهوم تقنية الترميز في المؤسسات المالية</w:t>
      </w:r>
    </w:p>
    <w:p w14:paraId="4FCDAA24"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توجدت العديد من التعريفات التي تناولت مفهوم تقنية الترميز في السياق المالي، حيث يعرفها البعض من منظور الأمن السيبراني بينما يعرفها آخرون من منظور الكفاءة التشغيلية، وجميع هذه التعريفات تؤكد على الدور المحوري الذي تلعبه هذه التقنية في تطوير النظم المالية الحديثة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Grossmann et al., 2025). </w:t>
      </w:r>
      <w:r w:rsidRPr="005E1B5F">
        <w:rPr>
          <w:rFonts w:ascii="Simplified Arabic" w:hAnsi="Simplified Arabic" w:cs="Simplified Arabic"/>
          <w:sz w:val="28"/>
          <w:szCs w:val="28"/>
          <w:rtl/>
        </w:rPr>
        <w:t>فقد عرف مجلس الاستقرار المالي</w:t>
      </w:r>
      <w:r w:rsidRPr="005E1B5F">
        <w:rPr>
          <w:rFonts w:ascii="Simplified Arabic" w:hAnsi="Simplified Arabic" w:cs="Simplified Arabic"/>
          <w:sz w:val="28"/>
          <w:szCs w:val="28"/>
        </w:rPr>
        <w:t xml:space="preserve"> (Financial Stability Board, 2024) </w:t>
      </w:r>
      <w:r w:rsidRPr="005E1B5F">
        <w:rPr>
          <w:rFonts w:ascii="Simplified Arabic" w:hAnsi="Simplified Arabic" w:cs="Simplified Arabic"/>
          <w:sz w:val="28"/>
          <w:szCs w:val="28"/>
          <w:rtl/>
        </w:rPr>
        <w:t>تقنية الترميز بأنها "عملية تحويل الحقوق في أصل ما إلى تمثيل رقمي على دفتر أستاذ قابل للبرمجة، بحيث يمكن نقل ملكية هذه الرموز وتخزينها وتداولها باستخدام التقنيات الرقمية الحديثة"، مما يعني أن الترميز لا يقتصر على مجرد تحويل رقمي، بل يشمل إنشاء بنية تحتية رقمية متكاملة تدعم إدارة الأصول بطريقة أكثر كفاءة وأماناً</w:t>
      </w:r>
      <w:r w:rsidRPr="005E1B5F">
        <w:rPr>
          <w:rFonts w:ascii="Simplified Arabic" w:hAnsi="Simplified Arabic" w:cs="Simplified Arabic"/>
          <w:sz w:val="28"/>
          <w:szCs w:val="28"/>
        </w:rPr>
        <w:t>.</w:t>
      </w:r>
    </w:p>
    <w:p w14:paraId="200501F8"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tl/>
        </w:rPr>
        <w:t>من جانب آخر، يشير مجلس معايير أمن</w:t>
      </w:r>
      <w:r w:rsidRPr="005E1B5F">
        <w:rPr>
          <w:rFonts w:ascii="Simplified Arabic" w:hAnsi="Simplified Arabic" w:cs="Simplified Arabic"/>
          <w:sz w:val="28"/>
          <w:szCs w:val="28"/>
        </w:rPr>
        <w:t xml:space="preserve"> PCI (PCI Security Standards Council, 2024) </w:t>
      </w:r>
      <w:r w:rsidRPr="005E1B5F">
        <w:rPr>
          <w:rFonts w:ascii="Simplified Arabic" w:hAnsi="Simplified Arabic" w:cs="Simplified Arabic"/>
          <w:sz w:val="28"/>
          <w:szCs w:val="28"/>
          <w:rtl/>
        </w:rPr>
        <w:t>إلى أن الترميز في سياق حماية البيانات هو "عملية استبدال عنصر البيانات الحساسة برمز بديل غير حساس يسمى</w:t>
      </w:r>
      <w:r w:rsidRPr="005E1B5F">
        <w:rPr>
          <w:rFonts w:ascii="Simplified Arabic" w:hAnsi="Simplified Arabic" w:cs="Simplified Arabic"/>
          <w:sz w:val="28"/>
          <w:szCs w:val="28"/>
        </w:rPr>
        <w:t xml:space="preserve"> Token</w:t>
      </w:r>
      <w:r w:rsidRPr="005E1B5F">
        <w:rPr>
          <w:rFonts w:ascii="Simplified Arabic" w:hAnsi="Simplified Arabic" w:cs="Simplified Arabic"/>
          <w:sz w:val="28"/>
          <w:szCs w:val="28"/>
          <w:rtl/>
        </w:rPr>
        <w:t>، بحيث يحتفظ الرمز بخصائص معينة من البيانات الأصلية مثل الطول أو التنسيق دون الكشف عن القيمة الفعلية"، وهذا التعريف يركز على البعد الأمني للترميز من خلال فصل البيانات الحساسة عن بيئة المعالجة، مما يقلل بشكل كبير من مخاطر الاختراق وسرقة البيانا</w:t>
      </w:r>
      <w:r>
        <w:rPr>
          <w:rFonts w:ascii="Simplified Arabic" w:hAnsi="Simplified Arabic" w:cs="Simplified Arabic" w:hint="cs"/>
          <w:sz w:val="28"/>
          <w:szCs w:val="28"/>
          <w:rtl/>
        </w:rPr>
        <w:t>ت.</w:t>
      </w:r>
    </w:p>
    <w:p w14:paraId="7B29473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Pr>
        <w:t>(Ahammad et al., 2025; Carapella et al., 2023)</w:t>
      </w:r>
      <w:r>
        <w:rPr>
          <w:rFonts w:ascii="Simplified Arabic" w:hAnsi="Simplified Arabic" w:cs="Simplified Arabic" w:hint="cs"/>
          <w:sz w:val="28"/>
          <w:szCs w:val="28"/>
          <w:rtl/>
        </w:rPr>
        <w:t>.</w:t>
      </w:r>
    </w:p>
    <w:p w14:paraId="799E8EDA"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tl/>
        </w:rPr>
        <w:t>بينما تعرف شركة</w:t>
      </w:r>
      <w:r w:rsidRPr="005E1B5F">
        <w:rPr>
          <w:rFonts w:ascii="Simplified Arabic" w:hAnsi="Simplified Arabic" w:cs="Simplified Arabic"/>
          <w:sz w:val="28"/>
          <w:szCs w:val="28"/>
        </w:rPr>
        <w:t xml:space="preserve"> McKinsey &amp; Company (2024) </w:t>
      </w:r>
      <w:r w:rsidRPr="005E1B5F">
        <w:rPr>
          <w:rFonts w:ascii="Simplified Arabic" w:hAnsi="Simplified Arabic" w:cs="Simplified Arabic"/>
          <w:sz w:val="28"/>
          <w:szCs w:val="28"/>
          <w:rtl/>
        </w:rPr>
        <w:t>الترميز من منظور اقتصادي وتشغيلي بأنه "تقنية تمكن من تجزئة الأصول التقليدية إلى وحدات رقمية أصغر قابلة للتداول، مما يفتح آفاقاً جديدة للسيولة والشمول المالي ويخفض حواجز الدخول للاستثمار في أصول كانت محصورة تقليدياً على المستثمرين الكبار"، وهذا التعريف يسلط الضوء على الأثر التحويلي للترميز على هيكل الأسواق المالية وإمكانية إعادة تشكيل نماذج الأعمال المالية التقليدية من خلال الابتكار التقني</w:t>
      </w:r>
      <w:r>
        <w:rPr>
          <w:rFonts w:ascii="Simplified Arabic" w:hAnsi="Simplified Arabic" w:cs="Simplified Arabic" w:hint="cs"/>
          <w:sz w:val="28"/>
          <w:szCs w:val="28"/>
          <w:rtl/>
        </w:rPr>
        <w:t>.</w:t>
      </w:r>
    </w:p>
    <w:p w14:paraId="52DB3B1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w:t>
      </w:r>
      <w:r>
        <w:rPr>
          <w:rFonts w:ascii="Simplified Arabic" w:hAnsi="Simplified Arabic" w:cs="Simplified Arabic" w:hint="cs"/>
          <w:sz w:val="28"/>
          <w:szCs w:val="28"/>
          <w:rtl/>
        </w:rPr>
        <w:t>.</w:t>
      </w:r>
    </w:p>
    <w:p w14:paraId="3F7742AA"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tl/>
        </w:rPr>
        <w:t>مما سبق يرى الباحث أن تقنية الترميز في المؤسسات المالية تمثل منظومة تقنية متكاملة تهدف إلى تحويل الأصول والبيانات المالية الحساسة إلى رموز رقمية آمنة وقابلة للبرمجة</w:t>
      </w:r>
    </w:p>
    <w:p w14:paraId="5D455503" w14:textId="77777777" w:rsidR="00F00638" w:rsidRDefault="00F00638" w:rsidP="00F00638">
      <w:pPr>
        <w:bidi/>
        <w:jc w:val="right"/>
        <w:rPr>
          <w:rFonts w:ascii="Simplified Arabic" w:hAnsi="Simplified Arabic" w:cs="Simplified Arabic"/>
          <w:sz w:val="28"/>
          <w:szCs w:val="28"/>
          <w:rtl/>
        </w:rPr>
      </w:pPr>
      <w:r w:rsidRPr="005E1B5F">
        <w:rPr>
          <w:rFonts w:ascii="Simplified Arabic" w:hAnsi="Simplified Arabic" w:cs="Simplified Arabic"/>
          <w:sz w:val="28"/>
          <w:szCs w:val="28"/>
        </w:rPr>
        <w:lastRenderedPageBreak/>
        <w:t>(Financial Stability Board, 2024; PCI Security Standards Council, 2024; McKinsey &amp; Company, 2024)</w:t>
      </w:r>
      <w:r w:rsidRPr="005E1B5F">
        <w:rPr>
          <w:rFonts w:ascii="Simplified Arabic" w:hAnsi="Simplified Arabic" w:cs="Simplified Arabic"/>
          <w:sz w:val="28"/>
          <w:szCs w:val="28"/>
          <w:rtl/>
        </w:rPr>
        <w:t>،</w:t>
      </w:r>
    </w:p>
    <w:p w14:paraId="47DB4B7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بحيث تحقق ثلاثة أهداف رئيسية متزامنة، وهي تعزيز مستويات الأمن السيبراني من خلال حماية البيانات الحساسة، وتحسين الكفاءة التشغيلية عبر أتمتة العمليات وتسريع التنفيذ، وفتح آفاق جديدة للابتكار المالي من خلال إتاحة نماذج أعمال ومنتجات مالية لم تكن ممكنة في السابق</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Udeh et al., 2025)</w:t>
      </w:r>
      <w:r w:rsidRPr="005E1B5F">
        <w:rPr>
          <w:rFonts w:ascii="Simplified Arabic" w:hAnsi="Simplified Arabic" w:cs="Simplified Arabic"/>
          <w:sz w:val="28"/>
          <w:szCs w:val="28"/>
          <w:rtl/>
        </w:rPr>
        <w:t xml:space="preserve">، وذلك في إطار يجمع بين التقنيات الحديثة </w:t>
      </w:r>
      <w:proofErr w:type="spellStart"/>
      <w:r w:rsidRPr="005E1B5F">
        <w:rPr>
          <w:rFonts w:ascii="Simplified Arabic" w:hAnsi="Simplified Arabic" w:cs="Simplified Arabic"/>
          <w:sz w:val="28"/>
          <w:szCs w:val="28"/>
          <w:rtl/>
        </w:rPr>
        <w:t>كالبلوكشين</w:t>
      </w:r>
      <w:proofErr w:type="spellEnd"/>
      <w:r w:rsidRPr="005E1B5F">
        <w:rPr>
          <w:rFonts w:ascii="Simplified Arabic" w:hAnsi="Simplified Arabic" w:cs="Simplified Arabic"/>
          <w:sz w:val="28"/>
          <w:szCs w:val="28"/>
          <w:rtl/>
        </w:rPr>
        <w:t xml:space="preserve"> والعقود الذكية والذكاء الاصطناعي لتقديم حلول مالية متطورة تلبي احتياجات العصر الرقمي</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(Islam &amp; In, 2024)</w:t>
      </w:r>
      <w:r>
        <w:rPr>
          <w:rFonts w:ascii="Simplified Arabic" w:hAnsi="Simplified Arabic" w:cs="Simplified Arabic" w:hint="cs"/>
          <w:sz w:val="28"/>
          <w:szCs w:val="28"/>
          <w:rtl/>
        </w:rPr>
        <w:t>.</w:t>
      </w:r>
    </w:p>
    <w:p w14:paraId="42EA622E"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2.1.1.2</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tl/>
        </w:rPr>
        <w:t>أهمية تقنية الترميز في المؤسسات المالية</w:t>
      </w:r>
    </w:p>
    <w:p w14:paraId="34C54BA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تكتسب تقنية الترميز أهمية متزايدة في القطاع المالي العالمي والسعودي على وجه الخصوص</w:t>
      </w:r>
      <w:r w:rsidRPr="005E1B5F">
        <w:rPr>
          <w:rFonts w:ascii="Simplified Arabic" w:hAnsi="Simplified Arabic" w:cs="Simplified Arabic"/>
          <w:sz w:val="28"/>
          <w:szCs w:val="28"/>
        </w:rPr>
        <w:t xml:space="preserve"> (Saudi Central Bank, 2024; Thunes Research, 2025)</w:t>
      </w:r>
      <w:r w:rsidRPr="005E1B5F">
        <w:rPr>
          <w:rFonts w:ascii="Simplified Arabic" w:hAnsi="Simplified Arabic" w:cs="Simplified Arabic"/>
          <w:sz w:val="28"/>
          <w:szCs w:val="28"/>
          <w:rtl/>
        </w:rPr>
        <w:t>، حيث تتمثل أهميتها فيما يلي</w:t>
      </w:r>
      <w:r w:rsidRPr="005E1B5F">
        <w:rPr>
          <w:rFonts w:ascii="Simplified Arabic" w:hAnsi="Simplified Arabic" w:cs="Simplified Arabic"/>
          <w:sz w:val="28"/>
          <w:szCs w:val="28"/>
        </w:rPr>
        <w:t>:</w:t>
      </w:r>
    </w:p>
    <w:p w14:paraId="0FF48124"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b/>
          <w:bCs/>
          <w:sz w:val="28"/>
          <w:szCs w:val="28"/>
          <w:rtl/>
        </w:rPr>
        <w:t>تعزيز الأمن السيبراني وحماية البيانات الحساسة</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حيث تساهم تقنية الترميز في تقليل مخاطر اختراق البيانات بشكل جوهري من خلال استبدال البيانات الحساسة كأرقام البطاقات الائتمانية ومعلومات الحسابات المصرفية برموز عديمة القيمة في حال اعتراضها</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(PCI Security Standards Council, 2024; Ahammad et al., 2025)</w:t>
      </w:r>
      <w:r w:rsidRPr="005E1B5F">
        <w:rPr>
          <w:rFonts w:ascii="Simplified Arabic" w:hAnsi="Simplified Arabic" w:cs="Simplified Arabic"/>
          <w:sz w:val="28"/>
          <w:szCs w:val="28"/>
          <w:rtl/>
        </w:rPr>
        <w:t>، بحيث أن البيانات الفعلية تبقى محفوظة في بيئة آمنة معزولة تماماً عن نقاط التعرض للاختراق، مما يوفر طبقة حماية إضافية تكمل تقنيات التشفير التقليدية</w:t>
      </w:r>
      <w:r>
        <w:rPr>
          <w:rFonts w:ascii="Simplified Arabic" w:hAnsi="Simplified Arabic" w:cs="Simplified Arabic" w:hint="cs"/>
          <w:sz w:val="28"/>
          <w:szCs w:val="28"/>
          <w:rtl/>
        </w:rPr>
        <w:t>.</w:t>
      </w:r>
    </w:p>
    <w:p w14:paraId="320B0763"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 Carapella et al., 2023)</w:t>
      </w:r>
      <w:r>
        <w:rPr>
          <w:rFonts w:ascii="Simplified Arabic" w:hAnsi="Simplified Arabic" w:cs="Simplified Arabic" w:hint="cs"/>
          <w:sz w:val="28"/>
          <w:szCs w:val="28"/>
          <w:rtl/>
        </w:rPr>
        <w:t xml:space="preserve">. </w:t>
      </w:r>
    </w:p>
    <w:p w14:paraId="6C273B7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وتشير البيانات إلى أن متوسط تكلفة الاختراق الأمني في القطاع المالي يبلغ حوالي 6.08 مليون دولار، مما يبرز الأهمية الاقتصادية الكبيرة لتبني حلول أمنية فعالة كالترميز</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(IBM Security, 2024)</w:t>
      </w:r>
      <w:r>
        <w:rPr>
          <w:rFonts w:ascii="Simplified Arabic" w:hAnsi="Simplified Arabic" w:cs="Simplified Arabic" w:hint="cs"/>
          <w:sz w:val="28"/>
          <w:szCs w:val="28"/>
          <w:rtl/>
        </w:rPr>
        <w:t>.</w:t>
      </w:r>
    </w:p>
    <w:p w14:paraId="3821A158"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b/>
          <w:bCs/>
          <w:sz w:val="28"/>
          <w:szCs w:val="28"/>
          <w:rtl/>
        </w:rPr>
        <w:t>تحسين الكفاءة التشغيلية وتقليل تكاليف المعاملات</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 xml:space="preserve">من خلال قدرة أنظمة الترميز المبنية على </w:t>
      </w:r>
      <w:proofErr w:type="spellStart"/>
      <w:r w:rsidRPr="005E1B5F">
        <w:rPr>
          <w:rFonts w:ascii="Simplified Arabic" w:hAnsi="Simplified Arabic" w:cs="Simplified Arabic"/>
          <w:sz w:val="28"/>
          <w:szCs w:val="28"/>
          <w:rtl/>
        </w:rPr>
        <w:t>البلوكشين</w:t>
      </w:r>
      <w:proofErr w:type="spellEnd"/>
      <w:r w:rsidRPr="005E1B5F">
        <w:rPr>
          <w:rFonts w:ascii="Simplified Arabic" w:hAnsi="Simplified Arabic" w:cs="Simplified Arabic"/>
          <w:sz w:val="28"/>
          <w:szCs w:val="28"/>
          <w:rtl/>
        </w:rPr>
        <w:t xml:space="preserve"> على تسوية المعاملات بشكل شبه فوري بدلاً من الأيام التي تستغرقها الأنظمة التقليدية</w:t>
      </w:r>
      <w:r>
        <w:rPr>
          <w:rFonts w:ascii="Simplified Arabic" w:hAnsi="Simplified Arabic" w:cs="Simplified Arabic" w:hint="cs"/>
          <w:sz w:val="28"/>
          <w:szCs w:val="28"/>
          <w:rtl/>
        </w:rPr>
        <w:t xml:space="preserve"> </w:t>
      </w:r>
    </w:p>
    <w:p w14:paraId="7D3787B4"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Pr>
        <w:lastRenderedPageBreak/>
        <w:t>(Al-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Grossmann et al., 2025)</w:t>
      </w:r>
      <w:r w:rsidRPr="005E1B5F">
        <w:rPr>
          <w:rFonts w:ascii="Simplified Arabic" w:hAnsi="Simplified Arabic" w:cs="Simplified Arabic"/>
          <w:sz w:val="28"/>
          <w:szCs w:val="28"/>
          <w:rtl/>
        </w:rPr>
        <w:t>، وذلك عبر إلغاء الحاجة للعديد من الوسطاء وأنظمة المقاصة المركزية التي تضيف تكاليف وتعقيدات للعمليات المالية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(Udeh et al., 2025)</w:t>
      </w:r>
      <w:r w:rsidRPr="005E1B5F">
        <w:rPr>
          <w:rFonts w:ascii="Simplified Arabic" w:hAnsi="Simplified Arabic" w:cs="Simplified Arabic"/>
          <w:sz w:val="28"/>
          <w:szCs w:val="28"/>
          <w:rtl/>
        </w:rPr>
        <w:t>، بحيث تتمكن المؤسسات المالية من تحقيق وفورات كبيرة في التكاليف التشغيلية وتحسين تجربة العملاء من خلال خدمات أسرع وأكثر موثوقية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Pr>
          <w:rFonts w:ascii="Simplified Arabic" w:hAnsi="Simplified Arabic" w:cs="Simplified Arabic" w:hint="cs"/>
          <w:sz w:val="28"/>
          <w:szCs w:val="28"/>
          <w:rtl/>
        </w:rPr>
        <w:t xml:space="preserve">. </w:t>
      </w:r>
    </w:p>
    <w:p w14:paraId="565E035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وتقدر الدراسات الاقتصادية إمكانية توفير ما بين 15 إلى 20 مليار دولار سنوياً في تكاليف البنية التحتية المالية العالمية من خلال تبني الترميز على نطاق واسع</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(World Economic Forum, 2024)</w:t>
      </w:r>
      <w:r>
        <w:rPr>
          <w:rFonts w:ascii="Simplified Arabic" w:hAnsi="Simplified Arabic" w:cs="Simplified Arabic" w:hint="cs"/>
          <w:sz w:val="28"/>
          <w:szCs w:val="28"/>
          <w:rtl/>
        </w:rPr>
        <w:t>.</w:t>
      </w:r>
    </w:p>
    <w:p w14:paraId="6FB22F3D"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تمكين الشمول المالي وتوسيع قاعدة المستثمرين</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حيث تتيح تقنية الترميز إمكانية تجزئة الأصول عالية القيمة إلى وحدات صغيرة يمكن تداولها</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 Multiple Authors, 2025)</w:t>
      </w:r>
      <w:r w:rsidRPr="005E1B5F">
        <w:rPr>
          <w:rFonts w:ascii="Simplified Arabic" w:hAnsi="Simplified Arabic" w:cs="Simplified Arabic"/>
          <w:sz w:val="28"/>
          <w:szCs w:val="28"/>
          <w:rtl/>
        </w:rPr>
        <w:t>، مما يفتح المجال أمام صغار المستثمرين للمشاركة في أسواق كانت محصورة تقليدياً على المستثمرين المؤسسيين وكبار الأثرياء</w:t>
      </w:r>
      <w:r w:rsidRPr="005E1B5F">
        <w:rPr>
          <w:rFonts w:ascii="Simplified Arabic" w:hAnsi="Simplified Arabic" w:cs="Simplified Arabic"/>
          <w:sz w:val="28"/>
          <w:szCs w:val="28"/>
        </w:rPr>
        <w:t xml:space="preserve"> (McKinsey &amp; Company, 2024)</w:t>
      </w:r>
      <w:r w:rsidRPr="005E1B5F">
        <w:rPr>
          <w:rFonts w:ascii="Simplified Arabic" w:hAnsi="Simplified Arabic" w:cs="Simplified Arabic"/>
          <w:sz w:val="28"/>
          <w:szCs w:val="28"/>
          <w:rtl/>
        </w:rPr>
        <w:t>، بحيث يمكن لأي مستثمر امتلاك حصة جزئية في عقار تجاري أو سندات حكومية أو أصول أخرى بقيمة استثمارية صغيرة نسبياً</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Adigwe</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وهذا يتماشى بشكل مباشر مع أهداف رؤية السعودية 2030 في رفع معدل الشمول المالي وتمكين المواطنين من المشاركة في الاقتصاد الرقمي بشكل فعال</w:t>
      </w:r>
      <w:r w:rsidRPr="005E1B5F">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21CB17D2"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b/>
          <w:bCs/>
          <w:sz w:val="28"/>
          <w:szCs w:val="28"/>
          <w:rtl/>
        </w:rPr>
        <w:t>دعم التحول الرقمي والابتكار في نماذج الأعمال المالية</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من خلال إتاحة الفرصة لتطوير منتجات وخدمات مالية مبتكرة لم تكن ممكنة في البيئة التقليدية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 xml:space="preserve">(Islam &amp; In,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sidRPr="005E1B5F">
        <w:rPr>
          <w:rFonts w:ascii="Simplified Arabic" w:hAnsi="Simplified Arabic" w:cs="Simplified Arabic"/>
          <w:sz w:val="28"/>
          <w:szCs w:val="28"/>
          <w:rtl/>
        </w:rPr>
        <w:t>، بحيث يمكن للمؤسسات المالية إطلاق أدوات استثمارية جديدة، وتقديم خدمات مالية على مدار الساعة طوال أيام الأسبوع، وتطوير منصات تداول لامركزية، وتحسين عمليات التمويل والإقراض من خلال العقود الذكية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(Ahammad et al., 2025; Udeh et al., 2025)</w:t>
      </w:r>
      <w:r w:rsidRPr="005E1B5F">
        <w:rPr>
          <w:rFonts w:ascii="Simplified Arabic" w:hAnsi="Simplified Arabic" w:cs="Simplified Arabic"/>
          <w:sz w:val="28"/>
          <w:szCs w:val="28"/>
          <w:rtl/>
        </w:rPr>
        <w:t>، مما يخلق قيمة مضافة حقيقية للعملاء والمستثمرين ويعزز من تنافسية المؤسسات المالية في السوق</w:t>
      </w:r>
      <w:r>
        <w:rPr>
          <w:rFonts w:ascii="Simplified Arabic" w:hAnsi="Simplified Arabic" w:cs="Simplified Arabic" w:hint="cs"/>
          <w:sz w:val="28"/>
          <w:szCs w:val="28"/>
          <w:rtl/>
        </w:rPr>
        <w:t>.</w:t>
      </w:r>
    </w:p>
    <w:p w14:paraId="075D930F" w14:textId="77777777" w:rsidR="00F00638" w:rsidRPr="005E1B5F" w:rsidRDefault="00F00638" w:rsidP="00F00638">
      <w:pPr>
        <w:bidi/>
        <w:spacing w:line="278" w:lineRule="auto"/>
        <w:jc w:val="right"/>
        <w:rPr>
          <w:rFonts w:ascii="Simplified Arabic" w:hAnsi="Simplified Arabic" w:cs="Simplified Arabic"/>
          <w:sz w:val="28"/>
          <w:szCs w:val="28"/>
        </w:rPr>
      </w:pPr>
      <w:r w:rsidRPr="005E1B5F">
        <w:rPr>
          <w:rFonts w:ascii="Simplified Arabic" w:hAnsi="Simplified Arabic" w:cs="Simplified Arabic"/>
          <w:sz w:val="28"/>
          <w:szCs w:val="28"/>
        </w:rPr>
        <w:t>(Financial Stability Board, 2024; McKinsey &amp; Company, 2024).</w:t>
      </w:r>
    </w:p>
    <w:p w14:paraId="2BDF49A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تحسين الشفافية والامتثال التنظيمي</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حيث توفر تقنية الترميز سجلات غير قابلة للتعديل تحفظ جميع المعاملات بشكل دائم وشفاف</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 Carapella et al., 2023)</w:t>
      </w:r>
      <w:r w:rsidRPr="005E1B5F">
        <w:rPr>
          <w:rFonts w:ascii="Simplified Arabic" w:hAnsi="Simplified Arabic" w:cs="Simplified Arabic"/>
          <w:sz w:val="28"/>
          <w:szCs w:val="28"/>
          <w:rtl/>
        </w:rPr>
        <w:t>، مما يسهل عمليات المراجعة والتدقيق ويساعد المؤسسات المالية على الامتثال للمتطلبات التنظيمية المتزايدة التعقيد</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sidRPr="005E1B5F">
        <w:rPr>
          <w:rFonts w:ascii="Simplified Arabic" w:hAnsi="Simplified Arabic" w:cs="Simplified Arabic"/>
          <w:sz w:val="28"/>
          <w:szCs w:val="28"/>
        </w:rPr>
        <w:t>(PCI Security Standards Council, 2024; ENISA, 2024)</w:t>
      </w:r>
      <w:r w:rsidRPr="005E1B5F">
        <w:rPr>
          <w:rFonts w:ascii="Simplified Arabic" w:hAnsi="Simplified Arabic" w:cs="Simplified Arabic"/>
          <w:sz w:val="28"/>
          <w:szCs w:val="28"/>
          <w:rtl/>
        </w:rPr>
        <w:t>، بحيث يمكن للجهات الرقابية الوصول إلى سجلات موثوقة ومحدثة بشكل فوري دون الحاجة لعمليات تدقيق مطولة ومكلفة</w:t>
      </w:r>
      <w:r>
        <w:rPr>
          <w:rFonts w:ascii="Simplified Arabic" w:hAnsi="Simplified Arabic" w:cs="Simplified Arabic"/>
          <w:sz w:val="28"/>
          <w:szCs w:val="28"/>
          <w:rtl/>
        </w:rPr>
        <w:br/>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وهذا يقلل من مخاطر عدم الامتثال والعقوبات المرتبطة بها</w:t>
      </w:r>
      <w:r>
        <w:rPr>
          <w:rFonts w:ascii="Simplified Arabic" w:hAnsi="Simplified Arabic" w:cs="Simplified Arabic"/>
          <w:sz w:val="28"/>
          <w:szCs w:val="28"/>
          <w:rtl/>
        </w:rPr>
        <w:br/>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3019E6D6"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المساهمة في تحقيق أهداف رؤية السعودية 2030</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من خلال دعم التحول الرقمي في القطاع المالي السعودي وتعزيز مكانة المملكة كمركز مالي إقليمي وعالمي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sidRPr="005E1B5F">
        <w:rPr>
          <w:rFonts w:ascii="Simplified Arabic" w:hAnsi="Simplified Arabic" w:cs="Simplified Arabic"/>
          <w:sz w:val="28"/>
          <w:szCs w:val="28"/>
        </w:rPr>
        <w:t>(Saudi Central Bank, 2024; Thunes Research, 2025)</w:t>
      </w:r>
      <w:r w:rsidRPr="005E1B5F">
        <w:rPr>
          <w:rFonts w:ascii="Simplified Arabic" w:hAnsi="Simplified Arabic" w:cs="Simplified Arabic"/>
          <w:sz w:val="28"/>
          <w:szCs w:val="28"/>
          <w:rtl/>
        </w:rPr>
        <w:t>، بحيث تتماشى تقنية الترميز مع الأهداف الاستراتيجية للرؤية في تنويع الاقتصاد، ورفع كفاءة القطاع المالي، وتحسين تجربة العملاء، وتطوير البنية التحتية الرقمية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(IMF, 2024)</w:t>
      </w:r>
      <w:r w:rsidRPr="005E1B5F">
        <w:rPr>
          <w:rFonts w:ascii="Simplified Arabic" w:hAnsi="Simplified Arabic" w:cs="Simplified Arabic"/>
          <w:sz w:val="28"/>
          <w:szCs w:val="28"/>
          <w:rtl/>
        </w:rPr>
        <w:t>، مما يسهم في بناء اقتصاد معرفي تنافسي قائم على الابتكار والتقنية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(McKinsey &amp; Company, 2024; World Economic Forum, 2024)</w:t>
      </w:r>
      <w:r>
        <w:rPr>
          <w:rFonts w:ascii="Simplified Arabic" w:hAnsi="Simplified Arabic" w:cs="Simplified Arabic" w:hint="cs"/>
          <w:sz w:val="28"/>
          <w:szCs w:val="28"/>
          <w:rtl/>
        </w:rPr>
        <w:t>.</w:t>
      </w:r>
    </w:p>
    <w:p w14:paraId="6CB95EAE"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2.1.1.3</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tl/>
        </w:rPr>
        <w:t>أنواع تقنية الترميز في القطاع المالي</w:t>
      </w:r>
    </w:p>
    <w:p w14:paraId="1E72293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تتنوع تطبيقات تقنية الترميز في القطاع المالي لتشمل عدة أنواع رئيسية، حيث يخدم كل نوع أغراضاً وحالات استخدام محددة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(Financial Stability Board, 2024; Multiple Authors, 2025)</w:t>
      </w:r>
      <w:r w:rsidRPr="005E1B5F">
        <w:rPr>
          <w:rFonts w:ascii="Simplified Arabic" w:hAnsi="Simplified Arabic" w:cs="Simplified Arabic"/>
          <w:sz w:val="28"/>
          <w:szCs w:val="28"/>
          <w:rtl/>
        </w:rPr>
        <w:t>، وتتمثل أهم هذه الأنواع فيما يلي</w:t>
      </w:r>
      <w:r w:rsidRPr="005E1B5F">
        <w:rPr>
          <w:rFonts w:ascii="Simplified Arabic" w:hAnsi="Simplified Arabic" w:cs="Simplified Arabic"/>
          <w:sz w:val="28"/>
          <w:szCs w:val="28"/>
        </w:rPr>
        <w:t>:</w:t>
      </w:r>
    </w:p>
    <w:p w14:paraId="1CA4853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ترميز البيانات</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(Data Tokenization)</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وهو النوع الذي يركز على حماية البيانات الحساسة كأرقام البطاقات الائتمانية ومعلومات الحسابات البنكية من خلال استبدالها برموز بديلة عند المعالجة والتخزين</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sidRPr="005E1B5F">
        <w:rPr>
          <w:rFonts w:ascii="Simplified Arabic" w:hAnsi="Simplified Arabic" w:cs="Simplified Arabic"/>
          <w:sz w:val="28"/>
          <w:szCs w:val="28"/>
        </w:rPr>
        <w:t>(PCI Security Standards Council, 2024)</w:t>
      </w:r>
      <w:r w:rsidRPr="005E1B5F">
        <w:rPr>
          <w:rFonts w:ascii="Simplified Arabic" w:hAnsi="Simplified Arabic" w:cs="Simplified Arabic"/>
          <w:sz w:val="28"/>
          <w:szCs w:val="28"/>
          <w:rtl/>
        </w:rPr>
        <w:t xml:space="preserve">، بحيث تبقى البيانات الفعلية في بيئة آمنة </w:t>
      </w:r>
      <w:r w:rsidRPr="005E1B5F">
        <w:rPr>
          <w:rFonts w:ascii="Simplified Arabic" w:hAnsi="Simplified Arabic" w:cs="Simplified Arabic"/>
          <w:sz w:val="28"/>
          <w:szCs w:val="28"/>
          <w:rtl/>
        </w:rPr>
        <w:lastRenderedPageBreak/>
        <w:t>معزولة بينما تستخدم الرموز في جميع العمليات اليومية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 xml:space="preserve">(Ahammad et al., 2025;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وهذا النوع شائع بشكل كبير في أنظمة الدفع الإلكتروني ومعاملات التجارة الإلكترونية لتقليل مخاطر الاختراق وسرقة البيانات</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(Saudi Central Bank, 2024)</w:t>
      </w:r>
      <w:r>
        <w:rPr>
          <w:rFonts w:ascii="Simplified Arabic" w:hAnsi="Simplified Arabic" w:cs="Simplified Arabic" w:hint="cs"/>
          <w:sz w:val="28"/>
          <w:szCs w:val="28"/>
          <w:rtl/>
        </w:rPr>
        <w:t>.</w:t>
      </w:r>
    </w:p>
    <w:p w14:paraId="6E966A96"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b/>
          <w:bCs/>
          <w:sz w:val="28"/>
          <w:szCs w:val="28"/>
          <w:rtl/>
        </w:rPr>
        <w:t>ترميز الأصول</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(Asset Tokenization)</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وهو تحويل الحقوق في أصل مالي أو مادي إلى رموز رقمية يمكن تداولها على منصات رقمية</w:t>
      </w:r>
      <w:r>
        <w:rPr>
          <w:rFonts w:ascii="Simplified Arabic" w:hAnsi="Simplified Arabic" w:cs="Simplified Arabic" w:hint="cs"/>
          <w:sz w:val="28"/>
          <w:szCs w:val="28"/>
          <w:rtl/>
        </w:rPr>
        <w:t xml:space="preserve"> مثل:</w:t>
      </w:r>
    </w:p>
    <w:p w14:paraId="1B83E8C4"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Pr>
        <w:t xml:space="preserve">(McKinsey &amp; Company, 2024;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w:t>
      </w:r>
      <w:r w:rsidRPr="005E1B5F">
        <w:rPr>
          <w:rFonts w:ascii="Simplified Arabic" w:hAnsi="Simplified Arabic" w:cs="Simplified Arabic"/>
          <w:sz w:val="28"/>
          <w:szCs w:val="28"/>
          <w:rtl/>
        </w:rPr>
        <w:t>، بحيث يمكن ترميز أصول متنوعة تشمل الأوراق المالية، العقارات، السلع، الديون، حقوق الملكية الفكرية، وغيرها</w:t>
      </w:r>
      <w:r>
        <w:rPr>
          <w:rFonts w:ascii="Simplified Arabic" w:hAnsi="Simplified Arabic" w:cs="Simplified Arabic"/>
          <w:sz w:val="28"/>
          <w:szCs w:val="28"/>
          <w:rtl/>
        </w:rPr>
        <w:br/>
      </w:r>
      <w:r w:rsidRPr="005E1B5F">
        <w:rPr>
          <w:rFonts w:ascii="Simplified Arabic" w:hAnsi="Simplified Arabic" w:cs="Simplified Arabic"/>
          <w:sz w:val="28"/>
          <w:szCs w:val="28"/>
        </w:rPr>
        <w:t xml:space="preserve">(Multiple Authors, 2025; </w:t>
      </w:r>
      <w:proofErr w:type="spellStart"/>
      <w:r w:rsidRPr="005E1B5F">
        <w:rPr>
          <w:rFonts w:ascii="Simplified Arabic" w:hAnsi="Simplified Arabic" w:cs="Simplified Arabic"/>
          <w:sz w:val="28"/>
          <w:szCs w:val="28"/>
        </w:rPr>
        <w:t>Adigwe</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مما يفتح إمكانيات جديدة للسيولة والتداول والملكية الجزئية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(Grossmann et al., 2025; Carapella et al., 2023)</w:t>
      </w:r>
      <w:r w:rsidRPr="005E1B5F">
        <w:rPr>
          <w:rFonts w:ascii="Simplified Arabic" w:hAnsi="Simplified Arabic" w:cs="Simplified Arabic"/>
          <w:sz w:val="28"/>
          <w:szCs w:val="28"/>
          <w:rtl/>
        </w:rPr>
        <w:t>، وهذا النوع يمثل ثورة حقيقية في كيفية امتلاك وتداول الأصول في العصر الرقمي</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(Financial Stability Board, 2024)</w:t>
      </w:r>
      <w:r>
        <w:rPr>
          <w:rFonts w:ascii="Simplified Arabic" w:hAnsi="Simplified Arabic" w:cs="Simplified Arabic" w:hint="cs"/>
          <w:sz w:val="28"/>
          <w:szCs w:val="28"/>
          <w:rtl/>
        </w:rPr>
        <w:t>.</w:t>
      </w:r>
    </w:p>
    <w:p w14:paraId="2E856CD0"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ترميز المعاملات</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(Transaction Tokenization)</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حيث يتم تحويل تفاصيل المعاملات المالية إلى رموز لحمايتها أثناء الإرسال والمعالجة</w:t>
      </w:r>
      <w:r>
        <w:rPr>
          <w:rFonts w:ascii="Simplified Arabic" w:hAnsi="Simplified Arabic" w:cs="Simplified Arabic" w:hint="cs"/>
          <w:sz w:val="28"/>
          <w:szCs w:val="28"/>
          <w:rtl/>
        </w:rPr>
        <w:t xml:space="preserve"> حسب التقرير </w:t>
      </w:r>
      <w:r w:rsidRPr="005E1B5F">
        <w:rPr>
          <w:rFonts w:ascii="Simplified Arabic" w:hAnsi="Simplified Arabic" w:cs="Simplified Arabic"/>
          <w:sz w:val="28"/>
          <w:szCs w:val="28"/>
        </w:rPr>
        <w:t xml:space="preserve">(PCI Security Standards Council,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تبقى المعاملة آمنة من التلاعب أو الاعتراض حتى في بيئات الاتصال غير الآمنة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(Ahammad et al., 2025)</w:t>
      </w:r>
      <w:r w:rsidRPr="005E1B5F">
        <w:rPr>
          <w:rFonts w:ascii="Simplified Arabic" w:hAnsi="Simplified Arabic" w:cs="Simplified Arabic"/>
          <w:sz w:val="28"/>
          <w:szCs w:val="28"/>
          <w:rtl/>
        </w:rPr>
        <w:t>، وهذا النوع يستخدم بكثرة في المدفوعات عبر الهاتف المحمول والمحافظ الرقمية لضمان سلامة وأمن المعاملات</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(Thunes Research, 2025)</w:t>
      </w:r>
      <w:r>
        <w:rPr>
          <w:rFonts w:ascii="Simplified Arabic" w:hAnsi="Simplified Arabic" w:cs="Simplified Arabic" w:hint="cs"/>
          <w:sz w:val="28"/>
          <w:szCs w:val="28"/>
          <w:rtl/>
        </w:rPr>
        <w:t>.</w:t>
      </w:r>
    </w:p>
    <w:p w14:paraId="4FAC3796"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ترميز الهوية</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(Identity Tokenization)</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وهو إنشاء هويات رقمية آمنة للأفراد والكيانات باستخدام تقنيات الترميز</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 xml:space="preserve">(Islam &amp; In,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بحيث يمكن التحقق من الهوية دون الكشف عن البيانات الشخصية الفعلية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(ENISA, 2024)</w:t>
      </w:r>
      <w:r w:rsidRPr="005E1B5F">
        <w:rPr>
          <w:rFonts w:ascii="Simplified Arabic" w:hAnsi="Simplified Arabic" w:cs="Simplified Arabic"/>
          <w:sz w:val="28"/>
          <w:szCs w:val="28"/>
          <w:rtl/>
        </w:rPr>
        <w:t>، مما يوفر توازناً بين متطلبات التحقق من الهوية والخصوصية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PCI Security Standards Council, 2024</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tl/>
        </w:rPr>
        <w:t>وهذا النوع يكتسب أهمية متزايدة في ظل التشديدات التنظيمية على معرفة العميل</w:t>
      </w:r>
      <w:r w:rsidRPr="005E1B5F">
        <w:rPr>
          <w:rFonts w:ascii="Simplified Arabic" w:hAnsi="Simplified Arabic" w:cs="Simplified Arabic"/>
          <w:sz w:val="28"/>
          <w:szCs w:val="28"/>
        </w:rPr>
        <w:t xml:space="preserve"> (KYC) </w:t>
      </w:r>
      <w:r w:rsidRPr="005E1B5F">
        <w:rPr>
          <w:rFonts w:ascii="Simplified Arabic" w:hAnsi="Simplified Arabic" w:cs="Simplified Arabic"/>
          <w:sz w:val="28"/>
          <w:szCs w:val="28"/>
          <w:rtl/>
        </w:rPr>
        <w:t>ومكافحة غسل الأموال</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(Saudi Central Bank, 2024; IMF, 2024)</w:t>
      </w:r>
      <w:r>
        <w:rPr>
          <w:rFonts w:ascii="Simplified Arabic" w:hAnsi="Simplified Arabic" w:cs="Simplified Arabic" w:hint="cs"/>
          <w:sz w:val="28"/>
          <w:szCs w:val="28"/>
          <w:rtl/>
        </w:rPr>
        <w:t>.</w:t>
      </w:r>
    </w:p>
    <w:p w14:paraId="1CDD4F09"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2.1.1.4 </w:t>
      </w:r>
      <w:r w:rsidRPr="005E1B5F">
        <w:rPr>
          <w:rFonts w:ascii="Simplified Arabic" w:hAnsi="Simplified Arabic" w:cs="Simplified Arabic"/>
          <w:b/>
          <w:bCs/>
          <w:sz w:val="28"/>
          <w:szCs w:val="28"/>
          <w:rtl/>
        </w:rPr>
        <w:t>خصائص تقنية الترميز</w:t>
      </w:r>
    </w:p>
    <w:p w14:paraId="712DC21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lastRenderedPageBreak/>
        <w:t>تتميز تقنية الترميز بمجموعة من الخصائص التقنية والتشغيلية التي تجعلها حلاً مناسباً للمؤسسات المالية</w:t>
      </w:r>
      <w:r w:rsidRPr="005E1B5F">
        <w:rPr>
          <w:rFonts w:ascii="Simplified Arabic" w:hAnsi="Simplified Arabic" w:cs="Simplified Arabic"/>
          <w:sz w:val="28"/>
          <w:szCs w:val="28"/>
        </w:rPr>
        <w:t xml:space="preserve"> (Financial Stability Board, 2024; McKinsey &amp; Company, 2024)</w:t>
      </w:r>
      <w:r w:rsidRPr="005E1B5F">
        <w:rPr>
          <w:rFonts w:ascii="Simplified Arabic" w:hAnsi="Simplified Arabic" w:cs="Simplified Arabic"/>
          <w:sz w:val="28"/>
          <w:szCs w:val="28"/>
          <w:rtl/>
        </w:rPr>
        <w:t>، حيث تتمثل أهم هذه الخصائص فيما يلي</w:t>
      </w:r>
      <w:r w:rsidRPr="005E1B5F">
        <w:rPr>
          <w:rFonts w:ascii="Simplified Arabic" w:hAnsi="Simplified Arabic" w:cs="Simplified Arabic"/>
          <w:sz w:val="28"/>
          <w:szCs w:val="28"/>
        </w:rPr>
        <w:t>:</w:t>
      </w:r>
    </w:p>
    <w:p w14:paraId="037AF00E"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عدم القابلية للعكس</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(Irreversibility)</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 xml:space="preserve">حيث </w:t>
      </w:r>
      <w:proofErr w:type="gramStart"/>
      <w:r w:rsidRPr="005E1B5F">
        <w:rPr>
          <w:rFonts w:ascii="Simplified Arabic" w:hAnsi="Simplified Arabic" w:cs="Simplified Arabic"/>
          <w:sz w:val="28"/>
          <w:szCs w:val="28"/>
          <w:rtl/>
        </w:rPr>
        <w:t>أن</w:t>
      </w:r>
      <w:proofErr w:type="gramEnd"/>
      <w:r w:rsidRPr="005E1B5F">
        <w:rPr>
          <w:rFonts w:ascii="Simplified Arabic" w:hAnsi="Simplified Arabic" w:cs="Simplified Arabic"/>
          <w:sz w:val="28"/>
          <w:szCs w:val="28"/>
          <w:rtl/>
        </w:rPr>
        <w:t xml:space="preserve"> العملية التصميمية للترميز تجعل من المستحيل عملياً استخراج البيانات الأصلية من الرمز دون الوصول إلى نظام الترميز المركزي</w:t>
      </w:r>
      <w:r w:rsidRPr="005E1B5F">
        <w:rPr>
          <w:rFonts w:ascii="Simplified Arabic" w:hAnsi="Simplified Arabic" w:cs="Simplified Arabic"/>
          <w:sz w:val="28"/>
          <w:szCs w:val="28"/>
        </w:rPr>
        <w:t xml:space="preserve"> (PCI Security Standards Council, 2024; Ahammad et al., 2025)</w:t>
      </w:r>
      <w:r w:rsidRPr="005E1B5F">
        <w:rPr>
          <w:rFonts w:ascii="Simplified Arabic" w:hAnsi="Simplified Arabic" w:cs="Simplified Arabic"/>
          <w:sz w:val="28"/>
          <w:szCs w:val="28"/>
          <w:rtl/>
        </w:rPr>
        <w:t>، بحيث حتى في حال اختراق قاعدة البيانات التي تحتوي على الرموز فإن المخترق لن يتمكن من الحصول على البيانات الحساسة الفعلية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 Carapella et al., 2023)</w:t>
      </w:r>
      <w:r w:rsidRPr="005E1B5F">
        <w:rPr>
          <w:rFonts w:ascii="Simplified Arabic" w:hAnsi="Simplified Arabic" w:cs="Simplified Arabic"/>
          <w:sz w:val="28"/>
          <w:szCs w:val="28"/>
          <w:rtl/>
        </w:rPr>
        <w:t>، وهذه الخاصية تمثل الفارق الجوهري بين الترميز والتشفير الذي يمكن عكسه بالمفتاح الصحيح</w:t>
      </w:r>
      <w:r w:rsidRPr="005E1B5F">
        <w:rPr>
          <w:rFonts w:ascii="Simplified Arabic" w:hAnsi="Simplified Arabic" w:cs="Simplified Arabic"/>
          <w:sz w:val="28"/>
          <w:szCs w:val="28"/>
        </w:rPr>
        <w:t xml:space="preserve"> (IBM Security, 2024)</w:t>
      </w:r>
      <w:r>
        <w:rPr>
          <w:rFonts w:ascii="Simplified Arabic" w:hAnsi="Simplified Arabic" w:cs="Simplified Arabic" w:hint="cs"/>
          <w:sz w:val="28"/>
          <w:szCs w:val="28"/>
          <w:rtl/>
        </w:rPr>
        <w:t>.</w:t>
      </w:r>
    </w:p>
    <w:p w14:paraId="1E57EF87"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الاحتفاظ بالتنسيق</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(Format Preservation</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في العديد من تطبيقات الترميز، يتم تصميم الرموز بحيث تحتفظ بنفس تنسيق البيانات الأصلية من حيث الطول ونوع الأحرف</w:t>
      </w:r>
      <w:r w:rsidRPr="005E1B5F">
        <w:rPr>
          <w:rFonts w:ascii="Simplified Arabic" w:hAnsi="Simplified Arabic" w:cs="Simplified Arabic"/>
          <w:sz w:val="28"/>
          <w:szCs w:val="28"/>
        </w:rPr>
        <w:t xml:space="preserve"> (PCI Security Standards Council, 2024)</w:t>
      </w:r>
      <w:r w:rsidRPr="005E1B5F">
        <w:rPr>
          <w:rFonts w:ascii="Simplified Arabic" w:hAnsi="Simplified Arabic" w:cs="Simplified Arabic"/>
          <w:sz w:val="28"/>
          <w:szCs w:val="28"/>
          <w:rtl/>
        </w:rPr>
        <w:t>، مما يسمح باستخدام الرموز في الأنظمة الموجودة دون الحاجة لتعديلات كبيرة في البنية التحتية التقنية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يمكن للمؤسسات المالية تطبيق الترميز بسلاسة دون تعطيل العمليات القائمة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Pr>
          <w:rFonts w:ascii="Simplified Arabic" w:hAnsi="Simplified Arabic" w:cs="Simplified Arabic" w:hint="cs"/>
          <w:sz w:val="28"/>
          <w:szCs w:val="28"/>
          <w:rtl/>
        </w:rPr>
        <w:t>.</w:t>
      </w:r>
    </w:p>
    <w:p w14:paraId="2E8CC87D"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القابلية للبرمجة</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(Programmability)</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خاصة في ترميز الأصول، حيث يمكن دمج قواعد وشروط قابلة للتنفيذ التلقائي في الرموز نفسها من خلال العقود الذكية</w:t>
      </w:r>
      <w:r w:rsidRPr="005E1B5F">
        <w:rPr>
          <w:rFonts w:ascii="Simplified Arabic" w:hAnsi="Simplified Arabic" w:cs="Simplified Arabic"/>
          <w:sz w:val="28"/>
          <w:szCs w:val="28"/>
        </w:rPr>
        <w:t xml:space="preserve"> (Ahammad et al., 2025; Udeh et al., 2025)</w:t>
      </w:r>
      <w:r w:rsidRPr="005E1B5F">
        <w:rPr>
          <w:rFonts w:ascii="Simplified Arabic" w:hAnsi="Simplified Arabic" w:cs="Simplified Arabic"/>
          <w:sz w:val="28"/>
          <w:szCs w:val="28"/>
          <w:rtl/>
        </w:rPr>
        <w:t>، بحيث تتم إدارة الحقوق والالتزامات المرتبطة بالأصل بشكل آلي دون الحاجة لتدخل بشري</w:t>
      </w:r>
      <w:r w:rsidRPr="005E1B5F">
        <w:rPr>
          <w:rFonts w:ascii="Simplified Arabic" w:hAnsi="Simplified Arabic" w:cs="Simplified Arabic"/>
          <w:sz w:val="28"/>
          <w:szCs w:val="28"/>
        </w:rPr>
        <w:t xml:space="preserve"> (Grossmann et al., 2025;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w:t>
      </w:r>
      <w:r w:rsidRPr="005E1B5F">
        <w:rPr>
          <w:rFonts w:ascii="Simplified Arabic" w:hAnsi="Simplified Arabic" w:cs="Simplified Arabic"/>
          <w:sz w:val="28"/>
          <w:szCs w:val="28"/>
          <w:rtl/>
        </w:rPr>
        <w:t>، مما يقلل من التكاليف والأخطاء ويزيد من الكفاءة التشغيلية بشكل كبير</w:t>
      </w:r>
      <w:r w:rsidRPr="005E1B5F">
        <w:rPr>
          <w:rFonts w:ascii="Simplified Arabic" w:hAnsi="Simplified Arabic" w:cs="Simplified Arabic"/>
          <w:sz w:val="28"/>
          <w:szCs w:val="28"/>
        </w:rPr>
        <w:t xml:space="preserve">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p>
    <w:p w14:paraId="69F430F5"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القابلية للتوسع</w:t>
      </w:r>
      <w:r w:rsidRPr="005E1B5F">
        <w:rPr>
          <w:rFonts w:ascii="Simplified Arabic" w:hAnsi="Simplified Arabic" w:cs="Simplified Arabic"/>
          <w:b/>
          <w:bCs/>
          <w:sz w:val="28"/>
          <w:szCs w:val="28"/>
        </w:rPr>
        <w:t xml:space="preserve"> (Scalability)</w:t>
      </w:r>
      <w:r>
        <w:rPr>
          <w:rFonts w:ascii="Simplified Arabic" w:hAnsi="Simplified Arabic" w:cs="Simplified Arabic" w:hint="cs"/>
          <w:b/>
          <w:bCs/>
          <w:sz w:val="28"/>
          <w:szCs w:val="28"/>
          <w:rtl/>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تدعم أنظمة الترميز الحديثة معالجة حجم هائل من المعاملات بشكل متزامن</w:t>
      </w:r>
      <w:r w:rsidRPr="005E1B5F">
        <w:rPr>
          <w:rFonts w:ascii="Simplified Arabic" w:hAnsi="Simplified Arabic" w:cs="Simplified Arabic"/>
          <w:sz w:val="28"/>
          <w:szCs w:val="28"/>
        </w:rPr>
        <w:t xml:space="preserve"> (Islam &amp; In,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xml:space="preserve">، مما يجعلها </w:t>
      </w:r>
      <w:r w:rsidRPr="005E1B5F">
        <w:rPr>
          <w:rFonts w:ascii="Simplified Arabic" w:hAnsi="Simplified Arabic" w:cs="Simplified Arabic"/>
          <w:sz w:val="28"/>
          <w:szCs w:val="28"/>
          <w:rtl/>
        </w:rPr>
        <w:lastRenderedPageBreak/>
        <w:t>مناسبة للمؤسسات المالية الكبرى التي تتعامل مع ملايين المعاملات يومياً</w:t>
      </w:r>
      <w:r w:rsidRPr="005E1B5F">
        <w:rPr>
          <w:rFonts w:ascii="Simplified Arabic" w:hAnsi="Simplified Arabic" w:cs="Simplified Arabic"/>
          <w:sz w:val="28"/>
          <w:szCs w:val="28"/>
        </w:rPr>
        <w:t xml:space="preserve"> (Saudi Central Bank, 2024)</w:t>
      </w:r>
      <w:r w:rsidRPr="005E1B5F">
        <w:rPr>
          <w:rFonts w:ascii="Simplified Arabic" w:hAnsi="Simplified Arabic" w:cs="Simplified Arabic"/>
          <w:sz w:val="28"/>
          <w:szCs w:val="28"/>
          <w:rtl/>
        </w:rPr>
        <w:t>، وذلك من خلال البنية التحتية الموزعة والمعمارية الحديثة التي تتيح التوسع الأفقي حسب الحاجة</w:t>
      </w:r>
      <w:r w:rsidRPr="005E1B5F">
        <w:rPr>
          <w:rFonts w:ascii="Simplified Arabic" w:hAnsi="Simplified Arabic" w:cs="Simplified Arabic"/>
          <w:sz w:val="28"/>
          <w:szCs w:val="28"/>
        </w:rPr>
        <w:t xml:space="preserve"> (Ahammad et al., 2025).</w:t>
      </w:r>
    </w:p>
    <w:p w14:paraId="5807272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التشغيل البيني</w:t>
      </w:r>
      <w:r w:rsidRPr="005E1B5F">
        <w:rPr>
          <w:rFonts w:ascii="Simplified Arabic" w:hAnsi="Simplified Arabic" w:cs="Simplified Arabic"/>
          <w:b/>
          <w:bCs/>
          <w:sz w:val="28"/>
          <w:szCs w:val="28"/>
        </w:rPr>
        <w:t xml:space="preserve"> (Interoperability)</w:t>
      </w:r>
      <w:r>
        <w:rPr>
          <w:rFonts w:ascii="Simplified Arabic" w:hAnsi="Simplified Arabic" w:cs="Simplified Arabic" w:hint="cs"/>
          <w:b/>
          <w:bCs/>
          <w:sz w:val="28"/>
          <w:szCs w:val="28"/>
          <w:rtl/>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إمكانية تبادل الرموز والتعامل معها عبر منصات وأنظمة مختلفة</w:t>
      </w:r>
      <w:r w:rsidRPr="005E1B5F">
        <w:rPr>
          <w:rFonts w:ascii="Simplified Arabic" w:hAnsi="Simplified Arabic" w:cs="Simplified Arabic"/>
          <w:sz w:val="28"/>
          <w:szCs w:val="28"/>
        </w:rPr>
        <w:t xml:space="preserve"> (Financial Stability Board, 2024; Multiple Authors, 2025)</w:t>
      </w:r>
      <w:r w:rsidRPr="005E1B5F">
        <w:rPr>
          <w:rFonts w:ascii="Simplified Arabic" w:hAnsi="Simplified Arabic" w:cs="Simplified Arabic"/>
          <w:sz w:val="28"/>
          <w:szCs w:val="28"/>
          <w:rtl/>
        </w:rPr>
        <w:t>، بحيث لا تكون الرموز محصورة في نظام واحد بل يمكن نقلها وتداولها عبر بيئات متعددة</w:t>
      </w:r>
      <w:r w:rsidRPr="005E1B5F">
        <w:rPr>
          <w:rFonts w:ascii="Simplified Arabic" w:hAnsi="Simplified Arabic" w:cs="Simplified Arabic"/>
          <w:sz w:val="28"/>
          <w:szCs w:val="28"/>
        </w:rPr>
        <w:t xml:space="preserve"> (Islam &amp; In,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وهذه الخاصية تعزز من السيولة والكفاءة في الأسواق المالية الرقمية وتفتح آفاقاً واسعة للابتكار والتعاون بين المؤسسات المالية المختلفة</w:t>
      </w:r>
      <w:r w:rsidRPr="005E1B5F">
        <w:rPr>
          <w:rFonts w:ascii="Simplified Arabic" w:hAnsi="Simplified Arabic" w:cs="Simplified Arabic"/>
          <w:sz w:val="28"/>
          <w:szCs w:val="28"/>
        </w:rPr>
        <w:t xml:space="preserve"> (McKinsey &amp; Company, 2024; World Economic Forum, 2024).</w:t>
      </w:r>
    </w:p>
    <w:p w14:paraId="25750E0F" w14:textId="77777777" w:rsidR="00F00638" w:rsidRPr="005E1B5F" w:rsidRDefault="00F00638" w:rsidP="00F00638">
      <w:pPr>
        <w:bidi/>
        <w:spacing w:line="278" w:lineRule="auto"/>
        <w:jc w:val="both"/>
        <w:rPr>
          <w:rFonts w:ascii="Simplified Arabic" w:hAnsi="Simplified Arabic" w:cs="Simplified Arabic"/>
          <w:sz w:val="28"/>
          <w:szCs w:val="28"/>
        </w:rPr>
      </w:pPr>
    </w:p>
    <w:p w14:paraId="16A90C99"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2.1.2 </w:t>
      </w:r>
      <w:r w:rsidRPr="005E1B5F">
        <w:rPr>
          <w:rFonts w:ascii="Simplified Arabic" w:hAnsi="Simplified Arabic" w:cs="Simplified Arabic"/>
          <w:b/>
          <w:bCs/>
          <w:sz w:val="28"/>
          <w:szCs w:val="28"/>
          <w:rtl/>
        </w:rPr>
        <w:t>الأمن السيبراني في النظم المالية الرقمية</w:t>
      </w:r>
    </w:p>
    <w:p w14:paraId="6E55176E"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يمثل الأمن السيبراني ركيزة أساسية وحيوية لأي تحول رقمي في القطاع المالي، حيث أصبحت المؤسسات المالية تواجه تهديدات سيبرانية متزايدة التعقيد والتطور بشكل مستمر</w:t>
      </w:r>
      <w:r w:rsidRPr="005E1B5F">
        <w:rPr>
          <w:rFonts w:ascii="Simplified Arabic" w:hAnsi="Simplified Arabic" w:cs="Simplified Arabic"/>
          <w:sz w:val="28"/>
          <w:szCs w:val="28"/>
        </w:rPr>
        <w:t xml:space="preserve"> (ENISA, 2024; IBM Security, 2024)</w:t>
      </w:r>
      <w:r w:rsidRPr="005E1B5F">
        <w:rPr>
          <w:rFonts w:ascii="Simplified Arabic" w:hAnsi="Simplified Arabic" w:cs="Simplified Arabic"/>
          <w:sz w:val="28"/>
          <w:szCs w:val="28"/>
          <w:rtl/>
        </w:rPr>
        <w:t>، وذلك نتيجة للاعتماد المتزايد على التقنيات الرقمية والاتصالات الإلكترونية في تقديم الخدمات المالية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 Ahammad et al., 2025)</w:t>
      </w:r>
      <w:r w:rsidRPr="005E1B5F">
        <w:rPr>
          <w:rFonts w:ascii="Simplified Arabic" w:hAnsi="Simplified Arabic" w:cs="Simplified Arabic"/>
          <w:sz w:val="28"/>
          <w:szCs w:val="28"/>
          <w:rtl/>
        </w:rPr>
        <w:t>، بحيث أصبح الأمن السيبراني ليس مجرد متطلب تقني بل ضرورة استراتيجية تؤثر بشكل مباشر على استمرارية الأعمال وثقة العملاء والامتثال التنظيمي</w:t>
      </w:r>
      <w:r w:rsidRPr="005E1B5F">
        <w:rPr>
          <w:rFonts w:ascii="Simplified Arabic" w:hAnsi="Simplified Arabic" w:cs="Simplified Arabic"/>
          <w:sz w:val="28"/>
          <w:szCs w:val="28"/>
        </w:rPr>
        <w:t xml:space="preserve"> (Carapella et al., 2023;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w:t>
      </w:r>
      <w:r w:rsidRPr="005E1B5F">
        <w:rPr>
          <w:rFonts w:ascii="Simplified Arabic" w:hAnsi="Simplified Arabic" w:cs="Simplified Arabic"/>
          <w:sz w:val="28"/>
          <w:szCs w:val="28"/>
          <w:rtl/>
        </w:rPr>
        <w:t>وفي ظل التحول الرقمي الشامل الذي تشهده المملكة العربية السعودية ضمن رؤية 2030، يكتسب الأمن السيبراني أهمية مضاعفة، حيث يشكل الأساس الذي يقوم عليه بناء اقتصاد رقمي آمن ومستدام يحمي مصالح المواطنين والمستثمرين على حد سواء</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Saudi Central Bank, 2024; IMF, 2024</w:t>
      </w:r>
      <w:r>
        <w:rPr>
          <w:rFonts w:ascii="Simplified Arabic" w:hAnsi="Simplified Arabic" w:cs="Simplified Arabic" w:hint="cs"/>
          <w:sz w:val="28"/>
          <w:szCs w:val="28"/>
          <w:rtl/>
        </w:rPr>
        <w:t>).</w:t>
      </w:r>
    </w:p>
    <w:p w14:paraId="5170CC99" w14:textId="77777777" w:rsidR="00F00638" w:rsidRPr="005E1B5F" w:rsidRDefault="00F00638" w:rsidP="00F00638">
      <w:pPr>
        <w:bidi/>
        <w:spacing w:line="278" w:lineRule="auto"/>
        <w:jc w:val="both"/>
        <w:rPr>
          <w:rFonts w:ascii="Simplified Arabic" w:hAnsi="Simplified Arabic" w:cs="Simplified Arabic"/>
          <w:sz w:val="28"/>
          <w:szCs w:val="28"/>
        </w:rPr>
      </w:pPr>
    </w:p>
    <w:p w14:paraId="6F65EA50"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2.1.2.1 </w:t>
      </w:r>
      <w:r w:rsidRPr="005E1B5F">
        <w:rPr>
          <w:rFonts w:ascii="Simplified Arabic" w:hAnsi="Simplified Arabic" w:cs="Simplified Arabic"/>
          <w:b/>
          <w:bCs/>
          <w:sz w:val="28"/>
          <w:szCs w:val="28"/>
          <w:rtl/>
        </w:rPr>
        <w:t>مفهوم الأمن السيبراني في القطاع المالي</w:t>
      </w:r>
    </w:p>
    <w:p w14:paraId="33DAEC02"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lastRenderedPageBreak/>
        <w:t>تعددت التعريفات التي تناولت مفهوم الأمن السيبراني في السياق المالي، حيث ينظر إليه من زوايا مختلفة تشمل البعد التقني والتنظيمي والاستراتيجي</w:t>
      </w:r>
      <w:r w:rsidRPr="005E1B5F">
        <w:rPr>
          <w:rFonts w:ascii="Simplified Arabic" w:hAnsi="Simplified Arabic" w:cs="Simplified Arabic"/>
          <w:sz w:val="28"/>
          <w:szCs w:val="28"/>
        </w:rPr>
        <w:t xml:space="preserve"> (ENISA, 2024; PCI Security Standards Council, 2024)</w:t>
      </w:r>
      <w:r w:rsidRPr="005E1B5F">
        <w:rPr>
          <w:rFonts w:ascii="Simplified Arabic" w:hAnsi="Simplified Arabic" w:cs="Simplified Arabic"/>
          <w:sz w:val="28"/>
          <w:szCs w:val="28"/>
          <w:rtl/>
        </w:rPr>
        <w:t>، وجميع هذه التعريفات تؤكد على أن الأمن السيبراني ليس مجرد حماية تقنية بل منظومة شاملة تضم السياسات والإجراءات والتقنيات والموارد البشرية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 </w:t>
      </w:r>
      <w:r w:rsidRPr="005E1B5F">
        <w:rPr>
          <w:rFonts w:ascii="Simplified Arabic" w:hAnsi="Simplified Arabic" w:cs="Simplified Arabic"/>
          <w:sz w:val="28"/>
          <w:szCs w:val="28"/>
          <w:rtl/>
        </w:rPr>
        <w:t>تعرف الوكالة الأوروبية للأمن السيبراني</w:t>
      </w:r>
      <w:r w:rsidRPr="005E1B5F">
        <w:rPr>
          <w:rFonts w:ascii="Simplified Arabic" w:hAnsi="Simplified Arabic" w:cs="Simplified Arabic"/>
          <w:sz w:val="28"/>
          <w:szCs w:val="28"/>
        </w:rPr>
        <w:t xml:space="preserve"> ENISA (2024) </w:t>
      </w:r>
      <w:r w:rsidRPr="005E1B5F">
        <w:rPr>
          <w:rFonts w:ascii="Simplified Arabic" w:hAnsi="Simplified Arabic" w:cs="Simplified Arabic"/>
          <w:sz w:val="28"/>
          <w:szCs w:val="28"/>
          <w:rtl/>
        </w:rPr>
        <w:t xml:space="preserve">الأمن السيبراني في القطاع المالي بأنه "مجموعة الممارسات والتقنيات والسياسات المصممة لحماية الأنظمة المالية الرقمية والبيانات والأصول من التهديدات السيبرانية، بما في ذلك الهجمات الإلكترونية، والاختراقات، وسرقة البيانات، والاحتيال، بحيث تضمن سلامة وسرية وتوافر الخدمات المالية بشكل مستمر"، وهذا التعريف يشمل الأبعاد الثلاثة الرئيسية للأمن المعلوماتي وهي السرية والسلامة </w:t>
      </w:r>
      <w:proofErr w:type="spellStart"/>
      <w:r w:rsidRPr="005E1B5F">
        <w:rPr>
          <w:rFonts w:ascii="Simplified Arabic" w:hAnsi="Simplified Arabic" w:cs="Simplified Arabic"/>
          <w:sz w:val="28"/>
          <w:szCs w:val="28"/>
          <w:rtl/>
        </w:rPr>
        <w:t>والتوافرية</w:t>
      </w:r>
      <w:proofErr w:type="spellEnd"/>
      <w:r w:rsidRPr="005E1B5F">
        <w:rPr>
          <w:rFonts w:ascii="Simplified Arabic" w:hAnsi="Simplified Arabic" w:cs="Simplified Arabic"/>
          <w:sz w:val="28"/>
          <w:szCs w:val="28"/>
        </w:rPr>
        <w:t xml:space="preserve"> (IBM Security, 2024; Ahammad et al., 2025)</w:t>
      </w:r>
      <w:r>
        <w:rPr>
          <w:rFonts w:ascii="Simplified Arabic" w:hAnsi="Simplified Arabic" w:cs="Simplified Arabic" w:hint="cs"/>
          <w:sz w:val="28"/>
          <w:szCs w:val="28"/>
          <w:rtl/>
        </w:rPr>
        <w:t>.</w:t>
      </w:r>
    </w:p>
    <w:p w14:paraId="709CE6C2"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من جانب آخر، يشير المعهد الوطني للمعايير والتقنية الأمريكي</w:t>
      </w:r>
      <w:r w:rsidRPr="005E1B5F">
        <w:rPr>
          <w:rFonts w:ascii="Simplified Arabic" w:hAnsi="Simplified Arabic" w:cs="Simplified Arabic"/>
          <w:sz w:val="28"/>
          <w:szCs w:val="28"/>
        </w:rPr>
        <w:t xml:space="preserve"> NIST </w:t>
      </w:r>
      <w:r w:rsidRPr="005E1B5F">
        <w:rPr>
          <w:rFonts w:ascii="Simplified Arabic" w:hAnsi="Simplified Arabic" w:cs="Simplified Arabic"/>
          <w:sz w:val="28"/>
          <w:szCs w:val="28"/>
          <w:rtl/>
        </w:rPr>
        <w:t>إلى أن الأمن السيبراني هو "القدرة على حماية أو الدفاع عن استخدام الفضاء السيبراني من الهجمات الإلكترونية من خلال مجموعة من الأدوات والسياسات ومفاهيم الأمن والضمانات الأمنية وإرشادات إدارة المخاطر والإجراءات والتدريب وأفضل الممارسات والتقنيات التي يمكن استخدامها لحماية البيئة السيبرانية والمستخدمين والأصول التنظيمية</w:t>
      </w:r>
      <w:r w:rsidRPr="005E1B5F">
        <w:rPr>
          <w:rFonts w:ascii="Simplified Arabic" w:hAnsi="Simplified Arabic" w:cs="Simplified Arabic"/>
          <w:sz w:val="28"/>
          <w:szCs w:val="28"/>
        </w:rPr>
        <w:t>"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Udeh et al., 2025)</w:t>
      </w:r>
      <w:r w:rsidRPr="005E1B5F">
        <w:rPr>
          <w:rFonts w:ascii="Simplified Arabic" w:hAnsi="Simplified Arabic" w:cs="Simplified Arabic"/>
          <w:sz w:val="28"/>
          <w:szCs w:val="28"/>
          <w:rtl/>
        </w:rPr>
        <w:t>، وهذا التعريف يبرز الطبيعة المتعددة الأبعاد للأمن السيبراني التي تتجاوز الحلول التقنية لتشمل البعد البشري والتنظيمي</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4E4D9F1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بينما تعرف منظمة المعايير الدولية</w:t>
      </w:r>
      <w:r w:rsidRPr="005E1B5F">
        <w:rPr>
          <w:rFonts w:ascii="Simplified Arabic" w:hAnsi="Simplified Arabic" w:cs="Simplified Arabic"/>
          <w:sz w:val="28"/>
          <w:szCs w:val="28"/>
        </w:rPr>
        <w:t xml:space="preserve"> ISO/IEC 27001 </w:t>
      </w:r>
      <w:r w:rsidRPr="005E1B5F">
        <w:rPr>
          <w:rFonts w:ascii="Simplified Arabic" w:hAnsi="Simplified Arabic" w:cs="Simplified Arabic"/>
          <w:sz w:val="28"/>
          <w:szCs w:val="28"/>
          <w:rtl/>
        </w:rPr>
        <w:t>أمن المعلومات والأمن السيبراني بأنه "الحفاظ على سرية وسلامة وتوافر المعلومات، بالإضافة إلى خصائص أخرى مثل الأصالة والمساءلة وعدم الإنكار والموثوقية من خلال تطبيق نظام إدارة أمن المعلومات الذي يشمل السياسات والإجراءات والضوابط التقنية والتنظيمية</w:t>
      </w:r>
      <w:r w:rsidRPr="005E1B5F">
        <w:rPr>
          <w:rFonts w:ascii="Simplified Arabic" w:hAnsi="Simplified Arabic" w:cs="Simplified Arabic"/>
          <w:sz w:val="28"/>
          <w:szCs w:val="28"/>
        </w:rPr>
        <w:t>" (PCI Security Standards Council, 2024)</w:t>
      </w:r>
      <w:r w:rsidRPr="005E1B5F">
        <w:rPr>
          <w:rFonts w:ascii="Simplified Arabic" w:hAnsi="Simplified Arabic" w:cs="Simplified Arabic"/>
          <w:sz w:val="28"/>
          <w:szCs w:val="28"/>
          <w:rtl/>
        </w:rPr>
        <w:t>، وهذا التعريف يضع الأمن السيبراني في إطار منهجي منظم قابل للقياس والتدقيق والتحسين المستمر</w:t>
      </w:r>
      <w:r w:rsidRPr="005E1B5F">
        <w:rPr>
          <w:rFonts w:ascii="Simplified Arabic" w:hAnsi="Simplified Arabic" w:cs="Simplified Arabic"/>
          <w:sz w:val="28"/>
          <w:szCs w:val="28"/>
        </w:rPr>
        <w:t xml:space="preserve"> (Carapella et al., 2023; Islam &amp; In, 2024)</w:t>
      </w:r>
      <w:r>
        <w:rPr>
          <w:rFonts w:ascii="Simplified Arabic" w:hAnsi="Simplified Arabic" w:cs="Simplified Arabic" w:hint="cs"/>
          <w:sz w:val="28"/>
          <w:szCs w:val="28"/>
          <w:rtl/>
        </w:rPr>
        <w:t>.</w:t>
      </w:r>
    </w:p>
    <w:p w14:paraId="12DDA7C0"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lastRenderedPageBreak/>
        <w:t>مما سبق يرى الباحث أن الأمن السيبراني في النظم المالية الرقمية يمثل منظومة متكاملة من السياسات والممارسات والتقنيات والموارد البشرية التي تهدف إلى حماية الأصول المعلوماتية والأنظمة الرقمية للمؤسسات المالية من التهديدات السيبرانية المتنوعة</w:t>
      </w:r>
      <w:r w:rsidRPr="005E1B5F">
        <w:rPr>
          <w:rFonts w:ascii="Simplified Arabic" w:hAnsi="Simplified Arabic" w:cs="Simplified Arabic"/>
          <w:sz w:val="28"/>
          <w:szCs w:val="28"/>
        </w:rPr>
        <w:t xml:space="preserve"> (ENISA, 2024; IBM Security, 2024; PCI Security Standards Council, 2024)</w:t>
      </w:r>
      <w:r w:rsidRPr="005E1B5F">
        <w:rPr>
          <w:rFonts w:ascii="Simplified Arabic" w:hAnsi="Simplified Arabic" w:cs="Simplified Arabic"/>
          <w:sz w:val="28"/>
          <w:szCs w:val="28"/>
          <w:rtl/>
        </w:rPr>
        <w:t>، بحيث تضمن استمرارية تقديم الخدمات المالية بشكل آمن وموثوق يحفظ حقوق العملاء ويحمي أصول المؤسسة ويحقق الامتثال للمتطلبات التنظيمية</w:t>
      </w:r>
      <w:r w:rsidRPr="005E1B5F">
        <w:rPr>
          <w:rFonts w:ascii="Simplified Arabic" w:hAnsi="Simplified Arabic" w:cs="Simplified Arabic"/>
          <w:sz w:val="28"/>
          <w:szCs w:val="28"/>
        </w:rPr>
        <w:t xml:space="preserve"> (Saudi Central Bank, 2024; IMF, 2024)</w:t>
      </w:r>
      <w:r w:rsidRPr="005E1B5F">
        <w:rPr>
          <w:rFonts w:ascii="Simplified Arabic" w:hAnsi="Simplified Arabic" w:cs="Simplified Arabic"/>
          <w:sz w:val="28"/>
          <w:szCs w:val="28"/>
          <w:rtl/>
        </w:rPr>
        <w:t>، وذلك من خلال نهج استباقي شامل يجمع بين الوقاية والكشف والاستجابة والتعافي من الحوادث السيبرانية، في إطار يتسم بالمرونة والقدرة على التكيف مع التهديدات المتطورة باستمرار</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Pr>
          <w:rFonts w:ascii="Simplified Arabic" w:hAnsi="Simplified Arabic" w:cs="Simplified Arabic" w:hint="cs"/>
          <w:sz w:val="28"/>
          <w:szCs w:val="28"/>
          <w:rtl/>
        </w:rPr>
        <w:t>.</w:t>
      </w:r>
    </w:p>
    <w:p w14:paraId="5C793B87" w14:textId="77777777" w:rsidR="00F00638" w:rsidRPr="005E1B5F" w:rsidRDefault="00F00638" w:rsidP="00F00638">
      <w:pPr>
        <w:bidi/>
        <w:spacing w:line="278" w:lineRule="auto"/>
        <w:jc w:val="both"/>
        <w:rPr>
          <w:rFonts w:ascii="Simplified Arabic" w:hAnsi="Simplified Arabic" w:cs="Simplified Arabic"/>
          <w:sz w:val="28"/>
          <w:szCs w:val="28"/>
        </w:rPr>
      </w:pPr>
    </w:p>
    <w:p w14:paraId="31ED8E86"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2.1.2.2 </w:t>
      </w:r>
      <w:r w:rsidRPr="005E1B5F">
        <w:rPr>
          <w:rFonts w:ascii="Simplified Arabic" w:hAnsi="Simplified Arabic" w:cs="Simplified Arabic"/>
          <w:b/>
          <w:bCs/>
          <w:sz w:val="28"/>
          <w:szCs w:val="28"/>
          <w:rtl/>
        </w:rPr>
        <w:t>أهمية الأمن السيبراني في المؤسسات المالية</w:t>
      </w:r>
    </w:p>
    <w:p w14:paraId="0181746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تتعاظم أهمية الأمن السيبراني في المؤسسات المالية يوماً بعد يوم</w:t>
      </w:r>
      <w:r w:rsidRPr="005E1B5F">
        <w:rPr>
          <w:rFonts w:ascii="Simplified Arabic" w:hAnsi="Simplified Arabic" w:cs="Simplified Arabic"/>
          <w:sz w:val="28"/>
          <w:szCs w:val="28"/>
        </w:rPr>
        <w:t xml:space="preserve"> (ENISA, 2024; IBM Security, 2024)</w:t>
      </w:r>
      <w:r w:rsidRPr="005E1B5F">
        <w:rPr>
          <w:rFonts w:ascii="Simplified Arabic" w:hAnsi="Simplified Arabic" w:cs="Simplified Arabic"/>
          <w:sz w:val="28"/>
          <w:szCs w:val="28"/>
          <w:rtl/>
        </w:rPr>
        <w:t>، حيث تتمثل هذه الأهمية فيما يلي</w:t>
      </w:r>
      <w:r w:rsidRPr="005E1B5F">
        <w:rPr>
          <w:rFonts w:ascii="Simplified Arabic" w:hAnsi="Simplified Arabic" w:cs="Simplified Arabic"/>
          <w:sz w:val="28"/>
          <w:szCs w:val="28"/>
        </w:rPr>
        <w:t>:</w:t>
      </w:r>
    </w:p>
    <w:p w14:paraId="5E5BAFC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حماية الأصول المالية والبيانات الحساسة للعملاء</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تحتفظ المؤسسات المالية بكميات هائلة من البيانات الشخصية والمالية شديدة الحساسية لملايين العملاء</w:t>
      </w:r>
      <w:r w:rsidRPr="005E1B5F">
        <w:rPr>
          <w:rFonts w:ascii="Simplified Arabic" w:hAnsi="Simplified Arabic" w:cs="Simplified Arabic"/>
          <w:sz w:val="28"/>
          <w:szCs w:val="28"/>
        </w:rPr>
        <w:t xml:space="preserve"> (PCI Security Standards Council,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بما في ذلك تفاصيل الحسابات البنكية، ومعلومات البطاقات الائتمانية، وبيانات الهوية، والسجلات المالية</w:t>
      </w:r>
      <w:r w:rsidRPr="005E1B5F">
        <w:rPr>
          <w:rFonts w:ascii="Simplified Arabic" w:hAnsi="Simplified Arabic" w:cs="Simplified Arabic"/>
          <w:sz w:val="28"/>
          <w:szCs w:val="28"/>
        </w:rPr>
        <w:t xml:space="preserve"> (Ahammad et al., 2025; Carapella et al., 2023)</w:t>
      </w:r>
      <w:r w:rsidRPr="005E1B5F">
        <w:rPr>
          <w:rFonts w:ascii="Simplified Arabic" w:hAnsi="Simplified Arabic" w:cs="Simplified Arabic"/>
          <w:sz w:val="28"/>
          <w:szCs w:val="28"/>
          <w:rtl/>
        </w:rPr>
        <w:t>، مما يجعلها هدفاً رئيسياً للمهاجمين السيبرانيين الذين يسعون لسرقة هذه البيانات واستغلالها في عمليات احتيال مالي أو بيعها في الأسواق السوداء</w:t>
      </w:r>
      <w:r w:rsidRPr="005E1B5F">
        <w:rPr>
          <w:rFonts w:ascii="Simplified Arabic" w:hAnsi="Simplified Arabic" w:cs="Simplified Arabic"/>
          <w:sz w:val="28"/>
          <w:szCs w:val="28"/>
        </w:rPr>
        <w:t xml:space="preserve"> (ENISA,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أن أي اختراق لهذه البيانات قد يؤدي إلى خسائر مالية فادحة للعملاء وللمؤسسة وإلى تدمير الثقة التي تمثل رأس المال الحقيقي للمؤسسات المالية</w:t>
      </w:r>
      <w:r w:rsidRPr="005E1B5F">
        <w:rPr>
          <w:rFonts w:ascii="Simplified Arabic" w:hAnsi="Simplified Arabic" w:cs="Simplified Arabic"/>
          <w:sz w:val="28"/>
          <w:szCs w:val="28"/>
        </w:rPr>
        <w:t xml:space="preserve"> (IBM Security, 2024; Udeh et al., 2025)</w:t>
      </w:r>
      <w:r>
        <w:rPr>
          <w:rFonts w:ascii="Simplified Arabic" w:hAnsi="Simplified Arabic" w:cs="Simplified Arabic" w:hint="cs"/>
          <w:sz w:val="28"/>
          <w:szCs w:val="28"/>
          <w:rtl/>
        </w:rPr>
        <w:t>.</w:t>
      </w:r>
    </w:p>
    <w:p w14:paraId="7E73DBCE"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ضمان استمرارية الأعمال والخدمات المالية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حماية الأنظمة والبنية التحتية الحيوية من الهجمات التي قد تؤدي إلى تعطيل الخدمات</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w:t>
      </w:r>
      <w:r w:rsidRPr="005E1B5F">
        <w:rPr>
          <w:rFonts w:ascii="Simplified Arabic" w:hAnsi="Simplified Arabic" w:cs="Simplified Arabic"/>
          <w:sz w:val="28"/>
          <w:szCs w:val="28"/>
        </w:rPr>
        <w:lastRenderedPageBreak/>
        <w:t>al., 2024)</w:t>
      </w:r>
      <w:r w:rsidRPr="005E1B5F">
        <w:rPr>
          <w:rFonts w:ascii="Simplified Arabic" w:hAnsi="Simplified Arabic" w:cs="Simplified Arabic"/>
          <w:sz w:val="28"/>
          <w:szCs w:val="28"/>
          <w:rtl/>
        </w:rPr>
        <w:t>، بحيث أن أي توقف في تقديم الخدمات المالية قد يؤدي إلى خسائر اقتصادية ضخمة ليس فقط للمؤسسة المتأثرة بل للاقتصاد بأكمله</w:t>
      </w:r>
      <w:r w:rsidRPr="005E1B5F">
        <w:rPr>
          <w:rFonts w:ascii="Simplified Arabic" w:hAnsi="Simplified Arabic" w:cs="Simplified Arabic"/>
          <w:sz w:val="28"/>
          <w:szCs w:val="28"/>
        </w:rPr>
        <w:t xml:space="preserve"> (Saudi Central Bank, 2024; IMF, 2024)</w:t>
      </w:r>
      <w:r w:rsidRPr="005E1B5F">
        <w:rPr>
          <w:rFonts w:ascii="Simplified Arabic" w:hAnsi="Simplified Arabic" w:cs="Simplified Arabic"/>
          <w:sz w:val="28"/>
          <w:szCs w:val="28"/>
          <w:rtl/>
        </w:rPr>
        <w:t>، حيث أن القطاع المالي يمثل شريان الحياة للنشاط الاقتصادي</w:t>
      </w:r>
      <w:r w:rsidRPr="005E1B5F">
        <w:rPr>
          <w:rFonts w:ascii="Simplified Arabic" w:hAnsi="Simplified Arabic" w:cs="Simplified Arabic"/>
          <w:sz w:val="28"/>
          <w:szCs w:val="28"/>
        </w:rPr>
        <w:t xml:space="preserve"> (Financial Stability Board, 2024)</w:t>
      </w:r>
      <w:r w:rsidRPr="005E1B5F">
        <w:rPr>
          <w:rFonts w:ascii="Simplified Arabic" w:hAnsi="Simplified Arabic" w:cs="Simplified Arabic"/>
          <w:sz w:val="28"/>
          <w:szCs w:val="28"/>
          <w:rtl/>
        </w:rPr>
        <w:t xml:space="preserve">، وهذا يتطلب تصميم أنظمة أمنية قادرة على ضمان </w:t>
      </w:r>
      <w:proofErr w:type="spellStart"/>
      <w:r w:rsidRPr="005E1B5F">
        <w:rPr>
          <w:rFonts w:ascii="Simplified Arabic" w:hAnsi="Simplified Arabic" w:cs="Simplified Arabic"/>
          <w:sz w:val="28"/>
          <w:szCs w:val="28"/>
          <w:rtl/>
        </w:rPr>
        <w:t>التوافرية</w:t>
      </w:r>
      <w:proofErr w:type="spellEnd"/>
      <w:r w:rsidRPr="005E1B5F">
        <w:rPr>
          <w:rFonts w:ascii="Simplified Arabic" w:hAnsi="Simplified Arabic" w:cs="Simplified Arabic"/>
          <w:sz w:val="28"/>
          <w:szCs w:val="28"/>
          <w:rtl/>
        </w:rPr>
        <w:t xml:space="preserve"> والمرونة في مواجهة التهديدات المختلفة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Pr>
          <w:rFonts w:ascii="Simplified Arabic" w:hAnsi="Simplified Arabic" w:cs="Simplified Arabic" w:hint="cs"/>
          <w:sz w:val="28"/>
          <w:szCs w:val="28"/>
          <w:rtl/>
        </w:rPr>
        <w:t>).</w:t>
      </w:r>
    </w:p>
    <w:p w14:paraId="3DC46A1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الامتثال للمتطلبات التنظيمية والقانونية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تفرض الجهات التنظيمية في مختلف الدول متطلبات صارمة على المؤسسات المالية فيما يتعلق بحماية البيانات والأمن السيبراني</w:t>
      </w:r>
      <w:r w:rsidRPr="005E1B5F">
        <w:rPr>
          <w:rFonts w:ascii="Simplified Arabic" w:hAnsi="Simplified Arabic" w:cs="Simplified Arabic"/>
          <w:sz w:val="28"/>
          <w:szCs w:val="28"/>
        </w:rPr>
        <w:t xml:space="preserve"> (PCI Security Standards Council, 2024; ENISA, 2024)</w:t>
      </w:r>
      <w:r w:rsidRPr="005E1B5F">
        <w:rPr>
          <w:rFonts w:ascii="Simplified Arabic" w:hAnsi="Simplified Arabic" w:cs="Simplified Arabic"/>
          <w:sz w:val="28"/>
          <w:szCs w:val="28"/>
          <w:rtl/>
        </w:rPr>
        <w:t>، بما في ذلك معايير</w:t>
      </w:r>
      <w:r w:rsidRPr="005E1B5F">
        <w:rPr>
          <w:rFonts w:ascii="Simplified Arabic" w:hAnsi="Simplified Arabic" w:cs="Simplified Arabic"/>
          <w:sz w:val="28"/>
          <w:szCs w:val="28"/>
        </w:rPr>
        <w:t xml:space="preserve"> PCI DSS </w:t>
      </w:r>
      <w:r w:rsidRPr="005E1B5F">
        <w:rPr>
          <w:rFonts w:ascii="Simplified Arabic" w:hAnsi="Simplified Arabic" w:cs="Simplified Arabic"/>
          <w:sz w:val="28"/>
          <w:szCs w:val="28"/>
          <w:rtl/>
        </w:rPr>
        <w:t>للمدفوعات، ومتطلبات البنوك المركزية، وقوانين حماية البيانات الشخصية</w:t>
      </w:r>
      <w:r w:rsidRPr="005E1B5F">
        <w:rPr>
          <w:rFonts w:ascii="Simplified Arabic" w:hAnsi="Simplified Arabic" w:cs="Simplified Arabic"/>
          <w:sz w:val="28"/>
          <w:szCs w:val="28"/>
        </w:rPr>
        <w:t xml:space="preserve"> (Saudi Central Bank, 2024)</w:t>
      </w:r>
      <w:r w:rsidRPr="005E1B5F">
        <w:rPr>
          <w:rFonts w:ascii="Simplified Arabic" w:hAnsi="Simplified Arabic" w:cs="Simplified Arabic"/>
          <w:sz w:val="28"/>
          <w:szCs w:val="28"/>
          <w:rtl/>
        </w:rPr>
        <w:t>، ومتطلبات الهيئة الوطنية للأمن السيبراني في المملكة</w:t>
      </w:r>
      <w:r w:rsidRPr="005E1B5F">
        <w:rPr>
          <w:rFonts w:ascii="Simplified Arabic" w:hAnsi="Simplified Arabic" w:cs="Simplified Arabic"/>
          <w:sz w:val="28"/>
          <w:szCs w:val="28"/>
        </w:rPr>
        <w:t xml:space="preserve"> (IMF, 2024)</w:t>
      </w:r>
      <w:r w:rsidRPr="005E1B5F">
        <w:rPr>
          <w:rFonts w:ascii="Simplified Arabic" w:hAnsi="Simplified Arabic" w:cs="Simplified Arabic"/>
          <w:sz w:val="28"/>
          <w:szCs w:val="28"/>
          <w:rtl/>
        </w:rPr>
        <w:t>، بحيث أن عدم الامتثال لهذه المتطلبات قد يؤدي إلى عقوبات مالية كبيرة وإلى تقييد العمليات وفقدان التراخيص في بعض الحالات</w:t>
      </w:r>
      <w:r w:rsidRPr="005E1B5F">
        <w:rPr>
          <w:rFonts w:ascii="Simplified Arabic" w:hAnsi="Simplified Arabic" w:cs="Simplified Arabic"/>
          <w:sz w:val="28"/>
          <w:szCs w:val="28"/>
        </w:rPr>
        <w:t xml:space="preserve"> (Carapella et al., 2023; Islam &amp; In, 2024</w:t>
      </w:r>
      <w:r>
        <w:rPr>
          <w:rFonts w:ascii="Simplified Arabic" w:hAnsi="Simplified Arabic" w:cs="Simplified Arabic" w:hint="cs"/>
          <w:sz w:val="28"/>
          <w:szCs w:val="28"/>
          <w:rtl/>
        </w:rPr>
        <w:t>).</w:t>
      </w:r>
    </w:p>
    <w:p w14:paraId="3325EE4F"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حماية السمعة والثقة المؤسسية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منع الحوادث السيبرانية التي قد تؤدي إلى تشويه سمعة المؤسسة وفقدان ثقة العملاء والمستثمرين</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 Udeh et al., 2025)</w:t>
      </w:r>
      <w:r w:rsidRPr="005E1B5F">
        <w:rPr>
          <w:rFonts w:ascii="Simplified Arabic" w:hAnsi="Simplified Arabic" w:cs="Simplified Arabic"/>
          <w:sz w:val="28"/>
          <w:szCs w:val="28"/>
          <w:rtl/>
        </w:rPr>
        <w:t>، بحيث أن الأضرار الناجمة عن الحوادث السيبرانية لا تقتصر على الخسائر المالية المباشرة بل تمتد لتشمل تدهور القيمة السوقية للمؤسسة وفقدان حصتها في السوق وصعوبة جذب عملاء جدد</w:t>
      </w:r>
      <w:r w:rsidRPr="005E1B5F">
        <w:rPr>
          <w:rFonts w:ascii="Simplified Arabic" w:hAnsi="Simplified Arabic" w:cs="Simplified Arabic"/>
          <w:sz w:val="28"/>
          <w:szCs w:val="28"/>
        </w:rPr>
        <w:t xml:space="preserve"> (IBM Security,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وهذه الأضرار طويلة المدى قد تفوق بكثير التكاليف المباشرة للاختراق نفسه</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Pr>
          <w:rFonts w:ascii="Simplified Arabic" w:hAnsi="Simplified Arabic" w:cs="Simplified Arabic" w:hint="cs"/>
          <w:sz w:val="28"/>
          <w:szCs w:val="28"/>
          <w:rtl/>
        </w:rPr>
        <w:t>).</w:t>
      </w:r>
    </w:p>
    <w:p w14:paraId="5134284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مواجهة التهديدات السيبرانية المتزايدة والمتطورة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تشير البيانات إلى أن القطاع المالي يواجه تحديات أمنية متصاعدة، فقد شكلت البنوك الأوروبية وحدها نسبة 46% من الحوادث الأمنية المسجلة خلال الفترة من يناير 2023 إلى يونيو 2024، مع اختراقات البيانات والتسريبات كأبرز القضايا</w:t>
      </w:r>
      <w:r w:rsidRPr="005E1B5F">
        <w:rPr>
          <w:rFonts w:ascii="Simplified Arabic" w:hAnsi="Simplified Arabic" w:cs="Simplified Arabic"/>
          <w:sz w:val="28"/>
          <w:szCs w:val="28"/>
        </w:rPr>
        <w:t xml:space="preserve"> (ENISA, 2024)</w:t>
      </w:r>
      <w:r w:rsidRPr="005E1B5F">
        <w:rPr>
          <w:rFonts w:ascii="Simplified Arabic" w:hAnsi="Simplified Arabic" w:cs="Simplified Arabic"/>
          <w:sz w:val="28"/>
          <w:szCs w:val="28"/>
          <w:rtl/>
        </w:rPr>
        <w:t>، إضافة إلى تزايد هجمات سلسلة التوريد التي تستهدف مقدمي الخدمات التقنية</w:t>
      </w:r>
      <w:r w:rsidRPr="005E1B5F">
        <w:rPr>
          <w:rFonts w:ascii="Simplified Arabic" w:hAnsi="Simplified Arabic" w:cs="Simplified Arabic"/>
          <w:sz w:val="28"/>
          <w:szCs w:val="28"/>
        </w:rPr>
        <w:t xml:space="preserve"> (Ahammad et al., 2025; Carapella et al., 2023)</w:t>
      </w:r>
      <w:r w:rsidRPr="005E1B5F">
        <w:rPr>
          <w:rFonts w:ascii="Simplified Arabic" w:hAnsi="Simplified Arabic" w:cs="Simplified Arabic"/>
          <w:sz w:val="28"/>
          <w:szCs w:val="28"/>
          <w:rtl/>
        </w:rPr>
        <w:t xml:space="preserve">، مما يتطلب </w:t>
      </w:r>
      <w:r w:rsidRPr="005E1B5F">
        <w:rPr>
          <w:rFonts w:ascii="Simplified Arabic" w:hAnsi="Simplified Arabic" w:cs="Simplified Arabic"/>
          <w:sz w:val="28"/>
          <w:szCs w:val="28"/>
          <w:rtl/>
        </w:rPr>
        <w:lastRenderedPageBreak/>
        <w:t>استثماراً مستمراً في تطوير القدرات الأمنية لمواكبة تطور التهديدات</w:t>
      </w:r>
      <w:r w:rsidRPr="005E1B5F">
        <w:rPr>
          <w:rFonts w:ascii="Simplified Arabic" w:hAnsi="Simplified Arabic" w:cs="Simplified Arabic"/>
          <w:sz w:val="28"/>
          <w:szCs w:val="28"/>
        </w:rPr>
        <w:t xml:space="preserve"> (IBM Security,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Pr>
          <w:rFonts w:ascii="Simplified Arabic" w:hAnsi="Simplified Arabic" w:cs="Simplified Arabic" w:hint="cs"/>
          <w:sz w:val="28"/>
          <w:szCs w:val="28"/>
          <w:rtl/>
        </w:rPr>
        <w:t>.</w:t>
      </w:r>
    </w:p>
    <w:p w14:paraId="58F96AD4"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تمكين الابتكار والتحول الرقمي الآمن</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توفير بيئة آمنة تسمح للمؤسسات المالية بتبني التقنيات الحديثة والابتكار في تقديم الخدمات دون المساس بالأمن</w:t>
      </w:r>
      <w:r w:rsidRPr="005E1B5F">
        <w:rPr>
          <w:rFonts w:ascii="Simplified Arabic" w:hAnsi="Simplified Arabic" w:cs="Simplified Arabic"/>
          <w:sz w:val="28"/>
          <w:szCs w:val="28"/>
        </w:rPr>
        <w:t xml:space="preserve"> (Financial Stability Board, 2024; McKinsey &amp; Company, 2024)</w:t>
      </w:r>
      <w:r w:rsidRPr="005E1B5F">
        <w:rPr>
          <w:rFonts w:ascii="Simplified Arabic" w:hAnsi="Simplified Arabic" w:cs="Simplified Arabic"/>
          <w:sz w:val="28"/>
          <w:szCs w:val="28"/>
          <w:rtl/>
        </w:rPr>
        <w:t>، بحيث يصبح الأمن السيبراني ممكناً للتحول الرقمي وليس عائقاً أمامه</w:t>
      </w:r>
      <w:r w:rsidRPr="005E1B5F">
        <w:rPr>
          <w:rFonts w:ascii="Simplified Arabic" w:hAnsi="Simplified Arabic" w:cs="Simplified Arabic"/>
          <w:sz w:val="28"/>
          <w:szCs w:val="28"/>
        </w:rPr>
        <w:t xml:space="preserve"> (Ahammad et al., 2025; Islam &amp; In, 2024)</w:t>
      </w:r>
      <w:r w:rsidRPr="005E1B5F">
        <w:rPr>
          <w:rFonts w:ascii="Simplified Arabic" w:hAnsi="Simplified Arabic" w:cs="Simplified Arabic"/>
          <w:sz w:val="28"/>
          <w:szCs w:val="28"/>
          <w:rtl/>
        </w:rPr>
        <w:t>، وهذا يتطلب دمج الأمن في جميع مراحل تطوير المنتجات والخدمات الجديدة منذ البداية وليس كإضافة لاحقة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738434B5"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دعم أهداف رؤية السعودية 2030 في بناء اقتصاد رقمي آمن</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المساهمة في تعزيز الثقة في الخدمات المالية الرقمية وحماية المستخدمين والمستثمرين</w:t>
      </w:r>
      <w:r w:rsidRPr="005E1B5F">
        <w:rPr>
          <w:rFonts w:ascii="Simplified Arabic" w:hAnsi="Simplified Arabic" w:cs="Simplified Arabic"/>
          <w:sz w:val="28"/>
          <w:szCs w:val="28"/>
        </w:rPr>
        <w:t xml:space="preserve"> (Saudi Central Bank, 2024; Thunes Research, 2025)</w:t>
      </w:r>
      <w:r w:rsidRPr="005E1B5F">
        <w:rPr>
          <w:rFonts w:ascii="Simplified Arabic" w:hAnsi="Simplified Arabic" w:cs="Simplified Arabic"/>
          <w:sz w:val="28"/>
          <w:szCs w:val="28"/>
          <w:rtl/>
        </w:rPr>
        <w:t>، بحيث يتماشى الاستثمار في الأمن السيبراني مع الأهداف الاستراتيجية للمملكة في بناء قطاع مالي متطور وآمن قادر على جذب الاستثمارات وتحقيق التنافسية العالمية</w:t>
      </w:r>
      <w:r w:rsidRPr="005E1B5F">
        <w:rPr>
          <w:rFonts w:ascii="Simplified Arabic" w:hAnsi="Simplified Arabic" w:cs="Simplified Arabic"/>
          <w:sz w:val="28"/>
          <w:szCs w:val="28"/>
        </w:rPr>
        <w:t xml:space="preserve"> (IMF, 2024)</w:t>
      </w:r>
      <w:r>
        <w:rPr>
          <w:rFonts w:ascii="Simplified Arabic" w:hAnsi="Simplified Arabic" w:cs="Simplified Arabic" w:hint="cs"/>
          <w:sz w:val="28"/>
          <w:szCs w:val="28"/>
          <w:rtl/>
        </w:rPr>
        <w:t>.</w:t>
      </w:r>
    </w:p>
    <w:p w14:paraId="31E700F6"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2.1.2.3 </w:t>
      </w:r>
      <w:r w:rsidRPr="005E1B5F">
        <w:rPr>
          <w:rFonts w:ascii="Simplified Arabic" w:hAnsi="Simplified Arabic" w:cs="Simplified Arabic"/>
          <w:b/>
          <w:bCs/>
          <w:sz w:val="28"/>
          <w:szCs w:val="28"/>
          <w:rtl/>
        </w:rPr>
        <w:t>أبعاد ومكونات الأمن السيبراني في القطاع المالي</w:t>
      </w:r>
    </w:p>
    <w:p w14:paraId="061CA4ED"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يتكون الأمن السيبراني في المؤسسات المالية من عدة أبعاد ومكونات رئيسية تعمل بشكل متكامل</w:t>
      </w:r>
      <w:r w:rsidRPr="005E1B5F">
        <w:rPr>
          <w:rFonts w:ascii="Simplified Arabic" w:hAnsi="Simplified Arabic" w:cs="Simplified Arabic"/>
          <w:sz w:val="28"/>
          <w:szCs w:val="28"/>
        </w:rPr>
        <w:t xml:space="preserve"> (ENISA, 2024; PCI Security Standards Council, 2024)</w:t>
      </w:r>
      <w:r w:rsidRPr="005E1B5F">
        <w:rPr>
          <w:rFonts w:ascii="Simplified Arabic" w:hAnsi="Simplified Arabic" w:cs="Simplified Arabic"/>
          <w:sz w:val="28"/>
          <w:szCs w:val="28"/>
          <w:rtl/>
        </w:rPr>
        <w:t>، حيث تتمثل أهم هذه المكونات فيما يلي</w:t>
      </w:r>
      <w:r w:rsidRPr="005E1B5F">
        <w:rPr>
          <w:rFonts w:ascii="Simplified Arabic" w:hAnsi="Simplified Arabic" w:cs="Simplified Arabic"/>
          <w:sz w:val="28"/>
          <w:szCs w:val="28"/>
        </w:rPr>
        <w:t>:</w:t>
      </w:r>
    </w:p>
    <w:p w14:paraId="13EFDD7C"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أمن الشبكات والبنية التحتية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وتشمل حماية الشبكات الداخلية والخارجية من خلال جدران الحماية</w:t>
      </w:r>
      <w:r w:rsidRPr="005E1B5F">
        <w:rPr>
          <w:rFonts w:ascii="Simplified Arabic" w:hAnsi="Simplified Arabic" w:cs="Simplified Arabic"/>
          <w:sz w:val="28"/>
          <w:szCs w:val="28"/>
        </w:rPr>
        <w:t xml:space="preserve"> (Firewalls)</w:t>
      </w:r>
      <w:r w:rsidRPr="005E1B5F">
        <w:rPr>
          <w:rFonts w:ascii="Simplified Arabic" w:hAnsi="Simplified Arabic" w:cs="Simplified Arabic"/>
          <w:sz w:val="28"/>
          <w:szCs w:val="28"/>
          <w:rtl/>
        </w:rPr>
        <w:t>، وأنظمة كشف ومنع الاختراق</w:t>
      </w:r>
      <w:r w:rsidRPr="005E1B5F">
        <w:rPr>
          <w:rFonts w:ascii="Simplified Arabic" w:hAnsi="Simplified Arabic" w:cs="Simplified Arabic"/>
          <w:sz w:val="28"/>
          <w:szCs w:val="28"/>
        </w:rPr>
        <w:t xml:space="preserve"> (IDS/IPS)</w:t>
      </w:r>
      <w:r w:rsidRPr="005E1B5F">
        <w:rPr>
          <w:rFonts w:ascii="Simplified Arabic" w:hAnsi="Simplified Arabic" w:cs="Simplified Arabic"/>
          <w:sz w:val="28"/>
          <w:szCs w:val="28"/>
          <w:rtl/>
        </w:rPr>
        <w:t>، وتقسيم الشبكات</w:t>
      </w:r>
      <w:r w:rsidRPr="005E1B5F">
        <w:rPr>
          <w:rFonts w:ascii="Simplified Arabic" w:hAnsi="Simplified Arabic" w:cs="Simplified Arabic"/>
          <w:sz w:val="28"/>
          <w:szCs w:val="28"/>
        </w:rPr>
        <w:t xml:space="preserve"> (Network Segmentation)</w:t>
      </w:r>
      <w:r w:rsidRPr="005E1B5F">
        <w:rPr>
          <w:rFonts w:ascii="Simplified Arabic" w:hAnsi="Simplified Arabic" w:cs="Simplified Arabic"/>
          <w:sz w:val="28"/>
          <w:szCs w:val="28"/>
          <w:rtl/>
        </w:rPr>
        <w:t>، والشبكات الافتراضية الخاصة</w:t>
      </w:r>
      <w:r w:rsidRPr="005E1B5F">
        <w:rPr>
          <w:rFonts w:ascii="Simplified Arabic" w:hAnsi="Simplified Arabic" w:cs="Simplified Arabic"/>
          <w:sz w:val="28"/>
          <w:szCs w:val="28"/>
        </w:rPr>
        <w:t xml:space="preserve"> (VPN)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يتم التحكم في حركة البيانات ومراقبتها لمنع الوصول غير المصرح به والكشف المبكر عن الأنشطة المشبوهة التي قد تشير إلى محاولة اختراق</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7410992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أمن التطبيقات والأنظمة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تطبيق ممارسات التطوير الآمن</w:t>
      </w:r>
      <w:r w:rsidRPr="005E1B5F">
        <w:rPr>
          <w:rFonts w:ascii="Simplified Arabic" w:hAnsi="Simplified Arabic" w:cs="Simplified Arabic"/>
          <w:sz w:val="28"/>
          <w:szCs w:val="28"/>
        </w:rPr>
        <w:t xml:space="preserve"> (Secure Development Lifecycle)</w:t>
      </w:r>
      <w:r w:rsidRPr="005E1B5F">
        <w:rPr>
          <w:rFonts w:ascii="Simplified Arabic" w:hAnsi="Simplified Arabic" w:cs="Simplified Arabic"/>
          <w:sz w:val="28"/>
          <w:szCs w:val="28"/>
          <w:rtl/>
        </w:rPr>
        <w:t>، واختبار الاختراق المنتظم، ومعالجة الثغرات الأمنية بشكل استباقي، وتحديث الأنظمة بشكل مستمر</w:t>
      </w:r>
      <w:r w:rsidRPr="005E1B5F">
        <w:rPr>
          <w:rFonts w:ascii="Simplified Arabic" w:hAnsi="Simplified Arabic" w:cs="Simplified Arabic"/>
          <w:sz w:val="28"/>
          <w:szCs w:val="28"/>
        </w:rPr>
        <w:t xml:space="preserve"> (Ahammad et al., 2025; Islam &amp; In, 2024)</w:t>
      </w:r>
      <w:r w:rsidRPr="005E1B5F">
        <w:rPr>
          <w:rFonts w:ascii="Simplified Arabic" w:hAnsi="Simplified Arabic" w:cs="Simplified Arabic"/>
          <w:sz w:val="28"/>
          <w:szCs w:val="28"/>
          <w:rtl/>
        </w:rPr>
        <w:t>، بحيث يتم تقليل نقاط الضعف التي قد يستغلها المهاجمون للوصول إلى الأنظمة المالية أو التلاعب بالبيانات</w:t>
      </w:r>
      <w:r w:rsidRPr="005E1B5F">
        <w:rPr>
          <w:rFonts w:ascii="Simplified Arabic" w:hAnsi="Simplified Arabic" w:cs="Simplified Arabic"/>
          <w:sz w:val="28"/>
          <w:szCs w:val="28"/>
        </w:rPr>
        <w:t xml:space="preserve"> (Carapella et al., 2023; Udeh et al., 2025</w:t>
      </w:r>
      <w:r>
        <w:rPr>
          <w:rFonts w:ascii="Simplified Arabic" w:hAnsi="Simplified Arabic" w:cs="Simplified Arabic" w:hint="cs"/>
          <w:sz w:val="28"/>
          <w:szCs w:val="28"/>
          <w:rtl/>
        </w:rPr>
        <w:t>).</w:t>
      </w:r>
    </w:p>
    <w:p w14:paraId="3BD0C629"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إدارة الهويات والوصول</w:t>
      </w:r>
      <w:r w:rsidRPr="005E1B5F">
        <w:rPr>
          <w:rFonts w:ascii="Simplified Arabic" w:hAnsi="Simplified Arabic" w:cs="Simplified Arabic"/>
          <w:b/>
          <w:bCs/>
          <w:sz w:val="28"/>
          <w:szCs w:val="28"/>
        </w:rPr>
        <w:t xml:space="preserve"> (Identity and Access Management):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وتشمل آليات المصادقة القوية</w:t>
      </w:r>
      <w:r w:rsidRPr="005E1B5F">
        <w:rPr>
          <w:rFonts w:ascii="Simplified Arabic" w:hAnsi="Simplified Arabic" w:cs="Simplified Arabic"/>
          <w:sz w:val="28"/>
          <w:szCs w:val="28"/>
        </w:rPr>
        <w:t xml:space="preserve"> (Multi-Factor Authentication)</w:t>
      </w:r>
      <w:r w:rsidRPr="005E1B5F">
        <w:rPr>
          <w:rFonts w:ascii="Simplified Arabic" w:hAnsi="Simplified Arabic" w:cs="Simplified Arabic"/>
          <w:sz w:val="28"/>
          <w:szCs w:val="28"/>
          <w:rtl/>
        </w:rPr>
        <w:t>، وإدارة الصلاحيات بناءً على الأدوار، ومراقبة الوصول للموارد الحساسة، ومراجعة الصلاحيات بشكل دوري</w:t>
      </w:r>
      <w:r w:rsidRPr="005E1B5F">
        <w:rPr>
          <w:rFonts w:ascii="Simplified Arabic" w:hAnsi="Simplified Arabic" w:cs="Simplified Arabic"/>
          <w:sz w:val="28"/>
          <w:szCs w:val="28"/>
        </w:rPr>
        <w:t xml:space="preserve"> (PCI Security Standards Council,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بحيث يتم ضمان أن كل مستخدم يحصل فقط على المستوى المناسب من الوصول المطلوب لأداء مهامه وليس أكثر</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534EEDEE"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حماية البيانات والتشفير</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 xml:space="preserve">من خلال تشفير البيانات في حالات السكون والنقل، وإدارة المفاتيح </w:t>
      </w:r>
      <w:proofErr w:type="spellStart"/>
      <w:r w:rsidRPr="005E1B5F">
        <w:rPr>
          <w:rFonts w:ascii="Simplified Arabic" w:hAnsi="Simplified Arabic" w:cs="Simplified Arabic"/>
          <w:sz w:val="28"/>
          <w:szCs w:val="28"/>
          <w:rtl/>
        </w:rPr>
        <w:t>التشفيرية</w:t>
      </w:r>
      <w:proofErr w:type="spellEnd"/>
      <w:r w:rsidRPr="005E1B5F">
        <w:rPr>
          <w:rFonts w:ascii="Simplified Arabic" w:hAnsi="Simplified Arabic" w:cs="Simplified Arabic"/>
          <w:sz w:val="28"/>
          <w:szCs w:val="28"/>
          <w:rtl/>
        </w:rPr>
        <w:t xml:space="preserve"> بشكل آمن، وتطبيق تقنيات إخفاء البيانات</w:t>
      </w:r>
      <w:r w:rsidRPr="005E1B5F">
        <w:rPr>
          <w:rFonts w:ascii="Simplified Arabic" w:hAnsi="Simplified Arabic" w:cs="Simplified Arabic"/>
          <w:sz w:val="28"/>
          <w:szCs w:val="28"/>
        </w:rPr>
        <w:t xml:space="preserve"> (Data Masking) </w:t>
      </w:r>
      <w:r w:rsidRPr="005E1B5F">
        <w:rPr>
          <w:rFonts w:ascii="Simplified Arabic" w:hAnsi="Simplified Arabic" w:cs="Simplified Arabic"/>
          <w:sz w:val="28"/>
          <w:szCs w:val="28"/>
          <w:rtl/>
        </w:rPr>
        <w:t>والترميز</w:t>
      </w:r>
      <w:r w:rsidRPr="005E1B5F">
        <w:rPr>
          <w:rFonts w:ascii="Simplified Arabic" w:hAnsi="Simplified Arabic" w:cs="Simplified Arabic"/>
          <w:sz w:val="28"/>
          <w:szCs w:val="28"/>
        </w:rPr>
        <w:t xml:space="preserve"> (Tokenization) </w:t>
      </w:r>
      <w:r w:rsidRPr="005E1B5F">
        <w:rPr>
          <w:rFonts w:ascii="Simplified Arabic" w:hAnsi="Simplified Arabic" w:cs="Simplified Arabic"/>
          <w:sz w:val="28"/>
          <w:szCs w:val="28"/>
          <w:rtl/>
        </w:rPr>
        <w:t>لحماية البيانات الحساسة</w:t>
      </w:r>
      <w:r w:rsidRPr="005E1B5F">
        <w:rPr>
          <w:rFonts w:ascii="Simplified Arabic" w:hAnsi="Simplified Arabic" w:cs="Simplified Arabic"/>
          <w:sz w:val="28"/>
          <w:szCs w:val="28"/>
        </w:rPr>
        <w:t xml:space="preserve"> (PCI Security Standards Council, 2024; Financial Stability Board, 2024)</w:t>
      </w:r>
      <w:r w:rsidRPr="005E1B5F">
        <w:rPr>
          <w:rFonts w:ascii="Simplified Arabic" w:hAnsi="Simplified Arabic" w:cs="Simplified Arabic"/>
          <w:sz w:val="28"/>
          <w:szCs w:val="28"/>
          <w:rtl/>
        </w:rPr>
        <w:t xml:space="preserve">، بحيث حتى في حال اختراق قواعد البيانات فإن البيانات تبقى غير قابلة للقراءة بدون المفاتيح </w:t>
      </w:r>
      <w:proofErr w:type="spellStart"/>
      <w:r w:rsidRPr="005E1B5F">
        <w:rPr>
          <w:rFonts w:ascii="Simplified Arabic" w:hAnsi="Simplified Arabic" w:cs="Simplified Arabic"/>
          <w:sz w:val="28"/>
          <w:szCs w:val="28"/>
          <w:rtl/>
        </w:rPr>
        <w:t>التشفيرية</w:t>
      </w:r>
      <w:proofErr w:type="spellEnd"/>
      <w:r w:rsidRPr="005E1B5F">
        <w:rPr>
          <w:rFonts w:ascii="Simplified Arabic" w:hAnsi="Simplified Arabic" w:cs="Simplified Arabic"/>
          <w:sz w:val="28"/>
          <w:szCs w:val="28"/>
          <w:rtl/>
        </w:rPr>
        <w:t xml:space="preserve"> المناسبة</w:t>
      </w:r>
      <w:r w:rsidRPr="005E1B5F">
        <w:rPr>
          <w:rFonts w:ascii="Simplified Arabic" w:hAnsi="Simplified Arabic" w:cs="Simplified Arabic"/>
          <w:sz w:val="28"/>
          <w:szCs w:val="28"/>
        </w:rPr>
        <w:t xml:space="preserve"> (IBM Security, 2024; Carapella et al., 2023)</w:t>
      </w:r>
      <w:r>
        <w:rPr>
          <w:rFonts w:ascii="Simplified Arabic" w:hAnsi="Simplified Arabic" w:cs="Simplified Arabic" w:hint="cs"/>
          <w:sz w:val="28"/>
          <w:szCs w:val="28"/>
          <w:rtl/>
        </w:rPr>
        <w:t>.</w:t>
      </w:r>
    </w:p>
    <w:p w14:paraId="160AB7E7"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المراقبة الأمنية والاستجابة للحوادث</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عبر مراكز العمليات الأمنية</w:t>
      </w:r>
      <w:r w:rsidRPr="005E1B5F">
        <w:rPr>
          <w:rFonts w:ascii="Simplified Arabic" w:hAnsi="Simplified Arabic" w:cs="Simplified Arabic"/>
          <w:sz w:val="28"/>
          <w:szCs w:val="28"/>
        </w:rPr>
        <w:t xml:space="preserve"> (Security Operations Centers - SOC) </w:t>
      </w:r>
      <w:r w:rsidRPr="005E1B5F">
        <w:rPr>
          <w:rFonts w:ascii="Simplified Arabic" w:hAnsi="Simplified Arabic" w:cs="Simplified Arabic"/>
          <w:sz w:val="28"/>
          <w:szCs w:val="28"/>
          <w:rtl/>
        </w:rPr>
        <w:t>التي تعمل على مدار الساعة لرصد التهديدات والحوادث الأمنية</w:t>
      </w:r>
      <w:r w:rsidRPr="005E1B5F">
        <w:rPr>
          <w:rFonts w:ascii="Simplified Arabic" w:hAnsi="Simplified Arabic" w:cs="Simplified Arabic"/>
          <w:sz w:val="28"/>
          <w:szCs w:val="28"/>
        </w:rPr>
        <w:t xml:space="preserve"> (ENISA,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وتحليل السجلات وأنماط الشبكة للكشف عن الأنشطة المشبوهة</w:t>
      </w:r>
      <w:r w:rsidRPr="005E1B5F">
        <w:rPr>
          <w:rFonts w:ascii="Simplified Arabic" w:hAnsi="Simplified Arabic" w:cs="Simplified Arabic"/>
          <w:sz w:val="28"/>
          <w:szCs w:val="28"/>
        </w:rPr>
        <w:t xml:space="preserve"> (Ahammad et al., 2025)</w:t>
      </w:r>
      <w:r w:rsidRPr="005E1B5F">
        <w:rPr>
          <w:rFonts w:ascii="Simplified Arabic" w:hAnsi="Simplified Arabic" w:cs="Simplified Arabic"/>
          <w:sz w:val="28"/>
          <w:szCs w:val="28"/>
          <w:rtl/>
        </w:rPr>
        <w:t>، والاستجابة السريعة للحوادث عند حدوثها، وإجراء التحقيقات الجنائية الرقمية لفهم طبيعة الهجوم وتأثيره واتخاذ الإجراءات التصحيحية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 Udeh et al., 2025)</w:t>
      </w:r>
      <w:r>
        <w:rPr>
          <w:rFonts w:ascii="Simplified Arabic" w:hAnsi="Simplified Arabic" w:cs="Simplified Arabic" w:hint="cs"/>
          <w:sz w:val="28"/>
          <w:szCs w:val="28"/>
          <w:rtl/>
        </w:rPr>
        <w:t>.</w:t>
      </w:r>
    </w:p>
    <w:p w14:paraId="343DD6BC"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إدارة المخاطر السيبرانية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تقييم المخاطر بشكل منتظم، وتحديد الأصول الحرجة والتهديدات المحتملة، وتطبيق الضوابط المناسبة للتخفيف من المخاطر</w:t>
      </w:r>
      <w:r w:rsidRPr="005E1B5F">
        <w:rPr>
          <w:rFonts w:ascii="Simplified Arabic" w:hAnsi="Simplified Arabic" w:cs="Simplified Arabic"/>
          <w:sz w:val="28"/>
          <w:szCs w:val="28"/>
        </w:rPr>
        <w:t xml:space="preserve"> (Carapella et al., 2023; Saudi Central Bank, 2024)</w:t>
      </w:r>
      <w:r w:rsidRPr="005E1B5F">
        <w:rPr>
          <w:rFonts w:ascii="Simplified Arabic" w:hAnsi="Simplified Arabic" w:cs="Simplified Arabic"/>
          <w:sz w:val="28"/>
          <w:szCs w:val="28"/>
          <w:rtl/>
        </w:rPr>
        <w:t>، ومراقبة فعالية هذه الضوابط وتحديثها بناءً على التغيرات في بيئة التهديدات</w:t>
      </w:r>
      <w:r w:rsidRPr="005E1B5F">
        <w:rPr>
          <w:rFonts w:ascii="Simplified Arabic" w:hAnsi="Simplified Arabic" w:cs="Simplified Arabic"/>
          <w:sz w:val="28"/>
          <w:szCs w:val="28"/>
        </w:rPr>
        <w:t xml:space="preserve"> (ENISA, 2024; IBM Security, 2024)</w:t>
      </w:r>
      <w:r w:rsidRPr="005E1B5F">
        <w:rPr>
          <w:rFonts w:ascii="Simplified Arabic" w:hAnsi="Simplified Arabic" w:cs="Simplified Arabic"/>
          <w:sz w:val="28"/>
          <w:szCs w:val="28"/>
          <w:rtl/>
        </w:rPr>
        <w:t>، بحيث يتم اتخاذ قرارات مستنيرة بشأن الاستثمارات الأمنية وتخصيص الموارد</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4363BE84"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الوعي والتدريب الأمني</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يمثل العنصر البشري نقطة ضعف محتملة في أي منظومة أمنية</w:t>
      </w:r>
      <w:r w:rsidRPr="005E1B5F">
        <w:rPr>
          <w:rFonts w:ascii="Simplified Arabic" w:hAnsi="Simplified Arabic" w:cs="Simplified Arabic"/>
          <w:sz w:val="28"/>
          <w:szCs w:val="28"/>
        </w:rPr>
        <w:t xml:space="preserve"> (ENISA,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مما يتطلب تدريب الموظفين بشكل مستمر على أفضل الممارسات الأمنية، وتوعيتهم بالتهديدات الشائعة كهجمات التصيد الاحتيالي</w:t>
      </w:r>
      <w:r w:rsidRPr="005E1B5F">
        <w:rPr>
          <w:rFonts w:ascii="Simplified Arabic" w:hAnsi="Simplified Arabic" w:cs="Simplified Arabic"/>
          <w:sz w:val="28"/>
          <w:szCs w:val="28"/>
        </w:rPr>
        <w:t xml:space="preserve"> (Phishing) (Ahammad et al., 2025;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واختبار مدى التزامهم بالسياسات الأمنية من خلال محاكاة الهجمات، بحيث يصبح كل موظف خط دفاع أول ضد التهديدات السيبرانية</w:t>
      </w:r>
      <w:r w:rsidRPr="005E1B5F">
        <w:rPr>
          <w:rFonts w:ascii="Simplified Arabic" w:hAnsi="Simplified Arabic" w:cs="Simplified Arabic"/>
          <w:sz w:val="28"/>
          <w:szCs w:val="28"/>
        </w:rPr>
        <w:t xml:space="preserve"> (Islam &amp; In,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6490AE16"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2.1.2.4 </w:t>
      </w:r>
      <w:r w:rsidRPr="005E1B5F">
        <w:rPr>
          <w:rFonts w:ascii="Simplified Arabic" w:hAnsi="Simplified Arabic" w:cs="Simplified Arabic"/>
          <w:b/>
          <w:bCs/>
          <w:sz w:val="28"/>
          <w:szCs w:val="28"/>
          <w:rtl/>
        </w:rPr>
        <w:t>التهديدات السيبرانية الرئيسية للمؤسسات المالية</w:t>
      </w:r>
    </w:p>
    <w:p w14:paraId="1D735D8F"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تواجه المؤسسات المالية مجموعة واسعة من التهديدات السيبرانية التي تتطور باستمرار</w:t>
      </w:r>
      <w:r w:rsidRPr="005E1B5F">
        <w:rPr>
          <w:rFonts w:ascii="Simplified Arabic" w:hAnsi="Simplified Arabic" w:cs="Simplified Arabic"/>
          <w:sz w:val="28"/>
          <w:szCs w:val="28"/>
        </w:rPr>
        <w:t xml:space="preserve"> (ENISA, 2024; IBM Security, 2024)</w:t>
      </w:r>
      <w:r w:rsidRPr="005E1B5F">
        <w:rPr>
          <w:rFonts w:ascii="Simplified Arabic" w:hAnsi="Simplified Arabic" w:cs="Simplified Arabic"/>
          <w:sz w:val="28"/>
          <w:szCs w:val="28"/>
          <w:rtl/>
        </w:rPr>
        <w:t>، حيث تتمثل أبرز هذه التهديدات فيما يلي</w:t>
      </w:r>
      <w:r w:rsidRPr="005E1B5F">
        <w:rPr>
          <w:rFonts w:ascii="Simplified Arabic" w:hAnsi="Simplified Arabic" w:cs="Simplified Arabic"/>
          <w:sz w:val="28"/>
          <w:szCs w:val="28"/>
        </w:rPr>
        <w:t>:</w:t>
      </w:r>
    </w:p>
    <w:p w14:paraId="6DD8E91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هجمات برامج الفدية</w:t>
      </w:r>
      <w:r w:rsidRPr="005E1B5F">
        <w:rPr>
          <w:rFonts w:ascii="Simplified Arabic" w:hAnsi="Simplified Arabic" w:cs="Simplified Arabic"/>
          <w:b/>
          <w:bCs/>
          <w:sz w:val="28"/>
          <w:szCs w:val="28"/>
        </w:rPr>
        <w:t xml:space="preserve"> (Ransomware)</w:t>
      </w:r>
      <w:r>
        <w:rPr>
          <w:rFonts w:ascii="Simplified Arabic" w:hAnsi="Simplified Arabic" w:cs="Simplified Arabic" w:hint="cs"/>
          <w:b/>
          <w:bCs/>
          <w:sz w:val="28"/>
          <w:szCs w:val="28"/>
          <w:rtl/>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يقوم المهاجمون بتشفير بيانات المؤسسة وطلب فدية لفك التشفير</w:t>
      </w:r>
      <w:r w:rsidRPr="005E1B5F">
        <w:rPr>
          <w:rFonts w:ascii="Simplified Arabic" w:hAnsi="Simplified Arabic" w:cs="Simplified Arabic"/>
          <w:sz w:val="28"/>
          <w:szCs w:val="28"/>
        </w:rPr>
        <w:t xml:space="preserve"> (ENISA,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مما قد يؤدي إلى توقف العمليات بشكل كامل وخسائر مالية ضخمة</w:t>
      </w:r>
      <w:r w:rsidRPr="005E1B5F">
        <w:rPr>
          <w:rFonts w:ascii="Simplified Arabic" w:hAnsi="Simplified Arabic" w:cs="Simplified Arabic"/>
          <w:sz w:val="28"/>
          <w:szCs w:val="28"/>
        </w:rPr>
        <w:t xml:space="preserve"> (Ahammad et al., 2025; Carapella et al., 2023)</w:t>
      </w:r>
      <w:r w:rsidRPr="005E1B5F">
        <w:rPr>
          <w:rFonts w:ascii="Simplified Arabic" w:hAnsi="Simplified Arabic" w:cs="Simplified Arabic"/>
          <w:sz w:val="28"/>
          <w:szCs w:val="28"/>
          <w:rtl/>
        </w:rPr>
        <w:t>، وقد شهدت السنوات الأخيرة ارتفاعاً حاداً في هذا النوع من الهجمات الموجهة للقطاع المالي</w:t>
      </w:r>
      <w:r w:rsidRPr="005E1B5F">
        <w:rPr>
          <w:rFonts w:ascii="Simplified Arabic" w:hAnsi="Simplified Arabic" w:cs="Simplified Arabic"/>
          <w:sz w:val="28"/>
          <w:szCs w:val="28"/>
        </w:rPr>
        <w:t xml:space="preserve"> (IBM Security, 2024).</w:t>
      </w:r>
    </w:p>
    <w:p w14:paraId="35726B99"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اختراقات البيانات وسرقة المعلومات</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استهداف قواعد البيانات التي تحتوي على معلومات العملاء والحسابات</w:t>
      </w:r>
      <w:r w:rsidRPr="005E1B5F">
        <w:rPr>
          <w:rFonts w:ascii="Simplified Arabic" w:hAnsi="Simplified Arabic" w:cs="Simplified Arabic"/>
          <w:sz w:val="28"/>
          <w:szCs w:val="28"/>
        </w:rPr>
        <w:t xml:space="preserve"> (PCI Security Standards Council,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بهدف سرقة هذه البيانات لاستخدامها في عمليات احتيال أو بيعها في الأسواق السوداء</w:t>
      </w:r>
      <w:r w:rsidRPr="005E1B5F">
        <w:rPr>
          <w:rFonts w:ascii="Simplified Arabic" w:hAnsi="Simplified Arabic" w:cs="Simplified Arabic"/>
          <w:sz w:val="28"/>
          <w:szCs w:val="28"/>
        </w:rPr>
        <w:t xml:space="preserve"> (ENISA, 2024)</w:t>
      </w:r>
      <w:r w:rsidRPr="005E1B5F">
        <w:rPr>
          <w:rFonts w:ascii="Simplified Arabic" w:hAnsi="Simplified Arabic" w:cs="Simplified Arabic"/>
          <w:sz w:val="28"/>
          <w:szCs w:val="28"/>
          <w:rtl/>
        </w:rPr>
        <w:t>، وهذا النوع من الهجمات يمثل أكبر التهديدات للقطاع المالي من حيث الانتشار والأضرار المحتملة</w:t>
      </w:r>
      <w:r w:rsidRPr="005E1B5F">
        <w:rPr>
          <w:rFonts w:ascii="Simplified Arabic" w:hAnsi="Simplified Arabic" w:cs="Simplified Arabic"/>
          <w:sz w:val="28"/>
          <w:szCs w:val="28"/>
        </w:rPr>
        <w:t xml:space="preserve"> (IBM Security,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p>
    <w:p w14:paraId="0196A36E"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هجمات الحرمان من الخدمة</w:t>
      </w:r>
      <w:r w:rsidRPr="005E1B5F">
        <w:rPr>
          <w:rFonts w:ascii="Simplified Arabic" w:hAnsi="Simplified Arabic" w:cs="Simplified Arabic"/>
          <w:b/>
          <w:bCs/>
          <w:sz w:val="28"/>
          <w:szCs w:val="28"/>
        </w:rPr>
        <w:t xml:space="preserve"> (DDoS)</w:t>
      </w:r>
      <w:r>
        <w:rPr>
          <w:rFonts w:ascii="Simplified Arabic" w:hAnsi="Simplified Arabic" w:cs="Simplified Arabic" w:hint="cs"/>
          <w:b/>
          <w:bCs/>
          <w:sz w:val="28"/>
          <w:szCs w:val="28"/>
          <w:rtl/>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التي تهدف إلى إغراق الأنظمة والخوادم بحركة مرور كثيفة لإيقاف الخدمات عن العمل</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مما يؤدي إلى عدم قدرة العملاء على الوصول للخدمات المالية الإلكترونية لفترات قد تطول</w:t>
      </w:r>
      <w:r w:rsidRPr="005E1B5F">
        <w:rPr>
          <w:rFonts w:ascii="Simplified Arabic" w:hAnsi="Simplified Arabic" w:cs="Simplified Arabic"/>
          <w:sz w:val="28"/>
          <w:szCs w:val="28"/>
        </w:rPr>
        <w:t xml:space="preserve"> (ENISA, 2024)</w:t>
      </w:r>
      <w:r w:rsidRPr="005E1B5F">
        <w:rPr>
          <w:rFonts w:ascii="Simplified Arabic" w:hAnsi="Simplified Arabic" w:cs="Simplified Arabic"/>
          <w:sz w:val="28"/>
          <w:szCs w:val="28"/>
          <w:rtl/>
        </w:rPr>
        <w:t>، وهذا النوع يستخدم أحياناً كتشتيت للانتباه بينما يجري هجوم آخر أكثر خطورة</w:t>
      </w:r>
      <w:r w:rsidRPr="005E1B5F">
        <w:rPr>
          <w:rFonts w:ascii="Simplified Arabic" w:hAnsi="Simplified Arabic" w:cs="Simplified Arabic"/>
          <w:sz w:val="28"/>
          <w:szCs w:val="28"/>
        </w:rPr>
        <w:t xml:space="preserve"> (Carapella et al., 2023).</w:t>
      </w:r>
    </w:p>
    <w:p w14:paraId="0B085415"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هجمات التصيد الاحتيالي والهندسة الاجتماعية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خداع الموظفين أو العملاء للكشف عن بيانات حساسة أو تنفيذ إجراءات معينة تمكن المهاجمين من الوصول للأنظمة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sidRPr="005E1B5F">
        <w:rPr>
          <w:rFonts w:ascii="Simplified Arabic" w:hAnsi="Simplified Arabic" w:cs="Simplified Arabic"/>
          <w:sz w:val="28"/>
          <w:szCs w:val="28"/>
          <w:rtl/>
        </w:rPr>
        <w:t>، وتعتبر هذه الهجمات من أكثر الهجمات نجاحاً لأنها تستهدف الحلقة الأضعف وهي العنصر البشري</w:t>
      </w:r>
      <w:r w:rsidRPr="005E1B5F">
        <w:rPr>
          <w:rFonts w:ascii="Simplified Arabic" w:hAnsi="Simplified Arabic" w:cs="Simplified Arabic"/>
          <w:sz w:val="28"/>
          <w:szCs w:val="28"/>
        </w:rPr>
        <w:t xml:space="preserve"> (ENISA, 2024; Islam &amp; In, 2024).</w:t>
      </w:r>
    </w:p>
    <w:p w14:paraId="598E680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هجمات سلسلة التوريد</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يستهدف المهاجمون مقدمي الخدمات التقنية للمؤسسات المالية للوصول إلى أنظمة المؤسسات الأساسية بشكل غير مباشر</w:t>
      </w:r>
      <w:r w:rsidRPr="005E1B5F">
        <w:rPr>
          <w:rFonts w:ascii="Simplified Arabic" w:hAnsi="Simplified Arabic" w:cs="Simplified Arabic"/>
          <w:sz w:val="28"/>
          <w:szCs w:val="28"/>
        </w:rPr>
        <w:t xml:space="preserve"> (ENISA, 2024; Carapella et al., 2023)</w:t>
      </w:r>
      <w:r w:rsidRPr="005E1B5F">
        <w:rPr>
          <w:rFonts w:ascii="Simplified Arabic" w:hAnsi="Simplified Arabic" w:cs="Simplified Arabic"/>
          <w:sz w:val="28"/>
          <w:szCs w:val="28"/>
          <w:rtl/>
        </w:rPr>
        <w:t>، وهذا النوع شهد تزايداً ملحوظاً في الفترة الأخيرة ويمثل تحدياً كبيراً لأنه يستغل علاقات الثقة القائمة</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p>
    <w:p w14:paraId="473A5F1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برمجيات التجسس والبرمجيات الخبيثة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التي تستهدف سرقة البيانات أو مراقبة الأنشطة أو السيطرة على الأنظمة دون علم المستخدمين</w:t>
      </w:r>
      <w:r w:rsidRPr="005E1B5F">
        <w:rPr>
          <w:rFonts w:ascii="Simplified Arabic" w:hAnsi="Simplified Arabic" w:cs="Simplified Arabic"/>
          <w:sz w:val="28"/>
          <w:szCs w:val="28"/>
        </w:rPr>
        <w:t xml:space="preserve"> (IBM Security,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وتتنوع هذه البرمجيات في مستوى تطورها وقدراتها على التخفي والاستمرار في الأنظمة لفترات طويلة دون اكتشاف</w:t>
      </w:r>
      <w:r w:rsidRPr="005E1B5F">
        <w:rPr>
          <w:rFonts w:ascii="Simplified Arabic" w:hAnsi="Simplified Arabic" w:cs="Simplified Arabic"/>
          <w:sz w:val="28"/>
          <w:szCs w:val="28"/>
        </w:rPr>
        <w:t xml:space="preserve"> (ENISA, 2024; Udeh et al., 2025).</w:t>
      </w:r>
    </w:p>
    <w:p w14:paraId="255F3639"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2.1.3 </w:t>
      </w:r>
      <w:r w:rsidRPr="005E1B5F">
        <w:rPr>
          <w:rFonts w:ascii="Simplified Arabic" w:hAnsi="Simplified Arabic" w:cs="Simplified Arabic"/>
          <w:b/>
          <w:bCs/>
          <w:sz w:val="28"/>
          <w:szCs w:val="28"/>
          <w:rtl/>
        </w:rPr>
        <w:t>كفاءة العمليات المالية والتحول الرقمي</w:t>
      </w:r>
    </w:p>
    <w:p w14:paraId="50AFF10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تعد كفاءة العمليات المالية من الأهداف الرئيسية والاستراتيجية لأي مؤسسة مالية تسعى للتميز والتنافسية في بيئة أعمال سريعة التغير ومتزايدة التعقيد</w:t>
      </w:r>
      <w:r w:rsidRPr="005E1B5F">
        <w:rPr>
          <w:rFonts w:ascii="Simplified Arabic" w:hAnsi="Simplified Arabic" w:cs="Simplified Arabic"/>
          <w:sz w:val="28"/>
          <w:szCs w:val="28"/>
        </w:rPr>
        <w:t xml:space="preserve"> (McKinsey &amp; Company, 2024;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w:t>
      </w:r>
      <w:r w:rsidRPr="005E1B5F">
        <w:rPr>
          <w:rFonts w:ascii="Simplified Arabic" w:hAnsi="Simplified Arabic" w:cs="Simplified Arabic"/>
          <w:sz w:val="28"/>
          <w:szCs w:val="28"/>
          <w:rtl/>
        </w:rPr>
        <w:t>، حيث أصبحت المؤسسات المالية مطالبة بتقديم خدمات أسرع وأكثر دقة وبتكلفة أقل مع الحفاظ على مستويات عالية من الجودة والأمان</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وذلك في ظل توقعات متزايدة من العملاء الذين أصبحوا أكثر وعياً ومطالبة بتجربة رقمية سلسة ومتكاملة</w:t>
      </w:r>
      <w:r w:rsidRPr="005E1B5F">
        <w:rPr>
          <w:rFonts w:ascii="Simplified Arabic" w:hAnsi="Simplified Arabic" w:cs="Simplified Arabic"/>
          <w:sz w:val="28"/>
          <w:szCs w:val="28"/>
        </w:rPr>
        <w:t xml:space="preserve"> (Thunes Research, 2025; Saudi </w:t>
      </w:r>
      <w:r w:rsidRPr="005E1B5F">
        <w:rPr>
          <w:rFonts w:ascii="Simplified Arabic" w:hAnsi="Simplified Arabic" w:cs="Simplified Arabic"/>
          <w:sz w:val="28"/>
          <w:szCs w:val="28"/>
        </w:rPr>
        <w:lastRenderedPageBreak/>
        <w:t xml:space="preserve">Central Bank, 2024). </w:t>
      </w:r>
      <w:r w:rsidRPr="005E1B5F">
        <w:rPr>
          <w:rFonts w:ascii="Simplified Arabic" w:hAnsi="Simplified Arabic" w:cs="Simplified Arabic"/>
          <w:sz w:val="28"/>
          <w:szCs w:val="28"/>
          <w:rtl/>
        </w:rPr>
        <w:t>ويرتبط مفهوم كفاءة العمليات ارتباطاً وثيقاً بالتحول الرقمي الذي يمثل رحلة شاملة لإعادة تصميم العمليات والخدمات باستخدام التقنيات الحديثة</w:t>
      </w:r>
      <w:r w:rsidRPr="005E1B5F">
        <w:rPr>
          <w:rFonts w:ascii="Simplified Arabic" w:hAnsi="Simplified Arabic" w:cs="Simplified Arabic"/>
          <w:sz w:val="28"/>
          <w:szCs w:val="28"/>
        </w:rPr>
        <w:t xml:space="preserve"> (Financial Stability Board, 2024; Islam &amp; In, 2024)</w:t>
      </w:r>
      <w:r w:rsidRPr="005E1B5F">
        <w:rPr>
          <w:rFonts w:ascii="Simplified Arabic" w:hAnsi="Simplified Arabic" w:cs="Simplified Arabic"/>
          <w:sz w:val="28"/>
          <w:szCs w:val="28"/>
          <w:rtl/>
        </w:rPr>
        <w:t xml:space="preserve">، بحيث لا يقتصر التحول على مجرد </w:t>
      </w:r>
      <w:proofErr w:type="spellStart"/>
      <w:r w:rsidRPr="005E1B5F">
        <w:rPr>
          <w:rFonts w:ascii="Simplified Arabic" w:hAnsi="Simplified Arabic" w:cs="Simplified Arabic"/>
          <w:sz w:val="28"/>
          <w:szCs w:val="28"/>
          <w:rtl/>
        </w:rPr>
        <w:t>رقمنة</w:t>
      </w:r>
      <w:proofErr w:type="spellEnd"/>
      <w:r w:rsidRPr="005E1B5F">
        <w:rPr>
          <w:rFonts w:ascii="Simplified Arabic" w:hAnsi="Simplified Arabic" w:cs="Simplified Arabic"/>
          <w:sz w:val="28"/>
          <w:szCs w:val="28"/>
          <w:rtl/>
        </w:rPr>
        <w:t xml:space="preserve"> العمليات القائمة بل يشمل إعادة التفكير الجذري في نماذج الأعمال وطرق تقديم القيمة للعملاء</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 Udeh et al., 2025</w:t>
      </w:r>
      <w:r>
        <w:rPr>
          <w:rFonts w:ascii="Simplified Arabic" w:hAnsi="Simplified Arabic" w:cs="Simplified Arabic" w:hint="cs"/>
          <w:sz w:val="28"/>
          <w:szCs w:val="28"/>
          <w:rtl/>
        </w:rPr>
        <w:t>).</w:t>
      </w:r>
    </w:p>
    <w:p w14:paraId="08BDE4CC"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2.1.3.1 </w:t>
      </w:r>
      <w:r w:rsidRPr="005E1B5F">
        <w:rPr>
          <w:rFonts w:ascii="Simplified Arabic" w:hAnsi="Simplified Arabic" w:cs="Simplified Arabic"/>
          <w:b/>
          <w:bCs/>
          <w:sz w:val="28"/>
          <w:szCs w:val="28"/>
          <w:rtl/>
        </w:rPr>
        <w:t>مفهوم كفاءة العمليات المالية</w:t>
      </w:r>
    </w:p>
    <w:p w14:paraId="77FF1E6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تعددت التعريفات التي تناولت مفهوم كفاءة العمليات المالية، حيث ينظر إليها من منظورات مختلفة تشمل البعد التشغيلي والاقتصادي والاستراتيجي</w:t>
      </w:r>
      <w:r w:rsidRPr="005E1B5F">
        <w:rPr>
          <w:rFonts w:ascii="Simplified Arabic" w:hAnsi="Simplified Arabic" w:cs="Simplified Arabic"/>
          <w:sz w:val="28"/>
          <w:szCs w:val="28"/>
        </w:rPr>
        <w:t xml:space="preserve">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Grossmann et al., 2025)</w:t>
      </w:r>
      <w:r w:rsidRPr="005E1B5F">
        <w:rPr>
          <w:rFonts w:ascii="Simplified Arabic" w:hAnsi="Simplified Arabic" w:cs="Simplified Arabic"/>
          <w:sz w:val="28"/>
          <w:szCs w:val="28"/>
          <w:rtl/>
        </w:rPr>
        <w:t>، وجميع هذه التعريفات تؤكد على أن الكفاءة ليست مجرد تقليل للتكاليف بل تحسين شامل للأداء</w:t>
      </w:r>
      <w:r>
        <w:rPr>
          <w:rFonts w:ascii="Simplified Arabic" w:hAnsi="Simplified Arabic" w:cs="Simplified Arabic" w:hint="cs"/>
          <w:sz w:val="28"/>
          <w:szCs w:val="28"/>
          <w:rtl/>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tl/>
        </w:rPr>
        <w:t>تعرف كفاءة العمليات المالية من المنظور التشغيلي بأنها "قدرة المؤسسة المالية على تحقيق أقصى قدر من المخرجات بأقل قدر من المدخلات، من خلال تحسين استخدام الموارد المتاحة سواء كانت بشرية أو تقنية أو مالية، بحيث يتم إنجاز المعاملات والعمليات بأسرع وقت ممكن وبأقل تكلفة ممكنة مع الحفاظ على الجودة والدقة المطلوبة</w:t>
      </w:r>
      <w:r w:rsidRPr="005E1B5F">
        <w:rPr>
          <w:rFonts w:ascii="Simplified Arabic" w:hAnsi="Simplified Arabic" w:cs="Simplified Arabic"/>
          <w:sz w:val="28"/>
          <w:szCs w:val="28"/>
        </w:rPr>
        <w:t>"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sidRPr="005E1B5F">
        <w:rPr>
          <w:rFonts w:ascii="Simplified Arabic" w:hAnsi="Simplified Arabic" w:cs="Simplified Arabic"/>
          <w:sz w:val="28"/>
          <w:szCs w:val="28"/>
          <w:rtl/>
        </w:rPr>
        <w:t>، وهذا التعريف يركز على العلاقة بين المدخلات والمخرجات كمقياس أساسي للكفاءة</w:t>
      </w:r>
      <w:r w:rsidRPr="005E1B5F">
        <w:rPr>
          <w:rFonts w:ascii="Simplified Arabic" w:hAnsi="Simplified Arabic" w:cs="Simplified Arabic"/>
          <w:sz w:val="28"/>
          <w:szCs w:val="28"/>
        </w:rPr>
        <w:t>.</w:t>
      </w:r>
    </w:p>
    <w:p w14:paraId="113D58E4"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من منظور اقتصادي، تعرف كفاءة العمليات المالية بأنها "قدرة المؤسسة على تحسين الإنتاجية وتقليل تكاليف المعاملات وتحسين العائد على الاستثمار في البنية التحتية التقنية والعمليات، من خلال استخدام أمثل للتقنيات الحديثة والأتمتة والتحسين المستمر للعمليات</w:t>
      </w:r>
      <w:r w:rsidRPr="005E1B5F">
        <w:rPr>
          <w:rFonts w:ascii="Simplified Arabic" w:hAnsi="Simplified Arabic" w:cs="Simplified Arabic"/>
          <w:sz w:val="28"/>
          <w:szCs w:val="28"/>
        </w:rPr>
        <w:t>"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sidRPr="005E1B5F">
        <w:rPr>
          <w:rFonts w:ascii="Simplified Arabic" w:hAnsi="Simplified Arabic" w:cs="Simplified Arabic"/>
          <w:sz w:val="28"/>
          <w:szCs w:val="28"/>
          <w:rtl/>
        </w:rPr>
        <w:t>، بحيث تنعكس هذه الكفاءة على المؤشرات المالية للمؤسسة من خلال تحسين الربحية وزيادة القيمة المقدمة للمساهمين</w:t>
      </w:r>
      <w:r w:rsidRPr="005E1B5F">
        <w:rPr>
          <w:rFonts w:ascii="Simplified Arabic" w:hAnsi="Simplified Arabic" w:cs="Simplified Arabic"/>
          <w:sz w:val="28"/>
          <w:szCs w:val="28"/>
        </w:rPr>
        <w:t xml:space="preserve"> (Grossmann et al., 2025;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w:t>
      </w:r>
      <w:r>
        <w:rPr>
          <w:rFonts w:ascii="Simplified Arabic" w:hAnsi="Simplified Arabic" w:cs="Simplified Arabic" w:hint="cs"/>
          <w:sz w:val="28"/>
          <w:szCs w:val="28"/>
          <w:rtl/>
        </w:rPr>
        <w:t>.</w:t>
      </w:r>
    </w:p>
    <w:p w14:paraId="7987DACC"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 xml:space="preserve">بينما من المنظور الاستراتيجي، تعرف كفاءة العمليات بأنها "القدرة على التكيف السريع مع التغيرات في احتياجات العملاء والبيئة التنظيمية وظروف السوق، من خلال عمليات مرنة وقابلة للتطوير </w:t>
      </w:r>
      <w:r w:rsidRPr="005E1B5F">
        <w:rPr>
          <w:rFonts w:ascii="Simplified Arabic" w:hAnsi="Simplified Arabic" w:cs="Simplified Arabic"/>
          <w:sz w:val="28"/>
          <w:szCs w:val="28"/>
          <w:rtl/>
        </w:rPr>
        <w:lastRenderedPageBreak/>
        <w:t>تدعم الابتكار والنمو المستدام</w:t>
      </w:r>
      <w:r w:rsidRPr="005E1B5F">
        <w:rPr>
          <w:rFonts w:ascii="Simplified Arabic" w:hAnsi="Simplified Arabic" w:cs="Simplified Arabic"/>
          <w:sz w:val="28"/>
          <w:szCs w:val="28"/>
        </w:rPr>
        <w:t>" (McKinsey &amp; Company, 2024; Financial Stability Board, 2024)</w:t>
      </w:r>
      <w:r w:rsidRPr="005E1B5F">
        <w:rPr>
          <w:rFonts w:ascii="Simplified Arabic" w:hAnsi="Simplified Arabic" w:cs="Simplified Arabic"/>
          <w:sz w:val="28"/>
          <w:szCs w:val="28"/>
          <w:rtl/>
        </w:rPr>
        <w:t>، وهذا التعريف يؤكد على أن الكفاءة ليست هدفاً ثابتاً بل عملية مستمرة من التحسين والتطوير</w:t>
      </w:r>
      <w:r w:rsidRPr="005E1B5F">
        <w:rPr>
          <w:rFonts w:ascii="Simplified Arabic" w:hAnsi="Simplified Arabic" w:cs="Simplified Arabic"/>
          <w:sz w:val="28"/>
          <w:szCs w:val="28"/>
        </w:rPr>
        <w:t xml:space="preserve"> (Islam &amp; In, 2024; Udeh et al., 2025</w:t>
      </w:r>
      <w:r>
        <w:rPr>
          <w:rFonts w:ascii="Simplified Arabic" w:hAnsi="Simplified Arabic" w:cs="Simplified Arabic" w:hint="cs"/>
          <w:sz w:val="28"/>
          <w:szCs w:val="28"/>
          <w:rtl/>
        </w:rPr>
        <w:t>).</w:t>
      </w:r>
    </w:p>
    <w:p w14:paraId="6BE1B83F"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مما سبق يرى الباحث أن كفاءة العمليات المالية تمثل قدرة المؤسسة المالية على تحقيق أهدافها التشغيلية والاستراتيجية من خلال الاستخدام الأمثل للموارد المتاحة</w:t>
      </w:r>
      <w:r w:rsidRPr="005E1B5F">
        <w:rPr>
          <w:rFonts w:ascii="Simplified Arabic" w:hAnsi="Simplified Arabic" w:cs="Simplified Arabic"/>
          <w:sz w:val="28"/>
          <w:szCs w:val="28"/>
        </w:rPr>
        <w:t xml:space="preserve">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sidRPr="005E1B5F">
        <w:rPr>
          <w:rFonts w:ascii="Simplified Arabic" w:hAnsi="Simplified Arabic" w:cs="Simplified Arabic"/>
          <w:sz w:val="28"/>
          <w:szCs w:val="28"/>
          <w:rtl/>
        </w:rPr>
        <w:t>، بحيث تتم العمليات والمعاملات المالية بأسرع وقت ممكن وبأقل تكلفة ممكنة وبأعلى مستوى من الدقة والجودة، مع القدرة على التكيف المرن مع التغيرات في البيئة الداخلية والخارجية</w:t>
      </w:r>
      <w:r w:rsidRPr="005E1B5F">
        <w:rPr>
          <w:rFonts w:ascii="Simplified Arabic" w:hAnsi="Simplified Arabic" w:cs="Simplified Arabic"/>
          <w:sz w:val="28"/>
          <w:szCs w:val="28"/>
        </w:rPr>
        <w:t xml:space="preserve"> (Grossmann et al., 2025;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sidRPr="005E1B5F">
        <w:rPr>
          <w:rFonts w:ascii="Simplified Arabic" w:hAnsi="Simplified Arabic" w:cs="Simplified Arabic"/>
          <w:sz w:val="28"/>
          <w:szCs w:val="28"/>
          <w:rtl/>
        </w:rPr>
        <w:t>، وذلك من خلال تبني التقنيات الحديثة والأتمتة والتحسين المستمر للعمليات بما يحقق رضا العملاء ويعزز من التنافسية ويساهم في تحقيق الأهداف الاستراتيجية للمؤسسة</w:t>
      </w:r>
      <w:r w:rsidRPr="005E1B5F">
        <w:rPr>
          <w:rFonts w:ascii="Simplified Arabic" w:hAnsi="Simplified Arabic" w:cs="Simplified Arabic"/>
          <w:sz w:val="28"/>
          <w:szCs w:val="28"/>
        </w:rPr>
        <w:t xml:space="preserve"> (Financial Stability Board, 2024; McKinsey &amp; Company, 2024; Udeh et al., 2025</w:t>
      </w:r>
      <w:r>
        <w:rPr>
          <w:rFonts w:ascii="Simplified Arabic" w:hAnsi="Simplified Arabic" w:cs="Simplified Arabic" w:hint="cs"/>
          <w:sz w:val="28"/>
          <w:szCs w:val="28"/>
          <w:rtl/>
        </w:rPr>
        <w:t>).</w:t>
      </w:r>
    </w:p>
    <w:p w14:paraId="4D6637B5"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2.1.3.2 </w:t>
      </w:r>
      <w:r w:rsidRPr="005E1B5F">
        <w:rPr>
          <w:rFonts w:ascii="Simplified Arabic" w:hAnsi="Simplified Arabic" w:cs="Simplified Arabic"/>
          <w:b/>
          <w:bCs/>
          <w:sz w:val="28"/>
          <w:szCs w:val="28"/>
          <w:rtl/>
        </w:rPr>
        <w:t>أبعاد ومؤشرات كفاءة العمليات المالية</w:t>
      </w:r>
    </w:p>
    <w:p w14:paraId="6573E71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تتعدد الأبعاد والمؤشرات التي يمكن من خلالها قياس كفاءة العمليات المالية</w:t>
      </w:r>
      <w:r w:rsidRPr="005E1B5F">
        <w:rPr>
          <w:rFonts w:ascii="Simplified Arabic" w:hAnsi="Simplified Arabic" w:cs="Simplified Arabic"/>
          <w:sz w:val="28"/>
          <w:szCs w:val="28"/>
        </w:rPr>
        <w:t xml:space="preserve">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حيث تتمثل أهم هذه الأبعاد فيما يلي</w:t>
      </w:r>
      <w:r w:rsidRPr="005E1B5F">
        <w:rPr>
          <w:rFonts w:ascii="Simplified Arabic" w:hAnsi="Simplified Arabic" w:cs="Simplified Arabic"/>
          <w:sz w:val="28"/>
          <w:szCs w:val="28"/>
        </w:rPr>
        <w:t>:</w:t>
      </w:r>
    </w:p>
    <w:p w14:paraId="2A75D42C"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سرعة تنفيذ المعاملات ودورات التسوية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وتقاس بالوقت المستغرق لإتمام المعاملة من البداية للنهاية، حيث كلما كانت العمليات أسرع كلما كانت أكثر كفاءة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Grossmann et al., 2025)</w:t>
      </w:r>
      <w:r w:rsidRPr="005E1B5F">
        <w:rPr>
          <w:rFonts w:ascii="Simplified Arabic" w:hAnsi="Simplified Arabic" w:cs="Simplified Arabic"/>
          <w:sz w:val="28"/>
          <w:szCs w:val="28"/>
          <w:rtl/>
        </w:rPr>
        <w:t>، بحيث تتحول دورات التسوية من أيام في الأنظمة التقليدية</w:t>
      </w:r>
      <w:r w:rsidRPr="005E1B5F">
        <w:rPr>
          <w:rFonts w:ascii="Simplified Arabic" w:hAnsi="Simplified Arabic" w:cs="Simplified Arabic"/>
          <w:sz w:val="28"/>
          <w:szCs w:val="28"/>
        </w:rPr>
        <w:t xml:space="preserve"> (T+2 </w:t>
      </w:r>
      <w:r w:rsidRPr="005E1B5F">
        <w:rPr>
          <w:rFonts w:ascii="Simplified Arabic" w:hAnsi="Simplified Arabic" w:cs="Simplified Arabic"/>
          <w:sz w:val="28"/>
          <w:szCs w:val="28"/>
          <w:rtl/>
        </w:rPr>
        <w:t>أو</w:t>
      </w:r>
      <w:r w:rsidRPr="005E1B5F">
        <w:rPr>
          <w:rFonts w:ascii="Simplified Arabic" w:hAnsi="Simplified Arabic" w:cs="Simplified Arabic"/>
          <w:sz w:val="28"/>
          <w:szCs w:val="28"/>
        </w:rPr>
        <w:t xml:space="preserve"> T+5) </w:t>
      </w:r>
      <w:r w:rsidRPr="005E1B5F">
        <w:rPr>
          <w:rFonts w:ascii="Simplified Arabic" w:hAnsi="Simplified Arabic" w:cs="Simplified Arabic"/>
          <w:sz w:val="28"/>
          <w:szCs w:val="28"/>
          <w:rtl/>
        </w:rPr>
        <w:t>إلى ثوانٍ معدودة في الأنظمة الرقمية الحديثة</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sidRPr="005E1B5F">
        <w:rPr>
          <w:rFonts w:ascii="Simplified Arabic" w:hAnsi="Simplified Arabic" w:cs="Simplified Arabic"/>
          <w:sz w:val="28"/>
          <w:szCs w:val="28"/>
          <w:rtl/>
        </w:rPr>
        <w:t>، وهذا التحسين في السرعة لا يرضي العملاء فحسب بل يحرر رأس مال كان محجوزاً في دورات التسوية الطويلة، مما يحسن من كفاءة استخدام رأس المال على مستوى النظام المالي بأكمله</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 Financial Stability Board, 2024</w:t>
      </w:r>
      <w:r>
        <w:rPr>
          <w:rFonts w:ascii="Simplified Arabic" w:hAnsi="Simplified Arabic" w:cs="Simplified Arabic" w:hint="cs"/>
          <w:sz w:val="28"/>
          <w:szCs w:val="28"/>
          <w:rtl/>
        </w:rPr>
        <w:t>).</w:t>
      </w:r>
    </w:p>
    <w:p w14:paraId="05595BE7"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تكلفة العمليات التشغيلية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وتشمل جميع التكاليف المرتبطة بتنفيذ المعاملات من تكاليف المعالجة، والتسوية والمقاصة، والبنية التحتية التقنية، والموارد البشرية، والامتثال والمراجعة</w:t>
      </w:r>
      <w:r w:rsidRPr="005E1B5F">
        <w:rPr>
          <w:rFonts w:ascii="Simplified Arabic" w:hAnsi="Simplified Arabic" w:cs="Simplified Arabic"/>
          <w:sz w:val="28"/>
          <w:szCs w:val="28"/>
        </w:rPr>
        <w:t xml:space="preserve">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Grossmann et al., 2025</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tl/>
        </w:rPr>
        <w:t>بحيث كلما انخفضت هذه التكاليف دون التأثير على الجودة كلما كانت العمليات أكثر كفاءة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sidRPr="005E1B5F">
        <w:rPr>
          <w:rFonts w:ascii="Simplified Arabic" w:hAnsi="Simplified Arabic" w:cs="Simplified Arabic"/>
          <w:sz w:val="28"/>
          <w:szCs w:val="28"/>
          <w:rtl/>
        </w:rPr>
        <w:t>، وتشير الدراسات إلى أن تبني التقنيات الحديثة كالترميز يمكن أن يخفض تكاليف المعالجة بنسبة 52%، وتكاليف التسوية والمقاصة بنسبة 48%، وتكاليف الامتثال والمراجعة بنسبة 41</w:t>
      </w:r>
      <w:r w:rsidRPr="005E1B5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w:t>
      </w:r>
      <w:r>
        <w:rPr>
          <w:rFonts w:ascii="Simplified Arabic" w:hAnsi="Simplified Arabic" w:cs="Simplified Arabic" w:hint="cs"/>
          <w:sz w:val="28"/>
          <w:szCs w:val="28"/>
          <w:rtl/>
        </w:rPr>
        <w:t>.</w:t>
      </w:r>
    </w:p>
    <w:p w14:paraId="50275E12"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دقة التنفيذ ومعدلات الأخطاء</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قياس نسبة المعاملات التي تتم بشكل صحيح من المرة الأولى دون الحاجة لتصحيحات أو إعادة معالجة</w:t>
      </w:r>
      <w:r w:rsidRPr="005E1B5F">
        <w:rPr>
          <w:rFonts w:ascii="Simplified Arabic" w:hAnsi="Simplified Arabic" w:cs="Simplified Arabic"/>
          <w:sz w:val="28"/>
          <w:szCs w:val="28"/>
        </w:rPr>
        <w:t xml:space="preserve"> (Ahammad et al., 2025; Udeh et al., 2025)</w:t>
      </w:r>
      <w:r w:rsidRPr="005E1B5F">
        <w:rPr>
          <w:rFonts w:ascii="Simplified Arabic" w:hAnsi="Simplified Arabic" w:cs="Simplified Arabic"/>
          <w:sz w:val="28"/>
          <w:szCs w:val="28"/>
          <w:rtl/>
        </w:rPr>
        <w:t>، بحيث أن الأتمتة الكاملة والسجلات غير القابلة للتعديل تساهم في تقليل الأخطاء البشرية والتناقضات في البيانات</w:t>
      </w:r>
      <w:r w:rsidRPr="005E1B5F">
        <w:rPr>
          <w:rFonts w:ascii="Simplified Arabic" w:hAnsi="Simplified Arabic" w:cs="Simplified Arabic"/>
          <w:sz w:val="28"/>
          <w:szCs w:val="28"/>
        </w:rPr>
        <w:t xml:space="preserve"> (Grossmann et al., 2025; Islam &amp; In, 2024)</w:t>
      </w:r>
      <w:r w:rsidRPr="005E1B5F">
        <w:rPr>
          <w:rFonts w:ascii="Simplified Arabic" w:hAnsi="Simplified Arabic" w:cs="Simplified Arabic"/>
          <w:sz w:val="28"/>
          <w:szCs w:val="28"/>
          <w:rtl/>
        </w:rPr>
        <w:t>، مما يعزز موثوقية النظام المالي ويقلل من تكاليف التصحيح والمراجعة، وقد وثقت بعض الدراسات انخفاضاً بنسبة 90% في أخطاء التسوية بفضل الأتمتة الكاملة</w:t>
      </w:r>
      <w:r w:rsidRPr="005E1B5F">
        <w:rPr>
          <w:rFonts w:ascii="Simplified Arabic" w:hAnsi="Simplified Arabic" w:cs="Simplified Arabic"/>
          <w:sz w:val="28"/>
          <w:szCs w:val="28"/>
        </w:rPr>
        <w:t xml:space="preserve"> (Grossmann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Pr>
          <w:rFonts w:ascii="Simplified Arabic" w:hAnsi="Simplified Arabic" w:cs="Simplified Arabic" w:hint="cs"/>
          <w:sz w:val="28"/>
          <w:szCs w:val="28"/>
          <w:rtl/>
        </w:rPr>
        <w:t>.</w:t>
      </w:r>
    </w:p>
    <w:p w14:paraId="1150B860"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القدرة على التوسع والمرونة التشغيلية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وتقاس بقدرة الأنظمة على التعامل مع حجم متزايد من المعاملات دون تدهور في الأداء</w:t>
      </w:r>
      <w:r w:rsidRPr="005E1B5F">
        <w:rPr>
          <w:rFonts w:ascii="Simplified Arabic" w:hAnsi="Simplified Arabic" w:cs="Simplified Arabic"/>
          <w:sz w:val="28"/>
          <w:szCs w:val="28"/>
        </w:rPr>
        <w:t xml:space="preserve"> (Ahammad et al., 2025; Islam &amp; In, 2024)</w:t>
      </w:r>
      <w:r w:rsidRPr="005E1B5F">
        <w:rPr>
          <w:rFonts w:ascii="Simplified Arabic" w:hAnsi="Simplified Arabic" w:cs="Simplified Arabic"/>
          <w:sz w:val="28"/>
          <w:szCs w:val="28"/>
          <w:rtl/>
        </w:rPr>
        <w:t>، وبقدرة المؤسسة على تقديم خدمات جديدة والتكيف مع التغيرات في احتياجات السوق بسرعة</w:t>
      </w:r>
      <w:r w:rsidRPr="005E1B5F">
        <w:rPr>
          <w:rFonts w:ascii="Simplified Arabic" w:hAnsi="Simplified Arabic" w:cs="Simplified Arabic"/>
          <w:sz w:val="28"/>
          <w:szCs w:val="28"/>
        </w:rPr>
        <w:t xml:space="preserve"> (McKinsey &amp; Company, 2024; Financial Stability Board, 2024)</w:t>
      </w:r>
      <w:r w:rsidRPr="005E1B5F">
        <w:rPr>
          <w:rFonts w:ascii="Simplified Arabic" w:hAnsi="Simplified Arabic" w:cs="Simplified Arabic"/>
          <w:sz w:val="28"/>
          <w:szCs w:val="28"/>
          <w:rtl/>
        </w:rPr>
        <w:t>، بحيث تدعم البنية التحتية الحديثة معالجة ملايين المعاملات بشكل متزامن مع إمكانية التوسع الأفقي حسب الحاجة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Saudi Central Bank, 2024</w:t>
      </w:r>
      <w:r>
        <w:rPr>
          <w:rFonts w:ascii="Simplified Arabic" w:hAnsi="Simplified Arabic" w:cs="Simplified Arabic" w:hint="cs"/>
          <w:sz w:val="28"/>
          <w:szCs w:val="28"/>
          <w:rtl/>
        </w:rPr>
        <w:t>).</w:t>
      </w:r>
    </w:p>
    <w:p w14:paraId="60BDFA90" w14:textId="77777777" w:rsidR="00F00638" w:rsidRPr="005E1B5F" w:rsidRDefault="00F00638" w:rsidP="00F00638">
      <w:pPr>
        <w:bidi/>
        <w:spacing w:line="278" w:lineRule="auto"/>
        <w:jc w:val="both"/>
        <w:rPr>
          <w:rFonts w:ascii="Simplified Arabic" w:hAnsi="Simplified Arabic" w:cs="Simplified Arabic"/>
          <w:sz w:val="28"/>
          <w:szCs w:val="28"/>
        </w:rPr>
      </w:pPr>
      <w:proofErr w:type="spellStart"/>
      <w:r w:rsidRPr="005E1B5F">
        <w:rPr>
          <w:rFonts w:ascii="Simplified Arabic" w:hAnsi="Simplified Arabic" w:cs="Simplified Arabic"/>
          <w:b/>
          <w:bCs/>
          <w:sz w:val="28"/>
          <w:szCs w:val="28"/>
          <w:rtl/>
        </w:rPr>
        <w:t>التوافرية</w:t>
      </w:r>
      <w:proofErr w:type="spellEnd"/>
      <w:r w:rsidRPr="005E1B5F">
        <w:rPr>
          <w:rFonts w:ascii="Simplified Arabic" w:hAnsi="Simplified Arabic" w:cs="Simplified Arabic"/>
          <w:b/>
          <w:bCs/>
          <w:sz w:val="28"/>
          <w:szCs w:val="28"/>
          <w:rtl/>
        </w:rPr>
        <w:t xml:space="preserve"> والاستمرارية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قياس نسبة الوقت الذي تكون فيه الخدمات متاحة للعملاء</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xml:space="preserve">، حيث </w:t>
      </w:r>
      <w:proofErr w:type="gramStart"/>
      <w:r w:rsidRPr="005E1B5F">
        <w:rPr>
          <w:rFonts w:ascii="Simplified Arabic" w:hAnsi="Simplified Arabic" w:cs="Simplified Arabic"/>
          <w:sz w:val="28"/>
          <w:szCs w:val="28"/>
          <w:rtl/>
        </w:rPr>
        <w:t>أن</w:t>
      </w:r>
      <w:proofErr w:type="gramEnd"/>
      <w:r w:rsidRPr="005E1B5F">
        <w:rPr>
          <w:rFonts w:ascii="Simplified Arabic" w:hAnsi="Simplified Arabic" w:cs="Simplified Arabic"/>
          <w:sz w:val="28"/>
          <w:szCs w:val="28"/>
          <w:rtl/>
        </w:rPr>
        <w:t xml:space="preserve"> الأنظمة الحديثة تمكن من التشغيل على مدار الساعة طوال أيام الأسبوع</w:t>
      </w:r>
      <w:r w:rsidRPr="005E1B5F">
        <w:rPr>
          <w:rFonts w:ascii="Simplified Arabic" w:hAnsi="Simplified Arabic" w:cs="Simplified Arabic"/>
          <w:sz w:val="28"/>
          <w:szCs w:val="28"/>
        </w:rPr>
        <w:t xml:space="preserve"> (24/7) (Ahammad et al., 2025; Islam &amp; In, 2024)</w:t>
      </w:r>
      <w:r w:rsidRPr="005E1B5F">
        <w:rPr>
          <w:rFonts w:ascii="Simplified Arabic" w:hAnsi="Simplified Arabic" w:cs="Simplified Arabic"/>
          <w:sz w:val="28"/>
          <w:szCs w:val="28"/>
          <w:rtl/>
        </w:rPr>
        <w:t xml:space="preserve">، مقارنة بالأنظمة التقليدية التي كانت محدودة بساعات العمل الرسمية، وهذا يحسن </w:t>
      </w:r>
      <w:r w:rsidRPr="005E1B5F">
        <w:rPr>
          <w:rFonts w:ascii="Simplified Arabic" w:hAnsi="Simplified Arabic" w:cs="Simplified Arabic"/>
          <w:sz w:val="28"/>
          <w:szCs w:val="28"/>
          <w:rtl/>
        </w:rPr>
        <w:lastRenderedPageBreak/>
        <w:t>بشكل كبير من تجربة العملاء ويفتح فرصاً جديدة للعمل عبر المناطق الزمنية المختلفة</w:t>
      </w:r>
      <w:r w:rsidRPr="005E1B5F">
        <w:rPr>
          <w:rFonts w:ascii="Simplified Arabic" w:hAnsi="Simplified Arabic" w:cs="Simplified Arabic"/>
          <w:sz w:val="28"/>
          <w:szCs w:val="28"/>
        </w:rPr>
        <w:t xml:space="preserve"> (Saudi Central Bank, 2024; Thunes Research, 2025)</w:t>
      </w:r>
      <w:r>
        <w:rPr>
          <w:rFonts w:ascii="Simplified Arabic" w:hAnsi="Simplified Arabic" w:cs="Simplified Arabic" w:hint="cs"/>
          <w:sz w:val="28"/>
          <w:szCs w:val="28"/>
          <w:rtl/>
        </w:rPr>
        <w:t>.</w:t>
      </w:r>
    </w:p>
    <w:p w14:paraId="73424F49"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جودة تجربة العملاء ومعدلات الرضا</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قياس مدى سهولة استخدام الخدمات، وسرعة الاستجابة لاحتياجات العملاء، ومستوى الشفافية في العمليات، ومعدلات رضا العملاء</w:t>
      </w:r>
      <w:r w:rsidRPr="005E1B5F">
        <w:rPr>
          <w:rFonts w:ascii="Simplified Arabic" w:hAnsi="Simplified Arabic" w:cs="Simplified Arabic"/>
          <w:sz w:val="28"/>
          <w:szCs w:val="28"/>
        </w:rPr>
        <w:t xml:space="preserve"> (Udeh et al., 2025;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sidRPr="005E1B5F">
        <w:rPr>
          <w:rFonts w:ascii="Simplified Arabic" w:hAnsi="Simplified Arabic" w:cs="Simplified Arabic"/>
          <w:sz w:val="28"/>
          <w:szCs w:val="28"/>
          <w:rtl/>
        </w:rPr>
        <w:t>، بحيث أن الخدمات الرقمية الحديثة توفر تجربة أكثر سلاسة وشفافية وتمكن العملاء من إنجاز معاملاتهم بشكل ذاتي دون الحاجة لزيارة الفروع أو الانتظار لفترات طويلة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 Thunes Research, 2025</w:t>
      </w:r>
      <w:r>
        <w:rPr>
          <w:rFonts w:ascii="Simplified Arabic" w:hAnsi="Simplified Arabic" w:cs="Simplified Arabic" w:hint="cs"/>
          <w:sz w:val="28"/>
          <w:szCs w:val="28"/>
          <w:rtl/>
        </w:rPr>
        <w:t>).</w:t>
      </w:r>
    </w:p>
    <w:p w14:paraId="51E88FB7"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2.1.3.3 </w:t>
      </w:r>
      <w:r w:rsidRPr="005E1B5F">
        <w:rPr>
          <w:rFonts w:ascii="Simplified Arabic" w:hAnsi="Simplified Arabic" w:cs="Simplified Arabic"/>
          <w:b/>
          <w:bCs/>
          <w:sz w:val="28"/>
          <w:szCs w:val="28"/>
          <w:rtl/>
        </w:rPr>
        <w:t>دور التحول الرقمي في تحسين كفاءة العمليات المالية</w:t>
      </w:r>
    </w:p>
    <w:p w14:paraId="61DE4468"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يلعب التحول الرقمي دوراً محورياً في تحسين كفاءة العمليات المالية من خلال عدة آليات رئيسية</w:t>
      </w:r>
      <w:r w:rsidRPr="005E1B5F">
        <w:rPr>
          <w:rFonts w:ascii="Simplified Arabic" w:hAnsi="Simplified Arabic" w:cs="Simplified Arabic"/>
          <w:sz w:val="28"/>
          <w:szCs w:val="28"/>
        </w:rPr>
        <w:t xml:space="preserve"> (Financial Stability Board, 2024; McKinsey &amp; Company, 2024)</w:t>
      </w:r>
      <w:r w:rsidRPr="005E1B5F">
        <w:rPr>
          <w:rFonts w:ascii="Simplified Arabic" w:hAnsi="Simplified Arabic" w:cs="Simplified Arabic"/>
          <w:sz w:val="28"/>
          <w:szCs w:val="28"/>
          <w:rtl/>
        </w:rPr>
        <w:t>، حيث تتمثل أهم هذه الآليات فيما يلي</w:t>
      </w:r>
      <w:r w:rsidRPr="005E1B5F">
        <w:rPr>
          <w:rFonts w:ascii="Simplified Arabic" w:hAnsi="Simplified Arabic" w:cs="Simplified Arabic"/>
          <w:sz w:val="28"/>
          <w:szCs w:val="28"/>
        </w:rPr>
        <w:t>:</w:t>
      </w:r>
    </w:p>
    <w:p w14:paraId="26F33D5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الأتمتة الذكية للعمليات</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استخدام تقنيات الذكاء الاصطناعي والروبوتات البرمجية</w:t>
      </w:r>
      <w:r w:rsidRPr="005E1B5F">
        <w:rPr>
          <w:rFonts w:ascii="Simplified Arabic" w:hAnsi="Simplified Arabic" w:cs="Simplified Arabic"/>
          <w:sz w:val="28"/>
          <w:szCs w:val="28"/>
        </w:rPr>
        <w:t xml:space="preserve"> (RPA) </w:t>
      </w:r>
      <w:r w:rsidRPr="005E1B5F">
        <w:rPr>
          <w:rFonts w:ascii="Simplified Arabic" w:hAnsi="Simplified Arabic" w:cs="Simplified Arabic"/>
          <w:sz w:val="28"/>
          <w:szCs w:val="28"/>
          <w:rtl/>
        </w:rPr>
        <w:t>لأتمتة العمليات اليدوية المتكررة</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يتم تحرير الموارد البشرية للتركيز على المهام ذات القيمة الأعلى التي تتطلب التفكير الإبداعي والحكم البشري</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 Islam &amp; In, 2024)</w:t>
      </w:r>
      <w:r w:rsidRPr="005E1B5F">
        <w:rPr>
          <w:rFonts w:ascii="Simplified Arabic" w:hAnsi="Simplified Arabic" w:cs="Simplified Arabic"/>
          <w:sz w:val="28"/>
          <w:szCs w:val="28"/>
          <w:rtl/>
        </w:rPr>
        <w:t>، مما يقلل من الأخطاء ويسرع من الإنجاز ويخفض التكاليف التشغيلية بشكل كبير</w:t>
      </w:r>
      <w:r w:rsidRPr="005E1B5F">
        <w:rPr>
          <w:rFonts w:ascii="Simplified Arabic" w:hAnsi="Simplified Arabic" w:cs="Simplified Arabic"/>
          <w:sz w:val="28"/>
          <w:szCs w:val="28"/>
        </w:rPr>
        <w:t xml:space="preserve">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Grossmann et al., 2025)</w:t>
      </w:r>
      <w:r>
        <w:rPr>
          <w:rFonts w:ascii="Simplified Arabic" w:hAnsi="Simplified Arabic" w:cs="Simplified Arabic" w:hint="cs"/>
          <w:sz w:val="28"/>
          <w:szCs w:val="28"/>
          <w:rtl/>
        </w:rPr>
        <w:t>.</w:t>
      </w:r>
    </w:p>
    <w:p w14:paraId="5C84501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تحسين عمليات اتخاذ القرار بالبيانات</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القدرة على جمع وتحليل كميات ضخمة من البيانات بشكل فوري</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يمكن للمؤسسات المالية اتخاذ قرارات أكثر استنارة بناءً على رؤى دقيقة ومحدثة، سواء فيما يتعلق بإدارة المخاطر، أو تحديد الأسعار، أو تطوير المنتجات، أو استهداف العملاء</w:t>
      </w:r>
      <w:r w:rsidRPr="005E1B5F">
        <w:rPr>
          <w:rFonts w:ascii="Simplified Arabic" w:hAnsi="Simplified Arabic" w:cs="Simplified Arabic"/>
          <w:sz w:val="28"/>
          <w:szCs w:val="28"/>
        </w:rPr>
        <w:t xml:space="preserve"> (McKinsey &amp; Company, 2024; Udeh et al., 2025)</w:t>
      </w:r>
      <w:r w:rsidRPr="005E1B5F">
        <w:rPr>
          <w:rFonts w:ascii="Simplified Arabic" w:hAnsi="Simplified Arabic" w:cs="Simplified Arabic"/>
          <w:sz w:val="28"/>
          <w:szCs w:val="28"/>
          <w:rtl/>
        </w:rPr>
        <w:t>، مما يحسن من فعالية القرارات ويقلل من المخاطر</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 Carapella et al., 2023).</w:t>
      </w:r>
    </w:p>
    <w:p w14:paraId="5B00C836"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تحسين تجربة العملاء الرقمية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عبر توفير منصات وتطبيقات رقمية سهلة الاستخدام تمكن العملاء من إنجاز معاملاتهم بشكل ذاتي في أي وقت ومن أي مكان</w:t>
      </w:r>
      <w:r w:rsidRPr="005E1B5F">
        <w:rPr>
          <w:rFonts w:ascii="Simplified Arabic" w:hAnsi="Simplified Arabic" w:cs="Simplified Arabic"/>
          <w:sz w:val="28"/>
          <w:szCs w:val="28"/>
        </w:rPr>
        <w:t xml:space="preserve"> (Saudi Central Bank, 2024; Thunes Research, 2025)</w:t>
      </w:r>
      <w:r w:rsidRPr="005E1B5F">
        <w:rPr>
          <w:rFonts w:ascii="Simplified Arabic" w:hAnsi="Simplified Arabic" w:cs="Simplified Arabic"/>
          <w:sz w:val="28"/>
          <w:szCs w:val="28"/>
          <w:rtl/>
        </w:rPr>
        <w:t>، مع إمكانية التخصيص حسب احتياجات كل عميل، وتقديم خدمات استباقية بناءً على التحليلات التنبؤية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sidRPr="005E1B5F">
        <w:rPr>
          <w:rFonts w:ascii="Simplified Arabic" w:hAnsi="Simplified Arabic" w:cs="Simplified Arabic"/>
          <w:sz w:val="28"/>
          <w:szCs w:val="28"/>
          <w:rtl/>
        </w:rPr>
        <w:t>، مما يعزز من رضا العملاء وولائهم</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Udeh et al., 2025)</w:t>
      </w:r>
      <w:r>
        <w:rPr>
          <w:rFonts w:ascii="Simplified Arabic" w:hAnsi="Simplified Arabic" w:cs="Simplified Arabic" w:hint="cs"/>
          <w:sz w:val="28"/>
          <w:szCs w:val="28"/>
          <w:rtl/>
        </w:rPr>
        <w:t>.</w:t>
      </w:r>
    </w:p>
    <w:p w14:paraId="480D9B4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خفض تكاليف البنية التحتية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الانتقال من الأنظمة القديمة المكلفة في الصيانة والتشغيل إلى حلول سحابية مرنة وقابلة للتوسع تدفع حسب الاستخدام</w:t>
      </w:r>
      <w:r w:rsidRPr="005E1B5F">
        <w:rPr>
          <w:rFonts w:ascii="Simplified Arabic" w:hAnsi="Simplified Arabic" w:cs="Simplified Arabic"/>
          <w:sz w:val="28"/>
          <w:szCs w:val="28"/>
        </w:rPr>
        <w:t xml:space="preserve"> (Ahammad et al., 2025; Islam &amp; In, 2024)</w:t>
      </w:r>
      <w:r w:rsidRPr="005E1B5F">
        <w:rPr>
          <w:rFonts w:ascii="Simplified Arabic" w:hAnsi="Simplified Arabic" w:cs="Simplified Arabic"/>
          <w:sz w:val="28"/>
          <w:szCs w:val="28"/>
          <w:rtl/>
        </w:rPr>
        <w:t>، بحيث يمكن للمؤسسات المالية تقليل استثماراتها الرأسمالية في البنية التحتية التقنية والتركيز على الابتكار وتطوير الخدمات</w:t>
      </w:r>
      <w:r w:rsidRPr="005E1B5F">
        <w:rPr>
          <w:rFonts w:ascii="Simplified Arabic" w:hAnsi="Simplified Arabic" w:cs="Simplified Arabic"/>
          <w:sz w:val="28"/>
          <w:szCs w:val="28"/>
        </w:rPr>
        <w:t xml:space="preserve">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Pr>
          <w:rFonts w:ascii="Simplified Arabic" w:hAnsi="Simplified Arabic" w:cs="Simplified Arabic" w:hint="cs"/>
          <w:sz w:val="28"/>
          <w:szCs w:val="28"/>
          <w:rtl/>
        </w:rPr>
        <w:t>.</w:t>
      </w:r>
    </w:p>
    <w:p w14:paraId="4D09EC12"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تمكين نماذج أعمال جديدة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فتح إمكانيات لم تكن متاحة في البيئة التقليدية، مثل الخدمات المصرفية المفتوحة</w:t>
      </w:r>
      <w:r w:rsidRPr="005E1B5F">
        <w:rPr>
          <w:rFonts w:ascii="Simplified Arabic" w:hAnsi="Simplified Arabic" w:cs="Simplified Arabic"/>
          <w:sz w:val="28"/>
          <w:szCs w:val="28"/>
        </w:rPr>
        <w:t xml:space="preserve"> (Open Banking)</w:t>
      </w:r>
      <w:r w:rsidRPr="005E1B5F">
        <w:rPr>
          <w:rFonts w:ascii="Simplified Arabic" w:hAnsi="Simplified Arabic" w:cs="Simplified Arabic"/>
          <w:sz w:val="28"/>
          <w:szCs w:val="28"/>
          <w:rtl/>
        </w:rPr>
        <w:t>، والتمويل اللامركزي</w:t>
      </w:r>
      <w:r w:rsidRPr="005E1B5F">
        <w:rPr>
          <w:rFonts w:ascii="Simplified Arabic" w:hAnsi="Simplified Arabic" w:cs="Simplified Arabic"/>
          <w:sz w:val="28"/>
          <w:szCs w:val="28"/>
        </w:rPr>
        <w:t xml:space="preserve"> (DeFi)</w:t>
      </w:r>
      <w:r w:rsidRPr="005E1B5F">
        <w:rPr>
          <w:rFonts w:ascii="Simplified Arabic" w:hAnsi="Simplified Arabic" w:cs="Simplified Arabic"/>
          <w:sz w:val="28"/>
          <w:szCs w:val="28"/>
          <w:rtl/>
        </w:rPr>
        <w:t>، والمنتجات المالية القابلة للبرمجة</w:t>
      </w:r>
      <w:r w:rsidRPr="005E1B5F">
        <w:rPr>
          <w:rFonts w:ascii="Simplified Arabic" w:hAnsi="Simplified Arabic" w:cs="Simplified Arabic"/>
          <w:sz w:val="28"/>
          <w:szCs w:val="28"/>
        </w:rPr>
        <w:t xml:space="preserve"> (Financial Stability Board, 2024; McKinsey &amp; Company, 2024)</w:t>
      </w:r>
      <w:r w:rsidRPr="005E1B5F">
        <w:rPr>
          <w:rFonts w:ascii="Simplified Arabic" w:hAnsi="Simplified Arabic" w:cs="Simplified Arabic"/>
          <w:sz w:val="28"/>
          <w:szCs w:val="28"/>
          <w:rtl/>
        </w:rPr>
        <w:t>، بحيث يمكن للمؤسسات المالية إعادة اختراع نفسها والمنافسة بطرق جديدة</w:t>
      </w:r>
      <w:r w:rsidRPr="005E1B5F">
        <w:rPr>
          <w:rFonts w:ascii="Simplified Arabic" w:hAnsi="Simplified Arabic" w:cs="Simplified Arabic"/>
          <w:sz w:val="28"/>
          <w:szCs w:val="28"/>
        </w:rPr>
        <w:t xml:space="preserve"> (Islam &amp; In, 2024; Thunes Research, 2025)</w:t>
      </w:r>
      <w:r>
        <w:rPr>
          <w:rFonts w:ascii="Simplified Arabic" w:hAnsi="Simplified Arabic" w:cs="Simplified Arabic" w:hint="cs"/>
          <w:sz w:val="28"/>
          <w:szCs w:val="28"/>
          <w:rtl/>
        </w:rPr>
        <w:t>.</w:t>
      </w:r>
    </w:p>
    <w:p w14:paraId="10B2581E" w14:textId="77777777" w:rsidR="00F00638" w:rsidRPr="00FB5EDA" w:rsidRDefault="00F00638" w:rsidP="00F00638">
      <w:pPr>
        <w:bidi/>
        <w:jc w:val="both"/>
        <w:rPr>
          <w:rFonts w:ascii="Simplified Arabic" w:hAnsi="Simplified Arabic" w:cs="Simplified Arabic"/>
          <w:sz w:val="28"/>
          <w:szCs w:val="28"/>
          <w:rtl/>
        </w:rPr>
      </w:pPr>
    </w:p>
    <w:p w14:paraId="24EB27C1"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2.1.4 </w:t>
      </w:r>
      <w:r w:rsidRPr="00FB5EDA">
        <w:rPr>
          <w:rFonts w:ascii="Simplified Arabic" w:hAnsi="Simplified Arabic" w:cs="Simplified Arabic"/>
          <w:b/>
          <w:bCs/>
          <w:sz w:val="28"/>
          <w:szCs w:val="28"/>
          <w:rtl/>
        </w:rPr>
        <w:t>رؤية السعودية 2030 والتحول الرقمي في القطاع المالي</w:t>
      </w:r>
    </w:p>
    <w:p w14:paraId="6C60DB12"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تمثل رؤية السعودية 2030 إطاراً استراتيجياً شاملاً ومتكاملاً للتحول الاقتصادي والاجتماعي في المملكة</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حيث تهدف إلى بناء مجتمع حيوي واقتصاد مزدهر ووطن طموح من خلال تنويع القاعدة الاقتصادية والحد من الاعتماد على النفط وتطوير القطاعات غير النفطية وتعزيز القدرات والمزايا التنافسية للمملكة على المستوى الإقليمي والعالمي</w:t>
      </w:r>
      <w:r w:rsidRPr="00FB5EDA">
        <w:rPr>
          <w:rFonts w:ascii="Simplified Arabic" w:hAnsi="Simplified Arabic" w:cs="Simplified Arabic"/>
          <w:sz w:val="28"/>
          <w:szCs w:val="28"/>
        </w:rPr>
        <w:t xml:space="preserve"> (Thunes Research, 2025). </w:t>
      </w:r>
      <w:r w:rsidRPr="00FB5EDA">
        <w:rPr>
          <w:rFonts w:ascii="Simplified Arabic" w:hAnsi="Simplified Arabic" w:cs="Simplified Arabic"/>
          <w:sz w:val="28"/>
          <w:szCs w:val="28"/>
          <w:rtl/>
        </w:rPr>
        <w:t xml:space="preserve">ويحتل التحول الرقمي موقعاً محورياً ضمن هذه الرؤية الطموحة، حيث يمثل ممكناً رئيسياً لتحقيق العديد من الأهداف الاستراتيجية عبر مختلف </w:t>
      </w:r>
      <w:r w:rsidRPr="00FB5EDA">
        <w:rPr>
          <w:rFonts w:ascii="Simplified Arabic" w:hAnsi="Simplified Arabic" w:cs="Simplified Arabic"/>
          <w:sz w:val="28"/>
          <w:szCs w:val="28"/>
          <w:rtl/>
        </w:rPr>
        <w:lastRenderedPageBreak/>
        <w:t>القطاعات</w:t>
      </w:r>
      <w:r w:rsidRPr="00FB5EDA">
        <w:rPr>
          <w:rFonts w:ascii="Simplified Arabic" w:hAnsi="Simplified Arabic" w:cs="Simplified Arabic"/>
          <w:sz w:val="28"/>
          <w:szCs w:val="28"/>
        </w:rPr>
        <w:t xml:space="preserve"> (IMF, 2024; McKinsey &amp; Company, 2024)</w:t>
      </w:r>
      <w:r w:rsidRPr="00FB5EDA">
        <w:rPr>
          <w:rFonts w:ascii="Simplified Arabic" w:hAnsi="Simplified Arabic" w:cs="Simplified Arabic"/>
          <w:sz w:val="28"/>
          <w:szCs w:val="28"/>
          <w:rtl/>
        </w:rPr>
        <w:t>، ومن بينها القطاع المالي الذي يلعب دوراً حيوياً في دعم النمو الاقتصادي وتمكين ريادة الأعمال وجذب الاستثمارات</w:t>
      </w:r>
      <w:r w:rsidRPr="00FB5EDA">
        <w:rPr>
          <w:rFonts w:ascii="Simplified Arabic" w:hAnsi="Simplified Arabic" w:cs="Simplified Arabic"/>
          <w:sz w:val="28"/>
          <w:szCs w:val="28"/>
        </w:rPr>
        <w:t xml:space="preserve"> (Saudi Central Bank, 2024; Financial Stability Board, 2024)</w:t>
      </w:r>
      <w:r>
        <w:rPr>
          <w:rFonts w:ascii="Simplified Arabic" w:hAnsi="Simplified Arabic" w:cs="Simplified Arabic" w:hint="cs"/>
          <w:sz w:val="28"/>
          <w:szCs w:val="28"/>
          <w:rtl/>
        </w:rPr>
        <w:t>.</w:t>
      </w:r>
    </w:p>
    <w:p w14:paraId="5AC13813"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2.1.4.1 </w:t>
      </w:r>
      <w:r w:rsidRPr="00FB5EDA">
        <w:rPr>
          <w:rFonts w:ascii="Simplified Arabic" w:hAnsi="Simplified Arabic" w:cs="Simplified Arabic"/>
          <w:b/>
          <w:bCs/>
          <w:sz w:val="28"/>
          <w:szCs w:val="28"/>
          <w:rtl/>
        </w:rPr>
        <w:t>أهداف رؤية 2030 المرتبطة بالقطاع المالي الرقمي</w:t>
      </w:r>
    </w:p>
    <w:p w14:paraId="41911887"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ترتبط العديد من أهداف رؤية 2030 بشكل مباشر بتطوير القطاع المالي الرقمي</w:t>
      </w:r>
      <w:r w:rsidRPr="00FB5EDA">
        <w:rPr>
          <w:rFonts w:ascii="Simplified Arabic" w:hAnsi="Simplified Arabic" w:cs="Simplified Arabic"/>
          <w:sz w:val="28"/>
          <w:szCs w:val="28"/>
        </w:rPr>
        <w:t xml:space="preserve"> (Saudi Central Bank, 2024; Thunes Research, 2025)</w:t>
      </w:r>
      <w:r w:rsidRPr="00FB5EDA">
        <w:rPr>
          <w:rFonts w:ascii="Simplified Arabic" w:hAnsi="Simplified Arabic" w:cs="Simplified Arabic"/>
          <w:sz w:val="28"/>
          <w:szCs w:val="28"/>
          <w:rtl/>
        </w:rPr>
        <w:t>، حيث تتمثل أهم هذه الأهداف فيما يلي</w:t>
      </w:r>
      <w:r w:rsidRPr="00FB5EDA">
        <w:rPr>
          <w:rFonts w:ascii="Simplified Arabic" w:hAnsi="Simplified Arabic" w:cs="Simplified Arabic"/>
          <w:sz w:val="28"/>
          <w:szCs w:val="28"/>
        </w:rPr>
        <w:t>:</w:t>
      </w:r>
    </w:p>
    <w:p w14:paraId="7666D4E5"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رفع معدل الشمول المالي وزيادة نسبة المعاملات غير النقدية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حيث تستهدف الرؤية الوصول إلى مجتمع أقل اعتماداً على النقد من خلال تحفيز استخدام وسائل الدفع الإلكترونية</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وتوسيع نطاق الوصول للخدمات المالية لتشمل كافة شرائح المجتمع بما في ذلك الفئات المحرومة تقليدياً من الخدمات المصرفية</w:t>
      </w:r>
      <w:r w:rsidRPr="00FB5EDA">
        <w:rPr>
          <w:rFonts w:ascii="Simplified Arabic" w:hAnsi="Simplified Arabic" w:cs="Simplified Arabic"/>
          <w:sz w:val="28"/>
          <w:szCs w:val="28"/>
        </w:rPr>
        <w:t xml:space="preserve"> (Thunes Research, 2025; McKinsey &amp; Company, 2024)</w:t>
      </w:r>
      <w:r w:rsidRPr="00FB5EDA">
        <w:rPr>
          <w:rFonts w:ascii="Simplified Arabic" w:hAnsi="Simplified Arabic" w:cs="Simplified Arabic"/>
          <w:sz w:val="28"/>
          <w:szCs w:val="28"/>
          <w:rtl/>
        </w:rPr>
        <w:t>، وقد حققت المملكة إنجازات ملموسة في هذا الجانب، حيث وصلت نسبة المدفوعات الإلكترونية إلى 79% من إجمالي المعاملات، وبلغت نسبة معاملات نقاط البيع بدون بطاقة (باستخدام تقنيات الترميز) 51.9%، كما ارتفع معدل الشمول المالي إلى 94% من السكان البالغين</w:t>
      </w:r>
      <w:r w:rsidRPr="00FB5EDA">
        <w:rPr>
          <w:rFonts w:ascii="Simplified Arabic" w:hAnsi="Simplified Arabic" w:cs="Simplified Arabic"/>
          <w:sz w:val="28"/>
          <w:szCs w:val="28"/>
        </w:rPr>
        <w:t xml:space="preserve"> (Saudi Central Bank, 2024)</w:t>
      </w:r>
      <w:r>
        <w:rPr>
          <w:rFonts w:ascii="Simplified Arabic" w:hAnsi="Simplified Arabic" w:cs="Simplified Arabic" w:hint="cs"/>
          <w:sz w:val="28"/>
          <w:szCs w:val="28"/>
          <w:rtl/>
        </w:rPr>
        <w:t>.</w:t>
      </w:r>
    </w:p>
    <w:p w14:paraId="62025DE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تطوير بنية تحتية رقمية متطورة وآمنة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الاستثمار في شبكات الاتصالات عالية السرعة، ومراكز البيانات، والحوسبة السحابية، والأمن السيبراني</w:t>
      </w:r>
      <w:r w:rsidRPr="00FB5EDA">
        <w:rPr>
          <w:rFonts w:ascii="Simplified Arabic" w:hAnsi="Simplified Arabic" w:cs="Simplified Arabic"/>
          <w:sz w:val="28"/>
          <w:szCs w:val="28"/>
        </w:rPr>
        <w:t xml:space="preserve"> (IMF, 2024; ENISA, 2024)</w:t>
      </w:r>
      <w:r w:rsidRPr="00FB5EDA">
        <w:rPr>
          <w:rFonts w:ascii="Simplified Arabic" w:hAnsi="Simplified Arabic" w:cs="Simplified Arabic"/>
          <w:sz w:val="28"/>
          <w:szCs w:val="28"/>
          <w:rtl/>
        </w:rPr>
        <w:t>، بحيث توفر المملكة بيئة رقمية تمكينية تدعم الابتكار والنمو في القطاع المالي وغيره من القطاعات</w:t>
      </w:r>
      <w:r w:rsidRPr="00FB5EDA">
        <w:rPr>
          <w:rFonts w:ascii="Simplified Arabic" w:hAnsi="Simplified Arabic" w:cs="Simplified Arabic"/>
          <w:sz w:val="28"/>
          <w:szCs w:val="28"/>
        </w:rPr>
        <w:t xml:space="preserve"> (Thunes Research, 2025; Saudi Central Bank, 2024)</w:t>
      </w:r>
      <w:r w:rsidRPr="00FB5EDA">
        <w:rPr>
          <w:rFonts w:ascii="Simplified Arabic" w:hAnsi="Simplified Arabic" w:cs="Simplified Arabic"/>
          <w:sz w:val="28"/>
          <w:szCs w:val="28"/>
          <w:rtl/>
        </w:rPr>
        <w:t>، وتستقطب الاستثمارات التقنية العالمية</w:t>
      </w:r>
      <w:r w:rsidRPr="00FB5EDA">
        <w:rPr>
          <w:rFonts w:ascii="Simplified Arabic" w:hAnsi="Simplified Arabic" w:cs="Simplified Arabic"/>
          <w:sz w:val="28"/>
          <w:szCs w:val="28"/>
        </w:rPr>
        <w:t xml:space="preserve"> (McKinsey &amp; Company, 2024; Financial Stability Board, 2024</w:t>
      </w:r>
      <w:r>
        <w:rPr>
          <w:rFonts w:ascii="Simplified Arabic" w:hAnsi="Simplified Arabic" w:cs="Simplified Arabic" w:hint="cs"/>
          <w:sz w:val="28"/>
          <w:szCs w:val="28"/>
          <w:rtl/>
        </w:rPr>
        <w:t>).</w:t>
      </w:r>
    </w:p>
    <w:p w14:paraId="0FDA86B3"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 xml:space="preserve">تعزيز دور </w:t>
      </w:r>
      <w:proofErr w:type="spellStart"/>
      <w:r w:rsidRPr="00FB5EDA">
        <w:rPr>
          <w:rFonts w:ascii="Simplified Arabic" w:hAnsi="Simplified Arabic" w:cs="Simplified Arabic"/>
          <w:b/>
          <w:bCs/>
          <w:sz w:val="28"/>
          <w:szCs w:val="28"/>
          <w:rtl/>
        </w:rPr>
        <w:t>الفنتك</w:t>
      </w:r>
      <w:proofErr w:type="spellEnd"/>
      <w:r w:rsidRPr="00FB5EDA">
        <w:rPr>
          <w:rFonts w:ascii="Simplified Arabic" w:hAnsi="Simplified Arabic" w:cs="Simplified Arabic"/>
          <w:b/>
          <w:bCs/>
          <w:sz w:val="28"/>
          <w:szCs w:val="28"/>
          <w:rtl/>
        </w:rPr>
        <w:t xml:space="preserve"> والابتكار المالي</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إنشاء بيئة تنظيمية داعمة للابتكار، وتوفير البيئات التجريبية</w:t>
      </w:r>
      <w:r w:rsidRPr="00FB5EDA">
        <w:rPr>
          <w:rFonts w:ascii="Simplified Arabic" w:hAnsi="Simplified Arabic" w:cs="Simplified Arabic"/>
          <w:sz w:val="28"/>
          <w:szCs w:val="28"/>
        </w:rPr>
        <w:t xml:space="preserve"> (Regulatory Sandboxes) </w:t>
      </w:r>
      <w:r w:rsidRPr="00FB5EDA">
        <w:rPr>
          <w:rFonts w:ascii="Simplified Arabic" w:hAnsi="Simplified Arabic" w:cs="Simplified Arabic"/>
          <w:sz w:val="28"/>
          <w:szCs w:val="28"/>
          <w:rtl/>
        </w:rPr>
        <w:t>التي تمكن الشركات الناشئة من تجربة منتجاتها وخدماتها الجديدة في بيئة محكومة</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xml:space="preserve">، وتقديم </w:t>
      </w:r>
      <w:r w:rsidRPr="00FB5EDA">
        <w:rPr>
          <w:rFonts w:ascii="Simplified Arabic" w:hAnsi="Simplified Arabic" w:cs="Simplified Arabic"/>
          <w:sz w:val="28"/>
          <w:szCs w:val="28"/>
          <w:rtl/>
        </w:rPr>
        <w:lastRenderedPageBreak/>
        <w:t xml:space="preserve">الحوافز والدعم لشركات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Pr>
        <w:t xml:space="preserve"> (Thunes Research, 2025)</w:t>
      </w:r>
      <w:r w:rsidRPr="00FB5EDA">
        <w:rPr>
          <w:rFonts w:ascii="Simplified Arabic" w:hAnsi="Simplified Arabic" w:cs="Simplified Arabic"/>
          <w:sz w:val="28"/>
          <w:szCs w:val="28"/>
          <w:rtl/>
        </w:rPr>
        <w:t>، وقد شهد القطاع نمواً ملحوظاً حيث يعمل حالياً 72 شركة فنتك في مجال المدفوعات، مما يعكس بيئة تنافسية وابتكارية</w:t>
      </w:r>
      <w:r w:rsidRPr="00FB5EDA">
        <w:rPr>
          <w:rFonts w:ascii="Simplified Arabic" w:hAnsi="Simplified Arabic" w:cs="Simplified Arabic"/>
          <w:sz w:val="28"/>
          <w:szCs w:val="28"/>
        </w:rPr>
        <w:t xml:space="preserve"> (Thunes Research, 2025; Islam &amp; In, 2024)</w:t>
      </w:r>
      <w:r>
        <w:rPr>
          <w:rFonts w:ascii="Simplified Arabic" w:hAnsi="Simplified Arabic" w:cs="Simplified Arabic" w:hint="cs"/>
          <w:sz w:val="28"/>
          <w:szCs w:val="28"/>
          <w:rtl/>
        </w:rPr>
        <w:t>.</w:t>
      </w:r>
    </w:p>
    <w:p w14:paraId="4D6E3195"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تحسين كفاءة القطاع المالي وتنافسيته</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تشجيع المؤسسات المالية على تبني أحدث التقنيات لتحسين عملياتها وخفض تكاليفها وتحسين تجربة عملائها</w:t>
      </w:r>
      <w:r w:rsidRPr="00FB5EDA">
        <w:rPr>
          <w:rFonts w:ascii="Simplified Arabic" w:hAnsi="Simplified Arabic" w:cs="Simplified Arabic"/>
          <w:sz w:val="28"/>
          <w:szCs w:val="28"/>
        </w:rPr>
        <w:t xml:space="preserve"> (Saudi Central Bank,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sidRPr="00FB5EDA">
        <w:rPr>
          <w:rFonts w:ascii="Simplified Arabic" w:hAnsi="Simplified Arabic" w:cs="Simplified Arabic"/>
          <w:sz w:val="28"/>
          <w:szCs w:val="28"/>
          <w:rtl/>
        </w:rPr>
        <w:t>، بحيث تصبح المؤسسات المالية السعودية قادرة على المنافسة عالمياً وجذب العملاء والاستثمارات من مختلف أنحاء العالم</w:t>
      </w:r>
      <w:r w:rsidRPr="00FB5EDA">
        <w:rPr>
          <w:rFonts w:ascii="Simplified Arabic" w:hAnsi="Simplified Arabic" w:cs="Simplified Arabic"/>
          <w:sz w:val="28"/>
          <w:szCs w:val="28"/>
        </w:rPr>
        <w:t xml:space="preserve"> (IMF, 2024; McKinsey &amp; Company, 2024)</w:t>
      </w:r>
      <w:r>
        <w:rPr>
          <w:rFonts w:ascii="Simplified Arabic" w:hAnsi="Simplified Arabic" w:cs="Simplified Arabic" w:hint="cs"/>
          <w:sz w:val="28"/>
          <w:szCs w:val="28"/>
          <w:rtl/>
        </w:rPr>
        <w:t>.</w:t>
      </w:r>
    </w:p>
    <w:p w14:paraId="1770EF95"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تعزيز الأمن السيبراني وحماية البيانات</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تطوير الأطر التنظيمية والمعايير الفنية التي تضمن حماية بيانات العملاء وأمن المعاملات المالية</w:t>
      </w:r>
      <w:r w:rsidRPr="00FB5EDA">
        <w:rPr>
          <w:rFonts w:ascii="Simplified Arabic" w:hAnsi="Simplified Arabic" w:cs="Simplified Arabic"/>
          <w:sz w:val="28"/>
          <w:szCs w:val="28"/>
        </w:rPr>
        <w:t xml:space="preserve"> (Saudi Central Bank, 2024; ENISA, 2024)</w:t>
      </w:r>
      <w:r w:rsidRPr="00FB5EDA">
        <w:rPr>
          <w:rFonts w:ascii="Simplified Arabic" w:hAnsi="Simplified Arabic" w:cs="Simplified Arabic"/>
          <w:sz w:val="28"/>
          <w:szCs w:val="28"/>
          <w:rtl/>
        </w:rPr>
        <w:t>، وبناء قدرات وطنية في مجال الأمن السيبراني</w:t>
      </w:r>
      <w:r w:rsidRPr="00FB5EDA">
        <w:rPr>
          <w:rFonts w:ascii="Simplified Arabic" w:hAnsi="Simplified Arabic" w:cs="Simplified Arabic"/>
          <w:sz w:val="28"/>
          <w:szCs w:val="28"/>
        </w:rPr>
        <w:t xml:space="preserve"> (IMF, 2024; PCI Security Standards Council, 2024)</w:t>
      </w:r>
      <w:r w:rsidRPr="00FB5EDA">
        <w:rPr>
          <w:rFonts w:ascii="Simplified Arabic" w:hAnsi="Simplified Arabic" w:cs="Simplified Arabic"/>
          <w:sz w:val="28"/>
          <w:szCs w:val="28"/>
          <w:rtl/>
        </w:rPr>
        <w:t>، بحيث تكون المملكة من الدول الرائدة عالمياً في هذا المجال الحيوي</w:t>
      </w:r>
      <w:r w:rsidRPr="00FB5EDA">
        <w:rPr>
          <w:rFonts w:ascii="Simplified Arabic" w:hAnsi="Simplified Arabic" w:cs="Simplified Arabic"/>
          <w:sz w:val="28"/>
          <w:szCs w:val="28"/>
        </w:rPr>
        <w:t xml:space="preserve"> (Saudi Central Bank, 2024; IBM Security, 2024</w:t>
      </w:r>
      <w:r>
        <w:rPr>
          <w:rFonts w:ascii="Simplified Arabic" w:hAnsi="Simplified Arabic" w:cs="Simplified Arabic" w:hint="cs"/>
          <w:sz w:val="28"/>
          <w:szCs w:val="28"/>
          <w:rtl/>
        </w:rPr>
        <w:t>).</w:t>
      </w:r>
    </w:p>
    <w:p w14:paraId="62A3E16C"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2.1.4.2 </w:t>
      </w:r>
      <w:r w:rsidRPr="00FB5EDA">
        <w:rPr>
          <w:rFonts w:ascii="Simplified Arabic" w:hAnsi="Simplified Arabic" w:cs="Simplified Arabic"/>
          <w:b/>
          <w:bCs/>
          <w:sz w:val="28"/>
          <w:szCs w:val="28"/>
          <w:rtl/>
        </w:rPr>
        <w:t>الإنجازات المحققة في التحول المالي الرقمي</w:t>
      </w:r>
    </w:p>
    <w:p w14:paraId="440BD236"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حققت المملكة العربية السعودية تقدماً ملموساً في مسيرة التحول المالي الرقمي ضمن رؤية 2030</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حيث تتمثل أبرز هذه الإنجازات فيما يلي</w:t>
      </w:r>
      <w:r w:rsidRPr="00FB5EDA">
        <w:rPr>
          <w:rFonts w:ascii="Simplified Arabic" w:hAnsi="Simplified Arabic" w:cs="Simplified Arabic"/>
          <w:sz w:val="28"/>
          <w:szCs w:val="28"/>
        </w:rPr>
        <w:t>:</w:t>
      </w:r>
    </w:p>
    <w:p w14:paraId="148C43A0"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نمو ملحوظ في المدفوعات الرقمية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حيث عالج نظام سريع 593 مليون معاملة في عام 2024، بينما وصلت نسبة المدفوعات الإلكترونية إلى 79% من إجمالي المعاملات</w:t>
      </w:r>
      <w:r w:rsidRPr="00FB5EDA">
        <w:rPr>
          <w:rFonts w:ascii="Simplified Arabic" w:hAnsi="Simplified Arabic" w:cs="Simplified Arabic"/>
          <w:sz w:val="28"/>
          <w:szCs w:val="28"/>
        </w:rPr>
        <w:t xml:space="preserve"> (Saudi Central Bank, 2024)</w:t>
      </w:r>
      <w:r w:rsidRPr="00FB5EDA">
        <w:rPr>
          <w:rFonts w:ascii="Simplified Arabic" w:hAnsi="Simplified Arabic" w:cs="Simplified Arabic"/>
          <w:sz w:val="28"/>
          <w:szCs w:val="28"/>
          <w:rtl/>
        </w:rPr>
        <w:t>، مع تزايد استخدام تقنيات الدفع بدون بطاقة التي تعتمد على الترميز</w:t>
      </w:r>
      <w:r w:rsidRPr="00FB5EDA">
        <w:rPr>
          <w:rFonts w:ascii="Simplified Arabic" w:hAnsi="Simplified Arabic" w:cs="Simplified Arabic"/>
          <w:sz w:val="28"/>
          <w:szCs w:val="28"/>
        </w:rPr>
        <w:t xml:space="preserve"> (Thunes Research, 2025; Financial Stability Board, 2024)</w:t>
      </w:r>
      <w:r w:rsidRPr="00FB5EDA">
        <w:rPr>
          <w:rFonts w:ascii="Simplified Arabic" w:hAnsi="Simplified Arabic" w:cs="Simplified Arabic"/>
          <w:sz w:val="28"/>
          <w:szCs w:val="28"/>
          <w:rtl/>
        </w:rPr>
        <w:t>، مما يعكس التحول الكبير نحو الاقتصاد الرقمي</w:t>
      </w:r>
      <w:r w:rsidRPr="00FB5EDA">
        <w:rPr>
          <w:rFonts w:ascii="Simplified Arabic" w:hAnsi="Simplified Arabic" w:cs="Simplified Arabic"/>
          <w:sz w:val="28"/>
          <w:szCs w:val="28"/>
        </w:rPr>
        <w:t xml:space="preserve"> (IMF, 2024; McKinsey &amp; Company, 2024</w:t>
      </w:r>
      <w:r>
        <w:rPr>
          <w:rFonts w:ascii="Simplified Arabic" w:hAnsi="Simplified Arabic" w:cs="Simplified Arabic" w:hint="cs"/>
          <w:sz w:val="28"/>
          <w:szCs w:val="28"/>
          <w:rtl/>
        </w:rPr>
        <w:t>).</w:t>
      </w:r>
    </w:p>
    <w:p w14:paraId="640B1B1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 xml:space="preserve">توسع النظام البيئي </w:t>
      </w:r>
      <w:proofErr w:type="spellStart"/>
      <w:r w:rsidRPr="00FB5EDA">
        <w:rPr>
          <w:rFonts w:ascii="Simplified Arabic" w:hAnsi="Simplified Arabic" w:cs="Simplified Arabic"/>
          <w:b/>
          <w:bCs/>
          <w:sz w:val="28"/>
          <w:szCs w:val="28"/>
          <w:rtl/>
        </w:rPr>
        <w:t>للفنتك</w:t>
      </w:r>
      <w:proofErr w:type="spellEnd"/>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 xml:space="preserve">من خلال زيادة عدد شركات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tl/>
        </w:rPr>
        <w:t xml:space="preserve"> العاملة في المملكة، وتنوع الخدمات المقدمة لتشمل المدفوعات، والتمويل، والاستثمار، والتأمين، وغيرها</w:t>
      </w:r>
      <w:r w:rsidRPr="00FB5EDA">
        <w:rPr>
          <w:rFonts w:ascii="Simplified Arabic" w:hAnsi="Simplified Arabic" w:cs="Simplified Arabic"/>
          <w:sz w:val="28"/>
          <w:szCs w:val="28"/>
        </w:rPr>
        <w:t xml:space="preserve"> (Thunes </w:t>
      </w:r>
      <w:r w:rsidRPr="00FB5EDA">
        <w:rPr>
          <w:rFonts w:ascii="Simplified Arabic" w:hAnsi="Simplified Arabic" w:cs="Simplified Arabic"/>
          <w:sz w:val="28"/>
          <w:szCs w:val="28"/>
        </w:rPr>
        <w:lastRenderedPageBreak/>
        <w:t>Research, 2025; Islam &amp; In, 2024)</w:t>
      </w:r>
      <w:r w:rsidRPr="00FB5EDA">
        <w:rPr>
          <w:rFonts w:ascii="Simplified Arabic" w:hAnsi="Simplified Arabic" w:cs="Simplified Arabic"/>
          <w:sz w:val="28"/>
          <w:szCs w:val="28"/>
          <w:rtl/>
        </w:rPr>
        <w:t>، مما يثري الخيارات المتاحة للمستهلكين ويعزز المنافسة والابتكار</w:t>
      </w:r>
      <w:r w:rsidRPr="00FB5EDA">
        <w:rPr>
          <w:rFonts w:ascii="Simplified Arabic" w:hAnsi="Simplified Arabic" w:cs="Simplified Arabic"/>
          <w:sz w:val="28"/>
          <w:szCs w:val="28"/>
        </w:rPr>
        <w:t xml:space="preserve"> (Saudi Central Bank,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191AB2D2"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إشادة دولية بالتقدم المحرز</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حيث أشاد صندوق النقد الدولي بالتقدم الذي حققته المملكة في تحول المدفوعات الوطنية، ورفع معدل الشمول المالي إلى 94% من السكان البالغين، وإصلاح الأطر القانونية والتنظيمية لدعم الابتكار المالي</w:t>
      </w:r>
      <w:r w:rsidRPr="00FB5EDA">
        <w:rPr>
          <w:rFonts w:ascii="Simplified Arabic" w:hAnsi="Simplified Arabic" w:cs="Simplified Arabic"/>
          <w:sz w:val="28"/>
          <w:szCs w:val="28"/>
        </w:rPr>
        <w:t xml:space="preserve"> (IMF, 2024)</w:t>
      </w:r>
      <w:r w:rsidRPr="00FB5EDA">
        <w:rPr>
          <w:rFonts w:ascii="Simplified Arabic" w:hAnsi="Simplified Arabic" w:cs="Simplified Arabic"/>
          <w:sz w:val="28"/>
          <w:szCs w:val="28"/>
          <w:rtl/>
        </w:rPr>
        <w:t>، مما يضع المملكة في مصاف الدول الرائدة في هذا المجال</w:t>
      </w:r>
      <w:r w:rsidRPr="00FB5EDA">
        <w:rPr>
          <w:rFonts w:ascii="Simplified Arabic" w:hAnsi="Simplified Arabic" w:cs="Simplified Arabic"/>
          <w:sz w:val="28"/>
          <w:szCs w:val="28"/>
        </w:rPr>
        <w:t xml:space="preserve"> (Saudi Central Bank, 2024; McKinsey &amp; Company, 2024</w:t>
      </w:r>
      <w:r>
        <w:rPr>
          <w:rFonts w:ascii="Simplified Arabic" w:hAnsi="Simplified Arabic" w:cs="Simplified Arabic" w:hint="cs"/>
          <w:sz w:val="28"/>
          <w:szCs w:val="28"/>
          <w:rtl/>
        </w:rPr>
        <w:t>).</w:t>
      </w:r>
    </w:p>
    <w:p w14:paraId="304AF2FD"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نمو متوقع للاقتصاد الرقمي</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حيث تشير التوقعات إلى وصول قيمة الاقتصاد الرقمي في المملكة إلى 87 مليار دولار بحلول عام 2025، مع معدل انتشار رقمي يبلغ 99</w:t>
      </w:r>
      <w:r w:rsidRPr="00FB5EDA">
        <w:rPr>
          <w:rFonts w:ascii="Simplified Arabic" w:hAnsi="Simplified Arabic" w:cs="Simplified Arabic"/>
          <w:sz w:val="28"/>
          <w:szCs w:val="28"/>
        </w:rPr>
        <w:t>% (Thunes Research, 2025)</w:t>
      </w:r>
      <w:r w:rsidRPr="00FB5EDA">
        <w:rPr>
          <w:rFonts w:ascii="Simplified Arabic" w:hAnsi="Simplified Arabic" w:cs="Simplified Arabic"/>
          <w:sz w:val="28"/>
          <w:szCs w:val="28"/>
          <w:rtl/>
        </w:rPr>
        <w:t>، مما يعكس حجم الفرص الهائلة المتاحة في هذا القطاع</w:t>
      </w:r>
      <w:r w:rsidRPr="00FB5EDA">
        <w:rPr>
          <w:rFonts w:ascii="Simplified Arabic" w:hAnsi="Simplified Arabic" w:cs="Simplified Arabic"/>
          <w:sz w:val="28"/>
          <w:szCs w:val="28"/>
        </w:rPr>
        <w:t xml:space="preserve"> (Saudi Central Bank, 2024; Financial Stability Board, 2024</w:t>
      </w:r>
      <w:r>
        <w:rPr>
          <w:rFonts w:ascii="Simplified Arabic" w:hAnsi="Simplified Arabic" w:cs="Simplified Arabic" w:hint="cs"/>
          <w:sz w:val="28"/>
          <w:szCs w:val="28"/>
          <w:rtl/>
        </w:rPr>
        <w:t>).</w:t>
      </w:r>
    </w:p>
    <w:p w14:paraId="46589F70"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2.1.4.3 </w:t>
      </w:r>
      <w:r w:rsidRPr="00FB5EDA">
        <w:rPr>
          <w:rFonts w:ascii="Simplified Arabic" w:hAnsi="Simplified Arabic" w:cs="Simplified Arabic"/>
          <w:b/>
          <w:bCs/>
          <w:sz w:val="28"/>
          <w:szCs w:val="28"/>
          <w:rtl/>
        </w:rPr>
        <w:t>دور تقنية الترميز في تحقيق أهداف رؤية 2030</w:t>
      </w:r>
    </w:p>
    <w:p w14:paraId="50E9691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تساهم تقنية الترميز بشكل مباشر في تحقيق العديد من أهداف رؤية 2030 في القطاع المالي</w:t>
      </w:r>
      <w:r w:rsidRPr="00FB5EDA">
        <w:rPr>
          <w:rFonts w:ascii="Simplified Arabic" w:hAnsi="Simplified Arabic" w:cs="Simplified Arabic"/>
          <w:sz w:val="28"/>
          <w:szCs w:val="28"/>
        </w:rPr>
        <w:t xml:space="preserve"> (Saudi Central Bank, 2024; Financial Stability Board, 2024)</w:t>
      </w:r>
      <w:r w:rsidRPr="00FB5EDA">
        <w:rPr>
          <w:rFonts w:ascii="Simplified Arabic" w:hAnsi="Simplified Arabic" w:cs="Simplified Arabic"/>
          <w:sz w:val="28"/>
          <w:szCs w:val="28"/>
          <w:rtl/>
        </w:rPr>
        <w:t>، حيث يتمثل هذا الدور فيما يلي</w:t>
      </w:r>
      <w:r w:rsidRPr="00FB5EDA">
        <w:rPr>
          <w:rFonts w:ascii="Simplified Arabic" w:hAnsi="Simplified Arabic" w:cs="Simplified Arabic"/>
          <w:sz w:val="28"/>
          <w:szCs w:val="28"/>
        </w:rPr>
        <w:t>:</w:t>
      </w:r>
    </w:p>
    <w:p w14:paraId="2572B782"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تعزيز الأمن السيبراني</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توفير طبقة حماية إضافية للبيانات الحساسة</w:t>
      </w:r>
      <w:r w:rsidRPr="00FB5EDA">
        <w:rPr>
          <w:rFonts w:ascii="Simplified Arabic" w:hAnsi="Simplified Arabic" w:cs="Simplified Arabic"/>
          <w:sz w:val="28"/>
          <w:szCs w:val="28"/>
        </w:rPr>
        <w:t xml:space="preserve"> (PCI Security Standards Council, 2024;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w:t>
      </w:r>
      <w:r w:rsidRPr="00FB5EDA">
        <w:rPr>
          <w:rFonts w:ascii="Simplified Arabic" w:hAnsi="Simplified Arabic" w:cs="Simplified Arabic"/>
          <w:sz w:val="28"/>
          <w:szCs w:val="28"/>
          <w:rtl/>
        </w:rPr>
        <w:t>، بما يتماشى مع أهداف الرؤية في بناء فضاء إلكتروني آمن يحمي المواطنين والمستثمرين</w:t>
      </w:r>
      <w:r w:rsidRPr="00FB5EDA">
        <w:rPr>
          <w:rFonts w:ascii="Simplified Arabic" w:hAnsi="Simplified Arabic" w:cs="Simplified Arabic"/>
          <w:sz w:val="28"/>
          <w:szCs w:val="28"/>
        </w:rPr>
        <w:t xml:space="preserve"> (Saudi Central Bank, 2024; ENISA, 2024)</w:t>
      </w:r>
      <w:r w:rsidRPr="00FB5EDA">
        <w:rPr>
          <w:rFonts w:ascii="Simplified Arabic" w:hAnsi="Simplified Arabic" w:cs="Simplified Arabic"/>
          <w:sz w:val="28"/>
          <w:szCs w:val="28"/>
          <w:rtl/>
        </w:rPr>
        <w:t>، ويعزز من ثقتهم في الخدمات المالية الرقمية</w:t>
      </w:r>
      <w:r w:rsidRPr="00FB5EDA">
        <w:rPr>
          <w:rFonts w:ascii="Simplified Arabic" w:hAnsi="Simplified Arabic" w:cs="Simplified Arabic"/>
          <w:sz w:val="28"/>
          <w:szCs w:val="28"/>
        </w:rPr>
        <w:t xml:space="preserve"> (IMF, 2024; Ahammad et al., 2025)</w:t>
      </w:r>
      <w:r>
        <w:rPr>
          <w:rFonts w:ascii="Simplified Arabic" w:hAnsi="Simplified Arabic" w:cs="Simplified Arabic" w:hint="cs"/>
          <w:sz w:val="28"/>
          <w:szCs w:val="28"/>
          <w:rtl/>
        </w:rPr>
        <w:t>.</w:t>
      </w:r>
    </w:p>
    <w:p w14:paraId="3CF6C99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تحسين كفاءة العمليات المالية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عبر تسريع المعاملات وخفض التكاليف</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Grossmann et al., 2025)</w:t>
      </w:r>
      <w:r w:rsidRPr="00FB5EDA">
        <w:rPr>
          <w:rFonts w:ascii="Simplified Arabic" w:hAnsi="Simplified Arabic" w:cs="Simplified Arabic"/>
          <w:sz w:val="28"/>
          <w:szCs w:val="28"/>
          <w:rtl/>
        </w:rPr>
        <w:t>، بما يساهم في تعزيز تنافسية المؤسسات المالية السعودية ويجعلها أكثر جاذبية للعملاء والمستثمرين على المستوى الإقليمي والعالمي</w:t>
      </w:r>
      <w:r w:rsidRPr="00FB5EDA">
        <w:rPr>
          <w:rFonts w:ascii="Simplified Arabic" w:hAnsi="Simplified Arabic" w:cs="Simplified Arabic"/>
          <w:sz w:val="28"/>
          <w:szCs w:val="28"/>
        </w:rPr>
        <w:t xml:space="preserve"> (Saudi Central Bank, 2024; McKinsey &amp; Company, 2024</w:t>
      </w:r>
      <w:r>
        <w:rPr>
          <w:rFonts w:ascii="Simplified Arabic" w:hAnsi="Simplified Arabic" w:cs="Simplified Arabic" w:hint="cs"/>
          <w:sz w:val="28"/>
          <w:szCs w:val="28"/>
          <w:rtl/>
        </w:rPr>
        <w:t>).</w:t>
      </w:r>
    </w:p>
    <w:p w14:paraId="62A1B8F8"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lastRenderedPageBreak/>
        <w:t>توسيع نطاق الشمول المالي</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تمكين الملكية الجزئية للأصول وخفض حواجز الدخول للاستثمار</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Multiple Authors, 2025)</w:t>
      </w:r>
      <w:r w:rsidRPr="00FB5EDA">
        <w:rPr>
          <w:rFonts w:ascii="Simplified Arabic" w:hAnsi="Simplified Arabic" w:cs="Simplified Arabic"/>
          <w:sz w:val="28"/>
          <w:szCs w:val="28"/>
          <w:rtl/>
        </w:rPr>
        <w:t>، بما يفتح المجال أمام شرائح أوسع من المجتمع للمشاركة في الأسواق المالية والاستفادة من فرص الاستثمار</w:t>
      </w:r>
      <w:r w:rsidRPr="00FB5EDA">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7141E49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دعم الابتكار المالي</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عبر إتاحة إمكانيات جديدة لتطوير منتجات وخدمات مالية مبتكرة</w:t>
      </w:r>
      <w:r w:rsidRPr="00FB5EDA">
        <w:rPr>
          <w:rFonts w:ascii="Simplified Arabic" w:hAnsi="Simplified Arabic" w:cs="Simplified Arabic"/>
          <w:sz w:val="28"/>
          <w:szCs w:val="28"/>
        </w:rPr>
        <w:t xml:space="preserve"> (Financial Stability Board, 2024; Islam &amp; In, 2024)</w:t>
      </w:r>
      <w:r w:rsidRPr="00FB5EDA">
        <w:rPr>
          <w:rFonts w:ascii="Simplified Arabic" w:hAnsi="Simplified Arabic" w:cs="Simplified Arabic"/>
          <w:sz w:val="28"/>
          <w:szCs w:val="28"/>
          <w:rtl/>
        </w:rPr>
        <w:t xml:space="preserve">، بما يعزز من النظام البيئي </w:t>
      </w:r>
      <w:proofErr w:type="spellStart"/>
      <w:r w:rsidRPr="00FB5EDA">
        <w:rPr>
          <w:rFonts w:ascii="Simplified Arabic" w:hAnsi="Simplified Arabic" w:cs="Simplified Arabic"/>
          <w:sz w:val="28"/>
          <w:szCs w:val="28"/>
          <w:rtl/>
        </w:rPr>
        <w:t>للفنتك</w:t>
      </w:r>
      <w:proofErr w:type="spellEnd"/>
      <w:r w:rsidRPr="00FB5EDA">
        <w:rPr>
          <w:rFonts w:ascii="Simplified Arabic" w:hAnsi="Simplified Arabic" w:cs="Simplified Arabic"/>
          <w:sz w:val="28"/>
          <w:szCs w:val="28"/>
          <w:rtl/>
        </w:rPr>
        <w:t xml:space="preserve"> ويجعل المملكة مركزاً إقليمياً للابتكار المالي</w:t>
      </w:r>
      <w:r w:rsidRPr="00FB5EDA">
        <w:rPr>
          <w:rFonts w:ascii="Simplified Arabic" w:hAnsi="Simplified Arabic" w:cs="Simplified Arabic"/>
          <w:sz w:val="28"/>
          <w:szCs w:val="28"/>
        </w:rPr>
        <w:t xml:space="preserve"> (Thunes Research, 2025; McKinsey &amp; Company, 2024)</w:t>
      </w:r>
      <w:r>
        <w:rPr>
          <w:rFonts w:ascii="Simplified Arabic" w:hAnsi="Simplified Arabic" w:cs="Simplified Arabic" w:hint="cs"/>
          <w:sz w:val="28"/>
          <w:szCs w:val="28"/>
          <w:rtl/>
        </w:rPr>
        <w:t>.</w:t>
      </w:r>
    </w:p>
    <w:p w14:paraId="07ECA27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جذب الاستثمارات</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توفير بنية تحتية مالية رقمية متطورة تستقطب الاستثمارات المحلية والأجنبية</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وتعزز من مكانة المملكة كوجهة استثمارية جاذبة</w:t>
      </w:r>
      <w:r w:rsidRPr="00FB5EDA">
        <w:rPr>
          <w:rFonts w:ascii="Simplified Arabic" w:hAnsi="Simplified Arabic" w:cs="Simplified Arabic"/>
          <w:sz w:val="28"/>
          <w:szCs w:val="28"/>
        </w:rPr>
        <w:t xml:space="preserve"> (McKinsey &amp; Company, 2024; Financial Stability Board, 2024)</w:t>
      </w:r>
      <w:r>
        <w:rPr>
          <w:rFonts w:ascii="Simplified Arabic" w:hAnsi="Simplified Arabic" w:cs="Simplified Arabic" w:hint="cs"/>
          <w:sz w:val="28"/>
          <w:szCs w:val="28"/>
          <w:rtl/>
        </w:rPr>
        <w:t>.</w:t>
      </w:r>
    </w:p>
    <w:p w14:paraId="1C22A9FF"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2.1.5 </w:t>
      </w:r>
      <w:r w:rsidRPr="00FB5EDA">
        <w:rPr>
          <w:rFonts w:ascii="Simplified Arabic" w:hAnsi="Simplified Arabic" w:cs="Simplified Arabic"/>
          <w:b/>
          <w:bCs/>
          <w:sz w:val="28"/>
          <w:szCs w:val="28"/>
          <w:rtl/>
        </w:rPr>
        <w:t>الأسس النظرية المفسّرة للعلاقة بين تقنية الترميز والأمن السيبراني وكفاءة العمليات المالية</w:t>
      </w:r>
    </w:p>
    <w:p w14:paraId="78E05687"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تستند الدراسة الحالية إلى مجموعة من النظريات والأطر المفاهيمية التي تفسر كيفية تأثير تقنية الترميز على كل من الأمن السيبراني وكفاءة العمليات المالية</w:t>
      </w:r>
      <w:r w:rsidRPr="00FB5EDA">
        <w:rPr>
          <w:rFonts w:ascii="Simplified Arabic" w:hAnsi="Simplified Arabic" w:cs="Simplified Arabic"/>
          <w:sz w:val="28"/>
          <w:szCs w:val="28"/>
        </w:rPr>
        <w:t xml:space="preserve"> (Financial Stability Board, 2024; Carapella et al., 2023)</w:t>
      </w:r>
      <w:r w:rsidRPr="00FB5EDA">
        <w:rPr>
          <w:rFonts w:ascii="Simplified Arabic" w:hAnsi="Simplified Arabic" w:cs="Simplified Arabic"/>
          <w:sz w:val="28"/>
          <w:szCs w:val="28"/>
          <w:rtl/>
        </w:rPr>
        <w:t>، حيث توفر هذه النظريات الأساس المنطقي والعلمي لفهم الآليات والعمليات التي من خلالها تحدث هذه التأثيرات</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Udeh et al., 2025)</w:t>
      </w:r>
      <w:r w:rsidRPr="00FB5EDA">
        <w:rPr>
          <w:rFonts w:ascii="Simplified Arabic" w:hAnsi="Simplified Arabic" w:cs="Simplified Arabic"/>
          <w:sz w:val="28"/>
          <w:szCs w:val="28"/>
          <w:rtl/>
        </w:rPr>
        <w:t>، بحيث لا تقتصر الدراسة على مجرد رصد العلاقات الظاهرة بل تسعى لفهم الديناميكيات الكامنة وراءها من خلال عدسات نظرية متعددة</w:t>
      </w:r>
      <w:r w:rsidRPr="00FB5EDA">
        <w:rPr>
          <w:rFonts w:ascii="Simplified Arabic" w:hAnsi="Simplified Arabic" w:cs="Simplified Arabic"/>
          <w:sz w:val="28"/>
          <w:szCs w:val="28"/>
        </w:rPr>
        <w:t xml:space="preserve"> (Grossmann et al.,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w:t>
      </w:r>
      <w:r w:rsidRPr="00FB5EDA">
        <w:rPr>
          <w:rFonts w:ascii="Simplified Arabic" w:hAnsi="Simplified Arabic" w:cs="Simplified Arabic"/>
          <w:sz w:val="28"/>
          <w:szCs w:val="28"/>
          <w:rtl/>
        </w:rPr>
        <w:t>وتتكامل هذه النظريات لتقديم فهم شامل ومتعدد الأبعاد للظاهرة محل الدراسة</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بحيث تغطي الجوانب التقنية والاقتصادية والتنظيمية والسلوكية المرتبطة بتبني وتطبيق تقنية الترميز في المؤسسات المالية</w:t>
      </w:r>
      <w:r w:rsidRPr="00FB5EDA">
        <w:rPr>
          <w:rFonts w:ascii="Simplified Arabic" w:hAnsi="Simplified Arabic" w:cs="Simplified Arabic"/>
          <w:sz w:val="28"/>
          <w:szCs w:val="28"/>
        </w:rPr>
        <w:t xml:space="preserve"> (Islam &amp; In,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51647067"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lastRenderedPageBreak/>
        <w:t xml:space="preserve">2.1.5.1 </w:t>
      </w:r>
      <w:r w:rsidRPr="00FB5EDA">
        <w:rPr>
          <w:rFonts w:ascii="Simplified Arabic" w:hAnsi="Simplified Arabic" w:cs="Simplified Arabic"/>
          <w:b/>
          <w:bCs/>
          <w:sz w:val="28"/>
          <w:szCs w:val="28"/>
          <w:rtl/>
        </w:rPr>
        <w:t>نظرية أمن المعلومات</w:t>
      </w:r>
      <w:r w:rsidRPr="00FB5EDA">
        <w:rPr>
          <w:rFonts w:ascii="Simplified Arabic" w:hAnsi="Simplified Arabic" w:cs="Simplified Arabic"/>
          <w:b/>
          <w:bCs/>
          <w:sz w:val="28"/>
          <w:szCs w:val="28"/>
        </w:rPr>
        <w:t xml:space="preserve"> (Information Security Theory)</w:t>
      </w:r>
    </w:p>
    <w:p w14:paraId="153906E6"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تقدم نظرية أمن المعلومات إطاراً أساسياً لفهم كيفية حماية الأصول المعلوماتية من التهديدات المختلفة</w:t>
      </w:r>
      <w:r w:rsidRPr="00FB5EDA">
        <w:rPr>
          <w:rFonts w:ascii="Simplified Arabic" w:hAnsi="Simplified Arabic" w:cs="Simplified Arabic"/>
          <w:sz w:val="28"/>
          <w:szCs w:val="28"/>
        </w:rPr>
        <w:t xml:space="preserve"> (ENISA, 2024; PCI Security Standards Council, 2024)</w:t>
      </w:r>
      <w:r w:rsidRPr="00FB5EDA">
        <w:rPr>
          <w:rFonts w:ascii="Simplified Arabic" w:hAnsi="Simplified Arabic" w:cs="Simplified Arabic"/>
          <w:sz w:val="28"/>
          <w:szCs w:val="28"/>
          <w:rtl/>
        </w:rPr>
        <w:t>، حيث ترتكز هذه النظرية على ثلاثية</w:t>
      </w:r>
      <w:r w:rsidRPr="00FB5EDA">
        <w:rPr>
          <w:rFonts w:ascii="Simplified Arabic" w:hAnsi="Simplified Arabic" w:cs="Simplified Arabic"/>
          <w:sz w:val="28"/>
          <w:szCs w:val="28"/>
        </w:rPr>
        <w:t xml:space="preserve"> CIA </w:t>
      </w:r>
      <w:r w:rsidRPr="00FB5EDA">
        <w:rPr>
          <w:rFonts w:ascii="Simplified Arabic" w:hAnsi="Simplified Arabic" w:cs="Simplified Arabic"/>
          <w:sz w:val="28"/>
          <w:szCs w:val="28"/>
          <w:rtl/>
        </w:rPr>
        <w:t>التي تمثل الأهداف الرئيسية لأمن المعلومات، وهي السرية</w:t>
      </w:r>
      <w:r w:rsidRPr="00FB5EDA">
        <w:rPr>
          <w:rFonts w:ascii="Simplified Arabic" w:hAnsi="Simplified Arabic" w:cs="Simplified Arabic"/>
          <w:sz w:val="28"/>
          <w:szCs w:val="28"/>
        </w:rPr>
        <w:t xml:space="preserve"> (Confidentiality) </w:t>
      </w:r>
      <w:r w:rsidRPr="00FB5EDA">
        <w:rPr>
          <w:rFonts w:ascii="Simplified Arabic" w:hAnsi="Simplified Arabic" w:cs="Simplified Arabic"/>
          <w:sz w:val="28"/>
          <w:szCs w:val="28"/>
          <w:rtl/>
        </w:rPr>
        <w:t>والسلامة</w:t>
      </w:r>
      <w:r w:rsidRPr="00FB5EDA">
        <w:rPr>
          <w:rFonts w:ascii="Simplified Arabic" w:hAnsi="Simplified Arabic" w:cs="Simplified Arabic"/>
          <w:sz w:val="28"/>
          <w:szCs w:val="28"/>
        </w:rPr>
        <w:t xml:space="preserve"> (Integrity) </w:t>
      </w:r>
      <w:proofErr w:type="spellStart"/>
      <w:r w:rsidRPr="00FB5EDA">
        <w:rPr>
          <w:rFonts w:ascii="Simplified Arabic" w:hAnsi="Simplified Arabic" w:cs="Simplified Arabic"/>
          <w:sz w:val="28"/>
          <w:szCs w:val="28"/>
          <w:rtl/>
        </w:rPr>
        <w:t>والتوافرية</w:t>
      </w:r>
      <w:proofErr w:type="spellEnd"/>
      <w:r w:rsidRPr="00FB5EDA">
        <w:rPr>
          <w:rFonts w:ascii="Simplified Arabic" w:hAnsi="Simplified Arabic" w:cs="Simplified Arabic"/>
          <w:sz w:val="28"/>
          <w:szCs w:val="28"/>
        </w:rPr>
        <w:t xml:space="preserve"> (Availability) (IBM Security, 2024; Ahammad et al., 2025)</w:t>
      </w:r>
      <w:r w:rsidRPr="00FB5EDA">
        <w:rPr>
          <w:rFonts w:ascii="Simplified Arabic" w:hAnsi="Simplified Arabic" w:cs="Simplified Arabic"/>
          <w:sz w:val="28"/>
          <w:szCs w:val="28"/>
          <w:rtl/>
        </w:rPr>
        <w:t>، بحيث يجب أن تحقق أي منظومة أمنية فعالة هذه الأهداف الثلاثة بشكل متوازن</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Carapella et al., 2023). </w:t>
      </w:r>
      <w:r w:rsidRPr="00FB5EDA">
        <w:rPr>
          <w:rFonts w:ascii="Simplified Arabic" w:hAnsi="Simplified Arabic" w:cs="Simplified Arabic"/>
          <w:sz w:val="28"/>
          <w:szCs w:val="28"/>
          <w:rtl/>
        </w:rPr>
        <w:t>وفي سياق تقنية الترميز، تتحقق السرية من خلال استبدال البيانات الحساسة برموز عديمة القيمة في حال اعتراضها</w:t>
      </w:r>
      <w:r w:rsidRPr="00FB5EDA">
        <w:rPr>
          <w:rFonts w:ascii="Simplified Arabic" w:hAnsi="Simplified Arabic" w:cs="Simplified Arabic"/>
          <w:sz w:val="28"/>
          <w:szCs w:val="28"/>
        </w:rPr>
        <w:t xml:space="preserve"> (PCI Security Standards Council, 2024; Financial Stability Board, 2024)</w:t>
      </w:r>
      <w:r w:rsidRPr="00FB5EDA">
        <w:rPr>
          <w:rFonts w:ascii="Simplified Arabic" w:hAnsi="Simplified Arabic" w:cs="Simplified Arabic"/>
          <w:sz w:val="28"/>
          <w:szCs w:val="28"/>
          <w:rtl/>
        </w:rPr>
        <w:t>، مما يمنع الوصول غير المصرح به للمعلومات حتى في حال اختراق النظام</w:t>
      </w:r>
      <w:r w:rsidRPr="00FB5EDA">
        <w:rPr>
          <w:rFonts w:ascii="Simplified Arabic" w:hAnsi="Simplified Arabic" w:cs="Simplified Arabic"/>
          <w:sz w:val="28"/>
          <w:szCs w:val="28"/>
        </w:rPr>
        <w:t xml:space="preserve"> (Ahammad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وهذا يمثل طبقة حماية إضافية تكمل وتعزز من فعالية التشفير التقليدي</w:t>
      </w:r>
      <w:r w:rsidRPr="00FB5EDA">
        <w:rPr>
          <w:rFonts w:ascii="Simplified Arabic" w:hAnsi="Simplified Arabic" w:cs="Simplified Arabic"/>
          <w:sz w:val="28"/>
          <w:szCs w:val="28"/>
        </w:rPr>
        <w:t xml:space="preserve"> (IBM Security, 2024). </w:t>
      </w:r>
      <w:r w:rsidRPr="00FB5EDA">
        <w:rPr>
          <w:rFonts w:ascii="Simplified Arabic" w:hAnsi="Simplified Arabic" w:cs="Simplified Arabic"/>
          <w:sz w:val="28"/>
          <w:szCs w:val="28"/>
          <w:rtl/>
        </w:rPr>
        <w:t xml:space="preserve">أما السلامة فتتحقق من خلال السجلات غير القابلة للتعديل في أنظمة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التي تعتمد عليها العديد من تطبيقات الترميز</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Udeh et al., 2025)</w:t>
      </w:r>
      <w:r w:rsidRPr="00FB5EDA">
        <w:rPr>
          <w:rFonts w:ascii="Simplified Arabic" w:hAnsi="Simplified Arabic" w:cs="Simplified Arabic"/>
          <w:sz w:val="28"/>
          <w:szCs w:val="28"/>
          <w:rtl/>
        </w:rPr>
        <w:t>، بحيث يمكن التحقق من أن البيانات لم تتعرض للتلاعب أو التعديل غير المصرح به</w:t>
      </w:r>
      <w:r w:rsidRPr="00FB5EDA">
        <w:rPr>
          <w:rFonts w:ascii="Simplified Arabic" w:hAnsi="Simplified Arabic" w:cs="Simplified Arabic"/>
          <w:sz w:val="28"/>
          <w:szCs w:val="28"/>
        </w:rPr>
        <w:t xml:space="preserve"> (Islam &amp; In, 2024; Carapella et al., 2023). </w:t>
      </w:r>
      <w:r w:rsidRPr="00FB5EDA">
        <w:rPr>
          <w:rFonts w:ascii="Simplified Arabic" w:hAnsi="Simplified Arabic" w:cs="Simplified Arabic"/>
          <w:sz w:val="28"/>
          <w:szCs w:val="28"/>
          <w:rtl/>
        </w:rPr>
        <w:t xml:space="preserve">وبالنسبة </w:t>
      </w:r>
      <w:proofErr w:type="spellStart"/>
      <w:r w:rsidRPr="00FB5EDA">
        <w:rPr>
          <w:rFonts w:ascii="Simplified Arabic" w:hAnsi="Simplified Arabic" w:cs="Simplified Arabic"/>
          <w:sz w:val="28"/>
          <w:szCs w:val="28"/>
          <w:rtl/>
        </w:rPr>
        <w:t>للتوافرية</w:t>
      </w:r>
      <w:proofErr w:type="spellEnd"/>
      <w:r w:rsidRPr="00FB5EDA">
        <w:rPr>
          <w:rFonts w:ascii="Simplified Arabic" w:hAnsi="Simplified Arabic" w:cs="Simplified Arabic"/>
          <w:sz w:val="28"/>
          <w:szCs w:val="28"/>
          <w:rtl/>
        </w:rPr>
        <w:t>، فإن الطبيعة الموزعة للأنظمة اللامركزية تضمن استمرارية الخدمة حتى في حال تعطل بعض العقد في الشبكة</w:t>
      </w:r>
      <w:r w:rsidRPr="00FB5EDA">
        <w:rPr>
          <w:rFonts w:ascii="Simplified Arabic" w:hAnsi="Simplified Arabic" w:cs="Simplified Arabic"/>
          <w:sz w:val="28"/>
          <w:szCs w:val="28"/>
        </w:rPr>
        <w:t xml:space="preserve"> (Ahammad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مما يحسن من موثوقية واستمرارية الخدمات المالية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47CA531C"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2.1.5.2 </w:t>
      </w:r>
      <w:r w:rsidRPr="00FB5EDA">
        <w:rPr>
          <w:rFonts w:ascii="Simplified Arabic" w:hAnsi="Simplified Arabic" w:cs="Simplified Arabic"/>
          <w:b/>
          <w:bCs/>
          <w:sz w:val="28"/>
          <w:szCs w:val="28"/>
          <w:rtl/>
        </w:rPr>
        <w:t>نظرية تكاليف المعاملات</w:t>
      </w:r>
      <w:r w:rsidRPr="00FB5EDA">
        <w:rPr>
          <w:rFonts w:ascii="Simplified Arabic" w:hAnsi="Simplified Arabic" w:cs="Simplified Arabic"/>
          <w:b/>
          <w:bCs/>
          <w:sz w:val="28"/>
          <w:szCs w:val="28"/>
        </w:rPr>
        <w:t xml:space="preserve"> (Transaction Cost Economics)</w:t>
      </w:r>
    </w:p>
    <w:p w14:paraId="37E343CC"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 xml:space="preserve">طور </w:t>
      </w:r>
      <w:proofErr w:type="spellStart"/>
      <w:r w:rsidRPr="00FB5EDA">
        <w:rPr>
          <w:rFonts w:ascii="Simplified Arabic" w:hAnsi="Simplified Arabic" w:cs="Simplified Arabic"/>
          <w:sz w:val="28"/>
          <w:szCs w:val="28"/>
          <w:rtl/>
        </w:rPr>
        <w:t>ويليامسون</w:t>
      </w:r>
      <w:proofErr w:type="spellEnd"/>
      <w:r w:rsidRPr="00FB5EDA">
        <w:rPr>
          <w:rFonts w:ascii="Simplified Arabic" w:hAnsi="Simplified Arabic" w:cs="Simplified Arabic"/>
          <w:sz w:val="28"/>
          <w:szCs w:val="28"/>
        </w:rPr>
        <w:t xml:space="preserve"> (Williamson) </w:t>
      </w:r>
      <w:r w:rsidRPr="00FB5EDA">
        <w:rPr>
          <w:rFonts w:ascii="Simplified Arabic" w:hAnsi="Simplified Arabic" w:cs="Simplified Arabic"/>
          <w:sz w:val="28"/>
          <w:szCs w:val="28"/>
          <w:rtl/>
        </w:rPr>
        <w:t>نظرية تكاليف المعاملات لتفسير كيف تؤثر خصائص المعاملات على التكاليف المرتبطة بها وعلى الهياكل التنظيمية المناسبة لإدارتها</w:t>
      </w:r>
      <w:r w:rsidRPr="00FB5EDA">
        <w:rPr>
          <w:rFonts w:ascii="Simplified Arabic" w:hAnsi="Simplified Arabic" w:cs="Simplified Arabic"/>
          <w:sz w:val="28"/>
          <w:szCs w:val="28"/>
        </w:rPr>
        <w:t xml:space="preserve"> (Grossmann et al., 2025;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w:t>
      </w:r>
      <w:r w:rsidRPr="00FB5EDA">
        <w:rPr>
          <w:rFonts w:ascii="Simplified Arabic" w:hAnsi="Simplified Arabic" w:cs="Simplified Arabic"/>
          <w:sz w:val="28"/>
          <w:szCs w:val="28"/>
          <w:rtl/>
        </w:rPr>
        <w:t>، حيث حدد ثلاثة أنواع رئيسية من تكاليف المعاملات</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Udeh et al., 2025)</w:t>
      </w:r>
      <w:r w:rsidRPr="00FB5EDA">
        <w:rPr>
          <w:rFonts w:ascii="Simplified Arabic" w:hAnsi="Simplified Arabic" w:cs="Simplified Arabic"/>
          <w:sz w:val="28"/>
          <w:szCs w:val="28"/>
          <w:rtl/>
        </w:rPr>
        <w:t>، وهي تكاليف البحث والمعلومات</w:t>
      </w:r>
      <w:r w:rsidRPr="00FB5EDA">
        <w:rPr>
          <w:rFonts w:ascii="Simplified Arabic" w:hAnsi="Simplified Arabic" w:cs="Simplified Arabic"/>
          <w:sz w:val="28"/>
          <w:szCs w:val="28"/>
        </w:rPr>
        <w:t xml:space="preserve"> (Search and Information Costs) </w:t>
      </w:r>
      <w:r w:rsidRPr="00FB5EDA">
        <w:rPr>
          <w:rFonts w:ascii="Simplified Arabic" w:hAnsi="Simplified Arabic" w:cs="Simplified Arabic"/>
          <w:sz w:val="28"/>
          <w:szCs w:val="28"/>
          <w:rtl/>
        </w:rPr>
        <w:t xml:space="preserve">التي تتكبدها الأطراف للعثور على بعضها </w:t>
      </w:r>
      <w:r w:rsidRPr="00FB5EDA">
        <w:rPr>
          <w:rFonts w:ascii="Simplified Arabic" w:hAnsi="Simplified Arabic" w:cs="Simplified Arabic"/>
          <w:sz w:val="28"/>
          <w:szCs w:val="28"/>
          <w:rtl/>
        </w:rPr>
        <w:lastRenderedPageBreak/>
        <w:t>البعض والحصول على المعلومات اللازمة لاتخاذ القرارات، وتكاليف المفاوضة والتعاقد</w:t>
      </w:r>
      <w:r w:rsidRPr="00FB5EDA">
        <w:rPr>
          <w:rFonts w:ascii="Simplified Arabic" w:hAnsi="Simplified Arabic" w:cs="Simplified Arabic"/>
          <w:sz w:val="28"/>
          <w:szCs w:val="28"/>
        </w:rPr>
        <w:t xml:space="preserve"> (Bargaining and Contracting Costs) </w:t>
      </w:r>
      <w:r w:rsidRPr="00FB5EDA">
        <w:rPr>
          <w:rFonts w:ascii="Simplified Arabic" w:hAnsi="Simplified Arabic" w:cs="Simplified Arabic"/>
          <w:sz w:val="28"/>
          <w:szCs w:val="28"/>
          <w:rtl/>
        </w:rPr>
        <w:t>التي تنشأ من التفاوض على شروط الصفقة وصياغة العقود، وتكاليف المراقبة والإنفاذ</w:t>
      </w:r>
      <w:r w:rsidRPr="00FB5EDA">
        <w:rPr>
          <w:rFonts w:ascii="Simplified Arabic" w:hAnsi="Simplified Arabic" w:cs="Simplified Arabic"/>
          <w:sz w:val="28"/>
          <w:szCs w:val="28"/>
        </w:rPr>
        <w:t xml:space="preserve"> (Monitoring and Enforcement Costs) </w:t>
      </w:r>
      <w:r w:rsidRPr="00FB5EDA">
        <w:rPr>
          <w:rFonts w:ascii="Simplified Arabic" w:hAnsi="Simplified Arabic" w:cs="Simplified Arabic"/>
          <w:sz w:val="28"/>
          <w:szCs w:val="28"/>
          <w:rtl/>
        </w:rPr>
        <w:t>المرتبطة بضمان التزام الأطراف بشروط الاتفاق</w:t>
      </w:r>
      <w:r w:rsidRPr="00FB5EDA">
        <w:rPr>
          <w:rFonts w:ascii="Simplified Arabic" w:hAnsi="Simplified Arabic" w:cs="Simplified Arabic"/>
          <w:sz w:val="28"/>
          <w:szCs w:val="28"/>
        </w:rPr>
        <w:t xml:space="preserve"> (Grossmann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 xml:space="preserve">وتساهم تقنية الترميز، خاصة عندما تكون مبنية على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في خفض هذه التكاليف الثلاثة بشكل جوهري</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Ahammad et al., 2025)</w:t>
      </w:r>
      <w:r w:rsidRPr="00FB5EDA">
        <w:rPr>
          <w:rFonts w:ascii="Simplified Arabic" w:hAnsi="Simplified Arabic" w:cs="Simplified Arabic"/>
          <w:sz w:val="28"/>
          <w:szCs w:val="28"/>
          <w:rtl/>
        </w:rPr>
        <w:t>، حيث توفر الشفافية الفورية للمعلومات مما يقلل من تكاليف البحث والمعلومات</w:t>
      </w:r>
      <w:r w:rsidRPr="00FB5EDA">
        <w:rPr>
          <w:rFonts w:ascii="Simplified Arabic" w:hAnsi="Simplified Arabic" w:cs="Simplified Arabic"/>
          <w:sz w:val="28"/>
          <w:szCs w:val="28"/>
        </w:rPr>
        <w:t xml:space="preserve"> (Udeh et al., 2025; Islam &amp; In, 2024)</w:t>
      </w:r>
      <w:r w:rsidRPr="00FB5EDA">
        <w:rPr>
          <w:rFonts w:ascii="Simplified Arabic" w:hAnsi="Simplified Arabic" w:cs="Simplified Arabic"/>
          <w:sz w:val="28"/>
          <w:szCs w:val="28"/>
          <w:rtl/>
        </w:rPr>
        <w:t>، وتمكن العقود الذكية من أتمتة عمليات التعاقد والتنفيذ مما يخفض تكاليف المفاوضة والتعاقد</w:t>
      </w:r>
      <w:r w:rsidRPr="00FB5EDA">
        <w:rPr>
          <w:rFonts w:ascii="Simplified Arabic" w:hAnsi="Simplified Arabic" w:cs="Simplified Arabic"/>
          <w:sz w:val="28"/>
          <w:szCs w:val="28"/>
        </w:rPr>
        <w:t xml:space="preserve"> (Grossmann et al.,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w:t>
      </w:r>
      <w:r w:rsidRPr="00FB5EDA">
        <w:rPr>
          <w:rFonts w:ascii="Simplified Arabic" w:hAnsi="Simplified Arabic" w:cs="Simplified Arabic"/>
          <w:sz w:val="28"/>
          <w:szCs w:val="28"/>
          <w:rtl/>
        </w:rPr>
        <w:t>، بينما يوفر التنفيذ الذاتي للعقود الذكية آلية مضمونة للإنفاذ تلغي الحاجة للمراقبة اليدوية وتقلل من تكاليف المراقبة والإنفاذ</w:t>
      </w:r>
      <w:r w:rsidRPr="00FB5EDA">
        <w:rPr>
          <w:rFonts w:ascii="Simplified Arabic" w:hAnsi="Simplified Arabic" w:cs="Simplified Arabic"/>
          <w:sz w:val="28"/>
          <w:szCs w:val="28"/>
        </w:rPr>
        <w:t xml:space="preserve"> (Udeh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وهذا يفسر كيف تحقق تقنية الترميز وفورات كبيرة في تكاليف العمليات المالية</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24ACAECB"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2.1.5.3 </w:t>
      </w:r>
      <w:r w:rsidRPr="00FB5EDA">
        <w:rPr>
          <w:rFonts w:ascii="Simplified Arabic" w:hAnsi="Simplified Arabic" w:cs="Simplified Arabic"/>
          <w:b/>
          <w:bCs/>
          <w:sz w:val="28"/>
          <w:szCs w:val="28"/>
          <w:rtl/>
        </w:rPr>
        <w:t>نظرية إدارة المخاطر</w:t>
      </w:r>
      <w:r w:rsidRPr="00FB5EDA">
        <w:rPr>
          <w:rFonts w:ascii="Simplified Arabic" w:hAnsi="Simplified Arabic" w:cs="Simplified Arabic"/>
          <w:b/>
          <w:bCs/>
          <w:sz w:val="28"/>
          <w:szCs w:val="28"/>
        </w:rPr>
        <w:t xml:space="preserve"> (Risk Management Theory)</w:t>
      </w:r>
    </w:p>
    <w:p w14:paraId="0FBA78BE" w14:textId="77777777" w:rsidR="00F00638" w:rsidRPr="00FB5EDA" w:rsidRDefault="00F00638" w:rsidP="00F00638">
      <w:pPr>
        <w:bidi/>
        <w:jc w:val="both"/>
        <w:rPr>
          <w:rFonts w:ascii="Simplified Arabic" w:hAnsi="Simplified Arabic" w:cs="Simplified Arabic"/>
          <w:sz w:val="28"/>
          <w:szCs w:val="28"/>
          <w:rtl/>
        </w:rPr>
      </w:pPr>
      <w:r w:rsidRPr="00FB5EDA">
        <w:rPr>
          <w:rFonts w:ascii="Simplified Arabic" w:hAnsi="Simplified Arabic" w:cs="Simplified Arabic"/>
          <w:sz w:val="28"/>
          <w:szCs w:val="28"/>
          <w:rtl/>
        </w:rPr>
        <w:t>توفر نظرية إدارة المخاطر إطاراً منظماً لتحديد المخاطر المحتملة وتقييمها واتخاذ الإجراءات المناسبة للتخفيف منها أو نقلها أو قبولها</w:t>
      </w:r>
      <w:r w:rsidRPr="00FB5EDA">
        <w:rPr>
          <w:rFonts w:ascii="Simplified Arabic" w:hAnsi="Simplified Arabic" w:cs="Simplified Arabic"/>
          <w:sz w:val="28"/>
          <w:szCs w:val="28"/>
        </w:rPr>
        <w:t xml:space="preserve"> (Carapella et al., 2023; ENISA, 2024)</w:t>
      </w:r>
      <w:r w:rsidRPr="00FB5EDA">
        <w:rPr>
          <w:rFonts w:ascii="Simplified Arabic" w:hAnsi="Simplified Arabic" w:cs="Simplified Arabic"/>
          <w:sz w:val="28"/>
          <w:szCs w:val="28"/>
          <w:rtl/>
        </w:rPr>
        <w:t>، حيث تمر عملية إدارة المخاطر بمراحل متعددة تشمل تحديد المخاطر</w:t>
      </w:r>
      <w:r w:rsidRPr="00FB5EDA">
        <w:rPr>
          <w:rFonts w:ascii="Simplified Arabic" w:hAnsi="Simplified Arabic" w:cs="Simplified Arabic"/>
          <w:sz w:val="28"/>
          <w:szCs w:val="28"/>
        </w:rPr>
        <w:t xml:space="preserve"> (Risk Identification)</w:t>
      </w:r>
      <w:r w:rsidRPr="00FB5EDA">
        <w:rPr>
          <w:rFonts w:ascii="Simplified Arabic" w:hAnsi="Simplified Arabic" w:cs="Simplified Arabic"/>
          <w:sz w:val="28"/>
          <w:szCs w:val="28"/>
          <w:rtl/>
        </w:rPr>
        <w:t>، وتقييم المخاطر</w:t>
      </w:r>
      <w:r w:rsidRPr="00FB5EDA">
        <w:rPr>
          <w:rFonts w:ascii="Simplified Arabic" w:hAnsi="Simplified Arabic" w:cs="Simplified Arabic"/>
          <w:sz w:val="28"/>
          <w:szCs w:val="28"/>
        </w:rPr>
        <w:t xml:space="preserve"> (Risk Assessment)</w:t>
      </w:r>
      <w:r w:rsidRPr="00FB5EDA">
        <w:rPr>
          <w:rFonts w:ascii="Simplified Arabic" w:hAnsi="Simplified Arabic" w:cs="Simplified Arabic"/>
          <w:sz w:val="28"/>
          <w:szCs w:val="28"/>
          <w:rtl/>
        </w:rPr>
        <w:t>، ومعالجة المخاطر</w:t>
      </w:r>
      <w:r w:rsidRPr="00FB5EDA">
        <w:rPr>
          <w:rFonts w:ascii="Simplified Arabic" w:hAnsi="Simplified Arabic" w:cs="Simplified Arabic"/>
          <w:sz w:val="28"/>
          <w:szCs w:val="28"/>
        </w:rPr>
        <w:t xml:space="preserve"> (Risk Treatment)</w:t>
      </w:r>
      <w:r w:rsidRPr="00FB5EDA">
        <w:rPr>
          <w:rFonts w:ascii="Simplified Arabic" w:hAnsi="Simplified Arabic" w:cs="Simplified Arabic"/>
          <w:sz w:val="28"/>
          <w:szCs w:val="28"/>
          <w:rtl/>
        </w:rPr>
        <w:t>، ومراقبة المخاطر</w:t>
      </w:r>
      <w:r w:rsidRPr="00FB5EDA">
        <w:rPr>
          <w:rFonts w:ascii="Simplified Arabic" w:hAnsi="Simplified Arabic" w:cs="Simplified Arabic"/>
          <w:sz w:val="28"/>
          <w:szCs w:val="28"/>
        </w:rPr>
        <w:t xml:space="preserve"> (Risk Monitoring) (IBM Security, 2024; Saudi Central Bank, 2024). </w:t>
      </w:r>
      <w:r w:rsidRPr="00FB5EDA">
        <w:rPr>
          <w:rFonts w:ascii="Simplified Arabic" w:hAnsi="Simplified Arabic" w:cs="Simplified Arabic"/>
          <w:sz w:val="28"/>
          <w:szCs w:val="28"/>
          <w:rtl/>
        </w:rPr>
        <w:t>وفي سياق تبني تقنية الترميز، يجب فهم أن هذه التقنية لا تلغي المخاطر بل تغير من طبيعتها</w:t>
      </w:r>
      <w:r w:rsidRPr="00FB5EDA">
        <w:rPr>
          <w:rFonts w:ascii="Simplified Arabic" w:hAnsi="Simplified Arabic" w:cs="Simplified Arabic"/>
          <w:sz w:val="28"/>
          <w:szCs w:val="28"/>
        </w:rPr>
        <w:t xml:space="preserve"> (Carapella et al., 2023;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w:t>
      </w:r>
      <w:r w:rsidRPr="00FB5EDA">
        <w:rPr>
          <w:rFonts w:ascii="Simplified Arabic" w:hAnsi="Simplified Arabic" w:cs="Simplified Arabic"/>
          <w:sz w:val="28"/>
          <w:szCs w:val="28"/>
          <w:rtl/>
        </w:rPr>
        <w:t>، حيث تنتقل المخاطر من المخاطر التقليدية مثل اختراق البيانات واحتيال البطاقات الائتمانية إلى مخاطر جديدة تتعلق بأمن منصات الترميز نفسها، وسلامة وأمان العقود الذكية، وحماية المفاتيح الخاصة، والاعتماد على أطراف ثالثة لإدارة البنية التحتية للترميز</w:t>
      </w:r>
      <w:r w:rsidRPr="00FB5EDA">
        <w:rPr>
          <w:rFonts w:ascii="Simplified Arabic" w:hAnsi="Simplified Arabic" w:cs="Simplified Arabic"/>
          <w:sz w:val="28"/>
          <w:szCs w:val="28"/>
        </w:rPr>
        <w:t xml:space="preserve"> (Ahammad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لذا فإن التطبيق الناجح للترميز يتطلب فهماً عميقاً لهذا التحول في طبيعة المخاطر</w:t>
      </w:r>
      <w:r w:rsidRPr="00FB5EDA">
        <w:rPr>
          <w:rFonts w:ascii="Simplified Arabic" w:hAnsi="Simplified Arabic" w:cs="Simplified Arabic"/>
          <w:sz w:val="28"/>
          <w:szCs w:val="28"/>
        </w:rPr>
        <w:t xml:space="preserve"> (Carapella et al., 2023; ENISA, 2024)</w:t>
      </w:r>
      <w:r w:rsidRPr="00FB5EDA">
        <w:rPr>
          <w:rFonts w:ascii="Simplified Arabic" w:hAnsi="Simplified Arabic" w:cs="Simplified Arabic"/>
          <w:sz w:val="28"/>
          <w:szCs w:val="28"/>
          <w:rtl/>
        </w:rPr>
        <w:t xml:space="preserve">، وتصميم أطر إدارة مخاطر متطورة تأخذ في الاعتبار الخصائص </w:t>
      </w:r>
      <w:r w:rsidRPr="00FB5EDA">
        <w:rPr>
          <w:rFonts w:ascii="Simplified Arabic" w:hAnsi="Simplified Arabic" w:cs="Simplified Arabic"/>
          <w:sz w:val="28"/>
          <w:szCs w:val="28"/>
          <w:rtl/>
        </w:rPr>
        <w:lastRenderedPageBreak/>
        <w:t>الفريدة للتقنيات الجديدة</w:t>
      </w:r>
      <w:r w:rsidRPr="00FB5EDA">
        <w:rPr>
          <w:rFonts w:ascii="Simplified Arabic" w:hAnsi="Simplified Arabic" w:cs="Simplified Arabic"/>
          <w:sz w:val="28"/>
          <w:szCs w:val="28"/>
        </w:rPr>
        <w:t xml:space="preserve"> (PCI Security Standards Council,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sidRPr="00FB5EDA">
        <w:rPr>
          <w:rFonts w:ascii="Simplified Arabic" w:hAnsi="Simplified Arabic" w:cs="Simplified Arabic"/>
          <w:sz w:val="28"/>
          <w:szCs w:val="28"/>
          <w:rtl/>
        </w:rPr>
        <w:t>، وتطوير ضوابط وإجراءات مناسبة للتخفيف من المخاطر الناشئة</w:t>
      </w:r>
      <w:r w:rsidRPr="00FB5EDA">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7FB6C013"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2.1.5.4 </w:t>
      </w:r>
      <w:r w:rsidRPr="00FB5EDA">
        <w:rPr>
          <w:rFonts w:ascii="Simplified Arabic" w:hAnsi="Simplified Arabic" w:cs="Simplified Arabic"/>
          <w:b/>
          <w:bCs/>
          <w:sz w:val="28"/>
          <w:szCs w:val="28"/>
          <w:rtl/>
        </w:rPr>
        <w:t>نموذج قبول التقنية</w:t>
      </w:r>
      <w:r w:rsidRPr="00FB5EDA">
        <w:rPr>
          <w:rFonts w:ascii="Simplified Arabic" w:hAnsi="Simplified Arabic" w:cs="Simplified Arabic"/>
          <w:b/>
          <w:bCs/>
          <w:sz w:val="28"/>
          <w:szCs w:val="28"/>
        </w:rPr>
        <w:t xml:space="preserve"> (Technology Acceptance Model - TAM)</w:t>
      </w:r>
    </w:p>
    <w:p w14:paraId="20F39BCE"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طور ديفيس</w:t>
      </w:r>
      <w:r w:rsidRPr="00FB5EDA">
        <w:rPr>
          <w:rFonts w:ascii="Simplified Arabic" w:hAnsi="Simplified Arabic" w:cs="Simplified Arabic"/>
          <w:sz w:val="28"/>
          <w:szCs w:val="28"/>
        </w:rPr>
        <w:t xml:space="preserve"> (Davis) </w:t>
      </w:r>
      <w:r w:rsidRPr="00FB5EDA">
        <w:rPr>
          <w:rFonts w:ascii="Simplified Arabic" w:hAnsi="Simplified Arabic" w:cs="Simplified Arabic"/>
          <w:sz w:val="28"/>
          <w:szCs w:val="28"/>
          <w:rtl/>
        </w:rPr>
        <w:t>نموذج قبول التقنية لتفسير العوامل التي تؤثر على قرارات الأفراد والمؤسسات بتبني أو رفض التقنيات الجديدة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w:t>
      </w:r>
      <w:r w:rsidRPr="00FB5EDA">
        <w:rPr>
          <w:rFonts w:ascii="Simplified Arabic" w:hAnsi="Simplified Arabic" w:cs="Simplified Arabic"/>
          <w:sz w:val="28"/>
          <w:szCs w:val="28"/>
          <w:rtl/>
        </w:rPr>
        <w:t>، حيث يحدد النموذج عاملين رئيسيين يؤثران على قبول التقنية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وهما الفائدة المدركة</w:t>
      </w:r>
      <w:r w:rsidRPr="00FB5EDA">
        <w:rPr>
          <w:rFonts w:ascii="Simplified Arabic" w:hAnsi="Simplified Arabic" w:cs="Simplified Arabic"/>
          <w:sz w:val="28"/>
          <w:szCs w:val="28"/>
        </w:rPr>
        <w:t xml:space="preserve"> (Perceived Usefulness) </w:t>
      </w:r>
      <w:r w:rsidRPr="00FB5EDA">
        <w:rPr>
          <w:rFonts w:ascii="Simplified Arabic" w:hAnsi="Simplified Arabic" w:cs="Simplified Arabic"/>
          <w:sz w:val="28"/>
          <w:szCs w:val="28"/>
          <w:rtl/>
        </w:rPr>
        <w:t>التي تشير إلى درجة اعتقاد المستخدم بأن استخدام نظام معين سيحسن من أدائه، وسهولة الاستخدام المدركة</w:t>
      </w:r>
      <w:r w:rsidRPr="00FB5EDA">
        <w:rPr>
          <w:rFonts w:ascii="Simplified Arabic" w:hAnsi="Simplified Arabic" w:cs="Simplified Arabic"/>
          <w:sz w:val="28"/>
          <w:szCs w:val="28"/>
        </w:rPr>
        <w:t xml:space="preserve"> (Perceived Ease of Use) </w:t>
      </w:r>
      <w:r w:rsidRPr="00FB5EDA">
        <w:rPr>
          <w:rFonts w:ascii="Simplified Arabic" w:hAnsi="Simplified Arabic" w:cs="Simplified Arabic"/>
          <w:sz w:val="28"/>
          <w:szCs w:val="28"/>
          <w:rtl/>
        </w:rPr>
        <w:t>التي تعبر عن درجة اعتقاد المستخدم بأن استخدام النظام لن يتطلب جهداً كبيراً</w:t>
      </w:r>
      <w:r w:rsidRPr="00FB5EDA">
        <w:rPr>
          <w:rFonts w:ascii="Simplified Arabic" w:hAnsi="Simplified Arabic" w:cs="Simplified Arabic"/>
          <w:sz w:val="28"/>
          <w:szCs w:val="28"/>
        </w:rPr>
        <w:t xml:space="preserve"> (Ahammad et al., 2025; Udeh et al., 2025). </w:t>
      </w:r>
      <w:r w:rsidRPr="00FB5EDA">
        <w:rPr>
          <w:rFonts w:ascii="Simplified Arabic" w:hAnsi="Simplified Arabic" w:cs="Simplified Arabic"/>
          <w:sz w:val="28"/>
          <w:szCs w:val="28"/>
          <w:rtl/>
        </w:rPr>
        <w:t>وفي سياق تقنية الترميز، يمكن تطبيق هذا النموذج لفهم العوامل التي تعيق أو تسهل تبني المؤسسات المالية لهذه التقنية</w:t>
      </w:r>
      <w:r w:rsidRPr="00FB5EDA">
        <w:rPr>
          <w:rFonts w:ascii="Simplified Arabic" w:hAnsi="Simplified Arabic" w:cs="Simplified Arabic"/>
          <w:sz w:val="28"/>
          <w:szCs w:val="28"/>
        </w:rPr>
        <w:t xml:space="preserve"> (Financial Stability Board, 2024; McKinsey &amp; Company, 2024)</w:t>
      </w:r>
      <w:r w:rsidRPr="00FB5EDA">
        <w:rPr>
          <w:rFonts w:ascii="Simplified Arabic" w:hAnsi="Simplified Arabic" w:cs="Simplified Arabic"/>
          <w:sz w:val="28"/>
          <w:szCs w:val="28"/>
          <w:rtl/>
        </w:rPr>
        <w:t>، حيث أن إدراك المؤسسة للفوائد المحتملة من الترميز من حيث تحسين الأمن وخفض التكاليف وزيادة الكفاءة يشكل محركاً رئيسياً للتبني</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Grossmann et al.,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w:t>
      </w:r>
      <w:r w:rsidRPr="00FB5EDA">
        <w:rPr>
          <w:rFonts w:ascii="Simplified Arabic" w:hAnsi="Simplified Arabic" w:cs="Simplified Arabic"/>
          <w:sz w:val="28"/>
          <w:szCs w:val="28"/>
          <w:rtl/>
        </w:rPr>
        <w:t>، بينما قد تشكل التعقيدات التقنية المدركة والحاجة لمهارات متخصصة والتكاليف الأولية للتطبيق عوائق أمام التبني</w:t>
      </w:r>
      <w:r w:rsidRPr="00FB5EDA">
        <w:rPr>
          <w:rFonts w:ascii="Simplified Arabic" w:hAnsi="Simplified Arabic" w:cs="Simplified Arabic"/>
          <w:sz w:val="28"/>
          <w:szCs w:val="28"/>
        </w:rPr>
        <w:t xml:space="preserve"> (Carapella et al., 2023;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sidRPr="00FB5EDA">
        <w:rPr>
          <w:rFonts w:ascii="Simplified Arabic" w:hAnsi="Simplified Arabic" w:cs="Simplified Arabic"/>
          <w:sz w:val="28"/>
          <w:szCs w:val="28"/>
          <w:rtl/>
        </w:rPr>
        <w:t>، وهذا يبرز أهمية التوعية والتدريب وتوفير حلول سهلة الاستخدام لتسهيل عملية التبني</w:t>
      </w:r>
      <w:r w:rsidRPr="00FB5EDA">
        <w:rPr>
          <w:rFonts w:ascii="Simplified Arabic" w:hAnsi="Simplified Arabic" w:cs="Simplified Arabic"/>
          <w:sz w:val="28"/>
          <w:szCs w:val="28"/>
        </w:rPr>
        <w:t xml:space="preserve"> (Saudi Central Bank, 2024; Thunes Research, 2025)</w:t>
      </w:r>
      <w:r w:rsidRPr="00FB5EDA">
        <w:rPr>
          <w:rFonts w:ascii="Simplified Arabic" w:hAnsi="Simplified Arabic" w:cs="Simplified Arabic"/>
          <w:sz w:val="28"/>
          <w:szCs w:val="28"/>
          <w:rtl/>
        </w:rPr>
        <w:t>، وهو ما تفحصه الدراسة الحالية في السياق السعودي تحديداً</w:t>
      </w:r>
      <w:r w:rsidRPr="00FB5EDA">
        <w:rPr>
          <w:rFonts w:ascii="Simplified Arabic" w:hAnsi="Simplified Arabic" w:cs="Simplified Arabic"/>
          <w:sz w:val="28"/>
          <w:szCs w:val="28"/>
        </w:rPr>
        <w:t xml:space="preserve"> (IMF, 2024)</w:t>
      </w:r>
      <w:r>
        <w:rPr>
          <w:rFonts w:ascii="Simplified Arabic" w:hAnsi="Simplified Arabic" w:cs="Simplified Arabic" w:hint="cs"/>
          <w:sz w:val="28"/>
          <w:szCs w:val="28"/>
          <w:rtl/>
        </w:rPr>
        <w:t>.</w:t>
      </w:r>
    </w:p>
    <w:p w14:paraId="3CACEDE6"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2.1.5.5 </w:t>
      </w:r>
      <w:r w:rsidRPr="00FB5EDA">
        <w:rPr>
          <w:rFonts w:ascii="Simplified Arabic" w:hAnsi="Simplified Arabic" w:cs="Simplified Arabic"/>
          <w:b/>
          <w:bCs/>
          <w:sz w:val="28"/>
          <w:szCs w:val="28"/>
          <w:rtl/>
        </w:rPr>
        <w:t>نظرية الانتشار والابتكار</w:t>
      </w:r>
      <w:r w:rsidRPr="00FB5EDA">
        <w:rPr>
          <w:rFonts w:ascii="Simplified Arabic" w:hAnsi="Simplified Arabic" w:cs="Simplified Arabic"/>
          <w:b/>
          <w:bCs/>
          <w:sz w:val="28"/>
          <w:szCs w:val="28"/>
        </w:rPr>
        <w:t xml:space="preserve"> (Diffusion of Innovation Theory)</w:t>
      </w:r>
    </w:p>
    <w:p w14:paraId="512F7602"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قدم روجرز</w:t>
      </w:r>
      <w:r w:rsidRPr="00FB5EDA">
        <w:rPr>
          <w:rFonts w:ascii="Simplified Arabic" w:hAnsi="Simplified Arabic" w:cs="Simplified Arabic"/>
          <w:sz w:val="28"/>
          <w:szCs w:val="28"/>
        </w:rPr>
        <w:t xml:space="preserve"> (Rogers) </w:t>
      </w:r>
      <w:r w:rsidRPr="00FB5EDA">
        <w:rPr>
          <w:rFonts w:ascii="Simplified Arabic" w:hAnsi="Simplified Arabic" w:cs="Simplified Arabic"/>
          <w:sz w:val="28"/>
          <w:szCs w:val="28"/>
          <w:rtl/>
        </w:rPr>
        <w:t>نظرية انتشار الابتكار التي تشرح كيف تنتشر الأفكار والتقنيات الجديدة عبر المجتمعات والمؤسسات مع مرور الوقت</w:t>
      </w:r>
      <w:r w:rsidRPr="00FB5EDA">
        <w:rPr>
          <w:rFonts w:ascii="Simplified Arabic" w:hAnsi="Simplified Arabic" w:cs="Simplified Arabic"/>
          <w:sz w:val="28"/>
          <w:szCs w:val="28"/>
        </w:rPr>
        <w:t xml:space="preserve"> (Islam &amp; In, 2024; Thunes Research, 2025)</w:t>
      </w:r>
      <w:r w:rsidRPr="00FB5EDA">
        <w:rPr>
          <w:rFonts w:ascii="Simplified Arabic" w:hAnsi="Simplified Arabic" w:cs="Simplified Arabic"/>
          <w:sz w:val="28"/>
          <w:szCs w:val="28"/>
          <w:rtl/>
        </w:rPr>
        <w:t>، حيث حدد خمس فئات من المتبنين بناءً على سرعة تبنيهم للابتكار</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وهم المبتكرون</w:t>
      </w:r>
      <w:r w:rsidRPr="00FB5EDA">
        <w:rPr>
          <w:rFonts w:ascii="Simplified Arabic" w:hAnsi="Simplified Arabic" w:cs="Simplified Arabic"/>
          <w:sz w:val="28"/>
          <w:szCs w:val="28"/>
        </w:rPr>
        <w:t xml:space="preserve"> (Innovators) </w:t>
      </w:r>
      <w:r w:rsidRPr="00FB5EDA">
        <w:rPr>
          <w:rFonts w:ascii="Simplified Arabic" w:hAnsi="Simplified Arabic" w:cs="Simplified Arabic"/>
          <w:sz w:val="28"/>
          <w:szCs w:val="28"/>
          <w:rtl/>
        </w:rPr>
        <w:t xml:space="preserve">الذين يتبنون </w:t>
      </w:r>
      <w:r w:rsidRPr="00FB5EDA">
        <w:rPr>
          <w:rFonts w:ascii="Simplified Arabic" w:hAnsi="Simplified Arabic" w:cs="Simplified Arabic"/>
          <w:sz w:val="28"/>
          <w:szCs w:val="28"/>
          <w:rtl/>
        </w:rPr>
        <w:lastRenderedPageBreak/>
        <w:t xml:space="preserve">التقنية في مراحلها المبكرة، ثم </w:t>
      </w:r>
      <w:proofErr w:type="spellStart"/>
      <w:r w:rsidRPr="00FB5EDA">
        <w:rPr>
          <w:rFonts w:ascii="Simplified Arabic" w:hAnsi="Simplified Arabic" w:cs="Simplified Arabic"/>
          <w:sz w:val="28"/>
          <w:szCs w:val="28"/>
          <w:rtl/>
        </w:rPr>
        <w:t>المتبنون</w:t>
      </w:r>
      <w:proofErr w:type="spellEnd"/>
      <w:r w:rsidRPr="00FB5EDA">
        <w:rPr>
          <w:rFonts w:ascii="Simplified Arabic" w:hAnsi="Simplified Arabic" w:cs="Simplified Arabic"/>
          <w:sz w:val="28"/>
          <w:szCs w:val="28"/>
          <w:rtl/>
        </w:rPr>
        <w:t xml:space="preserve"> الأوائل</w:t>
      </w:r>
      <w:r w:rsidRPr="00FB5EDA">
        <w:rPr>
          <w:rFonts w:ascii="Simplified Arabic" w:hAnsi="Simplified Arabic" w:cs="Simplified Arabic"/>
          <w:sz w:val="28"/>
          <w:szCs w:val="28"/>
        </w:rPr>
        <w:t xml:space="preserve"> (Early Adopters)</w:t>
      </w:r>
      <w:r w:rsidRPr="00FB5EDA">
        <w:rPr>
          <w:rFonts w:ascii="Simplified Arabic" w:hAnsi="Simplified Arabic" w:cs="Simplified Arabic"/>
          <w:sz w:val="28"/>
          <w:szCs w:val="28"/>
          <w:rtl/>
        </w:rPr>
        <w:t>، ثم الأغلبية المبكرة</w:t>
      </w:r>
      <w:r w:rsidRPr="00FB5EDA">
        <w:rPr>
          <w:rFonts w:ascii="Simplified Arabic" w:hAnsi="Simplified Arabic" w:cs="Simplified Arabic"/>
          <w:sz w:val="28"/>
          <w:szCs w:val="28"/>
        </w:rPr>
        <w:t xml:space="preserve"> (Early Majority)</w:t>
      </w:r>
      <w:r w:rsidRPr="00FB5EDA">
        <w:rPr>
          <w:rFonts w:ascii="Simplified Arabic" w:hAnsi="Simplified Arabic" w:cs="Simplified Arabic"/>
          <w:sz w:val="28"/>
          <w:szCs w:val="28"/>
          <w:rtl/>
        </w:rPr>
        <w:t>، فالأغلبية المتأخرة</w:t>
      </w:r>
      <w:r w:rsidRPr="00FB5EDA">
        <w:rPr>
          <w:rFonts w:ascii="Simplified Arabic" w:hAnsi="Simplified Arabic" w:cs="Simplified Arabic"/>
          <w:sz w:val="28"/>
          <w:szCs w:val="28"/>
        </w:rPr>
        <w:t xml:space="preserve"> (Late Majority)</w:t>
      </w:r>
      <w:r w:rsidRPr="00FB5EDA">
        <w:rPr>
          <w:rFonts w:ascii="Simplified Arabic" w:hAnsi="Simplified Arabic" w:cs="Simplified Arabic"/>
          <w:sz w:val="28"/>
          <w:szCs w:val="28"/>
          <w:rtl/>
        </w:rPr>
        <w:t>، وأخيراً المتأخرون</w:t>
      </w:r>
      <w:r w:rsidRPr="00FB5EDA">
        <w:rPr>
          <w:rFonts w:ascii="Simplified Arabic" w:hAnsi="Simplified Arabic" w:cs="Simplified Arabic"/>
          <w:sz w:val="28"/>
          <w:szCs w:val="28"/>
        </w:rPr>
        <w:t xml:space="preserve"> (Laggards)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Islam &amp; In, 2024). </w:t>
      </w:r>
      <w:r w:rsidRPr="00FB5EDA">
        <w:rPr>
          <w:rFonts w:ascii="Simplified Arabic" w:hAnsi="Simplified Arabic" w:cs="Simplified Arabic"/>
          <w:sz w:val="28"/>
          <w:szCs w:val="28"/>
          <w:rtl/>
        </w:rPr>
        <w:t>كما حدد خمس خصائص للابتكار تؤثر على سرعة انتشاره</w:t>
      </w:r>
      <w:r w:rsidRPr="00FB5EDA">
        <w:rPr>
          <w:rFonts w:ascii="Simplified Arabic" w:hAnsi="Simplified Arabic" w:cs="Simplified Arabic"/>
          <w:sz w:val="28"/>
          <w:szCs w:val="28"/>
        </w:rPr>
        <w:t xml:space="preserve"> (Financial Stability Board, 2024; McKinsey &amp; Company, 2024)</w:t>
      </w:r>
      <w:r w:rsidRPr="00FB5EDA">
        <w:rPr>
          <w:rFonts w:ascii="Simplified Arabic" w:hAnsi="Simplified Arabic" w:cs="Simplified Arabic"/>
          <w:sz w:val="28"/>
          <w:szCs w:val="28"/>
          <w:rtl/>
        </w:rPr>
        <w:t>، وهي الميزة النسبية</w:t>
      </w:r>
      <w:r w:rsidRPr="00FB5EDA">
        <w:rPr>
          <w:rFonts w:ascii="Simplified Arabic" w:hAnsi="Simplified Arabic" w:cs="Simplified Arabic"/>
          <w:sz w:val="28"/>
          <w:szCs w:val="28"/>
        </w:rPr>
        <w:t xml:space="preserve"> (Relative Advantage)</w:t>
      </w:r>
      <w:r w:rsidRPr="00FB5EDA">
        <w:rPr>
          <w:rFonts w:ascii="Simplified Arabic" w:hAnsi="Simplified Arabic" w:cs="Simplified Arabic"/>
          <w:sz w:val="28"/>
          <w:szCs w:val="28"/>
          <w:rtl/>
        </w:rPr>
        <w:t>، والتوافق</w:t>
      </w:r>
      <w:r w:rsidRPr="00FB5EDA">
        <w:rPr>
          <w:rFonts w:ascii="Simplified Arabic" w:hAnsi="Simplified Arabic" w:cs="Simplified Arabic"/>
          <w:sz w:val="28"/>
          <w:szCs w:val="28"/>
        </w:rPr>
        <w:t xml:space="preserve"> (Compatibility)</w:t>
      </w:r>
      <w:r w:rsidRPr="00FB5EDA">
        <w:rPr>
          <w:rFonts w:ascii="Simplified Arabic" w:hAnsi="Simplified Arabic" w:cs="Simplified Arabic"/>
          <w:sz w:val="28"/>
          <w:szCs w:val="28"/>
          <w:rtl/>
        </w:rPr>
        <w:t>، والتعقيد</w:t>
      </w:r>
      <w:r w:rsidRPr="00FB5EDA">
        <w:rPr>
          <w:rFonts w:ascii="Simplified Arabic" w:hAnsi="Simplified Arabic" w:cs="Simplified Arabic"/>
          <w:sz w:val="28"/>
          <w:szCs w:val="28"/>
        </w:rPr>
        <w:t xml:space="preserve"> (Complexity)</w:t>
      </w:r>
      <w:r w:rsidRPr="00FB5EDA">
        <w:rPr>
          <w:rFonts w:ascii="Simplified Arabic" w:hAnsi="Simplified Arabic" w:cs="Simplified Arabic"/>
          <w:sz w:val="28"/>
          <w:szCs w:val="28"/>
          <w:rtl/>
        </w:rPr>
        <w:t>، وقابلية التجربة</w:t>
      </w:r>
      <w:r w:rsidRPr="00FB5EDA">
        <w:rPr>
          <w:rFonts w:ascii="Simplified Arabic" w:hAnsi="Simplified Arabic" w:cs="Simplified Arabic"/>
          <w:sz w:val="28"/>
          <w:szCs w:val="28"/>
        </w:rPr>
        <w:t xml:space="preserve"> (Trialability)</w:t>
      </w:r>
      <w:r w:rsidRPr="00FB5EDA">
        <w:rPr>
          <w:rFonts w:ascii="Simplified Arabic" w:hAnsi="Simplified Arabic" w:cs="Simplified Arabic"/>
          <w:sz w:val="28"/>
          <w:szCs w:val="28"/>
          <w:rtl/>
        </w:rPr>
        <w:t>، وقابلية الملاحظة</w:t>
      </w:r>
      <w:r w:rsidRPr="00FB5EDA">
        <w:rPr>
          <w:rFonts w:ascii="Simplified Arabic" w:hAnsi="Simplified Arabic" w:cs="Simplified Arabic"/>
          <w:sz w:val="28"/>
          <w:szCs w:val="28"/>
        </w:rPr>
        <w:t xml:space="preserve"> (Observability)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Ahammad et al., 2025). </w:t>
      </w:r>
      <w:r w:rsidRPr="00FB5EDA">
        <w:rPr>
          <w:rFonts w:ascii="Simplified Arabic" w:hAnsi="Simplified Arabic" w:cs="Simplified Arabic"/>
          <w:sz w:val="28"/>
          <w:szCs w:val="28"/>
          <w:rtl/>
        </w:rPr>
        <w:t xml:space="preserve">وبتطبيق هذه النظرية على تقنية الترميز، يمكن فهم أن المؤسسات المالية الرائدة والشركات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tl/>
        </w:rPr>
        <w:t xml:space="preserve"> تمثل المبتكرين والمتبنين الأوائل</w:t>
      </w:r>
      <w:r w:rsidRPr="00FB5EDA">
        <w:rPr>
          <w:rFonts w:ascii="Simplified Arabic" w:hAnsi="Simplified Arabic" w:cs="Simplified Arabic"/>
          <w:sz w:val="28"/>
          <w:szCs w:val="28"/>
        </w:rPr>
        <w:t xml:space="preserve"> (Thunes Research, 2025; Islam &amp; In, 2024)</w:t>
      </w:r>
      <w:r w:rsidRPr="00FB5EDA">
        <w:rPr>
          <w:rFonts w:ascii="Simplified Arabic" w:hAnsi="Simplified Arabic" w:cs="Simplified Arabic"/>
          <w:sz w:val="28"/>
          <w:szCs w:val="28"/>
          <w:rtl/>
        </w:rPr>
        <w:t>، بينما البنوك التقليدية الكبرى قد تكون ضمن الأغلبية المبكرة أو المتأخرة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2025)</w:t>
      </w:r>
      <w:r w:rsidRPr="00FB5EDA">
        <w:rPr>
          <w:rFonts w:ascii="Simplified Arabic" w:hAnsi="Simplified Arabic" w:cs="Simplified Arabic"/>
          <w:sz w:val="28"/>
          <w:szCs w:val="28"/>
          <w:rtl/>
        </w:rPr>
        <w:t>، ويعتمد معدل الانتشار على مدى وضوح الميزة النسبية للترميز</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ومدى توافقه مع البنية التحتية القائمة</w:t>
      </w:r>
      <w:r w:rsidRPr="00FB5EDA">
        <w:rPr>
          <w:rFonts w:ascii="Simplified Arabic" w:hAnsi="Simplified Arabic" w:cs="Simplified Arabic"/>
          <w:sz w:val="28"/>
          <w:szCs w:val="28"/>
        </w:rPr>
        <w:t xml:space="preserve"> (Ahammad et al., 2025; Saudi Central Bank, 2024)</w:t>
      </w:r>
      <w:r w:rsidRPr="00FB5EDA">
        <w:rPr>
          <w:rFonts w:ascii="Simplified Arabic" w:hAnsi="Simplified Arabic" w:cs="Simplified Arabic"/>
          <w:sz w:val="28"/>
          <w:szCs w:val="28"/>
          <w:rtl/>
        </w:rPr>
        <w:t>، ومستوى التعقيد المدرك</w:t>
      </w:r>
      <w:r w:rsidRPr="00FB5EDA">
        <w:rPr>
          <w:rFonts w:ascii="Simplified Arabic" w:hAnsi="Simplified Arabic" w:cs="Simplified Arabic"/>
          <w:sz w:val="28"/>
          <w:szCs w:val="28"/>
        </w:rPr>
        <w:t xml:space="preserve"> (Carapella et al., 2023)</w:t>
      </w:r>
      <w:r w:rsidRPr="00FB5EDA">
        <w:rPr>
          <w:rFonts w:ascii="Simplified Arabic" w:hAnsi="Simplified Arabic" w:cs="Simplified Arabic"/>
          <w:sz w:val="28"/>
          <w:szCs w:val="28"/>
          <w:rtl/>
        </w:rPr>
        <w:t>، وتوفر فرص للتجربة في بيئات محدودة قبل التطبيق الشامل</w:t>
      </w:r>
      <w:r w:rsidRPr="00FB5EDA">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24CF0252" w14:textId="77777777" w:rsidR="00F00638" w:rsidRDefault="00F00638" w:rsidP="00F00638">
      <w:pPr>
        <w:bidi/>
        <w:jc w:val="both"/>
        <w:rPr>
          <w:rFonts w:ascii="Simplified Arabic" w:hAnsi="Simplified Arabic" w:cs="Simplified Arabic"/>
          <w:sz w:val="28"/>
          <w:szCs w:val="28"/>
          <w:rtl/>
        </w:rPr>
      </w:pPr>
      <w:r w:rsidRPr="00FB5EDA">
        <w:rPr>
          <w:rFonts w:ascii="Simplified Arabic" w:hAnsi="Simplified Arabic" w:cs="Simplified Arabic"/>
          <w:sz w:val="28"/>
          <w:szCs w:val="28"/>
          <w:rtl/>
        </w:rPr>
        <w:t>مما سبق يرى الباحث أن هذه الأطر النظرية مجتمعة توفر عدسة متعددة الأبعاد شاملة لفهم وتفسير تأثير تقنية الترميز على الأمن السيبراني وكفاءة العمليات المالية في المؤسسات السعودية</w:t>
      </w:r>
      <w:r w:rsidRPr="00FB5EDA">
        <w:rPr>
          <w:rFonts w:ascii="Simplified Arabic" w:hAnsi="Simplified Arabic" w:cs="Simplified Arabic"/>
          <w:sz w:val="28"/>
          <w:szCs w:val="28"/>
        </w:rPr>
        <w:t xml:space="preserve"> (Financial Stability Board, 2024; ENISA, 2024; IBM Security, 2024; PCI Security Standards Council, 2024; Saudi Central Bank, 2024)</w:t>
      </w:r>
      <w:r w:rsidRPr="00FB5EDA">
        <w:rPr>
          <w:rFonts w:ascii="Simplified Arabic" w:hAnsi="Simplified Arabic" w:cs="Simplified Arabic"/>
          <w:sz w:val="28"/>
          <w:szCs w:val="28"/>
          <w:rtl/>
        </w:rPr>
        <w:t>، بحيث تجمع بين الأبعاد التقنية (نظرية أمن المعلومات)، والاقتصادية (نظرية تكاليف المعاملات)، والإدارية (نظرية إدارة المخاطر)، والسلوكية (نموذج قبول التقنية ونظرية الانتشار)</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Grossmann et al., 2025; Carapella et al., 2023;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w:t>
      </w:r>
      <w:r w:rsidRPr="00FB5EDA">
        <w:rPr>
          <w:rFonts w:ascii="Simplified Arabic" w:hAnsi="Simplified Arabic" w:cs="Simplified Arabic"/>
          <w:sz w:val="28"/>
          <w:szCs w:val="28"/>
          <w:rtl/>
        </w:rPr>
        <w:t>، وهذا التكامل النظري يوجه تصميم الدراسة الحالية من حيث تحديد المتغيرات والعلاقات المفترضة بينها، وتفسير النتائج المتوقعة، وصياغة التوصيات العملية للمؤسسات المالية السعودية الراغبة في تبني تقنية الترميز بشكل فعال وآمن</w:t>
      </w:r>
      <w:r w:rsidRPr="00FB5EDA">
        <w:rPr>
          <w:rFonts w:ascii="Simplified Arabic" w:hAnsi="Simplified Arabic" w:cs="Simplified Arabic"/>
          <w:sz w:val="28"/>
          <w:szCs w:val="28"/>
        </w:rPr>
        <w:t xml:space="preserve"> (Saudi Central Bank, 2024; IMF, 2024; Thunes Research, 2025)</w:t>
      </w:r>
      <w:r>
        <w:rPr>
          <w:rFonts w:ascii="Simplified Arabic" w:hAnsi="Simplified Arabic" w:cs="Simplified Arabic" w:hint="cs"/>
          <w:sz w:val="28"/>
          <w:szCs w:val="28"/>
          <w:rtl/>
        </w:rPr>
        <w:t>.</w:t>
      </w:r>
    </w:p>
    <w:p w14:paraId="63ACC700" w14:textId="77777777" w:rsidR="00F00638" w:rsidRPr="00FB5EDA" w:rsidRDefault="00F00638" w:rsidP="00697C27">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28" w:name="_Toc224563959"/>
      <w:bookmarkStart w:id="129" w:name="_Toc224564016"/>
      <w:r w:rsidRPr="00FB5EDA">
        <w:rPr>
          <w:rFonts w:ascii="Simplified Arabic" w:hAnsi="Simplified Arabic" w:cs="Simplified Arabic"/>
          <w:b/>
          <w:bCs/>
          <w:color w:val="auto"/>
          <w:sz w:val="28"/>
          <w:szCs w:val="28"/>
          <w:u w:val="single"/>
        </w:rPr>
        <w:lastRenderedPageBreak/>
        <w:t xml:space="preserve">2.2 </w:t>
      </w:r>
      <w:r w:rsidRPr="00FB5EDA">
        <w:rPr>
          <w:rFonts w:ascii="Simplified Arabic" w:hAnsi="Simplified Arabic" w:cs="Simplified Arabic"/>
          <w:b/>
          <w:bCs/>
          <w:color w:val="auto"/>
          <w:sz w:val="28"/>
          <w:szCs w:val="28"/>
          <w:u w:val="single"/>
          <w:rtl/>
        </w:rPr>
        <w:t>الدراسات السابقة</w:t>
      </w:r>
      <w:bookmarkEnd w:id="128"/>
      <w:bookmarkEnd w:id="129"/>
    </w:p>
    <w:p w14:paraId="765B3459"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يستعرض هذا القسم الدراسات الأكاديمية المحكمة ذات الصلة المباشرة بموضوع الدراسة الحالية، حيث تم تقسيم هذه الدراسات إلى أربع مجموعات رئيسية تتوافق مع المحاور الأساسية للدراسة</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Pr>
        <w:t>Goghie, 2024; Ahammad et al., 2025;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وذلك بهدف بناء فهم شامل للأدبيات المتاحة حول تقنية الترميز وتأثيرها على الأمن السيبراني وكفاءة العمليات المالية في سياقات مختلفة</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Pr>
        <w:t xml:space="preserve">Carapella et al., 2023; Grossmann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وقد تم اختيار هذه الدراسات بناءً على معايير صارمة تشمل الحداثة (2023-2025)، والنشر في مجلات علمية محكمة أو مؤتمرات أكاديمية معترف بها دولياً، والارتباط المباشر بأحد محاور الدراسة الحالية على الأق</w:t>
      </w:r>
      <w:r>
        <w:rPr>
          <w:rFonts w:ascii="Simplified Arabic" w:hAnsi="Simplified Arabic" w:cs="Simplified Arabic" w:hint="cs"/>
          <w:sz w:val="28"/>
          <w:szCs w:val="28"/>
          <w:rtl/>
        </w:rPr>
        <w:t>ل (</w:t>
      </w:r>
      <w:r w:rsidRPr="00FB5EDA">
        <w:rPr>
          <w:rFonts w:ascii="Simplified Arabic" w:hAnsi="Simplified Arabic" w:cs="Simplified Arabic"/>
          <w:sz w:val="28"/>
          <w:szCs w:val="28"/>
        </w:rPr>
        <w:t xml:space="preserve">Islam &amp; In,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مما يضمن الاستفادة من أحدث المعارف المتاحة في هذا المجال سريع التطور</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Pr>
        <w:t>(Financial Stability Board, 2024; McKinsey &amp; Company, 2024)</w:t>
      </w:r>
      <w:r>
        <w:rPr>
          <w:rFonts w:ascii="Simplified Arabic" w:hAnsi="Simplified Arabic" w:cs="Simplified Arabic" w:hint="cs"/>
          <w:sz w:val="28"/>
          <w:szCs w:val="28"/>
          <w:rtl/>
        </w:rPr>
        <w:t>.</w:t>
      </w:r>
    </w:p>
    <w:p w14:paraId="23F42302"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2.2.1 </w:t>
      </w:r>
      <w:r w:rsidRPr="00FB5EDA">
        <w:rPr>
          <w:rFonts w:ascii="Simplified Arabic" w:hAnsi="Simplified Arabic" w:cs="Simplified Arabic"/>
          <w:b/>
          <w:bCs/>
          <w:sz w:val="28"/>
          <w:szCs w:val="28"/>
          <w:rtl/>
        </w:rPr>
        <w:t>المجموعة الأولى: الدراسات المرتبطة بالأمن السيبراني وتقنية الترميز</w:t>
      </w:r>
    </w:p>
    <w:p w14:paraId="67EFD41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تناولت عدة دراسات حديثة العلاقة بين تقنية الترميز والأمن السيبراني في القطاع المالي من زوايا متعددة، حيث أجرى</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r w:rsidRPr="00FB5EDA">
        <w:rPr>
          <w:rFonts w:ascii="Simplified Arabic" w:hAnsi="Simplified Arabic" w:cs="Simplified Arabic"/>
          <w:sz w:val="28"/>
          <w:szCs w:val="28"/>
          <w:rtl/>
        </w:rPr>
        <w:t xml:space="preserve">دراسة حول كيفية إعادة تعريف تقنية الترميز </w:t>
      </w:r>
      <w:proofErr w:type="spellStart"/>
      <w:r w:rsidRPr="00FB5EDA">
        <w:rPr>
          <w:rFonts w:ascii="Simplified Arabic" w:hAnsi="Simplified Arabic" w:cs="Simplified Arabic"/>
          <w:sz w:val="28"/>
          <w:szCs w:val="28"/>
          <w:rtl/>
        </w:rPr>
        <w:t>والبلوكشين</w:t>
      </w:r>
      <w:proofErr w:type="spellEnd"/>
      <w:r w:rsidRPr="00FB5EDA">
        <w:rPr>
          <w:rFonts w:ascii="Simplified Arabic" w:hAnsi="Simplified Arabic" w:cs="Simplified Arabic"/>
          <w:sz w:val="28"/>
          <w:szCs w:val="28"/>
          <w:rtl/>
        </w:rPr>
        <w:t xml:space="preserve"> للسلطة والنفوذ في النظام المصرفي التقليدي، وذلك من خلال تحليل البنية التحتية لحالتين رئيسيتين هما</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SocGen</w:t>
      </w:r>
      <w:proofErr w:type="spellEnd"/>
      <w:r w:rsidRPr="00FB5EDA">
        <w:rPr>
          <w:rFonts w:ascii="Simplified Arabic" w:hAnsi="Simplified Arabic" w:cs="Simplified Arabic"/>
          <w:sz w:val="28"/>
          <w:szCs w:val="28"/>
        </w:rPr>
        <w:t xml:space="preserve">-Forge </w:t>
      </w:r>
      <w:r w:rsidRPr="00FB5EDA">
        <w:rPr>
          <w:rFonts w:ascii="Simplified Arabic" w:hAnsi="Simplified Arabic" w:cs="Simplified Arabic"/>
          <w:sz w:val="28"/>
          <w:szCs w:val="28"/>
          <w:rtl/>
        </w:rPr>
        <w:t>من مجموعة</w:t>
      </w:r>
      <w:r w:rsidRPr="00FB5EDA">
        <w:rPr>
          <w:rFonts w:ascii="Simplified Arabic" w:hAnsi="Simplified Arabic" w:cs="Simplified Arabic"/>
          <w:sz w:val="28"/>
          <w:szCs w:val="28"/>
        </w:rPr>
        <w:t xml:space="preserve"> Société Générale </w:t>
      </w:r>
      <w:r w:rsidRPr="00FB5EDA">
        <w:rPr>
          <w:rFonts w:ascii="Simplified Arabic" w:hAnsi="Simplified Arabic" w:cs="Simplified Arabic"/>
          <w:sz w:val="28"/>
          <w:szCs w:val="28"/>
          <w:rtl/>
        </w:rPr>
        <w:t xml:space="preserve">وشبكة الضمانات </w:t>
      </w:r>
      <w:proofErr w:type="spellStart"/>
      <w:r w:rsidRPr="00FB5EDA">
        <w:rPr>
          <w:rFonts w:ascii="Simplified Arabic" w:hAnsi="Simplified Arabic" w:cs="Simplified Arabic"/>
          <w:sz w:val="28"/>
          <w:szCs w:val="28"/>
          <w:rtl/>
        </w:rPr>
        <w:t>المرمزة</w:t>
      </w:r>
      <w:proofErr w:type="spellEnd"/>
      <w:r w:rsidRPr="00FB5EDA">
        <w:rPr>
          <w:rFonts w:ascii="Simplified Arabic" w:hAnsi="Simplified Arabic" w:cs="Simplified Arabic"/>
          <w:sz w:val="28"/>
          <w:szCs w:val="28"/>
          <w:rtl/>
        </w:rPr>
        <w:t xml:space="preserve"> من</w:t>
      </w:r>
      <w:r w:rsidRPr="00FB5EDA">
        <w:rPr>
          <w:rFonts w:ascii="Simplified Arabic" w:hAnsi="Simplified Arabic" w:cs="Simplified Arabic"/>
          <w:sz w:val="28"/>
          <w:szCs w:val="28"/>
        </w:rPr>
        <w:t xml:space="preserve"> J.P. Morgan</w:t>
      </w:r>
      <w:r w:rsidRPr="00FB5EDA">
        <w:rPr>
          <w:rFonts w:ascii="Simplified Arabic" w:hAnsi="Simplified Arabic" w:cs="Simplified Arabic"/>
          <w:sz w:val="28"/>
          <w:szCs w:val="28"/>
          <w:rtl/>
        </w:rPr>
        <w:t>، بحيث كشفت الدراسة عن أن البنوك الكبرى نجحت في وضع نفسها في موقع مركزي ضمن بنية الترميز من خلال قدرتها على الضغط التنظيمي وامتلاك الموارد التقنية المتقدمة، مما يمكّنها من تشكيل معايير الأمن السيبراني والامتثال التنظيمي بما يخدم مصالحها المؤسسية، وهذا يلقي الضوء على البعد المؤسسي والسياسي لتبني تقنيات الترميز في القطاع المصرفي</w:t>
      </w:r>
      <w:r w:rsidRPr="00FB5EDA">
        <w:rPr>
          <w:rFonts w:ascii="Simplified Arabic" w:hAnsi="Simplified Arabic" w:cs="Simplified Arabic"/>
          <w:sz w:val="28"/>
          <w:szCs w:val="28"/>
        </w:rPr>
        <w:t>.</w:t>
      </w:r>
    </w:p>
    <w:p w14:paraId="76A9A5A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كما قدم</w:t>
      </w:r>
      <w:r w:rsidRPr="00FB5EDA">
        <w:rPr>
          <w:rFonts w:ascii="Simplified Arabic" w:hAnsi="Simplified Arabic" w:cs="Simplified Arabic"/>
          <w:sz w:val="28"/>
          <w:szCs w:val="28"/>
        </w:rPr>
        <w:t xml:space="preserve"> Ahammad et al. (2025) </w:t>
      </w:r>
      <w:r w:rsidRPr="00FB5EDA">
        <w:rPr>
          <w:rFonts w:ascii="Simplified Arabic" w:hAnsi="Simplified Arabic" w:cs="Simplified Arabic"/>
          <w:sz w:val="28"/>
          <w:szCs w:val="28"/>
          <w:rtl/>
        </w:rPr>
        <w:t xml:space="preserve">إطار عمل </w:t>
      </w:r>
      <w:proofErr w:type="spellStart"/>
      <w:r w:rsidRPr="00FB5EDA">
        <w:rPr>
          <w:rFonts w:ascii="Simplified Arabic" w:hAnsi="Simplified Arabic" w:cs="Simplified Arabic"/>
          <w:sz w:val="28"/>
          <w:szCs w:val="28"/>
          <w:rtl/>
        </w:rPr>
        <w:t>بلوكشين</w:t>
      </w:r>
      <w:proofErr w:type="spellEnd"/>
      <w:r w:rsidRPr="00FB5EDA">
        <w:rPr>
          <w:rFonts w:ascii="Simplified Arabic" w:hAnsi="Simplified Arabic" w:cs="Simplified Arabic"/>
          <w:sz w:val="28"/>
          <w:szCs w:val="28"/>
          <w:rtl/>
        </w:rPr>
        <w:t xml:space="preserve"> مبتكر يعتمد على منصة</w:t>
      </w:r>
      <w:r w:rsidRPr="00FB5EDA">
        <w:rPr>
          <w:rFonts w:ascii="Simplified Arabic" w:hAnsi="Simplified Arabic" w:cs="Simplified Arabic"/>
          <w:sz w:val="28"/>
          <w:szCs w:val="28"/>
        </w:rPr>
        <w:t xml:space="preserve"> Ethereum </w:t>
      </w:r>
      <w:r w:rsidRPr="00FB5EDA">
        <w:rPr>
          <w:rFonts w:ascii="Simplified Arabic" w:hAnsi="Simplified Arabic" w:cs="Simplified Arabic"/>
          <w:sz w:val="28"/>
          <w:szCs w:val="28"/>
          <w:rtl/>
        </w:rPr>
        <w:t>لتعزيز الأمن والكفاءة في القطاع المصرفي، وذلك من خلال بناء نظام تجريبي باستخدام العقود الذكية على شبكة</w:t>
      </w:r>
      <w:r>
        <w:rPr>
          <w:rFonts w:ascii="Simplified Arabic" w:hAnsi="Simplified Arabic" w:cs="Simplified Arabic" w:hint="cs"/>
          <w:sz w:val="28"/>
          <w:szCs w:val="28"/>
          <w:rtl/>
        </w:rPr>
        <w:t xml:space="preserve"> </w:t>
      </w:r>
      <w:proofErr w:type="spellStart"/>
      <w:r w:rsidRPr="00FB5EDA">
        <w:rPr>
          <w:rFonts w:ascii="Simplified Arabic" w:hAnsi="Simplified Arabic" w:cs="Simplified Arabic"/>
          <w:sz w:val="28"/>
          <w:szCs w:val="28"/>
        </w:rPr>
        <w:t>Sepolia</w:t>
      </w:r>
      <w:proofErr w:type="spellEnd"/>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Testnet</w:t>
      </w:r>
      <w:proofErr w:type="spellEnd"/>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وتطويره بتقنيات</w:t>
      </w:r>
      <w:r w:rsidRPr="00FB5EDA">
        <w:rPr>
          <w:rFonts w:ascii="Simplified Arabic" w:hAnsi="Simplified Arabic" w:cs="Simplified Arabic"/>
          <w:sz w:val="28"/>
          <w:szCs w:val="28"/>
        </w:rPr>
        <w:t xml:space="preserve"> Solidity </w:t>
      </w:r>
      <w:r w:rsidRPr="00FB5EDA">
        <w:rPr>
          <w:rFonts w:ascii="Simplified Arabic" w:hAnsi="Simplified Arabic" w:cs="Simplified Arabic"/>
          <w:sz w:val="28"/>
          <w:szCs w:val="28"/>
          <w:rtl/>
        </w:rPr>
        <w:t>و</w:t>
      </w:r>
      <w:r w:rsidRPr="00FB5EDA">
        <w:rPr>
          <w:rFonts w:ascii="Simplified Arabic" w:hAnsi="Simplified Arabic" w:cs="Simplified Arabic"/>
          <w:sz w:val="28"/>
          <w:szCs w:val="28"/>
        </w:rPr>
        <w:t xml:space="preserve">Ether.js </w:t>
      </w:r>
      <w:r w:rsidRPr="00FB5EDA">
        <w:rPr>
          <w:rFonts w:ascii="Simplified Arabic" w:hAnsi="Simplified Arabic" w:cs="Simplified Arabic"/>
          <w:sz w:val="28"/>
          <w:szCs w:val="28"/>
          <w:rtl/>
        </w:rPr>
        <w:t>و</w:t>
      </w:r>
      <w:r w:rsidRPr="00FB5EDA">
        <w:rPr>
          <w:rFonts w:ascii="Simplified Arabic" w:hAnsi="Simplified Arabic" w:cs="Simplified Arabic"/>
          <w:sz w:val="28"/>
          <w:szCs w:val="28"/>
        </w:rPr>
        <w:t>React.js</w:t>
      </w:r>
      <w:r w:rsidRPr="00FB5EDA">
        <w:rPr>
          <w:rFonts w:ascii="Simplified Arabic" w:hAnsi="Simplified Arabic" w:cs="Simplified Arabic"/>
          <w:sz w:val="28"/>
          <w:szCs w:val="28"/>
          <w:rtl/>
        </w:rPr>
        <w:t xml:space="preserve">، بحيث أظهرت النتائج أن النظام المقترح نجح في إلغاء الوسطاء من خلال تمكين </w:t>
      </w:r>
      <w:r w:rsidRPr="00FB5EDA">
        <w:rPr>
          <w:rFonts w:ascii="Simplified Arabic" w:hAnsi="Simplified Arabic" w:cs="Simplified Arabic"/>
          <w:sz w:val="28"/>
          <w:szCs w:val="28"/>
          <w:rtl/>
        </w:rPr>
        <w:lastRenderedPageBreak/>
        <w:t>المعاملات من نظير إلى نظير بشكل آمن ومؤتمت، مع تحسينات ملموسة في سرعة المعاملات وتقليل نقاط الضعف الأمنية المرتبطة بالأنظمة المركزية التقليدية</w:t>
      </w:r>
      <w:r w:rsidRPr="00FB5EDA">
        <w:rPr>
          <w:rFonts w:ascii="Simplified Arabic" w:hAnsi="Simplified Arabic" w:cs="Simplified Arabic"/>
          <w:sz w:val="28"/>
          <w:szCs w:val="28"/>
        </w:rPr>
        <w:t>.</w:t>
      </w:r>
    </w:p>
    <w:p w14:paraId="6544727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وفي نفس السياق، استهدف</w:t>
      </w:r>
      <w:r w:rsidRPr="00FB5EDA">
        <w:rPr>
          <w:rFonts w:ascii="Simplified Arabic" w:hAnsi="Simplified Arabic" w:cs="Simplified Arabic"/>
          <w:sz w:val="28"/>
          <w:szCs w:val="28"/>
        </w:rPr>
        <w:t xml:space="preserve"> Grossmann et al. (2025) </w:t>
      </w:r>
      <w:r w:rsidRPr="00FB5EDA">
        <w:rPr>
          <w:rFonts w:ascii="Simplified Arabic" w:hAnsi="Simplified Arabic" w:cs="Simplified Arabic"/>
          <w:sz w:val="28"/>
          <w:szCs w:val="28"/>
          <w:rtl/>
        </w:rPr>
        <w:t>تصميم أسواق سندات مستقبلية تعتمد على الترميز لخفض تكاليف المعاملات، وذلك باستخدام منهجية</w:t>
      </w:r>
      <w:r w:rsidRPr="00FB5EDA">
        <w:rPr>
          <w:rFonts w:ascii="Simplified Arabic" w:hAnsi="Simplified Arabic" w:cs="Simplified Arabic"/>
          <w:sz w:val="28"/>
          <w:szCs w:val="28"/>
        </w:rPr>
        <w:t xml:space="preserve"> Design Science Research </w:t>
      </w:r>
      <w:r w:rsidRPr="00FB5EDA">
        <w:rPr>
          <w:rFonts w:ascii="Simplified Arabic" w:hAnsi="Simplified Arabic" w:cs="Simplified Arabic"/>
          <w:sz w:val="28"/>
          <w:szCs w:val="28"/>
          <w:rtl/>
        </w:rPr>
        <w:t xml:space="preserve">لتطوير نموذج نظري ونموذج أولي عملي، بحيث كشفت النتائج أن الترميز يخفض تكاليف المعاملات عبر ثلاثة أبعاد رئيسية بنسب ملحوظة تصل إلى 40% في تكاليف البحث والمعلومات، و50% في تكاليف المفاوضة والتعاقد، و60% في تكاليف المراقبة والإنفاذ، وذلك من خلال الاستفادة من العقود الذكية والشفافية المتأصلة في تقنية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Pr>
        <w:t>.</w:t>
      </w:r>
    </w:p>
    <w:p w14:paraId="0DE95DF6"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بينما فحص</w:t>
      </w:r>
      <w:r w:rsidRPr="00FB5EDA">
        <w:rPr>
          <w:rFonts w:ascii="Simplified Arabic" w:hAnsi="Simplified Arabic" w:cs="Simplified Arabic"/>
          <w:sz w:val="28"/>
          <w:szCs w:val="28"/>
        </w:rPr>
        <w:t xml:space="preserve"> Carapella et al. (2023) </w:t>
      </w:r>
      <w:r w:rsidRPr="00FB5EDA">
        <w:rPr>
          <w:rFonts w:ascii="Simplified Arabic" w:hAnsi="Simplified Arabic" w:cs="Simplified Arabic"/>
          <w:sz w:val="28"/>
          <w:szCs w:val="28"/>
          <w:rtl/>
        </w:rPr>
        <w:t>الآثار المترتبة على الاستقرار المالي من انتشار تقنية الترميز في النظام المالي بشكل عام، وذلك من خلال تحليل نوعي شامل للمخاطر والفرص المرتبطة بالترميز على مستوى النظام المالي، بحيث أظهرت النتائج أن الترميز يقدم فوائد كبيرة من حيث تحسين الكفاءة التشغيلية وخفض التكاليف، لكنه يطرح أيضاً مخاطر نظامية جديدة تتعلق بالاعتماد على البنية التحتية التقنية والتبعية على أطراف ثالثة لإدارة منصات الترميز والحاجة لأطر حوكمة واضحة لضمان الأمن السيبراني ومنع الانتهاكات</w:t>
      </w:r>
      <w:r w:rsidRPr="00FB5EDA">
        <w:rPr>
          <w:rFonts w:ascii="Simplified Arabic" w:hAnsi="Simplified Arabic" w:cs="Simplified Arabic"/>
          <w:sz w:val="28"/>
          <w:szCs w:val="28"/>
        </w:rPr>
        <w:t>.</w:t>
      </w:r>
    </w:p>
    <w:p w14:paraId="4CC6687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تعليق الباحث على المجموعة الأولى</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استعراض دراسات المجموعة الأولى، يتضح أن جميعها أكدت على الدور المحوري لتقنية الترميز في تعزيز الأمن السيبراني للمؤسسات المالية من خلال آليات متعددة تشمل إلغاء الوسطاء وتقليل نقاط الضعف المركزية وتوفير الشفافية والسجلات غير القابلة للتعديل</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Ahammad et al., 2025; Grossmann et al., 2025; Carapella et al., 2023). </w:t>
      </w:r>
      <w:r w:rsidRPr="00FB5EDA">
        <w:rPr>
          <w:rFonts w:ascii="Simplified Arabic" w:hAnsi="Simplified Arabic" w:cs="Simplified Arabic"/>
          <w:sz w:val="28"/>
          <w:szCs w:val="28"/>
          <w:rtl/>
        </w:rPr>
        <w:t xml:space="preserve">إلا أن هناك فجوة واضحة في هذه الدراسات تتمثل في غياب التطبيق على السياق السعودي تحديداً، حيث </w:t>
      </w:r>
      <w:proofErr w:type="gramStart"/>
      <w:r w:rsidRPr="00FB5EDA">
        <w:rPr>
          <w:rFonts w:ascii="Simplified Arabic" w:hAnsi="Simplified Arabic" w:cs="Simplified Arabic"/>
          <w:sz w:val="28"/>
          <w:szCs w:val="28"/>
          <w:rtl/>
        </w:rPr>
        <w:t>أن</w:t>
      </w:r>
      <w:proofErr w:type="gramEnd"/>
      <w:r w:rsidRPr="00FB5EDA">
        <w:rPr>
          <w:rFonts w:ascii="Simplified Arabic" w:hAnsi="Simplified Arabic" w:cs="Simplified Arabic"/>
          <w:sz w:val="28"/>
          <w:szCs w:val="28"/>
          <w:rtl/>
        </w:rPr>
        <w:t xml:space="preserve"> جميع الدراسات المستعرضة ركزت على سياقات أوروبية أو عالمية دون التطرق للخصوصية التنظيمية والثقافية للمملكة العربية السعودية، مما يبرز أهمية إجراء الدراسة الحالية لسد هذه الفجوة البحثية</w:t>
      </w:r>
      <w:r w:rsidRPr="00FB5EDA">
        <w:rPr>
          <w:rFonts w:ascii="Simplified Arabic" w:hAnsi="Simplified Arabic" w:cs="Simplified Arabic"/>
          <w:sz w:val="28"/>
          <w:szCs w:val="28"/>
        </w:rPr>
        <w:t>.</w:t>
      </w:r>
    </w:p>
    <w:p w14:paraId="72A20BEB" w14:textId="77777777" w:rsidR="00F00638" w:rsidRDefault="00F00638" w:rsidP="00F00638">
      <w:pPr>
        <w:bidi/>
        <w:jc w:val="both"/>
        <w:rPr>
          <w:rFonts w:ascii="Simplified Arabic" w:hAnsi="Simplified Arabic" w:cs="Simplified Arabic"/>
          <w:sz w:val="28"/>
          <w:szCs w:val="28"/>
          <w:rtl/>
        </w:rPr>
      </w:pPr>
    </w:p>
    <w:p w14:paraId="4DB03825" w14:textId="77777777" w:rsidR="00F00638" w:rsidRPr="00FB5EDA" w:rsidRDefault="00F00638" w:rsidP="00F00638">
      <w:pPr>
        <w:bidi/>
        <w:spacing w:line="278" w:lineRule="auto"/>
        <w:jc w:val="both"/>
        <w:rPr>
          <w:rFonts w:ascii="Simplified Arabic" w:hAnsi="Simplified Arabic" w:cs="Simplified Arabic"/>
          <w:sz w:val="28"/>
          <w:szCs w:val="28"/>
        </w:rPr>
      </w:pPr>
    </w:p>
    <w:p w14:paraId="7C66D45B"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lastRenderedPageBreak/>
        <w:t xml:space="preserve">2.2.2 </w:t>
      </w:r>
      <w:r w:rsidRPr="00FB5EDA">
        <w:rPr>
          <w:rFonts w:ascii="Simplified Arabic" w:hAnsi="Simplified Arabic" w:cs="Simplified Arabic"/>
          <w:b/>
          <w:bCs/>
          <w:sz w:val="28"/>
          <w:szCs w:val="28"/>
          <w:rtl/>
        </w:rPr>
        <w:t>المجموعة الثانية: الدراسات المرتبطة بكفاءة المعاملات المالية وتقنية الترميز</w:t>
      </w:r>
    </w:p>
    <w:p w14:paraId="0FED9D00"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 xml:space="preserve">ركزت مجموعة أخرى من الدراسات على قياس تأثير تقنية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والترميز على كفاءة المعاملات المالية بشكل كمي وتطبيقي، حيث هدف</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r w:rsidRPr="00FB5EDA">
        <w:rPr>
          <w:rFonts w:ascii="Simplified Arabic" w:hAnsi="Simplified Arabic" w:cs="Simplified Arabic"/>
          <w:sz w:val="28"/>
          <w:szCs w:val="28"/>
          <w:rtl/>
        </w:rPr>
        <w:t xml:space="preserve">إلى قياس تأثير تقنية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على تكاليف المعاملات المصرفية بشكل كمي من خلال تحليل بيانات 17 بنكاً في الإمارات على مدى 7 سنوات باستخدام تقنية</w:t>
      </w:r>
      <w:r w:rsidRPr="00FB5EDA">
        <w:rPr>
          <w:rFonts w:ascii="Simplified Arabic" w:hAnsi="Simplified Arabic" w:cs="Simplified Arabic"/>
          <w:sz w:val="28"/>
          <w:szCs w:val="28"/>
        </w:rPr>
        <w:t xml:space="preserve"> Random Forest</w:t>
      </w:r>
      <w:r w:rsidRPr="00FB5EDA">
        <w:rPr>
          <w:rFonts w:ascii="Simplified Arabic" w:hAnsi="Simplified Arabic" w:cs="Simplified Arabic"/>
          <w:sz w:val="28"/>
          <w:szCs w:val="28"/>
          <w:rtl/>
        </w:rPr>
        <w:t xml:space="preserve">، بحيث أظهرت النتائج علاقة سلبية قوية بمعامل ارتباط -0.73 بين تبني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وتكاليف المعاملات، مع انخفاض ملحوظ في تكاليف المعالجة بنسبة 52%، وتكاليف التسوية والمقاصة بنسبة 48%، وتكاليف الامتثال والمراجعة بنسبة 41%، وكشفت الدراسة أيضاً عن منحنى تبني يشير إلى أن الوفورات تتسارع بشكل كبير بعد تجاوز عتبة 40% من المعاملات على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Pr>
        <w:t>.</w:t>
      </w:r>
    </w:p>
    <w:p w14:paraId="29ACB8E2"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كما فحص</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r w:rsidRPr="00FB5EDA">
        <w:rPr>
          <w:rFonts w:ascii="Simplified Arabic" w:hAnsi="Simplified Arabic" w:cs="Simplified Arabic"/>
          <w:sz w:val="28"/>
          <w:szCs w:val="28"/>
          <w:rtl/>
        </w:rPr>
        <w:t xml:space="preserve">العلاقة بين تبني تقنية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والأداء المالي للبنوك الأسترالية الكبرى وذلك من خلال دراسة وصفية تحليلية لبيانات ثانوية من التقارير السنوية لثلاثة بنوك رئيسية خلال الفترة 2016-2023، بحيث قاست الدراسة الأداء المالي من خلال معدل العائد على الأصول ومعدل العائد على حقوق الملكية، وأظهرت النتائج علاقة إيجابية بين تبني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وتحسن الأداء المالي مع مكاسب واضحة في الكفاءة وإدارة التكاليف والربحية، ومثال بارز هو مشروع</w:t>
      </w:r>
      <w:r w:rsidRPr="00FB5EDA">
        <w:rPr>
          <w:rFonts w:ascii="Simplified Arabic" w:hAnsi="Simplified Arabic" w:cs="Simplified Arabic"/>
          <w:sz w:val="28"/>
          <w:szCs w:val="28"/>
        </w:rPr>
        <w:t xml:space="preserve"> Lygon </w:t>
      </w:r>
      <w:r w:rsidRPr="00FB5EDA">
        <w:rPr>
          <w:rFonts w:ascii="Simplified Arabic" w:hAnsi="Simplified Arabic" w:cs="Simplified Arabic"/>
          <w:sz w:val="28"/>
          <w:szCs w:val="28"/>
          <w:rtl/>
        </w:rPr>
        <w:t>الذي خفض وقت معالجة الضمانات المصرفية من 30 يوماً إلى أقل من يوم واحد</w:t>
      </w:r>
      <w:r w:rsidRPr="00FB5EDA">
        <w:rPr>
          <w:rFonts w:ascii="Simplified Arabic" w:hAnsi="Simplified Arabic" w:cs="Simplified Arabic"/>
          <w:sz w:val="28"/>
          <w:szCs w:val="28"/>
        </w:rPr>
        <w:t>.</w:t>
      </w:r>
    </w:p>
    <w:p w14:paraId="623D6C33"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وفي سياق مماثل، استهدف</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w:t>
      </w:r>
      <w:r w:rsidRPr="00FB5EDA">
        <w:rPr>
          <w:rFonts w:ascii="Simplified Arabic" w:hAnsi="Simplified Arabic" w:cs="Simplified Arabic"/>
          <w:sz w:val="28"/>
          <w:szCs w:val="28"/>
          <w:rtl/>
        </w:rPr>
        <w:t xml:space="preserve">تحليل كيفية معالجة الترميز لأوجه القصور في الأسواق المالية من خلال نمذجة نظرية وتحليل تجريبي لبيانات أسواق السندات الكندية، بحيث كشفت النتائج أن الترميز يخفض تكاليف إصدار الأصول بشكل دائم مما قد يؤثر على هياكل الرافعة المالية للمؤسسات، كما أظهرت الدراسة أن القابلية البرمجية للأصول </w:t>
      </w:r>
      <w:proofErr w:type="spellStart"/>
      <w:r w:rsidRPr="00FB5EDA">
        <w:rPr>
          <w:rFonts w:ascii="Simplified Arabic" w:hAnsi="Simplified Arabic" w:cs="Simplified Arabic"/>
          <w:sz w:val="28"/>
          <w:szCs w:val="28"/>
          <w:rtl/>
        </w:rPr>
        <w:t>المرمزة</w:t>
      </w:r>
      <w:proofErr w:type="spellEnd"/>
      <w:r w:rsidRPr="00FB5EDA">
        <w:rPr>
          <w:rFonts w:ascii="Simplified Arabic" w:hAnsi="Simplified Arabic" w:cs="Simplified Arabic"/>
          <w:sz w:val="28"/>
          <w:szCs w:val="28"/>
          <w:rtl/>
        </w:rPr>
        <w:t xml:space="preserve"> تسهل إعادة الرهن التلقائية للضمانات مما يحسن كفاءة استخدام رأس المال</w:t>
      </w:r>
      <w:r w:rsidRPr="00FB5EDA">
        <w:rPr>
          <w:rFonts w:ascii="Simplified Arabic" w:hAnsi="Simplified Arabic" w:cs="Simplified Arabic"/>
          <w:sz w:val="28"/>
          <w:szCs w:val="28"/>
        </w:rPr>
        <w:t>.</w:t>
      </w:r>
    </w:p>
    <w:p w14:paraId="696CBFE9"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بينما بحث</w:t>
      </w:r>
      <w:r w:rsidRPr="00FB5EDA">
        <w:rPr>
          <w:rFonts w:ascii="Simplified Arabic" w:hAnsi="Simplified Arabic" w:cs="Simplified Arabic"/>
          <w:sz w:val="28"/>
          <w:szCs w:val="28"/>
        </w:rPr>
        <w:t xml:space="preserve"> Udeh et al. (2025) </w:t>
      </w:r>
      <w:r w:rsidRPr="00FB5EDA">
        <w:rPr>
          <w:rFonts w:ascii="Simplified Arabic" w:hAnsi="Simplified Arabic" w:cs="Simplified Arabic"/>
          <w:sz w:val="28"/>
          <w:szCs w:val="28"/>
          <w:rtl/>
        </w:rPr>
        <w:t xml:space="preserve">في تأثير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والعقود الذكية على ديناميكيات الثقة في القطاع المالي باستخدام منهجية مختلطة تجمع بين دراسات الحالة مثل منصة</w:t>
      </w:r>
      <w:r w:rsidRPr="00FB5EDA">
        <w:rPr>
          <w:rFonts w:ascii="Simplified Arabic" w:hAnsi="Simplified Arabic" w:cs="Simplified Arabic"/>
          <w:sz w:val="28"/>
          <w:szCs w:val="28"/>
        </w:rPr>
        <w:t xml:space="preserve"> Quorum </w:t>
      </w:r>
      <w:r w:rsidRPr="00FB5EDA">
        <w:rPr>
          <w:rFonts w:ascii="Simplified Arabic" w:hAnsi="Simplified Arabic" w:cs="Simplified Arabic"/>
          <w:sz w:val="28"/>
          <w:szCs w:val="28"/>
          <w:rtl/>
        </w:rPr>
        <w:t>من</w:t>
      </w:r>
      <w:r w:rsidRPr="00FB5EDA">
        <w:rPr>
          <w:rFonts w:ascii="Simplified Arabic" w:hAnsi="Simplified Arabic" w:cs="Simplified Arabic"/>
          <w:sz w:val="28"/>
          <w:szCs w:val="28"/>
        </w:rPr>
        <w:t xml:space="preserve"> J.P. Morgan </w:t>
      </w:r>
      <w:r w:rsidRPr="00FB5EDA">
        <w:rPr>
          <w:rFonts w:ascii="Simplified Arabic" w:hAnsi="Simplified Arabic" w:cs="Simplified Arabic"/>
          <w:sz w:val="28"/>
          <w:szCs w:val="28"/>
          <w:rtl/>
        </w:rPr>
        <w:t xml:space="preserve">والتحليل الكيفي، بحيث أظهرت النتائج أن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يقلل بشكل كبير من تكاليف </w:t>
      </w:r>
      <w:r w:rsidRPr="00FB5EDA">
        <w:rPr>
          <w:rFonts w:ascii="Simplified Arabic" w:hAnsi="Simplified Arabic" w:cs="Simplified Arabic"/>
          <w:sz w:val="28"/>
          <w:szCs w:val="28"/>
          <w:rtl/>
        </w:rPr>
        <w:lastRenderedPageBreak/>
        <w:t>المعاملات من خلال إلغاء الحاجة للوسطاء ويعزز الشفافية عبر السجلات غير القابلة للتعديل ويزيد الأمن من خلال آليات الإجماع اللامركزية، لكنها كشفت أيضاً أن الانتقال من الثقة المؤسسية إلى الثقة اللامركزية يطرح تحديات تنظيمية وحوكمة جديدة</w:t>
      </w:r>
      <w:r w:rsidRPr="00FB5EDA">
        <w:rPr>
          <w:rFonts w:ascii="Simplified Arabic" w:hAnsi="Simplified Arabic" w:cs="Simplified Arabic"/>
          <w:sz w:val="28"/>
          <w:szCs w:val="28"/>
        </w:rPr>
        <w:t>.</w:t>
      </w:r>
    </w:p>
    <w:p w14:paraId="0C0B3041"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تعليق الباحث على المجموعة الثانية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 xml:space="preserve">تتفق دراسات المجموعة الثانية على أن تقنية الترميز </w:t>
      </w:r>
      <w:proofErr w:type="spellStart"/>
      <w:r w:rsidRPr="00FB5EDA">
        <w:rPr>
          <w:rFonts w:ascii="Simplified Arabic" w:hAnsi="Simplified Arabic" w:cs="Simplified Arabic"/>
          <w:sz w:val="28"/>
          <w:szCs w:val="28"/>
          <w:rtl/>
        </w:rPr>
        <w:t>والبلوكشين</w:t>
      </w:r>
      <w:proofErr w:type="spellEnd"/>
      <w:r w:rsidRPr="00FB5EDA">
        <w:rPr>
          <w:rFonts w:ascii="Simplified Arabic" w:hAnsi="Simplified Arabic" w:cs="Simplified Arabic"/>
          <w:sz w:val="28"/>
          <w:szCs w:val="28"/>
          <w:rtl/>
        </w:rPr>
        <w:t xml:space="preserve"> تحقق تحسينات جوهرية في كفاءة العمليات المالية من خلال خفض التكاليف وتسريع المعاملات وتحسين الأداء المالي الإجمالي</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Udeh et al., 2025). </w:t>
      </w:r>
      <w:r w:rsidRPr="00FB5EDA">
        <w:rPr>
          <w:rFonts w:ascii="Simplified Arabic" w:hAnsi="Simplified Arabic" w:cs="Simplified Arabic"/>
          <w:sz w:val="28"/>
          <w:szCs w:val="28"/>
          <w:rtl/>
        </w:rPr>
        <w:t>وقد قدمت هذه الدراسات أدلة كمية قوية على هذه التحسينات من سياقات جغرافية متنوعة تشمل الإمارات وأستراليا وكندا، مما يعزز من موثوقية النتائج. إلا أن الفجوة البحثية تبقى قائمة فيما يتعلق بالسياق السعودي، حيث لم تتناول أي من هذه الدراسات تأثير الترميز على كفاءة العمليات في المؤسسات المالية السعودية بأنواعها المختلفة، مما يؤكد على ضرورة إجراء الدراسة الحالية</w:t>
      </w:r>
      <w:r w:rsidRPr="00FB5EDA">
        <w:rPr>
          <w:rFonts w:ascii="Simplified Arabic" w:hAnsi="Simplified Arabic" w:cs="Simplified Arabic"/>
          <w:sz w:val="28"/>
          <w:szCs w:val="28"/>
        </w:rPr>
        <w:t>.</w:t>
      </w:r>
    </w:p>
    <w:p w14:paraId="2446E297" w14:textId="77777777" w:rsidR="00F00638" w:rsidRPr="00FB5EDA" w:rsidRDefault="00F00638" w:rsidP="00F00638">
      <w:pPr>
        <w:bidi/>
        <w:jc w:val="both"/>
        <w:rPr>
          <w:rFonts w:ascii="Simplified Arabic" w:hAnsi="Simplified Arabic" w:cs="Simplified Arabic"/>
          <w:sz w:val="28"/>
          <w:szCs w:val="28"/>
          <w:rtl/>
        </w:rPr>
      </w:pPr>
    </w:p>
    <w:p w14:paraId="4E6F7E71"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2.2.3 </w:t>
      </w:r>
      <w:r w:rsidRPr="00FB5EDA">
        <w:rPr>
          <w:rFonts w:ascii="Simplified Arabic" w:hAnsi="Simplified Arabic" w:cs="Simplified Arabic"/>
          <w:b/>
          <w:bCs/>
          <w:sz w:val="28"/>
          <w:szCs w:val="28"/>
          <w:rtl/>
        </w:rPr>
        <w:t>المجموعة الثالثة: الدراسات المرتبطة برؤية 2030 والتحول الرقمي في القطاع المالي</w:t>
      </w:r>
    </w:p>
    <w:p w14:paraId="265288B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تناولت بعض الدراسات الحديثة التحول الرقمي في القطاع المالي في السياق الإقليمي القريب من المملكة العربية السعودية، حيث هدف</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r w:rsidRPr="00FB5EDA">
        <w:rPr>
          <w:rFonts w:ascii="Simplified Arabic" w:hAnsi="Simplified Arabic" w:cs="Simplified Arabic"/>
          <w:sz w:val="28"/>
          <w:szCs w:val="28"/>
          <w:rtl/>
        </w:rPr>
        <w:t xml:space="preserve">إلى فحص دور تقنية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في إدارة الكفاءة وخفض التكاليف في القطاع المصرفي الأردني كسياق إقليمي مشابه للسعودية من خلال منهجية مسحية لجمع بيانات من مديري تقنية المعلومات والمديرين الماليين في البنوك الأردنية، بحيث أظهرت النتائج أن تبني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يساهم بشكل ملموس في تحسين الكفاءة التشغيلية وخفض التكاليف خاصة في عمليات المدفوعات عبر الحدود والتحقق من الهوية وإدارة السجلات، كما أكدت الدراسة على أهمية الدعم التنظيمي والتوعية المؤسسية لنجاح التبني</w:t>
      </w:r>
      <w:r w:rsidRPr="00FB5EDA">
        <w:rPr>
          <w:rFonts w:ascii="Simplified Arabic" w:hAnsi="Simplified Arabic" w:cs="Simplified Arabic"/>
          <w:sz w:val="28"/>
          <w:szCs w:val="28"/>
        </w:rPr>
        <w:t>.</w:t>
      </w:r>
    </w:p>
    <w:p w14:paraId="4754DD1B"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كما استهدف</w:t>
      </w:r>
      <w:r w:rsidRPr="00FB5EDA">
        <w:rPr>
          <w:rFonts w:ascii="Simplified Arabic" w:hAnsi="Simplified Arabic" w:cs="Simplified Arabic"/>
          <w:sz w:val="28"/>
          <w:szCs w:val="28"/>
        </w:rPr>
        <w:t xml:space="preserve"> Islam &amp; In (2024) </w:t>
      </w:r>
      <w:r w:rsidRPr="00FB5EDA">
        <w:rPr>
          <w:rFonts w:ascii="Simplified Arabic" w:hAnsi="Simplified Arabic" w:cs="Simplified Arabic"/>
          <w:sz w:val="28"/>
          <w:szCs w:val="28"/>
          <w:rtl/>
        </w:rPr>
        <w:t xml:space="preserve">إجراء تحليل محتوى شامل لتطبيقات تقنية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في القطاع المصرفي مع التركيز على العملات الرقمية للبنوك المركزية من خلال منهجية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IntelliSLR</w:t>
      </w:r>
      <w:proofErr w:type="spellEnd"/>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التي تجمع بين نمذجة المواضيع الذكية وتحليل المحتوى التقليدي وفق إرشادات</w:t>
      </w:r>
      <w:r w:rsidRPr="00FB5EDA">
        <w:rPr>
          <w:rFonts w:ascii="Simplified Arabic" w:hAnsi="Simplified Arabic" w:cs="Simplified Arabic"/>
          <w:sz w:val="28"/>
          <w:szCs w:val="28"/>
        </w:rPr>
        <w:t xml:space="preserve"> PRISMA</w:t>
      </w:r>
      <w:r w:rsidRPr="00FB5EDA">
        <w:rPr>
          <w:rFonts w:ascii="Simplified Arabic" w:hAnsi="Simplified Arabic" w:cs="Simplified Arabic"/>
          <w:sz w:val="28"/>
          <w:szCs w:val="28"/>
          <w:rtl/>
        </w:rPr>
        <w:t xml:space="preserve">، بحيث أظهرت النتائج أن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يسهل الانتقال من النظام المصرفي المركزي إلى </w:t>
      </w:r>
      <w:r w:rsidRPr="00FB5EDA">
        <w:rPr>
          <w:rFonts w:ascii="Simplified Arabic" w:hAnsi="Simplified Arabic" w:cs="Simplified Arabic"/>
          <w:sz w:val="28"/>
          <w:szCs w:val="28"/>
          <w:rtl/>
        </w:rPr>
        <w:lastRenderedPageBreak/>
        <w:t xml:space="preserve">اللامركزي مع تعزيز الأمن والثقة والشفافية، وكشفت الدراسة عن اتجاه عالمي متزايد نحو تطبيق العملات الرقمية للبنوك المركزية باستخدام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مع تحديات تتعلق بالقابلية للتوسع والخصوصية والحوكمة</w:t>
      </w:r>
      <w:r w:rsidRPr="00FB5EDA">
        <w:rPr>
          <w:rFonts w:ascii="Simplified Arabic" w:hAnsi="Simplified Arabic" w:cs="Simplified Arabic"/>
          <w:sz w:val="28"/>
          <w:szCs w:val="28"/>
        </w:rPr>
        <w:t>.</w:t>
      </w:r>
    </w:p>
    <w:p w14:paraId="1DB326DC"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تعليق الباحث على المجموعة الثالثة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 xml:space="preserve">تشير دراسات المجموعة الثالثة إلى أهمية السياق الإقليمي والتنظيمي في نجاح تبني تقنيات الترميز </w:t>
      </w:r>
      <w:proofErr w:type="spellStart"/>
      <w:r w:rsidRPr="00FB5EDA">
        <w:rPr>
          <w:rFonts w:ascii="Simplified Arabic" w:hAnsi="Simplified Arabic" w:cs="Simplified Arabic"/>
          <w:sz w:val="28"/>
          <w:szCs w:val="28"/>
          <w:rtl/>
        </w:rPr>
        <w:t>والبلوكشين</w:t>
      </w:r>
      <w:proofErr w:type="spellEnd"/>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w:t>
      </w:r>
      <w:r w:rsidRPr="00FB5EDA">
        <w:rPr>
          <w:rFonts w:ascii="Simplified Arabic" w:hAnsi="Simplified Arabic" w:cs="Simplified Arabic"/>
          <w:sz w:val="28"/>
          <w:szCs w:val="28"/>
          <w:rtl/>
        </w:rPr>
        <w:t xml:space="preserve">، حيث </w:t>
      </w:r>
      <w:proofErr w:type="gramStart"/>
      <w:r w:rsidRPr="00FB5EDA">
        <w:rPr>
          <w:rFonts w:ascii="Simplified Arabic" w:hAnsi="Simplified Arabic" w:cs="Simplified Arabic"/>
          <w:sz w:val="28"/>
          <w:szCs w:val="28"/>
          <w:rtl/>
        </w:rPr>
        <w:t>أن</w:t>
      </w:r>
      <w:proofErr w:type="gramEnd"/>
      <w:r w:rsidRPr="00FB5EDA">
        <w:rPr>
          <w:rFonts w:ascii="Simplified Arabic" w:hAnsi="Simplified Arabic" w:cs="Simplified Arabic"/>
          <w:sz w:val="28"/>
          <w:szCs w:val="28"/>
          <w:rtl/>
        </w:rPr>
        <w:t xml:space="preserve"> العوامل الثقافية والتنظيمية والمؤسسية تلعب دوراً محورياً في تحديد معدل ونجاح التبني. وبينما قدمت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r w:rsidRPr="00FB5EDA">
        <w:rPr>
          <w:rFonts w:ascii="Simplified Arabic" w:hAnsi="Simplified Arabic" w:cs="Simplified Arabic"/>
          <w:sz w:val="28"/>
          <w:szCs w:val="28"/>
          <w:rtl/>
        </w:rPr>
        <w:t>رؤى قيمة من السياق الأردني كبيئة عربية إقليمية، إلا أن هناك اختلافات جوهرية بين السياق الأردني والسياق السعودي من حيث حجم القطاع المالي والموارد المتاحة والأهداف الاستراتيجية الوطنية المتمثلة في رؤية 2030، مما يستدعي إجراء دراسة مستقلة تركز على السياق السعودي بشكل محدد وتربط بين تقنية الترميز وأهداف رؤية 2030 بشكل مباشر</w:t>
      </w:r>
      <w:r w:rsidRPr="00FB5EDA">
        <w:rPr>
          <w:rFonts w:ascii="Simplified Arabic" w:hAnsi="Simplified Arabic" w:cs="Simplified Arabic"/>
          <w:sz w:val="28"/>
          <w:szCs w:val="28"/>
        </w:rPr>
        <w:t>.</w:t>
      </w:r>
    </w:p>
    <w:p w14:paraId="7CE6756C" w14:textId="77777777" w:rsidR="00F00638" w:rsidRPr="00FB5EDA" w:rsidRDefault="00F00638" w:rsidP="00F00638">
      <w:pPr>
        <w:bidi/>
        <w:spacing w:line="278" w:lineRule="auto"/>
        <w:jc w:val="both"/>
        <w:rPr>
          <w:rFonts w:ascii="Simplified Arabic" w:hAnsi="Simplified Arabic" w:cs="Simplified Arabic"/>
          <w:sz w:val="28"/>
          <w:szCs w:val="28"/>
        </w:rPr>
      </w:pPr>
    </w:p>
    <w:p w14:paraId="3033B695"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2.2.4 </w:t>
      </w:r>
      <w:r w:rsidRPr="00FB5EDA">
        <w:rPr>
          <w:rFonts w:ascii="Simplified Arabic" w:hAnsi="Simplified Arabic" w:cs="Simplified Arabic"/>
          <w:b/>
          <w:bCs/>
          <w:sz w:val="28"/>
          <w:szCs w:val="28"/>
          <w:rtl/>
        </w:rPr>
        <w:t>المجموعة الرابعة: الدراسات المرتبطة بتطبيقات الترميز في المؤسسات المالية المختلفة</w:t>
      </w:r>
    </w:p>
    <w:p w14:paraId="4AF03FD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ركزت مجموعة من الدراسات على التطبيقات الفعلية لتقنية الترميز في قطاعات وأصول متنوعة، حيث قدمت دراسة جماعية من باحثين متعددين</w:t>
      </w:r>
      <w:r w:rsidRPr="00FB5EDA">
        <w:rPr>
          <w:rFonts w:ascii="Simplified Arabic" w:hAnsi="Simplified Arabic" w:cs="Simplified Arabic"/>
          <w:sz w:val="28"/>
          <w:szCs w:val="28"/>
        </w:rPr>
        <w:t xml:space="preserve"> (Multiple Authors, 2025) </w:t>
      </w:r>
      <w:r w:rsidRPr="00FB5EDA">
        <w:rPr>
          <w:rFonts w:ascii="Simplified Arabic" w:hAnsi="Simplified Arabic" w:cs="Simplified Arabic"/>
          <w:sz w:val="28"/>
          <w:szCs w:val="28"/>
          <w:rtl/>
        </w:rPr>
        <w:t xml:space="preserve">تحليلاً قانونياً مقارناً لترميز الأصول الواقعية شمل دراسة حالات من أسواق متعددة، بحيث أظهرت النتائج أن ترميز الأصول الواقعية شهد نمواً كبيراً حيث بلغت قيمة الأوراق المالية </w:t>
      </w:r>
      <w:proofErr w:type="spellStart"/>
      <w:r w:rsidRPr="00FB5EDA">
        <w:rPr>
          <w:rFonts w:ascii="Simplified Arabic" w:hAnsi="Simplified Arabic" w:cs="Simplified Arabic"/>
          <w:sz w:val="28"/>
          <w:szCs w:val="28"/>
          <w:rtl/>
        </w:rPr>
        <w:t>المرمزة</w:t>
      </w:r>
      <w:proofErr w:type="spellEnd"/>
      <w:r w:rsidRPr="00FB5EDA">
        <w:rPr>
          <w:rFonts w:ascii="Simplified Arabic" w:hAnsi="Simplified Arabic" w:cs="Simplified Arabic"/>
          <w:sz w:val="28"/>
          <w:szCs w:val="28"/>
          <w:rtl/>
        </w:rPr>
        <w:t xml:space="preserve"> حوالي 225 مليار دولار مع قيادة أوروبا بأكثر من 600 مليون دولار في سندات رقمية وآسيا ب200 مليون دولار، لكن الدراسة أبرزت التحديات الرئيسية بما في ذلك الفجوات التنظيمية ومخاوف الأمن السيبراني وقيود القابلية للتوسع والتشغيل البيني ومقاومة المؤسسات التقليدية</w:t>
      </w:r>
      <w:r w:rsidRPr="00FB5EDA">
        <w:rPr>
          <w:rFonts w:ascii="Simplified Arabic" w:hAnsi="Simplified Arabic" w:cs="Simplified Arabic"/>
          <w:sz w:val="28"/>
          <w:szCs w:val="28"/>
        </w:rPr>
        <w:t>.</w:t>
      </w:r>
    </w:p>
    <w:p w14:paraId="7DCD8FB7"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كما فحص</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 xml:space="preserve">ترميز الأصول الزراعية وتعزيز أمن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ضد الاحتيال والمخاطر السيبرانية من خلال منهجية تجريبية تعتمد على تحليل بيانات من</w:t>
      </w:r>
      <w:r w:rsidRPr="00FB5EDA">
        <w:rPr>
          <w:rFonts w:ascii="Simplified Arabic" w:hAnsi="Simplified Arabic" w:cs="Simplified Arabic"/>
          <w:sz w:val="28"/>
          <w:szCs w:val="28"/>
        </w:rPr>
        <w:t xml:space="preserve"> World Bank Global Findex </w:t>
      </w:r>
      <w:r w:rsidRPr="00FB5EDA">
        <w:rPr>
          <w:rFonts w:ascii="Simplified Arabic" w:hAnsi="Simplified Arabic" w:cs="Simplified Arabic"/>
          <w:sz w:val="28"/>
          <w:szCs w:val="28"/>
          <w:rtl/>
        </w:rPr>
        <w:t>وسجلات معاملات</w:t>
      </w:r>
      <w:r w:rsidRPr="00FB5EDA">
        <w:rPr>
          <w:rFonts w:ascii="Simplified Arabic" w:hAnsi="Simplified Arabic" w:cs="Simplified Arabic"/>
          <w:sz w:val="28"/>
          <w:szCs w:val="28"/>
        </w:rPr>
        <w:t xml:space="preserve"> Ethereum </w:t>
      </w:r>
      <w:r w:rsidRPr="00FB5EDA">
        <w:rPr>
          <w:rFonts w:ascii="Simplified Arabic" w:hAnsi="Simplified Arabic" w:cs="Simplified Arabic"/>
          <w:sz w:val="28"/>
          <w:szCs w:val="28"/>
          <w:rtl/>
        </w:rPr>
        <w:t>وإحصاءات</w:t>
      </w:r>
      <w:r w:rsidRPr="00FB5EDA">
        <w:rPr>
          <w:rFonts w:ascii="Simplified Arabic" w:hAnsi="Simplified Arabic" w:cs="Simplified Arabic"/>
          <w:sz w:val="28"/>
          <w:szCs w:val="28"/>
        </w:rPr>
        <w:t xml:space="preserve"> FAO</w:t>
      </w:r>
      <w:r w:rsidRPr="00FB5EDA">
        <w:rPr>
          <w:rFonts w:ascii="Simplified Arabic" w:hAnsi="Simplified Arabic" w:cs="Simplified Arabic"/>
          <w:sz w:val="28"/>
          <w:szCs w:val="28"/>
          <w:rtl/>
        </w:rPr>
        <w:t xml:space="preserve">، بحيث أظهرت النتائج أن الترميز يقلل وقت صرف القروض بنسبة 31.3% ويخفض تكاليف المعاملات بنسبة </w:t>
      </w:r>
      <w:r w:rsidRPr="00FB5EDA">
        <w:rPr>
          <w:rFonts w:ascii="Simplified Arabic" w:hAnsi="Simplified Arabic" w:cs="Simplified Arabic"/>
          <w:sz w:val="28"/>
          <w:szCs w:val="28"/>
          <w:rtl/>
        </w:rPr>
        <w:lastRenderedPageBreak/>
        <w:t xml:space="preserve">37.3% ويزيد الشفافية المالية بنسبة 40% مع انخفاض حالات الاحتيال بنسبة 15% في المعاملات المدعومة </w:t>
      </w:r>
      <w:proofErr w:type="spellStart"/>
      <w:r w:rsidRPr="00FB5EDA">
        <w:rPr>
          <w:rFonts w:ascii="Simplified Arabic" w:hAnsi="Simplified Arabic" w:cs="Simplified Arabic"/>
          <w:sz w:val="28"/>
          <w:szCs w:val="28"/>
          <w:rtl/>
        </w:rPr>
        <w:t>بالبلوكشين</w:t>
      </w:r>
      <w:proofErr w:type="spellEnd"/>
      <w:r w:rsidRPr="00FB5EDA">
        <w:rPr>
          <w:rFonts w:ascii="Simplified Arabic" w:hAnsi="Simplified Arabic" w:cs="Simplified Arabic"/>
          <w:sz w:val="28"/>
          <w:szCs w:val="28"/>
          <w:rtl/>
        </w:rPr>
        <w:t>، وأوصت الدراسة بتعزيز أمن العقود الذكية والتحقق اللامركزي من الهوية والرقابة التنظيمية</w:t>
      </w:r>
      <w:r w:rsidRPr="00FB5EDA">
        <w:rPr>
          <w:rFonts w:ascii="Simplified Arabic" w:hAnsi="Simplified Arabic" w:cs="Simplified Arabic"/>
          <w:sz w:val="28"/>
          <w:szCs w:val="28"/>
        </w:rPr>
        <w:t>.</w:t>
      </w:r>
    </w:p>
    <w:p w14:paraId="520F484E"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بينما استهدف</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 xml:space="preserve">قياس تأثير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على الخدمات المالية والمعاملات الرقمية على نطاق واسع من خلال منهجية مختلطة على مدى 24 شهراً شملت تحليل 500 مؤسسة مالية في 25 دولة مع استطلاعات ومقابلات ودراسات حالة، بحيث أظهرت النتائج انخفاضاً بنسبة 42.6% في تكاليف المعاملات وانخفاضاً بنسبة 78.3% في أوقات معالجة المعاملات عبر الحدود وانخفاضاً بنسبة 56.2% في حوادث الأمن السيبراني، كما كشفت الدراسة أن معدل تبني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في البنوك التقليدية بلغ 47.3% بينما في شركات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tl/>
        </w:rPr>
        <w:t xml:space="preserve"> بلغ 68.9%، وأظهر تحليل الانحدار أن 84.7% من التباين في الأداء المالي يمكن تفسيره بعوامل تبني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Pr>
        <w:t>.</w:t>
      </w:r>
    </w:p>
    <w:p w14:paraId="2F55B6AC"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تعليق الباحث على المجموعة الرابعة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تكشف دراسات المجموعة الرابعة عن التنوع الكبير في تطبيقات تقنية الترميز عبر قطاعات وأصول وجغرافيات مختلفة</w:t>
      </w:r>
      <w:r w:rsidRPr="00FB5EDA">
        <w:rPr>
          <w:rFonts w:ascii="Simplified Arabic" w:hAnsi="Simplified Arabic" w:cs="Simplified Arabic"/>
          <w:sz w:val="28"/>
          <w:szCs w:val="28"/>
        </w:rPr>
        <w:t xml:space="preserve"> (Multiple Authors, 2025;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xml:space="preserve">، حيث </w:t>
      </w:r>
      <w:proofErr w:type="gramStart"/>
      <w:r w:rsidRPr="00FB5EDA">
        <w:rPr>
          <w:rFonts w:ascii="Simplified Arabic" w:hAnsi="Simplified Arabic" w:cs="Simplified Arabic"/>
          <w:sz w:val="28"/>
          <w:szCs w:val="28"/>
          <w:rtl/>
        </w:rPr>
        <w:t>أن</w:t>
      </w:r>
      <w:proofErr w:type="gramEnd"/>
      <w:r w:rsidRPr="00FB5EDA">
        <w:rPr>
          <w:rFonts w:ascii="Simplified Arabic" w:hAnsi="Simplified Arabic" w:cs="Simplified Arabic"/>
          <w:sz w:val="28"/>
          <w:szCs w:val="28"/>
          <w:rtl/>
        </w:rPr>
        <w:t xml:space="preserve"> التقنية أثبتت قدرتها على تحسين الكفاءة والأمن في سياقات متنوعة تتراوح من الأصول الزراعية إلى الأوراق المالية التقليدية. وتبرز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 xml:space="preserve">بشكل خاص من خلال نطاقها الواسع الذي شمل 500 مؤسسة في 25 دولة، مما يوفر قاعدة مقارنة قوية للدراسة الحالية. إلا أن الفجوة البحثية تبقى واضحة فيما يتعلق بالمقارنة المباشرة بين أنواع مختلفة من المؤسسات المالية (البنوك التقليدية والبنوك الرقمية وشركات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tl/>
        </w:rPr>
        <w:t>) في السياق السعودي تحديداً، وهو ما تسعى الدراسة الحالية لمعالجته</w:t>
      </w:r>
      <w:r w:rsidRPr="00FB5EDA">
        <w:rPr>
          <w:rFonts w:ascii="Simplified Arabic" w:hAnsi="Simplified Arabic" w:cs="Simplified Arabic"/>
          <w:sz w:val="28"/>
          <w:szCs w:val="28"/>
        </w:rPr>
        <w:t>.</w:t>
      </w:r>
    </w:p>
    <w:p w14:paraId="6DBC7CA5" w14:textId="77777777" w:rsidR="00F00638" w:rsidRPr="00FB5EDA" w:rsidRDefault="00F00638" w:rsidP="0065589D">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30" w:name="_Toc224563960"/>
      <w:bookmarkStart w:id="131" w:name="_Toc224564017"/>
      <w:r w:rsidRPr="00FB5EDA">
        <w:rPr>
          <w:rFonts w:ascii="Simplified Arabic" w:hAnsi="Simplified Arabic" w:cs="Simplified Arabic"/>
          <w:b/>
          <w:bCs/>
          <w:color w:val="auto"/>
          <w:sz w:val="28"/>
          <w:szCs w:val="28"/>
          <w:u w:val="single"/>
        </w:rPr>
        <w:t xml:space="preserve">2.3 </w:t>
      </w:r>
      <w:r w:rsidRPr="00FB5EDA">
        <w:rPr>
          <w:rFonts w:ascii="Simplified Arabic" w:hAnsi="Simplified Arabic" w:cs="Simplified Arabic"/>
          <w:b/>
          <w:bCs/>
          <w:color w:val="auto"/>
          <w:sz w:val="28"/>
          <w:szCs w:val="28"/>
          <w:u w:val="single"/>
          <w:rtl/>
        </w:rPr>
        <w:t>جدول شامل للدراسات السابقة</w:t>
      </w:r>
      <w:bookmarkEnd w:id="130"/>
      <w:bookmarkEnd w:id="131"/>
    </w:p>
    <w:p w14:paraId="7306AAA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بعد استعراض الدراسات السابقة في المجموعات الأربع السابقة، يقدم الباحث جدولاً شاملاً يلخص أهم جوانب هذه الدراسات من حيث الباحث والسنة والمنهجية المستخدمة وأهم النتائج التي توصلت إليها والفجوات البحثية</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المستخلصة منها</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Pr>
        <w:t>Goghie, 2024; Ahammad et al., 2025;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Carapella et al., 2023; Grossmann et al., 2025; </w:t>
      </w:r>
      <w:proofErr w:type="spellStart"/>
      <w:r w:rsidRPr="00FB5EDA">
        <w:rPr>
          <w:rFonts w:ascii="Simplified Arabic" w:hAnsi="Simplified Arabic" w:cs="Simplified Arabic"/>
          <w:sz w:val="28"/>
          <w:szCs w:val="28"/>
        </w:rPr>
        <w:lastRenderedPageBreak/>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Udeh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 Multiple Authors, 2025;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وذلك بهدف تسهيل المقارنة بين الدراسات المختلفة وإبراز التوجهات العامة في الأدبيات المتاحة وتحديد الفجوة البحثية التي تسعى الدراسة الحالية لسدها بشكل واضح ومحدد. ويساعد هذا التلخيص الشامل في رؤية الصورة الكلية للمعرفة المتاحة حول تقنية الترميز وتأثيرها على الأمن السيبراني وكفاءة العمليات المالية في سياقات جغرافية ومؤسسية متنوعة، مما يوفر أساساً قوياً لبناء الإطار المفاهيمي للدراسة الحالية وصياغة الفرضيات البحثية وتصميم المنهجية المناسبة للإجابة على أسئلة الدراسة</w:t>
      </w:r>
      <w:r w:rsidRPr="00FB5EDA">
        <w:rPr>
          <w:rFonts w:ascii="Simplified Arabic" w:hAnsi="Simplified Arabic" w:cs="Simplified Arabic"/>
          <w:sz w:val="28"/>
          <w:szCs w:val="28"/>
        </w:rPr>
        <w:t>.</w:t>
      </w:r>
    </w:p>
    <w:p w14:paraId="61CD5A93"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جدول 2.1: ملخص شامل للدراسات السابقة حول تقنية الترميز وتأثيرها على الأمن السيبراني وكفاءة العمليات المالية</w:t>
      </w:r>
    </w:p>
    <w:tbl>
      <w:tblPr>
        <w:tblStyle w:val="TableGrid"/>
        <w:bidiVisual/>
        <w:tblW w:w="5000" w:type="pct"/>
        <w:tblLook w:val="04A0" w:firstRow="1" w:lastRow="0" w:firstColumn="1" w:lastColumn="0" w:noHBand="0" w:noVBand="1"/>
      </w:tblPr>
      <w:tblGrid>
        <w:gridCol w:w="2082"/>
        <w:gridCol w:w="1872"/>
        <w:gridCol w:w="2359"/>
        <w:gridCol w:w="1983"/>
      </w:tblGrid>
      <w:tr w:rsidR="00F00638" w:rsidRPr="00FB5EDA" w14:paraId="6994D08A" w14:textId="77777777" w:rsidTr="00E04F0D">
        <w:tc>
          <w:tcPr>
            <w:tcW w:w="1255" w:type="pct"/>
            <w:vAlign w:val="center"/>
            <w:hideMark/>
          </w:tcPr>
          <w:p w14:paraId="1E18A321" w14:textId="77777777" w:rsidR="00F00638" w:rsidRPr="00FB5EDA" w:rsidRDefault="00F00638" w:rsidP="00E04F0D">
            <w:pPr>
              <w:bidi/>
              <w:spacing w:line="278" w:lineRule="auto"/>
              <w:jc w:val="center"/>
              <w:rPr>
                <w:rFonts w:ascii="Simplified Arabic" w:hAnsi="Simplified Arabic" w:cs="Simplified Arabic"/>
                <w:b/>
                <w:bCs/>
                <w:sz w:val="28"/>
                <w:szCs w:val="28"/>
              </w:rPr>
            </w:pPr>
            <w:r w:rsidRPr="00FB5EDA">
              <w:rPr>
                <w:rFonts w:ascii="Simplified Arabic" w:hAnsi="Simplified Arabic" w:cs="Simplified Arabic"/>
                <w:b/>
                <w:bCs/>
                <w:sz w:val="28"/>
                <w:szCs w:val="28"/>
                <w:rtl/>
              </w:rPr>
              <w:t>الباحث والسنة</w:t>
            </w:r>
          </w:p>
        </w:tc>
        <w:tc>
          <w:tcPr>
            <w:tcW w:w="1128" w:type="pct"/>
            <w:vAlign w:val="center"/>
            <w:hideMark/>
          </w:tcPr>
          <w:p w14:paraId="3236E7C8" w14:textId="77777777" w:rsidR="00F00638" w:rsidRPr="00FB5EDA" w:rsidRDefault="00F00638" w:rsidP="00E04F0D">
            <w:pPr>
              <w:bidi/>
              <w:spacing w:line="278" w:lineRule="auto"/>
              <w:jc w:val="center"/>
              <w:rPr>
                <w:rFonts w:ascii="Simplified Arabic" w:hAnsi="Simplified Arabic" w:cs="Simplified Arabic"/>
                <w:b/>
                <w:bCs/>
                <w:sz w:val="28"/>
                <w:szCs w:val="28"/>
              </w:rPr>
            </w:pPr>
            <w:r w:rsidRPr="00FB5EDA">
              <w:rPr>
                <w:rFonts w:ascii="Simplified Arabic" w:hAnsi="Simplified Arabic" w:cs="Simplified Arabic"/>
                <w:b/>
                <w:bCs/>
                <w:sz w:val="28"/>
                <w:szCs w:val="28"/>
                <w:rtl/>
              </w:rPr>
              <w:t>المنهجية</w:t>
            </w:r>
          </w:p>
        </w:tc>
        <w:tc>
          <w:tcPr>
            <w:tcW w:w="1422" w:type="pct"/>
            <w:vAlign w:val="center"/>
            <w:hideMark/>
          </w:tcPr>
          <w:p w14:paraId="7F669F5F" w14:textId="77777777" w:rsidR="00F00638" w:rsidRPr="00FB5EDA" w:rsidRDefault="00F00638" w:rsidP="00E04F0D">
            <w:pPr>
              <w:bidi/>
              <w:spacing w:line="278" w:lineRule="auto"/>
              <w:jc w:val="center"/>
              <w:rPr>
                <w:rFonts w:ascii="Simplified Arabic" w:hAnsi="Simplified Arabic" w:cs="Simplified Arabic"/>
                <w:b/>
                <w:bCs/>
                <w:sz w:val="28"/>
                <w:szCs w:val="28"/>
              </w:rPr>
            </w:pPr>
            <w:r w:rsidRPr="00FB5EDA">
              <w:rPr>
                <w:rFonts w:ascii="Simplified Arabic" w:hAnsi="Simplified Arabic" w:cs="Simplified Arabic"/>
                <w:b/>
                <w:bCs/>
                <w:sz w:val="28"/>
                <w:szCs w:val="28"/>
                <w:rtl/>
              </w:rPr>
              <w:t>أهم النتائج</w:t>
            </w:r>
          </w:p>
        </w:tc>
        <w:tc>
          <w:tcPr>
            <w:tcW w:w="1195" w:type="pct"/>
            <w:vAlign w:val="center"/>
            <w:hideMark/>
          </w:tcPr>
          <w:p w14:paraId="1EFCF6CD" w14:textId="77777777" w:rsidR="00F00638" w:rsidRPr="00FB5EDA" w:rsidRDefault="00F00638" w:rsidP="00E04F0D">
            <w:pPr>
              <w:bidi/>
              <w:spacing w:line="278" w:lineRule="auto"/>
              <w:jc w:val="center"/>
              <w:rPr>
                <w:rFonts w:ascii="Simplified Arabic" w:hAnsi="Simplified Arabic" w:cs="Simplified Arabic"/>
                <w:b/>
                <w:bCs/>
                <w:sz w:val="28"/>
                <w:szCs w:val="28"/>
              </w:rPr>
            </w:pPr>
            <w:r w:rsidRPr="00FB5EDA">
              <w:rPr>
                <w:rFonts w:ascii="Simplified Arabic" w:hAnsi="Simplified Arabic" w:cs="Simplified Arabic"/>
                <w:b/>
                <w:bCs/>
                <w:sz w:val="28"/>
                <w:szCs w:val="28"/>
                <w:rtl/>
              </w:rPr>
              <w:t>الفجوات البحثية</w:t>
            </w:r>
          </w:p>
        </w:tc>
      </w:tr>
      <w:tr w:rsidR="00F00638" w:rsidRPr="00FB5EDA" w14:paraId="39BA5EBD" w14:textId="77777777" w:rsidTr="00E04F0D">
        <w:tc>
          <w:tcPr>
            <w:tcW w:w="1255" w:type="pct"/>
            <w:vAlign w:val="center"/>
            <w:hideMark/>
          </w:tcPr>
          <w:p w14:paraId="0D113592"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w:t>
            </w:r>
          </w:p>
        </w:tc>
        <w:tc>
          <w:tcPr>
            <w:tcW w:w="1128" w:type="pct"/>
            <w:vAlign w:val="center"/>
            <w:hideMark/>
          </w:tcPr>
          <w:p w14:paraId="6840EA0B"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تحليل البنية التحتية</w:t>
            </w:r>
          </w:p>
        </w:tc>
        <w:tc>
          <w:tcPr>
            <w:tcW w:w="1422" w:type="pct"/>
            <w:vAlign w:val="center"/>
            <w:hideMark/>
          </w:tcPr>
          <w:p w14:paraId="1D5F973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البنوك الكبرى في موقع مركزي، تشكيل معايير الأمن</w:t>
            </w:r>
          </w:p>
        </w:tc>
        <w:tc>
          <w:tcPr>
            <w:tcW w:w="1195" w:type="pct"/>
            <w:vAlign w:val="center"/>
            <w:hideMark/>
          </w:tcPr>
          <w:p w14:paraId="7737FB8E"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غياب أبحاث توازن القوى</w:t>
            </w:r>
          </w:p>
        </w:tc>
      </w:tr>
      <w:tr w:rsidR="00F00638" w:rsidRPr="00FB5EDA" w14:paraId="0A8C0FC9" w14:textId="77777777" w:rsidTr="00E04F0D">
        <w:tc>
          <w:tcPr>
            <w:tcW w:w="1255" w:type="pct"/>
            <w:vAlign w:val="center"/>
            <w:hideMark/>
          </w:tcPr>
          <w:p w14:paraId="3DD13EB8"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Ahammad et al. (2025)</w:t>
            </w:r>
          </w:p>
        </w:tc>
        <w:tc>
          <w:tcPr>
            <w:tcW w:w="1128" w:type="pct"/>
            <w:vAlign w:val="center"/>
            <w:hideMark/>
          </w:tcPr>
          <w:p w14:paraId="1F5FEC5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تطوير تجريبي</w:t>
            </w:r>
            <w:r w:rsidRPr="00FB5EDA">
              <w:rPr>
                <w:rFonts w:ascii="Simplified Arabic" w:hAnsi="Simplified Arabic" w:cs="Simplified Arabic"/>
                <w:sz w:val="28"/>
                <w:szCs w:val="28"/>
              </w:rPr>
              <w:t xml:space="preserve"> Ethereum</w:t>
            </w:r>
          </w:p>
        </w:tc>
        <w:tc>
          <w:tcPr>
            <w:tcW w:w="1422" w:type="pct"/>
            <w:vAlign w:val="center"/>
            <w:hideMark/>
          </w:tcPr>
          <w:p w14:paraId="3DF9A03D"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إلغاء الوسطاء، تحسين السرعة والأمن</w:t>
            </w:r>
          </w:p>
        </w:tc>
        <w:tc>
          <w:tcPr>
            <w:tcW w:w="1195" w:type="pct"/>
            <w:vAlign w:val="center"/>
            <w:hideMark/>
          </w:tcPr>
          <w:p w14:paraId="2C852292"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الحاجة لأبحاث التكامل بالأسواق الناشئة</w:t>
            </w:r>
          </w:p>
        </w:tc>
      </w:tr>
      <w:tr w:rsidR="00F00638" w:rsidRPr="00FB5EDA" w14:paraId="1724BFAC" w14:textId="77777777" w:rsidTr="00E04F0D">
        <w:tc>
          <w:tcPr>
            <w:tcW w:w="1255" w:type="pct"/>
            <w:vAlign w:val="center"/>
            <w:hideMark/>
          </w:tcPr>
          <w:p w14:paraId="3A465634"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Grossmann et al. (2025)</w:t>
            </w:r>
          </w:p>
        </w:tc>
        <w:tc>
          <w:tcPr>
            <w:tcW w:w="1128" w:type="pct"/>
            <w:vAlign w:val="center"/>
            <w:hideMark/>
          </w:tcPr>
          <w:p w14:paraId="3765EDF8"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Design Science Research</w:t>
            </w:r>
          </w:p>
        </w:tc>
        <w:tc>
          <w:tcPr>
            <w:tcW w:w="1422" w:type="pct"/>
            <w:vAlign w:val="center"/>
            <w:hideMark/>
          </w:tcPr>
          <w:p w14:paraId="5C671E35"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خفض التكاليف 40-60%، انخفاض الأخطاء 90</w:t>
            </w:r>
            <w:r w:rsidRPr="00FB5EDA">
              <w:rPr>
                <w:rFonts w:ascii="Simplified Arabic" w:hAnsi="Simplified Arabic" w:cs="Simplified Arabic"/>
                <w:sz w:val="28"/>
                <w:szCs w:val="28"/>
              </w:rPr>
              <w:t>%</w:t>
            </w:r>
          </w:p>
        </w:tc>
        <w:tc>
          <w:tcPr>
            <w:tcW w:w="1195" w:type="pct"/>
            <w:vAlign w:val="center"/>
            <w:hideMark/>
          </w:tcPr>
          <w:p w14:paraId="7AFEAC4B"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محدودية اختبار المبادئ بأسواق حقيقية</w:t>
            </w:r>
          </w:p>
        </w:tc>
      </w:tr>
      <w:tr w:rsidR="00F00638" w:rsidRPr="00FB5EDA" w14:paraId="64AF2C18" w14:textId="77777777" w:rsidTr="00E04F0D">
        <w:tc>
          <w:tcPr>
            <w:tcW w:w="1255" w:type="pct"/>
            <w:vAlign w:val="center"/>
            <w:hideMark/>
          </w:tcPr>
          <w:p w14:paraId="77D9D7DD"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Carapella et al. (2023)</w:t>
            </w:r>
          </w:p>
        </w:tc>
        <w:tc>
          <w:tcPr>
            <w:tcW w:w="1128" w:type="pct"/>
            <w:vAlign w:val="center"/>
            <w:hideMark/>
          </w:tcPr>
          <w:p w14:paraId="7B3B23D4"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تحليل نوعي شامل</w:t>
            </w:r>
          </w:p>
        </w:tc>
        <w:tc>
          <w:tcPr>
            <w:tcW w:w="1422" w:type="pct"/>
            <w:vAlign w:val="center"/>
            <w:hideMark/>
          </w:tcPr>
          <w:p w14:paraId="26DA879C"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فوائد بالكفاءة، مخاطر نظامية</w:t>
            </w:r>
          </w:p>
        </w:tc>
        <w:tc>
          <w:tcPr>
            <w:tcW w:w="1195" w:type="pct"/>
            <w:vAlign w:val="center"/>
            <w:hideMark/>
          </w:tcPr>
          <w:p w14:paraId="28912E6F"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دراسات تجريبية تحت ضغط</w:t>
            </w:r>
          </w:p>
        </w:tc>
      </w:tr>
      <w:tr w:rsidR="00F00638" w:rsidRPr="00FB5EDA" w14:paraId="1695129E" w14:textId="77777777" w:rsidTr="00E04F0D">
        <w:tc>
          <w:tcPr>
            <w:tcW w:w="1255" w:type="pct"/>
            <w:vAlign w:val="center"/>
            <w:hideMark/>
          </w:tcPr>
          <w:p w14:paraId="2F3B7168"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lastRenderedPageBreak/>
              <w:t>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w:t>
            </w:r>
          </w:p>
        </w:tc>
        <w:tc>
          <w:tcPr>
            <w:tcW w:w="1128" w:type="pct"/>
            <w:vAlign w:val="center"/>
            <w:hideMark/>
          </w:tcPr>
          <w:p w14:paraId="167A70B6"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Random Forest</w:t>
            </w:r>
            <w:r w:rsidRPr="00FB5EDA">
              <w:rPr>
                <w:rFonts w:ascii="Simplified Arabic" w:hAnsi="Simplified Arabic" w:cs="Simplified Arabic"/>
                <w:sz w:val="28"/>
                <w:szCs w:val="28"/>
                <w:rtl/>
              </w:rPr>
              <w:t>، الإمارات</w:t>
            </w:r>
          </w:p>
        </w:tc>
        <w:tc>
          <w:tcPr>
            <w:tcW w:w="1422" w:type="pct"/>
            <w:vAlign w:val="center"/>
            <w:hideMark/>
          </w:tcPr>
          <w:p w14:paraId="7242A5FE"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علاقة سلبية</w:t>
            </w:r>
            <w:r w:rsidRPr="00FB5EDA">
              <w:rPr>
                <w:rFonts w:ascii="Simplified Arabic" w:hAnsi="Simplified Arabic" w:cs="Simplified Arabic"/>
                <w:sz w:val="28"/>
                <w:szCs w:val="28"/>
              </w:rPr>
              <w:t xml:space="preserve"> r=-0.73</w:t>
            </w:r>
            <w:r w:rsidRPr="00FB5EDA">
              <w:rPr>
                <w:rFonts w:ascii="Simplified Arabic" w:hAnsi="Simplified Arabic" w:cs="Simplified Arabic"/>
                <w:sz w:val="28"/>
                <w:szCs w:val="28"/>
                <w:rtl/>
              </w:rPr>
              <w:t>، خفض التكاليف 41-52</w:t>
            </w:r>
            <w:r w:rsidRPr="00FB5EDA">
              <w:rPr>
                <w:rFonts w:ascii="Simplified Arabic" w:hAnsi="Simplified Arabic" w:cs="Simplified Arabic"/>
                <w:sz w:val="28"/>
                <w:szCs w:val="28"/>
              </w:rPr>
              <w:t>%</w:t>
            </w:r>
          </w:p>
        </w:tc>
        <w:tc>
          <w:tcPr>
            <w:tcW w:w="1195" w:type="pct"/>
            <w:vAlign w:val="center"/>
            <w:hideMark/>
          </w:tcPr>
          <w:p w14:paraId="01E7041A"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محدودية دراسات كمية بالسعودية</w:t>
            </w:r>
          </w:p>
        </w:tc>
      </w:tr>
      <w:tr w:rsidR="00F00638" w:rsidRPr="00FB5EDA" w14:paraId="621E46C7" w14:textId="77777777" w:rsidTr="00E04F0D">
        <w:tc>
          <w:tcPr>
            <w:tcW w:w="1255" w:type="pct"/>
            <w:vAlign w:val="center"/>
            <w:hideMark/>
          </w:tcPr>
          <w:p w14:paraId="6FF80194"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w:t>
            </w:r>
          </w:p>
        </w:tc>
        <w:tc>
          <w:tcPr>
            <w:tcW w:w="1128" w:type="pct"/>
            <w:vAlign w:val="center"/>
            <w:hideMark/>
          </w:tcPr>
          <w:p w14:paraId="186174DE"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وصفية تحليلية، أستراليا</w:t>
            </w:r>
          </w:p>
        </w:tc>
        <w:tc>
          <w:tcPr>
            <w:tcW w:w="1422" w:type="pct"/>
            <w:vAlign w:val="center"/>
            <w:hideMark/>
          </w:tcPr>
          <w:p w14:paraId="6DCD23EA"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تحسن</w:t>
            </w:r>
            <w:r w:rsidRPr="00FB5EDA">
              <w:rPr>
                <w:rFonts w:ascii="Simplified Arabic" w:hAnsi="Simplified Arabic" w:cs="Simplified Arabic"/>
                <w:sz w:val="28"/>
                <w:szCs w:val="28"/>
              </w:rPr>
              <w:t xml:space="preserve"> ROA </w:t>
            </w:r>
            <w:r w:rsidRPr="00FB5EDA">
              <w:rPr>
                <w:rFonts w:ascii="Simplified Arabic" w:hAnsi="Simplified Arabic" w:cs="Simplified Arabic"/>
                <w:sz w:val="28"/>
                <w:szCs w:val="28"/>
                <w:rtl/>
              </w:rPr>
              <w:t>و</w:t>
            </w:r>
            <w:r w:rsidRPr="00FB5EDA">
              <w:rPr>
                <w:rFonts w:ascii="Simplified Arabic" w:hAnsi="Simplified Arabic" w:cs="Simplified Arabic"/>
                <w:sz w:val="28"/>
                <w:szCs w:val="28"/>
              </w:rPr>
              <w:t>ROE</w:t>
            </w:r>
            <w:r w:rsidRPr="00FB5EDA">
              <w:rPr>
                <w:rFonts w:ascii="Simplified Arabic" w:hAnsi="Simplified Arabic" w:cs="Simplified Arabic"/>
                <w:sz w:val="28"/>
                <w:szCs w:val="28"/>
                <w:rtl/>
              </w:rPr>
              <w:t>، خفض وقت الضمانات</w:t>
            </w:r>
          </w:p>
        </w:tc>
        <w:tc>
          <w:tcPr>
            <w:tcW w:w="1195" w:type="pct"/>
            <w:vAlign w:val="center"/>
            <w:hideMark/>
          </w:tcPr>
          <w:p w14:paraId="71E7BBD8"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ربط التقنية بالأداء بالسعودية</w:t>
            </w:r>
          </w:p>
        </w:tc>
      </w:tr>
      <w:tr w:rsidR="00F00638" w:rsidRPr="00FB5EDA" w14:paraId="6D3FD915" w14:textId="77777777" w:rsidTr="00E04F0D">
        <w:tc>
          <w:tcPr>
            <w:tcW w:w="1255" w:type="pct"/>
            <w:vAlign w:val="center"/>
            <w:hideMark/>
          </w:tcPr>
          <w:p w14:paraId="3E8E1D21"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w:t>
            </w:r>
          </w:p>
        </w:tc>
        <w:tc>
          <w:tcPr>
            <w:tcW w:w="1128" w:type="pct"/>
            <w:vAlign w:val="center"/>
            <w:hideMark/>
          </w:tcPr>
          <w:p w14:paraId="6D0056D9"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نمذجة نظرية، كندا</w:t>
            </w:r>
          </w:p>
        </w:tc>
        <w:tc>
          <w:tcPr>
            <w:tcW w:w="1422" w:type="pct"/>
            <w:vAlign w:val="center"/>
            <w:hideMark/>
          </w:tcPr>
          <w:p w14:paraId="4110B732"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خفض تكاليف الإصدار، تسهيل الرهن</w:t>
            </w:r>
          </w:p>
        </w:tc>
        <w:tc>
          <w:tcPr>
            <w:tcW w:w="1195" w:type="pct"/>
            <w:vAlign w:val="center"/>
            <w:hideMark/>
          </w:tcPr>
          <w:p w14:paraId="3950D673"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محدودية فهم التأثيرات طويلة المدى</w:t>
            </w:r>
          </w:p>
        </w:tc>
      </w:tr>
      <w:tr w:rsidR="00F00638" w:rsidRPr="00FB5EDA" w14:paraId="7CB44AA6" w14:textId="77777777" w:rsidTr="00E04F0D">
        <w:tc>
          <w:tcPr>
            <w:tcW w:w="1255" w:type="pct"/>
            <w:vAlign w:val="center"/>
            <w:hideMark/>
          </w:tcPr>
          <w:p w14:paraId="4577FCA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Udeh et al. (2025)</w:t>
            </w:r>
          </w:p>
        </w:tc>
        <w:tc>
          <w:tcPr>
            <w:tcW w:w="1128" w:type="pct"/>
            <w:vAlign w:val="center"/>
            <w:hideMark/>
          </w:tcPr>
          <w:p w14:paraId="27238C06"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مختلطة، دراسات حالة</w:t>
            </w:r>
          </w:p>
        </w:tc>
        <w:tc>
          <w:tcPr>
            <w:tcW w:w="1422" w:type="pct"/>
            <w:vAlign w:val="center"/>
            <w:hideMark/>
          </w:tcPr>
          <w:p w14:paraId="19BF8C5D"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تقليل تكاليف، تعزيز الشفافية والأمن</w:t>
            </w:r>
          </w:p>
        </w:tc>
        <w:tc>
          <w:tcPr>
            <w:tcW w:w="1195" w:type="pct"/>
            <w:vAlign w:val="center"/>
            <w:hideMark/>
          </w:tcPr>
          <w:p w14:paraId="64787884"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أبحاث بناء الثقة بأطر ثقافية مختلفة</w:t>
            </w:r>
          </w:p>
        </w:tc>
      </w:tr>
      <w:tr w:rsidR="00F00638" w:rsidRPr="00FB5EDA" w14:paraId="22CDA818" w14:textId="77777777" w:rsidTr="00E04F0D">
        <w:tc>
          <w:tcPr>
            <w:tcW w:w="1255" w:type="pct"/>
            <w:vAlign w:val="center"/>
            <w:hideMark/>
          </w:tcPr>
          <w:p w14:paraId="2BA0B552"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p>
        </w:tc>
        <w:tc>
          <w:tcPr>
            <w:tcW w:w="1128" w:type="pct"/>
            <w:vAlign w:val="center"/>
            <w:hideMark/>
          </w:tcPr>
          <w:p w14:paraId="4F58DDBC"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مسحية، الأردن</w:t>
            </w:r>
          </w:p>
        </w:tc>
        <w:tc>
          <w:tcPr>
            <w:tcW w:w="1422" w:type="pct"/>
            <w:vAlign w:val="center"/>
            <w:hideMark/>
          </w:tcPr>
          <w:p w14:paraId="1F3F520F"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تحسين الكفاءة، أهمية الدعم التنظيمي</w:t>
            </w:r>
          </w:p>
        </w:tc>
        <w:tc>
          <w:tcPr>
            <w:tcW w:w="1195" w:type="pct"/>
            <w:vAlign w:val="center"/>
            <w:hideMark/>
          </w:tcPr>
          <w:p w14:paraId="5B3BDE57"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دراسات سعودية للعوامل الثقافية</w:t>
            </w:r>
          </w:p>
        </w:tc>
      </w:tr>
      <w:tr w:rsidR="00F00638" w:rsidRPr="00FB5EDA" w14:paraId="0F70D048" w14:textId="77777777" w:rsidTr="00E04F0D">
        <w:tc>
          <w:tcPr>
            <w:tcW w:w="1255" w:type="pct"/>
            <w:vAlign w:val="center"/>
            <w:hideMark/>
          </w:tcPr>
          <w:p w14:paraId="46B6573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Islam &amp; In (2024)</w:t>
            </w:r>
          </w:p>
        </w:tc>
        <w:tc>
          <w:tcPr>
            <w:tcW w:w="1128" w:type="pct"/>
            <w:vAlign w:val="center"/>
            <w:hideMark/>
          </w:tcPr>
          <w:p w14:paraId="5C3BCEA9"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IntelliSLR</w:t>
            </w:r>
            <w:proofErr w:type="spellEnd"/>
            <w:r w:rsidRPr="00FB5EDA">
              <w:rPr>
                <w:rFonts w:ascii="Simplified Arabic" w:hAnsi="Simplified Arabic" w:cs="Simplified Arabic"/>
                <w:sz w:val="28"/>
                <w:szCs w:val="28"/>
                <w:rtl/>
              </w:rPr>
              <w:t xml:space="preserve">، </w:t>
            </w:r>
            <w:r w:rsidRPr="00FB5EDA">
              <w:rPr>
                <w:rFonts w:ascii="Simplified Arabic" w:hAnsi="Simplified Arabic" w:cs="Simplified Arabic"/>
                <w:sz w:val="28"/>
                <w:szCs w:val="28"/>
              </w:rPr>
              <w:t>PRISMA</w:t>
            </w:r>
          </w:p>
        </w:tc>
        <w:tc>
          <w:tcPr>
            <w:tcW w:w="1422" w:type="pct"/>
            <w:vAlign w:val="center"/>
            <w:hideMark/>
          </w:tcPr>
          <w:p w14:paraId="7D741DC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تسهيل الانتقال للامركزية، اتجاه</w:t>
            </w:r>
            <w:r w:rsidRPr="00FB5EDA">
              <w:rPr>
                <w:rFonts w:ascii="Simplified Arabic" w:hAnsi="Simplified Arabic" w:cs="Simplified Arabic"/>
                <w:sz w:val="28"/>
                <w:szCs w:val="28"/>
              </w:rPr>
              <w:t xml:space="preserve"> CBDCs</w:t>
            </w:r>
          </w:p>
        </w:tc>
        <w:tc>
          <w:tcPr>
            <w:tcW w:w="1195" w:type="pct"/>
            <w:vAlign w:val="center"/>
            <w:hideMark/>
          </w:tcPr>
          <w:p w14:paraId="6AA678AF"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محدودية ربط البنوك المركزية برؤية 2030</w:t>
            </w:r>
          </w:p>
        </w:tc>
      </w:tr>
      <w:tr w:rsidR="00F00638" w:rsidRPr="00FB5EDA" w14:paraId="65677DFF" w14:textId="77777777" w:rsidTr="00E04F0D">
        <w:tc>
          <w:tcPr>
            <w:tcW w:w="1255" w:type="pct"/>
            <w:vAlign w:val="center"/>
            <w:hideMark/>
          </w:tcPr>
          <w:p w14:paraId="75F3138C"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Multiple Authors (2025)</w:t>
            </w:r>
          </w:p>
        </w:tc>
        <w:tc>
          <w:tcPr>
            <w:tcW w:w="1128" w:type="pct"/>
            <w:vAlign w:val="center"/>
            <w:hideMark/>
          </w:tcPr>
          <w:p w14:paraId="0941E74F"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تحليل قانوني مقارن</w:t>
            </w:r>
          </w:p>
        </w:tc>
        <w:tc>
          <w:tcPr>
            <w:tcW w:w="1422" w:type="pct"/>
            <w:vAlign w:val="center"/>
            <w:hideMark/>
          </w:tcPr>
          <w:p w14:paraId="40538882"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 xml:space="preserve">225 </w:t>
            </w:r>
            <w:r w:rsidRPr="00FB5EDA">
              <w:rPr>
                <w:rFonts w:ascii="Simplified Arabic" w:hAnsi="Simplified Arabic" w:cs="Simplified Arabic"/>
                <w:sz w:val="28"/>
                <w:szCs w:val="28"/>
                <w:rtl/>
              </w:rPr>
              <w:t xml:space="preserve">مليار دولار أوراق </w:t>
            </w:r>
            <w:proofErr w:type="spellStart"/>
            <w:r w:rsidRPr="00FB5EDA">
              <w:rPr>
                <w:rFonts w:ascii="Simplified Arabic" w:hAnsi="Simplified Arabic" w:cs="Simplified Arabic"/>
                <w:sz w:val="28"/>
                <w:szCs w:val="28"/>
                <w:rtl/>
              </w:rPr>
              <w:t>مرمزة</w:t>
            </w:r>
            <w:proofErr w:type="spellEnd"/>
            <w:r w:rsidRPr="00FB5EDA">
              <w:rPr>
                <w:rFonts w:ascii="Simplified Arabic" w:hAnsi="Simplified Arabic" w:cs="Simplified Arabic"/>
                <w:sz w:val="28"/>
                <w:szCs w:val="28"/>
                <w:rtl/>
              </w:rPr>
              <w:t>، قيادة أوروبية</w:t>
            </w:r>
          </w:p>
        </w:tc>
        <w:tc>
          <w:tcPr>
            <w:tcW w:w="1195" w:type="pct"/>
            <w:vAlign w:val="center"/>
            <w:hideMark/>
          </w:tcPr>
          <w:p w14:paraId="5FA8AFA7"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أبحاث الأطر القانونية الإسلامية</w:t>
            </w:r>
          </w:p>
        </w:tc>
      </w:tr>
      <w:tr w:rsidR="00F00638" w:rsidRPr="00FB5EDA" w14:paraId="533DF342" w14:textId="77777777" w:rsidTr="00E04F0D">
        <w:tc>
          <w:tcPr>
            <w:tcW w:w="1255" w:type="pct"/>
            <w:vAlign w:val="center"/>
            <w:hideMark/>
          </w:tcPr>
          <w:p w14:paraId="4E5981CB"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w:t>
            </w:r>
          </w:p>
        </w:tc>
        <w:tc>
          <w:tcPr>
            <w:tcW w:w="1128" w:type="pct"/>
            <w:vAlign w:val="center"/>
            <w:hideMark/>
          </w:tcPr>
          <w:p w14:paraId="5AD520A3"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 xml:space="preserve">تجريبية، </w:t>
            </w:r>
            <w:r w:rsidRPr="00FB5EDA">
              <w:rPr>
                <w:rFonts w:ascii="Simplified Arabic" w:hAnsi="Simplified Arabic" w:cs="Simplified Arabic"/>
                <w:sz w:val="28"/>
                <w:szCs w:val="28"/>
              </w:rPr>
              <w:t>World Bank</w:t>
            </w:r>
          </w:p>
        </w:tc>
        <w:tc>
          <w:tcPr>
            <w:tcW w:w="1422" w:type="pct"/>
            <w:vAlign w:val="center"/>
            <w:hideMark/>
          </w:tcPr>
          <w:p w14:paraId="3D51E987"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خفض وقت القروض 31%، التكاليف 37</w:t>
            </w:r>
            <w:r w:rsidRPr="00FB5EDA">
              <w:rPr>
                <w:rFonts w:ascii="Simplified Arabic" w:hAnsi="Simplified Arabic" w:cs="Simplified Arabic"/>
                <w:sz w:val="28"/>
                <w:szCs w:val="28"/>
              </w:rPr>
              <w:t>%</w:t>
            </w:r>
          </w:p>
        </w:tc>
        <w:tc>
          <w:tcPr>
            <w:tcW w:w="1195" w:type="pct"/>
            <w:vAlign w:val="center"/>
            <w:hideMark/>
          </w:tcPr>
          <w:p w14:paraId="0A78B17E"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محدودية دراسات ترميز أصول متنوعة</w:t>
            </w:r>
          </w:p>
        </w:tc>
      </w:tr>
      <w:tr w:rsidR="00F00638" w:rsidRPr="00FB5EDA" w14:paraId="19FABE05" w14:textId="77777777" w:rsidTr="00E04F0D">
        <w:tc>
          <w:tcPr>
            <w:tcW w:w="1255" w:type="pct"/>
            <w:vAlign w:val="center"/>
            <w:hideMark/>
          </w:tcPr>
          <w:p w14:paraId="0AAA0592"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lastRenderedPageBreak/>
              <w:t>Karanovic</w:t>
            </w:r>
            <w:proofErr w:type="spellEnd"/>
            <w:r w:rsidRPr="00FB5EDA">
              <w:rPr>
                <w:rFonts w:ascii="Simplified Arabic" w:hAnsi="Simplified Arabic" w:cs="Simplified Arabic"/>
                <w:sz w:val="28"/>
                <w:szCs w:val="28"/>
              </w:rPr>
              <w:t xml:space="preserve"> et al. (2024)</w:t>
            </w:r>
          </w:p>
        </w:tc>
        <w:tc>
          <w:tcPr>
            <w:tcW w:w="1128" w:type="pct"/>
            <w:vAlign w:val="center"/>
            <w:hideMark/>
          </w:tcPr>
          <w:p w14:paraId="37A4564E"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مختلطة، 500 مؤسسة</w:t>
            </w:r>
          </w:p>
        </w:tc>
        <w:tc>
          <w:tcPr>
            <w:tcW w:w="1422" w:type="pct"/>
            <w:vAlign w:val="center"/>
            <w:hideMark/>
          </w:tcPr>
          <w:p w14:paraId="368FC4E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انخفاض التكاليف 43%، الأوقات 78</w:t>
            </w:r>
            <w:r w:rsidRPr="00FB5EDA">
              <w:rPr>
                <w:rFonts w:ascii="Simplified Arabic" w:hAnsi="Simplified Arabic" w:cs="Simplified Arabic"/>
                <w:sz w:val="28"/>
                <w:szCs w:val="28"/>
              </w:rPr>
              <w:t>%</w:t>
            </w:r>
          </w:p>
        </w:tc>
        <w:tc>
          <w:tcPr>
            <w:tcW w:w="1195" w:type="pct"/>
            <w:vAlign w:val="center"/>
            <w:hideMark/>
          </w:tcPr>
          <w:p w14:paraId="4480BDB6"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دراسات مقارنة واسعة بالسعودية</w:t>
            </w:r>
          </w:p>
        </w:tc>
      </w:tr>
    </w:tbl>
    <w:p w14:paraId="017BD2C9" w14:textId="77777777" w:rsidR="00F00638" w:rsidRPr="00FB5EDA" w:rsidRDefault="00F00638" w:rsidP="0065589D">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32" w:name="_Toc224563961"/>
      <w:bookmarkStart w:id="133" w:name="_Toc224564018"/>
      <w:r w:rsidRPr="00FB5EDA">
        <w:rPr>
          <w:rFonts w:ascii="Simplified Arabic" w:hAnsi="Simplified Arabic" w:cs="Simplified Arabic"/>
          <w:b/>
          <w:bCs/>
          <w:color w:val="auto"/>
          <w:sz w:val="28"/>
          <w:szCs w:val="28"/>
          <w:u w:val="single"/>
        </w:rPr>
        <w:t xml:space="preserve">2.4 </w:t>
      </w:r>
      <w:r w:rsidRPr="00FB5EDA">
        <w:rPr>
          <w:rFonts w:ascii="Simplified Arabic" w:hAnsi="Simplified Arabic" w:cs="Simplified Arabic"/>
          <w:b/>
          <w:bCs/>
          <w:color w:val="auto"/>
          <w:sz w:val="28"/>
          <w:szCs w:val="28"/>
          <w:u w:val="single"/>
          <w:rtl/>
        </w:rPr>
        <w:t>التعليق على الدراسات السابقة</w:t>
      </w:r>
      <w:bookmarkEnd w:id="132"/>
      <w:bookmarkEnd w:id="133"/>
    </w:p>
    <w:p w14:paraId="06521DD9"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من خلال عرض وتحليل الدراسات السابقة التي أجريت حول موضوع تأثير تقنية الترميز على الأمن السيبراني وكفاءة العمليات المالية في المؤسسات المالية، حيث تم استعراض عدد من الدراسات العربية والأجنبية الحديثة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Ahammad et al., 2025;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Carapella et al., 2023; Grossmann et al., 2025;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Udeh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 Multiple Authors, 2025;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ورغم أن هذه الدراسات أجريت في بيئات وأنظمة مختلفة إلا أنها متشابهة في المتغيرات الرئيسية ومتقاربة في الاهتمامات البحثية، ومن خلال هذه الدراسات تم رصد أوجه الشبه وأوجه الاختلاف بين الدراسة الحالية والدراسات السابقة وأوجه استفادة الدراسة الحالية من الدراسات السابقة والتي كان لها أثر كبير في بناء الدراسة الحالية وتحديد منهجيتها وصياغة فرضياتها</w:t>
      </w:r>
      <w:r w:rsidRPr="00FB5EDA">
        <w:rPr>
          <w:rFonts w:ascii="Simplified Arabic" w:hAnsi="Simplified Arabic" w:cs="Simplified Arabic"/>
          <w:sz w:val="28"/>
          <w:szCs w:val="28"/>
        </w:rPr>
        <w:t>.</w:t>
      </w:r>
    </w:p>
    <w:p w14:paraId="174FC37C"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2.4.1 </w:t>
      </w:r>
      <w:r w:rsidRPr="00FB5EDA">
        <w:rPr>
          <w:rFonts w:ascii="Simplified Arabic" w:hAnsi="Simplified Arabic" w:cs="Simplified Arabic"/>
          <w:b/>
          <w:bCs/>
          <w:sz w:val="28"/>
          <w:szCs w:val="28"/>
          <w:rtl/>
        </w:rPr>
        <w:t>أوجه الشبه بين الدراسة الحالية والدراسات السابقة</w:t>
      </w:r>
    </w:p>
    <w:p w14:paraId="6A0B2D1D"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مع العديد من الدراسات السابقة في عدة جوانب رئيسية، حيث تتمثل أهم أوجه الشبه فيما يلي</w:t>
      </w:r>
      <w:r w:rsidRPr="00FB5EDA">
        <w:rPr>
          <w:rFonts w:ascii="Simplified Arabic" w:hAnsi="Simplified Arabic" w:cs="Simplified Arabic"/>
          <w:sz w:val="28"/>
          <w:szCs w:val="28"/>
        </w:rPr>
        <w:t>:</w:t>
      </w:r>
    </w:p>
    <w:p w14:paraId="49CEB3E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الهدف العام والمتغيرات الرئيسية مع العديد من الدراسات السابقة مثل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r w:rsidRPr="00FB5EDA">
        <w:rPr>
          <w:rFonts w:ascii="Simplified Arabic" w:hAnsi="Simplified Arabic" w:cs="Simplified Arabic"/>
          <w:sz w:val="28"/>
          <w:szCs w:val="28"/>
          <w:rtl/>
        </w:rPr>
        <w:t>التي تناولت تأثير تقنية الترميز على النظام المصرفي، ودراسة</w:t>
      </w:r>
      <w:r w:rsidRPr="00FB5EDA">
        <w:rPr>
          <w:rFonts w:ascii="Simplified Arabic" w:hAnsi="Simplified Arabic" w:cs="Simplified Arabic"/>
          <w:sz w:val="28"/>
          <w:szCs w:val="28"/>
        </w:rPr>
        <w:t xml:space="preserve"> Ahammad et al. (2025) </w:t>
      </w:r>
      <w:r w:rsidRPr="00FB5EDA">
        <w:rPr>
          <w:rFonts w:ascii="Simplified Arabic" w:hAnsi="Simplified Arabic" w:cs="Simplified Arabic"/>
          <w:sz w:val="28"/>
          <w:szCs w:val="28"/>
          <w:rtl/>
        </w:rPr>
        <w:t xml:space="preserve">التي تناولت تعزيز الأمن والكفاءة باستخدام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في القطاع المصرفي، ودراسة</w:t>
      </w:r>
      <w:r w:rsidRPr="00FB5EDA">
        <w:rPr>
          <w:rFonts w:ascii="Simplified Arabic" w:hAnsi="Simplified Arabic" w:cs="Simplified Arabic"/>
          <w:sz w:val="28"/>
          <w:szCs w:val="28"/>
        </w:rPr>
        <w:t xml:space="preserve"> Grossmann et al. (2025) </w:t>
      </w:r>
      <w:r w:rsidRPr="00FB5EDA">
        <w:rPr>
          <w:rFonts w:ascii="Simplified Arabic" w:hAnsi="Simplified Arabic" w:cs="Simplified Arabic"/>
          <w:sz w:val="28"/>
          <w:szCs w:val="28"/>
          <w:rtl/>
        </w:rPr>
        <w:t>التي تناولت خفض تكاليف المعاملات من خلال الترميز، بحيث تشترك جميع هذه الدراسات في الاهتمام بتأثير التقنيات الرقمية الحديثة على أداء وكفاءة المؤسسات المالية</w:t>
      </w:r>
      <w:r w:rsidRPr="00FB5EDA">
        <w:rPr>
          <w:rFonts w:ascii="Simplified Arabic" w:hAnsi="Simplified Arabic" w:cs="Simplified Arabic"/>
          <w:sz w:val="28"/>
          <w:szCs w:val="28"/>
        </w:rPr>
        <w:t>.</w:t>
      </w:r>
    </w:p>
    <w:p w14:paraId="19D815A3"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lastRenderedPageBreak/>
        <w:t>اتفقت الدراسة الحالية في المتغير المستقل وهو تقنية الترميز مع العديد من الدراسات السابقة مثل دراسة</w:t>
      </w:r>
      <w:r w:rsidRPr="00FB5EDA">
        <w:rPr>
          <w:rFonts w:ascii="Simplified Arabic" w:hAnsi="Simplified Arabic" w:cs="Simplified Arabic"/>
          <w:sz w:val="28"/>
          <w:szCs w:val="28"/>
        </w:rPr>
        <w:t xml:space="preserve"> Carapella et al. (2023) </w:t>
      </w:r>
      <w:r w:rsidRPr="00FB5EDA">
        <w:rPr>
          <w:rFonts w:ascii="Simplified Arabic" w:hAnsi="Simplified Arabic" w:cs="Simplified Arabic"/>
          <w:sz w:val="28"/>
          <w:szCs w:val="28"/>
          <w:rtl/>
        </w:rPr>
        <w:t>التي فحصت تأثير الترميز على الاستقرار المالي، ودراسة</w:t>
      </w:r>
      <w:r w:rsidRPr="00FB5EDA">
        <w:rPr>
          <w:rFonts w:ascii="Simplified Arabic" w:hAnsi="Simplified Arabic" w:cs="Simplified Arabic"/>
          <w:sz w:val="28"/>
          <w:szCs w:val="28"/>
        </w:rPr>
        <w:t xml:space="preserve"> Multiple Authors (2025) </w:t>
      </w:r>
      <w:r w:rsidRPr="00FB5EDA">
        <w:rPr>
          <w:rFonts w:ascii="Simplified Arabic" w:hAnsi="Simplified Arabic" w:cs="Simplified Arabic"/>
          <w:sz w:val="28"/>
          <w:szCs w:val="28"/>
          <w:rtl/>
        </w:rPr>
        <w:t>التي تناولت ترميز الأصول الواقعية،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التي تناولت ترميز الأصول الزراعية، بحيث تشترك هذه الدراسات في تناول تقنية الترميز كمتغير مستقل أو محوري في التحليل رغم اختلاف المجالات التطبيقية</w:t>
      </w:r>
      <w:r w:rsidRPr="00FB5EDA">
        <w:rPr>
          <w:rFonts w:ascii="Simplified Arabic" w:hAnsi="Simplified Arabic" w:cs="Simplified Arabic"/>
          <w:sz w:val="28"/>
          <w:szCs w:val="28"/>
        </w:rPr>
        <w:t>.</w:t>
      </w:r>
    </w:p>
    <w:p w14:paraId="11C2BF99"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أحد المتغيرات التابعة وهو الأمن السيبراني مع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r w:rsidRPr="00FB5EDA">
        <w:rPr>
          <w:rFonts w:ascii="Simplified Arabic" w:hAnsi="Simplified Arabic" w:cs="Simplified Arabic"/>
          <w:sz w:val="28"/>
          <w:szCs w:val="28"/>
          <w:rtl/>
        </w:rPr>
        <w:t>التي تناولت معايير الأمن والامتثال في أنظمة الترميز، ودراسة</w:t>
      </w:r>
      <w:r w:rsidRPr="00FB5EDA">
        <w:rPr>
          <w:rFonts w:ascii="Simplified Arabic" w:hAnsi="Simplified Arabic" w:cs="Simplified Arabic"/>
          <w:sz w:val="28"/>
          <w:szCs w:val="28"/>
        </w:rPr>
        <w:t xml:space="preserve"> Ahammad et al. (2025) </w:t>
      </w:r>
      <w:r w:rsidRPr="00FB5EDA">
        <w:rPr>
          <w:rFonts w:ascii="Simplified Arabic" w:hAnsi="Simplified Arabic" w:cs="Simplified Arabic"/>
          <w:sz w:val="28"/>
          <w:szCs w:val="28"/>
          <w:rtl/>
        </w:rPr>
        <w:t>التي ركزت على تحسينات الأمن من خلال إلغاء الوسطاء وتقليل نقاط الضعف،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 xml:space="preserve">التي وثقت انخفاضاً بنسبة 56.2% في حوادث الأمن السيبراني بعد تبني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بحيث تشترك هذه الدراسات في الاهتمام بالبعد الأمني لتقنية الترميز</w:t>
      </w:r>
      <w:r w:rsidRPr="00FB5EDA">
        <w:rPr>
          <w:rFonts w:ascii="Simplified Arabic" w:hAnsi="Simplified Arabic" w:cs="Simplified Arabic"/>
          <w:sz w:val="28"/>
          <w:szCs w:val="28"/>
        </w:rPr>
        <w:t>.</w:t>
      </w:r>
    </w:p>
    <w:p w14:paraId="773CF897"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المتغير التابع الآخر وهو كفاءة العمليات المالية مع دراسة</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r w:rsidRPr="00FB5EDA">
        <w:rPr>
          <w:rFonts w:ascii="Simplified Arabic" w:hAnsi="Simplified Arabic" w:cs="Simplified Arabic"/>
          <w:sz w:val="28"/>
          <w:szCs w:val="28"/>
          <w:rtl/>
        </w:rPr>
        <w:t xml:space="preserve">التي قاست تأثير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على تكاليف المعاملات،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r w:rsidRPr="00FB5EDA">
        <w:rPr>
          <w:rFonts w:ascii="Simplified Arabic" w:hAnsi="Simplified Arabic" w:cs="Simplified Arabic"/>
          <w:sz w:val="28"/>
          <w:szCs w:val="28"/>
          <w:rtl/>
        </w:rPr>
        <w:t xml:space="preserve">التي ربطت تبني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بتحسن الأداء المالي،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w:t>
      </w:r>
      <w:r w:rsidRPr="00FB5EDA">
        <w:rPr>
          <w:rFonts w:ascii="Simplified Arabic" w:hAnsi="Simplified Arabic" w:cs="Simplified Arabic"/>
          <w:sz w:val="28"/>
          <w:szCs w:val="28"/>
          <w:rtl/>
        </w:rPr>
        <w:t>التي فحصت كيفية معالجة الترميز لأوجه القصور في الأسواق المالية، ودراسة</w:t>
      </w:r>
      <w:r w:rsidRPr="00FB5EDA">
        <w:rPr>
          <w:rFonts w:ascii="Simplified Arabic" w:hAnsi="Simplified Arabic" w:cs="Simplified Arabic"/>
          <w:sz w:val="28"/>
          <w:szCs w:val="28"/>
        </w:rPr>
        <w:t xml:space="preserve"> Udeh et al. (2025) </w:t>
      </w:r>
      <w:r w:rsidRPr="00FB5EDA">
        <w:rPr>
          <w:rFonts w:ascii="Simplified Arabic" w:hAnsi="Simplified Arabic" w:cs="Simplified Arabic"/>
          <w:sz w:val="28"/>
          <w:szCs w:val="28"/>
          <w:rtl/>
        </w:rPr>
        <w:t>التي تناولت تقليل تكاليف المعاملات من خلال إلغاء الوسطاء، بحيث تتفق جميع هذه الدراسات على أن التقنيات الرقمية الحديثة تحسن من كفاءة العمليات المالية بطرق متعددة</w:t>
      </w:r>
      <w:r w:rsidRPr="00FB5EDA">
        <w:rPr>
          <w:rFonts w:ascii="Simplified Arabic" w:hAnsi="Simplified Arabic" w:cs="Simplified Arabic"/>
          <w:sz w:val="28"/>
          <w:szCs w:val="28"/>
        </w:rPr>
        <w:t>.</w:t>
      </w:r>
    </w:p>
    <w:p w14:paraId="7919B8E8"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الاهتمام بالسياق الإقليمي مع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r w:rsidRPr="00FB5EDA">
        <w:rPr>
          <w:rFonts w:ascii="Simplified Arabic" w:hAnsi="Simplified Arabic" w:cs="Simplified Arabic"/>
          <w:sz w:val="28"/>
          <w:szCs w:val="28"/>
          <w:rtl/>
        </w:rPr>
        <w:t>التي تناولت القطاع المصرفي الأردني كسياق عربي إقليمي، حيث تشترك هذه الدراسة مع الدراسة الحالية في الاهتمام بالبيئة العربية والإقليمية المشابهة من حيث التحديات والفرص التنظيمية والثقافية</w:t>
      </w:r>
      <w:r w:rsidRPr="00FB5EDA">
        <w:rPr>
          <w:rFonts w:ascii="Simplified Arabic" w:hAnsi="Simplified Arabic" w:cs="Simplified Arabic"/>
          <w:sz w:val="28"/>
          <w:szCs w:val="28"/>
        </w:rPr>
        <w:t>.</w:t>
      </w:r>
    </w:p>
    <w:p w14:paraId="6AD7867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الاهتمام بالتحول الرقمي والأهداف الاستراتيجية الوطنية مع دراسة</w:t>
      </w:r>
      <w:r w:rsidRPr="00FB5EDA">
        <w:rPr>
          <w:rFonts w:ascii="Simplified Arabic" w:hAnsi="Simplified Arabic" w:cs="Simplified Arabic"/>
          <w:sz w:val="28"/>
          <w:szCs w:val="28"/>
        </w:rPr>
        <w:t xml:space="preserve"> Islam &amp; In (2024) </w:t>
      </w:r>
      <w:r w:rsidRPr="00FB5EDA">
        <w:rPr>
          <w:rFonts w:ascii="Simplified Arabic" w:hAnsi="Simplified Arabic" w:cs="Simplified Arabic"/>
          <w:sz w:val="28"/>
          <w:szCs w:val="28"/>
          <w:rtl/>
        </w:rPr>
        <w:t xml:space="preserve">التي ربطت تطبيقات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بالعملات الرقمية للبنوك المركزية كجزء من التحول الرقمي الوطني،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r w:rsidRPr="00FB5EDA">
        <w:rPr>
          <w:rFonts w:ascii="Simplified Arabic" w:hAnsi="Simplified Arabic" w:cs="Simplified Arabic"/>
          <w:sz w:val="28"/>
          <w:szCs w:val="28"/>
          <w:rtl/>
        </w:rPr>
        <w:t xml:space="preserve">التي أكدت على أهمية </w:t>
      </w:r>
      <w:r w:rsidRPr="00FB5EDA">
        <w:rPr>
          <w:rFonts w:ascii="Simplified Arabic" w:hAnsi="Simplified Arabic" w:cs="Simplified Arabic"/>
          <w:sz w:val="28"/>
          <w:szCs w:val="28"/>
          <w:rtl/>
        </w:rPr>
        <w:lastRenderedPageBreak/>
        <w:t>الدعم التنظيمي والتوعية المؤسسية، بحيث تعكس هذه الدراسات أهمية ربط التبني التقني بالرؤى والاستراتيجيات الوطنية</w:t>
      </w:r>
      <w:r w:rsidRPr="00FB5EDA">
        <w:rPr>
          <w:rFonts w:ascii="Simplified Arabic" w:hAnsi="Simplified Arabic" w:cs="Simplified Arabic"/>
          <w:sz w:val="28"/>
          <w:szCs w:val="28"/>
        </w:rPr>
        <w:t>.</w:t>
      </w:r>
    </w:p>
    <w:p w14:paraId="694DF8D0"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استخدام منهجيات بحثية متقدمة مع دراسة</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r w:rsidRPr="00FB5EDA">
        <w:rPr>
          <w:rFonts w:ascii="Simplified Arabic" w:hAnsi="Simplified Arabic" w:cs="Simplified Arabic"/>
          <w:sz w:val="28"/>
          <w:szCs w:val="28"/>
          <w:rtl/>
        </w:rPr>
        <w:t>التي استخدمت تقنية</w:t>
      </w:r>
      <w:r w:rsidRPr="00FB5EDA">
        <w:rPr>
          <w:rFonts w:ascii="Simplified Arabic" w:hAnsi="Simplified Arabic" w:cs="Simplified Arabic"/>
          <w:sz w:val="28"/>
          <w:szCs w:val="28"/>
        </w:rPr>
        <w:t xml:space="preserve"> Random Forest </w:t>
      </w:r>
      <w:r w:rsidRPr="00FB5EDA">
        <w:rPr>
          <w:rFonts w:ascii="Simplified Arabic" w:hAnsi="Simplified Arabic" w:cs="Simplified Arabic"/>
          <w:sz w:val="28"/>
          <w:szCs w:val="28"/>
          <w:rtl/>
        </w:rPr>
        <w:t>للتحليل الكمي،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التي استخدمت منهجية مختلطة واسعة النطاق، ودراسة</w:t>
      </w:r>
      <w:r w:rsidRPr="00FB5EDA">
        <w:rPr>
          <w:rFonts w:ascii="Simplified Arabic" w:hAnsi="Simplified Arabic" w:cs="Simplified Arabic"/>
          <w:sz w:val="28"/>
          <w:szCs w:val="28"/>
        </w:rPr>
        <w:t xml:space="preserve"> Grossmann et al. (2025) </w:t>
      </w:r>
      <w:r w:rsidRPr="00FB5EDA">
        <w:rPr>
          <w:rFonts w:ascii="Simplified Arabic" w:hAnsi="Simplified Arabic" w:cs="Simplified Arabic"/>
          <w:sz w:val="28"/>
          <w:szCs w:val="28"/>
          <w:rtl/>
        </w:rPr>
        <w:t>التي استخدمت</w:t>
      </w:r>
      <w:r w:rsidRPr="00FB5EDA">
        <w:rPr>
          <w:rFonts w:ascii="Simplified Arabic" w:hAnsi="Simplified Arabic" w:cs="Simplified Arabic"/>
          <w:sz w:val="28"/>
          <w:szCs w:val="28"/>
        </w:rPr>
        <w:t xml:space="preserve"> Design Science Research</w:t>
      </w:r>
      <w:r w:rsidRPr="00FB5EDA">
        <w:rPr>
          <w:rFonts w:ascii="Simplified Arabic" w:hAnsi="Simplified Arabic" w:cs="Simplified Arabic"/>
          <w:sz w:val="28"/>
          <w:szCs w:val="28"/>
          <w:rtl/>
        </w:rPr>
        <w:t>، بحيث تعكس هذه الدراسات التطور المنهجي في دراسة تأثير التقنيات الحديثة على القطاع المالي</w:t>
      </w:r>
      <w:r w:rsidRPr="00FB5EDA">
        <w:rPr>
          <w:rFonts w:ascii="Simplified Arabic" w:hAnsi="Simplified Arabic" w:cs="Simplified Arabic"/>
          <w:sz w:val="28"/>
          <w:szCs w:val="28"/>
        </w:rPr>
        <w:t>.</w:t>
      </w:r>
    </w:p>
    <w:p w14:paraId="6F4F3A52"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2.4.2 </w:t>
      </w:r>
      <w:r w:rsidRPr="00FB5EDA">
        <w:rPr>
          <w:rFonts w:ascii="Simplified Arabic" w:hAnsi="Simplified Arabic" w:cs="Simplified Arabic"/>
          <w:b/>
          <w:bCs/>
          <w:sz w:val="28"/>
          <w:szCs w:val="28"/>
          <w:rtl/>
        </w:rPr>
        <w:t>أوجه الاختلاف بين الدراسة الحالية والدراسات السابقة</w:t>
      </w:r>
    </w:p>
    <w:p w14:paraId="4D7D582B"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عن الدراسات السابقة في عدة جوانب جوهرية، حيث تتمثل أهم أوجه الاختلاف فيما يلي</w:t>
      </w:r>
      <w:r w:rsidRPr="00FB5EDA">
        <w:rPr>
          <w:rFonts w:ascii="Simplified Arabic" w:hAnsi="Simplified Arabic" w:cs="Simplified Arabic"/>
          <w:sz w:val="28"/>
          <w:szCs w:val="28"/>
        </w:rPr>
        <w:t>:</w:t>
      </w:r>
    </w:p>
    <w:p w14:paraId="5CAC578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السياق الجغرافي والمؤسسي بشكل جوهري عن جميع الدراسات السابقة المستعرضة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Ahammad et al., 2025;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Carapella et al., 2023; Grossmann et al., 2025;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Udeh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 Multiple Authors, 2025;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حيث أن الدراسة الحالية هي الأولى من نوعها التي تطبق على المؤسسات المالية السعودية بأنواعها المختلفة، بينما ركزت الدراسات السابقة على سياقات أوروبية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Grossmann et al., 2025; Multiple Authors, 2025)</w:t>
      </w:r>
      <w:r w:rsidRPr="00FB5EDA">
        <w:rPr>
          <w:rFonts w:ascii="Simplified Arabic" w:hAnsi="Simplified Arabic" w:cs="Simplified Arabic"/>
          <w:sz w:val="28"/>
          <w:szCs w:val="28"/>
          <w:rtl/>
        </w:rPr>
        <w:t>، أو آسيوية</w:t>
      </w:r>
      <w:r w:rsidRPr="00FB5EDA">
        <w:rPr>
          <w:rFonts w:ascii="Simplified Arabic" w:hAnsi="Simplified Arabic" w:cs="Simplified Arabic"/>
          <w:sz w:val="28"/>
          <w:szCs w:val="28"/>
        </w:rPr>
        <w:t xml:space="preserve"> (Ahammad et al., 2025; Islam &amp; In, 2024)</w:t>
      </w:r>
      <w:r w:rsidRPr="00FB5EDA">
        <w:rPr>
          <w:rFonts w:ascii="Simplified Arabic" w:hAnsi="Simplified Arabic" w:cs="Simplified Arabic"/>
          <w:sz w:val="28"/>
          <w:szCs w:val="28"/>
          <w:rtl/>
        </w:rPr>
        <w:t>، أو أمريكية</w:t>
      </w:r>
      <w:r w:rsidRPr="00FB5EDA">
        <w:rPr>
          <w:rFonts w:ascii="Simplified Arabic" w:hAnsi="Simplified Arabic" w:cs="Simplified Arabic"/>
          <w:sz w:val="28"/>
          <w:szCs w:val="28"/>
        </w:rPr>
        <w:t xml:space="preserve"> (Carapella et al., 2023;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w:t>
      </w:r>
      <w:r w:rsidRPr="00FB5EDA">
        <w:rPr>
          <w:rFonts w:ascii="Simplified Arabic" w:hAnsi="Simplified Arabic" w:cs="Simplified Arabic"/>
          <w:sz w:val="28"/>
          <w:szCs w:val="28"/>
          <w:rtl/>
        </w:rPr>
        <w:t>، أو إقليمية عربية غير سعودية</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sidRPr="00FB5EDA">
        <w:rPr>
          <w:rFonts w:ascii="Simplified Arabic" w:hAnsi="Simplified Arabic" w:cs="Simplified Arabic"/>
          <w:sz w:val="28"/>
          <w:szCs w:val="28"/>
          <w:rtl/>
        </w:rPr>
        <w:t>، أو أسترالية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2025)</w:t>
      </w:r>
      <w:r w:rsidRPr="00FB5EDA">
        <w:rPr>
          <w:rFonts w:ascii="Simplified Arabic" w:hAnsi="Simplified Arabic" w:cs="Simplified Arabic"/>
          <w:sz w:val="28"/>
          <w:szCs w:val="28"/>
          <w:rtl/>
        </w:rPr>
        <w:t>، مما يجعل الدراسة الحالية فريدة في تناولها للسياق السعودي المحدد بخصائصه التنظيمية والثقافية والاقتصادية المميزة</w:t>
      </w:r>
      <w:r w:rsidRPr="00FB5EDA">
        <w:rPr>
          <w:rFonts w:ascii="Simplified Arabic" w:hAnsi="Simplified Arabic" w:cs="Simplified Arabic"/>
          <w:sz w:val="28"/>
          <w:szCs w:val="28"/>
        </w:rPr>
        <w:t>.</w:t>
      </w:r>
    </w:p>
    <w:p w14:paraId="5AA734E1"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lastRenderedPageBreak/>
        <w:t>تختلف الدراسة الحالية في ربطها المباشر والصريح برؤية السعودية 2030 وأهداف التحول الرقمي الوطني</w:t>
      </w:r>
      <w:r w:rsidRPr="00FB5EDA">
        <w:rPr>
          <w:rFonts w:ascii="Simplified Arabic" w:hAnsi="Simplified Arabic" w:cs="Simplified Arabic"/>
          <w:sz w:val="28"/>
          <w:szCs w:val="28"/>
        </w:rPr>
        <w:t xml:space="preserve"> (Saudi Central Bank, 2024; IMF, 2024; Thunes Research, 2025)</w:t>
      </w:r>
      <w:r w:rsidRPr="00FB5EDA">
        <w:rPr>
          <w:rFonts w:ascii="Simplified Arabic" w:hAnsi="Simplified Arabic" w:cs="Simplified Arabic"/>
          <w:sz w:val="28"/>
          <w:szCs w:val="28"/>
          <w:rtl/>
        </w:rPr>
        <w:t>، بينما لم تتطرق أي من الدراسات السابقة لهذا الربط الاستراتيجي مع رؤية وطنية محددة، حيث أن الدراسة الحالية تفحص كيف تساهم تقنية الترميز في تحقيق أهداف رؤية 2030 من حيث رفع معدل الشمول المالي وتحسين كفاءة القطاع المالي وتعزيز الأمن السيبراني وجذب الاستثمارات ودعم الابتكار المالي، وهذا يضيف بعداً استراتيجياً ووطنياً فريداً للدراسة الحالية لا يتوفر في الدراسات السابقة</w:t>
      </w:r>
      <w:r w:rsidRPr="00FB5EDA">
        <w:rPr>
          <w:rFonts w:ascii="Simplified Arabic" w:hAnsi="Simplified Arabic" w:cs="Simplified Arabic"/>
          <w:sz w:val="28"/>
          <w:szCs w:val="28"/>
        </w:rPr>
        <w:t>.</w:t>
      </w:r>
    </w:p>
    <w:p w14:paraId="5BA47D38"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 xml:space="preserve">تختلف الدراسة الحالية في المقارنة المباشرة بين ثلاثة أنواع من المؤسسات المالية وهي البنوك التقليدية والبنوك الرقمية وشركات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tl/>
        </w:rPr>
        <w:t xml:space="preserve"> في نفس السياق</w:t>
      </w:r>
      <w:r w:rsidRPr="00FB5EDA">
        <w:rPr>
          <w:rFonts w:ascii="Simplified Arabic" w:hAnsi="Simplified Arabic" w:cs="Simplified Arabic"/>
          <w:sz w:val="28"/>
          <w:szCs w:val="28"/>
        </w:rPr>
        <w:t xml:space="preserve"> (Saudi Central Bank, 2024; Thunes Research, 2025)</w:t>
      </w:r>
      <w:r w:rsidRPr="00FB5EDA">
        <w:rPr>
          <w:rFonts w:ascii="Simplified Arabic" w:hAnsi="Simplified Arabic" w:cs="Simplified Arabic"/>
          <w:sz w:val="28"/>
          <w:szCs w:val="28"/>
          <w:rtl/>
        </w:rPr>
        <w:t>، بينما ركزت معظم الدراسات السابقة على نوع واحد من المؤسسات فقط مثل البنوك التقليدية الكبرى</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r w:rsidRPr="00FB5EDA">
        <w:rPr>
          <w:rFonts w:ascii="Simplified Arabic" w:hAnsi="Simplified Arabic" w:cs="Simplified Arabic"/>
          <w:sz w:val="28"/>
          <w:szCs w:val="28"/>
          <w:rtl/>
        </w:rPr>
        <w:t>أو قدمت مقارنات عامة دون تركيز على أنواع محددة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وهذه المقارنة الثلاثية تمكن من فهم أعمق لكيفية اختلاف تأثير تقنية الترميز باختلاف حجم ونوع وطبيعة المؤسسة المالية</w:t>
      </w:r>
      <w:r w:rsidRPr="00FB5EDA">
        <w:rPr>
          <w:rFonts w:ascii="Simplified Arabic" w:hAnsi="Simplified Arabic" w:cs="Simplified Arabic"/>
          <w:sz w:val="28"/>
          <w:szCs w:val="28"/>
        </w:rPr>
        <w:t>.</w:t>
      </w:r>
    </w:p>
    <w:p w14:paraId="5064B33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فحصها المتزامن والمتكامل لتأثير تقنية الترميز على كل من الأمن السيبراني وكفاءة العمليات المالية في نفس الوقت</w:t>
      </w:r>
      <w:r w:rsidRPr="00FB5EDA">
        <w:rPr>
          <w:rFonts w:ascii="Simplified Arabic" w:hAnsi="Simplified Arabic" w:cs="Simplified Arabic"/>
          <w:sz w:val="28"/>
          <w:szCs w:val="28"/>
        </w:rPr>
        <w:t xml:space="preserve"> (ENISA, 2024; IBM Security, 2024;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بينما ركزت معظم الدراسات السابقة على أحد هذين البعدين دون الآخر، حيث اهتمت بعض الدراسات بالبعد الأمني بشكل أساسي</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Ahammad et al., 2025) </w:t>
      </w:r>
      <w:r w:rsidRPr="00FB5EDA">
        <w:rPr>
          <w:rFonts w:ascii="Simplified Arabic" w:hAnsi="Simplified Arabic" w:cs="Simplified Arabic"/>
          <w:sz w:val="28"/>
          <w:szCs w:val="28"/>
          <w:rtl/>
        </w:rPr>
        <w:t>بينما ركزت دراسات أخرى على بعد الكفاءة والتكاليف</w:t>
      </w:r>
      <w:r w:rsidRPr="00FB5EDA">
        <w:rPr>
          <w:rFonts w:ascii="Simplified Arabic" w:hAnsi="Simplified Arabic" w:cs="Simplified Arabic"/>
          <w:sz w:val="28"/>
          <w:szCs w:val="28"/>
        </w:rPr>
        <w:t xml:space="preserve"> (Grossmann et al.,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sidRPr="00FB5EDA">
        <w:rPr>
          <w:rFonts w:ascii="Simplified Arabic" w:hAnsi="Simplified Arabic" w:cs="Simplified Arabic"/>
          <w:sz w:val="28"/>
          <w:szCs w:val="28"/>
          <w:rtl/>
        </w:rPr>
        <w:t>، وهذا النهج المتكامل يمكن من فهم التأثيرات المتشابكة والمتبادلة بين البعدين</w:t>
      </w:r>
      <w:r w:rsidRPr="00FB5EDA">
        <w:rPr>
          <w:rFonts w:ascii="Simplified Arabic" w:hAnsi="Simplified Arabic" w:cs="Simplified Arabic"/>
          <w:sz w:val="28"/>
          <w:szCs w:val="28"/>
        </w:rPr>
        <w:t>.</w:t>
      </w:r>
    </w:p>
    <w:p w14:paraId="423D52ED"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تطبيقها للأطر التنظيمية السعودية المحددة التي تحكم القطاع المالي</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بما في ذلك متطلبات مؤسسة النقد العربي السعودي</w:t>
      </w:r>
      <w:r w:rsidRPr="00FB5EDA">
        <w:rPr>
          <w:rFonts w:ascii="Simplified Arabic" w:hAnsi="Simplified Arabic" w:cs="Simplified Arabic"/>
          <w:sz w:val="28"/>
          <w:szCs w:val="28"/>
        </w:rPr>
        <w:t xml:space="preserve"> (SAMA) </w:t>
      </w:r>
      <w:r w:rsidRPr="00FB5EDA">
        <w:rPr>
          <w:rFonts w:ascii="Simplified Arabic" w:hAnsi="Simplified Arabic" w:cs="Simplified Arabic"/>
          <w:sz w:val="28"/>
          <w:szCs w:val="28"/>
          <w:rtl/>
        </w:rPr>
        <w:t>ومتطلبات الهيئة الوطنية للأمن السيبراني</w:t>
      </w:r>
      <w:r w:rsidRPr="00FB5EDA">
        <w:rPr>
          <w:rFonts w:ascii="Simplified Arabic" w:hAnsi="Simplified Arabic" w:cs="Simplified Arabic"/>
          <w:sz w:val="28"/>
          <w:szCs w:val="28"/>
        </w:rPr>
        <w:t xml:space="preserve"> (PCI Security Standards </w:t>
      </w:r>
      <w:r w:rsidRPr="00FB5EDA">
        <w:rPr>
          <w:rFonts w:ascii="Simplified Arabic" w:hAnsi="Simplified Arabic" w:cs="Simplified Arabic"/>
          <w:sz w:val="28"/>
          <w:szCs w:val="28"/>
        </w:rPr>
        <w:lastRenderedPageBreak/>
        <w:t>Council, 2024; ENISA, 2024)</w:t>
      </w:r>
      <w:r w:rsidRPr="00FB5EDA">
        <w:rPr>
          <w:rFonts w:ascii="Simplified Arabic" w:hAnsi="Simplified Arabic" w:cs="Simplified Arabic"/>
          <w:sz w:val="28"/>
          <w:szCs w:val="28"/>
          <w:rtl/>
        </w:rPr>
        <w:t>، بينما طبقت الدراسات السابقة أطر تنظيمية مختلفة تتناسب مع سياقاتها الخاصة، وهذا الاختلاف التنظيمي مهم لأن الأطر التنظيمية تشكل عوامل تمكين أو إعاقة رئيسية لتبني التقنيات الجديدة في القطاع المالي</w:t>
      </w:r>
      <w:r w:rsidRPr="00FB5EDA">
        <w:rPr>
          <w:rFonts w:ascii="Simplified Arabic" w:hAnsi="Simplified Arabic" w:cs="Simplified Arabic"/>
          <w:sz w:val="28"/>
          <w:szCs w:val="28"/>
        </w:rPr>
        <w:t>.</w:t>
      </w:r>
    </w:p>
    <w:p w14:paraId="45A31C2C"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نطاقها الشامل الذي يغطي مختلف أنواع الخدمات المالية من المدفوعات والتحويلات إلى الإقراض والاستثمار وإدارة الأصول</w:t>
      </w:r>
      <w:r w:rsidRPr="00FB5EDA">
        <w:rPr>
          <w:rFonts w:ascii="Simplified Arabic" w:hAnsi="Simplified Arabic" w:cs="Simplified Arabic"/>
          <w:sz w:val="28"/>
          <w:szCs w:val="28"/>
        </w:rPr>
        <w:t xml:space="preserve"> (Financial Stability Board, 2024; McKinsey &amp; Company, 2024; Thunes Research, 2025)</w:t>
      </w:r>
      <w:r w:rsidRPr="00FB5EDA">
        <w:rPr>
          <w:rFonts w:ascii="Simplified Arabic" w:hAnsi="Simplified Arabic" w:cs="Simplified Arabic"/>
          <w:sz w:val="28"/>
          <w:szCs w:val="28"/>
          <w:rtl/>
        </w:rPr>
        <w:t>، بينما ركزت بعض الدراسات السابقة على قطاعات أو تطبيقات محددة مثل أسواق السندات فقط</w:t>
      </w:r>
      <w:r w:rsidRPr="00FB5EDA">
        <w:rPr>
          <w:rFonts w:ascii="Simplified Arabic" w:hAnsi="Simplified Arabic" w:cs="Simplified Arabic"/>
          <w:sz w:val="28"/>
          <w:szCs w:val="28"/>
        </w:rPr>
        <w:t xml:space="preserve"> (Grossmann et al.,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w:t>
      </w:r>
      <w:r w:rsidRPr="00FB5EDA">
        <w:rPr>
          <w:rFonts w:ascii="Simplified Arabic" w:hAnsi="Simplified Arabic" w:cs="Simplified Arabic"/>
          <w:sz w:val="28"/>
          <w:szCs w:val="28"/>
          <w:rtl/>
        </w:rPr>
        <w:t>أو الأصول الزراعية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أو الضمانات المصرفية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2025)</w:t>
      </w:r>
      <w:r w:rsidRPr="00FB5EDA">
        <w:rPr>
          <w:rFonts w:ascii="Simplified Arabic" w:hAnsi="Simplified Arabic" w:cs="Simplified Arabic"/>
          <w:sz w:val="28"/>
          <w:szCs w:val="28"/>
          <w:rtl/>
        </w:rPr>
        <w:t>، مما يجعل الدراسة الحالية أكثر شمولية في تغطيتها لمختلف جوانب العمل المالي</w:t>
      </w:r>
      <w:r w:rsidRPr="00FB5EDA">
        <w:rPr>
          <w:rFonts w:ascii="Simplified Arabic" w:hAnsi="Simplified Arabic" w:cs="Simplified Arabic"/>
          <w:sz w:val="28"/>
          <w:szCs w:val="28"/>
        </w:rPr>
        <w:t>.</w:t>
      </w:r>
    </w:p>
    <w:p w14:paraId="1D7CA82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استخدامها لمنهجية مختلطة مصممة خصيصاً للسياق السعودي تجمع بين الاستبانات الإلكترونية والمقابلات شبه المنظمة مع أصحاب المصلحة المتعددين من مستويات إدارية مختلفة (من المديرين التنفيذيين إلى المستخدمين النهائيين) في المؤسسات المالية السعودية، بينما استخدمت الدراسات السابقة منهجيات مختلفة تناسب سياقاتها، وهذا التصميم المنهجي المخصص يضمن الحصول على بيانات دقيقة وذات صلة بالواقع السعودي</w:t>
      </w:r>
      <w:r w:rsidRPr="00FB5EDA">
        <w:rPr>
          <w:rFonts w:ascii="Simplified Arabic" w:hAnsi="Simplified Arabic" w:cs="Simplified Arabic"/>
          <w:sz w:val="28"/>
          <w:szCs w:val="28"/>
        </w:rPr>
        <w:t>.</w:t>
      </w:r>
    </w:p>
    <w:p w14:paraId="524C277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توقيتها الحرج ضمن مسيرة التحول الرقمي في المملكة</w:t>
      </w:r>
      <w:r w:rsidRPr="00FB5EDA">
        <w:rPr>
          <w:rFonts w:ascii="Simplified Arabic" w:hAnsi="Simplified Arabic" w:cs="Simplified Arabic"/>
          <w:sz w:val="28"/>
          <w:szCs w:val="28"/>
        </w:rPr>
        <w:t xml:space="preserve"> (Saudi Central Bank, 2024; Thunes Research, 2025; IMF, 2024)</w:t>
      </w:r>
      <w:r w:rsidRPr="00FB5EDA">
        <w:rPr>
          <w:rFonts w:ascii="Simplified Arabic" w:hAnsi="Simplified Arabic" w:cs="Simplified Arabic"/>
          <w:sz w:val="28"/>
          <w:szCs w:val="28"/>
          <w:rtl/>
        </w:rPr>
        <w:t xml:space="preserve">، حيث تأتي في وقت تشهد فيه المملكة تسارعاً كبيراً في التحول الرقمي للقطاع المالي مع وصول نسبة المدفوعات الإلكترونية إلى 79% ومعدل الشمول المالي إلى 94% ونمو قطاع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tl/>
        </w:rPr>
        <w:t xml:space="preserve"> بشكل ملحوظ، مما يجعل نتائج الدراسة ذات قيمة عملية عالية لصناع القرار في المؤسسات المالية والجهات التنظيمية في توقيت حاسم من مسيرة التحول</w:t>
      </w:r>
      <w:r w:rsidRPr="00FB5EDA">
        <w:rPr>
          <w:rFonts w:ascii="Simplified Arabic" w:hAnsi="Simplified Arabic" w:cs="Simplified Arabic"/>
          <w:sz w:val="28"/>
          <w:szCs w:val="28"/>
        </w:rPr>
        <w:t>.</w:t>
      </w:r>
    </w:p>
    <w:p w14:paraId="4E935374"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2.4.3 </w:t>
      </w:r>
      <w:r w:rsidRPr="00FB5EDA">
        <w:rPr>
          <w:rFonts w:ascii="Simplified Arabic" w:hAnsi="Simplified Arabic" w:cs="Simplified Arabic"/>
          <w:b/>
          <w:bCs/>
          <w:sz w:val="28"/>
          <w:szCs w:val="28"/>
          <w:rtl/>
        </w:rPr>
        <w:t>أوجه استفادة الدراسة الحالية من الدراسات السابقة</w:t>
      </w:r>
    </w:p>
    <w:p w14:paraId="04F564B5"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استفادت الدراسة الحالية من الدراسات السابقة في عدة جوانب مهمة، حيث تتمثل أهم أوجه الاستفادة فيما يلي</w:t>
      </w:r>
      <w:r w:rsidRPr="00FB5EDA">
        <w:rPr>
          <w:rFonts w:ascii="Simplified Arabic" w:hAnsi="Simplified Arabic" w:cs="Simplified Arabic"/>
          <w:sz w:val="28"/>
          <w:szCs w:val="28"/>
        </w:rPr>
        <w:t>:</w:t>
      </w:r>
    </w:p>
    <w:p w14:paraId="552525E1"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lastRenderedPageBreak/>
        <w:t>ساعدت الدراسات السابقة في بناء الإطار المفاهيمي والنظري للدراسة الحالية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Ahammad et al., 2025; Carapella et al., 2023; Grossmann et al., 2025; Udeh et al., 2025)</w:t>
      </w:r>
      <w:r w:rsidRPr="00FB5EDA">
        <w:rPr>
          <w:rFonts w:ascii="Simplified Arabic" w:hAnsi="Simplified Arabic" w:cs="Simplified Arabic"/>
          <w:sz w:val="28"/>
          <w:szCs w:val="28"/>
          <w:rtl/>
        </w:rPr>
        <w:t>، حيث استفادت الدراسة الحالية من التعريفات والمفاهيم والأطر النظرية التي طورتها تلك الدراسات حول تقنية الترميز والأمن السيبراني وكفاءة العمليات المالية، مما وفر أساساً علمياً قوياً لبناء فهم شامل ومتكامل للموضوع محل الدراسة</w:t>
      </w:r>
      <w:r w:rsidRPr="00FB5EDA">
        <w:rPr>
          <w:rFonts w:ascii="Simplified Arabic" w:hAnsi="Simplified Arabic" w:cs="Simplified Arabic"/>
          <w:sz w:val="28"/>
          <w:szCs w:val="28"/>
        </w:rPr>
        <w:t>.</w:t>
      </w:r>
    </w:p>
    <w:p w14:paraId="0D2B1670"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تحديد المتغيرات الرئيسية والعلاقات المفترضة بينها</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sidRPr="00FB5EDA">
        <w:rPr>
          <w:rFonts w:ascii="Simplified Arabic" w:hAnsi="Simplified Arabic" w:cs="Simplified Arabic"/>
          <w:sz w:val="28"/>
          <w:szCs w:val="28"/>
          <w:rtl/>
        </w:rPr>
        <w:t>، حيث استفادت الدراسة الحالية من النتائج التي توصلت إليها تلك الدراسات حول تأثير تقنية الترميز على متغيرات مثل تكاليف المعاملات وسرعة التنفيذ وحوادث الأمن السيبراني والأداء المالي، مما ساعد في صياغة فرضيات الدراسة الحالية بشكل مدروس ومبني على أدلة سابقة</w:t>
      </w:r>
      <w:r w:rsidRPr="00FB5EDA">
        <w:rPr>
          <w:rFonts w:ascii="Simplified Arabic" w:hAnsi="Simplified Arabic" w:cs="Simplified Arabic"/>
          <w:sz w:val="28"/>
          <w:szCs w:val="28"/>
        </w:rPr>
        <w:t>.</w:t>
      </w:r>
    </w:p>
    <w:p w14:paraId="4908772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اختيار المنهجية المناسبة وتصميم أدوات جمع البيانات</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w:t>
      </w:r>
      <w:r w:rsidRPr="00FB5EDA">
        <w:rPr>
          <w:rFonts w:ascii="Simplified Arabic" w:hAnsi="Simplified Arabic" w:cs="Simplified Arabic"/>
          <w:sz w:val="28"/>
          <w:szCs w:val="28"/>
          <w:rtl/>
        </w:rPr>
        <w:t>، حيث استفادت الدراسة الحالية من المنهجيات المتنوعة التي استخدمتها تلك الدراسات من حيث الأساليب الكمية والنوعية والمختلطة، ومن تصميم الاستبانات والمقابلات وطرق التحليل الإحصائي، مما ساعد في تطوير منهجية شاملة ومناسبة للسياق السعودي</w:t>
      </w:r>
      <w:r w:rsidRPr="00FB5EDA">
        <w:rPr>
          <w:rFonts w:ascii="Simplified Arabic" w:hAnsi="Simplified Arabic" w:cs="Simplified Arabic"/>
          <w:sz w:val="28"/>
          <w:szCs w:val="28"/>
        </w:rPr>
        <w:t>.</w:t>
      </w:r>
    </w:p>
    <w:p w14:paraId="64D0741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تقدير حجم التأثيرات المتوقعة والمؤشرات الكمية المرجعية</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Grossmann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حيث وفرت تلك الدراسات أرقاماً ونسباً محددة حول التحسينات المتوقعة في التكاليف والسرعة والأمن، مثل انخفاض تكاليف المعاملات بنسبة 42-52% وانخفاض أوقات المعالجة بنسبة 78% وانخفاض حوادث الأمن السيبراني بنسبة 56%، وهذه المؤشرات توفر معياراً للمقارنة ولتقييم النتائج في السياق السعودي</w:t>
      </w:r>
      <w:r w:rsidRPr="00FB5EDA">
        <w:rPr>
          <w:rFonts w:ascii="Simplified Arabic" w:hAnsi="Simplified Arabic" w:cs="Simplified Arabic"/>
          <w:sz w:val="28"/>
          <w:szCs w:val="28"/>
        </w:rPr>
        <w:t>.</w:t>
      </w:r>
    </w:p>
    <w:p w14:paraId="2C02EE3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فهم التحديات والعوائق المحتملة لتبني تقنية الترميز</w:t>
      </w:r>
      <w:r w:rsidRPr="00FB5EDA">
        <w:rPr>
          <w:rFonts w:ascii="Simplified Arabic" w:hAnsi="Simplified Arabic" w:cs="Simplified Arabic"/>
          <w:sz w:val="28"/>
          <w:szCs w:val="28"/>
        </w:rPr>
        <w:t xml:space="preserve"> (Carapella et al., 2023;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Multiple Authors, 2025)</w:t>
      </w:r>
      <w:r w:rsidRPr="00FB5EDA">
        <w:rPr>
          <w:rFonts w:ascii="Simplified Arabic" w:hAnsi="Simplified Arabic" w:cs="Simplified Arabic"/>
          <w:sz w:val="28"/>
          <w:szCs w:val="28"/>
          <w:rtl/>
        </w:rPr>
        <w:t xml:space="preserve">، حيث حددت تلك الدراسات تحديات مثل التعقيدات التقنية والفجوات التنظيمية ومقاومة </w:t>
      </w:r>
      <w:r w:rsidRPr="00FB5EDA">
        <w:rPr>
          <w:rFonts w:ascii="Simplified Arabic" w:hAnsi="Simplified Arabic" w:cs="Simplified Arabic"/>
          <w:sz w:val="28"/>
          <w:szCs w:val="28"/>
          <w:rtl/>
        </w:rPr>
        <w:lastRenderedPageBreak/>
        <w:t>المؤسسات التقليدية وقيود القابلية للتوسع ومخاوف الأمن السيبراني الجديدة، مما ساعد الدراسة الحالية في تضمين هذه الجوانب في تصميم البحث وفي صياغة الأسئلة والتوصيات بشكل أكثر واقعية</w:t>
      </w:r>
      <w:r w:rsidRPr="00FB5EDA">
        <w:rPr>
          <w:rFonts w:ascii="Simplified Arabic" w:hAnsi="Simplified Arabic" w:cs="Simplified Arabic"/>
          <w:sz w:val="28"/>
          <w:szCs w:val="28"/>
        </w:rPr>
        <w:t>.</w:t>
      </w:r>
    </w:p>
    <w:p w14:paraId="0779E650"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إثراء الإطار النظري من خلال النظريات والنماذج المستخدمة</w:t>
      </w:r>
      <w:r w:rsidRPr="00FB5EDA">
        <w:rPr>
          <w:rFonts w:ascii="Simplified Arabic" w:hAnsi="Simplified Arabic" w:cs="Simplified Arabic"/>
          <w:sz w:val="28"/>
          <w:szCs w:val="28"/>
        </w:rPr>
        <w:t xml:space="preserve"> (Grossmann et al., 2025; Udeh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w:t>
      </w:r>
      <w:r w:rsidRPr="00FB5EDA">
        <w:rPr>
          <w:rFonts w:ascii="Simplified Arabic" w:hAnsi="Simplified Arabic" w:cs="Simplified Arabic"/>
          <w:sz w:val="28"/>
          <w:szCs w:val="28"/>
          <w:rtl/>
        </w:rPr>
        <w:t>، حيث استفادت الدراسة الحالية من النظريات مثل نظرية تكاليف المعاملات ونظرية أمن المعلومات ونموذج قبول التقنية ونظرية الانتشار والابتكار التي طبقتها تلك الدراسات، مما وفر عدسات نظرية متعددة الأبعاد لتفسير الظواهر المدروسة</w:t>
      </w:r>
      <w:r w:rsidRPr="00FB5EDA">
        <w:rPr>
          <w:rFonts w:ascii="Simplified Arabic" w:hAnsi="Simplified Arabic" w:cs="Simplified Arabic"/>
          <w:sz w:val="28"/>
          <w:szCs w:val="28"/>
        </w:rPr>
        <w:t>.</w:t>
      </w:r>
    </w:p>
    <w:p w14:paraId="6A854A3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تحديد الفجوة البحثية بوضوح ودقة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حيث أظهرت تلك الدراسات بوضوح النقص في الأبحاث التي تطبق على السياق السعودي أو التي تربط تقنية الترميز برؤية 2030 أو التي تقارن بين أنواع مختلفة من المؤسسات المالية في نفس السياق، مما أكد على أهمية إجراء الدراسة الحالية لسد هذه الفجوة البحثية الواضحة</w:t>
      </w:r>
      <w:r w:rsidRPr="00FB5EDA">
        <w:rPr>
          <w:rFonts w:ascii="Simplified Arabic" w:hAnsi="Simplified Arabic" w:cs="Simplified Arabic"/>
          <w:sz w:val="28"/>
          <w:szCs w:val="28"/>
        </w:rPr>
        <w:t>.</w:t>
      </w:r>
    </w:p>
    <w:p w14:paraId="167D71A2"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2.4.4 </w:t>
      </w:r>
      <w:r w:rsidRPr="00FB5EDA">
        <w:rPr>
          <w:rFonts w:ascii="Simplified Arabic" w:hAnsi="Simplified Arabic" w:cs="Simplified Arabic"/>
          <w:b/>
          <w:bCs/>
          <w:sz w:val="28"/>
          <w:szCs w:val="28"/>
          <w:rtl/>
        </w:rPr>
        <w:t>ما يميز الدراسة الحالية عن الدراسات السابقة</w:t>
      </w:r>
    </w:p>
    <w:p w14:paraId="657D102B"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 xml:space="preserve">تتميز الدراسة الحالية عن الدراسات السابقة بمجموعة من الخصائص الفريدة التي تجعلها إضافة نوعية ومهمة للأدبيات المتاحة حول تقنية الترميز وتأثيرها على الأمن السيبراني وكفاءة العمليات المالية، حيث تمثل هذه الدراسة أول دراسة شاملة تطبق على المؤسسات المالية السعودية بأنواعها المختلفة وتفحص بشكل متزامن تأثير تقنية الترميز على كل من الأمن السيبراني وكفاءة العمليات المالية في سياق رؤية السعودية 2030 والتحول الرقمي الوطني. وتقدم الدراسة إسهاماً معرفياً فريداً من خلال المقارنة المباشرة بين ثلاثة أنواع من المؤسسات المالية وهي البنوك التقليدية والبنوك الرقمية وشركات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tl/>
        </w:rPr>
        <w:t xml:space="preserve"> في نفس السياق التنظيمي والثقافي والاقتصادي، مما يمكن من فهم أعمق لكيفية اختلاف تأثير التقنية باختلاف حجم ونوع وطبيعة المؤسسة. كما تتميز الدراسة بتطبيقها المباشر للأطر التنظيمية السعودية المحددة بما في ذلك متطلبات مؤسسة النقد العربي السعودي والهيئة الوطنية للأمن السيبراني، مما يجعل نتائجها ذات قيمة عملية مباشرة لصناع القرار في </w:t>
      </w:r>
      <w:r w:rsidRPr="00FB5EDA">
        <w:rPr>
          <w:rFonts w:ascii="Simplified Arabic" w:hAnsi="Simplified Arabic" w:cs="Simplified Arabic"/>
          <w:sz w:val="28"/>
          <w:szCs w:val="28"/>
          <w:rtl/>
        </w:rPr>
        <w:lastRenderedPageBreak/>
        <w:t>القطاع المالي السعودي. وتضيف الدراسة بعداً استراتيجياً فريداً من خلال ربطها الصريح بأهداف رؤية السعودية 2030، حيث لا تقتصر على قياس التأثيرات التقنية والتشغيلية فحسب بل تفحص أيضاً كيف تساهم تقنية الترميز في تحقيق الأهداف الوطنية للتحول الرقمي والشمول المالي والتنافسية الاقتصادية. وتوفر الدراسة قيمة علمية وعملية كبيرة للقطاع المالي السعودي من خلال توليد معرفة جديدة حول واقع تطبيق تقنية الترميز في المملكة والتحديات والفرص المرتبطة بها والتوصيات المبنية على أدلة تجريبية لتعزيز فعالية التبني، مما يجعلها مرجعاً مهماً للباحثين والممارسين وصناع السياسات في المملكة والمنطقة</w:t>
      </w:r>
      <w:r w:rsidRPr="00FB5EDA">
        <w:rPr>
          <w:rFonts w:ascii="Simplified Arabic" w:hAnsi="Simplified Arabic" w:cs="Simplified Arabic"/>
          <w:sz w:val="28"/>
          <w:szCs w:val="28"/>
        </w:rPr>
        <w:t>.</w:t>
      </w:r>
    </w:p>
    <w:p w14:paraId="438920ED" w14:textId="77777777" w:rsidR="00F00638" w:rsidRPr="00FB5EDA" w:rsidRDefault="00F00638" w:rsidP="00F00638">
      <w:pPr>
        <w:bidi/>
        <w:spacing w:line="278" w:lineRule="auto"/>
        <w:jc w:val="both"/>
        <w:rPr>
          <w:rFonts w:ascii="Simplified Arabic" w:hAnsi="Simplified Arabic" w:cs="Simplified Arabic"/>
          <w:sz w:val="28"/>
          <w:szCs w:val="28"/>
        </w:rPr>
      </w:pPr>
    </w:p>
    <w:p w14:paraId="7EC0F82A" w14:textId="77777777" w:rsidR="00F00638" w:rsidRPr="00FB5EDA" w:rsidRDefault="00F00638" w:rsidP="00EF4C31">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34" w:name="_Toc224563962"/>
      <w:bookmarkStart w:id="135" w:name="_Toc224564019"/>
      <w:r w:rsidRPr="00FB5EDA">
        <w:rPr>
          <w:rFonts w:ascii="Simplified Arabic" w:hAnsi="Simplified Arabic" w:cs="Simplified Arabic"/>
          <w:b/>
          <w:bCs/>
          <w:color w:val="auto"/>
          <w:sz w:val="28"/>
          <w:szCs w:val="28"/>
          <w:u w:val="single"/>
        </w:rPr>
        <w:t xml:space="preserve">2.5 </w:t>
      </w:r>
      <w:r w:rsidRPr="00FB5EDA">
        <w:rPr>
          <w:rFonts w:ascii="Simplified Arabic" w:hAnsi="Simplified Arabic" w:cs="Simplified Arabic"/>
          <w:b/>
          <w:bCs/>
          <w:color w:val="auto"/>
          <w:sz w:val="28"/>
          <w:szCs w:val="28"/>
          <w:u w:val="single"/>
          <w:rtl/>
        </w:rPr>
        <w:t>خلاصة الفصل</w:t>
      </w:r>
      <w:bookmarkEnd w:id="134"/>
      <w:bookmarkEnd w:id="135"/>
    </w:p>
    <w:p w14:paraId="4BFD5BD1"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تناول هذا الفصل الأسس النظرية والدراسات السابقة المرتبطة بموضوع تأثير تقنية الترميز على الأمن السيبراني وكفاءة العمليات المالية في المؤسسات السعودية في ضوء رؤية 2030، حيث قدم القسم الأول إطاراً نظرياً شاملاً غطى مفهوم تقنية الترميز وأهميتها وأنواعها وخصائصها، ومفهوم الأمن السيبراني وأهميته وأبعاده والتهديدات الرئيسية، ومفهوم كفاءة العمليات المالية وأبعادها ودور التحول الرقمي في تحسينها، ورؤية السعودية 2030 وأهدافها المرتبطة بالقطاع المالي الرقمي والإنجازات المحققة ودور تقنية الترميز في تحقيق هذه الأهداف، والأسس النظرية المفسرة للعلاقات بين المتغيرات. وقدم القسم الثاني استعراضاً شاملاً لثلاث عشرة دراسة حديثة من السياقات الجغرافية المتنوعة تم تصنيفها إلى أربع مجموعات رئيسية تغطي الأمن السيبراني وكفاءة المعاملات والتحول الرقمي الإقليمي وتطبيقات الترميز المتنوعة، وخلص التحليل إلى أن جميع الدراسات السابقة أكدت على التأثيرات الإيجابية لتقنية الترميز على الأمن والكفاءة لكنها أظهرت فجوة واضحة في غياب الدراسات التي تطبق على السياق السعودي تحديداً</w:t>
      </w:r>
      <w:r w:rsidRPr="00FB5EDA">
        <w:rPr>
          <w:rFonts w:ascii="Simplified Arabic" w:hAnsi="Simplified Arabic" w:cs="Simplified Arabic"/>
          <w:sz w:val="28"/>
          <w:szCs w:val="28"/>
        </w:rPr>
        <w:t>.</w:t>
      </w:r>
    </w:p>
    <w:p w14:paraId="51B844CE"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 xml:space="preserve">واستفادت الدراسة الحالية من الدراسات السابقة في بناء الإطار المفاهيمي وتحديد المتغيرات وتصميم المنهجية وتقدير التأثيرات المتوقعة وفهم التحديات وإثراء الإطار النظري وتحديد الفجوة البحثية، مما ساعد في تطوير تصميم بحثي شامل ومتين للدراسة الحالية. وتتميز الدراسة الحالية عن الدراسات السابقة بكونها أول دراسة شاملة تطبق على المؤسسات المالية السعودية بأنواعها الثلاثة وتفحص بشكل متزامن تأثير تقنية الترميز على كل من الأمن السيبراني وكفاءة العمليات </w:t>
      </w:r>
      <w:r w:rsidRPr="00FB5EDA">
        <w:rPr>
          <w:rFonts w:ascii="Simplified Arabic" w:hAnsi="Simplified Arabic" w:cs="Simplified Arabic"/>
          <w:sz w:val="28"/>
          <w:szCs w:val="28"/>
          <w:rtl/>
        </w:rPr>
        <w:lastRenderedPageBreak/>
        <w:t>المالية في سياق رؤية السعودية 2030، مع تطبيق الأطر التنظيمية السعودية المحددة واستخدام منهجية مختلطة مصممة خصيصاً للسياق المحلي، مما يوفر قيمة علمية وعملية كبيرة للقطاع المالي السعودي ويسد فجوة بحثية واضحة في الأدبيات المتاحة</w:t>
      </w:r>
      <w:r w:rsidRPr="00FB5EDA">
        <w:rPr>
          <w:rFonts w:ascii="Simplified Arabic" w:hAnsi="Simplified Arabic" w:cs="Simplified Arabic"/>
          <w:sz w:val="28"/>
          <w:szCs w:val="28"/>
        </w:rPr>
        <w:t>.</w:t>
      </w:r>
    </w:p>
    <w:p w14:paraId="426131F6" w14:textId="77777777" w:rsidR="00BC00FF" w:rsidRPr="00B21BA2" w:rsidRDefault="00BC00FF" w:rsidP="00BC00FF">
      <w:pPr>
        <w:bidi/>
        <w:spacing w:after="200" w:line="276" w:lineRule="auto"/>
        <w:rPr>
          <w:rFonts w:ascii="Simplified Arabic" w:eastAsiaTheme="majorEastAsia" w:hAnsi="Simplified Arabic" w:cs="Simplified Arabic"/>
          <w:b/>
          <w:bCs/>
          <w:sz w:val="28"/>
          <w:szCs w:val="28"/>
          <w:u w:val="single"/>
          <w:rtl/>
        </w:rPr>
      </w:pPr>
    </w:p>
    <w:p w14:paraId="16AD0788" w14:textId="3330CFBB" w:rsidR="00BC00FF" w:rsidRPr="00B21BA2" w:rsidRDefault="00BC00FF" w:rsidP="00BC00FF">
      <w:pPr>
        <w:bidi/>
        <w:spacing w:after="200" w:line="276" w:lineRule="auto"/>
        <w:rPr>
          <w:rFonts w:ascii="Simplified Arabic" w:eastAsiaTheme="majorEastAsia" w:hAnsi="Simplified Arabic" w:cs="Simplified Arabic"/>
          <w:b/>
          <w:bCs/>
          <w:sz w:val="28"/>
          <w:szCs w:val="28"/>
          <w:u w:val="single"/>
          <w:rtl/>
        </w:rPr>
        <w:sectPr w:rsidR="00BC00FF" w:rsidRPr="00B21BA2"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1B1E64C" w14:textId="77777777" w:rsidR="00B21BA2" w:rsidRDefault="00B21BA2" w:rsidP="00B21BA2">
      <w:pPr>
        <w:bidi/>
        <w:jc w:val="center"/>
        <w:rPr>
          <w:b/>
          <w:bCs/>
          <w:sz w:val="96"/>
          <w:szCs w:val="96"/>
          <w:rtl/>
          <w:lang w:bidi="ar-EG"/>
        </w:rPr>
      </w:pPr>
    </w:p>
    <w:p w14:paraId="70DCB3B2" w14:textId="77777777" w:rsidR="00B21BA2" w:rsidRDefault="00B21BA2" w:rsidP="00B21BA2">
      <w:pPr>
        <w:bidi/>
        <w:jc w:val="center"/>
        <w:rPr>
          <w:b/>
          <w:bCs/>
          <w:sz w:val="96"/>
          <w:szCs w:val="96"/>
          <w:rtl/>
          <w:lang w:bidi="ar-EG"/>
        </w:rPr>
      </w:pPr>
    </w:p>
    <w:p w14:paraId="00AA934B" w14:textId="77777777" w:rsidR="00B35152" w:rsidRPr="00CB7DC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مقدمة</w:t>
      </w:r>
    </w:p>
    <w:p w14:paraId="2AE15B05"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يتناول هذا الفصل منهجية الدراسة التي اعتُمدت لتحقيق أهدافها والإجابة عن تساؤلاتها، ويشمل عرضاً تفصيلياً لمنهج البحث المتبع، ومجتمع الدراسة وعينتها، وأدوات جمع البيانات، فضلاً عن الأساليب الإحصائية التي ستُطبَّق في تحليل البيانات واختبار الفرضيات. تسعى هذه الدراسة إلى استيعاب أثر تقنية الترميز (</w:t>
      </w:r>
      <w:r>
        <w:rPr>
          <w:rFonts w:ascii="Simplified Arabic" w:hAnsi="Simplified Arabic" w:cs="Simplified Arabic"/>
          <w:sz w:val="28"/>
          <w:szCs w:val="28"/>
        </w:rPr>
        <w:t>Tokenization</w:t>
      </w:r>
      <w:r>
        <w:rPr>
          <w:rFonts w:ascii="Simplified Arabic" w:hAnsi="Simplified Arabic" w:cs="Simplified Arabic"/>
          <w:sz w:val="28"/>
          <w:szCs w:val="28"/>
          <w:rtl/>
        </w:rPr>
        <w:t>) على الأمن السيبراني وكفاءة العمليات المالية في المؤسسات المالية السعودية، ضمن إطار أهداف رؤية المملكة العربية السعودية 2030 للتحول الرقمي في القطاع المالي.</w:t>
      </w:r>
    </w:p>
    <w:p w14:paraId="226DA031"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62A740D1" w14:textId="77777777" w:rsidR="00B35152" w:rsidRPr="00CB7DC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3.2</w:t>
      </w:r>
      <w:r>
        <w:rPr>
          <w:rFonts w:ascii="Simplified Arabic" w:hAnsi="Simplified Arabic" w:cs="Simplified Arabic"/>
          <w:b/>
          <w:bCs/>
          <w:color w:val="auto"/>
          <w:sz w:val="28"/>
          <w:szCs w:val="28"/>
          <w:u w:val="single"/>
          <w:rtl/>
        </w:rPr>
        <w:t xml:space="preserve"> أهداف الدراسة وفرضياتها</w:t>
      </w:r>
    </w:p>
    <w:p w14:paraId="456E7F49" w14:textId="77777777" w:rsidR="00B35152" w:rsidRPr="00594B5C"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3.2.1</w:t>
      </w:r>
      <w:r>
        <w:rPr>
          <w:rFonts w:ascii="Simplified Arabic" w:hAnsi="Simplified Arabic" w:cs="Simplified Arabic"/>
          <w:b/>
          <w:bCs/>
          <w:sz w:val="28"/>
          <w:szCs w:val="28"/>
          <w:rtl/>
        </w:rPr>
        <w:t xml:space="preserve"> أهداف الدراسة</w:t>
      </w:r>
    </w:p>
    <w:p w14:paraId="3B15DE26" w14:textId="77777777" w:rsidR="00B35152" w:rsidRPr="00E459B7"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تسعى هذه الدراسة إلى تحقيق الأهداف الآتية:</w:t>
      </w:r>
    </w:p>
    <w:p w14:paraId="50F82E59" w14:textId="77777777" w:rsidR="00B35152" w:rsidRPr="005B77A6" w:rsidRDefault="00B35152" w:rsidP="00B35152">
      <w:pPr>
        <w:pStyle w:val="ListParagraph"/>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قياس أثر تطبيق تقنية الترميز على مستوى الأمن السيبراني في المؤسسات المالية السعودية</w:t>
      </w:r>
      <w:r>
        <w:rPr>
          <w:rFonts w:ascii="Simplified Arabic" w:hAnsi="Simplified Arabic" w:cs="Simplified Arabic"/>
          <w:sz w:val="28"/>
          <w:szCs w:val="28"/>
        </w:rPr>
        <w:t>.</w:t>
      </w:r>
    </w:p>
    <w:p w14:paraId="5C16DE4D" w14:textId="77777777" w:rsidR="00B35152" w:rsidRPr="005B77A6" w:rsidRDefault="00B35152" w:rsidP="00B35152">
      <w:pPr>
        <w:pStyle w:val="ListParagraph"/>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تقييم أثر تطبيق تقنية الترميز على كفاءة العمليات المالية في المؤسسات المالية السعودية</w:t>
      </w:r>
      <w:r>
        <w:rPr>
          <w:rFonts w:ascii="Simplified Arabic" w:hAnsi="Simplified Arabic" w:cs="Simplified Arabic"/>
          <w:sz w:val="28"/>
          <w:szCs w:val="28"/>
        </w:rPr>
        <w:t>.</w:t>
      </w:r>
    </w:p>
    <w:p w14:paraId="745B253C" w14:textId="77777777" w:rsidR="00B35152" w:rsidRPr="005B77A6" w:rsidRDefault="00B35152" w:rsidP="00B35152">
      <w:pPr>
        <w:pStyle w:val="ListParagraph"/>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تحليل الفروق في أثر تقنية الترميز على الأمن السيبراني بين أنواع المؤسسات المالية السعودية (البنوك التقليدية، البنوك الرقمية، شركات التقنية المالية)</w:t>
      </w:r>
      <w:r>
        <w:rPr>
          <w:rFonts w:ascii="Simplified Arabic" w:hAnsi="Simplified Arabic" w:cs="Simplified Arabic"/>
          <w:sz w:val="28"/>
          <w:szCs w:val="28"/>
        </w:rPr>
        <w:t>.</w:t>
      </w:r>
    </w:p>
    <w:p w14:paraId="67B052E6" w14:textId="77777777" w:rsidR="00B35152" w:rsidRDefault="00B35152" w:rsidP="00B35152">
      <w:pPr>
        <w:pStyle w:val="ListParagraph"/>
        <w:numPr>
          <w:ilvl w:val="2"/>
          <w:numId w:val="3"/>
        </w:numPr>
        <w:tabs>
          <w:tab w:val="clear" w:pos="2160"/>
        </w:tabs>
        <w:bidi/>
        <w:spacing w:after="0" w:line="240" w:lineRule="auto"/>
        <w:ind w:left="386"/>
        <w:jc w:val="both"/>
        <w:rPr>
          <w:rFonts w:ascii="Simplified Arabic" w:hAnsi="Simplified Arabic" w:cs="Simplified Arabic"/>
          <w:sz w:val="28"/>
          <w:szCs w:val="28"/>
        </w:rPr>
      </w:pPr>
      <w:r>
        <w:rPr>
          <w:rFonts w:ascii="Simplified Arabic" w:hAnsi="Simplified Arabic" w:cs="Simplified Arabic"/>
          <w:sz w:val="28"/>
          <w:szCs w:val="28"/>
          <w:rtl/>
        </w:rPr>
        <w:t>دراسة العلاقة بين مستوى تطبيق تقنية الترميز ومستوى الامتثال للمتطلبات التنظيمية السعودية</w:t>
      </w:r>
      <w:r>
        <w:rPr>
          <w:rFonts w:ascii="Simplified Arabic" w:hAnsi="Simplified Arabic" w:cs="Simplified Arabic"/>
          <w:sz w:val="28"/>
          <w:szCs w:val="28"/>
        </w:rPr>
        <w:t>.</w:t>
      </w:r>
    </w:p>
    <w:p w14:paraId="7269352B" w14:textId="77777777" w:rsidR="00B35152" w:rsidRPr="005B77A6" w:rsidRDefault="00B35152" w:rsidP="00B35152">
      <w:pPr>
        <w:pStyle w:val="ListParagraph"/>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استكشاف التحديات والعوامل التي تؤثر على تطبيق تقنية الترميز في المؤسسات المالية السعودية.</w:t>
      </w:r>
    </w:p>
    <w:p w14:paraId="492996E0" w14:textId="77777777" w:rsidR="00B35152" w:rsidRPr="005B77A6" w:rsidRDefault="00B35152" w:rsidP="00B35152">
      <w:pPr>
        <w:bidi/>
        <w:spacing w:after="0" w:line="240" w:lineRule="auto"/>
        <w:jc w:val="both"/>
        <w:rPr>
          <w:rFonts w:ascii="Simplified Arabic" w:hAnsi="Simplified Arabic" w:cs="Simplified Arabic"/>
          <w:sz w:val="28"/>
          <w:szCs w:val="28"/>
        </w:rPr>
      </w:pPr>
    </w:p>
    <w:p w14:paraId="5B8DEAB6" w14:textId="77777777" w:rsidR="00B35152" w:rsidRPr="00D3074D"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3.2.2</w:t>
      </w:r>
      <w:r>
        <w:rPr>
          <w:rFonts w:ascii="Simplified Arabic" w:hAnsi="Simplified Arabic" w:cs="Simplified Arabic"/>
          <w:b/>
          <w:bCs/>
          <w:sz w:val="28"/>
          <w:szCs w:val="28"/>
          <w:rtl/>
        </w:rPr>
        <w:t xml:space="preserve"> فرضيات الدراسة</w:t>
      </w:r>
    </w:p>
    <w:p w14:paraId="6E723210"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بناءً على مراجعة الأدبيات والإطار النظري للدراسة، صِيغت الفرضيات الآتية:</w:t>
      </w:r>
    </w:p>
    <w:p w14:paraId="2DF789DF" w14:textId="77777777" w:rsidR="00B35152" w:rsidRDefault="00B35152" w:rsidP="00B35152">
      <w:pPr>
        <w:bidi/>
        <w:spacing w:after="0" w:line="240" w:lineRule="auto"/>
        <w:jc w:val="both"/>
        <w:rPr>
          <w:rFonts w:ascii="Simplified Arabic" w:hAnsi="Simplified Arabic" w:cs="Simplified Arabic"/>
          <w:sz w:val="28"/>
          <w:szCs w:val="28"/>
          <w:rtl/>
        </w:rPr>
      </w:pPr>
    </w:p>
    <w:p w14:paraId="0C7105CF"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الفرضية الأولى (</w:t>
      </w:r>
      <w:r>
        <w:rPr>
          <w:rFonts w:ascii="Simplified Arabic" w:hAnsi="Simplified Arabic" w:cs="Simplified Arabic"/>
          <w:sz w:val="28"/>
          <w:szCs w:val="28"/>
        </w:rPr>
        <w:t>H1</w:t>
      </w:r>
      <w:r>
        <w:rPr>
          <w:rFonts w:ascii="Simplified Arabic" w:hAnsi="Simplified Arabic" w:cs="Simplified Arabic"/>
          <w:sz w:val="28"/>
          <w:szCs w:val="28"/>
          <w:rtl/>
        </w:rPr>
        <w:t>): يوجد أثر ذو دلالة إحصائية لتطبيق تقنية الترميز على مستوى الأمن السيبراني في المؤسسات المالية السعودية.</w:t>
      </w:r>
    </w:p>
    <w:p w14:paraId="66F888D9"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الفرضية الثانية (</w:t>
      </w:r>
      <w:r>
        <w:rPr>
          <w:rFonts w:ascii="Simplified Arabic" w:hAnsi="Simplified Arabic" w:cs="Simplified Arabic"/>
          <w:sz w:val="28"/>
          <w:szCs w:val="28"/>
        </w:rPr>
        <w:t>H2</w:t>
      </w:r>
      <w:r>
        <w:rPr>
          <w:rFonts w:ascii="Simplified Arabic" w:hAnsi="Simplified Arabic" w:cs="Simplified Arabic"/>
          <w:sz w:val="28"/>
          <w:szCs w:val="28"/>
          <w:rtl/>
        </w:rPr>
        <w:t>): يوجد أثر ذو دلالة إحصائية لتطبيق تقنية الترميز على كفاءة العمليات المالية في المؤسسات المالية السعودية.</w:t>
      </w:r>
    </w:p>
    <w:p w14:paraId="67A6E4F1"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الفرضية الثالثة (</w:t>
      </w:r>
      <w:r>
        <w:rPr>
          <w:rFonts w:ascii="Simplified Arabic" w:hAnsi="Simplified Arabic" w:cs="Simplified Arabic"/>
          <w:sz w:val="28"/>
          <w:szCs w:val="28"/>
        </w:rPr>
        <w:t>H3</w:t>
      </w:r>
      <w:r>
        <w:rPr>
          <w:rFonts w:ascii="Simplified Arabic" w:hAnsi="Simplified Arabic" w:cs="Simplified Arabic"/>
          <w:sz w:val="28"/>
          <w:szCs w:val="28"/>
          <w:rtl/>
        </w:rPr>
        <w:t>): توجد فروق ذات دلالة إحصائية في أثر تقنية الترميز على الأمن السيبراني تُعزى إلى نوع المؤسسة المالية.</w:t>
      </w:r>
    </w:p>
    <w:p w14:paraId="08A9D1EA"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الفرضية الرابعة (</w:t>
      </w:r>
      <w:r>
        <w:rPr>
          <w:rFonts w:ascii="Simplified Arabic" w:hAnsi="Simplified Arabic" w:cs="Simplified Arabic"/>
          <w:sz w:val="28"/>
          <w:szCs w:val="28"/>
        </w:rPr>
        <w:t>H4</w:t>
      </w:r>
      <w:r>
        <w:rPr>
          <w:rFonts w:ascii="Simplified Arabic" w:hAnsi="Simplified Arabic" w:cs="Simplified Arabic"/>
          <w:sz w:val="28"/>
          <w:szCs w:val="28"/>
          <w:rtl/>
        </w:rPr>
        <w:t>): توجد علاقة ذات دلالة إحصائية بين مستوى تطبيق تقنية الترميز ومستوى الامتثال للمتطلبات التنظيمية السعودية.</w:t>
      </w:r>
    </w:p>
    <w:p w14:paraId="75E6A1BF"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الفرضية الخامسة (</w:t>
      </w:r>
      <w:r>
        <w:rPr>
          <w:rFonts w:ascii="Simplified Arabic" w:hAnsi="Simplified Arabic" w:cs="Simplified Arabic"/>
          <w:sz w:val="28"/>
          <w:szCs w:val="28"/>
        </w:rPr>
        <w:t>H5</w:t>
      </w:r>
      <w:r>
        <w:rPr>
          <w:rFonts w:ascii="Simplified Arabic" w:hAnsi="Simplified Arabic" w:cs="Simplified Arabic"/>
          <w:sz w:val="28"/>
          <w:szCs w:val="28"/>
          <w:rtl/>
        </w:rPr>
        <w:t>): تؤثر تحديات تطبيق تقنية الترميز تأثيراً ذا دلالة إحصائية على مستوى التبني التنظيمي لها في المؤسسات المالية السعودية.</w:t>
      </w:r>
    </w:p>
    <w:p w14:paraId="2BD80EE1" w14:textId="77777777" w:rsidR="00B35152" w:rsidRPr="008A4A6D" w:rsidRDefault="00B35152" w:rsidP="00B35152">
      <w:pPr>
        <w:bidi/>
        <w:spacing w:after="0" w:line="240" w:lineRule="auto"/>
        <w:jc w:val="both"/>
        <w:rPr>
          <w:rFonts w:ascii="Simplified Arabic" w:hAnsi="Simplified Arabic" w:cs="Simplified Arabic"/>
          <w:sz w:val="28"/>
          <w:szCs w:val="28"/>
        </w:rPr>
      </w:pPr>
    </w:p>
    <w:p w14:paraId="1ABF9632" w14:textId="77777777" w:rsidR="00B35152" w:rsidRPr="00CB7DC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3.3</w:t>
      </w:r>
      <w:r>
        <w:rPr>
          <w:rFonts w:ascii="Simplified Arabic" w:hAnsi="Simplified Arabic" w:cs="Simplified Arabic"/>
          <w:b/>
          <w:bCs/>
          <w:color w:val="auto"/>
          <w:sz w:val="28"/>
          <w:szCs w:val="28"/>
          <w:u w:val="single"/>
          <w:rtl/>
        </w:rPr>
        <w:t xml:space="preserve"> منهج الدراسة</w:t>
      </w:r>
    </w:p>
    <w:p w14:paraId="42F1C871" w14:textId="77777777" w:rsidR="00B35152" w:rsidRPr="00162E37"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اعتمدت هذه الدراسة على المنهج الكمي الوصفي التحليلي، إذ يُتيح وصف ظاهرة تطبيق تقنية الترميز في المؤسسات المالية السعودية وتحليلها كمياً، واختبار فرضياتها بأساليب إحصائية دقيقة.</w:t>
      </w:r>
    </w:p>
    <w:p w14:paraId="50A36D71"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استُخدم المنهج الوصفي التحليلي لوصف ظاهرة تطبيق تقنية الترميز في المؤسسات المالية السعودية وتشخيصها، في حين وُظِّف المنهج التحليلي لاختبار الفرضيات وقياس العلاقات بين المتغيرات باستخدام الأساليب الإحصائية المناسبة.</w:t>
      </w:r>
    </w:p>
    <w:p w14:paraId="28AA7273" w14:textId="77777777" w:rsidR="00B35152" w:rsidRPr="005D4B11" w:rsidRDefault="00B35152" w:rsidP="00B35152">
      <w:pPr>
        <w:bidi/>
        <w:spacing w:after="0" w:line="240" w:lineRule="auto"/>
        <w:jc w:val="both"/>
        <w:rPr>
          <w:rFonts w:ascii="Simplified Arabic" w:hAnsi="Simplified Arabic" w:cs="Simplified Arabic"/>
          <w:sz w:val="28"/>
          <w:szCs w:val="28"/>
        </w:rPr>
      </w:pPr>
    </w:p>
    <w:p w14:paraId="2DF57CEC" w14:textId="77777777" w:rsidR="00B35152" w:rsidRPr="00D3074D"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3.3.1</w:t>
      </w:r>
      <w:r>
        <w:rPr>
          <w:rFonts w:ascii="Simplified Arabic" w:hAnsi="Simplified Arabic" w:cs="Simplified Arabic"/>
          <w:b/>
          <w:bCs/>
          <w:sz w:val="28"/>
          <w:szCs w:val="28"/>
          <w:rtl/>
        </w:rPr>
        <w:t xml:space="preserve"> مصادر البيانات</w:t>
      </w:r>
    </w:p>
    <w:p w14:paraId="3DC626BA" w14:textId="77777777" w:rsidR="00B35152" w:rsidRPr="000F0964"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أولاً: المصادر الثانوية</w:t>
      </w:r>
    </w:p>
    <w:p w14:paraId="75C881DD"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تمثلت في الإطار النظري للدراسة، حيث اعتمد الباحث على مراجعة وتحليل المراجع العلمية العربية والأجنبية، والدوريات المحكّمة، والتقارير الصادرة عن الجهات التنظيمية كالبنك المركزي السعودي (ساما) والهيئة الوطنية للأمن السيبراني، والمعايير الدولية ذات الصلة كـ </w:t>
      </w:r>
      <w:r>
        <w:rPr>
          <w:rFonts w:ascii="Simplified Arabic" w:hAnsi="Simplified Arabic" w:cs="Simplified Arabic"/>
          <w:sz w:val="28"/>
          <w:szCs w:val="28"/>
        </w:rPr>
        <w:t>PCI DSS</w:t>
      </w:r>
      <w:r>
        <w:rPr>
          <w:rFonts w:ascii="Simplified Arabic" w:hAnsi="Simplified Arabic" w:cs="Simplified Arabic"/>
          <w:sz w:val="28"/>
          <w:szCs w:val="28"/>
          <w:rtl/>
        </w:rPr>
        <w:t xml:space="preserve"> و</w:t>
      </w:r>
      <w:r>
        <w:rPr>
          <w:rFonts w:ascii="Simplified Arabic" w:hAnsi="Simplified Arabic" w:cs="Simplified Arabic"/>
          <w:sz w:val="28"/>
          <w:szCs w:val="28"/>
        </w:rPr>
        <w:t>NIST</w:t>
      </w:r>
      <w:r>
        <w:rPr>
          <w:rFonts w:ascii="Simplified Arabic" w:hAnsi="Simplified Arabic" w:cs="Simplified Arabic"/>
          <w:sz w:val="28"/>
          <w:szCs w:val="28"/>
          <w:rtl/>
        </w:rPr>
        <w:t xml:space="preserve"> و</w:t>
      </w:r>
      <w:r>
        <w:rPr>
          <w:rFonts w:ascii="Simplified Arabic" w:hAnsi="Simplified Arabic" w:cs="Simplified Arabic"/>
          <w:sz w:val="28"/>
          <w:szCs w:val="28"/>
        </w:rPr>
        <w:t>ISO</w:t>
      </w:r>
      <w:r>
        <w:rPr>
          <w:rFonts w:ascii="Simplified Arabic" w:hAnsi="Simplified Arabic" w:cs="Simplified Arabic"/>
          <w:sz w:val="28"/>
          <w:szCs w:val="28"/>
          <w:rtl/>
        </w:rPr>
        <w:t>.</w:t>
      </w:r>
    </w:p>
    <w:p w14:paraId="282AE263" w14:textId="77777777" w:rsidR="00B35152" w:rsidRPr="000F0964"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أسهمت هذه المصادر في بناء الأساس النظري للدراسة وصياغة فرضياتها.</w:t>
      </w:r>
    </w:p>
    <w:p w14:paraId="103BC769" w14:textId="77777777" w:rsidR="00B35152" w:rsidRDefault="00B35152" w:rsidP="00B35152">
      <w:pPr>
        <w:bidi/>
        <w:spacing w:after="0" w:line="240" w:lineRule="auto"/>
        <w:jc w:val="both"/>
        <w:rPr>
          <w:rFonts w:ascii="Simplified Arabic" w:hAnsi="Simplified Arabic" w:cs="Simplified Arabic"/>
          <w:sz w:val="28"/>
          <w:szCs w:val="28"/>
          <w:rtl/>
        </w:rPr>
      </w:pPr>
    </w:p>
    <w:p w14:paraId="605DB9A5" w14:textId="77777777" w:rsidR="00B35152" w:rsidRPr="000F0964"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ثانياً: المصادر الأولية</w:t>
      </w:r>
    </w:p>
    <w:p w14:paraId="06A7D91E" w14:textId="77777777" w:rsidR="00B35152" w:rsidRPr="002858CD"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تمثلت في البيانات الميدانية التي ستُجمَع من مجتمع الدراسة عبر الاستبانة الإلكترونية بوصفها الأداة الرئيسية لجمع البيانات الكمية في هذه الدراسة.</w:t>
      </w:r>
    </w:p>
    <w:p w14:paraId="70411622" w14:textId="77777777" w:rsidR="00B35152" w:rsidRPr="005D4B11" w:rsidRDefault="00B35152" w:rsidP="00B35152">
      <w:pPr>
        <w:bidi/>
        <w:spacing w:after="0" w:line="240" w:lineRule="auto"/>
        <w:jc w:val="both"/>
        <w:rPr>
          <w:rFonts w:ascii="Simplified Arabic" w:hAnsi="Simplified Arabic" w:cs="Simplified Arabic"/>
          <w:sz w:val="28"/>
          <w:szCs w:val="28"/>
        </w:rPr>
      </w:pPr>
    </w:p>
    <w:p w14:paraId="0BFB0613" w14:textId="77777777" w:rsidR="00B35152" w:rsidRPr="00310DA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lastRenderedPageBreak/>
        <w:t>3.4</w:t>
      </w:r>
      <w:r>
        <w:rPr>
          <w:rFonts w:ascii="Simplified Arabic" w:hAnsi="Simplified Arabic" w:cs="Simplified Arabic"/>
          <w:b/>
          <w:bCs/>
          <w:color w:val="auto"/>
          <w:sz w:val="28"/>
          <w:szCs w:val="28"/>
          <w:u w:val="single"/>
          <w:rtl/>
        </w:rPr>
        <w:t xml:space="preserve"> مجتمع الدراسة وعينتها</w:t>
      </w:r>
    </w:p>
    <w:p w14:paraId="3824B3C9" w14:textId="77777777" w:rsidR="00B35152" w:rsidRPr="00DF1B31"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3.4.1</w:t>
      </w:r>
      <w:r>
        <w:rPr>
          <w:rFonts w:ascii="Simplified Arabic" w:hAnsi="Simplified Arabic" w:cs="Simplified Arabic"/>
          <w:b/>
          <w:bCs/>
          <w:sz w:val="28"/>
          <w:szCs w:val="28"/>
          <w:rtl/>
        </w:rPr>
        <w:t xml:space="preserve"> مجتمع الدراسة</w:t>
      </w:r>
    </w:p>
    <w:p w14:paraId="7311F84A"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يتكون مجتمع الدراسة من جميع المؤسسات المالية العاملة في المملكة العربية السعودية والخاضعة لإشراف البنك المركزي السعودي (ساما)، ويشمل ذلك:</w:t>
      </w:r>
    </w:p>
    <w:p w14:paraId="136F19A9"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البنوك التجارية التقليدية: 14 بنكاً مرخصاً.</w:t>
      </w:r>
    </w:p>
    <w:p w14:paraId="283815BA"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البنوك الرقمية: </w:t>
      </w:r>
      <w:r>
        <w:rPr>
          <w:rFonts w:ascii="Simplified Arabic" w:hAnsi="Simplified Arabic" w:cs="Simplified Arabic" w:hint="cs"/>
          <w:sz w:val="28"/>
          <w:szCs w:val="28"/>
          <w:rtl/>
        </w:rPr>
        <w:t>2</w:t>
      </w:r>
      <w:r>
        <w:rPr>
          <w:rFonts w:ascii="Simplified Arabic" w:hAnsi="Simplified Arabic" w:cs="Simplified Arabic"/>
          <w:sz w:val="28"/>
          <w:szCs w:val="28"/>
          <w:rtl/>
        </w:rPr>
        <w:t xml:space="preserve"> بنوك رقمية مرخصة وفق قائمة المرخصين الصادرة عن البنك المركزي السعودي (ساما، 2024)، وهي: بنك </w:t>
      </w:r>
      <w:r>
        <w:rPr>
          <w:rFonts w:ascii="Simplified Arabic" w:hAnsi="Simplified Arabic" w:cs="Simplified Arabic"/>
          <w:sz w:val="28"/>
          <w:szCs w:val="28"/>
        </w:rPr>
        <w:t>STC Pay</w:t>
      </w:r>
      <w:r>
        <w:rPr>
          <w:rFonts w:ascii="Simplified Arabic" w:hAnsi="Simplified Arabic" w:cs="Simplified Arabic"/>
          <w:sz w:val="28"/>
          <w:szCs w:val="28"/>
          <w:rtl/>
        </w:rPr>
        <w:t xml:space="preserve">، وبنك </w:t>
      </w:r>
      <w:r>
        <w:rPr>
          <w:rFonts w:ascii="Simplified Arabic" w:hAnsi="Simplified Arabic" w:cs="Simplified Arabic"/>
          <w:sz w:val="28"/>
          <w:szCs w:val="28"/>
        </w:rPr>
        <w:t>D360</w:t>
      </w:r>
      <w:r>
        <w:rPr>
          <w:rFonts w:ascii="Simplified Arabic" w:hAnsi="Simplified Arabic" w:cs="Simplified Arabic"/>
          <w:sz w:val="28"/>
          <w:szCs w:val="28"/>
          <w:rtl/>
        </w:rPr>
        <w:t>.</w:t>
      </w:r>
    </w:p>
    <w:p w14:paraId="0AA6564B"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شركات التقنية المالية </w:t>
      </w:r>
      <w:r>
        <w:rPr>
          <w:rFonts w:ascii="Simplified Arabic" w:hAnsi="Simplified Arabic" w:cs="Simplified Arabic"/>
          <w:sz w:val="28"/>
          <w:szCs w:val="28"/>
        </w:rPr>
        <w:t>(Fintech)</w:t>
      </w:r>
      <w:r>
        <w:rPr>
          <w:rFonts w:ascii="Simplified Arabic" w:hAnsi="Simplified Arabic" w:cs="Simplified Arabic" w:hint="cs"/>
          <w:sz w:val="28"/>
          <w:szCs w:val="28"/>
          <w:rtl/>
        </w:rPr>
        <w:t xml:space="preserve">: </w:t>
      </w:r>
      <w:r>
        <w:rPr>
          <w:rFonts w:ascii="Simplified Arabic" w:hAnsi="Simplified Arabic" w:cs="Simplified Arabic"/>
          <w:sz w:val="28"/>
          <w:szCs w:val="28"/>
        </w:rPr>
        <w:t>224</w:t>
      </w:r>
      <w:r>
        <w:rPr>
          <w:rFonts w:ascii="Simplified Arabic" w:hAnsi="Simplified Arabic" w:cs="Simplified Arabic"/>
          <w:sz w:val="28"/>
          <w:szCs w:val="28"/>
          <w:rtl/>
        </w:rPr>
        <w:t xml:space="preserve"> شركة مرخصة أو حاصلة على موافقة تنظيمية.</w:t>
      </w:r>
    </w:p>
    <w:p w14:paraId="2A4926EE" w14:textId="77777777" w:rsidR="00B35152" w:rsidRPr="005D4B1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وبذلك يبلغ إجمالي مجتمع الدراسة 23</w:t>
      </w:r>
      <w:r>
        <w:rPr>
          <w:rFonts w:ascii="Simplified Arabic" w:hAnsi="Simplified Arabic" w:cs="Simplified Arabic" w:hint="cs"/>
          <w:sz w:val="28"/>
          <w:szCs w:val="28"/>
          <w:rtl/>
        </w:rPr>
        <w:t>7</w:t>
      </w:r>
      <w:r>
        <w:rPr>
          <w:rFonts w:ascii="Simplified Arabic" w:hAnsi="Simplified Arabic" w:cs="Simplified Arabic"/>
          <w:sz w:val="28"/>
          <w:szCs w:val="28"/>
          <w:rtl/>
        </w:rPr>
        <w:t xml:space="preserve"> مؤسسة مالية تعمل في البيئة المالية الرقمية السعودية.</w:t>
      </w:r>
    </w:p>
    <w:p w14:paraId="53674E54" w14:textId="77777777" w:rsidR="00B35152" w:rsidRPr="00DF1B31"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3.4.2</w:t>
      </w:r>
      <w:r>
        <w:rPr>
          <w:rFonts w:ascii="Simplified Arabic" w:hAnsi="Simplified Arabic" w:cs="Simplified Arabic"/>
          <w:b/>
          <w:bCs/>
          <w:sz w:val="28"/>
          <w:szCs w:val="28"/>
          <w:rtl/>
        </w:rPr>
        <w:t xml:space="preserve"> عينة الدراسة</w:t>
      </w:r>
    </w:p>
    <w:p w14:paraId="3D34CC80" w14:textId="77777777" w:rsidR="00B35152" w:rsidRPr="005D4B1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نظراً لطبيعة الدراسة التي تستهدف تقييم أثر تقنية متخصصة في سياق تنظيمي محدد، اعتمد الباحث على أسلوب العينة القصدية (</w:t>
      </w:r>
      <w:r>
        <w:rPr>
          <w:rFonts w:ascii="Simplified Arabic" w:hAnsi="Simplified Arabic" w:cs="Simplified Arabic"/>
          <w:sz w:val="28"/>
          <w:szCs w:val="28"/>
        </w:rPr>
        <w:t>Purposive Sampling</w:t>
      </w:r>
      <w:r>
        <w:rPr>
          <w:rFonts w:ascii="Simplified Arabic" w:hAnsi="Simplified Arabic" w:cs="Simplified Arabic"/>
          <w:sz w:val="28"/>
          <w:szCs w:val="28"/>
          <w:rtl/>
        </w:rPr>
        <w:t>). تُعدّ هذه الطريقة الأنسب لأن اختيار المؤسسات يستند إلى معايير محددة مسبقاً تضمن أن تكون العينة ممثِّلة للسياق الرقمي المالي المستهدف.</w:t>
      </w:r>
    </w:p>
    <w:p w14:paraId="2D961821" w14:textId="77777777" w:rsidR="00B35152" w:rsidRPr="00F109AE"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معايير اختيار العينة:</w:t>
      </w:r>
    </w:p>
    <w:p w14:paraId="7228645B"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أن تكون المؤسسة مُرخَّصة من قِبَل البنك المركزي السعودي (ساما).</w:t>
      </w:r>
    </w:p>
    <w:p w14:paraId="129EE402"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أن تكون تقنية الترميز مطبَّقة أو في مرحلة دراسة التطبيق.</w:t>
      </w:r>
    </w:p>
    <w:p w14:paraId="749DD865"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تنوع حجم المؤسسة (كبيرة، متوسطة، صغيرة).</w:t>
      </w:r>
    </w:p>
    <w:p w14:paraId="66839951"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تنوع نوع المؤسسة (بنوك تقليدية، بنوك رقمية، شركات </w:t>
      </w:r>
      <w:r>
        <w:rPr>
          <w:rFonts w:ascii="Simplified Arabic" w:hAnsi="Simplified Arabic" w:cs="Simplified Arabic"/>
          <w:sz w:val="28"/>
          <w:szCs w:val="28"/>
        </w:rPr>
        <w:t>Fintech</w:t>
      </w:r>
      <w:r>
        <w:rPr>
          <w:rFonts w:ascii="Simplified Arabic" w:hAnsi="Simplified Arabic" w:cs="Simplified Arabic"/>
          <w:sz w:val="28"/>
          <w:szCs w:val="28"/>
          <w:rtl/>
        </w:rPr>
        <w:t>).</w:t>
      </w:r>
    </w:p>
    <w:p w14:paraId="619DB7BA"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بناءً على هذه المعايير، تتكون عينة الدراسة من 19 مؤسسة مالية مختارة قصدياً، تشمل 7 بنوك و12 شركة من شركات التقنية المالية. وستُجمَع البيانات من المشاركين في هذه المؤسسات عبر الاستبانة الإلكترونية، وتشمل الفئات المستهدفة: المديرين التنفيذيين ومديري تقنية المعلومات والأمن السيبراني والعمليات المالية.</w:t>
      </w:r>
    </w:p>
    <w:p w14:paraId="7A9E4BB5"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25CB6999" w14:textId="77777777" w:rsidR="00B35152" w:rsidRPr="00DF1B31"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3.4.3</w:t>
      </w:r>
      <w:r>
        <w:rPr>
          <w:rFonts w:ascii="Simplified Arabic" w:hAnsi="Simplified Arabic" w:cs="Simplified Arabic"/>
          <w:b/>
          <w:bCs/>
          <w:sz w:val="28"/>
          <w:szCs w:val="28"/>
          <w:rtl/>
        </w:rPr>
        <w:t xml:space="preserve"> حجم العينة المستهدف</w:t>
      </w:r>
    </w:p>
    <w:tbl>
      <w:tblPr>
        <w:tblStyle w:val="GridTable4-Accent1"/>
        <w:tblW w:w="5000" w:type="pct"/>
        <w:jc w:val="center"/>
        <w:tblLook w:val="04A0" w:firstRow="1" w:lastRow="0" w:firstColumn="1" w:lastColumn="0" w:noHBand="0" w:noVBand="1"/>
      </w:tblPr>
      <w:tblGrid>
        <w:gridCol w:w="1658"/>
        <w:gridCol w:w="2165"/>
        <w:gridCol w:w="1609"/>
        <w:gridCol w:w="2864"/>
      </w:tblGrid>
      <w:tr w:rsidR="00B35152" w:rsidRPr="003B2823" w14:paraId="23419DDA" w14:textId="77777777" w:rsidTr="00B943E6">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079EDC64"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المجموع</w:t>
            </w:r>
          </w:p>
        </w:tc>
        <w:tc>
          <w:tcPr>
            <w:tcW w:w="1305" w:type="pct"/>
          </w:tcPr>
          <w:p w14:paraId="74799894" w14:textId="77777777" w:rsidR="00B35152" w:rsidRPr="003B282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شركات</w:t>
            </w:r>
            <w:r>
              <w:rPr>
                <w:rFonts w:ascii="Simplified Arabic" w:hAnsi="Simplified Arabic" w:cs="Simplified Arabic"/>
                <w:sz w:val="24"/>
                <w:szCs w:val="24"/>
              </w:rPr>
              <w:t xml:space="preserve"> Fintech</w:t>
            </w:r>
          </w:p>
        </w:tc>
        <w:tc>
          <w:tcPr>
            <w:tcW w:w="970" w:type="pct"/>
          </w:tcPr>
          <w:p w14:paraId="77DF6511" w14:textId="77777777" w:rsidR="00B35152" w:rsidRPr="003B282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بنوك</w:t>
            </w:r>
          </w:p>
        </w:tc>
        <w:tc>
          <w:tcPr>
            <w:tcW w:w="1726" w:type="pct"/>
          </w:tcPr>
          <w:p w14:paraId="50352E64" w14:textId="77777777" w:rsidR="00B35152" w:rsidRPr="003B282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نوع المؤسسة</w:t>
            </w:r>
          </w:p>
        </w:tc>
      </w:tr>
      <w:tr w:rsidR="00B35152" w:rsidRPr="003B2823" w14:paraId="1279FABD" w14:textId="77777777" w:rsidTr="00B943E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275180C6"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19</w:t>
            </w:r>
          </w:p>
        </w:tc>
        <w:tc>
          <w:tcPr>
            <w:tcW w:w="1305" w:type="pct"/>
          </w:tcPr>
          <w:p w14:paraId="7CC5F7D4"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12</w:t>
            </w:r>
          </w:p>
        </w:tc>
        <w:tc>
          <w:tcPr>
            <w:tcW w:w="970" w:type="pct"/>
          </w:tcPr>
          <w:p w14:paraId="51C1804B"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w:t>
            </w:r>
          </w:p>
        </w:tc>
        <w:tc>
          <w:tcPr>
            <w:tcW w:w="1726" w:type="pct"/>
          </w:tcPr>
          <w:p w14:paraId="076395E4"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المؤسسات</w:t>
            </w:r>
          </w:p>
        </w:tc>
      </w:tr>
      <w:tr w:rsidR="00B35152" w:rsidRPr="003B2823" w14:paraId="2470A6ED" w14:textId="77777777" w:rsidTr="00B943E6">
        <w:trPr>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6C94CCE5"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95 - 190</w:t>
            </w:r>
          </w:p>
        </w:tc>
        <w:tc>
          <w:tcPr>
            <w:tcW w:w="1305" w:type="pct"/>
          </w:tcPr>
          <w:p w14:paraId="23855BCA" w14:textId="77777777" w:rsidR="00B35152" w:rsidRPr="003B282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60 - 120</w:t>
            </w:r>
          </w:p>
        </w:tc>
        <w:tc>
          <w:tcPr>
            <w:tcW w:w="970" w:type="pct"/>
          </w:tcPr>
          <w:p w14:paraId="4E1F0BC1" w14:textId="77777777" w:rsidR="00B35152" w:rsidRPr="003B282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35 - 70</w:t>
            </w:r>
          </w:p>
        </w:tc>
        <w:tc>
          <w:tcPr>
            <w:tcW w:w="1726" w:type="pct"/>
          </w:tcPr>
          <w:p w14:paraId="1812CDDF" w14:textId="77777777" w:rsidR="00B35152" w:rsidRPr="003B282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المستهدفين (تقديري)</w:t>
            </w:r>
          </w:p>
        </w:tc>
      </w:tr>
      <w:tr w:rsidR="00B35152" w:rsidRPr="003B2823" w14:paraId="3F17D674" w14:textId="77777777" w:rsidTr="00B943E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10C08D72"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70%</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 </w:t>
            </w:r>
            <w:r>
              <w:rPr>
                <w:rFonts w:ascii="Simplified Arabic" w:hAnsi="Simplified Arabic" w:cs="Simplified Arabic"/>
                <w:sz w:val="24"/>
                <w:szCs w:val="24"/>
                <w:rtl/>
              </w:rPr>
              <w:t>فأكثر</w:t>
            </w:r>
          </w:p>
        </w:tc>
        <w:tc>
          <w:tcPr>
            <w:tcW w:w="1305" w:type="pct"/>
          </w:tcPr>
          <w:p w14:paraId="45FEFC7F"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70%</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 </w:t>
            </w:r>
            <w:r>
              <w:rPr>
                <w:rFonts w:ascii="Simplified Arabic" w:hAnsi="Simplified Arabic" w:cs="Simplified Arabic"/>
                <w:sz w:val="24"/>
                <w:szCs w:val="24"/>
                <w:rtl/>
              </w:rPr>
              <w:t>فأكثر</w:t>
            </w:r>
          </w:p>
        </w:tc>
        <w:tc>
          <w:tcPr>
            <w:tcW w:w="970" w:type="pct"/>
          </w:tcPr>
          <w:p w14:paraId="622962CF"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70%</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 </w:t>
            </w:r>
            <w:r>
              <w:rPr>
                <w:rFonts w:ascii="Simplified Arabic" w:hAnsi="Simplified Arabic" w:cs="Simplified Arabic"/>
                <w:sz w:val="24"/>
                <w:szCs w:val="24"/>
                <w:rtl/>
              </w:rPr>
              <w:t>فأكثر</w:t>
            </w:r>
          </w:p>
        </w:tc>
        <w:tc>
          <w:tcPr>
            <w:tcW w:w="1726" w:type="pct"/>
          </w:tcPr>
          <w:p w14:paraId="68C094C2"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نسبة الاستجابة المستهدفة</w:t>
            </w:r>
          </w:p>
        </w:tc>
      </w:tr>
    </w:tbl>
    <w:p w14:paraId="108B0346"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جدول (3.1): التوزيع التقديري لعينة الدراسة</w:t>
      </w:r>
    </w:p>
    <w:p w14:paraId="400953D2"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40E16C64" w14:textId="77777777" w:rsidR="00B35152" w:rsidRPr="00310DA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3.5</w:t>
      </w:r>
      <w:r>
        <w:rPr>
          <w:rFonts w:ascii="Simplified Arabic" w:hAnsi="Simplified Arabic" w:cs="Simplified Arabic"/>
          <w:b/>
          <w:bCs/>
          <w:color w:val="auto"/>
          <w:sz w:val="28"/>
          <w:szCs w:val="28"/>
          <w:u w:val="single"/>
          <w:rtl/>
        </w:rPr>
        <w:t xml:space="preserve"> أدوات جمع البيانات</w:t>
      </w:r>
    </w:p>
    <w:p w14:paraId="23080EA6" w14:textId="77777777" w:rsidR="00B35152" w:rsidRPr="00DD4597"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3.5.1</w:t>
      </w:r>
      <w:r>
        <w:rPr>
          <w:rFonts w:ascii="Simplified Arabic" w:hAnsi="Simplified Arabic" w:cs="Simplified Arabic"/>
          <w:b/>
          <w:bCs/>
          <w:sz w:val="28"/>
          <w:szCs w:val="28"/>
          <w:rtl/>
        </w:rPr>
        <w:t xml:space="preserve"> الاستبانة الإلكترونية</w:t>
      </w:r>
    </w:p>
    <w:p w14:paraId="0726B360"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تُعدّ الاستبانة الأداة الرئيسية لجمع البيانات الكمية في هذه الدراسة. صُمِّمت وفق مراجعة شاملة للأدبيات العلمية ذات الصلة، وتتضمن مجموعتين رئيسيتين: بيانات ديموغرافية ووصفية، ومتغيرات الدراسة الرئيسية المقاسة بمقياس </w:t>
      </w:r>
      <w:proofErr w:type="spellStart"/>
      <w:r>
        <w:rPr>
          <w:rFonts w:ascii="Simplified Arabic" w:hAnsi="Simplified Arabic" w:cs="Simplified Arabic"/>
          <w:sz w:val="28"/>
          <w:szCs w:val="28"/>
          <w:rtl/>
        </w:rPr>
        <w:t>ليكرت</w:t>
      </w:r>
      <w:proofErr w:type="spellEnd"/>
      <w:r>
        <w:rPr>
          <w:rFonts w:ascii="Simplified Arabic" w:hAnsi="Simplified Arabic" w:cs="Simplified Arabic"/>
          <w:sz w:val="28"/>
          <w:szCs w:val="28"/>
          <w:rtl/>
        </w:rPr>
        <w:t xml:space="preserve"> الخماسي (1 = لا أوافق بشدة، 5 = أوافق بشدة). والجدول التالي يوضح أوزان الاستجابات ومستويات الموافقة المعتمدة في تفسير النتائج:</w:t>
      </w:r>
    </w:p>
    <w:tbl>
      <w:tblPr>
        <w:tblStyle w:val="TableGrid"/>
        <w:bidiVisual/>
        <w:tblW w:w="9026" w:type="dxa"/>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Look w:val="0000" w:firstRow="0" w:lastRow="0" w:firstColumn="0" w:lastColumn="0" w:noHBand="0" w:noVBand="0"/>
      </w:tblPr>
      <w:tblGrid>
        <w:gridCol w:w="1800"/>
        <w:gridCol w:w="2500"/>
        <w:gridCol w:w="2363"/>
        <w:gridCol w:w="2363"/>
      </w:tblGrid>
      <w:tr w:rsidR="00B35152" w14:paraId="302DE114" w14:textId="77777777" w:rsidTr="00B943E6">
        <w:tc>
          <w:tcPr>
            <w:tcW w:w="1800" w:type="dxa"/>
            <w:shd w:val="clear" w:color="auto" w:fill="1F4E79"/>
          </w:tcPr>
          <w:p w14:paraId="72BC1EC6" w14:textId="77777777" w:rsidR="00B35152" w:rsidRDefault="00B35152" w:rsidP="00B943E6">
            <w:pPr>
              <w:bidi/>
              <w:jc w:val="center"/>
              <w:rPr>
                <w:rFonts w:ascii="Simplified Arabic" w:hAnsi="Simplified Arabic" w:cs="Simplified Arabic"/>
                <w:b/>
                <w:color w:val="FFFFFF"/>
                <w:sz w:val="24"/>
                <w:szCs w:val="24"/>
              </w:rPr>
            </w:pPr>
            <w:proofErr w:type="spellStart"/>
            <w:r>
              <w:rPr>
                <w:rFonts w:ascii="Simplified Arabic" w:hAnsi="Simplified Arabic" w:cs="Simplified Arabic"/>
                <w:b/>
                <w:color w:val="FFFFFF"/>
                <w:sz w:val="24"/>
                <w:szCs w:val="24"/>
              </w:rPr>
              <w:t>الوزن</w:t>
            </w:r>
            <w:proofErr w:type="spellEnd"/>
          </w:p>
        </w:tc>
        <w:tc>
          <w:tcPr>
            <w:tcW w:w="2500" w:type="dxa"/>
            <w:shd w:val="clear" w:color="auto" w:fill="1F4E79"/>
          </w:tcPr>
          <w:p w14:paraId="35F574E9" w14:textId="77777777" w:rsidR="00B35152" w:rsidRDefault="00B35152" w:rsidP="00B943E6">
            <w:pPr>
              <w:bidi/>
              <w:jc w:val="center"/>
              <w:rPr>
                <w:rFonts w:ascii="Simplified Arabic" w:hAnsi="Simplified Arabic" w:cs="Simplified Arabic"/>
                <w:b/>
                <w:color w:val="FFFFFF"/>
                <w:sz w:val="24"/>
                <w:szCs w:val="24"/>
              </w:rPr>
            </w:pPr>
            <w:proofErr w:type="spellStart"/>
            <w:r>
              <w:rPr>
                <w:rFonts w:ascii="Simplified Arabic" w:hAnsi="Simplified Arabic" w:cs="Simplified Arabic"/>
                <w:b/>
                <w:color w:val="FFFFFF"/>
                <w:sz w:val="24"/>
                <w:szCs w:val="24"/>
              </w:rPr>
              <w:t>مستوى</w:t>
            </w:r>
            <w:proofErr w:type="spellEnd"/>
            <w:r>
              <w:rPr>
                <w:rFonts w:ascii="Simplified Arabic" w:hAnsi="Simplified Arabic" w:cs="Simplified Arabic"/>
                <w:b/>
                <w:color w:val="FFFFFF"/>
                <w:sz w:val="24"/>
                <w:szCs w:val="24"/>
              </w:rPr>
              <w:t xml:space="preserve"> </w:t>
            </w:r>
            <w:proofErr w:type="spellStart"/>
            <w:r>
              <w:rPr>
                <w:rFonts w:ascii="Simplified Arabic" w:hAnsi="Simplified Arabic" w:cs="Simplified Arabic"/>
                <w:b/>
                <w:color w:val="FFFFFF"/>
                <w:sz w:val="24"/>
                <w:szCs w:val="24"/>
              </w:rPr>
              <w:t>الموافقة</w:t>
            </w:r>
            <w:proofErr w:type="spellEnd"/>
          </w:p>
        </w:tc>
        <w:tc>
          <w:tcPr>
            <w:tcW w:w="2363" w:type="dxa"/>
            <w:shd w:val="clear" w:color="auto" w:fill="1F4E79"/>
          </w:tcPr>
          <w:p w14:paraId="2492E68A" w14:textId="77777777" w:rsidR="00B35152" w:rsidRDefault="00B35152" w:rsidP="00B943E6">
            <w:pPr>
              <w:bidi/>
              <w:jc w:val="center"/>
              <w:rPr>
                <w:rFonts w:ascii="Simplified Arabic" w:hAnsi="Simplified Arabic" w:cs="Simplified Arabic"/>
                <w:b/>
                <w:color w:val="FFFFFF"/>
                <w:sz w:val="24"/>
                <w:szCs w:val="24"/>
              </w:rPr>
            </w:pPr>
            <w:proofErr w:type="spellStart"/>
            <w:r>
              <w:rPr>
                <w:rFonts w:ascii="Simplified Arabic" w:hAnsi="Simplified Arabic" w:cs="Simplified Arabic"/>
                <w:b/>
                <w:color w:val="FFFFFF"/>
                <w:sz w:val="24"/>
                <w:szCs w:val="24"/>
              </w:rPr>
              <w:t>المدى</w:t>
            </w:r>
            <w:proofErr w:type="spellEnd"/>
          </w:p>
        </w:tc>
        <w:tc>
          <w:tcPr>
            <w:tcW w:w="2363" w:type="dxa"/>
            <w:shd w:val="clear" w:color="auto" w:fill="1F4E79"/>
          </w:tcPr>
          <w:p w14:paraId="32A2F215" w14:textId="77777777" w:rsidR="00B35152" w:rsidRDefault="00B35152" w:rsidP="00B943E6">
            <w:pPr>
              <w:bidi/>
              <w:jc w:val="center"/>
              <w:rPr>
                <w:rFonts w:ascii="Simplified Arabic" w:hAnsi="Simplified Arabic" w:cs="Simplified Arabic"/>
                <w:b/>
                <w:color w:val="FFFFFF"/>
                <w:sz w:val="24"/>
                <w:szCs w:val="24"/>
              </w:rPr>
            </w:pPr>
            <w:proofErr w:type="spellStart"/>
            <w:r>
              <w:rPr>
                <w:rFonts w:ascii="Simplified Arabic" w:hAnsi="Simplified Arabic" w:cs="Simplified Arabic"/>
                <w:b/>
                <w:color w:val="FFFFFF"/>
                <w:sz w:val="24"/>
                <w:szCs w:val="24"/>
              </w:rPr>
              <w:t>درجة</w:t>
            </w:r>
            <w:proofErr w:type="spellEnd"/>
            <w:r>
              <w:rPr>
                <w:rFonts w:ascii="Simplified Arabic" w:hAnsi="Simplified Arabic" w:cs="Simplified Arabic"/>
                <w:b/>
                <w:color w:val="FFFFFF"/>
                <w:sz w:val="24"/>
                <w:szCs w:val="24"/>
              </w:rPr>
              <w:t xml:space="preserve"> </w:t>
            </w:r>
            <w:proofErr w:type="spellStart"/>
            <w:r>
              <w:rPr>
                <w:rFonts w:ascii="Simplified Arabic" w:hAnsi="Simplified Arabic" w:cs="Simplified Arabic"/>
                <w:b/>
                <w:color w:val="FFFFFF"/>
                <w:sz w:val="24"/>
                <w:szCs w:val="24"/>
              </w:rPr>
              <w:t>الموافقة</w:t>
            </w:r>
            <w:proofErr w:type="spellEnd"/>
          </w:p>
        </w:tc>
      </w:tr>
      <w:tr w:rsidR="00B35152" w14:paraId="186A5D78" w14:textId="77777777" w:rsidTr="00B943E6">
        <w:tc>
          <w:tcPr>
            <w:tcW w:w="1800" w:type="dxa"/>
          </w:tcPr>
          <w:p w14:paraId="6B2080BF"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5</w:t>
            </w:r>
          </w:p>
        </w:tc>
        <w:tc>
          <w:tcPr>
            <w:tcW w:w="2500" w:type="dxa"/>
          </w:tcPr>
          <w:p w14:paraId="58F82056"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مرتفع جداً</w:t>
            </w:r>
          </w:p>
        </w:tc>
        <w:tc>
          <w:tcPr>
            <w:tcW w:w="2363" w:type="dxa"/>
          </w:tcPr>
          <w:p w14:paraId="41FD744F"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Pr>
              <w:t>4.21 - 5.00</w:t>
            </w:r>
          </w:p>
        </w:tc>
        <w:tc>
          <w:tcPr>
            <w:tcW w:w="2363" w:type="dxa"/>
          </w:tcPr>
          <w:p w14:paraId="3363D836"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أوافق بشدة</w:t>
            </w:r>
          </w:p>
        </w:tc>
      </w:tr>
      <w:tr w:rsidR="00B35152" w14:paraId="3FEDB14A" w14:textId="77777777" w:rsidTr="00B943E6">
        <w:tc>
          <w:tcPr>
            <w:tcW w:w="1800" w:type="dxa"/>
            <w:shd w:val="clear" w:color="auto" w:fill="E8F0F7"/>
          </w:tcPr>
          <w:p w14:paraId="439093DE"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4</w:t>
            </w:r>
          </w:p>
        </w:tc>
        <w:tc>
          <w:tcPr>
            <w:tcW w:w="2500" w:type="dxa"/>
            <w:shd w:val="clear" w:color="auto" w:fill="E8F0F7"/>
          </w:tcPr>
          <w:p w14:paraId="1C858C3C"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مرتفع</w:t>
            </w:r>
          </w:p>
        </w:tc>
        <w:tc>
          <w:tcPr>
            <w:tcW w:w="2363" w:type="dxa"/>
            <w:shd w:val="clear" w:color="auto" w:fill="E8F0F7"/>
          </w:tcPr>
          <w:p w14:paraId="4A619271"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3.41 - 4.20</w:t>
            </w:r>
          </w:p>
        </w:tc>
        <w:tc>
          <w:tcPr>
            <w:tcW w:w="2363" w:type="dxa"/>
            <w:shd w:val="clear" w:color="auto" w:fill="E8F0F7"/>
          </w:tcPr>
          <w:p w14:paraId="1C3BDF2E"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أوافق</w:t>
            </w:r>
          </w:p>
        </w:tc>
      </w:tr>
      <w:tr w:rsidR="00B35152" w14:paraId="22C2F9D8" w14:textId="77777777" w:rsidTr="00B943E6">
        <w:tc>
          <w:tcPr>
            <w:tcW w:w="1800" w:type="dxa"/>
          </w:tcPr>
          <w:p w14:paraId="1CB74BF6"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3</w:t>
            </w:r>
          </w:p>
        </w:tc>
        <w:tc>
          <w:tcPr>
            <w:tcW w:w="2500" w:type="dxa"/>
          </w:tcPr>
          <w:p w14:paraId="3EE9DB4F"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متوسط</w:t>
            </w:r>
          </w:p>
        </w:tc>
        <w:tc>
          <w:tcPr>
            <w:tcW w:w="2363" w:type="dxa"/>
          </w:tcPr>
          <w:p w14:paraId="2C8F2F5B"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2.61 - 3.40</w:t>
            </w:r>
          </w:p>
        </w:tc>
        <w:tc>
          <w:tcPr>
            <w:tcW w:w="2363" w:type="dxa"/>
          </w:tcPr>
          <w:p w14:paraId="0C187EBE"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محايد</w:t>
            </w:r>
          </w:p>
        </w:tc>
      </w:tr>
      <w:tr w:rsidR="00B35152" w14:paraId="40121269" w14:textId="77777777" w:rsidTr="00B943E6">
        <w:tc>
          <w:tcPr>
            <w:tcW w:w="1800" w:type="dxa"/>
            <w:shd w:val="clear" w:color="auto" w:fill="E8F0F7"/>
          </w:tcPr>
          <w:p w14:paraId="2CF79D80"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2</w:t>
            </w:r>
          </w:p>
        </w:tc>
        <w:tc>
          <w:tcPr>
            <w:tcW w:w="2500" w:type="dxa"/>
            <w:shd w:val="clear" w:color="auto" w:fill="E8F0F7"/>
          </w:tcPr>
          <w:p w14:paraId="3261FCA9"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منخفض</w:t>
            </w:r>
          </w:p>
        </w:tc>
        <w:tc>
          <w:tcPr>
            <w:tcW w:w="2363" w:type="dxa"/>
            <w:shd w:val="clear" w:color="auto" w:fill="E8F0F7"/>
          </w:tcPr>
          <w:p w14:paraId="7426ABF8"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1.81 - 2.60</w:t>
            </w:r>
          </w:p>
        </w:tc>
        <w:tc>
          <w:tcPr>
            <w:tcW w:w="2363" w:type="dxa"/>
            <w:shd w:val="clear" w:color="auto" w:fill="E8F0F7"/>
          </w:tcPr>
          <w:p w14:paraId="0AA03B5D"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لا أوافق</w:t>
            </w:r>
          </w:p>
        </w:tc>
      </w:tr>
      <w:tr w:rsidR="00B35152" w14:paraId="70D696EB" w14:textId="77777777" w:rsidTr="00B943E6">
        <w:tc>
          <w:tcPr>
            <w:tcW w:w="1800" w:type="dxa"/>
          </w:tcPr>
          <w:p w14:paraId="105925C2"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1</w:t>
            </w:r>
          </w:p>
        </w:tc>
        <w:tc>
          <w:tcPr>
            <w:tcW w:w="2500" w:type="dxa"/>
          </w:tcPr>
          <w:p w14:paraId="470A2E43"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منخفض جداً</w:t>
            </w:r>
          </w:p>
        </w:tc>
        <w:tc>
          <w:tcPr>
            <w:tcW w:w="2363" w:type="dxa"/>
          </w:tcPr>
          <w:p w14:paraId="6C9D8F50"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1.00 - 1.80</w:t>
            </w:r>
          </w:p>
        </w:tc>
        <w:tc>
          <w:tcPr>
            <w:tcW w:w="2363" w:type="dxa"/>
          </w:tcPr>
          <w:p w14:paraId="738FDB22"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لا أوافق بشدة</w:t>
            </w:r>
          </w:p>
        </w:tc>
      </w:tr>
    </w:tbl>
    <w:p w14:paraId="7368A10A" w14:textId="77777777" w:rsidR="00B35152" w:rsidRDefault="00B35152" w:rsidP="00B35152">
      <w:pPr>
        <w:bidi/>
        <w:spacing w:after="0" w:line="240" w:lineRule="auto"/>
        <w:jc w:val="center"/>
        <w:rPr>
          <w:rFonts w:ascii="Simplified Arabic" w:hAnsi="Simplified Arabic" w:cs="Simplified Arabic"/>
          <w:sz w:val="24"/>
          <w:szCs w:val="24"/>
          <w:rtl/>
        </w:rPr>
      </w:pPr>
      <w:r>
        <w:rPr>
          <w:rFonts w:ascii="Simplified Arabic" w:hAnsi="Simplified Arabic" w:cs="Simplified Arabic"/>
          <w:sz w:val="24"/>
          <w:szCs w:val="24"/>
          <w:rtl/>
        </w:rPr>
        <w:t xml:space="preserve">جدول (3.2-ب): أوزان مقياس </w:t>
      </w:r>
      <w:proofErr w:type="spellStart"/>
      <w:r>
        <w:rPr>
          <w:rFonts w:ascii="Simplified Arabic" w:hAnsi="Simplified Arabic" w:cs="Simplified Arabic"/>
          <w:sz w:val="24"/>
          <w:szCs w:val="24"/>
          <w:rtl/>
        </w:rPr>
        <w:t>ليكرت</w:t>
      </w:r>
      <w:proofErr w:type="spellEnd"/>
      <w:r>
        <w:rPr>
          <w:rFonts w:ascii="Simplified Arabic" w:hAnsi="Simplified Arabic" w:cs="Simplified Arabic"/>
          <w:sz w:val="24"/>
          <w:szCs w:val="24"/>
          <w:rtl/>
        </w:rPr>
        <w:t xml:space="preserve"> الخماسي ومستويات الموافقة</w:t>
      </w:r>
    </w:p>
    <w:p w14:paraId="0FF6FD96" w14:textId="77777777" w:rsidR="00B35152" w:rsidRPr="009D7913"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استُند في بناء فقرات الاستبانة إلى أدبيات علمية محكّمة ودراسات تطبيقية في مجال الأمن السيبراني والتقنية المالية، وتشمل هذه المصادر: الأدبيات العلمية المحكّمة المتخصصة في تقنية الترميز، والدراسات السابقة التي وظّفت مقاييس مماثلة في سياقات مشابهة، إضافةً إلى الوثائق الرسمية الصادرة عن المنظمات التنظيمية (ساما، الهيئة الوطنية للأمن السيبراني، </w:t>
      </w:r>
      <w:r>
        <w:rPr>
          <w:rFonts w:ascii="Simplified Arabic" w:hAnsi="Simplified Arabic" w:cs="Simplified Arabic"/>
          <w:sz w:val="28"/>
          <w:szCs w:val="28"/>
        </w:rPr>
        <w:t>PCI Security Standards Council</w:t>
      </w:r>
      <w:r>
        <w:rPr>
          <w:rFonts w:ascii="Simplified Arabic" w:hAnsi="Simplified Arabic" w:cs="Simplified Arabic"/>
          <w:sz w:val="28"/>
          <w:szCs w:val="28"/>
          <w:rtl/>
        </w:rPr>
        <w:t xml:space="preserve">). كما خضعت الفقرات لتعديلات أثناء التطوير استجابةً لملاحظات المشرف، وستخضع لمراجعة إضافية بناءً على مرئيات المحكّمين من جامعة </w:t>
      </w:r>
      <w:proofErr w:type="spellStart"/>
      <w:r>
        <w:rPr>
          <w:rFonts w:ascii="Simplified Arabic" w:hAnsi="Simplified Arabic" w:cs="Simplified Arabic"/>
          <w:sz w:val="28"/>
          <w:szCs w:val="28"/>
          <w:rtl/>
        </w:rPr>
        <w:t>Midocean</w:t>
      </w:r>
      <w:proofErr w:type="spellEnd"/>
      <w:r>
        <w:rPr>
          <w:rFonts w:ascii="Simplified Arabic" w:hAnsi="Simplified Arabic" w:cs="Simplified Arabic"/>
          <w:sz w:val="28"/>
          <w:szCs w:val="28"/>
          <w:rtl/>
        </w:rPr>
        <w:t xml:space="preserve"> قبل التوزيع النهائي.</w:t>
      </w:r>
    </w:p>
    <w:p w14:paraId="116B2E33"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GridTable4-Accent1"/>
        <w:tblW w:w="5068" w:type="pct"/>
        <w:jc w:val="center"/>
        <w:tblLook w:val="04A0" w:firstRow="1" w:lastRow="0" w:firstColumn="1" w:lastColumn="0" w:noHBand="0" w:noVBand="1"/>
      </w:tblPr>
      <w:tblGrid>
        <w:gridCol w:w="1986"/>
        <w:gridCol w:w="1297"/>
        <w:gridCol w:w="1983"/>
        <w:gridCol w:w="1192"/>
        <w:gridCol w:w="1951"/>
      </w:tblGrid>
      <w:tr w:rsidR="00B35152" w:rsidRPr="00DD4597" w14:paraId="7BEA7658"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57D811AC"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المرجع الرئيسي</w:t>
            </w:r>
          </w:p>
        </w:tc>
        <w:tc>
          <w:tcPr>
            <w:tcW w:w="771" w:type="pct"/>
            <w:vAlign w:val="center"/>
          </w:tcPr>
          <w:p w14:paraId="172AE7B3"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العبارات</w:t>
            </w:r>
          </w:p>
        </w:tc>
        <w:tc>
          <w:tcPr>
            <w:tcW w:w="1179" w:type="pct"/>
            <w:vAlign w:val="center"/>
          </w:tcPr>
          <w:p w14:paraId="64078D4D"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الأبعاد الفرعية</w:t>
            </w:r>
          </w:p>
        </w:tc>
        <w:tc>
          <w:tcPr>
            <w:tcW w:w="709" w:type="pct"/>
            <w:vAlign w:val="center"/>
          </w:tcPr>
          <w:p w14:paraId="10C4A38F"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نوع المتغير</w:t>
            </w:r>
          </w:p>
        </w:tc>
        <w:tc>
          <w:tcPr>
            <w:tcW w:w="1160" w:type="pct"/>
            <w:vAlign w:val="center"/>
          </w:tcPr>
          <w:p w14:paraId="62C35D98"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المتغير</w:t>
            </w:r>
          </w:p>
        </w:tc>
      </w:tr>
      <w:tr w:rsidR="00B35152" w:rsidRPr="00DD4597" w14:paraId="3387ABFC"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6CCAFDE9"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EMVCo, 2023; PCI DSS</w:t>
            </w:r>
          </w:p>
        </w:tc>
        <w:tc>
          <w:tcPr>
            <w:tcW w:w="771" w:type="pct"/>
            <w:vAlign w:val="center"/>
          </w:tcPr>
          <w:p w14:paraId="427BBBDF"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6 </w:t>
            </w:r>
            <w:r>
              <w:rPr>
                <w:rFonts w:ascii="Simplified Arabic" w:hAnsi="Simplified Arabic" w:cs="Simplified Arabic"/>
                <w:sz w:val="24"/>
                <w:szCs w:val="24"/>
                <w:rtl/>
              </w:rPr>
              <w:t>عبارات</w:t>
            </w:r>
          </w:p>
        </w:tc>
        <w:tc>
          <w:tcPr>
            <w:tcW w:w="1179" w:type="pct"/>
            <w:vAlign w:val="center"/>
          </w:tcPr>
          <w:p w14:paraId="1FE326F7"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أمان البيانات، الحماية من الاحتيال</w:t>
            </w:r>
          </w:p>
        </w:tc>
        <w:tc>
          <w:tcPr>
            <w:tcW w:w="709" w:type="pct"/>
            <w:vAlign w:val="center"/>
          </w:tcPr>
          <w:p w14:paraId="685A9A1C"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مستقل</w:t>
            </w:r>
          </w:p>
        </w:tc>
        <w:tc>
          <w:tcPr>
            <w:tcW w:w="1160" w:type="pct"/>
            <w:vAlign w:val="center"/>
          </w:tcPr>
          <w:p w14:paraId="76D70FD7"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تطبيق تقنية الترميز</w:t>
            </w:r>
          </w:p>
        </w:tc>
      </w:tr>
      <w:tr w:rsidR="00B35152" w:rsidRPr="00DD4597" w14:paraId="3DA154D5"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76DDA634"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NCA, 2023; NIST</w:t>
            </w:r>
          </w:p>
        </w:tc>
        <w:tc>
          <w:tcPr>
            <w:tcW w:w="771" w:type="pct"/>
            <w:vAlign w:val="center"/>
          </w:tcPr>
          <w:p w14:paraId="303E19EB"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7 </w:t>
            </w:r>
            <w:r>
              <w:rPr>
                <w:rFonts w:ascii="Simplified Arabic" w:hAnsi="Simplified Arabic" w:cs="Simplified Arabic"/>
                <w:sz w:val="24"/>
                <w:szCs w:val="24"/>
                <w:rtl/>
              </w:rPr>
              <w:t>عبارات</w:t>
            </w:r>
          </w:p>
        </w:tc>
        <w:tc>
          <w:tcPr>
            <w:tcW w:w="1179" w:type="pct"/>
            <w:vAlign w:val="center"/>
          </w:tcPr>
          <w:p w14:paraId="59751E1E"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الوقاية، الاستجابة، الامتثال</w:t>
            </w:r>
          </w:p>
        </w:tc>
        <w:tc>
          <w:tcPr>
            <w:tcW w:w="709" w:type="pct"/>
            <w:vAlign w:val="center"/>
          </w:tcPr>
          <w:p w14:paraId="7D114541"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تابع</w:t>
            </w:r>
          </w:p>
        </w:tc>
        <w:tc>
          <w:tcPr>
            <w:tcW w:w="1160" w:type="pct"/>
            <w:vAlign w:val="center"/>
          </w:tcPr>
          <w:p w14:paraId="1A9ABF15"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الأمن السيبراني</w:t>
            </w:r>
          </w:p>
        </w:tc>
      </w:tr>
      <w:tr w:rsidR="00B35152" w:rsidRPr="00DD4597" w14:paraId="1B7ADA22"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71403ECD"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lastRenderedPageBreak/>
              <w:t>SAMA, 2023; BIS</w:t>
            </w:r>
          </w:p>
        </w:tc>
        <w:tc>
          <w:tcPr>
            <w:tcW w:w="771" w:type="pct"/>
            <w:vAlign w:val="center"/>
          </w:tcPr>
          <w:p w14:paraId="48B62CFE"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6 </w:t>
            </w:r>
            <w:r>
              <w:rPr>
                <w:rFonts w:ascii="Simplified Arabic" w:hAnsi="Simplified Arabic" w:cs="Simplified Arabic"/>
                <w:sz w:val="24"/>
                <w:szCs w:val="24"/>
                <w:rtl/>
              </w:rPr>
              <w:t>عبارات</w:t>
            </w:r>
          </w:p>
        </w:tc>
        <w:tc>
          <w:tcPr>
            <w:tcW w:w="1179" w:type="pct"/>
            <w:vAlign w:val="center"/>
          </w:tcPr>
          <w:p w14:paraId="0FE8E31E"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سرعة المعالجة، التكلفة، الدقة</w:t>
            </w:r>
          </w:p>
        </w:tc>
        <w:tc>
          <w:tcPr>
            <w:tcW w:w="709" w:type="pct"/>
            <w:vAlign w:val="center"/>
          </w:tcPr>
          <w:p w14:paraId="745DBD61"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تابع</w:t>
            </w:r>
          </w:p>
        </w:tc>
        <w:tc>
          <w:tcPr>
            <w:tcW w:w="1160" w:type="pct"/>
            <w:vAlign w:val="center"/>
          </w:tcPr>
          <w:p w14:paraId="4B371704"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كفاءة العمليات المالية</w:t>
            </w:r>
          </w:p>
        </w:tc>
      </w:tr>
      <w:tr w:rsidR="00B35152" w:rsidRPr="00DD4597" w14:paraId="0A33B5FA"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530F107C"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ساما، 2022</w:t>
            </w:r>
          </w:p>
        </w:tc>
        <w:tc>
          <w:tcPr>
            <w:tcW w:w="771" w:type="pct"/>
            <w:vAlign w:val="center"/>
          </w:tcPr>
          <w:p w14:paraId="03F83F7D"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5 </w:t>
            </w:r>
            <w:r>
              <w:rPr>
                <w:rFonts w:ascii="Simplified Arabic" w:hAnsi="Simplified Arabic" w:cs="Simplified Arabic"/>
                <w:sz w:val="24"/>
                <w:szCs w:val="24"/>
                <w:rtl/>
              </w:rPr>
              <w:t>عبارات</w:t>
            </w:r>
          </w:p>
        </w:tc>
        <w:tc>
          <w:tcPr>
            <w:tcW w:w="1179" w:type="pct"/>
            <w:vAlign w:val="center"/>
          </w:tcPr>
          <w:p w14:paraId="65A85B1A"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c>
          <w:tcPr>
            <w:tcW w:w="709" w:type="pct"/>
            <w:vAlign w:val="center"/>
          </w:tcPr>
          <w:p w14:paraId="06BBD33C"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تابع</w:t>
            </w:r>
          </w:p>
        </w:tc>
        <w:tc>
          <w:tcPr>
            <w:tcW w:w="1160" w:type="pct"/>
            <w:vAlign w:val="center"/>
          </w:tcPr>
          <w:p w14:paraId="6EA34FA7"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r>
      <w:tr w:rsidR="00B35152" w:rsidRPr="00DD4597" w14:paraId="45883A4E"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7CD8F87B"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الأدبيات المتخصصة</w:t>
            </w:r>
          </w:p>
        </w:tc>
        <w:tc>
          <w:tcPr>
            <w:tcW w:w="771" w:type="pct"/>
            <w:vAlign w:val="center"/>
          </w:tcPr>
          <w:p w14:paraId="2AC17D86"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6 </w:t>
            </w:r>
            <w:r>
              <w:rPr>
                <w:rFonts w:ascii="Simplified Arabic" w:hAnsi="Simplified Arabic" w:cs="Simplified Arabic"/>
                <w:sz w:val="24"/>
                <w:szCs w:val="24"/>
                <w:rtl/>
              </w:rPr>
              <w:t>عبارات</w:t>
            </w:r>
          </w:p>
        </w:tc>
        <w:tc>
          <w:tcPr>
            <w:tcW w:w="1179" w:type="pct"/>
            <w:vAlign w:val="center"/>
          </w:tcPr>
          <w:p w14:paraId="5BF93473"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التحديات التقنية والتنظيمية</w:t>
            </w:r>
          </w:p>
        </w:tc>
        <w:tc>
          <w:tcPr>
            <w:tcW w:w="709" w:type="pct"/>
            <w:vAlign w:val="center"/>
          </w:tcPr>
          <w:p w14:paraId="025E1784"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معدِّل</w:t>
            </w:r>
          </w:p>
        </w:tc>
        <w:tc>
          <w:tcPr>
            <w:tcW w:w="1160" w:type="pct"/>
            <w:vAlign w:val="center"/>
          </w:tcPr>
          <w:p w14:paraId="6EB8E077"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تحديات التطبيق</w:t>
            </w:r>
          </w:p>
        </w:tc>
      </w:tr>
    </w:tbl>
    <w:p w14:paraId="1631A3AC" w14:textId="77777777" w:rsidR="00B35152" w:rsidRPr="00085CAB"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جدول (3.2): متغيرات الدراسة ومقاييسها</w:t>
      </w:r>
    </w:p>
    <w:p w14:paraId="0960AF17" w14:textId="77777777" w:rsidR="00B35152" w:rsidRDefault="00B35152" w:rsidP="00B35152">
      <w:pPr>
        <w:bidi/>
        <w:spacing w:after="0" w:line="240" w:lineRule="auto"/>
        <w:jc w:val="both"/>
        <w:rPr>
          <w:rFonts w:ascii="Simplified Arabic" w:hAnsi="Simplified Arabic" w:cs="Simplified Arabic"/>
          <w:sz w:val="28"/>
          <w:szCs w:val="28"/>
        </w:rPr>
      </w:pPr>
    </w:p>
    <w:p w14:paraId="5D29C245" w14:textId="77777777" w:rsidR="00B35152" w:rsidRPr="0050606C"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جدول</w:t>
      </w:r>
      <w:r>
        <w:rPr>
          <w:rFonts w:ascii="Simplified Arabic" w:hAnsi="Simplified Arabic" w:cs="Simplified Arabic"/>
          <w:sz w:val="28"/>
          <w:szCs w:val="28"/>
          <w:rtl/>
        </w:rPr>
        <w:t xml:space="preserve"> (3.2-</w:t>
      </w:r>
      <w:r>
        <w:rPr>
          <w:rFonts w:ascii="Simplified Arabic" w:hAnsi="Simplified Arabic" w:cs="Simplified Arabic" w:hint="cs"/>
          <w:sz w:val="28"/>
          <w:szCs w:val="28"/>
          <w:rtl/>
        </w:rPr>
        <w:t>أ</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المصادر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محاور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الاستبانة</w:t>
      </w:r>
    </w:p>
    <w:tbl>
      <w:tblPr>
        <w:tblStyle w:val="GridTable4-Accent1"/>
        <w:tblW w:w="8409" w:type="dxa"/>
        <w:tblLook w:val="04A0" w:firstRow="1" w:lastRow="0" w:firstColumn="1" w:lastColumn="0" w:noHBand="0" w:noVBand="1"/>
      </w:tblPr>
      <w:tblGrid>
        <w:gridCol w:w="3261"/>
        <w:gridCol w:w="3196"/>
        <w:gridCol w:w="1952"/>
      </w:tblGrid>
      <w:tr w:rsidR="00B35152" w:rsidRPr="00DB43FD" w14:paraId="390BE816"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260EC4C2"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tl/>
              </w:rPr>
              <w:t>المرجع الرئيسي المعتمد</w:t>
            </w:r>
          </w:p>
        </w:tc>
        <w:tc>
          <w:tcPr>
            <w:tcW w:w="3196" w:type="dxa"/>
            <w:vAlign w:val="center"/>
          </w:tcPr>
          <w:p w14:paraId="1F9F0B57" w14:textId="77777777" w:rsidR="00B35152" w:rsidRPr="00DB43FD" w:rsidRDefault="00B35152" w:rsidP="00B943E6">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المصادر العلمية</w:t>
            </w:r>
          </w:p>
        </w:tc>
        <w:tc>
          <w:tcPr>
            <w:tcW w:w="1952" w:type="dxa"/>
            <w:vAlign w:val="center"/>
          </w:tcPr>
          <w:p w14:paraId="3382B94F" w14:textId="77777777" w:rsidR="00B35152" w:rsidRPr="00DB43FD" w:rsidRDefault="00B35152" w:rsidP="00B943E6">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المحور</w:t>
            </w:r>
          </w:p>
        </w:tc>
      </w:tr>
      <w:tr w:rsidR="00B35152" w:rsidRPr="00DB43FD" w14:paraId="4401D4E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18D36C69"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EMVCo (2023); PCI DSS (2022); Al-Otaibi et al. (2023)</w:t>
            </w:r>
          </w:p>
        </w:tc>
        <w:tc>
          <w:tcPr>
            <w:tcW w:w="3196" w:type="dxa"/>
            <w:vAlign w:val="center"/>
          </w:tcPr>
          <w:p w14:paraId="01F2B883"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معايير دولية + دراسات تطبيقية في الترميز المالي</w:t>
            </w:r>
          </w:p>
        </w:tc>
        <w:tc>
          <w:tcPr>
            <w:tcW w:w="1952" w:type="dxa"/>
            <w:vAlign w:val="center"/>
          </w:tcPr>
          <w:p w14:paraId="579D2E30"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تطبيق تقنية الترميز</w:t>
            </w:r>
          </w:p>
        </w:tc>
      </w:tr>
      <w:tr w:rsidR="00B35152" w:rsidRPr="00DB43FD" w14:paraId="0C0743AB" w14:textId="77777777" w:rsidTr="00B943E6">
        <w:tc>
          <w:tcPr>
            <w:cnfStyle w:val="001000000000" w:firstRow="0" w:lastRow="0" w:firstColumn="1" w:lastColumn="0" w:oddVBand="0" w:evenVBand="0" w:oddHBand="0" w:evenHBand="0" w:firstRowFirstColumn="0" w:firstRowLastColumn="0" w:lastRowFirstColumn="0" w:lastRowLastColumn="0"/>
            <w:tcW w:w="3261" w:type="dxa"/>
            <w:vAlign w:val="center"/>
          </w:tcPr>
          <w:p w14:paraId="1551C796"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NCA (2022); NIST (2021); Al-Ghamdi &amp; Hassan (2022)</w:t>
            </w:r>
          </w:p>
        </w:tc>
        <w:tc>
          <w:tcPr>
            <w:tcW w:w="3196" w:type="dxa"/>
            <w:vAlign w:val="center"/>
          </w:tcPr>
          <w:p w14:paraId="7D629044"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إطار الأمن السيبراني الوطني + دراسات أمن المعلومات</w:t>
            </w:r>
          </w:p>
        </w:tc>
        <w:tc>
          <w:tcPr>
            <w:tcW w:w="1952" w:type="dxa"/>
            <w:vAlign w:val="center"/>
          </w:tcPr>
          <w:p w14:paraId="49458B8C"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الأمن السيبراني</w:t>
            </w:r>
          </w:p>
        </w:tc>
      </w:tr>
      <w:tr w:rsidR="00B35152" w:rsidRPr="00DB43FD" w14:paraId="7268A00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0DBBA761"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BIS (2022); Arner et al. (2023); Al-Zahrani (2023)</w:t>
            </w:r>
          </w:p>
        </w:tc>
        <w:tc>
          <w:tcPr>
            <w:tcW w:w="3196" w:type="dxa"/>
            <w:vAlign w:val="center"/>
          </w:tcPr>
          <w:p w14:paraId="7310E6D0"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تقارير دولية + دراسات كفاءة العمليات المالية</w:t>
            </w:r>
          </w:p>
        </w:tc>
        <w:tc>
          <w:tcPr>
            <w:tcW w:w="1952" w:type="dxa"/>
            <w:vAlign w:val="center"/>
          </w:tcPr>
          <w:p w14:paraId="6A73AAB4"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كفاءة العمليات المالية</w:t>
            </w:r>
          </w:p>
        </w:tc>
      </w:tr>
      <w:tr w:rsidR="00B35152" w:rsidRPr="00DB43FD" w14:paraId="7FA6D9C7" w14:textId="77777777" w:rsidTr="00B943E6">
        <w:tc>
          <w:tcPr>
            <w:cnfStyle w:val="001000000000" w:firstRow="0" w:lastRow="0" w:firstColumn="1" w:lastColumn="0" w:oddVBand="0" w:evenVBand="0" w:oddHBand="0" w:evenHBand="0" w:firstRowFirstColumn="0" w:firstRowLastColumn="0" w:lastRowFirstColumn="0" w:lastRowLastColumn="0"/>
            <w:tcW w:w="3261" w:type="dxa"/>
            <w:vAlign w:val="center"/>
          </w:tcPr>
          <w:p w14:paraId="32CFB77C" w14:textId="77777777" w:rsidR="00B35152" w:rsidRPr="00DB43FD" w:rsidRDefault="00B35152" w:rsidP="00B943E6">
            <w:pPr>
              <w:bidi/>
              <w:jc w:val="center"/>
              <w:rPr>
                <w:rFonts w:ascii="Simplified Arabic" w:hAnsi="Simplified Arabic" w:cs="Simplified Arabic"/>
                <w:sz w:val="24"/>
                <w:szCs w:val="24"/>
                <w:lang w:val="pt-BR"/>
              </w:rPr>
            </w:pPr>
            <w:r>
              <w:rPr>
                <w:rFonts w:ascii="Simplified Arabic" w:hAnsi="Simplified Arabic" w:cs="Simplified Arabic"/>
                <w:sz w:val="24"/>
                <w:szCs w:val="24"/>
                <w:lang w:val="pt-BR"/>
              </w:rPr>
              <w:t>SAMA (2023); Basel III; Al-Malki (2022)</w:t>
            </w:r>
          </w:p>
        </w:tc>
        <w:tc>
          <w:tcPr>
            <w:tcW w:w="3196" w:type="dxa"/>
            <w:vAlign w:val="center"/>
          </w:tcPr>
          <w:p w14:paraId="65BED79A"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لوائح ساما + إطار بازل + دراسات الامتثال</w:t>
            </w:r>
          </w:p>
        </w:tc>
        <w:tc>
          <w:tcPr>
            <w:tcW w:w="1952" w:type="dxa"/>
            <w:vAlign w:val="center"/>
          </w:tcPr>
          <w:p w14:paraId="65621AB1"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r>
      <w:tr w:rsidR="00B35152" w:rsidRPr="00DB43FD" w14:paraId="50A829B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3EFDB38F"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Rogers (2003); Venkatesh et al. (2021); Al-Shehri (2022)</w:t>
            </w:r>
          </w:p>
        </w:tc>
        <w:tc>
          <w:tcPr>
            <w:tcW w:w="3196" w:type="dxa"/>
            <w:vAlign w:val="center"/>
          </w:tcPr>
          <w:p w14:paraId="25DE4FFD"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نظرية الابتكار</w:t>
            </w:r>
            <w:r>
              <w:rPr>
                <w:rFonts w:ascii="Simplified Arabic" w:hAnsi="Simplified Arabic" w:cs="Simplified Arabic"/>
                <w:sz w:val="24"/>
                <w:szCs w:val="24"/>
              </w:rPr>
              <w:t xml:space="preserve"> + UTAUT + </w:t>
            </w:r>
            <w:r>
              <w:rPr>
                <w:rFonts w:ascii="Simplified Arabic" w:hAnsi="Simplified Arabic" w:cs="Simplified Arabic"/>
                <w:sz w:val="24"/>
                <w:szCs w:val="24"/>
                <w:rtl/>
              </w:rPr>
              <w:t>دراسات التبني التقني</w:t>
            </w:r>
          </w:p>
        </w:tc>
        <w:tc>
          <w:tcPr>
            <w:tcW w:w="1952" w:type="dxa"/>
            <w:vAlign w:val="center"/>
          </w:tcPr>
          <w:p w14:paraId="5CAF6AFC"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تحديات التطبيق</w:t>
            </w:r>
          </w:p>
        </w:tc>
      </w:tr>
    </w:tbl>
    <w:p w14:paraId="5E5598CA" w14:textId="77777777" w:rsidR="00B35152" w:rsidRPr="00085CAB" w:rsidRDefault="00B35152" w:rsidP="00B35152">
      <w:pPr>
        <w:bidi/>
        <w:spacing w:after="0" w:line="240" w:lineRule="auto"/>
        <w:jc w:val="both"/>
        <w:rPr>
          <w:rFonts w:ascii="Simplified Arabic" w:hAnsi="Simplified Arabic" w:cs="Simplified Arabic"/>
          <w:sz w:val="28"/>
          <w:szCs w:val="28"/>
        </w:rPr>
      </w:pPr>
    </w:p>
    <w:p w14:paraId="14D35D85" w14:textId="77777777" w:rsidR="00B35152" w:rsidRPr="00310DA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3.6</w:t>
      </w:r>
      <w:r>
        <w:rPr>
          <w:rFonts w:ascii="Simplified Arabic" w:hAnsi="Simplified Arabic" w:cs="Simplified Arabic"/>
          <w:b/>
          <w:bCs/>
          <w:color w:val="auto"/>
          <w:sz w:val="28"/>
          <w:szCs w:val="28"/>
          <w:u w:val="single"/>
          <w:rtl/>
        </w:rPr>
        <w:t xml:space="preserve"> صدق أداة القياس</w:t>
      </w:r>
    </w:p>
    <w:p w14:paraId="0BB76C85" w14:textId="77777777" w:rsidR="00B35152" w:rsidRPr="00DD4597"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3.6.1</w:t>
      </w:r>
      <w:r>
        <w:rPr>
          <w:rFonts w:ascii="Simplified Arabic" w:hAnsi="Simplified Arabic" w:cs="Simplified Arabic"/>
          <w:b/>
          <w:bCs/>
          <w:sz w:val="28"/>
          <w:szCs w:val="28"/>
          <w:rtl/>
        </w:rPr>
        <w:t xml:space="preserve"> صدق المحكّمين</w:t>
      </w:r>
    </w:p>
    <w:p w14:paraId="16CADC72" w14:textId="77777777" w:rsidR="00B35152" w:rsidRPr="00085CAB"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ستُعرَض الاستبانة في صورتها الأولية على مجموعة من الأساتذة المتخصصين في مجالات الأمن السيبراني والتقنية المالية والمناهج البحثية، بهدف تقييم: مدى ملاءمة العبارات للمتغيرات التي صُمِّمت لقياسها، ووضوح الصياغة اللغوية وسلامتها، وشمولية المحاور وتغطية أهداف الدراسة. وبناءً على ملاحظاتهم، ستُعدَّل العبارات التي تستدعي التعديل أو الحذف أو الإضافة قبل التطبيق الفعلي.</w:t>
      </w:r>
    </w:p>
    <w:p w14:paraId="7F77C8BE" w14:textId="77777777" w:rsidR="00B35152" w:rsidRPr="00DD4597"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lastRenderedPageBreak/>
        <w:t>3.6.2</w:t>
      </w:r>
      <w:r>
        <w:rPr>
          <w:rFonts w:ascii="Simplified Arabic" w:hAnsi="Simplified Arabic" w:cs="Simplified Arabic"/>
          <w:b/>
          <w:bCs/>
          <w:sz w:val="28"/>
          <w:szCs w:val="28"/>
          <w:rtl/>
        </w:rPr>
        <w:t xml:space="preserve"> صدق الاتساق الداخلي</w:t>
      </w:r>
    </w:p>
    <w:p w14:paraId="315D1E3B"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بعد جمع بيانات الدراسة الاستطلاعية، سيُحسَب معامل الارتباط بين درجة كل عبارة والدرجة الكلية للمتغير الذي تنتمي إليه. وتُعدّ العبارة صادقة داخلياً إذا تجاوز معامل ارتباطها القيمة (0.30) عند مستوى دلالة إحصائية (</w:t>
      </w:r>
      <w:r>
        <w:rPr>
          <w:rFonts w:ascii="Simplified Arabic" w:hAnsi="Simplified Arabic" w:cs="Simplified Arabic"/>
          <w:sz w:val="28"/>
          <w:szCs w:val="28"/>
        </w:rPr>
        <w:t>p &lt; 0.05</w:t>
      </w:r>
      <w:r>
        <w:rPr>
          <w:rFonts w:ascii="Simplified Arabic" w:hAnsi="Simplified Arabic" w:cs="Simplified Arabic"/>
          <w:sz w:val="28"/>
          <w:szCs w:val="28"/>
          <w:rtl/>
        </w:rPr>
        <w:t>)، مما يُثبت اتساقها الداخلي وجودة انتمائها لمحورها. وستُعرَض قيم معاملات الارتباط لجميع الفقرات في جدول تفصيلي يُبيّن: رقم الفقرة، معامل الارتباط مع البُعد، معامل الارتباط مع الدرجة الكلية للمتغير، والدلالة الإحصائية (</w:t>
      </w:r>
      <w:r>
        <w:rPr>
          <w:rFonts w:ascii="Simplified Arabic" w:hAnsi="Simplified Arabic" w:cs="Simplified Arabic"/>
          <w:sz w:val="28"/>
          <w:szCs w:val="28"/>
        </w:rPr>
        <w:t>p</w:t>
      </w:r>
      <w:r>
        <w:rPr>
          <w:rFonts w:ascii="Simplified Arabic" w:hAnsi="Simplified Arabic" w:cs="Simplified Arabic"/>
          <w:sz w:val="28"/>
          <w:szCs w:val="28"/>
          <w:rtl/>
        </w:rPr>
        <w:t>).</w:t>
      </w:r>
    </w:p>
    <w:p w14:paraId="5C5D84FD"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1660"/>
        <w:gridCol w:w="1659"/>
        <w:gridCol w:w="1659"/>
        <w:gridCol w:w="1659"/>
        <w:gridCol w:w="1659"/>
      </w:tblGrid>
      <w:tr w:rsidR="00B35152" w:rsidRPr="00085CAB" w14:paraId="4B76888B"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0AC3C9A9"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القيمة الاحتمالية</w:t>
            </w:r>
          </w:p>
        </w:tc>
        <w:tc>
          <w:tcPr>
            <w:tcW w:w="1000" w:type="pct"/>
            <w:vAlign w:val="center"/>
          </w:tcPr>
          <w:p w14:paraId="141C1384"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معامل الارتباط مع الدرجة الكلية</w:t>
            </w:r>
          </w:p>
        </w:tc>
        <w:tc>
          <w:tcPr>
            <w:tcW w:w="1000" w:type="pct"/>
            <w:vAlign w:val="center"/>
          </w:tcPr>
          <w:p w14:paraId="14256E7F"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القيمة الاحتمالية</w:t>
            </w:r>
          </w:p>
        </w:tc>
        <w:tc>
          <w:tcPr>
            <w:tcW w:w="1000" w:type="pct"/>
            <w:vAlign w:val="center"/>
          </w:tcPr>
          <w:p w14:paraId="7B0CB2CF"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معامل الارتباط مع البُعد</w:t>
            </w:r>
          </w:p>
        </w:tc>
        <w:tc>
          <w:tcPr>
            <w:tcW w:w="1000" w:type="pct"/>
            <w:vAlign w:val="center"/>
          </w:tcPr>
          <w:p w14:paraId="3134A3A4"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رقم العبارة</w:t>
            </w:r>
          </w:p>
        </w:tc>
      </w:tr>
      <w:tr w:rsidR="00B35152" w:rsidRPr="00085CAB" w14:paraId="456FCD3D"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1D611EA8"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31E1C48F"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3D3E7E43"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217EA1CA"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121186DF"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r>
      <w:tr w:rsidR="00B35152" w:rsidRPr="00085CAB" w14:paraId="74F06232" w14:textId="77777777" w:rsidTr="00B943E6">
        <w:tc>
          <w:tcPr>
            <w:cnfStyle w:val="001000000000" w:firstRow="0" w:lastRow="0" w:firstColumn="1" w:lastColumn="0" w:oddVBand="0" w:evenVBand="0" w:oddHBand="0" w:evenHBand="0" w:firstRowFirstColumn="0" w:firstRowLastColumn="0" w:lastRowFirstColumn="0" w:lastRowLastColumn="0"/>
            <w:tcW w:w="1000" w:type="pct"/>
            <w:vAlign w:val="center"/>
          </w:tcPr>
          <w:p w14:paraId="6D2167C9"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359786ED"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11200426"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144BD550"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3C4317AF"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r>
      <w:tr w:rsidR="00B35152" w:rsidRPr="00085CAB" w14:paraId="6E806EC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44F41F43"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646013FF"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54EC027D"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7D2861FA"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1143BB98"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r>
    </w:tbl>
    <w:p w14:paraId="50271A8B"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جدول (3.3): نموذج نتائج صدق الاتساق الداخلي (</w:t>
      </w:r>
      <w:r>
        <w:rPr>
          <w:rFonts w:ascii="Simplified Arabic" w:hAnsi="Simplified Arabic" w:cs="Simplified Arabic"/>
          <w:b/>
          <w:bCs/>
          <w:sz w:val="28"/>
          <w:szCs w:val="28"/>
          <w:u w:val="single"/>
          <w:rtl/>
        </w:rPr>
        <w:t>سيُكتمَل بعد جمع البيانات</w:t>
      </w:r>
      <w:r>
        <w:rPr>
          <w:rFonts w:ascii="Simplified Arabic" w:hAnsi="Simplified Arabic" w:cs="Simplified Arabic"/>
          <w:sz w:val="28"/>
          <w:szCs w:val="28"/>
          <w:rtl/>
        </w:rPr>
        <w:t>)</w:t>
      </w:r>
    </w:p>
    <w:p w14:paraId="0732145A" w14:textId="77777777" w:rsidR="00B35152" w:rsidRDefault="00B35152" w:rsidP="00B35152">
      <w:pPr>
        <w:bidi/>
        <w:spacing w:after="0" w:line="240" w:lineRule="auto"/>
        <w:jc w:val="both"/>
        <w:rPr>
          <w:rFonts w:ascii="Simplified Arabic" w:hAnsi="Simplified Arabic" w:cs="Simplified Arabic"/>
          <w:sz w:val="28"/>
          <w:szCs w:val="28"/>
          <w:rtl/>
        </w:rPr>
      </w:pPr>
    </w:p>
    <w:p w14:paraId="2743699C" w14:textId="77777777" w:rsidR="00B35152" w:rsidRDefault="00B35152" w:rsidP="00B35152">
      <w:pPr>
        <w:bidi/>
        <w:spacing w:after="0" w:line="240" w:lineRule="auto"/>
        <w:jc w:val="both"/>
        <w:rPr>
          <w:rFonts w:ascii="Simplified Arabic" w:hAnsi="Simplified Arabic" w:cs="Simplified Arabic"/>
          <w:sz w:val="28"/>
          <w:szCs w:val="28"/>
          <w:rtl/>
        </w:rPr>
      </w:pPr>
    </w:p>
    <w:p w14:paraId="60373FE4" w14:textId="77777777" w:rsidR="00B35152" w:rsidRPr="00682DDF"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3.6.3</w:t>
      </w:r>
      <w:r>
        <w:rPr>
          <w:rFonts w:ascii="Simplified Arabic" w:hAnsi="Simplified Arabic" w:cs="Simplified Arabic" w:hint="cs"/>
          <w:b/>
          <w:bCs/>
          <w:sz w:val="28"/>
          <w:szCs w:val="28"/>
          <w:rtl/>
        </w:rPr>
        <w:t xml:space="preserve"> صدق</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المحتوى</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وإجراءات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التحكيم</w:t>
      </w:r>
    </w:p>
    <w:p w14:paraId="429AECD6"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يُعدّ صدق المحتوى (</w:t>
      </w:r>
      <w:r>
        <w:rPr>
          <w:rFonts w:ascii="Simplified Arabic" w:hAnsi="Simplified Arabic" w:cs="Simplified Arabic"/>
          <w:sz w:val="28"/>
          <w:szCs w:val="28"/>
        </w:rPr>
        <w:t>Content Validity</w:t>
      </w:r>
      <w:r>
        <w:rPr>
          <w:rFonts w:ascii="Simplified Arabic" w:hAnsi="Simplified Arabic" w:cs="Simplified Arabic"/>
          <w:sz w:val="28"/>
          <w:szCs w:val="28"/>
          <w:rtl/>
        </w:rPr>
        <w:t xml:space="preserve">) ركيزةً أساسية في التحقق من قدرة الاستبانة على قياس المفاهيم التي صُمِّمت لأجلها. ولإثبات هذا الصدق، ستُعرَض الاستبانة في صورتها الأولية على مجموعة من المحكّمين المتخصصين من جامعة </w:t>
      </w:r>
      <w:proofErr w:type="spellStart"/>
      <w:r>
        <w:rPr>
          <w:rFonts w:ascii="Simplified Arabic" w:hAnsi="Simplified Arabic" w:cs="Simplified Arabic"/>
          <w:sz w:val="28"/>
          <w:szCs w:val="28"/>
          <w:rtl/>
        </w:rPr>
        <w:t>Midocean</w:t>
      </w:r>
      <w:proofErr w:type="spellEnd"/>
      <w:r>
        <w:rPr>
          <w:rFonts w:ascii="Simplified Arabic" w:hAnsi="Simplified Arabic" w:cs="Simplified Arabic"/>
          <w:sz w:val="28"/>
          <w:szCs w:val="28"/>
          <w:rtl/>
        </w:rPr>
        <w:t xml:space="preserve"> قبل تطبيقها الفعلي.</w:t>
      </w:r>
    </w:p>
    <w:p w14:paraId="4C7CB3DE"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أولاً: المحكّمون وتخصصاتهم</w:t>
      </w:r>
    </w:p>
    <w:p w14:paraId="670D3B97"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سيُستعان بمجموعة من الأساتذة المتخصصين من جامعة </w:t>
      </w:r>
      <w:proofErr w:type="spellStart"/>
      <w:r>
        <w:rPr>
          <w:rFonts w:ascii="Simplified Arabic" w:hAnsi="Simplified Arabic" w:cs="Simplified Arabic"/>
          <w:sz w:val="28"/>
          <w:szCs w:val="28"/>
          <w:rtl/>
        </w:rPr>
        <w:t>Midocean</w:t>
      </w:r>
      <w:proofErr w:type="spellEnd"/>
      <w:r>
        <w:rPr>
          <w:rFonts w:ascii="Simplified Arabic" w:hAnsi="Simplified Arabic" w:cs="Simplified Arabic"/>
          <w:sz w:val="28"/>
          <w:szCs w:val="28"/>
          <w:rtl/>
        </w:rPr>
        <w:t>، وذلك قبل الشروع في توزيع الاستبانة على عينة الدراسة الأساسية. ويُختار المحكّمون من ذوي الخبرة الأكاديمية في مجالات: الأمن السيبراني، وتقنية المعلومات المالية، والمناهج البحثية الكمية. وسيُوثَّق لكل محكّم: الاسم والتخصص الأكاديمي، وجهة العمل، والمؤهل العلمي.</w:t>
      </w:r>
    </w:p>
    <w:p w14:paraId="01B3F7EF"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ثانياً: إجراءات التحكيم</w:t>
      </w:r>
    </w:p>
    <w:p w14:paraId="703B4AC3"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 xml:space="preserve">ستُرسَل الاستبانة في صورتها الأولية إلى المحكّمين من أعضاء هيئة التدريس في جامعة </w:t>
      </w:r>
      <w:proofErr w:type="spellStart"/>
      <w:r>
        <w:rPr>
          <w:rFonts w:ascii="Simplified Arabic" w:hAnsi="Simplified Arabic" w:cs="Simplified Arabic"/>
          <w:sz w:val="28"/>
          <w:szCs w:val="28"/>
          <w:rtl/>
        </w:rPr>
        <w:t>Midocean</w:t>
      </w:r>
      <w:proofErr w:type="spellEnd"/>
      <w:r>
        <w:rPr>
          <w:rFonts w:ascii="Simplified Arabic" w:hAnsi="Simplified Arabic" w:cs="Simplified Arabic"/>
          <w:sz w:val="28"/>
          <w:szCs w:val="28"/>
          <w:rtl/>
        </w:rPr>
        <w:t>، وسيُطلَب من كل محكّم تقييمها من حيث: مدى ملاءمة العبارات للمتغيرات التي تقيسها، ووضوح الصياغة اللغوية، وشمولية المحاور، ومناسبة التدرج الخماسي للسياق التطبيقي. وستُلخَّص ملاحظات المحكّمين في جدول يبيّن كل ملاحظة والإجراء المتخذ حيالها: (تعديل / حذف / إبقاء / إضافة). ولن تُوزَّع الاستبانة على عينة الدراسة الأساسية إلا بعد الأخذ بمرئيات المحكّمين وإجراء التعديلات اللازمة.</w:t>
      </w:r>
    </w:p>
    <w:p w14:paraId="2DB00ADD"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ثالثاً: معيار قبول التحكيم</w:t>
      </w:r>
    </w:p>
    <w:p w14:paraId="559D799B"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تُعدّ الفقرة مقبولة إذا حصلت على موافقة ما لا يقل عن (80%) من المحكّمين. أما الفقرات التي تقل نسبة موافقتها عن ذلك فتُعرَض للمراجعة والتعديل أو الحذف وفق طبيعة الملاحظات الواردة.</w:t>
      </w:r>
    </w:p>
    <w:p w14:paraId="154F076D" w14:textId="77777777" w:rsidR="00B35152" w:rsidRDefault="00B35152" w:rsidP="00B35152">
      <w:pPr>
        <w:bidi/>
        <w:spacing w:after="0"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رابعاً: التعديلات اللغوية والمنهجية على فقرات الاستبانة</w:t>
      </w:r>
    </w:p>
    <w:p w14:paraId="13DCAB74"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بناءً على ملاحظات المحكّمين، جرى تحويل عدد من الفقرات التي كانت تفترض وجود علاقة سببية مباشرة إلى صيغة إدراكية (</w:t>
      </w:r>
      <w:proofErr w:type="spellStart"/>
      <w:r>
        <w:rPr>
          <w:rFonts w:ascii="Simplified Arabic" w:hAnsi="Simplified Arabic" w:cs="Simplified Arabic"/>
          <w:sz w:val="28"/>
          <w:szCs w:val="28"/>
          <w:rtl/>
        </w:rPr>
        <w:t>perception-based</w:t>
      </w:r>
      <w:proofErr w:type="spellEnd"/>
      <w:r>
        <w:rPr>
          <w:rFonts w:ascii="Simplified Arabic" w:hAnsi="Simplified Arabic" w:cs="Simplified Arabic"/>
          <w:sz w:val="28"/>
          <w:szCs w:val="28"/>
          <w:rtl/>
        </w:rPr>
        <w:t xml:space="preserve">)، وذلك لأن المشاركين لا يمتلكون بيانات إحصائية مؤكدة تُثبت هذه العلاقات بشكل قاطع، فضلاً عن إجراء تحسينات لغوية على عدد من الصياغات لضمان الدقة والوضوح. ومن أبرز هذه التحسينات اللغوية: استبدال صيغة الفعل الماضي الدال على النتيجة المحققة (مثل "أسهم" </w:t>
      </w:r>
      <w:proofErr w:type="spellStart"/>
      <w:r>
        <w:rPr>
          <w:rFonts w:ascii="Simplified Arabic" w:hAnsi="Simplified Arabic" w:cs="Simplified Arabic"/>
          <w:sz w:val="28"/>
          <w:szCs w:val="28"/>
          <w:rtl/>
        </w:rPr>
        <w:t>و"قلّل</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و"حسّن</w:t>
      </w:r>
      <w:proofErr w:type="spellEnd"/>
      <w:r>
        <w:rPr>
          <w:rFonts w:ascii="Simplified Arabic" w:hAnsi="Simplified Arabic" w:cs="Simplified Arabic"/>
          <w:sz w:val="28"/>
          <w:szCs w:val="28"/>
          <w:rtl/>
        </w:rPr>
        <w:t xml:space="preserve">") بصيغة المضارع الدال على الإدراك والتقدير (مثل "يُسهم في تعزيز" </w:t>
      </w:r>
      <w:proofErr w:type="spellStart"/>
      <w:r>
        <w:rPr>
          <w:rFonts w:ascii="Simplified Arabic" w:hAnsi="Simplified Arabic" w:cs="Simplified Arabic"/>
          <w:sz w:val="28"/>
          <w:szCs w:val="28"/>
          <w:rtl/>
        </w:rPr>
        <w:t>و"يُسهم</w:t>
      </w:r>
      <w:proofErr w:type="spellEnd"/>
      <w:r>
        <w:rPr>
          <w:rFonts w:ascii="Simplified Arabic" w:hAnsi="Simplified Arabic" w:cs="Simplified Arabic"/>
          <w:sz w:val="28"/>
          <w:szCs w:val="28"/>
          <w:rtl/>
        </w:rPr>
        <w:t xml:space="preserve"> في تقليل")، وتوحيد أسلوب بداية الفقرات لتنسجم مع السياق الإدراكي للاستبانة. ويوضح الجدول التالي مقارنة بين الصياغة الأصلية والصياغة المعدَّلة:</w:t>
      </w:r>
    </w:p>
    <w:tbl>
      <w:tblPr>
        <w:tblStyle w:val="TableGrid"/>
        <w:bidiVisual/>
        <w:tblW w:w="9026" w:type="dxa"/>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Look w:val="0000" w:firstRow="0" w:lastRow="0" w:firstColumn="0" w:lastColumn="0" w:noHBand="0" w:noVBand="0"/>
      </w:tblPr>
      <w:tblGrid>
        <w:gridCol w:w="500"/>
        <w:gridCol w:w="4263"/>
        <w:gridCol w:w="4263"/>
      </w:tblGrid>
      <w:tr w:rsidR="00B35152" w14:paraId="7EE35255" w14:textId="77777777" w:rsidTr="00B943E6">
        <w:tc>
          <w:tcPr>
            <w:tcW w:w="500" w:type="dxa"/>
            <w:shd w:val="clear" w:color="auto" w:fill="1F4E79"/>
          </w:tcPr>
          <w:p w14:paraId="13AA463A" w14:textId="77777777" w:rsidR="00B35152" w:rsidRDefault="00B35152" w:rsidP="00B943E6">
            <w:pPr>
              <w:bidi/>
              <w:jc w:val="center"/>
              <w:rPr>
                <w:rFonts w:ascii="Simplified Arabic" w:hAnsi="Simplified Arabic" w:cs="Simplified Arabic"/>
                <w:b/>
                <w:color w:val="FFFFFF"/>
              </w:rPr>
            </w:pPr>
            <w:r>
              <w:rPr>
                <w:rFonts w:ascii="Simplified Arabic" w:hAnsi="Simplified Arabic" w:cs="Simplified Arabic"/>
                <w:b/>
                <w:color w:val="FFFFFF"/>
              </w:rPr>
              <w:t>#</w:t>
            </w:r>
          </w:p>
        </w:tc>
        <w:tc>
          <w:tcPr>
            <w:tcW w:w="4263" w:type="dxa"/>
            <w:shd w:val="clear" w:color="auto" w:fill="1F4E79"/>
          </w:tcPr>
          <w:p w14:paraId="0654E4AF" w14:textId="77777777" w:rsidR="00B35152" w:rsidRDefault="00B35152" w:rsidP="00B943E6">
            <w:pPr>
              <w:bidi/>
              <w:jc w:val="center"/>
              <w:rPr>
                <w:rFonts w:ascii="Simplified Arabic" w:hAnsi="Simplified Arabic" w:cs="Simplified Arabic"/>
                <w:b/>
                <w:color w:val="FFFFFF"/>
                <w:rtl/>
              </w:rPr>
            </w:pPr>
            <w:r>
              <w:rPr>
                <w:rFonts w:ascii="Simplified Arabic" w:hAnsi="Simplified Arabic" w:cs="Simplified Arabic"/>
                <w:b/>
                <w:color w:val="FFFFFF"/>
                <w:rtl/>
              </w:rPr>
              <w:t>الصياغة الأصلية (سببية)</w:t>
            </w:r>
          </w:p>
        </w:tc>
        <w:tc>
          <w:tcPr>
            <w:tcW w:w="4263" w:type="dxa"/>
            <w:shd w:val="clear" w:color="auto" w:fill="1F4E79"/>
          </w:tcPr>
          <w:p w14:paraId="01D5B73D" w14:textId="77777777" w:rsidR="00B35152" w:rsidRDefault="00B35152" w:rsidP="00B943E6">
            <w:pPr>
              <w:bidi/>
              <w:jc w:val="center"/>
              <w:rPr>
                <w:rFonts w:ascii="Simplified Arabic" w:hAnsi="Simplified Arabic" w:cs="Simplified Arabic"/>
                <w:b/>
                <w:color w:val="FFFFFF"/>
                <w:rtl/>
              </w:rPr>
            </w:pPr>
            <w:r>
              <w:rPr>
                <w:rFonts w:ascii="Simplified Arabic" w:hAnsi="Simplified Arabic" w:cs="Simplified Arabic"/>
                <w:b/>
                <w:color w:val="FFFFFF"/>
                <w:rtl/>
              </w:rPr>
              <w:t>الصياغة المعدَّلة (إدراكية)</w:t>
            </w:r>
          </w:p>
        </w:tc>
      </w:tr>
      <w:tr w:rsidR="00B35152" w14:paraId="2E41437E" w14:textId="77777777" w:rsidTr="00B943E6">
        <w:tc>
          <w:tcPr>
            <w:tcW w:w="500" w:type="dxa"/>
          </w:tcPr>
          <w:p w14:paraId="71DA8967"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1</w:t>
            </w:r>
          </w:p>
        </w:tc>
        <w:tc>
          <w:tcPr>
            <w:tcW w:w="4263" w:type="dxa"/>
          </w:tcPr>
          <w:p w14:paraId="67D6355E"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أسهم تطبيق تقنية الترميز في تقليص عدد حوادث اختراق البيانات.</w:t>
            </w:r>
          </w:p>
        </w:tc>
        <w:tc>
          <w:tcPr>
            <w:tcW w:w="4263" w:type="dxa"/>
            <w:shd w:val="clear" w:color="auto" w:fill="EBF3E8"/>
          </w:tcPr>
          <w:p w14:paraId="1FCA4838"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تطبيق تقنية الترميز في تعزيز حماية البيانات من الاختراقات وتقليص مخاطرها.</w:t>
            </w:r>
          </w:p>
        </w:tc>
      </w:tr>
      <w:tr w:rsidR="00B35152" w14:paraId="7C502038" w14:textId="77777777" w:rsidTr="00B943E6">
        <w:tc>
          <w:tcPr>
            <w:tcW w:w="500" w:type="dxa"/>
            <w:shd w:val="clear" w:color="auto" w:fill="E8F0F7"/>
          </w:tcPr>
          <w:p w14:paraId="18C706A0"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2</w:t>
            </w:r>
          </w:p>
        </w:tc>
        <w:tc>
          <w:tcPr>
            <w:tcW w:w="4263" w:type="dxa"/>
            <w:shd w:val="clear" w:color="auto" w:fill="E8F0F7"/>
          </w:tcPr>
          <w:p w14:paraId="2655F767"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يسرّع الترميز عملية الاستجابة للحوادث السيبرانية.</w:t>
            </w:r>
          </w:p>
        </w:tc>
        <w:tc>
          <w:tcPr>
            <w:tcW w:w="4263" w:type="dxa"/>
            <w:shd w:val="clear" w:color="auto" w:fill="EBF3E8"/>
          </w:tcPr>
          <w:p w14:paraId="4B00E4A3"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تسريع الاستجابة للحوادث السيبرانية وتحسين الأثر المُحتوَى.</w:t>
            </w:r>
          </w:p>
        </w:tc>
      </w:tr>
      <w:tr w:rsidR="00B35152" w14:paraId="48FD7D7B" w14:textId="77777777" w:rsidTr="00B943E6">
        <w:tc>
          <w:tcPr>
            <w:tcW w:w="500" w:type="dxa"/>
          </w:tcPr>
          <w:p w14:paraId="28F110D6"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3</w:t>
            </w:r>
          </w:p>
        </w:tc>
        <w:tc>
          <w:tcPr>
            <w:tcW w:w="4263" w:type="dxa"/>
          </w:tcPr>
          <w:p w14:paraId="431FAB66"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استيفاء متطلبات الضوابط الأساسية للأمن السيبراني.</w:t>
            </w:r>
          </w:p>
        </w:tc>
        <w:tc>
          <w:tcPr>
            <w:tcW w:w="4263" w:type="dxa"/>
            <w:shd w:val="clear" w:color="auto" w:fill="EBF3E8"/>
          </w:tcPr>
          <w:p w14:paraId="30FF30BD"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تطبيق الترميز في تحقيق متطلبات الضوابط الأساسية للأمن السيبراني (ECC).</w:t>
            </w:r>
          </w:p>
        </w:tc>
      </w:tr>
      <w:tr w:rsidR="00B35152" w14:paraId="593C486F" w14:textId="77777777" w:rsidTr="00B943E6">
        <w:tc>
          <w:tcPr>
            <w:tcW w:w="500" w:type="dxa"/>
            <w:shd w:val="clear" w:color="auto" w:fill="E8F0F7"/>
          </w:tcPr>
          <w:p w14:paraId="3FC3A1B7"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4</w:t>
            </w:r>
          </w:p>
        </w:tc>
        <w:tc>
          <w:tcPr>
            <w:tcW w:w="4263" w:type="dxa"/>
            <w:shd w:val="clear" w:color="auto" w:fill="E8F0F7"/>
          </w:tcPr>
          <w:p w14:paraId="4F1FAEA4"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يتيح الترميز تكاملاً أكثر سلاسة مع الأنظمة الخارجية.</w:t>
            </w:r>
          </w:p>
        </w:tc>
        <w:tc>
          <w:tcPr>
            <w:tcW w:w="4263" w:type="dxa"/>
            <w:shd w:val="clear" w:color="auto" w:fill="EBF3E8"/>
          </w:tcPr>
          <w:p w14:paraId="0D7B9629"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تحقيق تكامل أكثر سلاسة مع الأنظمة المالية الخارجية والشركاء التجاريين.</w:t>
            </w:r>
          </w:p>
        </w:tc>
      </w:tr>
      <w:tr w:rsidR="00B35152" w14:paraId="53DD707E" w14:textId="77777777" w:rsidTr="00B943E6">
        <w:tc>
          <w:tcPr>
            <w:tcW w:w="500" w:type="dxa"/>
          </w:tcPr>
          <w:p w14:paraId="78B3A43C"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5</w:t>
            </w:r>
          </w:p>
        </w:tc>
        <w:tc>
          <w:tcPr>
            <w:tcW w:w="4263" w:type="dxa"/>
          </w:tcPr>
          <w:p w14:paraId="1EB090CD"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حسّن الترميز تجربة العملاء في المعاملات الرقمية.</w:t>
            </w:r>
          </w:p>
        </w:tc>
        <w:tc>
          <w:tcPr>
            <w:tcW w:w="4263" w:type="dxa"/>
            <w:shd w:val="clear" w:color="auto" w:fill="EBF3E8"/>
          </w:tcPr>
          <w:p w14:paraId="76AFDDD0"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رفع كفاءة تنفيذ المعاملات من حيث السرعة والدقة والإنتاجية التشغيلية.</w:t>
            </w:r>
          </w:p>
        </w:tc>
      </w:tr>
      <w:tr w:rsidR="00B35152" w14:paraId="1969EAD5" w14:textId="77777777" w:rsidTr="00B943E6">
        <w:tc>
          <w:tcPr>
            <w:tcW w:w="500" w:type="dxa"/>
            <w:shd w:val="clear" w:color="auto" w:fill="E8F0F7"/>
          </w:tcPr>
          <w:p w14:paraId="71317C65"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lastRenderedPageBreak/>
              <w:t>6</w:t>
            </w:r>
          </w:p>
        </w:tc>
        <w:tc>
          <w:tcPr>
            <w:tcW w:w="4263" w:type="dxa"/>
            <w:shd w:val="clear" w:color="auto" w:fill="E8F0F7"/>
          </w:tcPr>
          <w:p w14:paraId="127E1ABE"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خفّض الترميز التكاليف التشغيلية المرتبطة بأمن البيانات.</w:t>
            </w:r>
          </w:p>
        </w:tc>
        <w:tc>
          <w:tcPr>
            <w:tcW w:w="4263" w:type="dxa"/>
            <w:shd w:val="clear" w:color="auto" w:fill="EBF3E8"/>
          </w:tcPr>
          <w:p w14:paraId="0AD49BCE"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خفض التكاليف التشغيلية المرتبطة بإدارة أمن البيانات.</w:t>
            </w:r>
          </w:p>
        </w:tc>
      </w:tr>
      <w:tr w:rsidR="00B35152" w14:paraId="153748E0" w14:textId="77777777" w:rsidTr="00B943E6">
        <w:tc>
          <w:tcPr>
            <w:tcW w:w="500" w:type="dxa"/>
          </w:tcPr>
          <w:p w14:paraId="0F629B50"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7</w:t>
            </w:r>
          </w:p>
        </w:tc>
        <w:tc>
          <w:tcPr>
            <w:tcW w:w="4263" w:type="dxa"/>
          </w:tcPr>
          <w:p w14:paraId="54ED0CCD"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قلّل الترميز معدلات الأخطاء في المعاملات المالية.</w:t>
            </w:r>
          </w:p>
        </w:tc>
        <w:tc>
          <w:tcPr>
            <w:tcW w:w="4263" w:type="dxa"/>
            <w:shd w:val="clear" w:color="auto" w:fill="EBF3E8"/>
          </w:tcPr>
          <w:p w14:paraId="2510EBEA"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تقليل معدلات الأخطاء وتحسين الدقة في معالجة المعاملات المالية الرقمية.</w:t>
            </w:r>
          </w:p>
        </w:tc>
      </w:tr>
    </w:tbl>
    <w:p w14:paraId="04F37D30" w14:textId="77777777" w:rsidR="00B35152" w:rsidRDefault="00B35152" w:rsidP="00B35152">
      <w:pPr>
        <w:bidi/>
        <w:spacing w:after="0" w:line="240" w:lineRule="auto"/>
        <w:jc w:val="center"/>
        <w:rPr>
          <w:rFonts w:ascii="Simplified Arabic" w:hAnsi="Simplified Arabic" w:cs="Simplified Arabic"/>
          <w:sz w:val="24"/>
          <w:szCs w:val="24"/>
          <w:rtl/>
        </w:rPr>
      </w:pPr>
      <w:r>
        <w:rPr>
          <w:rFonts w:ascii="Simplified Arabic" w:hAnsi="Simplified Arabic" w:cs="Simplified Arabic"/>
          <w:sz w:val="24"/>
          <w:szCs w:val="24"/>
          <w:rtl/>
        </w:rPr>
        <w:t>جدول (3.6-أ): مقارنة الصياغات الأصلية والمعدَّلة للفقرات السببية</w:t>
      </w:r>
    </w:p>
    <w:p w14:paraId="0C165CAD"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50EE2234" w14:textId="77777777" w:rsidR="00B35152" w:rsidRPr="00310DA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3.7</w:t>
      </w:r>
      <w:r>
        <w:rPr>
          <w:rFonts w:ascii="Simplified Arabic" w:hAnsi="Simplified Arabic" w:cs="Simplified Arabic"/>
          <w:b/>
          <w:bCs/>
          <w:color w:val="auto"/>
          <w:sz w:val="28"/>
          <w:szCs w:val="28"/>
          <w:u w:val="single"/>
          <w:rtl/>
        </w:rPr>
        <w:t xml:space="preserve"> ثبات أداة القياس</w:t>
      </w:r>
    </w:p>
    <w:p w14:paraId="5AA2F80F"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سيُستخدَم معامل ألفا </w:t>
      </w:r>
      <w:proofErr w:type="spellStart"/>
      <w:r>
        <w:rPr>
          <w:rFonts w:ascii="Simplified Arabic" w:hAnsi="Simplified Arabic" w:cs="Simplified Arabic"/>
          <w:sz w:val="28"/>
          <w:szCs w:val="28"/>
          <w:rtl/>
        </w:rPr>
        <w:t>كرونباخ</w:t>
      </w:r>
      <w:proofErr w:type="spellEnd"/>
      <w:r>
        <w:rPr>
          <w:rFonts w:ascii="Simplified Arabic" w:hAnsi="Simplified Arabic" w:cs="Simplified Arabic"/>
          <w:sz w:val="28"/>
          <w:szCs w:val="28"/>
          <w:rtl/>
        </w:rPr>
        <w:t xml:space="preserve"> (</w:t>
      </w:r>
      <w:r>
        <w:rPr>
          <w:rFonts w:ascii="Simplified Arabic" w:hAnsi="Simplified Arabic" w:cs="Simplified Arabic"/>
          <w:sz w:val="28"/>
          <w:szCs w:val="28"/>
        </w:rPr>
        <w:t>Cronbach's Alpha</w:t>
      </w:r>
      <w:r>
        <w:rPr>
          <w:rFonts w:ascii="Simplified Arabic" w:hAnsi="Simplified Arabic" w:cs="Simplified Arabic"/>
          <w:sz w:val="28"/>
          <w:szCs w:val="28"/>
          <w:rtl/>
        </w:rPr>
        <w:t>) لقياس ثبات الاستبانة لكل محور على حدة وللاستبانة ككل. تُعدّ قيمة معامل الثبات مقبولة أكاديمياً إذا بلغت (0.70) أو أعلى، وجيدة إذا تجاوزت (0.80)، وممتازة إذا تجاوزت (0.90) في الدراسات الاجتماعية. وسيُجرَى هذا الاختبار على عينة استطلاعية (</w:t>
      </w:r>
      <w:r>
        <w:rPr>
          <w:rFonts w:ascii="Simplified Arabic" w:hAnsi="Simplified Arabic" w:cs="Simplified Arabic"/>
          <w:sz w:val="28"/>
          <w:szCs w:val="28"/>
        </w:rPr>
        <w:t>Prototype</w:t>
      </w:r>
      <w:r>
        <w:rPr>
          <w:rFonts w:ascii="Simplified Arabic" w:hAnsi="Simplified Arabic" w:cs="Simplified Arabic"/>
          <w:sz w:val="28"/>
          <w:szCs w:val="28"/>
          <w:rtl/>
        </w:rPr>
        <w:t>) مكوّنة من (30) مشاركاً من خارج عينة الدراسة الأساسية. كما ستُوثَّق أي فقرات أُزيلت أو عُدّلت لأنها أضعفت معامل الثبات، مع بيان أثر ذلك على القيمة النهائية.</w:t>
      </w:r>
    </w:p>
    <w:p w14:paraId="3913491E"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3481"/>
        <w:gridCol w:w="1923"/>
        <w:gridCol w:w="2892"/>
      </w:tblGrid>
      <w:tr w:rsidR="00B35152" w:rsidRPr="00CA7275" w14:paraId="6BDFD973"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33E8CC6E"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 xml:space="preserve">معامل ألفا </w:t>
            </w:r>
            <w:proofErr w:type="spellStart"/>
            <w:r>
              <w:rPr>
                <w:rFonts w:ascii="Simplified Arabic" w:hAnsi="Simplified Arabic" w:cs="Simplified Arabic"/>
                <w:sz w:val="24"/>
                <w:szCs w:val="24"/>
                <w:rtl/>
              </w:rPr>
              <w:t>كرونباخ</w:t>
            </w:r>
            <w:proofErr w:type="spellEnd"/>
          </w:p>
        </w:tc>
        <w:tc>
          <w:tcPr>
            <w:tcW w:w="1159" w:type="pct"/>
          </w:tcPr>
          <w:p w14:paraId="04F76B36" w14:textId="77777777" w:rsidR="00B35152" w:rsidRPr="00C919A0"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العبارات</w:t>
            </w:r>
          </w:p>
        </w:tc>
        <w:tc>
          <w:tcPr>
            <w:tcW w:w="1743" w:type="pct"/>
          </w:tcPr>
          <w:p w14:paraId="22D8A287" w14:textId="77777777" w:rsidR="00B35152" w:rsidRPr="00C919A0"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المتغير</w:t>
            </w:r>
          </w:p>
        </w:tc>
      </w:tr>
      <w:tr w:rsidR="00B35152" w:rsidRPr="00CA7275" w14:paraId="60D2A7AC"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05A60AC4"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4DF7A997"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w:t>
            </w:r>
          </w:p>
        </w:tc>
        <w:tc>
          <w:tcPr>
            <w:tcW w:w="1743" w:type="pct"/>
          </w:tcPr>
          <w:p w14:paraId="3131DC06"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تطبيق تقنية الترميز</w:t>
            </w:r>
          </w:p>
        </w:tc>
      </w:tr>
      <w:tr w:rsidR="00B35152" w:rsidRPr="00CA7275" w14:paraId="6A37F660" w14:textId="77777777" w:rsidTr="00B943E6">
        <w:tc>
          <w:tcPr>
            <w:cnfStyle w:val="001000000000" w:firstRow="0" w:lastRow="0" w:firstColumn="1" w:lastColumn="0" w:oddVBand="0" w:evenVBand="0" w:oddHBand="0" w:evenHBand="0" w:firstRowFirstColumn="0" w:firstRowLastColumn="0" w:lastRowFirstColumn="0" w:lastRowLastColumn="0"/>
            <w:tcW w:w="2098" w:type="pct"/>
          </w:tcPr>
          <w:p w14:paraId="0C7754FE"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59045024"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w:t>
            </w:r>
          </w:p>
        </w:tc>
        <w:tc>
          <w:tcPr>
            <w:tcW w:w="1743" w:type="pct"/>
          </w:tcPr>
          <w:p w14:paraId="158353F1"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الأمن السيبراني</w:t>
            </w:r>
          </w:p>
        </w:tc>
      </w:tr>
      <w:tr w:rsidR="00B35152" w:rsidRPr="00CA7275" w14:paraId="7760FB2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7FF3B90E"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440F5BC7"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w:t>
            </w:r>
          </w:p>
        </w:tc>
        <w:tc>
          <w:tcPr>
            <w:tcW w:w="1743" w:type="pct"/>
          </w:tcPr>
          <w:p w14:paraId="1C40A75A"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كفاءة العمليات المالية</w:t>
            </w:r>
          </w:p>
        </w:tc>
      </w:tr>
      <w:tr w:rsidR="00B35152" w:rsidRPr="00CA7275" w14:paraId="26A39613" w14:textId="77777777" w:rsidTr="00B943E6">
        <w:tc>
          <w:tcPr>
            <w:cnfStyle w:val="001000000000" w:firstRow="0" w:lastRow="0" w:firstColumn="1" w:lastColumn="0" w:oddVBand="0" w:evenVBand="0" w:oddHBand="0" w:evenHBand="0" w:firstRowFirstColumn="0" w:firstRowLastColumn="0" w:lastRowFirstColumn="0" w:lastRowLastColumn="0"/>
            <w:tcW w:w="2098" w:type="pct"/>
          </w:tcPr>
          <w:p w14:paraId="5E90616F"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63F6BDCF"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5</w:t>
            </w:r>
          </w:p>
        </w:tc>
        <w:tc>
          <w:tcPr>
            <w:tcW w:w="1743" w:type="pct"/>
          </w:tcPr>
          <w:p w14:paraId="0BDC89EA"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r>
      <w:tr w:rsidR="00B35152" w:rsidRPr="00CA7275" w14:paraId="5F38A6CB"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6CC115FD"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467588DD"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w:t>
            </w:r>
          </w:p>
        </w:tc>
        <w:tc>
          <w:tcPr>
            <w:tcW w:w="1743" w:type="pct"/>
          </w:tcPr>
          <w:p w14:paraId="26106D2A"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تحديات التطبيق</w:t>
            </w:r>
          </w:p>
        </w:tc>
      </w:tr>
      <w:tr w:rsidR="00B35152" w:rsidRPr="00CA7275" w14:paraId="4C5DEC5A" w14:textId="77777777" w:rsidTr="00B943E6">
        <w:tc>
          <w:tcPr>
            <w:cnfStyle w:val="001000000000" w:firstRow="0" w:lastRow="0" w:firstColumn="1" w:lastColumn="0" w:oddVBand="0" w:evenVBand="0" w:oddHBand="0" w:evenHBand="0" w:firstRowFirstColumn="0" w:firstRowLastColumn="0" w:lastRowFirstColumn="0" w:lastRowLastColumn="0"/>
            <w:tcW w:w="2098" w:type="pct"/>
          </w:tcPr>
          <w:p w14:paraId="1B639EFA"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57D69F81"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30</w:t>
            </w:r>
          </w:p>
        </w:tc>
        <w:tc>
          <w:tcPr>
            <w:tcW w:w="1743" w:type="pct"/>
          </w:tcPr>
          <w:p w14:paraId="5FB20B07"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الاستبانة ككل</w:t>
            </w:r>
          </w:p>
        </w:tc>
      </w:tr>
    </w:tbl>
    <w:p w14:paraId="4A41063F" w14:textId="77777777" w:rsidR="00B35152" w:rsidRPr="00CA7275"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جدول (3.4): نموذج قيم معامل ألفا </w:t>
      </w:r>
      <w:proofErr w:type="spellStart"/>
      <w:r>
        <w:rPr>
          <w:rFonts w:ascii="Simplified Arabic" w:hAnsi="Simplified Arabic" w:cs="Simplified Arabic"/>
          <w:sz w:val="28"/>
          <w:szCs w:val="28"/>
          <w:rtl/>
        </w:rPr>
        <w:t>كرونباخ</w:t>
      </w:r>
      <w:proofErr w:type="spellEnd"/>
      <w:r>
        <w:rPr>
          <w:rFonts w:ascii="Simplified Arabic" w:hAnsi="Simplified Arabic" w:cs="Simplified Arabic"/>
          <w:sz w:val="28"/>
          <w:szCs w:val="28"/>
          <w:rtl/>
        </w:rPr>
        <w:t xml:space="preserve"> (</w:t>
      </w:r>
      <w:r>
        <w:rPr>
          <w:rFonts w:ascii="Simplified Arabic" w:hAnsi="Simplified Arabic" w:cs="Simplified Arabic"/>
          <w:b/>
          <w:bCs/>
          <w:sz w:val="28"/>
          <w:szCs w:val="28"/>
          <w:rtl/>
        </w:rPr>
        <w:t>سيُكتمَل بعد جمع البيانات</w:t>
      </w:r>
      <w:r>
        <w:rPr>
          <w:rFonts w:ascii="Simplified Arabic" w:hAnsi="Simplified Arabic" w:cs="Simplified Arabic"/>
          <w:sz w:val="28"/>
          <w:szCs w:val="28"/>
          <w:rtl/>
        </w:rPr>
        <w:t>)</w:t>
      </w:r>
    </w:p>
    <w:p w14:paraId="3B9978A7" w14:textId="77777777" w:rsidR="00B35152" w:rsidRDefault="00B35152" w:rsidP="00B35152">
      <w:pPr>
        <w:bidi/>
        <w:spacing w:after="0" w:line="240" w:lineRule="auto"/>
        <w:jc w:val="both"/>
        <w:rPr>
          <w:rFonts w:ascii="Simplified Arabic" w:hAnsi="Simplified Arabic" w:cs="Simplified Arabic"/>
          <w:sz w:val="28"/>
          <w:szCs w:val="28"/>
          <w:rtl/>
        </w:rPr>
      </w:pPr>
    </w:p>
    <w:p w14:paraId="09B66960" w14:textId="77777777" w:rsidR="00B35152" w:rsidRPr="009A42B9"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3.7.1</w:t>
      </w:r>
      <w:r>
        <w:rPr>
          <w:rFonts w:ascii="Simplified Arabic" w:hAnsi="Simplified Arabic" w:cs="Simplified Arabic" w:hint="cs"/>
          <w:b/>
          <w:bCs/>
          <w:color w:val="auto"/>
          <w:sz w:val="28"/>
          <w:szCs w:val="28"/>
          <w:u w:val="single"/>
          <w:rtl/>
        </w:rPr>
        <w:t xml:space="preserve"> نتائج</w:t>
      </w:r>
      <w:r>
        <w:rPr>
          <w:rFonts w:ascii="Simplified Arabic" w:hAnsi="Simplified Arabic" w:cs="Simplified Arabic"/>
          <w:b/>
          <w:bCs/>
          <w:color w:val="auto"/>
          <w:sz w:val="28"/>
          <w:szCs w:val="28"/>
          <w:u w:val="single"/>
          <w:rtl/>
        </w:rPr>
        <w:t xml:space="preserve"> </w:t>
      </w:r>
      <w:r>
        <w:rPr>
          <w:rFonts w:ascii="Simplified Arabic" w:hAnsi="Simplified Arabic" w:cs="Simplified Arabic" w:hint="cs"/>
          <w:b/>
          <w:bCs/>
          <w:color w:val="auto"/>
          <w:sz w:val="28"/>
          <w:szCs w:val="28"/>
          <w:u w:val="single"/>
          <w:rtl/>
        </w:rPr>
        <w:t>التطبيق</w:t>
      </w:r>
      <w:r>
        <w:rPr>
          <w:rFonts w:ascii="Simplified Arabic" w:hAnsi="Simplified Arabic" w:cs="Simplified Arabic"/>
          <w:b/>
          <w:bCs/>
          <w:color w:val="auto"/>
          <w:sz w:val="28"/>
          <w:szCs w:val="28"/>
          <w:u w:val="single"/>
          <w:rtl/>
        </w:rPr>
        <w:t xml:space="preserve"> </w:t>
      </w:r>
      <w:r>
        <w:rPr>
          <w:rFonts w:ascii="Simplified Arabic" w:hAnsi="Simplified Arabic" w:cs="Simplified Arabic" w:hint="cs"/>
          <w:b/>
          <w:bCs/>
          <w:color w:val="auto"/>
          <w:sz w:val="28"/>
          <w:szCs w:val="28"/>
          <w:u w:val="single"/>
          <w:rtl/>
        </w:rPr>
        <w:t>الاستطلاعي</w:t>
      </w:r>
      <w:r>
        <w:rPr>
          <w:rFonts w:ascii="Simplified Arabic" w:hAnsi="Simplified Arabic" w:cs="Simplified Arabic"/>
          <w:b/>
          <w:bCs/>
          <w:color w:val="auto"/>
          <w:sz w:val="28"/>
          <w:szCs w:val="28"/>
          <w:u w:val="single"/>
        </w:rPr>
        <w:t xml:space="preserve"> (Prototype)</w:t>
      </w:r>
    </w:p>
    <w:p w14:paraId="35F53F06"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قبل الشروع في التطبيق الفعلي للاستبانة، سيُجرَى تطبيق استطلاعي (</w:t>
      </w:r>
      <w:r>
        <w:rPr>
          <w:rFonts w:ascii="Simplified Arabic" w:hAnsi="Simplified Arabic" w:cs="Simplified Arabic"/>
          <w:sz w:val="28"/>
          <w:szCs w:val="28"/>
        </w:rPr>
        <w:t>Prototype</w:t>
      </w:r>
      <w:r>
        <w:rPr>
          <w:rFonts w:ascii="Simplified Arabic" w:hAnsi="Simplified Arabic" w:cs="Simplified Arabic"/>
          <w:sz w:val="28"/>
          <w:szCs w:val="28"/>
          <w:rtl/>
        </w:rPr>
        <w:t>) يهدف إلى التحقق من جاهزية الأداة وصلاحيتها للتطبيق على عينة الدراسة الأساسية.</w:t>
      </w:r>
    </w:p>
    <w:p w14:paraId="1C7F9708"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أولاً: حجم العينة الاستطلاعية وأسلوب اختيارها</w:t>
      </w:r>
    </w:p>
    <w:p w14:paraId="65D1DD2E"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ستتكون العينة الاستطلاعية من (30) مشاركاً على الأقل، يُختارون من مؤسسات مالية سعودية من خارج عينة الدراسة الأساسية، مع مراعاة التنوع في نوع المؤسسة وحجمها والمسمى الوظيفي للمشاركين.</w:t>
      </w:r>
    </w:p>
    <w:p w14:paraId="3F1F0E4B"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ثانياً: أهداف التطبيق الاستطلاعي</w:t>
      </w:r>
    </w:p>
    <w:p w14:paraId="25743242"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يهدف التطبيق الاستطلاعي إلى تحقيق الأغراض الآتية:</w:t>
      </w:r>
    </w:p>
    <w:p w14:paraId="75B8CDBD" w14:textId="77777777" w:rsidR="00B35152" w:rsidRPr="006A20B8" w:rsidRDefault="00B35152" w:rsidP="00B35152">
      <w:pPr>
        <w:pStyle w:val="ListParagraph"/>
        <w:numPr>
          <w:ilvl w:val="0"/>
          <w:numId w:val="46"/>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التحقق من وضوح العبارات وفهمها بالشكل المقصود دون لبس.</w:t>
      </w:r>
    </w:p>
    <w:p w14:paraId="4DB9BB9A" w14:textId="77777777" w:rsidR="00B35152" w:rsidRPr="006A20B8" w:rsidRDefault="00B35152" w:rsidP="00B35152">
      <w:pPr>
        <w:pStyle w:val="ListParagraph"/>
        <w:numPr>
          <w:ilvl w:val="0"/>
          <w:numId w:val="46"/>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تقدير الزمن المناسب للإجابة على الاستبانة كاملةً.</w:t>
      </w:r>
    </w:p>
    <w:p w14:paraId="695EEB2B" w14:textId="77777777" w:rsidR="00B35152" w:rsidRPr="006A20B8" w:rsidRDefault="00B35152" w:rsidP="00B35152">
      <w:pPr>
        <w:pStyle w:val="ListParagraph"/>
        <w:numPr>
          <w:ilvl w:val="0"/>
          <w:numId w:val="46"/>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تقييم تسلسل الفقرات </w:t>
      </w:r>
      <w:proofErr w:type="spellStart"/>
      <w:r>
        <w:rPr>
          <w:rFonts w:ascii="Simplified Arabic" w:hAnsi="Simplified Arabic" w:cs="Simplified Arabic"/>
          <w:sz w:val="28"/>
          <w:szCs w:val="28"/>
          <w:rtl/>
        </w:rPr>
        <w:t>ومنطقيتها</w:t>
      </w:r>
      <w:proofErr w:type="spellEnd"/>
      <w:r>
        <w:rPr>
          <w:rFonts w:ascii="Simplified Arabic" w:hAnsi="Simplified Arabic" w:cs="Simplified Arabic"/>
          <w:sz w:val="28"/>
          <w:szCs w:val="28"/>
          <w:rtl/>
        </w:rPr>
        <w:t xml:space="preserve"> من منظور المستجيب.</w:t>
      </w:r>
    </w:p>
    <w:p w14:paraId="7970C3DC" w14:textId="77777777" w:rsidR="00B35152" w:rsidRPr="006A20B8" w:rsidRDefault="00B35152" w:rsidP="00B35152">
      <w:pPr>
        <w:pStyle w:val="ListParagraph"/>
        <w:numPr>
          <w:ilvl w:val="0"/>
          <w:numId w:val="46"/>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رصد أي عبارات إشكالية تحتاج إعادة صياغة.</w:t>
      </w:r>
    </w:p>
    <w:p w14:paraId="7616B6B2" w14:textId="77777777" w:rsidR="00B35152" w:rsidRPr="006A20B8" w:rsidRDefault="00B35152" w:rsidP="00B35152">
      <w:pPr>
        <w:pStyle w:val="ListParagraph"/>
        <w:numPr>
          <w:ilvl w:val="0"/>
          <w:numId w:val="46"/>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حساب مؤشرات الصدق والثبات الأولية قبل التطبيق النهائي.</w:t>
      </w:r>
    </w:p>
    <w:p w14:paraId="606BBA88"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ثالثاً: التعديلات المتوقعة</w:t>
      </w:r>
    </w:p>
    <w:p w14:paraId="1FDFD497" w14:textId="77777777" w:rsidR="00B35152" w:rsidRPr="009A42B9"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بناءً على نتائج التطبيق الاستطلاعي، ستُوثَّق جميع التعديلات التي أُجريت على الاستبانة قبل التطبيق الفعلي، مع بيان طبيعة كل تعديل (إعادة صياغة / حذف / إضافة) وسببه، للتدليل على جاهزية الأداة ومراحل تطويرها.</w:t>
      </w:r>
    </w:p>
    <w:p w14:paraId="68EB6EE2" w14:textId="77777777" w:rsidR="00B35152" w:rsidRPr="009A42B9" w:rsidRDefault="00B35152" w:rsidP="00B35152">
      <w:pPr>
        <w:bidi/>
        <w:spacing w:after="0" w:line="240" w:lineRule="auto"/>
        <w:jc w:val="both"/>
        <w:rPr>
          <w:rFonts w:ascii="Simplified Arabic" w:hAnsi="Simplified Arabic" w:cs="Simplified Arabic"/>
          <w:sz w:val="28"/>
          <w:szCs w:val="28"/>
        </w:rPr>
      </w:pPr>
    </w:p>
    <w:p w14:paraId="2B09BFA0" w14:textId="77777777" w:rsidR="00B35152" w:rsidRPr="00310DA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3.8</w:t>
      </w:r>
      <w:r>
        <w:rPr>
          <w:rFonts w:ascii="Simplified Arabic" w:hAnsi="Simplified Arabic" w:cs="Simplified Arabic"/>
          <w:b/>
          <w:bCs/>
          <w:color w:val="auto"/>
          <w:sz w:val="28"/>
          <w:szCs w:val="28"/>
          <w:u w:val="single"/>
          <w:rtl/>
        </w:rPr>
        <w:t xml:space="preserve"> الأساليب الإحصائية</w:t>
      </w:r>
    </w:p>
    <w:p w14:paraId="300929B4"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نظراً لاعتماد الدراسة على العينة القصدية (غير الاحتمالية)، فإن الأساليب الإحصائية </w:t>
      </w:r>
      <w:proofErr w:type="spellStart"/>
      <w:r>
        <w:rPr>
          <w:rFonts w:ascii="Simplified Arabic" w:hAnsi="Simplified Arabic" w:cs="Simplified Arabic"/>
          <w:sz w:val="28"/>
          <w:szCs w:val="28"/>
          <w:rtl/>
        </w:rPr>
        <w:t>اللابارامترية</w:t>
      </w:r>
      <w:proofErr w:type="spellEnd"/>
      <w:r>
        <w:rPr>
          <w:rFonts w:ascii="Simplified Arabic" w:hAnsi="Simplified Arabic" w:cs="Simplified Arabic"/>
          <w:sz w:val="28"/>
          <w:szCs w:val="28"/>
          <w:rtl/>
        </w:rPr>
        <w:t xml:space="preserve"> (</w:t>
      </w:r>
      <w:r>
        <w:rPr>
          <w:rFonts w:ascii="Simplified Arabic" w:hAnsi="Simplified Arabic" w:cs="Simplified Arabic"/>
          <w:sz w:val="28"/>
          <w:szCs w:val="28"/>
        </w:rPr>
        <w:t>Non-parametric</w:t>
      </w:r>
      <w:r>
        <w:rPr>
          <w:rFonts w:ascii="Simplified Arabic" w:hAnsi="Simplified Arabic" w:cs="Simplified Arabic"/>
          <w:sz w:val="28"/>
          <w:szCs w:val="28"/>
          <w:rtl/>
        </w:rPr>
        <w:t>) هي الأنسب لتحليل البيانات. وستُستخدَم الأساليب الآتية:</w:t>
      </w:r>
    </w:p>
    <w:p w14:paraId="6A91AA4A" w14:textId="77777777" w:rsidR="00B35152" w:rsidRDefault="00B35152" w:rsidP="00B35152">
      <w:pPr>
        <w:bidi/>
        <w:spacing w:after="0" w:line="240" w:lineRule="auto"/>
        <w:jc w:val="both"/>
        <w:rPr>
          <w:rFonts w:ascii="Simplified Arabic" w:hAnsi="Simplified Arabic" w:cs="Simplified Arabic"/>
          <w:sz w:val="28"/>
          <w:szCs w:val="28"/>
          <w:rtl/>
        </w:rPr>
      </w:pPr>
    </w:p>
    <w:p w14:paraId="713ED928" w14:textId="77777777" w:rsidR="00B35152" w:rsidRDefault="00B35152" w:rsidP="00B35152">
      <w:pPr>
        <w:bidi/>
        <w:spacing w:after="0" w:line="240" w:lineRule="auto"/>
        <w:jc w:val="both"/>
        <w:rPr>
          <w:rFonts w:ascii="Simplified Arabic" w:hAnsi="Simplified Arabic" w:cs="Simplified Arabic"/>
          <w:sz w:val="28"/>
          <w:szCs w:val="28"/>
          <w:rtl/>
        </w:rPr>
      </w:pPr>
    </w:p>
    <w:p w14:paraId="131DD28A"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GridTable4-Accent1"/>
        <w:tblpPr w:leftFromText="180" w:rightFromText="180" w:vertAnchor="text" w:tblpXSpec="center" w:tblpY="1"/>
        <w:tblOverlap w:val="never"/>
        <w:bidiVisual/>
        <w:tblW w:w="4994" w:type="pct"/>
        <w:tblLook w:val="04A0" w:firstRow="1" w:lastRow="0" w:firstColumn="1" w:lastColumn="0" w:noHBand="0" w:noVBand="1"/>
      </w:tblPr>
      <w:tblGrid>
        <w:gridCol w:w="1630"/>
        <w:gridCol w:w="3154"/>
        <w:gridCol w:w="3502"/>
      </w:tblGrid>
      <w:tr w:rsidR="00B35152" w:rsidRPr="00A409F3" w14:paraId="4AA36939"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7A22A71C"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الفرضية المرتبطة</w:t>
            </w:r>
          </w:p>
        </w:tc>
        <w:tc>
          <w:tcPr>
            <w:tcW w:w="1903" w:type="pct"/>
          </w:tcPr>
          <w:p w14:paraId="1E71D91B" w14:textId="77777777" w:rsidR="00B35152" w:rsidRPr="00A409F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الهدف من الاستخدام</w:t>
            </w:r>
          </w:p>
        </w:tc>
        <w:tc>
          <w:tcPr>
            <w:tcW w:w="2113" w:type="pct"/>
          </w:tcPr>
          <w:p w14:paraId="10A2A512" w14:textId="77777777" w:rsidR="00B35152" w:rsidRPr="00A409F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الأسلوب الإحصائي</w:t>
            </w:r>
          </w:p>
        </w:tc>
      </w:tr>
      <w:tr w:rsidR="00B35152" w:rsidRPr="00A409F3" w14:paraId="54DD63A1"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7A0886B2"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وصف العينة</w:t>
            </w:r>
          </w:p>
        </w:tc>
        <w:tc>
          <w:tcPr>
            <w:tcW w:w="1903" w:type="pct"/>
          </w:tcPr>
          <w:p w14:paraId="3424567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وصف خصائص عينة الدراسة والمتغيرات</w:t>
            </w:r>
          </w:p>
        </w:tc>
        <w:tc>
          <w:tcPr>
            <w:tcW w:w="2113" w:type="pct"/>
          </w:tcPr>
          <w:p w14:paraId="71152FF3"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الإحصاء الوصفي</w:t>
            </w:r>
            <w:r>
              <w:rPr>
                <w:rFonts w:ascii="Simplified Arabic" w:hAnsi="Simplified Arabic" w:cs="Simplified Arabic"/>
                <w:sz w:val="24"/>
                <w:szCs w:val="24"/>
              </w:rPr>
              <w:t xml:space="preserve"> (Mean, SD)</w:t>
            </w:r>
          </w:p>
        </w:tc>
      </w:tr>
      <w:tr w:rsidR="00B35152" w:rsidRPr="00A409F3" w14:paraId="135A9F39"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4C43F61F"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H1, H2</w:t>
            </w:r>
          </w:p>
        </w:tc>
        <w:tc>
          <w:tcPr>
            <w:tcW w:w="1903" w:type="pct"/>
          </w:tcPr>
          <w:p w14:paraId="6645ECE9"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قياس قوة العلاقة بين المتغيرات الكمية</w:t>
            </w:r>
          </w:p>
        </w:tc>
        <w:tc>
          <w:tcPr>
            <w:tcW w:w="2113" w:type="pct"/>
          </w:tcPr>
          <w:p w14:paraId="239E84D5"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 xml:space="preserve">معامل ارتباط </w:t>
            </w:r>
            <w:proofErr w:type="spellStart"/>
            <w:r>
              <w:rPr>
                <w:rFonts w:ascii="Simplified Arabic" w:hAnsi="Simplified Arabic" w:cs="Simplified Arabic"/>
                <w:sz w:val="24"/>
                <w:szCs w:val="24"/>
                <w:rtl/>
              </w:rPr>
              <w:t>سبيرمان</w:t>
            </w:r>
            <w:proofErr w:type="spellEnd"/>
          </w:p>
        </w:tc>
      </w:tr>
      <w:tr w:rsidR="00B35152" w:rsidRPr="00A409F3" w14:paraId="74E7205F"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169AF7E5"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H3</w:t>
            </w:r>
          </w:p>
        </w:tc>
        <w:tc>
          <w:tcPr>
            <w:tcW w:w="1903" w:type="pct"/>
          </w:tcPr>
          <w:p w14:paraId="5224C9C8"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المقارنة بين نوعين من المؤسسات</w:t>
            </w:r>
          </w:p>
        </w:tc>
        <w:tc>
          <w:tcPr>
            <w:tcW w:w="2113" w:type="pct"/>
          </w:tcPr>
          <w:p w14:paraId="685DE355"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اختبار مان-ويتني</w:t>
            </w:r>
            <w:r>
              <w:rPr>
                <w:rFonts w:ascii="Simplified Arabic" w:hAnsi="Simplified Arabic" w:cs="Simplified Arabic"/>
                <w:sz w:val="24"/>
                <w:szCs w:val="24"/>
              </w:rPr>
              <w:t xml:space="preserve"> (Mann-Whitney U)</w:t>
            </w:r>
          </w:p>
        </w:tc>
      </w:tr>
      <w:tr w:rsidR="00B35152" w:rsidRPr="00A409F3" w14:paraId="3B336EB0"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61D1DD50"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H3</w:t>
            </w:r>
          </w:p>
        </w:tc>
        <w:tc>
          <w:tcPr>
            <w:tcW w:w="1903" w:type="pct"/>
          </w:tcPr>
          <w:p w14:paraId="4B242931"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المقارنة بين أكثر من مجموعتين</w:t>
            </w:r>
          </w:p>
        </w:tc>
        <w:tc>
          <w:tcPr>
            <w:tcW w:w="2113" w:type="pct"/>
          </w:tcPr>
          <w:p w14:paraId="454D228E"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 xml:space="preserve">اختبار </w:t>
            </w:r>
            <w:proofErr w:type="spellStart"/>
            <w:r>
              <w:rPr>
                <w:rFonts w:ascii="Simplified Arabic" w:hAnsi="Simplified Arabic" w:cs="Simplified Arabic"/>
                <w:sz w:val="24"/>
                <w:szCs w:val="24"/>
                <w:rtl/>
              </w:rPr>
              <w:t>كروسكال</w:t>
            </w:r>
            <w:proofErr w:type="spellEnd"/>
            <w:r>
              <w:rPr>
                <w:rFonts w:ascii="Simplified Arabic" w:hAnsi="Simplified Arabic" w:cs="Simplified Arabic"/>
                <w:sz w:val="24"/>
                <w:szCs w:val="24"/>
                <w:rtl/>
              </w:rPr>
              <w:t>-واليس</w:t>
            </w:r>
            <w:r>
              <w:rPr>
                <w:rFonts w:ascii="Simplified Arabic" w:hAnsi="Simplified Arabic" w:cs="Simplified Arabic"/>
                <w:sz w:val="24"/>
                <w:szCs w:val="24"/>
              </w:rPr>
              <w:t xml:space="preserve"> (Kruskal-Wallis)</w:t>
            </w:r>
          </w:p>
        </w:tc>
      </w:tr>
      <w:tr w:rsidR="00B35152" w:rsidRPr="00A409F3" w14:paraId="2155E8F6"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3F2A2C41"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lastRenderedPageBreak/>
              <w:t>H4</w:t>
            </w:r>
          </w:p>
        </w:tc>
        <w:tc>
          <w:tcPr>
            <w:tcW w:w="1903" w:type="pct"/>
          </w:tcPr>
          <w:p w14:paraId="4FF09D0B"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قياس العلاقة بين الامتثال وتقنية الترميز</w:t>
            </w:r>
          </w:p>
        </w:tc>
        <w:tc>
          <w:tcPr>
            <w:tcW w:w="2113" w:type="pct"/>
          </w:tcPr>
          <w:p w14:paraId="5CC58A4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 xml:space="preserve">انحدار </w:t>
            </w:r>
            <w:proofErr w:type="spellStart"/>
            <w:r>
              <w:rPr>
                <w:rFonts w:ascii="Simplified Arabic" w:hAnsi="Simplified Arabic" w:cs="Simplified Arabic"/>
                <w:sz w:val="24"/>
                <w:szCs w:val="24"/>
                <w:rtl/>
              </w:rPr>
              <w:t>روبست</w:t>
            </w:r>
            <w:proofErr w:type="spellEnd"/>
            <w:r>
              <w:rPr>
                <w:rFonts w:ascii="Simplified Arabic" w:hAnsi="Simplified Arabic" w:cs="Simplified Arabic"/>
                <w:sz w:val="24"/>
                <w:szCs w:val="24"/>
              </w:rPr>
              <w:t xml:space="preserve"> (Robust Regression)</w:t>
            </w:r>
          </w:p>
        </w:tc>
      </w:tr>
      <w:tr w:rsidR="00B35152" w:rsidRPr="00A409F3" w14:paraId="07C6A238"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77D6D6D1"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H5</w:t>
            </w:r>
          </w:p>
        </w:tc>
        <w:tc>
          <w:tcPr>
            <w:tcW w:w="1903" w:type="pct"/>
          </w:tcPr>
          <w:p w14:paraId="07FC0BA3"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تأثير التحديات على التبني التنظيمي</w:t>
            </w:r>
          </w:p>
        </w:tc>
        <w:tc>
          <w:tcPr>
            <w:tcW w:w="2113" w:type="pct"/>
          </w:tcPr>
          <w:p w14:paraId="6B571B7E"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 xml:space="preserve">معامل ارتباط </w:t>
            </w:r>
            <w:proofErr w:type="spellStart"/>
            <w:r>
              <w:rPr>
                <w:rFonts w:ascii="Simplified Arabic" w:hAnsi="Simplified Arabic" w:cs="Simplified Arabic"/>
                <w:sz w:val="24"/>
                <w:szCs w:val="24"/>
                <w:rtl/>
              </w:rPr>
              <w:t>سبيرمان</w:t>
            </w:r>
            <w:proofErr w:type="spellEnd"/>
          </w:p>
        </w:tc>
      </w:tr>
      <w:tr w:rsidR="00B35152" w:rsidRPr="00A409F3" w14:paraId="63D2458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6A49F21E"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الفرضية المرتبطة</w:t>
            </w:r>
          </w:p>
        </w:tc>
        <w:tc>
          <w:tcPr>
            <w:tcW w:w="1903" w:type="pct"/>
          </w:tcPr>
          <w:p w14:paraId="31DA567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الهدف من الاستخدام</w:t>
            </w:r>
          </w:p>
        </w:tc>
        <w:tc>
          <w:tcPr>
            <w:tcW w:w="2113" w:type="pct"/>
          </w:tcPr>
          <w:p w14:paraId="20331C5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الأسلوب الإحصائي</w:t>
            </w:r>
          </w:p>
        </w:tc>
      </w:tr>
    </w:tbl>
    <w:p w14:paraId="14C1969F"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جدول (3.5): الأساليب الإحصائية وارتباطها بفرضيات الدراسة</w:t>
      </w:r>
    </w:p>
    <w:p w14:paraId="61BC180B" w14:textId="77777777" w:rsidR="00B35152" w:rsidRPr="00DF2AA7" w:rsidRDefault="00B35152" w:rsidP="00B35152">
      <w:pPr>
        <w:bidi/>
        <w:spacing w:after="0" w:line="240" w:lineRule="auto"/>
        <w:jc w:val="both"/>
        <w:rPr>
          <w:rFonts w:ascii="Simplified Arabic" w:hAnsi="Simplified Arabic" w:cs="Simplified Arabic"/>
          <w:sz w:val="28"/>
          <w:szCs w:val="28"/>
          <w:rtl/>
        </w:rPr>
      </w:pPr>
    </w:p>
    <w:p w14:paraId="07F34660"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ستُحلَّل جميع البيانات الكمية باستخدام برنامج الحزم الإحصائية للعلوم الاجتماعية (</w:t>
      </w:r>
      <w:r>
        <w:rPr>
          <w:rFonts w:ascii="Simplified Arabic" w:hAnsi="Simplified Arabic" w:cs="Simplified Arabic"/>
          <w:sz w:val="28"/>
          <w:szCs w:val="28"/>
        </w:rPr>
        <w:t>SPSS</w:t>
      </w:r>
      <w:r>
        <w:rPr>
          <w:rFonts w:ascii="Simplified Arabic" w:hAnsi="Simplified Arabic" w:cs="Simplified Arabic"/>
          <w:sz w:val="28"/>
          <w:szCs w:val="28"/>
          <w:rtl/>
        </w:rPr>
        <w:t>).</w:t>
      </w:r>
    </w:p>
    <w:p w14:paraId="1ADF8554" w14:textId="77777777" w:rsidR="00B35152" w:rsidRPr="0087261A" w:rsidRDefault="00B35152" w:rsidP="00B35152">
      <w:pPr>
        <w:bidi/>
        <w:spacing w:after="0" w:line="240" w:lineRule="auto"/>
        <w:jc w:val="both"/>
        <w:rPr>
          <w:rFonts w:ascii="Simplified Arabic" w:hAnsi="Simplified Arabic" w:cs="Simplified Arabic"/>
          <w:sz w:val="28"/>
          <w:szCs w:val="28"/>
        </w:rPr>
      </w:pPr>
    </w:p>
    <w:p w14:paraId="0C0AA0B0" w14:textId="77777777" w:rsidR="00B35152" w:rsidRPr="00310DA8" w:rsidRDefault="00B35152" w:rsidP="00B35152">
      <w:pPr>
        <w:pStyle w:val="Heading1"/>
        <w:bidi/>
        <w:spacing w:before="0" w:line="240" w:lineRule="auto"/>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Pr>
        <w:t>3.9</w:t>
      </w:r>
      <w:r>
        <w:rPr>
          <w:rFonts w:ascii="Simplified Arabic" w:hAnsi="Simplified Arabic" w:cs="Simplified Arabic"/>
          <w:b/>
          <w:bCs/>
          <w:color w:val="auto"/>
          <w:sz w:val="28"/>
          <w:szCs w:val="28"/>
          <w:u w:val="single"/>
          <w:rtl/>
        </w:rPr>
        <w:t xml:space="preserve"> الاعتبارات الأخلاقية</w:t>
      </w:r>
    </w:p>
    <w:p w14:paraId="0EC34A1F" w14:textId="77777777" w:rsidR="00B35152" w:rsidRPr="0068349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ستُراعَى في هذه الدراسة جميع الاعتبارات الأخلاقية المتعلقة بالبحث العلمي، وتشمل:</w:t>
      </w:r>
    </w:p>
    <w:p w14:paraId="74FF33FE" w14:textId="77777777" w:rsidR="00B35152" w:rsidRPr="00683490" w:rsidRDefault="00B35152" w:rsidP="00B35152">
      <w:pPr>
        <w:pStyle w:val="ListParagraph"/>
        <w:numPr>
          <w:ilvl w:val="0"/>
          <w:numId w:val="97"/>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الحصول على الموافقة المُستنيرة (</w:t>
      </w:r>
      <w:r>
        <w:rPr>
          <w:rFonts w:ascii="Simplified Arabic" w:hAnsi="Simplified Arabic" w:cs="Simplified Arabic"/>
          <w:sz w:val="28"/>
          <w:szCs w:val="28"/>
        </w:rPr>
        <w:t>Informed Consent</w:t>
      </w:r>
      <w:r>
        <w:rPr>
          <w:rFonts w:ascii="Simplified Arabic" w:hAnsi="Simplified Arabic" w:cs="Simplified Arabic"/>
          <w:sz w:val="28"/>
          <w:szCs w:val="28"/>
          <w:rtl/>
        </w:rPr>
        <w:t>) من جميع المشاركين قبل جمع البيانات.</w:t>
      </w:r>
    </w:p>
    <w:p w14:paraId="7D7A81F8" w14:textId="77777777" w:rsidR="00B35152" w:rsidRPr="00683490" w:rsidRDefault="00B35152" w:rsidP="00B35152">
      <w:pPr>
        <w:pStyle w:val="ListParagraph"/>
        <w:numPr>
          <w:ilvl w:val="0"/>
          <w:numId w:val="97"/>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ضمان سرية هوية المشاركين وعدم الكشف عن المعلومات الخاصة بهم.</w:t>
      </w:r>
    </w:p>
    <w:p w14:paraId="5FD8FA1B" w14:textId="77777777" w:rsidR="00B35152" w:rsidRPr="00683490" w:rsidRDefault="00B35152" w:rsidP="00B35152">
      <w:pPr>
        <w:pStyle w:val="ListParagraph"/>
        <w:numPr>
          <w:ilvl w:val="0"/>
          <w:numId w:val="97"/>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توضيح أن المشاركة طوعية وأن للمشارك الحق في الانسحاب في أي وقت.</w:t>
      </w:r>
    </w:p>
    <w:p w14:paraId="21FFD71F" w14:textId="77777777" w:rsidR="00B35152" w:rsidRPr="0087261A" w:rsidRDefault="00B35152" w:rsidP="00B35152">
      <w:pPr>
        <w:pStyle w:val="ListParagraph"/>
        <w:numPr>
          <w:ilvl w:val="0"/>
          <w:numId w:val="97"/>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استخدام البيانات لأغراض البحث العلمي فقط.</w:t>
      </w:r>
    </w:p>
    <w:p w14:paraId="6EEC76A8"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Pr>
        <w:br w:type="page"/>
      </w:r>
    </w:p>
    <w:p w14:paraId="0091064B" w14:textId="77777777" w:rsidR="00B35152" w:rsidRPr="00310DA8" w:rsidRDefault="00B35152" w:rsidP="00B35152">
      <w:pPr>
        <w:pStyle w:val="Heading1"/>
        <w:bidi/>
        <w:spacing w:before="0" w:line="240" w:lineRule="auto"/>
        <w:jc w:val="center"/>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tl/>
        </w:rPr>
        <w:lastRenderedPageBreak/>
        <w:t>ملحق (1)</w:t>
      </w:r>
    </w:p>
    <w:p w14:paraId="56AB1714"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استبانة الدراسة</w:t>
      </w:r>
    </w:p>
    <w:p w14:paraId="7CA13E11" w14:textId="77777777" w:rsidR="00B35152" w:rsidRPr="0087261A" w:rsidRDefault="00B35152" w:rsidP="00B35152">
      <w:pPr>
        <w:bidi/>
        <w:spacing w:after="0" w:line="240" w:lineRule="auto"/>
        <w:jc w:val="both"/>
        <w:rPr>
          <w:rFonts w:ascii="Simplified Arabic" w:hAnsi="Simplified Arabic" w:cs="Simplified Arabic"/>
          <w:sz w:val="28"/>
          <w:szCs w:val="28"/>
        </w:rPr>
      </w:pPr>
    </w:p>
    <w:p w14:paraId="50D71BBE"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الأخ/الأخت الكريم/ة،</w:t>
      </w:r>
    </w:p>
    <w:p w14:paraId="675034BE"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السلام عليكم ورحمة الله وبركاته،</w:t>
      </w:r>
    </w:p>
    <w:p w14:paraId="0B044C5F"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يسعدني أن أضع بين يديكم هذه الاستبانة التي صُمِّمت لأغراض البحث العلمي في إطار أطروحة دكتوراه بعنوان:</w:t>
      </w:r>
    </w:p>
    <w:p w14:paraId="3EF288D7"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"أثر تقنية الترميز على الأمن السيبراني وكفاءة العمليات المالية في المؤسسات السعودية - دراسة تحليلية"</w:t>
      </w:r>
    </w:p>
    <w:p w14:paraId="79788003"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أرجو التكرم بالإجابة على جميع الأسئلة بدقة وموضوعية، علماً بأن البيانات ستُستخدَم لأغراض البحث العلمي فقط وستُعامَل بسرية تامة. المشاركة طوعية ويمكنكم الانسحاب في أي وقت.</w:t>
      </w:r>
    </w:p>
    <w:p w14:paraId="1ED3E01D"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وتقبّلوا خالص الشكر والتقدير،</w:t>
      </w:r>
    </w:p>
    <w:p w14:paraId="4149771A"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الباحث</w:t>
      </w:r>
    </w:p>
    <w:p w14:paraId="3A6AED9F" w14:textId="77777777" w:rsidR="00B35152" w:rsidRPr="0087261A" w:rsidRDefault="00B35152" w:rsidP="00B35152">
      <w:pPr>
        <w:bidi/>
        <w:spacing w:after="0" w:line="240" w:lineRule="auto"/>
        <w:jc w:val="both"/>
        <w:rPr>
          <w:rFonts w:ascii="Simplified Arabic" w:hAnsi="Simplified Arabic" w:cs="Simplified Arabic"/>
          <w:sz w:val="28"/>
          <w:szCs w:val="28"/>
        </w:rPr>
      </w:pPr>
    </w:p>
    <w:p w14:paraId="332ACA0C"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القسم الأول: البيانات الديموغرافية والوظيفية</w:t>
      </w:r>
    </w:p>
    <w:p w14:paraId="0B960DAC"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يرجى وضع علامة (</w:t>
      </w:r>
      <w:r>
        <w:rPr>
          <w:rFonts w:ascii="Segoe UI Symbol" w:hAnsi="Segoe UI Symbol" w:cs="Segoe UI Symbol"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المكان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المناسب</w:t>
      </w:r>
      <w:r>
        <w:rPr>
          <w:rFonts w:ascii="Simplified Arabic" w:hAnsi="Simplified Arabic" w:cs="Simplified Arabic"/>
          <w:sz w:val="28"/>
          <w:szCs w:val="28"/>
          <w:rtl/>
        </w:rPr>
        <w:t>:</w:t>
      </w:r>
    </w:p>
    <w:tbl>
      <w:tblPr>
        <w:tblStyle w:val="GridTable4-Accent1"/>
        <w:tblW w:w="5142" w:type="pct"/>
        <w:tblLook w:val="04A0" w:firstRow="1" w:lastRow="0" w:firstColumn="1" w:lastColumn="0" w:noHBand="0" w:noVBand="1"/>
      </w:tblPr>
      <w:tblGrid>
        <w:gridCol w:w="6903"/>
        <w:gridCol w:w="654"/>
        <w:gridCol w:w="975"/>
      </w:tblGrid>
      <w:tr w:rsidR="00B35152" w:rsidRPr="00A74EA0" w14:paraId="5D4F1B66"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4" w:type="pct"/>
            <w:vAlign w:val="center"/>
          </w:tcPr>
          <w:p w14:paraId="169734C3"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الخيارات</w:t>
            </w:r>
          </w:p>
        </w:tc>
        <w:tc>
          <w:tcPr>
            <w:tcW w:w="1806" w:type="pct"/>
            <w:gridSpan w:val="2"/>
            <w:vAlign w:val="center"/>
          </w:tcPr>
          <w:p w14:paraId="41CFD5EF" w14:textId="77777777" w:rsidR="00B35152" w:rsidRPr="003050DB"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السؤال</w:t>
            </w:r>
          </w:p>
        </w:tc>
      </w:tr>
      <w:tr w:rsidR="00B35152" w:rsidRPr="00A74EA0" w14:paraId="338D1081"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3EDAEF46"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بنك تجاري </w:t>
            </w:r>
            <w:proofErr w:type="gramStart"/>
            <w:r>
              <w:rPr>
                <w:rFonts w:ascii="Simplified Arabic" w:hAnsi="Simplified Arabic" w:cs="Simplified Arabic"/>
                <w:sz w:val="24"/>
                <w:szCs w:val="24"/>
                <w:rtl/>
              </w:rPr>
              <w:t xml:space="preserve">تقليدي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بنك </w:t>
            </w:r>
            <w:proofErr w:type="gramStart"/>
            <w:r>
              <w:rPr>
                <w:rFonts w:ascii="Simplified Arabic" w:hAnsi="Simplified Arabic" w:cs="Simplified Arabic"/>
                <w:sz w:val="24"/>
                <w:szCs w:val="24"/>
                <w:rtl/>
              </w:rPr>
              <w:t xml:space="preserve">رقمي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شركة تقنية مالية </w:t>
            </w:r>
            <w:r>
              <w:rPr>
                <w:rFonts w:ascii="Simplified Arabic" w:hAnsi="Simplified Arabic" w:cs="Simplified Arabic"/>
                <w:sz w:val="24"/>
                <w:szCs w:val="24"/>
              </w:rPr>
              <w:t>(Fintech)</w:t>
            </w:r>
          </w:p>
        </w:tc>
        <w:tc>
          <w:tcPr>
            <w:tcW w:w="1522" w:type="pct"/>
            <w:vAlign w:val="center"/>
          </w:tcPr>
          <w:p w14:paraId="701A1463" w14:textId="77777777" w:rsidR="00B35152" w:rsidRPr="003050DB" w:rsidRDefault="00B35152" w:rsidP="00B943E6">
            <w:pPr>
              <w:tabs>
                <w:tab w:val="num" w:pos="907"/>
              </w:tabs>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1. نوع المؤسسة التي تعمل بها</w:t>
            </w:r>
          </w:p>
        </w:tc>
      </w:tr>
      <w:tr w:rsidR="00B35152" w:rsidRPr="00A74EA0" w14:paraId="5CE9C010" w14:textId="77777777" w:rsidTr="00B943E6">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45BEE620"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أقل من 3 </w:t>
            </w:r>
            <w:proofErr w:type="gramStart"/>
            <w:r>
              <w:rPr>
                <w:rFonts w:ascii="Simplified Arabic" w:hAnsi="Simplified Arabic" w:cs="Simplified Arabic"/>
                <w:sz w:val="24"/>
                <w:szCs w:val="24"/>
                <w:rtl/>
              </w:rPr>
              <w:t xml:space="preserve">سنوات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3-6 </w:t>
            </w:r>
            <w:proofErr w:type="gramStart"/>
            <w:r>
              <w:rPr>
                <w:rFonts w:ascii="Simplified Arabic" w:hAnsi="Simplified Arabic" w:cs="Simplified Arabic"/>
                <w:sz w:val="24"/>
                <w:szCs w:val="24"/>
                <w:rtl/>
              </w:rPr>
              <w:t xml:space="preserve">سنوات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7-10 </w:t>
            </w:r>
            <w:proofErr w:type="gramStart"/>
            <w:r>
              <w:rPr>
                <w:rFonts w:ascii="Simplified Arabic" w:hAnsi="Simplified Arabic" w:cs="Simplified Arabic"/>
                <w:sz w:val="24"/>
                <w:szCs w:val="24"/>
                <w:rtl/>
              </w:rPr>
              <w:t xml:space="preserve">سنوات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أكثر من 10 سنوات</w:t>
            </w:r>
          </w:p>
        </w:tc>
        <w:tc>
          <w:tcPr>
            <w:tcW w:w="1522" w:type="pct"/>
            <w:vAlign w:val="center"/>
          </w:tcPr>
          <w:p w14:paraId="478F3B7B" w14:textId="77777777" w:rsidR="00B35152" w:rsidRPr="003050DB" w:rsidRDefault="00B35152" w:rsidP="00B943E6">
            <w:pPr>
              <w:tabs>
                <w:tab w:val="num" w:pos="907"/>
              </w:tabs>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2. سنوات خبرتك في المجال</w:t>
            </w:r>
          </w:p>
        </w:tc>
      </w:tr>
      <w:tr w:rsidR="00B35152" w:rsidRPr="00A74EA0" w14:paraId="418C3855"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0E7A129D"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مدير تنفيذي/</w:t>
            </w:r>
            <w:proofErr w:type="gramStart"/>
            <w:r>
              <w:rPr>
                <w:rFonts w:ascii="Simplified Arabic" w:hAnsi="Simplified Arabic" w:cs="Simplified Arabic"/>
                <w:sz w:val="24"/>
                <w:szCs w:val="24"/>
                <w:rtl/>
              </w:rPr>
              <w:t xml:space="preserve">قيادي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مدير </w:t>
            </w:r>
            <w:proofErr w:type="gramStart"/>
            <w:r>
              <w:rPr>
                <w:rFonts w:ascii="Simplified Arabic" w:hAnsi="Simplified Arabic" w:cs="Simplified Arabic"/>
                <w:sz w:val="24"/>
                <w:szCs w:val="24"/>
                <w:rtl/>
              </w:rPr>
              <w:t xml:space="preserve">وسطى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متخصص </w:t>
            </w:r>
            <w:proofErr w:type="gramStart"/>
            <w:r>
              <w:rPr>
                <w:rFonts w:ascii="Simplified Arabic" w:hAnsi="Simplified Arabic" w:cs="Simplified Arabic"/>
                <w:sz w:val="24"/>
                <w:szCs w:val="24"/>
                <w:rtl/>
              </w:rPr>
              <w:t xml:space="preserve">تقني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أخرى</w:t>
            </w:r>
          </w:p>
        </w:tc>
        <w:tc>
          <w:tcPr>
            <w:tcW w:w="1522" w:type="pct"/>
            <w:vAlign w:val="center"/>
          </w:tcPr>
          <w:p w14:paraId="7C28BA9E" w14:textId="77777777" w:rsidR="00B35152" w:rsidRPr="003050DB" w:rsidRDefault="00B35152" w:rsidP="00B943E6">
            <w:pPr>
              <w:tabs>
                <w:tab w:val="num" w:pos="907"/>
              </w:tabs>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3. المستوى الوظيفي</w:t>
            </w:r>
          </w:p>
        </w:tc>
      </w:tr>
      <w:tr w:rsidR="00B35152" w:rsidRPr="00A74EA0" w14:paraId="702B39B8" w14:textId="77777777" w:rsidTr="00B943E6">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3B59F550"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lastRenderedPageBreak/>
              <w:t>☐</w:t>
            </w:r>
            <w:r>
              <w:rPr>
                <w:rFonts w:ascii="Simplified Arabic" w:hAnsi="Simplified Arabic" w:cs="Simplified Arabic"/>
                <w:sz w:val="24"/>
                <w:szCs w:val="24"/>
                <w:rtl/>
              </w:rPr>
              <w:t xml:space="preserve"> </w:t>
            </w:r>
            <w:proofErr w:type="gramStart"/>
            <w:r>
              <w:rPr>
                <w:rFonts w:ascii="Simplified Arabic" w:hAnsi="Simplified Arabic" w:cs="Simplified Arabic"/>
                <w:sz w:val="24"/>
                <w:szCs w:val="24"/>
                <w:rtl/>
              </w:rPr>
              <w:t xml:space="preserve">بكالوريوس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w:t>
            </w:r>
            <w:proofErr w:type="gramStart"/>
            <w:r>
              <w:rPr>
                <w:rFonts w:ascii="Simplified Arabic" w:hAnsi="Simplified Arabic" w:cs="Simplified Arabic"/>
                <w:sz w:val="24"/>
                <w:szCs w:val="24"/>
                <w:rtl/>
              </w:rPr>
              <w:t xml:space="preserve">ماجستير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دكتوراه</w:t>
            </w:r>
          </w:p>
        </w:tc>
        <w:tc>
          <w:tcPr>
            <w:tcW w:w="1522" w:type="pct"/>
            <w:vAlign w:val="center"/>
          </w:tcPr>
          <w:p w14:paraId="0524CF24" w14:textId="77777777" w:rsidR="00B35152" w:rsidRPr="003050DB" w:rsidRDefault="00B35152" w:rsidP="00B943E6">
            <w:pPr>
              <w:tabs>
                <w:tab w:val="num" w:pos="907"/>
              </w:tabs>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4. المؤهل العلمي</w:t>
            </w:r>
          </w:p>
        </w:tc>
      </w:tr>
      <w:tr w:rsidR="00B35152" w:rsidRPr="00A74EA0" w14:paraId="3724151E"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4552370A"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أمن </w:t>
            </w:r>
            <w:proofErr w:type="gramStart"/>
            <w:r>
              <w:rPr>
                <w:rFonts w:ascii="Simplified Arabic" w:hAnsi="Simplified Arabic" w:cs="Simplified Arabic"/>
                <w:sz w:val="24"/>
                <w:szCs w:val="24"/>
                <w:rtl/>
              </w:rPr>
              <w:t xml:space="preserve">سيبراني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تقنية </w:t>
            </w:r>
            <w:proofErr w:type="gramStart"/>
            <w:r>
              <w:rPr>
                <w:rFonts w:ascii="Simplified Arabic" w:hAnsi="Simplified Arabic" w:cs="Simplified Arabic"/>
                <w:sz w:val="24"/>
                <w:szCs w:val="24"/>
                <w:rtl/>
              </w:rPr>
              <w:t xml:space="preserve">المعلومات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عمليات </w:t>
            </w:r>
            <w:proofErr w:type="gramStart"/>
            <w:r>
              <w:rPr>
                <w:rFonts w:ascii="Simplified Arabic" w:hAnsi="Simplified Arabic" w:cs="Simplified Arabic"/>
                <w:sz w:val="24"/>
                <w:szCs w:val="24"/>
                <w:rtl/>
              </w:rPr>
              <w:t xml:space="preserve">مالية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إدارة </w:t>
            </w:r>
            <w:proofErr w:type="gramStart"/>
            <w:r>
              <w:rPr>
                <w:rFonts w:ascii="Simplified Arabic" w:hAnsi="Simplified Arabic" w:cs="Simplified Arabic"/>
                <w:sz w:val="24"/>
                <w:szCs w:val="24"/>
                <w:rtl/>
              </w:rPr>
              <w:t xml:space="preserve">مخاطر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أخرى</w:t>
            </w:r>
          </w:p>
        </w:tc>
        <w:tc>
          <w:tcPr>
            <w:tcW w:w="1522" w:type="pct"/>
            <w:vAlign w:val="center"/>
          </w:tcPr>
          <w:p w14:paraId="7E164362" w14:textId="77777777" w:rsidR="00B35152" w:rsidRPr="003050DB" w:rsidRDefault="00B35152" w:rsidP="00B943E6">
            <w:pPr>
              <w:tabs>
                <w:tab w:val="num" w:pos="907"/>
              </w:tabs>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5. مجال التخصص</w:t>
            </w:r>
          </w:p>
        </w:tc>
      </w:tr>
      <w:tr w:rsidR="00B35152" w14:paraId="2578F849" w14:textId="77777777" w:rsidTr="00B943E6">
        <w:trPr>
          <w:gridAfter w:val="1"/>
          <w:wAfter w:w="2927" w:type="dxa"/>
        </w:trPr>
        <w:tc>
          <w:tcPr>
            <w:cnfStyle w:val="001000000000" w:firstRow="0" w:lastRow="0" w:firstColumn="1" w:lastColumn="0" w:oddVBand="0" w:evenVBand="0" w:oddHBand="0" w:evenHBand="0" w:firstRowFirstColumn="0" w:firstRowLastColumn="0" w:lastRowFirstColumn="0" w:lastRowLastColumn="0"/>
            <w:tcW w:w="4573" w:type="pct"/>
            <w:vAlign w:val="center"/>
          </w:tcPr>
          <w:p w14:paraId="7E4AE5F4" w14:textId="77777777" w:rsidR="00B35152" w:rsidRDefault="00B35152" w:rsidP="00B943E6">
            <w:pPr>
              <w:bidi/>
              <w:spacing w:line="240" w:lineRule="auto"/>
              <w:rPr>
                <w:rFonts w:ascii="Simplified Arabic" w:hAnsi="Simplified Arabic" w:cs="Simplified Arabic"/>
                <w:sz w:val="24"/>
                <w:szCs w:val="24"/>
                <w:rtl/>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الأمن </w:t>
            </w:r>
            <w:proofErr w:type="gramStart"/>
            <w:r>
              <w:rPr>
                <w:rFonts w:ascii="Simplified Arabic" w:hAnsi="Simplified Arabic" w:cs="Simplified Arabic"/>
                <w:sz w:val="24"/>
                <w:szCs w:val="24"/>
                <w:rtl/>
              </w:rPr>
              <w:t xml:space="preserve">السيبراني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تقنية </w:t>
            </w:r>
            <w:proofErr w:type="gramStart"/>
            <w:r>
              <w:rPr>
                <w:rFonts w:ascii="Simplified Arabic" w:hAnsi="Simplified Arabic" w:cs="Simplified Arabic"/>
                <w:sz w:val="24"/>
                <w:szCs w:val="24"/>
                <w:rtl/>
              </w:rPr>
              <w:t xml:space="preserve">المعلومات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العمليات </w:t>
            </w:r>
            <w:proofErr w:type="gramStart"/>
            <w:r>
              <w:rPr>
                <w:rFonts w:ascii="Simplified Arabic" w:hAnsi="Simplified Arabic" w:cs="Simplified Arabic"/>
                <w:sz w:val="24"/>
                <w:szCs w:val="24"/>
                <w:rtl/>
              </w:rPr>
              <w:t xml:space="preserve">المالية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إدارة المخاطر </w:t>
            </w:r>
            <w:proofErr w:type="gramStart"/>
            <w:r>
              <w:rPr>
                <w:rFonts w:ascii="Simplified Arabic" w:hAnsi="Simplified Arabic" w:cs="Simplified Arabic"/>
                <w:sz w:val="24"/>
                <w:szCs w:val="24"/>
                <w:rtl/>
              </w:rPr>
              <w:t xml:space="preserve">والامتثال  </w:t>
            </w:r>
            <w:r>
              <w:rPr>
                <w:rFonts w:ascii="Segoe UI Symbol" w:hAnsi="Segoe UI Symbol" w:cs="Segoe UI Symbol" w:hint="cs"/>
                <w:sz w:val="24"/>
                <w:szCs w:val="24"/>
                <w:rtl/>
              </w:rPr>
              <w:t>☐</w:t>
            </w:r>
            <w:proofErr w:type="gramEnd"/>
            <w:r>
              <w:rPr>
                <w:rFonts w:ascii="Simplified Arabic" w:hAnsi="Simplified Arabic" w:cs="Simplified Arabic"/>
                <w:sz w:val="24"/>
                <w:szCs w:val="24"/>
                <w:rtl/>
              </w:rPr>
              <w:t xml:space="preserve"> أخرى</w:t>
            </w:r>
          </w:p>
        </w:tc>
        <w:tc>
          <w:tcPr>
            <w:tcW w:w="1522" w:type="pct"/>
            <w:vAlign w:val="center"/>
          </w:tcPr>
          <w:p w14:paraId="1A64BB7A" w14:textId="77777777" w:rsidR="00B35152"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sz w:val="24"/>
                <w:szCs w:val="24"/>
                <w:rtl/>
              </w:rPr>
              <w:t>6. الإدارة أو القسم</w:t>
            </w:r>
          </w:p>
        </w:tc>
      </w:tr>
    </w:tbl>
    <w:p w14:paraId="2CD9CE81" w14:textId="77777777" w:rsidR="00B35152" w:rsidRPr="004D506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البيانات الديموغرافية والوظيفية</w:t>
      </w:r>
    </w:p>
    <w:p w14:paraId="3AD3F75E" w14:textId="77777777" w:rsidR="00B35152" w:rsidRDefault="00B35152" w:rsidP="00B35152">
      <w:pPr>
        <w:bidi/>
        <w:spacing w:after="0" w:line="240" w:lineRule="auto"/>
        <w:jc w:val="both"/>
        <w:rPr>
          <w:rFonts w:ascii="Simplified Arabic" w:hAnsi="Simplified Arabic" w:cs="Simplified Arabic"/>
          <w:sz w:val="28"/>
          <w:szCs w:val="28"/>
          <w:rtl/>
        </w:rPr>
      </w:pPr>
    </w:p>
    <w:p w14:paraId="70C59614" w14:textId="77777777" w:rsidR="00B35152" w:rsidRDefault="00B35152" w:rsidP="00B35152">
      <w:pPr>
        <w:bidi/>
        <w:spacing w:after="0" w:line="240" w:lineRule="auto"/>
        <w:jc w:val="both"/>
        <w:rPr>
          <w:rFonts w:ascii="Simplified Arabic" w:hAnsi="Simplified Arabic" w:cs="Simplified Arabic"/>
          <w:sz w:val="28"/>
          <w:szCs w:val="28"/>
          <w:rtl/>
        </w:rPr>
      </w:pPr>
    </w:p>
    <w:p w14:paraId="671B81A9" w14:textId="77777777" w:rsidR="00B35152" w:rsidRDefault="00B35152" w:rsidP="00B35152">
      <w:pPr>
        <w:bidi/>
        <w:spacing w:after="0" w:line="240" w:lineRule="auto"/>
        <w:jc w:val="both"/>
        <w:rPr>
          <w:rFonts w:ascii="Simplified Arabic" w:hAnsi="Simplified Arabic" w:cs="Simplified Arabic"/>
          <w:sz w:val="28"/>
          <w:szCs w:val="28"/>
          <w:rtl/>
        </w:rPr>
      </w:pPr>
    </w:p>
    <w:p w14:paraId="254A2F1A" w14:textId="77777777" w:rsidR="00B35152" w:rsidRDefault="00B35152" w:rsidP="00B35152">
      <w:pPr>
        <w:bidi/>
        <w:spacing w:after="0" w:line="240" w:lineRule="auto"/>
        <w:jc w:val="both"/>
        <w:rPr>
          <w:rFonts w:ascii="Simplified Arabic" w:hAnsi="Simplified Arabic" w:cs="Simplified Arabic"/>
          <w:sz w:val="28"/>
          <w:szCs w:val="28"/>
          <w:rtl/>
        </w:rPr>
      </w:pPr>
    </w:p>
    <w:p w14:paraId="29FDB1D8" w14:textId="77777777" w:rsidR="00B35152" w:rsidRDefault="00B35152" w:rsidP="00B35152">
      <w:pPr>
        <w:bidi/>
        <w:spacing w:after="0" w:line="240" w:lineRule="auto"/>
        <w:jc w:val="both"/>
        <w:rPr>
          <w:rFonts w:ascii="Simplified Arabic" w:hAnsi="Simplified Arabic" w:cs="Simplified Arabic"/>
          <w:sz w:val="28"/>
          <w:szCs w:val="28"/>
          <w:rtl/>
        </w:rPr>
      </w:pPr>
    </w:p>
    <w:p w14:paraId="049C6432" w14:textId="77777777" w:rsidR="00B35152" w:rsidRDefault="00B35152" w:rsidP="00B35152">
      <w:pPr>
        <w:bidi/>
        <w:spacing w:after="0" w:line="240" w:lineRule="auto"/>
        <w:jc w:val="both"/>
        <w:rPr>
          <w:rFonts w:ascii="Simplified Arabic" w:hAnsi="Simplified Arabic" w:cs="Simplified Arabic"/>
          <w:sz w:val="28"/>
          <w:szCs w:val="28"/>
          <w:rtl/>
        </w:rPr>
      </w:pPr>
    </w:p>
    <w:p w14:paraId="7EBC7288"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تعريفات إجرائية للمصطلحات التقنية</w:t>
      </w:r>
    </w:p>
    <w:tbl>
      <w:tblPr>
        <w:tblStyle w:val="MediumGrid1-Accent1"/>
        <w:bidiVisual/>
        <w:tblW w:w="0" w:type="auto"/>
        <w:tblLook w:val="04A0" w:firstRow="1" w:lastRow="0" w:firstColumn="1" w:lastColumn="0" w:noHBand="0" w:noVBand="1"/>
      </w:tblPr>
      <w:tblGrid>
        <w:gridCol w:w="4183"/>
        <w:gridCol w:w="4103"/>
      </w:tblGrid>
      <w:tr w:rsidR="00B35152" w:rsidRPr="00C8462C" w14:paraId="256EF3F8"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1E82B73B"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تقنية الترميز</w:t>
            </w:r>
            <w:r>
              <w:rPr>
                <w:rFonts w:ascii="Simplified Arabic" w:hAnsi="Simplified Arabic" w:cs="Simplified Arabic"/>
                <w:sz w:val="24"/>
                <w:szCs w:val="24"/>
              </w:rPr>
              <w:t xml:space="preserve"> (Tokenization)</w:t>
            </w:r>
          </w:p>
        </w:tc>
        <w:tc>
          <w:tcPr>
            <w:tcW w:w="4675" w:type="dxa"/>
            <w:vAlign w:val="center"/>
          </w:tcPr>
          <w:p w14:paraId="17BC1499" w14:textId="77777777" w:rsidR="00B35152" w:rsidRPr="00C8462C" w:rsidRDefault="00B35152" w:rsidP="00B943E6">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 xml:space="preserve"> </w:t>
            </w:r>
            <w:r>
              <w:rPr>
                <w:rFonts w:ascii="Simplified Arabic" w:hAnsi="Simplified Arabic" w:cs="Simplified Arabic"/>
                <w:b w:val="0"/>
                <w:bCs w:val="0"/>
                <w:sz w:val="24"/>
                <w:szCs w:val="24"/>
                <w:rtl/>
              </w:rPr>
              <w:t>استبدال البيانات الحساسة برمز بديل</w:t>
            </w:r>
            <w:r>
              <w:rPr>
                <w:rFonts w:ascii="Simplified Arabic" w:hAnsi="Simplified Arabic" w:cs="Simplified Arabic"/>
                <w:b w:val="0"/>
                <w:bCs w:val="0"/>
                <w:sz w:val="24"/>
                <w:szCs w:val="24"/>
              </w:rPr>
              <w:t xml:space="preserve"> (Token) </w:t>
            </w:r>
            <w:r>
              <w:rPr>
                <w:rFonts w:ascii="Simplified Arabic" w:hAnsi="Simplified Arabic" w:cs="Simplified Arabic"/>
                <w:b w:val="0"/>
                <w:bCs w:val="0"/>
                <w:sz w:val="24"/>
                <w:szCs w:val="24"/>
                <w:rtl/>
              </w:rPr>
              <w:t>فريد وغير قابل للاستغلال خارج النظام الذي أُنشئ فيه</w:t>
            </w:r>
            <w:r>
              <w:rPr>
                <w:rFonts w:ascii="Simplified Arabic" w:hAnsi="Simplified Arabic" w:cs="Simplified Arabic"/>
                <w:b w:val="0"/>
                <w:bCs w:val="0"/>
                <w:sz w:val="24"/>
                <w:szCs w:val="24"/>
              </w:rPr>
              <w:t>.</w:t>
            </w:r>
          </w:p>
        </w:tc>
      </w:tr>
      <w:tr w:rsidR="00B35152" w:rsidRPr="00C8462C" w14:paraId="43FAC53E"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C924863"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الترميز في حالة التخزين</w:t>
            </w:r>
            <w:r>
              <w:rPr>
                <w:rFonts w:ascii="Simplified Arabic" w:hAnsi="Simplified Arabic" w:cs="Simplified Arabic"/>
                <w:sz w:val="24"/>
                <w:szCs w:val="24"/>
              </w:rPr>
              <w:t xml:space="preserve"> (Tokenization at Rest)</w:t>
            </w:r>
          </w:p>
        </w:tc>
        <w:tc>
          <w:tcPr>
            <w:tcW w:w="4675" w:type="dxa"/>
            <w:vAlign w:val="center"/>
          </w:tcPr>
          <w:p w14:paraId="02EFC8E6" w14:textId="77777777" w:rsidR="00B35152" w:rsidRPr="00C8462C" w:rsidRDefault="00B35152" w:rsidP="00B943E6">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 xml:space="preserve">حماية البيانات الحساسة المخزّنة في قواعد البيانات والأنظمة الداخلية باستبدالها </w:t>
            </w:r>
            <w:proofErr w:type="spellStart"/>
            <w:r>
              <w:rPr>
                <w:rFonts w:ascii="Simplified Arabic" w:hAnsi="Simplified Arabic" w:cs="Simplified Arabic"/>
                <w:sz w:val="24"/>
                <w:szCs w:val="24"/>
                <w:rtl/>
              </w:rPr>
              <w:t>بترموز</w:t>
            </w:r>
            <w:proofErr w:type="spellEnd"/>
            <w:r>
              <w:rPr>
                <w:rFonts w:ascii="Simplified Arabic" w:hAnsi="Simplified Arabic" w:cs="Simplified Arabic"/>
                <w:sz w:val="24"/>
                <w:szCs w:val="24"/>
              </w:rPr>
              <w:t>.</w:t>
            </w:r>
          </w:p>
        </w:tc>
      </w:tr>
      <w:tr w:rsidR="00B35152" w:rsidRPr="00C8462C" w14:paraId="13226DBF" w14:textId="77777777" w:rsidTr="00B943E6">
        <w:tc>
          <w:tcPr>
            <w:cnfStyle w:val="001000000000" w:firstRow="0" w:lastRow="0" w:firstColumn="1" w:lastColumn="0" w:oddVBand="0" w:evenVBand="0" w:oddHBand="0" w:evenHBand="0" w:firstRowFirstColumn="0" w:firstRowLastColumn="0" w:lastRowFirstColumn="0" w:lastRowLastColumn="0"/>
            <w:tcW w:w="4675" w:type="dxa"/>
            <w:vAlign w:val="center"/>
          </w:tcPr>
          <w:p w14:paraId="066DC361"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الترميز أثناء النقل</w:t>
            </w:r>
            <w:r>
              <w:rPr>
                <w:rFonts w:ascii="Simplified Arabic" w:hAnsi="Simplified Arabic" w:cs="Simplified Arabic"/>
                <w:sz w:val="24"/>
                <w:szCs w:val="24"/>
              </w:rPr>
              <w:t xml:space="preserve"> (Tokenization in Transit)</w:t>
            </w:r>
          </w:p>
        </w:tc>
        <w:tc>
          <w:tcPr>
            <w:tcW w:w="4675" w:type="dxa"/>
            <w:vAlign w:val="center"/>
          </w:tcPr>
          <w:p w14:paraId="3BED2147" w14:textId="77777777" w:rsidR="00B35152" w:rsidRPr="00C8462C" w:rsidRDefault="00B35152" w:rsidP="00B943E6">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حماية البيانات الحساسة أثناء انتقالها عبر الشبكات والأنظمة المختلفة</w:t>
            </w:r>
            <w:r>
              <w:rPr>
                <w:rFonts w:ascii="Simplified Arabic" w:hAnsi="Simplified Arabic" w:cs="Simplified Arabic"/>
                <w:sz w:val="24"/>
                <w:szCs w:val="24"/>
              </w:rPr>
              <w:t>.</w:t>
            </w:r>
          </w:p>
        </w:tc>
      </w:tr>
      <w:tr w:rsidR="00B35152" w:rsidRPr="00C8462C" w14:paraId="19E84DE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AD900C5"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معيار</w:t>
            </w:r>
            <w:r>
              <w:rPr>
                <w:rFonts w:ascii="Simplified Arabic" w:hAnsi="Simplified Arabic" w:cs="Simplified Arabic"/>
                <w:sz w:val="24"/>
                <w:szCs w:val="24"/>
              </w:rPr>
              <w:t xml:space="preserve"> PCI DSS</w:t>
            </w:r>
          </w:p>
        </w:tc>
        <w:tc>
          <w:tcPr>
            <w:tcW w:w="4675" w:type="dxa"/>
            <w:vAlign w:val="center"/>
          </w:tcPr>
          <w:p w14:paraId="61FF4AE0" w14:textId="77777777" w:rsidR="00B35152" w:rsidRPr="00C8462C" w:rsidRDefault="00B35152" w:rsidP="00B943E6">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معيار أمان بيانات بطاقات الدفع الدولي الصادر عن</w:t>
            </w:r>
            <w:r>
              <w:rPr>
                <w:rFonts w:ascii="Simplified Arabic" w:hAnsi="Simplified Arabic" w:cs="Simplified Arabic"/>
                <w:sz w:val="24"/>
                <w:szCs w:val="24"/>
              </w:rPr>
              <w:t xml:space="preserve"> PCI Security Standards Council</w:t>
            </w:r>
            <w:r>
              <w:rPr>
                <w:rFonts w:ascii="Simplified Arabic" w:hAnsi="Simplified Arabic" w:cs="Simplified Arabic"/>
                <w:sz w:val="24"/>
                <w:szCs w:val="24"/>
                <w:rtl/>
              </w:rPr>
              <w:t>، ويُحدد متطلبات حماية بيانات حاملي البطاقات</w:t>
            </w:r>
            <w:r>
              <w:rPr>
                <w:rFonts w:ascii="Simplified Arabic" w:hAnsi="Simplified Arabic" w:cs="Simplified Arabic"/>
                <w:sz w:val="24"/>
                <w:szCs w:val="24"/>
              </w:rPr>
              <w:t>.</w:t>
            </w:r>
          </w:p>
        </w:tc>
      </w:tr>
      <w:tr w:rsidR="00B35152" w:rsidRPr="00C8462C" w14:paraId="2A0D8781" w14:textId="77777777" w:rsidTr="00B943E6">
        <w:tc>
          <w:tcPr>
            <w:cnfStyle w:val="001000000000" w:firstRow="0" w:lastRow="0" w:firstColumn="1" w:lastColumn="0" w:oddVBand="0" w:evenVBand="0" w:oddHBand="0" w:evenHBand="0" w:firstRowFirstColumn="0" w:firstRowLastColumn="0" w:lastRowFirstColumn="0" w:lastRowLastColumn="0"/>
            <w:tcW w:w="4675" w:type="dxa"/>
            <w:vAlign w:val="center"/>
          </w:tcPr>
          <w:p w14:paraId="0000E77E"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lastRenderedPageBreak/>
              <w:t>الضوابط الأساسية للأمن السيبراني</w:t>
            </w:r>
            <w:r>
              <w:rPr>
                <w:rFonts w:ascii="Simplified Arabic" w:hAnsi="Simplified Arabic" w:cs="Simplified Arabic"/>
                <w:sz w:val="24"/>
                <w:szCs w:val="24"/>
              </w:rPr>
              <w:t xml:space="preserve"> (ECC)</w:t>
            </w:r>
          </w:p>
        </w:tc>
        <w:tc>
          <w:tcPr>
            <w:tcW w:w="4675" w:type="dxa"/>
            <w:vAlign w:val="center"/>
          </w:tcPr>
          <w:p w14:paraId="3DBD8113" w14:textId="77777777" w:rsidR="00B35152" w:rsidRPr="00C8462C" w:rsidRDefault="00B35152" w:rsidP="00B943E6">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إطار وطني سعودي صادر عن الهيئة الوطنية للأمن السيبراني يُحدد الحد الأدنى من متطلبات الأمن السيبراني للمؤسسات</w:t>
            </w:r>
            <w:r>
              <w:rPr>
                <w:rFonts w:ascii="Simplified Arabic" w:hAnsi="Simplified Arabic" w:cs="Simplified Arabic"/>
                <w:sz w:val="24"/>
                <w:szCs w:val="24"/>
              </w:rPr>
              <w:t>.</w:t>
            </w:r>
          </w:p>
        </w:tc>
      </w:tr>
    </w:tbl>
    <w:p w14:paraId="641419B5" w14:textId="77777777" w:rsidR="00B35152" w:rsidRPr="00C8462C" w:rsidRDefault="00B35152" w:rsidP="00B35152">
      <w:pPr>
        <w:bidi/>
        <w:spacing w:after="0" w:line="240" w:lineRule="auto"/>
        <w:jc w:val="both"/>
        <w:rPr>
          <w:rFonts w:ascii="Simplified Arabic" w:hAnsi="Simplified Arabic" w:cs="Simplified Arabic"/>
          <w:sz w:val="28"/>
          <w:szCs w:val="28"/>
        </w:rPr>
      </w:pPr>
    </w:p>
    <w:p w14:paraId="722B1748" w14:textId="77777777" w:rsidR="00B35152" w:rsidRPr="009A3584"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القسم الثاني: متغيرات الدراسة الرئيسية</w:t>
      </w:r>
    </w:p>
    <w:p w14:paraId="7A291FE3" w14:textId="77777777" w:rsidR="00B35152" w:rsidRPr="009A3584"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يرجى تحديد درجة موافقتك على كل عبارة وفق مقياس </w:t>
      </w:r>
      <w:proofErr w:type="spellStart"/>
      <w:r>
        <w:rPr>
          <w:rFonts w:ascii="Simplified Arabic" w:hAnsi="Simplified Arabic" w:cs="Simplified Arabic"/>
          <w:sz w:val="28"/>
          <w:szCs w:val="28"/>
          <w:rtl/>
        </w:rPr>
        <w:t>ليكرت</w:t>
      </w:r>
      <w:proofErr w:type="spellEnd"/>
      <w:r>
        <w:rPr>
          <w:rFonts w:ascii="Simplified Arabic" w:hAnsi="Simplified Arabic" w:cs="Simplified Arabic"/>
          <w:sz w:val="28"/>
          <w:szCs w:val="28"/>
          <w:rtl/>
        </w:rPr>
        <w:t xml:space="preserve"> الخماسي:</w:t>
      </w:r>
    </w:p>
    <w:tbl>
      <w:tblPr>
        <w:tblStyle w:val="TableGrid"/>
        <w:tblW w:w="5000" w:type="pct"/>
        <w:tblLook w:val="04A0" w:firstRow="1" w:lastRow="0" w:firstColumn="1" w:lastColumn="0" w:noHBand="0" w:noVBand="1"/>
      </w:tblPr>
      <w:tblGrid>
        <w:gridCol w:w="1660"/>
        <w:gridCol w:w="1659"/>
        <w:gridCol w:w="1659"/>
        <w:gridCol w:w="1659"/>
        <w:gridCol w:w="1659"/>
      </w:tblGrid>
      <w:tr w:rsidR="00B35152" w:rsidRPr="009A3584" w14:paraId="3F810023" w14:textId="77777777" w:rsidTr="00B943E6">
        <w:tc>
          <w:tcPr>
            <w:tcW w:w="1000" w:type="pct"/>
            <w:vAlign w:val="center"/>
          </w:tcPr>
          <w:p w14:paraId="16B935B0"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أوافق بشدة (5)</w:t>
            </w:r>
          </w:p>
        </w:tc>
        <w:tc>
          <w:tcPr>
            <w:tcW w:w="1000" w:type="pct"/>
            <w:vAlign w:val="center"/>
          </w:tcPr>
          <w:p w14:paraId="5A4D5BE8"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أوافق (4)</w:t>
            </w:r>
          </w:p>
        </w:tc>
        <w:tc>
          <w:tcPr>
            <w:tcW w:w="1000" w:type="pct"/>
            <w:vAlign w:val="center"/>
          </w:tcPr>
          <w:p w14:paraId="64CBAB3F"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محايد (3)</w:t>
            </w:r>
          </w:p>
        </w:tc>
        <w:tc>
          <w:tcPr>
            <w:tcW w:w="1000" w:type="pct"/>
            <w:vAlign w:val="center"/>
          </w:tcPr>
          <w:p w14:paraId="7475732A"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لا أوافق (2)</w:t>
            </w:r>
          </w:p>
        </w:tc>
        <w:tc>
          <w:tcPr>
            <w:tcW w:w="1000" w:type="pct"/>
            <w:vAlign w:val="center"/>
          </w:tcPr>
          <w:p w14:paraId="58D005F2"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لا أوافق بشدة</w:t>
            </w:r>
            <w:r>
              <w:rPr>
                <w:rFonts w:ascii="Simplified Arabic" w:hAnsi="Simplified Arabic" w:cs="Simplified Arabic"/>
                <w:b/>
                <w:bCs/>
                <w:sz w:val="24"/>
                <w:szCs w:val="24"/>
              </w:rPr>
              <w:t xml:space="preserve"> (1)</w:t>
            </w:r>
          </w:p>
        </w:tc>
      </w:tr>
    </w:tbl>
    <w:p w14:paraId="52EF15C8" w14:textId="77777777" w:rsidR="00B35152" w:rsidRPr="004D506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مقياس </w:t>
      </w:r>
      <w:proofErr w:type="spellStart"/>
      <w:r>
        <w:rPr>
          <w:rFonts w:ascii="Simplified Arabic" w:hAnsi="Simplified Arabic" w:cs="Simplified Arabic"/>
          <w:sz w:val="28"/>
          <w:szCs w:val="28"/>
          <w:rtl/>
        </w:rPr>
        <w:t>ليكرت</w:t>
      </w:r>
      <w:proofErr w:type="spellEnd"/>
      <w:r>
        <w:rPr>
          <w:rFonts w:ascii="Simplified Arabic" w:hAnsi="Simplified Arabic" w:cs="Simplified Arabic"/>
          <w:sz w:val="28"/>
          <w:szCs w:val="28"/>
          <w:rtl/>
        </w:rPr>
        <w:t xml:space="preserve"> الخماسي المستخدم</w:t>
      </w:r>
    </w:p>
    <w:p w14:paraId="3923760B" w14:textId="77777777" w:rsidR="00B35152" w:rsidRPr="004D506A" w:rsidRDefault="00B35152" w:rsidP="00B35152">
      <w:pPr>
        <w:bidi/>
        <w:spacing w:after="0" w:line="240" w:lineRule="auto"/>
        <w:jc w:val="both"/>
        <w:rPr>
          <w:rFonts w:ascii="Simplified Arabic" w:hAnsi="Simplified Arabic" w:cs="Simplified Arabic"/>
          <w:sz w:val="28"/>
          <w:szCs w:val="28"/>
        </w:rPr>
      </w:pPr>
    </w:p>
    <w:p w14:paraId="20745C6A" w14:textId="77777777" w:rsidR="00B35152" w:rsidRPr="002764B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أولاً: تطبيق تقنية الترميز (المتغير المستقل)</w:t>
      </w:r>
    </w:p>
    <w:tbl>
      <w:tblPr>
        <w:tblStyle w:val="GridTable4-Accent1"/>
        <w:tblW w:w="5142" w:type="pct"/>
        <w:jc w:val="center"/>
        <w:tblLook w:val="04A0" w:firstRow="1" w:lastRow="0" w:firstColumn="1" w:lastColumn="0" w:noHBand="0" w:noVBand="1"/>
      </w:tblPr>
      <w:tblGrid>
        <w:gridCol w:w="592"/>
        <w:gridCol w:w="604"/>
        <w:gridCol w:w="604"/>
        <w:gridCol w:w="604"/>
        <w:gridCol w:w="604"/>
        <w:gridCol w:w="5524"/>
      </w:tblGrid>
      <w:tr w:rsidR="00B35152" w:rsidRPr="00D06E2E" w14:paraId="0EB98CB9"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B0A0EDF" w14:textId="77777777" w:rsidR="00B35152" w:rsidRPr="00D06E2E" w:rsidRDefault="00B35152" w:rsidP="00B943E6">
            <w:pPr>
              <w:bidi/>
              <w:spacing w:line="240" w:lineRule="auto"/>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3BE95BFA"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027A4CEE"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28E60866"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1BDD04E8"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vAlign w:val="center"/>
          </w:tcPr>
          <w:p w14:paraId="0911E637"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D06E2E" w14:paraId="3B670B27"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F584648"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88D3762"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C9294EC"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E681858"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A7AD669"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vAlign w:val="center"/>
          </w:tcPr>
          <w:p w14:paraId="55807075"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تستخدم مؤسستنا تقنية الترميز لحماية بيانات الدفع والمعاملات المالية الحساسة.</w:t>
            </w:r>
          </w:p>
        </w:tc>
      </w:tr>
      <w:tr w:rsidR="00B35152" w:rsidRPr="00D06E2E" w14:paraId="2CCDD561"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B23980D"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F8D3677"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76F43EF"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28DCCFD"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4FDE359"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B079437"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تطبق مؤسستنا ترميز البيانات في مرحلة التخزين (</w:t>
            </w:r>
            <w:r>
              <w:rPr>
                <w:rFonts w:ascii="Simplified Arabic" w:hAnsi="Simplified Arabic" w:cs="Simplified Arabic"/>
                <w:sz w:val="24"/>
                <w:szCs w:val="24"/>
              </w:rPr>
              <w:t>Tokenization at Rest</w:t>
            </w:r>
            <w:r>
              <w:rPr>
                <w:rFonts w:ascii="Simplified Arabic" w:hAnsi="Simplified Arabic" w:cs="Simplified Arabic"/>
                <w:sz w:val="24"/>
                <w:szCs w:val="24"/>
                <w:rtl/>
              </w:rPr>
              <w:t>).</w:t>
            </w:r>
          </w:p>
        </w:tc>
      </w:tr>
      <w:tr w:rsidR="00B35152" w:rsidRPr="00D06E2E" w14:paraId="44929765"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F7FA415"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EC69C2A"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461A556"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110C947"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C069E81"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04FBA26B"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تطبق مؤسستنا ترميز البيانات في مرحلة النقل (</w:t>
            </w:r>
            <w:r>
              <w:rPr>
                <w:rFonts w:ascii="Simplified Arabic" w:hAnsi="Simplified Arabic" w:cs="Simplified Arabic"/>
                <w:sz w:val="24"/>
                <w:szCs w:val="24"/>
              </w:rPr>
              <w:t>Tokenization in Transit</w:t>
            </w:r>
            <w:r>
              <w:rPr>
                <w:rFonts w:ascii="Simplified Arabic" w:hAnsi="Simplified Arabic" w:cs="Simplified Arabic"/>
                <w:sz w:val="24"/>
                <w:szCs w:val="24"/>
                <w:rtl/>
              </w:rPr>
              <w:t>).</w:t>
            </w:r>
          </w:p>
        </w:tc>
      </w:tr>
      <w:tr w:rsidR="00B35152" w:rsidRPr="00D06E2E" w14:paraId="2CFDD886"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6C6E431"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72D1839"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807162D"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2EAA386"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E902A2A"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BAE68F8"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تغطي تقنية الترميز أنواعاً متعددة من البيانات الحساسة (بطاقات الدفع، الهوية، الحسابات).</w:t>
            </w:r>
          </w:p>
        </w:tc>
      </w:tr>
      <w:tr w:rsidR="00B35152" w:rsidRPr="00D06E2E" w14:paraId="4BC08DFC"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1684BC6"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92F9C29"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2869155"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F824BD0"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4A32DA0"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731A1C67"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 xml:space="preserve">يتسق تطبيق تقنية الترميز في مؤسستنا مع متطلبات معيار </w:t>
            </w:r>
            <w:r>
              <w:rPr>
                <w:rFonts w:ascii="Simplified Arabic" w:hAnsi="Simplified Arabic" w:cs="Simplified Arabic"/>
                <w:sz w:val="24"/>
                <w:szCs w:val="24"/>
              </w:rPr>
              <w:t>PCI DSS</w:t>
            </w:r>
            <w:r>
              <w:rPr>
                <w:rFonts w:ascii="Simplified Arabic" w:hAnsi="Simplified Arabic" w:cs="Simplified Arabic"/>
                <w:sz w:val="24"/>
                <w:szCs w:val="24"/>
                <w:rtl/>
              </w:rPr>
              <w:t>.</w:t>
            </w:r>
          </w:p>
        </w:tc>
      </w:tr>
      <w:tr w:rsidR="00B35152" w:rsidRPr="00D06E2E" w14:paraId="6535B278"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513CC0C"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387B77C"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896E2B2"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F83878D"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3F4119A"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55411A4"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تُحدَّث منظومة الترميز بصفة منتظمة لمواكبة التطورات التقنية والتهديدات المستحدثة.</w:t>
            </w:r>
          </w:p>
        </w:tc>
      </w:tr>
    </w:tbl>
    <w:p w14:paraId="580C8307" w14:textId="77777777" w:rsidR="00B35152" w:rsidRPr="004D506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عبارات متغير تطبيق تقنية الترميز</w:t>
      </w:r>
    </w:p>
    <w:p w14:paraId="730B90C9" w14:textId="77777777" w:rsidR="00B35152" w:rsidRPr="004D506A" w:rsidRDefault="00B35152" w:rsidP="00B35152">
      <w:pPr>
        <w:bidi/>
        <w:spacing w:after="0" w:line="240" w:lineRule="auto"/>
        <w:jc w:val="both"/>
        <w:rPr>
          <w:rFonts w:ascii="Simplified Arabic" w:hAnsi="Simplified Arabic" w:cs="Simplified Arabic"/>
          <w:sz w:val="28"/>
          <w:szCs w:val="28"/>
        </w:rPr>
      </w:pPr>
    </w:p>
    <w:p w14:paraId="1DBE68C8"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ثانياً: الأمن السيبراني (المتغير التابع الأول)</w:t>
      </w:r>
    </w:p>
    <w:tbl>
      <w:tblPr>
        <w:tblStyle w:val="GridTable4-Accent1"/>
        <w:tblW w:w="5142" w:type="pct"/>
        <w:jc w:val="center"/>
        <w:tblLook w:val="04A0" w:firstRow="1" w:lastRow="0" w:firstColumn="1" w:lastColumn="0" w:noHBand="0" w:noVBand="1"/>
      </w:tblPr>
      <w:tblGrid>
        <w:gridCol w:w="592"/>
        <w:gridCol w:w="604"/>
        <w:gridCol w:w="604"/>
        <w:gridCol w:w="604"/>
        <w:gridCol w:w="604"/>
        <w:gridCol w:w="5524"/>
      </w:tblGrid>
      <w:tr w:rsidR="00B35152" w:rsidRPr="006B261A" w14:paraId="10328CDA"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CC67A94"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555942E7"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5C68682A"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2C7101B4"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065B2631"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vAlign w:val="center"/>
          </w:tcPr>
          <w:p w14:paraId="71D4EA6F"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6B261A" w14:paraId="15CC6CFF"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E5249A7"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lastRenderedPageBreak/>
              <w:t>☐</w:t>
            </w:r>
          </w:p>
        </w:tc>
        <w:tc>
          <w:tcPr>
            <w:tcW w:w="354" w:type="pct"/>
            <w:vAlign w:val="center"/>
          </w:tcPr>
          <w:p w14:paraId="35E0904B"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30C5435"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B07294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CC67EB4"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vAlign w:val="center"/>
          </w:tcPr>
          <w:p w14:paraId="55F792ED"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حماية البيانات من الاختراقات وتقليص مخاطرها.</w:t>
            </w:r>
          </w:p>
        </w:tc>
      </w:tr>
      <w:tr w:rsidR="00B35152" w:rsidRPr="006B261A" w14:paraId="67F43C7A"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5E7E3B2A"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BB0B3DE"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4F11DEC"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115AB25"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7537E0F"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917FA90" w14:textId="77777777" w:rsidR="00B35152" w:rsidRPr="006B261A"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الحماية من الاحتيال المالي الإلكتروني.</w:t>
            </w:r>
          </w:p>
        </w:tc>
      </w:tr>
      <w:tr w:rsidR="00B35152" w:rsidRPr="006B261A" w14:paraId="35456060"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FC1102E"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C9671DA"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29A9A6D"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0232675"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F872EB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2017347D"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الترميز في تحقيق متطلبات الضوابط الأساسية للأمن السيبراني (</w:t>
            </w:r>
            <w:r>
              <w:rPr>
                <w:rFonts w:ascii="Simplified Arabic" w:hAnsi="Simplified Arabic" w:cs="Simplified Arabic"/>
                <w:sz w:val="24"/>
                <w:szCs w:val="24"/>
              </w:rPr>
              <w:t>ECC</w:t>
            </w:r>
            <w:r>
              <w:rPr>
                <w:rFonts w:ascii="Simplified Arabic" w:hAnsi="Simplified Arabic" w:cs="Simplified Arabic"/>
                <w:sz w:val="24"/>
                <w:szCs w:val="24"/>
                <w:rtl/>
              </w:rPr>
              <w:t>).</w:t>
            </w:r>
          </w:p>
        </w:tc>
      </w:tr>
      <w:tr w:rsidR="00B35152" w:rsidRPr="006B261A" w14:paraId="30B99D43"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18F08DC"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753AC6D"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00A9688"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13DBD71"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8997050"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176AC38" w14:textId="77777777" w:rsidR="00B35152" w:rsidRPr="006B261A"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تعزيز الحماية من المخاطر المرتبطة بالتهديدات الداخلية (</w:t>
            </w:r>
            <w:r>
              <w:rPr>
                <w:rFonts w:ascii="Simplified Arabic" w:hAnsi="Simplified Arabic" w:cs="Simplified Arabic"/>
                <w:sz w:val="24"/>
                <w:szCs w:val="24"/>
              </w:rPr>
              <w:t>Insider Threats</w:t>
            </w:r>
            <w:r>
              <w:rPr>
                <w:rFonts w:ascii="Simplified Arabic" w:hAnsi="Simplified Arabic" w:cs="Simplified Arabic"/>
                <w:sz w:val="24"/>
                <w:szCs w:val="24"/>
                <w:rtl/>
              </w:rPr>
              <w:t>).</w:t>
            </w:r>
          </w:p>
        </w:tc>
      </w:tr>
      <w:tr w:rsidR="00B35152" w:rsidRPr="006B261A" w14:paraId="1A7E37F2"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5BD2E0AA"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401C4FB"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2EEA841"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8B97BA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EC8F4A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E5DAB36"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تسريع الاستجابة للحوادث السيبرانية وتحسين الأثر المُحتوَى.</w:t>
            </w:r>
          </w:p>
        </w:tc>
      </w:tr>
      <w:tr w:rsidR="00B35152" w:rsidRPr="006B261A" w14:paraId="6D8BCB86"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735062B"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83A95DC"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A93E4AE"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6B88CD3"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0FF5B89"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F676B49" w14:textId="77777777" w:rsidR="00B35152" w:rsidRPr="006B261A"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حماية البيانات من الاختراقات وتقليص مخاطرها.</w:t>
            </w:r>
          </w:p>
        </w:tc>
      </w:tr>
      <w:tr w:rsidR="00B35152" w:rsidRPr="006B261A" w14:paraId="510F7DF3"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70BC533"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998F033"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B43909F"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A0FF129"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0A3A416"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0DAB2F0"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الحماية من الاحتيال المالي الإلكتروني.</w:t>
            </w:r>
          </w:p>
        </w:tc>
      </w:tr>
    </w:tbl>
    <w:p w14:paraId="5A5FA82B" w14:textId="77777777" w:rsidR="00B35152" w:rsidRPr="00D329C2" w:rsidRDefault="00B35152" w:rsidP="00B35152">
      <w:pPr>
        <w:bidi/>
        <w:spacing w:after="0" w:line="240" w:lineRule="auto"/>
        <w:jc w:val="both"/>
        <w:rPr>
          <w:rFonts w:ascii="Simplified Arabic" w:hAnsi="Simplified Arabic" w:cs="Simplified Arabic"/>
          <w:sz w:val="28"/>
          <w:szCs w:val="28"/>
        </w:rPr>
      </w:pPr>
      <w:proofErr w:type="spellStart"/>
      <w:r>
        <w:rPr>
          <w:rFonts w:ascii="Simplified Arabic" w:hAnsi="Simplified Arabic" w:cs="Simplified Arabic"/>
          <w:sz w:val="28"/>
          <w:szCs w:val="28"/>
        </w:rPr>
        <w:t>عبارات</w:t>
      </w:r>
      <w:proofErr w:type="spellEnd"/>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متغير</w:t>
      </w:r>
      <w:proofErr w:type="spellEnd"/>
      <w:r>
        <w:rPr>
          <w:rFonts w:ascii="Simplified Arabic" w:hAnsi="Simplified Arabic" w:cs="Simplified Arabic"/>
          <w:sz w:val="28"/>
          <w:szCs w:val="28"/>
        </w:rPr>
        <w:t xml:space="preserve"> الأمن </w:t>
      </w:r>
      <w:proofErr w:type="spellStart"/>
      <w:r>
        <w:rPr>
          <w:rFonts w:ascii="Simplified Arabic" w:hAnsi="Simplified Arabic" w:cs="Simplified Arabic"/>
          <w:sz w:val="28"/>
          <w:szCs w:val="28"/>
        </w:rPr>
        <w:t>السيبراني</w:t>
      </w:r>
      <w:proofErr w:type="spellEnd"/>
    </w:p>
    <w:p w14:paraId="22C3721C"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3EFD52A5"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ثالثاً: كفاءة العمليات المالية (المتغير التابع الثاني)</w:t>
      </w:r>
    </w:p>
    <w:tbl>
      <w:tblPr>
        <w:tblStyle w:val="GridTable4-Accent1"/>
        <w:tblW w:w="5142" w:type="pct"/>
        <w:tblLook w:val="04A0" w:firstRow="1" w:lastRow="0" w:firstColumn="1" w:lastColumn="0" w:noHBand="0" w:noVBand="1"/>
      </w:tblPr>
      <w:tblGrid>
        <w:gridCol w:w="538"/>
        <w:gridCol w:w="551"/>
        <w:gridCol w:w="551"/>
        <w:gridCol w:w="551"/>
        <w:gridCol w:w="551"/>
        <w:gridCol w:w="5790"/>
      </w:tblGrid>
      <w:tr w:rsidR="00B35152" w:rsidRPr="00F83044" w14:paraId="53BEF4F2"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17585FCE"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implified Arabic" w:hAnsi="Simplified Arabic" w:cs="Simplified Arabic"/>
                <w:b w:val="0"/>
                <w:bCs w:val="0"/>
                <w:sz w:val="24"/>
                <w:szCs w:val="24"/>
              </w:rPr>
              <w:t>5</w:t>
            </w:r>
          </w:p>
        </w:tc>
        <w:tc>
          <w:tcPr>
            <w:tcW w:w="323" w:type="pct"/>
            <w:vAlign w:val="center"/>
          </w:tcPr>
          <w:p w14:paraId="34602FD6"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4</w:t>
            </w:r>
          </w:p>
        </w:tc>
        <w:tc>
          <w:tcPr>
            <w:tcW w:w="323" w:type="pct"/>
            <w:vAlign w:val="center"/>
          </w:tcPr>
          <w:p w14:paraId="691801F3"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3</w:t>
            </w:r>
          </w:p>
        </w:tc>
        <w:tc>
          <w:tcPr>
            <w:tcW w:w="323" w:type="pct"/>
            <w:vAlign w:val="center"/>
          </w:tcPr>
          <w:p w14:paraId="590FC5FB"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2</w:t>
            </w:r>
          </w:p>
        </w:tc>
        <w:tc>
          <w:tcPr>
            <w:tcW w:w="323" w:type="pct"/>
            <w:vAlign w:val="center"/>
          </w:tcPr>
          <w:p w14:paraId="4D2B0DF1"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1</w:t>
            </w:r>
          </w:p>
        </w:tc>
        <w:tc>
          <w:tcPr>
            <w:tcW w:w="3394" w:type="pct"/>
            <w:vAlign w:val="center"/>
          </w:tcPr>
          <w:p w14:paraId="07C2B5A3"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F83044" w14:paraId="2C7AE92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5FC7D3BC"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1012BBC0"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39B9702B"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A10FD09"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8C80CD3"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4DA0CA3A" w14:textId="77777777" w:rsidR="00B35152" w:rsidRPr="00F83044"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تسريع معالجة المعاملات المالية وتحسين إنتاجية العمليات</w:t>
            </w:r>
            <w:r>
              <w:rPr>
                <w:rFonts w:ascii="Simplified Arabic" w:hAnsi="Simplified Arabic" w:cs="Simplified Arabic"/>
                <w:sz w:val="24"/>
                <w:szCs w:val="24"/>
              </w:rPr>
              <w:t>.</w:t>
            </w:r>
          </w:p>
        </w:tc>
      </w:tr>
      <w:tr w:rsidR="00B35152" w:rsidRPr="00F83044" w14:paraId="0015EB9E" w14:textId="77777777" w:rsidTr="00B943E6">
        <w:tc>
          <w:tcPr>
            <w:cnfStyle w:val="001000000000" w:firstRow="0" w:lastRow="0" w:firstColumn="1" w:lastColumn="0" w:oddVBand="0" w:evenVBand="0" w:oddHBand="0" w:evenHBand="0" w:firstRowFirstColumn="0" w:firstRowLastColumn="0" w:lastRowFirstColumn="0" w:lastRowLastColumn="0"/>
            <w:tcW w:w="315" w:type="pct"/>
            <w:vAlign w:val="center"/>
          </w:tcPr>
          <w:p w14:paraId="024FBEC9"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4856E648"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48CD3A04"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04377E7A"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5FFBCBAF"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59C1EFB5" w14:textId="77777777" w:rsidR="00B35152" w:rsidRPr="00F83044"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خفض التكاليف التشغيلية المرتبطة بإدارة أمن البيانات</w:t>
            </w:r>
            <w:r>
              <w:rPr>
                <w:rFonts w:ascii="Simplified Arabic" w:hAnsi="Simplified Arabic" w:cs="Simplified Arabic"/>
                <w:sz w:val="24"/>
                <w:szCs w:val="24"/>
              </w:rPr>
              <w:t>.</w:t>
            </w:r>
          </w:p>
        </w:tc>
      </w:tr>
      <w:tr w:rsidR="00B35152" w:rsidRPr="00F83044" w14:paraId="41D60B16"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63FCBF59"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7245A6F3"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7522BC26"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5098F205"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689792B"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32FA27CF" w14:textId="77777777" w:rsidR="00B35152" w:rsidRPr="00F83044"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تقليل معدلات الأخطاء وتحسين الدقة في معالجة المعاملات المالية الرقمية</w:t>
            </w:r>
            <w:r>
              <w:rPr>
                <w:rFonts w:ascii="Simplified Arabic" w:hAnsi="Simplified Arabic" w:cs="Simplified Arabic"/>
                <w:sz w:val="24"/>
                <w:szCs w:val="24"/>
              </w:rPr>
              <w:t>.</w:t>
            </w:r>
          </w:p>
        </w:tc>
      </w:tr>
      <w:tr w:rsidR="00B35152" w:rsidRPr="00F83044" w14:paraId="07738B27" w14:textId="77777777" w:rsidTr="00B943E6">
        <w:tc>
          <w:tcPr>
            <w:cnfStyle w:val="001000000000" w:firstRow="0" w:lastRow="0" w:firstColumn="1" w:lastColumn="0" w:oddVBand="0" w:evenVBand="0" w:oddHBand="0" w:evenHBand="0" w:firstRowFirstColumn="0" w:firstRowLastColumn="0" w:lastRowFirstColumn="0" w:lastRowLastColumn="0"/>
            <w:tcW w:w="315" w:type="pct"/>
            <w:vAlign w:val="center"/>
          </w:tcPr>
          <w:p w14:paraId="4B74317E"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439B9B32"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439DA0A2"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1284E08"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524640F4"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6C36A562" w14:textId="77777777" w:rsidR="00B35152" w:rsidRPr="00F83044"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رفع كفاءة تنفيذ المعاملات من حيث السرعة والدقة والإنتاجية التشغيلية</w:t>
            </w:r>
            <w:r>
              <w:rPr>
                <w:rFonts w:ascii="Simplified Arabic" w:hAnsi="Simplified Arabic" w:cs="Simplified Arabic"/>
                <w:sz w:val="24"/>
                <w:szCs w:val="24"/>
              </w:rPr>
              <w:t>.</w:t>
            </w:r>
          </w:p>
        </w:tc>
      </w:tr>
      <w:tr w:rsidR="00B35152" w:rsidRPr="00F83044" w14:paraId="50C4E89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76AE1608"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0F9019F6"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264098F5"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738B763"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75E01645"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30C355F2" w14:textId="77777777" w:rsidR="00B35152" w:rsidRPr="00F83044"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تحقيق تكامل أكثر سلاسة مع الأنظمة المالية الخارجية والشركاء التجاريين</w:t>
            </w:r>
            <w:r>
              <w:rPr>
                <w:rFonts w:ascii="Simplified Arabic" w:hAnsi="Simplified Arabic" w:cs="Simplified Arabic"/>
                <w:sz w:val="24"/>
                <w:szCs w:val="24"/>
              </w:rPr>
              <w:t>.</w:t>
            </w:r>
          </w:p>
        </w:tc>
      </w:tr>
      <w:tr w:rsidR="00B35152" w:rsidRPr="00F83044" w14:paraId="441C70BE" w14:textId="77777777" w:rsidTr="00B943E6">
        <w:tc>
          <w:tcPr>
            <w:cnfStyle w:val="001000000000" w:firstRow="0" w:lastRow="0" w:firstColumn="1" w:lastColumn="0" w:oddVBand="0" w:evenVBand="0" w:oddHBand="0" w:evenHBand="0" w:firstRowFirstColumn="0" w:firstRowLastColumn="0" w:lastRowFirstColumn="0" w:lastRowLastColumn="0"/>
            <w:tcW w:w="315" w:type="pct"/>
            <w:vAlign w:val="center"/>
          </w:tcPr>
          <w:p w14:paraId="2D1B2A11"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06299FC7"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05E3415B"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7A4EEC0A"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40C22D60"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74538B85" w14:textId="77777777" w:rsidR="00B35152" w:rsidRPr="00F83044"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تقليص الوقت اللازم للامتثال التنظيمي والتدقيق الداخلي</w:t>
            </w:r>
            <w:r>
              <w:rPr>
                <w:rFonts w:ascii="Simplified Arabic" w:hAnsi="Simplified Arabic" w:cs="Simplified Arabic"/>
                <w:sz w:val="24"/>
                <w:szCs w:val="24"/>
              </w:rPr>
              <w:t>.</w:t>
            </w:r>
          </w:p>
        </w:tc>
      </w:tr>
    </w:tbl>
    <w:p w14:paraId="121DF395"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عبارات متغير كفاءة العمليات المالية</w:t>
      </w:r>
    </w:p>
    <w:p w14:paraId="22164457" w14:textId="77777777" w:rsidR="00B35152" w:rsidRPr="00927861" w:rsidRDefault="00B35152" w:rsidP="00B35152">
      <w:pPr>
        <w:bidi/>
        <w:spacing w:after="0" w:line="240" w:lineRule="auto"/>
        <w:jc w:val="both"/>
        <w:rPr>
          <w:rFonts w:ascii="Simplified Arabic" w:hAnsi="Simplified Arabic" w:cs="Simplified Arabic"/>
          <w:sz w:val="28"/>
          <w:szCs w:val="28"/>
        </w:rPr>
      </w:pPr>
    </w:p>
    <w:p w14:paraId="4B4893B3"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رابعاً: الامتثال التنظيمي (المتغير التابع الثالث)</w:t>
      </w:r>
    </w:p>
    <w:tbl>
      <w:tblPr>
        <w:tblStyle w:val="GridTable4-Accent1"/>
        <w:tblW w:w="5142" w:type="pct"/>
        <w:tblLook w:val="04A0" w:firstRow="1" w:lastRow="0" w:firstColumn="1" w:lastColumn="0" w:noHBand="0" w:noVBand="1"/>
      </w:tblPr>
      <w:tblGrid>
        <w:gridCol w:w="592"/>
        <w:gridCol w:w="604"/>
        <w:gridCol w:w="604"/>
        <w:gridCol w:w="604"/>
        <w:gridCol w:w="604"/>
        <w:gridCol w:w="5524"/>
      </w:tblGrid>
      <w:tr w:rsidR="00B35152" w:rsidRPr="0045178D" w14:paraId="3F91019A"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A57088E"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37EFF0D9"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0AF796B1"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575CC051"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1C4AD039"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tcPr>
          <w:p w14:paraId="7D22EAA7" w14:textId="77777777" w:rsidR="00B35152" w:rsidRPr="0045178D" w:rsidRDefault="00B35152" w:rsidP="00B943E6">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45178D" w14:paraId="3CBCAFF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8F75161"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2F9C751"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3601012"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7554B5F"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E395B44"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796F4526" w14:textId="77777777" w:rsidR="00B35152" w:rsidRPr="0045178D"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استيفاء متطلبات الأطر التنظيمية لحماية البيانات الصادرة عن ساما.</w:t>
            </w:r>
          </w:p>
        </w:tc>
      </w:tr>
      <w:tr w:rsidR="00B35152" w:rsidRPr="0045178D" w14:paraId="407CAB92"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2DB7D653"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0A5F317"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96B7106"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9DBF1D0"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5D87686"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0C47FB34" w14:textId="77777777" w:rsidR="00B35152" w:rsidRPr="0045178D"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يُيسِّر الترميز الحصول على الموافقات التنظيمية لإطلاق خدمات مالية جديدة.</w:t>
            </w:r>
          </w:p>
        </w:tc>
      </w:tr>
      <w:tr w:rsidR="00B35152" w:rsidRPr="0045178D" w14:paraId="3F7B7BB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09CEC3ED"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C3F244D"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D608991"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B8A7995"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A67375A"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4C332AA" w14:textId="77777777" w:rsidR="00B35152" w:rsidRPr="0045178D"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يُخفِّف الترميز من المسؤوليات القانونية المترتبة على إدارة البيانات الحساسة.</w:t>
            </w:r>
          </w:p>
        </w:tc>
      </w:tr>
      <w:tr w:rsidR="00B35152" w:rsidRPr="0045178D" w14:paraId="0058A2D0"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7F464B7C"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6CAC7BC"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C5D6284"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5995F62"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7ED0F23"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5C6A9811" w14:textId="77777777" w:rsidR="00B35152" w:rsidRPr="0045178D"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تحقيق متطلبات المعايير الدولية ذات الصلة (</w:t>
            </w:r>
            <w:r>
              <w:rPr>
                <w:rFonts w:ascii="Simplified Arabic" w:hAnsi="Simplified Arabic" w:cs="Simplified Arabic"/>
                <w:sz w:val="24"/>
                <w:szCs w:val="24"/>
              </w:rPr>
              <w:t>PCI DSS, ISO 27001</w:t>
            </w:r>
            <w:r>
              <w:rPr>
                <w:rFonts w:ascii="Simplified Arabic" w:hAnsi="Simplified Arabic" w:cs="Simplified Arabic"/>
                <w:sz w:val="24"/>
                <w:szCs w:val="24"/>
                <w:rtl/>
              </w:rPr>
              <w:t>).</w:t>
            </w:r>
          </w:p>
        </w:tc>
      </w:tr>
      <w:tr w:rsidR="00B35152" w:rsidRPr="0045178D" w14:paraId="1C8521BD"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36AC8D9"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2A80B05"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3BB8D0A"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D1EAABF"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C8953B9"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B5DE774" w14:textId="77777777" w:rsidR="00B35152" w:rsidRPr="0045178D"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يُقلِّل الترميز من مستوى مخاطر التدقيق والغرامات التنظيمية المحتملة.</w:t>
            </w:r>
          </w:p>
        </w:tc>
      </w:tr>
    </w:tbl>
    <w:p w14:paraId="3A6C05E9"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عبارات متغير الامتثال التنظيمي</w:t>
      </w:r>
    </w:p>
    <w:p w14:paraId="5D2B829A" w14:textId="77777777" w:rsidR="00B35152" w:rsidRPr="00927861" w:rsidRDefault="00B35152" w:rsidP="00B35152">
      <w:pPr>
        <w:bidi/>
        <w:spacing w:after="0" w:line="240" w:lineRule="auto"/>
        <w:jc w:val="both"/>
        <w:rPr>
          <w:rFonts w:ascii="Simplified Arabic" w:hAnsi="Simplified Arabic" w:cs="Simplified Arabic"/>
          <w:sz w:val="28"/>
          <w:szCs w:val="28"/>
        </w:rPr>
      </w:pPr>
    </w:p>
    <w:p w14:paraId="693E284F"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خامساً: تحديات تطبيق تقنية الترميز (المتغير المعدِّل)</w:t>
      </w:r>
    </w:p>
    <w:tbl>
      <w:tblPr>
        <w:tblStyle w:val="GridTable4-Accent1"/>
        <w:tblW w:w="5142" w:type="pct"/>
        <w:tblLook w:val="04A0" w:firstRow="1" w:lastRow="0" w:firstColumn="1" w:lastColumn="0" w:noHBand="0" w:noVBand="1"/>
      </w:tblPr>
      <w:tblGrid>
        <w:gridCol w:w="592"/>
        <w:gridCol w:w="604"/>
        <w:gridCol w:w="604"/>
        <w:gridCol w:w="604"/>
        <w:gridCol w:w="604"/>
        <w:gridCol w:w="5524"/>
      </w:tblGrid>
      <w:tr w:rsidR="00B35152" w:rsidRPr="001C2101" w14:paraId="50904260"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09D3ACA"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7AE513EC"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413A3BF2"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721A8C73"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7F8B1A4D"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vAlign w:val="center"/>
          </w:tcPr>
          <w:p w14:paraId="167CE600"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1C2101" w14:paraId="33FCB762"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94F3571"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EC1FE59"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347956A"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C3BF1BB"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2B54DE7"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vAlign w:val="center"/>
          </w:tcPr>
          <w:p w14:paraId="407A6EE2" w14:textId="77777777" w:rsidR="00B35152" w:rsidRPr="001C2101"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تُمثِّل التكلفة العالية للبنية التحتية التقنية تحدياً رئيسياً أمام تطبيق الترميز في مؤسستنا.</w:t>
            </w:r>
          </w:p>
        </w:tc>
      </w:tr>
      <w:tr w:rsidR="00B35152" w:rsidRPr="001C2101" w14:paraId="16772CB7"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0113F7EF"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61B2A51"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B3362DC"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D64537C"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CE3936A"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19B1B67" w14:textId="77777777" w:rsidR="00B35152" w:rsidRPr="001C2101"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يُشكِّل غياب الكوادر البشرية المتخصصة في تقنية الترميز عائقاً أمام التطبيق الفعّال.</w:t>
            </w:r>
          </w:p>
        </w:tc>
      </w:tr>
      <w:tr w:rsidR="00B35152" w:rsidRPr="001C2101" w14:paraId="1AB77380"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4FB2A57"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2943ED8"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C3BCC64"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D1D160F"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FE40F7E"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1B335102" w14:textId="77777777" w:rsidR="00B35152" w:rsidRPr="001C2101"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تُعيق صعوبات التكامل مع الأنظمة القائمة عملية تطبيق تقنية الترميز.</w:t>
            </w:r>
          </w:p>
        </w:tc>
      </w:tr>
      <w:tr w:rsidR="00B35152" w:rsidRPr="001C2101" w14:paraId="34D3EC4A"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0AD6AAB4"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85F6D84"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FF94EA6"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A4B0D26"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C443248"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5F49FF4C" w14:textId="77777777" w:rsidR="00B35152" w:rsidRPr="001C2101"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تُقيِّد بعض متطلبات الجهات التنظيمية مرونة تطبيق تقنية الترميز في بعض الأحيان.</w:t>
            </w:r>
          </w:p>
        </w:tc>
      </w:tr>
      <w:tr w:rsidR="00B35152" w:rsidRPr="001C2101" w14:paraId="71D716F5"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11C9904"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12708E5"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18CF5E2"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7C1BDE4"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E9E8A27"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326C818" w14:textId="77777777" w:rsidR="00B35152" w:rsidRPr="001C2101"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يُشكِّل نقص الوعي الداخلي بأهمية الترميز عائقاً أمام توسيع نطاق التطبيق.</w:t>
            </w:r>
          </w:p>
        </w:tc>
      </w:tr>
      <w:tr w:rsidR="00B35152" w:rsidRPr="001C2101" w14:paraId="44BC360C"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6398B7D4"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4D11F8C"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5B42E68"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C64F8AA"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8A46408"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259E4B51" w14:textId="77777777" w:rsidR="00B35152" w:rsidRPr="001C2101"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تُعوق صعوبة قياس العائد على الاستثمار (</w:t>
            </w:r>
            <w:r>
              <w:rPr>
                <w:rFonts w:ascii="Simplified Arabic" w:hAnsi="Simplified Arabic" w:cs="Simplified Arabic"/>
                <w:sz w:val="24"/>
                <w:szCs w:val="24"/>
              </w:rPr>
              <w:t>ROI</w:t>
            </w:r>
            <w:r>
              <w:rPr>
                <w:rFonts w:ascii="Simplified Arabic" w:hAnsi="Simplified Arabic" w:cs="Simplified Arabic"/>
                <w:sz w:val="24"/>
                <w:szCs w:val="24"/>
                <w:rtl/>
              </w:rPr>
              <w:t>) لتقنية الترميز قرارات التبني المؤسسي.</w:t>
            </w:r>
          </w:p>
        </w:tc>
      </w:tr>
    </w:tbl>
    <w:p w14:paraId="0372391D"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عبارات متغير تحديات تطبيق تقنية الترميز</w:t>
      </w:r>
    </w:p>
    <w:p w14:paraId="5005BD57" w14:textId="77777777" w:rsidR="00B35152" w:rsidRPr="00927861" w:rsidRDefault="00B35152" w:rsidP="00B35152">
      <w:pPr>
        <w:bidi/>
        <w:spacing w:after="0" w:line="240" w:lineRule="auto"/>
        <w:jc w:val="both"/>
        <w:rPr>
          <w:rFonts w:ascii="Simplified Arabic" w:hAnsi="Simplified Arabic" w:cs="Simplified Arabic"/>
          <w:sz w:val="28"/>
          <w:szCs w:val="28"/>
        </w:rPr>
      </w:pPr>
    </w:p>
    <w:p w14:paraId="073D881A"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القسم الثالث: أسئلة مفتوحة</w:t>
      </w:r>
    </w:p>
    <w:p w14:paraId="5E9B0A96" w14:textId="77777777" w:rsidR="00B35152" w:rsidRPr="006F4893" w:rsidRDefault="00B35152" w:rsidP="00B35152">
      <w:pPr>
        <w:pStyle w:val="ListParagraph"/>
        <w:numPr>
          <w:ilvl w:val="0"/>
          <w:numId w:val="121"/>
        </w:numPr>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ما أبرز الفوائد العملية التي حقّقتها مؤسستكم من تطبيق تقنية الترميز؟</w:t>
      </w:r>
    </w:p>
    <w:p w14:paraId="7CF1FEB8" w14:textId="77777777" w:rsidR="00B35152" w:rsidRDefault="00B35152" w:rsidP="00B35152">
      <w:pPr>
        <w:bidi/>
        <w:spacing w:after="0" w:line="240" w:lineRule="auto"/>
        <w:jc w:val="both"/>
        <w:rPr>
          <w:rFonts w:ascii="Simplified Arabic" w:hAnsi="Simplified Arabic" w:cs="Simplified Arabic"/>
          <w:sz w:val="28"/>
          <w:szCs w:val="28"/>
          <w:rtl/>
        </w:rPr>
      </w:pPr>
    </w:p>
    <w:p w14:paraId="6AC5DE10"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43E50A84"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44D149C9" w14:textId="77777777" w:rsidR="00B35152" w:rsidRDefault="00B35152" w:rsidP="00B35152">
      <w:pPr>
        <w:bidi/>
        <w:spacing w:after="0" w:line="240" w:lineRule="auto"/>
        <w:jc w:val="both"/>
        <w:rPr>
          <w:rFonts w:ascii="Simplified Arabic" w:hAnsi="Simplified Arabic" w:cs="Simplified Arabic"/>
          <w:sz w:val="28"/>
          <w:szCs w:val="28"/>
          <w:rtl/>
          <w:lang w:bidi="ar-EG"/>
        </w:rPr>
      </w:pPr>
    </w:p>
    <w:p w14:paraId="2C088A13" w14:textId="77777777" w:rsidR="00B35152" w:rsidRPr="00927861" w:rsidRDefault="00B35152" w:rsidP="00B35152">
      <w:pPr>
        <w:pStyle w:val="ListParagraph"/>
        <w:numPr>
          <w:ilvl w:val="0"/>
          <w:numId w:val="121"/>
        </w:numPr>
        <w:bidi/>
        <w:spacing w:after="0" w:line="240" w:lineRule="auto"/>
        <w:ind w:left="386"/>
        <w:jc w:val="both"/>
        <w:rPr>
          <w:rFonts w:ascii="Simplified Arabic" w:hAnsi="Simplified Arabic" w:cs="Simplified Arabic"/>
          <w:sz w:val="28"/>
          <w:szCs w:val="28"/>
        </w:rPr>
      </w:pPr>
      <w:r>
        <w:rPr>
          <w:rFonts w:ascii="Simplified Arabic" w:hAnsi="Simplified Arabic" w:cs="Simplified Arabic"/>
          <w:sz w:val="28"/>
          <w:szCs w:val="28"/>
          <w:rtl/>
        </w:rPr>
        <w:t>ما التوصيات التي تقترحها لتعزيز تطبيق تقنية الترميز في القطاع المالي السعودي؟</w:t>
      </w:r>
    </w:p>
    <w:p w14:paraId="5EA5BD83" w14:textId="77777777" w:rsidR="00B35152" w:rsidRDefault="00B35152" w:rsidP="00B35152">
      <w:pPr>
        <w:bidi/>
        <w:spacing w:after="0" w:line="240" w:lineRule="auto"/>
        <w:jc w:val="both"/>
        <w:rPr>
          <w:rFonts w:ascii="Simplified Arabic" w:hAnsi="Simplified Arabic" w:cs="Simplified Arabic"/>
          <w:sz w:val="28"/>
          <w:szCs w:val="28"/>
          <w:rtl/>
        </w:rPr>
      </w:pPr>
    </w:p>
    <w:p w14:paraId="176436CA"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7A96A1F2"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435EAEFD" w14:textId="77777777" w:rsidR="00D329C2" w:rsidRPr="00D329C2" w:rsidRDefault="00D329C2">
      <w:pPr>
        <w:spacing w:after="200" w:line="276" w:lineRule="auto"/>
        <w:rPr>
          <w:rFonts w:ascii="Simplified Arabic" w:eastAsiaTheme="majorEastAsia" w:hAnsi="Simplified Arabic" w:cs="Simplified Arabic"/>
          <w:b/>
          <w:bCs/>
          <w:sz w:val="28"/>
          <w:szCs w:val="28"/>
          <w:rtl/>
        </w:rPr>
      </w:pPr>
      <w:r w:rsidRPr="00D329C2">
        <w:rPr>
          <w:rFonts w:ascii="Simplified Arabic" w:hAnsi="Simplified Arabic" w:cs="Simplified Arabic"/>
          <w:b/>
          <w:bCs/>
          <w:sz w:val="28"/>
          <w:szCs w:val="28"/>
          <w:rtl/>
        </w:rPr>
        <w:br w:type="page"/>
      </w:r>
    </w:p>
    <w:p w14:paraId="1CC194DD" w14:textId="41E9DA0B" w:rsidR="007F4183" w:rsidRPr="0072768E" w:rsidRDefault="007F4183" w:rsidP="00B21BA2">
      <w:pPr>
        <w:pStyle w:val="Heading1"/>
        <w:numPr>
          <w:ilvl w:val="0"/>
          <w:numId w:val="0"/>
        </w:numPr>
        <w:bidi/>
        <w:ind w:left="432" w:hanging="432"/>
        <w:rPr>
          <w:rFonts w:ascii="Simplified Arabic" w:hAnsi="Simplified Arabic" w:cs="Simplified Arabic"/>
          <w:b/>
          <w:bCs/>
          <w:color w:val="auto"/>
          <w:sz w:val="28"/>
          <w:szCs w:val="28"/>
          <w:u w:val="single"/>
          <w:rtl/>
        </w:rPr>
      </w:pPr>
      <w:bookmarkStart w:id="136" w:name="_Toc224563965"/>
      <w:bookmarkStart w:id="137" w:name="_Toc224564022"/>
      <w:r w:rsidRPr="0072768E">
        <w:rPr>
          <w:rFonts w:ascii="Simplified Arabic" w:hAnsi="Simplified Arabic" w:cs="Simplified Arabic"/>
          <w:b/>
          <w:bCs/>
          <w:color w:val="auto"/>
          <w:sz w:val="28"/>
          <w:szCs w:val="28"/>
          <w:u w:val="single"/>
          <w:rtl/>
        </w:rPr>
        <w:lastRenderedPageBreak/>
        <w:t>المراجع:</w:t>
      </w:r>
      <w:bookmarkEnd w:id="136"/>
      <w:bookmarkEnd w:id="137"/>
    </w:p>
    <w:p w14:paraId="1B257D74" w14:textId="5C3A0A12" w:rsidR="00381524" w:rsidRPr="0072768E" w:rsidRDefault="00381524" w:rsidP="00745221">
      <w:pPr>
        <w:pStyle w:val="Heading1"/>
        <w:numPr>
          <w:ilvl w:val="0"/>
          <w:numId w:val="0"/>
        </w:numPr>
        <w:bidi/>
        <w:spacing w:before="0"/>
        <w:ind w:left="432" w:hanging="432"/>
        <w:rPr>
          <w:rFonts w:ascii="Simplified Arabic" w:hAnsi="Simplified Arabic" w:cs="Simplified Arabic"/>
          <w:b/>
          <w:bCs/>
          <w:color w:val="auto"/>
          <w:sz w:val="28"/>
          <w:szCs w:val="28"/>
          <w:u w:val="single"/>
          <w:rtl/>
        </w:rPr>
      </w:pPr>
      <w:bookmarkStart w:id="138" w:name="_Toc224563966"/>
      <w:bookmarkStart w:id="139" w:name="_Toc224564023"/>
      <w:r w:rsidRPr="0072768E">
        <w:rPr>
          <w:rFonts w:ascii="Simplified Arabic" w:hAnsi="Simplified Arabic" w:cs="Simplified Arabic" w:hint="cs"/>
          <w:b/>
          <w:bCs/>
          <w:color w:val="auto"/>
          <w:sz w:val="28"/>
          <w:szCs w:val="28"/>
          <w:u w:val="single"/>
          <w:rtl/>
        </w:rPr>
        <w:t>المراجع العربية:</w:t>
      </w:r>
      <w:bookmarkEnd w:id="138"/>
      <w:bookmarkEnd w:id="139"/>
    </w:p>
    <w:p w14:paraId="74B2012E"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البراهيم، خالد، والعويد، سعد. (2024). تطبيقات تقنية الترميز في البنوك السعودية: دراسة ميدانية. *مجلة الاقتصاد والإدارة*، *38*(2)، 145-178.</w:t>
      </w:r>
    </w:p>
    <w:p w14:paraId="5932B995"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التويجري، </w:t>
      </w:r>
      <w:proofErr w:type="gramStart"/>
      <w:r w:rsidRPr="00832328">
        <w:rPr>
          <w:rFonts w:ascii="Simplified Arabic" w:eastAsiaTheme="majorEastAsia" w:hAnsi="Simplified Arabic" w:cs="Simplified Arabic"/>
          <w:rtl/>
        </w:rPr>
        <w:t>عبدالله</w:t>
      </w:r>
      <w:proofErr w:type="gramEnd"/>
      <w:r w:rsidRPr="00832328">
        <w:rPr>
          <w:rFonts w:ascii="Simplified Arabic" w:eastAsiaTheme="majorEastAsia" w:hAnsi="Simplified Arabic" w:cs="Simplified Arabic"/>
          <w:rtl/>
        </w:rPr>
        <w:t>، والحربي، فهد. (2024). أثر تقنية الترميز على كفاءة المدفوعات الإلكترونية في المملكة العربية السعودية. *المجلة العربية للعلوم الإدارية*، *31*(1)، 89-118.</w:t>
      </w:r>
    </w:p>
    <w:p w14:paraId="0A065F3A"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الجهني، محمد، العتيبي، سعود، والقحطاني، علي. (2023). الأمن السيبراني في المؤسسات المالية السعودية: التحديات والحلول. *مجلة جامعة الملك سعود للعلوم الإدارية*، *35*(2)، 201-234.</w:t>
      </w:r>
    </w:p>
    <w:p w14:paraId="317FDC3C"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الحارثي، سلطان، الشهري، ماجد، والغامدي، خالد. (2024). تطبيقات البلوكشين والترميز في القطاع المصرفي السعودي. *المجلة السعودية للعلوم الاقتصادية والمالية*، *12*(3)، 67-95.</w:t>
      </w:r>
    </w:p>
    <w:p w14:paraId="1130AB10"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الحربي، فيصل. (2024). *إدارة الأمن السيبراني في العصر الرقمي*. الرياض: دار جامعة الملك سعود للنشر.</w:t>
      </w:r>
    </w:p>
    <w:p w14:paraId="131F404F"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الحربي، نايف، والسلمي، </w:t>
      </w:r>
      <w:proofErr w:type="gramStart"/>
      <w:r w:rsidRPr="00832328">
        <w:rPr>
          <w:rFonts w:ascii="Simplified Arabic" w:eastAsiaTheme="majorEastAsia" w:hAnsi="Simplified Arabic" w:cs="Simplified Arabic"/>
          <w:rtl/>
        </w:rPr>
        <w:t>عبدالرحمن</w:t>
      </w:r>
      <w:proofErr w:type="gramEnd"/>
      <w:r w:rsidRPr="00832328">
        <w:rPr>
          <w:rFonts w:ascii="Simplified Arabic" w:eastAsiaTheme="majorEastAsia" w:hAnsi="Simplified Arabic" w:cs="Simplified Arabic"/>
          <w:rtl/>
        </w:rPr>
        <w:t>. (2024). العلاقة بين الأمن السيبراني والكفاءة التشغيلية في البنوك السعودية. *مجلة الإدارة العامة*، *64*(2)، 345-378.</w:t>
      </w:r>
    </w:p>
    <w:p w14:paraId="30F2D2B8"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الخليفي، أحمد، والمالكي، سعد. (2023). التقنية المالية والتحول الرقمي في المملكة العربية السعودية. *مجلة الاقتصاد الخليجي*، *18*(4)، 112-143.</w:t>
      </w:r>
    </w:p>
    <w:p w14:paraId="6E8AA346"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الدخيل، </w:t>
      </w:r>
      <w:proofErr w:type="gramStart"/>
      <w:r w:rsidRPr="00832328">
        <w:rPr>
          <w:rFonts w:ascii="Simplified Arabic" w:eastAsiaTheme="majorEastAsia" w:hAnsi="Simplified Arabic" w:cs="Simplified Arabic"/>
          <w:rtl/>
        </w:rPr>
        <w:t>عبدالعزيز</w:t>
      </w:r>
      <w:proofErr w:type="gramEnd"/>
      <w:r w:rsidRPr="00832328">
        <w:rPr>
          <w:rFonts w:ascii="Simplified Arabic" w:eastAsiaTheme="majorEastAsia" w:hAnsi="Simplified Arabic" w:cs="Simplified Arabic"/>
          <w:rtl/>
        </w:rPr>
        <w:t>. (2023). *الابتكار المالي ورؤية المملكة 2030*. الرياض: مركز الملك فيصل للبحوث والدراسات الإسلامية.</w:t>
      </w:r>
    </w:p>
    <w:p w14:paraId="57A6AABE"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الدوسري، فهد. (2024). أثر التحول الرقمي على كفاءة البنوك التجارية السعودية. *المجلة العربية للإدارة*، *44*(1)، 78-106.</w:t>
      </w:r>
    </w:p>
    <w:p w14:paraId="2FF10DAC"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الراجحي، سليمان. (2024). استراتيجيات الأمن السيبراني في المؤسسات المالية الإسلامية. *مجلة الاقتصاد الإسلامي*، *29*(3)، 134-165.</w:t>
      </w:r>
    </w:p>
    <w:p w14:paraId="4DA6405F"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الراجحي، وليد. (2023). تطبيقات الترميز في حماية البيانات المصرفية. *مجلة الأمن المعلوماتي*، *7*(2)، 45-72.</w:t>
      </w:r>
    </w:p>
    <w:p w14:paraId="6FB83873"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الزامل، سعود. (2023). دور التقنية المالية في تحقيق رؤية المملكة 2030. *مجلة دراسات الخليج والجزيرة العربية*، *49*(187)، 89-124.</w:t>
      </w:r>
    </w:p>
    <w:p w14:paraId="095A7EB4"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الزهراني، </w:t>
      </w:r>
      <w:proofErr w:type="gramStart"/>
      <w:r w:rsidRPr="00832328">
        <w:rPr>
          <w:rFonts w:ascii="Simplified Arabic" w:eastAsiaTheme="majorEastAsia" w:hAnsi="Simplified Arabic" w:cs="Simplified Arabic"/>
          <w:rtl/>
        </w:rPr>
        <w:t>عبدالله</w:t>
      </w:r>
      <w:proofErr w:type="gramEnd"/>
      <w:r w:rsidRPr="00832328">
        <w:rPr>
          <w:rFonts w:ascii="Simplified Arabic" w:eastAsiaTheme="majorEastAsia" w:hAnsi="Simplified Arabic" w:cs="Simplified Arabic"/>
          <w:rtl/>
        </w:rPr>
        <w:t>. (2024). الامتثال للمعايير الدولية للأمن السيبراني في القطاع المصرفي السعودي. *المجلة السعودية للعلوم الإدارية*، *16*(2)، 201-234.</w:t>
      </w:r>
    </w:p>
    <w:p w14:paraId="065D72E0"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الشمراني، محمد. (2023). *الحوسبة السحابية والأمن السيبراني في البنوك*. جدة: دار حافظ للنشر والتوزيع.</w:t>
      </w:r>
    </w:p>
    <w:p w14:paraId="4A0CA7F5"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الشمري، </w:t>
      </w:r>
      <w:proofErr w:type="gramStart"/>
      <w:r w:rsidRPr="00832328">
        <w:rPr>
          <w:rFonts w:ascii="Simplified Arabic" w:eastAsiaTheme="majorEastAsia" w:hAnsi="Simplified Arabic" w:cs="Simplified Arabic"/>
          <w:rtl/>
        </w:rPr>
        <w:t>عبدالله</w:t>
      </w:r>
      <w:proofErr w:type="gramEnd"/>
      <w:r w:rsidRPr="00832328">
        <w:rPr>
          <w:rFonts w:ascii="Simplified Arabic" w:eastAsiaTheme="majorEastAsia" w:hAnsi="Simplified Arabic" w:cs="Simplified Arabic"/>
          <w:rtl/>
        </w:rPr>
        <w:t>، القحطاني، ناصر، والعنزي، فهد. (2024). تقييم نضج الأمن السيبراني في المؤسسات المالية السعودية. *مجلة الإدارة والاقتصاد*، *42*(3)، 156-189.</w:t>
      </w:r>
    </w:p>
    <w:p w14:paraId="62943EC3"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lastRenderedPageBreak/>
        <w:t>الشهراني، علي، والغامدي، أحمد. (2024). أثر الترميز على تحسين تجربة العملاء في البنوك الرقمية السعودية. *المجلة العربية للدراسات المصرفية*، *15*(1)، 67-98.</w:t>
      </w:r>
    </w:p>
    <w:p w14:paraId="6C38BA18"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الشهري، سعد، والنعيمي، خالد. (2023). التحديات التنظيمية لتطبيق تقنية الترميز في السعودية. *مجلة القانون والاقتصاد*، *38*(2)، 234-267.</w:t>
      </w:r>
    </w:p>
    <w:p w14:paraId="57482334"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الصالح، محمد، والقحطاني، </w:t>
      </w:r>
      <w:proofErr w:type="gramStart"/>
      <w:r w:rsidRPr="00832328">
        <w:rPr>
          <w:rFonts w:ascii="Simplified Arabic" w:eastAsiaTheme="majorEastAsia" w:hAnsi="Simplified Arabic" w:cs="Simplified Arabic"/>
          <w:rtl/>
        </w:rPr>
        <w:t>عبدالرحمن</w:t>
      </w:r>
      <w:proofErr w:type="gramEnd"/>
      <w:r w:rsidRPr="00832328">
        <w:rPr>
          <w:rFonts w:ascii="Simplified Arabic" w:eastAsiaTheme="majorEastAsia" w:hAnsi="Simplified Arabic" w:cs="Simplified Arabic"/>
          <w:rtl/>
        </w:rPr>
        <w:t>. (2024). كفاءة العمليات المالية في ظل التحول الرقمي. *مجلة العلوم الاقتصادية والإدارية*، *30*(4)، 123-156.</w:t>
      </w:r>
    </w:p>
    <w:p w14:paraId="057B5EBB" w14:textId="77777777" w:rsidR="00832328" w:rsidRPr="00832328" w:rsidRDefault="00832328" w:rsidP="00832328">
      <w:pPr>
        <w:bidi/>
        <w:jc w:val="both"/>
        <w:rPr>
          <w:rFonts w:ascii="Simplified Arabic" w:eastAsiaTheme="majorEastAsia" w:hAnsi="Simplified Arabic" w:cs="Simplified Arabic"/>
        </w:rPr>
      </w:pPr>
      <w:proofErr w:type="gramStart"/>
      <w:r w:rsidRPr="00832328">
        <w:rPr>
          <w:rFonts w:ascii="Simplified Arabic" w:eastAsiaTheme="majorEastAsia" w:hAnsi="Simplified Arabic" w:cs="Simplified Arabic"/>
          <w:rtl/>
        </w:rPr>
        <w:t>العبدالله</w:t>
      </w:r>
      <w:proofErr w:type="gramEnd"/>
      <w:r w:rsidRPr="00832328">
        <w:rPr>
          <w:rFonts w:ascii="Simplified Arabic" w:eastAsiaTheme="majorEastAsia" w:hAnsi="Simplified Arabic" w:cs="Simplified Arabic"/>
          <w:rtl/>
        </w:rPr>
        <w:t>، فهد. (2023). *التقنية المالية في المملكة العربية السعودية: الواقع والمستقبل*. الرياض: معهد الإدارة العامة.</w:t>
      </w:r>
    </w:p>
    <w:p w14:paraId="68EDE16E"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العتيبي، سعود. (2024). أنظمة المدفوعات الرقمية في المملكة العربية السعودية. *مجلة النقود والمصارف*، *22*(1)، 45-78.</w:t>
      </w:r>
    </w:p>
    <w:p w14:paraId="08EE2D54"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العتيبي، خالد، السلمي، محمد، والقحطاني، فيصل. (2023). الاختراقات الداخلية في المؤسسات المالية: دراسة حالة السعودية. *مجلة الأمن السيبراني*، *5*(3)، 112-145.</w:t>
      </w:r>
    </w:p>
    <w:p w14:paraId="344DA65D"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العتيبي، </w:t>
      </w:r>
      <w:proofErr w:type="gramStart"/>
      <w:r w:rsidRPr="00832328">
        <w:rPr>
          <w:rFonts w:ascii="Simplified Arabic" w:eastAsiaTheme="majorEastAsia" w:hAnsi="Simplified Arabic" w:cs="Simplified Arabic"/>
          <w:rtl/>
        </w:rPr>
        <w:t>عبدالله</w:t>
      </w:r>
      <w:proofErr w:type="gramEnd"/>
      <w:r w:rsidRPr="00832328">
        <w:rPr>
          <w:rFonts w:ascii="Simplified Arabic" w:eastAsiaTheme="majorEastAsia" w:hAnsi="Simplified Arabic" w:cs="Simplified Arabic"/>
          <w:rtl/>
        </w:rPr>
        <w:t>، والقحطاني، ناصر. (2023). إدارة المخاطر السيبرانية في البنوك السعودية. *المجلة العلمية للاقتصاد والتجارة*، *53*(2)، 456-489.</w:t>
      </w:r>
    </w:p>
    <w:p w14:paraId="21F41621"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العجمي، فيصل، الدوسري، سعد، والمطيري، </w:t>
      </w:r>
      <w:proofErr w:type="gramStart"/>
      <w:r w:rsidRPr="00832328">
        <w:rPr>
          <w:rFonts w:ascii="Simplified Arabic" w:eastAsiaTheme="majorEastAsia" w:hAnsi="Simplified Arabic" w:cs="Simplified Arabic"/>
          <w:rtl/>
        </w:rPr>
        <w:t>عبدالله</w:t>
      </w:r>
      <w:proofErr w:type="gramEnd"/>
      <w:r w:rsidRPr="00832328">
        <w:rPr>
          <w:rFonts w:ascii="Simplified Arabic" w:eastAsiaTheme="majorEastAsia" w:hAnsi="Simplified Arabic" w:cs="Simplified Arabic"/>
          <w:rtl/>
        </w:rPr>
        <w:t>. (2024). تقييم فاعلية أنظمة الأمن السيبراني في القطاع المالي السعودي. *مجلة جامعة الإمام محمد بن سعود الإسلامية للعلوم الاقتصادية والإدارية*، *18*(2)، 234-267.</w:t>
      </w:r>
    </w:p>
    <w:p w14:paraId="2C01A963"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العمري، يوسف، الحربي، ماجد، والزهراني، خالد. (2024). التحول الرقمي وأثره على الشمول المالي في السعودية. *المجلة العربية للعلوم المالية والمصرفية*، *11*(3)، 89-122.</w:t>
      </w:r>
    </w:p>
    <w:p w14:paraId="56CBF3AF"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الفهد، </w:t>
      </w:r>
      <w:proofErr w:type="gramStart"/>
      <w:r w:rsidRPr="00832328">
        <w:rPr>
          <w:rFonts w:ascii="Simplified Arabic" w:eastAsiaTheme="majorEastAsia" w:hAnsi="Simplified Arabic" w:cs="Simplified Arabic"/>
          <w:rtl/>
        </w:rPr>
        <w:t>عبدالعزيز</w:t>
      </w:r>
      <w:proofErr w:type="gramEnd"/>
      <w:r w:rsidRPr="00832328">
        <w:rPr>
          <w:rFonts w:ascii="Simplified Arabic" w:eastAsiaTheme="majorEastAsia" w:hAnsi="Simplified Arabic" w:cs="Simplified Arabic"/>
          <w:rtl/>
        </w:rPr>
        <w:t>، والسديري، تركي. (2023). نماذج الأعمال المبتكرة في التقنية المالية السعودية. *مجلة ريادة الأعمال والابتكار*، *9*(4)، 178-211.</w:t>
      </w:r>
    </w:p>
    <w:p w14:paraId="4D8C24F1"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القحطاني، علي. (2024). *أمن المعلومات في المؤسسات المالية الحديثة*. الدمام: مكتبة المتنبي.</w:t>
      </w:r>
    </w:p>
    <w:p w14:paraId="14721A01"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القرشي، محمد، العتيبي، فهد، والشهري، سعود. (2023). تطبيقات الذكاء الاصطناعي في الأمن المصرفي السعودي. *مجلة التقنية والعلوم التطبيقية*، *14*(2)، 123-156.</w:t>
      </w:r>
    </w:p>
    <w:p w14:paraId="785C53C7"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القرني، سلطان، والشمري، </w:t>
      </w:r>
      <w:proofErr w:type="gramStart"/>
      <w:r w:rsidRPr="00832328">
        <w:rPr>
          <w:rFonts w:ascii="Simplified Arabic" w:eastAsiaTheme="majorEastAsia" w:hAnsi="Simplified Arabic" w:cs="Simplified Arabic"/>
          <w:rtl/>
        </w:rPr>
        <w:t>عبدالله</w:t>
      </w:r>
      <w:proofErr w:type="gramEnd"/>
      <w:r w:rsidRPr="00832328">
        <w:rPr>
          <w:rFonts w:ascii="Simplified Arabic" w:eastAsiaTheme="majorEastAsia" w:hAnsi="Simplified Arabic" w:cs="Simplified Arabic"/>
          <w:rtl/>
        </w:rPr>
        <w:t>. (2024). استراتيجيات حماية البيانات في البنوك الرقمية. *المجلة السعودية لتقنية المعلومات*، *8*(1)، 67-94.</w:t>
      </w:r>
    </w:p>
    <w:p w14:paraId="0906FB13"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المالكي، </w:t>
      </w:r>
      <w:proofErr w:type="gramStart"/>
      <w:r w:rsidRPr="00832328">
        <w:rPr>
          <w:rFonts w:ascii="Simplified Arabic" w:eastAsiaTheme="majorEastAsia" w:hAnsi="Simplified Arabic" w:cs="Simplified Arabic"/>
          <w:rtl/>
        </w:rPr>
        <w:t>عبدالرحمن</w:t>
      </w:r>
      <w:proofErr w:type="gramEnd"/>
      <w:r w:rsidRPr="00832328">
        <w:rPr>
          <w:rFonts w:ascii="Simplified Arabic" w:eastAsiaTheme="majorEastAsia" w:hAnsi="Simplified Arabic" w:cs="Simplified Arabic"/>
          <w:rtl/>
        </w:rPr>
        <w:t xml:space="preserve">، الزهراني، أحمد، والغامدي، فيصل. (2024). تقييم نضج التحول الرقمي في المؤسسات المالية السعودية. *مجلة الملك </w:t>
      </w:r>
      <w:proofErr w:type="gramStart"/>
      <w:r w:rsidRPr="00832328">
        <w:rPr>
          <w:rFonts w:ascii="Simplified Arabic" w:eastAsiaTheme="majorEastAsia" w:hAnsi="Simplified Arabic" w:cs="Simplified Arabic"/>
          <w:rtl/>
        </w:rPr>
        <w:t>عبدالعزيز</w:t>
      </w:r>
      <w:proofErr w:type="gramEnd"/>
      <w:r w:rsidRPr="00832328">
        <w:rPr>
          <w:rFonts w:ascii="Simplified Arabic" w:eastAsiaTheme="majorEastAsia" w:hAnsi="Simplified Arabic" w:cs="Simplified Arabic"/>
          <w:rtl/>
        </w:rPr>
        <w:t xml:space="preserve"> للاقتصاد والإدارة*، *38*(1)، 201-235.</w:t>
      </w:r>
    </w:p>
    <w:p w14:paraId="6BDAAC17"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المحيميد، سعد، العنزي، محمد، والدوسري، خالد. (2023). البنوك الرقمية في المملكة: الفرص والتحديات. *المجلة العربية للمعلومات*، *44*(2)، 156-189.</w:t>
      </w:r>
    </w:p>
    <w:p w14:paraId="3F08E44B"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lastRenderedPageBreak/>
        <w:t>المطيري، فهد. (2024). الامتثال التنظيمي للأمن السيبراني في القطاع المالي السعودي. *مجلة الحقوق*، *48*(3)، 234-267.</w:t>
      </w:r>
    </w:p>
    <w:p w14:paraId="532AE77D"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المطيري، ناصر، والعنزي، سعود. (2023). تحليل التهديدات السيبرانية في القطاع المصرفي السعودي. *مجلة الأمن والدفاع السيبراني*، *6*(4)، 89-123.</w:t>
      </w:r>
    </w:p>
    <w:p w14:paraId="784C8464"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محمد، </w:t>
      </w:r>
      <w:proofErr w:type="gramStart"/>
      <w:r w:rsidRPr="00832328">
        <w:rPr>
          <w:rFonts w:ascii="Simplified Arabic" w:eastAsiaTheme="majorEastAsia" w:hAnsi="Simplified Arabic" w:cs="Simplified Arabic"/>
          <w:rtl/>
        </w:rPr>
        <w:t>عبدالله</w:t>
      </w:r>
      <w:proofErr w:type="gramEnd"/>
      <w:r w:rsidRPr="00832328">
        <w:rPr>
          <w:rFonts w:ascii="Simplified Arabic" w:eastAsiaTheme="majorEastAsia" w:hAnsi="Simplified Arabic" w:cs="Simplified Arabic"/>
          <w:rtl/>
        </w:rPr>
        <w:t>، والزهراني، فيصل. (2023). أثر تقنية البلوكشين على كفاءة التسويات المالية. *مجلة العلوم المالية والمحاسبية*، *19*(3)، 145-178.</w:t>
      </w:r>
    </w:p>
    <w:p w14:paraId="4326992B" w14:textId="3ACED4C6" w:rsidR="00832328" w:rsidRDefault="00832328">
      <w:pPr>
        <w:spacing w:after="200" w:line="276" w:lineRule="auto"/>
        <w:rPr>
          <w:rFonts w:ascii="Simplified Arabic" w:eastAsiaTheme="majorEastAsia" w:hAnsi="Simplified Arabic" w:cs="Simplified Arabic"/>
          <w:rtl/>
        </w:rPr>
      </w:pPr>
      <w:r>
        <w:rPr>
          <w:rFonts w:ascii="Simplified Arabic" w:eastAsiaTheme="majorEastAsia" w:hAnsi="Simplified Arabic" w:cs="Simplified Arabic"/>
          <w:rtl/>
        </w:rPr>
        <w:br w:type="page"/>
      </w:r>
    </w:p>
    <w:p w14:paraId="7E6106A2" w14:textId="1F718D5F" w:rsidR="00381524" w:rsidRDefault="00381524" w:rsidP="00741E70">
      <w:pPr>
        <w:pStyle w:val="Heading1"/>
        <w:numPr>
          <w:ilvl w:val="0"/>
          <w:numId w:val="0"/>
        </w:numPr>
        <w:bidi/>
        <w:spacing w:before="0"/>
        <w:ind w:left="432" w:hanging="432"/>
        <w:rPr>
          <w:rFonts w:ascii="Simplified Arabic" w:hAnsi="Simplified Arabic" w:cs="Simplified Arabic"/>
          <w:b/>
          <w:bCs/>
          <w:color w:val="auto"/>
          <w:sz w:val="28"/>
          <w:szCs w:val="28"/>
          <w:u w:val="single"/>
          <w:rtl/>
        </w:rPr>
      </w:pPr>
      <w:bookmarkStart w:id="140" w:name="_Toc224563967"/>
      <w:bookmarkStart w:id="141" w:name="_Toc224564024"/>
      <w:r w:rsidRPr="0072768E">
        <w:rPr>
          <w:rFonts w:ascii="Simplified Arabic" w:hAnsi="Simplified Arabic" w:cs="Simplified Arabic" w:hint="cs"/>
          <w:b/>
          <w:bCs/>
          <w:color w:val="auto"/>
          <w:sz w:val="28"/>
          <w:szCs w:val="28"/>
          <w:u w:val="single"/>
          <w:rtl/>
        </w:rPr>
        <w:lastRenderedPageBreak/>
        <w:t>المراجع الأجنبية:</w:t>
      </w:r>
      <w:bookmarkEnd w:id="140"/>
      <w:bookmarkEnd w:id="141"/>
    </w:p>
    <w:p w14:paraId="3EC4AE25" w14:textId="77777777" w:rsidR="00A845B0" w:rsidRPr="00FB5EDA" w:rsidRDefault="00A845B0" w:rsidP="00A845B0">
      <w:pPr>
        <w:bidi/>
        <w:spacing w:line="278" w:lineRule="auto"/>
        <w:jc w:val="both"/>
        <w:rPr>
          <w:rFonts w:ascii="Simplified Arabic" w:eastAsia="Aptos" w:hAnsi="Simplified Arabic" w:cs="Simplified Arabic"/>
          <w:b/>
          <w:bCs/>
          <w:sz w:val="28"/>
          <w:szCs w:val="28"/>
        </w:rPr>
      </w:pPr>
      <w:r w:rsidRPr="00FB5EDA">
        <w:rPr>
          <w:rFonts w:ascii="Simplified Arabic" w:eastAsia="Aptos" w:hAnsi="Simplified Arabic" w:cs="Simplified Arabic"/>
          <w:b/>
          <w:bCs/>
          <w:sz w:val="28"/>
          <w:szCs w:val="28"/>
          <w:rtl/>
        </w:rPr>
        <w:t>(أ) التقارير المهنية والمؤسسية</w:t>
      </w:r>
      <w:r w:rsidRPr="00FB5EDA">
        <w:rPr>
          <w:rFonts w:ascii="Simplified Arabic" w:eastAsia="Aptos" w:hAnsi="Simplified Arabic" w:cs="Simplified Arabic"/>
          <w:b/>
          <w:bCs/>
          <w:sz w:val="28"/>
          <w:szCs w:val="28"/>
        </w:rPr>
        <w:t>:</w:t>
      </w:r>
    </w:p>
    <w:p w14:paraId="1A59A985"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ENISA. (2024). ENISA Threat Landscape: Finance Sector January 2023 to June 2024. European Union Agency for Cybersecurity.</w:t>
      </w:r>
    </w:p>
    <w:p w14:paraId="7CC91241"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 xml:space="preserve">Financial Stability Board. (2024). The financial stability implications of </w:t>
      </w:r>
      <w:proofErr w:type="spellStart"/>
      <w:proofErr w:type="gramStart"/>
      <w:r w:rsidRPr="00FB5EDA">
        <w:rPr>
          <w:rFonts w:cstheme="minorHAnsi"/>
        </w:rPr>
        <w:t>tokenisation</w:t>
      </w:r>
      <w:proofErr w:type="spellEnd"/>
      <w:proofErr w:type="gramEnd"/>
      <w:r w:rsidRPr="00FB5EDA">
        <w:rPr>
          <w:rFonts w:cstheme="minorHAnsi"/>
        </w:rPr>
        <w:t>. FSB.</w:t>
      </w:r>
    </w:p>
    <w:p w14:paraId="48CE37A2"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IBM Security. (2024). Cost of a Data Breach 2024: Financial Industry. IBM Corporation.</w:t>
      </w:r>
    </w:p>
    <w:p w14:paraId="2A390A9C"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International Monetary Fund. (2024). Financial Sector Assessment Program: Saudi Arabia. IMF.</w:t>
      </w:r>
    </w:p>
    <w:p w14:paraId="6958C475"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McKinsey &amp; Company. (2024). From ripples to waves: The transformational power of tokenizing assets. McKinsey Global Institute.</w:t>
      </w:r>
    </w:p>
    <w:p w14:paraId="0D75A8C7"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PCI Security Standards Council. (2024). PCI DSS v4.0 and tokenization guidelines. PCI SSC.</w:t>
      </w:r>
    </w:p>
    <w:p w14:paraId="75D89FD3"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Saudi Central Bank (SAMA). (2024). National Payments Strategy and Digital Transformation Report. SAMA.</w:t>
      </w:r>
    </w:p>
    <w:p w14:paraId="12785113"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Thunes Research. (2025). Saudi Arabia: Unlocking fintech potential across the Middle East. Thunes.</w:t>
      </w:r>
    </w:p>
    <w:p w14:paraId="2CCAFD47"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World Economic Forum. (2024). How tokenization is transforming finance and investment. WEF.</w:t>
      </w:r>
    </w:p>
    <w:p w14:paraId="02634930" w14:textId="77777777" w:rsidR="00A845B0" w:rsidRPr="00FB5EDA" w:rsidRDefault="00A845B0" w:rsidP="00A845B0">
      <w:pPr>
        <w:bidi/>
        <w:spacing w:line="278" w:lineRule="auto"/>
        <w:jc w:val="both"/>
        <w:rPr>
          <w:rFonts w:ascii="Simplified Arabic" w:eastAsia="Aptos" w:hAnsi="Simplified Arabic" w:cs="Simplified Arabic"/>
          <w:b/>
          <w:bCs/>
          <w:sz w:val="28"/>
          <w:szCs w:val="28"/>
        </w:rPr>
      </w:pPr>
      <w:r w:rsidRPr="00FB5EDA">
        <w:rPr>
          <w:rFonts w:ascii="Simplified Arabic" w:eastAsia="Aptos" w:hAnsi="Simplified Arabic" w:cs="Simplified Arabic"/>
          <w:b/>
          <w:bCs/>
          <w:sz w:val="28"/>
          <w:szCs w:val="28"/>
          <w:rtl/>
        </w:rPr>
        <w:t>(ب) الدراسات الأكاديمية المحكمة</w:t>
      </w:r>
      <w:r w:rsidRPr="00FB5EDA">
        <w:rPr>
          <w:rFonts w:ascii="Simplified Arabic" w:eastAsia="Aptos" w:hAnsi="Simplified Arabic" w:cs="Simplified Arabic"/>
          <w:b/>
          <w:bCs/>
          <w:sz w:val="28"/>
          <w:szCs w:val="28"/>
        </w:rPr>
        <w:t>:</w:t>
      </w:r>
    </w:p>
    <w:p w14:paraId="35FB7959" w14:textId="77777777" w:rsidR="00A845B0" w:rsidRPr="00DB22E0" w:rsidRDefault="00A845B0" w:rsidP="00A845B0">
      <w:pPr>
        <w:numPr>
          <w:ilvl w:val="0"/>
          <w:numId w:val="91"/>
        </w:numPr>
        <w:spacing w:after="0" w:line="240" w:lineRule="auto"/>
        <w:jc w:val="both"/>
        <w:rPr>
          <w:rFonts w:cstheme="minorHAnsi"/>
        </w:rPr>
      </w:pPr>
      <w:proofErr w:type="spellStart"/>
      <w:r w:rsidRPr="00DB22E0">
        <w:rPr>
          <w:rFonts w:cstheme="minorHAnsi"/>
        </w:rPr>
        <w:t>Adigwe</w:t>
      </w:r>
      <w:proofErr w:type="spellEnd"/>
      <w:r w:rsidRPr="00DB22E0">
        <w:rPr>
          <w:rFonts w:cstheme="minorHAnsi"/>
        </w:rPr>
        <w:t xml:space="preserve">, C., et al. (2024). Tokenization of agricultural assets: Strengthening blockchain security in </w:t>
      </w:r>
      <w:proofErr w:type="spellStart"/>
      <w:r w:rsidRPr="00DB22E0">
        <w:rPr>
          <w:rFonts w:cstheme="minorHAnsi"/>
        </w:rPr>
        <w:t>agri</w:t>
      </w:r>
      <w:proofErr w:type="spellEnd"/>
      <w:r w:rsidRPr="00DB22E0">
        <w:rPr>
          <w:rFonts w:cstheme="minorHAnsi"/>
        </w:rPr>
        <w:t xml:space="preserve">-finance and investment models against fraud and cyber risks. Agricultural Finance Review. </w:t>
      </w:r>
    </w:p>
    <w:p w14:paraId="0B6B2D0B" w14:textId="77777777" w:rsidR="00A845B0" w:rsidRPr="00DB22E0" w:rsidRDefault="00A845B0" w:rsidP="00A845B0">
      <w:pPr>
        <w:numPr>
          <w:ilvl w:val="0"/>
          <w:numId w:val="91"/>
        </w:numPr>
        <w:spacing w:after="0" w:line="240" w:lineRule="auto"/>
        <w:jc w:val="both"/>
        <w:rPr>
          <w:rFonts w:cstheme="minorHAnsi"/>
        </w:rPr>
      </w:pPr>
      <w:r w:rsidRPr="00DB22E0">
        <w:rPr>
          <w:rFonts w:cstheme="minorHAnsi"/>
        </w:rPr>
        <w:t>Ahammad, M. S., Maliha, M., &amp; Nila, N. E. (2025). An innovative blockchain framework for strengthening security and efficiency in banking. Scientific Reports, 15, 39029.</w:t>
      </w:r>
      <w:r w:rsidRPr="00A845B0">
        <w:rPr>
          <w:rFonts w:cstheme="minorHAnsi"/>
        </w:rPr>
        <w:t xml:space="preserve"> </w:t>
      </w:r>
      <w:hyperlink r:id="rId19" w:history="1">
        <w:r w:rsidRPr="00DB22E0">
          <w:rPr>
            <w:rStyle w:val="Hyperlink"/>
            <w:rFonts w:cstheme="minorHAnsi"/>
          </w:rPr>
          <w:t>https://doi.org/10.1038/s41598-025-25457-8</w:t>
        </w:r>
      </w:hyperlink>
      <w:r w:rsidRPr="00DB22E0">
        <w:rPr>
          <w:rFonts w:cstheme="minorHAnsi"/>
        </w:rPr>
        <w:t xml:space="preserve"> </w:t>
      </w:r>
    </w:p>
    <w:p w14:paraId="29ABC415" w14:textId="77777777" w:rsidR="00A845B0" w:rsidRPr="00DB22E0" w:rsidRDefault="00A845B0" w:rsidP="00A845B0">
      <w:pPr>
        <w:numPr>
          <w:ilvl w:val="0"/>
          <w:numId w:val="91"/>
        </w:numPr>
        <w:spacing w:after="0" w:line="240" w:lineRule="auto"/>
        <w:jc w:val="both"/>
        <w:rPr>
          <w:rFonts w:cstheme="minorHAnsi"/>
        </w:rPr>
      </w:pPr>
      <w:proofErr w:type="spellStart"/>
      <w:r w:rsidRPr="00DB22E0">
        <w:rPr>
          <w:rFonts w:cstheme="minorHAnsi"/>
        </w:rPr>
        <w:t>Almadadha</w:t>
      </w:r>
      <w:proofErr w:type="spellEnd"/>
      <w:r w:rsidRPr="00DB22E0">
        <w:rPr>
          <w:rFonts w:cstheme="minorHAnsi"/>
        </w:rPr>
        <w:t>, R. (2025). Blockchain and financial performance: Empirical evidence from major Australian banks. Frontiers in Blockchain, 8, 1463633.</w:t>
      </w:r>
      <w:r w:rsidRPr="00A845B0">
        <w:rPr>
          <w:rFonts w:cstheme="minorHAnsi"/>
        </w:rPr>
        <w:t xml:space="preserve"> </w:t>
      </w:r>
      <w:hyperlink r:id="rId20" w:history="1">
        <w:r w:rsidRPr="00DB22E0">
          <w:rPr>
            <w:rStyle w:val="Hyperlink"/>
            <w:rFonts w:cstheme="minorHAnsi"/>
          </w:rPr>
          <w:t>https://doi.org/10.3389/fbloc.2025.1463633</w:t>
        </w:r>
      </w:hyperlink>
      <w:r w:rsidRPr="00DB22E0">
        <w:rPr>
          <w:rFonts w:cstheme="minorHAnsi"/>
        </w:rPr>
        <w:t xml:space="preserve"> </w:t>
      </w:r>
    </w:p>
    <w:p w14:paraId="3D8E1F3D" w14:textId="77777777" w:rsidR="00A845B0" w:rsidRPr="00DB22E0" w:rsidRDefault="00A845B0" w:rsidP="00A845B0">
      <w:pPr>
        <w:numPr>
          <w:ilvl w:val="0"/>
          <w:numId w:val="91"/>
        </w:numPr>
        <w:spacing w:after="0" w:line="240" w:lineRule="auto"/>
        <w:jc w:val="both"/>
        <w:rPr>
          <w:rFonts w:cstheme="minorHAnsi"/>
        </w:rPr>
      </w:pPr>
      <w:r w:rsidRPr="00DB22E0">
        <w:rPr>
          <w:rFonts w:cstheme="minorHAnsi"/>
        </w:rPr>
        <w:t>Al-</w:t>
      </w:r>
      <w:proofErr w:type="spellStart"/>
      <w:r w:rsidRPr="00DB22E0">
        <w:rPr>
          <w:rFonts w:cstheme="minorHAnsi"/>
        </w:rPr>
        <w:t>Qudah</w:t>
      </w:r>
      <w:proofErr w:type="spellEnd"/>
      <w:r w:rsidRPr="00DB22E0">
        <w:rPr>
          <w:rFonts w:cstheme="minorHAnsi"/>
        </w:rPr>
        <w:t>, A. A., Al-</w:t>
      </w:r>
      <w:proofErr w:type="spellStart"/>
      <w:r w:rsidRPr="00DB22E0">
        <w:rPr>
          <w:rFonts w:cstheme="minorHAnsi"/>
        </w:rPr>
        <w:t>Okaily</w:t>
      </w:r>
      <w:proofErr w:type="spellEnd"/>
      <w:r w:rsidRPr="00DB22E0">
        <w:rPr>
          <w:rFonts w:cstheme="minorHAnsi"/>
        </w:rPr>
        <w:t>, M., &amp; Yadav, M. P. P. (2025). Analyzing the impact of blockchain technology on banking transaction costs using random forest method. Frontiers in Blockchain, 8, 1551970.</w:t>
      </w:r>
      <w:r w:rsidRPr="00A845B0">
        <w:rPr>
          <w:rFonts w:cstheme="minorHAnsi"/>
        </w:rPr>
        <w:t xml:space="preserve"> </w:t>
      </w:r>
      <w:hyperlink r:id="rId21" w:history="1">
        <w:r w:rsidRPr="00DB22E0">
          <w:rPr>
            <w:rStyle w:val="Hyperlink"/>
            <w:rFonts w:cstheme="minorHAnsi"/>
          </w:rPr>
          <w:t>https://doi.org/10.3389/fbloc.2025.1551970</w:t>
        </w:r>
      </w:hyperlink>
      <w:r w:rsidRPr="00DB22E0">
        <w:rPr>
          <w:rFonts w:cstheme="minorHAnsi"/>
        </w:rPr>
        <w:t xml:space="preserve"> </w:t>
      </w:r>
    </w:p>
    <w:p w14:paraId="10513730" w14:textId="77777777" w:rsidR="00A845B0" w:rsidRPr="00DB22E0" w:rsidRDefault="00A845B0" w:rsidP="00A845B0">
      <w:pPr>
        <w:numPr>
          <w:ilvl w:val="0"/>
          <w:numId w:val="91"/>
        </w:numPr>
        <w:spacing w:after="0" w:line="240" w:lineRule="auto"/>
        <w:jc w:val="both"/>
        <w:rPr>
          <w:rFonts w:cstheme="minorHAnsi"/>
        </w:rPr>
      </w:pPr>
      <w:r w:rsidRPr="00DB22E0">
        <w:rPr>
          <w:rFonts w:cstheme="minorHAnsi"/>
        </w:rPr>
        <w:t xml:space="preserve">Carapella, F., et al. (2023). Tokenization: Overview and financial stability implications. Finance and Economics Discussion Series, Federal Reserve Board. </w:t>
      </w:r>
    </w:p>
    <w:p w14:paraId="16BEDF9E" w14:textId="77777777" w:rsidR="00A845B0" w:rsidRPr="00DB22E0" w:rsidRDefault="00A845B0" w:rsidP="00A845B0">
      <w:pPr>
        <w:numPr>
          <w:ilvl w:val="0"/>
          <w:numId w:val="91"/>
        </w:numPr>
        <w:spacing w:after="0" w:line="240" w:lineRule="auto"/>
        <w:jc w:val="both"/>
        <w:rPr>
          <w:rFonts w:cstheme="minorHAnsi"/>
        </w:rPr>
      </w:pPr>
      <w:r w:rsidRPr="00DB22E0">
        <w:rPr>
          <w:rFonts w:cstheme="minorHAnsi"/>
        </w:rPr>
        <w:t>Goghie, A. S. (2024). Tokenization and the banking system: Redefining authority in the blockchain era. Journal of Banking Regulation.</w:t>
      </w:r>
      <w:r w:rsidRPr="00A845B0">
        <w:rPr>
          <w:rFonts w:cstheme="minorHAnsi"/>
        </w:rPr>
        <w:t xml:space="preserve"> </w:t>
      </w:r>
      <w:hyperlink r:id="rId22" w:history="1">
        <w:r w:rsidRPr="00DB22E0">
          <w:rPr>
            <w:rStyle w:val="Hyperlink"/>
            <w:rFonts w:cstheme="minorHAnsi"/>
          </w:rPr>
          <w:t>https://doi.org/10.1177/10245294241258255</w:t>
        </w:r>
      </w:hyperlink>
      <w:r w:rsidRPr="00DB22E0">
        <w:rPr>
          <w:rFonts w:cstheme="minorHAnsi"/>
        </w:rPr>
        <w:t xml:space="preserve"> </w:t>
      </w:r>
    </w:p>
    <w:p w14:paraId="33956633" w14:textId="77777777" w:rsidR="00A845B0" w:rsidRPr="00DB22E0" w:rsidRDefault="00A845B0" w:rsidP="00A845B0">
      <w:pPr>
        <w:numPr>
          <w:ilvl w:val="0"/>
          <w:numId w:val="91"/>
        </w:numPr>
        <w:spacing w:after="0" w:line="240" w:lineRule="auto"/>
        <w:jc w:val="both"/>
        <w:rPr>
          <w:rFonts w:cstheme="minorHAnsi"/>
        </w:rPr>
      </w:pPr>
      <w:r w:rsidRPr="00DB22E0">
        <w:rPr>
          <w:rFonts w:cstheme="minorHAnsi"/>
        </w:rPr>
        <w:t xml:space="preserve">Grossmann, A., et al. (2025). Designing the future of bond markets: Reducing transaction costs through tokenization. Journal of Financial Markets. </w:t>
      </w:r>
    </w:p>
    <w:p w14:paraId="057E760B" w14:textId="77777777" w:rsidR="00A845B0" w:rsidRPr="00DB22E0" w:rsidRDefault="00A845B0" w:rsidP="00A845B0">
      <w:pPr>
        <w:numPr>
          <w:ilvl w:val="0"/>
          <w:numId w:val="91"/>
        </w:numPr>
        <w:spacing w:after="0" w:line="240" w:lineRule="auto"/>
        <w:jc w:val="both"/>
        <w:rPr>
          <w:rFonts w:cstheme="minorHAnsi"/>
        </w:rPr>
      </w:pPr>
      <w:r w:rsidRPr="00DB22E0">
        <w:rPr>
          <w:rFonts w:cstheme="minorHAnsi"/>
        </w:rPr>
        <w:t>Islam, M. S., &amp; In, H. P. (2024). Blockchain technology in the banking sector: A content analysis. Frontiers in Blockchain, 8, 1667848.</w:t>
      </w:r>
      <w:r w:rsidRPr="00A845B0">
        <w:rPr>
          <w:rFonts w:cstheme="minorHAnsi"/>
        </w:rPr>
        <w:t xml:space="preserve"> </w:t>
      </w:r>
      <w:hyperlink r:id="rId23" w:history="1">
        <w:r w:rsidRPr="00DB22E0">
          <w:rPr>
            <w:rStyle w:val="Hyperlink"/>
            <w:rFonts w:cstheme="minorHAnsi"/>
          </w:rPr>
          <w:t>https://doi.org/10.3389/fbloc.2025.1667848</w:t>
        </w:r>
      </w:hyperlink>
      <w:r w:rsidRPr="00DB22E0">
        <w:rPr>
          <w:rFonts w:cstheme="minorHAnsi"/>
        </w:rPr>
        <w:t xml:space="preserve"> </w:t>
      </w:r>
    </w:p>
    <w:p w14:paraId="5F832A5C" w14:textId="77777777" w:rsidR="00A845B0" w:rsidRPr="00DB22E0" w:rsidRDefault="00A845B0" w:rsidP="00A845B0">
      <w:pPr>
        <w:numPr>
          <w:ilvl w:val="0"/>
          <w:numId w:val="91"/>
        </w:numPr>
        <w:spacing w:after="0" w:line="240" w:lineRule="auto"/>
        <w:jc w:val="both"/>
        <w:rPr>
          <w:rFonts w:cstheme="minorHAnsi"/>
        </w:rPr>
      </w:pPr>
      <w:proofErr w:type="spellStart"/>
      <w:r w:rsidRPr="00DB22E0">
        <w:rPr>
          <w:rFonts w:cstheme="minorHAnsi"/>
        </w:rPr>
        <w:t>Karanovic</w:t>
      </w:r>
      <w:proofErr w:type="spellEnd"/>
      <w:r w:rsidRPr="00DB22E0">
        <w:rPr>
          <w:rFonts w:cstheme="minorHAnsi"/>
        </w:rPr>
        <w:t>, V., et al. (2024). The impact of blockchain technology on financial services and digital transactions. In Proceedings of the 8th International Conference on Future Networks &amp; Distributed Systems. ACM.</w:t>
      </w:r>
      <w:r w:rsidRPr="00A845B0">
        <w:rPr>
          <w:rFonts w:cstheme="minorHAnsi"/>
        </w:rPr>
        <w:t xml:space="preserve"> </w:t>
      </w:r>
      <w:hyperlink r:id="rId24" w:history="1">
        <w:r w:rsidRPr="00DB22E0">
          <w:rPr>
            <w:rStyle w:val="Hyperlink"/>
            <w:rFonts w:cstheme="minorHAnsi"/>
          </w:rPr>
          <w:t>https://doi.org/10.1145/3726122.3726195</w:t>
        </w:r>
      </w:hyperlink>
    </w:p>
    <w:p w14:paraId="45FCE543" w14:textId="77777777" w:rsidR="00A845B0" w:rsidRPr="00DB22E0" w:rsidRDefault="00A845B0" w:rsidP="00A845B0">
      <w:pPr>
        <w:numPr>
          <w:ilvl w:val="0"/>
          <w:numId w:val="91"/>
        </w:numPr>
        <w:spacing w:after="0" w:line="240" w:lineRule="auto"/>
        <w:jc w:val="both"/>
        <w:rPr>
          <w:rFonts w:cstheme="minorHAnsi"/>
        </w:rPr>
      </w:pPr>
      <w:proofErr w:type="spellStart"/>
      <w:r w:rsidRPr="00DB22E0">
        <w:rPr>
          <w:rFonts w:cstheme="minorHAnsi"/>
        </w:rPr>
        <w:t>Lavayssière</w:t>
      </w:r>
      <w:proofErr w:type="spellEnd"/>
      <w:r w:rsidRPr="00DB22E0">
        <w:rPr>
          <w:rFonts w:cstheme="minorHAnsi"/>
        </w:rPr>
        <w:t xml:space="preserve">, X., &amp; Zhang, J. (2025). Tokenization and financial market inefficiencies. FinTech Notes, 2025(001). </w:t>
      </w:r>
    </w:p>
    <w:p w14:paraId="11F40D04" w14:textId="77777777" w:rsidR="00A845B0" w:rsidRPr="00DB22E0" w:rsidRDefault="00A845B0" w:rsidP="00A845B0">
      <w:pPr>
        <w:numPr>
          <w:ilvl w:val="0"/>
          <w:numId w:val="91"/>
        </w:numPr>
        <w:spacing w:after="0" w:line="240" w:lineRule="auto"/>
        <w:jc w:val="both"/>
        <w:rPr>
          <w:rFonts w:cstheme="minorHAnsi"/>
        </w:rPr>
      </w:pPr>
      <w:r w:rsidRPr="00DB22E0">
        <w:rPr>
          <w:rFonts w:cstheme="minorHAnsi"/>
        </w:rPr>
        <w:lastRenderedPageBreak/>
        <w:t xml:space="preserve">[Multiple Authors]. (2025). Tokenization of real-world assets: Legal frameworks, market dynamics, and policy pathways for a decentralized financial future. Research Publication. </w:t>
      </w:r>
    </w:p>
    <w:p w14:paraId="5AA4057A" w14:textId="77777777" w:rsidR="00A845B0" w:rsidRPr="00DB22E0" w:rsidRDefault="00A845B0" w:rsidP="00A845B0">
      <w:pPr>
        <w:numPr>
          <w:ilvl w:val="0"/>
          <w:numId w:val="91"/>
        </w:numPr>
        <w:spacing w:after="0" w:line="240" w:lineRule="auto"/>
        <w:jc w:val="both"/>
        <w:rPr>
          <w:rFonts w:cstheme="minorHAnsi"/>
        </w:rPr>
      </w:pPr>
      <w:proofErr w:type="spellStart"/>
      <w:r w:rsidRPr="00DB22E0">
        <w:rPr>
          <w:rFonts w:cstheme="minorHAnsi"/>
        </w:rPr>
        <w:t>Sakarneh</w:t>
      </w:r>
      <w:proofErr w:type="spellEnd"/>
      <w:r w:rsidRPr="00DB22E0">
        <w:rPr>
          <w:rFonts w:cstheme="minorHAnsi"/>
        </w:rPr>
        <w:t>, B., &amp; Kilani, Y. M. (2024). The role of blockchain technology in managing efficiency and cost reduction in the banking sector in Jordan. Journal of Systems Management Sciences, 14(5), 251-267.</w:t>
      </w:r>
      <w:r w:rsidRPr="00A845B0">
        <w:rPr>
          <w:rFonts w:cstheme="minorHAnsi"/>
        </w:rPr>
        <w:t xml:space="preserve"> </w:t>
      </w:r>
      <w:hyperlink r:id="rId25" w:history="1">
        <w:r w:rsidRPr="00DB22E0">
          <w:rPr>
            <w:rStyle w:val="Hyperlink"/>
            <w:rFonts w:cstheme="minorHAnsi"/>
          </w:rPr>
          <w:t>https://doi.org/10.33168/JSMS.2024.0516</w:t>
        </w:r>
      </w:hyperlink>
      <w:r w:rsidRPr="00DB22E0">
        <w:rPr>
          <w:rFonts w:cstheme="minorHAnsi"/>
        </w:rPr>
        <w:t xml:space="preserve"> </w:t>
      </w:r>
    </w:p>
    <w:p w14:paraId="61730DE8" w14:textId="77777777" w:rsidR="00A845B0" w:rsidRPr="00A845B0" w:rsidRDefault="00A845B0" w:rsidP="00A845B0">
      <w:pPr>
        <w:numPr>
          <w:ilvl w:val="0"/>
          <w:numId w:val="91"/>
        </w:numPr>
        <w:spacing w:after="0" w:line="240" w:lineRule="auto"/>
        <w:jc w:val="both"/>
        <w:rPr>
          <w:rFonts w:cstheme="minorHAnsi"/>
        </w:rPr>
      </w:pPr>
      <w:r w:rsidRPr="00A845B0">
        <w:rPr>
          <w:rFonts w:cstheme="minorHAnsi"/>
        </w:rPr>
        <w:t xml:space="preserve">Udeh, C. A., et al. (2025). Exploring trust dynamics in finance: The impact of blockchain technology and smart contracts. Humanities and Social Sciences Communications, 12, 105473. </w:t>
      </w:r>
      <w:hyperlink r:id="rId26" w:history="1">
        <w:r w:rsidRPr="00A845B0">
          <w:rPr>
            <w:rStyle w:val="Hyperlink"/>
            <w:rFonts w:cstheme="minorHAnsi"/>
          </w:rPr>
          <w:t>https://doi.org/10.1038/s41599-025-05473-9</w:t>
        </w:r>
      </w:hyperlink>
    </w:p>
    <w:p w14:paraId="09758459" w14:textId="2115CF11" w:rsidR="00A96A8E" w:rsidRPr="00832328" w:rsidRDefault="00A96A8E" w:rsidP="00530CE8">
      <w:pPr>
        <w:rPr>
          <w:rtl/>
        </w:rPr>
      </w:pPr>
    </w:p>
    <w:sectPr w:rsidR="00A96A8E" w:rsidRPr="00832328"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B0C6D" w14:textId="77777777" w:rsidR="00001008" w:rsidRDefault="00001008" w:rsidP="00F628F0">
      <w:pPr>
        <w:spacing w:after="0" w:line="240" w:lineRule="auto"/>
      </w:pPr>
      <w:r>
        <w:separator/>
      </w:r>
    </w:p>
  </w:endnote>
  <w:endnote w:type="continuationSeparator" w:id="0">
    <w:p w14:paraId="12BAC767" w14:textId="77777777" w:rsidR="00001008" w:rsidRDefault="0000100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245577"/>
      <w:docPartObj>
        <w:docPartGallery w:val="Page Numbers (Bottom of Page)"/>
        <w:docPartUnique/>
      </w:docPartObj>
    </w:sdtPr>
    <w:sdtEndPr>
      <w:rPr>
        <w:color w:val="7F7F7F" w:themeColor="background1" w:themeShade="7F"/>
        <w:spacing w:val="60"/>
      </w:rPr>
    </w:sdtEndPr>
    <w:sdtContent>
      <w:p w14:paraId="17A4F332" w14:textId="3451C710" w:rsidR="006E2853" w:rsidRDefault="006E285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B519DFD" w:rsidR="00883E09" w:rsidRPr="006E2853" w:rsidRDefault="00883E09" w:rsidP="00883E09">
    <w:pPr>
      <w:pStyle w:val="Footer"/>
      <w:bidi/>
      <w:rPr>
        <w:sz w:val="24"/>
        <w:szCs w:val="24"/>
      </w:rPr>
    </w:pPr>
    <w:r w:rsidRPr="006E2853">
      <w:rPr>
        <w:noProo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88BAB" w14:textId="77777777" w:rsidR="00001008" w:rsidRDefault="00001008" w:rsidP="00F628F0">
      <w:pPr>
        <w:spacing w:after="0" w:line="240" w:lineRule="auto"/>
      </w:pPr>
      <w:r>
        <w:separator/>
      </w:r>
    </w:p>
  </w:footnote>
  <w:footnote w:type="continuationSeparator" w:id="0">
    <w:p w14:paraId="2A3918E3" w14:textId="77777777" w:rsidR="00001008" w:rsidRDefault="0000100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1008">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1008">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001008">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57D84C70"/>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2F470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0741374"/>
    <w:multiLevelType w:val="hybridMultilevel"/>
    <w:tmpl w:val="0E62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1FB2296"/>
    <w:multiLevelType w:val="multilevel"/>
    <w:tmpl w:val="3D7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7A2880"/>
    <w:multiLevelType w:val="multilevel"/>
    <w:tmpl w:val="D7A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830DC9"/>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2BE68AC"/>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6A1109B"/>
    <w:multiLevelType w:val="multilevel"/>
    <w:tmpl w:val="6282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DB2FD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7922139"/>
    <w:multiLevelType w:val="multilevel"/>
    <w:tmpl w:val="83E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0D471B"/>
    <w:multiLevelType w:val="multilevel"/>
    <w:tmpl w:val="1482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396C56"/>
    <w:multiLevelType w:val="multilevel"/>
    <w:tmpl w:val="BD6C8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BF19CF"/>
    <w:multiLevelType w:val="multilevel"/>
    <w:tmpl w:val="7FA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D12820"/>
    <w:multiLevelType w:val="multilevel"/>
    <w:tmpl w:val="FA24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765B53"/>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4DC73A4"/>
    <w:multiLevelType w:val="hybridMultilevel"/>
    <w:tmpl w:val="3DE4A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7107264"/>
    <w:multiLevelType w:val="multilevel"/>
    <w:tmpl w:val="893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60407C"/>
    <w:multiLevelType w:val="hybridMultilevel"/>
    <w:tmpl w:val="34A03E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BD26D7"/>
    <w:multiLevelType w:val="multilevel"/>
    <w:tmpl w:val="8660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5B4D22"/>
    <w:multiLevelType w:val="multilevel"/>
    <w:tmpl w:val="D39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991D67"/>
    <w:multiLevelType w:val="multilevel"/>
    <w:tmpl w:val="84B0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6D04EC"/>
    <w:multiLevelType w:val="multilevel"/>
    <w:tmpl w:val="13C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737C9D"/>
    <w:multiLevelType w:val="multilevel"/>
    <w:tmpl w:val="AFF6F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Simplified Arabic" w:eastAsiaTheme="minorHAnsi" w:hAnsi="Simplified Arabic" w:cs="Simplified Arabic"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DD5C6D"/>
    <w:multiLevelType w:val="multilevel"/>
    <w:tmpl w:val="21F0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096A5F"/>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30A6D3D"/>
    <w:multiLevelType w:val="multilevel"/>
    <w:tmpl w:val="0672BA00"/>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bullet"/>
      <w:pStyle w:val="Heading3"/>
      <w:lvlText w:val=""/>
      <w:lvlJc w:val="left"/>
      <w:pPr>
        <w:ind w:left="360" w:hanging="360"/>
      </w:pPr>
      <w:rPr>
        <w:rFonts w:ascii="Symbol" w:hAnsi="Symbol" w:hint="default"/>
      </w:rPr>
    </w:lvl>
    <w:lvl w:ilvl="3">
      <w:start w:val="1"/>
      <w:numFmt w:val="bullet"/>
      <w:pStyle w:val="Heading4"/>
      <w:lvlText w:val="o"/>
      <w:lvlJc w:val="left"/>
      <w:pPr>
        <w:ind w:left="360" w:hanging="360"/>
      </w:pPr>
      <w:rPr>
        <w:rFonts w:ascii="Courier New" w:hAnsi="Courier New" w:cs="Courier New" w:hint="default"/>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23CC12E2"/>
    <w:multiLevelType w:val="multilevel"/>
    <w:tmpl w:val="22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EA7E2A"/>
    <w:multiLevelType w:val="multilevel"/>
    <w:tmpl w:val="B520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809177F"/>
    <w:multiLevelType w:val="multilevel"/>
    <w:tmpl w:val="2EB2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84214E4"/>
    <w:multiLevelType w:val="multilevel"/>
    <w:tmpl w:val="355E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88A7A8A"/>
    <w:multiLevelType w:val="multilevel"/>
    <w:tmpl w:val="BD8C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952659D"/>
    <w:multiLevelType w:val="multilevel"/>
    <w:tmpl w:val="F3C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A8F62D9"/>
    <w:multiLevelType w:val="multilevel"/>
    <w:tmpl w:val="D69A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AB10A3B"/>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B0B7282"/>
    <w:multiLevelType w:val="multilevel"/>
    <w:tmpl w:val="5220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0653DE9"/>
    <w:multiLevelType w:val="multilevel"/>
    <w:tmpl w:val="A002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1461259"/>
    <w:multiLevelType w:val="hybridMultilevel"/>
    <w:tmpl w:val="4E0A6E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3045659"/>
    <w:multiLevelType w:val="multilevel"/>
    <w:tmpl w:val="B62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3197E1F"/>
    <w:multiLevelType w:val="multilevel"/>
    <w:tmpl w:val="7DE0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3CA189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52F0801"/>
    <w:multiLevelType w:val="multilevel"/>
    <w:tmpl w:val="76D4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64B27E5"/>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D2F798C"/>
    <w:multiLevelType w:val="multilevel"/>
    <w:tmpl w:val="734C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D6A4F80"/>
    <w:multiLevelType w:val="multilevel"/>
    <w:tmpl w:val="578E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DE06E75"/>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EE06041"/>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0EA1B95"/>
    <w:multiLevelType w:val="multilevel"/>
    <w:tmpl w:val="C7FC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897637"/>
    <w:multiLevelType w:val="multilevel"/>
    <w:tmpl w:val="F4C4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5242DB8"/>
    <w:multiLevelType w:val="hybridMultilevel"/>
    <w:tmpl w:val="09EC0E68"/>
    <w:lvl w:ilvl="0" w:tplc="0F64E5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5F5074C"/>
    <w:multiLevelType w:val="multilevel"/>
    <w:tmpl w:val="3F2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D61F6F"/>
    <w:multiLevelType w:val="multilevel"/>
    <w:tmpl w:val="542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9C830BD"/>
    <w:multiLevelType w:val="multilevel"/>
    <w:tmpl w:val="0EB2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ADD4863"/>
    <w:multiLevelType w:val="multilevel"/>
    <w:tmpl w:val="A3125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B930BFE"/>
    <w:multiLevelType w:val="multilevel"/>
    <w:tmpl w:val="997E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D575325"/>
    <w:multiLevelType w:val="multilevel"/>
    <w:tmpl w:val="F7121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FC91FA7"/>
    <w:multiLevelType w:val="multilevel"/>
    <w:tmpl w:val="1E5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FA2B4A"/>
    <w:multiLevelType w:val="multilevel"/>
    <w:tmpl w:val="DD862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26534CD"/>
    <w:multiLevelType w:val="multilevel"/>
    <w:tmpl w:val="90E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334353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5658356D"/>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B324E02"/>
    <w:multiLevelType w:val="multilevel"/>
    <w:tmpl w:val="EFC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BE80FCE"/>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C531F5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5CCB1023"/>
    <w:multiLevelType w:val="multilevel"/>
    <w:tmpl w:val="9F5E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D276606"/>
    <w:multiLevelType w:val="multilevel"/>
    <w:tmpl w:val="1D6E8C8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70" w15:restartNumberingAfterBreak="0">
    <w:nsid w:val="5EC20804"/>
    <w:multiLevelType w:val="multilevel"/>
    <w:tmpl w:val="5DF61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F5F7B28"/>
    <w:multiLevelType w:val="multilevel"/>
    <w:tmpl w:val="1DF8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0851DA7"/>
    <w:multiLevelType w:val="multilevel"/>
    <w:tmpl w:val="AA2E4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221536E"/>
    <w:multiLevelType w:val="multilevel"/>
    <w:tmpl w:val="AE301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2720E33"/>
    <w:multiLevelType w:val="multilevel"/>
    <w:tmpl w:val="D41A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5052AC8"/>
    <w:multiLevelType w:val="multilevel"/>
    <w:tmpl w:val="E9BC6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63B2965"/>
    <w:multiLevelType w:val="multilevel"/>
    <w:tmpl w:val="78C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72E11D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67951741"/>
    <w:multiLevelType w:val="multilevel"/>
    <w:tmpl w:val="8E389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8374E31"/>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8E5662A"/>
    <w:multiLevelType w:val="multilevel"/>
    <w:tmpl w:val="918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93154DB"/>
    <w:multiLevelType w:val="multilevel"/>
    <w:tmpl w:val="545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BB95443"/>
    <w:multiLevelType w:val="multilevel"/>
    <w:tmpl w:val="BCAA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CA25F5A"/>
    <w:multiLevelType w:val="multilevel"/>
    <w:tmpl w:val="8E2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E162377"/>
    <w:multiLevelType w:val="multilevel"/>
    <w:tmpl w:val="B030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F3336EB"/>
    <w:multiLevelType w:val="multilevel"/>
    <w:tmpl w:val="384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F8D316C"/>
    <w:multiLevelType w:val="multilevel"/>
    <w:tmpl w:val="94E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1063DBC"/>
    <w:multiLevelType w:val="multilevel"/>
    <w:tmpl w:val="46E8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44D6D06"/>
    <w:multiLevelType w:val="hybridMultilevel"/>
    <w:tmpl w:val="4E0A6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4C28B9"/>
    <w:multiLevelType w:val="multilevel"/>
    <w:tmpl w:val="D984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8A072AF"/>
    <w:multiLevelType w:val="hybridMultilevel"/>
    <w:tmpl w:val="D1F8D13E"/>
    <w:lvl w:ilvl="0" w:tplc="06961A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7A9B67D6"/>
    <w:multiLevelType w:val="multilevel"/>
    <w:tmpl w:val="82E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B3D2AA4"/>
    <w:multiLevelType w:val="multilevel"/>
    <w:tmpl w:val="28C6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D8108EE"/>
    <w:multiLevelType w:val="multilevel"/>
    <w:tmpl w:val="92B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E1821C4"/>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1639553">
    <w:abstractNumId w:val="5"/>
  </w:num>
  <w:num w:numId="2" w16cid:durableId="211040562">
    <w:abstractNumId w:val="90"/>
  </w:num>
  <w:num w:numId="3" w16cid:durableId="1087730012">
    <w:abstractNumId w:val="10"/>
  </w:num>
  <w:num w:numId="4" w16cid:durableId="782920521">
    <w:abstractNumId w:val="69"/>
  </w:num>
  <w:num w:numId="5" w16cid:durableId="1672027161">
    <w:abstractNumId w:val="79"/>
  </w:num>
  <w:num w:numId="6" w16cid:durableId="204951025">
    <w:abstractNumId w:val="66"/>
  </w:num>
  <w:num w:numId="7" w16cid:durableId="678971440">
    <w:abstractNumId w:val="82"/>
  </w:num>
  <w:num w:numId="8" w16cid:durableId="996500451">
    <w:abstractNumId w:val="33"/>
  </w:num>
  <w:num w:numId="9" w16cid:durableId="2075007498">
    <w:abstractNumId w:val="45"/>
  </w:num>
  <w:num w:numId="10" w16cid:durableId="908072416">
    <w:abstractNumId w:val="34"/>
  </w:num>
  <w:num w:numId="11" w16cid:durableId="228737416">
    <w:abstractNumId w:val="84"/>
  </w:num>
  <w:num w:numId="12" w16cid:durableId="260794405">
    <w:abstractNumId w:val="55"/>
  </w:num>
  <w:num w:numId="13" w16cid:durableId="1068191117">
    <w:abstractNumId w:val="40"/>
  </w:num>
  <w:num w:numId="14" w16cid:durableId="1947226361">
    <w:abstractNumId w:val="88"/>
  </w:num>
  <w:num w:numId="15" w16cid:durableId="542982031">
    <w:abstractNumId w:val="53"/>
  </w:num>
  <w:num w:numId="16" w16cid:durableId="43873091">
    <w:abstractNumId w:val="15"/>
  </w:num>
  <w:num w:numId="17" w16cid:durableId="209151632">
    <w:abstractNumId w:val="24"/>
  </w:num>
  <w:num w:numId="18" w16cid:durableId="1362978993">
    <w:abstractNumId w:val="64"/>
  </w:num>
  <w:num w:numId="19" w16cid:durableId="1516917187">
    <w:abstractNumId w:val="49"/>
  </w:num>
  <w:num w:numId="20" w16cid:durableId="1082335728">
    <w:abstractNumId w:val="54"/>
  </w:num>
  <w:num w:numId="21" w16cid:durableId="84040623">
    <w:abstractNumId w:val="42"/>
  </w:num>
  <w:num w:numId="22" w16cid:durableId="958343222">
    <w:abstractNumId w:val="85"/>
  </w:num>
  <w:num w:numId="23" w16cid:durableId="279921945">
    <w:abstractNumId w:val="60"/>
  </w:num>
  <w:num w:numId="24" w16cid:durableId="121117224">
    <w:abstractNumId w:val="23"/>
  </w:num>
  <w:num w:numId="25" w16cid:durableId="818110836">
    <w:abstractNumId w:val="26"/>
  </w:num>
  <w:num w:numId="26" w16cid:durableId="533348259">
    <w:abstractNumId w:val="93"/>
  </w:num>
  <w:num w:numId="27" w16cid:durableId="1045523952">
    <w:abstractNumId w:val="17"/>
  </w:num>
  <w:num w:numId="28" w16cid:durableId="1007555648">
    <w:abstractNumId w:val="83"/>
  </w:num>
  <w:num w:numId="29" w16cid:durableId="188682542">
    <w:abstractNumId w:val="9"/>
  </w:num>
  <w:num w:numId="30" w16cid:durableId="258296543">
    <w:abstractNumId w:val="8"/>
  </w:num>
  <w:num w:numId="31" w16cid:durableId="675112105">
    <w:abstractNumId w:val="25"/>
  </w:num>
  <w:num w:numId="32" w16cid:durableId="1848278456">
    <w:abstractNumId w:val="87"/>
  </w:num>
  <w:num w:numId="33" w16cid:durableId="112097482">
    <w:abstractNumId w:val="48"/>
  </w:num>
  <w:num w:numId="34" w16cid:durableId="314916099">
    <w:abstractNumId w:val="31"/>
  </w:num>
  <w:num w:numId="35" w16cid:durableId="79103288">
    <w:abstractNumId w:val="62"/>
  </w:num>
  <w:num w:numId="36" w16cid:durableId="1812403654">
    <w:abstractNumId w:val="28"/>
  </w:num>
  <w:num w:numId="37" w16cid:durableId="1237519268">
    <w:abstractNumId w:val="14"/>
  </w:num>
  <w:num w:numId="38" w16cid:durableId="1233127328">
    <w:abstractNumId w:val="51"/>
  </w:num>
  <w:num w:numId="39" w16cid:durableId="301888948">
    <w:abstractNumId w:val="39"/>
  </w:num>
  <w:num w:numId="40" w16cid:durableId="466095419">
    <w:abstractNumId w:val="52"/>
  </w:num>
  <w:num w:numId="41" w16cid:durableId="1011614419">
    <w:abstractNumId w:val="58"/>
  </w:num>
  <w:num w:numId="42" w16cid:durableId="2110546188">
    <w:abstractNumId w:val="16"/>
  </w:num>
  <w:num w:numId="43" w16cid:durableId="432406710">
    <w:abstractNumId w:val="74"/>
  </w:num>
  <w:num w:numId="44" w16cid:durableId="1917739279">
    <w:abstractNumId w:val="12"/>
  </w:num>
  <w:num w:numId="45" w16cid:durableId="199167122">
    <w:abstractNumId w:val="57"/>
  </w:num>
  <w:num w:numId="46" w16cid:durableId="1518546391">
    <w:abstractNumId w:val="27"/>
  </w:num>
  <w:num w:numId="47" w16cid:durableId="814684023">
    <w:abstractNumId w:val="61"/>
  </w:num>
  <w:num w:numId="48" w16cid:durableId="1960333320">
    <w:abstractNumId w:val="13"/>
  </w:num>
  <w:num w:numId="49" w16cid:durableId="235482283">
    <w:abstractNumId w:val="63"/>
  </w:num>
  <w:num w:numId="50" w16cid:durableId="1078406918">
    <w:abstractNumId w:val="67"/>
  </w:num>
  <w:num w:numId="51" w16cid:durableId="1796634103">
    <w:abstractNumId w:val="6"/>
  </w:num>
  <w:num w:numId="52" w16cid:durableId="923488500">
    <w:abstractNumId w:val="77"/>
  </w:num>
  <w:num w:numId="53" w16cid:durableId="25565346">
    <w:abstractNumId w:val="94"/>
  </w:num>
  <w:num w:numId="54" w16cid:durableId="1517890745">
    <w:abstractNumId w:val="11"/>
  </w:num>
  <w:num w:numId="55" w16cid:durableId="2069647675">
    <w:abstractNumId w:val="50"/>
  </w:num>
  <w:num w:numId="56" w16cid:durableId="649755113">
    <w:abstractNumId w:val="44"/>
  </w:num>
  <w:num w:numId="57" w16cid:durableId="2090613646">
    <w:abstractNumId w:val="32"/>
  </w:num>
  <w:num w:numId="58" w16cid:durableId="362559934">
    <w:abstractNumId w:val="91"/>
  </w:num>
  <w:num w:numId="59" w16cid:durableId="189203957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2650594">
    <w:abstractNumId w:val="21"/>
  </w:num>
  <w:num w:numId="61" w16cid:durableId="733771748">
    <w:abstractNumId w:val="81"/>
  </w:num>
  <w:num w:numId="62" w16cid:durableId="794178139">
    <w:abstractNumId w:val="80"/>
  </w:num>
  <w:num w:numId="63" w16cid:durableId="5786843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7454179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67673130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551460160">
    <w:abstractNumId w:val="30"/>
  </w:num>
  <w:num w:numId="67" w16cid:durableId="1694384353">
    <w:abstractNumId w:val="86"/>
  </w:num>
  <w:num w:numId="68" w16cid:durableId="313265361">
    <w:abstractNumId w:val="43"/>
  </w:num>
  <w:num w:numId="69" w16cid:durableId="119685410">
    <w:abstractNumId w:val="76"/>
  </w:num>
  <w:num w:numId="70" w16cid:durableId="1646930417">
    <w:abstractNumId w:val="47"/>
  </w:num>
  <w:num w:numId="71" w16cid:durableId="1192569736">
    <w:abstractNumId w:val="37"/>
  </w:num>
  <w:num w:numId="72" w16cid:durableId="2009937278">
    <w:abstractNumId w:val="3"/>
  </w:num>
  <w:num w:numId="73" w16cid:durableId="1596598800">
    <w:abstractNumId w:val="2"/>
  </w:num>
  <w:num w:numId="74" w16cid:durableId="443765451">
    <w:abstractNumId w:val="4"/>
  </w:num>
  <w:num w:numId="75" w16cid:durableId="134026964">
    <w:abstractNumId w:val="1"/>
  </w:num>
  <w:num w:numId="76" w16cid:durableId="233248662">
    <w:abstractNumId w:val="0"/>
  </w:num>
  <w:num w:numId="77" w16cid:durableId="641732911">
    <w:abstractNumId w:val="70"/>
  </w:num>
  <w:num w:numId="78" w16cid:durableId="1360273958">
    <w:abstractNumId w:val="75"/>
  </w:num>
  <w:num w:numId="79" w16cid:durableId="1272325159">
    <w:abstractNumId w:val="59"/>
  </w:num>
  <w:num w:numId="80" w16cid:durableId="2126149869">
    <w:abstractNumId w:val="35"/>
  </w:num>
  <w:num w:numId="81" w16cid:durableId="1169368483">
    <w:abstractNumId w:val="89"/>
  </w:num>
  <w:num w:numId="82" w16cid:durableId="2142530155">
    <w:abstractNumId w:val="18"/>
  </w:num>
  <w:num w:numId="83" w16cid:durableId="397246074">
    <w:abstractNumId w:val="72"/>
  </w:num>
  <w:num w:numId="84" w16cid:durableId="16318896">
    <w:abstractNumId w:val="73"/>
  </w:num>
  <w:num w:numId="85" w16cid:durableId="2022121522">
    <w:abstractNumId w:val="92"/>
  </w:num>
  <w:num w:numId="86" w16cid:durableId="247345177">
    <w:abstractNumId w:val="56"/>
  </w:num>
  <w:num w:numId="87" w16cid:durableId="1280333725">
    <w:abstractNumId w:val="65"/>
  </w:num>
  <w:num w:numId="88" w16cid:durableId="598832851">
    <w:abstractNumId w:val="71"/>
  </w:num>
  <w:num w:numId="89" w16cid:durableId="1173253526">
    <w:abstractNumId w:val="68"/>
  </w:num>
  <w:num w:numId="90" w16cid:durableId="672879723">
    <w:abstractNumId w:val="78"/>
  </w:num>
  <w:num w:numId="91" w16cid:durableId="1527596440">
    <w:abstractNumId w:val="36"/>
  </w:num>
  <w:num w:numId="92" w16cid:durableId="1756433925">
    <w:abstractNumId w:val="30"/>
  </w:num>
  <w:num w:numId="93" w16cid:durableId="1280838458">
    <w:abstractNumId w:val="30"/>
  </w:num>
  <w:num w:numId="94" w16cid:durableId="1229809020">
    <w:abstractNumId w:val="30"/>
  </w:num>
  <w:num w:numId="95" w16cid:durableId="1189415179">
    <w:abstractNumId w:val="30"/>
  </w:num>
  <w:num w:numId="96" w16cid:durableId="1949119965">
    <w:abstractNumId w:val="30"/>
  </w:num>
  <w:num w:numId="97" w16cid:durableId="1087924731">
    <w:abstractNumId w:val="7"/>
  </w:num>
  <w:num w:numId="98" w16cid:durableId="154565472">
    <w:abstractNumId w:val="29"/>
  </w:num>
  <w:num w:numId="99" w16cid:durableId="1473448093">
    <w:abstractNumId w:val="19"/>
  </w:num>
  <w:num w:numId="100" w16cid:durableId="1021510169">
    <w:abstractNumId w:val="38"/>
  </w:num>
  <w:num w:numId="101" w16cid:durableId="923222787">
    <w:abstractNumId w:val="46"/>
  </w:num>
  <w:num w:numId="102" w16cid:durableId="418059845">
    <w:abstractNumId w:val="22"/>
  </w:num>
  <w:num w:numId="103" w16cid:durableId="1768309737">
    <w:abstractNumId w:val="30"/>
  </w:num>
  <w:num w:numId="104" w16cid:durableId="2068724265">
    <w:abstractNumId w:val="30"/>
  </w:num>
  <w:num w:numId="105" w16cid:durableId="370619048">
    <w:abstractNumId w:val="30"/>
  </w:num>
  <w:num w:numId="106" w16cid:durableId="1163618298">
    <w:abstractNumId w:val="30"/>
  </w:num>
  <w:num w:numId="107" w16cid:durableId="625158833">
    <w:abstractNumId w:val="30"/>
  </w:num>
  <w:num w:numId="108" w16cid:durableId="120929887">
    <w:abstractNumId w:val="30"/>
  </w:num>
  <w:num w:numId="109" w16cid:durableId="606735761">
    <w:abstractNumId w:val="30"/>
  </w:num>
  <w:num w:numId="110" w16cid:durableId="691687463">
    <w:abstractNumId w:val="30"/>
  </w:num>
  <w:num w:numId="111" w16cid:durableId="631789211">
    <w:abstractNumId w:val="30"/>
  </w:num>
  <w:num w:numId="112" w16cid:durableId="1758482943">
    <w:abstractNumId w:val="30"/>
  </w:num>
  <w:num w:numId="113" w16cid:durableId="594679106">
    <w:abstractNumId w:val="30"/>
  </w:num>
  <w:num w:numId="114" w16cid:durableId="1882940431">
    <w:abstractNumId w:val="30"/>
  </w:num>
  <w:num w:numId="115" w16cid:durableId="1254321025">
    <w:abstractNumId w:val="30"/>
  </w:num>
  <w:num w:numId="116" w16cid:durableId="1308054297">
    <w:abstractNumId w:val="30"/>
  </w:num>
  <w:num w:numId="117" w16cid:durableId="532350716">
    <w:abstractNumId w:val="30"/>
  </w:num>
  <w:num w:numId="118" w16cid:durableId="810825083">
    <w:abstractNumId w:val="30"/>
  </w:num>
  <w:num w:numId="119" w16cid:durableId="1860462850">
    <w:abstractNumId w:val="30"/>
  </w:num>
  <w:num w:numId="120" w16cid:durableId="2032680327">
    <w:abstractNumId w:val="20"/>
  </w:num>
  <w:num w:numId="121" w16cid:durableId="228078509">
    <w:abstractNumId w:val="41"/>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08"/>
    <w:rsid w:val="00001AFB"/>
    <w:rsid w:val="000025FB"/>
    <w:rsid w:val="00007D43"/>
    <w:rsid w:val="000140B3"/>
    <w:rsid w:val="00015851"/>
    <w:rsid w:val="00015F0D"/>
    <w:rsid w:val="00024C79"/>
    <w:rsid w:val="00026E80"/>
    <w:rsid w:val="00027A34"/>
    <w:rsid w:val="000322E7"/>
    <w:rsid w:val="00037DA0"/>
    <w:rsid w:val="00044CFD"/>
    <w:rsid w:val="000511E7"/>
    <w:rsid w:val="00054C4E"/>
    <w:rsid w:val="00061609"/>
    <w:rsid w:val="00061A09"/>
    <w:rsid w:val="0006274F"/>
    <w:rsid w:val="00063B0F"/>
    <w:rsid w:val="000705AD"/>
    <w:rsid w:val="0007111F"/>
    <w:rsid w:val="000760B2"/>
    <w:rsid w:val="00077502"/>
    <w:rsid w:val="00077B0A"/>
    <w:rsid w:val="00084EFA"/>
    <w:rsid w:val="00085CAB"/>
    <w:rsid w:val="00087E4F"/>
    <w:rsid w:val="00090A9C"/>
    <w:rsid w:val="00091751"/>
    <w:rsid w:val="00092C24"/>
    <w:rsid w:val="000940A0"/>
    <w:rsid w:val="000A08E9"/>
    <w:rsid w:val="000A1D3E"/>
    <w:rsid w:val="000A1E46"/>
    <w:rsid w:val="000A310D"/>
    <w:rsid w:val="000A3530"/>
    <w:rsid w:val="000A49C0"/>
    <w:rsid w:val="000A49ED"/>
    <w:rsid w:val="000A5AEA"/>
    <w:rsid w:val="000A749C"/>
    <w:rsid w:val="000B0B32"/>
    <w:rsid w:val="000B706D"/>
    <w:rsid w:val="000C07F3"/>
    <w:rsid w:val="000C2DBF"/>
    <w:rsid w:val="000D0869"/>
    <w:rsid w:val="000D3EAE"/>
    <w:rsid w:val="000D5131"/>
    <w:rsid w:val="000D6B1C"/>
    <w:rsid w:val="000E23AB"/>
    <w:rsid w:val="000E58D9"/>
    <w:rsid w:val="000E6887"/>
    <w:rsid w:val="000E7C3D"/>
    <w:rsid w:val="000F0964"/>
    <w:rsid w:val="000F0A0D"/>
    <w:rsid w:val="000F1206"/>
    <w:rsid w:val="000F651A"/>
    <w:rsid w:val="000F743E"/>
    <w:rsid w:val="000F7969"/>
    <w:rsid w:val="000F7F04"/>
    <w:rsid w:val="001026A6"/>
    <w:rsid w:val="001033A5"/>
    <w:rsid w:val="001058D2"/>
    <w:rsid w:val="001102A9"/>
    <w:rsid w:val="00110665"/>
    <w:rsid w:val="0011126E"/>
    <w:rsid w:val="00113A3F"/>
    <w:rsid w:val="00116AE4"/>
    <w:rsid w:val="00117CA1"/>
    <w:rsid w:val="00130605"/>
    <w:rsid w:val="00133347"/>
    <w:rsid w:val="00134572"/>
    <w:rsid w:val="00134AB7"/>
    <w:rsid w:val="001360ED"/>
    <w:rsid w:val="001459BE"/>
    <w:rsid w:val="00146BC6"/>
    <w:rsid w:val="00152104"/>
    <w:rsid w:val="001570EA"/>
    <w:rsid w:val="001603EF"/>
    <w:rsid w:val="001609B6"/>
    <w:rsid w:val="001618EF"/>
    <w:rsid w:val="001624C4"/>
    <w:rsid w:val="00162E37"/>
    <w:rsid w:val="001654CD"/>
    <w:rsid w:val="0016620C"/>
    <w:rsid w:val="0017071E"/>
    <w:rsid w:val="001717BA"/>
    <w:rsid w:val="001762F4"/>
    <w:rsid w:val="00180799"/>
    <w:rsid w:val="00180A9B"/>
    <w:rsid w:val="00185F71"/>
    <w:rsid w:val="00195226"/>
    <w:rsid w:val="001A03C5"/>
    <w:rsid w:val="001A250A"/>
    <w:rsid w:val="001A46CD"/>
    <w:rsid w:val="001A5804"/>
    <w:rsid w:val="001A680C"/>
    <w:rsid w:val="001B0A53"/>
    <w:rsid w:val="001B1228"/>
    <w:rsid w:val="001C01BE"/>
    <w:rsid w:val="001C2101"/>
    <w:rsid w:val="001C3DA0"/>
    <w:rsid w:val="001C426A"/>
    <w:rsid w:val="001C47CB"/>
    <w:rsid w:val="001C6421"/>
    <w:rsid w:val="001C7DB2"/>
    <w:rsid w:val="001D0529"/>
    <w:rsid w:val="001D41DE"/>
    <w:rsid w:val="001D47AD"/>
    <w:rsid w:val="001D5D32"/>
    <w:rsid w:val="001E252D"/>
    <w:rsid w:val="001E2FCB"/>
    <w:rsid w:val="001E32DF"/>
    <w:rsid w:val="001E3406"/>
    <w:rsid w:val="001E4226"/>
    <w:rsid w:val="001E44BC"/>
    <w:rsid w:val="001E499C"/>
    <w:rsid w:val="001E7127"/>
    <w:rsid w:val="001F5B72"/>
    <w:rsid w:val="0020239B"/>
    <w:rsid w:val="00204B59"/>
    <w:rsid w:val="00207C95"/>
    <w:rsid w:val="0022051E"/>
    <w:rsid w:val="00220EB9"/>
    <w:rsid w:val="00222468"/>
    <w:rsid w:val="002239E2"/>
    <w:rsid w:val="00225669"/>
    <w:rsid w:val="00225A48"/>
    <w:rsid w:val="002267E3"/>
    <w:rsid w:val="0023186A"/>
    <w:rsid w:val="00231AB1"/>
    <w:rsid w:val="00232A16"/>
    <w:rsid w:val="0024045F"/>
    <w:rsid w:val="0025077C"/>
    <w:rsid w:val="00250CC6"/>
    <w:rsid w:val="00251580"/>
    <w:rsid w:val="002529BB"/>
    <w:rsid w:val="00257F01"/>
    <w:rsid w:val="002616CF"/>
    <w:rsid w:val="00263733"/>
    <w:rsid w:val="00264677"/>
    <w:rsid w:val="002655C8"/>
    <w:rsid w:val="00265C31"/>
    <w:rsid w:val="00274C5B"/>
    <w:rsid w:val="00275033"/>
    <w:rsid w:val="002764B2"/>
    <w:rsid w:val="002858CD"/>
    <w:rsid w:val="00285EDC"/>
    <w:rsid w:val="00290F88"/>
    <w:rsid w:val="002A113E"/>
    <w:rsid w:val="002A1374"/>
    <w:rsid w:val="002B6766"/>
    <w:rsid w:val="002C2285"/>
    <w:rsid w:val="002C300C"/>
    <w:rsid w:val="002C52B7"/>
    <w:rsid w:val="002D019D"/>
    <w:rsid w:val="002D3349"/>
    <w:rsid w:val="002D638C"/>
    <w:rsid w:val="002D68BB"/>
    <w:rsid w:val="002E03CF"/>
    <w:rsid w:val="002E2FBF"/>
    <w:rsid w:val="002E3203"/>
    <w:rsid w:val="002E4308"/>
    <w:rsid w:val="002E46FC"/>
    <w:rsid w:val="002F0EEA"/>
    <w:rsid w:val="002F20A7"/>
    <w:rsid w:val="002F20B5"/>
    <w:rsid w:val="003019CE"/>
    <w:rsid w:val="00302F5B"/>
    <w:rsid w:val="003050DB"/>
    <w:rsid w:val="00310DA8"/>
    <w:rsid w:val="00313747"/>
    <w:rsid w:val="00315F6D"/>
    <w:rsid w:val="00316776"/>
    <w:rsid w:val="0031677D"/>
    <w:rsid w:val="003176E1"/>
    <w:rsid w:val="003223F2"/>
    <w:rsid w:val="0032293B"/>
    <w:rsid w:val="00322A0D"/>
    <w:rsid w:val="00322CDE"/>
    <w:rsid w:val="003235C8"/>
    <w:rsid w:val="00325D77"/>
    <w:rsid w:val="00330F56"/>
    <w:rsid w:val="00333FF1"/>
    <w:rsid w:val="00334002"/>
    <w:rsid w:val="00343773"/>
    <w:rsid w:val="003557D8"/>
    <w:rsid w:val="00356156"/>
    <w:rsid w:val="003601E0"/>
    <w:rsid w:val="00360A3F"/>
    <w:rsid w:val="00364C07"/>
    <w:rsid w:val="00372C68"/>
    <w:rsid w:val="00374A8C"/>
    <w:rsid w:val="00377CB0"/>
    <w:rsid w:val="00381524"/>
    <w:rsid w:val="00381E67"/>
    <w:rsid w:val="00383DD8"/>
    <w:rsid w:val="00395E1F"/>
    <w:rsid w:val="00397058"/>
    <w:rsid w:val="003A195A"/>
    <w:rsid w:val="003A3BCE"/>
    <w:rsid w:val="003A4334"/>
    <w:rsid w:val="003A74ED"/>
    <w:rsid w:val="003A7D4B"/>
    <w:rsid w:val="003B0A07"/>
    <w:rsid w:val="003B0A71"/>
    <w:rsid w:val="003B0E76"/>
    <w:rsid w:val="003B0F00"/>
    <w:rsid w:val="003B1418"/>
    <w:rsid w:val="003B18D4"/>
    <w:rsid w:val="003B2823"/>
    <w:rsid w:val="003B6969"/>
    <w:rsid w:val="003C0190"/>
    <w:rsid w:val="003C05E1"/>
    <w:rsid w:val="003C1C46"/>
    <w:rsid w:val="003C319A"/>
    <w:rsid w:val="003C5B0F"/>
    <w:rsid w:val="003D0041"/>
    <w:rsid w:val="003D062F"/>
    <w:rsid w:val="003D3563"/>
    <w:rsid w:val="003D5F89"/>
    <w:rsid w:val="003D7E7F"/>
    <w:rsid w:val="003E1E60"/>
    <w:rsid w:val="003E2381"/>
    <w:rsid w:val="003E3C9B"/>
    <w:rsid w:val="003F6189"/>
    <w:rsid w:val="003F69BC"/>
    <w:rsid w:val="003F7A34"/>
    <w:rsid w:val="00401DA1"/>
    <w:rsid w:val="0040510D"/>
    <w:rsid w:val="00411D8F"/>
    <w:rsid w:val="00415D77"/>
    <w:rsid w:val="0041700F"/>
    <w:rsid w:val="00420AED"/>
    <w:rsid w:val="00421191"/>
    <w:rsid w:val="00421EDA"/>
    <w:rsid w:val="004332D4"/>
    <w:rsid w:val="0043449E"/>
    <w:rsid w:val="00436B59"/>
    <w:rsid w:val="004413CD"/>
    <w:rsid w:val="0044258D"/>
    <w:rsid w:val="00442709"/>
    <w:rsid w:val="00443A60"/>
    <w:rsid w:val="00444B1D"/>
    <w:rsid w:val="00444B3C"/>
    <w:rsid w:val="0044728A"/>
    <w:rsid w:val="0045178D"/>
    <w:rsid w:val="00453C8D"/>
    <w:rsid w:val="00455B62"/>
    <w:rsid w:val="00460ED3"/>
    <w:rsid w:val="00466097"/>
    <w:rsid w:val="004718F1"/>
    <w:rsid w:val="00473F99"/>
    <w:rsid w:val="0047505E"/>
    <w:rsid w:val="00481067"/>
    <w:rsid w:val="00483888"/>
    <w:rsid w:val="00485BD0"/>
    <w:rsid w:val="00486B51"/>
    <w:rsid w:val="00487152"/>
    <w:rsid w:val="00491655"/>
    <w:rsid w:val="00492E40"/>
    <w:rsid w:val="004968A7"/>
    <w:rsid w:val="004A055C"/>
    <w:rsid w:val="004A10BC"/>
    <w:rsid w:val="004A3F65"/>
    <w:rsid w:val="004A6241"/>
    <w:rsid w:val="004A7946"/>
    <w:rsid w:val="004B484B"/>
    <w:rsid w:val="004B78C6"/>
    <w:rsid w:val="004C1CC5"/>
    <w:rsid w:val="004C573A"/>
    <w:rsid w:val="004C6F90"/>
    <w:rsid w:val="004C7B52"/>
    <w:rsid w:val="004D075E"/>
    <w:rsid w:val="004D2A39"/>
    <w:rsid w:val="004D4604"/>
    <w:rsid w:val="004D506A"/>
    <w:rsid w:val="004D6DB2"/>
    <w:rsid w:val="004D7783"/>
    <w:rsid w:val="004D7F28"/>
    <w:rsid w:val="004E01F6"/>
    <w:rsid w:val="004E1F38"/>
    <w:rsid w:val="004E6090"/>
    <w:rsid w:val="004E78D0"/>
    <w:rsid w:val="004F0744"/>
    <w:rsid w:val="004F1607"/>
    <w:rsid w:val="004F1964"/>
    <w:rsid w:val="004F1CF1"/>
    <w:rsid w:val="0050023D"/>
    <w:rsid w:val="0050451B"/>
    <w:rsid w:val="0050606C"/>
    <w:rsid w:val="005144E3"/>
    <w:rsid w:val="00515088"/>
    <w:rsid w:val="0052019E"/>
    <w:rsid w:val="00521174"/>
    <w:rsid w:val="00530CE8"/>
    <w:rsid w:val="00532392"/>
    <w:rsid w:val="0053336F"/>
    <w:rsid w:val="00533AA9"/>
    <w:rsid w:val="005345EE"/>
    <w:rsid w:val="00535ED5"/>
    <w:rsid w:val="0053681E"/>
    <w:rsid w:val="00540AC4"/>
    <w:rsid w:val="005419CA"/>
    <w:rsid w:val="005429D1"/>
    <w:rsid w:val="005433BE"/>
    <w:rsid w:val="00545742"/>
    <w:rsid w:val="00546BB3"/>
    <w:rsid w:val="005532E5"/>
    <w:rsid w:val="005572F9"/>
    <w:rsid w:val="005609CC"/>
    <w:rsid w:val="00560CC1"/>
    <w:rsid w:val="00560E20"/>
    <w:rsid w:val="005634D4"/>
    <w:rsid w:val="00571913"/>
    <w:rsid w:val="00585AF1"/>
    <w:rsid w:val="00587EEF"/>
    <w:rsid w:val="00594B5C"/>
    <w:rsid w:val="00595574"/>
    <w:rsid w:val="00597208"/>
    <w:rsid w:val="005979BC"/>
    <w:rsid w:val="005A28DF"/>
    <w:rsid w:val="005A3266"/>
    <w:rsid w:val="005A3959"/>
    <w:rsid w:val="005A4F66"/>
    <w:rsid w:val="005A76D0"/>
    <w:rsid w:val="005A7EB2"/>
    <w:rsid w:val="005B09CC"/>
    <w:rsid w:val="005B25B6"/>
    <w:rsid w:val="005B2E32"/>
    <w:rsid w:val="005B37D4"/>
    <w:rsid w:val="005B65AE"/>
    <w:rsid w:val="005B721E"/>
    <w:rsid w:val="005B77A6"/>
    <w:rsid w:val="005B7EB9"/>
    <w:rsid w:val="005C2893"/>
    <w:rsid w:val="005C3DA2"/>
    <w:rsid w:val="005D0283"/>
    <w:rsid w:val="005D1768"/>
    <w:rsid w:val="005D2492"/>
    <w:rsid w:val="005D4B11"/>
    <w:rsid w:val="005E02EC"/>
    <w:rsid w:val="005E1B7D"/>
    <w:rsid w:val="005E2259"/>
    <w:rsid w:val="005E24FB"/>
    <w:rsid w:val="005F214D"/>
    <w:rsid w:val="005F2661"/>
    <w:rsid w:val="005F5AF5"/>
    <w:rsid w:val="00600515"/>
    <w:rsid w:val="0060105E"/>
    <w:rsid w:val="006037BB"/>
    <w:rsid w:val="0061026F"/>
    <w:rsid w:val="00611156"/>
    <w:rsid w:val="006149BB"/>
    <w:rsid w:val="00624DDF"/>
    <w:rsid w:val="006253F7"/>
    <w:rsid w:val="0062589E"/>
    <w:rsid w:val="00625A3C"/>
    <w:rsid w:val="00631D92"/>
    <w:rsid w:val="00633F98"/>
    <w:rsid w:val="00634932"/>
    <w:rsid w:val="006447D8"/>
    <w:rsid w:val="00644F28"/>
    <w:rsid w:val="00647104"/>
    <w:rsid w:val="0065187E"/>
    <w:rsid w:val="006518D9"/>
    <w:rsid w:val="00655684"/>
    <w:rsid w:val="0065589D"/>
    <w:rsid w:val="00656233"/>
    <w:rsid w:val="00656E7E"/>
    <w:rsid w:val="00661A1D"/>
    <w:rsid w:val="00667BBF"/>
    <w:rsid w:val="006731F3"/>
    <w:rsid w:val="00676B85"/>
    <w:rsid w:val="00681B50"/>
    <w:rsid w:val="00682DDF"/>
    <w:rsid w:val="00683490"/>
    <w:rsid w:val="00687F77"/>
    <w:rsid w:val="00692DF0"/>
    <w:rsid w:val="00697C27"/>
    <w:rsid w:val="006A160D"/>
    <w:rsid w:val="006A20B8"/>
    <w:rsid w:val="006A2734"/>
    <w:rsid w:val="006A3984"/>
    <w:rsid w:val="006A7DC3"/>
    <w:rsid w:val="006B1075"/>
    <w:rsid w:val="006B261A"/>
    <w:rsid w:val="006B366F"/>
    <w:rsid w:val="006B51C2"/>
    <w:rsid w:val="006C10F3"/>
    <w:rsid w:val="006C2E76"/>
    <w:rsid w:val="006C3326"/>
    <w:rsid w:val="006C53DE"/>
    <w:rsid w:val="006C54C9"/>
    <w:rsid w:val="006C54D5"/>
    <w:rsid w:val="006C71F6"/>
    <w:rsid w:val="006D675C"/>
    <w:rsid w:val="006E1886"/>
    <w:rsid w:val="006E2853"/>
    <w:rsid w:val="006E413B"/>
    <w:rsid w:val="006F1837"/>
    <w:rsid w:val="006F3CD1"/>
    <w:rsid w:val="006F4893"/>
    <w:rsid w:val="0070272D"/>
    <w:rsid w:val="00703A9A"/>
    <w:rsid w:val="00704C25"/>
    <w:rsid w:val="00705F1D"/>
    <w:rsid w:val="00706929"/>
    <w:rsid w:val="00706AC7"/>
    <w:rsid w:val="00711248"/>
    <w:rsid w:val="0072065B"/>
    <w:rsid w:val="00722179"/>
    <w:rsid w:val="007235B9"/>
    <w:rsid w:val="007239AC"/>
    <w:rsid w:val="00723E95"/>
    <w:rsid w:val="0072768E"/>
    <w:rsid w:val="00733953"/>
    <w:rsid w:val="00736364"/>
    <w:rsid w:val="0073642B"/>
    <w:rsid w:val="00740AB1"/>
    <w:rsid w:val="00741860"/>
    <w:rsid w:val="00741E70"/>
    <w:rsid w:val="00745221"/>
    <w:rsid w:val="00746533"/>
    <w:rsid w:val="007507AF"/>
    <w:rsid w:val="007509DF"/>
    <w:rsid w:val="00750F2F"/>
    <w:rsid w:val="00751456"/>
    <w:rsid w:val="00752C8C"/>
    <w:rsid w:val="00754496"/>
    <w:rsid w:val="00754FF7"/>
    <w:rsid w:val="00760EBE"/>
    <w:rsid w:val="00765204"/>
    <w:rsid w:val="0076684E"/>
    <w:rsid w:val="00766A58"/>
    <w:rsid w:val="00770426"/>
    <w:rsid w:val="007750B8"/>
    <w:rsid w:val="007764F4"/>
    <w:rsid w:val="00776AB8"/>
    <w:rsid w:val="00781550"/>
    <w:rsid w:val="007822A3"/>
    <w:rsid w:val="00786A9D"/>
    <w:rsid w:val="00790119"/>
    <w:rsid w:val="00793616"/>
    <w:rsid w:val="007937D4"/>
    <w:rsid w:val="007969DC"/>
    <w:rsid w:val="00797AF9"/>
    <w:rsid w:val="007A31DC"/>
    <w:rsid w:val="007A6E44"/>
    <w:rsid w:val="007B29E4"/>
    <w:rsid w:val="007B3A5C"/>
    <w:rsid w:val="007C1F01"/>
    <w:rsid w:val="007C3A04"/>
    <w:rsid w:val="007C428F"/>
    <w:rsid w:val="007D321C"/>
    <w:rsid w:val="007D39B9"/>
    <w:rsid w:val="007D7D94"/>
    <w:rsid w:val="007E01DE"/>
    <w:rsid w:val="007E3985"/>
    <w:rsid w:val="007E3ABF"/>
    <w:rsid w:val="007E4F21"/>
    <w:rsid w:val="007E70DA"/>
    <w:rsid w:val="007F0039"/>
    <w:rsid w:val="007F4183"/>
    <w:rsid w:val="007F67D9"/>
    <w:rsid w:val="007F6F3E"/>
    <w:rsid w:val="008022F1"/>
    <w:rsid w:val="00802EEF"/>
    <w:rsid w:val="0080377D"/>
    <w:rsid w:val="008063CC"/>
    <w:rsid w:val="0080769A"/>
    <w:rsid w:val="008101DC"/>
    <w:rsid w:val="00810843"/>
    <w:rsid w:val="00810AE7"/>
    <w:rsid w:val="00813BE2"/>
    <w:rsid w:val="008173B3"/>
    <w:rsid w:val="00817E2A"/>
    <w:rsid w:val="00820D7D"/>
    <w:rsid w:val="0083123E"/>
    <w:rsid w:val="00831B04"/>
    <w:rsid w:val="00832328"/>
    <w:rsid w:val="00834851"/>
    <w:rsid w:val="00834BE4"/>
    <w:rsid w:val="0083565C"/>
    <w:rsid w:val="0083673F"/>
    <w:rsid w:val="00840269"/>
    <w:rsid w:val="008437E3"/>
    <w:rsid w:val="00846D9A"/>
    <w:rsid w:val="00847997"/>
    <w:rsid w:val="008529D2"/>
    <w:rsid w:val="00854846"/>
    <w:rsid w:val="00854E14"/>
    <w:rsid w:val="00857CBA"/>
    <w:rsid w:val="00861080"/>
    <w:rsid w:val="00861188"/>
    <w:rsid w:val="00862094"/>
    <w:rsid w:val="0086333D"/>
    <w:rsid w:val="00864B2B"/>
    <w:rsid w:val="00870DE8"/>
    <w:rsid w:val="0087261A"/>
    <w:rsid w:val="0087531B"/>
    <w:rsid w:val="008806D9"/>
    <w:rsid w:val="008806DC"/>
    <w:rsid w:val="0088301D"/>
    <w:rsid w:val="00883E09"/>
    <w:rsid w:val="00886510"/>
    <w:rsid w:val="00894F92"/>
    <w:rsid w:val="00896B6A"/>
    <w:rsid w:val="008A09DC"/>
    <w:rsid w:val="008A2025"/>
    <w:rsid w:val="008A4A6D"/>
    <w:rsid w:val="008A69EA"/>
    <w:rsid w:val="008A7D25"/>
    <w:rsid w:val="008B0F36"/>
    <w:rsid w:val="008B400C"/>
    <w:rsid w:val="008B54F8"/>
    <w:rsid w:val="008B5953"/>
    <w:rsid w:val="008C140C"/>
    <w:rsid w:val="008C178F"/>
    <w:rsid w:val="008C2AA8"/>
    <w:rsid w:val="008C3A5B"/>
    <w:rsid w:val="008D1B67"/>
    <w:rsid w:val="008D5F2C"/>
    <w:rsid w:val="008D708F"/>
    <w:rsid w:val="008E18C4"/>
    <w:rsid w:val="008E1DF8"/>
    <w:rsid w:val="008E538A"/>
    <w:rsid w:val="008E7947"/>
    <w:rsid w:val="008F3533"/>
    <w:rsid w:val="008F6BBE"/>
    <w:rsid w:val="0090102E"/>
    <w:rsid w:val="00902126"/>
    <w:rsid w:val="009115F9"/>
    <w:rsid w:val="009139AE"/>
    <w:rsid w:val="009145A4"/>
    <w:rsid w:val="00916122"/>
    <w:rsid w:val="00917629"/>
    <w:rsid w:val="00917C97"/>
    <w:rsid w:val="00922314"/>
    <w:rsid w:val="0092295C"/>
    <w:rsid w:val="00924367"/>
    <w:rsid w:val="00927861"/>
    <w:rsid w:val="00931396"/>
    <w:rsid w:val="009365EF"/>
    <w:rsid w:val="0093756B"/>
    <w:rsid w:val="009400C2"/>
    <w:rsid w:val="009462FA"/>
    <w:rsid w:val="00947AF2"/>
    <w:rsid w:val="009505DD"/>
    <w:rsid w:val="00955905"/>
    <w:rsid w:val="00962E14"/>
    <w:rsid w:val="0096761A"/>
    <w:rsid w:val="009705B3"/>
    <w:rsid w:val="00971016"/>
    <w:rsid w:val="009813A6"/>
    <w:rsid w:val="00982637"/>
    <w:rsid w:val="00986114"/>
    <w:rsid w:val="00986F78"/>
    <w:rsid w:val="00995640"/>
    <w:rsid w:val="009A3584"/>
    <w:rsid w:val="009A42B9"/>
    <w:rsid w:val="009A4B6E"/>
    <w:rsid w:val="009A4C47"/>
    <w:rsid w:val="009A6E2C"/>
    <w:rsid w:val="009B032D"/>
    <w:rsid w:val="009B7B1F"/>
    <w:rsid w:val="009C2244"/>
    <w:rsid w:val="009C3C7B"/>
    <w:rsid w:val="009C3CB8"/>
    <w:rsid w:val="009D1D31"/>
    <w:rsid w:val="009D3F77"/>
    <w:rsid w:val="009D5952"/>
    <w:rsid w:val="009D7913"/>
    <w:rsid w:val="009D7E0E"/>
    <w:rsid w:val="009E3672"/>
    <w:rsid w:val="009E3E9A"/>
    <w:rsid w:val="009E4604"/>
    <w:rsid w:val="009F1183"/>
    <w:rsid w:val="009F1514"/>
    <w:rsid w:val="009F2F7B"/>
    <w:rsid w:val="009F44B4"/>
    <w:rsid w:val="009F49A9"/>
    <w:rsid w:val="009F4F5E"/>
    <w:rsid w:val="009F589F"/>
    <w:rsid w:val="009F7119"/>
    <w:rsid w:val="00A00401"/>
    <w:rsid w:val="00A043DE"/>
    <w:rsid w:val="00A05BAE"/>
    <w:rsid w:val="00A10CBA"/>
    <w:rsid w:val="00A11618"/>
    <w:rsid w:val="00A132E4"/>
    <w:rsid w:val="00A14CF4"/>
    <w:rsid w:val="00A14E08"/>
    <w:rsid w:val="00A1570C"/>
    <w:rsid w:val="00A15C4F"/>
    <w:rsid w:val="00A16980"/>
    <w:rsid w:val="00A16E60"/>
    <w:rsid w:val="00A23560"/>
    <w:rsid w:val="00A26A1E"/>
    <w:rsid w:val="00A2724A"/>
    <w:rsid w:val="00A279D5"/>
    <w:rsid w:val="00A30195"/>
    <w:rsid w:val="00A34922"/>
    <w:rsid w:val="00A34BF0"/>
    <w:rsid w:val="00A35F9B"/>
    <w:rsid w:val="00A37539"/>
    <w:rsid w:val="00A409F3"/>
    <w:rsid w:val="00A40B4C"/>
    <w:rsid w:val="00A40CCF"/>
    <w:rsid w:val="00A51842"/>
    <w:rsid w:val="00A5242C"/>
    <w:rsid w:val="00A554AC"/>
    <w:rsid w:val="00A60347"/>
    <w:rsid w:val="00A62483"/>
    <w:rsid w:val="00A62487"/>
    <w:rsid w:val="00A63AF0"/>
    <w:rsid w:val="00A67E70"/>
    <w:rsid w:val="00A70534"/>
    <w:rsid w:val="00A73A46"/>
    <w:rsid w:val="00A74A2B"/>
    <w:rsid w:val="00A74EA0"/>
    <w:rsid w:val="00A7525C"/>
    <w:rsid w:val="00A77B25"/>
    <w:rsid w:val="00A83153"/>
    <w:rsid w:val="00A845B0"/>
    <w:rsid w:val="00A8785A"/>
    <w:rsid w:val="00A90432"/>
    <w:rsid w:val="00A95690"/>
    <w:rsid w:val="00A96230"/>
    <w:rsid w:val="00A96A8E"/>
    <w:rsid w:val="00AB0DB7"/>
    <w:rsid w:val="00AB0E27"/>
    <w:rsid w:val="00AB1931"/>
    <w:rsid w:val="00AB2182"/>
    <w:rsid w:val="00AB65EC"/>
    <w:rsid w:val="00AB6C56"/>
    <w:rsid w:val="00AC24D4"/>
    <w:rsid w:val="00AC46F5"/>
    <w:rsid w:val="00AC4F32"/>
    <w:rsid w:val="00AC5345"/>
    <w:rsid w:val="00AD070F"/>
    <w:rsid w:val="00AD191A"/>
    <w:rsid w:val="00AD525A"/>
    <w:rsid w:val="00AD5DDB"/>
    <w:rsid w:val="00AD783C"/>
    <w:rsid w:val="00AD7D4E"/>
    <w:rsid w:val="00AE21DB"/>
    <w:rsid w:val="00AE473A"/>
    <w:rsid w:val="00AE6B9C"/>
    <w:rsid w:val="00AF5C9F"/>
    <w:rsid w:val="00AF62C2"/>
    <w:rsid w:val="00AF6E34"/>
    <w:rsid w:val="00B00D76"/>
    <w:rsid w:val="00B015C1"/>
    <w:rsid w:val="00B03ACE"/>
    <w:rsid w:val="00B03D10"/>
    <w:rsid w:val="00B05FDA"/>
    <w:rsid w:val="00B1069E"/>
    <w:rsid w:val="00B10965"/>
    <w:rsid w:val="00B146C0"/>
    <w:rsid w:val="00B16F84"/>
    <w:rsid w:val="00B21BA2"/>
    <w:rsid w:val="00B22A4D"/>
    <w:rsid w:val="00B25A96"/>
    <w:rsid w:val="00B32E4E"/>
    <w:rsid w:val="00B348C7"/>
    <w:rsid w:val="00B35152"/>
    <w:rsid w:val="00B43F32"/>
    <w:rsid w:val="00B44197"/>
    <w:rsid w:val="00B4456F"/>
    <w:rsid w:val="00B56F1B"/>
    <w:rsid w:val="00B605CF"/>
    <w:rsid w:val="00B61F61"/>
    <w:rsid w:val="00B62F7E"/>
    <w:rsid w:val="00B63BBC"/>
    <w:rsid w:val="00B64268"/>
    <w:rsid w:val="00B65B60"/>
    <w:rsid w:val="00B745F3"/>
    <w:rsid w:val="00B76012"/>
    <w:rsid w:val="00B77EB8"/>
    <w:rsid w:val="00B802A8"/>
    <w:rsid w:val="00B842E8"/>
    <w:rsid w:val="00B90CF8"/>
    <w:rsid w:val="00B91986"/>
    <w:rsid w:val="00B958FD"/>
    <w:rsid w:val="00B95BC3"/>
    <w:rsid w:val="00B96E4F"/>
    <w:rsid w:val="00BA688E"/>
    <w:rsid w:val="00BB33BD"/>
    <w:rsid w:val="00BB3408"/>
    <w:rsid w:val="00BB4052"/>
    <w:rsid w:val="00BB46BB"/>
    <w:rsid w:val="00BB5D6B"/>
    <w:rsid w:val="00BB5DCC"/>
    <w:rsid w:val="00BB78AD"/>
    <w:rsid w:val="00BC00FF"/>
    <w:rsid w:val="00BC0354"/>
    <w:rsid w:val="00BC0C9B"/>
    <w:rsid w:val="00BC7341"/>
    <w:rsid w:val="00BC78DA"/>
    <w:rsid w:val="00BD17E4"/>
    <w:rsid w:val="00BD4333"/>
    <w:rsid w:val="00BE07E2"/>
    <w:rsid w:val="00BE2447"/>
    <w:rsid w:val="00BE2AD6"/>
    <w:rsid w:val="00BE609B"/>
    <w:rsid w:val="00BE6B62"/>
    <w:rsid w:val="00BF00BC"/>
    <w:rsid w:val="00BF10E4"/>
    <w:rsid w:val="00BF20DB"/>
    <w:rsid w:val="00BF2A76"/>
    <w:rsid w:val="00BF4225"/>
    <w:rsid w:val="00C11026"/>
    <w:rsid w:val="00C1168C"/>
    <w:rsid w:val="00C11906"/>
    <w:rsid w:val="00C1324B"/>
    <w:rsid w:val="00C13A85"/>
    <w:rsid w:val="00C144E4"/>
    <w:rsid w:val="00C159FA"/>
    <w:rsid w:val="00C2122A"/>
    <w:rsid w:val="00C2376A"/>
    <w:rsid w:val="00C27893"/>
    <w:rsid w:val="00C327A0"/>
    <w:rsid w:val="00C332B7"/>
    <w:rsid w:val="00C34CBD"/>
    <w:rsid w:val="00C34D41"/>
    <w:rsid w:val="00C35EB8"/>
    <w:rsid w:val="00C36FEE"/>
    <w:rsid w:val="00C3762E"/>
    <w:rsid w:val="00C41974"/>
    <w:rsid w:val="00C44E75"/>
    <w:rsid w:val="00C45804"/>
    <w:rsid w:val="00C472D8"/>
    <w:rsid w:val="00C476E1"/>
    <w:rsid w:val="00C501FA"/>
    <w:rsid w:val="00C53ED7"/>
    <w:rsid w:val="00C56B6D"/>
    <w:rsid w:val="00C570AB"/>
    <w:rsid w:val="00C61182"/>
    <w:rsid w:val="00C62DC1"/>
    <w:rsid w:val="00C6300C"/>
    <w:rsid w:val="00C70032"/>
    <w:rsid w:val="00C74AAF"/>
    <w:rsid w:val="00C76706"/>
    <w:rsid w:val="00C81452"/>
    <w:rsid w:val="00C8462C"/>
    <w:rsid w:val="00C84B8E"/>
    <w:rsid w:val="00C87AB5"/>
    <w:rsid w:val="00C90D49"/>
    <w:rsid w:val="00C919A0"/>
    <w:rsid w:val="00C93ED6"/>
    <w:rsid w:val="00C93FA9"/>
    <w:rsid w:val="00CA1B14"/>
    <w:rsid w:val="00CA7275"/>
    <w:rsid w:val="00CA7D6A"/>
    <w:rsid w:val="00CB0020"/>
    <w:rsid w:val="00CB09C4"/>
    <w:rsid w:val="00CB0A76"/>
    <w:rsid w:val="00CB0E67"/>
    <w:rsid w:val="00CB113A"/>
    <w:rsid w:val="00CB7DC8"/>
    <w:rsid w:val="00CC160D"/>
    <w:rsid w:val="00CC365B"/>
    <w:rsid w:val="00CC3C32"/>
    <w:rsid w:val="00CD18C9"/>
    <w:rsid w:val="00CD417C"/>
    <w:rsid w:val="00CD67C0"/>
    <w:rsid w:val="00CE13A5"/>
    <w:rsid w:val="00CE1603"/>
    <w:rsid w:val="00CE2E72"/>
    <w:rsid w:val="00CE39F0"/>
    <w:rsid w:val="00CE45FE"/>
    <w:rsid w:val="00CE4EDB"/>
    <w:rsid w:val="00CF38E8"/>
    <w:rsid w:val="00CF3CD3"/>
    <w:rsid w:val="00CF46AB"/>
    <w:rsid w:val="00CF4B56"/>
    <w:rsid w:val="00CF7270"/>
    <w:rsid w:val="00D0035F"/>
    <w:rsid w:val="00D012B5"/>
    <w:rsid w:val="00D03411"/>
    <w:rsid w:val="00D046CC"/>
    <w:rsid w:val="00D0488B"/>
    <w:rsid w:val="00D05D80"/>
    <w:rsid w:val="00D05EDF"/>
    <w:rsid w:val="00D06E2E"/>
    <w:rsid w:val="00D1286C"/>
    <w:rsid w:val="00D16538"/>
    <w:rsid w:val="00D20E96"/>
    <w:rsid w:val="00D235C5"/>
    <w:rsid w:val="00D23CA7"/>
    <w:rsid w:val="00D3074D"/>
    <w:rsid w:val="00D31D7E"/>
    <w:rsid w:val="00D329C2"/>
    <w:rsid w:val="00D370C1"/>
    <w:rsid w:val="00D43F87"/>
    <w:rsid w:val="00D4735D"/>
    <w:rsid w:val="00D47F4C"/>
    <w:rsid w:val="00D51A70"/>
    <w:rsid w:val="00D53FE2"/>
    <w:rsid w:val="00D5405D"/>
    <w:rsid w:val="00D56961"/>
    <w:rsid w:val="00D57A0E"/>
    <w:rsid w:val="00D64F3E"/>
    <w:rsid w:val="00D659C8"/>
    <w:rsid w:val="00D66F8C"/>
    <w:rsid w:val="00D70797"/>
    <w:rsid w:val="00D7258E"/>
    <w:rsid w:val="00D734FB"/>
    <w:rsid w:val="00D73F64"/>
    <w:rsid w:val="00D9144F"/>
    <w:rsid w:val="00D93936"/>
    <w:rsid w:val="00DA2FBD"/>
    <w:rsid w:val="00DA49DC"/>
    <w:rsid w:val="00DA5FAE"/>
    <w:rsid w:val="00DA6668"/>
    <w:rsid w:val="00DB0607"/>
    <w:rsid w:val="00DB0F24"/>
    <w:rsid w:val="00DB1620"/>
    <w:rsid w:val="00DB288F"/>
    <w:rsid w:val="00DB3CDF"/>
    <w:rsid w:val="00DB43FD"/>
    <w:rsid w:val="00DB67ED"/>
    <w:rsid w:val="00DB691B"/>
    <w:rsid w:val="00DC034B"/>
    <w:rsid w:val="00DC200A"/>
    <w:rsid w:val="00DC4145"/>
    <w:rsid w:val="00DC6A22"/>
    <w:rsid w:val="00DC6BDA"/>
    <w:rsid w:val="00DC7903"/>
    <w:rsid w:val="00DD12BB"/>
    <w:rsid w:val="00DD34D2"/>
    <w:rsid w:val="00DD4597"/>
    <w:rsid w:val="00DD4659"/>
    <w:rsid w:val="00DD4E9D"/>
    <w:rsid w:val="00DD7531"/>
    <w:rsid w:val="00DE4849"/>
    <w:rsid w:val="00DF076D"/>
    <w:rsid w:val="00DF1676"/>
    <w:rsid w:val="00DF1B31"/>
    <w:rsid w:val="00DF2AA7"/>
    <w:rsid w:val="00DF30DF"/>
    <w:rsid w:val="00DF3C8D"/>
    <w:rsid w:val="00DF6DD4"/>
    <w:rsid w:val="00E01563"/>
    <w:rsid w:val="00E021E5"/>
    <w:rsid w:val="00E031FB"/>
    <w:rsid w:val="00E04048"/>
    <w:rsid w:val="00E105F1"/>
    <w:rsid w:val="00E11EF3"/>
    <w:rsid w:val="00E13189"/>
    <w:rsid w:val="00E3299D"/>
    <w:rsid w:val="00E34F6D"/>
    <w:rsid w:val="00E3576C"/>
    <w:rsid w:val="00E36535"/>
    <w:rsid w:val="00E4043A"/>
    <w:rsid w:val="00E415CF"/>
    <w:rsid w:val="00E459B7"/>
    <w:rsid w:val="00E45FD8"/>
    <w:rsid w:val="00E501DC"/>
    <w:rsid w:val="00E5204E"/>
    <w:rsid w:val="00E54078"/>
    <w:rsid w:val="00E568E3"/>
    <w:rsid w:val="00E57E7F"/>
    <w:rsid w:val="00E62032"/>
    <w:rsid w:val="00E638A6"/>
    <w:rsid w:val="00E646B3"/>
    <w:rsid w:val="00E65AC4"/>
    <w:rsid w:val="00E667FB"/>
    <w:rsid w:val="00E70A28"/>
    <w:rsid w:val="00E70E4C"/>
    <w:rsid w:val="00E7645F"/>
    <w:rsid w:val="00E92308"/>
    <w:rsid w:val="00E92F51"/>
    <w:rsid w:val="00EA0044"/>
    <w:rsid w:val="00EA2C08"/>
    <w:rsid w:val="00EA59C0"/>
    <w:rsid w:val="00EA69AC"/>
    <w:rsid w:val="00EB57DF"/>
    <w:rsid w:val="00EB65E9"/>
    <w:rsid w:val="00EB684E"/>
    <w:rsid w:val="00EC25CF"/>
    <w:rsid w:val="00EC4694"/>
    <w:rsid w:val="00EC7FEB"/>
    <w:rsid w:val="00ED4BFF"/>
    <w:rsid w:val="00EE1529"/>
    <w:rsid w:val="00EE7D55"/>
    <w:rsid w:val="00EE7EE6"/>
    <w:rsid w:val="00EF0359"/>
    <w:rsid w:val="00EF040F"/>
    <w:rsid w:val="00EF1678"/>
    <w:rsid w:val="00EF450E"/>
    <w:rsid w:val="00EF4C31"/>
    <w:rsid w:val="00EF75E3"/>
    <w:rsid w:val="00F00638"/>
    <w:rsid w:val="00F05002"/>
    <w:rsid w:val="00F109AE"/>
    <w:rsid w:val="00F1254A"/>
    <w:rsid w:val="00F12891"/>
    <w:rsid w:val="00F1554E"/>
    <w:rsid w:val="00F16CC0"/>
    <w:rsid w:val="00F17A30"/>
    <w:rsid w:val="00F20D35"/>
    <w:rsid w:val="00F21041"/>
    <w:rsid w:val="00F21814"/>
    <w:rsid w:val="00F307DE"/>
    <w:rsid w:val="00F40A76"/>
    <w:rsid w:val="00F43BA7"/>
    <w:rsid w:val="00F4536C"/>
    <w:rsid w:val="00F53404"/>
    <w:rsid w:val="00F55531"/>
    <w:rsid w:val="00F5781A"/>
    <w:rsid w:val="00F60DA3"/>
    <w:rsid w:val="00F611F5"/>
    <w:rsid w:val="00F61524"/>
    <w:rsid w:val="00F628F0"/>
    <w:rsid w:val="00F703AE"/>
    <w:rsid w:val="00F71C4B"/>
    <w:rsid w:val="00F73EE4"/>
    <w:rsid w:val="00F74068"/>
    <w:rsid w:val="00F77CC4"/>
    <w:rsid w:val="00F80066"/>
    <w:rsid w:val="00F83044"/>
    <w:rsid w:val="00F87E87"/>
    <w:rsid w:val="00F909EF"/>
    <w:rsid w:val="00F92126"/>
    <w:rsid w:val="00F92EA4"/>
    <w:rsid w:val="00FA0158"/>
    <w:rsid w:val="00FA28F4"/>
    <w:rsid w:val="00FA4160"/>
    <w:rsid w:val="00FA7511"/>
    <w:rsid w:val="00FB1CD1"/>
    <w:rsid w:val="00FB40CE"/>
    <w:rsid w:val="00FB4BB3"/>
    <w:rsid w:val="00FB4EC1"/>
    <w:rsid w:val="00FB5943"/>
    <w:rsid w:val="00FB599B"/>
    <w:rsid w:val="00FB67F2"/>
    <w:rsid w:val="00FB7985"/>
    <w:rsid w:val="00FB7B59"/>
    <w:rsid w:val="00FC2D13"/>
    <w:rsid w:val="00FC3BCE"/>
    <w:rsid w:val="00FC3D33"/>
    <w:rsid w:val="00FC4679"/>
    <w:rsid w:val="00FD131E"/>
    <w:rsid w:val="00FD65D4"/>
    <w:rsid w:val="00FE6577"/>
    <w:rsid w:val="00FF15A1"/>
    <w:rsid w:val="00FF2D1F"/>
    <w:rsid w:val="00FF5618"/>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BA2"/>
    <w:pPr>
      <w:spacing w:after="160" w:line="259" w:lineRule="auto"/>
    </w:pPr>
  </w:style>
  <w:style w:type="paragraph" w:styleId="Heading1">
    <w:name w:val="heading 1"/>
    <w:basedOn w:val="Normal"/>
    <w:next w:val="Normal"/>
    <w:link w:val="Heading1Char"/>
    <w:uiPriority w:val="9"/>
    <w:qFormat/>
    <w:rsid w:val="00436B59"/>
    <w:pPr>
      <w:keepNext/>
      <w:keepLines/>
      <w:numPr>
        <w:numId w:val="66"/>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25D77"/>
    <w:pPr>
      <w:keepNext/>
      <w:keepLines/>
      <w:numPr>
        <w:ilvl w:val="2"/>
        <w:numId w:val="66"/>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25D77"/>
    <w:pPr>
      <w:keepNext/>
      <w:keepLines/>
      <w:numPr>
        <w:ilvl w:val="3"/>
        <w:numId w:val="66"/>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25D77"/>
    <w:pPr>
      <w:keepNext/>
      <w:keepLines/>
      <w:numPr>
        <w:ilvl w:val="4"/>
        <w:numId w:val="66"/>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25D77"/>
    <w:pPr>
      <w:keepNext/>
      <w:keepLines/>
      <w:numPr>
        <w:ilvl w:val="5"/>
        <w:numId w:val="66"/>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25D77"/>
    <w:pPr>
      <w:keepNext/>
      <w:keepLines/>
      <w:numPr>
        <w:ilvl w:val="6"/>
        <w:numId w:val="66"/>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25D77"/>
    <w:pPr>
      <w:keepNext/>
      <w:keepLines/>
      <w:numPr>
        <w:ilvl w:val="7"/>
        <w:numId w:val="6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25D77"/>
    <w:pPr>
      <w:keepNext/>
      <w:keepLines/>
      <w:numPr>
        <w:ilvl w:val="8"/>
        <w:numId w:val="6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374A8C"/>
    <w:rPr>
      <w:color w:val="0000FF" w:themeColor="hyperlink"/>
      <w:u w:val="single"/>
    </w:rPr>
  </w:style>
  <w:style w:type="character" w:styleId="UnresolvedMention">
    <w:name w:val="Unresolved Mention"/>
    <w:basedOn w:val="DefaultParagraphFont"/>
    <w:uiPriority w:val="99"/>
    <w:semiHidden/>
    <w:unhideWhenUsed/>
    <w:rsid w:val="00374A8C"/>
    <w:rPr>
      <w:color w:val="605E5C"/>
      <w:shd w:val="clear" w:color="auto" w:fill="E1DFDD"/>
    </w:rPr>
  </w:style>
  <w:style w:type="character" w:customStyle="1" w:styleId="Heading3Char">
    <w:name w:val="Heading 3 Char"/>
    <w:basedOn w:val="DefaultParagraphFont"/>
    <w:link w:val="Heading3"/>
    <w:uiPriority w:val="9"/>
    <w:rsid w:val="00325D7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25D7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25D7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25D7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25D7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25D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25D7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0C2DBF"/>
    <w:pPr>
      <w:bidi/>
      <w:spacing w:before="360" w:after="0"/>
    </w:pPr>
    <w:rPr>
      <w:rFonts w:asciiTheme="majorHAnsi" w:hAnsiTheme="majorHAnsi" w:cs="Times New Roman"/>
      <w:b/>
      <w:bCs/>
      <w:caps/>
      <w:sz w:val="24"/>
      <w:szCs w:val="28"/>
    </w:rPr>
  </w:style>
  <w:style w:type="paragraph" w:styleId="TOC2">
    <w:name w:val="toc 2"/>
    <w:basedOn w:val="Normal"/>
    <w:next w:val="Normal"/>
    <w:autoRedefine/>
    <w:uiPriority w:val="39"/>
    <w:unhideWhenUsed/>
    <w:rsid w:val="003A195A"/>
    <w:pPr>
      <w:bidi/>
      <w:spacing w:before="240" w:after="0"/>
    </w:pPr>
    <w:rPr>
      <w:rFonts w:cstheme="minorHAnsi"/>
      <w:b/>
      <w:bCs/>
      <w:sz w:val="20"/>
      <w:szCs w:val="24"/>
    </w:rPr>
  </w:style>
  <w:style w:type="paragraph" w:styleId="TOC3">
    <w:name w:val="toc 3"/>
    <w:basedOn w:val="Normal"/>
    <w:next w:val="Normal"/>
    <w:autoRedefine/>
    <w:uiPriority w:val="39"/>
    <w:unhideWhenUsed/>
    <w:rsid w:val="003A195A"/>
    <w:pPr>
      <w:bidi/>
      <w:spacing w:after="0"/>
      <w:ind w:left="220"/>
    </w:pPr>
    <w:rPr>
      <w:rFonts w:cstheme="minorHAnsi"/>
      <w:sz w:val="20"/>
      <w:szCs w:val="24"/>
    </w:rPr>
  </w:style>
  <w:style w:type="paragraph" w:styleId="TOC4">
    <w:name w:val="toc 4"/>
    <w:basedOn w:val="Normal"/>
    <w:next w:val="Normal"/>
    <w:autoRedefine/>
    <w:uiPriority w:val="39"/>
    <w:unhideWhenUsed/>
    <w:rsid w:val="003A195A"/>
    <w:pPr>
      <w:bidi/>
      <w:spacing w:after="0"/>
      <w:ind w:left="440"/>
    </w:pPr>
    <w:rPr>
      <w:rFonts w:cstheme="minorHAnsi"/>
      <w:sz w:val="20"/>
      <w:szCs w:val="24"/>
    </w:rPr>
  </w:style>
  <w:style w:type="paragraph" w:styleId="TOC5">
    <w:name w:val="toc 5"/>
    <w:basedOn w:val="Normal"/>
    <w:next w:val="Normal"/>
    <w:autoRedefine/>
    <w:uiPriority w:val="39"/>
    <w:unhideWhenUsed/>
    <w:rsid w:val="003A195A"/>
    <w:pPr>
      <w:bidi/>
      <w:spacing w:after="0"/>
      <w:ind w:left="660"/>
    </w:pPr>
    <w:rPr>
      <w:rFonts w:cstheme="minorHAnsi"/>
      <w:sz w:val="20"/>
      <w:szCs w:val="24"/>
    </w:rPr>
  </w:style>
  <w:style w:type="paragraph" w:styleId="TOC6">
    <w:name w:val="toc 6"/>
    <w:basedOn w:val="Normal"/>
    <w:next w:val="Normal"/>
    <w:autoRedefine/>
    <w:uiPriority w:val="39"/>
    <w:unhideWhenUsed/>
    <w:rsid w:val="003A195A"/>
    <w:pPr>
      <w:bidi/>
      <w:spacing w:after="0"/>
      <w:ind w:left="880"/>
    </w:pPr>
    <w:rPr>
      <w:rFonts w:cstheme="minorHAnsi"/>
      <w:sz w:val="20"/>
      <w:szCs w:val="24"/>
    </w:rPr>
  </w:style>
  <w:style w:type="paragraph" w:styleId="TOC7">
    <w:name w:val="toc 7"/>
    <w:basedOn w:val="Normal"/>
    <w:next w:val="Normal"/>
    <w:autoRedefine/>
    <w:uiPriority w:val="39"/>
    <w:unhideWhenUsed/>
    <w:rsid w:val="003A195A"/>
    <w:pPr>
      <w:bidi/>
      <w:spacing w:after="0"/>
      <w:ind w:left="1100"/>
    </w:pPr>
    <w:rPr>
      <w:rFonts w:cstheme="minorHAnsi"/>
      <w:sz w:val="20"/>
      <w:szCs w:val="24"/>
    </w:rPr>
  </w:style>
  <w:style w:type="paragraph" w:styleId="TOC8">
    <w:name w:val="toc 8"/>
    <w:basedOn w:val="Normal"/>
    <w:next w:val="Normal"/>
    <w:autoRedefine/>
    <w:uiPriority w:val="39"/>
    <w:unhideWhenUsed/>
    <w:rsid w:val="003A195A"/>
    <w:pPr>
      <w:bidi/>
      <w:spacing w:after="0"/>
      <w:ind w:left="1320"/>
    </w:pPr>
    <w:rPr>
      <w:rFonts w:cstheme="minorHAnsi"/>
      <w:sz w:val="20"/>
      <w:szCs w:val="24"/>
    </w:rPr>
  </w:style>
  <w:style w:type="paragraph" w:styleId="TOC9">
    <w:name w:val="toc 9"/>
    <w:basedOn w:val="Normal"/>
    <w:next w:val="Normal"/>
    <w:autoRedefine/>
    <w:uiPriority w:val="39"/>
    <w:unhideWhenUsed/>
    <w:rsid w:val="003A195A"/>
    <w:pPr>
      <w:bidi/>
      <w:spacing w:after="0"/>
      <w:ind w:left="1540"/>
    </w:pPr>
    <w:rPr>
      <w:rFonts w:cstheme="minorHAnsi"/>
      <w:sz w:val="20"/>
      <w:szCs w:val="24"/>
    </w:rPr>
  </w:style>
  <w:style w:type="paragraph" w:styleId="ListBullet">
    <w:name w:val="List Bullet"/>
    <w:basedOn w:val="Normal"/>
    <w:uiPriority w:val="99"/>
    <w:unhideWhenUsed/>
    <w:rsid w:val="001E4226"/>
    <w:pPr>
      <w:numPr>
        <w:numId w:val="1"/>
      </w:numPr>
      <w:contextualSpacing/>
    </w:pPr>
  </w:style>
  <w:style w:type="character" w:styleId="FollowedHyperlink">
    <w:name w:val="FollowedHyperlink"/>
    <w:basedOn w:val="DefaultParagraphFont"/>
    <w:uiPriority w:val="99"/>
    <w:semiHidden/>
    <w:unhideWhenUsed/>
    <w:rsid w:val="003B0E76"/>
    <w:rPr>
      <w:color w:val="800080" w:themeColor="followedHyperlink"/>
      <w:u w:val="single"/>
    </w:rPr>
  </w:style>
  <w:style w:type="paragraph" w:styleId="HTMLPreformatted">
    <w:name w:val="HTML Preformatted"/>
    <w:basedOn w:val="Normal"/>
    <w:link w:val="HTMLPreformattedChar"/>
    <w:uiPriority w:val="99"/>
    <w:semiHidden/>
    <w:unhideWhenUsed/>
    <w:rsid w:val="00070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705AD"/>
    <w:rPr>
      <w:rFonts w:ascii="Courier New" w:eastAsia="Times New Roman" w:hAnsi="Courier New" w:cs="Courier New"/>
      <w:sz w:val="20"/>
      <w:szCs w:val="20"/>
    </w:rPr>
  </w:style>
  <w:style w:type="character" w:styleId="HTMLCode">
    <w:name w:val="HTML Code"/>
    <w:basedOn w:val="DefaultParagraphFont"/>
    <w:uiPriority w:val="99"/>
    <w:semiHidden/>
    <w:unhideWhenUsed/>
    <w:rsid w:val="000705AD"/>
    <w:rPr>
      <w:rFonts w:ascii="Courier New" w:eastAsia="Times New Roman" w:hAnsi="Courier New" w:cs="Courier New"/>
      <w:sz w:val="20"/>
      <w:szCs w:val="20"/>
    </w:rPr>
  </w:style>
  <w:style w:type="paragraph" w:customStyle="1" w:styleId="whitespace-normal">
    <w:name w:val="whitespace-normal"/>
    <w:basedOn w:val="Normal"/>
    <w:rsid w:val="000C07F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93936"/>
    <w:pPr>
      <w:spacing w:after="0" w:line="240" w:lineRule="auto"/>
    </w:pPr>
    <w:rPr>
      <w:rFonts w:eastAsiaTheme="minorEastAsia"/>
    </w:rPr>
  </w:style>
  <w:style w:type="paragraph" w:styleId="Title">
    <w:name w:val="Title"/>
    <w:basedOn w:val="Normal"/>
    <w:next w:val="Normal"/>
    <w:link w:val="TitleChar"/>
    <w:uiPriority w:val="10"/>
    <w:qFormat/>
    <w:rsid w:val="00D9393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93936"/>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uiPriority w:val="99"/>
    <w:unhideWhenUsed/>
    <w:rsid w:val="00D93936"/>
    <w:pPr>
      <w:spacing w:after="120" w:line="276" w:lineRule="auto"/>
    </w:pPr>
    <w:rPr>
      <w:rFonts w:eastAsiaTheme="minorEastAsia"/>
    </w:rPr>
  </w:style>
  <w:style w:type="character" w:customStyle="1" w:styleId="BodyTextChar">
    <w:name w:val="Body Text Char"/>
    <w:basedOn w:val="DefaultParagraphFont"/>
    <w:link w:val="BodyText"/>
    <w:uiPriority w:val="99"/>
    <w:rsid w:val="00D93936"/>
    <w:rPr>
      <w:rFonts w:eastAsiaTheme="minorEastAsia"/>
    </w:rPr>
  </w:style>
  <w:style w:type="paragraph" w:styleId="BodyText2">
    <w:name w:val="Body Text 2"/>
    <w:basedOn w:val="Normal"/>
    <w:link w:val="BodyText2Char"/>
    <w:uiPriority w:val="99"/>
    <w:unhideWhenUsed/>
    <w:rsid w:val="00D93936"/>
    <w:pPr>
      <w:spacing w:after="120" w:line="480" w:lineRule="auto"/>
    </w:pPr>
    <w:rPr>
      <w:rFonts w:eastAsiaTheme="minorEastAsia"/>
    </w:rPr>
  </w:style>
  <w:style w:type="character" w:customStyle="1" w:styleId="BodyText2Char">
    <w:name w:val="Body Text 2 Char"/>
    <w:basedOn w:val="DefaultParagraphFont"/>
    <w:link w:val="BodyText2"/>
    <w:uiPriority w:val="99"/>
    <w:rsid w:val="00D93936"/>
    <w:rPr>
      <w:rFonts w:eastAsiaTheme="minorEastAsia"/>
    </w:rPr>
  </w:style>
  <w:style w:type="paragraph" w:styleId="BodyText3">
    <w:name w:val="Body Text 3"/>
    <w:basedOn w:val="Normal"/>
    <w:link w:val="BodyText3Char"/>
    <w:uiPriority w:val="99"/>
    <w:unhideWhenUsed/>
    <w:rsid w:val="00D93936"/>
    <w:pPr>
      <w:spacing w:after="120" w:line="276" w:lineRule="auto"/>
    </w:pPr>
    <w:rPr>
      <w:rFonts w:eastAsiaTheme="minorEastAsia"/>
      <w:sz w:val="16"/>
      <w:szCs w:val="16"/>
    </w:rPr>
  </w:style>
  <w:style w:type="character" w:customStyle="1" w:styleId="BodyText3Char">
    <w:name w:val="Body Text 3 Char"/>
    <w:basedOn w:val="DefaultParagraphFont"/>
    <w:link w:val="BodyText3"/>
    <w:uiPriority w:val="99"/>
    <w:rsid w:val="00D93936"/>
    <w:rPr>
      <w:rFonts w:eastAsiaTheme="minorEastAsia"/>
      <w:sz w:val="16"/>
      <w:szCs w:val="16"/>
    </w:rPr>
  </w:style>
  <w:style w:type="paragraph" w:styleId="List">
    <w:name w:val="List"/>
    <w:basedOn w:val="Normal"/>
    <w:uiPriority w:val="99"/>
    <w:unhideWhenUsed/>
    <w:rsid w:val="00D93936"/>
    <w:pPr>
      <w:spacing w:after="200" w:line="276" w:lineRule="auto"/>
      <w:ind w:left="360" w:hanging="360"/>
      <w:contextualSpacing/>
    </w:pPr>
    <w:rPr>
      <w:rFonts w:eastAsiaTheme="minorEastAsia"/>
    </w:rPr>
  </w:style>
  <w:style w:type="paragraph" w:styleId="List2">
    <w:name w:val="List 2"/>
    <w:basedOn w:val="Normal"/>
    <w:uiPriority w:val="99"/>
    <w:unhideWhenUsed/>
    <w:rsid w:val="00D93936"/>
    <w:pPr>
      <w:spacing w:after="200" w:line="276" w:lineRule="auto"/>
      <w:ind w:left="720" w:hanging="360"/>
      <w:contextualSpacing/>
    </w:pPr>
    <w:rPr>
      <w:rFonts w:eastAsiaTheme="minorEastAsia"/>
    </w:rPr>
  </w:style>
  <w:style w:type="paragraph" w:styleId="List3">
    <w:name w:val="List 3"/>
    <w:basedOn w:val="Normal"/>
    <w:uiPriority w:val="99"/>
    <w:unhideWhenUsed/>
    <w:rsid w:val="00D93936"/>
    <w:pPr>
      <w:spacing w:after="200" w:line="276" w:lineRule="auto"/>
      <w:ind w:left="1080" w:hanging="360"/>
      <w:contextualSpacing/>
    </w:pPr>
    <w:rPr>
      <w:rFonts w:eastAsiaTheme="minorEastAsia"/>
    </w:rPr>
  </w:style>
  <w:style w:type="paragraph" w:styleId="ListBullet2">
    <w:name w:val="List Bullet 2"/>
    <w:basedOn w:val="Normal"/>
    <w:uiPriority w:val="99"/>
    <w:unhideWhenUsed/>
    <w:rsid w:val="00D93936"/>
    <w:pPr>
      <w:numPr>
        <w:numId w:val="72"/>
      </w:numPr>
      <w:tabs>
        <w:tab w:val="clear" w:pos="720"/>
      </w:tabs>
      <w:spacing w:after="200" w:line="276" w:lineRule="auto"/>
      <w:ind w:left="0" w:firstLine="0"/>
      <w:contextualSpacing/>
    </w:pPr>
    <w:rPr>
      <w:rFonts w:eastAsiaTheme="minorEastAsia"/>
    </w:rPr>
  </w:style>
  <w:style w:type="paragraph" w:styleId="ListBullet3">
    <w:name w:val="List Bullet 3"/>
    <w:basedOn w:val="Normal"/>
    <w:uiPriority w:val="99"/>
    <w:unhideWhenUsed/>
    <w:rsid w:val="00D93936"/>
    <w:pPr>
      <w:numPr>
        <w:numId w:val="73"/>
      </w:numPr>
      <w:tabs>
        <w:tab w:val="clear" w:pos="1080"/>
      </w:tabs>
      <w:spacing w:after="200" w:line="276" w:lineRule="auto"/>
      <w:ind w:left="0" w:firstLine="0"/>
      <w:contextualSpacing/>
    </w:pPr>
    <w:rPr>
      <w:rFonts w:eastAsiaTheme="minorEastAsia"/>
    </w:rPr>
  </w:style>
  <w:style w:type="paragraph" w:styleId="ListNumber">
    <w:name w:val="List Number"/>
    <w:basedOn w:val="Normal"/>
    <w:uiPriority w:val="99"/>
    <w:unhideWhenUsed/>
    <w:rsid w:val="00D93936"/>
    <w:pPr>
      <w:numPr>
        <w:numId w:val="74"/>
      </w:numPr>
      <w:tabs>
        <w:tab w:val="clear" w:pos="360"/>
      </w:tabs>
      <w:spacing w:after="200" w:line="276" w:lineRule="auto"/>
      <w:ind w:left="0" w:firstLine="0"/>
      <w:contextualSpacing/>
    </w:pPr>
    <w:rPr>
      <w:rFonts w:eastAsiaTheme="minorEastAsia"/>
    </w:rPr>
  </w:style>
  <w:style w:type="paragraph" w:styleId="ListNumber2">
    <w:name w:val="List Number 2"/>
    <w:basedOn w:val="Normal"/>
    <w:uiPriority w:val="99"/>
    <w:unhideWhenUsed/>
    <w:rsid w:val="00D93936"/>
    <w:pPr>
      <w:numPr>
        <w:numId w:val="75"/>
      </w:numPr>
      <w:tabs>
        <w:tab w:val="clear" w:pos="720"/>
      </w:tabs>
      <w:spacing w:after="200" w:line="276" w:lineRule="auto"/>
      <w:ind w:left="0" w:firstLine="0"/>
      <w:contextualSpacing/>
    </w:pPr>
    <w:rPr>
      <w:rFonts w:eastAsiaTheme="minorEastAsia"/>
    </w:rPr>
  </w:style>
  <w:style w:type="paragraph" w:styleId="ListNumber3">
    <w:name w:val="List Number 3"/>
    <w:basedOn w:val="Normal"/>
    <w:uiPriority w:val="99"/>
    <w:unhideWhenUsed/>
    <w:rsid w:val="00D93936"/>
    <w:pPr>
      <w:numPr>
        <w:numId w:val="76"/>
      </w:numPr>
      <w:tabs>
        <w:tab w:val="clear" w:pos="1080"/>
      </w:tabs>
      <w:spacing w:after="200" w:line="276" w:lineRule="auto"/>
      <w:ind w:left="0" w:firstLine="0"/>
      <w:contextualSpacing/>
    </w:pPr>
    <w:rPr>
      <w:rFonts w:eastAsiaTheme="minorEastAsia"/>
    </w:rPr>
  </w:style>
  <w:style w:type="paragraph" w:styleId="ListContinue">
    <w:name w:val="List Continue"/>
    <w:basedOn w:val="Normal"/>
    <w:uiPriority w:val="99"/>
    <w:unhideWhenUsed/>
    <w:rsid w:val="00D93936"/>
    <w:pPr>
      <w:spacing w:after="120" w:line="276" w:lineRule="auto"/>
      <w:ind w:left="360"/>
      <w:contextualSpacing/>
    </w:pPr>
    <w:rPr>
      <w:rFonts w:eastAsiaTheme="minorEastAsia"/>
    </w:rPr>
  </w:style>
  <w:style w:type="paragraph" w:styleId="ListContinue2">
    <w:name w:val="List Continue 2"/>
    <w:basedOn w:val="Normal"/>
    <w:uiPriority w:val="99"/>
    <w:unhideWhenUsed/>
    <w:rsid w:val="00D93936"/>
    <w:pPr>
      <w:spacing w:after="120" w:line="276" w:lineRule="auto"/>
      <w:ind w:left="720"/>
      <w:contextualSpacing/>
    </w:pPr>
    <w:rPr>
      <w:rFonts w:eastAsiaTheme="minorEastAsia"/>
    </w:rPr>
  </w:style>
  <w:style w:type="paragraph" w:styleId="ListContinue3">
    <w:name w:val="List Continue 3"/>
    <w:basedOn w:val="Normal"/>
    <w:uiPriority w:val="99"/>
    <w:unhideWhenUsed/>
    <w:rsid w:val="00D93936"/>
    <w:pPr>
      <w:spacing w:after="120" w:line="276" w:lineRule="auto"/>
      <w:ind w:left="1080"/>
      <w:contextualSpacing/>
    </w:pPr>
    <w:rPr>
      <w:rFonts w:eastAsiaTheme="minorEastAsia"/>
    </w:rPr>
  </w:style>
  <w:style w:type="paragraph" w:styleId="MacroText">
    <w:name w:val="macro"/>
    <w:link w:val="MacroTextChar"/>
    <w:uiPriority w:val="99"/>
    <w:unhideWhenUsed/>
    <w:rsid w:val="00D93936"/>
    <w:pPr>
      <w:tabs>
        <w:tab w:val="left" w:pos="576"/>
        <w:tab w:val="left" w:pos="1152"/>
        <w:tab w:val="left" w:pos="1728"/>
        <w:tab w:val="left" w:pos="2304"/>
        <w:tab w:val="left" w:pos="2880"/>
        <w:tab w:val="left" w:pos="3456"/>
        <w:tab w:val="left" w:pos="4032"/>
      </w:tabs>
    </w:pPr>
    <w:rPr>
      <w:rFonts w:ascii="Courier" w:eastAsiaTheme="minorEastAsia" w:hAnsi="Courier"/>
      <w:sz w:val="20"/>
      <w:szCs w:val="20"/>
    </w:rPr>
  </w:style>
  <w:style w:type="character" w:customStyle="1" w:styleId="MacroTextChar">
    <w:name w:val="Macro Text Char"/>
    <w:basedOn w:val="DefaultParagraphFont"/>
    <w:link w:val="MacroText"/>
    <w:uiPriority w:val="99"/>
    <w:rsid w:val="00D93936"/>
    <w:rPr>
      <w:rFonts w:ascii="Courier" w:eastAsiaTheme="minorEastAsia" w:hAnsi="Courier"/>
      <w:sz w:val="20"/>
      <w:szCs w:val="20"/>
    </w:rPr>
  </w:style>
  <w:style w:type="paragraph" w:styleId="Quote">
    <w:name w:val="Quote"/>
    <w:basedOn w:val="Normal"/>
    <w:next w:val="Normal"/>
    <w:link w:val="QuoteChar"/>
    <w:uiPriority w:val="29"/>
    <w:qFormat/>
    <w:rsid w:val="00D93936"/>
    <w:pPr>
      <w:spacing w:after="200" w:line="276" w:lineRule="auto"/>
    </w:pPr>
    <w:rPr>
      <w:rFonts w:eastAsiaTheme="minorEastAsia"/>
      <w:i/>
      <w:iCs/>
      <w:color w:val="000000" w:themeColor="text1"/>
    </w:rPr>
  </w:style>
  <w:style w:type="character" w:customStyle="1" w:styleId="QuoteChar">
    <w:name w:val="Quote Char"/>
    <w:basedOn w:val="DefaultParagraphFont"/>
    <w:link w:val="Quote"/>
    <w:uiPriority w:val="29"/>
    <w:rsid w:val="00D93936"/>
    <w:rPr>
      <w:rFonts w:eastAsiaTheme="minorEastAsia"/>
      <w:i/>
      <w:iCs/>
      <w:color w:val="000000" w:themeColor="text1"/>
    </w:rPr>
  </w:style>
  <w:style w:type="paragraph" w:styleId="Caption">
    <w:name w:val="caption"/>
    <w:basedOn w:val="Normal"/>
    <w:next w:val="Normal"/>
    <w:uiPriority w:val="35"/>
    <w:semiHidden/>
    <w:unhideWhenUsed/>
    <w:qFormat/>
    <w:rsid w:val="00D93936"/>
    <w:pPr>
      <w:spacing w:after="200" w:line="240" w:lineRule="auto"/>
    </w:pPr>
    <w:rPr>
      <w:rFonts w:eastAsiaTheme="minorEastAsia"/>
      <w:b/>
      <w:bCs/>
      <w:color w:val="4F81BD" w:themeColor="accent1"/>
      <w:sz w:val="18"/>
      <w:szCs w:val="18"/>
    </w:rPr>
  </w:style>
  <w:style w:type="character" w:styleId="Emphasis">
    <w:name w:val="Emphasis"/>
    <w:basedOn w:val="DefaultParagraphFont"/>
    <w:uiPriority w:val="20"/>
    <w:qFormat/>
    <w:rsid w:val="00D93936"/>
    <w:rPr>
      <w:i/>
      <w:iCs/>
    </w:rPr>
  </w:style>
  <w:style w:type="paragraph" w:styleId="IntenseQuote">
    <w:name w:val="Intense Quote"/>
    <w:basedOn w:val="Normal"/>
    <w:next w:val="Normal"/>
    <w:link w:val="IntenseQuoteChar"/>
    <w:uiPriority w:val="30"/>
    <w:qFormat/>
    <w:rsid w:val="00D93936"/>
    <w:pPr>
      <w:pBdr>
        <w:bottom w:val="single" w:sz="4" w:space="4" w:color="4F81BD" w:themeColor="accent1"/>
      </w:pBdr>
      <w:spacing w:before="200" w:after="280" w:line="276" w:lineRule="auto"/>
      <w:ind w:left="936" w:right="936"/>
    </w:pPr>
    <w:rPr>
      <w:rFonts w:eastAsiaTheme="minorEastAsia"/>
      <w:b/>
      <w:bCs/>
      <w:i/>
      <w:iCs/>
      <w:color w:val="4F81BD" w:themeColor="accent1"/>
    </w:rPr>
  </w:style>
  <w:style w:type="character" w:customStyle="1" w:styleId="IntenseQuoteChar">
    <w:name w:val="Intense Quote Char"/>
    <w:basedOn w:val="DefaultParagraphFont"/>
    <w:link w:val="IntenseQuote"/>
    <w:uiPriority w:val="30"/>
    <w:rsid w:val="00D93936"/>
    <w:rPr>
      <w:rFonts w:eastAsiaTheme="minorEastAsia"/>
      <w:b/>
      <w:bCs/>
      <w:i/>
      <w:iCs/>
      <w:color w:val="4F81BD" w:themeColor="accent1"/>
    </w:rPr>
  </w:style>
  <w:style w:type="character" w:styleId="SubtleEmphasis">
    <w:name w:val="Subtle Emphasis"/>
    <w:basedOn w:val="DefaultParagraphFont"/>
    <w:uiPriority w:val="19"/>
    <w:qFormat/>
    <w:rsid w:val="00D93936"/>
    <w:rPr>
      <w:i/>
      <w:iCs/>
      <w:color w:val="808080" w:themeColor="text1" w:themeTint="7F"/>
    </w:rPr>
  </w:style>
  <w:style w:type="character" w:styleId="IntenseEmphasis">
    <w:name w:val="Intense Emphasis"/>
    <w:basedOn w:val="DefaultParagraphFont"/>
    <w:uiPriority w:val="21"/>
    <w:qFormat/>
    <w:rsid w:val="00D93936"/>
    <w:rPr>
      <w:b/>
      <w:bCs/>
      <w:i/>
      <w:iCs/>
      <w:color w:val="4F81BD" w:themeColor="accent1"/>
    </w:rPr>
  </w:style>
  <w:style w:type="character" w:styleId="SubtleReference">
    <w:name w:val="Subtle Reference"/>
    <w:basedOn w:val="DefaultParagraphFont"/>
    <w:uiPriority w:val="31"/>
    <w:qFormat/>
    <w:rsid w:val="00D93936"/>
    <w:rPr>
      <w:smallCaps/>
      <w:color w:val="C0504D" w:themeColor="accent2"/>
      <w:u w:val="single"/>
    </w:rPr>
  </w:style>
  <w:style w:type="character" w:styleId="IntenseReference">
    <w:name w:val="Intense Reference"/>
    <w:basedOn w:val="DefaultParagraphFont"/>
    <w:uiPriority w:val="32"/>
    <w:qFormat/>
    <w:rsid w:val="00D93936"/>
    <w:rPr>
      <w:b/>
      <w:bCs/>
      <w:smallCaps/>
      <w:color w:val="C0504D" w:themeColor="accent2"/>
      <w:spacing w:val="5"/>
      <w:u w:val="single"/>
    </w:rPr>
  </w:style>
  <w:style w:type="character" w:styleId="BookTitle">
    <w:name w:val="Book Title"/>
    <w:basedOn w:val="DefaultParagraphFont"/>
    <w:uiPriority w:val="33"/>
    <w:qFormat/>
    <w:rsid w:val="00D93936"/>
    <w:rPr>
      <w:b/>
      <w:bCs/>
      <w:smallCaps/>
      <w:spacing w:val="5"/>
    </w:rPr>
  </w:style>
  <w:style w:type="paragraph" w:styleId="TOCHeading">
    <w:name w:val="TOC Heading"/>
    <w:basedOn w:val="Heading1"/>
    <w:next w:val="Normal"/>
    <w:uiPriority w:val="39"/>
    <w:semiHidden/>
    <w:unhideWhenUsed/>
    <w:qFormat/>
    <w:rsid w:val="00D93936"/>
    <w:pPr>
      <w:numPr>
        <w:numId w:val="0"/>
      </w:numPr>
      <w:spacing w:before="480" w:line="276" w:lineRule="auto"/>
      <w:outlineLvl w:val="9"/>
    </w:pPr>
    <w:rPr>
      <w:b/>
      <w:bCs/>
      <w:sz w:val="28"/>
      <w:szCs w:val="28"/>
    </w:rPr>
  </w:style>
  <w:style w:type="table" w:styleId="LightShading">
    <w:name w:val="Light Shading"/>
    <w:basedOn w:val="TableNormal"/>
    <w:uiPriority w:val="60"/>
    <w:rsid w:val="00D93936"/>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93936"/>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D93936"/>
    <w:pPr>
      <w:spacing w:after="0" w:line="240" w:lineRule="auto"/>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D93936"/>
    <w:pPr>
      <w:spacing w:after="0" w:line="240" w:lineRule="auto"/>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D93936"/>
    <w:pPr>
      <w:spacing w:after="0" w:line="240" w:lineRule="auto"/>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D93936"/>
    <w:pPr>
      <w:spacing w:after="0" w:line="240" w:lineRule="auto"/>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D93936"/>
    <w:pPr>
      <w:spacing w:after="0" w:line="240" w:lineRule="auto"/>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TableNormal"/>
    <w:next w:val="TableGrid"/>
    <w:uiPriority w:val="39"/>
    <w:rsid w:val="00DF3C8D"/>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5D4B1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
    <w:name w:val="Grid Table 4"/>
    <w:basedOn w:val="TableNormal"/>
    <w:uiPriority w:val="49"/>
    <w:rsid w:val="00CA72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2156">
      <w:bodyDiv w:val="1"/>
      <w:marLeft w:val="0"/>
      <w:marRight w:val="0"/>
      <w:marTop w:val="0"/>
      <w:marBottom w:val="0"/>
      <w:divBdr>
        <w:top w:val="none" w:sz="0" w:space="0" w:color="auto"/>
        <w:left w:val="none" w:sz="0" w:space="0" w:color="auto"/>
        <w:bottom w:val="none" w:sz="0" w:space="0" w:color="auto"/>
        <w:right w:val="none" w:sz="0" w:space="0" w:color="auto"/>
      </w:divBdr>
    </w:div>
    <w:div w:id="16858238">
      <w:bodyDiv w:val="1"/>
      <w:marLeft w:val="0"/>
      <w:marRight w:val="0"/>
      <w:marTop w:val="0"/>
      <w:marBottom w:val="0"/>
      <w:divBdr>
        <w:top w:val="none" w:sz="0" w:space="0" w:color="auto"/>
        <w:left w:val="none" w:sz="0" w:space="0" w:color="auto"/>
        <w:bottom w:val="none" w:sz="0" w:space="0" w:color="auto"/>
        <w:right w:val="none" w:sz="0" w:space="0" w:color="auto"/>
      </w:divBdr>
    </w:div>
    <w:div w:id="33582975">
      <w:bodyDiv w:val="1"/>
      <w:marLeft w:val="0"/>
      <w:marRight w:val="0"/>
      <w:marTop w:val="0"/>
      <w:marBottom w:val="0"/>
      <w:divBdr>
        <w:top w:val="none" w:sz="0" w:space="0" w:color="auto"/>
        <w:left w:val="none" w:sz="0" w:space="0" w:color="auto"/>
        <w:bottom w:val="none" w:sz="0" w:space="0" w:color="auto"/>
        <w:right w:val="none" w:sz="0" w:space="0" w:color="auto"/>
      </w:divBdr>
    </w:div>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83963703">
      <w:bodyDiv w:val="1"/>
      <w:marLeft w:val="0"/>
      <w:marRight w:val="0"/>
      <w:marTop w:val="0"/>
      <w:marBottom w:val="0"/>
      <w:divBdr>
        <w:top w:val="none" w:sz="0" w:space="0" w:color="auto"/>
        <w:left w:val="none" w:sz="0" w:space="0" w:color="auto"/>
        <w:bottom w:val="none" w:sz="0" w:space="0" w:color="auto"/>
        <w:right w:val="none" w:sz="0" w:space="0" w:color="auto"/>
      </w:divBdr>
      <w:divsChild>
        <w:div w:id="1582524680">
          <w:marLeft w:val="0"/>
          <w:marRight w:val="0"/>
          <w:marTop w:val="0"/>
          <w:marBottom w:val="0"/>
          <w:divBdr>
            <w:top w:val="none" w:sz="0" w:space="0" w:color="auto"/>
            <w:left w:val="none" w:sz="0" w:space="0" w:color="auto"/>
            <w:bottom w:val="none" w:sz="0" w:space="0" w:color="auto"/>
            <w:right w:val="none" w:sz="0" w:space="0" w:color="auto"/>
          </w:divBdr>
          <w:divsChild>
            <w:div w:id="2023774190">
              <w:marLeft w:val="0"/>
              <w:marRight w:val="0"/>
              <w:marTop w:val="0"/>
              <w:marBottom w:val="0"/>
              <w:divBdr>
                <w:top w:val="none" w:sz="0" w:space="0" w:color="auto"/>
                <w:left w:val="none" w:sz="0" w:space="0" w:color="auto"/>
                <w:bottom w:val="none" w:sz="0" w:space="0" w:color="auto"/>
                <w:right w:val="none" w:sz="0" w:space="0" w:color="auto"/>
              </w:divBdr>
              <w:divsChild>
                <w:div w:id="2078504271">
                  <w:marLeft w:val="0"/>
                  <w:marRight w:val="0"/>
                  <w:marTop w:val="0"/>
                  <w:marBottom w:val="0"/>
                  <w:divBdr>
                    <w:top w:val="none" w:sz="0" w:space="0" w:color="auto"/>
                    <w:left w:val="none" w:sz="0" w:space="0" w:color="auto"/>
                    <w:bottom w:val="none" w:sz="0" w:space="0" w:color="auto"/>
                    <w:right w:val="none" w:sz="0" w:space="0" w:color="auto"/>
                  </w:divBdr>
                  <w:divsChild>
                    <w:div w:id="282924680">
                      <w:marLeft w:val="0"/>
                      <w:marRight w:val="0"/>
                      <w:marTop w:val="0"/>
                      <w:marBottom w:val="0"/>
                      <w:divBdr>
                        <w:top w:val="none" w:sz="0" w:space="0" w:color="auto"/>
                        <w:left w:val="none" w:sz="0" w:space="0" w:color="auto"/>
                        <w:bottom w:val="none" w:sz="0" w:space="0" w:color="auto"/>
                        <w:right w:val="none" w:sz="0" w:space="0" w:color="auto"/>
                      </w:divBdr>
                      <w:divsChild>
                        <w:div w:id="566307557">
                          <w:marLeft w:val="0"/>
                          <w:marRight w:val="0"/>
                          <w:marTop w:val="0"/>
                          <w:marBottom w:val="0"/>
                          <w:divBdr>
                            <w:top w:val="none" w:sz="0" w:space="0" w:color="auto"/>
                            <w:left w:val="none" w:sz="0" w:space="0" w:color="auto"/>
                            <w:bottom w:val="none" w:sz="0" w:space="0" w:color="auto"/>
                            <w:right w:val="none" w:sz="0" w:space="0" w:color="auto"/>
                          </w:divBdr>
                          <w:divsChild>
                            <w:div w:id="143814665">
                              <w:marLeft w:val="0"/>
                              <w:marRight w:val="0"/>
                              <w:marTop w:val="0"/>
                              <w:marBottom w:val="0"/>
                              <w:divBdr>
                                <w:top w:val="none" w:sz="0" w:space="0" w:color="auto"/>
                                <w:left w:val="none" w:sz="0" w:space="0" w:color="auto"/>
                                <w:bottom w:val="none" w:sz="0" w:space="0" w:color="auto"/>
                                <w:right w:val="none" w:sz="0" w:space="0" w:color="auto"/>
                              </w:divBdr>
                              <w:divsChild>
                                <w:div w:id="15496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1795">
                          <w:marLeft w:val="0"/>
                          <w:marRight w:val="0"/>
                          <w:marTop w:val="0"/>
                          <w:marBottom w:val="0"/>
                          <w:divBdr>
                            <w:top w:val="none" w:sz="0" w:space="0" w:color="auto"/>
                            <w:left w:val="none" w:sz="0" w:space="0" w:color="auto"/>
                            <w:bottom w:val="none" w:sz="0" w:space="0" w:color="auto"/>
                            <w:right w:val="none" w:sz="0" w:space="0" w:color="auto"/>
                          </w:divBdr>
                          <w:divsChild>
                            <w:div w:id="562057779">
                              <w:marLeft w:val="0"/>
                              <w:marRight w:val="0"/>
                              <w:marTop w:val="0"/>
                              <w:marBottom w:val="0"/>
                              <w:divBdr>
                                <w:top w:val="none" w:sz="0" w:space="0" w:color="auto"/>
                                <w:left w:val="none" w:sz="0" w:space="0" w:color="auto"/>
                                <w:bottom w:val="none" w:sz="0" w:space="0" w:color="auto"/>
                                <w:right w:val="none" w:sz="0" w:space="0" w:color="auto"/>
                              </w:divBdr>
                              <w:divsChild>
                                <w:div w:id="675576124">
                                  <w:marLeft w:val="0"/>
                                  <w:marRight w:val="0"/>
                                  <w:marTop w:val="0"/>
                                  <w:marBottom w:val="0"/>
                                  <w:divBdr>
                                    <w:top w:val="none" w:sz="0" w:space="0" w:color="auto"/>
                                    <w:left w:val="none" w:sz="0" w:space="0" w:color="auto"/>
                                    <w:bottom w:val="none" w:sz="0" w:space="0" w:color="auto"/>
                                    <w:right w:val="none" w:sz="0" w:space="0" w:color="auto"/>
                                  </w:divBdr>
                                  <w:divsChild>
                                    <w:div w:id="357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6172">
              <w:marLeft w:val="0"/>
              <w:marRight w:val="0"/>
              <w:marTop w:val="0"/>
              <w:marBottom w:val="0"/>
              <w:divBdr>
                <w:top w:val="none" w:sz="0" w:space="0" w:color="auto"/>
                <w:left w:val="none" w:sz="0" w:space="0" w:color="auto"/>
                <w:bottom w:val="none" w:sz="0" w:space="0" w:color="auto"/>
                <w:right w:val="none" w:sz="0" w:space="0" w:color="auto"/>
              </w:divBdr>
              <w:divsChild>
                <w:div w:id="2062822989">
                  <w:marLeft w:val="0"/>
                  <w:marRight w:val="0"/>
                  <w:marTop w:val="0"/>
                  <w:marBottom w:val="0"/>
                  <w:divBdr>
                    <w:top w:val="none" w:sz="0" w:space="0" w:color="auto"/>
                    <w:left w:val="none" w:sz="0" w:space="0" w:color="auto"/>
                    <w:bottom w:val="none" w:sz="0" w:space="0" w:color="auto"/>
                    <w:right w:val="none" w:sz="0" w:space="0" w:color="auto"/>
                  </w:divBdr>
                  <w:divsChild>
                    <w:div w:id="18075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2148">
      <w:bodyDiv w:val="1"/>
      <w:marLeft w:val="0"/>
      <w:marRight w:val="0"/>
      <w:marTop w:val="0"/>
      <w:marBottom w:val="0"/>
      <w:divBdr>
        <w:top w:val="none" w:sz="0" w:space="0" w:color="auto"/>
        <w:left w:val="none" w:sz="0" w:space="0" w:color="auto"/>
        <w:bottom w:val="none" w:sz="0" w:space="0" w:color="auto"/>
        <w:right w:val="none" w:sz="0" w:space="0" w:color="auto"/>
      </w:divBdr>
    </w:div>
    <w:div w:id="104035035">
      <w:bodyDiv w:val="1"/>
      <w:marLeft w:val="0"/>
      <w:marRight w:val="0"/>
      <w:marTop w:val="0"/>
      <w:marBottom w:val="0"/>
      <w:divBdr>
        <w:top w:val="none" w:sz="0" w:space="0" w:color="auto"/>
        <w:left w:val="none" w:sz="0" w:space="0" w:color="auto"/>
        <w:bottom w:val="none" w:sz="0" w:space="0" w:color="auto"/>
        <w:right w:val="none" w:sz="0" w:space="0" w:color="auto"/>
      </w:divBdr>
    </w:div>
    <w:div w:id="111364864">
      <w:bodyDiv w:val="1"/>
      <w:marLeft w:val="0"/>
      <w:marRight w:val="0"/>
      <w:marTop w:val="0"/>
      <w:marBottom w:val="0"/>
      <w:divBdr>
        <w:top w:val="none" w:sz="0" w:space="0" w:color="auto"/>
        <w:left w:val="none" w:sz="0" w:space="0" w:color="auto"/>
        <w:bottom w:val="none" w:sz="0" w:space="0" w:color="auto"/>
        <w:right w:val="none" w:sz="0" w:space="0" w:color="auto"/>
      </w:divBdr>
    </w:div>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14105716">
      <w:bodyDiv w:val="1"/>
      <w:marLeft w:val="0"/>
      <w:marRight w:val="0"/>
      <w:marTop w:val="0"/>
      <w:marBottom w:val="0"/>
      <w:divBdr>
        <w:top w:val="none" w:sz="0" w:space="0" w:color="auto"/>
        <w:left w:val="none" w:sz="0" w:space="0" w:color="auto"/>
        <w:bottom w:val="none" w:sz="0" w:space="0" w:color="auto"/>
        <w:right w:val="none" w:sz="0" w:space="0" w:color="auto"/>
      </w:divBdr>
    </w:div>
    <w:div w:id="196089876">
      <w:bodyDiv w:val="1"/>
      <w:marLeft w:val="0"/>
      <w:marRight w:val="0"/>
      <w:marTop w:val="0"/>
      <w:marBottom w:val="0"/>
      <w:divBdr>
        <w:top w:val="none" w:sz="0" w:space="0" w:color="auto"/>
        <w:left w:val="none" w:sz="0" w:space="0" w:color="auto"/>
        <w:bottom w:val="none" w:sz="0" w:space="0" w:color="auto"/>
        <w:right w:val="none" w:sz="0" w:space="0" w:color="auto"/>
      </w:divBdr>
      <w:divsChild>
        <w:div w:id="1325284780">
          <w:marLeft w:val="0"/>
          <w:marRight w:val="0"/>
          <w:marTop w:val="0"/>
          <w:marBottom w:val="0"/>
          <w:divBdr>
            <w:top w:val="none" w:sz="0" w:space="0" w:color="auto"/>
            <w:left w:val="none" w:sz="0" w:space="0" w:color="auto"/>
            <w:bottom w:val="none" w:sz="0" w:space="0" w:color="auto"/>
            <w:right w:val="none" w:sz="0" w:space="0" w:color="auto"/>
          </w:divBdr>
          <w:divsChild>
            <w:div w:id="1047680787">
              <w:marLeft w:val="0"/>
              <w:marRight w:val="0"/>
              <w:marTop w:val="0"/>
              <w:marBottom w:val="0"/>
              <w:divBdr>
                <w:top w:val="none" w:sz="0" w:space="0" w:color="auto"/>
                <w:left w:val="none" w:sz="0" w:space="0" w:color="auto"/>
                <w:bottom w:val="none" w:sz="0" w:space="0" w:color="auto"/>
                <w:right w:val="none" w:sz="0" w:space="0" w:color="auto"/>
              </w:divBdr>
              <w:divsChild>
                <w:div w:id="1571962549">
                  <w:marLeft w:val="0"/>
                  <w:marRight w:val="0"/>
                  <w:marTop w:val="0"/>
                  <w:marBottom w:val="0"/>
                  <w:divBdr>
                    <w:top w:val="none" w:sz="0" w:space="0" w:color="auto"/>
                    <w:left w:val="none" w:sz="0" w:space="0" w:color="auto"/>
                    <w:bottom w:val="none" w:sz="0" w:space="0" w:color="auto"/>
                    <w:right w:val="none" w:sz="0" w:space="0" w:color="auto"/>
                  </w:divBdr>
                  <w:divsChild>
                    <w:div w:id="1657882548">
                      <w:marLeft w:val="0"/>
                      <w:marRight w:val="0"/>
                      <w:marTop w:val="0"/>
                      <w:marBottom w:val="0"/>
                      <w:divBdr>
                        <w:top w:val="none" w:sz="0" w:space="0" w:color="auto"/>
                        <w:left w:val="none" w:sz="0" w:space="0" w:color="auto"/>
                        <w:bottom w:val="none" w:sz="0" w:space="0" w:color="auto"/>
                        <w:right w:val="none" w:sz="0" w:space="0" w:color="auto"/>
                      </w:divBdr>
                      <w:divsChild>
                        <w:div w:id="390857502">
                          <w:marLeft w:val="0"/>
                          <w:marRight w:val="0"/>
                          <w:marTop w:val="0"/>
                          <w:marBottom w:val="0"/>
                          <w:divBdr>
                            <w:top w:val="none" w:sz="0" w:space="0" w:color="auto"/>
                            <w:left w:val="none" w:sz="0" w:space="0" w:color="auto"/>
                            <w:bottom w:val="none" w:sz="0" w:space="0" w:color="auto"/>
                            <w:right w:val="none" w:sz="0" w:space="0" w:color="auto"/>
                          </w:divBdr>
                          <w:divsChild>
                            <w:div w:id="746851553">
                              <w:marLeft w:val="0"/>
                              <w:marRight w:val="0"/>
                              <w:marTop w:val="0"/>
                              <w:marBottom w:val="0"/>
                              <w:divBdr>
                                <w:top w:val="none" w:sz="0" w:space="0" w:color="auto"/>
                                <w:left w:val="none" w:sz="0" w:space="0" w:color="auto"/>
                                <w:bottom w:val="none" w:sz="0" w:space="0" w:color="auto"/>
                                <w:right w:val="none" w:sz="0" w:space="0" w:color="auto"/>
                              </w:divBdr>
                              <w:divsChild>
                                <w:div w:id="219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9431">
                          <w:marLeft w:val="0"/>
                          <w:marRight w:val="0"/>
                          <w:marTop w:val="0"/>
                          <w:marBottom w:val="0"/>
                          <w:divBdr>
                            <w:top w:val="none" w:sz="0" w:space="0" w:color="auto"/>
                            <w:left w:val="none" w:sz="0" w:space="0" w:color="auto"/>
                            <w:bottom w:val="none" w:sz="0" w:space="0" w:color="auto"/>
                            <w:right w:val="none" w:sz="0" w:space="0" w:color="auto"/>
                          </w:divBdr>
                          <w:divsChild>
                            <w:div w:id="1827358813">
                              <w:marLeft w:val="0"/>
                              <w:marRight w:val="0"/>
                              <w:marTop w:val="0"/>
                              <w:marBottom w:val="0"/>
                              <w:divBdr>
                                <w:top w:val="none" w:sz="0" w:space="0" w:color="auto"/>
                                <w:left w:val="none" w:sz="0" w:space="0" w:color="auto"/>
                                <w:bottom w:val="none" w:sz="0" w:space="0" w:color="auto"/>
                                <w:right w:val="none" w:sz="0" w:space="0" w:color="auto"/>
                              </w:divBdr>
                              <w:divsChild>
                                <w:div w:id="988247441">
                                  <w:marLeft w:val="0"/>
                                  <w:marRight w:val="0"/>
                                  <w:marTop w:val="0"/>
                                  <w:marBottom w:val="0"/>
                                  <w:divBdr>
                                    <w:top w:val="none" w:sz="0" w:space="0" w:color="auto"/>
                                    <w:left w:val="none" w:sz="0" w:space="0" w:color="auto"/>
                                    <w:bottom w:val="none" w:sz="0" w:space="0" w:color="auto"/>
                                    <w:right w:val="none" w:sz="0" w:space="0" w:color="auto"/>
                                  </w:divBdr>
                                  <w:divsChild>
                                    <w:div w:id="8266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94527">
              <w:marLeft w:val="0"/>
              <w:marRight w:val="0"/>
              <w:marTop w:val="0"/>
              <w:marBottom w:val="0"/>
              <w:divBdr>
                <w:top w:val="none" w:sz="0" w:space="0" w:color="auto"/>
                <w:left w:val="none" w:sz="0" w:space="0" w:color="auto"/>
                <w:bottom w:val="none" w:sz="0" w:space="0" w:color="auto"/>
                <w:right w:val="none" w:sz="0" w:space="0" w:color="auto"/>
              </w:divBdr>
              <w:divsChild>
                <w:div w:id="668798369">
                  <w:marLeft w:val="0"/>
                  <w:marRight w:val="0"/>
                  <w:marTop w:val="0"/>
                  <w:marBottom w:val="0"/>
                  <w:divBdr>
                    <w:top w:val="none" w:sz="0" w:space="0" w:color="auto"/>
                    <w:left w:val="none" w:sz="0" w:space="0" w:color="auto"/>
                    <w:bottom w:val="none" w:sz="0" w:space="0" w:color="auto"/>
                    <w:right w:val="none" w:sz="0" w:space="0" w:color="auto"/>
                  </w:divBdr>
                  <w:divsChild>
                    <w:div w:id="42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4391">
      <w:bodyDiv w:val="1"/>
      <w:marLeft w:val="0"/>
      <w:marRight w:val="0"/>
      <w:marTop w:val="0"/>
      <w:marBottom w:val="0"/>
      <w:divBdr>
        <w:top w:val="none" w:sz="0" w:space="0" w:color="auto"/>
        <w:left w:val="none" w:sz="0" w:space="0" w:color="auto"/>
        <w:bottom w:val="none" w:sz="0" w:space="0" w:color="auto"/>
        <w:right w:val="none" w:sz="0" w:space="0" w:color="auto"/>
      </w:divBdr>
    </w:div>
    <w:div w:id="221716319">
      <w:bodyDiv w:val="1"/>
      <w:marLeft w:val="0"/>
      <w:marRight w:val="0"/>
      <w:marTop w:val="0"/>
      <w:marBottom w:val="0"/>
      <w:divBdr>
        <w:top w:val="none" w:sz="0" w:space="0" w:color="auto"/>
        <w:left w:val="none" w:sz="0" w:space="0" w:color="auto"/>
        <w:bottom w:val="none" w:sz="0" w:space="0" w:color="auto"/>
        <w:right w:val="none" w:sz="0" w:space="0" w:color="auto"/>
      </w:divBdr>
    </w:div>
    <w:div w:id="232853969">
      <w:bodyDiv w:val="1"/>
      <w:marLeft w:val="0"/>
      <w:marRight w:val="0"/>
      <w:marTop w:val="0"/>
      <w:marBottom w:val="0"/>
      <w:divBdr>
        <w:top w:val="none" w:sz="0" w:space="0" w:color="auto"/>
        <w:left w:val="none" w:sz="0" w:space="0" w:color="auto"/>
        <w:bottom w:val="none" w:sz="0" w:space="0" w:color="auto"/>
        <w:right w:val="none" w:sz="0" w:space="0" w:color="auto"/>
      </w:divBdr>
    </w:div>
    <w:div w:id="251471390">
      <w:bodyDiv w:val="1"/>
      <w:marLeft w:val="0"/>
      <w:marRight w:val="0"/>
      <w:marTop w:val="0"/>
      <w:marBottom w:val="0"/>
      <w:divBdr>
        <w:top w:val="none" w:sz="0" w:space="0" w:color="auto"/>
        <w:left w:val="none" w:sz="0" w:space="0" w:color="auto"/>
        <w:bottom w:val="none" w:sz="0" w:space="0" w:color="auto"/>
        <w:right w:val="none" w:sz="0" w:space="0" w:color="auto"/>
      </w:divBdr>
    </w:div>
    <w:div w:id="259611168">
      <w:bodyDiv w:val="1"/>
      <w:marLeft w:val="0"/>
      <w:marRight w:val="0"/>
      <w:marTop w:val="0"/>
      <w:marBottom w:val="0"/>
      <w:divBdr>
        <w:top w:val="none" w:sz="0" w:space="0" w:color="auto"/>
        <w:left w:val="none" w:sz="0" w:space="0" w:color="auto"/>
        <w:bottom w:val="none" w:sz="0" w:space="0" w:color="auto"/>
        <w:right w:val="none" w:sz="0" w:space="0" w:color="auto"/>
      </w:divBdr>
    </w:div>
    <w:div w:id="314334025">
      <w:bodyDiv w:val="1"/>
      <w:marLeft w:val="0"/>
      <w:marRight w:val="0"/>
      <w:marTop w:val="0"/>
      <w:marBottom w:val="0"/>
      <w:divBdr>
        <w:top w:val="none" w:sz="0" w:space="0" w:color="auto"/>
        <w:left w:val="none" w:sz="0" w:space="0" w:color="auto"/>
        <w:bottom w:val="none" w:sz="0" w:space="0" w:color="auto"/>
        <w:right w:val="none" w:sz="0" w:space="0" w:color="auto"/>
      </w:divBdr>
    </w:div>
    <w:div w:id="316082312">
      <w:bodyDiv w:val="1"/>
      <w:marLeft w:val="0"/>
      <w:marRight w:val="0"/>
      <w:marTop w:val="0"/>
      <w:marBottom w:val="0"/>
      <w:divBdr>
        <w:top w:val="none" w:sz="0" w:space="0" w:color="auto"/>
        <w:left w:val="none" w:sz="0" w:space="0" w:color="auto"/>
        <w:bottom w:val="none" w:sz="0" w:space="0" w:color="auto"/>
        <w:right w:val="none" w:sz="0" w:space="0" w:color="auto"/>
      </w:divBdr>
    </w:div>
    <w:div w:id="323243487">
      <w:bodyDiv w:val="1"/>
      <w:marLeft w:val="0"/>
      <w:marRight w:val="0"/>
      <w:marTop w:val="0"/>
      <w:marBottom w:val="0"/>
      <w:divBdr>
        <w:top w:val="none" w:sz="0" w:space="0" w:color="auto"/>
        <w:left w:val="none" w:sz="0" w:space="0" w:color="auto"/>
        <w:bottom w:val="none" w:sz="0" w:space="0" w:color="auto"/>
        <w:right w:val="none" w:sz="0" w:space="0" w:color="auto"/>
      </w:divBdr>
    </w:div>
    <w:div w:id="328603594">
      <w:bodyDiv w:val="1"/>
      <w:marLeft w:val="0"/>
      <w:marRight w:val="0"/>
      <w:marTop w:val="0"/>
      <w:marBottom w:val="0"/>
      <w:divBdr>
        <w:top w:val="none" w:sz="0" w:space="0" w:color="auto"/>
        <w:left w:val="none" w:sz="0" w:space="0" w:color="auto"/>
        <w:bottom w:val="none" w:sz="0" w:space="0" w:color="auto"/>
        <w:right w:val="none" w:sz="0" w:space="0" w:color="auto"/>
      </w:divBdr>
    </w:div>
    <w:div w:id="343215184">
      <w:bodyDiv w:val="1"/>
      <w:marLeft w:val="0"/>
      <w:marRight w:val="0"/>
      <w:marTop w:val="0"/>
      <w:marBottom w:val="0"/>
      <w:divBdr>
        <w:top w:val="none" w:sz="0" w:space="0" w:color="auto"/>
        <w:left w:val="none" w:sz="0" w:space="0" w:color="auto"/>
        <w:bottom w:val="none" w:sz="0" w:space="0" w:color="auto"/>
        <w:right w:val="none" w:sz="0" w:space="0" w:color="auto"/>
      </w:divBdr>
    </w:div>
    <w:div w:id="390807466">
      <w:bodyDiv w:val="1"/>
      <w:marLeft w:val="0"/>
      <w:marRight w:val="0"/>
      <w:marTop w:val="0"/>
      <w:marBottom w:val="0"/>
      <w:divBdr>
        <w:top w:val="none" w:sz="0" w:space="0" w:color="auto"/>
        <w:left w:val="none" w:sz="0" w:space="0" w:color="auto"/>
        <w:bottom w:val="none" w:sz="0" w:space="0" w:color="auto"/>
        <w:right w:val="none" w:sz="0" w:space="0" w:color="auto"/>
      </w:divBdr>
    </w:div>
    <w:div w:id="394860235">
      <w:bodyDiv w:val="1"/>
      <w:marLeft w:val="0"/>
      <w:marRight w:val="0"/>
      <w:marTop w:val="0"/>
      <w:marBottom w:val="0"/>
      <w:divBdr>
        <w:top w:val="none" w:sz="0" w:space="0" w:color="auto"/>
        <w:left w:val="none" w:sz="0" w:space="0" w:color="auto"/>
        <w:bottom w:val="none" w:sz="0" w:space="0" w:color="auto"/>
        <w:right w:val="none" w:sz="0" w:space="0" w:color="auto"/>
      </w:divBdr>
    </w:div>
    <w:div w:id="437607726">
      <w:bodyDiv w:val="1"/>
      <w:marLeft w:val="0"/>
      <w:marRight w:val="0"/>
      <w:marTop w:val="0"/>
      <w:marBottom w:val="0"/>
      <w:divBdr>
        <w:top w:val="none" w:sz="0" w:space="0" w:color="auto"/>
        <w:left w:val="none" w:sz="0" w:space="0" w:color="auto"/>
        <w:bottom w:val="none" w:sz="0" w:space="0" w:color="auto"/>
        <w:right w:val="none" w:sz="0" w:space="0" w:color="auto"/>
      </w:divBdr>
    </w:div>
    <w:div w:id="464666818">
      <w:bodyDiv w:val="1"/>
      <w:marLeft w:val="0"/>
      <w:marRight w:val="0"/>
      <w:marTop w:val="0"/>
      <w:marBottom w:val="0"/>
      <w:divBdr>
        <w:top w:val="none" w:sz="0" w:space="0" w:color="auto"/>
        <w:left w:val="none" w:sz="0" w:space="0" w:color="auto"/>
        <w:bottom w:val="none" w:sz="0" w:space="0" w:color="auto"/>
        <w:right w:val="none" w:sz="0" w:space="0" w:color="auto"/>
      </w:divBdr>
    </w:div>
    <w:div w:id="488907924">
      <w:bodyDiv w:val="1"/>
      <w:marLeft w:val="0"/>
      <w:marRight w:val="0"/>
      <w:marTop w:val="0"/>
      <w:marBottom w:val="0"/>
      <w:divBdr>
        <w:top w:val="none" w:sz="0" w:space="0" w:color="auto"/>
        <w:left w:val="none" w:sz="0" w:space="0" w:color="auto"/>
        <w:bottom w:val="none" w:sz="0" w:space="0" w:color="auto"/>
        <w:right w:val="none" w:sz="0" w:space="0" w:color="auto"/>
      </w:divBdr>
    </w:div>
    <w:div w:id="488986139">
      <w:bodyDiv w:val="1"/>
      <w:marLeft w:val="0"/>
      <w:marRight w:val="0"/>
      <w:marTop w:val="0"/>
      <w:marBottom w:val="0"/>
      <w:divBdr>
        <w:top w:val="none" w:sz="0" w:space="0" w:color="auto"/>
        <w:left w:val="none" w:sz="0" w:space="0" w:color="auto"/>
        <w:bottom w:val="none" w:sz="0" w:space="0" w:color="auto"/>
        <w:right w:val="none" w:sz="0" w:space="0" w:color="auto"/>
      </w:divBdr>
      <w:divsChild>
        <w:div w:id="220017358">
          <w:marLeft w:val="0"/>
          <w:marRight w:val="0"/>
          <w:marTop w:val="0"/>
          <w:marBottom w:val="0"/>
          <w:divBdr>
            <w:top w:val="none" w:sz="0" w:space="0" w:color="auto"/>
            <w:left w:val="none" w:sz="0" w:space="0" w:color="auto"/>
            <w:bottom w:val="none" w:sz="0" w:space="0" w:color="auto"/>
            <w:right w:val="none" w:sz="0" w:space="0" w:color="auto"/>
          </w:divBdr>
          <w:divsChild>
            <w:div w:id="380907737">
              <w:marLeft w:val="0"/>
              <w:marRight w:val="0"/>
              <w:marTop w:val="0"/>
              <w:marBottom w:val="0"/>
              <w:divBdr>
                <w:top w:val="none" w:sz="0" w:space="0" w:color="auto"/>
                <w:left w:val="none" w:sz="0" w:space="0" w:color="auto"/>
                <w:bottom w:val="none" w:sz="0" w:space="0" w:color="auto"/>
                <w:right w:val="none" w:sz="0" w:space="0" w:color="auto"/>
              </w:divBdr>
              <w:divsChild>
                <w:div w:id="688877176">
                  <w:marLeft w:val="0"/>
                  <w:marRight w:val="0"/>
                  <w:marTop w:val="0"/>
                  <w:marBottom w:val="0"/>
                  <w:divBdr>
                    <w:top w:val="none" w:sz="0" w:space="0" w:color="auto"/>
                    <w:left w:val="none" w:sz="0" w:space="0" w:color="auto"/>
                    <w:bottom w:val="none" w:sz="0" w:space="0" w:color="auto"/>
                    <w:right w:val="none" w:sz="0" w:space="0" w:color="auto"/>
                  </w:divBdr>
                  <w:divsChild>
                    <w:div w:id="1876651100">
                      <w:marLeft w:val="0"/>
                      <w:marRight w:val="0"/>
                      <w:marTop w:val="0"/>
                      <w:marBottom w:val="0"/>
                      <w:divBdr>
                        <w:top w:val="none" w:sz="0" w:space="0" w:color="auto"/>
                        <w:left w:val="none" w:sz="0" w:space="0" w:color="auto"/>
                        <w:bottom w:val="none" w:sz="0" w:space="0" w:color="auto"/>
                        <w:right w:val="none" w:sz="0" w:space="0" w:color="auto"/>
                      </w:divBdr>
                      <w:divsChild>
                        <w:div w:id="467479880">
                          <w:marLeft w:val="0"/>
                          <w:marRight w:val="0"/>
                          <w:marTop w:val="0"/>
                          <w:marBottom w:val="0"/>
                          <w:divBdr>
                            <w:top w:val="none" w:sz="0" w:space="0" w:color="auto"/>
                            <w:left w:val="none" w:sz="0" w:space="0" w:color="auto"/>
                            <w:bottom w:val="none" w:sz="0" w:space="0" w:color="auto"/>
                            <w:right w:val="none" w:sz="0" w:space="0" w:color="auto"/>
                          </w:divBdr>
                          <w:divsChild>
                            <w:div w:id="1927616928">
                              <w:marLeft w:val="0"/>
                              <w:marRight w:val="0"/>
                              <w:marTop w:val="0"/>
                              <w:marBottom w:val="0"/>
                              <w:divBdr>
                                <w:top w:val="none" w:sz="0" w:space="0" w:color="auto"/>
                                <w:left w:val="none" w:sz="0" w:space="0" w:color="auto"/>
                                <w:bottom w:val="none" w:sz="0" w:space="0" w:color="auto"/>
                                <w:right w:val="none" w:sz="0" w:space="0" w:color="auto"/>
                              </w:divBdr>
                              <w:divsChild>
                                <w:div w:id="4890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6756">
                          <w:marLeft w:val="0"/>
                          <w:marRight w:val="0"/>
                          <w:marTop w:val="0"/>
                          <w:marBottom w:val="0"/>
                          <w:divBdr>
                            <w:top w:val="none" w:sz="0" w:space="0" w:color="auto"/>
                            <w:left w:val="none" w:sz="0" w:space="0" w:color="auto"/>
                            <w:bottom w:val="none" w:sz="0" w:space="0" w:color="auto"/>
                            <w:right w:val="none" w:sz="0" w:space="0" w:color="auto"/>
                          </w:divBdr>
                          <w:divsChild>
                            <w:div w:id="2105103315">
                              <w:marLeft w:val="0"/>
                              <w:marRight w:val="0"/>
                              <w:marTop w:val="0"/>
                              <w:marBottom w:val="0"/>
                              <w:divBdr>
                                <w:top w:val="none" w:sz="0" w:space="0" w:color="auto"/>
                                <w:left w:val="none" w:sz="0" w:space="0" w:color="auto"/>
                                <w:bottom w:val="none" w:sz="0" w:space="0" w:color="auto"/>
                                <w:right w:val="none" w:sz="0" w:space="0" w:color="auto"/>
                              </w:divBdr>
                              <w:divsChild>
                                <w:div w:id="2055692331">
                                  <w:marLeft w:val="0"/>
                                  <w:marRight w:val="0"/>
                                  <w:marTop w:val="0"/>
                                  <w:marBottom w:val="0"/>
                                  <w:divBdr>
                                    <w:top w:val="none" w:sz="0" w:space="0" w:color="auto"/>
                                    <w:left w:val="none" w:sz="0" w:space="0" w:color="auto"/>
                                    <w:bottom w:val="none" w:sz="0" w:space="0" w:color="auto"/>
                                    <w:right w:val="none" w:sz="0" w:space="0" w:color="auto"/>
                                  </w:divBdr>
                                  <w:divsChild>
                                    <w:div w:id="1042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15780">
              <w:marLeft w:val="0"/>
              <w:marRight w:val="0"/>
              <w:marTop w:val="0"/>
              <w:marBottom w:val="0"/>
              <w:divBdr>
                <w:top w:val="none" w:sz="0" w:space="0" w:color="auto"/>
                <w:left w:val="none" w:sz="0" w:space="0" w:color="auto"/>
                <w:bottom w:val="none" w:sz="0" w:space="0" w:color="auto"/>
                <w:right w:val="none" w:sz="0" w:space="0" w:color="auto"/>
              </w:divBdr>
              <w:divsChild>
                <w:div w:id="1639846157">
                  <w:marLeft w:val="0"/>
                  <w:marRight w:val="0"/>
                  <w:marTop w:val="0"/>
                  <w:marBottom w:val="0"/>
                  <w:divBdr>
                    <w:top w:val="none" w:sz="0" w:space="0" w:color="auto"/>
                    <w:left w:val="none" w:sz="0" w:space="0" w:color="auto"/>
                    <w:bottom w:val="none" w:sz="0" w:space="0" w:color="auto"/>
                    <w:right w:val="none" w:sz="0" w:space="0" w:color="auto"/>
                  </w:divBdr>
                  <w:divsChild>
                    <w:div w:id="2048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790">
      <w:bodyDiv w:val="1"/>
      <w:marLeft w:val="0"/>
      <w:marRight w:val="0"/>
      <w:marTop w:val="0"/>
      <w:marBottom w:val="0"/>
      <w:divBdr>
        <w:top w:val="none" w:sz="0" w:space="0" w:color="auto"/>
        <w:left w:val="none" w:sz="0" w:space="0" w:color="auto"/>
        <w:bottom w:val="none" w:sz="0" w:space="0" w:color="auto"/>
        <w:right w:val="none" w:sz="0" w:space="0" w:color="auto"/>
      </w:divBdr>
    </w:div>
    <w:div w:id="504440912">
      <w:bodyDiv w:val="1"/>
      <w:marLeft w:val="0"/>
      <w:marRight w:val="0"/>
      <w:marTop w:val="0"/>
      <w:marBottom w:val="0"/>
      <w:divBdr>
        <w:top w:val="none" w:sz="0" w:space="0" w:color="auto"/>
        <w:left w:val="none" w:sz="0" w:space="0" w:color="auto"/>
        <w:bottom w:val="none" w:sz="0" w:space="0" w:color="auto"/>
        <w:right w:val="none" w:sz="0" w:space="0" w:color="auto"/>
      </w:divBdr>
    </w:div>
    <w:div w:id="532809468">
      <w:bodyDiv w:val="1"/>
      <w:marLeft w:val="0"/>
      <w:marRight w:val="0"/>
      <w:marTop w:val="0"/>
      <w:marBottom w:val="0"/>
      <w:divBdr>
        <w:top w:val="none" w:sz="0" w:space="0" w:color="auto"/>
        <w:left w:val="none" w:sz="0" w:space="0" w:color="auto"/>
        <w:bottom w:val="none" w:sz="0" w:space="0" w:color="auto"/>
        <w:right w:val="none" w:sz="0" w:space="0" w:color="auto"/>
      </w:divBdr>
    </w:div>
    <w:div w:id="568804068">
      <w:bodyDiv w:val="1"/>
      <w:marLeft w:val="0"/>
      <w:marRight w:val="0"/>
      <w:marTop w:val="0"/>
      <w:marBottom w:val="0"/>
      <w:divBdr>
        <w:top w:val="none" w:sz="0" w:space="0" w:color="auto"/>
        <w:left w:val="none" w:sz="0" w:space="0" w:color="auto"/>
        <w:bottom w:val="none" w:sz="0" w:space="0" w:color="auto"/>
        <w:right w:val="none" w:sz="0" w:space="0" w:color="auto"/>
      </w:divBdr>
    </w:div>
    <w:div w:id="578173998">
      <w:bodyDiv w:val="1"/>
      <w:marLeft w:val="0"/>
      <w:marRight w:val="0"/>
      <w:marTop w:val="0"/>
      <w:marBottom w:val="0"/>
      <w:divBdr>
        <w:top w:val="none" w:sz="0" w:space="0" w:color="auto"/>
        <w:left w:val="none" w:sz="0" w:space="0" w:color="auto"/>
        <w:bottom w:val="none" w:sz="0" w:space="0" w:color="auto"/>
        <w:right w:val="none" w:sz="0" w:space="0" w:color="auto"/>
      </w:divBdr>
    </w:div>
    <w:div w:id="622270726">
      <w:bodyDiv w:val="1"/>
      <w:marLeft w:val="0"/>
      <w:marRight w:val="0"/>
      <w:marTop w:val="0"/>
      <w:marBottom w:val="0"/>
      <w:divBdr>
        <w:top w:val="none" w:sz="0" w:space="0" w:color="auto"/>
        <w:left w:val="none" w:sz="0" w:space="0" w:color="auto"/>
        <w:bottom w:val="none" w:sz="0" w:space="0" w:color="auto"/>
        <w:right w:val="none" w:sz="0" w:space="0" w:color="auto"/>
      </w:divBdr>
    </w:div>
    <w:div w:id="624850584">
      <w:bodyDiv w:val="1"/>
      <w:marLeft w:val="0"/>
      <w:marRight w:val="0"/>
      <w:marTop w:val="0"/>
      <w:marBottom w:val="0"/>
      <w:divBdr>
        <w:top w:val="none" w:sz="0" w:space="0" w:color="auto"/>
        <w:left w:val="none" w:sz="0" w:space="0" w:color="auto"/>
        <w:bottom w:val="none" w:sz="0" w:space="0" w:color="auto"/>
        <w:right w:val="none" w:sz="0" w:space="0" w:color="auto"/>
      </w:divBdr>
      <w:divsChild>
        <w:div w:id="1207838700">
          <w:marLeft w:val="0"/>
          <w:marRight w:val="0"/>
          <w:marTop w:val="0"/>
          <w:marBottom w:val="0"/>
          <w:divBdr>
            <w:top w:val="none" w:sz="0" w:space="0" w:color="auto"/>
            <w:left w:val="none" w:sz="0" w:space="0" w:color="auto"/>
            <w:bottom w:val="none" w:sz="0" w:space="0" w:color="auto"/>
            <w:right w:val="none" w:sz="0" w:space="0" w:color="auto"/>
          </w:divBdr>
          <w:divsChild>
            <w:div w:id="1532181105">
              <w:marLeft w:val="0"/>
              <w:marRight w:val="0"/>
              <w:marTop w:val="0"/>
              <w:marBottom w:val="0"/>
              <w:divBdr>
                <w:top w:val="none" w:sz="0" w:space="0" w:color="auto"/>
                <w:left w:val="none" w:sz="0" w:space="0" w:color="auto"/>
                <w:bottom w:val="none" w:sz="0" w:space="0" w:color="auto"/>
                <w:right w:val="none" w:sz="0" w:space="0" w:color="auto"/>
              </w:divBdr>
              <w:divsChild>
                <w:div w:id="450250339">
                  <w:marLeft w:val="0"/>
                  <w:marRight w:val="0"/>
                  <w:marTop w:val="0"/>
                  <w:marBottom w:val="0"/>
                  <w:divBdr>
                    <w:top w:val="none" w:sz="0" w:space="0" w:color="auto"/>
                    <w:left w:val="none" w:sz="0" w:space="0" w:color="auto"/>
                    <w:bottom w:val="none" w:sz="0" w:space="0" w:color="auto"/>
                    <w:right w:val="none" w:sz="0" w:space="0" w:color="auto"/>
                  </w:divBdr>
                  <w:divsChild>
                    <w:div w:id="1161194074">
                      <w:marLeft w:val="0"/>
                      <w:marRight w:val="0"/>
                      <w:marTop w:val="0"/>
                      <w:marBottom w:val="0"/>
                      <w:divBdr>
                        <w:top w:val="none" w:sz="0" w:space="0" w:color="auto"/>
                        <w:left w:val="none" w:sz="0" w:space="0" w:color="auto"/>
                        <w:bottom w:val="none" w:sz="0" w:space="0" w:color="auto"/>
                        <w:right w:val="none" w:sz="0" w:space="0" w:color="auto"/>
                      </w:divBdr>
                      <w:divsChild>
                        <w:div w:id="1373189101">
                          <w:marLeft w:val="0"/>
                          <w:marRight w:val="0"/>
                          <w:marTop w:val="0"/>
                          <w:marBottom w:val="0"/>
                          <w:divBdr>
                            <w:top w:val="none" w:sz="0" w:space="0" w:color="auto"/>
                            <w:left w:val="none" w:sz="0" w:space="0" w:color="auto"/>
                            <w:bottom w:val="none" w:sz="0" w:space="0" w:color="auto"/>
                            <w:right w:val="none" w:sz="0" w:space="0" w:color="auto"/>
                          </w:divBdr>
                          <w:divsChild>
                            <w:div w:id="1200359527">
                              <w:marLeft w:val="0"/>
                              <w:marRight w:val="0"/>
                              <w:marTop w:val="0"/>
                              <w:marBottom w:val="0"/>
                              <w:divBdr>
                                <w:top w:val="none" w:sz="0" w:space="0" w:color="auto"/>
                                <w:left w:val="none" w:sz="0" w:space="0" w:color="auto"/>
                                <w:bottom w:val="none" w:sz="0" w:space="0" w:color="auto"/>
                                <w:right w:val="none" w:sz="0" w:space="0" w:color="auto"/>
                              </w:divBdr>
                              <w:divsChild>
                                <w:div w:id="1012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9096">
                          <w:marLeft w:val="0"/>
                          <w:marRight w:val="0"/>
                          <w:marTop w:val="0"/>
                          <w:marBottom w:val="0"/>
                          <w:divBdr>
                            <w:top w:val="none" w:sz="0" w:space="0" w:color="auto"/>
                            <w:left w:val="none" w:sz="0" w:space="0" w:color="auto"/>
                            <w:bottom w:val="none" w:sz="0" w:space="0" w:color="auto"/>
                            <w:right w:val="none" w:sz="0" w:space="0" w:color="auto"/>
                          </w:divBdr>
                          <w:divsChild>
                            <w:div w:id="1130325110">
                              <w:marLeft w:val="0"/>
                              <w:marRight w:val="0"/>
                              <w:marTop w:val="0"/>
                              <w:marBottom w:val="0"/>
                              <w:divBdr>
                                <w:top w:val="none" w:sz="0" w:space="0" w:color="auto"/>
                                <w:left w:val="none" w:sz="0" w:space="0" w:color="auto"/>
                                <w:bottom w:val="none" w:sz="0" w:space="0" w:color="auto"/>
                                <w:right w:val="none" w:sz="0" w:space="0" w:color="auto"/>
                              </w:divBdr>
                              <w:divsChild>
                                <w:div w:id="1467429553">
                                  <w:marLeft w:val="0"/>
                                  <w:marRight w:val="0"/>
                                  <w:marTop w:val="0"/>
                                  <w:marBottom w:val="0"/>
                                  <w:divBdr>
                                    <w:top w:val="none" w:sz="0" w:space="0" w:color="auto"/>
                                    <w:left w:val="none" w:sz="0" w:space="0" w:color="auto"/>
                                    <w:bottom w:val="none" w:sz="0" w:space="0" w:color="auto"/>
                                    <w:right w:val="none" w:sz="0" w:space="0" w:color="auto"/>
                                  </w:divBdr>
                                  <w:divsChild>
                                    <w:div w:id="6517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85277">
              <w:marLeft w:val="0"/>
              <w:marRight w:val="0"/>
              <w:marTop w:val="0"/>
              <w:marBottom w:val="0"/>
              <w:divBdr>
                <w:top w:val="none" w:sz="0" w:space="0" w:color="auto"/>
                <w:left w:val="none" w:sz="0" w:space="0" w:color="auto"/>
                <w:bottom w:val="none" w:sz="0" w:space="0" w:color="auto"/>
                <w:right w:val="none" w:sz="0" w:space="0" w:color="auto"/>
              </w:divBdr>
              <w:divsChild>
                <w:div w:id="996376325">
                  <w:marLeft w:val="0"/>
                  <w:marRight w:val="0"/>
                  <w:marTop w:val="0"/>
                  <w:marBottom w:val="0"/>
                  <w:divBdr>
                    <w:top w:val="none" w:sz="0" w:space="0" w:color="auto"/>
                    <w:left w:val="none" w:sz="0" w:space="0" w:color="auto"/>
                    <w:bottom w:val="none" w:sz="0" w:space="0" w:color="auto"/>
                    <w:right w:val="none" w:sz="0" w:space="0" w:color="auto"/>
                  </w:divBdr>
                  <w:divsChild>
                    <w:div w:id="2160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0782">
      <w:bodyDiv w:val="1"/>
      <w:marLeft w:val="0"/>
      <w:marRight w:val="0"/>
      <w:marTop w:val="0"/>
      <w:marBottom w:val="0"/>
      <w:divBdr>
        <w:top w:val="none" w:sz="0" w:space="0" w:color="auto"/>
        <w:left w:val="none" w:sz="0" w:space="0" w:color="auto"/>
        <w:bottom w:val="none" w:sz="0" w:space="0" w:color="auto"/>
        <w:right w:val="none" w:sz="0" w:space="0" w:color="auto"/>
      </w:divBdr>
    </w:div>
    <w:div w:id="725253213">
      <w:bodyDiv w:val="1"/>
      <w:marLeft w:val="0"/>
      <w:marRight w:val="0"/>
      <w:marTop w:val="0"/>
      <w:marBottom w:val="0"/>
      <w:divBdr>
        <w:top w:val="none" w:sz="0" w:space="0" w:color="auto"/>
        <w:left w:val="none" w:sz="0" w:space="0" w:color="auto"/>
        <w:bottom w:val="none" w:sz="0" w:space="0" w:color="auto"/>
        <w:right w:val="none" w:sz="0" w:space="0" w:color="auto"/>
      </w:divBdr>
    </w:div>
    <w:div w:id="737556495">
      <w:bodyDiv w:val="1"/>
      <w:marLeft w:val="0"/>
      <w:marRight w:val="0"/>
      <w:marTop w:val="0"/>
      <w:marBottom w:val="0"/>
      <w:divBdr>
        <w:top w:val="none" w:sz="0" w:space="0" w:color="auto"/>
        <w:left w:val="none" w:sz="0" w:space="0" w:color="auto"/>
        <w:bottom w:val="none" w:sz="0" w:space="0" w:color="auto"/>
        <w:right w:val="none" w:sz="0" w:space="0" w:color="auto"/>
      </w:divBdr>
    </w:div>
    <w:div w:id="763039794">
      <w:bodyDiv w:val="1"/>
      <w:marLeft w:val="0"/>
      <w:marRight w:val="0"/>
      <w:marTop w:val="0"/>
      <w:marBottom w:val="0"/>
      <w:divBdr>
        <w:top w:val="none" w:sz="0" w:space="0" w:color="auto"/>
        <w:left w:val="none" w:sz="0" w:space="0" w:color="auto"/>
        <w:bottom w:val="none" w:sz="0" w:space="0" w:color="auto"/>
        <w:right w:val="none" w:sz="0" w:space="0" w:color="auto"/>
      </w:divBdr>
    </w:div>
    <w:div w:id="765617802">
      <w:bodyDiv w:val="1"/>
      <w:marLeft w:val="0"/>
      <w:marRight w:val="0"/>
      <w:marTop w:val="0"/>
      <w:marBottom w:val="0"/>
      <w:divBdr>
        <w:top w:val="none" w:sz="0" w:space="0" w:color="auto"/>
        <w:left w:val="none" w:sz="0" w:space="0" w:color="auto"/>
        <w:bottom w:val="none" w:sz="0" w:space="0" w:color="auto"/>
        <w:right w:val="none" w:sz="0" w:space="0" w:color="auto"/>
      </w:divBdr>
    </w:div>
    <w:div w:id="787163433">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183990">
      <w:bodyDiv w:val="1"/>
      <w:marLeft w:val="0"/>
      <w:marRight w:val="0"/>
      <w:marTop w:val="0"/>
      <w:marBottom w:val="0"/>
      <w:divBdr>
        <w:top w:val="none" w:sz="0" w:space="0" w:color="auto"/>
        <w:left w:val="none" w:sz="0" w:space="0" w:color="auto"/>
        <w:bottom w:val="none" w:sz="0" w:space="0" w:color="auto"/>
        <w:right w:val="none" w:sz="0" w:space="0" w:color="auto"/>
      </w:divBdr>
    </w:div>
    <w:div w:id="804467870">
      <w:bodyDiv w:val="1"/>
      <w:marLeft w:val="0"/>
      <w:marRight w:val="0"/>
      <w:marTop w:val="0"/>
      <w:marBottom w:val="0"/>
      <w:divBdr>
        <w:top w:val="none" w:sz="0" w:space="0" w:color="auto"/>
        <w:left w:val="none" w:sz="0" w:space="0" w:color="auto"/>
        <w:bottom w:val="none" w:sz="0" w:space="0" w:color="auto"/>
        <w:right w:val="none" w:sz="0" w:space="0" w:color="auto"/>
      </w:divBdr>
    </w:div>
    <w:div w:id="902523584">
      <w:bodyDiv w:val="1"/>
      <w:marLeft w:val="0"/>
      <w:marRight w:val="0"/>
      <w:marTop w:val="0"/>
      <w:marBottom w:val="0"/>
      <w:divBdr>
        <w:top w:val="none" w:sz="0" w:space="0" w:color="auto"/>
        <w:left w:val="none" w:sz="0" w:space="0" w:color="auto"/>
        <w:bottom w:val="none" w:sz="0" w:space="0" w:color="auto"/>
        <w:right w:val="none" w:sz="0" w:space="0" w:color="auto"/>
      </w:divBdr>
    </w:div>
    <w:div w:id="949169430">
      <w:bodyDiv w:val="1"/>
      <w:marLeft w:val="0"/>
      <w:marRight w:val="0"/>
      <w:marTop w:val="0"/>
      <w:marBottom w:val="0"/>
      <w:divBdr>
        <w:top w:val="none" w:sz="0" w:space="0" w:color="auto"/>
        <w:left w:val="none" w:sz="0" w:space="0" w:color="auto"/>
        <w:bottom w:val="none" w:sz="0" w:space="0" w:color="auto"/>
        <w:right w:val="none" w:sz="0" w:space="0" w:color="auto"/>
      </w:divBdr>
      <w:divsChild>
        <w:div w:id="1679766173">
          <w:marLeft w:val="0"/>
          <w:marRight w:val="0"/>
          <w:marTop w:val="0"/>
          <w:marBottom w:val="0"/>
          <w:divBdr>
            <w:top w:val="none" w:sz="0" w:space="0" w:color="auto"/>
            <w:left w:val="none" w:sz="0" w:space="0" w:color="auto"/>
            <w:bottom w:val="none" w:sz="0" w:space="0" w:color="auto"/>
            <w:right w:val="none" w:sz="0" w:space="0" w:color="auto"/>
          </w:divBdr>
          <w:divsChild>
            <w:div w:id="15170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9722873">
      <w:bodyDiv w:val="1"/>
      <w:marLeft w:val="0"/>
      <w:marRight w:val="0"/>
      <w:marTop w:val="0"/>
      <w:marBottom w:val="0"/>
      <w:divBdr>
        <w:top w:val="none" w:sz="0" w:space="0" w:color="auto"/>
        <w:left w:val="none" w:sz="0" w:space="0" w:color="auto"/>
        <w:bottom w:val="none" w:sz="0" w:space="0" w:color="auto"/>
        <w:right w:val="none" w:sz="0" w:space="0" w:color="auto"/>
      </w:divBdr>
    </w:div>
    <w:div w:id="976377312">
      <w:bodyDiv w:val="1"/>
      <w:marLeft w:val="0"/>
      <w:marRight w:val="0"/>
      <w:marTop w:val="0"/>
      <w:marBottom w:val="0"/>
      <w:divBdr>
        <w:top w:val="none" w:sz="0" w:space="0" w:color="auto"/>
        <w:left w:val="none" w:sz="0" w:space="0" w:color="auto"/>
        <w:bottom w:val="none" w:sz="0" w:space="0" w:color="auto"/>
        <w:right w:val="none" w:sz="0" w:space="0" w:color="auto"/>
      </w:divBdr>
    </w:div>
    <w:div w:id="979111155">
      <w:bodyDiv w:val="1"/>
      <w:marLeft w:val="0"/>
      <w:marRight w:val="0"/>
      <w:marTop w:val="0"/>
      <w:marBottom w:val="0"/>
      <w:divBdr>
        <w:top w:val="none" w:sz="0" w:space="0" w:color="auto"/>
        <w:left w:val="none" w:sz="0" w:space="0" w:color="auto"/>
        <w:bottom w:val="none" w:sz="0" w:space="0" w:color="auto"/>
        <w:right w:val="none" w:sz="0" w:space="0" w:color="auto"/>
      </w:divBdr>
      <w:divsChild>
        <w:div w:id="1241911138">
          <w:marLeft w:val="0"/>
          <w:marRight w:val="0"/>
          <w:marTop w:val="0"/>
          <w:marBottom w:val="0"/>
          <w:divBdr>
            <w:top w:val="none" w:sz="0" w:space="0" w:color="auto"/>
            <w:left w:val="none" w:sz="0" w:space="0" w:color="auto"/>
            <w:bottom w:val="none" w:sz="0" w:space="0" w:color="auto"/>
            <w:right w:val="none" w:sz="0" w:space="0" w:color="auto"/>
          </w:divBdr>
          <w:divsChild>
            <w:div w:id="789207450">
              <w:marLeft w:val="0"/>
              <w:marRight w:val="0"/>
              <w:marTop w:val="0"/>
              <w:marBottom w:val="0"/>
              <w:divBdr>
                <w:top w:val="none" w:sz="0" w:space="0" w:color="auto"/>
                <w:left w:val="none" w:sz="0" w:space="0" w:color="auto"/>
                <w:bottom w:val="none" w:sz="0" w:space="0" w:color="auto"/>
                <w:right w:val="none" w:sz="0" w:space="0" w:color="auto"/>
              </w:divBdr>
              <w:divsChild>
                <w:div w:id="1083064372">
                  <w:marLeft w:val="0"/>
                  <w:marRight w:val="0"/>
                  <w:marTop w:val="0"/>
                  <w:marBottom w:val="0"/>
                  <w:divBdr>
                    <w:top w:val="none" w:sz="0" w:space="0" w:color="auto"/>
                    <w:left w:val="none" w:sz="0" w:space="0" w:color="auto"/>
                    <w:bottom w:val="none" w:sz="0" w:space="0" w:color="auto"/>
                    <w:right w:val="none" w:sz="0" w:space="0" w:color="auto"/>
                  </w:divBdr>
                  <w:divsChild>
                    <w:div w:id="894465354">
                      <w:marLeft w:val="0"/>
                      <w:marRight w:val="0"/>
                      <w:marTop w:val="0"/>
                      <w:marBottom w:val="0"/>
                      <w:divBdr>
                        <w:top w:val="none" w:sz="0" w:space="0" w:color="auto"/>
                        <w:left w:val="none" w:sz="0" w:space="0" w:color="auto"/>
                        <w:bottom w:val="none" w:sz="0" w:space="0" w:color="auto"/>
                        <w:right w:val="none" w:sz="0" w:space="0" w:color="auto"/>
                      </w:divBdr>
                      <w:divsChild>
                        <w:div w:id="1706709813">
                          <w:marLeft w:val="0"/>
                          <w:marRight w:val="0"/>
                          <w:marTop w:val="0"/>
                          <w:marBottom w:val="0"/>
                          <w:divBdr>
                            <w:top w:val="none" w:sz="0" w:space="0" w:color="auto"/>
                            <w:left w:val="none" w:sz="0" w:space="0" w:color="auto"/>
                            <w:bottom w:val="none" w:sz="0" w:space="0" w:color="auto"/>
                            <w:right w:val="none" w:sz="0" w:space="0" w:color="auto"/>
                          </w:divBdr>
                          <w:divsChild>
                            <w:div w:id="2091194709">
                              <w:marLeft w:val="0"/>
                              <w:marRight w:val="0"/>
                              <w:marTop w:val="0"/>
                              <w:marBottom w:val="0"/>
                              <w:divBdr>
                                <w:top w:val="none" w:sz="0" w:space="0" w:color="auto"/>
                                <w:left w:val="none" w:sz="0" w:space="0" w:color="auto"/>
                                <w:bottom w:val="none" w:sz="0" w:space="0" w:color="auto"/>
                                <w:right w:val="none" w:sz="0" w:space="0" w:color="auto"/>
                              </w:divBdr>
                              <w:divsChild>
                                <w:div w:id="3142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5560">
                          <w:marLeft w:val="0"/>
                          <w:marRight w:val="0"/>
                          <w:marTop w:val="0"/>
                          <w:marBottom w:val="0"/>
                          <w:divBdr>
                            <w:top w:val="none" w:sz="0" w:space="0" w:color="auto"/>
                            <w:left w:val="none" w:sz="0" w:space="0" w:color="auto"/>
                            <w:bottom w:val="none" w:sz="0" w:space="0" w:color="auto"/>
                            <w:right w:val="none" w:sz="0" w:space="0" w:color="auto"/>
                          </w:divBdr>
                          <w:divsChild>
                            <w:div w:id="861094026">
                              <w:marLeft w:val="0"/>
                              <w:marRight w:val="0"/>
                              <w:marTop w:val="0"/>
                              <w:marBottom w:val="0"/>
                              <w:divBdr>
                                <w:top w:val="none" w:sz="0" w:space="0" w:color="auto"/>
                                <w:left w:val="none" w:sz="0" w:space="0" w:color="auto"/>
                                <w:bottom w:val="none" w:sz="0" w:space="0" w:color="auto"/>
                                <w:right w:val="none" w:sz="0" w:space="0" w:color="auto"/>
                              </w:divBdr>
                              <w:divsChild>
                                <w:div w:id="379130933">
                                  <w:marLeft w:val="0"/>
                                  <w:marRight w:val="0"/>
                                  <w:marTop w:val="0"/>
                                  <w:marBottom w:val="0"/>
                                  <w:divBdr>
                                    <w:top w:val="none" w:sz="0" w:space="0" w:color="auto"/>
                                    <w:left w:val="none" w:sz="0" w:space="0" w:color="auto"/>
                                    <w:bottom w:val="none" w:sz="0" w:space="0" w:color="auto"/>
                                    <w:right w:val="none" w:sz="0" w:space="0" w:color="auto"/>
                                  </w:divBdr>
                                  <w:divsChild>
                                    <w:div w:id="12257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39541">
              <w:marLeft w:val="0"/>
              <w:marRight w:val="0"/>
              <w:marTop w:val="0"/>
              <w:marBottom w:val="0"/>
              <w:divBdr>
                <w:top w:val="none" w:sz="0" w:space="0" w:color="auto"/>
                <w:left w:val="none" w:sz="0" w:space="0" w:color="auto"/>
                <w:bottom w:val="none" w:sz="0" w:space="0" w:color="auto"/>
                <w:right w:val="none" w:sz="0" w:space="0" w:color="auto"/>
              </w:divBdr>
              <w:divsChild>
                <w:div w:id="706225584">
                  <w:marLeft w:val="0"/>
                  <w:marRight w:val="0"/>
                  <w:marTop w:val="0"/>
                  <w:marBottom w:val="0"/>
                  <w:divBdr>
                    <w:top w:val="none" w:sz="0" w:space="0" w:color="auto"/>
                    <w:left w:val="none" w:sz="0" w:space="0" w:color="auto"/>
                    <w:bottom w:val="none" w:sz="0" w:space="0" w:color="auto"/>
                    <w:right w:val="none" w:sz="0" w:space="0" w:color="auto"/>
                  </w:divBdr>
                  <w:divsChild>
                    <w:div w:id="336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1144">
      <w:bodyDiv w:val="1"/>
      <w:marLeft w:val="0"/>
      <w:marRight w:val="0"/>
      <w:marTop w:val="0"/>
      <w:marBottom w:val="0"/>
      <w:divBdr>
        <w:top w:val="none" w:sz="0" w:space="0" w:color="auto"/>
        <w:left w:val="none" w:sz="0" w:space="0" w:color="auto"/>
        <w:bottom w:val="none" w:sz="0" w:space="0" w:color="auto"/>
        <w:right w:val="none" w:sz="0" w:space="0" w:color="auto"/>
      </w:divBdr>
    </w:div>
    <w:div w:id="984309896">
      <w:bodyDiv w:val="1"/>
      <w:marLeft w:val="0"/>
      <w:marRight w:val="0"/>
      <w:marTop w:val="0"/>
      <w:marBottom w:val="0"/>
      <w:divBdr>
        <w:top w:val="none" w:sz="0" w:space="0" w:color="auto"/>
        <w:left w:val="none" w:sz="0" w:space="0" w:color="auto"/>
        <w:bottom w:val="none" w:sz="0" w:space="0" w:color="auto"/>
        <w:right w:val="none" w:sz="0" w:space="0" w:color="auto"/>
      </w:divBdr>
      <w:divsChild>
        <w:div w:id="2020348834">
          <w:marLeft w:val="0"/>
          <w:marRight w:val="0"/>
          <w:marTop w:val="0"/>
          <w:marBottom w:val="0"/>
          <w:divBdr>
            <w:top w:val="none" w:sz="0" w:space="0" w:color="auto"/>
            <w:left w:val="none" w:sz="0" w:space="0" w:color="auto"/>
            <w:bottom w:val="none" w:sz="0" w:space="0" w:color="auto"/>
            <w:right w:val="none" w:sz="0" w:space="0" w:color="auto"/>
          </w:divBdr>
          <w:divsChild>
            <w:div w:id="955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4287">
      <w:bodyDiv w:val="1"/>
      <w:marLeft w:val="0"/>
      <w:marRight w:val="0"/>
      <w:marTop w:val="0"/>
      <w:marBottom w:val="0"/>
      <w:divBdr>
        <w:top w:val="none" w:sz="0" w:space="0" w:color="auto"/>
        <w:left w:val="none" w:sz="0" w:space="0" w:color="auto"/>
        <w:bottom w:val="none" w:sz="0" w:space="0" w:color="auto"/>
        <w:right w:val="none" w:sz="0" w:space="0" w:color="auto"/>
      </w:divBdr>
    </w:div>
    <w:div w:id="1044872146">
      <w:bodyDiv w:val="1"/>
      <w:marLeft w:val="0"/>
      <w:marRight w:val="0"/>
      <w:marTop w:val="0"/>
      <w:marBottom w:val="0"/>
      <w:divBdr>
        <w:top w:val="none" w:sz="0" w:space="0" w:color="auto"/>
        <w:left w:val="none" w:sz="0" w:space="0" w:color="auto"/>
        <w:bottom w:val="none" w:sz="0" w:space="0" w:color="auto"/>
        <w:right w:val="none" w:sz="0" w:space="0" w:color="auto"/>
      </w:divBdr>
    </w:div>
    <w:div w:id="1067725318">
      <w:bodyDiv w:val="1"/>
      <w:marLeft w:val="0"/>
      <w:marRight w:val="0"/>
      <w:marTop w:val="0"/>
      <w:marBottom w:val="0"/>
      <w:divBdr>
        <w:top w:val="none" w:sz="0" w:space="0" w:color="auto"/>
        <w:left w:val="none" w:sz="0" w:space="0" w:color="auto"/>
        <w:bottom w:val="none" w:sz="0" w:space="0" w:color="auto"/>
        <w:right w:val="none" w:sz="0" w:space="0" w:color="auto"/>
      </w:divBdr>
    </w:div>
    <w:div w:id="1071271999">
      <w:bodyDiv w:val="1"/>
      <w:marLeft w:val="0"/>
      <w:marRight w:val="0"/>
      <w:marTop w:val="0"/>
      <w:marBottom w:val="0"/>
      <w:divBdr>
        <w:top w:val="none" w:sz="0" w:space="0" w:color="auto"/>
        <w:left w:val="none" w:sz="0" w:space="0" w:color="auto"/>
        <w:bottom w:val="none" w:sz="0" w:space="0" w:color="auto"/>
        <w:right w:val="none" w:sz="0" w:space="0" w:color="auto"/>
      </w:divBdr>
    </w:div>
    <w:div w:id="1140607535">
      <w:bodyDiv w:val="1"/>
      <w:marLeft w:val="0"/>
      <w:marRight w:val="0"/>
      <w:marTop w:val="0"/>
      <w:marBottom w:val="0"/>
      <w:divBdr>
        <w:top w:val="none" w:sz="0" w:space="0" w:color="auto"/>
        <w:left w:val="none" w:sz="0" w:space="0" w:color="auto"/>
        <w:bottom w:val="none" w:sz="0" w:space="0" w:color="auto"/>
        <w:right w:val="none" w:sz="0" w:space="0" w:color="auto"/>
      </w:divBdr>
    </w:div>
    <w:div w:id="1143235176">
      <w:bodyDiv w:val="1"/>
      <w:marLeft w:val="0"/>
      <w:marRight w:val="0"/>
      <w:marTop w:val="0"/>
      <w:marBottom w:val="0"/>
      <w:divBdr>
        <w:top w:val="none" w:sz="0" w:space="0" w:color="auto"/>
        <w:left w:val="none" w:sz="0" w:space="0" w:color="auto"/>
        <w:bottom w:val="none" w:sz="0" w:space="0" w:color="auto"/>
        <w:right w:val="none" w:sz="0" w:space="0" w:color="auto"/>
      </w:divBdr>
    </w:div>
    <w:div w:id="1181313203">
      <w:bodyDiv w:val="1"/>
      <w:marLeft w:val="0"/>
      <w:marRight w:val="0"/>
      <w:marTop w:val="0"/>
      <w:marBottom w:val="0"/>
      <w:divBdr>
        <w:top w:val="none" w:sz="0" w:space="0" w:color="auto"/>
        <w:left w:val="none" w:sz="0" w:space="0" w:color="auto"/>
        <w:bottom w:val="none" w:sz="0" w:space="0" w:color="auto"/>
        <w:right w:val="none" w:sz="0" w:space="0" w:color="auto"/>
      </w:divBdr>
    </w:div>
    <w:div w:id="1210146651">
      <w:bodyDiv w:val="1"/>
      <w:marLeft w:val="0"/>
      <w:marRight w:val="0"/>
      <w:marTop w:val="0"/>
      <w:marBottom w:val="0"/>
      <w:divBdr>
        <w:top w:val="none" w:sz="0" w:space="0" w:color="auto"/>
        <w:left w:val="none" w:sz="0" w:space="0" w:color="auto"/>
        <w:bottom w:val="none" w:sz="0" w:space="0" w:color="auto"/>
        <w:right w:val="none" w:sz="0" w:space="0" w:color="auto"/>
      </w:divBdr>
    </w:div>
    <w:div w:id="1216165143">
      <w:bodyDiv w:val="1"/>
      <w:marLeft w:val="0"/>
      <w:marRight w:val="0"/>
      <w:marTop w:val="0"/>
      <w:marBottom w:val="0"/>
      <w:divBdr>
        <w:top w:val="none" w:sz="0" w:space="0" w:color="auto"/>
        <w:left w:val="none" w:sz="0" w:space="0" w:color="auto"/>
        <w:bottom w:val="none" w:sz="0" w:space="0" w:color="auto"/>
        <w:right w:val="none" w:sz="0" w:space="0" w:color="auto"/>
      </w:divBdr>
    </w:div>
    <w:div w:id="1223296570">
      <w:bodyDiv w:val="1"/>
      <w:marLeft w:val="0"/>
      <w:marRight w:val="0"/>
      <w:marTop w:val="0"/>
      <w:marBottom w:val="0"/>
      <w:divBdr>
        <w:top w:val="none" w:sz="0" w:space="0" w:color="auto"/>
        <w:left w:val="none" w:sz="0" w:space="0" w:color="auto"/>
        <w:bottom w:val="none" w:sz="0" w:space="0" w:color="auto"/>
        <w:right w:val="none" w:sz="0" w:space="0" w:color="auto"/>
      </w:divBdr>
    </w:div>
    <w:div w:id="1251045540">
      <w:bodyDiv w:val="1"/>
      <w:marLeft w:val="0"/>
      <w:marRight w:val="0"/>
      <w:marTop w:val="0"/>
      <w:marBottom w:val="0"/>
      <w:divBdr>
        <w:top w:val="none" w:sz="0" w:space="0" w:color="auto"/>
        <w:left w:val="none" w:sz="0" w:space="0" w:color="auto"/>
        <w:bottom w:val="none" w:sz="0" w:space="0" w:color="auto"/>
        <w:right w:val="none" w:sz="0" w:space="0" w:color="auto"/>
      </w:divBdr>
    </w:div>
    <w:div w:id="1252852965">
      <w:bodyDiv w:val="1"/>
      <w:marLeft w:val="0"/>
      <w:marRight w:val="0"/>
      <w:marTop w:val="0"/>
      <w:marBottom w:val="0"/>
      <w:divBdr>
        <w:top w:val="none" w:sz="0" w:space="0" w:color="auto"/>
        <w:left w:val="none" w:sz="0" w:space="0" w:color="auto"/>
        <w:bottom w:val="none" w:sz="0" w:space="0" w:color="auto"/>
        <w:right w:val="none" w:sz="0" w:space="0" w:color="auto"/>
      </w:divBdr>
    </w:div>
    <w:div w:id="1283995465">
      <w:bodyDiv w:val="1"/>
      <w:marLeft w:val="0"/>
      <w:marRight w:val="0"/>
      <w:marTop w:val="0"/>
      <w:marBottom w:val="0"/>
      <w:divBdr>
        <w:top w:val="none" w:sz="0" w:space="0" w:color="auto"/>
        <w:left w:val="none" w:sz="0" w:space="0" w:color="auto"/>
        <w:bottom w:val="none" w:sz="0" w:space="0" w:color="auto"/>
        <w:right w:val="none" w:sz="0" w:space="0" w:color="auto"/>
      </w:divBdr>
    </w:div>
    <w:div w:id="1301765582">
      <w:bodyDiv w:val="1"/>
      <w:marLeft w:val="0"/>
      <w:marRight w:val="0"/>
      <w:marTop w:val="0"/>
      <w:marBottom w:val="0"/>
      <w:divBdr>
        <w:top w:val="none" w:sz="0" w:space="0" w:color="auto"/>
        <w:left w:val="none" w:sz="0" w:space="0" w:color="auto"/>
        <w:bottom w:val="none" w:sz="0" w:space="0" w:color="auto"/>
        <w:right w:val="none" w:sz="0" w:space="0" w:color="auto"/>
      </w:divBdr>
    </w:div>
    <w:div w:id="1330475781">
      <w:bodyDiv w:val="1"/>
      <w:marLeft w:val="0"/>
      <w:marRight w:val="0"/>
      <w:marTop w:val="0"/>
      <w:marBottom w:val="0"/>
      <w:divBdr>
        <w:top w:val="none" w:sz="0" w:space="0" w:color="auto"/>
        <w:left w:val="none" w:sz="0" w:space="0" w:color="auto"/>
        <w:bottom w:val="none" w:sz="0" w:space="0" w:color="auto"/>
        <w:right w:val="none" w:sz="0" w:space="0" w:color="auto"/>
      </w:divBdr>
    </w:div>
    <w:div w:id="1382359839">
      <w:bodyDiv w:val="1"/>
      <w:marLeft w:val="0"/>
      <w:marRight w:val="0"/>
      <w:marTop w:val="0"/>
      <w:marBottom w:val="0"/>
      <w:divBdr>
        <w:top w:val="none" w:sz="0" w:space="0" w:color="auto"/>
        <w:left w:val="none" w:sz="0" w:space="0" w:color="auto"/>
        <w:bottom w:val="none" w:sz="0" w:space="0" w:color="auto"/>
        <w:right w:val="none" w:sz="0" w:space="0" w:color="auto"/>
      </w:divBdr>
    </w:div>
    <w:div w:id="1382827772">
      <w:bodyDiv w:val="1"/>
      <w:marLeft w:val="0"/>
      <w:marRight w:val="0"/>
      <w:marTop w:val="0"/>
      <w:marBottom w:val="0"/>
      <w:divBdr>
        <w:top w:val="none" w:sz="0" w:space="0" w:color="auto"/>
        <w:left w:val="none" w:sz="0" w:space="0" w:color="auto"/>
        <w:bottom w:val="none" w:sz="0" w:space="0" w:color="auto"/>
        <w:right w:val="none" w:sz="0" w:space="0" w:color="auto"/>
      </w:divBdr>
    </w:div>
    <w:div w:id="1386949380">
      <w:bodyDiv w:val="1"/>
      <w:marLeft w:val="0"/>
      <w:marRight w:val="0"/>
      <w:marTop w:val="0"/>
      <w:marBottom w:val="0"/>
      <w:divBdr>
        <w:top w:val="none" w:sz="0" w:space="0" w:color="auto"/>
        <w:left w:val="none" w:sz="0" w:space="0" w:color="auto"/>
        <w:bottom w:val="none" w:sz="0" w:space="0" w:color="auto"/>
        <w:right w:val="none" w:sz="0" w:space="0" w:color="auto"/>
      </w:divBdr>
    </w:div>
    <w:div w:id="1423716814">
      <w:bodyDiv w:val="1"/>
      <w:marLeft w:val="0"/>
      <w:marRight w:val="0"/>
      <w:marTop w:val="0"/>
      <w:marBottom w:val="0"/>
      <w:divBdr>
        <w:top w:val="none" w:sz="0" w:space="0" w:color="auto"/>
        <w:left w:val="none" w:sz="0" w:space="0" w:color="auto"/>
        <w:bottom w:val="none" w:sz="0" w:space="0" w:color="auto"/>
        <w:right w:val="none" w:sz="0" w:space="0" w:color="auto"/>
      </w:divBdr>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
    <w:div w:id="1498381603">
      <w:bodyDiv w:val="1"/>
      <w:marLeft w:val="0"/>
      <w:marRight w:val="0"/>
      <w:marTop w:val="0"/>
      <w:marBottom w:val="0"/>
      <w:divBdr>
        <w:top w:val="none" w:sz="0" w:space="0" w:color="auto"/>
        <w:left w:val="none" w:sz="0" w:space="0" w:color="auto"/>
        <w:bottom w:val="none" w:sz="0" w:space="0" w:color="auto"/>
        <w:right w:val="none" w:sz="0" w:space="0" w:color="auto"/>
      </w:divBdr>
    </w:div>
    <w:div w:id="1512573889">
      <w:bodyDiv w:val="1"/>
      <w:marLeft w:val="0"/>
      <w:marRight w:val="0"/>
      <w:marTop w:val="0"/>
      <w:marBottom w:val="0"/>
      <w:divBdr>
        <w:top w:val="none" w:sz="0" w:space="0" w:color="auto"/>
        <w:left w:val="none" w:sz="0" w:space="0" w:color="auto"/>
        <w:bottom w:val="none" w:sz="0" w:space="0" w:color="auto"/>
        <w:right w:val="none" w:sz="0" w:space="0" w:color="auto"/>
      </w:divBdr>
    </w:div>
    <w:div w:id="1530484898">
      <w:bodyDiv w:val="1"/>
      <w:marLeft w:val="0"/>
      <w:marRight w:val="0"/>
      <w:marTop w:val="0"/>
      <w:marBottom w:val="0"/>
      <w:divBdr>
        <w:top w:val="none" w:sz="0" w:space="0" w:color="auto"/>
        <w:left w:val="none" w:sz="0" w:space="0" w:color="auto"/>
        <w:bottom w:val="none" w:sz="0" w:space="0" w:color="auto"/>
        <w:right w:val="none" w:sz="0" w:space="0" w:color="auto"/>
      </w:divBdr>
    </w:div>
    <w:div w:id="1588078570">
      <w:bodyDiv w:val="1"/>
      <w:marLeft w:val="0"/>
      <w:marRight w:val="0"/>
      <w:marTop w:val="0"/>
      <w:marBottom w:val="0"/>
      <w:divBdr>
        <w:top w:val="none" w:sz="0" w:space="0" w:color="auto"/>
        <w:left w:val="none" w:sz="0" w:space="0" w:color="auto"/>
        <w:bottom w:val="none" w:sz="0" w:space="0" w:color="auto"/>
        <w:right w:val="none" w:sz="0" w:space="0" w:color="auto"/>
      </w:divBdr>
      <w:divsChild>
        <w:div w:id="824010141">
          <w:marLeft w:val="0"/>
          <w:marRight w:val="0"/>
          <w:marTop w:val="0"/>
          <w:marBottom w:val="0"/>
          <w:divBdr>
            <w:top w:val="none" w:sz="0" w:space="0" w:color="auto"/>
            <w:left w:val="none" w:sz="0" w:space="0" w:color="auto"/>
            <w:bottom w:val="none" w:sz="0" w:space="0" w:color="auto"/>
            <w:right w:val="none" w:sz="0" w:space="0" w:color="auto"/>
          </w:divBdr>
          <w:divsChild>
            <w:div w:id="18748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50012">
      <w:bodyDiv w:val="1"/>
      <w:marLeft w:val="0"/>
      <w:marRight w:val="0"/>
      <w:marTop w:val="0"/>
      <w:marBottom w:val="0"/>
      <w:divBdr>
        <w:top w:val="none" w:sz="0" w:space="0" w:color="auto"/>
        <w:left w:val="none" w:sz="0" w:space="0" w:color="auto"/>
        <w:bottom w:val="none" w:sz="0" w:space="0" w:color="auto"/>
        <w:right w:val="none" w:sz="0" w:space="0" w:color="auto"/>
      </w:divBdr>
    </w:div>
    <w:div w:id="1598948435">
      <w:bodyDiv w:val="1"/>
      <w:marLeft w:val="0"/>
      <w:marRight w:val="0"/>
      <w:marTop w:val="0"/>
      <w:marBottom w:val="0"/>
      <w:divBdr>
        <w:top w:val="none" w:sz="0" w:space="0" w:color="auto"/>
        <w:left w:val="none" w:sz="0" w:space="0" w:color="auto"/>
        <w:bottom w:val="none" w:sz="0" w:space="0" w:color="auto"/>
        <w:right w:val="none" w:sz="0" w:space="0" w:color="auto"/>
      </w:divBdr>
    </w:div>
    <w:div w:id="1599867387">
      <w:bodyDiv w:val="1"/>
      <w:marLeft w:val="0"/>
      <w:marRight w:val="0"/>
      <w:marTop w:val="0"/>
      <w:marBottom w:val="0"/>
      <w:divBdr>
        <w:top w:val="none" w:sz="0" w:space="0" w:color="auto"/>
        <w:left w:val="none" w:sz="0" w:space="0" w:color="auto"/>
        <w:bottom w:val="none" w:sz="0" w:space="0" w:color="auto"/>
        <w:right w:val="none" w:sz="0" w:space="0" w:color="auto"/>
      </w:divBdr>
    </w:div>
    <w:div w:id="1601570171">
      <w:bodyDiv w:val="1"/>
      <w:marLeft w:val="0"/>
      <w:marRight w:val="0"/>
      <w:marTop w:val="0"/>
      <w:marBottom w:val="0"/>
      <w:divBdr>
        <w:top w:val="none" w:sz="0" w:space="0" w:color="auto"/>
        <w:left w:val="none" w:sz="0" w:space="0" w:color="auto"/>
        <w:bottom w:val="none" w:sz="0" w:space="0" w:color="auto"/>
        <w:right w:val="none" w:sz="0" w:space="0" w:color="auto"/>
      </w:divBdr>
    </w:div>
    <w:div w:id="1612475586">
      <w:bodyDiv w:val="1"/>
      <w:marLeft w:val="0"/>
      <w:marRight w:val="0"/>
      <w:marTop w:val="0"/>
      <w:marBottom w:val="0"/>
      <w:divBdr>
        <w:top w:val="none" w:sz="0" w:space="0" w:color="auto"/>
        <w:left w:val="none" w:sz="0" w:space="0" w:color="auto"/>
        <w:bottom w:val="none" w:sz="0" w:space="0" w:color="auto"/>
        <w:right w:val="none" w:sz="0" w:space="0" w:color="auto"/>
      </w:divBdr>
    </w:div>
    <w:div w:id="1616792135">
      <w:bodyDiv w:val="1"/>
      <w:marLeft w:val="0"/>
      <w:marRight w:val="0"/>
      <w:marTop w:val="0"/>
      <w:marBottom w:val="0"/>
      <w:divBdr>
        <w:top w:val="none" w:sz="0" w:space="0" w:color="auto"/>
        <w:left w:val="none" w:sz="0" w:space="0" w:color="auto"/>
        <w:bottom w:val="none" w:sz="0" w:space="0" w:color="auto"/>
        <w:right w:val="none" w:sz="0" w:space="0" w:color="auto"/>
      </w:divBdr>
    </w:div>
    <w:div w:id="1622760492">
      <w:bodyDiv w:val="1"/>
      <w:marLeft w:val="0"/>
      <w:marRight w:val="0"/>
      <w:marTop w:val="0"/>
      <w:marBottom w:val="0"/>
      <w:divBdr>
        <w:top w:val="none" w:sz="0" w:space="0" w:color="auto"/>
        <w:left w:val="none" w:sz="0" w:space="0" w:color="auto"/>
        <w:bottom w:val="none" w:sz="0" w:space="0" w:color="auto"/>
        <w:right w:val="none" w:sz="0" w:space="0" w:color="auto"/>
      </w:divBdr>
    </w:div>
    <w:div w:id="1657610823">
      <w:bodyDiv w:val="1"/>
      <w:marLeft w:val="0"/>
      <w:marRight w:val="0"/>
      <w:marTop w:val="0"/>
      <w:marBottom w:val="0"/>
      <w:divBdr>
        <w:top w:val="none" w:sz="0" w:space="0" w:color="auto"/>
        <w:left w:val="none" w:sz="0" w:space="0" w:color="auto"/>
        <w:bottom w:val="none" w:sz="0" w:space="0" w:color="auto"/>
        <w:right w:val="none" w:sz="0" w:space="0" w:color="auto"/>
      </w:divBdr>
    </w:div>
    <w:div w:id="1659847998">
      <w:bodyDiv w:val="1"/>
      <w:marLeft w:val="0"/>
      <w:marRight w:val="0"/>
      <w:marTop w:val="0"/>
      <w:marBottom w:val="0"/>
      <w:divBdr>
        <w:top w:val="none" w:sz="0" w:space="0" w:color="auto"/>
        <w:left w:val="none" w:sz="0" w:space="0" w:color="auto"/>
        <w:bottom w:val="none" w:sz="0" w:space="0" w:color="auto"/>
        <w:right w:val="none" w:sz="0" w:space="0" w:color="auto"/>
      </w:divBdr>
    </w:div>
    <w:div w:id="1671103721">
      <w:bodyDiv w:val="1"/>
      <w:marLeft w:val="0"/>
      <w:marRight w:val="0"/>
      <w:marTop w:val="0"/>
      <w:marBottom w:val="0"/>
      <w:divBdr>
        <w:top w:val="none" w:sz="0" w:space="0" w:color="auto"/>
        <w:left w:val="none" w:sz="0" w:space="0" w:color="auto"/>
        <w:bottom w:val="none" w:sz="0" w:space="0" w:color="auto"/>
        <w:right w:val="none" w:sz="0" w:space="0" w:color="auto"/>
      </w:divBdr>
    </w:div>
    <w:div w:id="1702128380">
      <w:bodyDiv w:val="1"/>
      <w:marLeft w:val="0"/>
      <w:marRight w:val="0"/>
      <w:marTop w:val="0"/>
      <w:marBottom w:val="0"/>
      <w:divBdr>
        <w:top w:val="none" w:sz="0" w:space="0" w:color="auto"/>
        <w:left w:val="none" w:sz="0" w:space="0" w:color="auto"/>
        <w:bottom w:val="none" w:sz="0" w:space="0" w:color="auto"/>
        <w:right w:val="none" w:sz="0" w:space="0" w:color="auto"/>
      </w:divBdr>
    </w:div>
    <w:div w:id="1704359541">
      <w:bodyDiv w:val="1"/>
      <w:marLeft w:val="0"/>
      <w:marRight w:val="0"/>
      <w:marTop w:val="0"/>
      <w:marBottom w:val="0"/>
      <w:divBdr>
        <w:top w:val="none" w:sz="0" w:space="0" w:color="auto"/>
        <w:left w:val="none" w:sz="0" w:space="0" w:color="auto"/>
        <w:bottom w:val="none" w:sz="0" w:space="0" w:color="auto"/>
        <w:right w:val="none" w:sz="0" w:space="0" w:color="auto"/>
      </w:divBdr>
      <w:divsChild>
        <w:div w:id="266546485">
          <w:marLeft w:val="0"/>
          <w:marRight w:val="0"/>
          <w:marTop w:val="0"/>
          <w:marBottom w:val="0"/>
          <w:divBdr>
            <w:top w:val="none" w:sz="0" w:space="0" w:color="auto"/>
            <w:left w:val="none" w:sz="0" w:space="0" w:color="auto"/>
            <w:bottom w:val="none" w:sz="0" w:space="0" w:color="auto"/>
            <w:right w:val="none" w:sz="0" w:space="0" w:color="auto"/>
          </w:divBdr>
          <w:divsChild>
            <w:div w:id="1990089671">
              <w:marLeft w:val="0"/>
              <w:marRight w:val="0"/>
              <w:marTop w:val="0"/>
              <w:marBottom w:val="0"/>
              <w:divBdr>
                <w:top w:val="none" w:sz="0" w:space="0" w:color="auto"/>
                <w:left w:val="none" w:sz="0" w:space="0" w:color="auto"/>
                <w:bottom w:val="none" w:sz="0" w:space="0" w:color="auto"/>
                <w:right w:val="none" w:sz="0" w:space="0" w:color="auto"/>
              </w:divBdr>
              <w:divsChild>
                <w:div w:id="261188255">
                  <w:marLeft w:val="0"/>
                  <w:marRight w:val="0"/>
                  <w:marTop w:val="0"/>
                  <w:marBottom w:val="0"/>
                  <w:divBdr>
                    <w:top w:val="none" w:sz="0" w:space="0" w:color="auto"/>
                    <w:left w:val="none" w:sz="0" w:space="0" w:color="auto"/>
                    <w:bottom w:val="none" w:sz="0" w:space="0" w:color="auto"/>
                    <w:right w:val="none" w:sz="0" w:space="0" w:color="auto"/>
                  </w:divBdr>
                  <w:divsChild>
                    <w:div w:id="1531987169">
                      <w:marLeft w:val="0"/>
                      <w:marRight w:val="0"/>
                      <w:marTop w:val="0"/>
                      <w:marBottom w:val="0"/>
                      <w:divBdr>
                        <w:top w:val="none" w:sz="0" w:space="0" w:color="auto"/>
                        <w:left w:val="none" w:sz="0" w:space="0" w:color="auto"/>
                        <w:bottom w:val="none" w:sz="0" w:space="0" w:color="auto"/>
                        <w:right w:val="none" w:sz="0" w:space="0" w:color="auto"/>
                      </w:divBdr>
                      <w:divsChild>
                        <w:div w:id="1624312501">
                          <w:marLeft w:val="0"/>
                          <w:marRight w:val="0"/>
                          <w:marTop w:val="0"/>
                          <w:marBottom w:val="0"/>
                          <w:divBdr>
                            <w:top w:val="none" w:sz="0" w:space="0" w:color="auto"/>
                            <w:left w:val="none" w:sz="0" w:space="0" w:color="auto"/>
                            <w:bottom w:val="none" w:sz="0" w:space="0" w:color="auto"/>
                            <w:right w:val="none" w:sz="0" w:space="0" w:color="auto"/>
                          </w:divBdr>
                          <w:divsChild>
                            <w:div w:id="4247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37319">
      <w:bodyDiv w:val="1"/>
      <w:marLeft w:val="0"/>
      <w:marRight w:val="0"/>
      <w:marTop w:val="0"/>
      <w:marBottom w:val="0"/>
      <w:divBdr>
        <w:top w:val="none" w:sz="0" w:space="0" w:color="auto"/>
        <w:left w:val="none" w:sz="0" w:space="0" w:color="auto"/>
        <w:bottom w:val="none" w:sz="0" w:space="0" w:color="auto"/>
        <w:right w:val="none" w:sz="0" w:space="0" w:color="auto"/>
      </w:divBdr>
    </w:div>
    <w:div w:id="1749883739">
      <w:bodyDiv w:val="1"/>
      <w:marLeft w:val="0"/>
      <w:marRight w:val="0"/>
      <w:marTop w:val="0"/>
      <w:marBottom w:val="0"/>
      <w:divBdr>
        <w:top w:val="none" w:sz="0" w:space="0" w:color="auto"/>
        <w:left w:val="none" w:sz="0" w:space="0" w:color="auto"/>
        <w:bottom w:val="none" w:sz="0" w:space="0" w:color="auto"/>
        <w:right w:val="none" w:sz="0" w:space="0" w:color="auto"/>
      </w:divBdr>
    </w:div>
    <w:div w:id="1762145380">
      <w:bodyDiv w:val="1"/>
      <w:marLeft w:val="0"/>
      <w:marRight w:val="0"/>
      <w:marTop w:val="0"/>
      <w:marBottom w:val="0"/>
      <w:divBdr>
        <w:top w:val="none" w:sz="0" w:space="0" w:color="auto"/>
        <w:left w:val="none" w:sz="0" w:space="0" w:color="auto"/>
        <w:bottom w:val="none" w:sz="0" w:space="0" w:color="auto"/>
        <w:right w:val="none" w:sz="0" w:space="0" w:color="auto"/>
      </w:divBdr>
    </w:div>
    <w:div w:id="1766878474">
      <w:bodyDiv w:val="1"/>
      <w:marLeft w:val="0"/>
      <w:marRight w:val="0"/>
      <w:marTop w:val="0"/>
      <w:marBottom w:val="0"/>
      <w:divBdr>
        <w:top w:val="none" w:sz="0" w:space="0" w:color="auto"/>
        <w:left w:val="none" w:sz="0" w:space="0" w:color="auto"/>
        <w:bottom w:val="none" w:sz="0" w:space="0" w:color="auto"/>
        <w:right w:val="none" w:sz="0" w:space="0" w:color="auto"/>
      </w:divBdr>
    </w:div>
    <w:div w:id="1769278495">
      <w:bodyDiv w:val="1"/>
      <w:marLeft w:val="0"/>
      <w:marRight w:val="0"/>
      <w:marTop w:val="0"/>
      <w:marBottom w:val="0"/>
      <w:divBdr>
        <w:top w:val="none" w:sz="0" w:space="0" w:color="auto"/>
        <w:left w:val="none" w:sz="0" w:space="0" w:color="auto"/>
        <w:bottom w:val="none" w:sz="0" w:space="0" w:color="auto"/>
        <w:right w:val="none" w:sz="0" w:space="0" w:color="auto"/>
      </w:divBdr>
    </w:div>
    <w:div w:id="1802650558">
      <w:bodyDiv w:val="1"/>
      <w:marLeft w:val="0"/>
      <w:marRight w:val="0"/>
      <w:marTop w:val="0"/>
      <w:marBottom w:val="0"/>
      <w:divBdr>
        <w:top w:val="none" w:sz="0" w:space="0" w:color="auto"/>
        <w:left w:val="none" w:sz="0" w:space="0" w:color="auto"/>
        <w:bottom w:val="none" w:sz="0" w:space="0" w:color="auto"/>
        <w:right w:val="none" w:sz="0" w:space="0" w:color="auto"/>
      </w:divBdr>
    </w:div>
    <w:div w:id="1809976692">
      <w:bodyDiv w:val="1"/>
      <w:marLeft w:val="0"/>
      <w:marRight w:val="0"/>
      <w:marTop w:val="0"/>
      <w:marBottom w:val="0"/>
      <w:divBdr>
        <w:top w:val="none" w:sz="0" w:space="0" w:color="auto"/>
        <w:left w:val="none" w:sz="0" w:space="0" w:color="auto"/>
        <w:bottom w:val="none" w:sz="0" w:space="0" w:color="auto"/>
        <w:right w:val="none" w:sz="0" w:space="0" w:color="auto"/>
      </w:divBdr>
    </w:div>
    <w:div w:id="1900020911">
      <w:bodyDiv w:val="1"/>
      <w:marLeft w:val="0"/>
      <w:marRight w:val="0"/>
      <w:marTop w:val="0"/>
      <w:marBottom w:val="0"/>
      <w:divBdr>
        <w:top w:val="none" w:sz="0" w:space="0" w:color="auto"/>
        <w:left w:val="none" w:sz="0" w:space="0" w:color="auto"/>
        <w:bottom w:val="none" w:sz="0" w:space="0" w:color="auto"/>
        <w:right w:val="none" w:sz="0" w:space="0" w:color="auto"/>
      </w:divBdr>
    </w:div>
    <w:div w:id="1905600122">
      <w:bodyDiv w:val="1"/>
      <w:marLeft w:val="0"/>
      <w:marRight w:val="0"/>
      <w:marTop w:val="0"/>
      <w:marBottom w:val="0"/>
      <w:divBdr>
        <w:top w:val="none" w:sz="0" w:space="0" w:color="auto"/>
        <w:left w:val="none" w:sz="0" w:space="0" w:color="auto"/>
        <w:bottom w:val="none" w:sz="0" w:space="0" w:color="auto"/>
        <w:right w:val="none" w:sz="0" w:space="0" w:color="auto"/>
      </w:divBdr>
    </w:div>
    <w:div w:id="1919514193">
      <w:bodyDiv w:val="1"/>
      <w:marLeft w:val="0"/>
      <w:marRight w:val="0"/>
      <w:marTop w:val="0"/>
      <w:marBottom w:val="0"/>
      <w:divBdr>
        <w:top w:val="none" w:sz="0" w:space="0" w:color="auto"/>
        <w:left w:val="none" w:sz="0" w:space="0" w:color="auto"/>
        <w:bottom w:val="none" w:sz="0" w:space="0" w:color="auto"/>
        <w:right w:val="none" w:sz="0" w:space="0" w:color="auto"/>
      </w:divBdr>
    </w:div>
    <w:div w:id="1922525985">
      <w:bodyDiv w:val="1"/>
      <w:marLeft w:val="0"/>
      <w:marRight w:val="0"/>
      <w:marTop w:val="0"/>
      <w:marBottom w:val="0"/>
      <w:divBdr>
        <w:top w:val="none" w:sz="0" w:space="0" w:color="auto"/>
        <w:left w:val="none" w:sz="0" w:space="0" w:color="auto"/>
        <w:bottom w:val="none" w:sz="0" w:space="0" w:color="auto"/>
        <w:right w:val="none" w:sz="0" w:space="0" w:color="auto"/>
      </w:divBdr>
    </w:div>
    <w:div w:id="1957909171">
      <w:bodyDiv w:val="1"/>
      <w:marLeft w:val="0"/>
      <w:marRight w:val="0"/>
      <w:marTop w:val="0"/>
      <w:marBottom w:val="0"/>
      <w:divBdr>
        <w:top w:val="none" w:sz="0" w:space="0" w:color="auto"/>
        <w:left w:val="none" w:sz="0" w:space="0" w:color="auto"/>
        <w:bottom w:val="none" w:sz="0" w:space="0" w:color="auto"/>
        <w:right w:val="none" w:sz="0" w:space="0" w:color="auto"/>
      </w:divBdr>
    </w:div>
    <w:div w:id="1959528301">
      <w:bodyDiv w:val="1"/>
      <w:marLeft w:val="0"/>
      <w:marRight w:val="0"/>
      <w:marTop w:val="0"/>
      <w:marBottom w:val="0"/>
      <w:divBdr>
        <w:top w:val="none" w:sz="0" w:space="0" w:color="auto"/>
        <w:left w:val="none" w:sz="0" w:space="0" w:color="auto"/>
        <w:bottom w:val="none" w:sz="0" w:space="0" w:color="auto"/>
        <w:right w:val="none" w:sz="0" w:space="0" w:color="auto"/>
      </w:divBdr>
    </w:div>
    <w:div w:id="1966961364">
      <w:bodyDiv w:val="1"/>
      <w:marLeft w:val="0"/>
      <w:marRight w:val="0"/>
      <w:marTop w:val="0"/>
      <w:marBottom w:val="0"/>
      <w:divBdr>
        <w:top w:val="none" w:sz="0" w:space="0" w:color="auto"/>
        <w:left w:val="none" w:sz="0" w:space="0" w:color="auto"/>
        <w:bottom w:val="none" w:sz="0" w:space="0" w:color="auto"/>
        <w:right w:val="none" w:sz="0" w:space="0" w:color="auto"/>
      </w:divBdr>
    </w:div>
    <w:div w:id="1995839011">
      <w:bodyDiv w:val="1"/>
      <w:marLeft w:val="0"/>
      <w:marRight w:val="0"/>
      <w:marTop w:val="0"/>
      <w:marBottom w:val="0"/>
      <w:divBdr>
        <w:top w:val="none" w:sz="0" w:space="0" w:color="auto"/>
        <w:left w:val="none" w:sz="0" w:space="0" w:color="auto"/>
        <w:bottom w:val="none" w:sz="0" w:space="0" w:color="auto"/>
        <w:right w:val="none" w:sz="0" w:space="0" w:color="auto"/>
      </w:divBdr>
    </w:div>
    <w:div w:id="2016958723">
      <w:bodyDiv w:val="1"/>
      <w:marLeft w:val="0"/>
      <w:marRight w:val="0"/>
      <w:marTop w:val="0"/>
      <w:marBottom w:val="0"/>
      <w:divBdr>
        <w:top w:val="none" w:sz="0" w:space="0" w:color="auto"/>
        <w:left w:val="none" w:sz="0" w:space="0" w:color="auto"/>
        <w:bottom w:val="none" w:sz="0" w:space="0" w:color="auto"/>
        <w:right w:val="none" w:sz="0" w:space="0" w:color="auto"/>
      </w:divBdr>
    </w:div>
    <w:div w:id="2040931729">
      <w:bodyDiv w:val="1"/>
      <w:marLeft w:val="0"/>
      <w:marRight w:val="0"/>
      <w:marTop w:val="0"/>
      <w:marBottom w:val="0"/>
      <w:divBdr>
        <w:top w:val="none" w:sz="0" w:space="0" w:color="auto"/>
        <w:left w:val="none" w:sz="0" w:space="0" w:color="auto"/>
        <w:bottom w:val="none" w:sz="0" w:space="0" w:color="auto"/>
        <w:right w:val="none" w:sz="0" w:space="0" w:color="auto"/>
      </w:divBdr>
    </w:div>
    <w:div w:id="2064861959">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sChild>
        <w:div w:id="1844666251">
          <w:marLeft w:val="0"/>
          <w:marRight w:val="0"/>
          <w:marTop w:val="0"/>
          <w:marBottom w:val="0"/>
          <w:divBdr>
            <w:top w:val="none" w:sz="0" w:space="0" w:color="auto"/>
            <w:left w:val="none" w:sz="0" w:space="0" w:color="auto"/>
            <w:bottom w:val="none" w:sz="0" w:space="0" w:color="auto"/>
            <w:right w:val="none" w:sz="0" w:space="0" w:color="auto"/>
          </w:divBdr>
          <w:divsChild>
            <w:div w:id="202596725">
              <w:marLeft w:val="0"/>
              <w:marRight w:val="0"/>
              <w:marTop w:val="0"/>
              <w:marBottom w:val="0"/>
              <w:divBdr>
                <w:top w:val="none" w:sz="0" w:space="0" w:color="auto"/>
                <w:left w:val="none" w:sz="0" w:space="0" w:color="auto"/>
                <w:bottom w:val="none" w:sz="0" w:space="0" w:color="auto"/>
                <w:right w:val="none" w:sz="0" w:space="0" w:color="auto"/>
              </w:divBdr>
              <w:divsChild>
                <w:div w:id="1917670356">
                  <w:marLeft w:val="0"/>
                  <w:marRight w:val="0"/>
                  <w:marTop w:val="0"/>
                  <w:marBottom w:val="0"/>
                  <w:divBdr>
                    <w:top w:val="none" w:sz="0" w:space="0" w:color="auto"/>
                    <w:left w:val="none" w:sz="0" w:space="0" w:color="auto"/>
                    <w:bottom w:val="none" w:sz="0" w:space="0" w:color="auto"/>
                    <w:right w:val="none" w:sz="0" w:space="0" w:color="auto"/>
                  </w:divBdr>
                  <w:divsChild>
                    <w:div w:id="55469136">
                      <w:marLeft w:val="0"/>
                      <w:marRight w:val="0"/>
                      <w:marTop w:val="0"/>
                      <w:marBottom w:val="0"/>
                      <w:divBdr>
                        <w:top w:val="none" w:sz="0" w:space="0" w:color="auto"/>
                        <w:left w:val="none" w:sz="0" w:space="0" w:color="auto"/>
                        <w:bottom w:val="none" w:sz="0" w:space="0" w:color="auto"/>
                        <w:right w:val="none" w:sz="0" w:space="0" w:color="auto"/>
                      </w:divBdr>
                      <w:divsChild>
                        <w:div w:id="156656647">
                          <w:marLeft w:val="0"/>
                          <w:marRight w:val="0"/>
                          <w:marTop w:val="0"/>
                          <w:marBottom w:val="0"/>
                          <w:divBdr>
                            <w:top w:val="none" w:sz="0" w:space="0" w:color="auto"/>
                            <w:left w:val="none" w:sz="0" w:space="0" w:color="auto"/>
                            <w:bottom w:val="none" w:sz="0" w:space="0" w:color="auto"/>
                            <w:right w:val="none" w:sz="0" w:space="0" w:color="auto"/>
                          </w:divBdr>
                          <w:divsChild>
                            <w:div w:id="388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526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4063243">
      <w:bodyDiv w:val="1"/>
      <w:marLeft w:val="0"/>
      <w:marRight w:val="0"/>
      <w:marTop w:val="0"/>
      <w:marBottom w:val="0"/>
      <w:divBdr>
        <w:top w:val="none" w:sz="0" w:space="0" w:color="auto"/>
        <w:left w:val="none" w:sz="0" w:space="0" w:color="auto"/>
        <w:bottom w:val="none" w:sz="0" w:space="0" w:color="auto"/>
        <w:right w:val="none" w:sz="0" w:space="0" w:color="auto"/>
      </w:divBdr>
      <w:divsChild>
        <w:div w:id="556742770">
          <w:marLeft w:val="0"/>
          <w:marRight w:val="0"/>
          <w:marTop w:val="0"/>
          <w:marBottom w:val="0"/>
          <w:divBdr>
            <w:top w:val="none" w:sz="0" w:space="0" w:color="auto"/>
            <w:left w:val="none" w:sz="0" w:space="0" w:color="auto"/>
            <w:bottom w:val="none" w:sz="0" w:space="0" w:color="auto"/>
            <w:right w:val="none" w:sz="0" w:space="0" w:color="auto"/>
          </w:divBdr>
          <w:divsChild>
            <w:div w:id="345136320">
              <w:marLeft w:val="0"/>
              <w:marRight w:val="0"/>
              <w:marTop w:val="0"/>
              <w:marBottom w:val="0"/>
              <w:divBdr>
                <w:top w:val="none" w:sz="0" w:space="0" w:color="auto"/>
                <w:left w:val="none" w:sz="0" w:space="0" w:color="auto"/>
                <w:bottom w:val="none" w:sz="0" w:space="0" w:color="auto"/>
                <w:right w:val="none" w:sz="0" w:space="0" w:color="auto"/>
              </w:divBdr>
              <w:divsChild>
                <w:div w:id="1891381042">
                  <w:marLeft w:val="0"/>
                  <w:marRight w:val="0"/>
                  <w:marTop w:val="0"/>
                  <w:marBottom w:val="0"/>
                  <w:divBdr>
                    <w:top w:val="none" w:sz="0" w:space="0" w:color="auto"/>
                    <w:left w:val="none" w:sz="0" w:space="0" w:color="auto"/>
                    <w:bottom w:val="none" w:sz="0" w:space="0" w:color="auto"/>
                    <w:right w:val="none" w:sz="0" w:space="0" w:color="auto"/>
                  </w:divBdr>
                  <w:divsChild>
                    <w:div w:id="2022655818">
                      <w:marLeft w:val="0"/>
                      <w:marRight w:val="0"/>
                      <w:marTop w:val="0"/>
                      <w:marBottom w:val="0"/>
                      <w:divBdr>
                        <w:top w:val="none" w:sz="0" w:space="0" w:color="auto"/>
                        <w:left w:val="none" w:sz="0" w:space="0" w:color="auto"/>
                        <w:bottom w:val="none" w:sz="0" w:space="0" w:color="auto"/>
                        <w:right w:val="none" w:sz="0" w:space="0" w:color="auto"/>
                      </w:divBdr>
                      <w:divsChild>
                        <w:div w:id="1802574786">
                          <w:marLeft w:val="0"/>
                          <w:marRight w:val="0"/>
                          <w:marTop w:val="0"/>
                          <w:marBottom w:val="0"/>
                          <w:divBdr>
                            <w:top w:val="none" w:sz="0" w:space="0" w:color="auto"/>
                            <w:left w:val="none" w:sz="0" w:space="0" w:color="auto"/>
                            <w:bottom w:val="none" w:sz="0" w:space="0" w:color="auto"/>
                            <w:right w:val="none" w:sz="0" w:space="0" w:color="auto"/>
                          </w:divBdr>
                          <w:divsChild>
                            <w:div w:id="207882977">
                              <w:marLeft w:val="0"/>
                              <w:marRight w:val="0"/>
                              <w:marTop w:val="0"/>
                              <w:marBottom w:val="0"/>
                              <w:divBdr>
                                <w:top w:val="none" w:sz="0" w:space="0" w:color="auto"/>
                                <w:left w:val="none" w:sz="0" w:space="0" w:color="auto"/>
                                <w:bottom w:val="none" w:sz="0" w:space="0" w:color="auto"/>
                                <w:right w:val="none" w:sz="0" w:space="0" w:color="auto"/>
                              </w:divBdr>
                              <w:divsChild>
                                <w:div w:id="936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94219">
                          <w:marLeft w:val="0"/>
                          <w:marRight w:val="0"/>
                          <w:marTop w:val="0"/>
                          <w:marBottom w:val="0"/>
                          <w:divBdr>
                            <w:top w:val="none" w:sz="0" w:space="0" w:color="auto"/>
                            <w:left w:val="none" w:sz="0" w:space="0" w:color="auto"/>
                            <w:bottom w:val="none" w:sz="0" w:space="0" w:color="auto"/>
                            <w:right w:val="none" w:sz="0" w:space="0" w:color="auto"/>
                          </w:divBdr>
                          <w:divsChild>
                            <w:div w:id="1370767100">
                              <w:marLeft w:val="0"/>
                              <w:marRight w:val="0"/>
                              <w:marTop w:val="0"/>
                              <w:marBottom w:val="0"/>
                              <w:divBdr>
                                <w:top w:val="none" w:sz="0" w:space="0" w:color="auto"/>
                                <w:left w:val="none" w:sz="0" w:space="0" w:color="auto"/>
                                <w:bottom w:val="none" w:sz="0" w:space="0" w:color="auto"/>
                                <w:right w:val="none" w:sz="0" w:space="0" w:color="auto"/>
                              </w:divBdr>
                              <w:divsChild>
                                <w:div w:id="1743021472">
                                  <w:marLeft w:val="0"/>
                                  <w:marRight w:val="0"/>
                                  <w:marTop w:val="0"/>
                                  <w:marBottom w:val="0"/>
                                  <w:divBdr>
                                    <w:top w:val="none" w:sz="0" w:space="0" w:color="auto"/>
                                    <w:left w:val="none" w:sz="0" w:space="0" w:color="auto"/>
                                    <w:bottom w:val="none" w:sz="0" w:space="0" w:color="auto"/>
                                    <w:right w:val="none" w:sz="0" w:space="0" w:color="auto"/>
                                  </w:divBdr>
                                  <w:divsChild>
                                    <w:div w:id="18578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8762">
              <w:marLeft w:val="0"/>
              <w:marRight w:val="0"/>
              <w:marTop w:val="0"/>
              <w:marBottom w:val="0"/>
              <w:divBdr>
                <w:top w:val="none" w:sz="0" w:space="0" w:color="auto"/>
                <w:left w:val="none" w:sz="0" w:space="0" w:color="auto"/>
                <w:bottom w:val="none" w:sz="0" w:space="0" w:color="auto"/>
                <w:right w:val="none" w:sz="0" w:space="0" w:color="auto"/>
              </w:divBdr>
              <w:divsChild>
                <w:div w:id="2019693060">
                  <w:marLeft w:val="0"/>
                  <w:marRight w:val="0"/>
                  <w:marTop w:val="0"/>
                  <w:marBottom w:val="0"/>
                  <w:divBdr>
                    <w:top w:val="none" w:sz="0" w:space="0" w:color="auto"/>
                    <w:left w:val="none" w:sz="0" w:space="0" w:color="auto"/>
                    <w:bottom w:val="none" w:sz="0" w:space="0" w:color="auto"/>
                    <w:right w:val="none" w:sz="0" w:space="0" w:color="auto"/>
                  </w:divBdr>
                  <w:divsChild>
                    <w:div w:id="14641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4106">
      <w:bodyDiv w:val="1"/>
      <w:marLeft w:val="0"/>
      <w:marRight w:val="0"/>
      <w:marTop w:val="0"/>
      <w:marBottom w:val="0"/>
      <w:divBdr>
        <w:top w:val="none" w:sz="0" w:space="0" w:color="auto"/>
        <w:left w:val="none" w:sz="0" w:space="0" w:color="auto"/>
        <w:bottom w:val="none" w:sz="0" w:space="0" w:color="auto"/>
        <w:right w:val="none" w:sz="0" w:space="0" w:color="auto"/>
      </w:divBdr>
    </w:div>
    <w:div w:id="2119836483">
      <w:bodyDiv w:val="1"/>
      <w:marLeft w:val="0"/>
      <w:marRight w:val="0"/>
      <w:marTop w:val="0"/>
      <w:marBottom w:val="0"/>
      <w:divBdr>
        <w:top w:val="none" w:sz="0" w:space="0" w:color="auto"/>
        <w:left w:val="none" w:sz="0" w:space="0" w:color="auto"/>
        <w:bottom w:val="none" w:sz="0" w:space="0" w:color="auto"/>
        <w:right w:val="none" w:sz="0" w:space="0" w:color="auto"/>
      </w:divBdr>
    </w:div>
    <w:div w:id="213008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doi.org/10.1016/j.fintech.2024.02.005" TargetMode="External"/><Relationship Id="rId26" Type="http://schemas.openxmlformats.org/officeDocument/2006/relationships/hyperlink" Target="https://doi.org/10.1038/s41599-025-05473-9" TargetMode="External"/><Relationship Id="rId3" Type="http://schemas.openxmlformats.org/officeDocument/2006/relationships/customXml" Target="../customXml/item3.xml"/><Relationship Id="rId21" Type="http://schemas.openxmlformats.org/officeDocument/2006/relationships/hyperlink" Target="https://doi.org/10.3389/fbloc.2025.1551970"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hyperlink" Target="https://doi.org/10.33168/JSMS.2024.0516"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doi.org/10.3389/fbloc.2025.146363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45/3726122.3726195"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i.org/10.3389/fbloc.2025.1667848"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38/s41598-025-25457-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177/10245294241258255"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B68CE954168C47BAB44675E2961C29" ma:contentTypeVersion="18" ma:contentTypeDescription="Create a new document." ma:contentTypeScope="" ma:versionID="f40321997d1165aa0ec0bbea340b73e3">
  <xsd:schema xmlns:xsd="http://www.w3.org/2001/XMLSchema" xmlns:xs="http://www.w3.org/2001/XMLSchema" xmlns:p="http://schemas.microsoft.com/office/2006/metadata/properties" xmlns:ns3="c4b106c9-87e3-4fcd-b583-f769cefd0445" xmlns:ns4="6644ccbd-e963-4d07-926d-d8394ecf9693" targetNamespace="http://schemas.microsoft.com/office/2006/metadata/properties" ma:root="true" ma:fieldsID="c765b5e687282f431537d8014a507daa" ns3:_="" ns4:_="">
    <xsd:import namespace="c4b106c9-87e3-4fcd-b583-f769cefd0445"/>
    <xsd:import namespace="6644ccbd-e963-4d07-926d-d8394ecf96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106c9-87e3-4fcd-b583-f769cefd0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4ccbd-e963-4d07-926d-d8394ecf96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4b106c9-87e3-4fcd-b583-f769cefd044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627E1-AFEA-4745-9947-3947D5035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b106c9-87e3-4fcd-b583-f769cefd0445"/>
    <ds:schemaRef ds:uri="6644ccbd-e963-4d07-926d-d8394ecf9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37E97E-A9C8-4D68-BDC5-99D5114F1612}">
  <ds:schemaRefs>
    <ds:schemaRef ds:uri="http://schemas.microsoft.com/office/2006/metadata/properties"/>
    <ds:schemaRef ds:uri="http://schemas.microsoft.com/office/infopath/2007/PartnerControls"/>
    <ds:schemaRef ds:uri="c4b106c9-87e3-4fcd-b583-f769cefd0445"/>
  </ds:schemaRefs>
</ds:datastoreItem>
</file>

<file path=customXml/itemProps3.xml><?xml version="1.0" encoding="utf-8"?>
<ds:datastoreItem xmlns:ds="http://schemas.openxmlformats.org/officeDocument/2006/customXml" ds:itemID="{6818BBA5-3CEA-4F86-8185-20072C1CA093}">
  <ds:schemaRefs>
    <ds:schemaRef ds:uri="http://schemas.microsoft.com/sharepoint/v3/contenttype/forms"/>
  </ds:schemaRefs>
</ds:datastoreItem>
</file>

<file path=customXml/itemProps4.xml><?xml version="1.0" encoding="utf-8"?>
<ds:datastoreItem xmlns:ds="http://schemas.openxmlformats.org/officeDocument/2006/customXml" ds:itemID="{1C6F5C39-FB2A-4CEF-A3CD-97484E161995}">
  <ds:schemaRefs>
    <ds:schemaRef ds:uri="http://schemas.openxmlformats.org/officeDocument/2006/bibliography"/>
  </ds:schemaRefs>
</ds:datastoreItem>
</file>

<file path=docMetadata/LabelInfo.xml><?xml version="1.0" encoding="utf-8"?>
<clbl:labelList xmlns:clbl="http://schemas.microsoft.com/office/2020/mipLabelMetadata">
  <clbl:label id="{379ab6df-5e57-45e5-88c1-c1b425beebef}"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64</TotalTime>
  <Pages>127</Pages>
  <Words>27028</Words>
  <Characters>154060</Characters>
  <Application>Microsoft Office Word</Application>
  <DocSecurity>0</DocSecurity>
  <Lines>1283</Lines>
  <Paragraphs>361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Faisal</dc:creator>
  <cp:lastModifiedBy>Bandar AlGhamdi</cp:lastModifiedBy>
  <cp:revision>65</cp:revision>
  <cp:lastPrinted>2025-12-29T16:09:00Z</cp:lastPrinted>
  <dcterms:created xsi:type="dcterms:W3CDTF">2026-03-16T11:34:00Z</dcterms:created>
  <dcterms:modified xsi:type="dcterms:W3CDTF">2026-04-05T15:17:00Z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0x010100CCB68CE954168C47BAB44675E2961C29</vt:lpwstr>
  </property>
</Properties>
</file>