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7C3F7" w14:textId="77777777" w:rsidR="00B2501A" w:rsidRPr="007B0FB7" w:rsidRDefault="00244E40">
      <w:pPr>
        <w:bidi/>
        <w:jc w:val="center"/>
        <w:rPr>
          <w:rFonts w:ascii="Simplified Arabic" w:hAnsi="Simplified Arabic" w:cs="Simplified Arabic"/>
          <w:sz w:val="24"/>
          <w:szCs w:val="24"/>
        </w:rPr>
      </w:pPr>
      <w:r w:rsidRPr="007B0FB7">
        <w:rPr>
          <w:rFonts w:ascii="Simplified Arabic" w:eastAsia="Noto Sans Arabic" w:hAnsi="Simplified Arabic" w:cs="Simplified Arabic"/>
          <w:b/>
          <w:color w:val="1F4E79"/>
          <w:sz w:val="24"/>
          <w:szCs w:val="24"/>
        </w:rPr>
        <w:t>التقرير</w:t>
      </w:r>
      <w:r w:rsidRPr="007B0FB7">
        <w:rPr>
          <w:rFonts w:ascii="Simplified Arabic" w:eastAsia="Noto Sans Arabic" w:hAnsi="Simplified Arabic" w:cs="Simplified Arabic"/>
          <w:b/>
          <w:color w:val="1F4E79"/>
          <w:sz w:val="24"/>
          <w:szCs w:val="24"/>
        </w:rPr>
        <w:t xml:space="preserve"> </w:t>
      </w:r>
      <w:r w:rsidRPr="007B0FB7">
        <w:rPr>
          <w:rFonts w:ascii="Simplified Arabic" w:eastAsia="Noto Sans Arabic" w:hAnsi="Simplified Arabic" w:cs="Simplified Arabic"/>
          <w:b/>
          <w:color w:val="1F4E79"/>
          <w:sz w:val="24"/>
          <w:szCs w:val="24"/>
        </w:rPr>
        <w:t>النهائي</w:t>
      </w:r>
      <w:r w:rsidRPr="007B0FB7">
        <w:rPr>
          <w:rFonts w:ascii="Simplified Arabic" w:eastAsia="Noto Sans Arabic" w:hAnsi="Simplified Arabic" w:cs="Simplified Arabic"/>
          <w:b/>
          <w:color w:val="1F4E79"/>
          <w:sz w:val="24"/>
          <w:szCs w:val="24"/>
        </w:rPr>
        <w:t xml:space="preserve"> </w:t>
      </w:r>
      <w:r w:rsidRPr="007B0FB7">
        <w:rPr>
          <w:rFonts w:ascii="Simplified Arabic" w:eastAsia="Noto Sans Arabic" w:hAnsi="Simplified Arabic" w:cs="Simplified Arabic"/>
          <w:b/>
          <w:color w:val="1F4E79"/>
          <w:sz w:val="24"/>
          <w:szCs w:val="24"/>
        </w:rPr>
        <w:t>لمراجعة</w:t>
      </w:r>
      <w:r w:rsidRPr="007B0FB7">
        <w:rPr>
          <w:rFonts w:ascii="Simplified Arabic" w:eastAsia="Noto Sans Arabic" w:hAnsi="Simplified Arabic" w:cs="Simplified Arabic"/>
          <w:b/>
          <w:color w:val="1F4E79"/>
          <w:sz w:val="24"/>
          <w:szCs w:val="24"/>
        </w:rPr>
        <w:t xml:space="preserve"> </w:t>
      </w:r>
      <w:r w:rsidRPr="007B0FB7">
        <w:rPr>
          <w:rFonts w:ascii="Simplified Arabic" w:eastAsia="Noto Sans Arabic" w:hAnsi="Simplified Arabic" w:cs="Simplified Arabic"/>
          <w:b/>
          <w:color w:val="1F4E79"/>
          <w:sz w:val="24"/>
          <w:szCs w:val="24"/>
        </w:rPr>
        <w:t>الفصل</w:t>
      </w:r>
      <w:r w:rsidRPr="007B0FB7">
        <w:rPr>
          <w:rFonts w:ascii="Simplified Arabic" w:eastAsia="Noto Sans Arabic" w:hAnsi="Simplified Arabic" w:cs="Simplified Arabic"/>
          <w:b/>
          <w:color w:val="1F4E79"/>
          <w:sz w:val="24"/>
          <w:szCs w:val="24"/>
        </w:rPr>
        <w:t xml:space="preserve"> </w:t>
      </w:r>
      <w:r w:rsidRPr="007B0FB7">
        <w:rPr>
          <w:rFonts w:ascii="Simplified Arabic" w:eastAsia="Noto Sans Arabic" w:hAnsi="Simplified Arabic" w:cs="Simplified Arabic"/>
          <w:b/>
          <w:color w:val="1F4E79"/>
          <w:sz w:val="24"/>
          <w:szCs w:val="24"/>
        </w:rPr>
        <w:t>الثاني</w:t>
      </w:r>
    </w:p>
    <w:p w14:paraId="3705C342" w14:textId="77777777" w:rsidR="00B2501A" w:rsidRPr="007B0FB7" w:rsidRDefault="00244E40">
      <w:pPr>
        <w:bidi/>
        <w:jc w:val="center"/>
        <w:rPr>
          <w:rFonts w:ascii="Simplified Arabic" w:hAnsi="Simplified Arabic" w:cs="Simplified Arabic"/>
          <w:sz w:val="24"/>
          <w:szCs w:val="24"/>
        </w:rPr>
      </w:pPr>
      <w:r w:rsidRPr="007B0FB7">
        <w:rPr>
          <w:rFonts w:ascii="Simplified Arabic" w:eastAsia="Noto Sans Arabic" w:hAnsi="Simplified Arabic" w:cs="Simplified Arabic"/>
          <w:b/>
          <w:sz w:val="24"/>
          <w:szCs w:val="24"/>
        </w:rPr>
        <w:t>الإطار</w:t>
      </w:r>
      <w:r w:rsidRPr="007B0FB7">
        <w:rPr>
          <w:rFonts w:ascii="Simplified Arabic" w:eastAsia="Noto Sans Arabic" w:hAnsi="Simplified Arabic" w:cs="Simplified Arabic"/>
          <w:b/>
          <w:sz w:val="24"/>
          <w:szCs w:val="24"/>
        </w:rPr>
        <w:t xml:space="preserve"> </w:t>
      </w:r>
      <w:r w:rsidRPr="007B0FB7">
        <w:rPr>
          <w:rFonts w:ascii="Simplified Arabic" w:eastAsia="Noto Sans Arabic" w:hAnsi="Simplified Arabic" w:cs="Simplified Arabic"/>
          <w:b/>
          <w:sz w:val="24"/>
          <w:szCs w:val="24"/>
        </w:rPr>
        <w:t>النظري</w:t>
      </w:r>
      <w:r w:rsidRPr="007B0FB7">
        <w:rPr>
          <w:rFonts w:ascii="Simplified Arabic" w:eastAsia="Noto Sans Arabic" w:hAnsi="Simplified Arabic" w:cs="Simplified Arabic"/>
          <w:b/>
          <w:sz w:val="24"/>
          <w:szCs w:val="24"/>
        </w:rPr>
        <w:t xml:space="preserve"> </w:t>
      </w:r>
      <w:r w:rsidRPr="007B0FB7">
        <w:rPr>
          <w:rFonts w:ascii="Simplified Arabic" w:eastAsia="Noto Sans Arabic" w:hAnsi="Simplified Arabic" w:cs="Simplified Arabic"/>
          <w:b/>
          <w:sz w:val="24"/>
          <w:szCs w:val="24"/>
        </w:rPr>
        <w:t>والدراسات</w:t>
      </w:r>
      <w:r w:rsidRPr="007B0FB7">
        <w:rPr>
          <w:rFonts w:ascii="Simplified Arabic" w:eastAsia="Noto Sans Arabic" w:hAnsi="Simplified Arabic" w:cs="Simplified Arabic"/>
          <w:b/>
          <w:sz w:val="24"/>
          <w:szCs w:val="24"/>
        </w:rPr>
        <w:t xml:space="preserve"> </w:t>
      </w:r>
      <w:r w:rsidRPr="007B0FB7">
        <w:rPr>
          <w:rFonts w:ascii="Simplified Arabic" w:eastAsia="Noto Sans Arabic" w:hAnsi="Simplified Arabic" w:cs="Simplified Arabic"/>
          <w:b/>
          <w:sz w:val="24"/>
          <w:szCs w:val="24"/>
        </w:rPr>
        <w:t>السابقة</w:t>
      </w:r>
    </w:p>
    <w:tbl>
      <w:tblPr>
        <w:tblStyle w:val="TableGrid"/>
        <w:tblW w:w="0" w:type="auto"/>
        <w:jc w:val="center"/>
        <w:tblLook w:val="04A0" w:firstRow="1" w:lastRow="0" w:firstColumn="1" w:lastColumn="0" w:noHBand="0" w:noVBand="1"/>
      </w:tblPr>
      <w:tblGrid>
        <w:gridCol w:w="6520"/>
        <w:gridCol w:w="2551"/>
      </w:tblGrid>
      <w:tr w:rsidR="007B0FB7" w:rsidRPr="007B0FB7" w14:paraId="7F65A43B" w14:textId="77777777" w:rsidTr="00635B4B">
        <w:trPr>
          <w:jc w:val="center"/>
        </w:trPr>
        <w:tc>
          <w:tcPr>
            <w:tcW w:w="6520" w:type="dxa"/>
          </w:tcPr>
          <w:p w14:paraId="73207D6F" w14:textId="7FAB3B78" w:rsidR="007B0FB7" w:rsidRPr="007B0FB7" w:rsidRDefault="007B0FB7" w:rsidP="007B0FB7">
            <w:pPr>
              <w:bidi/>
              <w:jc w:val="both"/>
              <w:rPr>
                <w:rFonts w:ascii="Simplified Arabic" w:hAnsi="Simplified Arabic" w:cs="Simplified Arabic"/>
                <w:sz w:val="24"/>
                <w:szCs w:val="24"/>
              </w:rPr>
            </w:pPr>
            <w:r w:rsidRPr="007B0FB7">
              <w:rPr>
                <w:rFonts w:ascii="Simplified Arabic" w:hAnsi="Simplified Arabic" w:cs="Simplified Arabic"/>
                <w:sz w:val="24"/>
                <w:szCs w:val="24"/>
                <w:rtl/>
              </w:rPr>
              <w:t>عبد الله مجزع الرويلي</w:t>
            </w:r>
          </w:p>
        </w:tc>
        <w:tc>
          <w:tcPr>
            <w:tcW w:w="2551" w:type="dxa"/>
            <w:shd w:val="clear" w:color="auto" w:fill="D9EAF7"/>
            <w:vAlign w:val="center"/>
          </w:tcPr>
          <w:p w14:paraId="40790FF3" w14:textId="77777777" w:rsidR="007B0FB7" w:rsidRPr="007B0FB7" w:rsidRDefault="007B0FB7" w:rsidP="007B0FB7">
            <w:pPr>
              <w:bidi/>
              <w:jc w:val="center"/>
              <w:rPr>
                <w:rFonts w:ascii="Simplified Arabic" w:hAnsi="Simplified Arabic" w:cs="Simplified Arabic"/>
                <w:sz w:val="24"/>
                <w:szCs w:val="24"/>
              </w:rPr>
            </w:pPr>
            <w:r w:rsidRPr="007B0FB7">
              <w:rPr>
                <w:rFonts w:ascii="Simplified Arabic" w:eastAsia="Noto Sans Arabic" w:hAnsi="Simplified Arabic" w:cs="Simplified Arabic"/>
                <w:b/>
                <w:color w:val="1F1F1F"/>
                <w:sz w:val="24"/>
                <w:szCs w:val="24"/>
              </w:rPr>
              <w:t>اسم الطالب</w:t>
            </w:r>
          </w:p>
        </w:tc>
      </w:tr>
      <w:tr w:rsidR="007B0FB7" w:rsidRPr="007B0FB7" w14:paraId="60DA0BE7" w14:textId="77777777" w:rsidTr="00635B4B">
        <w:trPr>
          <w:jc w:val="center"/>
        </w:trPr>
        <w:tc>
          <w:tcPr>
            <w:tcW w:w="6520" w:type="dxa"/>
          </w:tcPr>
          <w:p w14:paraId="795A6C28" w14:textId="3BD4441A" w:rsidR="007B0FB7" w:rsidRPr="007B0FB7" w:rsidRDefault="007B0FB7" w:rsidP="007B0FB7">
            <w:pPr>
              <w:bidi/>
              <w:jc w:val="both"/>
              <w:rPr>
                <w:rFonts w:ascii="Simplified Arabic" w:hAnsi="Simplified Arabic" w:cs="Simplified Arabic"/>
                <w:sz w:val="24"/>
                <w:szCs w:val="24"/>
              </w:rPr>
            </w:pPr>
            <w:r w:rsidRPr="007B0FB7">
              <w:rPr>
                <w:rFonts w:ascii="Simplified Arabic" w:hAnsi="Simplified Arabic" w:cs="Simplified Arabic"/>
                <w:sz w:val="24"/>
                <w:szCs w:val="24"/>
                <w:rtl/>
              </w:rPr>
              <w:t>دور القيادة التحويلية على ثقافة السلامة في مستشفيات القطاع الحكومي: دراسة ميدانية في منطقة الجوف في المملكة العربية السعودية</w:t>
            </w:r>
          </w:p>
        </w:tc>
        <w:tc>
          <w:tcPr>
            <w:tcW w:w="2551" w:type="dxa"/>
            <w:shd w:val="clear" w:color="auto" w:fill="D9EAF7"/>
            <w:vAlign w:val="center"/>
          </w:tcPr>
          <w:p w14:paraId="1CF43D22" w14:textId="77777777" w:rsidR="007B0FB7" w:rsidRPr="007B0FB7" w:rsidRDefault="007B0FB7" w:rsidP="007B0FB7">
            <w:pPr>
              <w:bidi/>
              <w:jc w:val="center"/>
              <w:rPr>
                <w:rFonts w:ascii="Simplified Arabic" w:hAnsi="Simplified Arabic" w:cs="Simplified Arabic"/>
                <w:sz w:val="24"/>
                <w:szCs w:val="24"/>
              </w:rPr>
            </w:pPr>
            <w:r w:rsidRPr="007B0FB7">
              <w:rPr>
                <w:rFonts w:ascii="Simplified Arabic" w:eastAsia="Noto Sans Arabic" w:hAnsi="Simplified Arabic" w:cs="Simplified Arabic"/>
                <w:b/>
                <w:color w:val="1F1F1F"/>
                <w:sz w:val="24"/>
                <w:szCs w:val="24"/>
              </w:rPr>
              <w:t>موضوع الرسالة</w:t>
            </w:r>
          </w:p>
        </w:tc>
      </w:tr>
      <w:tr w:rsidR="007B0FB7" w:rsidRPr="007B0FB7" w14:paraId="34412232" w14:textId="77777777" w:rsidTr="00635B4B">
        <w:trPr>
          <w:jc w:val="center"/>
        </w:trPr>
        <w:tc>
          <w:tcPr>
            <w:tcW w:w="6520" w:type="dxa"/>
          </w:tcPr>
          <w:p w14:paraId="280792DB" w14:textId="560BC438" w:rsidR="007B0FB7" w:rsidRPr="007B0FB7" w:rsidRDefault="007B0FB7" w:rsidP="007B0FB7">
            <w:pPr>
              <w:bidi/>
              <w:jc w:val="both"/>
              <w:rPr>
                <w:rFonts w:ascii="Simplified Arabic" w:hAnsi="Simplified Arabic" w:cs="Simplified Arabic"/>
                <w:sz w:val="24"/>
                <w:szCs w:val="24"/>
              </w:rPr>
            </w:pPr>
            <w:r w:rsidRPr="007B0FB7">
              <w:rPr>
                <w:rFonts w:ascii="Simplified Arabic" w:hAnsi="Simplified Arabic" w:cs="Simplified Arabic"/>
                <w:sz w:val="24"/>
                <w:szCs w:val="24"/>
                <w:rtl/>
              </w:rPr>
              <w:t>مقارنة بين تقرير المراجعة السابق والنسخة الحالية للفصل الثاني</w:t>
            </w:r>
          </w:p>
        </w:tc>
        <w:tc>
          <w:tcPr>
            <w:tcW w:w="2551" w:type="dxa"/>
            <w:shd w:val="clear" w:color="auto" w:fill="D9EAF7"/>
            <w:vAlign w:val="center"/>
          </w:tcPr>
          <w:p w14:paraId="4599B1A7" w14:textId="77777777" w:rsidR="007B0FB7" w:rsidRPr="007B0FB7" w:rsidRDefault="007B0FB7" w:rsidP="007B0FB7">
            <w:pPr>
              <w:bidi/>
              <w:jc w:val="center"/>
              <w:rPr>
                <w:rFonts w:ascii="Simplified Arabic" w:hAnsi="Simplified Arabic" w:cs="Simplified Arabic"/>
                <w:sz w:val="24"/>
                <w:szCs w:val="24"/>
              </w:rPr>
            </w:pPr>
            <w:r w:rsidRPr="007B0FB7">
              <w:rPr>
                <w:rFonts w:ascii="Simplified Arabic" w:eastAsia="Noto Sans Arabic" w:hAnsi="Simplified Arabic" w:cs="Simplified Arabic"/>
                <w:b/>
                <w:color w:val="1F1F1F"/>
                <w:sz w:val="24"/>
                <w:szCs w:val="24"/>
              </w:rPr>
              <w:t>نوع المراجعة</w:t>
            </w:r>
          </w:p>
        </w:tc>
      </w:tr>
      <w:tr w:rsidR="007B0FB7" w:rsidRPr="007B0FB7" w14:paraId="6F236085" w14:textId="77777777" w:rsidTr="00635B4B">
        <w:trPr>
          <w:jc w:val="center"/>
        </w:trPr>
        <w:tc>
          <w:tcPr>
            <w:tcW w:w="6520" w:type="dxa"/>
          </w:tcPr>
          <w:p w14:paraId="41C9996D" w14:textId="167709A7" w:rsidR="007B0FB7" w:rsidRPr="007B0FB7" w:rsidRDefault="007B0FB7" w:rsidP="007B0FB7">
            <w:pPr>
              <w:bidi/>
              <w:jc w:val="both"/>
              <w:rPr>
                <w:rFonts w:ascii="Simplified Arabic" w:hAnsi="Simplified Arabic" w:cs="Simplified Arabic"/>
                <w:sz w:val="24"/>
                <w:szCs w:val="24"/>
              </w:rPr>
            </w:pPr>
            <w:r w:rsidRPr="007B0FB7">
              <w:rPr>
                <w:rFonts w:ascii="Simplified Arabic" w:hAnsi="Simplified Arabic" w:cs="Simplified Arabic"/>
                <w:sz w:val="24"/>
                <w:szCs w:val="24"/>
                <w:rtl/>
              </w:rPr>
              <w:t>مقبول مع تعديلات بسيطة</w:t>
            </w:r>
          </w:p>
        </w:tc>
        <w:tc>
          <w:tcPr>
            <w:tcW w:w="2551" w:type="dxa"/>
            <w:shd w:val="clear" w:color="auto" w:fill="D9EAF7"/>
            <w:vAlign w:val="center"/>
          </w:tcPr>
          <w:p w14:paraId="6E0FCC74" w14:textId="77777777" w:rsidR="007B0FB7" w:rsidRPr="007B0FB7" w:rsidRDefault="007B0FB7" w:rsidP="007B0FB7">
            <w:pPr>
              <w:bidi/>
              <w:jc w:val="center"/>
              <w:rPr>
                <w:rFonts w:ascii="Simplified Arabic" w:hAnsi="Simplified Arabic" w:cs="Simplified Arabic"/>
                <w:sz w:val="24"/>
                <w:szCs w:val="24"/>
              </w:rPr>
            </w:pPr>
            <w:r w:rsidRPr="007B0FB7">
              <w:rPr>
                <w:rFonts w:ascii="Simplified Arabic" w:eastAsia="Noto Sans Arabic" w:hAnsi="Simplified Arabic" w:cs="Simplified Arabic"/>
                <w:b/>
                <w:color w:val="1F1F1F"/>
                <w:sz w:val="24"/>
                <w:szCs w:val="24"/>
              </w:rPr>
              <w:t>قرار المراجعة</w:t>
            </w:r>
          </w:p>
        </w:tc>
      </w:tr>
    </w:tbl>
    <w:p w14:paraId="572BF76E" w14:textId="77777777" w:rsidR="00B2501A" w:rsidRPr="007B0FB7" w:rsidRDefault="00244E40" w:rsidP="007B0FB7">
      <w:pPr>
        <w:bidi/>
        <w:spacing w:before="240"/>
        <w:rPr>
          <w:rFonts w:ascii="Simplified Arabic" w:hAnsi="Simplified Arabic" w:cs="Simplified Arabic"/>
          <w:sz w:val="24"/>
          <w:szCs w:val="24"/>
        </w:rPr>
      </w:pPr>
      <w:proofErr w:type="spellStart"/>
      <w:r w:rsidRPr="007B0FB7">
        <w:rPr>
          <w:rFonts w:ascii="Simplified Arabic" w:eastAsia="Noto Sans Arabic" w:hAnsi="Simplified Arabic" w:cs="Simplified Arabic"/>
          <w:b/>
          <w:color w:val="1F4E79"/>
          <w:sz w:val="24"/>
          <w:szCs w:val="24"/>
        </w:rPr>
        <w:t>أولًا</w:t>
      </w:r>
      <w:proofErr w:type="spellEnd"/>
      <w:r w:rsidRPr="007B0FB7">
        <w:rPr>
          <w:rFonts w:ascii="Simplified Arabic" w:eastAsia="Noto Sans Arabic" w:hAnsi="Simplified Arabic" w:cs="Simplified Arabic"/>
          <w:b/>
          <w:color w:val="1F4E79"/>
          <w:sz w:val="24"/>
          <w:szCs w:val="24"/>
        </w:rPr>
        <w:t xml:space="preserve">: </w:t>
      </w:r>
      <w:proofErr w:type="spellStart"/>
      <w:r w:rsidRPr="007B0FB7">
        <w:rPr>
          <w:rFonts w:ascii="Simplified Arabic" w:eastAsia="Noto Sans Arabic" w:hAnsi="Simplified Arabic" w:cs="Simplified Arabic"/>
          <w:b/>
          <w:color w:val="1F4E79"/>
          <w:sz w:val="24"/>
          <w:szCs w:val="24"/>
        </w:rPr>
        <w:t>التقدير</w:t>
      </w:r>
      <w:proofErr w:type="spellEnd"/>
      <w:r w:rsidRPr="007B0FB7">
        <w:rPr>
          <w:rFonts w:ascii="Simplified Arabic" w:eastAsia="Noto Sans Arabic" w:hAnsi="Simplified Arabic" w:cs="Simplified Arabic"/>
          <w:b/>
          <w:color w:val="1F4E79"/>
          <w:sz w:val="24"/>
          <w:szCs w:val="24"/>
        </w:rPr>
        <w:t xml:space="preserve"> </w:t>
      </w:r>
      <w:proofErr w:type="spellStart"/>
      <w:r w:rsidRPr="007B0FB7">
        <w:rPr>
          <w:rFonts w:ascii="Simplified Arabic" w:eastAsia="Noto Sans Arabic" w:hAnsi="Simplified Arabic" w:cs="Simplified Arabic"/>
          <w:b/>
          <w:color w:val="1F4E79"/>
          <w:sz w:val="24"/>
          <w:szCs w:val="24"/>
        </w:rPr>
        <w:t>العام</w:t>
      </w:r>
      <w:proofErr w:type="spellEnd"/>
    </w:p>
    <w:p w14:paraId="117A24BC" w14:textId="77777777" w:rsidR="007B0FB7" w:rsidRPr="007B0FB7" w:rsidRDefault="007B0FB7" w:rsidP="007B0FB7">
      <w:pPr>
        <w:bidi/>
        <w:jc w:val="both"/>
        <w:rPr>
          <w:rFonts w:ascii="Simplified Arabic" w:eastAsia="Noto Sans Arabic" w:hAnsi="Simplified Arabic" w:cs="Simplified Arabic"/>
          <w:b/>
          <w:sz w:val="24"/>
          <w:szCs w:val="24"/>
        </w:rPr>
      </w:pPr>
      <w:r w:rsidRPr="007B0FB7">
        <w:rPr>
          <w:rFonts w:ascii="Simplified Arabic" w:eastAsia="Noto Sans Arabic" w:hAnsi="Simplified Arabic" w:cs="Simplified Arabic"/>
          <w:b/>
          <w:sz w:val="24"/>
          <w:szCs w:val="24"/>
          <w:rtl/>
        </w:rPr>
        <w:t>تُظهر النسخة الحالية تحسنًا كبيرًا مقارنة بالمراجعة السابقة؛ إذ أضيفت منهجية أكثر وضوحًا لمراجعة الأدبيات، وجرى بناء المسار النظري المتسلسل (</w:t>
      </w:r>
      <w:r w:rsidRPr="007B0FB7">
        <w:rPr>
          <w:rFonts w:ascii="Simplified Arabic" w:eastAsia="Noto Sans Arabic" w:hAnsi="Simplified Arabic" w:cs="Simplified Arabic"/>
          <w:b/>
          <w:sz w:val="24"/>
          <w:szCs w:val="24"/>
        </w:rPr>
        <w:t xml:space="preserve">TL </w:t>
      </w:r>
      <w:r w:rsidRPr="007B0FB7">
        <w:rPr>
          <w:rFonts w:ascii="Times New Roman" w:eastAsia="Noto Sans Arabic" w:hAnsi="Times New Roman" w:cs="Times New Roman"/>
          <w:b/>
          <w:sz w:val="24"/>
          <w:szCs w:val="24"/>
        </w:rPr>
        <w:t>→</w:t>
      </w:r>
      <w:r w:rsidRPr="007B0FB7">
        <w:rPr>
          <w:rFonts w:ascii="Simplified Arabic" w:eastAsia="Noto Sans Arabic" w:hAnsi="Simplified Arabic" w:cs="Simplified Arabic"/>
          <w:b/>
          <w:sz w:val="24"/>
          <w:szCs w:val="24"/>
        </w:rPr>
        <w:t xml:space="preserve"> SC </w:t>
      </w:r>
      <w:r w:rsidRPr="007B0FB7">
        <w:rPr>
          <w:rFonts w:ascii="Times New Roman" w:eastAsia="Noto Sans Arabic" w:hAnsi="Times New Roman" w:cs="Times New Roman"/>
          <w:b/>
          <w:sz w:val="24"/>
          <w:szCs w:val="24"/>
        </w:rPr>
        <w:t>→</w:t>
      </w:r>
      <w:r w:rsidRPr="007B0FB7">
        <w:rPr>
          <w:rFonts w:ascii="Simplified Arabic" w:eastAsia="Noto Sans Arabic" w:hAnsi="Simplified Arabic" w:cs="Simplified Arabic"/>
          <w:b/>
          <w:sz w:val="24"/>
          <w:szCs w:val="24"/>
        </w:rPr>
        <w:t xml:space="preserve"> SB </w:t>
      </w:r>
      <w:r w:rsidRPr="007B0FB7">
        <w:rPr>
          <w:rFonts w:ascii="Times New Roman" w:eastAsia="Noto Sans Arabic" w:hAnsi="Times New Roman" w:cs="Times New Roman"/>
          <w:b/>
          <w:sz w:val="24"/>
          <w:szCs w:val="24"/>
        </w:rPr>
        <w:t>→</w:t>
      </w:r>
      <w:r w:rsidRPr="007B0FB7">
        <w:rPr>
          <w:rFonts w:ascii="Simplified Arabic" w:eastAsia="Noto Sans Arabic" w:hAnsi="Simplified Arabic" w:cs="Simplified Arabic"/>
          <w:b/>
          <w:sz w:val="24"/>
          <w:szCs w:val="24"/>
        </w:rPr>
        <w:t xml:space="preserve"> AE</w:t>
      </w:r>
      <w:r w:rsidRPr="007B0FB7">
        <w:rPr>
          <w:rFonts w:ascii="Simplified Arabic" w:eastAsia="Noto Sans Arabic" w:hAnsi="Simplified Arabic" w:cs="Simplified Arabic"/>
          <w:b/>
          <w:sz w:val="24"/>
          <w:szCs w:val="24"/>
          <w:rtl/>
        </w:rPr>
        <w:t>) بصورة أوضح، كما ظهرت جداول لقياس المتغيرات وأدواتها، وصيغت الفجوة البحثية بشكل مباشر نسبيًا في ضوء السياق السعودي. وهذا يعني أن غالبية الملاحظات الجوهرية السابقة قد عولجت، ولم يتبقَّ سوى عدد محدود من النقاط التي تتعلق بتعميق التبرير النظري والتمييز المفاهيمي والتوليف النهائي.</w:t>
      </w:r>
    </w:p>
    <w:p w14:paraId="7EA7C1C5" w14:textId="31CC9B9A" w:rsidR="00B2501A" w:rsidRPr="007B0FB7" w:rsidRDefault="00244E40" w:rsidP="007B0FB7">
      <w:pPr>
        <w:bidi/>
        <w:rPr>
          <w:rFonts w:ascii="Simplified Arabic" w:hAnsi="Simplified Arabic" w:cs="Simplified Arabic"/>
          <w:sz w:val="24"/>
          <w:szCs w:val="24"/>
        </w:rPr>
      </w:pPr>
      <w:proofErr w:type="spellStart"/>
      <w:r w:rsidRPr="007B0FB7">
        <w:rPr>
          <w:rFonts w:ascii="Simplified Arabic" w:eastAsia="Noto Sans Arabic" w:hAnsi="Simplified Arabic" w:cs="Simplified Arabic"/>
          <w:b/>
          <w:color w:val="1F4E79"/>
          <w:sz w:val="24"/>
          <w:szCs w:val="24"/>
        </w:rPr>
        <w:t>ثانيًا</w:t>
      </w:r>
      <w:proofErr w:type="spellEnd"/>
      <w:r w:rsidRPr="007B0FB7">
        <w:rPr>
          <w:rFonts w:ascii="Simplified Arabic" w:eastAsia="Noto Sans Arabic" w:hAnsi="Simplified Arabic" w:cs="Simplified Arabic"/>
          <w:b/>
          <w:color w:val="1F4E79"/>
          <w:sz w:val="24"/>
          <w:szCs w:val="24"/>
        </w:rPr>
        <w:t xml:space="preserve">: </w:t>
      </w:r>
      <w:proofErr w:type="spellStart"/>
      <w:r w:rsidRPr="007B0FB7">
        <w:rPr>
          <w:rFonts w:ascii="Simplified Arabic" w:eastAsia="Noto Sans Arabic" w:hAnsi="Simplified Arabic" w:cs="Simplified Arabic"/>
          <w:b/>
          <w:color w:val="1F4E79"/>
          <w:sz w:val="24"/>
          <w:szCs w:val="24"/>
        </w:rPr>
        <w:t>الملاحظات</w:t>
      </w:r>
      <w:proofErr w:type="spellEnd"/>
      <w:r w:rsidRPr="007B0FB7">
        <w:rPr>
          <w:rFonts w:ascii="Simplified Arabic" w:eastAsia="Noto Sans Arabic" w:hAnsi="Simplified Arabic" w:cs="Simplified Arabic"/>
          <w:b/>
          <w:color w:val="1F4E79"/>
          <w:sz w:val="24"/>
          <w:szCs w:val="24"/>
        </w:rPr>
        <w:t xml:space="preserve"> </w:t>
      </w:r>
      <w:proofErr w:type="spellStart"/>
      <w:r w:rsidRPr="007B0FB7">
        <w:rPr>
          <w:rFonts w:ascii="Simplified Arabic" w:eastAsia="Noto Sans Arabic" w:hAnsi="Simplified Arabic" w:cs="Simplified Arabic"/>
          <w:b/>
          <w:color w:val="1F4E79"/>
          <w:sz w:val="24"/>
          <w:szCs w:val="24"/>
        </w:rPr>
        <w:t>الجوهرية</w:t>
      </w:r>
      <w:proofErr w:type="spellEnd"/>
      <w:r w:rsidRPr="007B0FB7">
        <w:rPr>
          <w:rFonts w:ascii="Simplified Arabic" w:eastAsia="Noto Sans Arabic" w:hAnsi="Simplified Arabic" w:cs="Simplified Arabic"/>
          <w:b/>
          <w:color w:val="1F4E79"/>
          <w:sz w:val="24"/>
          <w:szCs w:val="24"/>
        </w:rPr>
        <w:t xml:space="preserve"> </w:t>
      </w:r>
      <w:proofErr w:type="spellStart"/>
      <w:r w:rsidRPr="007B0FB7">
        <w:rPr>
          <w:rFonts w:ascii="Simplified Arabic" w:eastAsia="Noto Sans Arabic" w:hAnsi="Simplified Arabic" w:cs="Simplified Arabic"/>
          <w:b/>
          <w:color w:val="1F4E79"/>
          <w:sz w:val="24"/>
          <w:szCs w:val="24"/>
        </w:rPr>
        <w:t>التي</w:t>
      </w:r>
      <w:proofErr w:type="spellEnd"/>
      <w:r w:rsidRPr="007B0FB7">
        <w:rPr>
          <w:rFonts w:ascii="Simplified Arabic" w:eastAsia="Noto Sans Arabic" w:hAnsi="Simplified Arabic" w:cs="Simplified Arabic"/>
          <w:b/>
          <w:color w:val="1F4E79"/>
          <w:sz w:val="24"/>
          <w:szCs w:val="24"/>
        </w:rPr>
        <w:t xml:space="preserve"> </w:t>
      </w:r>
      <w:r w:rsidRPr="007B0FB7">
        <w:rPr>
          <w:rFonts w:ascii="Simplified Arabic" w:eastAsia="Noto Sans Arabic" w:hAnsi="Simplified Arabic" w:cs="Simplified Arabic"/>
          <w:b/>
          <w:color w:val="1F4E79"/>
          <w:sz w:val="24"/>
          <w:szCs w:val="24"/>
        </w:rPr>
        <w:t>ما</w:t>
      </w:r>
      <w:r w:rsidRPr="007B0FB7">
        <w:rPr>
          <w:rFonts w:ascii="Simplified Arabic" w:eastAsia="Noto Sans Arabic" w:hAnsi="Simplified Arabic" w:cs="Simplified Arabic"/>
          <w:b/>
          <w:color w:val="1F4E79"/>
          <w:sz w:val="24"/>
          <w:szCs w:val="24"/>
        </w:rPr>
        <w:t xml:space="preserve"> </w:t>
      </w:r>
      <w:r w:rsidRPr="007B0FB7">
        <w:rPr>
          <w:rFonts w:ascii="Simplified Arabic" w:eastAsia="Noto Sans Arabic" w:hAnsi="Simplified Arabic" w:cs="Simplified Arabic"/>
          <w:b/>
          <w:color w:val="1F4E79"/>
          <w:sz w:val="24"/>
          <w:szCs w:val="24"/>
        </w:rPr>
        <w:t>تزال</w:t>
      </w:r>
      <w:r w:rsidRPr="007B0FB7">
        <w:rPr>
          <w:rFonts w:ascii="Simplified Arabic" w:eastAsia="Noto Sans Arabic" w:hAnsi="Simplified Arabic" w:cs="Simplified Arabic"/>
          <w:b/>
          <w:color w:val="1F4E79"/>
          <w:sz w:val="24"/>
          <w:szCs w:val="24"/>
        </w:rPr>
        <w:t xml:space="preserve"> </w:t>
      </w:r>
      <w:r w:rsidRPr="007B0FB7">
        <w:rPr>
          <w:rFonts w:ascii="Simplified Arabic" w:eastAsia="Noto Sans Arabic" w:hAnsi="Simplified Arabic" w:cs="Simplified Arabic"/>
          <w:b/>
          <w:color w:val="1F4E79"/>
          <w:sz w:val="24"/>
          <w:szCs w:val="24"/>
        </w:rPr>
        <w:t>قائمة</w:t>
      </w:r>
    </w:p>
    <w:tbl>
      <w:tblPr>
        <w:tblStyle w:val="TableGrid"/>
        <w:bidiVisual/>
        <w:tblW w:w="0" w:type="auto"/>
        <w:jc w:val="center"/>
        <w:tblLook w:val="04A0" w:firstRow="1" w:lastRow="0" w:firstColumn="1" w:lastColumn="0" w:noHBand="0" w:noVBand="1"/>
      </w:tblPr>
      <w:tblGrid>
        <w:gridCol w:w="680"/>
        <w:gridCol w:w="3118"/>
        <w:gridCol w:w="5102"/>
      </w:tblGrid>
      <w:tr w:rsidR="00B2501A" w:rsidRPr="007B0FB7" w14:paraId="1CD37718" w14:textId="77777777" w:rsidTr="007B0FB7">
        <w:trPr>
          <w:jc w:val="center"/>
        </w:trPr>
        <w:tc>
          <w:tcPr>
            <w:tcW w:w="680" w:type="dxa"/>
            <w:shd w:val="clear" w:color="auto" w:fill="4F81BD"/>
            <w:vAlign w:val="center"/>
          </w:tcPr>
          <w:p w14:paraId="04C1AF49" w14:textId="77777777" w:rsidR="00B2501A" w:rsidRPr="007B0FB7" w:rsidRDefault="00244E40">
            <w:pPr>
              <w:bidi/>
              <w:jc w:val="center"/>
              <w:rPr>
                <w:rFonts w:ascii="Simplified Arabic" w:hAnsi="Simplified Arabic" w:cs="Simplified Arabic"/>
                <w:sz w:val="24"/>
                <w:szCs w:val="24"/>
              </w:rPr>
            </w:pPr>
            <w:r w:rsidRPr="007B0FB7">
              <w:rPr>
                <w:rFonts w:ascii="Simplified Arabic" w:eastAsia="Noto Sans Arabic" w:hAnsi="Simplified Arabic" w:cs="Simplified Arabic"/>
                <w:b/>
                <w:color w:val="FFFFFF"/>
                <w:sz w:val="24"/>
                <w:szCs w:val="24"/>
              </w:rPr>
              <w:t>م</w:t>
            </w:r>
          </w:p>
        </w:tc>
        <w:tc>
          <w:tcPr>
            <w:tcW w:w="3118" w:type="dxa"/>
            <w:shd w:val="clear" w:color="auto" w:fill="4F81BD"/>
            <w:vAlign w:val="center"/>
          </w:tcPr>
          <w:p w14:paraId="156E3BCB" w14:textId="77777777" w:rsidR="00B2501A" w:rsidRPr="007B0FB7" w:rsidRDefault="00244E40">
            <w:pPr>
              <w:bidi/>
              <w:jc w:val="center"/>
              <w:rPr>
                <w:rFonts w:ascii="Simplified Arabic" w:hAnsi="Simplified Arabic" w:cs="Simplified Arabic"/>
                <w:sz w:val="24"/>
                <w:szCs w:val="24"/>
              </w:rPr>
            </w:pPr>
            <w:r w:rsidRPr="007B0FB7">
              <w:rPr>
                <w:rFonts w:ascii="Simplified Arabic" w:eastAsia="Noto Sans Arabic" w:hAnsi="Simplified Arabic" w:cs="Simplified Arabic"/>
                <w:b/>
                <w:color w:val="FFFFFF"/>
                <w:sz w:val="24"/>
                <w:szCs w:val="24"/>
              </w:rPr>
              <w:t>الملاحظة</w:t>
            </w:r>
            <w:r w:rsidRPr="007B0FB7">
              <w:rPr>
                <w:rFonts w:ascii="Simplified Arabic" w:eastAsia="Noto Sans Arabic" w:hAnsi="Simplified Arabic" w:cs="Simplified Arabic"/>
                <w:b/>
                <w:color w:val="FFFFFF"/>
                <w:sz w:val="24"/>
                <w:szCs w:val="24"/>
              </w:rPr>
              <w:t xml:space="preserve"> </w:t>
            </w:r>
            <w:r w:rsidRPr="007B0FB7">
              <w:rPr>
                <w:rFonts w:ascii="Simplified Arabic" w:eastAsia="Noto Sans Arabic" w:hAnsi="Simplified Arabic" w:cs="Simplified Arabic"/>
                <w:b/>
                <w:color w:val="FFFFFF"/>
                <w:sz w:val="24"/>
                <w:szCs w:val="24"/>
              </w:rPr>
              <w:t>الجوهرية</w:t>
            </w:r>
          </w:p>
        </w:tc>
        <w:tc>
          <w:tcPr>
            <w:tcW w:w="5102" w:type="dxa"/>
            <w:shd w:val="clear" w:color="auto" w:fill="4F81BD"/>
            <w:vAlign w:val="center"/>
          </w:tcPr>
          <w:p w14:paraId="40F89E08" w14:textId="77777777" w:rsidR="00B2501A" w:rsidRPr="007B0FB7" w:rsidRDefault="00244E40">
            <w:pPr>
              <w:bidi/>
              <w:jc w:val="center"/>
              <w:rPr>
                <w:rFonts w:ascii="Simplified Arabic" w:hAnsi="Simplified Arabic" w:cs="Simplified Arabic"/>
                <w:sz w:val="24"/>
                <w:szCs w:val="24"/>
              </w:rPr>
            </w:pPr>
            <w:r w:rsidRPr="007B0FB7">
              <w:rPr>
                <w:rFonts w:ascii="Simplified Arabic" w:eastAsia="Noto Sans Arabic" w:hAnsi="Simplified Arabic" w:cs="Simplified Arabic"/>
                <w:b/>
                <w:color w:val="FFFFFF"/>
                <w:sz w:val="24"/>
                <w:szCs w:val="24"/>
              </w:rPr>
              <w:t>الحكم</w:t>
            </w:r>
            <w:r w:rsidRPr="007B0FB7">
              <w:rPr>
                <w:rFonts w:ascii="Simplified Arabic" w:eastAsia="Noto Sans Arabic" w:hAnsi="Simplified Arabic" w:cs="Simplified Arabic"/>
                <w:b/>
                <w:color w:val="FFFFFF"/>
                <w:sz w:val="24"/>
                <w:szCs w:val="24"/>
              </w:rPr>
              <w:t xml:space="preserve"> </w:t>
            </w:r>
            <w:r w:rsidRPr="007B0FB7">
              <w:rPr>
                <w:rFonts w:ascii="Simplified Arabic" w:eastAsia="Noto Sans Arabic" w:hAnsi="Simplified Arabic" w:cs="Simplified Arabic"/>
                <w:b/>
                <w:color w:val="FFFFFF"/>
                <w:sz w:val="24"/>
                <w:szCs w:val="24"/>
              </w:rPr>
              <w:t>المختصر</w:t>
            </w:r>
          </w:p>
        </w:tc>
      </w:tr>
      <w:tr w:rsidR="007B0FB7" w:rsidRPr="007B0FB7" w14:paraId="5BF380E7" w14:textId="77777777" w:rsidTr="00C73868">
        <w:trPr>
          <w:jc w:val="center"/>
        </w:trPr>
        <w:tc>
          <w:tcPr>
            <w:tcW w:w="680" w:type="dxa"/>
            <w:vAlign w:val="center"/>
          </w:tcPr>
          <w:p w14:paraId="778C938E" w14:textId="77777777" w:rsidR="007B0FB7" w:rsidRPr="007B0FB7" w:rsidRDefault="007B0FB7" w:rsidP="007B0FB7">
            <w:pPr>
              <w:bidi/>
              <w:jc w:val="center"/>
              <w:rPr>
                <w:rFonts w:ascii="Simplified Arabic" w:hAnsi="Simplified Arabic" w:cs="Simplified Arabic"/>
                <w:sz w:val="24"/>
                <w:szCs w:val="24"/>
              </w:rPr>
            </w:pPr>
            <w:r w:rsidRPr="007B0FB7">
              <w:rPr>
                <w:rFonts w:ascii="Simplified Arabic" w:eastAsia="Noto Sans Arabic" w:hAnsi="Simplified Arabic" w:cs="Simplified Arabic"/>
                <w:sz w:val="24"/>
                <w:szCs w:val="24"/>
              </w:rPr>
              <w:t>1</w:t>
            </w:r>
          </w:p>
        </w:tc>
        <w:tc>
          <w:tcPr>
            <w:tcW w:w="3118" w:type="dxa"/>
            <w:vAlign w:val="center"/>
          </w:tcPr>
          <w:p w14:paraId="6705A57F" w14:textId="3FBC3E3E" w:rsidR="007B0FB7" w:rsidRPr="007B0FB7" w:rsidRDefault="007B0FB7" w:rsidP="007B0FB7">
            <w:pPr>
              <w:bidi/>
              <w:jc w:val="center"/>
              <w:rPr>
                <w:rFonts w:ascii="Simplified Arabic" w:hAnsi="Simplified Arabic" w:cs="Simplified Arabic"/>
                <w:b/>
                <w:bCs/>
                <w:sz w:val="24"/>
                <w:szCs w:val="24"/>
              </w:rPr>
            </w:pPr>
            <w:r w:rsidRPr="007B0FB7">
              <w:rPr>
                <w:rFonts w:ascii="Simplified Arabic" w:hAnsi="Simplified Arabic" w:cs="Simplified Arabic"/>
                <w:b/>
                <w:bCs/>
                <w:sz w:val="24"/>
                <w:szCs w:val="24"/>
                <w:rtl/>
              </w:rPr>
              <w:t>تعميق الأساس النظري للوساطة المتسلسلة</w:t>
            </w:r>
          </w:p>
        </w:tc>
        <w:tc>
          <w:tcPr>
            <w:tcW w:w="5102" w:type="dxa"/>
          </w:tcPr>
          <w:p w14:paraId="5EAADD2A" w14:textId="3C4EA644" w:rsidR="007B0FB7" w:rsidRPr="007B0FB7" w:rsidRDefault="007B0FB7" w:rsidP="007B0FB7">
            <w:pPr>
              <w:bidi/>
              <w:jc w:val="both"/>
              <w:rPr>
                <w:rFonts w:ascii="Simplified Arabic" w:hAnsi="Simplified Arabic" w:cs="Simplified Arabic"/>
                <w:sz w:val="24"/>
                <w:szCs w:val="24"/>
              </w:rPr>
            </w:pPr>
            <w:r w:rsidRPr="007B0FB7">
              <w:rPr>
                <w:rFonts w:ascii="Simplified Arabic" w:hAnsi="Simplified Arabic" w:cs="Simplified Arabic"/>
                <w:sz w:val="24"/>
                <w:szCs w:val="24"/>
                <w:rtl/>
              </w:rPr>
              <w:t>أصبح النموذج المتسلسل أوضح من النسخة السابقة، إلا أن الفصل ما يزال بحاجة إلى تثبيت نظري أكثر مباشرة يشرح لماذا وكيف ينتقل أثر القيادة التحويلية عبر ثقافة السلامة ثم سلوكيات السلامة إلى تقليل الأحداث الضارة</w:t>
            </w:r>
            <w:r w:rsidRPr="007B0FB7">
              <w:rPr>
                <w:rFonts w:ascii="Simplified Arabic" w:hAnsi="Simplified Arabic" w:cs="Simplified Arabic"/>
                <w:sz w:val="24"/>
                <w:szCs w:val="24"/>
              </w:rPr>
              <w:t>.</w:t>
            </w:r>
          </w:p>
        </w:tc>
      </w:tr>
      <w:tr w:rsidR="007B0FB7" w:rsidRPr="007B0FB7" w14:paraId="4AB069BA" w14:textId="77777777" w:rsidTr="00C73868">
        <w:trPr>
          <w:jc w:val="center"/>
        </w:trPr>
        <w:tc>
          <w:tcPr>
            <w:tcW w:w="680" w:type="dxa"/>
            <w:vAlign w:val="center"/>
          </w:tcPr>
          <w:p w14:paraId="27A5064B" w14:textId="77777777" w:rsidR="007B0FB7" w:rsidRPr="007B0FB7" w:rsidRDefault="007B0FB7" w:rsidP="007B0FB7">
            <w:pPr>
              <w:bidi/>
              <w:jc w:val="center"/>
              <w:rPr>
                <w:rFonts w:ascii="Simplified Arabic" w:hAnsi="Simplified Arabic" w:cs="Simplified Arabic"/>
                <w:sz w:val="24"/>
                <w:szCs w:val="24"/>
              </w:rPr>
            </w:pPr>
            <w:r w:rsidRPr="007B0FB7">
              <w:rPr>
                <w:rFonts w:ascii="Simplified Arabic" w:eastAsia="Noto Sans Arabic" w:hAnsi="Simplified Arabic" w:cs="Simplified Arabic"/>
                <w:sz w:val="24"/>
                <w:szCs w:val="24"/>
              </w:rPr>
              <w:t>2</w:t>
            </w:r>
          </w:p>
        </w:tc>
        <w:tc>
          <w:tcPr>
            <w:tcW w:w="3118" w:type="dxa"/>
            <w:vAlign w:val="center"/>
          </w:tcPr>
          <w:p w14:paraId="00EF4610" w14:textId="33AC9682" w:rsidR="007B0FB7" w:rsidRPr="007B0FB7" w:rsidRDefault="007B0FB7" w:rsidP="007B0FB7">
            <w:pPr>
              <w:bidi/>
              <w:jc w:val="center"/>
              <w:rPr>
                <w:rFonts w:ascii="Simplified Arabic" w:hAnsi="Simplified Arabic" w:cs="Simplified Arabic"/>
                <w:b/>
                <w:bCs/>
                <w:sz w:val="24"/>
                <w:szCs w:val="24"/>
              </w:rPr>
            </w:pPr>
            <w:r w:rsidRPr="007B0FB7">
              <w:rPr>
                <w:rFonts w:ascii="Simplified Arabic" w:hAnsi="Simplified Arabic" w:cs="Simplified Arabic"/>
                <w:b/>
                <w:bCs/>
                <w:sz w:val="24"/>
                <w:szCs w:val="24"/>
                <w:rtl/>
              </w:rPr>
              <w:t>التمييز المفاهيمي بين المتغيرات</w:t>
            </w:r>
          </w:p>
        </w:tc>
        <w:tc>
          <w:tcPr>
            <w:tcW w:w="5102" w:type="dxa"/>
          </w:tcPr>
          <w:p w14:paraId="765F8CFB" w14:textId="304D443D" w:rsidR="007B0FB7" w:rsidRPr="007B0FB7" w:rsidRDefault="007B0FB7" w:rsidP="007B0FB7">
            <w:pPr>
              <w:bidi/>
              <w:jc w:val="both"/>
              <w:rPr>
                <w:rFonts w:ascii="Simplified Arabic" w:hAnsi="Simplified Arabic" w:cs="Simplified Arabic"/>
                <w:sz w:val="24"/>
                <w:szCs w:val="24"/>
              </w:rPr>
            </w:pPr>
            <w:r w:rsidRPr="007B0FB7">
              <w:rPr>
                <w:rFonts w:ascii="Simplified Arabic" w:hAnsi="Simplified Arabic" w:cs="Simplified Arabic"/>
                <w:sz w:val="24"/>
                <w:szCs w:val="24"/>
                <w:rtl/>
              </w:rPr>
              <w:t>تحسن عرض المفاهيم وأدوات القياس، لكن ما يزال من المهم إبراز التمييز بصورة أوضح بين ثقافة السلامة وسلوكيات السلامة، وبين الأحداث الضارة ومؤشرات جودة الرعاية القريبة منها</w:t>
            </w:r>
            <w:r w:rsidRPr="007B0FB7">
              <w:rPr>
                <w:rFonts w:ascii="Simplified Arabic" w:hAnsi="Simplified Arabic" w:cs="Simplified Arabic"/>
                <w:sz w:val="24"/>
                <w:szCs w:val="24"/>
              </w:rPr>
              <w:t>.</w:t>
            </w:r>
          </w:p>
        </w:tc>
      </w:tr>
      <w:tr w:rsidR="007B0FB7" w:rsidRPr="007B0FB7" w14:paraId="53BC685E" w14:textId="77777777" w:rsidTr="00C73868">
        <w:trPr>
          <w:jc w:val="center"/>
        </w:trPr>
        <w:tc>
          <w:tcPr>
            <w:tcW w:w="680" w:type="dxa"/>
            <w:vAlign w:val="center"/>
          </w:tcPr>
          <w:p w14:paraId="6CD4E334" w14:textId="77777777" w:rsidR="007B0FB7" w:rsidRPr="007B0FB7" w:rsidRDefault="007B0FB7" w:rsidP="007B0FB7">
            <w:pPr>
              <w:bidi/>
              <w:jc w:val="center"/>
              <w:rPr>
                <w:rFonts w:ascii="Simplified Arabic" w:hAnsi="Simplified Arabic" w:cs="Simplified Arabic"/>
                <w:sz w:val="24"/>
                <w:szCs w:val="24"/>
              </w:rPr>
            </w:pPr>
            <w:r w:rsidRPr="007B0FB7">
              <w:rPr>
                <w:rFonts w:ascii="Simplified Arabic" w:eastAsia="Noto Sans Arabic" w:hAnsi="Simplified Arabic" w:cs="Simplified Arabic"/>
                <w:sz w:val="24"/>
                <w:szCs w:val="24"/>
              </w:rPr>
              <w:t>3</w:t>
            </w:r>
          </w:p>
        </w:tc>
        <w:tc>
          <w:tcPr>
            <w:tcW w:w="3118" w:type="dxa"/>
            <w:vAlign w:val="center"/>
          </w:tcPr>
          <w:p w14:paraId="3E1D2B8A" w14:textId="7F16C5BA" w:rsidR="007B0FB7" w:rsidRPr="007B0FB7" w:rsidRDefault="007B0FB7" w:rsidP="007B0FB7">
            <w:pPr>
              <w:bidi/>
              <w:jc w:val="center"/>
              <w:rPr>
                <w:rFonts w:ascii="Simplified Arabic" w:hAnsi="Simplified Arabic" w:cs="Simplified Arabic"/>
                <w:b/>
                <w:bCs/>
                <w:sz w:val="24"/>
                <w:szCs w:val="24"/>
              </w:rPr>
            </w:pPr>
            <w:r w:rsidRPr="007B0FB7">
              <w:rPr>
                <w:rFonts w:ascii="Simplified Arabic" w:hAnsi="Simplified Arabic" w:cs="Simplified Arabic"/>
                <w:b/>
                <w:bCs/>
                <w:sz w:val="24"/>
                <w:szCs w:val="24"/>
                <w:rtl/>
              </w:rPr>
              <w:t>التوليف المقارن للدراسات السابقة</w:t>
            </w:r>
          </w:p>
        </w:tc>
        <w:tc>
          <w:tcPr>
            <w:tcW w:w="5102" w:type="dxa"/>
          </w:tcPr>
          <w:p w14:paraId="001C2B79" w14:textId="1F3FA138" w:rsidR="007B0FB7" w:rsidRPr="007B0FB7" w:rsidRDefault="007B0FB7" w:rsidP="007B0FB7">
            <w:pPr>
              <w:bidi/>
              <w:jc w:val="both"/>
              <w:rPr>
                <w:rFonts w:ascii="Simplified Arabic" w:hAnsi="Simplified Arabic" w:cs="Simplified Arabic"/>
                <w:sz w:val="24"/>
                <w:szCs w:val="24"/>
              </w:rPr>
            </w:pPr>
            <w:r w:rsidRPr="007B0FB7">
              <w:rPr>
                <w:rFonts w:ascii="Simplified Arabic" w:hAnsi="Simplified Arabic" w:cs="Simplified Arabic"/>
                <w:sz w:val="24"/>
                <w:szCs w:val="24"/>
                <w:rtl/>
              </w:rPr>
              <w:t>يوجد تقدم في عرض علاقات النموذج، غير أن خاتمة الدراسات السابقة تحتاج إلى توليف أكثر إحكامًا يبرز بوضوح أين تتسق النتائج وأين تختلف، وما الحدود المنهجية والسياقية التي تبرر الدراسة الحالية</w:t>
            </w:r>
            <w:r w:rsidRPr="007B0FB7">
              <w:rPr>
                <w:rFonts w:ascii="Simplified Arabic" w:hAnsi="Simplified Arabic" w:cs="Simplified Arabic"/>
                <w:sz w:val="24"/>
                <w:szCs w:val="24"/>
              </w:rPr>
              <w:t>.</w:t>
            </w:r>
          </w:p>
        </w:tc>
      </w:tr>
      <w:tr w:rsidR="007B0FB7" w:rsidRPr="007B0FB7" w14:paraId="070FFEEC" w14:textId="77777777" w:rsidTr="00C73868">
        <w:trPr>
          <w:jc w:val="center"/>
        </w:trPr>
        <w:tc>
          <w:tcPr>
            <w:tcW w:w="680" w:type="dxa"/>
            <w:vAlign w:val="center"/>
          </w:tcPr>
          <w:p w14:paraId="7DFCCCD1" w14:textId="77777777" w:rsidR="007B0FB7" w:rsidRPr="007B0FB7" w:rsidRDefault="007B0FB7" w:rsidP="007B0FB7">
            <w:pPr>
              <w:bidi/>
              <w:jc w:val="center"/>
              <w:rPr>
                <w:rFonts w:ascii="Simplified Arabic" w:hAnsi="Simplified Arabic" w:cs="Simplified Arabic"/>
                <w:sz w:val="24"/>
                <w:szCs w:val="24"/>
              </w:rPr>
            </w:pPr>
            <w:r w:rsidRPr="007B0FB7">
              <w:rPr>
                <w:rFonts w:ascii="Simplified Arabic" w:eastAsia="Noto Sans Arabic" w:hAnsi="Simplified Arabic" w:cs="Simplified Arabic"/>
                <w:sz w:val="24"/>
                <w:szCs w:val="24"/>
              </w:rPr>
              <w:t>4</w:t>
            </w:r>
          </w:p>
        </w:tc>
        <w:tc>
          <w:tcPr>
            <w:tcW w:w="3118" w:type="dxa"/>
            <w:vAlign w:val="center"/>
          </w:tcPr>
          <w:p w14:paraId="664A6103" w14:textId="27AC5BDF" w:rsidR="007B0FB7" w:rsidRPr="007B0FB7" w:rsidRDefault="007B0FB7" w:rsidP="007B0FB7">
            <w:pPr>
              <w:bidi/>
              <w:jc w:val="center"/>
              <w:rPr>
                <w:rFonts w:ascii="Simplified Arabic" w:hAnsi="Simplified Arabic" w:cs="Simplified Arabic"/>
                <w:b/>
                <w:bCs/>
                <w:sz w:val="24"/>
                <w:szCs w:val="24"/>
              </w:rPr>
            </w:pPr>
            <w:r w:rsidRPr="007B0FB7">
              <w:rPr>
                <w:rFonts w:ascii="Simplified Arabic" w:hAnsi="Simplified Arabic" w:cs="Simplified Arabic"/>
                <w:b/>
                <w:bCs/>
                <w:sz w:val="24"/>
                <w:szCs w:val="24"/>
                <w:rtl/>
              </w:rPr>
              <w:t>التدقيق النهائي للعرض والتوثيق</w:t>
            </w:r>
          </w:p>
        </w:tc>
        <w:tc>
          <w:tcPr>
            <w:tcW w:w="5102" w:type="dxa"/>
          </w:tcPr>
          <w:p w14:paraId="4E78B04B" w14:textId="671898A4" w:rsidR="007B0FB7" w:rsidRPr="007B0FB7" w:rsidRDefault="007B0FB7" w:rsidP="007B0FB7">
            <w:pPr>
              <w:bidi/>
              <w:jc w:val="both"/>
              <w:rPr>
                <w:rFonts w:ascii="Simplified Arabic" w:hAnsi="Simplified Arabic" w:cs="Simplified Arabic"/>
                <w:sz w:val="24"/>
                <w:szCs w:val="24"/>
              </w:rPr>
            </w:pPr>
            <w:r w:rsidRPr="007B0FB7">
              <w:rPr>
                <w:rFonts w:ascii="Simplified Arabic" w:hAnsi="Simplified Arabic" w:cs="Simplified Arabic"/>
                <w:sz w:val="24"/>
                <w:szCs w:val="24"/>
                <w:rtl/>
              </w:rPr>
              <w:t>الفصل يستفيد من مراجعة نهائية محدودة لضبط الاقتصاد اللغوي، وإحكام الانتقالات بين المحاور، ومراجعة بعض مواضع التوثيق والصياغة</w:t>
            </w:r>
            <w:r w:rsidRPr="007B0FB7">
              <w:rPr>
                <w:rFonts w:ascii="Simplified Arabic" w:hAnsi="Simplified Arabic" w:cs="Simplified Arabic"/>
                <w:sz w:val="24"/>
                <w:szCs w:val="24"/>
              </w:rPr>
              <w:t>.</w:t>
            </w:r>
          </w:p>
        </w:tc>
      </w:tr>
    </w:tbl>
    <w:p w14:paraId="0BB356C4" w14:textId="77777777" w:rsidR="00B2501A" w:rsidRPr="007B0FB7" w:rsidRDefault="00B2501A">
      <w:pPr>
        <w:rPr>
          <w:rFonts w:ascii="Simplified Arabic" w:hAnsi="Simplified Arabic" w:cs="Simplified Arabic"/>
          <w:sz w:val="24"/>
          <w:szCs w:val="24"/>
        </w:rPr>
      </w:pPr>
    </w:p>
    <w:p w14:paraId="67FC84BC" w14:textId="77777777" w:rsidR="007B0FB7" w:rsidRPr="007B0FB7" w:rsidRDefault="00244E40" w:rsidP="007B0FB7">
      <w:pPr>
        <w:bidi/>
        <w:rPr>
          <w:rFonts w:ascii="Simplified Arabic" w:eastAsia="Noto Sans Arabic" w:hAnsi="Simplified Arabic" w:cs="Simplified Arabic"/>
          <w:b/>
          <w:color w:val="1F4E79"/>
          <w:sz w:val="24"/>
          <w:szCs w:val="24"/>
        </w:rPr>
      </w:pPr>
      <w:r w:rsidRPr="007B0FB7">
        <w:rPr>
          <w:rFonts w:ascii="Simplified Arabic" w:eastAsia="Noto Sans Arabic" w:hAnsi="Simplified Arabic" w:cs="Simplified Arabic"/>
          <w:b/>
          <w:color w:val="1F4E79"/>
          <w:sz w:val="24"/>
          <w:szCs w:val="24"/>
        </w:rPr>
        <w:lastRenderedPageBreak/>
        <w:t>ثالثًا</w:t>
      </w:r>
      <w:r w:rsidRPr="007B0FB7">
        <w:rPr>
          <w:rFonts w:ascii="Simplified Arabic" w:eastAsia="Noto Sans Arabic" w:hAnsi="Simplified Arabic" w:cs="Simplified Arabic"/>
          <w:b/>
          <w:color w:val="1F4E79"/>
          <w:sz w:val="24"/>
          <w:szCs w:val="24"/>
        </w:rPr>
        <w:t xml:space="preserve">: </w:t>
      </w:r>
      <w:r w:rsidRPr="007B0FB7">
        <w:rPr>
          <w:rFonts w:ascii="Simplified Arabic" w:eastAsia="Noto Sans Arabic" w:hAnsi="Simplified Arabic" w:cs="Simplified Arabic"/>
          <w:b/>
          <w:color w:val="1F4E79"/>
          <w:sz w:val="24"/>
          <w:szCs w:val="24"/>
        </w:rPr>
        <w:t>إرشادات</w:t>
      </w:r>
      <w:r w:rsidRPr="007B0FB7">
        <w:rPr>
          <w:rFonts w:ascii="Simplified Arabic" w:eastAsia="Noto Sans Arabic" w:hAnsi="Simplified Arabic" w:cs="Simplified Arabic"/>
          <w:b/>
          <w:color w:val="1F4E79"/>
          <w:sz w:val="24"/>
          <w:szCs w:val="24"/>
        </w:rPr>
        <w:t xml:space="preserve"> </w:t>
      </w:r>
      <w:proofErr w:type="spellStart"/>
      <w:r w:rsidRPr="007B0FB7">
        <w:rPr>
          <w:rFonts w:ascii="Simplified Arabic" w:eastAsia="Noto Sans Arabic" w:hAnsi="Simplified Arabic" w:cs="Simplified Arabic"/>
          <w:b/>
          <w:color w:val="1F4E79"/>
          <w:sz w:val="24"/>
          <w:szCs w:val="24"/>
        </w:rPr>
        <w:t>الإغلاق</w:t>
      </w:r>
      <w:proofErr w:type="spellEnd"/>
    </w:p>
    <w:p w14:paraId="5D7D1DA7" w14:textId="431430E3" w:rsidR="007B0FB7" w:rsidRPr="007B0FB7" w:rsidRDefault="007B0FB7" w:rsidP="007B0FB7">
      <w:pPr>
        <w:pStyle w:val="ListParagraph"/>
        <w:numPr>
          <w:ilvl w:val="0"/>
          <w:numId w:val="11"/>
        </w:numPr>
        <w:bidi/>
        <w:spacing w:after="0" w:line="240" w:lineRule="auto"/>
        <w:jc w:val="both"/>
        <w:rPr>
          <w:rFonts w:ascii="Simplified Arabic" w:eastAsia="Noto Sans Arabic" w:hAnsi="Simplified Arabic" w:cs="Simplified Arabic"/>
          <w:b/>
          <w:sz w:val="24"/>
          <w:szCs w:val="24"/>
        </w:rPr>
      </w:pPr>
      <w:r w:rsidRPr="007B0FB7">
        <w:rPr>
          <w:rFonts w:ascii="Simplified Arabic" w:eastAsia="Noto Sans Arabic" w:hAnsi="Simplified Arabic" w:cs="Simplified Arabic"/>
          <w:b/>
          <w:sz w:val="24"/>
          <w:szCs w:val="24"/>
          <w:rtl/>
        </w:rPr>
        <w:t>تعزيز فقرة نظرية تفسر منطق الوساطة المتسلسلة تفسيرًا سببيًا مباشرًا.</w:t>
      </w:r>
    </w:p>
    <w:p w14:paraId="23E76517" w14:textId="2A4143E7" w:rsidR="007B0FB7" w:rsidRPr="007B0FB7" w:rsidRDefault="007B0FB7" w:rsidP="007B0FB7">
      <w:pPr>
        <w:pStyle w:val="ListParagraph"/>
        <w:numPr>
          <w:ilvl w:val="0"/>
          <w:numId w:val="11"/>
        </w:numPr>
        <w:bidi/>
        <w:spacing w:after="0" w:line="240" w:lineRule="auto"/>
        <w:jc w:val="both"/>
        <w:rPr>
          <w:rFonts w:ascii="Simplified Arabic" w:eastAsia="Noto Sans Arabic" w:hAnsi="Simplified Arabic" w:cs="Simplified Arabic"/>
          <w:b/>
          <w:sz w:val="24"/>
          <w:szCs w:val="24"/>
        </w:rPr>
      </w:pPr>
      <w:r w:rsidRPr="007B0FB7">
        <w:rPr>
          <w:rFonts w:ascii="Simplified Arabic" w:eastAsia="Noto Sans Arabic" w:hAnsi="Simplified Arabic" w:cs="Simplified Arabic"/>
          <w:b/>
          <w:sz w:val="24"/>
          <w:szCs w:val="24"/>
          <w:rtl/>
        </w:rPr>
        <w:t>إضافة فقرة مختصرة للتمييز المفاهيمي بين ثقافة السلامة وسلوكيات السلامة والأحداث الضارة.</w:t>
      </w:r>
    </w:p>
    <w:p w14:paraId="7F1DD986" w14:textId="26F61C61" w:rsidR="007B0FB7" w:rsidRPr="007B0FB7" w:rsidRDefault="007B0FB7" w:rsidP="007B0FB7">
      <w:pPr>
        <w:pStyle w:val="ListParagraph"/>
        <w:numPr>
          <w:ilvl w:val="0"/>
          <w:numId w:val="11"/>
        </w:numPr>
        <w:bidi/>
        <w:spacing w:after="0" w:line="240" w:lineRule="auto"/>
        <w:jc w:val="both"/>
        <w:rPr>
          <w:rFonts w:ascii="Simplified Arabic" w:eastAsia="Noto Sans Arabic" w:hAnsi="Simplified Arabic" w:cs="Simplified Arabic"/>
          <w:b/>
          <w:sz w:val="24"/>
          <w:szCs w:val="24"/>
        </w:rPr>
      </w:pPr>
      <w:r w:rsidRPr="007B0FB7">
        <w:rPr>
          <w:rFonts w:ascii="Simplified Arabic" w:eastAsia="Noto Sans Arabic" w:hAnsi="Simplified Arabic" w:cs="Simplified Arabic"/>
          <w:b/>
          <w:sz w:val="24"/>
          <w:szCs w:val="24"/>
          <w:rtl/>
        </w:rPr>
        <w:t>تقوية خاتمة الدراسات السابقة بتوليف مقارن يبرز الاتفاق والتعارض والحدود.</w:t>
      </w:r>
    </w:p>
    <w:p w14:paraId="25E8DCCE" w14:textId="07E47473" w:rsidR="007B0FB7" w:rsidRPr="007B0FB7" w:rsidRDefault="007B0FB7" w:rsidP="007B0FB7">
      <w:pPr>
        <w:pStyle w:val="ListParagraph"/>
        <w:numPr>
          <w:ilvl w:val="0"/>
          <w:numId w:val="11"/>
        </w:numPr>
        <w:bidi/>
        <w:spacing w:after="0" w:line="240" w:lineRule="auto"/>
        <w:jc w:val="both"/>
        <w:rPr>
          <w:rFonts w:ascii="Simplified Arabic" w:eastAsia="Noto Sans Arabic" w:hAnsi="Simplified Arabic" w:cs="Simplified Arabic"/>
          <w:b/>
          <w:sz w:val="24"/>
          <w:szCs w:val="24"/>
        </w:rPr>
      </w:pPr>
      <w:r w:rsidRPr="007B0FB7">
        <w:rPr>
          <w:rFonts w:ascii="Simplified Arabic" w:eastAsia="Noto Sans Arabic" w:hAnsi="Simplified Arabic" w:cs="Simplified Arabic"/>
          <w:b/>
          <w:sz w:val="24"/>
          <w:szCs w:val="24"/>
          <w:rtl/>
        </w:rPr>
        <w:t>إجراء تدقيق نهائي محدود على اللغة والتوثيق والانتقالات بين الأقسام.</w:t>
      </w:r>
    </w:p>
    <w:p w14:paraId="6D56BCB0" w14:textId="1FAF5F54" w:rsidR="00B2501A" w:rsidRPr="007B0FB7" w:rsidRDefault="00244E40" w:rsidP="007B0FB7">
      <w:pPr>
        <w:bidi/>
        <w:rPr>
          <w:rFonts w:ascii="Simplified Arabic" w:hAnsi="Simplified Arabic" w:cs="Simplified Arabic"/>
          <w:sz w:val="24"/>
          <w:szCs w:val="24"/>
        </w:rPr>
      </w:pPr>
      <w:proofErr w:type="spellStart"/>
      <w:r w:rsidRPr="007B0FB7">
        <w:rPr>
          <w:rFonts w:ascii="Simplified Arabic" w:eastAsia="Noto Sans Arabic" w:hAnsi="Simplified Arabic" w:cs="Simplified Arabic"/>
          <w:b/>
          <w:color w:val="1F4E79"/>
          <w:sz w:val="24"/>
          <w:szCs w:val="24"/>
        </w:rPr>
        <w:t>رابعًا</w:t>
      </w:r>
      <w:proofErr w:type="spellEnd"/>
      <w:r w:rsidRPr="007B0FB7">
        <w:rPr>
          <w:rFonts w:ascii="Simplified Arabic" w:eastAsia="Noto Sans Arabic" w:hAnsi="Simplified Arabic" w:cs="Simplified Arabic"/>
          <w:b/>
          <w:color w:val="1F4E79"/>
          <w:sz w:val="24"/>
          <w:szCs w:val="24"/>
        </w:rPr>
        <w:t xml:space="preserve">: </w:t>
      </w:r>
      <w:proofErr w:type="spellStart"/>
      <w:r w:rsidRPr="007B0FB7">
        <w:rPr>
          <w:rFonts w:ascii="Simplified Arabic" w:eastAsia="Noto Sans Arabic" w:hAnsi="Simplified Arabic" w:cs="Simplified Arabic"/>
          <w:b/>
          <w:color w:val="1F4E79"/>
          <w:sz w:val="24"/>
          <w:szCs w:val="24"/>
        </w:rPr>
        <w:t>الخلاصة</w:t>
      </w:r>
      <w:proofErr w:type="spellEnd"/>
      <w:r w:rsidRPr="007B0FB7">
        <w:rPr>
          <w:rFonts w:ascii="Simplified Arabic" w:eastAsia="Noto Sans Arabic" w:hAnsi="Simplified Arabic" w:cs="Simplified Arabic"/>
          <w:b/>
          <w:color w:val="1F4E79"/>
          <w:sz w:val="24"/>
          <w:szCs w:val="24"/>
        </w:rPr>
        <w:t xml:space="preserve"> </w:t>
      </w:r>
      <w:proofErr w:type="spellStart"/>
      <w:r w:rsidRPr="007B0FB7">
        <w:rPr>
          <w:rFonts w:ascii="Simplified Arabic" w:eastAsia="Noto Sans Arabic" w:hAnsi="Simplified Arabic" w:cs="Simplified Arabic"/>
          <w:b/>
          <w:color w:val="1F4E79"/>
          <w:sz w:val="24"/>
          <w:szCs w:val="24"/>
        </w:rPr>
        <w:t>التقويمية</w:t>
      </w:r>
      <w:proofErr w:type="spellEnd"/>
    </w:p>
    <w:p w14:paraId="4889A0D0" w14:textId="77777777" w:rsidR="007B0FB7" w:rsidRPr="007B0FB7" w:rsidRDefault="007B0FB7" w:rsidP="007B0FB7">
      <w:pPr>
        <w:bidi/>
        <w:jc w:val="both"/>
        <w:rPr>
          <w:rFonts w:ascii="Simplified Arabic" w:eastAsia="Noto Sans Arabic" w:hAnsi="Simplified Arabic" w:cs="Simplified Arabic"/>
          <w:b/>
          <w:sz w:val="24"/>
          <w:szCs w:val="24"/>
        </w:rPr>
      </w:pPr>
      <w:r w:rsidRPr="007B0FB7">
        <w:rPr>
          <w:rFonts w:ascii="Simplified Arabic" w:eastAsia="Noto Sans Arabic" w:hAnsi="Simplified Arabic" w:cs="Simplified Arabic"/>
          <w:b/>
          <w:sz w:val="24"/>
          <w:szCs w:val="24"/>
          <w:rtl/>
        </w:rPr>
        <w:t>بناءً على المقارنة بين التقرير السابق والنسخة الحالية، يتبين أن الفصل قد تقدم تقدمًا ملحوظًا وأن معظم الملاحظات الجوهرية أُغلقت. وعليه، أوصي باعتماد الفصل بعد تنفيذ التعديلات المحدودة المذكورة أعلاه.</w:t>
      </w:r>
    </w:p>
    <w:p w14:paraId="727AE161" w14:textId="20E9E883" w:rsidR="00B2501A" w:rsidRPr="007B0FB7" w:rsidRDefault="00244E40" w:rsidP="007B0FB7">
      <w:pPr>
        <w:bidi/>
        <w:jc w:val="center"/>
        <w:rPr>
          <w:rFonts w:ascii="Simplified Arabic" w:hAnsi="Simplified Arabic" w:cs="Simplified Arabic"/>
          <w:sz w:val="24"/>
          <w:szCs w:val="24"/>
        </w:rPr>
      </w:pPr>
      <w:proofErr w:type="spellStart"/>
      <w:r w:rsidRPr="007B0FB7">
        <w:rPr>
          <w:rFonts w:ascii="Simplified Arabic" w:eastAsia="Noto Sans Arabic" w:hAnsi="Simplified Arabic" w:cs="Simplified Arabic"/>
          <w:b/>
          <w:sz w:val="24"/>
          <w:szCs w:val="24"/>
        </w:rPr>
        <w:t>انتهى</w:t>
      </w:r>
      <w:proofErr w:type="spellEnd"/>
      <w:r w:rsidRPr="007B0FB7">
        <w:rPr>
          <w:rFonts w:ascii="Simplified Arabic" w:eastAsia="Noto Sans Arabic" w:hAnsi="Simplified Arabic" w:cs="Simplified Arabic"/>
          <w:b/>
          <w:sz w:val="24"/>
          <w:szCs w:val="24"/>
        </w:rPr>
        <w:t xml:space="preserve"> </w:t>
      </w:r>
      <w:r w:rsidRPr="007B0FB7">
        <w:rPr>
          <w:rFonts w:ascii="Simplified Arabic" w:eastAsia="Noto Sans Arabic" w:hAnsi="Simplified Arabic" w:cs="Simplified Arabic"/>
          <w:b/>
          <w:sz w:val="24"/>
          <w:szCs w:val="24"/>
        </w:rPr>
        <w:t>التقرير</w:t>
      </w:r>
    </w:p>
    <w:sectPr w:rsidR="00B2501A" w:rsidRPr="007B0FB7" w:rsidSect="00034616">
      <w:pgSz w:w="12240" w:h="15840"/>
      <w:pgMar w:top="1247"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Noto Sans Arabic">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89279B1"/>
    <w:multiLevelType w:val="hybridMultilevel"/>
    <w:tmpl w:val="B8EE2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A602CA"/>
    <w:multiLevelType w:val="hybridMultilevel"/>
    <w:tmpl w:val="29AAE26C"/>
    <w:lvl w:ilvl="0" w:tplc="2768180E">
      <w:numFmt w:val="bullet"/>
      <w:lvlText w:val="•"/>
      <w:lvlJc w:val="left"/>
      <w:pPr>
        <w:ind w:left="1080" w:hanging="720"/>
      </w:pPr>
      <w:rPr>
        <w:rFonts w:ascii="Simplified Arabic" w:eastAsia="Noto Sans Arabic"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7487166">
    <w:abstractNumId w:val="8"/>
  </w:num>
  <w:num w:numId="2" w16cid:durableId="865946564">
    <w:abstractNumId w:val="6"/>
  </w:num>
  <w:num w:numId="3" w16cid:durableId="1002123606">
    <w:abstractNumId w:val="5"/>
  </w:num>
  <w:num w:numId="4" w16cid:durableId="692070925">
    <w:abstractNumId w:val="4"/>
  </w:num>
  <w:num w:numId="5" w16cid:durableId="1182011252">
    <w:abstractNumId w:val="7"/>
  </w:num>
  <w:num w:numId="6" w16cid:durableId="1147894780">
    <w:abstractNumId w:val="3"/>
  </w:num>
  <w:num w:numId="7" w16cid:durableId="2133017295">
    <w:abstractNumId w:val="2"/>
  </w:num>
  <w:num w:numId="8" w16cid:durableId="2006862410">
    <w:abstractNumId w:val="1"/>
  </w:num>
  <w:num w:numId="9" w16cid:durableId="3410616">
    <w:abstractNumId w:val="0"/>
  </w:num>
  <w:num w:numId="10" w16cid:durableId="806437778">
    <w:abstractNumId w:val="9"/>
  </w:num>
  <w:num w:numId="11" w16cid:durableId="3288687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DQzNjczNjY3tbA0tTBR0lEKTi0uzszPAykwrAUA/ucXISwAAAA="/>
  </w:docVars>
  <w:rsids>
    <w:rsidRoot w:val="00B47730"/>
    <w:rsid w:val="00034616"/>
    <w:rsid w:val="0006063C"/>
    <w:rsid w:val="0015074B"/>
    <w:rsid w:val="00244E40"/>
    <w:rsid w:val="0029639D"/>
    <w:rsid w:val="002F0EAD"/>
    <w:rsid w:val="00326F90"/>
    <w:rsid w:val="00664D60"/>
    <w:rsid w:val="007B0FB7"/>
    <w:rsid w:val="00AA1D8D"/>
    <w:rsid w:val="00B2501A"/>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7D3709"/>
  <w14:defaultImageDpi w14:val="300"/>
  <w15:docId w15:val="{48F016F8-FA8D-48E2-81D0-84388F4BA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351</Words>
  <Characters>1946</Characters>
  <Application>Microsoft Office Word</Application>
  <DocSecurity>0</DocSecurity>
  <Lines>52</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2</cp:revision>
  <dcterms:created xsi:type="dcterms:W3CDTF">2026-04-02T21:10:00Z</dcterms:created>
  <dcterms:modified xsi:type="dcterms:W3CDTF">2026-04-02T21:10:00Z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c95eb20c-9a5a-4896-9b08-ac98c7797d41</vt:lpwstr>
  </property>
</Properties>
</file>