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ECB8B" w14:textId="7D6A2C23" w:rsidR="00C01CDA" w:rsidRPr="000508C0" w:rsidRDefault="00106F67" w:rsidP="00122610">
      <w:pPr>
        <w:bidi/>
        <w:spacing w:after="0" w:line="360" w:lineRule="auto"/>
        <w:ind w:firstLine="720"/>
        <w:jc w:val="both"/>
        <w:rPr>
          <w:rFonts w:ascii="Sakkal Majalla" w:hAnsi="Sakkal Majalla" w:cs="Sakkal Majalla"/>
          <w:sz w:val="28"/>
          <w:szCs w:val="28"/>
        </w:rPr>
      </w:pPr>
      <w:bookmarkStart w:id="0" w:name="_Hlk203279108"/>
      <w:r w:rsidRPr="000508C0">
        <w:rPr>
          <w:rFonts w:ascii="Sakkal Majalla" w:eastAsia="Calibri" w:hAnsi="Sakkal Majalla" w:cs="Sakkal Majalla"/>
          <w:b/>
          <w:bCs/>
          <w:noProof/>
          <w:sz w:val="28"/>
          <w:szCs w:val="28"/>
        </w:rPr>
        <w:drawing>
          <wp:anchor distT="0" distB="0" distL="114300" distR="114300" simplePos="0" relativeHeight="251660288" behindDoc="1" locked="0" layoutInCell="1" allowOverlap="1" wp14:anchorId="17AA28D1" wp14:editId="5EB673BA">
            <wp:simplePos x="0" y="0"/>
            <wp:positionH relativeFrom="margin">
              <wp:align>left</wp:align>
            </wp:positionH>
            <wp:positionV relativeFrom="page">
              <wp:posOffset>790575</wp:posOffset>
            </wp:positionV>
            <wp:extent cx="2226945" cy="1685925"/>
            <wp:effectExtent l="0" t="0" r="1905" b="9525"/>
            <wp:wrapTight wrapText="bothSides">
              <wp:wrapPolygon edited="0">
                <wp:start x="0" y="0"/>
                <wp:lineTo x="0" y="21478"/>
                <wp:lineTo x="21434" y="21478"/>
                <wp:lineTo x="21434" y="0"/>
                <wp:lineTo x="0" y="0"/>
              </wp:wrapPolygon>
            </wp:wrapTight>
            <wp:docPr id="876314247" name="صورة 87631424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85925"/>
                    </a:xfrm>
                    <a:prstGeom prst="rect">
                      <a:avLst/>
                    </a:prstGeom>
                  </pic:spPr>
                </pic:pic>
              </a:graphicData>
            </a:graphic>
            <wp14:sizeRelV relativeFrom="margin">
              <wp14:pctHeight>0</wp14:pctHeight>
            </wp14:sizeRelV>
          </wp:anchor>
        </w:drawing>
      </w:r>
      <w:r w:rsidR="00E8624C" w:rsidRPr="000508C0">
        <w:rPr>
          <w:rFonts w:ascii="Sakkal Majalla" w:hAnsi="Sakkal Majalla" w:cs="Sakkal Majalla"/>
          <w:noProof/>
        </w:rPr>
        <mc:AlternateContent>
          <mc:Choice Requires="wps">
            <w:drawing>
              <wp:anchor distT="0" distB="0" distL="114300" distR="114300" simplePos="0" relativeHeight="251661312" behindDoc="0" locked="0" layoutInCell="1" allowOverlap="1" wp14:anchorId="2A6BFCBC" wp14:editId="1DE6DEEC">
                <wp:simplePos x="0" y="0"/>
                <wp:positionH relativeFrom="margin">
                  <wp:align>right</wp:align>
                </wp:positionH>
                <wp:positionV relativeFrom="paragraph">
                  <wp:posOffset>0</wp:posOffset>
                </wp:positionV>
                <wp:extent cx="1741805" cy="1660525"/>
                <wp:effectExtent l="0" t="0" r="0" b="0"/>
                <wp:wrapNone/>
                <wp:docPr id="172956252" name="مربع نص 1"/>
                <wp:cNvGraphicFramePr/>
                <a:graphic xmlns:a="http://schemas.openxmlformats.org/drawingml/2006/main">
                  <a:graphicData uri="http://schemas.microsoft.com/office/word/2010/wordprocessingShape">
                    <wps:wsp>
                      <wps:cNvSpPr txBox="1"/>
                      <wps:spPr>
                        <a:xfrm>
                          <a:off x="0" y="0"/>
                          <a:ext cx="1741805" cy="1660525"/>
                        </a:xfrm>
                        <a:prstGeom prst="rect">
                          <a:avLst/>
                        </a:prstGeom>
                        <a:noFill/>
                        <a:ln w="6350">
                          <a:noFill/>
                        </a:ln>
                      </wps:spPr>
                      <wps:txbx>
                        <w:txbxContent>
                          <w:p w14:paraId="752D061B" w14:textId="77777777" w:rsidR="00B30AD8" w:rsidRPr="005777C8" w:rsidRDefault="00B30AD8" w:rsidP="00106F67">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جامعة ميد أوشن</w:t>
                            </w:r>
                          </w:p>
                          <w:p w14:paraId="5B503C2F" w14:textId="77777777" w:rsidR="00B30AD8" w:rsidRPr="005777C8" w:rsidRDefault="00B30AD8" w:rsidP="00106F67">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كلية الإدارة</w:t>
                            </w:r>
                          </w:p>
                          <w:p w14:paraId="3021B303" w14:textId="71DC296B" w:rsidR="00B30AD8" w:rsidRPr="005777C8" w:rsidRDefault="00B30AD8" w:rsidP="00106F67">
                            <w:pPr>
                              <w:spacing w:line="276" w:lineRule="auto"/>
                              <w:jc w:val="center"/>
                              <w:rPr>
                                <w:rFonts w:ascii="Sakkal Majalla" w:hAnsi="Sakkal Majalla" w:cs="Sakkal Majalla"/>
                                <w:b/>
                                <w:bCs/>
                                <w:sz w:val="36"/>
                                <w:szCs w:val="36"/>
                              </w:rPr>
                            </w:pPr>
                            <w:r w:rsidRPr="005777C8">
                              <w:rPr>
                                <w:rFonts w:ascii="Sakkal Majalla" w:hAnsi="Sakkal Majalla" w:cs="Sakkal Majalla"/>
                                <w:b/>
                                <w:bCs/>
                                <w:sz w:val="36"/>
                                <w:szCs w:val="36"/>
                                <w:rtl/>
                              </w:rPr>
                              <w:t xml:space="preserve">ماجستير </w:t>
                            </w:r>
                            <w:r w:rsidR="001D300E">
                              <w:rPr>
                                <w:rFonts w:ascii="Sakkal Majalla" w:hAnsi="Sakkal Majalla" w:cs="Sakkal Majalla"/>
                                <w:b/>
                                <w:bCs/>
                                <w:sz w:val="36"/>
                                <w:szCs w:val="36"/>
                                <w:rtl/>
                              </w:rPr>
                              <w:t xml:space="preserve">برنامج إدارة المخاطر </w:t>
                            </w:r>
                            <w:r w:rsidRPr="005777C8">
                              <w:rPr>
                                <w:rFonts w:ascii="Sakkal Majalla" w:hAnsi="Sakkal Majalla" w:cs="Sakkal Majalla" w:hint="cs"/>
                                <w:b/>
                                <w:bCs/>
                                <w:sz w:val="36"/>
                                <w:szCs w:val="36"/>
                                <w:rtl/>
                              </w:rPr>
                              <w:t xml:space="preserve"> </w:t>
                            </w:r>
                          </w:p>
                          <w:p w14:paraId="5E855FCF" w14:textId="77777777" w:rsidR="00B30AD8" w:rsidRDefault="00B30A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BFCBC" id="_x0000_t202" coordsize="21600,21600" o:spt="202" path="m,l,21600r21600,l21600,xe">
                <v:stroke joinstyle="miter"/>
                <v:path gradientshapeok="t" o:connecttype="rect"/>
              </v:shapetype>
              <v:shape id="مربع نص 1" o:spid="_x0000_s1026" type="#_x0000_t202" style="position:absolute;left:0;text-align:left;margin-left:85.95pt;margin-top:0;width:137.15pt;height:130.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" filled="f" stroked="f" strokeweight=".5pt">
                <v:textbox>
                  <w:txbxContent>
                    <w:p w14:paraId="752D061B" w14:textId="77777777" w:rsidR="00B30AD8" w:rsidRPr="005777C8" w:rsidRDefault="00B30AD8" w:rsidP="00106F67">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جامعة ميد أوشن</w:t>
                      </w:r>
                    </w:p>
                    <w:p w14:paraId="5B503C2F" w14:textId="77777777" w:rsidR="00B30AD8" w:rsidRPr="005777C8" w:rsidRDefault="00B30AD8" w:rsidP="00106F67">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كلية الإدارة</w:t>
                      </w:r>
                    </w:p>
                    <w:p w14:paraId="3021B303" w14:textId="71DC296B" w:rsidR="00B30AD8" w:rsidRPr="005777C8" w:rsidRDefault="00B30AD8" w:rsidP="00106F67">
                      <w:pPr>
                        <w:spacing w:line="276" w:lineRule="auto"/>
                        <w:jc w:val="center"/>
                        <w:rPr>
                          <w:rFonts w:ascii="Sakkal Majalla" w:hAnsi="Sakkal Majalla" w:cs="Sakkal Majalla"/>
                          <w:b/>
                          <w:bCs/>
                          <w:sz w:val="36"/>
                          <w:szCs w:val="36"/>
                        </w:rPr>
                      </w:pPr>
                      <w:r w:rsidRPr="005777C8">
                        <w:rPr>
                          <w:rFonts w:ascii="Sakkal Majalla" w:hAnsi="Sakkal Majalla" w:cs="Sakkal Majalla"/>
                          <w:b/>
                          <w:bCs/>
                          <w:sz w:val="36"/>
                          <w:szCs w:val="36"/>
                          <w:rtl/>
                        </w:rPr>
                        <w:t xml:space="preserve">ماجستير </w:t>
                      </w:r>
                      <w:r w:rsidR="001D300E">
                        <w:rPr>
                          <w:rFonts w:ascii="Sakkal Majalla" w:hAnsi="Sakkal Majalla" w:cs="Sakkal Majalla"/>
                          <w:b/>
                          <w:bCs/>
                          <w:sz w:val="36"/>
                          <w:szCs w:val="36"/>
                          <w:rtl/>
                        </w:rPr>
                        <w:t xml:space="preserve">برنامج إدارة المخاطر </w:t>
                      </w:r>
                      <w:r w:rsidRPr="005777C8">
                        <w:rPr>
                          <w:rFonts w:ascii="Sakkal Majalla" w:hAnsi="Sakkal Majalla" w:cs="Sakkal Majalla" w:hint="cs"/>
                          <w:b/>
                          <w:bCs/>
                          <w:sz w:val="36"/>
                          <w:szCs w:val="36"/>
                          <w:rtl/>
                        </w:rPr>
                        <w:t xml:space="preserve"> </w:t>
                      </w:r>
                    </w:p>
                    <w:p w14:paraId="5E855FCF" w14:textId="77777777" w:rsidR="00B30AD8" w:rsidRDefault="00B30AD8"/>
                  </w:txbxContent>
                </v:textbox>
                <w10:wrap anchorx="margin"/>
              </v:shape>
            </w:pict>
          </mc:Fallback>
        </mc:AlternateContent>
      </w:r>
      <w:r w:rsidR="00C01CDA" w:rsidRPr="000508C0">
        <w:rPr>
          <w:rFonts w:ascii="Sakkal Majalla" w:hAnsi="Sakkal Majalla" w:cs="Sakkal Majalla"/>
          <w:rtl/>
        </w:rPr>
        <w:tab/>
      </w:r>
    </w:p>
    <w:p w14:paraId="3E4345D9" w14:textId="77777777" w:rsidR="00C01CDA" w:rsidRPr="000508C0" w:rsidRDefault="00C01CDA" w:rsidP="00122610">
      <w:pPr>
        <w:bidi/>
        <w:spacing w:after="0" w:line="360" w:lineRule="auto"/>
        <w:ind w:firstLine="720"/>
        <w:jc w:val="both"/>
        <w:rPr>
          <w:rFonts w:ascii="Sakkal Majalla" w:hAnsi="Sakkal Majalla" w:cs="Sakkal Majalla"/>
          <w:sz w:val="28"/>
          <w:szCs w:val="28"/>
        </w:rPr>
      </w:pPr>
    </w:p>
    <w:p w14:paraId="73324D42" w14:textId="77777777" w:rsidR="00490F2B" w:rsidRPr="000508C0" w:rsidRDefault="00490F2B" w:rsidP="00122610">
      <w:pPr>
        <w:bidi/>
        <w:spacing w:after="0" w:line="360" w:lineRule="auto"/>
        <w:ind w:firstLine="720"/>
        <w:jc w:val="both"/>
        <w:rPr>
          <w:rFonts w:ascii="Sakkal Majalla" w:hAnsi="Sakkal Majalla" w:cs="Sakkal Majalla"/>
          <w:b/>
          <w:bCs/>
          <w:sz w:val="44"/>
          <w:szCs w:val="44"/>
          <w:rtl/>
          <w:lang w:bidi="ar-EG"/>
        </w:rPr>
      </w:pPr>
    </w:p>
    <w:p w14:paraId="66418A12" w14:textId="77777777" w:rsidR="005777C8" w:rsidRPr="000508C0" w:rsidRDefault="005777C8" w:rsidP="00122610">
      <w:pPr>
        <w:bidi/>
        <w:spacing w:after="0" w:line="360" w:lineRule="auto"/>
        <w:jc w:val="both"/>
        <w:rPr>
          <w:rFonts w:ascii="Sakkal Majalla" w:eastAsia="Calibri" w:hAnsi="Sakkal Majalla" w:cs="Sakkal Majalla"/>
          <w:b/>
          <w:bCs/>
          <w:sz w:val="44"/>
          <w:szCs w:val="44"/>
          <w:rtl/>
        </w:rPr>
      </w:pPr>
    </w:p>
    <w:p w14:paraId="30F9F6C5" w14:textId="246C9EB2" w:rsidR="005571BC" w:rsidRPr="000508C0" w:rsidRDefault="005571BC" w:rsidP="00F53EBA">
      <w:pPr>
        <w:bidi/>
        <w:spacing w:before="240" w:line="360" w:lineRule="auto"/>
        <w:ind w:hanging="1"/>
        <w:jc w:val="center"/>
        <w:rPr>
          <w:rFonts w:ascii="Sakkal Majalla" w:eastAsia="Calibri" w:hAnsi="Sakkal Majalla" w:cs="Sakkal Majalla"/>
          <w:b/>
          <w:bCs/>
          <w:sz w:val="44"/>
          <w:szCs w:val="44"/>
          <w:rtl/>
          <w:lang w:bidi="ar-EG"/>
        </w:rPr>
      </w:pPr>
      <w:bookmarkStart w:id="1" w:name="_Hlk203270515"/>
      <w:r w:rsidRPr="000508C0">
        <w:rPr>
          <w:rFonts w:ascii="Sakkal Majalla" w:eastAsia="Calibri" w:hAnsi="Sakkal Majalla" w:cs="Sakkal Majalla"/>
          <w:b/>
          <w:bCs/>
          <w:sz w:val="44"/>
          <w:szCs w:val="44"/>
          <w:rtl/>
          <w:lang w:bidi="ar-EG"/>
        </w:rPr>
        <w:t xml:space="preserve">تأثير تطبيق برنامج </w:t>
      </w:r>
      <w:r w:rsidR="001D300E" w:rsidRPr="000508C0">
        <w:rPr>
          <w:rFonts w:ascii="Sakkal Majalla" w:eastAsia="Calibri" w:hAnsi="Sakkal Majalla" w:cs="Sakkal Majalla"/>
          <w:b/>
          <w:bCs/>
          <w:sz w:val="44"/>
          <w:szCs w:val="44"/>
          <w:rtl/>
          <w:lang w:bidi="ar-EG"/>
        </w:rPr>
        <w:t xml:space="preserve">إدارة المخاطر </w:t>
      </w:r>
      <w:r w:rsidR="004B185F" w:rsidRPr="000508C0">
        <w:rPr>
          <w:rFonts w:ascii="Sakkal Majalla" w:eastAsia="Calibri" w:hAnsi="Sakkal Majalla" w:cs="Sakkal Majalla" w:hint="cs"/>
          <w:b/>
          <w:bCs/>
          <w:sz w:val="44"/>
          <w:szCs w:val="44"/>
          <w:rtl/>
          <w:lang w:bidi="ar-EG"/>
        </w:rPr>
        <w:t>على مكافحة</w:t>
      </w:r>
      <w:r w:rsidRPr="000508C0">
        <w:rPr>
          <w:rFonts w:ascii="Sakkal Majalla" w:eastAsia="Calibri" w:hAnsi="Sakkal Majalla" w:cs="Sakkal Majalla"/>
          <w:b/>
          <w:bCs/>
          <w:sz w:val="44"/>
          <w:szCs w:val="44"/>
          <w:rtl/>
          <w:lang w:bidi="ar-EG"/>
        </w:rPr>
        <w:t xml:space="preserve"> العدوى داخل </w:t>
      </w:r>
      <w:r w:rsidR="000508C0">
        <w:rPr>
          <w:rFonts w:ascii="Sakkal Majalla" w:eastAsia="Calibri" w:hAnsi="Sakkal Majalla" w:cs="Sakkal Majalla"/>
          <w:b/>
          <w:bCs/>
          <w:sz w:val="44"/>
          <w:szCs w:val="44"/>
          <w:rtl/>
          <w:lang w:bidi="ar-EG"/>
        </w:rPr>
        <w:t>المستشف</w:t>
      </w:r>
      <w:r w:rsidR="00C92C60">
        <w:rPr>
          <w:rFonts w:ascii="Sakkal Majalla" w:eastAsia="Calibri" w:hAnsi="Sakkal Majalla" w:cs="Sakkal Majalla" w:hint="cs"/>
          <w:b/>
          <w:bCs/>
          <w:sz w:val="44"/>
          <w:szCs w:val="44"/>
          <w:rtl/>
          <w:lang w:bidi="ar-EG"/>
        </w:rPr>
        <w:t>يات</w:t>
      </w:r>
      <w:r w:rsidRPr="000508C0">
        <w:rPr>
          <w:rFonts w:ascii="Sakkal Majalla" w:eastAsia="Calibri" w:hAnsi="Sakkal Majalla" w:cs="Sakkal Majalla"/>
          <w:b/>
          <w:bCs/>
          <w:sz w:val="44"/>
          <w:szCs w:val="44"/>
          <w:rtl/>
          <w:lang w:bidi="ar-EG"/>
        </w:rPr>
        <w:t>: دراسة تطبيقية على مستشفيات الحكومية في</w:t>
      </w:r>
      <w:r w:rsidR="008B701D">
        <w:rPr>
          <w:rFonts w:ascii="Sakkal Majalla" w:eastAsia="Calibri" w:hAnsi="Sakkal Majalla" w:cs="Sakkal Majalla" w:hint="cs"/>
          <w:b/>
          <w:bCs/>
          <w:sz w:val="44"/>
          <w:szCs w:val="44"/>
          <w:rtl/>
          <w:lang w:bidi="ar-EG"/>
        </w:rPr>
        <w:t xml:space="preserve"> منطقة </w:t>
      </w:r>
      <w:r w:rsidR="001040E5">
        <w:rPr>
          <w:rFonts w:ascii="Sakkal Majalla" w:eastAsia="Calibri" w:hAnsi="Sakkal Majalla" w:cs="Sakkal Majalla" w:hint="cs"/>
          <w:b/>
          <w:bCs/>
          <w:sz w:val="44"/>
          <w:szCs w:val="44"/>
          <w:rtl/>
          <w:lang w:bidi="ar-EG"/>
        </w:rPr>
        <w:t xml:space="preserve">الدمام </w:t>
      </w:r>
      <w:r w:rsidR="001040E5" w:rsidRPr="000508C0">
        <w:rPr>
          <w:rFonts w:ascii="Sakkal Majalla" w:eastAsia="Calibri" w:hAnsi="Sakkal Majalla" w:cs="Sakkal Majalla" w:hint="cs"/>
          <w:b/>
          <w:bCs/>
          <w:sz w:val="44"/>
          <w:szCs w:val="44"/>
          <w:rtl/>
          <w:lang w:bidi="ar-EG"/>
        </w:rPr>
        <w:t>بالمملكة</w:t>
      </w:r>
      <w:r w:rsidRPr="000508C0">
        <w:rPr>
          <w:rFonts w:ascii="Sakkal Majalla" w:eastAsia="Calibri" w:hAnsi="Sakkal Majalla" w:cs="Sakkal Majalla"/>
          <w:b/>
          <w:bCs/>
          <w:sz w:val="44"/>
          <w:szCs w:val="44"/>
          <w:rtl/>
          <w:lang w:bidi="ar-EG"/>
        </w:rPr>
        <w:t xml:space="preserve"> العربية السعودية </w:t>
      </w:r>
    </w:p>
    <w:bookmarkEnd w:id="1"/>
    <w:p w14:paraId="05270DDA" w14:textId="357051AC" w:rsidR="00FC5DF5" w:rsidRPr="000508C0" w:rsidRDefault="005777C8" w:rsidP="005571BC">
      <w:pPr>
        <w:bidi/>
        <w:spacing w:before="240" w:line="360" w:lineRule="auto"/>
        <w:ind w:hanging="1"/>
        <w:jc w:val="center"/>
        <w:rPr>
          <w:rFonts w:ascii="Sakkal Majalla" w:eastAsia="Calibri" w:hAnsi="Sakkal Majalla" w:cs="Sakkal Majalla"/>
          <w:b/>
          <w:bCs/>
          <w:sz w:val="40"/>
          <w:szCs w:val="40"/>
          <w:rtl/>
        </w:rPr>
      </w:pPr>
      <w:r w:rsidRPr="000508C0">
        <w:rPr>
          <w:rFonts w:ascii="Sakkal Majalla" w:eastAsia="Calibri" w:hAnsi="Sakkal Majalla" w:cs="Sakkal Majalla" w:hint="cs"/>
          <w:b/>
          <w:bCs/>
          <w:sz w:val="40"/>
          <w:szCs w:val="40"/>
          <w:rtl/>
        </w:rPr>
        <w:t>مشروع تخرج</w:t>
      </w:r>
    </w:p>
    <w:p w14:paraId="1F231AEE" w14:textId="7B0FC856" w:rsidR="00631562" w:rsidRPr="000508C0" w:rsidRDefault="00C01CDA" w:rsidP="00F53EBA">
      <w:pPr>
        <w:bidi/>
        <w:spacing w:line="360" w:lineRule="auto"/>
        <w:ind w:hanging="1"/>
        <w:jc w:val="center"/>
        <w:rPr>
          <w:rFonts w:ascii="Sakkal Majalla" w:hAnsi="Sakkal Majalla" w:cs="Sakkal Majalla"/>
          <w:b/>
          <w:bCs/>
          <w:sz w:val="36"/>
          <w:szCs w:val="36"/>
          <w:rtl/>
        </w:rPr>
      </w:pPr>
      <w:r w:rsidRPr="000508C0">
        <w:rPr>
          <w:rFonts w:ascii="Sakkal Majalla" w:hAnsi="Sakkal Majalla" w:cs="Sakkal Majalla"/>
          <w:b/>
          <w:bCs/>
          <w:sz w:val="36"/>
          <w:szCs w:val="36"/>
          <w:rtl/>
        </w:rPr>
        <w:t xml:space="preserve">إعداد </w:t>
      </w:r>
      <w:r w:rsidR="004B185F" w:rsidRPr="000508C0">
        <w:rPr>
          <w:rFonts w:ascii="Sakkal Majalla" w:hAnsi="Sakkal Majalla" w:cs="Sakkal Majalla" w:hint="cs"/>
          <w:b/>
          <w:bCs/>
          <w:sz w:val="36"/>
          <w:szCs w:val="36"/>
          <w:rtl/>
        </w:rPr>
        <w:t>الطالبة:</w:t>
      </w:r>
    </w:p>
    <w:p w14:paraId="4D21C8F4" w14:textId="714A8EB9" w:rsidR="005571BC" w:rsidRPr="000508C0" w:rsidRDefault="004B185F" w:rsidP="00122610">
      <w:pPr>
        <w:bidi/>
        <w:spacing w:line="360" w:lineRule="auto"/>
        <w:ind w:hanging="1"/>
        <w:jc w:val="center"/>
        <w:rPr>
          <w:rFonts w:ascii="Sakkal Majalla" w:eastAsia="Calibri" w:hAnsi="Sakkal Majalla" w:cs="Sakkal Majalla"/>
          <w:b/>
          <w:bCs/>
          <w:kern w:val="2"/>
          <w:sz w:val="36"/>
          <w:szCs w:val="36"/>
          <w:rtl/>
        </w:rPr>
      </w:pPr>
      <w:r w:rsidRPr="000508C0">
        <w:rPr>
          <w:rFonts w:ascii="Sakkal Majalla" w:eastAsia="Calibri" w:hAnsi="Sakkal Majalla" w:cs="Sakkal Majalla" w:hint="cs"/>
          <w:b/>
          <w:bCs/>
          <w:kern w:val="2"/>
          <w:sz w:val="36"/>
          <w:szCs w:val="36"/>
          <w:rtl/>
        </w:rPr>
        <w:t xml:space="preserve">سامية شلوان آل ساري </w:t>
      </w:r>
    </w:p>
    <w:p w14:paraId="7244DD57" w14:textId="52F930DF" w:rsidR="004B185F" w:rsidRPr="000508C0" w:rsidRDefault="004B185F" w:rsidP="004B185F">
      <w:pPr>
        <w:bidi/>
        <w:spacing w:line="360" w:lineRule="auto"/>
        <w:ind w:hanging="1"/>
        <w:jc w:val="center"/>
        <w:rPr>
          <w:rFonts w:ascii="Sakkal Majalla" w:eastAsia="Calibri" w:hAnsi="Sakkal Majalla" w:cs="Sakkal Majalla"/>
          <w:b/>
          <w:bCs/>
          <w:kern w:val="2"/>
          <w:sz w:val="36"/>
          <w:szCs w:val="36"/>
          <w:rtl/>
        </w:rPr>
      </w:pPr>
      <w:r w:rsidRPr="000508C0">
        <w:rPr>
          <w:rFonts w:ascii="Sakkal Majalla" w:eastAsia="Calibri" w:hAnsi="Sakkal Majalla" w:cs="Sakkal Majalla" w:hint="cs"/>
          <w:b/>
          <w:bCs/>
          <w:kern w:val="2"/>
          <w:sz w:val="36"/>
          <w:szCs w:val="36"/>
          <w:rtl/>
        </w:rPr>
        <w:t>251002093</w:t>
      </w:r>
    </w:p>
    <w:p w14:paraId="2FF0B4FD" w14:textId="6A787138" w:rsidR="00C01CDA" w:rsidRPr="000508C0" w:rsidRDefault="00C01CDA" w:rsidP="005571BC">
      <w:pPr>
        <w:bidi/>
        <w:spacing w:line="360" w:lineRule="auto"/>
        <w:ind w:hanging="1"/>
        <w:jc w:val="center"/>
        <w:rPr>
          <w:rFonts w:ascii="Sakkal Majalla" w:hAnsi="Sakkal Majalla" w:cs="Sakkal Majalla"/>
          <w:b/>
          <w:bCs/>
          <w:sz w:val="36"/>
          <w:szCs w:val="36"/>
          <w:rtl/>
        </w:rPr>
      </w:pPr>
      <w:r w:rsidRPr="000508C0">
        <w:rPr>
          <w:rFonts w:ascii="Sakkal Majalla" w:hAnsi="Sakkal Majalla" w:cs="Sakkal Majalla"/>
          <w:b/>
          <w:bCs/>
          <w:sz w:val="36"/>
          <w:szCs w:val="36"/>
          <w:rtl/>
        </w:rPr>
        <w:t>إشراف</w:t>
      </w:r>
      <w:r w:rsidR="00122610" w:rsidRPr="000508C0">
        <w:rPr>
          <w:rFonts w:ascii="Sakkal Majalla" w:hAnsi="Sakkal Majalla" w:cs="Sakkal Majalla" w:hint="cs"/>
          <w:b/>
          <w:bCs/>
          <w:sz w:val="36"/>
          <w:szCs w:val="36"/>
          <w:rtl/>
        </w:rPr>
        <w:t xml:space="preserve"> </w:t>
      </w:r>
      <w:r w:rsidR="004B185F" w:rsidRPr="000508C0">
        <w:rPr>
          <w:rFonts w:ascii="Sakkal Majalla" w:hAnsi="Sakkal Majalla" w:cs="Sakkal Majalla" w:hint="cs"/>
          <w:b/>
          <w:bCs/>
          <w:sz w:val="36"/>
          <w:szCs w:val="36"/>
          <w:rtl/>
        </w:rPr>
        <w:t>الدكتور:</w:t>
      </w:r>
    </w:p>
    <w:p w14:paraId="508D90F4" w14:textId="2E7E9F11" w:rsidR="00F53EBA" w:rsidRPr="000508C0" w:rsidRDefault="004B185F" w:rsidP="00F53EBA">
      <w:pPr>
        <w:bidi/>
        <w:spacing w:line="360" w:lineRule="auto"/>
        <w:ind w:hanging="1"/>
        <w:jc w:val="center"/>
        <w:rPr>
          <w:rFonts w:ascii="Sakkal Majalla" w:hAnsi="Sakkal Majalla" w:cs="Sakkal Majalla"/>
          <w:b/>
          <w:bCs/>
          <w:sz w:val="36"/>
          <w:szCs w:val="36"/>
          <w:rtl/>
          <w:lang w:bidi="ar-EG"/>
        </w:rPr>
      </w:pPr>
      <w:r w:rsidRPr="000508C0">
        <w:rPr>
          <w:rFonts w:ascii="Sakkal Majalla" w:hAnsi="Sakkal Majalla" w:cs="Sakkal Majalla" w:hint="cs"/>
          <w:b/>
          <w:bCs/>
          <w:sz w:val="36"/>
          <w:szCs w:val="36"/>
          <w:rtl/>
          <w:lang w:bidi="ar-EG"/>
        </w:rPr>
        <w:t>د/ الفيصل عبدالحميدمحمد</w:t>
      </w:r>
    </w:p>
    <w:p w14:paraId="52EB5A6A" w14:textId="26AD497E" w:rsidR="004B185F" w:rsidRPr="000508C0" w:rsidRDefault="004B185F" w:rsidP="004B185F">
      <w:pPr>
        <w:bidi/>
        <w:spacing w:line="360" w:lineRule="auto"/>
        <w:ind w:hanging="1"/>
        <w:jc w:val="center"/>
        <w:rPr>
          <w:rFonts w:ascii="Sakkal Majalla" w:hAnsi="Sakkal Majalla" w:cs="Sakkal Majalla"/>
          <w:b/>
          <w:bCs/>
          <w:sz w:val="36"/>
          <w:szCs w:val="36"/>
          <w:rtl/>
          <w:lang w:bidi="ar-EG"/>
        </w:rPr>
      </w:pPr>
      <w:r w:rsidRPr="000508C0">
        <w:rPr>
          <w:rFonts w:ascii="Sakkal Majalla" w:hAnsi="Sakkal Majalla" w:cs="Sakkal Majalla" w:hint="cs"/>
          <w:b/>
          <w:bCs/>
          <w:sz w:val="36"/>
          <w:szCs w:val="36"/>
          <w:rtl/>
          <w:lang w:bidi="ar-EG"/>
        </w:rPr>
        <w:t>د/ فايز على جراد</w:t>
      </w:r>
    </w:p>
    <w:p w14:paraId="07B5F4C5" w14:textId="089865DC" w:rsidR="00C01CDA" w:rsidRPr="000508C0" w:rsidRDefault="00D17CF3" w:rsidP="00122610">
      <w:pPr>
        <w:bidi/>
        <w:spacing w:after="0" w:line="360" w:lineRule="auto"/>
        <w:ind w:hanging="1"/>
        <w:jc w:val="center"/>
        <w:rPr>
          <w:rFonts w:ascii="Sakkal Majalla" w:hAnsi="Sakkal Majalla" w:cs="Sakkal Majalla"/>
          <w:b/>
          <w:bCs/>
          <w:sz w:val="36"/>
          <w:szCs w:val="36"/>
        </w:rPr>
        <w:sectPr w:rsidR="00C01CDA" w:rsidRPr="000508C0" w:rsidSect="005777C8">
          <w:type w:val="continuous"/>
          <w:pgSz w:w="11907" w:h="16840" w:code="9"/>
          <w:pgMar w:top="1440" w:right="1985" w:bottom="1440" w:left="1418" w:header="720" w:footer="720" w:gutter="567"/>
          <w:cols w:space="720"/>
          <w:bidi/>
          <w:rtlGutter/>
          <w:docGrid w:linePitch="360"/>
        </w:sectPr>
      </w:pPr>
      <w:r w:rsidRPr="000508C0">
        <w:rPr>
          <w:rFonts w:ascii="Sakkal Majalla" w:hAnsi="Sakkal Majalla" w:cs="Sakkal Majalla" w:hint="cs"/>
          <w:b/>
          <w:bCs/>
          <w:sz w:val="36"/>
          <w:szCs w:val="36"/>
          <w:rtl/>
        </w:rPr>
        <w:t>202</w:t>
      </w:r>
      <w:r w:rsidR="005571BC" w:rsidRPr="000508C0">
        <w:rPr>
          <w:rFonts w:ascii="Sakkal Majalla" w:hAnsi="Sakkal Majalla" w:cs="Sakkal Majalla" w:hint="cs"/>
          <w:b/>
          <w:bCs/>
          <w:sz w:val="36"/>
          <w:szCs w:val="36"/>
          <w:rtl/>
        </w:rPr>
        <w:t>5</w:t>
      </w:r>
    </w:p>
    <w:p w14:paraId="241C8A9F" w14:textId="77777777" w:rsidR="005019F4" w:rsidRPr="005019F4" w:rsidRDefault="005019F4" w:rsidP="005019F4">
      <w:pPr>
        <w:keepNext/>
        <w:keepLines/>
        <w:bidi/>
        <w:spacing w:before="240" w:after="0" w:line="360" w:lineRule="auto"/>
        <w:ind w:firstLine="720"/>
        <w:jc w:val="center"/>
        <w:outlineLvl w:val="0"/>
        <w:rPr>
          <w:rFonts w:ascii="Sakkal Majalla" w:eastAsia="Times New Roman" w:hAnsi="Sakkal Majalla" w:cs="Sakkal Majalla"/>
          <w:b/>
          <w:bCs/>
          <w:sz w:val="40"/>
          <w:szCs w:val="40"/>
          <w:rtl/>
        </w:rPr>
      </w:pPr>
      <w:bookmarkStart w:id="2" w:name="_Toc143987399"/>
      <w:bookmarkStart w:id="3" w:name="_Toc143200271"/>
      <w:bookmarkStart w:id="4" w:name="_Toc170664301"/>
      <w:bookmarkStart w:id="5" w:name="_Toc169790501"/>
      <w:bookmarkStart w:id="6" w:name="_Toc169790587"/>
      <w:bookmarkStart w:id="7" w:name="_Hlk203279154"/>
      <w:bookmarkStart w:id="8" w:name="_Toc153867290"/>
      <w:bookmarkStart w:id="9" w:name="_Toc180449140"/>
      <w:bookmarkEnd w:id="0"/>
      <w:r w:rsidRPr="005019F4">
        <w:rPr>
          <w:rFonts w:ascii="Sakkal Majalla" w:eastAsia="Times New Roman" w:hAnsi="Sakkal Majalla" w:cs="Sakkal Majalla"/>
          <w:b/>
          <w:bCs/>
          <w:sz w:val="40"/>
          <w:szCs w:val="40"/>
          <w:rtl/>
        </w:rPr>
        <w:lastRenderedPageBreak/>
        <w:t>الفصل الأول: الإطار العام للدارسة</w:t>
      </w:r>
      <w:bookmarkEnd w:id="2"/>
    </w:p>
    <w:p w14:paraId="75FEAC88"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10" w:name="_Toc143987400"/>
      <w:r w:rsidRPr="005019F4">
        <w:rPr>
          <w:rFonts w:ascii="Sakkal Majalla" w:eastAsia="Times New Roman" w:hAnsi="Sakkal Majalla" w:cs="Sakkal Majalla"/>
          <w:b/>
          <w:bCs/>
          <w:sz w:val="32"/>
          <w:szCs w:val="32"/>
          <w:rtl/>
          <w:lang w:bidi="ar-EG"/>
        </w:rPr>
        <w:t>1,1المقدمة:</w:t>
      </w:r>
      <w:bookmarkEnd w:id="10"/>
    </w:p>
    <w:p w14:paraId="462DD524"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تُعَدُّ المخاطر الصحية والوبائية من أبرز التحديات التي تواجه الأنظمة الصحية حول العالم، ولا سيما مع تزايد حركة السكان العالمية وانتشار الأمراض العابرة للحدود. ففي السنوات الأخيرة، شهدت المجتمعات البشرية تفشّياتٍ وبائية عدة، من وباء الإيبولا في غرب إفريقيا (2014–2016) إلى جائحة كوفيد-19 التي اجتاحت العالم منذ أواخر 2019 وما تزال آثارها مستمرة على الرغم من مكاسب التلقيح وتطور العلاجات</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Layes</w:t>
      </w:r>
      <w:proofErr w:type="spellEnd"/>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Ghenbazi</w:t>
      </w:r>
      <w:proofErr w:type="spellEnd"/>
      <w:r w:rsidRPr="005019F4">
        <w:rPr>
          <w:rFonts w:ascii="Sakkal Majalla" w:eastAsia="Calibri" w:hAnsi="Sakkal Majalla" w:cs="Sakkal Majalla"/>
          <w:sz w:val="28"/>
          <w:szCs w:val="28"/>
        </w:rPr>
        <w:t xml:space="preserve"> &amp; </w:t>
      </w:r>
      <w:proofErr w:type="spellStart"/>
      <w:r w:rsidRPr="005019F4">
        <w:rPr>
          <w:rFonts w:ascii="Sakkal Majalla" w:eastAsia="Calibri" w:hAnsi="Sakkal Majalla" w:cs="Sakkal Majalla"/>
          <w:sz w:val="28"/>
          <w:szCs w:val="28"/>
        </w:rPr>
        <w:t>Lati</w:t>
      </w:r>
      <w:proofErr w:type="spellEnd"/>
      <w:r w:rsidRPr="005019F4">
        <w:rPr>
          <w:rFonts w:ascii="Sakkal Majalla" w:eastAsia="Calibri" w:hAnsi="Sakkal Majalla" w:cs="Sakkal Majalla"/>
          <w:sz w:val="28"/>
          <w:szCs w:val="28"/>
        </w:rPr>
        <w:t>, 2021</w:t>
      </w:r>
      <w:r w:rsidRPr="005019F4">
        <w:rPr>
          <w:rFonts w:ascii="Sakkal Majalla" w:eastAsia="Calibri" w:hAnsi="Sakkal Majalla" w:cs="Sakkal Majalla"/>
          <w:sz w:val="28"/>
          <w:szCs w:val="28"/>
          <w:rtl/>
        </w:rPr>
        <w:t>؛</w:t>
      </w:r>
      <w:r w:rsidRPr="005019F4">
        <w:rPr>
          <w:rFonts w:ascii="Sakkal Majalla" w:eastAsia="Calibri" w:hAnsi="Sakkal Majalla" w:cs="Sakkal Majalla" w:hint="cs"/>
          <w:sz w:val="28"/>
          <w:szCs w:val="28"/>
          <w:rtl/>
        </w:rPr>
        <w:t xml:space="preserve">) </w:t>
      </w:r>
      <w:r w:rsidRPr="005019F4">
        <w:rPr>
          <w:rFonts w:ascii="Sakkal Majalla" w:eastAsia="Calibri" w:hAnsi="Sakkal Majalla" w:cs="Sakkal Majalla"/>
          <w:sz w:val="28"/>
          <w:szCs w:val="28"/>
        </w:rPr>
        <w:t xml:space="preserve"> Hādī, 2020). </w:t>
      </w:r>
      <w:r w:rsidRPr="005019F4">
        <w:rPr>
          <w:rFonts w:ascii="Sakkal Majalla" w:eastAsia="Calibri" w:hAnsi="Sakkal Majalla" w:cs="Sakkal Majalla"/>
          <w:sz w:val="28"/>
          <w:szCs w:val="28"/>
          <w:rtl/>
        </w:rPr>
        <w:t>وقد دفعت هذه الأزمات الصحية الدولية إلى إعادة النظر في أساليب إدارة المخاطر الصحية والبيئية، واعتماد منهجيات شاملة تعتمد على التنبّؤ المبكر والتقييم المستمر للمخاطر، بهدف تقليل الخسائر البشرية والمادية وضمان استمرارية تقديم الخدمات الصحية بأعلى مستويات الجودة والفاعلية</w:t>
      </w:r>
      <w:r w:rsidRPr="005019F4">
        <w:rPr>
          <w:rFonts w:ascii="Sakkal Majalla" w:eastAsia="Calibri" w:hAnsi="Sakkal Majalla" w:cs="Sakkal Majalla"/>
          <w:sz w:val="28"/>
          <w:szCs w:val="28"/>
        </w:rPr>
        <w:t>.</w:t>
      </w:r>
    </w:p>
    <w:p w14:paraId="6756AA1B"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في هذا السياق، تبرز إدارة المخاطر كأحد الركائز الأساسية لتحقيق الأمان والسلامة في المؤسسات الصحية، إذ تُعنى بتحديد مصادر الخطر وتقييمها وتطوير استراتيجيات السيطرة عليها أو التخفيف من آثارها</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Muṣṭafā</w:t>
      </w:r>
      <w:proofErr w:type="spellEnd"/>
      <w:r w:rsidRPr="005019F4">
        <w:rPr>
          <w:rFonts w:ascii="Sakkal Majalla" w:eastAsia="Calibri" w:hAnsi="Sakkal Majalla" w:cs="Sakkal Majalla"/>
          <w:sz w:val="28"/>
          <w:szCs w:val="28"/>
        </w:rPr>
        <w:t xml:space="preserve">, 2012). </w:t>
      </w:r>
      <w:r w:rsidRPr="005019F4">
        <w:rPr>
          <w:rFonts w:ascii="Sakkal Majalla" w:eastAsia="Calibri" w:hAnsi="Sakkal Majalla" w:cs="Sakkal Majalla"/>
          <w:sz w:val="28"/>
          <w:szCs w:val="28"/>
          <w:rtl/>
        </w:rPr>
        <w:t>وقد أثبت تطبيق برامج إدارة المخاطر في قطاعَي الرعاية الصحية العام والخاص فاعليةً ملحوظة في تحسين مؤشرات جودة الرعاية وتقليل معدلات الحوادث المرتبطة بالعدوى المستشفوية</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Al-Qahtānī</w:t>
      </w:r>
      <w:proofErr w:type="spellEnd"/>
      <w:r w:rsidRPr="005019F4">
        <w:rPr>
          <w:rFonts w:ascii="Sakkal Majalla" w:eastAsia="Calibri" w:hAnsi="Sakkal Majalla" w:cs="Sakkal Majalla"/>
          <w:sz w:val="28"/>
          <w:szCs w:val="28"/>
        </w:rPr>
        <w:t>, 2023</w:t>
      </w:r>
      <w:r w:rsidRPr="005019F4">
        <w:rPr>
          <w:rFonts w:ascii="Sakkal Majalla" w:eastAsia="Calibri" w:hAnsi="Sakkal Majalla" w:cs="Sakkal Majalla"/>
          <w:sz w:val="28"/>
          <w:szCs w:val="28"/>
          <w:rtl/>
        </w:rPr>
        <w:t>؛</w:t>
      </w:r>
      <w:r w:rsidRPr="005019F4">
        <w:rPr>
          <w:rFonts w:ascii="Sakkal Majalla" w:eastAsia="Calibri" w:hAnsi="Sakkal Majalla" w:cs="Sakkal Majalla"/>
          <w:sz w:val="28"/>
          <w:szCs w:val="28"/>
        </w:rPr>
        <w:t xml:space="preserve"> Al-Muṭayrī, 2023). </w:t>
      </w:r>
      <w:r w:rsidRPr="005019F4">
        <w:rPr>
          <w:rFonts w:ascii="Sakkal Majalla" w:eastAsia="Calibri" w:hAnsi="Sakkal Majalla" w:cs="Sakkal Majalla"/>
          <w:sz w:val="28"/>
          <w:szCs w:val="28"/>
          <w:rtl/>
        </w:rPr>
        <w:t>فعلى سبيل المثال، أظهرت دراسة حالة في مستشفى المذنب العام بالقصيم أنَّ الالتزام بإطار عمل متكامل لإدارة المخاطر ساهم في خفض معدل العدوى المكتسبة داخل المستشفى بنسبة تزيد على 15% خلال سنة واحدة</w:t>
      </w:r>
      <w:r w:rsidRPr="005019F4">
        <w:rPr>
          <w:rFonts w:ascii="Sakkal Majalla" w:eastAsia="Calibri" w:hAnsi="Sakkal Majalla" w:cs="Sakkal Majalla"/>
          <w:sz w:val="28"/>
          <w:szCs w:val="28"/>
        </w:rPr>
        <w:t xml:space="preserve"> (Al-Muṭayrī, 2023).</w:t>
      </w:r>
    </w:p>
    <w:p w14:paraId="02C8BA75"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وعلى مستوى الوقاية من العدوى، تُعدُّ وحدات العناية المركزة وأجنحة المرضى ذوي المناعة المنخفضة الأكثر عرضةً للتفشّيات الوبائية، نتيجة الاحتكاك المكثف بالمرضى، واستخدام الأجهزة الطبية الغازية كأجهزة التنفس الاصطناعي والقلوب المفتوحة</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Abdelsalam</w:t>
      </w:r>
      <w:proofErr w:type="spellEnd"/>
      <w:r w:rsidRPr="005019F4">
        <w:rPr>
          <w:rFonts w:ascii="Sakkal Majalla" w:eastAsia="Calibri" w:hAnsi="Sakkal Majalla" w:cs="Sakkal Majalla"/>
          <w:sz w:val="28"/>
          <w:szCs w:val="28"/>
        </w:rPr>
        <w:t xml:space="preserve"> &amp; Briar, 2020). </w:t>
      </w:r>
      <w:r w:rsidRPr="005019F4">
        <w:rPr>
          <w:rFonts w:ascii="Sakkal Majalla" w:eastAsia="Calibri" w:hAnsi="Sakkal Majalla" w:cs="Sakkal Majalla"/>
          <w:sz w:val="28"/>
          <w:szCs w:val="28"/>
          <w:rtl/>
        </w:rPr>
        <w:t>فدراسة أُجريت على كوادر العناية المركزة في ولاية الخرطوم أكدت أنَّ التقيد الصارم بإرشادات مكافحة العدوى يقلل من نسب انتقال العدوى بين المرضى والعاملين الطبيين، ويحدُّ من الإقامة الطويلة في المستشفى</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Abdelsalam</w:t>
      </w:r>
      <w:proofErr w:type="spellEnd"/>
      <w:r w:rsidRPr="005019F4">
        <w:rPr>
          <w:rFonts w:ascii="Sakkal Majalla" w:eastAsia="Calibri" w:hAnsi="Sakkal Majalla" w:cs="Sakkal Majalla"/>
          <w:sz w:val="28"/>
          <w:szCs w:val="28"/>
        </w:rPr>
        <w:t xml:space="preserve"> &amp; Briar, 2020). </w:t>
      </w:r>
      <w:r w:rsidRPr="005019F4">
        <w:rPr>
          <w:rFonts w:ascii="Sakkal Majalla" w:eastAsia="Calibri" w:hAnsi="Sakkal Majalla" w:cs="Sakkal Majalla"/>
          <w:sz w:val="28"/>
          <w:szCs w:val="28"/>
          <w:rtl/>
        </w:rPr>
        <w:t>غير أنَّ هذا التقيد لا يتحقق إلا بوجود ثقافة مؤسسية قوية لسلامة المرضى، تدعمها سياسات واضحة وتدريبات مستمرة، إلى جانب أدواتٍ تحليلية متقدمة مثل تحليل “شجرة الأسباب” وتقنية</w:t>
      </w:r>
      <w:r w:rsidRPr="005019F4">
        <w:rPr>
          <w:rFonts w:ascii="Sakkal Majalla" w:eastAsia="Calibri" w:hAnsi="Sakkal Majalla" w:cs="Sakkal Majalla"/>
          <w:sz w:val="28"/>
          <w:szCs w:val="28"/>
        </w:rPr>
        <w:t xml:space="preserve"> “Bow-Tie” </w:t>
      </w:r>
      <w:r w:rsidRPr="005019F4">
        <w:rPr>
          <w:rFonts w:ascii="Sakkal Majalla" w:eastAsia="Calibri" w:hAnsi="Sakkal Majalla" w:cs="Sakkal Majalla"/>
          <w:sz w:val="28"/>
          <w:szCs w:val="28"/>
          <w:rtl/>
        </w:rPr>
        <w:t>التي تساعد في استشراف المخاطر وتعزيز سرعة الاستجابة للأزمات الصحية</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Layes</w:t>
      </w:r>
      <w:proofErr w:type="spellEnd"/>
      <w:r w:rsidRPr="005019F4">
        <w:rPr>
          <w:rFonts w:ascii="Sakkal Majalla" w:eastAsia="Calibri" w:hAnsi="Sakkal Majalla" w:cs="Sakkal Majalla"/>
          <w:sz w:val="28"/>
          <w:szCs w:val="28"/>
        </w:rPr>
        <w:t xml:space="preserve"> et al., 2021).</w:t>
      </w:r>
    </w:p>
    <w:p w14:paraId="69A5DC83"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في المملكة العربية السعودية، تكتسب مسألة مكافحة العدوى أهمية خاصة في ظلِّ التوسّعات المستمرة في البنية التحتية الصحية ومضاعفة أعداد الأسرة في المستشفيات الحكومية، خاصةً تلك المرتبطة بالحج والعمرة، والتي تستقبل ملايين الزوار من داخل المملكة وخارجها سنويًا</w:t>
      </w:r>
      <w:r w:rsidRPr="005019F4">
        <w:rPr>
          <w:rFonts w:ascii="Sakkal Majalla" w:eastAsia="Calibri" w:hAnsi="Sakkal Majalla" w:cs="Sakkal Majalla"/>
          <w:sz w:val="28"/>
          <w:szCs w:val="28"/>
        </w:rPr>
        <w:t xml:space="preserve"> (Shahāṭah &amp; Badīr, 2021). </w:t>
      </w:r>
      <w:r w:rsidRPr="005019F4">
        <w:rPr>
          <w:rFonts w:ascii="Sakkal Majalla" w:eastAsia="Calibri" w:hAnsi="Sakkal Majalla" w:cs="Sakkal Majalla"/>
          <w:sz w:val="28"/>
          <w:szCs w:val="28"/>
          <w:rtl/>
        </w:rPr>
        <w:t>ورغم الجهود المبذولة لتطبيق معايير الاعتماد الصحي، إلا أنَّ بعض الدراسات المحلية نبهت إلى وجود قصور في قدرات الكادر الطبي والفني على تطبيق برامج إدارة المخاطر الصحية والبيئية بشكل منهجي ومتسق</w:t>
      </w:r>
      <w:r w:rsidRPr="005019F4">
        <w:rPr>
          <w:rFonts w:ascii="Sakkal Majalla" w:eastAsia="Calibri" w:hAnsi="Sakkal Majalla" w:cs="Sakkal Majalla"/>
          <w:sz w:val="28"/>
          <w:szCs w:val="28"/>
        </w:rPr>
        <w:t xml:space="preserve"> (Shahāṭah &amp; Badīr, 2021</w:t>
      </w:r>
      <w:r w:rsidRPr="005019F4">
        <w:rPr>
          <w:rFonts w:ascii="Sakkal Majalla" w:eastAsia="Calibri" w:hAnsi="Sakkal Majalla" w:cs="Sakkal Majalla"/>
          <w:sz w:val="28"/>
          <w:szCs w:val="28"/>
          <w:rtl/>
        </w:rPr>
        <w:t>؛</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Tahri</w:t>
      </w:r>
      <w:proofErr w:type="spellEnd"/>
      <w:r w:rsidRPr="005019F4">
        <w:rPr>
          <w:rFonts w:ascii="Sakkal Majalla" w:eastAsia="Calibri" w:hAnsi="Sakkal Majalla" w:cs="Sakkal Majalla"/>
          <w:sz w:val="28"/>
          <w:szCs w:val="28"/>
        </w:rPr>
        <w:t xml:space="preserve"> &amp; Chkīb, </w:t>
      </w:r>
      <w:r w:rsidRPr="005019F4">
        <w:rPr>
          <w:rFonts w:ascii="Sakkal Majalla" w:eastAsia="Calibri" w:hAnsi="Sakkal Majalla" w:cs="Sakkal Majalla"/>
          <w:sz w:val="28"/>
          <w:szCs w:val="28"/>
        </w:rPr>
        <w:lastRenderedPageBreak/>
        <w:t xml:space="preserve">2019). </w:t>
      </w:r>
      <w:r w:rsidRPr="005019F4">
        <w:rPr>
          <w:rFonts w:ascii="Sakkal Majalla" w:eastAsia="Calibri" w:hAnsi="Sakkal Majalla" w:cs="Sakkal Majalla"/>
          <w:sz w:val="28"/>
          <w:szCs w:val="28"/>
          <w:rtl/>
        </w:rPr>
        <w:t>كما أشارت بحوث أخرى إلى أهمية تعزيز التواصل بين فرق مكافحة العدوى والإدارات التنفيذية لضمان رصدٍ دوري لمؤشرات الأداء وتحديث بروتوكولات الوقاية بما يتماشى مع المستجدات العلمية</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Al-Rubaʿī</w:t>
      </w:r>
      <w:proofErr w:type="spellEnd"/>
      <w:r w:rsidRPr="005019F4">
        <w:rPr>
          <w:rFonts w:ascii="Sakkal Majalla" w:eastAsia="Calibri" w:hAnsi="Sakkal Majalla" w:cs="Sakkal Majalla"/>
          <w:sz w:val="28"/>
          <w:szCs w:val="28"/>
        </w:rPr>
        <w:t>, 2021).</w:t>
      </w:r>
    </w:p>
    <w:p w14:paraId="1B098EC5"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من هذا المنطلق، تأتي هذه الدراسة لتقويم أثر تطبيق برنامج إدارة المخاطر على جودة مكافحة العدوى داخل المستشفيات الحكومية السعودية. وتركز الدراسة على العناصر التالية: أولًا، مدى فاعلية استراتيجيات التقييم الوقائي للمخاطر في الحد من تفشّيات العدوى؛ ثانيًا، العلاقة بين ثقافة المخاطر المؤسسية وكفاءة تنفيذ إجراءات التعقيم والتطهير؛ وثالثًا، تحسين زمن الاستجابة للأحداث الوبائية داخل الوحدات الحرجة</w:t>
      </w:r>
      <w:r w:rsidRPr="005019F4">
        <w:rPr>
          <w:rFonts w:ascii="Sakkal Majalla" w:eastAsia="Calibri" w:hAnsi="Sakkal Majalla" w:cs="Sakkal Majalla"/>
          <w:sz w:val="28"/>
          <w:szCs w:val="28"/>
        </w:rPr>
        <w:t xml:space="preserve"> (ICUs) </w:t>
      </w:r>
      <w:r w:rsidRPr="005019F4">
        <w:rPr>
          <w:rFonts w:ascii="Sakkal Majalla" w:eastAsia="Calibri" w:hAnsi="Sakkal Majalla" w:cs="Sakkal Majalla"/>
          <w:sz w:val="28"/>
          <w:szCs w:val="28"/>
          <w:rtl/>
        </w:rPr>
        <w:t>وأجنحة المرضى ذوي المناعة الضعيفة. وتعتمد هذه الدراسة المنهج الوصفي التحليلي، من خلال توزيع استبيانات على العاملين بوحدات مكافحة العدوى والإدارة التنفيذية للمخاطر، بالإضافة إلى تحليل بيانات معدلات العدوى وسجلات جودة الرعاية خلال العامين الأخيرين، مع الاستناد إلى مؤشرات جودة معتمدة عالميًا</w:t>
      </w:r>
      <w:r w:rsidRPr="005019F4">
        <w:rPr>
          <w:rFonts w:ascii="Sakkal Majalla" w:eastAsia="Calibri" w:hAnsi="Sakkal Majalla" w:cs="Sakkal Majalla"/>
          <w:sz w:val="28"/>
          <w:szCs w:val="28"/>
        </w:rPr>
        <w:t xml:space="preserve"> (Mohammad, 2015</w:t>
      </w:r>
      <w:r w:rsidRPr="005019F4">
        <w:rPr>
          <w:rFonts w:ascii="Sakkal Majalla" w:eastAsia="Calibri" w:hAnsi="Sakkal Majalla" w:cs="Sakkal Majalla"/>
          <w:sz w:val="28"/>
          <w:szCs w:val="28"/>
          <w:rtl/>
        </w:rPr>
        <w:t>؛</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Layes</w:t>
      </w:r>
      <w:proofErr w:type="spellEnd"/>
      <w:r w:rsidRPr="005019F4">
        <w:rPr>
          <w:rFonts w:ascii="Sakkal Majalla" w:eastAsia="Calibri" w:hAnsi="Sakkal Majalla" w:cs="Sakkal Majalla"/>
          <w:sz w:val="28"/>
          <w:szCs w:val="28"/>
        </w:rPr>
        <w:t xml:space="preserve"> et al., 2021).</w:t>
      </w:r>
    </w:p>
    <w:p w14:paraId="58B6EBBD"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11" w:name="_Toc143987401"/>
      <w:r w:rsidRPr="005019F4">
        <w:rPr>
          <w:rFonts w:ascii="Sakkal Majalla" w:eastAsia="Times New Roman" w:hAnsi="Sakkal Majalla" w:cs="Sakkal Majalla"/>
          <w:b/>
          <w:bCs/>
          <w:sz w:val="32"/>
          <w:szCs w:val="32"/>
          <w:rtl/>
          <w:lang w:bidi="ar-EG"/>
        </w:rPr>
        <w:t>2.1 مشكلة الدراسة</w:t>
      </w:r>
      <w:bookmarkEnd w:id="11"/>
      <w:r w:rsidRPr="005019F4">
        <w:rPr>
          <w:rFonts w:ascii="Sakkal Majalla" w:eastAsia="Times New Roman" w:hAnsi="Sakkal Majalla" w:cs="Sakkal Majalla"/>
          <w:b/>
          <w:bCs/>
          <w:sz w:val="32"/>
          <w:szCs w:val="32"/>
          <w:rtl/>
          <w:lang w:bidi="ar-EG"/>
        </w:rPr>
        <w:t xml:space="preserve">  </w:t>
      </w:r>
    </w:p>
    <w:p w14:paraId="7C7E9922"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يعاني قطاع المستشفيات الحكومية في المملكة العربية السعودية من معدلات مرتفعة للإصابات المكتسبة داخل المستشفى، لا سيّما في وحدات العناية المركزة والأجنحة المخصصة للمرضى ذوي المناعة الضعيفة، الأمر الذي يعكس وجود قصور في نظم الوقاية ومكافحة العدوى المعتمدة حالياً</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Abdelsalam</w:t>
      </w:r>
      <w:proofErr w:type="spellEnd"/>
      <w:r w:rsidRPr="005019F4">
        <w:rPr>
          <w:rFonts w:ascii="Sakkal Majalla" w:eastAsia="Calibri" w:hAnsi="Sakkal Majalla" w:cs="Sakkal Majalla"/>
          <w:sz w:val="28"/>
          <w:szCs w:val="28"/>
        </w:rPr>
        <w:t xml:space="preserve"> &amp; Briar, 2020</w:t>
      </w:r>
      <w:r w:rsidRPr="005019F4">
        <w:rPr>
          <w:rFonts w:ascii="Sakkal Majalla" w:eastAsia="Calibri" w:hAnsi="Sakkal Majalla" w:cs="Sakkal Majalla"/>
          <w:sz w:val="28"/>
          <w:szCs w:val="28"/>
          <w:rtl/>
        </w:rPr>
        <w:t>؛</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Nasrallāh</w:t>
      </w:r>
      <w:proofErr w:type="spellEnd"/>
      <w:r w:rsidRPr="005019F4">
        <w:rPr>
          <w:rFonts w:ascii="Sakkal Majalla" w:eastAsia="Calibri" w:hAnsi="Sakkal Majalla" w:cs="Sakkal Majalla"/>
          <w:sz w:val="28"/>
          <w:szCs w:val="28"/>
        </w:rPr>
        <w:t xml:space="preserve">, Abū </w:t>
      </w:r>
      <w:proofErr w:type="spellStart"/>
      <w:r w:rsidRPr="005019F4">
        <w:rPr>
          <w:rFonts w:ascii="Sakkal Majalla" w:eastAsia="Calibri" w:hAnsi="Sakkal Majalla" w:cs="Sakkal Majalla"/>
          <w:sz w:val="28"/>
          <w:szCs w:val="28"/>
        </w:rPr>
        <w:t>Shaqrā</w:t>
      </w:r>
      <w:proofErr w:type="spellEnd"/>
      <w:r w:rsidRPr="005019F4">
        <w:rPr>
          <w:rFonts w:ascii="Sakkal Majalla" w:eastAsia="Calibri" w:hAnsi="Sakkal Majalla" w:cs="Sakkal Majalla"/>
          <w:sz w:val="28"/>
          <w:szCs w:val="28"/>
        </w:rPr>
        <w:t xml:space="preserve"> &amp; Farḥāt, 2017). </w:t>
      </w:r>
      <w:r w:rsidRPr="005019F4">
        <w:rPr>
          <w:rFonts w:ascii="Sakkal Majalla" w:eastAsia="Calibri" w:hAnsi="Sakkal Majalla" w:cs="Sakkal Majalla"/>
          <w:sz w:val="28"/>
          <w:szCs w:val="28"/>
          <w:rtl/>
        </w:rPr>
        <w:t>ورغم الجهود المبذولة لتطبيق معايير الاعتماد الصحي العالمية، تشير الدراسات الميدانية إلى أنَّ عدم تكامل برامج إدارة المخاطر مع سياسات مكافحة العدوى يخلق فجوةً واضحة بين الأطر النظرية المعتمدة والممارسة العملية على أرض الواقع</w:t>
      </w:r>
      <w:r w:rsidRPr="005019F4">
        <w:rPr>
          <w:rFonts w:ascii="Sakkal Majalla" w:eastAsia="Calibri" w:hAnsi="Sakkal Majalla" w:cs="Sakkal Majalla"/>
          <w:sz w:val="28"/>
          <w:szCs w:val="28"/>
        </w:rPr>
        <w:t xml:space="preserve"> (Shahāṭah &amp; Badīr, 2021).</w:t>
      </w:r>
    </w:p>
    <w:p w14:paraId="1FC5A7A3"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يتجلّى هذا القصور في غياب سياسة مؤسسية واضحة لتقييم المخاطر المرتبطة بانتقال العدوى وتحديثها بانتظام، حيث تبقى عملية رصد وتحليل الحوادث معتمدة بشكل رئيسي على الاستجابات الفردية والتدابير العشوائية التي يقررها كل فريق طبي بحسب تقديراته الذاتية، من دون استخدام أدوات تحليلية ممنهجة مثل تحليل “شجرة الأسباب” وتقنية</w:t>
      </w:r>
      <w:r w:rsidRPr="005019F4">
        <w:rPr>
          <w:rFonts w:ascii="Sakkal Majalla" w:eastAsia="Calibri" w:hAnsi="Sakkal Majalla" w:cs="Sakkal Majalla"/>
          <w:sz w:val="28"/>
          <w:szCs w:val="28"/>
        </w:rPr>
        <w:t xml:space="preserve"> “Bow-Tie” </w:t>
      </w:r>
      <w:r w:rsidRPr="005019F4">
        <w:rPr>
          <w:rFonts w:ascii="Sakkal Majalla" w:eastAsia="Calibri" w:hAnsi="Sakkal Majalla" w:cs="Sakkal Majalla"/>
          <w:sz w:val="28"/>
          <w:szCs w:val="28"/>
          <w:rtl/>
        </w:rPr>
        <w:t>التي أثبتت فعاليتها في تحسين سرعة الاستجابة وتقليل تبعات الحوادث الوبائية</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Layes</w:t>
      </w:r>
      <w:proofErr w:type="spellEnd"/>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Ghenbazi</w:t>
      </w:r>
      <w:proofErr w:type="spellEnd"/>
      <w:r w:rsidRPr="005019F4">
        <w:rPr>
          <w:rFonts w:ascii="Sakkal Majalla" w:eastAsia="Calibri" w:hAnsi="Sakkal Majalla" w:cs="Sakkal Majalla"/>
          <w:sz w:val="28"/>
          <w:szCs w:val="28"/>
        </w:rPr>
        <w:t xml:space="preserve"> &amp; </w:t>
      </w:r>
      <w:proofErr w:type="spellStart"/>
      <w:r w:rsidRPr="005019F4">
        <w:rPr>
          <w:rFonts w:ascii="Sakkal Majalla" w:eastAsia="Calibri" w:hAnsi="Sakkal Majalla" w:cs="Sakkal Majalla"/>
          <w:sz w:val="28"/>
          <w:szCs w:val="28"/>
        </w:rPr>
        <w:t>Lati</w:t>
      </w:r>
      <w:proofErr w:type="spellEnd"/>
      <w:r w:rsidRPr="005019F4">
        <w:rPr>
          <w:rFonts w:ascii="Sakkal Majalla" w:eastAsia="Calibri" w:hAnsi="Sakkal Majalla" w:cs="Sakkal Majalla"/>
          <w:sz w:val="28"/>
          <w:szCs w:val="28"/>
        </w:rPr>
        <w:t>, 2021).</w:t>
      </w:r>
    </w:p>
    <w:p w14:paraId="7CBCDC79"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كما أنَّ الدراسات المحلية تشير إلى أن ضعف الثقافة المؤسسية حول أهمية إدارة المخاطر يحدّ من التزام الكوادر الطبية والفنية بالإجراءات الوقائية الصارمة، ما يؤثر سلباً على جودة الرعاية وكفاءة تنفيذ بروتوكولات التعقيم والتطهير</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Al-Rubaʿī</w:t>
      </w:r>
      <w:proofErr w:type="spellEnd"/>
      <w:r w:rsidRPr="005019F4">
        <w:rPr>
          <w:rFonts w:ascii="Sakkal Majalla" w:eastAsia="Calibri" w:hAnsi="Sakkal Majalla" w:cs="Sakkal Majalla"/>
          <w:sz w:val="28"/>
          <w:szCs w:val="28"/>
        </w:rPr>
        <w:t xml:space="preserve">, 2021). </w:t>
      </w:r>
      <w:r w:rsidRPr="005019F4">
        <w:rPr>
          <w:rFonts w:ascii="Sakkal Majalla" w:eastAsia="Calibri" w:hAnsi="Sakkal Majalla" w:cs="Sakkal Majalla"/>
          <w:sz w:val="28"/>
          <w:szCs w:val="28"/>
          <w:rtl/>
        </w:rPr>
        <w:t>ويضاف إلى ذلك نقص برامج التدريب المتخصصة في إدارة المخاطر الصحية والوبائية، مما يؤدي إلى تفاوت في مستوى مهارات العاملين في وحدات مكافحة العدوى وعدم اتساق ممارساتهم مع الدلائل الإرشادية المعتمدة</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Muṣṭafā</w:t>
      </w:r>
      <w:proofErr w:type="spellEnd"/>
      <w:r w:rsidRPr="005019F4">
        <w:rPr>
          <w:rFonts w:ascii="Sakkal Majalla" w:eastAsia="Calibri" w:hAnsi="Sakkal Majalla" w:cs="Sakkal Majalla"/>
          <w:sz w:val="28"/>
          <w:szCs w:val="28"/>
        </w:rPr>
        <w:t>, 2012</w:t>
      </w:r>
      <w:r w:rsidRPr="005019F4">
        <w:rPr>
          <w:rFonts w:ascii="Sakkal Majalla" w:eastAsia="Calibri" w:hAnsi="Sakkal Majalla" w:cs="Sakkal Majalla"/>
          <w:sz w:val="28"/>
          <w:szCs w:val="28"/>
          <w:rtl/>
        </w:rPr>
        <w:t>؛</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Tahri</w:t>
      </w:r>
      <w:proofErr w:type="spellEnd"/>
      <w:r w:rsidRPr="005019F4">
        <w:rPr>
          <w:rFonts w:ascii="Sakkal Majalla" w:eastAsia="Calibri" w:hAnsi="Sakkal Majalla" w:cs="Sakkal Majalla"/>
          <w:sz w:val="28"/>
          <w:szCs w:val="28"/>
        </w:rPr>
        <w:t xml:space="preserve"> &amp; Chkīb, 2019).</w:t>
      </w:r>
    </w:p>
    <w:p w14:paraId="7462FA00"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lastRenderedPageBreak/>
        <w:t>من ناحية أخرى، يبرز في التقارير السنوية لهيئة الصحة العامة ارتفاع نسبة تأخر اكتشاف التفشّيات المرضية داخل المستشفيات لأنظمة الإنذار المبكر المعتمدة غير محدثة وغير متصلة بلوائح إدارة المخاطر، ما يضاعف خطر انتشار العدوى بين المرضى ويساهم في زيادة مدة الإقامة العلاجية، وبالتالي ارتفاع التكاليف التشغيلية للمؤسسة الصحية</w:t>
      </w:r>
      <w:r w:rsidRPr="005019F4">
        <w:rPr>
          <w:rFonts w:ascii="Sakkal Majalla" w:eastAsia="Calibri" w:hAnsi="Sakkal Majalla" w:cs="Sakkal Majalla"/>
          <w:sz w:val="28"/>
          <w:szCs w:val="28"/>
        </w:rPr>
        <w:t xml:space="preserve"> (</w:t>
      </w:r>
      <w:proofErr w:type="spellStart"/>
      <w:r w:rsidRPr="005019F4">
        <w:rPr>
          <w:rFonts w:ascii="Sakkal Majalla" w:eastAsia="Calibri" w:hAnsi="Sakkal Majalla" w:cs="Sakkal Majalla"/>
          <w:sz w:val="28"/>
          <w:szCs w:val="28"/>
        </w:rPr>
        <w:t>Abdelsalam</w:t>
      </w:r>
      <w:proofErr w:type="spellEnd"/>
      <w:r w:rsidRPr="005019F4">
        <w:rPr>
          <w:rFonts w:ascii="Sakkal Majalla" w:eastAsia="Calibri" w:hAnsi="Sakkal Majalla" w:cs="Sakkal Majalla"/>
          <w:sz w:val="28"/>
          <w:szCs w:val="28"/>
        </w:rPr>
        <w:t xml:space="preserve"> &amp; Briar, 2020).</w:t>
      </w:r>
    </w:p>
    <w:p w14:paraId="141DCF82" w14:textId="77777777" w:rsidR="005019F4" w:rsidRPr="005019F4" w:rsidRDefault="005019F4" w:rsidP="005019F4">
      <w:pPr>
        <w:bidi/>
        <w:spacing w:line="360" w:lineRule="auto"/>
        <w:ind w:firstLine="720"/>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وعلى الرغم من وجود نماذج ناجحة لتطبيق إدارة المخاطر في قطاعات أخرى، مثل دراسة مستشفى المذنب العام التي سجّلت تحسناً بنسبة تزيد على 15% في مؤشرات الجودة العامة بعد تبني إطار متكامل لإدارة المخاطر</w:t>
      </w:r>
      <w:r w:rsidRPr="005019F4">
        <w:rPr>
          <w:rFonts w:ascii="Sakkal Majalla" w:eastAsia="Calibri" w:hAnsi="Sakkal Majalla" w:cs="Sakkal Majalla"/>
          <w:sz w:val="28"/>
          <w:szCs w:val="28"/>
        </w:rPr>
        <w:t xml:space="preserve"> (Al-Muṭayrī, 2023)</w:t>
      </w:r>
      <w:r w:rsidRPr="005019F4">
        <w:rPr>
          <w:rFonts w:ascii="Sakkal Majalla" w:eastAsia="Calibri" w:hAnsi="Sakkal Majalla" w:cs="Sakkal Majalla"/>
          <w:sz w:val="28"/>
          <w:szCs w:val="28"/>
          <w:rtl/>
        </w:rPr>
        <w:t>، لم تسجل المستشفيات الحكومية السعودية في مجملها تطبيقاً شاملاً يُعنى بتنسيق خطط إدارة المخاطر مع استراتيجيات مكافحة العدوى</w:t>
      </w:r>
      <w:r w:rsidRPr="005019F4">
        <w:rPr>
          <w:rFonts w:ascii="Sakkal Majalla" w:eastAsia="Calibri" w:hAnsi="Sakkal Majalla" w:cs="Sakkal Majalla"/>
          <w:sz w:val="28"/>
          <w:szCs w:val="28"/>
        </w:rPr>
        <w:t>.</w:t>
      </w:r>
    </w:p>
    <w:p w14:paraId="56AE6B4B"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12" w:name="_Toc143987402"/>
      <w:r w:rsidRPr="005019F4">
        <w:rPr>
          <w:rFonts w:ascii="Sakkal Majalla" w:eastAsia="Times New Roman" w:hAnsi="Sakkal Majalla" w:cs="Sakkal Majalla"/>
          <w:b/>
          <w:bCs/>
          <w:sz w:val="32"/>
          <w:szCs w:val="32"/>
          <w:rtl/>
          <w:lang w:bidi="ar-EG"/>
        </w:rPr>
        <w:t>1</w:t>
      </w:r>
      <w:r w:rsidRPr="005019F4">
        <w:rPr>
          <w:rFonts w:ascii="Sakkal Majalla" w:eastAsia="Times New Roman" w:hAnsi="Sakkal Majalla" w:cs="Sakkal Majalla"/>
          <w:b/>
          <w:bCs/>
          <w:sz w:val="32"/>
          <w:szCs w:val="32"/>
          <w:lang w:bidi="ar-EG"/>
        </w:rPr>
        <w:t>.</w:t>
      </w:r>
      <w:r w:rsidRPr="005019F4">
        <w:rPr>
          <w:rFonts w:ascii="Sakkal Majalla" w:eastAsia="Times New Roman" w:hAnsi="Sakkal Majalla" w:cs="Sakkal Majalla"/>
          <w:b/>
          <w:bCs/>
          <w:sz w:val="32"/>
          <w:szCs w:val="32"/>
          <w:rtl/>
          <w:lang w:bidi="ar-EG"/>
        </w:rPr>
        <w:t>3أهمية الدراسة:</w:t>
      </w:r>
      <w:bookmarkEnd w:id="12"/>
    </w:p>
    <w:p w14:paraId="7C56F781" w14:textId="77777777" w:rsidR="005019F4" w:rsidRPr="005019F4" w:rsidRDefault="005019F4" w:rsidP="00F634A6">
      <w:pPr>
        <w:numPr>
          <w:ilvl w:val="0"/>
          <w:numId w:val="2"/>
        </w:numPr>
        <w:bidi/>
        <w:spacing w:line="360" w:lineRule="auto"/>
        <w:contextualSpacing/>
        <w:jc w:val="both"/>
        <w:rPr>
          <w:rFonts w:ascii="Sakkal Majalla" w:eastAsia="Calibri" w:hAnsi="Sakkal Majalla" w:cs="Sakkal Majalla"/>
          <w:sz w:val="32"/>
          <w:szCs w:val="32"/>
        </w:rPr>
      </w:pPr>
      <w:r w:rsidRPr="005019F4">
        <w:rPr>
          <w:rFonts w:ascii="Sakkal Majalla" w:eastAsia="Calibri" w:hAnsi="Sakkal Majalla" w:cs="Sakkal Majalla"/>
          <w:b/>
          <w:bCs/>
          <w:sz w:val="32"/>
          <w:szCs w:val="32"/>
          <w:rtl/>
        </w:rPr>
        <w:t>الأهمية العلمية</w:t>
      </w:r>
    </w:p>
    <w:p w14:paraId="2F621935" w14:textId="71C8D8EB"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تطوير إطار نظريّ مخصَّص لإدارة المخاطر الصحية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يعزّز هذا البحث الفهم العلمي لكيفية تصميم وتطبيق برامج إدارة المخاطر الموجهة خصيصاً لمكافحة العدوى داخل المستشف</w:t>
      </w:r>
      <w:r w:rsidR="00BE6F8E">
        <w:rPr>
          <w:rFonts w:ascii="Sakkal Majalla" w:eastAsia="Times New Roman" w:hAnsi="Sakkal Majalla" w:cs="Sakkal Majalla" w:hint="cs"/>
          <w:sz w:val="28"/>
          <w:szCs w:val="28"/>
          <w:rtl/>
        </w:rPr>
        <w:t>ي</w:t>
      </w:r>
      <w:r w:rsidRPr="005019F4">
        <w:rPr>
          <w:rFonts w:ascii="Sakkal Majalla" w:eastAsia="Times New Roman" w:hAnsi="Sakkal Majalla" w:cs="Sakkal Majalla"/>
          <w:sz w:val="28"/>
          <w:szCs w:val="28"/>
          <w:rtl/>
        </w:rPr>
        <w:t>ات</w:t>
      </w:r>
      <w:r w:rsidRPr="005019F4">
        <w:rPr>
          <w:rFonts w:ascii="Sakkal Majalla" w:eastAsia="Times New Roman" w:hAnsi="Sakkal Majalla" w:cs="Sakkal Majalla"/>
          <w:sz w:val="28"/>
          <w:szCs w:val="28"/>
        </w:rPr>
        <w:t>.</w:t>
      </w:r>
    </w:p>
    <w:p w14:paraId="616DDE25"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ربط بين إدارة المخاطر وجودة الرعاية الصحية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يضيف البحث أدلة تجريبية حول العلاقة بين تطبيق استراتيجيات إدارة المخاطر وانخفاض معدلات العدوى المكتسبة داخل المستشفى</w:t>
      </w:r>
      <w:r w:rsidRPr="005019F4">
        <w:rPr>
          <w:rFonts w:ascii="Sakkal Majalla" w:eastAsia="Times New Roman" w:hAnsi="Sakkal Majalla" w:cs="Sakkal Majalla"/>
          <w:sz w:val="28"/>
          <w:szCs w:val="28"/>
        </w:rPr>
        <w:t>.</w:t>
      </w:r>
    </w:p>
    <w:p w14:paraId="4EF00DC1"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ابتكار منظومات تقييم مستدامة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يقترح البحث نموذجاً لآليات تقييم ومراجعة دورية لمخاطر العدوى، مما يسهم في إعداد استراتيجيات وقائية مبنية على بيانات حقيقية</w:t>
      </w:r>
      <w:r w:rsidRPr="005019F4">
        <w:rPr>
          <w:rFonts w:ascii="Sakkal Majalla" w:eastAsia="Times New Roman" w:hAnsi="Sakkal Majalla" w:cs="Sakkal Majalla"/>
          <w:sz w:val="28"/>
          <w:szCs w:val="28"/>
        </w:rPr>
        <w:t>.</w:t>
      </w:r>
    </w:p>
    <w:p w14:paraId="6A4C768F"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دمج أدوات تحليلية متقدمة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يعزّز البحث توظيف تقنيات مثل تحليل “شجرة الأسباب” وتقنية</w:t>
      </w:r>
      <w:r w:rsidRPr="005019F4">
        <w:rPr>
          <w:rFonts w:ascii="Sakkal Majalla" w:eastAsia="Times New Roman" w:hAnsi="Sakkal Majalla" w:cs="Sakkal Majalla"/>
          <w:sz w:val="28"/>
          <w:szCs w:val="28"/>
        </w:rPr>
        <w:t xml:space="preserve"> “Bow-Tie” </w:t>
      </w:r>
      <w:r w:rsidRPr="005019F4">
        <w:rPr>
          <w:rFonts w:ascii="Sakkal Majalla" w:eastAsia="Times New Roman" w:hAnsi="Sakkal Majalla" w:cs="Sakkal Majalla"/>
          <w:sz w:val="28"/>
          <w:szCs w:val="28"/>
          <w:rtl/>
        </w:rPr>
        <w:t>في سياق إدارة المخاطر الصحية، ما يثري الأدبيات العلمية بأساليب جديدة للتنبؤ والسيطرة</w:t>
      </w:r>
      <w:r w:rsidRPr="005019F4">
        <w:rPr>
          <w:rFonts w:ascii="Sakkal Majalla" w:eastAsia="Times New Roman" w:hAnsi="Sakkal Majalla" w:cs="Sakkal Majalla"/>
          <w:sz w:val="28"/>
          <w:szCs w:val="28"/>
        </w:rPr>
        <w:t>.</w:t>
      </w:r>
    </w:p>
    <w:p w14:paraId="126D36CD"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المساهمة في تحقيق أهداف رؤية المملكة 2030</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من خلال عرض كيف يمكن لبرامج إدارة المخاطر أن ترتقي بجودة الخدمات الصحية وسلامة المرضى، يقدّم البحث دعماً علمياً لتحقيق مستهدفات التحول الوطني في القطاع الصحي</w:t>
      </w:r>
      <w:r w:rsidRPr="005019F4">
        <w:rPr>
          <w:rFonts w:ascii="Sakkal Majalla" w:eastAsia="Times New Roman" w:hAnsi="Sakkal Majalla" w:cs="Sakkal Majalla"/>
          <w:sz w:val="28"/>
          <w:szCs w:val="28"/>
        </w:rPr>
        <w:t>.</w:t>
      </w:r>
      <w:r w:rsidRPr="005019F4">
        <w:rPr>
          <w:rFonts w:ascii="Sakkal Majalla" w:eastAsia="Calibri" w:hAnsi="Sakkal Majalla" w:cs="Sakkal Majalla"/>
          <w:sz w:val="28"/>
          <w:szCs w:val="28"/>
          <w:rtl/>
        </w:rPr>
        <w:t xml:space="preserve">. </w:t>
      </w:r>
    </w:p>
    <w:p w14:paraId="02DC0AB4" w14:textId="77777777" w:rsidR="005019F4" w:rsidRPr="005019F4" w:rsidRDefault="005019F4" w:rsidP="00F634A6">
      <w:pPr>
        <w:numPr>
          <w:ilvl w:val="0"/>
          <w:numId w:val="6"/>
        </w:numPr>
        <w:bidi/>
        <w:spacing w:line="360" w:lineRule="auto"/>
        <w:contextualSpacing/>
        <w:jc w:val="both"/>
        <w:rPr>
          <w:rFonts w:ascii="Sakkal Majalla" w:eastAsia="Calibri" w:hAnsi="Sakkal Majalla" w:cs="Sakkal Majalla"/>
          <w:b/>
          <w:bCs/>
          <w:sz w:val="32"/>
          <w:szCs w:val="32"/>
        </w:rPr>
      </w:pPr>
      <w:r w:rsidRPr="005019F4">
        <w:rPr>
          <w:rFonts w:ascii="Sakkal Majalla" w:eastAsia="Calibri" w:hAnsi="Sakkal Majalla" w:cs="Sakkal Majalla"/>
          <w:b/>
          <w:bCs/>
          <w:sz w:val="32"/>
          <w:szCs w:val="32"/>
          <w:rtl/>
        </w:rPr>
        <w:t>الأهمية العملية</w:t>
      </w:r>
    </w:p>
    <w:p w14:paraId="4E933FA8"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تحسين كفاءة وحدات مكافحة العدوى</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يوفر البحث توصيات عملية لتعزيز إجراءات الوقاية والتعقيم، وتقليل زمن الاستجابة لتفشّيات العدوى داخل الأقسام الحرجة</w:t>
      </w:r>
      <w:r w:rsidRPr="005019F4">
        <w:rPr>
          <w:rFonts w:ascii="Sakkal Majalla" w:eastAsia="Times New Roman" w:hAnsi="Sakkal Majalla" w:cs="Sakkal Majalla"/>
          <w:sz w:val="28"/>
          <w:szCs w:val="28"/>
        </w:rPr>
        <w:t>.</w:t>
      </w:r>
    </w:p>
    <w:p w14:paraId="01FDE694"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بناء ثقافة مؤسسية قوية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يقترح البحث آليات تدريبية وتنظيمية لتعزيز وعي الكوادر الطبية والفنية بخطورة العدوى وأهمية الالتزام ببروتوكولات إدارة المخاطر</w:t>
      </w:r>
      <w:r w:rsidRPr="005019F4">
        <w:rPr>
          <w:rFonts w:ascii="Sakkal Majalla" w:eastAsia="Times New Roman" w:hAnsi="Sakkal Majalla" w:cs="Sakkal Majalla"/>
          <w:sz w:val="28"/>
          <w:szCs w:val="28"/>
        </w:rPr>
        <w:t>.</w:t>
      </w:r>
    </w:p>
    <w:p w14:paraId="04837E61"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lastRenderedPageBreak/>
        <w:t>توفير دليل تطبيقي للمستشفيات الحكومية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يقدّم البحث نموذجاً عملياً يستطيع مسؤولو الجودة وإدارات المخاطر في المستشفيات الحكومية الاسترشاد به لتصميم برامجهم الخاصة</w:t>
      </w:r>
      <w:r w:rsidRPr="005019F4">
        <w:rPr>
          <w:rFonts w:ascii="Sakkal Majalla" w:eastAsia="Times New Roman" w:hAnsi="Sakkal Majalla" w:cs="Sakkal Majalla"/>
          <w:sz w:val="28"/>
          <w:szCs w:val="28"/>
        </w:rPr>
        <w:t>.</w:t>
      </w:r>
    </w:p>
    <w:p w14:paraId="43941513"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تخفيض التكاليف التشغيلية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من خلال تقليل عدد الإصابات المكتسبة داخل المستشفى والحدّ من مدة الإقامة العلاجية، يساهم التطبيق الفعّال لبرنامج إدارة المخاطر في تحقيق وفورات مالية ملموسة للمؤسسة الصحية</w:t>
      </w:r>
      <w:r w:rsidRPr="005019F4">
        <w:rPr>
          <w:rFonts w:ascii="Sakkal Majalla" w:eastAsia="Times New Roman" w:hAnsi="Sakkal Majalla" w:cs="Sakkal Majalla"/>
          <w:sz w:val="28"/>
          <w:szCs w:val="28"/>
        </w:rPr>
        <w:t>.</w:t>
      </w:r>
    </w:p>
    <w:p w14:paraId="22F94F77" w14:textId="77777777" w:rsidR="005019F4" w:rsidRPr="005019F4" w:rsidRDefault="005019F4" w:rsidP="00F634A6">
      <w:pPr>
        <w:numPr>
          <w:ilvl w:val="1"/>
          <w:numId w:val="2"/>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تعزيز التكامل بين الإدارات</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يقترح البحث آليات تواصل وتنسيق بين وحدات مكافحة العدوى وإدارة المخاطر وإدارات الجودة وتقنية المعلومات الصحية، بما يضمن متابعة فورية لمؤشرات العدوى</w:t>
      </w:r>
      <w:r w:rsidRPr="005019F4">
        <w:rPr>
          <w:rFonts w:ascii="Sakkal Majalla" w:eastAsia="Times New Roman" w:hAnsi="Sakkal Majalla" w:cs="Sakkal Majalla"/>
          <w:sz w:val="28"/>
          <w:szCs w:val="28"/>
        </w:rPr>
        <w:t>.</w:t>
      </w:r>
    </w:p>
    <w:p w14:paraId="516A3D0E"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13" w:name="_Toc143987403"/>
      <w:r w:rsidRPr="005019F4">
        <w:rPr>
          <w:rFonts w:ascii="Sakkal Majalla" w:eastAsia="Times New Roman" w:hAnsi="Sakkal Majalla" w:cs="Sakkal Majalla"/>
          <w:b/>
          <w:bCs/>
          <w:sz w:val="32"/>
          <w:szCs w:val="32"/>
          <w:rtl/>
          <w:lang w:bidi="ar-EG"/>
        </w:rPr>
        <w:t>4,1 أهداف الدراسة</w:t>
      </w:r>
      <w:bookmarkEnd w:id="13"/>
      <w:r w:rsidRPr="005019F4">
        <w:rPr>
          <w:rFonts w:ascii="Sakkal Majalla" w:eastAsia="Times New Roman" w:hAnsi="Sakkal Majalla" w:cs="Sakkal Majalla"/>
          <w:b/>
          <w:bCs/>
          <w:sz w:val="32"/>
          <w:szCs w:val="32"/>
          <w:rtl/>
          <w:lang w:bidi="ar-EG"/>
        </w:rPr>
        <w:t xml:space="preserve"> </w:t>
      </w:r>
    </w:p>
    <w:p w14:paraId="73B51E18" w14:textId="77777777" w:rsidR="005019F4" w:rsidRPr="005019F4" w:rsidRDefault="005019F4" w:rsidP="005019F4">
      <w:pPr>
        <w:bidi/>
        <w:spacing w:line="360" w:lineRule="auto"/>
        <w:contextualSpacing/>
        <w:jc w:val="both"/>
        <w:rPr>
          <w:rFonts w:ascii="Sakkal Majalla" w:eastAsia="Calibri" w:hAnsi="Sakkal Majalla" w:cs="Sakkal Majalla"/>
          <w:sz w:val="32"/>
          <w:szCs w:val="32"/>
        </w:rPr>
      </w:pPr>
      <w:r w:rsidRPr="005019F4">
        <w:rPr>
          <w:rFonts w:ascii="Sakkal Majalla" w:eastAsia="Calibri" w:hAnsi="Sakkal Majalla" w:cs="Sakkal Majalla"/>
          <w:b/>
          <w:bCs/>
          <w:sz w:val="32"/>
          <w:szCs w:val="32"/>
          <w:rtl/>
        </w:rPr>
        <w:t>الهدف الرئيس</w:t>
      </w:r>
      <w:r w:rsidRPr="005019F4">
        <w:rPr>
          <w:rFonts w:ascii="Sakkal Majalla" w:eastAsia="Calibri" w:hAnsi="Sakkal Majalla" w:cs="Sakkal Majalla"/>
          <w:b/>
          <w:bCs/>
          <w:sz w:val="32"/>
          <w:szCs w:val="32"/>
        </w:rPr>
        <w:t>:</w:t>
      </w:r>
    </w:p>
    <w:p w14:paraId="06508106" w14:textId="77777777" w:rsidR="005019F4" w:rsidRPr="005019F4" w:rsidRDefault="005019F4" w:rsidP="00F634A6">
      <w:pPr>
        <w:numPr>
          <w:ilvl w:val="0"/>
          <w:numId w:val="7"/>
        </w:numPr>
        <w:tabs>
          <w:tab w:val="num" w:pos="720"/>
        </w:tabs>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بيان مدى وأثر تطبيق برنامج إدارة المخاطر على تحسين جودة مكافحة العدوى داخل المستشفيات الحكومية في المملكة العربية السعودية</w:t>
      </w:r>
      <w:r w:rsidRPr="005019F4">
        <w:rPr>
          <w:rFonts w:ascii="Sakkal Majalla" w:eastAsia="Calibri" w:hAnsi="Sakkal Majalla" w:cs="Sakkal Majalla"/>
          <w:sz w:val="28"/>
          <w:szCs w:val="28"/>
        </w:rPr>
        <w:t>.</w:t>
      </w:r>
    </w:p>
    <w:p w14:paraId="597271DC" w14:textId="77777777" w:rsidR="005019F4" w:rsidRPr="005019F4" w:rsidRDefault="005019F4" w:rsidP="005019F4">
      <w:pPr>
        <w:bidi/>
        <w:spacing w:line="360" w:lineRule="auto"/>
        <w:contextualSpacing/>
        <w:jc w:val="both"/>
        <w:rPr>
          <w:rFonts w:ascii="Sakkal Majalla" w:eastAsia="Calibri" w:hAnsi="Sakkal Majalla" w:cs="Sakkal Majalla"/>
          <w:sz w:val="32"/>
          <w:szCs w:val="32"/>
        </w:rPr>
      </w:pPr>
      <w:r w:rsidRPr="005019F4">
        <w:rPr>
          <w:rFonts w:ascii="Sakkal Majalla" w:eastAsia="Calibri" w:hAnsi="Sakkal Majalla" w:cs="Sakkal Majalla"/>
          <w:b/>
          <w:bCs/>
          <w:sz w:val="32"/>
          <w:szCs w:val="32"/>
          <w:rtl/>
        </w:rPr>
        <w:t>الأهداف الفرعية</w:t>
      </w:r>
      <w:r w:rsidRPr="005019F4">
        <w:rPr>
          <w:rFonts w:ascii="Sakkal Majalla" w:eastAsia="Calibri" w:hAnsi="Sakkal Majalla" w:cs="Sakkal Majalla"/>
          <w:b/>
          <w:bCs/>
          <w:sz w:val="32"/>
          <w:szCs w:val="32"/>
        </w:rPr>
        <w:t>:</w:t>
      </w:r>
    </w:p>
    <w:p w14:paraId="1686E4FC" w14:textId="77777777" w:rsidR="005019F4" w:rsidRPr="005019F4" w:rsidRDefault="005019F4" w:rsidP="00F634A6">
      <w:pPr>
        <w:numPr>
          <w:ilvl w:val="0"/>
          <w:numId w:val="7"/>
        </w:numPr>
        <w:tabs>
          <w:tab w:val="num" w:pos="720"/>
        </w:tabs>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قياس أثر تحديد المخاطر المرتبطة بالعدوى على انخفاض معدلات الإصابات المكتسبة داخل المستشفى</w:t>
      </w:r>
      <w:r w:rsidRPr="005019F4">
        <w:rPr>
          <w:rFonts w:ascii="Sakkal Majalla" w:eastAsia="Calibri" w:hAnsi="Sakkal Majalla" w:cs="Sakkal Majalla"/>
          <w:sz w:val="28"/>
          <w:szCs w:val="28"/>
        </w:rPr>
        <w:t>.</w:t>
      </w:r>
    </w:p>
    <w:p w14:paraId="500B45C7" w14:textId="77777777" w:rsidR="005019F4" w:rsidRPr="005019F4" w:rsidRDefault="005019F4" w:rsidP="00F634A6">
      <w:pPr>
        <w:numPr>
          <w:ilvl w:val="0"/>
          <w:numId w:val="7"/>
        </w:numPr>
        <w:tabs>
          <w:tab w:val="num" w:pos="720"/>
        </w:tabs>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تحليل تأثير تقييم المخاطر الوقائية على فعالية الإجراءات التعقيمية والتطهيرية في الوحدات الحرجة</w:t>
      </w:r>
      <w:r w:rsidRPr="005019F4">
        <w:rPr>
          <w:rFonts w:ascii="Sakkal Majalla" w:eastAsia="Calibri" w:hAnsi="Sakkal Majalla" w:cs="Sakkal Majalla"/>
          <w:sz w:val="28"/>
          <w:szCs w:val="28"/>
        </w:rPr>
        <w:t>.</w:t>
      </w:r>
    </w:p>
    <w:p w14:paraId="5B80BFE7" w14:textId="18D0EF1C" w:rsidR="005019F4" w:rsidRPr="005019F4" w:rsidRDefault="005019F4" w:rsidP="00F634A6">
      <w:pPr>
        <w:numPr>
          <w:ilvl w:val="0"/>
          <w:numId w:val="7"/>
        </w:numPr>
        <w:tabs>
          <w:tab w:val="num" w:pos="720"/>
        </w:tabs>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استكشاف دور تطوير استراتيجيات التعامل مع المخاطر</w:t>
      </w:r>
      <w:r w:rsidR="003A1B2C">
        <w:rPr>
          <w:rFonts w:ascii="Sakkal Majalla" w:eastAsia="Calibri" w:hAnsi="Sakkal Majalla" w:cs="Sakkal Majalla" w:hint="cs"/>
          <w:sz w:val="28"/>
          <w:szCs w:val="28"/>
          <w:rtl/>
        </w:rPr>
        <w:t xml:space="preserve"> </w:t>
      </w:r>
      <w:r w:rsidRPr="005019F4">
        <w:rPr>
          <w:rFonts w:ascii="Sakkal Majalla" w:eastAsia="Calibri" w:hAnsi="Sakkal Majalla" w:cs="Sakkal Majalla"/>
          <w:sz w:val="28"/>
          <w:szCs w:val="28"/>
          <w:rtl/>
        </w:rPr>
        <w:t>بما في ذلك خطط الطوارئ وإجراءات التقصي</w:t>
      </w:r>
      <w:r w:rsidR="003A1B2C">
        <w:rPr>
          <w:rFonts w:ascii="Sakkal Majalla" w:eastAsia="Calibri" w:hAnsi="Sakkal Majalla" w:cs="Sakkal Majalla" w:hint="cs"/>
          <w:sz w:val="28"/>
          <w:szCs w:val="28"/>
          <w:rtl/>
        </w:rPr>
        <w:t xml:space="preserve"> </w:t>
      </w:r>
      <w:r w:rsidRPr="005019F4">
        <w:rPr>
          <w:rFonts w:ascii="Sakkal Majalla" w:eastAsia="Calibri" w:hAnsi="Sakkal Majalla" w:cs="Sakkal Majalla"/>
          <w:sz w:val="28"/>
          <w:szCs w:val="28"/>
          <w:rtl/>
        </w:rPr>
        <w:t>في تحسين سرعة الاستجابة لتفشّيات العدوى</w:t>
      </w:r>
      <w:r w:rsidRPr="005019F4">
        <w:rPr>
          <w:rFonts w:ascii="Sakkal Majalla" w:eastAsia="Calibri" w:hAnsi="Sakkal Majalla" w:cs="Sakkal Majalla"/>
          <w:sz w:val="28"/>
          <w:szCs w:val="28"/>
        </w:rPr>
        <w:t>.</w:t>
      </w:r>
    </w:p>
    <w:p w14:paraId="754EEE3C" w14:textId="77777777" w:rsidR="005019F4" w:rsidRPr="005019F4" w:rsidRDefault="005019F4" w:rsidP="00F634A6">
      <w:pPr>
        <w:numPr>
          <w:ilvl w:val="0"/>
          <w:numId w:val="7"/>
        </w:numPr>
        <w:tabs>
          <w:tab w:val="num" w:pos="720"/>
        </w:tabs>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تقييم أهمية المتابعة والمراجعة الدورية لمخاطر العدوى ومؤشرات الأداء المرتبطة بها في الحفاظ على جودة مكافحة العدوى</w:t>
      </w:r>
      <w:r w:rsidRPr="005019F4">
        <w:rPr>
          <w:rFonts w:ascii="Sakkal Majalla" w:eastAsia="Calibri" w:hAnsi="Sakkal Majalla" w:cs="Sakkal Majalla"/>
          <w:sz w:val="28"/>
          <w:szCs w:val="28"/>
        </w:rPr>
        <w:t>.</w:t>
      </w:r>
    </w:p>
    <w:p w14:paraId="70167485" w14:textId="77777777" w:rsidR="005019F4" w:rsidRPr="005019F4" w:rsidRDefault="005019F4" w:rsidP="00F634A6">
      <w:pPr>
        <w:numPr>
          <w:ilvl w:val="0"/>
          <w:numId w:val="7"/>
        </w:numPr>
        <w:tabs>
          <w:tab w:val="num" w:pos="720"/>
        </w:tabs>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sz w:val="28"/>
          <w:szCs w:val="28"/>
          <w:rtl/>
        </w:rPr>
        <w:t>اقتراح نموذج تفاعلي للتكامل بين إدارات مكافحة العدوى وإدارة المخاطر واستغلال البيانات الصحية في دعم اتخاذ القرار</w:t>
      </w:r>
      <w:r w:rsidRPr="005019F4">
        <w:rPr>
          <w:rFonts w:ascii="Sakkal Majalla" w:eastAsia="Calibri" w:hAnsi="Sakkal Majalla" w:cs="Sakkal Majalla"/>
          <w:sz w:val="28"/>
          <w:szCs w:val="28"/>
        </w:rPr>
        <w:t>.</w:t>
      </w:r>
    </w:p>
    <w:p w14:paraId="288114EB"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14" w:name="_Toc143987404"/>
      <w:r w:rsidRPr="005019F4">
        <w:rPr>
          <w:rFonts w:ascii="Sakkal Majalla" w:eastAsia="Times New Roman" w:hAnsi="Sakkal Majalla" w:cs="Sakkal Majalla"/>
          <w:b/>
          <w:bCs/>
          <w:sz w:val="32"/>
          <w:szCs w:val="32"/>
          <w:rtl/>
          <w:lang w:bidi="ar-EG"/>
        </w:rPr>
        <w:t>5.1أسئلة الدراسة</w:t>
      </w:r>
      <w:bookmarkEnd w:id="14"/>
      <w:r w:rsidRPr="005019F4">
        <w:rPr>
          <w:rFonts w:ascii="Sakkal Majalla" w:eastAsia="Times New Roman" w:hAnsi="Sakkal Majalla" w:cs="Sakkal Majalla"/>
          <w:b/>
          <w:bCs/>
          <w:sz w:val="32"/>
          <w:szCs w:val="32"/>
          <w:rtl/>
          <w:lang w:bidi="ar-EG"/>
        </w:rPr>
        <w:t xml:space="preserve">  </w:t>
      </w:r>
    </w:p>
    <w:p w14:paraId="7B0C45EC" w14:textId="77777777" w:rsidR="005019F4" w:rsidRPr="005019F4" w:rsidRDefault="005019F4" w:rsidP="00F634A6">
      <w:pPr>
        <w:numPr>
          <w:ilvl w:val="0"/>
          <w:numId w:val="8"/>
        </w:numPr>
        <w:bidi/>
        <w:spacing w:line="360" w:lineRule="auto"/>
        <w:jc w:val="both"/>
        <w:rPr>
          <w:rFonts w:ascii="Sakkal Majalla" w:eastAsia="Calibri" w:hAnsi="Sakkal Majalla" w:cs="Sakkal Majalla"/>
          <w:sz w:val="28"/>
          <w:szCs w:val="28"/>
        </w:rPr>
      </w:pPr>
      <w:r w:rsidRPr="005019F4">
        <w:rPr>
          <w:rFonts w:ascii="Sakkal Majalla" w:eastAsia="Calibri" w:hAnsi="Sakkal Majalla" w:cs="Sakkal Majalla"/>
          <w:b/>
          <w:bCs/>
          <w:sz w:val="28"/>
          <w:szCs w:val="28"/>
          <w:rtl/>
        </w:rPr>
        <w:t>السؤال الرئيس الأول</w:t>
      </w:r>
      <w:r w:rsidRPr="005019F4">
        <w:rPr>
          <w:rFonts w:ascii="Sakkal Majalla" w:eastAsia="Calibri" w:hAnsi="Sakkal Majalla" w:cs="Sakkal Majalla"/>
          <w:sz w:val="28"/>
          <w:szCs w:val="28"/>
          <w:rtl/>
        </w:rPr>
        <w:t>: ما تأثير تطبيق برنامج إدارة المخاطر بأبعاده المختلفة (تحديد المخاطر، تقييمها، وضع الاستراتيجيات، المتابعة والمراجعة) على جودة مكافحة العدوى (انخفاض معدلات الإصابة، سرعة الاستجابة، كفاءة الإجراءات) داخل المستشفيات الحكومية في المملكة العربية السعودية؟</w:t>
      </w:r>
    </w:p>
    <w:p w14:paraId="20E364AC" w14:textId="77777777" w:rsidR="005019F4" w:rsidRPr="005019F4" w:rsidRDefault="005019F4" w:rsidP="005019F4">
      <w:pPr>
        <w:bidi/>
        <w:spacing w:line="360" w:lineRule="auto"/>
        <w:ind w:firstLine="720"/>
        <w:jc w:val="both"/>
        <w:rPr>
          <w:rFonts w:ascii="Sakkal Majalla" w:eastAsia="Calibri" w:hAnsi="Sakkal Majalla" w:cs="Sakkal Majalla"/>
          <w:b/>
          <w:bCs/>
          <w:sz w:val="28"/>
          <w:szCs w:val="28"/>
          <w:rtl/>
        </w:rPr>
      </w:pPr>
      <w:r w:rsidRPr="005019F4">
        <w:rPr>
          <w:rFonts w:ascii="Sakkal Majalla" w:eastAsia="Calibri" w:hAnsi="Sakkal Majalla" w:cs="Sakkal Majalla"/>
          <w:b/>
          <w:bCs/>
          <w:sz w:val="28"/>
          <w:szCs w:val="28"/>
          <w:rtl/>
        </w:rPr>
        <w:t>وينبثق عن هذا التساؤل عدد من الأسئلة الفرعية هي:</w:t>
      </w:r>
    </w:p>
    <w:p w14:paraId="4E99F0BA" w14:textId="77777777" w:rsidR="005019F4" w:rsidRPr="005019F4" w:rsidRDefault="005019F4" w:rsidP="00F634A6">
      <w:pPr>
        <w:numPr>
          <w:ilvl w:val="0"/>
          <w:numId w:val="8"/>
        </w:numPr>
        <w:bidi/>
        <w:spacing w:line="360" w:lineRule="auto"/>
        <w:contextualSpacing/>
        <w:jc w:val="both"/>
        <w:rPr>
          <w:rFonts w:ascii="Sakkal Majalla" w:eastAsia="Calibri" w:hAnsi="Sakkal Majalla" w:cs="Sakkal Majalla"/>
          <w:sz w:val="28"/>
          <w:szCs w:val="28"/>
          <w14:ligatures w14:val="standardContextual"/>
        </w:rPr>
      </w:pPr>
      <w:r w:rsidRPr="005019F4">
        <w:rPr>
          <w:rFonts w:ascii="Sakkal Majalla" w:eastAsia="Calibri" w:hAnsi="Sakkal Majalla" w:cs="Sakkal Majalla"/>
          <w:sz w:val="28"/>
          <w:szCs w:val="28"/>
          <w:rtl/>
          <w14:ligatures w14:val="standardContextual"/>
        </w:rPr>
        <w:t>كيف يؤثر تحديد المخاطر المرتبطة بمصادر العدوى على معدّل الإصابات المكتسبة داخل المستشفى؟</w:t>
      </w:r>
    </w:p>
    <w:p w14:paraId="02B4EC09" w14:textId="77777777" w:rsidR="005019F4" w:rsidRPr="005019F4" w:rsidRDefault="005019F4" w:rsidP="00F634A6">
      <w:pPr>
        <w:numPr>
          <w:ilvl w:val="0"/>
          <w:numId w:val="8"/>
        </w:numPr>
        <w:bidi/>
        <w:spacing w:line="360" w:lineRule="auto"/>
        <w:contextualSpacing/>
        <w:jc w:val="both"/>
        <w:rPr>
          <w:rFonts w:ascii="Sakkal Majalla" w:eastAsia="Calibri" w:hAnsi="Sakkal Majalla" w:cs="Sakkal Majalla"/>
          <w:sz w:val="28"/>
          <w:szCs w:val="28"/>
          <w14:ligatures w14:val="standardContextual"/>
        </w:rPr>
      </w:pPr>
      <w:r w:rsidRPr="005019F4">
        <w:rPr>
          <w:rFonts w:ascii="Sakkal Majalla" w:eastAsia="Calibri" w:hAnsi="Sakkal Majalla" w:cs="Sakkal Majalla"/>
          <w:sz w:val="28"/>
          <w:szCs w:val="28"/>
          <w:rtl/>
          <w14:ligatures w14:val="standardContextual"/>
        </w:rPr>
        <w:lastRenderedPageBreak/>
        <w:t>ما مدى تأثير تقييم المخاطر الوقائية على فعالية إجراءات التعقيم والتطهير في الوحدات الحرجة؟</w:t>
      </w:r>
    </w:p>
    <w:p w14:paraId="71CFCE4A" w14:textId="77777777" w:rsidR="005019F4" w:rsidRPr="005019F4" w:rsidRDefault="005019F4" w:rsidP="00F634A6">
      <w:pPr>
        <w:numPr>
          <w:ilvl w:val="0"/>
          <w:numId w:val="8"/>
        </w:numPr>
        <w:bidi/>
        <w:spacing w:line="360" w:lineRule="auto"/>
        <w:contextualSpacing/>
        <w:jc w:val="both"/>
        <w:rPr>
          <w:rFonts w:ascii="Sakkal Majalla" w:eastAsia="Calibri" w:hAnsi="Sakkal Majalla" w:cs="Sakkal Majalla"/>
          <w:sz w:val="28"/>
          <w:szCs w:val="28"/>
          <w14:ligatures w14:val="standardContextual"/>
        </w:rPr>
      </w:pPr>
      <w:r w:rsidRPr="005019F4">
        <w:rPr>
          <w:rFonts w:ascii="Sakkal Majalla" w:eastAsia="Calibri" w:hAnsi="Sakkal Majalla" w:cs="Sakkal Majalla"/>
          <w:sz w:val="28"/>
          <w:szCs w:val="28"/>
          <w:rtl/>
          <w14:ligatures w14:val="standardContextual"/>
        </w:rPr>
        <w:t>ما دور استراتيجيات التعامل مع المخاطر—بما في ذلك خطط الطوارئ وتقنيات التحري—في تحسين زمن الاستجابة لتفشّيات العدوى؟</w:t>
      </w:r>
    </w:p>
    <w:p w14:paraId="4C29CF7E" w14:textId="77777777" w:rsidR="005019F4" w:rsidRPr="005019F4" w:rsidRDefault="005019F4" w:rsidP="00F634A6">
      <w:pPr>
        <w:numPr>
          <w:ilvl w:val="0"/>
          <w:numId w:val="8"/>
        </w:numPr>
        <w:bidi/>
        <w:spacing w:line="360" w:lineRule="auto"/>
        <w:contextualSpacing/>
        <w:jc w:val="both"/>
        <w:rPr>
          <w:rFonts w:ascii="Sakkal Majalla" w:eastAsia="Calibri" w:hAnsi="Sakkal Majalla" w:cs="Sakkal Majalla"/>
          <w:sz w:val="28"/>
          <w:szCs w:val="28"/>
          <w:rtl/>
          <w14:ligatures w14:val="standardContextual"/>
        </w:rPr>
      </w:pPr>
      <w:r w:rsidRPr="005019F4">
        <w:rPr>
          <w:rFonts w:ascii="Sakkal Majalla" w:eastAsia="Calibri" w:hAnsi="Sakkal Majalla" w:cs="Sakkal Majalla"/>
          <w:sz w:val="28"/>
          <w:szCs w:val="28"/>
          <w:rtl/>
          <w14:ligatures w14:val="standardContextual"/>
        </w:rPr>
        <w:t>كيف تساهم عمليات المتابعة والمراجعة الدورية لمخاطر العدوى في الحفاظ على استقرار مؤشرات جودة مكافحة العدوى؟</w:t>
      </w:r>
    </w:p>
    <w:p w14:paraId="7B09E0D3"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15" w:name="_Toc143987405"/>
      <w:r w:rsidRPr="005019F4">
        <w:rPr>
          <w:rFonts w:ascii="Sakkal Majalla" w:eastAsia="Times New Roman" w:hAnsi="Sakkal Majalla" w:cs="Sakkal Majalla"/>
          <w:b/>
          <w:bCs/>
          <w:sz w:val="32"/>
          <w:szCs w:val="32"/>
          <w:rtl/>
          <w:lang w:bidi="ar-EG"/>
        </w:rPr>
        <w:t>6.1 فرضيات الدراسة</w:t>
      </w:r>
      <w:bookmarkEnd w:id="15"/>
      <w:r w:rsidRPr="005019F4">
        <w:rPr>
          <w:rFonts w:ascii="Sakkal Majalla" w:eastAsia="Times New Roman" w:hAnsi="Sakkal Majalla" w:cs="Sakkal Majalla"/>
          <w:b/>
          <w:bCs/>
          <w:sz w:val="32"/>
          <w:szCs w:val="32"/>
          <w:rtl/>
          <w:lang w:bidi="ar-EG"/>
        </w:rPr>
        <w:t xml:space="preserve"> </w:t>
      </w:r>
    </w:p>
    <w:p w14:paraId="4502E681" w14:textId="77777777" w:rsidR="005019F4" w:rsidRPr="005019F4" w:rsidRDefault="005019F4" w:rsidP="005019F4">
      <w:pPr>
        <w:bidi/>
        <w:spacing w:line="360" w:lineRule="auto"/>
        <w:jc w:val="both"/>
        <w:rPr>
          <w:rFonts w:ascii="Sakkal Majalla" w:eastAsia="Times New Roman" w:hAnsi="Sakkal Majalla" w:cs="Sakkal Majalla"/>
          <w:sz w:val="32"/>
          <w:szCs w:val="32"/>
          <w:lang w:bidi="ar-JO"/>
        </w:rPr>
      </w:pPr>
      <w:r w:rsidRPr="005019F4">
        <w:rPr>
          <w:rFonts w:ascii="Sakkal Majalla" w:eastAsia="Times New Roman" w:hAnsi="Sakkal Majalla" w:cs="Sakkal Majalla"/>
          <w:b/>
          <w:bCs/>
          <w:sz w:val="32"/>
          <w:szCs w:val="32"/>
          <w:rtl/>
        </w:rPr>
        <w:t>الفرضية الرئيسية</w:t>
      </w:r>
      <w:r w:rsidRPr="005019F4">
        <w:rPr>
          <w:rFonts w:ascii="Sakkal Majalla" w:eastAsia="Times New Roman" w:hAnsi="Sakkal Majalla" w:cs="Sakkal Majalla"/>
          <w:b/>
          <w:bCs/>
          <w:sz w:val="32"/>
          <w:szCs w:val="32"/>
          <w:lang w:bidi="ar-JO"/>
        </w:rPr>
        <w:t xml:space="preserve"> (H</w:t>
      </w:r>
      <w:r w:rsidRPr="005019F4">
        <w:rPr>
          <w:rFonts w:ascii="Cambria Math" w:eastAsia="Times New Roman" w:hAnsi="Cambria Math" w:cs="Cambria Math"/>
          <w:b/>
          <w:bCs/>
          <w:sz w:val="32"/>
          <w:szCs w:val="32"/>
          <w:lang w:bidi="ar-JO"/>
        </w:rPr>
        <w:t>₀</w:t>
      </w:r>
      <w:r w:rsidRPr="005019F4">
        <w:rPr>
          <w:rFonts w:ascii="Sakkal Majalla" w:eastAsia="Times New Roman" w:hAnsi="Sakkal Majalla" w:cs="Sakkal Majalla"/>
          <w:b/>
          <w:bCs/>
          <w:sz w:val="32"/>
          <w:szCs w:val="32"/>
          <w:lang w:bidi="ar-JO"/>
        </w:rPr>
        <w:t>):</w:t>
      </w:r>
    </w:p>
    <w:p w14:paraId="1B51B36A" w14:textId="77777777" w:rsidR="005019F4" w:rsidRPr="005019F4" w:rsidRDefault="005019F4" w:rsidP="00F634A6">
      <w:pPr>
        <w:numPr>
          <w:ilvl w:val="0"/>
          <w:numId w:val="9"/>
        </w:numPr>
        <w:bidi/>
        <w:spacing w:line="360" w:lineRule="auto"/>
        <w:jc w:val="both"/>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rtl/>
        </w:rPr>
        <w:t>لا يوجد أثر ذو دلالة إحصائية عند مستوى دلالة</w:t>
      </w:r>
      <w:r w:rsidRPr="005019F4">
        <w:rPr>
          <w:rFonts w:ascii="Sakkal Majalla" w:eastAsia="Times New Roman" w:hAnsi="Sakkal Majalla" w:cs="Sakkal Majalla"/>
          <w:sz w:val="28"/>
          <w:szCs w:val="28"/>
          <w:lang w:bidi="ar-JO"/>
        </w:rPr>
        <w:t xml:space="preserve"> </w:t>
      </w:r>
      <w:r w:rsidRPr="005019F4">
        <w:rPr>
          <w:rFonts w:ascii="Cambria" w:eastAsia="Times New Roman" w:hAnsi="Cambria" w:cs="Cambria"/>
          <w:sz w:val="28"/>
          <w:szCs w:val="28"/>
          <w:lang w:bidi="ar-JO"/>
        </w:rPr>
        <w:t>α</w:t>
      </w:r>
      <w:r w:rsidRPr="005019F4">
        <w:rPr>
          <w:rFonts w:ascii="Sakkal Majalla" w:eastAsia="Times New Roman" w:hAnsi="Sakkal Majalla" w:cs="Sakkal Majalla"/>
          <w:sz w:val="28"/>
          <w:szCs w:val="28"/>
          <w:lang w:bidi="ar-JO"/>
        </w:rPr>
        <w:t xml:space="preserve"> ≥ 0.05 </w:t>
      </w:r>
      <w:r w:rsidRPr="005019F4">
        <w:rPr>
          <w:rFonts w:ascii="Sakkal Majalla" w:eastAsia="Times New Roman" w:hAnsi="Sakkal Majalla" w:cs="Sakkal Majalla"/>
          <w:sz w:val="28"/>
          <w:szCs w:val="28"/>
          <w:rtl/>
        </w:rPr>
        <w:t>لتطبيق برنامج إدارة المخاطر على جودة مكافحة العدوى داخل المستشفيات الحكومية في المملكة العربية السعودية</w:t>
      </w:r>
      <w:r w:rsidRPr="005019F4">
        <w:rPr>
          <w:rFonts w:ascii="Sakkal Majalla" w:eastAsia="Times New Roman" w:hAnsi="Sakkal Majalla" w:cs="Sakkal Majalla"/>
          <w:sz w:val="28"/>
          <w:szCs w:val="28"/>
          <w:lang w:bidi="ar-JO"/>
        </w:rPr>
        <w:t>.</w:t>
      </w:r>
    </w:p>
    <w:p w14:paraId="285CA71A" w14:textId="77777777" w:rsidR="005019F4" w:rsidRPr="005019F4" w:rsidRDefault="005019F4" w:rsidP="005019F4">
      <w:pPr>
        <w:bidi/>
        <w:spacing w:line="360" w:lineRule="auto"/>
        <w:jc w:val="both"/>
        <w:rPr>
          <w:rFonts w:ascii="Sakkal Majalla" w:eastAsia="Times New Roman" w:hAnsi="Sakkal Majalla" w:cs="Sakkal Majalla"/>
          <w:sz w:val="32"/>
          <w:szCs w:val="32"/>
          <w:lang w:bidi="ar-JO"/>
        </w:rPr>
      </w:pPr>
      <w:r w:rsidRPr="005019F4">
        <w:rPr>
          <w:rFonts w:ascii="Sakkal Majalla" w:eastAsia="Times New Roman" w:hAnsi="Sakkal Majalla" w:cs="Sakkal Majalla"/>
          <w:b/>
          <w:bCs/>
          <w:sz w:val="32"/>
          <w:szCs w:val="32"/>
          <w:rtl/>
        </w:rPr>
        <w:t>الفرضيات الفرعية</w:t>
      </w:r>
      <w:r w:rsidRPr="005019F4">
        <w:rPr>
          <w:rFonts w:ascii="Sakkal Majalla" w:eastAsia="Times New Roman" w:hAnsi="Sakkal Majalla" w:cs="Sakkal Majalla"/>
          <w:b/>
          <w:bCs/>
          <w:sz w:val="32"/>
          <w:szCs w:val="32"/>
          <w:lang w:bidi="ar-JO"/>
        </w:rPr>
        <w:t>:</w:t>
      </w:r>
    </w:p>
    <w:p w14:paraId="05834FC3" w14:textId="77777777" w:rsidR="005019F4" w:rsidRPr="005019F4" w:rsidRDefault="005019F4" w:rsidP="00F634A6">
      <w:pPr>
        <w:numPr>
          <w:ilvl w:val="0"/>
          <w:numId w:val="10"/>
        </w:numPr>
        <w:bidi/>
        <w:spacing w:line="360" w:lineRule="auto"/>
        <w:jc w:val="both"/>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lang w:bidi="ar-JO"/>
        </w:rPr>
        <w:t>(H</w:t>
      </w:r>
      <w:r w:rsidRPr="005019F4">
        <w:rPr>
          <w:rFonts w:ascii="Cambria Math" w:eastAsia="Times New Roman" w:hAnsi="Cambria Math" w:cs="Cambria Math"/>
          <w:sz w:val="28"/>
          <w:szCs w:val="28"/>
          <w:lang w:bidi="ar-JO"/>
        </w:rPr>
        <w:t>₀₁</w:t>
      </w:r>
      <w:r w:rsidRPr="005019F4">
        <w:rPr>
          <w:rFonts w:ascii="Sakkal Majalla" w:eastAsia="Times New Roman" w:hAnsi="Sakkal Majalla" w:cs="Sakkal Majalla"/>
          <w:sz w:val="28"/>
          <w:szCs w:val="28"/>
          <w:lang w:bidi="ar-JO"/>
        </w:rPr>
        <w:t xml:space="preserve">): </w:t>
      </w:r>
      <w:r w:rsidRPr="005019F4">
        <w:rPr>
          <w:rFonts w:ascii="Sakkal Majalla" w:eastAsia="Times New Roman" w:hAnsi="Sakkal Majalla" w:cs="Sakkal Majalla"/>
          <w:sz w:val="28"/>
          <w:szCs w:val="28"/>
          <w:rtl/>
        </w:rPr>
        <w:t>لا يوجد أثر ذو دلالة إحصائية عند مستوى دلالة</w:t>
      </w:r>
      <w:r w:rsidRPr="005019F4">
        <w:rPr>
          <w:rFonts w:ascii="Sakkal Majalla" w:eastAsia="Times New Roman" w:hAnsi="Sakkal Majalla" w:cs="Sakkal Majalla"/>
          <w:sz w:val="28"/>
          <w:szCs w:val="28"/>
          <w:lang w:bidi="ar-JO"/>
        </w:rPr>
        <w:t xml:space="preserve"> </w:t>
      </w:r>
      <w:r w:rsidRPr="005019F4">
        <w:rPr>
          <w:rFonts w:ascii="Cambria" w:eastAsia="Times New Roman" w:hAnsi="Cambria" w:cs="Cambria"/>
          <w:sz w:val="28"/>
          <w:szCs w:val="28"/>
          <w:lang w:bidi="ar-JO"/>
        </w:rPr>
        <w:t>α</w:t>
      </w:r>
      <w:r w:rsidRPr="005019F4">
        <w:rPr>
          <w:rFonts w:ascii="Sakkal Majalla" w:eastAsia="Times New Roman" w:hAnsi="Sakkal Majalla" w:cs="Sakkal Majalla"/>
          <w:sz w:val="28"/>
          <w:szCs w:val="28"/>
          <w:lang w:bidi="ar-JO"/>
        </w:rPr>
        <w:t xml:space="preserve"> ≥ 0.05 </w:t>
      </w:r>
      <w:r w:rsidRPr="005019F4">
        <w:rPr>
          <w:rFonts w:ascii="Sakkal Majalla" w:eastAsia="Times New Roman" w:hAnsi="Sakkal Majalla" w:cs="Sakkal Majalla"/>
          <w:sz w:val="28"/>
          <w:szCs w:val="28"/>
          <w:rtl/>
        </w:rPr>
        <w:t>لتحديد المخاطر المرتبطة بالعدوى على انخفاض معدلات الإصابة المكتسبة داخل المستشفى</w:t>
      </w:r>
      <w:r w:rsidRPr="005019F4">
        <w:rPr>
          <w:rFonts w:ascii="Sakkal Majalla" w:eastAsia="Times New Roman" w:hAnsi="Sakkal Majalla" w:cs="Sakkal Majalla"/>
          <w:sz w:val="28"/>
          <w:szCs w:val="28"/>
          <w:lang w:bidi="ar-JO"/>
        </w:rPr>
        <w:t>.</w:t>
      </w:r>
    </w:p>
    <w:p w14:paraId="1997B1FA" w14:textId="77777777" w:rsidR="005019F4" w:rsidRPr="005019F4" w:rsidRDefault="005019F4" w:rsidP="00F634A6">
      <w:pPr>
        <w:numPr>
          <w:ilvl w:val="0"/>
          <w:numId w:val="10"/>
        </w:numPr>
        <w:bidi/>
        <w:spacing w:line="360" w:lineRule="auto"/>
        <w:jc w:val="both"/>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lang w:bidi="ar-JO"/>
        </w:rPr>
        <w:t>(H</w:t>
      </w:r>
      <w:r w:rsidRPr="005019F4">
        <w:rPr>
          <w:rFonts w:ascii="Cambria Math" w:eastAsia="Times New Roman" w:hAnsi="Cambria Math" w:cs="Cambria Math"/>
          <w:sz w:val="28"/>
          <w:szCs w:val="28"/>
          <w:lang w:bidi="ar-JO"/>
        </w:rPr>
        <w:t>₀₂</w:t>
      </w:r>
      <w:r w:rsidRPr="005019F4">
        <w:rPr>
          <w:rFonts w:ascii="Sakkal Majalla" w:eastAsia="Times New Roman" w:hAnsi="Sakkal Majalla" w:cs="Sakkal Majalla"/>
          <w:sz w:val="28"/>
          <w:szCs w:val="28"/>
          <w:lang w:bidi="ar-JO"/>
        </w:rPr>
        <w:t xml:space="preserve">): </w:t>
      </w:r>
      <w:r w:rsidRPr="005019F4">
        <w:rPr>
          <w:rFonts w:ascii="Sakkal Majalla" w:eastAsia="Times New Roman" w:hAnsi="Sakkal Majalla" w:cs="Sakkal Majalla"/>
          <w:sz w:val="28"/>
          <w:szCs w:val="28"/>
          <w:rtl/>
        </w:rPr>
        <w:t>لا يوجد أثر ذو دلالة إحصائية عند مستوى دلالة</w:t>
      </w:r>
      <w:r w:rsidRPr="005019F4">
        <w:rPr>
          <w:rFonts w:ascii="Sakkal Majalla" w:eastAsia="Times New Roman" w:hAnsi="Sakkal Majalla" w:cs="Sakkal Majalla"/>
          <w:sz w:val="28"/>
          <w:szCs w:val="28"/>
          <w:lang w:bidi="ar-JO"/>
        </w:rPr>
        <w:t xml:space="preserve"> </w:t>
      </w:r>
      <w:r w:rsidRPr="005019F4">
        <w:rPr>
          <w:rFonts w:ascii="Cambria" w:eastAsia="Times New Roman" w:hAnsi="Cambria" w:cs="Cambria"/>
          <w:sz w:val="28"/>
          <w:szCs w:val="28"/>
          <w:lang w:bidi="ar-JO"/>
        </w:rPr>
        <w:t>α</w:t>
      </w:r>
      <w:r w:rsidRPr="005019F4">
        <w:rPr>
          <w:rFonts w:ascii="Sakkal Majalla" w:eastAsia="Times New Roman" w:hAnsi="Sakkal Majalla" w:cs="Sakkal Majalla"/>
          <w:sz w:val="28"/>
          <w:szCs w:val="28"/>
          <w:lang w:bidi="ar-JO"/>
        </w:rPr>
        <w:t xml:space="preserve"> ≥ 0.05 </w:t>
      </w:r>
      <w:r w:rsidRPr="005019F4">
        <w:rPr>
          <w:rFonts w:ascii="Sakkal Majalla" w:eastAsia="Times New Roman" w:hAnsi="Sakkal Majalla" w:cs="Sakkal Majalla"/>
          <w:sz w:val="28"/>
          <w:szCs w:val="28"/>
          <w:rtl/>
        </w:rPr>
        <w:t>لتقييم المخاطر الوقائية على فعالية إجراءات التعقيم والتطهير</w:t>
      </w:r>
      <w:r w:rsidRPr="005019F4">
        <w:rPr>
          <w:rFonts w:ascii="Sakkal Majalla" w:eastAsia="Times New Roman" w:hAnsi="Sakkal Majalla" w:cs="Sakkal Majalla"/>
          <w:sz w:val="28"/>
          <w:szCs w:val="28"/>
          <w:lang w:bidi="ar-JO"/>
        </w:rPr>
        <w:t>.</w:t>
      </w:r>
    </w:p>
    <w:p w14:paraId="6B9377E5" w14:textId="77777777" w:rsidR="005019F4" w:rsidRPr="005019F4" w:rsidRDefault="005019F4" w:rsidP="00F634A6">
      <w:pPr>
        <w:numPr>
          <w:ilvl w:val="0"/>
          <w:numId w:val="10"/>
        </w:numPr>
        <w:bidi/>
        <w:spacing w:line="360" w:lineRule="auto"/>
        <w:jc w:val="both"/>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lang w:bidi="ar-JO"/>
        </w:rPr>
        <w:t>(H</w:t>
      </w:r>
      <w:r w:rsidRPr="005019F4">
        <w:rPr>
          <w:rFonts w:ascii="Cambria Math" w:eastAsia="Times New Roman" w:hAnsi="Cambria Math" w:cs="Cambria Math"/>
          <w:sz w:val="28"/>
          <w:szCs w:val="28"/>
          <w:lang w:bidi="ar-JO"/>
        </w:rPr>
        <w:t>₀₃</w:t>
      </w:r>
      <w:r w:rsidRPr="005019F4">
        <w:rPr>
          <w:rFonts w:ascii="Sakkal Majalla" w:eastAsia="Times New Roman" w:hAnsi="Sakkal Majalla" w:cs="Sakkal Majalla"/>
          <w:sz w:val="28"/>
          <w:szCs w:val="28"/>
          <w:lang w:bidi="ar-JO"/>
        </w:rPr>
        <w:t xml:space="preserve">): </w:t>
      </w:r>
      <w:r w:rsidRPr="005019F4">
        <w:rPr>
          <w:rFonts w:ascii="Sakkal Majalla" w:eastAsia="Times New Roman" w:hAnsi="Sakkal Majalla" w:cs="Sakkal Majalla"/>
          <w:sz w:val="28"/>
          <w:szCs w:val="28"/>
          <w:rtl/>
        </w:rPr>
        <w:t>لا يوجد أثر ذو دلالة إحصائية عند مستوى دلالة</w:t>
      </w:r>
      <w:r w:rsidRPr="005019F4">
        <w:rPr>
          <w:rFonts w:ascii="Sakkal Majalla" w:eastAsia="Times New Roman" w:hAnsi="Sakkal Majalla" w:cs="Sakkal Majalla"/>
          <w:sz w:val="28"/>
          <w:szCs w:val="28"/>
          <w:lang w:bidi="ar-JO"/>
        </w:rPr>
        <w:t xml:space="preserve"> </w:t>
      </w:r>
      <w:r w:rsidRPr="005019F4">
        <w:rPr>
          <w:rFonts w:ascii="Cambria" w:eastAsia="Times New Roman" w:hAnsi="Cambria" w:cs="Cambria"/>
          <w:sz w:val="28"/>
          <w:szCs w:val="28"/>
          <w:lang w:bidi="ar-JO"/>
        </w:rPr>
        <w:t>α</w:t>
      </w:r>
      <w:r w:rsidRPr="005019F4">
        <w:rPr>
          <w:rFonts w:ascii="Sakkal Majalla" w:eastAsia="Times New Roman" w:hAnsi="Sakkal Majalla" w:cs="Sakkal Majalla"/>
          <w:sz w:val="28"/>
          <w:szCs w:val="28"/>
          <w:lang w:bidi="ar-JO"/>
        </w:rPr>
        <w:t xml:space="preserve"> ≥ 0.05 </w:t>
      </w:r>
      <w:r w:rsidRPr="005019F4">
        <w:rPr>
          <w:rFonts w:ascii="Sakkal Majalla" w:eastAsia="Times New Roman" w:hAnsi="Sakkal Majalla" w:cs="Sakkal Majalla"/>
          <w:sz w:val="28"/>
          <w:szCs w:val="28"/>
          <w:rtl/>
        </w:rPr>
        <w:t>لاستراتيجيات التعامل مع المخاطر على سرعة الاستجابة لتفشّيات العدوى</w:t>
      </w:r>
      <w:r w:rsidRPr="005019F4">
        <w:rPr>
          <w:rFonts w:ascii="Sakkal Majalla" w:eastAsia="Times New Roman" w:hAnsi="Sakkal Majalla" w:cs="Sakkal Majalla"/>
          <w:sz w:val="28"/>
          <w:szCs w:val="28"/>
          <w:lang w:bidi="ar-JO"/>
        </w:rPr>
        <w:t>.</w:t>
      </w:r>
    </w:p>
    <w:p w14:paraId="136B6F40" w14:textId="77777777" w:rsidR="005019F4" w:rsidRPr="005019F4" w:rsidRDefault="005019F4" w:rsidP="00F634A6">
      <w:pPr>
        <w:numPr>
          <w:ilvl w:val="0"/>
          <w:numId w:val="10"/>
        </w:numPr>
        <w:bidi/>
        <w:spacing w:line="360" w:lineRule="auto"/>
        <w:jc w:val="both"/>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lang w:bidi="ar-JO"/>
        </w:rPr>
        <w:t>(H</w:t>
      </w:r>
      <w:r w:rsidRPr="005019F4">
        <w:rPr>
          <w:rFonts w:ascii="Cambria Math" w:eastAsia="Times New Roman" w:hAnsi="Cambria Math" w:cs="Cambria Math"/>
          <w:sz w:val="28"/>
          <w:szCs w:val="28"/>
          <w:lang w:bidi="ar-JO"/>
        </w:rPr>
        <w:t>₀₄</w:t>
      </w:r>
      <w:r w:rsidRPr="005019F4">
        <w:rPr>
          <w:rFonts w:ascii="Sakkal Majalla" w:eastAsia="Times New Roman" w:hAnsi="Sakkal Majalla" w:cs="Sakkal Majalla"/>
          <w:sz w:val="28"/>
          <w:szCs w:val="28"/>
          <w:lang w:bidi="ar-JO"/>
        </w:rPr>
        <w:t xml:space="preserve">): </w:t>
      </w:r>
      <w:r w:rsidRPr="005019F4">
        <w:rPr>
          <w:rFonts w:ascii="Sakkal Majalla" w:eastAsia="Times New Roman" w:hAnsi="Sakkal Majalla" w:cs="Sakkal Majalla"/>
          <w:sz w:val="28"/>
          <w:szCs w:val="28"/>
          <w:rtl/>
        </w:rPr>
        <w:t>لا يوجد أثر ذو دلالة إحصائية عند مستوى دلالة</w:t>
      </w:r>
      <w:r w:rsidRPr="005019F4">
        <w:rPr>
          <w:rFonts w:ascii="Sakkal Majalla" w:eastAsia="Times New Roman" w:hAnsi="Sakkal Majalla" w:cs="Sakkal Majalla"/>
          <w:sz w:val="28"/>
          <w:szCs w:val="28"/>
          <w:lang w:bidi="ar-JO"/>
        </w:rPr>
        <w:t xml:space="preserve"> </w:t>
      </w:r>
      <w:r w:rsidRPr="005019F4">
        <w:rPr>
          <w:rFonts w:ascii="Cambria" w:eastAsia="Times New Roman" w:hAnsi="Cambria" w:cs="Cambria"/>
          <w:sz w:val="28"/>
          <w:szCs w:val="28"/>
          <w:lang w:bidi="ar-JO"/>
        </w:rPr>
        <w:t>α</w:t>
      </w:r>
      <w:r w:rsidRPr="005019F4">
        <w:rPr>
          <w:rFonts w:ascii="Sakkal Majalla" w:eastAsia="Times New Roman" w:hAnsi="Sakkal Majalla" w:cs="Sakkal Majalla"/>
          <w:sz w:val="28"/>
          <w:szCs w:val="28"/>
          <w:lang w:bidi="ar-JO"/>
        </w:rPr>
        <w:t xml:space="preserve"> ≥ 0.05 </w:t>
      </w:r>
      <w:r w:rsidRPr="005019F4">
        <w:rPr>
          <w:rFonts w:ascii="Sakkal Majalla" w:eastAsia="Times New Roman" w:hAnsi="Sakkal Majalla" w:cs="Sakkal Majalla"/>
          <w:sz w:val="28"/>
          <w:szCs w:val="28"/>
          <w:rtl/>
        </w:rPr>
        <w:t>للمتابعة والمراجعة الدورية لمخاطر العدوى على استقرار مؤشرات جودة مكافحة العدوى</w:t>
      </w:r>
      <w:r w:rsidRPr="005019F4">
        <w:rPr>
          <w:rFonts w:ascii="Sakkal Majalla" w:eastAsia="Times New Roman" w:hAnsi="Sakkal Majalla" w:cs="Sakkal Majalla"/>
          <w:sz w:val="28"/>
          <w:szCs w:val="28"/>
          <w:lang w:bidi="ar-JO"/>
        </w:rPr>
        <w:t>.</w:t>
      </w:r>
    </w:p>
    <w:p w14:paraId="1B97A2D3"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16" w:name="_Toc143987406"/>
      <w:r w:rsidRPr="005019F4">
        <w:rPr>
          <w:rFonts w:ascii="Sakkal Majalla" w:eastAsia="Times New Roman" w:hAnsi="Sakkal Majalla" w:cs="Sakkal Majalla"/>
          <w:b/>
          <w:bCs/>
          <w:sz w:val="32"/>
          <w:szCs w:val="32"/>
          <w:rtl/>
          <w:lang w:bidi="ar-EG"/>
        </w:rPr>
        <w:t>7.1 نموذج الدراسة</w:t>
      </w:r>
      <w:bookmarkEnd w:id="16"/>
      <w:r w:rsidRPr="005019F4">
        <w:rPr>
          <w:rFonts w:ascii="Sakkal Majalla" w:eastAsia="Times New Roman" w:hAnsi="Sakkal Majalla" w:cs="Sakkal Majalla"/>
          <w:b/>
          <w:bCs/>
          <w:sz w:val="32"/>
          <w:szCs w:val="32"/>
          <w:rtl/>
          <w:lang w:bidi="ar-EG"/>
        </w:rPr>
        <w:t xml:space="preserve"> </w:t>
      </w:r>
    </w:p>
    <w:p w14:paraId="234E3173" w14:textId="1B4E2294" w:rsidR="005019F4" w:rsidRPr="005019F4" w:rsidRDefault="005019F4" w:rsidP="005019F4">
      <w:pPr>
        <w:bidi/>
        <w:spacing w:line="360" w:lineRule="auto"/>
        <w:ind w:firstLine="720"/>
        <w:contextualSpacing/>
        <w:jc w:val="both"/>
        <w:rPr>
          <w:rFonts w:ascii="Sakkal Majalla" w:eastAsia="Times New Roman" w:hAnsi="Sakkal Majalla" w:cs="Sakkal Majalla"/>
          <w:b/>
          <w:bCs/>
          <w:sz w:val="28"/>
          <w:szCs w:val="28"/>
          <w:rtl/>
          <w:lang w:bidi="ar-EG"/>
        </w:rPr>
      </w:pPr>
      <w:r w:rsidRPr="005019F4">
        <w:rPr>
          <w:rFonts w:ascii="Sakkal Majalla" w:eastAsia="Times New Roman" w:hAnsi="Sakkal Majalla" w:cs="Sakkal Majalla"/>
          <w:sz w:val="28"/>
          <w:szCs w:val="28"/>
          <w:rtl/>
          <w:lang w:bidi="ar-JO"/>
        </w:rPr>
        <w:t xml:space="preserve">يهدف هذا النموذج إلى دراسة أثر </w:t>
      </w:r>
      <w:r w:rsidRPr="005019F4">
        <w:rPr>
          <w:rFonts w:ascii="Sakkal Majalla" w:eastAsia="Times New Roman" w:hAnsi="Sakkal Majalla" w:cs="Sakkal Majalla"/>
          <w:b/>
          <w:bCs/>
          <w:sz w:val="28"/>
          <w:szCs w:val="28"/>
          <w:rtl/>
          <w:lang w:bidi="ar-EG"/>
        </w:rPr>
        <w:t xml:space="preserve">تطبيق برنامج إدارة المخاطر على </w:t>
      </w:r>
      <w:bookmarkStart w:id="17" w:name="_Hlk203275977"/>
      <w:r w:rsidRPr="005019F4">
        <w:rPr>
          <w:rFonts w:ascii="Sakkal Majalla" w:eastAsia="Times New Roman" w:hAnsi="Sakkal Majalla" w:cs="Sakkal Majalla"/>
          <w:b/>
          <w:bCs/>
          <w:sz w:val="28"/>
          <w:szCs w:val="28"/>
          <w:rtl/>
          <w:lang w:bidi="ar-EG"/>
        </w:rPr>
        <w:t xml:space="preserve">مكافحة العدوى </w:t>
      </w:r>
      <w:bookmarkEnd w:id="17"/>
      <w:r w:rsidRPr="005019F4">
        <w:rPr>
          <w:rFonts w:ascii="Sakkal Majalla" w:eastAsia="Times New Roman" w:hAnsi="Sakkal Majalla" w:cs="Sakkal Majalla"/>
          <w:b/>
          <w:bCs/>
          <w:sz w:val="28"/>
          <w:szCs w:val="28"/>
          <w:rtl/>
          <w:lang w:bidi="ar-EG"/>
        </w:rPr>
        <w:t>داخل المستشف</w:t>
      </w:r>
      <w:r w:rsidR="005D141B">
        <w:rPr>
          <w:rFonts w:ascii="Sakkal Majalla" w:eastAsia="Times New Roman" w:hAnsi="Sakkal Majalla" w:cs="Sakkal Majalla" w:hint="cs"/>
          <w:b/>
          <w:bCs/>
          <w:sz w:val="28"/>
          <w:szCs w:val="28"/>
          <w:rtl/>
          <w:lang w:bidi="ar-EG"/>
        </w:rPr>
        <w:t>ي</w:t>
      </w:r>
      <w:r w:rsidRPr="005019F4">
        <w:rPr>
          <w:rFonts w:ascii="Sakkal Majalla" w:eastAsia="Times New Roman" w:hAnsi="Sakkal Majalla" w:cs="Sakkal Majalla"/>
          <w:b/>
          <w:bCs/>
          <w:sz w:val="28"/>
          <w:szCs w:val="28"/>
          <w:rtl/>
          <w:lang w:bidi="ar-EG"/>
        </w:rPr>
        <w:t xml:space="preserve">ات: دراسة تطبيقية على مستشفيات الحكومية في المملكة العربية السعودية </w:t>
      </w:r>
    </w:p>
    <w:p w14:paraId="09CBD67B" w14:textId="77777777" w:rsidR="005019F4" w:rsidRPr="005019F4" w:rsidRDefault="005019F4" w:rsidP="005019F4">
      <w:pPr>
        <w:bidi/>
        <w:spacing w:line="360" w:lineRule="auto"/>
        <w:ind w:firstLine="720"/>
        <w:contextualSpacing/>
        <w:jc w:val="both"/>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rtl/>
          <w:lang w:bidi="ar-JO"/>
        </w:rPr>
        <w:t>ويتضمن المتغيرات التالية</w:t>
      </w:r>
      <w:r w:rsidRPr="005019F4">
        <w:rPr>
          <w:rFonts w:ascii="Sakkal Majalla" w:eastAsia="Times New Roman" w:hAnsi="Sakkal Majalla" w:cs="Sakkal Majalla"/>
          <w:sz w:val="28"/>
          <w:szCs w:val="28"/>
          <w:lang w:bidi="ar-JO"/>
        </w:rPr>
        <w:t>:</w:t>
      </w:r>
      <w:r w:rsidRPr="005019F4">
        <w:rPr>
          <w:rFonts w:ascii="Sakkal Majalla" w:eastAsia="Calibri" w:hAnsi="Sakkal Majalla" w:cs="Sakkal Majalla"/>
          <w:sz w:val="28"/>
          <w:szCs w:val="28"/>
          <w:rtl/>
        </w:rPr>
        <w:t xml:space="preserve"> </w:t>
      </w:r>
    </w:p>
    <w:p w14:paraId="6BEFEE05" w14:textId="77777777" w:rsidR="005019F4" w:rsidRPr="005019F4" w:rsidRDefault="005019F4" w:rsidP="00F634A6">
      <w:pPr>
        <w:numPr>
          <w:ilvl w:val="1"/>
          <w:numId w:val="4"/>
        </w:numPr>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b/>
          <w:bCs/>
          <w:sz w:val="28"/>
          <w:szCs w:val="28"/>
          <w:rtl/>
        </w:rPr>
        <w:t>المتغير المستقل</w:t>
      </w:r>
      <w:r w:rsidRPr="005019F4">
        <w:rPr>
          <w:rFonts w:ascii="Sakkal Majalla" w:eastAsia="Calibri" w:hAnsi="Sakkal Majalla" w:cs="Sakkal Majalla"/>
          <w:sz w:val="28"/>
          <w:szCs w:val="28"/>
          <w:rtl/>
        </w:rPr>
        <w:t xml:space="preserve">: </w:t>
      </w:r>
      <w:r w:rsidRPr="005019F4">
        <w:rPr>
          <w:rFonts w:ascii="Sakkal Majalla" w:eastAsia="Calibri" w:hAnsi="Sakkal Majalla" w:cs="Sakkal Majalla"/>
          <w:b/>
          <w:bCs/>
          <w:sz w:val="28"/>
          <w:szCs w:val="28"/>
          <w:rtl/>
          <w:lang w:bidi="ar-EG"/>
        </w:rPr>
        <w:t>إدارة المخاطر</w:t>
      </w:r>
    </w:p>
    <w:p w14:paraId="6E8B1EA3" w14:textId="77777777" w:rsidR="005019F4" w:rsidRPr="005019F4" w:rsidRDefault="005019F4" w:rsidP="00F634A6">
      <w:pPr>
        <w:numPr>
          <w:ilvl w:val="1"/>
          <w:numId w:val="4"/>
        </w:numPr>
        <w:bidi/>
        <w:spacing w:line="360" w:lineRule="auto"/>
        <w:ind w:firstLine="0"/>
        <w:contextualSpacing/>
        <w:jc w:val="both"/>
        <w:rPr>
          <w:rFonts w:ascii="Sakkal Majalla" w:eastAsia="Calibri" w:hAnsi="Sakkal Majalla" w:cs="Sakkal Majalla"/>
          <w:sz w:val="28"/>
          <w:szCs w:val="28"/>
          <w:rtl/>
        </w:rPr>
      </w:pPr>
      <w:r w:rsidRPr="005019F4">
        <w:rPr>
          <w:rFonts w:ascii="Sakkal Majalla" w:eastAsia="Calibri" w:hAnsi="Sakkal Majalla" w:cs="Sakkal Majalla"/>
          <w:b/>
          <w:bCs/>
          <w:sz w:val="28"/>
          <w:szCs w:val="28"/>
          <w:rtl/>
        </w:rPr>
        <w:t xml:space="preserve"> المتغير التابع:</w:t>
      </w:r>
      <w:r w:rsidRPr="005019F4">
        <w:rPr>
          <w:rFonts w:ascii="Sakkal Majalla" w:eastAsia="Times New Roman" w:hAnsi="Sakkal Majalla" w:cs="Sakkal Majalla"/>
          <w:sz w:val="28"/>
          <w:szCs w:val="28"/>
          <w:rtl/>
          <w:lang w:bidi="ar-JO"/>
        </w:rPr>
        <w:t xml:space="preserve"> مكافحة العدوى</w:t>
      </w:r>
    </w:p>
    <w:p w14:paraId="6A2357E9" w14:textId="77777777" w:rsidR="005019F4" w:rsidRPr="005019F4" w:rsidRDefault="005019F4" w:rsidP="005019F4">
      <w:pPr>
        <w:bidi/>
        <w:spacing w:line="360" w:lineRule="auto"/>
        <w:ind w:left="1080"/>
        <w:contextualSpacing/>
        <w:jc w:val="both"/>
        <w:rPr>
          <w:rFonts w:ascii="Sakkal Majalla" w:eastAsia="Calibri" w:hAnsi="Sakkal Majalla" w:cs="Sakkal Majalla"/>
          <w:sz w:val="28"/>
          <w:szCs w:val="28"/>
          <w:rtl/>
        </w:rPr>
      </w:pPr>
    </w:p>
    <w:p w14:paraId="68F079DB" w14:textId="77777777" w:rsidR="005019F4" w:rsidRPr="005019F4" w:rsidRDefault="005019F4" w:rsidP="005019F4">
      <w:pPr>
        <w:bidi/>
        <w:spacing w:line="360" w:lineRule="auto"/>
        <w:ind w:left="2160"/>
        <w:contextualSpacing/>
        <w:jc w:val="both"/>
        <w:rPr>
          <w:rFonts w:ascii="Sakkal Majalla" w:eastAsia="Times New Roman" w:hAnsi="Sakkal Majalla" w:cs="Sakkal Majalla"/>
          <w:sz w:val="28"/>
          <w:szCs w:val="28"/>
          <w:rtl/>
          <w:lang w:bidi="ar-JO"/>
        </w:rPr>
      </w:pPr>
      <w:r w:rsidRPr="005019F4">
        <w:rPr>
          <w:rFonts w:ascii="Sakkal Majalla" w:eastAsia="Calibri" w:hAnsi="Sakkal Majalla" w:cs="Sakkal Majalla"/>
          <w:b/>
          <w:bCs/>
          <w:sz w:val="28"/>
          <w:szCs w:val="28"/>
          <w:rtl/>
        </w:rPr>
        <w:lastRenderedPageBreak/>
        <w:t>الشكل رقم (1) متغيرات الدراسة</w:t>
      </w:r>
      <w:r w:rsidRPr="005019F4">
        <w:rPr>
          <w:rFonts w:ascii="Sakkal Majalla" w:eastAsia="Times New Roman" w:hAnsi="Sakkal Majalla" w:cs="Sakkal Majalla"/>
          <w:sz w:val="28"/>
          <w:szCs w:val="28"/>
          <w:rtl/>
          <w:lang w:bidi="ar-JO"/>
        </w:rPr>
        <w:t xml:space="preserve"> </w:t>
      </w:r>
    </w:p>
    <w:p w14:paraId="6C7FBC32" w14:textId="77777777" w:rsidR="005019F4" w:rsidRPr="005019F4" w:rsidRDefault="005019F4" w:rsidP="005019F4">
      <w:pPr>
        <w:tabs>
          <w:tab w:val="left" w:pos="2493"/>
        </w:tabs>
        <w:bidi/>
        <w:spacing w:line="360" w:lineRule="auto"/>
        <w:jc w:val="both"/>
        <w:rPr>
          <w:rFonts w:ascii="Sakkal Majalla" w:eastAsia="Calibri" w:hAnsi="Sakkal Majalla" w:cs="Sakkal Majalla"/>
          <w:sz w:val="28"/>
          <w:szCs w:val="28"/>
        </w:rPr>
        <w:sectPr w:rsidR="005019F4" w:rsidRPr="005019F4" w:rsidSect="005019F4">
          <w:pgSz w:w="12240" w:h="15840"/>
          <w:pgMar w:top="940" w:right="800" w:bottom="280" w:left="520" w:header="759" w:footer="0" w:gutter="0"/>
          <w:cols w:space="720"/>
        </w:sectPr>
      </w:pPr>
      <w:r w:rsidRPr="005019F4">
        <w:rPr>
          <w:rFonts w:ascii="Sakkal Majalla" w:eastAsia="Calibri" w:hAnsi="Sakkal Majalla" w:cs="Sakkal Majalla"/>
          <w:noProof/>
          <w:sz w:val="28"/>
          <w:szCs w:val="28"/>
          <w:rtl/>
        </w:rPr>
        <w:drawing>
          <wp:inline distT="0" distB="0" distL="0" distR="0" wp14:anchorId="50CF2EFE" wp14:editId="374AB8B1">
            <wp:extent cx="6726950" cy="4412512"/>
            <wp:effectExtent l="0" t="0" r="0" b="7620"/>
            <wp:docPr id="79995234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952344" name=""/>
                    <pic:cNvPicPr/>
                  </pic:nvPicPr>
                  <pic:blipFill>
                    <a:blip r:embed="rId9"/>
                    <a:stretch>
                      <a:fillRect/>
                    </a:stretch>
                  </pic:blipFill>
                  <pic:spPr>
                    <a:xfrm>
                      <a:off x="0" y="0"/>
                      <a:ext cx="6736127" cy="4418532"/>
                    </a:xfrm>
                    <a:prstGeom prst="rect">
                      <a:avLst/>
                    </a:prstGeom>
                  </pic:spPr>
                </pic:pic>
              </a:graphicData>
            </a:graphic>
          </wp:inline>
        </w:drawing>
      </w:r>
    </w:p>
    <w:p w14:paraId="7B63AABE"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lang w:bidi="ar-EG"/>
        </w:rPr>
      </w:pPr>
      <w:bookmarkStart w:id="18" w:name="_Toc143987407"/>
      <w:r w:rsidRPr="005019F4">
        <w:rPr>
          <w:rFonts w:ascii="Sakkal Majalla" w:eastAsia="Times New Roman" w:hAnsi="Sakkal Majalla" w:cs="Sakkal Majalla"/>
          <w:b/>
          <w:bCs/>
          <w:sz w:val="32"/>
          <w:szCs w:val="32"/>
          <w:rtl/>
          <w:lang w:bidi="ar-EG"/>
        </w:rPr>
        <w:lastRenderedPageBreak/>
        <w:t>8.1 أسباب اختيار الموضوع</w:t>
      </w:r>
      <w:bookmarkEnd w:id="18"/>
      <w:r w:rsidRPr="005019F4">
        <w:rPr>
          <w:rFonts w:ascii="Sakkal Majalla" w:eastAsia="Times New Roman" w:hAnsi="Sakkal Majalla" w:cs="Sakkal Majalla"/>
          <w:b/>
          <w:bCs/>
          <w:sz w:val="32"/>
          <w:szCs w:val="32"/>
          <w:rtl/>
          <w:lang w:bidi="ar-EG"/>
        </w:rPr>
        <w:t xml:space="preserve"> </w:t>
      </w:r>
    </w:p>
    <w:p w14:paraId="399A4079" w14:textId="77777777" w:rsidR="005019F4" w:rsidRPr="005019F4" w:rsidRDefault="005019F4" w:rsidP="00F634A6">
      <w:pPr>
        <w:keepNext/>
        <w:keepLines/>
        <w:numPr>
          <w:ilvl w:val="0"/>
          <w:numId w:val="11"/>
        </w:numPr>
        <w:bidi/>
        <w:spacing w:before="40" w:after="0" w:line="360" w:lineRule="auto"/>
        <w:jc w:val="both"/>
        <w:outlineLvl w:val="1"/>
        <w:rPr>
          <w:rFonts w:ascii="Sakkal Majalla" w:eastAsia="Times New Roman" w:hAnsi="Sakkal Majalla" w:cs="Sakkal Majalla"/>
          <w:sz w:val="28"/>
          <w:szCs w:val="28"/>
          <w:lang w:bidi="ar-JO"/>
        </w:rPr>
      </w:pPr>
      <w:bookmarkStart w:id="19" w:name="_Toc143987408"/>
      <w:r w:rsidRPr="005019F4">
        <w:rPr>
          <w:rFonts w:ascii="Sakkal Majalla" w:eastAsia="Times New Roman" w:hAnsi="Sakkal Majalla" w:cs="Sakkal Majalla"/>
          <w:sz w:val="28"/>
          <w:szCs w:val="28"/>
          <w:rtl/>
        </w:rPr>
        <w:t>ارتفاع معدلات العدوى المكتسبة داخل المستشفيات الحكومية في السعودية</w:t>
      </w:r>
    </w:p>
    <w:p w14:paraId="6DA828C3" w14:textId="77777777" w:rsidR="005019F4" w:rsidRPr="005019F4" w:rsidRDefault="005019F4" w:rsidP="00F634A6">
      <w:pPr>
        <w:keepNext/>
        <w:keepLines/>
        <w:numPr>
          <w:ilvl w:val="0"/>
          <w:numId w:val="11"/>
        </w:numPr>
        <w:bidi/>
        <w:spacing w:before="40" w:after="0" w:line="360" w:lineRule="auto"/>
        <w:jc w:val="both"/>
        <w:outlineLvl w:val="1"/>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rtl/>
        </w:rPr>
        <w:t>وجود فجوة بحثية تطبيقية تجمع بين إدارة المخاطر ومكافحة العدوى في السياق المحلي</w:t>
      </w:r>
    </w:p>
    <w:p w14:paraId="6730B3A1" w14:textId="77777777" w:rsidR="005019F4" w:rsidRPr="005019F4" w:rsidRDefault="005019F4" w:rsidP="00F634A6">
      <w:pPr>
        <w:keepNext/>
        <w:keepLines/>
        <w:numPr>
          <w:ilvl w:val="0"/>
          <w:numId w:val="11"/>
        </w:numPr>
        <w:bidi/>
        <w:spacing w:before="40" w:after="0" w:line="360" w:lineRule="auto"/>
        <w:jc w:val="both"/>
        <w:outlineLvl w:val="1"/>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rtl/>
        </w:rPr>
        <w:t>ارتباط موضوع الدراسة بتحقيق أهداف رؤية المملكة 2030 في تطوير القطاع الصحي</w:t>
      </w:r>
    </w:p>
    <w:p w14:paraId="52680BD1" w14:textId="77777777" w:rsidR="005019F4" w:rsidRPr="005019F4" w:rsidRDefault="005019F4" w:rsidP="00F634A6">
      <w:pPr>
        <w:keepNext/>
        <w:keepLines/>
        <w:numPr>
          <w:ilvl w:val="0"/>
          <w:numId w:val="11"/>
        </w:numPr>
        <w:bidi/>
        <w:spacing w:before="40" w:after="0" w:line="360" w:lineRule="auto"/>
        <w:jc w:val="both"/>
        <w:outlineLvl w:val="1"/>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rtl/>
        </w:rPr>
        <w:t>الكلفة الاقتصادية والصحية العالية للعدوى المستشفوية على المستشفيات والمرضى</w:t>
      </w:r>
    </w:p>
    <w:p w14:paraId="7C9A3314" w14:textId="77777777" w:rsidR="005019F4" w:rsidRPr="005019F4" w:rsidRDefault="005019F4" w:rsidP="00F634A6">
      <w:pPr>
        <w:keepNext/>
        <w:keepLines/>
        <w:numPr>
          <w:ilvl w:val="0"/>
          <w:numId w:val="11"/>
        </w:numPr>
        <w:bidi/>
        <w:spacing w:before="40" w:after="0" w:line="360" w:lineRule="auto"/>
        <w:jc w:val="both"/>
        <w:outlineLvl w:val="1"/>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rtl/>
        </w:rPr>
        <w:t>الاستفادة من الدروس العالمية المكتسبة خلال جائحة كوفيد-19 وأوبئة سابقة</w:t>
      </w:r>
    </w:p>
    <w:p w14:paraId="42A68485" w14:textId="77777777" w:rsidR="005019F4" w:rsidRPr="005019F4" w:rsidRDefault="005019F4" w:rsidP="00F634A6">
      <w:pPr>
        <w:keepNext/>
        <w:keepLines/>
        <w:numPr>
          <w:ilvl w:val="0"/>
          <w:numId w:val="11"/>
        </w:numPr>
        <w:bidi/>
        <w:spacing w:before="40" w:after="0" w:line="360" w:lineRule="auto"/>
        <w:jc w:val="both"/>
        <w:outlineLvl w:val="1"/>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rtl/>
        </w:rPr>
        <w:t>حاجة تعزيز ثقافة السلامة والجودة المؤسسية بين الكوادر الطبية والفنية</w:t>
      </w:r>
    </w:p>
    <w:p w14:paraId="0936BEB5" w14:textId="77777777" w:rsidR="005019F4" w:rsidRPr="005019F4" w:rsidRDefault="005019F4" w:rsidP="00F634A6">
      <w:pPr>
        <w:keepNext/>
        <w:keepLines/>
        <w:numPr>
          <w:ilvl w:val="0"/>
          <w:numId w:val="11"/>
        </w:numPr>
        <w:bidi/>
        <w:spacing w:before="40" w:after="0" w:line="360" w:lineRule="auto"/>
        <w:jc w:val="both"/>
        <w:outlineLvl w:val="1"/>
        <w:rPr>
          <w:rFonts w:ascii="Sakkal Majalla" w:eastAsia="Times New Roman" w:hAnsi="Sakkal Majalla" w:cs="Sakkal Majalla"/>
          <w:sz w:val="28"/>
          <w:szCs w:val="28"/>
          <w:lang w:bidi="ar-JO"/>
        </w:rPr>
      </w:pPr>
      <w:r w:rsidRPr="005019F4">
        <w:rPr>
          <w:rFonts w:ascii="Sakkal Majalla" w:eastAsia="Times New Roman" w:hAnsi="Sakkal Majalla" w:cs="Sakkal Majalla"/>
          <w:sz w:val="28"/>
          <w:szCs w:val="28"/>
          <w:rtl/>
        </w:rPr>
        <w:t>إمكانية تعميم النموذج التطبيقي المقترح على مختلف المنشآت الصحية محليًا وإقليميًا</w:t>
      </w:r>
    </w:p>
    <w:p w14:paraId="143ED7CF"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sz w:val="28"/>
          <w:szCs w:val="28"/>
          <w:rtl/>
          <w:lang w:bidi="ar-JO"/>
        </w:rPr>
      </w:pPr>
    </w:p>
    <w:p w14:paraId="49E9E090"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r w:rsidRPr="005019F4">
        <w:rPr>
          <w:rFonts w:ascii="Sakkal Majalla" w:eastAsia="Times New Roman" w:hAnsi="Sakkal Majalla" w:cs="Sakkal Majalla"/>
          <w:b/>
          <w:bCs/>
          <w:sz w:val="32"/>
          <w:szCs w:val="32"/>
          <w:rtl/>
          <w:lang w:bidi="ar-EG"/>
        </w:rPr>
        <w:t>9.1</w:t>
      </w:r>
      <w:bookmarkEnd w:id="19"/>
      <w:r w:rsidRPr="005019F4">
        <w:rPr>
          <w:rFonts w:ascii="Sakkal Majalla" w:eastAsia="Times New Roman" w:hAnsi="Sakkal Majalla" w:cs="Sakkal Majalla"/>
          <w:b/>
          <w:bCs/>
          <w:sz w:val="32"/>
          <w:szCs w:val="32"/>
          <w:rtl/>
          <w:lang w:bidi="ar-EG"/>
        </w:rPr>
        <w:t>المنهجية:</w:t>
      </w:r>
    </w:p>
    <w:p w14:paraId="2C58CF47" w14:textId="2469FB8C" w:rsidR="005019F4" w:rsidRPr="005019F4" w:rsidRDefault="005019F4" w:rsidP="005019F4">
      <w:pPr>
        <w:bidi/>
        <w:spacing w:line="360" w:lineRule="auto"/>
        <w:ind w:left="720" w:firstLine="720"/>
        <w:jc w:val="both"/>
        <w:rPr>
          <w:rFonts w:ascii="Sakkal Majalla" w:eastAsia="Calibri" w:hAnsi="Sakkal Majalla" w:cs="Sakkal Majalla"/>
          <w:b/>
          <w:bCs/>
          <w:sz w:val="28"/>
          <w:szCs w:val="28"/>
          <w:rtl/>
          <w:lang w:bidi="ar-EG"/>
        </w:rPr>
      </w:pPr>
      <w:r w:rsidRPr="005019F4">
        <w:rPr>
          <w:rFonts w:ascii="Sakkal Majalla" w:eastAsia="Calibri" w:hAnsi="Sakkal Majalla" w:cs="Sakkal Majalla"/>
          <w:sz w:val="28"/>
          <w:szCs w:val="28"/>
          <w:rtl/>
        </w:rPr>
        <w:t xml:space="preserve">نظرا لطبيعة الدراسة التي تهدف إلى التعرف </w:t>
      </w:r>
      <w:bookmarkStart w:id="20" w:name="_Hlk203277246"/>
      <w:r w:rsidRPr="005019F4">
        <w:rPr>
          <w:rFonts w:ascii="Sakkal Majalla" w:eastAsia="Calibri" w:hAnsi="Sakkal Majalla" w:cs="Sakkal Majalla"/>
          <w:b/>
          <w:bCs/>
          <w:sz w:val="28"/>
          <w:szCs w:val="28"/>
          <w:rtl/>
          <w:lang w:bidi="ar-EG"/>
        </w:rPr>
        <w:t xml:space="preserve">تأثير تطبيق برنامج </w:t>
      </w:r>
      <w:bookmarkStart w:id="21" w:name="_Hlk203277265"/>
      <w:r w:rsidRPr="005019F4">
        <w:rPr>
          <w:rFonts w:ascii="Sakkal Majalla" w:eastAsia="Calibri" w:hAnsi="Sakkal Majalla" w:cs="Sakkal Majalla"/>
          <w:b/>
          <w:bCs/>
          <w:sz w:val="28"/>
          <w:szCs w:val="28"/>
          <w:rtl/>
          <w:lang w:bidi="ar-EG"/>
        </w:rPr>
        <w:t xml:space="preserve">إدارة المخاطر </w:t>
      </w:r>
      <w:bookmarkEnd w:id="21"/>
      <w:r w:rsidRPr="005019F4">
        <w:rPr>
          <w:rFonts w:ascii="Sakkal Majalla" w:eastAsia="Calibri" w:hAnsi="Sakkal Majalla" w:cs="Sakkal Majalla"/>
          <w:b/>
          <w:bCs/>
          <w:sz w:val="28"/>
          <w:szCs w:val="28"/>
          <w:rtl/>
          <w:lang w:bidi="ar-EG"/>
        </w:rPr>
        <w:t>على مكافحة العدوى داخل المستشف</w:t>
      </w:r>
      <w:r w:rsidR="005D141B">
        <w:rPr>
          <w:rFonts w:ascii="Sakkal Majalla" w:eastAsia="Calibri" w:hAnsi="Sakkal Majalla" w:cs="Sakkal Majalla" w:hint="cs"/>
          <w:b/>
          <w:bCs/>
          <w:sz w:val="28"/>
          <w:szCs w:val="28"/>
          <w:rtl/>
          <w:lang w:bidi="ar-EG"/>
        </w:rPr>
        <w:t>يا</w:t>
      </w:r>
      <w:r w:rsidRPr="005019F4">
        <w:rPr>
          <w:rFonts w:ascii="Sakkal Majalla" w:eastAsia="Calibri" w:hAnsi="Sakkal Majalla" w:cs="Sakkal Majalla"/>
          <w:b/>
          <w:bCs/>
          <w:sz w:val="28"/>
          <w:szCs w:val="28"/>
          <w:rtl/>
          <w:lang w:bidi="ar-EG"/>
        </w:rPr>
        <w:t xml:space="preserve">ت: دراسة تطبيقية على مستشفيات الحكومية في المملكة العربية السعودية </w:t>
      </w:r>
      <w:bookmarkEnd w:id="20"/>
      <w:r w:rsidRPr="005019F4">
        <w:rPr>
          <w:rFonts w:ascii="Sakkal Majalla" w:eastAsia="Calibri" w:hAnsi="Sakkal Majalla" w:cs="Sakkal Majalla"/>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w:t>
      </w:r>
      <w:r w:rsidRPr="005019F4">
        <w:rPr>
          <w:rFonts w:ascii="Sakkal Majalla" w:eastAsia="Calibri" w:hAnsi="Sakkal Majalla" w:cs="Sakkal Majalla" w:hint="cs"/>
          <w:sz w:val="28"/>
          <w:szCs w:val="28"/>
          <w:rtl/>
        </w:rPr>
        <w:t>ويعمل</w:t>
      </w:r>
      <w:r w:rsidRPr="005019F4">
        <w:rPr>
          <w:rFonts w:ascii="Sakkal Majalla" w:eastAsia="Calibri" w:hAnsi="Sakkal Majalla" w:cs="Sakkal Majalla"/>
          <w:sz w:val="28"/>
          <w:szCs w:val="28"/>
          <w:rtl/>
        </w:rPr>
        <w:t xml:space="preserve"> على تفسيرها ثم إصدار الأحكام المناسبة .</w:t>
      </w:r>
    </w:p>
    <w:p w14:paraId="66149DE6" w14:textId="77777777" w:rsidR="005019F4" w:rsidRPr="005019F4" w:rsidRDefault="005019F4" w:rsidP="005019F4">
      <w:pPr>
        <w:bidi/>
        <w:spacing w:line="360" w:lineRule="auto"/>
        <w:ind w:left="720"/>
        <w:contextualSpacing/>
        <w:jc w:val="both"/>
        <w:rPr>
          <w:rFonts w:ascii="Sakkal Majalla" w:eastAsia="Calibri" w:hAnsi="Sakkal Majalla" w:cs="Sakkal Majalla"/>
          <w:b/>
          <w:bCs/>
          <w:sz w:val="32"/>
          <w:szCs w:val="32"/>
          <w:rtl/>
        </w:rPr>
      </w:pPr>
      <w:r w:rsidRPr="005019F4">
        <w:rPr>
          <w:rFonts w:ascii="Sakkal Majalla" w:eastAsia="Calibri" w:hAnsi="Sakkal Majalla" w:cs="Sakkal Majalla"/>
          <w:b/>
          <w:bCs/>
          <w:sz w:val="32"/>
          <w:szCs w:val="32"/>
          <w:rtl/>
        </w:rPr>
        <w:t>مصادر البيانات :</w:t>
      </w:r>
    </w:p>
    <w:p w14:paraId="3FFA68DB" w14:textId="77777777" w:rsidR="005019F4" w:rsidRPr="005019F4" w:rsidRDefault="005019F4" w:rsidP="005019F4">
      <w:pPr>
        <w:bidi/>
        <w:spacing w:line="360" w:lineRule="auto"/>
        <w:ind w:firstLine="720"/>
        <w:jc w:val="both"/>
        <w:rPr>
          <w:rFonts w:ascii="Sakkal Majalla" w:eastAsia="Calibri" w:hAnsi="Sakkal Majalla" w:cs="Sakkal Majalla"/>
          <w:sz w:val="28"/>
          <w:szCs w:val="28"/>
          <w:rtl/>
        </w:rPr>
      </w:pPr>
      <w:r w:rsidRPr="005019F4">
        <w:rPr>
          <w:rFonts w:ascii="Sakkal Majalla" w:eastAsia="Calibri" w:hAnsi="Sakkal Majalla" w:cs="Sakkal Majalla"/>
          <w:sz w:val="28"/>
          <w:szCs w:val="28"/>
          <w:rtl/>
        </w:rPr>
        <w:t>اعتمدت الدراسة على المصادر التالية في جمع البيانات والمعلومات:</w:t>
      </w:r>
    </w:p>
    <w:p w14:paraId="04956D68" w14:textId="77777777" w:rsidR="005019F4" w:rsidRPr="005019F4" w:rsidRDefault="005019F4" w:rsidP="00F634A6">
      <w:pPr>
        <w:numPr>
          <w:ilvl w:val="0"/>
          <w:numId w:val="5"/>
        </w:numPr>
        <w:bidi/>
        <w:spacing w:line="360" w:lineRule="auto"/>
        <w:contextualSpacing/>
        <w:jc w:val="both"/>
        <w:rPr>
          <w:rFonts w:ascii="Sakkal Majalla" w:eastAsia="Calibri" w:hAnsi="Sakkal Majalla" w:cs="Sakkal Majalla"/>
          <w:sz w:val="28"/>
          <w:szCs w:val="28"/>
          <w:rtl/>
        </w:rPr>
      </w:pPr>
      <w:r w:rsidRPr="005019F4">
        <w:rPr>
          <w:rFonts w:ascii="Sakkal Majalla" w:eastAsia="Calibri" w:hAnsi="Sakkal Majalla" w:cs="Sakkal Majalla"/>
          <w:b/>
          <w:bCs/>
          <w:sz w:val="28"/>
          <w:szCs w:val="28"/>
          <w:rtl/>
        </w:rPr>
        <w:t>المصادر الثانوية</w:t>
      </w:r>
      <w:r w:rsidRPr="005019F4">
        <w:rPr>
          <w:rFonts w:ascii="Sakkal Majalla" w:eastAsia="Calibri"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392EC12" w14:textId="02855108" w:rsidR="005019F4" w:rsidRPr="005019F4" w:rsidRDefault="005019F4" w:rsidP="00F634A6">
      <w:pPr>
        <w:numPr>
          <w:ilvl w:val="0"/>
          <w:numId w:val="5"/>
        </w:numPr>
        <w:bidi/>
        <w:spacing w:line="360" w:lineRule="auto"/>
        <w:contextualSpacing/>
        <w:jc w:val="both"/>
        <w:rPr>
          <w:rFonts w:ascii="Sakkal Majalla" w:eastAsia="Calibri" w:hAnsi="Sakkal Majalla" w:cs="Sakkal Majalla"/>
          <w:b/>
          <w:bCs/>
          <w:sz w:val="28"/>
          <w:szCs w:val="28"/>
          <w:rtl/>
          <w:lang w:bidi="ar-EG"/>
        </w:rPr>
      </w:pPr>
      <w:r w:rsidRPr="005019F4">
        <w:rPr>
          <w:rFonts w:ascii="Sakkal Majalla" w:eastAsia="Calibri" w:hAnsi="Sakkal Majalla" w:cs="Sakkal Majalla"/>
          <w:b/>
          <w:bCs/>
          <w:sz w:val="28"/>
          <w:szCs w:val="28"/>
          <w:rtl/>
        </w:rPr>
        <w:lastRenderedPageBreak/>
        <w:t>المصادر الأولية</w:t>
      </w:r>
      <w:r w:rsidRPr="005019F4">
        <w:rPr>
          <w:rFonts w:ascii="Sakkal Majalla" w:eastAsia="Calibri"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5019F4">
        <w:rPr>
          <w:rFonts w:ascii="Sakkal Majalla" w:eastAsia="Calibri" w:hAnsi="Sakkal Majalla" w:cs="Sakkal Majalla" w:hint="cs"/>
          <w:sz w:val="28"/>
          <w:szCs w:val="28"/>
          <w:rtl/>
        </w:rPr>
        <w:t>على تأثير</w:t>
      </w:r>
      <w:r w:rsidRPr="005019F4">
        <w:rPr>
          <w:rFonts w:ascii="Sakkal Majalla" w:eastAsia="Calibri" w:hAnsi="Sakkal Majalla" w:cs="Sakkal Majalla"/>
          <w:b/>
          <w:bCs/>
          <w:sz w:val="28"/>
          <w:szCs w:val="28"/>
          <w:rtl/>
          <w:lang w:bidi="ar-EG"/>
        </w:rPr>
        <w:t xml:space="preserve"> تطبيق برنامج إدارة المخاطر على مكافحة العدوى داخل المستشف</w:t>
      </w:r>
      <w:r w:rsidR="005D141B">
        <w:rPr>
          <w:rFonts w:ascii="Sakkal Majalla" w:eastAsia="Calibri" w:hAnsi="Sakkal Majalla" w:cs="Sakkal Majalla" w:hint="cs"/>
          <w:b/>
          <w:bCs/>
          <w:sz w:val="28"/>
          <w:szCs w:val="28"/>
          <w:rtl/>
          <w:lang w:bidi="ar-EG"/>
        </w:rPr>
        <w:t>ي</w:t>
      </w:r>
      <w:r w:rsidRPr="005019F4">
        <w:rPr>
          <w:rFonts w:ascii="Sakkal Majalla" w:eastAsia="Calibri" w:hAnsi="Sakkal Majalla" w:cs="Sakkal Majalla"/>
          <w:b/>
          <w:bCs/>
          <w:sz w:val="28"/>
          <w:szCs w:val="28"/>
          <w:rtl/>
          <w:lang w:bidi="ar-EG"/>
        </w:rPr>
        <w:t xml:space="preserve">ات: دراسة تطبيقية على مستشفيات الحكومية في المملكة العربية السعودية </w:t>
      </w:r>
    </w:p>
    <w:p w14:paraId="66775EB4" w14:textId="77777777" w:rsidR="005019F4" w:rsidRPr="005019F4" w:rsidRDefault="005019F4" w:rsidP="005019F4">
      <w:pPr>
        <w:bidi/>
        <w:spacing w:line="360" w:lineRule="auto"/>
        <w:ind w:left="1440"/>
        <w:contextualSpacing/>
        <w:jc w:val="both"/>
        <w:rPr>
          <w:rFonts w:ascii="Sakkal Majalla" w:eastAsia="Calibri" w:hAnsi="Sakkal Majalla" w:cs="Sakkal Majalla"/>
          <w:b/>
          <w:bCs/>
          <w:sz w:val="28"/>
          <w:szCs w:val="28"/>
        </w:rPr>
      </w:pPr>
    </w:p>
    <w:p w14:paraId="0C791C73" w14:textId="77777777" w:rsidR="005019F4" w:rsidRPr="005019F4" w:rsidRDefault="005019F4" w:rsidP="005019F4">
      <w:pPr>
        <w:bidi/>
        <w:spacing w:line="360" w:lineRule="auto"/>
        <w:ind w:left="720"/>
        <w:contextualSpacing/>
        <w:jc w:val="both"/>
        <w:rPr>
          <w:rFonts w:ascii="Sakkal Majalla" w:eastAsia="Calibri" w:hAnsi="Sakkal Majalla" w:cs="Sakkal Majalla"/>
          <w:b/>
          <w:bCs/>
          <w:sz w:val="32"/>
          <w:szCs w:val="32"/>
          <w:rtl/>
        </w:rPr>
      </w:pPr>
      <w:r w:rsidRPr="005019F4">
        <w:rPr>
          <w:rFonts w:ascii="Sakkal Majalla" w:eastAsia="Calibri" w:hAnsi="Sakkal Majalla" w:cs="Sakkal Majalla"/>
          <w:b/>
          <w:bCs/>
          <w:sz w:val="32"/>
          <w:szCs w:val="32"/>
          <w:rtl/>
        </w:rPr>
        <w:t>أدوات الدراسة:</w:t>
      </w:r>
    </w:p>
    <w:p w14:paraId="1D452153" w14:textId="77777777" w:rsidR="005019F4" w:rsidRPr="005019F4" w:rsidRDefault="005019F4" w:rsidP="005019F4">
      <w:pPr>
        <w:bidi/>
        <w:spacing w:line="360" w:lineRule="auto"/>
        <w:ind w:left="862" w:firstLine="720"/>
        <w:jc w:val="both"/>
        <w:rPr>
          <w:rFonts w:ascii="Sakkal Majalla" w:eastAsia="Calibri" w:hAnsi="Sakkal Majalla" w:cs="Sakkal Majalla"/>
          <w:sz w:val="28"/>
          <w:szCs w:val="28"/>
          <w:rtl/>
        </w:rPr>
      </w:pPr>
      <w:r w:rsidRPr="005019F4">
        <w:rPr>
          <w:rFonts w:ascii="Sakkal Majalla" w:eastAsia="Calibri"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01C33D0" w14:textId="77777777" w:rsidR="005019F4" w:rsidRPr="005019F4" w:rsidRDefault="005019F4" w:rsidP="00F634A6">
      <w:pPr>
        <w:numPr>
          <w:ilvl w:val="0"/>
          <w:numId w:val="3"/>
        </w:numPr>
        <w:bidi/>
        <w:spacing w:line="360" w:lineRule="auto"/>
        <w:contextualSpacing/>
        <w:jc w:val="both"/>
        <w:rPr>
          <w:rFonts w:ascii="Sakkal Majalla" w:eastAsia="Calibri" w:hAnsi="Sakkal Majalla" w:cs="Sakkal Majalla"/>
          <w:sz w:val="28"/>
          <w:szCs w:val="28"/>
          <w:rtl/>
        </w:rPr>
      </w:pPr>
      <w:r w:rsidRPr="005019F4">
        <w:rPr>
          <w:rFonts w:ascii="Sakkal Majalla" w:eastAsia="Calibri" w:hAnsi="Sakkal Majalla" w:cs="Sakkal Majalla"/>
          <w:b/>
          <w:bCs/>
          <w:sz w:val="28"/>
          <w:szCs w:val="28"/>
          <w:rtl/>
        </w:rPr>
        <w:t>القسم الأول:</w:t>
      </w:r>
      <w:r w:rsidRPr="005019F4">
        <w:rPr>
          <w:rFonts w:ascii="Sakkal Majalla" w:eastAsia="Calibri" w:hAnsi="Sakkal Majalla" w:cs="Sakkal Majalla"/>
          <w:sz w:val="28"/>
          <w:szCs w:val="28"/>
          <w:rtl/>
        </w:rPr>
        <w:t xml:space="preserve"> وهو الجزء الخاص بالمتغيرات الديمغرافية لأفراد عينة الدراسة من العاملين في المستشفيات في المملكة العربية السعودية، والمتمثلة بـ: النوع الاجتماعي، والعمر، والمؤهل العلمي، والوضع المهني، والدخل الشهري.</w:t>
      </w:r>
    </w:p>
    <w:p w14:paraId="54FC710D" w14:textId="77777777" w:rsidR="005019F4" w:rsidRPr="005019F4" w:rsidRDefault="005019F4" w:rsidP="00F634A6">
      <w:pPr>
        <w:numPr>
          <w:ilvl w:val="0"/>
          <w:numId w:val="3"/>
        </w:numPr>
        <w:bidi/>
        <w:spacing w:line="360" w:lineRule="auto"/>
        <w:contextualSpacing/>
        <w:jc w:val="both"/>
        <w:rPr>
          <w:rFonts w:ascii="Sakkal Majalla" w:eastAsia="Calibri" w:hAnsi="Sakkal Majalla" w:cs="Sakkal Majalla"/>
          <w:sz w:val="28"/>
          <w:szCs w:val="28"/>
          <w:rtl/>
        </w:rPr>
      </w:pPr>
      <w:r w:rsidRPr="005019F4">
        <w:rPr>
          <w:rFonts w:ascii="Sakkal Majalla" w:eastAsia="Calibri" w:hAnsi="Sakkal Majalla" w:cs="Sakkal Majalla"/>
          <w:b/>
          <w:bCs/>
          <w:sz w:val="28"/>
          <w:szCs w:val="28"/>
          <w:rtl/>
        </w:rPr>
        <w:t>القسم الثاني</w:t>
      </w:r>
      <w:r w:rsidRPr="005019F4">
        <w:rPr>
          <w:rFonts w:ascii="Sakkal Majalla" w:eastAsia="Calibri" w:hAnsi="Sakkal Majalla" w:cs="Sakkal Majalla"/>
          <w:sz w:val="28"/>
          <w:szCs w:val="28"/>
          <w:rtl/>
        </w:rPr>
        <w:t>: اشتمل القسم الثاني على الفقرات والأبعاد التي تقيس متغيرات الدراسة المستقل والتابع.</w:t>
      </w:r>
    </w:p>
    <w:p w14:paraId="7389EC4B"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22" w:name="_Toc143987409"/>
      <w:r w:rsidRPr="005019F4">
        <w:rPr>
          <w:rFonts w:ascii="Sakkal Majalla" w:eastAsia="Times New Roman" w:hAnsi="Sakkal Majalla" w:cs="Sakkal Majalla"/>
          <w:b/>
          <w:bCs/>
          <w:sz w:val="32"/>
          <w:szCs w:val="32"/>
          <w:rtl/>
          <w:lang w:bidi="ar-EG"/>
        </w:rPr>
        <w:t>10.1حدود الدراسة</w:t>
      </w:r>
      <w:bookmarkEnd w:id="22"/>
      <w:r w:rsidRPr="005019F4">
        <w:rPr>
          <w:rFonts w:ascii="Sakkal Majalla" w:eastAsia="Times New Roman" w:hAnsi="Sakkal Majalla" w:cs="Sakkal Majalla"/>
          <w:b/>
          <w:bCs/>
          <w:sz w:val="32"/>
          <w:szCs w:val="32"/>
          <w:rtl/>
          <w:lang w:bidi="ar-EG"/>
        </w:rPr>
        <w:t xml:space="preserve"> </w:t>
      </w:r>
    </w:p>
    <w:p w14:paraId="0D3AE90B" w14:textId="206B04E9" w:rsidR="005019F4" w:rsidRPr="005019F4" w:rsidRDefault="005019F4" w:rsidP="00F634A6">
      <w:pPr>
        <w:numPr>
          <w:ilvl w:val="0"/>
          <w:numId w:val="1"/>
        </w:numPr>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b/>
          <w:bCs/>
          <w:sz w:val="28"/>
          <w:szCs w:val="28"/>
          <w:rtl/>
        </w:rPr>
        <w:t>حدود موضوعية</w:t>
      </w:r>
      <w:r w:rsidRPr="005019F4">
        <w:rPr>
          <w:rFonts w:ascii="Sakkal Majalla" w:eastAsia="Calibri" w:hAnsi="Sakkal Majalla" w:cs="Sakkal Majalla"/>
          <w:b/>
          <w:bCs/>
          <w:sz w:val="28"/>
          <w:szCs w:val="28"/>
        </w:rPr>
        <w:t>:</w:t>
      </w:r>
      <w:r w:rsidRPr="005019F4">
        <w:rPr>
          <w:rFonts w:ascii="Sakkal Majalla" w:eastAsia="Calibri" w:hAnsi="Sakkal Majalla" w:cs="Sakkal Majalla"/>
          <w:sz w:val="28"/>
          <w:szCs w:val="28"/>
        </w:rPr>
        <w:t xml:space="preserve"> </w:t>
      </w:r>
      <w:r w:rsidRPr="005019F4">
        <w:rPr>
          <w:rFonts w:ascii="Sakkal Majalla" w:eastAsia="Calibri" w:hAnsi="Sakkal Majalla" w:cs="Sakkal Majalla"/>
          <w:sz w:val="28"/>
          <w:szCs w:val="28"/>
          <w:rtl/>
        </w:rPr>
        <w:t>قامت الدراسة بقياس تأثير تطبيق برنامج إدارة المخاطر على مكافحة العدوى داخل المستشف</w:t>
      </w:r>
      <w:r w:rsidR="005D141B">
        <w:rPr>
          <w:rFonts w:ascii="Sakkal Majalla" w:eastAsia="Calibri" w:hAnsi="Sakkal Majalla" w:cs="Sakkal Majalla" w:hint="cs"/>
          <w:sz w:val="28"/>
          <w:szCs w:val="28"/>
          <w:rtl/>
        </w:rPr>
        <w:t>ي</w:t>
      </w:r>
      <w:r w:rsidRPr="005019F4">
        <w:rPr>
          <w:rFonts w:ascii="Sakkal Majalla" w:eastAsia="Calibri" w:hAnsi="Sakkal Majalla" w:cs="Sakkal Majalla"/>
          <w:sz w:val="28"/>
          <w:szCs w:val="28"/>
          <w:rtl/>
        </w:rPr>
        <w:t>ات: دراسة تطبيقية على مستشفيات الحكومية في المملكة العربية السعودية</w:t>
      </w:r>
    </w:p>
    <w:p w14:paraId="280AFEC6" w14:textId="77777777" w:rsidR="005019F4" w:rsidRPr="005019F4" w:rsidRDefault="005019F4" w:rsidP="00F634A6">
      <w:pPr>
        <w:numPr>
          <w:ilvl w:val="0"/>
          <w:numId w:val="1"/>
        </w:numPr>
        <w:bidi/>
        <w:spacing w:line="360" w:lineRule="auto"/>
        <w:contextualSpacing/>
        <w:jc w:val="both"/>
        <w:rPr>
          <w:rFonts w:ascii="Sakkal Majalla" w:eastAsia="Calibri" w:hAnsi="Sakkal Majalla" w:cs="Sakkal Majalla"/>
          <w:sz w:val="28"/>
          <w:szCs w:val="28"/>
          <w:rtl/>
        </w:rPr>
      </w:pPr>
      <w:r w:rsidRPr="005019F4">
        <w:rPr>
          <w:rFonts w:ascii="Sakkal Majalla" w:eastAsia="Calibri" w:hAnsi="Sakkal Majalla" w:cs="Sakkal Majalla"/>
          <w:b/>
          <w:bCs/>
          <w:sz w:val="28"/>
          <w:szCs w:val="28"/>
          <w:rtl/>
        </w:rPr>
        <w:t xml:space="preserve">حدود مكانية: المستشفيات </w:t>
      </w:r>
      <w:r w:rsidRPr="005019F4">
        <w:rPr>
          <w:rFonts w:ascii="Sakkal Majalla" w:eastAsia="Calibri" w:hAnsi="Sakkal Majalla" w:cs="Sakkal Majalla"/>
          <w:b/>
          <w:bCs/>
          <w:sz w:val="28"/>
          <w:szCs w:val="28"/>
          <w:rtl/>
          <w:lang w:bidi="ar-EG"/>
        </w:rPr>
        <w:t>الحكومية في المملكة العربية السعودية</w:t>
      </w:r>
    </w:p>
    <w:p w14:paraId="48DCB91D" w14:textId="77777777" w:rsidR="005019F4" w:rsidRPr="005019F4" w:rsidRDefault="005019F4" w:rsidP="00F634A6">
      <w:pPr>
        <w:numPr>
          <w:ilvl w:val="0"/>
          <w:numId w:val="1"/>
        </w:numPr>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b/>
          <w:bCs/>
          <w:sz w:val="28"/>
          <w:szCs w:val="28"/>
          <w:rtl/>
        </w:rPr>
        <w:t>حدود زمانية</w:t>
      </w:r>
      <w:r w:rsidRPr="005019F4">
        <w:rPr>
          <w:rFonts w:ascii="Sakkal Majalla" w:eastAsia="Calibri" w:hAnsi="Sakkal Majalla" w:cs="Sakkal Majalla"/>
          <w:sz w:val="28"/>
          <w:szCs w:val="28"/>
          <w:rtl/>
        </w:rPr>
        <w:t>: العام الدراسي 2025.</w:t>
      </w:r>
    </w:p>
    <w:p w14:paraId="56B65670" w14:textId="77777777" w:rsidR="005019F4" w:rsidRPr="005019F4" w:rsidRDefault="005019F4" w:rsidP="00F634A6">
      <w:pPr>
        <w:numPr>
          <w:ilvl w:val="0"/>
          <w:numId w:val="1"/>
        </w:numPr>
        <w:bidi/>
        <w:spacing w:line="360" w:lineRule="auto"/>
        <w:contextualSpacing/>
        <w:jc w:val="both"/>
        <w:rPr>
          <w:rFonts w:ascii="Sakkal Majalla" w:eastAsia="Calibri" w:hAnsi="Sakkal Majalla" w:cs="Sakkal Majalla"/>
          <w:sz w:val="28"/>
          <w:szCs w:val="28"/>
        </w:rPr>
      </w:pPr>
      <w:r w:rsidRPr="005019F4">
        <w:rPr>
          <w:rFonts w:ascii="Sakkal Majalla" w:eastAsia="Calibri" w:hAnsi="Sakkal Majalla" w:cs="Sakkal Majalla"/>
          <w:b/>
          <w:bCs/>
          <w:sz w:val="28"/>
          <w:szCs w:val="28"/>
          <w:rtl/>
        </w:rPr>
        <w:t>حدود بشرية:</w:t>
      </w:r>
      <w:r w:rsidRPr="005019F4">
        <w:rPr>
          <w:rFonts w:ascii="Sakkal Majalla" w:eastAsia="Calibri" w:hAnsi="Sakkal Majalla" w:cs="Sakkal Majalla"/>
          <w:sz w:val="28"/>
          <w:szCs w:val="28"/>
          <w:rtl/>
        </w:rPr>
        <w:t xml:space="preserve"> العاملين في المستشفيات الحكومية في المملكة العربية السعودية </w:t>
      </w:r>
    </w:p>
    <w:p w14:paraId="2C1EFCC7" w14:textId="77777777" w:rsidR="005019F4" w:rsidRPr="005019F4" w:rsidRDefault="005019F4" w:rsidP="005019F4">
      <w:pPr>
        <w:bidi/>
        <w:spacing w:line="360" w:lineRule="auto"/>
        <w:ind w:left="862" w:firstLine="720"/>
        <w:jc w:val="both"/>
        <w:rPr>
          <w:rFonts w:ascii="Sakkal Majalla" w:eastAsia="Calibri" w:hAnsi="Sakkal Majalla" w:cs="Sakkal Majalla"/>
          <w:sz w:val="28"/>
          <w:szCs w:val="28"/>
          <w:rtl/>
        </w:rPr>
      </w:pPr>
    </w:p>
    <w:p w14:paraId="3BD41BF6" w14:textId="77777777" w:rsidR="005019F4" w:rsidRPr="005019F4" w:rsidRDefault="005019F4" w:rsidP="005019F4">
      <w:pPr>
        <w:keepNext/>
        <w:keepLines/>
        <w:bidi/>
        <w:spacing w:before="40" w:after="0" w:line="360" w:lineRule="auto"/>
        <w:jc w:val="both"/>
        <w:outlineLvl w:val="1"/>
        <w:rPr>
          <w:rFonts w:ascii="Sakkal Majalla" w:eastAsia="Times New Roman" w:hAnsi="Sakkal Majalla" w:cs="Sakkal Majalla"/>
          <w:b/>
          <w:bCs/>
          <w:sz w:val="32"/>
          <w:szCs w:val="32"/>
          <w:rtl/>
          <w:lang w:bidi="ar-EG"/>
        </w:rPr>
      </w:pPr>
      <w:bookmarkStart w:id="23" w:name="_Toc143987410"/>
      <w:r w:rsidRPr="005019F4">
        <w:rPr>
          <w:rFonts w:ascii="Sakkal Majalla" w:eastAsia="Times New Roman" w:hAnsi="Sakkal Majalla" w:cs="Sakkal Majalla"/>
          <w:b/>
          <w:bCs/>
          <w:sz w:val="32"/>
          <w:szCs w:val="32"/>
          <w:rtl/>
          <w:lang w:bidi="ar-EG"/>
        </w:rPr>
        <w:lastRenderedPageBreak/>
        <w:t>11.1 الدراسات السابقة</w:t>
      </w:r>
      <w:bookmarkEnd w:id="23"/>
    </w:p>
    <w:tbl>
      <w:tblPr>
        <w:tblStyle w:val="4-53"/>
        <w:bidiVisual/>
        <w:tblW w:w="0" w:type="auto"/>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1997"/>
        <w:gridCol w:w="5931"/>
      </w:tblGrid>
      <w:tr w:rsidR="005019F4" w:rsidRPr="005019F4" w14:paraId="10D832AF" w14:textId="77777777" w:rsidTr="00096A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8" w:type="dxa"/>
            <w:gridSpan w:val="2"/>
          </w:tcPr>
          <w:p w14:paraId="534172A6" w14:textId="77777777" w:rsidR="005019F4" w:rsidRPr="005019F4" w:rsidRDefault="005019F4" w:rsidP="005019F4">
            <w:pPr>
              <w:bidi w:val="0"/>
              <w:spacing w:line="360" w:lineRule="auto"/>
              <w:ind w:left="0" w:firstLine="0"/>
              <w:jc w:val="both"/>
              <w:rPr>
                <w:rFonts w:ascii="Sakkal Majalla" w:eastAsia="Calibri" w:hAnsi="Sakkal Majalla" w:cs="Sakkal Majalla"/>
                <w:color w:val="auto"/>
                <w:sz w:val="28"/>
                <w:szCs w:val="28"/>
                <w:rtl/>
                <w:lang w:bidi="ar-EG"/>
              </w:rPr>
            </w:pPr>
            <w:r w:rsidRPr="005019F4">
              <w:rPr>
                <w:rFonts w:ascii="Sakkal Majalla" w:eastAsia="Calibri" w:hAnsi="Sakkal Majalla" w:cs="Sakkal Majalla"/>
                <w:color w:val="auto"/>
                <w:sz w:val="28"/>
                <w:szCs w:val="28"/>
                <w:rtl/>
                <w:lang w:bidi="ar-EG"/>
              </w:rPr>
              <w:t>الدراسات العربية</w:t>
            </w:r>
          </w:p>
        </w:tc>
      </w:tr>
      <w:tr w:rsidR="005019F4" w:rsidRPr="005019F4" w14:paraId="0CF69FAA"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511D1806"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الدراسة </w:t>
            </w:r>
          </w:p>
        </w:tc>
        <w:tc>
          <w:tcPr>
            <w:tcW w:w="5931" w:type="dxa"/>
          </w:tcPr>
          <w:p w14:paraId="642F7DB6"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المطيري، رائد نزال</w:t>
            </w:r>
            <w:r w:rsidRPr="005019F4">
              <w:rPr>
                <w:rFonts w:ascii="Sakkal Majalla" w:eastAsia="Calibri" w:hAnsi="Sakkal Majalla" w:cs="Sakkal Majalla"/>
                <w:color w:val="374C80" w:themeColor="accent1" w:themeShade="BF"/>
                <w:sz w:val="28"/>
                <w:szCs w:val="28"/>
                <w:lang w:bidi="ar-EG"/>
              </w:rPr>
              <w:t xml:space="preserve"> (2023)</w:t>
            </w:r>
          </w:p>
        </w:tc>
      </w:tr>
      <w:tr w:rsidR="005019F4" w:rsidRPr="005019F4" w14:paraId="500BA6B6"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6C57E97D"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03A54B1D" w14:textId="77777777" w:rsidR="005019F4" w:rsidRPr="005019F4" w:rsidRDefault="005019F4" w:rsidP="00F634A6">
            <w:pPr>
              <w:numPr>
                <w:ilvl w:val="0"/>
                <w:numId w:val="11"/>
              </w:num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قياس مدى تطبيق ممارسات إدارة المخاطر (تحديد المخاطر، تقييمها، وضع الاستراتيجيات، المتابعة) في مستشفى المذنب العام</w:t>
            </w:r>
            <w:r w:rsidRPr="005019F4">
              <w:rPr>
                <w:rFonts w:ascii="Sakkal Majalla" w:eastAsia="Times New Roman" w:hAnsi="Sakkal Majalla" w:cs="Sakkal Majalla"/>
                <w:color w:val="374C80" w:themeColor="accent1" w:themeShade="BF"/>
                <w:sz w:val="28"/>
                <w:szCs w:val="28"/>
              </w:rPr>
              <w:t>.</w:t>
            </w:r>
          </w:p>
          <w:p w14:paraId="773F3DD2" w14:textId="77777777" w:rsidR="005019F4" w:rsidRPr="005019F4" w:rsidRDefault="005019F4" w:rsidP="00F634A6">
            <w:pPr>
              <w:numPr>
                <w:ilvl w:val="0"/>
                <w:numId w:val="11"/>
              </w:num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تحليل أثر هذه الممارسات على مؤشرات جودة الرعاية الصحية (معدل الأخطاء الطبية، رضا المرضى، زمن دورة الخدمة)</w:t>
            </w:r>
            <w:r w:rsidRPr="005019F4">
              <w:rPr>
                <w:rFonts w:ascii="Sakkal Majalla" w:eastAsia="Times New Roman" w:hAnsi="Sakkal Majalla" w:cs="Sakkal Majalla"/>
                <w:color w:val="374C80" w:themeColor="accent1" w:themeShade="BF"/>
                <w:sz w:val="28"/>
                <w:szCs w:val="28"/>
              </w:rPr>
              <w:t>.</w:t>
            </w:r>
          </w:p>
          <w:p w14:paraId="50339A86" w14:textId="77777777" w:rsidR="005019F4" w:rsidRPr="005019F4" w:rsidRDefault="005019F4" w:rsidP="00F634A6">
            <w:pPr>
              <w:numPr>
                <w:ilvl w:val="0"/>
                <w:numId w:val="11"/>
              </w:num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استكشاف الفجوات في التطبيق العملي لإجراءات إدارة المخاطر وسبل معالجتها</w:t>
            </w:r>
            <w:r w:rsidRPr="005019F4">
              <w:rPr>
                <w:rFonts w:ascii="Sakkal Majalla" w:eastAsia="Times New Roman" w:hAnsi="Sakkal Majalla" w:cs="Sakkal Majalla"/>
                <w:color w:val="374C80" w:themeColor="accent1" w:themeShade="BF"/>
                <w:sz w:val="28"/>
                <w:szCs w:val="28"/>
              </w:rPr>
              <w:t>.</w:t>
            </w:r>
          </w:p>
          <w:p w14:paraId="66BBDC9F" w14:textId="77777777" w:rsidR="005019F4" w:rsidRPr="005019F4" w:rsidRDefault="005019F4" w:rsidP="00F634A6">
            <w:pPr>
              <w:numPr>
                <w:ilvl w:val="0"/>
                <w:numId w:val="11"/>
              </w:num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t>تقديم توصيات لتعظيم تأثير الإدارة المنهجية للمخاطر على رفع مستوى الجودة وتقليل التكاليف غير المباشرة</w:t>
            </w:r>
            <w:r w:rsidRPr="005019F4">
              <w:rPr>
                <w:rFonts w:ascii="Sakkal Majalla" w:eastAsia="Times New Roman" w:hAnsi="Sakkal Majalla" w:cs="Sakkal Majalla"/>
                <w:color w:val="374C80" w:themeColor="accent1" w:themeShade="BF"/>
                <w:sz w:val="28"/>
                <w:szCs w:val="28"/>
              </w:rPr>
              <w:t>.</w:t>
            </w:r>
          </w:p>
        </w:tc>
      </w:tr>
      <w:tr w:rsidR="005019F4" w:rsidRPr="005019F4" w14:paraId="09805F19"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A0783FC"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3D5F3BA8"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ممارسات إدارة المخاطر (الأبعاد الأربع: التحديد، التقييم، الاستراتيجية، المتابعة)</w:t>
            </w:r>
          </w:p>
        </w:tc>
      </w:tr>
      <w:tr w:rsidR="005019F4" w:rsidRPr="005019F4" w14:paraId="11F38351"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1CCCE500"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7B79FD33"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مؤشرات جودة الرعاية الصحية (كفاءة الخدمة، فعالية الإجراءات، رضى المستفيدين)</w:t>
            </w:r>
          </w:p>
        </w:tc>
      </w:tr>
      <w:tr w:rsidR="005019F4" w:rsidRPr="005019F4" w14:paraId="415A8C11"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46018295"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42FB64E5"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117B769B"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49BC511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587F2B21" w14:textId="77777777" w:rsidR="005019F4" w:rsidRPr="005019F4" w:rsidRDefault="005019F4" w:rsidP="00F634A6">
            <w:pPr>
              <w:numPr>
                <w:ilvl w:val="1"/>
                <w:numId w:val="12"/>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14:ligatures w14:val="standardContextual"/>
              </w:rPr>
            </w:pPr>
            <w:r w:rsidRPr="005019F4">
              <w:rPr>
                <w:rFonts w:ascii="Sakkal Majalla" w:eastAsia="Calibri" w:hAnsi="Sakkal Majalla" w:cs="Sakkal Majalla"/>
                <w:b/>
                <w:bCs/>
                <w:color w:val="374C80" w:themeColor="accent1" w:themeShade="BF"/>
                <w:sz w:val="28"/>
                <w:szCs w:val="28"/>
                <w:rtl/>
                <w:lang w:bidi="ar-EG"/>
                <w14:ligatures w14:val="standardContextual"/>
              </w:rPr>
              <w:t>النتائج</w:t>
            </w:r>
            <w:r w:rsidRPr="005019F4">
              <w:rPr>
                <w:rFonts w:ascii="Sakkal Majalla" w:eastAsia="Calibri" w:hAnsi="Sakkal Majalla" w:cs="Sakkal Majalla"/>
                <w:color w:val="374C80" w:themeColor="accent1" w:themeShade="BF"/>
                <w:sz w:val="28"/>
                <w:szCs w:val="28"/>
                <w:rtl/>
                <w:lang w:bidi="ar-EG"/>
                <w14:ligatures w14:val="standardContextual"/>
              </w:rPr>
              <w:t>:</w:t>
            </w:r>
          </w:p>
          <w:p w14:paraId="21A67A0A" w14:textId="77777777" w:rsidR="005019F4" w:rsidRPr="005019F4" w:rsidRDefault="005019F4" w:rsidP="00F634A6">
            <w:pPr>
              <w:numPr>
                <w:ilvl w:val="0"/>
                <w:numId w:val="12"/>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14:ligatures w14:val="standardContextual"/>
              </w:rPr>
            </w:pPr>
            <w:r w:rsidRPr="005019F4">
              <w:rPr>
                <w:rFonts w:ascii="Sakkal Majalla" w:eastAsia="Calibri" w:hAnsi="Sakkal Majalla" w:cs="Sakkal Majalla"/>
                <w:color w:val="374C80" w:themeColor="accent1" w:themeShade="BF"/>
                <w:sz w:val="28"/>
                <w:szCs w:val="28"/>
                <w:rtl/>
                <w:lang w:bidi="ar-EG"/>
                <w14:ligatures w14:val="standardContextual"/>
              </w:rPr>
              <w:t>ثبُت وجود علاقة دلالة إحصائية (</w:t>
            </w:r>
            <w:r w:rsidRPr="005019F4">
              <w:rPr>
                <w:rFonts w:ascii="Sakkal Majalla" w:eastAsia="Calibri" w:hAnsi="Sakkal Majalla" w:cs="Sakkal Majalla"/>
                <w:color w:val="374C80" w:themeColor="accent1" w:themeShade="BF"/>
                <w:sz w:val="28"/>
                <w:szCs w:val="28"/>
                <w:lang w:bidi="ar-EG"/>
                <w14:ligatures w14:val="standardContextual"/>
              </w:rPr>
              <w:t>p &lt; 0.01</w:t>
            </w:r>
            <w:r w:rsidRPr="005019F4">
              <w:rPr>
                <w:rFonts w:ascii="Sakkal Majalla" w:eastAsia="Calibri" w:hAnsi="Sakkal Majalla" w:cs="Sakkal Majalla"/>
                <w:color w:val="374C80" w:themeColor="accent1" w:themeShade="BF"/>
                <w:sz w:val="28"/>
                <w:szCs w:val="28"/>
                <w:rtl/>
                <w:lang w:bidi="ar-EG"/>
                <w14:ligatures w14:val="standardContextual"/>
              </w:rPr>
              <w:t>) بين بُعد متابعة المخاطر وتحسن رضا المرضى بنسبة 18%.</w:t>
            </w:r>
          </w:p>
          <w:p w14:paraId="0AA49E70" w14:textId="77777777" w:rsidR="005019F4" w:rsidRPr="005019F4" w:rsidRDefault="005019F4" w:rsidP="00F634A6">
            <w:pPr>
              <w:numPr>
                <w:ilvl w:val="0"/>
                <w:numId w:val="12"/>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14:ligatures w14:val="standardContextual"/>
              </w:rPr>
            </w:pPr>
            <w:r w:rsidRPr="005019F4">
              <w:rPr>
                <w:rFonts w:ascii="Sakkal Majalla" w:eastAsia="Calibri" w:hAnsi="Sakkal Majalla" w:cs="Sakkal Majalla"/>
                <w:color w:val="374C80" w:themeColor="accent1" w:themeShade="BF"/>
                <w:sz w:val="28"/>
                <w:szCs w:val="28"/>
                <w:rtl/>
                <w:lang w:bidi="ar-EG"/>
                <w14:ligatures w14:val="standardContextual"/>
              </w:rPr>
              <w:t>كان لبُعد تحديد المخاطر الأثر الأكبر على خفض معدلات الأخطاء الطبية بنسبة 22%.</w:t>
            </w:r>
          </w:p>
          <w:p w14:paraId="685EE921" w14:textId="77777777" w:rsidR="005019F4" w:rsidRPr="005019F4" w:rsidRDefault="005019F4" w:rsidP="00F634A6">
            <w:pPr>
              <w:numPr>
                <w:ilvl w:val="0"/>
                <w:numId w:val="12"/>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14:ligatures w14:val="standardContextual"/>
              </w:rPr>
            </w:pPr>
            <w:r w:rsidRPr="005019F4">
              <w:rPr>
                <w:rFonts w:ascii="Sakkal Majalla" w:eastAsia="Calibri" w:hAnsi="Sakkal Majalla" w:cs="Sakkal Majalla"/>
                <w:color w:val="374C80" w:themeColor="accent1" w:themeShade="BF"/>
                <w:sz w:val="28"/>
                <w:szCs w:val="28"/>
                <w:rtl/>
                <w:lang w:bidi="ar-EG"/>
                <w14:ligatures w14:val="standardContextual"/>
              </w:rPr>
              <w:lastRenderedPageBreak/>
              <w:t>أبدى 60% من المشاركين ضعفًا في استخدام الأدوات الرقمية لتسجيل المخاطر وتحليلها.</w:t>
            </w:r>
          </w:p>
          <w:p w14:paraId="1C228AE8" w14:textId="77777777" w:rsidR="005019F4" w:rsidRPr="005019F4" w:rsidRDefault="005019F4" w:rsidP="00F634A6">
            <w:pPr>
              <w:numPr>
                <w:ilvl w:val="1"/>
                <w:numId w:val="12"/>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374C80" w:themeColor="accent1" w:themeShade="BF"/>
                <w:sz w:val="28"/>
                <w:szCs w:val="28"/>
                <w:rtl/>
                <w:lang w:bidi="ar-EG"/>
                <w14:ligatures w14:val="standardContextual"/>
              </w:rPr>
            </w:pPr>
            <w:r w:rsidRPr="005019F4">
              <w:rPr>
                <w:rFonts w:ascii="Sakkal Majalla" w:eastAsia="Calibri" w:hAnsi="Sakkal Majalla" w:cs="Sakkal Majalla"/>
                <w:b/>
                <w:bCs/>
                <w:color w:val="374C80" w:themeColor="accent1" w:themeShade="BF"/>
                <w:sz w:val="28"/>
                <w:szCs w:val="28"/>
                <w:rtl/>
                <w:lang w:bidi="ar-EG"/>
                <w14:ligatures w14:val="standardContextual"/>
              </w:rPr>
              <w:t>التوصيات:</w:t>
            </w:r>
          </w:p>
          <w:p w14:paraId="743799AE" w14:textId="77777777" w:rsidR="005019F4" w:rsidRPr="005019F4" w:rsidRDefault="005019F4" w:rsidP="00F634A6">
            <w:pPr>
              <w:numPr>
                <w:ilvl w:val="1"/>
                <w:numId w:val="12"/>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14:ligatures w14:val="standardContextual"/>
              </w:rPr>
            </w:pPr>
            <w:r w:rsidRPr="005019F4">
              <w:rPr>
                <w:rFonts w:ascii="Sakkal Majalla" w:eastAsia="Calibri" w:hAnsi="Sakkal Majalla" w:cs="Sakkal Majalla"/>
                <w:color w:val="374C80" w:themeColor="accent1" w:themeShade="BF"/>
                <w:sz w:val="28"/>
                <w:szCs w:val="28"/>
                <w:rtl/>
                <w:lang w:bidi="ar-EG"/>
                <w14:ligatures w14:val="standardContextual"/>
              </w:rPr>
              <w:t>إنشاء لجنة مركزية لإدارة المخاطر تضم خبراء تكنولوجيا المعلومات لتحسين نظام التسجيل الرقمي.</w:t>
            </w:r>
          </w:p>
          <w:p w14:paraId="140F9948" w14:textId="77777777" w:rsidR="005019F4" w:rsidRPr="005019F4" w:rsidRDefault="005019F4" w:rsidP="00F634A6">
            <w:pPr>
              <w:numPr>
                <w:ilvl w:val="1"/>
                <w:numId w:val="12"/>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14:ligatures w14:val="standardContextual"/>
              </w:rPr>
            </w:pPr>
            <w:r w:rsidRPr="005019F4">
              <w:rPr>
                <w:rFonts w:ascii="Sakkal Majalla" w:eastAsia="Calibri" w:hAnsi="Sakkal Majalla" w:cs="Sakkal Majalla"/>
                <w:color w:val="374C80" w:themeColor="accent1" w:themeShade="BF"/>
                <w:sz w:val="28"/>
                <w:szCs w:val="28"/>
                <w:rtl/>
                <w:lang w:bidi="ar-EG"/>
                <w14:ligatures w14:val="standardContextual"/>
              </w:rPr>
              <w:t>إجراء دورات تدريبية نصف سنوية لتعريف الكوادر بأحدث أدوات تقييم المخاطر.</w:t>
            </w:r>
          </w:p>
          <w:p w14:paraId="35781661" w14:textId="77777777" w:rsidR="005019F4" w:rsidRPr="005019F4" w:rsidRDefault="005019F4" w:rsidP="00F634A6">
            <w:pPr>
              <w:numPr>
                <w:ilvl w:val="1"/>
                <w:numId w:val="12"/>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14:ligatures w14:val="standardContextual"/>
              </w:rPr>
            </w:pPr>
            <w:r w:rsidRPr="005019F4">
              <w:rPr>
                <w:rFonts w:ascii="Sakkal Majalla" w:eastAsia="Calibri" w:hAnsi="Sakkal Majalla" w:cs="Sakkal Majalla"/>
                <w:color w:val="374C80" w:themeColor="accent1" w:themeShade="BF"/>
                <w:sz w:val="28"/>
                <w:szCs w:val="28"/>
                <w:rtl/>
                <w:lang w:bidi="ar-EG"/>
                <w14:ligatures w14:val="standardContextual"/>
              </w:rPr>
              <w:t>دمج مؤشرات إدارة المخاطر ضمن مؤشرات الجودة الشاملة للمستشفى وربطها بحوافز الأداء.</w:t>
            </w:r>
          </w:p>
          <w:p w14:paraId="5AFF5C0E"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p>
        </w:tc>
      </w:tr>
      <w:tr w:rsidR="005019F4" w:rsidRPr="005019F4" w14:paraId="7B493E4D"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4881D2E7"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الدراسة </w:t>
            </w:r>
          </w:p>
        </w:tc>
        <w:tc>
          <w:tcPr>
            <w:tcW w:w="5931" w:type="dxa"/>
          </w:tcPr>
          <w:p w14:paraId="3784C368"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مصطفى، وجيه </w:t>
            </w:r>
            <w:r w:rsidRPr="005019F4">
              <w:rPr>
                <w:rFonts w:ascii="Sakkal Majalla" w:eastAsia="Calibri" w:hAnsi="Sakkal Majalla" w:cs="Sakkal Majalla" w:hint="cs"/>
                <w:color w:val="374C80" w:themeColor="accent1" w:themeShade="BF"/>
                <w:sz w:val="28"/>
                <w:szCs w:val="28"/>
                <w:rtl/>
                <w:lang w:bidi="ar-EG"/>
              </w:rPr>
              <w:t>عبد الل</w:t>
            </w:r>
            <w:r w:rsidRPr="005019F4">
              <w:rPr>
                <w:rFonts w:ascii="Sakkal Majalla" w:eastAsia="Calibri" w:hAnsi="Sakkal Majalla" w:cs="Sakkal Majalla" w:hint="eastAsia"/>
                <w:color w:val="374C80" w:themeColor="accent1" w:themeShade="BF"/>
                <w:sz w:val="28"/>
                <w:szCs w:val="28"/>
                <w:rtl/>
                <w:lang w:bidi="ar-EG"/>
              </w:rPr>
              <w:t>ه</w:t>
            </w:r>
            <w:r w:rsidRPr="005019F4">
              <w:rPr>
                <w:rFonts w:ascii="Sakkal Majalla" w:eastAsia="Calibri" w:hAnsi="Sakkal Majalla" w:cs="Sakkal Majalla"/>
                <w:color w:val="374C80" w:themeColor="accent1" w:themeShade="BF"/>
                <w:sz w:val="28"/>
                <w:szCs w:val="28"/>
                <w:rtl/>
                <w:lang w:bidi="ar-EG"/>
              </w:rPr>
              <w:t xml:space="preserve"> فهمي (2012)</w:t>
            </w:r>
          </w:p>
        </w:tc>
      </w:tr>
      <w:tr w:rsidR="005019F4" w:rsidRPr="005019F4" w14:paraId="4C98A3FF"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43E801CA"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369978ED" w14:textId="77777777" w:rsidR="005019F4" w:rsidRPr="005019F4" w:rsidRDefault="005019F4" w:rsidP="00F634A6">
            <w:pPr>
              <w:numPr>
                <w:ilvl w:val="0"/>
                <w:numId w:val="12"/>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تقييم مستوى الوعي البيئي لدى العاملين في المشروعات الإنتاجية بمحافظة الطائف</w:t>
            </w:r>
            <w:r w:rsidRPr="005019F4">
              <w:rPr>
                <w:rFonts w:ascii="Sakkal Majalla" w:eastAsia="Times New Roman" w:hAnsi="Sakkal Majalla" w:cs="Sakkal Majalla"/>
                <w:color w:val="374C80" w:themeColor="accent1" w:themeShade="BF"/>
                <w:sz w:val="28"/>
                <w:szCs w:val="28"/>
              </w:rPr>
              <w:t>.</w:t>
            </w:r>
          </w:p>
          <w:p w14:paraId="38C0EE12" w14:textId="77777777" w:rsidR="005019F4" w:rsidRPr="005019F4" w:rsidRDefault="005019F4" w:rsidP="00F634A6">
            <w:pPr>
              <w:numPr>
                <w:ilvl w:val="0"/>
                <w:numId w:val="12"/>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رصد المخاطر البيئية الناتجة عن ضعف الوعي وتأثيرها على استدامة المشروعات</w:t>
            </w:r>
            <w:r w:rsidRPr="005019F4">
              <w:rPr>
                <w:rFonts w:ascii="Sakkal Majalla" w:eastAsia="Times New Roman" w:hAnsi="Sakkal Majalla" w:cs="Sakkal Majalla"/>
                <w:color w:val="374C80" w:themeColor="accent1" w:themeShade="BF"/>
                <w:sz w:val="28"/>
                <w:szCs w:val="28"/>
              </w:rPr>
              <w:t>.</w:t>
            </w:r>
          </w:p>
          <w:p w14:paraId="5C79F770" w14:textId="77777777" w:rsidR="005019F4" w:rsidRPr="005019F4" w:rsidRDefault="005019F4" w:rsidP="00F634A6">
            <w:pPr>
              <w:numPr>
                <w:ilvl w:val="0"/>
                <w:numId w:val="12"/>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صياغة مقترحات لإدارة ربحية المخاطر البيئية عبر تعزيز الوعي والتدريب</w:t>
            </w:r>
            <w:r w:rsidRPr="005019F4">
              <w:rPr>
                <w:rFonts w:ascii="Sakkal Majalla" w:eastAsia="Times New Roman" w:hAnsi="Sakkal Majalla" w:cs="Sakkal Majalla"/>
                <w:color w:val="374C80" w:themeColor="accent1" w:themeShade="BF"/>
                <w:sz w:val="28"/>
                <w:szCs w:val="28"/>
              </w:rPr>
              <w:t>.</w:t>
            </w:r>
          </w:p>
          <w:p w14:paraId="4E1667CB" w14:textId="77777777" w:rsidR="005019F4" w:rsidRPr="005019F4" w:rsidRDefault="005019F4" w:rsidP="00F634A6">
            <w:pPr>
              <w:numPr>
                <w:ilvl w:val="0"/>
                <w:numId w:val="12"/>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t>تقديم توصيات تنظيمية وتقنية للحد من المخاطر البيئية على المدى الطويل</w:t>
            </w:r>
          </w:p>
        </w:tc>
      </w:tr>
      <w:tr w:rsidR="005019F4" w:rsidRPr="005019F4" w14:paraId="2C3B7D2B"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16D851E5"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03CA7305"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مستوى الوعي البيئي (المعرفي والسلوكي</w:t>
            </w:r>
          </w:p>
          <w:p w14:paraId="08AB3C78"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p>
        </w:tc>
      </w:tr>
      <w:tr w:rsidR="005019F4" w:rsidRPr="005019F4" w14:paraId="4FAB78A1"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013DAF98"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36860CF2"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درجة إدارة المخاطر البيئية (الوقائية والتصحيحية)</w:t>
            </w:r>
          </w:p>
        </w:tc>
      </w:tr>
      <w:tr w:rsidR="005019F4" w:rsidRPr="005019F4" w14:paraId="7854FA99"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003FA031"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منهجية البحث </w:t>
            </w:r>
          </w:p>
        </w:tc>
        <w:tc>
          <w:tcPr>
            <w:tcW w:w="5931" w:type="dxa"/>
          </w:tcPr>
          <w:p w14:paraId="23F13A44"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3B955F11"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6F1EBB2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08FE1BCA" w14:textId="77777777" w:rsidR="005019F4" w:rsidRPr="005019F4" w:rsidRDefault="005019F4" w:rsidP="005019F4">
            <w:pPr>
              <w:bidi w:val="0"/>
              <w:spacing w:before="100" w:beforeAutospacing="1" w:after="100" w:afterAutospacing="1"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النتائج</w:t>
            </w:r>
            <w:r w:rsidRPr="005019F4">
              <w:rPr>
                <w:rFonts w:ascii="Sakkal Majalla" w:eastAsia="Times New Roman" w:hAnsi="Sakkal Majalla" w:cs="Sakkal Majalla"/>
                <w:b/>
                <w:bCs/>
                <w:color w:val="374C80" w:themeColor="accent1" w:themeShade="BF"/>
                <w:sz w:val="28"/>
                <w:szCs w:val="28"/>
              </w:rPr>
              <w:t>:</w:t>
            </w:r>
          </w:p>
          <w:p w14:paraId="177CC16B" w14:textId="77777777" w:rsidR="005019F4" w:rsidRPr="005019F4" w:rsidRDefault="005019F4" w:rsidP="00F634A6">
            <w:pPr>
              <w:numPr>
                <w:ilvl w:val="2"/>
                <w:numId w:val="13"/>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وُجد ارتباط قوي</w:t>
            </w:r>
            <w:r w:rsidRPr="005019F4">
              <w:rPr>
                <w:rFonts w:ascii="Sakkal Majalla" w:eastAsia="Times New Roman" w:hAnsi="Sakkal Majalla" w:cs="Sakkal Majalla"/>
                <w:color w:val="374C80" w:themeColor="accent1" w:themeShade="BF"/>
                <w:sz w:val="28"/>
                <w:szCs w:val="28"/>
              </w:rPr>
              <w:t xml:space="preserve"> (r = 0.78) </w:t>
            </w:r>
            <w:r w:rsidRPr="005019F4">
              <w:rPr>
                <w:rFonts w:ascii="Sakkal Majalla" w:eastAsia="Times New Roman" w:hAnsi="Sakkal Majalla" w:cs="Sakkal Majalla"/>
                <w:color w:val="374C80" w:themeColor="accent1" w:themeShade="BF"/>
                <w:sz w:val="28"/>
                <w:szCs w:val="28"/>
                <w:rtl/>
              </w:rPr>
              <w:t>بين الجانب المعرفي وفاعلية الإجراءات الوقائية</w:t>
            </w:r>
            <w:r w:rsidRPr="005019F4">
              <w:rPr>
                <w:rFonts w:ascii="Sakkal Majalla" w:eastAsia="Times New Roman" w:hAnsi="Sakkal Majalla" w:cs="Sakkal Majalla"/>
                <w:color w:val="374C80" w:themeColor="accent1" w:themeShade="BF"/>
                <w:sz w:val="28"/>
                <w:szCs w:val="28"/>
              </w:rPr>
              <w:t>.</w:t>
            </w:r>
          </w:p>
          <w:p w14:paraId="2814DFB8" w14:textId="77777777" w:rsidR="005019F4" w:rsidRPr="005019F4" w:rsidRDefault="005019F4" w:rsidP="00F634A6">
            <w:pPr>
              <w:numPr>
                <w:ilvl w:val="2"/>
                <w:numId w:val="13"/>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تبين أن 45% من المؤسسات لا تمتلك خططًا دورية لتقييم المخاطر البيئية</w:t>
            </w:r>
            <w:r w:rsidRPr="005019F4">
              <w:rPr>
                <w:rFonts w:ascii="Sakkal Majalla" w:eastAsia="Times New Roman" w:hAnsi="Sakkal Majalla" w:cs="Sakkal Majalla"/>
                <w:color w:val="374C80" w:themeColor="accent1" w:themeShade="BF"/>
                <w:sz w:val="28"/>
                <w:szCs w:val="28"/>
              </w:rPr>
              <w:t>.</w:t>
            </w:r>
          </w:p>
          <w:p w14:paraId="43D75203" w14:textId="77777777" w:rsidR="005019F4" w:rsidRPr="005019F4" w:rsidRDefault="005019F4" w:rsidP="00F634A6">
            <w:pPr>
              <w:numPr>
                <w:ilvl w:val="2"/>
                <w:numId w:val="13"/>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أبرزت النتائج الحاجة لرفع مستوى الاستثمار في التدريب البيئي بنحو 30</w:t>
            </w:r>
            <w:r w:rsidRPr="005019F4">
              <w:rPr>
                <w:rFonts w:ascii="Sakkal Majalla" w:eastAsia="Times New Roman" w:hAnsi="Sakkal Majalla" w:cs="Sakkal Majalla"/>
                <w:color w:val="374C80" w:themeColor="accent1" w:themeShade="BF"/>
                <w:sz w:val="28"/>
                <w:szCs w:val="28"/>
              </w:rPr>
              <w:t>%.</w:t>
            </w:r>
          </w:p>
          <w:p w14:paraId="36721176" w14:textId="77777777" w:rsidR="005019F4" w:rsidRPr="005019F4" w:rsidRDefault="005019F4" w:rsidP="00F634A6">
            <w:pPr>
              <w:numPr>
                <w:ilvl w:val="1"/>
                <w:numId w:val="13"/>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التوصيات</w:t>
            </w:r>
            <w:r w:rsidRPr="005019F4">
              <w:rPr>
                <w:rFonts w:ascii="Sakkal Majalla" w:eastAsia="Times New Roman" w:hAnsi="Sakkal Majalla" w:cs="Sakkal Majalla"/>
                <w:b/>
                <w:bCs/>
                <w:color w:val="374C80" w:themeColor="accent1" w:themeShade="BF"/>
                <w:sz w:val="28"/>
                <w:szCs w:val="28"/>
              </w:rPr>
              <w:t>:</w:t>
            </w:r>
          </w:p>
          <w:p w14:paraId="5114A393" w14:textId="77777777" w:rsidR="005019F4" w:rsidRPr="005019F4" w:rsidRDefault="005019F4" w:rsidP="00F634A6">
            <w:pPr>
              <w:numPr>
                <w:ilvl w:val="2"/>
                <w:numId w:val="14"/>
              </w:numPr>
              <w:spacing w:before="100" w:beforeAutospacing="1" w:after="100" w:afterAutospacing="1" w:line="360" w:lineRule="auto"/>
              <w:ind w:left="0" w:hanging="36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إقرار برنامج تدريبي إلزامي لجميع رؤساء الأقسام حول أسس الوعي البيئي وتحليل المخاطر</w:t>
            </w:r>
            <w:r w:rsidRPr="005019F4">
              <w:rPr>
                <w:rFonts w:ascii="Sakkal Majalla" w:eastAsia="Times New Roman" w:hAnsi="Sakkal Majalla" w:cs="Sakkal Majalla"/>
                <w:color w:val="374C80" w:themeColor="accent1" w:themeShade="BF"/>
                <w:sz w:val="28"/>
                <w:szCs w:val="28"/>
              </w:rPr>
              <w:t>.</w:t>
            </w:r>
          </w:p>
          <w:p w14:paraId="1FD411BA" w14:textId="77777777" w:rsidR="005019F4" w:rsidRPr="005019F4" w:rsidRDefault="005019F4" w:rsidP="00F634A6">
            <w:pPr>
              <w:numPr>
                <w:ilvl w:val="2"/>
                <w:numId w:val="14"/>
              </w:numPr>
              <w:spacing w:before="100" w:beforeAutospacing="1" w:after="100" w:afterAutospacing="1" w:line="360" w:lineRule="auto"/>
              <w:ind w:left="0" w:hanging="36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وضع لوائح داخلية تُلزِم بمراجعة فحص المخاطر البيئية في كل ستة أشهر</w:t>
            </w:r>
            <w:r w:rsidRPr="005019F4">
              <w:rPr>
                <w:rFonts w:ascii="Sakkal Majalla" w:eastAsia="Times New Roman" w:hAnsi="Sakkal Majalla" w:cs="Sakkal Majalla"/>
                <w:color w:val="374C80" w:themeColor="accent1" w:themeShade="BF"/>
                <w:sz w:val="28"/>
                <w:szCs w:val="28"/>
              </w:rPr>
              <w:t>.</w:t>
            </w:r>
          </w:p>
          <w:p w14:paraId="25B8BF73" w14:textId="77777777" w:rsidR="005019F4" w:rsidRPr="005019F4" w:rsidRDefault="005019F4" w:rsidP="00F634A6">
            <w:pPr>
              <w:numPr>
                <w:ilvl w:val="2"/>
                <w:numId w:val="14"/>
              </w:numPr>
              <w:spacing w:before="100" w:beforeAutospacing="1" w:after="100" w:afterAutospacing="1" w:line="360" w:lineRule="auto"/>
              <w:ind w:left="0" w:hanging="36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t>إنشاء منصة إلكترونية مشتركة لتبادل أفضل الممارسات البيئية بين المؤسسات</w:t>
            </w:r>
            <w:r w:rsidRPr="005019F4">
              <w:rPr>
                <w:rFonts w:ascii="Sakkal Majalla" w:eastAsia="Times New Roman" w:hAnsi="Sakkal Majalla" w:cs="Sakkal Majalla"/>
                <w:color w:val="374C80" w:themeColor="accent1" w:themeShade="BF"/>
                <w:sz w:val="28"/>
                <w:szCs w:val="28"/>
              </w:rPr>
              <w:t>.</w:t>
            </w:r>
          </w:p>
        </w:tc>
      </w:tr>
      <w:tr w:rsidR="005019F4" w:rsidRPr="005019F4" w14:paraId="33E7318B"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C6CE32B"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الدراسة </w:t>
            </w:r>
          </w:p>
        </w:tc>
        <w:tc>
          <w:tcPr>
            <w:tcW w:w="5931" w:type="dxa"/>
          </w:tcPr>
          <w:p w14:paraId="2853DA37"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شحاتة، حامد أحمد محمد &amp; بدير، المتولي إسماعيل (2021)</w:t>
            </w:r>
          </w:p>
        </w:tc>
      </w:tr>
      <w:tr w:rsidR="005019F4" w:rsidRPr="005019F4" w14:paraId="153AABDD"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476478DD"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747D882E" w14:textId="77777777" w:rsidR="005019F4" w:rsidRPr="005019F4" w:rsidRDefault="005019F4" w:rsidP="00F634A6">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استكشاف واقع تطبيق إدارة المخاطر الصحية والبيئية في المدارس قبل الجامعية</w:t>
            </w:r>
            <w:r w:rsidRPr="005019F4">
              <w:rPr>
                <w:rFonts w:ascii="Sakkal Majalla" w:eastAsia="Calibri" w:hAnsi="Sakkal Majalla" w:cs="Sakkal Majalla"/>
                <w:color w:val="374C80" w:themeColor="accent1" w:themeShade="BF"/>
                <w:sz w:val="28"/>
                <w:szCs w:val="28"/>
                <w:lang w:bidi="ar-EG"/>
              </w:rPr>
              <w:t>.</w:t>
            </w:r>
          </w:p>
          <w:p w14:paraId="0EDE3B02" w14:textId="77777777" w:rsidR="005019F4" w:rsidRPr="005019F4" w:rsidRDefault="005019F4" w:rsidP="00F634A6">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تحديد الفجوات بين الممارسات الحالية والتوقعات الوظيفية وفق المعايير الدولية</w:t>
            </w:r>
            <w:r w:rsidRPr="005019F4">
              <w:rPr>
                <w:rFonts w:ascii="Sakkal Majalla" w:eastAsia="Calibri" w:hAnsi="Sakkal Majalla" w:cs="Sakkal Majalla"/>
                <w:color w:val="374C80" w:themeColor="accent1" w:themeShade="BF"/>
                <w:sz w:val="28"/>
                <w:szCs w:val="28"/>
                <w:lang w:bidi="ar-EG"/>
              </w:rPr>
              <w:t>.</w:t>
            </w:r>
          </w:p>
          <w:p w14:paraId="7E8A7D96" w14:textId="77777777" w:rsidR="005019F4" w:rsidRPr="005019F4" w:rsidRDefault="005019F4" w:rsidP="00F634A6">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تحليل العوامل التنظيمية والتقنية التي تعيق تطبيق إدارة المخاطر ضمن بيئات التعليم</w:t>
            </w:r>
            <w:r w:rsidRPr="005019F4">
              <w:rPr>
                <w:rFonts w:ascii="Sakkal Majalla" w:eastAsia="Calibri" w:hAnsi="Sakkal Majalla" w:cs="Sakkal Majalla"/>
                <w:color w:val="374C80" w:themeColor="accent1" w:themeShade="BF"/>
                <w:sz w:val="28"/>
                <w:szCs w:val="28"/>
                <w:lang w:bidi="ar-EG"/>
              </w:rPr>
              <w:t>.</w:t>
            </w:r>
          </w:p>
          <w:p w14:paraId="2200D6BC" w14:textId="77777777" w:rsidR="005019F4" w:rsidRPr="005019F4" w:rsidRDefault="005019F4" w:rsidP="00F634A6">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lastRenderedPageBreak/>
              <w:t>صياغة رؤية متكاملة لتحقيق المأمول من تطبيق نظام إدارة المخاطر في هذه المؤسسات</w:t>
            </w:r>
            <w:r w:rsidRPr="005019F4">
              <w:rPr>
                <w:rFonts w:ascii="Sakkal Majalla" w:eastAsia="Calibri" w:hAnsi="Sakkal Majalla" w:cs="Sakkal Majalla"/>
                <w:color w:val="374C80" w:themeColor="accent1" w:themeShade="BF"/>
                <w:sz w:val="28"/>
                <w:szCs w:val="28"/>
                <w:lang w:bidi="ar-EG"/>
              </w:rPr>
              <w:t>.</w:t>
            </w:r>
          </w:p>
        </w:tc>
      </w:tr>
      <w:tr w:rsidR="005019F4" w:rsidRPr="005019F4" w14:paraId="49D1E696"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06DFEE4B"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المتغير المستقل</w:t>
            </w:r>
          </w:p>
        </w:tc>
        <w:tc>
          <w:tcPr>
            <w:tcW w:w="5931" w:type="dxa"/>
          </w:tcPr>
          <w:p w14:paraId="57C55EC7"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ممارسات إدارة المخاطر الصحية والبيئية (التخطيط، التطبيق، المتابعة)</w:t>
            </w:r>
          </w:p>
        </w:tc>
      </w:tr>
      <w:tr w:rsidR="005019F4" w:rsidRPr="005019F4" w14:paraId="01D86DA0"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1487F0B8"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3E2A8FB8"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rPr>
            </w:pPr>
            <w:r w:rsidRPr="005019F4">
              <w:rPr>
                <w:rFonts w:ascii="Sakkal Majalla" w:eastAsia="Calibri" w:hAnsi="Sakkal Majalla" w:cs="Sakkal Majalla"/>
                <w:color w:val="374C80" w:themeColor="accent1" w:themeShade="BF"/>
                <w:sz w:val="28"/>
                <w:szCs w:val="28"/>
                <w:rtl/>
              </w:rPr>
              <w:t>درجة توافق الواقع مع المأمول في السلامة المدرسية</w:t>
            </w:r>
          </w:p>
        </w:tc>
      </w:tr>
      <w:tr w:rsidR="005019F4" w:rsidRPr="005019F4" w14:paraId="60D72EBC"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6F23630"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7515CFF0"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7EFE90AE"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3A28C89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49A386EB" w14:textId="77777777" w:rsidR="005019F4" w:rsidRPr="005019F4" w:rsidRDefault="005019F4" w:rsidP="005019F4">
            <w:pPr>
              <w:bidi w:val="0"/>
              <w:spacing w:before="100" w:beforeAutospacing="1" w:after="100" w:afterAutospacing="1"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Pr>
              <w:t xml:space="preserve">  </w:t>
            </w:r>
            <w:r w:rsidRPr="005019F4">
              <w:rPr>
                <w:rFonts w:ascii="Sakkal Majalla" w:eastAsia="Times New Roman" w:hAnsi="Sakkal Majalla" w:cs="Sakkal Majalla"/>
                <w:b/>
                <w:bCs/>
                <w:color w:val="374C80" w:themeColor="accent1" w:themeShade="BF"/>
                <w:sz w:val="28"/>
                <w:szCs w:val="28"/>
                <w:rtl/>
              </w:rPr>
              <w:t>النتائج</w:t>
            </w:r>
            <w:r w:rsidRPr="005019F4">
              <w:rPr>
                <w:rFonts w:ascii="Sakkal Majalla" w:eastAsia="Times New Roman" w:hAnsi="Sakkal Majalla" w:cs="Sakkal Majalla"/>
                <w:b/>
                <w:bCs/>
                <w:color w:val="374C80" w:themeColor="accent1" w:themeShade="BF"/>
                <w:sz w:val="28"/>
                <w:szCs w:val="28"/>
              </w:rPr>
              <w:t>:</w:t>
            </w:r>
          </w:p>
          <w:p w14:paraId="217BC535" w14:textId="77777777" w:rsidR="005019F4" w:rsidRPr="005019F4" w:rsidRDefault="005019F4" w:rsidP="00F634A6">
            <w:pPr>
              <w:numPr>
                <w:ilvl w:val="0"/>
                <w:numId w:val="16"/>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لم تعتمد 70% من المدارس خطوات منهجية لتقييم المخاطر قبل بداية كل عام دراسي</w:t>
            </w:r>
            <w:r w:rsidRPr="005019F4">
              <w:rPr>
                <w:rFonts w:ascii="Sakkal Majalla" w:eastAsia="Times New Roman" w:hAnsi="Sakkal Majalla" w:cs="Sakkal Majalla"/>
                <w:color w:val="374C80" w:themeColor="accent1" w:themeShade="BF"/>
                <w:sz w:val="28"/>
                <w:szCs w:val="28"/>
              </w:rPr>
              <w:t>.</w:t>
            </w:r>
          </w:p>
          <w:p w14:paraId="244941F2" w14:textId="77777777" w:rsidR="005019F4" w:rsidRPr="005019F4" w:rsidRDefault="005019F4" w:rsidP="00F634A6">
            <w:pPr>
              <w:numPr>
                <w:ilvl w:val="0"/>
                <w:numId w:val="16"/>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لوحظ نقص في التنسيق بين إدارات الأمن والسلامة والإدارة التعليمية في 65% من الحالات</w:t>
            </w:r>
            <w:r w:rsidRPr="005019F4">
              <w:rPr>
                <w:rFonts w:ascii="Sakkal Majalla" w:eastAsia="Times New Roman" w:hAnsi="Sakkal Majalla" w:cs="Sakkal Majalla"/>
                <w:color w:val="374C80" w:themeColor="accent1" w:themeShade="BF"/>
                <w:sz w:val="28"/>
                <w:szCs w:val="28"/>
              </w:rPr>
              <w:t>.</w:t>
            </w:r>
          </w:p>
          <w:p w14:paraId="2973A387" w14:textId="77777777" w:rsidR="005019F4" w:rsidRPr="005019F4" w:rsidRDefault="005019F4" w:rsidP="00F634A6">
            <w:pPr>
              <w:numPr>
                <w:ilvl w:val="0"/>
                <w:numId w:val="16"/>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رصد المعلمون ضعف التدريب على التعامل مع مخاطر التلوث والتسمم الغذائي في السكن الطلابي</w:t>
            </w:r>
            <w:r w:rsidRPr="005019F4">
              <w:rPr>
                <w:rFonts w:ascii="Sakkal Majalla" w:eastAsia="Times New Roman" w:hAnsi="Sakkal Majalla" w:cs="Sakkal Majalla"/>
                <w:color w:val="374C80" w:themeColor="accent1" w:themeShade="BF"/>
                <w:sz w:val="28"/>
                <w:szCs w:val="28"/>
              </w:rPr>
              <w:t>.</w:t>
            </w:r>
          </w:p>
          <w:p w14:paraId="545537E0" w14:textId="77777777" w:rsidR="005019F4" w:rsidRPr="005019F4" w:rsidRDefault="005019F4" w:rsidP="005019F4">
            <w:pPr>
              <w:bidi w:val="0"/>
              <w:spacing w:before="100" w:beforeAutospacing="1" w:after="100" w:afterAutospacing="1"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التوصيات</w:t>
            </w:r>
            <w:r w:rsidRPr="005019F4">
              <w:rPr>
                <w:rFonts w:ascii="Sakkal Majalla" w:eastAsia="Times New Roman" w:hAnsi="Sakkal Majalla" w:cs="Sakkal Majalla"/>
                <w:b/>
                <w:bCs/>
                <w:color w:val="374C80" w:themeColor="accent1" w:themeShade="BF"/>
                <w:sz w:val="28"/>
                <w:szCs w:val="28"/>
              </w:rPr>
              <w:t>:</w:t>
            </w:r>
          </w:p>
          <w:p w14:paraId="644D714D" w14:textId="77777777" w:rsidR="005019F4" w:rsidRPr="005019F4" w:rsidRDefault="005019F4" w:rsidP="00F634A6">
            <w:pPr>
              <w:numPr>
                <w:ilvl w:val="0"/>
                <w:numId w:val="17"/>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تأسيس وحدة متخصصة لإدارة المخاطر ضمن هيكل الإدارة المدرسية برئاسة نائب المدير</w:t>
            </w:r>
            <w:r w:rsidRPr="005019F4">
              <w:rPr>
                <w:rFonts w:ascii="Sakkal Majalla" w:eastAsia="Times New Roman" w:hAnsi="Sakkal Majalla" w:cs="Sakkal Majalla"/>
                <w:color w:val="374C80" w:themeColor="accent1" w:themeShade="BF"/>
                <w:sz w:val="28"/>
                <w:szCs w:val="28"/>
              </w:rPr>
              <w:t>.</w:t>
            </w:r>
          </w:p>
          <w:p w14:paraId="0A008A84" w14:textId="77777777" w:rsidR="005019F4" w:rsidRPr="005019F4" w:rsidRDefault="005019F4" w:rsidP="00F634A6">
            <w:pPr>
              <w:numPr>
                <w:ilvl w:val="0"/>
                <w:numId w:val="17"/>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عقد ورش عمل سنوية مشتركة بين إدارات التعليم والصحة والبيئة لتحديث البروتوكولات</w:t>
            </w:r>
            <w:r w:rsidRPr="005019F4">
              <w:rPr>
                <w:rFonts w:ascii="Sakkal Majalla" w:eastAsia="Times New Roman" w:hAnsi="Sakkal Majalla" w:cs="Sakkal Majalla"/>
                <w:color w:val="374C80" w:themeColor="accent1" w:themeShade="BF"/>
                <w:sz w:val="28"/>
                <w:szCs w:val="28"/>
              </w:rPr>
              <w:t>.</w:t>
            </w:r>
          </w:p>
          <w:p w14:paraId="51CEA0E0" w14:textId="77777777" w:rsidR="005019F4" w:rsidRPr="005019F4" w:rsidRDefault="005019F4" w:rsidP="00F634A6">
            <w:pPr>
              <w:numPr>
                <w:ilvl w:val="0"/>
                <w:numId w:val="17"/>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t>تطوير دليل إجرائي موحد لفحص المخاطر الصحية والبيئية قبل افتتاح كل مرحلة دراسية</w:t>
            </w:r>
            <w:r w:rsidRPr="005019F4">
              <w:rPr>
                <w:rFonts w:ascii="Sakkal Majalla" w:eastAsia="Times New Roman" w:hAnsi="Sakkal Majalla" w:cs="Sakkal Majalla"/>
                <w:color w:val="374C80" w:themeColor="accent1" w:themeShade="BF"/>
                <w:sz w:val="28"/>
                <w:szCs w:val="28"/>
              </w:rPr>
              <w:t>.</w:t>
            </w:r>
          </w:p>
        </w:tc>
      </w:tr>
      <w:tr w:rsidR="005019F4" w:rsidRPr="005019F4" w14:paraId="7103AA58" w14:textId="77777777" w:rsidTr="00096A5F">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1997" w:type="dxa"/>
          </w:tcPr>
          <w:p w14:paraId="07016537"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الدراسة </w:t>
            </w:r>
          </w:p>
        </w:tc>
        <w:tc>
          <w:tcPr>
            <w:tcW w:w="5931" w:type="dxa"/>
          </w:tcPr>
          <w:p w14:paraId="5B94A826"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بدير، أيمن إسماعيل</w:t>
            </w:r>
            <w:r w:rsidRPr="005019F4">
              <w:rPr>
                <w:rFonts w:ascii="Sakkal Majalla" w:eastAsia="Calibri" w:hAnsi="Sakkal Majalla" w:cs="Sakkal Majalla"/>
                <w:color w:val="374C80" w:themeColor="accent1" w:themeShade="BF"/>
                <w:sz w:val="28"/>
                <w:szCs w:val="28"/>
                <w:lang w:bidi="ar-EG"/>
              </w:rPr>
              <w:t xml:space="preserve"> (2023)</w:t>
            </w:r>
          </w:p>
        </w:tc>
      </w:tr>
      <w:tr w:rsidR="005019F4" w:rsidRPr="005019F4" w14:paraId="020BC988"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34AAEB6E"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أهداف الدراسة </w:t>
            </w:r>
          </w:p>
        </w:tc>
        <w:tc>
          <w:tcPr>
            <w:tcW w:w="5931" w:type="dxa"/>
          </w:tcPr>
          <w:p w14:paraId="1C169F5F" w14:textId="77777777" w:rsidR="005019F4" w:rsidRPr="005019F4" w:rsidRDefault="005019F4" w:rsidP="00F634A6">
            <w:pPr>
              <w:numPr>
                <w:ilvl w:val="0"/>
                <w:numId w:val="16"/>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تشخيص المعوقات القانونية والتنظيمية والفنية أمام إدارة المخاطر في مدارس التعليم العام</w:t>
            </w:r>
            <w:r w:rsidRPr="005019F4">
              <w:rPr>
                <w:rFonts w:ascii="Sakkal Majalla" w:eastAsia="Times New Roman" w:hAnsi="Sakkal Majalla" w:cs="Sakkal Majalla"/>
                <w:color w:val="374C80" w:themeColor="accent1" w:themeShade="BF"/>
                <w:sz w:val="28"/>
                <w:szCs w:val="28"/>
              </w:rPr>
              <w:t>.</w:t>
            </w:r>
          </w:p>
          <w:p w14:paraId="2AECD322" w14:textId="77777777" w:rsidR="005019F4" w:rsidRPr="005019F4" w:rsidRDefault="005019F4" w:rsidP="00F634A6">
            <w:pPr>
              <w:numPr>
                <w:ilvl w:val="0"/>
                <w:numId w:val="16"/>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تحليل تأثير هذه المعوقات على فعالية برامج الوقاية من الحوادث الصحية والبيئية</w:t>
            </w:r>
            <w:r w:rsidRPr="005019F4">
              <w:rPr>
                <w:rFonts w:ascii="Sakkal Majalla" w:eastAsia="Times New Roman" w:hAnsi="Sakkal Majalla" w:cs="Sakkal Majalla"/>
                <w:color w:val="374C80" w:themeColor="accent1" w:themeShade="BF"/>
                <w:sz w:val="28"/>
                <w:szCs w:val="28"/>
              </w:rPr>
              <w:t>.</w:t>
            </w:r>
          </w:p>
          <w:p w14:paraId="5A6C8E1A" w14:textId="77777777" w:rsidR="005019F4" w:rsidRPr="005019F4" w:rsidRDefault="005019F4" w:rsidP="00F634A6">
            <w:pPr>
              <w:numPr>
                <w:ilvl w:val="0"/>
                <w:numId w:val="16"/>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استكشاف سُبل المواجهة وتطوير إطار عمل عملي لتذليل العقبات</w:t>
            </w:r>
            <w:r w:rsidRPr="005019F4">
              <w:rPr>
                <w:rFonts w:ascii="Sakkal Majalla" w:eastAsia="Times New Roman" w:hAnsi="Sakkal Majalla" w:cs="Sakkal Majalla"/>
                <w:color w:val="374C80" w:themeColor="accent1" w:themeShade="BF"/>
                <w:sz w:val="28"/>
                <w:szCs w:val="28"/>
              </w:rPr>
              <w:t>.</w:t>
            </w:r>
          </w:p>
          <w:p w14:paraId="1194519E" w14:textId="77777777" w:rsidR="005019F4" w:rsidRPr="005019F4" w:rsidRDefault="005019F4" w:rsidP="00F634A6">
            <w:pPr>
              <w:numPr>
                <w:ilvl w:val="0"/>
                <w:numId w:val="16"/>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t>تقديم توصيات لتطوير السياسات والإجراءات المدرسية بما يضمن بيئة آمنة وصحية</w:t>
            </w:r>
            <w:r w:rsidRPr="005019F4">
              <w:rPr>
                <w:rFonts w:ascii="Sakkal Majalla" w:eastAsia="Times New Roman" w:hAnsi="Sakkal Majalla" w:cs="Sakkal Majalla"/>
                <w:color w:val="374C80" w:themeColor="accent1" w:themeShade="BF"/>
                <w:sz w:val="28"/>
                <w:szCs w:val="28"/>
              </w:rPr>
              <w:t>.</w:t>
            </w:r>
          </w:p>
        </w:tc>
      </w:tr>
      <w:tr w:rsidR="005019F4" w:rsidRPr="005019F4" w14:paraId="09952C39"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193F238D"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26439418"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المعوقات (القانونية، التنظيمية، الفنية)</w:t>
            </w:r>
          </w:p>
        </w:tc>
      </w:tr>
      <w:tr w:rsidR="005019F4" w:rsidRPr="005019F4" w14:paraId="7D70C868"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3ACE2F78"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12FFE13E"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فعالية إدارة المخاطر (الوقائية والاستجابة)</w:t>
            </w:r>
          </w:p>
        </w:tc>
      </w:tr>
      <w:tr w:rsidR="005019F4" w:rsidRPr="005019F4" w14:paraId="4AD7D6D7"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AC54985"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2DA26A61"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2B8FAD2F"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5559DA82"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73209659" w14:textId="77777777" w:rsidR="005019F4" w:rsidRPr="005019F4" w:rsidRDefault="005019F4" w:rsidP="005019F4">
            <w:pPr>
              <w:bidi w:val="0"/>
              <w:spacing w:before="100" w:beforeAutospacing="1" w:after="100" w:afterAutospacing="1" w:line="360" w:lineRule="auto"/>
              <w:ind w:left="450" w:firstLine="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374C80" w:themeColor="accent1" w:themeShade="BF"/>
                <w:sz w:val="28"/>
                <w:szCs w:val="28"/>
              </w:rPr>
            </w:pPr>
            <w:r w:rsidRPr="005019F4">
              <w:rPr>
                <w:rFonts w:ascii="Sakkal Majalla" w:eastAsia="Times New Roman" w:hAnsi="Sakkal Majalla" w:cs="Sakkal Majalla" w:hint="cs"/>
                <w:b/>
                <w:bCs/>
                <w:color w:val="374C80" w:themeColor="accent1" w:themeShade="BF"/>
                <w:sz w:val="28"/>
                <w:szCs w:val="28"/>
                <w:rtl/>
              </w:rPr>
              <w:t xml:space="preserve">النتائج </w:t>
            </w:r>
          </w:p>
          <w:p w14:paraId="4434CE77" w14:textId="77777777" w:rsidR="005019F4" w:rsidRPr="005019F4" w:rsidRDefault="005019F4" w:rsidP="00F634A6">
            <w:pPr>
              <w:numPr>
                <w:ilvl w:val="2"/>
                <w:numId w:val="18"/>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Pr>
              <w:t xml:space="preserve">55% </w:t>
            </w:r>
            <w:r w:rsidRPr="005019F4">
              <w:rPr>
                <w:rFonts w:ascii="Sakkal Majalla" w:eastAsia="Times New Roman" w:hAnsi="Sakkal Majalla" w:cs="Sakkal Majalla"/>
                <w:color w:val="374C80" w:themeColor="accent1" w:themeShade="BF"/>
                <w:sz w:val="28"/>
                <w:szCs w:val="28"/>
                <w:rtl/>
              </w:rPr>
              <w:t>من المدارس تفتقد خططًا واضحة للتصدي لحوادث تلوث المياه أو الانسكابات الكيميائية</w:t>
            </w:r>
            <w:r w:rsidRPr="005019F4">
              <w:rPr>
                <w:rFonts w:ascii="Sakkal Majalla" w:eastAsia="Times New Roman" w:hAnsi="Sakkal Majalla" w:cs="Sakkal Majalla"/>
                <w:color w:val="374C80" w:themeColor="accent1" w:themeShade="BF"/>
                <w:sz w:val="28"/>
                <w:szCs w:val="28"/>
              </w:rPr>
              <w:t>.</w:t>
            </w:r>
          </w:p>
          <w:p w14:paraId="38E18811" w14:textId="77777777" w:rsidR="005019F4" w:rsidRPr="005019F4" w:rsidRDefault="005019F4" w:rsidP="00F634A6">
            <w:pPr>
              <w:numPr>
                <w:ilvl w:val="2"/>
                <w:numId w:val="18"/>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أشار 60% من المشاركين إلى غياب تنسيق فعّال مع الجهات البيئية المحلية</w:t>
            </w:r>
            <w:r w:rsidRPr="005019F4">
              <w:rPr>
                <w:rFonts w:ascii="Sakkal Majalla" w:eastAsia="Times New Roman" w:hAnsi="Sakkal Majalla" w:cs="Sakkal Majalla"/>
                <w:color w:val="374C80" w:themeColor="accent1" w:themeShade="BF"/>
                <w:sz w:val="28"/>
                <w:szCs w:val="28"/>
              </w:rPr>
              <w:t>.</w:t>
            </w:r>
          </w:p>
          <w:p w14:paraId="3F2DD00A" w14:textId="77777777" w:rsidR="005019F4" w:rsidRPr="005019F4" w:rsidRDefault="005019F4" w:rsidP="00F634A6">
            <w:pPr>
              <w:numPr>
                <w:ilvl w:val="2"/>
                <w:numId w:val="18"/>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لوحظ اعتماد جزئي على التمويل الذاتي لتنفيذ الإجراءات الوقائية في 40% من المدارس</w:t>
            </w:r>
            <w:r w:rsidRPr="005019F4">
              <w:rPr>
                <w:rFonts w:ascii="Sakkal Majalla" w:eastAsia="Times New Roman" w:hAnsi="Sakkal Majalla" w:cs="Sakkal Majalla"/>
                <w:color w:val="374C80" w:themeColor="accent1" w:themeShade="BF"/>
                <w:sz w:val="28"/>
                <w:szCs w:val="28"/>
              </w:rPr>
              <w:t>.</w:t>
            </w:r>
          </w:p>
          <w:p w14:paraId="5B92DDA2" w14:textId="77777777" w:rsidR="005019F4" w:rsidRPr="005019F4" w:rsidRDefault="005019F4" w:rsidP="00F634A6">
            <w:pPr>
              <w:numPr>
                <w:ilvl w:val="1"/>
                <w:numId w:val="18"/>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التوصيات</w:t>
            </w:r>
            <w:r w:rsidRPr="005019F4">
              <w:rPr>
                <w:rFonts w:ascii="Sakkal Majalla" w:eastAsia="Times New Roman" w:hAnsi="Sakkal Majalla" w:cs="Sakkal Majalla"/>
                <w:b/>
                <w:bCs/>
                <w:color w:val="374C80" w:themeColor="accent1" w:themeShade="BF"/>
                <w:sz w:val="28"/>
                <w:szCs w:val="28"/>
              </w:rPr>
              <w:t>:</w:t>
            </w:r>
          </w:p>
          <w:p w14:paraId="2C4D6D10" w14:textId="77777777" w:rsidR="005019F4" w:rsidRPr="005019F4" w:rsidRDefault="005019F4" w:rsidP="00F634A6">
            <w:pPr>
              <w:numPr>
                <w:ilvl w:val="2"/>
                <w:numId w:val="19"/>
              </w:numPr>
              <w:spacing w:before="100" w:beforeAutospacing="1" w:after="100" w:afterAutospacing="1" w:line="360" w:lineRule="auto"/>
              <w:ind w:left="0" w:hanging="36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تعديل القوانين المدرسية لتشمل إلزامية إعداد “خطة إدارة المخاطر الصحية والبيئية” سنويًا</w:t>
            </w:r>
            <w:r w:rsidRPr="005019F4">
              <w:rPr>
                <w:rFonts w:ascii="Sakkal Majalla" w:eastAsia="Times New Roman" w:hAnsi="Sakkal Majalla" w:cs="Sakkal Majalla"/>
                <w:color w:val="374C80" w:themeColor="accent1" w:themeShade="BF"/>
                <w:sz w:val="28"/>
                <w:szCs w:val="28"/>
              </w:rPr>
              <w:t>.</w:t>
            </w:r>
          </w:p>
          <w:p w14:paraId="315DD727" w14:textId="77777777" w:rsidR="005019F4" w:rsidRPr="005019F4" w:rsidRDefault="005019F4" w:rsidP="00F634A6">
            <w:pPr>
              <w:numPr>
                <w:ilvl w:val="2"/>
                <w:numId w:val="19"/>
              </w:numPr>
              <w:spacing w:before="100" w:beforeAutospacing="1" w:after="100" w:afterAutospacing="1" w:line="360" w:lineRule="auto"/>
              <w:ind w:left="0" w:hanging="36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إنشاء صندوق دعم حكومي مخصص لتعزيز القدرات الفنية والصيانة الوقائية في المدارس</w:t>
            </w:r>
            <w:r w:rsidRPr="005019F4">
              <w:rPr>
                <w:rFonts w:ascii="Sakkal Majalla" w:eastAsia="Times New Roman" w:hAnsi="Sakkal Majalla" w:cs="Sakkal Majalla"/>
                <w:color w:val="374C80" w:themeColor="accent1" w:themeShade="BF"/>
                <w:sz w:val="28"/>
                <w:szCs w:val="28"/>
              </w:rPr>
              <w:t>.</w:t>
            </w:r>
          </w:p>
          <w:p w14:paraId="7813D2EC" w14:textId="77777777" w:rsidR="005019F4" w:rsidRPr="005019F4" w:rsidRDefault="005019F4" w:rsidP="00F634A6">
            <w:pPr>
              <w:numPr>
                <w:ilvl w:val="2"/>
                <w:numId w:val="19"/>
              </w:numPr>
              <w:spacing w:before="100" w:beforeAutospacing="1" w:after="100" w:afterAutospacing="1" w:line="360" w:lineRule="auto"/>
              <w:ind w:left="0" w:hanging="36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lastRenderedPageBreak/>
              <w:t>تفعيل شراكات مع الجهات البيئية والصحية لتوفير استشارات منتظمة وزيارات تفقدية دورية</w:t>
            </w:r>
          </w:p>
        </w:tc>
      </w:tr>
      <w:tr w:rsidR="005019F4" w:rsidRPr="005019F4" w14:paraId="6B235B5F"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41F3AAE2"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الدراسة </w:t>
            </w:r>
          </w:p>
        </w:tc>
        <w:tc>
          <w:tcPr>
            <w:tcW w:w="5931" w:type="dxa"/>
          </w:tcPr>
          <w:p w14:paraId="3BEF6C87"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 xml:space="preserve">معياش، إدير </w:t>
            </w:r>
            <w:r w:rsidRPr="005019F4">
              <w:rPr>
                <w:rFonts w:ascii="Sakkal Majalla" w:eastAsia="Calibri" w:hAnsi="Sakkal Majalla" w:cs="Sakkal Majalla" w:hint="cs"/>
                <w:color w:val="374C80" w:themeColor="accent1" w:themeShade="BF"/>
                <w:sz w:val="28"/>
                <w:szCs w:val="28"/>
                <w:rtl/>
                <w:lang w:bidi="ar-EG"/>
              </w:rPr>
              <w:t xml:space="preserve">، </w:t>
            </w:r>
            <w:r w:rsidRPr="005019F4">
              <w:rPr>
                <w:rFonts w:ascii="Sakkal Majalla" w:eastAsia="Calibri" w:hAnsi="Sakkal Majalla" w:cs="Sakkal Majalla"/>
                <w:color w:val="374C80" w:themeColor="accent1" w:themeShade="BF"/>
                <w:sz w:val="28"/>
                <w:szCs w:val="28"/>
                <w:lang w:bidi="ar-EG"/>
              </w:rPr>
              <w:t xml:space="preserve"> </w:t>
            </w:r>
            <w:r w:rsidRPr="005019F4">
              <w:rPr>
                <w:rFonts w:ascii="Sakkal Majalla" w:eastAsia="Calibri" w:hAnsi="Sakkal Majalla" w:cs="Sakkal Majalla"/>
                <w:color w:val="374C80" w:themeColor="accent1" w:themeShade="BF"/>
                <w:sz w:val="28"/>
                <w:szCs w:val="28"/>
                <w:rtl/>
              </w:rPr>
              <w:t>راشدي، وردية</w:t>
            </w:r>
            <w:r w:rsidRPr="005019F4">
              <w:rPr>
                <w:rFonts w:ascii="Sakkal Majalla" w:eastAsia="Calibri" w:hAnsi="Sakkal Majalla" w:cs="Sakkal Majalla"/>
                <w:color w:val="374C80" w:themeColor="accent1" w:themeShade="BF"/>
                <w:sz w:val="28"/>
                <w:szCs w:val="28"/>
                <w:lang w:bidi="ar-EG"/>
              </w:rPr>
              <w:t xml:space="preserve"> (2021)</w:t>
            </w:r>
          </w:p>
        </w:tc>
      </w:tr>
      <w:tr w:rsidR="005019F4" w:rsidRPr="005019F4" w14:paraId="4E0252AD"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46752DAB"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1865D12A" w14:textId="77777777" w:rsidR="005019F4" w:rsidRPr="005019F4" w:rsidRDefault="005019F4" w:rsidP="00F634A6">
            <w:pPr>
              <w:numPr>
                <w:ilvl w:val="0"/>
                <w:numId w:val="19"/>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استكشاف كيف يؤثر “اتصال المخاطر” في قدرة المجتمعات المحلية على التفاعل مع الأزمات الصحية العالمية</w:t>
            </w:r>
            <w:r w:rsidRPr="005019F4">
              <w:rPr>
                <w:rFonts w:ascii="Sakkal Majalla" w:eastAsia="Times New Roman" w:hAnsi="Sakkal Majalla" w:cs="Sakkal Majalla"/>
                <w:color w:val="374C80" w:themeColor="accent1" w:themeShade="BF"/>
                <w:sz w:val="28"/>
                <w:szCs w:val="28"/>
              </w:rPr>
              <w:t>.</w:t>
            </w:r>
          </w:p>
          <w:p w14:paraId="1515FC25" w14:textId="77777777" w:rsidR="005019F4" w:rsidRPr="005019F4" w:rsidRDefault="005019F4" w:rsidP="00F634A6">
            <w:pPr>
              <w:numPr>
                <w:ilvl w:val="0"/>
                <w:numId w:val="19"/>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تحليل دور قنوات الاتصال الرسمية وغير الرسمية في نشر المعلومات وتوجيه السلوكيات الوقائية</w:t>
            </w:r>
            <w:r w:rsidRPr="005019F4">
              <w:rPr>
                <w:rFonts w:ascii="Sakkal Majalla" w:eastAsia="Times New Roman" w:hAnsi="Sakkal Majalla" w:cs="Sakkal Majalla"/>
                <w:color w:val="374C80" w:themeColor="accent1" w:themeShade="BF"/>
                <w:sz w:val="28"/>
                <w:szCs w:val="28"/>
              </w:rPr>
              <w:t>.</w:t>
            </w:r>
          </w:p>
          <w:p w14:paraId="0776E0A6" w14:textId="77777777" w:rsidR="005019F4" w:rsidRPr="005019F4" w:rsidRDefault="005019F4" w:rsidP="00F634A6">
            <w:pPr>
              <w:numPr>
                <w:ilvl w:val="0"/>
                <w:numId w:val="19"/>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دراسة التأثيرات الثقافية واللغوية على فاعلية رسائل الاتصال أثناء الأزمة</w:t>
            </w:r>
            <w:r w:rsidRPr="005019F4">
              <w:rPr>
                <w:rFonts w:ascii="Sakkal Majalla" w:eastAsia="Times New Roman" w:hAnsi="Sakkal Majalla" w:cs="Sakkal Majalla"/>
                <w:color w:val="374C80" w:themeColor="accent1" w:themeShade="BF"/>
                <w:sz w:val="28"/>
                <w:szCs w:val="28"/>
              </w:rPr>
              <w:t>.</w:t>
            </w:r>
          </w:p>
          <w:p w14:paraId="76950589" w14:textId="77777777" w:rsidR="005019F4" w:rsidRPr="005019F4" w:rsidRDefault="005019F4" w:rsidP="00F634A6">
            <w:pPr>
              <w:numPr>
                <w:ilvl w:val="0"/>
                <w:numId w:val="19"/>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t>تقديم توصيات لتعزيز استراتيجيات اتصال المخاطر في السياقات المتعددة الثقافات</w:t>
            </w:r>
            <w:r w:rsidRPr="005019F4">
              <w:rPr>
                <w:rFonts w:ascii="Sakkal Majalla" w:eastAsia="Times New Roman" w:hAnsi="Sakkal Majalla" w:cs="Sakkal Majalla"/>
                <w:color w:val="374C80" w:themeColor="accent1" w:themeShade="BF"/>
                <w:sz w:val="28"/>
                <w:szCs w:val="28"/>
              </w:rPr>
              <w:t>.</w:t>
            </w:r>
          </w:p>
        </w:tc>
      </w:tr>
      <w:tr w:rsidR="005019F4" w:rsidRPr="005019F4" w14:paraId="0C329953"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4A2AA511"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610B5E6E"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فعالية اتصال المخاطر (مصداقية المصدر، وضوح الرسالة، تنوع القنوات)</w:t>
            </w:r>
          </w:p>
        </w:tc>
      </w:tr>
      <w:tr w:rsidR="005019F4" w:rsidRPr="005019F4" w14:paraId="3D4C3E7F"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0C30C632"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463012C1" w14:textId="77777777" w:rsidR="005019F4" w:rsidRPr="005019F4" w:rsidRDefault="005019F4" w:rsidP="005019F4">
            <w:pPr>
              <w:bidi w:val="0"/>
              <w:spacing w:line="360" w:lineRule="auto"/>
              <w:ind w:left="72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قدرة المجتمع على التكيف والاستجابة (معدل الالتزام بالإجراءات، سرعة الانتشار المعرفي)</w:t>
            </w:r>
          </w:p>
        </w:tc>
      </w:tr>
      <w:tr w:rsidR="005019F4" w:rsidRPr="005019F4" w14:paraId="7CC86C1E"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31065372"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5ABC16ED"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24A2B533"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2FE8BBED"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0E7E44D9"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b/>
                <w:bCs/>
                <w:color w:val="374C80" w:themeColor="accent1" w:themeShade="BF"/>
                <w:sz w:val="28"/>
                <w:szCs w:val="28"/>
                <w:rtl/>
              </w:rPr>
              <w:t>النتائج</w:t>
            </w:r>
            <w:r w:rsidRPr="005019F4">
              <w:rPr>
                <w:rFonts w:ascii="Sakkal Majalla" w:eastAsia="Calibri" w:hAnsi="Sakkal Majalla" w:cs="Sakkal Majalla"/>
                <w:b/>
                <w:bCs/>
                <w:color w:val="374C80" w:themeColor="accent1" w:themeShade="BF"/>
                <w:sz w:val="28"/>
                <w:szCs w:val="28"/>
                <w:lang w:bidi="ar-EG"/>
              </w:rPr>
              <w:t>:</w:t>
            </w:r>
          </w:p>
          <w:p w14:paraId="1D23F2D4" w14:textId="77777777" w:rsidR="005019F4" w:rsidRPr="005019F4" w:rsidRDefault="005019F4" w:rsidP="00F634A6">
            <w:pPr>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ارتفاع مستوى الثقة في قنوات الاتصال المحلية (65%) مقارنة بالقنوات الرسمية</w:t>
            </w:r>
            <w:r w:rsidRPr="005019F4">
              <w:rPr>
                <w:rFonts w:ascii="Sakkal Majalla" w:eastAsia="Calibri" w:hAnsi="Sakkal Majalla" w:cs="Sakkal Majalla"/>
                <w:color w:val="374C80" w:themeColor="accent1" w:themeShade="BF"/>
                <w:sz w:val="28"/>
                <w:szCs w:val="28"/>
                <w:lang w:bidi="ar-EG"/>
              </w:rPr>
              <w:t xml:space="preserve"> (35%).</w:t>
            </w:r>
          </w:p>
          <w:p w14:paraId="07277920" w14:textId="77777777" w:rsidR="005019F4" w:rsidRPr="005019F4" w:rsidRDefault="005019F4" w:rsidP="00F634A6">
            <w:pPr>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لعبت المؤسسات الدينية والقبائلية دوراً محورياً في نشر الرسائل الوقائية واستدراج الالتزام بالإجراءات</w:t>
            </w:r>
            <w:r w:rsidRPr="005019F4">
              <w:rPr>
                <w:rFonts w:ascii="Sakkal Majalla" w:eastAsia="Calibri" w:hAnsi="Sakkal Majalla" w:cs="Sakkal Majalla"/>
                <w:color w:val="374C80" w:themeColor="accent1" w:themeShade="BF"/>
                <w:sz w:val="28"/>
                <w:szCs w:val="28"/>
                <w:lang w:bidi="ar-EG"/>
              </w:rPr>
              <w:t>.</w:t>
            </w:r>
          </w:p>
          <w:p w14:paraId="105E6664" w14:textId="77777777" w:rsidR="005019F4" w:rsidRPr="005019F4" w:rsidRDefault="005019F4" w:rsidP="00F634A6">
            <w:pPr>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أثرت التداخلات اللغوية واللهجات المحلية على فهم بعض المصطلحات العلمية، مما استلزم تبسيط المفردات</w:t>
            </w:r>
            <w:r w:rsidRPr="005019F4">
              <w:rPr>
                <w:rFonts w:ascii="Sakkal Majalla" w:eastAsia="Calibri" w:hAnsi="Sakkal Majalla" w:cs="Sakkal Majalla"/>
                <w:color w:val="374C80" w:themeColor="accent1" w:themeShade="BF"/>
                <w:sz w:val="28"/>
                <w:szCs w:val="28"/>
                <w:lang w:bidi="ar-EG"/>
              </w:rPr>
              <w:t>.</w:t>
            </w:r>
          </w:p>
          <w:p w14:paraId="108AD2C9"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32"/>
                <w:szCs w:val="32"/>
                <w:lang w:bidi="ar-EG"/>
              </w:rPr>
            </w:pPr>
            <w:r w:rsidRPr="005019F4">
              <w:rPr>
                <w:rFonts w:ascii="Sakkal Majalla" w:eastAsia="Calibri" w:hAnsi="Sakkal Majalla" w:cs="Sakkal Majalla"/>
                <w:b/>
                <w:bCs/>
                <w:color w:val="374C80" w:themeColor="accent1" w:themeShade="BF"/>
                <w:sz w:val="32"/>
                <w:szCs w:val="32"/>
                <w:rtl/>
              </w:rPr>
              <w:lastRenderedPageBreak/>
              <w:t>التوصيات</w:t>
            </w:r>
            <w:r w:rsidRPr="005019F4">
              <w:rPr>
                <w:rFonts w:ascii="Sakkal Majalla" w:eastAsia="Calibri" w:hAnsi="Sakkal Majalla" w:cs="Sakkal Majalla"/>
                <w:b/>
                <w:bCs/>
                <w:color w:val="374C80" w:themeColor="accent1" w:themeShade="BF"/>
                <w:sz w:val="32"/>
                <w:szCs w:val="32"/>
                <w:lang w:bidi="ar-EG"/>
              </w:rPr>
              <w:t>:</w:t>
            </w:r>
          </w:p>
          <w:p w14:paraId="38C5354C" w14:textId="77777777" w:rsidR="005019F4" w:rsidRPr="005019F4" w:rsidRDefault="005019F4" w:rsidP="00F634A6">
            <w:pPr>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تصميم حملات اتصال موجهة باللهجات المحلية وبإشراك الزعماء التقليديين لزيادة المصداقية</w:t>
            </w:r>
            <w:r w:rsidRPr="005019F4">
              <w:rPr>
                <w:rFonts w:ascii="Sakkal Majalla" w:eastAsia="Calibri" w:hAnsi="Sakkal Majalla" w:cs="Sakkal Majalla"/>
                <w:color w:val="374C80" w:themeColor="accent1" w:themeShade="BF"/>
                <w:sz w:val="28"/>
                <w:szCs w:val="28"/>
                <w:lang w:bidi="ar-EG"/>
              </w:rPr>
              <w:t>.</w:t>
            </w:r>
          </w:p>
          <w:p w14:paraId="009A7B02" w14:textId="77777777" w:rsidR="005019F4" w:rsidRPr="005019F4" w:rsidRDefault="005019F4" w:rsidP="00F634A6">
            <w:pPr>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تطوير منصة تفاعلية تجمع بين الرسائل المرئية والصوتية لتغطية فئات أمية وغير متعلمة</w:t>
            </w:r>
            <w:r w:rsidRPr="005019F4">
              <w:rPr>
                <w:rFonts w:ascii="Sakkal Majalla" w:eastAsia="Calibri" w:hAnsi="Sakkal Majalla" w:cs="Sakkal Majalla"/>
                <w:color w:val="374C80" w:themeColor="accent1" w:themeShade="BF"/>
                <w:sz w:val="28"/>
                <w:szCs w:val="28"/>
                <w:lang w:bidi="ar-EG"/>
              </w:rPr>
              <w:t>.</w:t>
            </w:r>
          </w:p>
          <w:p w14:paraId="416D9966" w14:textId="77777777" w:rsidR="005019F4" w:rsidRPr="005019F4" w:rsidRDefault="005019F4" w:rsidP="00F634A6">
            <w:pPr>
              <w:numPr>
                <w:ilvl w:val="0"/>
                <w:numId w:val="21"/>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إقامة شراكات مع شبكات التواصل الاجتماعي المحلية لتعزيز سرعة انتشار المعلومات وتصحيح الشائعات</w:t>
            </w:r>
            <w:r w:rsidRPr="005019F4">
              <w:rPr>
                <w:rFonts w:ascii="Sakkal Majalla" w:eastAsia="Calibri" w:hAnsi="Sakkal Majalla" w:cs="Sakkal Majalla"/>
                <w:color w:val="374C80" w:themeColor="accent1" w:themeShade="BF"/>
                <w:sz w:val="28"/>
                <w:szCs w:val="28"/>
                <w:lang w:bidi="ar-EG"/>
              </w:rPr>
              <w:t>.</w:t>
            </w:r>
          </w:p>
        </w:tc>
      </w:tr>
      <w:tr w:rsidR="005019F4" w:rsidRPr="005019F4" w14:paraId="6C1EBD0B"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shd w:val="clear" w:color="auto" w:fill="0070C0"/>
          </w:tcPr>
          <w:p w14:paraId="110E2DFC"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الدراسة </w:t>
            </w:r>
          </w:p>
        </w:tc>
        <w:tc>
          <w:tcPr>
            <w:tcW w:w="5931" w:type="dxa"/>
            <w:shd w:val="clear" w:color="auto" w:fill="0070C0"/>
          </w:tcPr>
          <w:p w14:paraId="6806E8D2"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نصر الله، إنعام محمود؛ أبو شقرا، مروان؛ فرحات، محمد (2017)</w:t>
            </w:r>
          </w:p>
        </w:tc>
      </w:tr>
      <w:tr w:rsidR="005019F4" w:rsidRPr="005019F4" w14:paraId="714D04CE"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72473964"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3171AED6"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هدفت هذه الدراسة إلى استكشاف الكيفية التي تسهم بها مبادرات إدارة الجودة الشاملة في الحد من انتشار العدوى المكتسبة داخل المستشفى ات، وذلك عبر تحليل ارتباط أدوات الجودة الشاملة—مثل دوائر “</w:t>
            </w:r>
            <w:r w:rsidRPr="005019F4">
              <w:rPr>
                <w:rFonts w:ascii="Sakkal Majalla" w:eastAsia="Calibri" w:hAnsi="Sakkal Majalla" w:cs="Sakkal Majalla"/>
                <w:color w:val="374C80" w:themeColor="accent1" w:themeShade="BF"/>
                <w:sz w:val="28"/>
                <w:szCs w:val="28"/>
                <w:lang w:bidi="ar-EG"/>
              </w:rPr>
              <w:t>PDCA</w:t>
            </w:r>
            <w:r w:rsidRPr="005019F4">
              <w:rPr>
                <w:rFonts w:ascii="Sakkal Majalla" w:eastAsia="Calibri" w:hAnsi="Sakkal Majalla" w:cs="Sakkal Majalla"/>
                <w:color w:val="374C80" w:themeColor="accent1" w:themeShade="BF"/>
                <w:sz w:val="28"/>
                <w:szCs w:val="28"/>
                <w:rtl/>
                <w:lang w:bidi="ar-EG"/>
              </w:rPr>
              <w:t>” ونظم التحسين المستمر</w:t>
            </w:r>
            <w:r w:rsidRPr="005019F4">
              <w:rPr>
                <w:rFonts w:ascii="Sakkal Majalla" w:eastAsia="Calibri" w:hAnsi="Sakkal Majalla" w:cs="Sakkal Majalla" w:hint="cs"/>
                <w:color w:val="374C80" w:themeColor="accent1" w:themeShade="BF"/>
                <w:sz w:val="28"/>
                <w:szCs w:val="28"/>
                <w:rtl/>
                <w:lang w:bidi="ar-EG"/>
              </w:rPr>
              <w:t xml:space="preserve"> </w:t>
            </w:r>
            <w:r w:rsidRPr="005019F4">
              <w:rPr>
                <w:rFonts w:ascii="Sakkal Majalla" w:eastAsia="Calibri" w:hAnsi="Sakkal Majalla" w:cs="Sakkal Majalla"/>
                <w:color w:val="374C80" w:themeColor="accent1" w:themeShade="BF"/>
                <w:sz w:val="28"/>
                <w:szCs w:val="28"/>
                <w:rtl/>
                <w:lang w:bidi="ar-EG"/>
              </w:rPr>
              <w:t>بمؤشرات معدلات الإصابة بعدوى المستشفيات ورضا المرضى. كما سعت إلى تحديد الممارسات التنظيمية والفنية التي تعيق تطبيق معايير الجودة الشاملة في أقسام العناية الصحية، واقتراح نماذج تطويرية لتعزيز فاعلية هذه البرامج.</w:t>
            </w:r>
          </w:p>
        </w:tc>
      </w:tr>
      <w:tr w:rsidR="005019F4" w:rsidRPr="005019F4" w14:paraId="0647BD65"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32BE5477"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4ABB15FF"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مدى تطبيق مبادرات إدارة الجودة الشاملة (دوائر </w:t>
            </w:r>
            <w:r w:rsidRPr="005019F4">
              <w:rPr>
                <w:rFonts w:ascii="Sakkal Majalla" w:eastAsia="Calibri" w:hAnsi="Sakkal Majalla" w:cs="Sakkal Majalla"/>
                <w:color w:val="374C80" w:themeColor="accent1" w:themeShade="BF"/>
                <w:sz w:val="28"/>
                <w:szCs w:val="28"/>
                <w:lang w:bidi="ar-EG"/>
              </w:rPr>
              <w:t>PDCA</w:t>
            </w:r>
            <w:r w:rsidRPr="005019F4">
              <w:rPr>
                <w:rFonts w:ascii="Sakkal Majalla" w:eastAsia="Calibri" w:hAnsi="Sakkal Majalla" w:cs="Sakkal Majalla"/>
                <w:color w:val="374C80" w:themeColor="accent1" w:themeShade="BF"/>
                <w:sz w:val="28"/>
                <w:szCs w:val="28"/>
                <w:rtl/>
                <w:lang w:bidi="ar-EG"/>
              </w:rPr>
              <w:t>، فرق التحسين المستمر).</w:t>
            </w:r>
          </w:p>
        </w:tc>
      </w:tr>
      <w:tr w:rsidR="005019F4" w:rsidRPr="005019F4" w14:paraId="042ED33A"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0939726F"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7BE7BC46"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معدلات الإصابات المكتسبة داخل المستشفيات (جودة مكافحة العدوى).</w:t>
            </w:r>
          </w:p>
        </w:tc>
      </w:tr>
      <w:tr w:rsidR="005019F4" w:rsidRPr="005019F4" w14:paraId="55923F9C"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136A0D0C"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668348F1"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67EAEC01" w14:textId="77777777" w:rsidTr="00096A5F">
        <w:trPr>
          <w:trHeight w:val="787"/>
        </w:trPr>
        <w:tc>
          <w:tcPr>
            <w:cnfStyle w:val="001000000000" w:firstRow="0" w:lastRow="0" w:firstColumn="1" w:lastColumn="0" w:oddVBand="0" w:evenVBand="0" w:oddHBand="0" w:evenHBand="0" w:firstRowFirstColumn="0" w:firstRowLastColumn="0" w:lastRowFirstColumn="0" w:lastRowLastColumn="0"/>
            <w:tcW w:w="1997" w:type="dxa"/>
          </w:tcPr>
          <w:p w14:paraId="669F196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009DE361" w14:textId="77777777" w:rsidR="005019F4" w:rsidRPr="005019F4" w:rsidRDefault="005019F4" w:rsidP="005019F4">
            <w:pPr>
              <w:bidi w:val="0"/>
              <w:spacing w:before="100" w:beforeAutospacing="1" w:after="100" w:afterAutospacing="1" w:line="360" w:lineRule="auto"/>
              <w:ind w:left="0" w:firstLine="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أهم النتائج</w:t>
            </w:r>
            <w:r w:rsidRPr="005019F4">
              <w:rPr>
                <w:rFonts w:ascii="Sakkal Majalla" w:eastAsia="Times New Roman" w:hAnsi="Sakkal Majalla" w:cs="Sakkal Majalla"/>
                <w:color w:val="374C80" w:themeColor="accent1" w:themeShade="BF"/>
                <w:sz w:val="28"/>
                <w:szCs w:val="28"/>
              </w:rPr>
              <w:br/>
            </w:r>
            <w:r w:rsidRPr="005019F4">
              <w:rPr>
                <w:rFonts w:ascii="Sakkal Majalla" w:eastAsia="Times New Roman" w:hAnsi="Sakkal Majalla" w:cs="Sakkal Majalla"/>
                <w:color w:val="374C80" w:themeColor="accent1" w:themeShade="BF"/>
                <w:sz w:val="28"/>
                <w:szCs w:val="28"/>
                <w:rtl/>
              </w:rPr>
              <w:t>أظهرت الدراسة أن تطبيق معايير إدارة الجودة الشاملة يرتبط تناسبياً عالياً مع انخفاض نسبة الإصابات المكتسبة داخل المستشفى ات. إذ ارتفع مؤشر “الدائرة التحسينية</w:t>
            </w:r>
            <w:r w:rsidRPr="005019F4">
              <w:rPr>
                <w:rFonts w:ascii="Sakkal Majalla" w:eastAsia="Times New Roman" w:hAnsi="Sakkal Majalla" w:cs="Sakkal Majalla"/>
                <w:color w:val="374C80" w:themeColor="accent1" w:themeShade="BF"/>
                <w:sz w:val="28"/>
                <w:szCs w:val="28"/>
              </w:rPr>
              <w:t xml:space="preserve">” PDCA </w:t>
            </w:r>
            <w:r w:rsidRPr="005019F4">
              <w:rPr>
                <w:rFonts w:ascii="Sakkal Majalla" w:eastAsia="Times New Roman" w:hAnsi="Sakkal Majalla" w:cs="Sakkal Majalla"/>
                <w:color w:val="374C80" w:themeColor="accent1" w:themeShade="BF"/>
                <w:sz w:val="28"/>
                <w:szCs w:val="28"/>
                <w:rtl/>
              </w:rPr>
              <w:t xml:space="preserve">بنسبة 30% في الوحدات التي اعتمدت فرقاً </w:t>
            </w:r>
            <w:r w:rsidRPr="005019F4">
              <w:rPr>
                <w:rFonts w:ascii="Sakkal Majalla" w:eastAsia="Times New Roman" w:hAnsi="Sakkal Majalla" w:cs="Sakkal Majalla"/>
                <w:color w:val="374C80" w:themeColor="accent1" w:themeShade="BF"/>
                <w:sz w:val="28"/>
                <w:szCs w:val="28"/>
                <w:rtl/>
              </w:rPr>
              <w:lastRenderedPageBreak/>
              <w:t>متعددة التخصصات لمراجعة الإجراءات الوقائية، مما انعكس على خفض معدلات العدوى بنحو 18%. كما تبين وجود فجوات تنظيمية في المستشفيات التي لم تُنشئ وحدات جودة متخصصة، كان لها أثر واضح في تأخر الاستجابة للأحداث الوبائية وتقارب متوسط زمن الاستشفاء مع المستشفيات التي لم تطبق برامج الجودة</w:t>
            </w:r>
            <w:r w:rsidRPr="005019F4">
              <w:rPr>
                <w:rFonts w:ascii="Sakkal Majalla" w:eastAsia="Times New Roman" w:hAnsi="Sakkal Majalla" w:cs="Sakkal Majalla"/>
                <w:color w:val="374C80" w:themeColor="accent1" w:themeShade="BF"/>
                <w:sz w:val="28"/>
                <w:szCs w:val="28"/>
              </w:rPr>
              <w:t>.</w:t>
            </w:r>
          </w:p>
          <w:p w14:paraId="4428AFBE" w14:textId="77777777" w:rsidR="005019F4" w:rsidRPr="005019F4" w:rsidRDefault="005019F4" w:rsidP="005019F4">
            <w:pPr>
              <w:bidi w:val="0"/>
              <w:spacing w:before="100" w:beforeAutospacing="1" w:after="100" w:afterAutospacing="1"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b/>
                <w:bCs/>
                <w:color w:val="374C80" w:themeColor="accent1" w:themeShade="BF"/>
                <w:sz w:val="28"/>
                <w:szCs w:val="28"/>
                <w:rtl/>
              </w:rPr>
              <w:t>التوصيات</w:t>
            </w:r>
            <w:r w:rsidRPr="005019F4">
              <w:rPr>
                <w:rFonts w:ascii="Sakkal Majalla" w:eastAsia="Times New Roman" w:hAnsi="Sakkal Majalla" w:cs="Sakkal Majalla"/>
                <w:b/>
                <w:bCs/>
                <w:color w:val="374C80" w:themeColor="accent1" w:themeShade="BF"/>
                <w:sz w:val="28"/>
                <w:szCs w:val="28"/>
              </w:rPr>
              <w:t>:</w:t>
            </w:r>
            <w:r w:rsidRPr="005019F4">
              <w:rPr>
                <w:rFonts w:ascii="Sakkal Majalla" w:eastAsia="Times New Roman" w:hAnsi="Sakkal Majalla" w:cs="Sakkal Majalla"/>
                <w:color w:val="374C80" w:themeColor="accent1" w:themeShade="BF"/>
                <w:sz w:val="28"/>
                <w:szCs w:val="28"/>
              </w:rPr>
              <w:br/>
            </w:r>
            <w:r w:rsidRPr="005019F4">
              <w:rPr>
                <w:rFonts w:ascii="Sakkal Majalla" w:eastAsia="Times New Roman" w:hAnsi="Sakkal Majalla" w:cs="Sakkal Majalla"/>
                <w:color w:val="374C80" w:themeColor="accent1" w:themeShade="BF"/>
                <w:sz w:val="28"/>
                <w:szCs w:val="28"/>
                <w:rtl/>
              </w:rPr>
              <w:t>أوصت الدراسة بضرورة تقنين إنشاء وحدات متخصصة لإدارة الجودة الشاملة ضمن هيكل المستشفى، على أن تُمنح صلاحيات مستقلة لمتابعة مؤشرات مكافحة العدوى وتطبيق دوائر</w:t>
            </w:r>
            <w:r w:rsidRPr="005019F4">
              <w:rPr>
                <w:rFonts w:ascii="Sakkal Majalla" w:eastAsia="Times New Roman" w:hAnsi="Sakkal Majalla" w:cs="Sakkal Majalla"/>
                <w:color w:val="374C80" w:themeColor="accent1" w:themeShade="BF"/>
                <w:sz w:val="28"/>
                <w:szCs w:val="28"/>
              </w:rPr>
              <w:t xml:space="preserve"> PDCA </w:t>
            </w:r>
            <w:r w:rsidRPr="005019F4">
              <w:rPr>
                <w:rFonts w:ascii="Sakkal Majalla" w:eastAsia="Times New Roman" w:hAnsi="Sakkal Majalla" w:cs="Sakkal Majalla"/>
                <w:color w:val="374C80" w:themeColor="accent1" w:themeShade="BF"/>
                <w:sz w:val="28"/>
                <w:szCs w:val="28"/>
                <w:rtl/>
              </w:rPr>
              <w:t>بشكل دوري. كما دعت إلى تدريب الموظفين الطبيين والإداريين على أدوات التحسين المستمر وإشراكهم في ورش عمل لتحليل أسباب الحوادث الوبائية وتطوير خطط علاجية استباقية، فضلاً عن ربط مكافآت الأداء بمعايير الجودة وتأثيرها في تقليل معدلات العدوى</w:t>
            </w:r>
            <w:r w:rsidRPr="005019F4">
              <w:rPr>
                <w:rFonts w:ascii="Sakkal Majalla" w:eastAsia="Times New Roman" w:hAnsi="Sakkal Majalla" w:cs="Sakkal Majalla"/>
                <w:color w:val="374C80" w:themeColor="accent1" w:themeShade="BF"/>
                <w:sz w:val="28"/>
                <w:szCs w:val="28"/>
              </w:rPr>
              <w:t>.</w:t>
            </w:r>
          </w:p>
        </w:tc>
      </w:tr>
      <w:tr w:rsidR="005019F4" w:rsidRPr="005019F4" w14:paraId="29065AD1"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3A6CE1D1"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الدراسة </w:t>
            </w:r>
          </w:p>
        </w:tc>
        <w:tc>
          <w:tcPr>
            <w:tcW w:w="5931" w:type="dxa"/>
          </w:tcPr>
          <w:p w14:paraId="7E1FE7A3"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المكاوي، أحمد</w:t>
            </w:r>
            <w:r w:rsidRPr="005019F4">
              <w:rPr>
                <w:rFonts w:ascii="Sakkal Majalla" w:eastAsia="Calibri" w:hAnsi="Sakkal Majalla" w:cs="Sakkal Majalla"/>
                <w:color w:val="374C80" w:themeColor="accent1" w:themeShade="BF"/>
                <w:sz w:val="28"/>
                <w:szCs w:val="28"/>
                <w:lang w:bidi="ar-EG"/>
              </w:rPr>
              <w:t xml:space="preserve"> (2022)</w:t>
            </w:r>
          </w:p>
        </w:tc>
      </w:tr>
      <w:tr w:rsidR="005019F4" w:rsidRPr="005019F4" w14:paraId="5461FE38"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73D6CE7A"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12BC1443"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lang w:bidi="ar-EG"/>
              </w:rPr>
              <w:t xml:space="preserve">  </w:t>
            </w:r>
            <w:r w:rsidRPr="005019F4">
              <w:rPr>
                <w:rFonts w:ascii="Sakkal Majalla" w:eastAsia="Calibri" w:hAnsi="Sakkal Majalla" w:cs="Sakkal Majalla"/>
                <w:color w:val="374C80" w:themeColor="accent1" w:themeShade="BF"/>
                <w:sz w:val="28"/>
                <w:szCs w:val="28"/>
                <w:rtl/>
              </w:rPr>
              <w:t>هدفت الدراسة إلى تتبع مظاهر انتشار الأوبئة في المغرب خلال القرن التاسع عشر، وتحليل الإجراءات الاحترازية التي اتخذتها السلطات المحلية والفئات المجتمعية في مواجهة هذه الأوبئة. كما سعت إلى تقييم فاعلية هذه الإجراءات من منظور التاريخ الاجتماعي والبيئي، وفهم كيفية تفاعل الثقافة المحلية مع مفاهيم الوقاية الصحية أولى المجتمعات الإسلامية مع مواجهة الأوبئة</w:t>
            </w:r>
            <w:r w:rsidRPr="005019F4">
              <w:rPr>
                <w:rFonts w:ascii="Sakkal Majalla" w:eastAsia="Calibri" w:hAnsi="Sakkal Majalla" w:cs="Sakkal Majalla"/>
                <w:color w:val="374C80" w:themeColor="accent1" w:themeShade="BF"/>
                <w:sz w:val="28"/>
                <w:szCs w:val="28"/>
                <w:lang w:bidi="ar-EG"/>
              </w:rPr>
              <w:t>.</w:t>
            </w:r>
          </w:p>
        </w:tc>
      </w:tr>
      <w:tr w:rsidR="005019F4" w:rsidRPr="005019F4" w14:paraId="3A7682F3"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4E6286CE"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34DA6C38"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الإجراءات الاحترازية المتخذة لمواجهة الأوبئة في المغرب القرن التاسع عشر (حظر الأسواق، تعقيم الآبار، حملات التوعية الدينية).</w:t>
            </w:r>
          </w:p>
        </w:tc>
      </w:tr>
      <w:tr w:rsidR="005019F4" w:rsidRPr="005019F4" w14:paraId="748FFE64"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6F8A7F9D"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2F4E93FC"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درجة انتشار الأوبئة ومؤشرات تفشّي العدوى التاريخية</w:t>
            </w:r>
          </w:p>
        </w:tc>
      </w:tr>
      <w:tr w:rsidR="005019F4" w:rsidRPr="005019F4" w14:paraId="5A30590D"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531F25FB"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منهجية البحث </w:t>
            </w:r>
          </w:p>
        </w:tc>
        <w:tc>
          <w:tcPr>
            <w:tcW w:w="5931" w:type="dxa"/>
          </w:tcPr>
          <w:p w14:paraId="6D00FE80"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0A1A32E7"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0BD53EF0"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0EDC304B" w14:textId="77777777" w:rsidR="005019F4" w:rsidRPr="005019F4" w:rsidRDefault="005019F4" w:rsidP="00F634A6">
            <w:pPr>
              <w:numPr>
                <w:ilvl w:val="0"/>
                <w:numId w:val="22"/>
              </w:num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b/>
                <w:bCs/>
                <w:color w:val="374C80" w:themeColor="accent1" w:themeShade="BF"/>
                <w:sz w:val="28"/>
                <w:szCs w:val="28"/>
                <w:rtl/>
              </w:rPr>
              <w:t>أهم النتائج</w:t>
            </w:r>
            <w:r w:rsidRPr="005019F4">
              <w:rPr>
                <w:rFonts w:ascii="Sakkal Majalla" w:eastAsia="Calibri" w:hAnsi="Sakkal Majalla" w:cs="Sakkal Majalla"/>
                <w:b/>
                <w:bCs/>
                <w:color w:val="374C80" w:themeColor="accent1" w:themeShade="BF"/>
                <w:sz w:val="28"/>
                <w:szCs w:val="28"/>
                <w:lang w:bidi="ar-EG"/>
              </w:rPr>
              <w:t>:</w:t>
            </w:r>
            <w:r w:rsidRPr="005019F4">
              <w:rPr>
                <w:rFonts w:ascii="Sakkal Majalla" w:eastAsia="Calibri" w:hAnsi="Sakkal Majalla" w:cs="Sakkal Majalla"/>
                <w:color w:val="374C80" w:themeColor="accent1" w:themeShade="BF"/>
                <w:sz w:val="28"/>
                <w:szCs w:val="28"/>
                <w:lang w:bidi="ar-EG"/>
              </w:rPr>
              <w:br/>
            </w:r>
            <w:r w:rsidRPr="005019F4">
              <w:rPr>
                <w:rFonts w:ascii="Sakkal Majalla" w:eastAsia="Calibri" w:hAnsi="Sakkal Majalla" w:cs="Sakkal Majalla"/>
                <w:color w:val="374C80" w:themeColor="accent1" w:themeShade="BF"/>
                <w:sz w:val="28"/>
                <w:szCs w:val="28"/>
                <w:rtl/>
              </w:rPr>
              <w:t>كشفت الدراسة عن انتشار متكرر لأوبئة الكوليرا والطاعون في مناطق المغرب الساحلية والداخلية، نتيجة لضعف البنية التحتية الصحية وغياب تأطير مؤسسي للوقاية. ورغم ذلك، برزت مبادرات مجتمعية—مثل تقنين الأسواق وتعقيم الآبار بالخل—أسهمت في تقليل انتشار العدوى بدرجة ملحوظة. كما تداخلت التقاليد الدينية مع الاجراءات الاحترازية، فانعكست إيجابياً عن طريق حملات التوعية التي أطلقها العلماء والفقهاء، والتي استندت إلى نصوص دينية تحث على النظافة وعلو شأن الوقاية</w:t>
            </w:r>
            <w:r w:rsidRPr="005019F4">
              <w:rPr>
                <w:rFonts w:ascii="Sakkal Majalla" w:eastAsia="Calibri" w:hAnsi="Sakkal Majalla" w:cs="Sakkal Majalla"/>
                <w:color w:val="374C80" w:themeColor="accent1" w:themeShade="BF"/>
                <w:sz w:val="28"/>
                <w:szCs w:val="28"/>
                <w:lang w:bidi="ar-EG"/>
              </w:rPr>
              <w:t>.</w:t>
            </w:r>
          </w:p>
          <w:p w14:paraId="30355C14" w14:textId="77777777" w:rsidR="005019F4" w:rsidRPr="005019F4" w:rsidRDefault="005019F4" w:rsidP="00F634A6">
            <w:pPr>
              <w:numPr>
                <w:ilvl w:val="0"/>
                <w:numId w:val="22"/>
              </w:num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b/>
                <w:bCs/>
                <w:color w:val="374C80" w:themeColor="accent1" w:themeShade="BF"/>
                <w:sz w:val="28"/>
                <w:szCs w:val="28"/>
                <w:rtl/>
              </w:rPr>
              <w:t>التوصيات</w:t>
            </w:r>
            <w:r w:rsidRPr="005019F4">
              <w:rPr>
                <w:rFonts w:ascii="Sakkal Majalla" w:eastAsia="Calibri" w:hAnsi="Sakkal Majalla" w:cs="Sakkal Majalla"/>
                <w:b/>
                <w:bCs/>
                <w:color w:val="374C80" w:themeColor="accent1" w:themeShade="BF"/>
                <w:sz w:val="28"/>
                <w:szCs w:val="28"/>
                <w:lang w:bidi="ar-EG"/>
              </w:rPr>
              <w:t>:</w:t>
            </w:r>
            <w:r w:rsidRPr="005019F4">
              <w:rPr>
                <w:rFonts w:ascii="Sakkal Majalla" w:eastAsia="Calibri" w:hAnsi="Sakkal Majalla" w:cs="Sakkal Majalla"/>
                <w:color w:val="374C80" w:themeColor="accent1" w:themeShade="BF"/>
                <w:sz w:val="28"/>
                <w:szCs w:val="28"/>
                <w:lang w:bidi="ar-EG"/>
              </w:rPr>
              <w:br/>
            </w:r>
            <w:r w:rsidRPr="005019F4">
              <w:rPr>
                <w:rFonts w:ascii="Sakkal Majalla" w:eastAsia="Calibri" w:hAnsi="Sakkal Majalla" w:cs="Sakkal Majalla"/>
                <w:color w:val="374C80" w:themeColor="accent1" w:themeShade="BF"/>
                <w:sz w:val="28"/>
                <w:szCs w:val="28"/>
                <w:rtl/>
              </w:rPr>
              <w:t>أوصى الباحث بإعادة قراءة تجربة المغرب التاريخية في مكافحة الأوبئة للاستفادة من مبادئها في مواجهة التحديات الصحية الراهنة، خاصة في الدول ذات البيئات المتشابهة. كما دعا إلى توثيق الممارسات التقليدية الناجحة والعمل على دمجها مع النظم الصحية الحديثة عبر برامج توعية تاريخية وحضارية، وإقامة شراكات بحثية بين مؤسسات التاريخ والطب لتعميق فهم السياق الثقافي للممارسات الوقائية</w:t>
            </w:r>
            <w:r w:rsidRPr="005019F4">
              <w:rPr>
                <w:rFonts w:ascii="Sakkal Majalla" w:eastAsia="Calibri" w:hAnsi="Sakkal Majalla" w:cs="Sakkal Majalla"/>
                <w:color w:val="374C80" w:themeColor="accent1" w:themeShade="BF"/>
                <w:sz w:val="28"/>
                <w:szCs w:val="28"/>
                <w:lang w:bidi="ar-EG"/>
              </w:rPr>
              <w:t>.</w:t>
            </w:r>
          </w:p>
        </w:tc>
      </w:tr>
      <w:tr w:rsidR="005019F4" w:rsidRPr="005019F4" w14:paraId="267E8BDB"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2A1F6DE9"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الدراسة </w:t>
            </w:r>
          </w:p>
        </w:tc>
        <w:tc>
          <w:tcPr>
            <w:tcW w:w="5931" w:type="dxa"/>
          </w:tcPr>
          <w:p w14:paraId="12C83AA5"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هادي، شهد أحمد </w:t>
            </w:r>
            <w:r w:rsidRPr="005019F4">
              <w:rPr>
                <w:rFonts w:ascii="Sakkal Majalla" w:eastAsia="Calibri" w:hAnsi="Sakkal Majalla" w:cs="Sakkal Majalla" w:hint="cs"/>
                <w:color w:val="374C80" w:themeColor="accent1" w:themeShade="BF"/>
                <w:sz w:val="28"/>
                <w:szCs w:val="28"/>
                <w:rtl/>
                <w:lang w:bidi="ar-EG"/>
              </w:rPr>
              <w:t>عبد الل</w:t>
            </w:r>
            <w:r w:rsidRPr="005019F4">
              <w:rPr>
                <w:rFonts w:ascii="Sakkal Majalla" w:eastAsia="Calibri" w:hAnsi="Sakkal Majalla" w:cs="Sakkal Majalla" w:hint="eastAsia"/>
                <w:color w:val="374C80" w:themeColor="accent1" w:themeShade="BF"/>
                <w:sz w:val="28"/>
                <w:szCs w:val="28"/>
                <w:rtl/>
                <w:lang w:bidi="ar-EG"/>
              </w:rPr>
              <w:t>ه</w:t>
            </w:r>
            <w:r w:rsidRPr="005019F4">
              <w:rPr>
                <w:rFonts w:ascii="Sakkal Majalla" w:eastAsia="Calibri" w:hAnsi="Sakkal Majalla" w:cs="Sakkal Majalla"/>
                <w:color w:val="374C80" w:themeColor="accent1" w:themeShade="BF"/>
                <w:sz w:val="28"/>
                <w:szCs w:val="28"/>
                <w:rtl/>
                <w:lang w:bidi="ar-EG"/>
              </w:rPr>
              <w:t xml:space="preserve"> (2020)</w:t>
            </w:r>
          </w:p>
        </w:tc>
      </w:tr>
      <w:tr w:rsidR="005019F4" w:rsidRPr="005019F4" w14:paraId="16DE525A"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5FC8281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1CB640BD"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 xml:space="preserve">تهدف الدراسة إلى تأصيل الإجراءات الاحترازية المتبعة في دولة الكويت خلال وباء كوفيد-19 من المنظور الفقهي والقانوني، وذلك بفحص مدى توافق هذه الإجراءات مع النصوص الشرعية وأحكام الفقه الإسلامي، وكذلك مع الإطار التشريعي الكويتي الخاص بالأوبئة والطوارئ. كما تقيم الدراسة أثر هذه </w:t>
            </w:r>
            <w:r w:rsidRPr="005019F4">
              <w:rPr>
                <w:rFonts w:ascii="Sakkal Majalla" w:eastAsia="Calibri" w:hAnsi="Sakkal Majalla" w:cs="Sakkal Majalla"/>
                <w:color w:val="374C80" w:themeColor="accent1" w:themeShade="BF"/>
                <w:sz w:val="28"/>
                <w:szCs w:val="28"/>
                <w:rtl/>
              </w:rPr>
              <w:lastRenderedPageBreak/>
              <w:t>الإجراءات على السلوك الاجتماعي وتلتقط الدلالات الفقهية التي تدعم أو تقيد بعض التدابير الوقائية</w:t>
            </w:r>
            <w:r w:rsidRPr="005019F4">
              <w:rPr>
                <w:rFonts w:ascii="Sakkal Majalla" w:eastAsia="Calibri" w:hAnsi="Sakkal Majalla" w:cs="Sakkal Majalla"/>
                <w:color w:val="374C80" w:themeColor="accent1" w:themeShade="BF"/>
                <w:sz w:val="28"/>
                <w:szCs w:val="28"/>
                <w:lang w:bidi="ar-EG"/>
              </w:rPr>
              <w:t>.</w:t>
            </w:r>
          </w:p>
        </w:tc>
      </w:tr>
      <w:tr w:rsidR="005019F4" w:rsidRPr="005019F4" w14:paraId="7BC00355"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A0A094E"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المتغير المستقل</w:t>
            </w:r>
          </w:p>
        </w:tc>
        <w:tc>
          <w:tcPr>
            <w:tcW w:w="5931" w:type="dxa"/>
          </w:tcPr>
          <w:p w14:paraId="1E13E189"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الإجراءات الاحترازية الفقهية والقانونية المعتمدة في الكويت خلال جائحة كوفيد-19 (حظر التجول، تعليق صلاة الجماعة، قرارات الحجر الصحي).</w:t>
            </w:r>
          </w:p>
        </w:tc>
      </w:tr>
      <w:tr w:rsidR="005019F4" w:rsidRPr="005019F4" w14:paraId="32EF6A95"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104CC76C"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6C8B314E"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معدل انتشار عدوى فيروس كورونا المستجد (انخفاض/ارتفاع الإصابات).</w:t>
            </w:r>
          </w:p>
        </w:tc>
      </w:tr>
      <w:tr w:rsidR="005019F4" w:rsidRPr="005019F4" w14:paraId="79CE0FC6"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25D8A9AD"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03F219A2"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16018A5D"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71401A69"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4342152C" w14:textId="77777777" w:rsidR="005019F4" w:rsidRPr="005019F4" w:rsidRDefault="005019F4" w:rsidP="005019F4">
            <w:pPr>
              <w:bidi w:val="0"/>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b/>
                <w:bCs/>
                <w:color w:val="374C80" w:themeColor="accent1" w:themeShade="BF"/>
                <w:sz w:val="28"/>
                <w:szCs w:val="28"/>
                <w:rtl/>
              </w:rPr>
              <w:t>أهم النتائج</w:t>
            </w:r>
            <w:r w:rsidRPr="005019F4">
              <w:rPr>
                <w:rFonts w:ascii="Sakkal Majalla" w:eastAsia="Calibri" w:hAnsi="Sakkal Majalla" w:cs="Sakkal Majalla"/>
                <w:b/>
                <w:bCs/>
                <w:color w:val="374C80" w:themeColor="accent1" w:themeShade="BF"/>
                <w:sz w:val="28"/>
                <w:szCs w:val="28"/>
                <w:lang w:bidi="ar-EG"/>
              </w:rPr>
              <w:t>:</w:t>
            </w:r>
            <w:r w:rsidRPr="005019F4">
              <w:rPr>
                <w:rFonts w:ascii="Sakkal Majalla" w:eastAsia="Calibri" w:hAnsi="Sakkal Majalla" w:cs="Sakkal Majalla"/>
                <w:color w:val="374C80" w:themeColor="accent1" w:themeShade="BF"/>
                <w:sz w:val="28"/>
                <w:szCs w:val="28"/>
                <w:lang w:bidi="ar-EG"/>
              </w:rPr>
              <w:br/>
            </w:r>
            <w:r w:rsidRPr="005019F4">
              <w:rPr>
                <w:rFonts w:ascii="Sakkal Majalla" w:eastAsia="Calibri" w:hAnsi="Sakkal Majalla" w:cs="Sakkal Majalla"/>
                <w:color w:val="374C80" w:themeColor="accent1" w:themeShade="BF"/>
                <w:sz w:val="28"/>
                <w:szCs w:val="28"/>
                <w:rtl/>
              </w:rPr>
              <w:t>توصلت الدراسة إلى أن معظم الإجراءات الاحترازية—كحظر التجول المؤقت، وتعليق صلاة الجماعة، وإغلاق دور العبادة—كانت مبررة شرعياً عبر مبدأ “دفع المفاسد أولى من جلب المصالح”، ومحمية قانونياً بموجب قانون الطوارئ الصحية. كما أظهرت أن المكافحة المجتمعية للأوبئة في الكويت استفادت من تضافر السلطات الشرعية والإدارية في إصدار الفتاوى والتوجيهات التي عززت التزام المواطنين، مما ساعد في خفض معدل الإصابات بنحو 25% خلال الأسابيع الأولى للجائحة</w:t>
            </w:r>
            <w:r w:rsidRPr="005019F4">
              <w:rPr>
                <w:rFonts w:ascii="Sakkal Majalla" w:eastAsia="Calibri" w:hAnsi="Sakkal Majalla" w:cs="Sakkal Majalla"/>
                <w:color w:val="374C80" w:themeColor="accent1" w:themeShade="BF"/>
                <w:sz w:val="28"/>
                <w:szCs w:val="28"/>
                <w:lang w:bidi="ar-EG"/>
              </w:rPr>
              <w:t>.</w:t>
            </w:r>
          </w:p>
          <w:p w14:paraId="59330988"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b/>
                <w:bCs/>
                <w:color w:val="374C80" w:themeColor="accent1" w:themeShade="BF"/>
                <w:sz w:val="28"/>
                <w:szCs w:val="28"/>
                <w:rtl/>
              </w:rPr>
              <w:t>التوصيات</w:t>
            </w:r>
            <w:r w:rsidRPr="005019F4">
              <w:rPr>
                <w:rFonts w:ascii="Sakkal Majalla" w:eastAsia="Calibri" w:hAnsi="Sakkal Majalla" w:cs="Sakkal Majalla"/>
                <w:b/>
                <w:bCs/>
                <w:color w:val="374C80" w:themeColor="accent1" w:themeShade="BF"/>
                <w:sz w:val="28"/>
                <w:szCs w:val="28"/>
                <w:lang w:bidi="ar-EG"/>
              </w:rPr>
              <w:t>:</w:t>
            </w:r>
            <w:r w:rsidRPr="005019F4">
              <w:rPr>
                <w:rFonts w:ascii="Sakkal Majalla" w:eastAsia="Calibri" w:hAnsi="Sakkal Majalla" w:cs="Sakkal Majalla"/>
                <w:color w:val="374C80" w:themeColor="accent1" w:themeShade="BF"/>
                <w:sz w:val="28"/>
                <w:szCs w:val="28"/>
                <w:lang w:bidi="ar-EG"/>
              </w:rPr>
              <w:br/>
            </w:r>
            <w:r w:rsidRPr="005019F4">
              <w:rPr>
                <w:rFonts w:ascii="Sakkal Majalla" w:eastAsia="Calibri" w:hAnsi="Sakkal Majalla" w:cs="Sakkal Majalla"/>
                <w:color w:val="374C80" w:themeColor="accent1" w:themeShade="BF"/>
                <w:sz w:val="28"/>
                <w:szCs w:val="28"/>
                <w:rtl/>
              </w:rPr>
              <w:t>أوصت الدراسة بضرورة تضمين النصوص التشريعية مستقبلاً نصوصاً واضحة للتعامل مع الأوبئة، مع صكوك توافقية بين السلطات الشرعية والقانونية تضمن سرعة إصدار الفتاوى وتفعيلها. كما دعت إلى إنشاء “دائرة فقه الطوارئ” تعمل بشكل استشاري مع وزارة الصحة لتقديم توصيات فقهية في الوقت الحقيقي، وتعزيز دور الإعلام الإسلامي في توجيه السلوكيات الوقائية باستخدام المنابر التقليدية والرقمية</w:t>
            </w:r>
            <w:r w:rsidRPr="005019F4">
              <w:rPr>
                <w:rFonts w:ascii="Sakkal Majalla" w:eastAsia="Calibri" w:hAnsi="Sakkal Majalla" w:cs="Sakkal Majalla"/>
                <w:color w:val="374C80" w:themeColor="accent1" w:themeShade="BF"/>
                <w:sz w:val="28"/>
                <w:szCs w:val="28"/>
                <w:lang w:bidi="ar-EG"/>
              </w:rPr>
              <w:t>.</w:t>
            </w:r>
          </w:p>
        </w:tc>
      </w:tr>
      <w:tr w:rsidR="005019F4" w:rsidRPr="005019F4" w14:paraId="55914034"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5425D119"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الدراسة </w:t>
            </w:r>
          </w:p>
        </w:tc>
        <w:tc>
          <w:tcPr>
            <w:tcW w:w="5931" w:type="dxa"/>
          </w:tcPr>
          <w:p w14:paraId="49D39894"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 xml:space="preserve">محمد، حسن </w:t>
            </w:r>
            <w:r w:rsidRPr="005019F4">
              <w:rPr>
                <w:rFonts w:ascii="Sakkal Majalla" w:eastAsia="Calibri" w:hAnsi="Sakkal Majalla" w:cs="Sakkal Majalla" w:hint="cs"/>
                <w:color w:val="374C80" w:themeColor="accent1" w:themeShade="BF"/>
                <w:sz w:val="28"/>
                <w:szCs w:val="28"/>
                <w:rtl/>
              </w:rPr>
              <w:t>عبد الفتا</w:t>
            </w:r>
            <w:r w:rsidRPr="005019F4">
              <w:rPr>
                <w:rFonts w:ascii="Sakkal Majalla" w:eastAsia="Calibri" w:hAnsi="Sakkal Majalla" w:cs="Sakkal Majalla" w:hint="eastAsia"/>
                <w:color w:val="374C80" w:themeColor="accent1" w:themeShade="BF"/>
                <w:sz w:val="28"/>
                <w:szCs w:val="28"/>
                <w:rtl/>
              </w:rPr>
              <w:t>ح</w:t>
            </w:r>
            <w:r w:rsidRPr="005019F4">
              <w:rPr>
                <w:rFonts w:ascii="Sakkal Majalla" w:eastAsia="Calibri" w:hAnsi="Sakkal Majalla" w:cs="Sakkal Majalla"/>
                <w:color w:val="374C80" w:themeColor="accent1" w:themeShade="BF"/>
                <w:sz w:val="28"/>
                <w:szCs w:val="28"/>
                <w:rtl/>
              </w:rPr>
              <w:t xml:space="preserve"> السيد</w:t>
            </w:r>
            <w:r w:rsidRPr="005019F4">
              <w:rPr>
                <w:rFonts w:ascii="Sakkal Majalla" w:eastAsia="Calibri" w:hAnsi="Sakkal Majalla" w:cs="Sakkal Majalla"/>
                <w:color w:val="374C80" w:themeColor="accent1" w:themeShade="BF"/>
                <w:sz w:val="28"/>
                <w:szCs w:val="28"/>
                <w:lang w:bidi="ar-EG"/>
              </w:rPr>
              <w:t xml:space="preserve"> (2015)</w:t>
            </w:r>
          </w:p>
        </w:tc>
      </w:tr>
      <w:tr w:rsidR="005019F4" w:rsidRPr="005019F4" w14:paraId="46D81340"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4058EDF2"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أهداف الدراسة </w:t>
            </w:r>
          </w:p>
        </w:tc>
        <w:tc>
          <w:tcPr>
            <w:tcW w:w="5931" w:type="dxa"/>
          </w:tcPr>
          <w:p w14:paraId="2EAD3BB3"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هدفت هذه الدراسة إلى استعراض وتقييم التدابير الوقائية المنهجية لمكافحة الأمراض المعدية والوبائية بالجمع بين الرؤية الفقهية الإسلامية والطب الحديث، وذلك من خلال تحليل النصوص الشرعية التي تتناول النظافة والوقاية وأوامر الحجر، ومقارنتها بالتوصيات الصحية المعاصرة الصادرة عن المنظمات الطبية العالمية</w:t>
            </w:r>
            <w:r w:rsidRPr="005019F4">
              <w:rPr>
                <w:rFonts w:ascii="Sakkal Majalla" w:eastAsia="Calibri" w:hAnsi="Sakkal Majalla" w:cs="Sakkal Majalla"/>
                <w:color w:val="374C80" w:themeColor="accent1" w:themeShade="BF"/>
                <w:sz w:val="28"/>
                <w:szCs w:val="28"/>
                <w:lang w:bidi="ar-EG"/>
              </w:rPr>
              <w:t>.</w:t>
            </w:r>
          </w:p>
        </w:tc>
      </w:tr>
      <w:tr w:rsidR="005019F4" w:rsidRPr="005019F4" w14:paraId="72DD2F9D"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A675431"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1915C2C1"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التدابير الوقائية من منظور الفقه الإسلامي والطب الحديث (الوضوء، الحجر الصحي، التباعد، النظافة).</w:t>
            </w:r>
          </w:p>
        </w:tc>
      </w:tr>
      <w:tr w:rsidR="005019F4" w:rsidRPr="005019F4" w14:paraId="4595CF2A"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2A78A182"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70D8BB49"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فعالية مكافحة الأمراض المعدية والوبائية (مستوى الالتزام بالبروتوكولات، عدد الإصابات).</w:t>
            </w:r>
          </w:p>
        </w:tc>
      </w:tr>
      <w:tr w:rsidR="005019F4" w:rsidRPr="005019F4" w14:paraId="5E09B92F"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1F394A9D"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73F02008"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79B32729"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361217AB"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6F22BB8F" w14:textId="77777777" w:rsidR="005019F4" w:rsidRPr="005019F4" w:rsidRDefault="005019F4" w:rsidP="005019F4">
            <w:pPr>
              <w:bidi w:val="0"/>
              <w:spacing w:before="100" w:beforeAutospacing="1" w:after="100" w:afterAutospacing="1" w:line="360" w:lineRule="auto"/>
              <w:ind w:left="0" w:firstLine="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أهم النتائج</w:t>
            </w:r>
            <w:r w:rsidRPr="005019F4">
              <w:rPr>
                <w:rFonts w:ascii="Sakkal Majalla" w:eastAsia="Times New Roman" w:hAnsi="Sakkal Majalla" w:cs="Sakkal Majalla"/>
                <w:color w:val="374C80" w:themeColor="accent1" w:themeShade="BF"/>
                <w:sz w:val="28"/>
                <w:szCs w:val="28"/>
              </w:rPr>
              <w:br/>
            </w:r>
            <w:r w:rsidRPr="005019F4">
              <w:rPr>
                <w:rFonts w:ascii="Sakkal Majalla" w:eastAsia="Times New Roman" w:hAnsi="Sakkal Majalla" w:cs="Sakkal Majalla"/>
                <w:color w:val="374C80" w:themeColor="accent1" w:themeShade="BF"/>
                <w:sz w:val="28"/>
                <w:szCs w:val="28"/>
                <w:rtl/>
              </w:rPr>
              <w:t>بيّنت الدراسة تقاطعاً كبيراً بين مبادئ الفقه الإسلامي—كوجوب الوضوء والتطهر والحجر الصحي—وتوصيات منظمة الصحة العالمية بشأن مكافحة الأوبئة. فقد أسهمت التعليمات الشرعية المتعلقة بتفادي السفر ووقف صلاة الجماعة أثناء الأوبئة في دعم الإجراءات الصحية الحديثة. كما تبين أن الالتزام بالتدابير الفقهية يسهم في تعزيز الانضباط الفردي والمجتمعي تجاه البروتوكولات الطبية، مما يرفع من نسبة الالتزام بالإرشادات الوقائية بنسبة تتراوح بين 20–30</w:t>
            </w:r>
            <w:r w:rsidRPr="005019F4">
              <w:rPr>
                <w:rFonts w:ascii="Sakkal Majalla" w:eastAsia="Times New Roman" w:hAnsi="Sakkal Majalla" w:cs="Sakkal Majalla"/>
                <w:color w:val="374C80" w:themeColor="accent1" w:themeShade="BF"/>
                <w:sz w:val="28"/>
                <w:szCs w:val="28"/>
              </w:rPr>
              <w:t>%.</w:t>
            </w:r>
          </w:p>
          <w:p w14:paraId="22823EE2" w14:textId="77777777" w:rsidR="005019F4" w:rsidRPr="005019F4" w:rsidRDefault="005019F4" w:rsidP="005019F4">
            <w:pPr>
              <w:bidi w:val="0"/>
              <w:spacing w:before="100" w:beforeAutospacing="1" w:after="100" w:afterAutospacing="1"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b/>
                <w:bCs/>
                <w:color w:val="374C80" w:themeColor="accent1" w:themeShade="BF"/>
                <w:sz w:val="28"/>
                <w:szCs w:val="28"/>
                <w:rtl/>
              </w:rPr>
              <w:t>التوصيات</w:t>
            </w:r>
            <w:r w:rsidRPr="005019F4">
              <w:rPr>
                <w:rFonts w:ascii="Sakkal Majalla" w:eastAsia="Times New Roman" w:hAnsi="Sakkal Majalla" w:cs="Sakkal Majalla"/>
                <w:b/>
                <w:bCs/>
                <w:color w:val="374C80" w:themeColor="accent1" w:themeShade="BF"/>
                <w:sz w:val="28"/>
                <w:szCs w:val="28"/>
              </w:rPr>
              <w:t>:</w:t>
            </w:r>
            <w:r w:rsidRPr="005019F4">
              <w:rPr>
                <w:rFonts w:ascii="Sakkal Majalla" w:eastAsia="Times New Roman" w:hAnsi="Sakkal Majalla" w:cs="Sakkal Majalla"/>
                <w:color w:val="374C80" w:themeColor="accent1" w:themeShade="BF"/>
                <w:sz w:val="28"/>
                <w:szCs w:val="28"/>
              </w:rPr>
              <w:br/>
            </w:r>
            <w:r w:rsidRPr="005019F4">
              <w:rPr>
                <w:rFonts w:ascii="Sakkal Majalla" w:eastAsia="Times New Roman" w:hAnsi="Sakkal Majalla" w:cs="Sakkal Majalla"/>
                <w:color w:val="374C80" w:themeColor="accent1" w:themeShade="BF"/>
                <w:sz w:val="28"/>
                <w:szCs w:val="28"/>
                <w:rtl/>
              </w:rPr>
              <w:t xml:space="preserve">أوصى الباحث بدمج المفاهيم الفقهية المتعلقة بالوقاية ضمن برامج التوعية الصحية الحديثة، وتدريب الأئمة ووعاظ المساجد على نقل المعلومات العلمية بشكل متوافق مع النصوص الشرعية. كما دعا إلى تعاون وثيق بين </w:t>
            </w:r>
            <w:r w:rsidRPr="005019F4">
              <w:rPr>
                <w:rFonts w:ascii="Sakkal Majalla" w:eastAsia="Times New Roman" w:hAnsi="Sakkal Majalla" w:cs="Sakkal Majalla"/>
                <w:color w:val="374C80" w:themeColor="accent1" w:themeShade="BF"/>
                <w:sz w:val="28"/>
                <w:szCs w:val="28"/>
                <w:rtl/>
              </w:rPr>
              <w:lastRenderedPageBreak/>
              <w:t>الهيئات الطبية والهيئات الدينية لتطوير مواد تثقيفية مشتركة تُوزع في المراكز الصحية ودور العبادة</w:t>
            </w:r>
            <w:r w:rsidRPr="005019F4">
              <w:rPr>
                <w:rFonts w:ascii="Sakkal Majalla" w:eastAsia="Times New Roman" w:hAnsi="Sakkal Majalla" w:cs="Sakkal Majalla"/>
                <w:color w:val="374C80" w:themeColor="accent1" w:themeShade="BF"/>
                <w:sz w:val="28"/>
                <w:szCs w:val="28"/>
              </w:rPr>
              <w:t>.</w:t>
            </w:r>
          </w:p>
        </w:tc>
      </w:tr>
      <w:tr w:rsidR="005019F4" w:rsidRPr="005019F4" w14:paraId="2E1B3B69"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8F23F89"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الدراسة </w:t>
            </w:r>
          </w:p>
        </w:tc>
        <w:tc>
          <w:tcPr>
            <w:tcW w:w="5931" w:type="dxa"/>
          </w:tcPr>
          <w:p w14:paraId="307C5D7C"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الصباح، أريج بسام؛ مناوي، وفاء؛ الخراز، لبنى</w:t>
            </w:r>
            <w:r w:rsidRPr="005019F4">
              <w:rPr>
                <w:rFonts w:ascii="Sakkal Majalla" w:eastAsia="Calibri" w:hAnsi="Sakkal Majalla" w:cs="Sakkal Majalla"/>
                <w:color w:val="374C80" w:themeColor="accent1" w:themeShade="BF"/>
                <w:sz w:val="28"/>
                <w:szCs w:val="28"/>
                <w:lang w:bidi="ar-EG"/>
              </w:rPr>
              <w:t xml:space="preserve"> (2021)</w:t>
            </w:r>
          </w:p>
        </w:tc>
      </w:tr>
      <w:tr w:rsidR="005019F4" w:rsidRPr="005019F4" w14:paraId="4F7A6490"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65C2EB0E"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01C075F8"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lang w:bidi="ar-EG"/>
              </w:rPr>
              <w:t xml:space="preserve">  </w:t>
            </w:r>
            <w:r w:rsidRPr="005019F4">
              <w:rPr>
                <w:rFonts w:ascii="Sakkal Majalla" w:eastAsia="Calibri" w:hAnsi="Sakkal Majalla" w:cs="Sakkal Majalla"/>
                <w:color w:val="374C80" w:themeColor="accent1" w:themeShade="BF"/>
                <w:sz w:val="28"/>
                <w:szCs w:val="28"/>
                <w:rtl/>
              </w:rPr>
              <w:t>هدفت هذه الدراسة إلى تقييم مدى انتشار العدوى المتبادلة</w:t>
            </w:r>
            <w:r w:rsidRPr="005019F4">
              <w:rPr>
                <w:rFonts w:ascii="Sakkal Majalla" w:eastAsia="Calibri" w:hAnsi="Sakkal Majalla" w:cs="Sakkal Majalla"/>
                <w:color w:val="374C80" w:themeColor="accent1" w:themeShade="BF"/>
                <w:sz w:val="28"/>
                <w:szCs w:val="28"/>
                <w:lang w:bidi="ar-EG"/>
              </w:rPr>
              <w:t xml:space="preserve"> (Cross-Infection) </w:t>
            </w:r>
            <w:r w:rsidRPr="005019F4">
              <w:rPr>
                <w:rFonts w:ascii="Sakkal Majalla" w:eastAsia="Calibri" w:hAnsi="Sakkal Majalla" w:cs="Sakkal Majalla"/>
                <w:color w:val="374C80" w:themeColor="accent1" w:themeShade="BF"/>
                <w:sz w:val="28"/>
                <w:szCs w:val="28"/>
                <w:rtl/>
              </w:rPr>
              <w:t>في عيادات طب الأسنان بمنطقتي نابلس وطولكرم، وتحليل كفاءة إجراءات مكافحة العدوى المتبعة—من تعقيم الأدوات إلى استخدام الحواجز الواقية</w:t>
            </w:r>
            <w:r w:rsidRPr="005019F4">
              <w:rPr>
                <w:rFonts w:ascii="Sakkal Majalla" w:eastAsia="Calibri" w:hAnsi="Sakkal Majalla" w:cs="Sakkal Majalla" w:hint="cs"/>
                <w:color w:val="374C80" w:themeColor="accent1" w:themeShade="BF"/>
                <w:sz w:val="28"/>
                <w:szCs w:val="28"/>
                <w:rtl/>
              </w:rPr>
              <w:t xml:space="preserve"> </w:t>
            </w:r>
            <w:r w:rsidRPr="005019F4">
              <w:rPr>
                <w:rFonts w:ascii="Sakkal Majalla" w:eastAsia="Calibri" w:hAnsi="Sakkal Majalla" w:cs="Sakkal Majalla"/>
                <w:color w:val="374C80" w:themeColor="accent1" w:themeShade="BF"/>
                <w:sz w:val="28"/>
                <w:szCs w:val="28"/>
                <w:rtl/>
              </w:rPr>
              <w:t>بما يضمن سلامة المرضى والمعالجين. كما سعت إلى تحديد نقاط الضعف التشغيلية في بروتوكولات التعقيم واقتراح خطط لتطوير الأداء الوقائي</w:t>
            </w:r>
            <w:r w:rsidRPr="005019F4">
              <w:rPr>
                <w:rFonts w:ascii="Sakkal Majalla" w:eastAsia="Calibri" w:hAnsi="Sakkal Majalla" w:cs="Sakkal Majalla"/>
                <w:color w:val="374C80" w:themeColor="accent1" w:themeShade="BF"/>
                <w:sz w:val="28"/>
                <w:szCs w:val="28"/>
                <w:lang w:bidi="ar-EG"/>
              </w:rPr>
              <w:t>.</w:t>
            </w:r>
          </w:p>
        </w:tc>
      </w:tr>
      <w:tr w:rsidR="005019F4" w:rsidRPr="005019F4" w14:paraId="5314ACF8"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2570CE5E"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73A9C5C3"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كفاءة إجراءات مكافحة العدوى في عيادات طب الأسنان (جداول الصيانة، تعقيم الأدوات، وسائل الوقاية الشخصية).</w:t>
            </w:r>
          </w:p>
        </w:tc>
      </w:tr>
      <w:tr w:rsidR="005019F4" w:rsidRPr="005019F4" w14:paraId="2D1BA109"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5B3C8BEC"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3CD0B0CE"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معدلات العدوى المتبادلة (</w:t>
            </w:r>
            <w:r w:rsidRPr="005019F4">
              <w:rPr>
                <w:rFonts w:ascii="Sakkal Majalla" w:eastAsia="Calibri" w:hAnsi="Sakkal Majalla" w:cs="Sakkal Majalla"/>
                <w:color w:val="374C80" w:themeColor="accent1" w:themeShade="BF"/>
                <w:sz w:val="28"/>
                <w:szCs w:val="28"/>
                <w:lang w:bidi="ar-EG"/>
              </w:rPr>
              <w:t>Cross-Infection</w:t>
            </w:r>
            <w:r w:rsidRPr="005019F4">
              <w:rPr>
                <w:rFonts w:ascii="Sakkal Majalla" w:eastAsia="Calibri" w:hAnsi="Sakkal Majalla" w:cs="Sakkal Majalla"/>
                <w:color w:val="374C80" w:themeColor="accent1" w:themeShade="BF"/>
                <w:sz w:val="28"/>
                <w:szCs w:val="28"/>
                <w:rtl/>
                <w:lang w:bidi="ar-EG"/>
              </w:rPr>
              <w:t>) بين المرضى والمعالجين.</w:t>
            </w:r>
          </w:p>
        </w:tc>
      </w:tr>
      <w:tr w:rsidR="005019F4" w:rsidRPr="005019F4" w14:paraId="25ADBA4C"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17FD93B7"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761884DB"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401C20D9"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14D0CF74"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29B34073" w14:textId="77777777" w:rsidR="005019F4" w:rsidRPr="005019F4" w:rsidRDefault="005019F4" w:rsidP="00F634A6">
            <w:pPr>
              <w:numPr>
                <w:ilvl w:val="0"/>
                <w:numId w:val="23"/>
              </w:num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أهم النتائج</w:t>
            </w:r>
            <w:r w:rsidRPr="005019F4">
              <w:rPr>
                <w:rFonts w:ascii="Sakkal Majalla" w:eastAsia="Times New Roman" w:hAnsi="Sakkal Majalla" w:cs="Sakkal Majalla"/>
                <w:b/>
                <w:bCs/>
                <w:color w:val="374C80" w:themeColor="accent1" w:themeShade="BF"/>
                <w:sz w:val="28"/>
                <w:szCs w:val="28"/>
              </w:rPr>
              <w:t>:</w:t>
            </w:r>
            <w:r w:rsidRPr="005019F4">
              <w:rPr>
                <w:rFonts w:ascii="Sakkal Majalla" w:eastAsia="Times New Roman" w:hAnsi="Sakkal Majalla" w:cs="Sakkal Majalla"/>
                <w:color w:val="374C80" w:themeColor="accent1" w:themeShade="BF"/>
                <w:sz w:val="28"/>
                <w:szCs w:val="28"/>
              </w:rPr>
              <w:br/>
            </w:r>
            <w:r w:rsidRPr="005019F4">
              <w:rPr>
                <w:rFonts w:ascii="Sakkal Majalla" w:eastAsia="Times New Roman" w:hAnsi="Sakkal Majalla" w:cs="Sakkal Majalla"/>
                <w:color w:val="374C80" w:themeColor="accent1" w:themeShade="BF"/>
                <w:sz w:val="28"/>
                <w:szCs w:val="28"/>
                <w:rtl/>
              </w:rPr>
              <w:t>بيّنت الدراسة تقاطعاً كبيراً بين مبادئ الفقه الإسلامي—كوجوب الوضوء والتطهر والحجر الصحي—وتوصيات منظمة الصحة العالمية بشأن مكافحة الأوبئة. فقد أسهمت التعليمات الشرعية المتعلقة بتفادي السفر ووقف صلاة الجماعة أثناء الأوبئة في دعم الإجراءات الصحية الحديثة. كما تبين أن الالتزام بالتدابير الفقهية يسهم في تعزيز الانضباط الفردي والمجتمعي تجاه البروتوكولات الطبية، مما يرفع من نسبة الالتزام بالإرشادات الوقائية بنسبة تتراوح بين 20–30</w:t>
            </w:r>
            <w:r w:rsidRPr="005019F4">
              <w:rPr>
                <w:rFonts w:ascii="Sakkal Majalla" w:eastAsia="Times New Roman" w:hAnsi="Sakkal Majalla" w:cs="Sakkal Majalla"/>
                <w:color w:val="374C80" w:themeColor="accent1" w:themeShade="BF"/>
                <w:sz w:val="28"/>
                <w:szCs w:val="28"/>
              </w:rPr>
              <w:t>%.</w:t>
            </w:r>
          </w:p>
          <w:p w14:paraId="5CBC552A" w14:textId="77777777" w:rsidR="005019F4" w:rsidRPr="005019F4" w:rsidRDefault="005019F4" w:rsidP="00F634A6">
            <w:pPr>
              <w:numPr>
                <w:ilvl w:val="0"/>
                <w:numId w:val="23"/>
              </w:num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b/>
                <w:bCs/>
                <w:color w:val="374C80" w:themeColor="accent1" w:themeShade="BF"/>
                <w:sz w:val="28"/>
                <w:szCs w:val="28"/>
                <w:rtl/>
              </w:rPr>
              <w:lastRenderedPageBreak/>
              <w:t>التوصيات</w:t>
            </w:r>
            <w:r w:rsidRPr="005019F4">
              <w:rPr>
                <w:rFonts w:ascii="Sakkal Majalla" w:eastAsia="Times New Roman" w:hAnsi="Sakkal Majalla" w:cs="Sakkal Majalla"/>
                <w:b/>
                <w:bCs/>
                <w:color w:val="374C80" w:themeColor="accent1" w:themeShade="BF"/>
                <w:sz w:val="28"/>
                <w:szCs w:val="28"/>
              </w:rPr>
              <w:t>:</w:t>
            </w:r>
            <w:r w:rsidRPr="005019F4">
              <w:rPr>
                <w:rFonts w:ascii="Sakkal Majalla" w:eastAsia="Times New Roman" w:hAnsi="Sakkal Majalla" w:cs="Sakkal Majalla"/>
                <w:color w:val="374C80" w:themeColor="accent1" w:themeShade="BF"/>
                <w:sz w:val="28"/>
                <w:szCs w:val="28"/>
              </w:rPr>
              <w:br/>
            </w:r>
            <w:r w:rsidRPr="005019F4">
              <w:rPr>
                <w:rFonts w:ascii="Sakkal Majalla" w:eastAsia="Times New Roman" w:hAnsi="Sakkal Majalla" w:cs="Sakkal Majalla"/>
                <w:color w:val="374C80" w:themeColor="accent1" w:themeShade="BF"/>
                <w:sz w:val="28"/>
                <w:szCs w:val="28"/>
                <w:rtl/>
              </w:rPr>
              <w:t>أوصى الباحث بدمج المفاهيم الفقهية المتعلقة بالوقاية ضمن برامج التوعية الصحية الحديثة، وتدريب الأئمة ووعاظ المساجد على نقل المعلومات العلمية بشكل متوافق مع النصوص الشرعية. كما دعا إلى تعاون وثيق بين الهيئات الطبية والهيئات الدينية لتطوير مواد تثقيفية مشتركة تُوزع في المراكز الصحية ودور العبادة</w:t>
            </w:r>
            <w:r w:rsidRPr="005019F4">
              <w:rPr>
                <w:rFonts w:ascii="Sakkal Majalla" w:eastAsia="Times New Roman" w:hAnsi="Sakkal Majalla" w:cs="Sakkal Majalla"/>
                <w:color w:val="374C80" w:themeColor="accent1" w:themeShade="BF"/>
                <w:sz w:val="28"/>
                <w:szCs w:val="28"/>
              </w:rPr>
              <w:t>.</w:t>
            </w:r>
          </w:p>
        </w:tc>
      </w:tr>
      <w:tr w:rsidR="005019F4" w:rsidRPr="005019F4" w14:paraId="2E2E7679"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8" w:type="dxa"/>
            <w:gridSpan w:val="2"/>
            <w:shd w:val="clear" w:color="auto" w:fill="0070C0"/>
          </w:tcPr>
          <w:p w14:paraId="1224F096"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الدراسات الأجنبية </w:t>
            </w:r>
          </w:p>
        </w:tc>
      </w:tr>
      <w:tr w:rsidR="005019F4" w:rsidRPr="005019F4" w14:paraId="406143C0"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4783BA7A"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الدراسة </w:t>
            </w:r>
          </w:p>
        </w:tc>
        <w:tc>
          <w:tcPr>
            <w:tcW w:w="5931" w:type="dxa"/>
          </w:tcPr>
          <w:p w14:paraId="2395AED7"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proofErr w:type="spellStart"/>
            <w:r w:rsidRPr="005019F4">
              <w:rPr>
                <w:rFonts w:ascii="Sakkal Majalla" w:eastAsia="Calibri" w:hAnsi="Sakkal Majalla" w:cs="Sakkal Majalla"/>
                <w:color w:val="374C80" w:themeColor="accent1" w:themeShade="BF"/>
                <w:sz w:val="28"/>
                <w:szCs w:val="28"/>
                <w:lang w:bidi="ar-EG"/>
              </w:rPr>
              <w:t>Abdelsalam</w:t>
            </w:r>
            <w:proofErr w:type="spellEnd"/>
            <w:r w:rsidRPr="005019F4">
              <w:rPr>
                <w:rFonts w:ascii="Sakkal Majalla" w:eastAsia="Calibri" w:hAnsi="Sakkal Majalla" w:cs="Sakkal Majalla"/>
                <w:color w:val="374C80" w:themeColor="accent1" w:themeShade="BF"/>
                <w:sz w:val="28"/>
                <w:szCs w:val="28"/>
                <w:lang w:bidi="ar-EG"/>
              </w:rPr>
              <w:t xml:space="preserve"> &amp; Briar</w:t>
            </w:r>
            <w:r w:rsidRPr="005019F4">
              <w:rPr>
                <w:rFonts w:ascii="Sakkal Majalla" w:eastAsia="Calibri" w:hAnsi="Sakkal Majalla" w:cs="Sakkal Majalla"/>
                <w:color w:val="374C80" w:themeColor="accent1" w:themeShade="BF"/>
                <w:sz w:val="28"/>
                <w:szCs w:val="28"/>
                <w:rtl/>
                <w:lang w:bidi="ar-EG"/>
              </w:rPr>
              <w:t xml:space="preserve"> (2020) </w:t>
            </w:r>
          </w:p>
        </w:tc>
      </w:tr>
      <w:tr w:rsidR="005019F4" w:rsidRPr="005019F4" w14:paraId="58A7EF0B"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E70E7D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7C7A8A00" w14:textId="77777777" w:rsidR="005019F4" w:rsidRPr="005019F4" w:rsidRDefault="005019F4" w:rsidP="00F634A6">
            <w:pPr>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قياس مدى التزام كوادر وحدات العناية المركزة بإرشادات مكافحة العدوى</w:t>
            </w:r>
            <w:r w:rsidRPr="005019F4">
              <w:rPr>
                <w:rFonts w:ascii="Sakkal Majalla" w:eastAsia="Calibri" w:hAnsi="Sakkal Majalla" w:cs="Sakkal Majalla"/>
                <w:color w:val="374C80" w:themeColor="accent1" w:themeShade="BF"/>
                <w:sz w:val="28"/>
                <w:szCs w:val="28"/>
                <w:lang w:bidi="ar-EG"/>
              </w:rPr>
              <w:t>.</w:t>
            </w:r>
          </w:p>
          <w:p w14:paraId="040D280D" w14:textId="77777777" w:rsidR="005019F4" w:rsidRPr="005019F4" w:rsidRDefault="005019F4" w:rsidP="00F634A6">
            <w:pPr>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تحليل أثر مستوى الالتزام على معدلات الإصابات المكتسبة داخل المستشفى</w:t>
            </w:r>
            <w:r w:rsidRPr="005019F4">
              <w:rPr>
                <w:rFonts w:ascii="Sakkal Majalla" w:eastAsia="Calibri" w:hAnsi="Sakkal Majalla" w:cs="Sakkal Majalla"/>
                <w:color w:val="374C80" w:themeColor="accent1" w:themeShade="BF"/>
                <w:sz w:val="28"/>
                <w:szCs w:val="28"/>
                <w:lang w:bidi="ar-EG"/>
              </w:rPr>
              <w:t>.</w:t>
            </w:r>
          </w:p>
          <w:p w14:paraId="07C62C8E" w14:textId="77777777" w:rsidR="005019F4" w:rsidRPr="005019F4" w:rsidRDefault="005019F4" w:rsidP="00F634A6">
            <w:pPr>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اقتراح إجراءات لتعزيز الالتزام وتقليل انتقال العدوى</w:t>
            </w:r>
            <w:r w:rsidRPr="005019F4">
              <w:rPr>
                <w:rFonts w:ascii="Sakkal Majalla" w:eastAsia="Calibri" w:hAnsi="Sakkal Majalla" w:cs="Sakkal Majalla"/>
                <w:color w:val="374C80" w:themeColor="accent1" w:themeShade="BF"/>
                <w:sz w:val="28"/>
                <w:szCs w:val="28"/>
                <w:lang w:bidi="ar-EG"/>
              </w:rPr>
              <w:t>.</w:t>
            </w:r>
          </w:p>
        </w:tc>
      </w:tr>
      <w:tr w:rsidR="005019F4" w:rsidRPr="005019F4" w14:paraId="4BC40937"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3D8A605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009E1624"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مدى الالتزام بإرشادات مكافحة العدوى</w:t>
            </w:r>
          </w:p>
        </w:tc>
      </w:tr>
      <w:tr w:rsidR="005019F4" w:rsidRPr="005019F4" w14:paraId="7852A47E"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3AA26E48"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التابع</w:t>
            </w:r>
          </w:p>
        </w:tc>
        <w:tc>
          <w:tcPr>
            <w:tcW w:w="5931" w:type="dxa"/>
          </w:tcPr>
          <w:p w14:paraId="046D834C"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معدلات الإصابات المكتسبة داخل وحدات العناية المركزة</w:t>
            </w:r>
          </w:p>
        </w:tc>
      </w:tr>
      <w:tr w:rsidR="005019F4" w:rsidRPr="005019F4" w14:paraId="25CB77D2"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157D6438"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067A884C"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03B32EE0"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09C06D36"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362A73C1"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p>
          <w:p w14:paraId="15A7835D"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b/>
                <w:bCs/>
                <w:color w:val="374C80" w:themeColor="accent1" w:themeShade="BF"/>
                <w:sz w:val="28"/>
                <w:szCs w:val="28"/>
                <w:rtl/>
                <w:lang w:bidi="ar-EG"/>
              </w:rPr>
              <w:t>النتائج</w:t>
            </w:r>
            <w:r w:rsidRPr="005019F4">
              <w:rPr>
                <w:rFonts w:ascii="Sakkal Majalla" w:eastAsia="Calibri" w:hAnsi="Sakkal Majalla" w:cs="Sakkal Majalla"/>
                <w:color w:val="374C80" w:themeColor="accent1" w:themeShade="BF"/>
                <w:sz w:val="28"/>
                <w:szCs w:val="28"/>
                <w:rtl/>
                <w:lang w:bidi="ar-EG"/>
              </w:rPr>
              <w:t>: علاقة ذات دلالة إحصائية بين ارتفاع نسبة الالتزام وخفض معدلات العدوى بنسبة ~20%.</w:t>
            </w:r>
          </w:p>
          <w:p w14:paraId="56674EDD"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b/>
                <w:bCs/>
                <w:color w:val="374C80" w:themeColor="accent1" w:themeShade="BF"/>
                <w:sz w:val="28"/>
                <w:szCs w:val="28"/>
                <w:rtl/>
                <w:lang w:bidi="ar-EG"/>
              </w:rPr>
              <w:t>التوصيات</w:t>
            </w:r>
            <w:r w:rsidRPr="005019F4">
              <w:rPr>
                <w:rFonts w:ascii="Sakkal Majalla" w:eastAsia="Calibri" w:hAnsi="Sakkal Majalla" w:cs="Sakkal Majalla"/>
                <w:color w:val="374C80" w:themeColor="accent1" w:themeShade="BF"/>
                <w:sz w:val="28"/>
                <w:szCs w:val="28"/>
                <w:rtl/>
                <w:lang w:bidi="ar-EG"/>
              </w:rPr>
              <w:t>:</w:t>
            </w:r>
          </w:p>
          <w:p w14:paraId="54496A72"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تنظيم دورات تدريبية دورية على بروتوكولات التعقيم واستخدام أدوات الوقاية الشخصية.</w:t>
            </w:r>
          </w:p>
          <w:p w14:paraId="1F85826A"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إنشاء لجان متابعة داخلية لتدقيق الالتزام وتقديم </w:t>
            </w:r>
            <w:r w:rsidRPr="005019F4">
              <w:rPr>
                <w:rFonts w:ascii="Sakkal Majalla" w:eastAsia="Calibri" w:hAnsi="Sakkal Majalla" w:cs="Sakkal Majalla" w:hint="cs"/>
                <w:color w:val="374C80" w:themeColor="accent1" w:themeShade="BF"/>
                <w:sz w:val="28"/>
                <w:szCs w:val="28"/>
                <w:rtl/>
                <w:lang w:bidi="ar-EG"/>
              </w:rPr>
              <w:t>تغطيات</w:t>
            </w:r>
            <w:r w:rsidRPr="005019F4">
              <w:rPr>
                <w:rFonts w:ascii="Sakkal Majalla" w:eastAsia="Calibri" w:hAnsi="Sakkal Majalla" w:cs="Sakkal Majalla"/>
                <w:color w:val="374C80" w:themeColor="accent1" w:themeShade="BF"/>
                <w:sz w:val="28"/>
                <w:szCs w:val="28"/>
                <w:rtl/>
                <w:lang w:bidi="ar-EG"/>
              </w:rPr>
              <w:t xml:space="preserve"> راجعة فورية.</w:t>
            </w:r>
          </w:p>
          <w:p w14:paraId="5FE8DEAB"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p>
        </w:tc>
      </w:tr>
      <w:tr w:rsidR="005019F4" w:rsidRPr="005019F4" w14:paraId="49B963C1"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0C19F84F"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الدراسة </w:t>
            </w:r>
          </w:p>
        </w:tc>
        <w:tc>
          <w:tcPr>
            <w:tcW w:w="5931" w:type="dxa"/>
          </w:tcPr>
          <w:p w14:paraId="5B579343"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proofErr w:type="spellStart"/>
            <w:r w:rsidRPr="005019F4">
              <w:rPr>
                <w:rFonts w:ascii="Sakkal Majalla" w:eastAsia="Calibri" w:hAnsi="Sakkal Majalla" w:cs="Sakkal Majalla"/>
                <w:color w:val="374C80" w:themeColor="accent1" w:themeShade="BF"/>
                <w:sz w:val="28"/>
                <w:szCs w:val="28"/>
                <w:lang w:bidi="ar-EG"/>
              </w:rPr>
              <w:t>Nasher</w:t>
            </w:r>
            <w:proofErr w:type="spellEnd"/>
            <w:r w:rsidRPr="005019F4">
              <w:rPr>
                <w:rFonts w:ascii="Sakkal Majalla" w:eastAsia="Calibri" w:hAnsi="Sakkal Majalla" w:cs="Sakkal Majalla"/>
                <w:color w:val="374C80" w:themeColor="accent1" w:themeShade="BF"/>
                <w:sz w:val="28"/>
                <w:szCs w:val="28"/>
                <w:lang w:bidi="ar-EG"/>
              </w:rPr>
              <w:t xml:space="preserve"> et al</w:t>
            </w:r>
            <w:r w:rsidRPr="005019F4">
              <w:rPr>
                <w:rFonts w:ascii="Sakkal Majalla" w:eastAsia="Calibri" w:hAnsi="Sakkal Majalla" w:cs="Sakkal Majalla"/>
                <w:color w:val="374C80" w:themeColor="accent1" w:themeShade="BF"/>
                <w:sz w:val="28"/>
                <w:szCs w:val="28"/>
                <w:rtl/>
                <w:lang w:bidi="ar-EG"/>
              </w:rPr>
              <w:t>. (2024)</w:t>
            </w:r>
          </w:p>
        </w:tc>
      </w:tr>
      <w:tr w:rsidR="005019F4" w:rsidRPr="005019F4" w14:paraId="3B660FE7"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6834CAF6"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4C5B3621" w14:textId="77777777" w:rsidR="005019F4" w:rsidRPr="005019F4" w:rsidRDefault="005019F4" w:rsidP="00F634A6">
            <w:pPr>
              <w:numPr>
                <w:ilvl w:val="0"/>
                <w:numId w:val="25"/>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تقييم مدى مقاومة الميكروبات للأدوية في وحدات العناية المركزة باليمن عام 2021</w:t>
            </w:r>
            <w:r w:rsidRPr="005019F4">
              <w:rPr>
                <w:rFonts w:ascii="Sakkal Majalla" w:eastAsia="Times New Roman" w:hAnsi="Sakkal Majalla" w:cs="Sakkal Majalla"/>
                <w:color w:val="374C80" w:themeColor="accent1" w:themeShade="BF"/>
                <w:sz w:val="28"/>
                <w:szCs w:val="28"/>
              </w:rPr>
              <w:t>.</w:t>
            </w:r>
          </w:p>
          <w:p w14:paraId="62386601" w14:textId="77777777" w:rsidR="005019F4" w:rsidRPr="005019F4" w:rsidRDefault="005019F4" w:rsidP="00F634A6">
            <w:pPr>
              <w:numPr>
                <w:ilvl w:val="0"/>
                <w:numId w:val="25"/>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تحليل أثر مقاومة الأدوية على نتائج المرضى (مدة الإقامة، معدل الوفيات)</w:t>
            </w:r>
            <w:r w:rsidRPr="005019F4">
              <w:rPr>
                <w:rFonts w:ascii="Sakkal Majalla" w:eastAsia="Times New Roman" w:hAnsi="Sakkal Majalla" w:cs="Sakkal Majalla"/>
                <w:color w:val="374C80" w:themeColor="accent1" w:themeShade="BF"/>
                <w:sz w:val="28"/>
                <w:szCs w:val="28"/>
              </w:rPr>
              <w:t>.</w:t>
            </w:r>
          </w:p>
          <w:p w14:paraId="28AE2249" w14:textId="77777777" w:rsidR="005019F4" w:rsidRPr="005019F4" w:rsidRDefault="005019F4" w:rsidP="00F634A6">
            <w:pPr>
              <w:numPr>
                <w:ilvl w:val="0"/>
                <w:numId w:val="25"/>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t>وضع توصيات لتعزيز استراتيجيات مكافحة المقاومة الدوائي</w:t>
            </w:r>
          </w:p>
        </w:tc>
      </w:tr>
      <w:tr w:rsidR="005019F4" w:rsidRPr="005019F4" w14:paraId="0F064A0C"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557CF266"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356C18F5"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مستوى مقاومة الميكروبات للأدوية</w:t>
            </w:r>
          </w:p>
        </w:tc>
      </w:tr>
      <w:tr w:rsidR="005019F4" w:rsidRPr="005019F4" w14:paraId="69026B23"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7F535611"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التابع</w:t>
            </w:r>
          </w:p>
        </w:tc>
        <w:tc>
          <w:tcPr>
            <w:tcW w:w="5931" w:type="dxa"/>
          </w:tcPr>
          <w:p w14:paraId="3B19D4B8"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النتائج السريرية للمرضى (مدة الإقامة، معدل الوفيات)</w:t>
            </w:r>
          </w:p>
        </w:tc>
      </w:tr>
      <w:tr w:rsidR="005019F4" w:rsidRPr="005019F4" w14:paraId="6B6FF803"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1CD504D2"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33269D5E"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6ADDE851"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418A754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77C17403" w14:textId="77777777" w:rsidR="005019F4" w:rsidRPr="005019F4" w:rsidRDefault="005019F4" w:rsidP="00F634A6">
            <w:pPr>
              <w:numPr>
                <w:ilvl w:val="0"/>
                <w:numId w:val="26"/>
              </w:numPr>
              <w:spacing w:beforeAutospacing="1"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p>
          <w:p w14:paraId="538C8DC6" w14:textId="77777777" w:rsidR="005019F4" w:rsidRPr="005019F4" w:rsidRDefault="005019F4" w:rsidP="00F634A6">
            <w:pPr>
              <w:numPr>
                <w:ilvl w:val="0"/>
                <w:numId w:val="26"/>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أهم النتائج والتوصيات</w:t>
            </w:r>
            <w:r w:rsidRPr="005019F4">
              <w:rPr>
                <w:rFonts w:ascii="Sakkal Majalla" w:eastAsia="Times New Roman" w:hAnsi="Sakkal Majalla" w:cs="Sakkal Majalla"/>
                <w:b/>
                <w:bCs/>
                <w:color w:val="374C80" w:themeColor="accent1" w:themeShade="BF"/>
                <w:sz w:val="28"/>
                <w:szCs w:val="28"/>
              </w:rPr>
              <w:t>:</w:t>
            </w:r>
          </w:p>
          <w:p w14:paraId="5227DA57" w14:textId="77777777" w:rsidR="005019F4" w:rsidRPr="005019F4" w:rsidRDefault="005019F4" w:rsidP="00F634A6">
            <w:pPr>
              <w:numPr>
                <w:ilvl w:val="1"/>
                <w:numId w:val="26"/>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النتائج</w:t>
            </w:r>
            <w:r w:rsidRPr="005019F4">
              <w:rPr>
                <w:rFonts w:ascii="Sakkal Majalla" w:eastAsia="Times New Roman" w:hAnsi="Sakkal Majalla" w:cs="Sakkal Majalla"/>
                <w:b/>
                <w:bCs/>
                <w:color w:val="374C80" w:themeColor="accent1" w:themeShade="BF"/>
                <w:sz w:val="28"/>
                <w:szCs w:val="28"/>
              </w:rPr>
              <w:t>:</w:t>
            </w:r>
            <w:r w:rsidRPr="005019F4">
              <w:rPr>
                <w:rFonts w:ascii="Sakkal Majalla" w:eastAsia="Times New Roman" w:hAnsi="Sakkal Majalla" w:cs="Sakkal Majalla"/>
                <w:color w:val="374C80" w:themeColor="accent1" w:themeShade="BF"/>
                <w:sz w:val="28"/>
                <w:szCs w:val="28"/>
              </w:rPr>
              <w:t xml:space="preserve"> </w:t>
            </w:r>
            <w:r w:rsidRPr="005019F4">
              <w:rPr>
                <w:rFonts w:ascii="Sakkal Majalla" w:eastAsia="Times New Roman" w:hAnsi="Sakkal Majalla" w:cs="Sakkal Majalla"/>
                <w:color w:val="374C80" w:themeColor="accent1" w:themeShade="BF"/>
                <w:sz w:val="28"/>
                <w:szCs w:val="28"/>
                <w:rtl/>
              </w:rPr>
              <w:t>لوحظت مقاومة عالية</w:t>
            </w:r>
            <w:r w:rsidRPr="005019F4">
              <w:rPr>
                <w:rFonts w:ascii="Sakkal Majalla" w:eastAsia="Times New Roman" w:hAnsi="Sakkal Majalla" w:cs="Sakkal Majalla"/>
                <w:color w:val="374C80" w:themeColor="accent1" w:themeShade="BF"/>
                <w:sz w:val="28"/>
                <w:szCs w:val="28"/>
              </w:rPr>
              <w:t xml:space="preserve"> (&gt; 50%) </w:t>
            </w:r>
            <w:r w:rsidRPr="005019F4">
              <w:rPr>
                <w:rFonts w:ascii="Sakkal Majalla" w:eastAsia="Times New Roman" w:hAnsi="Sakkal Majalla" w:cs="Sakkal Majalla"/>
                <w:color w:val="374C80" w:themeColor="accent1" w:themeShade="BF"/>
                <w:sz w:val="28"/>
                <w:szCs w:val="28"/>
                <w:rtl/>
              </w:rPr>
              <w:t>لمضادات عدة، مرتبطة بزيادة متوسط الإقامة 3–5 أيام وارتفاع معدل الوفيات بنحو 15</w:t>
            </w:r>
            <w:r w:rsidRPr="005019F4">
              <w:rPr>
                <w:rFonts w:ascii="Sakkal Majalla" w:eastAsia="Times New Roman" w:hAnsi="Sakkal Majalla" w:cs="Sakkal Majalla"/>
                <w:color w:val="374C80" w:themeColor="accent1" w:themeShade="BF"/>
                <w:sz w:val="28"/>
                <w:szCs w:val="28"/>
              </w:rPr>
              <w:t>%.</w:t>
            </w:r>
          </w:p>
          <w:p w14:paraId="5DF02DA5" w14:textId="77777777" w:rsidR="005019F4" w:rsidRPr="005019F4" w:rsidRDefault="005019F4" w:rsidP="00F634A6">
            <w:pPr>
              <w:numPr>
                <w:ilvl w:val="1"/>
                <w:numId w:val="26"/>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التوصيات</w:t>
            </w:r>
            <w:r w:rsidRPr="005019F4">
              <w:rPr>
                <w:rFonts w:ascii="Sakkal Majalla" w:eastAsia="Times New Roman" w:hAnsi="Sakkal Majalla" w:cs="Sakkal Majalla"/>
                <w:b/>
                <w:bCs/>
                <w:color w:val="374C80" w:themeColor="accent1" w:themeShade="BF"/>
                <w:sz w:val="28"/>
                <w:szCs w:val="28"/>
              </w:rPr>
              <w:t>:</w:t>
            </w:r>
          </w:p>
          <w:p w14:paraId="6213FE50" w14:textId="77777777" w:rsidR="005019F4" w:rsidRPr="005019F4" w:rsidRDefault="005019F4" w:rsidP="00F634A6">
            <w:pPr>
              <w:numPr>
                <w:ilvl w:val="2"/>
                <w:numId w:val="26"/>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تفعيل برامج استخدام المضادات الحيوية الرشيد</w:t>
            </w:r>
            <w:r w:rsidRPr="005019F4">
              <w:rPr>
                <w:rFonts w:ascii="Sakkal Majalla" w:eastAsia="Times New Roman" w:hAnsi="Sakkal Majalla" w:cs="Sakkal Majalla"/>
                <w:color w:val="374C80" w:themeColor="accent1" w:themeShade="BF"/>
                <w:sz w:val="28"/>
                <w:szCs w:val="28"/>
              </w:rPr>
              <w:t xml:space="preserve"> (Antimicrobial Stewardship).</w:t>
            </w:r>
          </w:p>
          <w:p w14:paraId="34102811" w14:textId="77777777" w:rsidR="005019F4" w:rsidRPr="005019F4" w:rsidRDefault="005019F4" w:rsidP="00F634A6">
            <w:pPr>
              <w:numPr>
                <w:ilvl w:val="2"/>
                <w:numId w:val="26"/>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t>تحديث بروتوكولات العلاج بناءً على نتائج مقاومة الميكروبات المحلية</w:t>
            </w:r>
            <w:r w:rsidRPr="005019F4">
              <w:rPr>
                <w:rFonts w:ascii="Sakkal Majalla" w:eastAsia="Times New Roman" w:hAnsi="Sakkal Majalla" w:cs="Sakkal Majalla"/>
                <w:color w:val="374C80" w:themeColor="accent1" w:themeShade="BF"/>
                <w:sz w:val="28"/>
                <w:szCs w:val="28"/>
              </w:rPr>
              <w:t>.</w:t>
            </w:r>
          </w:p>
        </w:tc>
      </w:tr>
      <w:tr w:rsidR="005019F4" w:rsidRPr="005019F4" w14:paraId="311FF203" w14:textId="77777777" w:rsidTr="00096A5F">
        <w:tc>
          <w:tcPr>
            <w:cnfStyle w:val="001000000000" w:firstRow="0" w:lastRow="0" w:firstColumn="1" w:lastColumn="0" w:oddVBand="0" w:evenVBand="0" w:oddHBand="0" w:evenHBand="0" w:firstRowFirstColumn="0" w:firstRowLastColumn="0" w:lastRowFirstColumn="0" w:lastRowLastColumn="0"/>
            <w:tcW w:w="1997" w:type="dxa"/>
            <w:shd w:val="clear" w:color="auto" w:fill="0070C0"/>
          </w:tcPr>
          <w:p w14:paraId="5E266AF4"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الدراسة </w:t>
            </w:r>
          </w:p>
        </w:tc>
        <w:tc>
          <w:tcPr>
            <w:tcW w:w="5931" w:type="dxa"/>
          </w:tcPr>
          <w:p w14:paraId="02E1F27A"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lang w:bidi="ar-EG"/>
              </w:rPr>
              <w:t>Kutcher</w:t>
            </w:r>
            <w:r w:rsidRPr="005019F4">
              <w:rPr>
                <w:rFonts w:ascii="Sakkal Majalla" w:eastAsia="Calibri" w:hAnsi="Sakkal Majalla" w:cs="Sakkal Majalla"/>
                <w:color w:val="374C80" w:themeColor="accent1" w:themeShade="BF"/>
                <w:sz w:val="28"/>
                <w:szCs w:val="28"/>
                <w:rtl/>
                <w:lang w:bidi="ar-EG"/>
              </w:rPr>
              <w:t xml:space="preserve"> (2018)</w:t>
            </w:r>
          </w:p>
        </w:tc>
      </w:tr>
      <w:tr w:rsidR="005019F4" w:rsidRPr="005019F4" w14:paraId="4EEE4ADD"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31941FB4"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 xml:space="preserve">أهداف الدراسة </w:t>
            </w:r>
          </w:p>
        </w:tc>
        <w:tc>
          <w:tcPr>
            <w:tcW w:w="5931" w:type="dxa"/>
          </w:tcPr>
          <w:p w14:paraId="1A91193B" w14:textId="77777777" w:rsidR="005019F4" w:rsidRPr="005019F4" w:rsidRDefault="005019F4" w:rsidP="00F634A6">
            <w:pPr>
              <w:numPr>
                <w:ilvl w:val="0"/>
                <w:numId w:val="28"/>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lang w:bidi="ar-EG"/>
                <w14:ligatures w14:val="standardContextual"/>
              </w:rPr>
            </w:pPr>
            <w:r w:rsidRPr="005019F4">
              <w:rPr>
                <w:rFonts w:ascii="Sakkal Majalla" w:eastAsia="Calibri" w:hAnsi="Sakkal Majalla" w:cs="Sakkal Majalla"/>
                <w:color w:val="374C80" w:themeColor="accent1" w:themeShade="BF"/>
                <w:sz w:val="28"/>
                <w:szCs w:val="28"/>
                <w:rtl/>
                <w14:ligatures w14:val="standardContextual"/>
              </w:rPr>
              <w:t>إعداد دليل عملي شامل لإدارة مخاطر الانتحار للمختصين الصحيين</w:t>
            </w:r>
            <w:r w:rsidRPr="005019F4">
              <w:rPr>
                <w:rFonts w:ascii="Sakkal Majalla" w:eastAsia="Calibri" w:hAnsi="Sakkal Majalla" w:cs="Sakkal Majalla"/>
                <w:color w:val="374C80" w:themeColor="accent1" w:themeShade="BF"/>
                <w:sz w:val="28"/>
                <w:szCs w:val="28"/>
                <w:lang w:bidi="ar-EG"/>
                <w14:ligatures w14:val="standardContextual"/>
              </w:rPr>
              <w:t>.</w:t>
            </w:r>
          </w:p>
          <w:p w14:paraId="4B81A1EF" w14:textId="77777777" w:rsidR="005019F4" w:rsidRPr="005019F4" w:rsidRDefault="005019F4" w:rsidP="00F634A6">
            <w:pPr>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lang w:bidi="ar-EG"/>
              </w:rPr>
            </w:pPr>
            <w:r w:rsidRPr="005019F4">
              <w:rPr>
                <w:rFonts w:ascii="Sakkal Majalla" w:eastAsia="Calibri" w:hAnsi="Sakkal Majalla" w:cs="Sakkal Majalla"/>
                <w:color w:val="374C80" w:themeColor="accent1" w:themeShade="BF"/>
                <w:sz w:val="28"/>
                <w:szCs w:val="28"/>
                <w:rtl/>
              </w:rPr>
              <w:t>عرض أدوات تقييم ومراحل تدخل منهجية للحدّ من مخاطر الانتحار</w:t>
            </w:r>
            <w:r w:rsidRPr="005019F4">
              <w:rPr>
                <w:rFonts w:ascii="Sakkal Majalla" w:eastAsia="Calibri" w:hAnsi="Sakkal Majalla" w:cs="Sakkal Majalla"/>
                <w:color w:val="374C80" w:themeColor="accent1" w:themeShade="BF"/>
                <w:sz w:val="28"/>
                <w:szCs w:val="28"/>
                <w:lang w:bidi="ar-EG"/>
              </w:rPr>
              <w:t>.</w:t>
            </w:r>
          </w:p>
          <w:p w14:paraId="472E1BD3" w14:textId="77777777" w:rsidR="005019F4" w:rsidRPr="005019F4" w:rsidRDefault="005019F4" w:rsidP="00F634A6">
            <w:pPr>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rPr>
              <w:t>تقديم إرشادات لتدريب المهنيين على تطبيق البرنامج بفاعلية</w:t>
            </w:r>
            <w:r w:rsidRPr="005019F4">
              <w:rPr>
                <w:rFonts w:ascii="Sakkal Majalla" w:eastAsia="Calibri" w:hAnsi="Sakkal Majalla" w:cs="Sakkal Majalla"/>
                <w:color w:val="374C80" w:themeColor="accent1" w:themeShade="BF"/>
                <w:sz w:val="28"/>
                <w:szCs w:val="28"/>
                <w:lang w:bidi="ar-EG"/>
              </w:rPr>
              <w:t>.</w:t>
            </w:r>
          </w:p>
        </w:tc>
      </w:tr>
      <w:tr w:rsidR="005019F4" w:rsidRPr="005019F4" w14:paraId="71F32A2F"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26BAD8A1"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المتغير المستقل</w:t>
            </w:r>
          </w:p>
        </w:tc>
        <w:tc>
          <w:tcPr>
            <w:tcW w:w="5931" w:type="dxa"/>
          </w:tcPr>
          <w:p w14:paraId="691551E2"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مكونات برنامج إدارة مخاطر الانتحار (أدوات التقييم والإرشادات)</w:t>
            </w:r>
          </w:p>
        </w:tc>
      </w:tr>
      <w:tr w:rsidR="005019F4" w:rsidRPr="005019F4" w14:paraId="2A4A2A81"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18A63A2C"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3C126F72"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فعالية تطبيق إجراءات إدارة المخاطر عند المهنيين الصحيين</w:t>
            </w:r>
          </w:p>
        </w:tc>
      </w:tr>
      <w:tr w:rsidR="005019F4" w:rsidRPr="005019F4" w14:paraId="3F76FE98"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7A4D5247"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035A6F93"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المنهج الوصفي التحليلي</w:t>
            </w:r>
          </w:p>
        </w:tc>
      </w:tr>
      <w:tr w:rsidR="005019F4" w:rsidRPr="005019F4" w14:paraId="7724481D"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5311DCCB"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6F502DD6" w14:textId="77777777" w:rsidR="005019F4" w:rsidRPr="005019F4" w:rsidRDefault="005019F4" w:rsidP="005019F4">
            <w:pPr>
              <w:bidi w:val="0"/>
              <w:spacing w:beforeAutospacing="1" w:afterAutospacing="1"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p>
          <w:p w14:paraId="71FB5FA1" w14:textId="77777777" w:rsidR="005019F4" w:rsidRPr="005019F4" w:rsidRDefault="005019F4" w:rsidP="00F634A6">
            <w:pPr>
              <w:numPr>
                <w:ilvl w:val="1"/>
                <w:numId w:val="29"/>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النتائج</w:t>
            </w:r>
            <w:r w:rsidRPr="005019F4">
              <w:rPr>
                <w:rFonts w:ascii="Sakkal Majalla" w:eastAsia="Times New Roman" w:hAnsi="Sakkal Majalla" w:cs="Sakkal Majalla"/>
                <w:b/>
                <w:bCs/>
                <w:color w:val="374C80" w:themeColor="accent1" w:themeShade="BF"/>
                <w:sz w:val="28"/>
                <w:szCs w:val="28"/>
              </w:rPr>
              <w:t>:</w:t>
            </w:r>
            <w:r w:rsidRPr="005019F4">
              <w:rPr>
                <w:rFonts w:ascii="Sakkal Majalla" w:eastAsia="Times New Roman" w:hAnsi="Sakkal Majalla" w:cs="Sakkal Majalla"/>
                <w:color w:val="374C80" w:themeColor="accent1" w:themeShade="BF"/>
                <w:sz w:val="28"/>
                <w:szCs w:val="28"/>
              </w:rPr>
              <w:t xml:space="preserve"> </w:t>
            </w:r>
            <w:r w:rsidRPr="005019F4">
              <w:rPr>
                <w:rFonts w:ascii="Sakkal Majalla" w:eastAsia="Times New Roman" w:hAnsi="Sakkal Majalla" w:cs="Sakkal Majalla"/>
                <w:color w:val="374C80" w:themeColor="accent1" w:themeShade="BF"/>
                <w:sz w:val="28"/>
                <w:szCs w:val="28"/>
                <w:rtl/>
              </w:rPr>
              <w:t>وجد أن استخدام الدليل حسّن ثقة المختصين في تقييم مستوى الخطر بنسبة ~30%، وسرّع مراحل التدخل</w:t>
            </w:r>
            <w:r w:rsidRPr="005019F4">
              <w:rPr>
                <w:rFonts w:ascii="Sakkal Majalla" w:eastAsia="Times New Roman" w:hAnsi="Sakkal Majalla" w:cs="Sakkal Majalla"/>
                <w:color w:val="374C80" w:themeColor="accent1" w:themeShade="BF"/>
                <w:sz w:val="28"/>
                <w:szCs w:val="28"/>
              </w:rPr>
              <w:t>.</w:t>
            </w:r>
          </w:p>
          <w:p w14:paraId="53908B1D" w14:textId="77777777" w:rsidR="005019F4" w:rsidRPr="005019F4" w:rsidRDefault="005019F4" w:rsidP="00F634A6">
            <w:pPr>
              <w:numPr>
                <w:ilvl w:val="1"/>
                <w:numId w:val="29"/>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b/>
                <w:bCs/>
                <w:color w:val="374C80" w:themeColor="accent1" w:themeShade="BF"/>
                <w:sz w:val="28"/>
                <w:szCs w:val="28"/>
                <w:rtl/>
              </w:rPr>
              <w:t>التوصيات</w:t>
            </w:r>
            <w:r w:rsidRPr="005019F4">
              <w:rPr>
                <w:rFonts w:ascii="Sakkal Majalla" w:eastAsia="Times New Roman" w:hAnsi="Sakkal Majalla" w:cs="Sakkal Majalla"/>
                <w:b/>
                <w:bCs/>
                <w:color w:val="374C80" w:themeColor="accent1" w:themeShade="BF"/>
                <w:sz w:val="28"/>
                <w:szCs w:val="28"/>
              </w:rPr>
              <w:t>:</w:t>
            </w:r>
          </w:p>
          <w:p w14:paraId="6B35B977" w14:textId="77777777" w:rsidR="005019F4" w:rsidRPr="005019F4" w:rsidRDefault="005019F4" w:rsidP="00F634A6">
            <w:pPr>
              <w:numPr>
                <w:ilvl w:val="2"/>
                <w:numId w:val="29"/>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إدماج محتوى الدليل في برامج تدريب الأطباء والأخصائيين النفسيين</w:t>
            </w:r>
            <w:r w:rsidRPr="005019F4">
              <w:rPr>
                <w:rFonts w:ascii="Sakkal Majalla" w:eastAsia="Times New Roman" w:hAnsi="Sakkal Majalla" w:cs="Sakkal Majalla"/>
                <w:color w:val="374C80" w:themeColor="accent1" w:themeShade="BF"/>
                <w:sz w:val="28"/>
                <w:szCs w:val="28"/>
              </w:rPr>
              <w:t>.</w:t>
            </w:r>
          </w:p>
          <w:p w14:paraId="0718F395" w14:textId="77777777" w:rsidR="005019F4" w:rsidRPr="005019F4" w:rsidRDefault="005019F4" w:rsidP="00F634A6">
            <w:pPr>
              <w:numPr>
                <w:ilvl w:val="2"/>
                <w:numId w:val="29"/>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متابعة تطبيق الأدوات عبر نظام توثيق إلكتروني</w:t>
            </w:r>
            <w:r w:rsidRPr="005019F4">
              <w:rPr>
                <w:rFonts w:ascii="Sakkal Majalla" w:eastAsia="Times New Roman" w:hAnsi="Sakkal Majalla" w:cs="Sakkal Majalla"/>
                <w:color w:val="374C80" w:themeColor="accent1" w:themeShade="BF"/>
                <w:sz w:val="28"/>
                <w:szCs w:val="28"/>
              </w:rPr>
              <w:t>.</w:t>
            </w:r>
          </w:p>
          <w:p w14:paraId="63455D97"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p>
        </w:tc>
      </w:tr>
      <w:tr w:rsidR="005019F4" w:rsidRPr="005019F4" w14:paraId="6514F9E9"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45EF6DB5"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bookmarkStart w:id="24" w:name="_Hlk128615698"/>
            <w:r w:rsidRPr="005019F4">
              <w:rPr>
                <w:rFonts w:ascii="Sakkal Majalla" w:eastAsia="Calibri" w:hAnsi="Sakkal Majalla" w:cs="Sakkal Majalla"/>
                <w:color w:val="374C80" w:themeColor="accent1" w:themeShade="BF"/>
                <w:sz w:val="28"/>
                <w:szCs w:val="28"/>
                <w:rtl/>
                <w:lang w:bidi="ar-EG"/>
              </w:rPr>
              <w:t xml:space="preserve">الدراسة </w:t>
            </w:r>
          </w:p>
        </w:tc>
        <w:tc>
          <w:tcPr>
            <w:tcW w:w="5931" w:type="dxa"/>
          </w:tcPr>
          <w:p w14:paraId="0D508542"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 </w:t>
            </w:r>
            <w:proofErr w:type="spellStart"/>
            <w:r w:rsidRPr="005019F4">
              <w:rPr>
                <w:rFonts w:ascii="Sakkal Majalla" w:eastAsia="Calibri" w:hAnsi="Sakkal Majalla" w:cs="Sakkal Majalla"/>
                <w:color w:val="374C80" w:themeColor="accent1" w:themeShade="BF"/>
                <w:sz w:val="28"/>
                <w:szCs w:val="28"/>
                <w:lang w:bidi="ar-EG"/>
              </w:rPr>
              <w:t>Shakatreh</w:t>
            </w:r>
            <w:proofErr w:type="spellEnd"/>
            <w:r w:rsidRPr="005019F4">
              <w:rPr>
                <w:rFonts w:ascii="Sakkal Majalla" w:eastAsia="Calibri" w:hAnsi="Sakkal Majalla" w:cs="Sakkal Majalla"/>
                <w:color w:val="374C80" w:themeColor="accent1" w:themeShade="BF"/>
                <w:sz w:val="28"/>
                <w:szCs w:val="28"/>
                <w:lang w:bidi="ar-EG"/>
              </w:rPr>
              <w:t xml:space="preserve"> &amp; </w:t>
            </w:r>
            <w:proofErr w:type="spellStart"/>
            <w:r w:rsidRPr="005019F4">
              <w:rPr>
                <w:rFonts w:ascii="Sakkal Majalla" w:eastAsia="Calibri" w:hAnsi="Sakkal Majalla" w:cs="Sakkal Majalla"/>
                <w:color w:val="374C80" w:themeColor="accent1" w:themeShade="BF"/>
                <w:sz w:val="28"/>
                <w:szCs w:val="28"/>
                <w:lang w:bidi="ar-EG"/>
              </w:rPr>
              <w:t>Mansour</w:t>
            </w:r>
            <w:proofErr w:type="spellEnd"/>
            <w:r w:rsidRPr="005019F4">
              <w:rPr>
                <w:rFonts w:ascii="Sakkal Majalla" w:eastAsia="Calibri" w:hAnsi="Sakkal Majalla" w:cs="Sakkal Majalla"/>
                <w:color w:val="374C80" w:themeColor="accent1" w:themeShade="BF"/>
                <w:sz w:val="28"/>
                <w:szCs w:val="28"/>
                <w:rtl/>
                <w:lang w:bidi="ar-EG"/>
              </w:rPr>
              <w:t xml:space="preserve"> (2023)</w:t>
            </w:r>
          </w:p>
        </w:tc>
      </w:tr>
      <w:tr w:rsidR="005019F4" w:rsidRPr="005019F4" w14:paraId="00E41162"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70C43DAD"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أهداف الدراسة </w:t>
            </w:r>
          </w:p>
        </w:tc>
        <w:tc>
          <w:tcPr>
            <w:tcW w:w="5931" w:type="dxa"/>
          </w:tcPr>
          <w:p w14:paraId="337F147A" w14:textId="77777777" w:rsidR="005019F4" w:rsidRPr="005019F4" w:rsidRDefault="005019F4" w:rsidP="00F634A6">
            <w:pPr>
              <w:numPr>
                <w:ilvl w:val="0"/>
                <w:numId w:val="30"/>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تحليل ممارسات إدارة المخاطر في مخيم الزعتري خلال جائحة كوفيد-19</w:t>
            </w:r>
            <w:r w:rsidRPr="005019F4">
              <w:rPr>
                <w:rFonts w:ascii="Sakkal Majalla" w:eastAsia="Times New Roman" w:hAnsi="Sakkal Majalla" w:cs="Sakkal Majalla"/>
                <w:color w:val="374C80" w:themeColor="accent1" w:themeShade="BF"/>
                <w:sz w:val="28"/>
                <w:szCs w:val="28"/>
              </w:rPr>
              <w:t>.</w:t>
            </w:r>
          </w:p>
          <w:p w14:paraId="2D416543" w14:textId="77777777" w:rsidR="005019F4" w:rsidRPr="005019F4" w:rsidRDefault="005019F4" w:rsidP="00F634A6">
            <w:pPr>
              <w:numPr>
                <w:ilvl w:val="0"/>
                <w:numId w:val="30"/>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Pr>
            </w:pPr>
            <w:r w:rsidRPr="005019F4">
              <w:rPr>
                <w:rFonts w:ascii="Sakkal Majalla" w:eastAsia="Times New Roman" w:hAnsi="Sakkal Majalla" w:cs="Sakkal Majalla"/>
                <w:color w:val="374C80" w:themeColor="accent1" w:themeShade="BF"/>
                <w:sz w:val="28"/>
                <w:szCs w:val="28"/>
                <w:rtl/>
              </w:rPr>
              <w:t>تقييم أثر هذه الممارسات على السيطرة الوبائية والتبعات المالية والاجتماعية</w:t>
            </w:r>
            <w:r w:rsidRPr="005019F4">
              <w:rPr>
                <w:rFonts w:ascii="Sakkal Majalla" w:eastAsia="Times New Roman" w:hAnsi="Sakkal Majalla" w:cs="Sakkal Majalla"/>
                <w:color w:val="374C80" w:themeColor="accent1" w:themeShade="BF"/>
                <w:sz w:val="28"/>
                <w:szCs w:val="28"/>
              </w:rPr>
              <w:t>.</w:t>
            </w:r>
          </w:p>
          <w:p w14:paraId="40D6861E" w14:textId="77777777" w:rsidR="005019F4" w:rsidRPr="005019F4" w:rsidRDefault="005019F4" w:rsidP="00F634A6">
            <w:pPr>
              <w:numPr>
                <w:ilvl w:val="0"/>
                <w:numId w:val="30"/>
              </w:num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374C80" w:themeColor="accent1" w:themeShade="BF"/>
                <w:sz w:val="28"/>
                <w:szCs w:val="28"/>
                <w:rtl/>
              </w:rPr>
            </w:pPr>
            <w:r w:rsidRPr="005019F4">
              <w:rPr>
                <w:rFonts w:ascii="Sakkal Majalla" w:eastAsia="Times New Roman" w:hAnsi="Sakkal Majalla" w:cs="Sakkal Majalla"/>
                <w:color w:val="374C80" w:themeColor="accent1" w:themeShade="BF"/>
                <w:sz w:val="28"/>
                <w:szCs w:val="28"/>
                <w:rtl/>
              </w:rPr>
              <w:lastRenderedPageBreak/>
              <w:t>اقتراح إطار عمل لتعزيز إدارة المخاطر في سياق اللجوء البشري</w:t>
            </w:r>
            <w:r w:rsidRPr="005019F4">
              <w:rPr>
                <w:rFonts w:ascii="Sakkal Majalla" w:eastAsia="Times New Roman" w:hAnsi="Sakkal Majalla" w:cs="Sakkal Majalla"/>
                <w:color w:val="374C80" w:themeColor="accent1" w:themeShade="BF"/>
                <w:sz w:val="28"/>
                <w:szCs w:val="28"/>
              </w:rPr>
              <w:t>.</w:t>
            </w:r>
          </w:p>
        </w:tc>
      </w:tr>
      <w:tr w:rsidR="005019F4" w:rsidRPr="005019F4" w14:paraId="3E008D8D"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487B7FF8"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lastRenderedPageBreak/>
              <w:t>المتغير المستقل</w:t>
            </w:r>
          </w:p>
        </w:tc>
        <w:tc>
          <w:tcPr>
            <w:tcW w:w="5931" w:type="dxa"/>
          </w:tcPr>
          <w:p w14:paraId="44E91CBE"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ممارسات إدارة المخاطر المعتمدة (تحديد، تقييم، تعامل، متابعة)</w:t>
            </w:r>
          </w:p>
        </w:tc>
      </w:tr>
      <w:tr w:rsidR="005019F4" w:rsidRPr="005019F4" w14:paraId="61E0C5A8" w14:textId="77777777" w:rsidTr="00096A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dxa"/>
          </w:tcPr>
          <w:p w14:paraId="36431C9C"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المتغير التابع </w:t>
            </w:r>
          </w:p>
        </w:tc>
        <w:tc>
          <w:tcPr>
            <w:tcW w:w="5931" w:type="dxa"/>
          </w:tcPr>
          <w:p w14:paraId="47AD63F7"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فاعلية السيطرة على تفشّيات العدوى والتداعيات الاقتصادية والاجتماعية</w:t>
            </w:r>
          </w:p>
        </w:tc>
      </w:tr>
      <w:tr w:rsidR="005019F4" w:rsidRPr="005019F4" w14:paraId="61A71A19" w14:textId="77777777" w:rsidTr="00096A5F">
        <w:tc>
          <w:tcPr>
            <w:cnfStyle w:val="001000000000" w:firstRow="0" w:lastRow="0" w:firstColumn="1" w:lastColumn="0" w:oddVBand="0" w:evenVBand="0" w:oddHBand="0" w:evenHBand="0" w:firstRowFirstColumn="0" w:firstRowLastColumn="0" w:lastRowFirstColumn="0" w:lastRowLastColumn="0"/>
            <w:tcW w:w="1997" w:type="dxa"/>
          </w:tcPr>
          <w:p w14:paraId="070BB073"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منهجية البحث </w:t>
            </w:r>
          </w:p>
        </w:tc>
        <w:tc>
          <w:tcPr>
            <w:tcW w:w="5931" w:type="dxa"/>
          </w:tcPr>
          <w:p w14:paraId="667CED43" w14:textId="77777777" w:rsidR="005019F4" w:rsidRPr="005019F4" w:rsidRDefault="005019F4" w:rsidP="005019F4">
            <w:pPr>
              <w:bidi w:val="0"/>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المنهج الوصفي التحليلي </w:t>
            </w:r>
          </w:p>
        </w:tc>
      </w:tr>
      <w:tr w:rsidR="005019F4" w:rsidRPr="005019F4" w14:paraId="0AD958CC" w14:textId="77777777" w:rsidTr="00096A5F">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1997" w:type="dxa"/>
          </w:tcPr>
          <w:p w14:paraId="62A12D76" w14:textId="77777777" w:rsidR="005019F4" w:rsidRPr="005019F4" w:rsidRDefault="005019F4" w:rsidP="005019F4">
            <w:pPr>
              <w:bidi w:val="0"/>
              <w:spacing w:line="360" w:lineRule="auto"/>
              <w:ind w:left="0" w:firstLine="0"/>
              <w:jc w:val="both"/>
              <w:rPr>
                <w:rFonts w:ascii="Sakkal Majalla" w:eastAsia="Calibri" w:hAnsi="Sakkal Majalla" w:cs="Sakkal Majalla"/>
                <w:color w:val="374C80" w:themeColor="accent1" w:themeShade="BF"/>
                <w:sz w:val="28"/>
                <w:szCs w:val="28"/>
                <w:rtl/>
                <w:lang w:bidi="ar-EG"/>
              </w:rPr>
            </w:pPr>
            <w:r w:rsidRPr="005019F4">
              <w:rPr>
                <w:rFonts w:ascii="Sakkal Majalla" w:eastAsia="Calibri" w:hAnsi="Sakkal Majalla" w:cs="Sakkal Majalla"/>
                <w:color w:val="374C80" w:themeColor="accent1" w:themeShade="BF"/>
                <w:sz w:val="28"/>
                <w:szCs w:val="28"/>
                <w:rtl/>
                <w:lang w:bidi="ar-EG"/>
              </w:rPr>
              <w:t xml:space="preserve">أهم النتائج والتوصيات </w:t>
            </w:r>
          </w:p>
        </w:tc>
        <w:tc>
          <w:tcPr>
            <w:tcW w:w="5931" w:type="dxa"/>
          </w:tcPr>
          <w:p w14:paraId="5C59F5C9" w14:textId="77777777" w:rsidR="005019F4" w:rsidRPr="005019F4" w:rsidRDefault="005019F4" w:rsidP="005019F4">
            <w:pPr>
              <w:bidi w:val="0"/>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Pr>
            </w:pPr>
          </w:p>
          <w:p w14:paraId="02370BC5" w14:textId="77777777" w:rsidR="005019F4" w:rsidRPr="005019F4" w:rsidRDefault="005019F4" w:rsidP="00F634A6">
            <w:pPr>
              <w:numPr>
                <w:ilvl w:val="1"/>
                <w:numId w:val="31"/>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Pr>
            </w:pPr>
            <w:r w:rsidRPr="005019F4">
              <w:rPr>
                <w:rFonts w:ascii="Sakkal Majalla" w:eastAsia="Calibri" w:hAnsi="Sakkal Majalla" w:cs="Sakkal Majalla"/>
                <w:b/>
                <w:bCs/>
                <w:color w:val="374C80" w:themeColor="accent1" w:themeShade="BF"/>
                <w:sz w:val="28"/>
                <w:szCs w:val="28"/>
                <w:rtl/>
              </w:rPr>
              <w:t>النتائج</w:t>
            </w:r>
            <w:r w:rsidRPr="005019F4">
              <w:rPr>
                <w:rFonts w:ascii="Sakkal Majalla" w:eastAsia="Calibri" w:hAnsi="Sakkal Majalla" w:cs="Sakkal Majalla"/>
                <w:b/>
                <w:bCs/>
                <w:color w:val="374C80" w:themeColor="accent1" w:themeShade="BF"/>
                <w:sz w:val="28"/>
                <w:szCs w:val="28"/>
              </w:rPr>
              <w:t>:</w:t>
            </w:r>
            <w:r w:rsidRPr="005019F4">
              <w:rPr>
                <w:rFonts w:ascii="Sakkal Majalla" w:eastAsia="Calibri" w:hAnsi="Sakkal Majalla" w:cs="Sakkal Majalla"/>
                <w:color w:val="374C80" w:themeColor="accent1" w:themeShade="BF"/>
                <w:sz w:val="28"/>
                <w:szCs w:val="28"/>
              </w:rPr>
              <w:t xml:space="preserve"> </w:t>
            </w:r>
            <w:r w:rsidRPr="005019F4">
              <w:rPr>
                <w:rFonts w:ascii="Sakkal Majalla" w:eastAsia="Calibri" w:hAnsi="Sakkal Majalla" w:cs="Sakkal Majalla"/>
                <w:color w:val="374C80" w:themeColor="accent1" w:themeShade="BF"/>
                <w:sz w:val="28"/>
                <w:szCs w:val="28"/>
                <w:rtl/>
              </w:rPr>
              <w:t>انخفاض ملحوظ في معدل الإصابات الجديدة بنحو 40% بعد تطبيق الإجراءات، مع خفض التكاليف الطبية بنسبة 25</w:t>
            </w:r>
            <w:r w:rsidRPr="005019F4">
              <w:rPr>
                <w:rFonts w:ascii="Sakkal Majalla" w:eastAsia="Calibri" w:hAnsi="Sakkal Majalla" w:cs="Sakkal Majalla"/>
                <w:color w:val="374C80" w:themeColor="accent1" w:themeShade="BF"/>
                <w:sz w:val="28"/>
                <w:szCs w:val="28"/>
              </w:rPr>
              <w:t>%.</w:t>
            </w:r>
          </w:p>
          <w:p w14:paraId="14CB3FB0" w14:textId="77777777" w:rsidR="005019F4" w:rsidRPr="005019F4" w:rsidRDefault="005019F4" w:rsidP="00F634A6">
            <w:pPr>
              <w:numPr>
                <w:ilvl w:val="1"/>
                <w:numId w:val="31"/>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Pr>
            </w:pPr>
            <w:r w:rsidRPr="005019F4">
              <w:rPr>
                <w:rFonts w:ascii="Sakkal Majalla" w:eastAsia="Calibri" w:hAnsi="Sakkal Majalla" w:cs="Sakkal Majalla"/>
                <w:b/>
                <w:bCs/>
                <w:color w:val="374C80" w:themeColor="accent1" w:themeShade="BF"/>
                <w:sz w:val="28"/>
                <w:szCs w:val="28"/>
                <w:rtl/>
              </w:rPr>
              <w:t>التوصيات</w:t>
            </w:r>
            <w:r w:rsidRPr="005019F4">
              <w:rPr>
                <w:rFonts w:ascii="Sakkal Majalla" w:eastAsia="Calibri" w:hAnsi="Sakkal Majalla" w:cs="Sakkal Majalla"/>
                <w:b/>
                <w:bCs/>
                <w:color w:val="374C80" w:themeColor="accent1" w:themeShade="BF"/>
                <w:sz w:val="28"/>
                <w:szCs w:val="28"/>
              </w:rPr>
              <w:t>:</w:t>
            </w:r>
          </w:p>
          <w:p w14:paraId="5457027A" w14:textId="77777777" w:rsidR="005019F4" w:rsidRPr="005019F4" w:rsidRDefault="005019F4" w:rsidP="00F634A6">
            <w:pPr>
              <w:numPr>
                <w:ilvl w:val="2"/>
                <w:numId w:val="31"/>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Pr>
            </w:pPr>
            <w:r w:rsidRPr="005019F4">
              <w:rPr>
                <w:rFonts w:ascii="Sakkal Majalla" w:eastAsia="Calibri" w:hAnsi="Sakkal Majalla" w:cs="Sakkal Majalla"/>
                <w:color w:val="374C80" w:themeColor="accent1" w:themeShade="BF"/>
                <w:sz w:val="28"/>
                <w:szCs w:val="28"/>
                <w:rtl/>
              </w:rPr>
              <w:t>تبني نموذج</w:t>
            </w:r>
            <w:r w:rsidRPr="005019F4">
              <w:rPr>
                <w:rFonts w:ascii="Sakkal Majalla" w:eastAsia="Calibri" w:hAnsi="Sakkal Majalla" w:cs="Sakkal Majalla"/>
                <w:color w:val="374C80" w:themeColor="accent1" w:themeShade="BF"/>
                <w:sz w:val="28"/>
                <w:szCs w:val="28"/>
              </w:rPr>
              <w:t xml:space="preserve"> “</w:t>
            </w:r>
            <w:proofErr w:type="spellStart"/>
            <w:r w:rsidRPr="005019F4">
              <w:rPr>
                <w:rFonts w:ascii="Sakkal Majalla" w:eastAsia="Calibri" w:hAnsi="Sakkal Majalla" w:cs="Sakkal Majalla"/>
                <w:color w:val="374C80" w:themeColor="accent1" w:themeShade="BF"/>
                <w:sz w:val="28"/>
                <w:szCs w:val="28"/>
              </w:rPr>
              <w:t>Zaatari</w:t>
            </w:r>
            <w:proofErr w:type="spellEnd"/>
            <w:r w:rsidRPr="005019F4">
              <w:rPr>
                <w:rFonts w:ascii="Sakkal Majalla" w:eastAsia="Calibri" w:hAnsi="Sakkal Majalla" w:cs="Sakkal Majalla"/>
                <w:color w:val="374C80" w:themeColor="accent1" w:themeShade="BF"/>
                <w:sz w:val="28"/>
                <w:szCs w:val="28"/>
              </w:rPr>
              <w:t xml:space="preserve"> Bow-Tie” </w:t>
            </w:r>
            <w:r w:rsidRPr="005019F4">
              <w:rPr>
                <w:rFonts w:ascii="Sakkal Majalla" w:eastAsia="Calibri" w:hAnsi="Sakkal Majalla" w:cs="Sakkal Majalla"/>
                <w:color w:val="374C80" w:themeColor="accent1" w:themeShade="BF"/>
                <w:sz w:val="28"/>
                <w:szCs w:val="28"/>
                <w:rtl/>
              </w:rPr>
              <w:t>في المخيمات الأخرى لضبط المخاطر الوبائية</w:t>
            </w:r>
            <w:r w:rsidRPr="005019F4">
              <w:rPr>
                <w:rFonts w:ascii="Sakkal Majalla" w:eastAsia="Calibri" w:hAnsi="Sakkal Majalla" w:cs="Sakkal Majalla"/>
                <w:color w:val="374C80" w:themeColor="accent1" w:themeShade="BF"/>
                <w:sz w:val="28"/>
                <w:szCs w:val="28"/>
              </w:rPr>
              <w:t>.</w:t>
            </w:r>
          </w:p>
          <w:p w14:paraId="2906F45D" w14:textId="77777777" w:rsidR="005019F4" w:rsidRPr="005019F4" w:rsidRDefault="005019F4" w:rsidP="00F634A6">
            <w:pPr>
              <w:numPr>
                <w:ilvl w:val="2"/>
                <w:numId w:val="31"/>
              </w:num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374C80" w:themeColor="accent1" w:themeShade="BF"/>
                <w:sz w:val="28"/>
                <w:szCs w:val="28"/>
                <w:rtl/>
              </w:rPr>
            </w:pPr>
            <w:r w:rsidRPr="005019F4">
              <w:rPr>
                <w:rFonts w:ascii="Sakkal Majalla" w:eastAsia="Calibri" w:hAnsi="Sakkal Majalla" w:cs="Sakkal Majalla"/>
                <w:color w:val="374C80" w:themeColor="accent1" w:themeShade="BF"/>
                <w:sz w:val="28"/>
                <w:szCs w:val="28"/>
                <w:rtl/>
              </w:rPr>
              <w:t>تعزيز التنسيق بين المنظمات الإنسانية والصحية لتبادل البيانات وخبرات الإدارة</w:t>
            </w:r>
            <w:r w:rsidRPr="005019F4">
              <w:rPr>
                <w:rFonts w:ascii="Sakkal Majalla" w:eastAsia="Calibri" w:hAnsi="Sakkal Majalla" w:cs="Sakkal Majalla"/>
                <w:color w:val="374C80" w:themeColor="accent1" w:themeShade="BF"/>
                <w:sz w:val="28"/>
                <w:szCs w:val="28"/>
              </w:rPr>
              <w:t>.</w:t>
            </w:r>
          </w:p>
        </w:tc>
      </w:tr>
      <w:bookmarkEnd w:id="24"/>
    </w:tbl>
    <w:p w14:paraId="4F3048C0" w14:textId="77777777" w:rsidR="005019F4" w:rsidRPr="005019F4" w:rsidRDefault="005019F4" w:rsidP="005019F4">
      <w:pPr>
        <w:bidi/>
        <w:spacing w:line="360" w:lineRule="auto"/>
        <w:jc w:val="both"/>
        <w:rPr>
          <w:rFonts w:ascii="Sakkal Majalla" w:eastAsia="Calibri" w:hAnsi="Sakkal Majalla" w:cs="Sakkal Majalla"/>
          <w:b/>
          <w:bCs/>
          <w:sz w:val="28"/>
          <w:szCs w:val="28"/>
          <w:rtl/>
        </w:rPr>
      </w:pPr>
    </w:p>
    <w:p w14:paraId="0A63C1E6" w14:textId="77777777" w:rsidR="005019F4" w:rsidRPr="005019F4" w:rsidRDefault="005019F4" w:rsidP="005019F4">
      <w:pPr>
        <w:keepNext/>
        <w:keepLines/>
        <w:bidi/>
        <w:spacing w:line="360" w:lineRule="auto"/>
        <w:jc w:val="both"/>
        <w:outlineLvl w:val="1"/>
        <w:rPr>
          <w:rFonts w:ascii="Sakkal Majalla" w:eastAsia="Calibri" w:hAnsi="Sakkal Majalla" w:cs="Sakkal Majalla"/>
          <w:b/>
          <w:bCs/>
          <w:sz w:val="28"/>
          <w:szCs w:val="28"/>
          <w:rtl/>
        </w:rPr>
      </w:pPr>
      <w:bookmarkStart w:id="25" w:name="_Toc180449115"/>
      <w:r w:rsidRPr="005019F4">
        <w:rPr>
          <w:rFonts w:ascii="Sakkal Majalla" w:eastAsia="Calibri" w:hAnsi="Sakkal Majalla" w:cs="Sakkal Majalla"/>
          <w:b/>
          <w:bCs/>
          <w:sz w:val="28"/>
          <w:szCs w:val="28"/>
          <w:rtl/>
        </w:rPr>
        <w:t>6.1 التعقيب على الدراسات السابقة:</w:t>
      </w:r>
      <w:bookmarkEnd w:id="3"/>
      <w:bookmarkEnd w:id="4"/>
      <w:bookmarkEnd w:id="25"/>
    </w:p>
    <w:p w14:paraId="3012475B" w14:textId="77777777" w:rsidR="005019F4" w:rsidRPr="005019F4" w:rsidRDefault="005019F4" w:rsidP="005019F4">
      <w:pPr>
        <w:bidi/>
        <w:spacing w:line="360" w:lineRule="auto"/>
        <w:ind w:firstLine="720"/>
        <w:jc w:val="both"/>
        <w:rPr>
          <w:rFonts w:ascii="Sakkal Majalla" w:eastAsia="Calibri" w:hAnsi="Sakkal Majalla" w:cs="Sakkal Majalla"/>
          <w:b/>
          <w:bCs/>
          <w:kern w:val="2"/>
          <w:sz w:val="28"/>
          <w:szCs w:val="28"/>
          <w14:ligatures w14:val="standardContextual"/>
        </w:rPr>
      </w:pPr>
      <w:bookmarkStart w:id="26" w:name="_Toc170664302"/>
      <w:r w:rsidRPr="005019F4">
        <w:rPr>
          <w:rFonts w:ascii="Sakkal Majalla" w:eastAsia="Calibri" w:hAnsi="Sakkal Majalla" w:cs="Sakkal Majalla"/>
          <w:b/>
          <w:bCs/>
          <w:kern w:val="2"/>
          <w:sz w:val="28"/>
          <w:szCs w:val="28"/>
          <w:rtl/>
          <w14:ligatures w14:val="standardContextual"/>
        </w:rPr>
        <w:t>أوجه الشبه بين الدراسة الحالية والدراسات السابقة</w:t>
      </w:r>
    </w:p>
    <w:p w14:paraId="48484DBE" w14:textId="77777777" w:rsidR="005019F4" w:rsidRPr="005019F4" w:rsidRDefault="005019F4" w:rsidP="00F634A6">
      <w:pPr>
        <w:numPr>
          <w:ilvl w:val="0"/>
          <w:numId w:val="32"/>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 xml:space="preserve">تتفق الدراسة الحالية مع دراسة </w:t>
      </w:r>
      <w:r w:rsidRPr="005019F4">
        <w:rPr>
          <w:rFonts w:ascii="Sakkal Majalla" w:eastAsia="Calibri" w:hAnsi="Sakkal Majalla" w:cs="Sakkal Majalla" w:hint="cs"/>
          <w:kern w:val="2"/>
          <w:sz w:val="28"/>
          <w:szCs w:val="28"/>
          <w:rtl/>
          <w14:ligatures w14:val="standardContextual"/>
        </w:rPr>
        <w:t>عبد السلا</w:t>
      </w:r>
      <w:r w:rsidRPr="005019F4">
        <w:rPr>
          <w:rFonts w:ascii="Sakkal Majalla" w:eastAsia="Calibri" w:hAnsi="Sakkal Majalla" w:cs="Sakkal Majalla" w:hint="eastAsia"/>
          <w:kern w:val="2"/>
          <w:sz w:val="28"/>
          <w:szCs w:val="28"/>
          <w:rtl/>
          <w14:ligatures w14:val="standardContextual"/>
        </w:rPr>
        <w:t>م</w:t>
      </w:r>
      <w:r w:rsidRPr="005019F4">
        <w:rPr>
          <w:rFonts w:ascii="Sakkal Majalla" w:eastAsia="Calibri" w:hAnsi="Sakkal Majalla" w:cs="Sakkal Majalla"/>
          <w:kern w:val="2"/>
          <w:sz w:val="28"/>
          <w:szCs w:val="28"/>
          <w:rtl/>
          <w14:ligatures w14:val="standardContextual"/>
        </w:rPr>
        <w:t xml:space="preserve"> وبراير (2020) ودراسة الصباح ومناوي والخراز (2021) على أهمية الالتزام بإجراءات الوقاية والتعقيم في الحد من انتقال العدوى داخل الوحدات الحرجة والعيادات التخصصية، حيث أظهرت جميعها أنَّ الارتفاع في مستوى التقيّد بالإرشادات الوقائية يرتبط بانخفاض معدلات الإصابات المكتسبة</w:t>
      </w:r>
      <w:r w:rsidRPr="005019F4">
        <w:rPr>
          <w:rFonts w:ascii="Sakkal Majalla" w:eastAsia="Calibri" w:hAnsi="Sakkal Majalla" w:cs="Sakkal Majalla"/>
          <w:kern w:val="2"/>
          <w:sz w:val="28"/>
          <w:szCs w:val="28"/>
          <w14:ligatures w14:val="standardContextual"/>
        </w:rPr>
        <w:t xml:space="preserve"> (</w:t>
      </w:r>
      <w:proofErr w:type="spellStart"/>
      <w:r w:rsidRPr="005019F4">
        <w:rPr>
          <w:rFonts w:ascii="Sakkal Majalla" w:eastAsia="Calibri" w:hAnsi="Sakkal Majalla" w:cs="Sakkal Majalla"/>
          <w:kern w:val="2"/>
          <w:sz w:val="28"/>
          <w:szCs w:val="28"/>
          <w14:ligatures w14:val="standardContextual"/>
        </w:rPr>
        <w:t>Abdelsalam</w:t>
      </w:r>
      <w:proofErr w:type="spellEnd"/>
      <w:r w:rsidRPr="005019F4">
        <w:rPr>
          <w:rFonts w:ascii="Sakkal Majalla" w:eastAsia="Calibri" w:hAnsi="Sakkal Majalla" w:cs="Sakkal Majalla"/>
          <w:kern w:val="2"/>
          <w:sz w:val="28"/>
          <w:szCs w:val="28"/>
          <w14:ligatures w14:val="standardContextual"/>
        </w:rPr>
        <w:t xml:space="preserve"> &amp; Briar, 2020</w:t>
      </w:r>
      <w:r w:rsidRPr="005019F4">
        <w:rPr>
          <w:rFonts w:ascii="Sakkal Majalla" w:eastAsia="Calibri" w:hAnsi="Sakkal Majalla" w:cs="Sakkal Majalla"/>
          <w:kern w:val="2"/>
          <w:sz w:val="28"/>
          <w:szCs w:val="28"/>
          <w:rtl/>
          <w14:ligatures w14:val="standardContextual"/>
        </w:rPr>
        <w:t>؛ الصباح</w:t>
      </w:r>
      <w:r w:rsidRPr="005019F4">
        <w:rPr>
          <w:rFonts w:ascii="Sakkal Majalla" w:eastAsia="Calibri" w:hAnsi="Sakkal Majalla" w:cs="Sakkal Majalla"/>
          <w:kern w:val="2"/>
          <w:sz w:val="28"/>
          <w:szCs w:val="28"/>
          <w14:ligatures w14:val="standardContextual"/>
        </w:rPr>
        <w:t xml:space="preserve"> et al., 2021).</w:t>
      </w:r>
    </w:p>
    <w:p w14:paraId="18DB4A24" w14:textId="77777777" w:rsidR="005019F4" w:rsidRPr="005019F4" w:rsidRDefault="005019F4" w:rsidP="00F634A6">
      <w:pPr>
        <w:numPr>
          <w:ilvl w:val="0"/>
          <w:numId w:val="32"/>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lastRenderedPageBreak/>
        <w:t>تنسجم الدراسة مع نتائج نصر الله وآل شقرا وفرحات (2017) والمطيري (2023) في أنَّ تطبيق منظومة إدارة الجودة الشاملة وممارسات إدارة المخاطر ينعكس إيجابياً على مؤشرات جودة الرعاية الصحية وتقليل الحوادث الوبائية</w:t>
      </w:r>
      <w:r w:rsidRPr="005019F4">
        <w:rPr>
          <w:rFonts w:ascii="Sakkal Majalla" w:eastAsia="Calibri" w:hAnsi="Sakkal Majalla" w:cs="Sakkal Majalla"/>
          <w:kern w:val="2"/>
          <w:sz w:val="28"/>
          <w:szCs w:val="28"/>
          <w14:ligatures w14:val="standardContextual"/>
        </w:rPr>
        <w:t xml:space="preserve"> (</w:t>
      </w:r>
      <w:r w:rsidRPr="005019F4">
        <w:rPr>
          <w:rFonts w:ascii="Sakkal Majalla" w:eastAsia="Calibri" w:hAnsi="Sakkal Majalla" w:cs="Sakkal Majalla"/>
          <w:kern w:val="2"/>
          <w:sz w:val="28"/>
          <w:szCs w:val="28"/>
          <w:rtl/>
          <w14:ligatures w14:val="standardContextual"/>
        </w:rPr>
        <w:t>نصر الله</w:t>
      </w:r>
      <w:r w:rsidRPr="005019F4">
        <w:rPr>
          <w:rFonts w:ascii="Sakkal Majalla" w:eastAsia="Calibri" w:hAnsi="Sakkal Majalla" w:cs="Sakkal Majalla"/>
          <w:kern w:val="2"/>
          <w:sz w:val="28"/>
          <w:szCs w:val="28"/>
          <w14:ligatures w14:val="standardContextual"/>
        </w:rPr>
        <w:t xml:space="preserve"> et al., 2017</w:t>
      </w:r>
      <w:r w:rsidRPr="005019F4">
        <w:rPr>
          <w:rFonts w:ascii="Sakkal Majalla" w:eastAsia="Calibri" w:hAnsi="Sakkal Majalla" w:cs="Sakkal Majalla"/>
          <w:kern w:val="2"/>
          <w:sz w:val="28"/>
          <w:szCs w:val="28"/>
          <w:rtl/>
          <w14:ligatures w14:val="standardContextual"/>
        </w:rPr>
        <w:t>؛ المطيري, 2023</w:t>
      </w:r>
      <w:r w:rsidRPr="005019F4">
        <w:rPr>
          <w:rFonts w:ascii="Sakkal Majalla" w:eastAsia="Calibri" w:hAnsi="Sakkal Majalla" w:cs="Sakkal Majalla"/>
          <w:kern w:val="2"/>
          <w:sz w:val="28"/>
          <w:szCs w:val="28"/>
          <w14:ligatures w14:val="standardContextual"/>
        </w:rPr>
        <w:t>).</w:t>
      </w:r>
    </w:p>
    <w:p w14:paraId="2FB811EF" w14:textId="77777777" w:rsidR="005019F4" w:rsidRPr="005019F4" w:rsidRDefault="005019F4" w:rsidP="00F634A6">
      <w:pPr>
        <w:numPr>
          <w:ilvl w:val="0"/>
          <w:numId w:val="32"/>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تشترك الدراسة الحالية مع شكاتره ومنصور (2023) وشحاتة وبدر (2021) في اعتماد المنهج الوصفي التحليلي وتحليل البيانات الميدانية لقياس أثر ممارسات إدارة المخاطر في سياقات مختلفة</w:t>
      </w:r>
      <w:r w:rsidRPr="005019F4">
        <w:rPr>
          <w:rFonts w:ascii="Sakkal Majalla" w:eastAsia="Calibri" w:hAnsi="Sakkal Majalla" w:cs="Sakkal Majalla"/>
          <w:kern w:val="2"/>
          <w:sz w:val="28"/>
          <w:szCs w:val="28"/>
          <w14:ligatures w14:val="standardContextual"/>
        </w:rPr>
        <w:t xml:space="preserve"> (</w:t>
      </w:r>
      <w:proofErr w:type="spellStart"/>
      <w:r w:rsidRPr="005019F4">
        <w:rPr>
          <w:rFonts w:ascii="Sakkal Majalla" w:eastAsia="Calibri" w:hAnsi="Sakkal Majalla" w:cs="Sakkal Majalla"/>
          <w:kern w:val="2"/>
          <w:sz w:val="28"/>
          <w:szCs w:val="28"/>
          <w14:ligatures w14:val="standardContextual"/>
        </w:rPr>
        <w:t>Shakatreh</w:t>
      </w:r>
      <w:proofErr w:type="spellEnd"/>
      <w:r w:rsidRPr="005019F4">
        <w:rPr>
          <w:rFonts w:ascii="Sakkal Majalla" w:eastAsia="Calibri" w:hAnsi="Sakkal Majalla" w:cs="Sakkal Majalla"/>
          <w:kern w:val="2"/>
          <w:sz w:val="28"/>
          <w:szCs w:val="28"/>
          <w14:ligatures w14:val="standardContextual"/>
        </w:rPr>
        <w:t xml:space="preserve"> &amp; </w:t>
      </w:r>
      <w:proofErr w:type="spellStart"/>
      <w:r w:rsidRPr="005019F4">
        <w:rPr>
          <w:rFonts w:ascii="Sakkal Majalla" w:eastAsia="Calibri" w:hAnsi="Sakkal Majalla" w:cs="Sakkal Majalla"/>
          <w:kern w:val="2"/>
          <w:sz w:val="28"/>
          <w:szCs w:val="28"/>
          <w14:ligatures w14:val="standardContextual"/>
        </w:rPr>
        <w:t>Mansour</w:t>
      </w:r>
      <w:proofErr w:type="spellEnd"/>
      <w:r w:rsidRPr="005019F4">
        <w:rPr>
          <w:rFonts w:ascii="Sakkal Majalla" w:eastAsia="Calibri" w:hAnsi="Sakkal Majalla" w:cs="Sakkal Majalla"/>
          <w:kern w:val="2"/>
          <w:sz w:val="28"/>
          <w:szCs w:val="28"/>
          <w14:ligatures w14:val="standardContextual"/>
        </w:rPr>
        <w:t>, 2023</w:t>
      </w:r>
      <w:r w:rsidRPr="005019F4">
        <w:rPr>
          <w:rFonts w:ascii="Sakkal Majalla" w:eastAsia="Calibri" w:hAnsi="Sakkal Majalla" w:cs="Sakkal Majalla"/>
          <w:kern w:val="2"/>
          <w:sz w:val="28"/>
          <w:szCs w:val="28"/>
          <w:rtl/>
          <w14:ligatures w14:val="standardContextual"/>
        </w:rPr>
        <w:t xml:space="preserve">؛ شحاتة </w:t>
      </w:r>
      <w:r w:rsidRPr="005019F4">
        <w:rPr>
          <w:rFonts w:ascii="Sakkal Majalla" w:eastAsia="Calibri" w:hAnsi="Sakkal Majalla" w:cs="Sakkal Majalla"/>
          <w:kern w:val="2"/>
          <w:sz w:val="28"/>
          <w:szCs w:val="28"/>
          <w14:ligatures w14:val="standardContextual"/>
        </w:rPr>
        <w:t xml:space="preserve">&amp; </w:t>
      </w:r>
      <w:r w:rsidRPr="005019F4">
        <w:rPr>
          <w:rFonts w:ascii="Sakkal Majalla" w:eastAsia="Calibri" w:hAnsi="Sakkal Majalla" w:cs="Sakkal Majalla"/>
          <w:kern w:val="2"/>
          <w:sz w:val="28"/>
          <w:szCs w:val="28"/>
          <w:rtl/>
          <w14:ligatures w14:val="standardContextual"/>
        </w:rPr>
        <w:t>بدير, 2021</w:t>
      </w:r>
      <w:r w:rsidRPr="005019F4">
        <w:rPr>
          <w:rFonts w:ascii="Sakkal Majalla" w:eastAsia="Calibri" w:hAnsi="Sakkal Majalla" w:cs="Sakkal Majalla"/>
          <w:kern w:val="2"/>
          <w:sz w:val="28"/>
          <w:szCs w:val="28"/>
          <w14:ligatures w14:val="standardContextual"/>
        </w:rPr>
        <w:t>).</w:t>
      </w:r>
    </w:p>
    <w:p w14:paraId="4394C2E9" w14:textId="77777777" w:rsidR="005019F4" w:rsidRPr="005019F4" w:rsidRDefault="005019F4" w:rsidP="005019F4">
      <w:pPr>
        <w:bidi/>
        <w:spacing w:line="360" w:lineRule="auto"/>
        <w:ind w:firstLine="720"/>
        <w:jc w:val="both"/>
        <w:rPr>
          <w:rFonts w:ascii="Sakkal Majalla" w:eastAsia="Calibri" w:hAnsi="Sakkal Majalla" w:cs="Sakkal Majalla"/>
          <w:b/>
          <w:bCs/>
          <w:kern w:val="2"/>
          <w:sz w:val="28"/>
          <w:szCs w:val="28"/>
          <w14:ligatures w14:val="standardContextual"/>
        </w:rPr>
      </w:pPr>
      <w:r w:rsidRPr="005019F4">
        <w:rPr>
          <w:rFonts w:ascii="Sakkal Majalla" w:eastAsia="Calibri" w:hAnsi="Sakkal Majalla" w:cs="Sakkal Majalla"/>
          <w:b/>
          <w:bCs/>
          <w:kern w:val="2"/>
          <w:sz w:val="28"/>
          <w:szCs w:val="28"/>
          <w:rtl/>
          <w14:ligatures w14:val="standardContextual"/>
        </w:rPr>
        <w:t>أوجه الاختلاف بين الدراسة الحالية والدراسات السابقة</w:t>
      </w:r>
    </w:p>
    <w:p w14:paraId="3D062A41" w14:textId="77777777" w:rsidR="005019F4" w:rsidRPr="005019F4" w:rsidRDefault="005019F4" w:rsidP="00F634A6">
      <w:pPr>
        <w:numPr>
          <w:ilvl w:val="0"/>
          <w:numId w:val="33"/>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تركز الدراسات السابقة غالباً على بيئات محدودة مثل وحدات العناية المركزة في الخرطوم واليمن</w:t>
      </w:r>
      <w:r w:rsidRPr="005019F4">
        <w:rPr>
          <w:rFonts w:ascii="Sakkal Majalla" w:eastAsia="Calibri" w:hAnsi="Sakkal Majalla" w:cs="Sakkal Majalla"/>
          <w:kern w:val="2"/>
          <w:sz w:val="28"/>
          <w:szCs w:val="28"/>
          <w14:ligatures w14:val="standardContextual"/>
        </w:rPr>
        <w:t xml:space="preserve"> (</w:t>
      </w:r>
      <w:proofErr w:type="spellStart"/>
      <w:r w:rsidRPr="005019F4">
        <w:rPr>
          <w:rFonts w:ascii="Sakkal Majalla" w:eastAsia="Calibri" w:hAnsi="Sakkal Majalla" w:cs="Sakkal Majalla"/>
          <w:kern w:val="2"/>
          <w:sz w:val="28"/>
          <w:szCs w:val="28"/>
          <w14:ligatures w14:val="standardContextual"/>
        </w:rPr>
        <w:t>Abdelsalam</w:t>
      </w:r>
      <w:proofErr w:type="spellEnd"/>
      <w:r w:rsidRPr="005019F4">
        <w:rPr>
          <w:rFonts w:ascii="Sakkal Majalla" w:eastAsia="Calibri" w:hAnsi="Sakkal Majalla" w:cs="Sakkal Majalla"/>
          <w:kern w:val="2"/>
          <w:sz w:val="28"/>
          <w:szCs w:val="28"/>
          <w14:ligatures w14:val="standardContextual"/>
        </w:rPr>
        <w:t xml:space="preserve"> &amp; Briar, 2020</w:t>
      </w:r>
      <w:r w:rsidRPr="005019F4">
        <w:rPr>
          <w:rFonts w:ascii="Sakkal Majalla" w:eastAsia="Calibri" w:hAnsi="Sakkal Majalla" w:cs="Sakkal Majalla"/>
          <w:kern w:val="2"/>
          <w:sz w:val="28"/>
          <w:szCs w:val="28"/>
          <w:rtl/>
          <w14:ligatures w14:val="standardContextual"/>
        </w:rPr>
        <w:t>؛</w:t>
      </w:r>
      <w:r w:rsidRPr="005019F4">
        <w:rPr>
          <w:rFonts w:ascii="Sakkal Majalla" w:eastAsia="Calibri" w:hAnsi="Sakkal Majalla" w:cs="Sakkal Majalla"/>
          <w:kern w:val="2"/>
          <w:sz w:val="28"/>
          <w:szCs w:val="28"/>
          <w14:ligatures w14:val="standardContextual"/>
        </w:rPr>
        <w:t xml:space="preserve"> </w:t>
      </w:r>
      <w:proofErr w:type="spellStart"/>
      <w:r w:rsidRPr="005019F4">
        <w:rPr>
          <w:rFonts w:ascii="Sakkal Majalla" w:eastAsia="Calibri" w:hAnsi="Sakkal Majalla" w:cs="Sakkal Majalla"/>
          <w:kern w:val="2"/>
          <w:sz w:val="28"/>
          <w:szCs w:val="28"/>
          <w14:ligatures w14:val="standardContextual"/>
        </w:rPr>
        <w:t>Nasher</w:t>
      </w:r>
      <w:proofErr w:type="spellEnd"/>
      <w:r w:rsidRPr="005019F4">
        <w:rPr>
          <w:rFonts w:ascii="Sakkal Majalla" w:eastAsia="Calibri" w:hAnsi="Sakkal Majalla" w:cs="Sakkal Majalla"/>
          <w:kern w:val="2"/>
          <w:sz w:val="28"/>
          <w:szCs w:val="28"/>
          <w14:ligatures w14:val="standardContextual"/>
        </w:rPr>
        <w:t xml:space="preserve"> et al., 2024)</w:t>
      </w:r>
      <w:r w:rsidRPr="005019F4">
        <w:rPr>
          <w:rFonts w:ascii="Sakkal Majalla" w:eastAsia="Calibri" w:hAnsi="Sakkal Majalla" w:cs="Sakkal Majalla"/>
          <w:kern w:val="2"/>
          <w:sz w:val="28"/>
          <w:szCs w:val="28"/>
          <w:rtl/>
          <w14:ligatures w14:val="standardContextual"/>
        </w:rPr>
        <w:t>، أو عيادات طب الأسنان بنابلس وطولكرم (الصباح</w:t>
      </w:r>
      <w:r w:rsidRPr="005019F4">
        <w:rPr>
          <w:rFonts w:ascii="Sakkal Majalla" w:eastAsia="Calibri" w:hAnsi="Sakkal Majalla" w:cs="Sakkal Majalla"/>
          <w:kern w:val="2"/>
          <w:sz w:val="28"/>
          <w:szCs w:val="28"/>
          <w14:ligatures w14:val="standardContextual"/>
        </w:rPr>
        <w:t xml:space="preserve"> et al., 2021)</w:t>
      </w:r>
      <w:r w:rsidRPr="005019F4">
        <w:rPr>
          <w:rFonts w:ascii="Sakkal Majalla" w:eastAsia="Calibri" w:hAnsi="Sakkal Majalla" w:cs="Sakkal Majalla"/>
          <w:kern w:val="2"/>
          <w:sz w:val="28"/>
          <w:szCs w:val="28"/>
          <w:rtl/>
          <w14:ligatures w14:val="standardContextual"/>
        </w:rPr>
        <w:t>، في حين تطمح الدراسة الحالية إلى تعميم النتائج على مجموعة أوسع من المستشفيات الحكومية السعودية، بما يشمل التنوع الجغرافي والوظيفي بين المستشفى ات</w:t>
      </w:r>
      <w:r w:rsidRPr="005019F4">
        <w:rPr>
          <w:rFonts w:ascii="Sakkal Majalla" w:eastAsia="Calibri" w:hAnsi="Sakkal Majalla" w:cs="Sakkal Majalla"/>
          <w:kern w:val="2"/>
          <w:sz w:val="28"/>
          <w:szCs w:val="28"/>
          <w14:ligatures w14:val="standardContextual"/>
        </w:rPr>
        <w:t>.</w:t>
      </w:r>
    </w:p>
    <w:p w14:paraId="308FCFA3" w14:textId="77777777" w:rsidR="005019F4" w:rsidRPr="005019F4" w:rsidRDefault="005019F4" w:rsidP="00F634A6">
      <w:pPr>
        <w:numPr>
          <w:ilvl w:val="0"/>
          <w:numId w:val="33"/>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اعتمدت بعض الدراسات على جوانب فقهية وقانونية أو تاريخية للأوبئة (هادي, 2020؛ المكاوي, 2022)، بينما تركز الدراسة الحالية بشكل حصري على الجانب التنفيذي لتطبيق برامج إدارة المخاطر ومؤشرات الجودة الصحية الحديثة</w:t>
      </w:r>
      <w:r w:rsidRPr="005019F4">
        <w:rPr>
          <w:rFonts w:ascii="Sakkal Majalla" w:eastAsia="Calibri" w:hAnsi="Sakkal Majalla" w:cs="Sakkal Majalla"/>
          <w:kern w:val="2"/>
          <w:sz w:val="28"/>
          <w:szCs w:val="28"/>
          <w14:ligatures w14:val="standardContextual"/>
        </w:rPr>
        <w:t>.</w:t>
      </w:r>
    </w:p>
    <w:p w14:paraId="181D79C2" w14:textId="77777777" w:rsidR="005019F4" w:rsidRPr="005019F4" w:rsidRDefault="005019F4" w:rsidP="00F634A6">
      <w:pPr>
        <w:numPr>
          <w:ilvl w:val="0"/>
          <w:numId w:val="33"/>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بينما ركزت بحوث مثل كوتشر (2018) على إدارة مخاطر انتحار الأفراد، ودراسات المخيمات اللاجئة في الأردن</w:t>
      </w:r>
      <w:r w:rsidRPr="005019F4">
        <w:rPr>
          <w:rFonts w:ascii="Sakkal Majalla" w:eastAsia="Calibri" w:hAnsi="Sakkal Majalla" w:cs="Sakkal Majalla"/>
          <w:kern w:val="2"/>
          <w:sz w:val="28"/>
          <w:szCs w:val="28"/>
          <w14:ligatures w14:val="standardContextual"/>
        </w:rPr>
        <w:t xml:space="preserve"> (</w:t>
      </w:r>
      <w:proofErr w:type="spellStart"/>
      <w:r w:rsidRPr="005019F4">
        <w:rPr>
          <w:rFonts w:ascii="Sakkal Majalla" w:eastAsia="Calibri" w:hAnsi="Sakkal Majalla" w:cs="Sakkal Majalla"/>
          <w:kern w:val="2"/>
          <w:sz w:val="28"/>
          <w:szCs w:val="28"/>
          <w14:ligatures w14:val="standardContextual"/>
        </w:rPr>
        <w:t>Shakatreh</w:t>
      </w:r>
      <w:proofErr w:type="spellEnd"/>
      <w:r w:rsidRPr="005019F4">
        <w:rPr>
          <w:rFonts w:ascii="Sakkal Majalla" w:eastAsia="Calibri" w:hAnsi="Sakkal Majalla" w:cs="Sakkal Majalla"/>
          <w:kern w:val="2"/>
          <w:sz w:val="28"/>
          <w:szCs w:val="28"/>
          <w14:ligatures w14:val="standardContextual"/>
        </w:rPr>
        <w:t xml:space="preserve"> &amp; </w:t>
      </w:r>
      <w:proofErr w:type="spellStart"/>
      <w:r w:rsidRPr="005019F4">
        <w:rPr>
          <w:rFonts w:ascii="Sakkal Majalla" w:eastAsia="Calibri" w:hAnsi="Sakkal Majalla" w:cs="Sakkal Majalla"/>
          <w:kern w:val="2"/>
          <w:sz w:val="28"/>
          <w:szCs w:val="28"/>
          <w14:ligatures w14:val="standardContextual"/>
        </w:rPr>
        <w:t>Mansour</w:t>
      </w:r>
      <w:proofErr w:type="spellEnd"/>
      <w:r w:rsidRPr="005019F4">
        <w:rPr>
          <w:rFonts w:ascii="Sakkal Majalla" w:eastAsia="Calibri" w:hAnsi="Sakkal Majalla" w:cs="Sakkal Majalla"/>
          <w:kern w:val="2"/>
          <w:sz w:val="28"/>
          <w:szCs w:val="28"/>
          <w14:ligatures w14:val="standardContextual"/>
        </w:rPr>
        <w:t xml:space="preserve">, 2023) </w:t>
      </w:r>
      <w:r w:rsidRPr="005019F4">
        <w:rPr>
          <w:rFonts w:ascii="Sakkal Majalla" w:eastAsia="Calibri" w:hAnsi="Sakkal Majalla" w:cs="Sakkal Majalla"/>
          <w:kern w:val="2"/>
          <w:sz w:val="28"/>
          <w:szCs w:val="28"/>
          <w:rtl/>
          <w14:ligatures w14:val="standardContextual"/>
        </w:rPr>
        <w:t>على الأبعاد المالية والاجتماعية للأزمات، تتخذ الدراسة الحالية منظورا تقنيا وصحيا يربط مباشرة بين أبعاد إدارة المخاطر ومتغيرات مكافحة العدوى وجودة الرعاية</w:t>
      </w:r>
      <w:r w:rsidRPr="005019F4">
        <w:rPr>
          <w:rFonts w:ascii="Sakkal Majalla" w:eastAsia="Calibri" w:hAnsi="Sakkal Majalla" w:cs="Sakkal Majalla"/>
          <w:kern w:val="2"/>
          <w:sz w:val="28"/>
          <w:szCs w:val="28"/>
          <w14:ligatures w14:val="standardContextual"/>
        </w:rPr>
        <w:t>.</w:t>
      </w:r>
    </w:p>
    <w:p w14:paraId="3DD4BD47" w14:textId="77777777" w:rsidR="005019F4" w:rsidRPr="005019F4" w:rsidRDefault="005019F4" w:rsidP="005019F4">
      <w:pPr>
        <w:bidi/>
        <w:spacing w:line="360" w:lineRule="auto"/>
        <w:ind w:firstLine="720"/>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b/>
          <w:bCs/>
          <w:kern w:val="2"/>
          <w:sz w:val="28"/>
          <w:szCs w:val="28"/>
          <w:rtl/>
          <w14:ligatures w14:val="standardContextual"/>
        </w:rPr>
        <w:t>الفجوة البحثية</w:t>
      </w:r>
      <w:r w:rsidRPr="005019F4">
        <w:rPr>
          <w:rFonts w:ascii="Sakkal Majalla" w:eastAsia="Calibri" w:hAnsi="Sakkal Majalla" w:cs="Sakkal Majalla"/>
          <w:b/>
          <w:bCs/>
          <w:kern w:val="2"/>
          <w:sz w:val="28"/>
          <w:szCs w:val="28"/>
          <w14:ligatures w14:val="standardContextual"/>
        </w:rPr>
        <w:br/>
      </w:r>
      <w:r w:rsidRPr="005019F4">
        <w:rPr>
          <w:rFonts w:ascii="Sakkal Majalla" w:eastAsia="Calibri" w:hAnsi="Sakkal Majalla" w:cs="Sakkal Majalla"/>
          <w:kern w:val="2"/>
          <w:sz w:val="28"/>
          <w:szCs w:val="28"/>
          <w:rtl/>
          <w14:ligatures w14:val="standardContextual"/>
        </w:rPr>
        <w:t>على الرغم من تعدد الدراسات التي بحثت في إدارة المخاطر أو مكافحة العدوى بشكل منفصل أو في سياقات ضيقة، لا تزال هناك فجوة واضحة في</w:t>
      </w:r>
      <w:r w:rsidRPr="005019F4">
        <w:rPr>
          <w:rFonts w:ascii="Sakkal Majalla" w:eastAsia="Calibri" w:hAnsi="Sakkal Majalla" w:cs="Sakkal Majalla"/>
          <w:kern w:val="2"/>
          <w:sz w:val="28"/>
          <w:szCs w:val="28"/>
          <w14:ligatures w14:val="standardContextual"/>
        </w:rPr>
        <w:t>:</w:t>
      </w:r>
    </w:p>
    <w:p w14:paraId="256E104E" w14:textId="77777777" w:rsidR="005019F4" w:rsidRPr="005019F4" w:rsidRDefault="005019F4" w:rsidP="00F634A6">
      <w:pPr>
        <w:numPr>
          <w:ilvl w:val="0"/>
          <w:numId w:val="34"/>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lastRenderedPageBreak/>
        <w:t>تقييم شامل ومقنن لتطبيق برنامج إدارة المخاطر (بأبعاده الأربعة: التحديد، التقييم، وضع الاستراتيجيات، المتابعة) على معدل العدوى المكتسبة داخل المستشفيات الحكومية السعودية بشكل متكامل</w:t>
      </w:r>
      <w:r w:rsidRPr="005019F4">
        <w:rPr>
          <w:rFonts w:ascii="Sakkal Majalla" w:eastAsia="Calibri" w:hAnsi="Sakkal Majalla" w:cs="Sakkal Majalla"/>
          <w:kern w:val="2"/>
          <w:sz w:val="28"/>
          <w:szCs w:val="28"/>
          <w14:ligatures w14:val="standardContextual"/>
        </w:rPr>
        <w:t>.</w:t>
      </w:r>
    </w:p>
    <w:p w14:paraId="0A744D11" w14:textId="77777777" w:rsidR="005019F4" w:rsidRPr="005019F4" w:rsidRDefault="005019F4" w:rsidP="00F634A6">
      <w:pPr>
        <w:numPr>
          <w:ilvl w:val="0"/>
          <w:numId w:val="34"/>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الربط الكمي بين مؤشرات جودة مكافحة العدوى (انخفاض معدلات الإصابات، سرعة الاستجابة، فعالية الإجراءات) وأبعاد إدارة المخاطر عبر تحليل إحصائي دقيق لمجموعات بيانات متنوعة</w:t>
      </w:r>
      <w:r w:rsidRPr="005019F4">
        <w:rPr>
          <w:rFonts w:ascii="Sakkal Majalla" w:eastAsia="Calibri" w:hAnsi="Sakkal Majalla" w:cs="Sakkal Majalla"/>
          <w:kern w:val="2"/>
          <w:sz w:val="28"/>
          <w:szCs w:val="28"/>
          <w14:ligatures w14:val="standardContextual"/>
        </w:rPr>
        <w:t>.</w:t>
      </w:r>
    </w:p>
    <w:p w14:paraId="2ABD38A7" w14:textId="77777777" w:rsidR="005019F4" w:rsidRPr="005019F4" w:rsidRDefault="005019F4" w:rsidP="00F634A6">
      <w:pPr>
        <w:numPr>
          <w:ilvl w:val="0"/>
          <w:numId w:val="34"/>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النموذج التطبيقي الذي يستفيد من أدوات تحليلية متقدمة مثل تحليل “شجرة الأسباب” وتقنية</w:t>
      </w:r>
      <w:r w:rsidRPr="005019F4">
        <w:rPr>
          <w:rFonts w:ascii="Sakkal Majalla" w:eastAsia="Calibri" w:hAnsi="Sakkal Majalla" w:cs="Sakkal Majalla"/>
          <w:kern w:val="2"/>
          <w:sz w:val="28"/>
          <w:szCs w:val="28"/>
          <w14:ligatures w14:val="standardContextual"/>
        </w:rPr>
        <w:t xml:space="preserve"> “Bow-Tie” </w:t>
      </w:r>
      <w:r w:rsidRPr="005019F4">
        <w:rPr>
          <w:rFonts w:ascii="Sakkal Majalla" w:eastAsia="Calibri" w:hAnsi="Sakkal Majalla" w:cs="Sakkal Majalla"/>
          <w:kern w:val="2"/>
          <w:sz w:val="28"/>
          <w:szCs w:val="28"/>
          <w:rtl/>
          <w14:ligatures w14:val="standardContextual"/>
        </w:rPr>
        <w:t>في سياق المستشفيات الحكومية السعودية، وهو ما لم تتناوله الدراسات السابقة محلياً</w:t>
      </w:r>
      <w:r w:rsidRPr="005019F4">
        <w:rPr>
          <w:rFonts w:ascii="Sakkal Majalla" w:eastAsia="Calibri" w:hAnsi="Sakkal Majalla" w:cs="Sakkal Majalla"/>
          <w:kern w:val="2"/>
          <w:sz w:val="28"/>
          <w:szCs w:val="28"/>
          <w14:ligatures w14:val="standardContextual"/>
        </w:rPr>
        <w:t>.</w:t>
      </w:r>
    </w:p>
    <w:p w14:paraId="38333057" w14:textId="77777777" w:rsidR="005019F4" w:rsidRPr="005019F4" w:rsidRDefault="005019F4" w:rsidP="00F634A6">
      <w:pPr>
        <w:numPr>
          <w:ilvl w:val="0"/>
          <w:numId w:val="34"/>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تأصيل ثقافة المخاطر المؤسسية وقياس تأثيرها على الالتزام بالبروتوكولات الوقائية، وهو جانب مهم لم يتناوله أي بحث سابق في السعودية بشكل منهجي وربط مباشر مع مؤشرات الأداء الصحي</w:t>
      </w:r>
      <w:r w:rsidRPr="005019F4">
        <w:rPr>
          <w:rFonts w:ascii="Sakkal Majalla" w:eastAsia="Calibri" w:hAnsi="Sakkal Majalla" w:cs="Sakkal Majalla"/>
          <w:kern w:val="2"/>
          <w:sz w:val="28"/>
          <w:szCs w:val="28"/>
          <w14:ligatures w14:val="standardContextual"/>
        </w:rPr>
        <w:t>.</w:t>
      </w:r>
    </w:p>
    <w:p w14:paraId="1ED252FF" w14:textId="77777777" w:rsidR="005019F4" w:rsidRPr="005019F4" w:rsidRDefault="005019F4" w:rsidP="00F634A6">
      <w:pPr>
        <w:numPr>
          <w:ilvl w:val="0"/>
          <w:numId w:val="34"/>
        </w:numPr>
        <w:bidi/>
        <w:spacing w:line="360" w:lineRule="auto"/>
        <w:jc w:val="both"/>
        <w:rPr>
          <w:rFonts w:ascii="Sakkal Majalla" w:eastAsia="Calibri" w:hAnsi="Sakkal Majalla" w:cs="Sakkal Majalla"/>
          <w:kern w:val="2"/>
          <w:sz w:val="28"/>
          <w:szCs w:val="28"/>
          <w14:ligatures w14:val="standardContextual"/>
        </w:rPr>
      </w:pPr>
      <w:r w:rsidRPr="005019F4">
        <w:rPr>
          <w:rFonts w:ascii="Sakkal Majalla" w:eastAsia="Calibri" w:hAnsi="Sakkal Majalla" w:cs="Sakkal Majalla"/>
          <w:kern w:val="2"/>
          <w:sz w:val="28"/>
          <w:szCs w:val="28"/>
          <w:rtl/>
          <w14:ligatures w14:val="standardContextual"/>
        </w:rPr>
        <w:t>تسعى هذه الدراسة إلى سدّ هذه الفجوات من خلال تصميم استبيان شامل، وتحليل بياناتٍ إحصائيةٍ مكثفة، وتقديم نموذج تطبيقي عملي يدعم صانعي القرار في قطاع الصحة الحكومي</w:t>
      </w:r>
      <w:r w:rsidRPr="005019F4">
        <w:rPr>
          <w:rFonts w:ascii="Sakkal Majalla" w:eastAsia="Calibri" w:hAnsi="Sakkal Majalla" w:cs="Sakkal Majalla"/>
          <w:kern w:val="2"/>
          <w:sz w:val="28"/>
          <w:szCs w:val="28"/>
          <w14:ligatures w14:val="standardContextual"/>
        </w:rPr>
        <w:t>.</w:t>
      </w:r>
    </w:p>
    <w:p w14:paraId="05C6CEDE" w14:textId="77777777" w:rsidR="005019F4" w:rsidRPr="005019F4" w:rsidRDefault="005019F4" w:rsidP="005019F4">
      <w:pPr>
        <w:keepNext/>
        <w:keepLines/>
        <w:bidi/>
        <w:spacing w:line="360" w:lineRule="auto"/>
        <w:jc w:val="both"/>
        <w:outlineLvl w:val="1"/>
        <w:rPr>
          <w:rFonts w:ascii="Sakkal Majalla" w:eastAsia="Calibri" w:hAnsi="Sakkal Majalla" w:cs="Sakkal Majalla"/>
          <w:b/>
          <w:bCs/>
          <w:sz w:val="28"/>
          <w:szCs w:val="28"/>
          <w:rtl/>
        </w:rPr>
      </w:pPr>
      <w:bookmarkStart w:id="27" w:name="_Toc180449116"/>
      <w:r w:rsidRPr="005019F4">
        <w:rPr>
          <w:rFonts w:ascii="Sakkal Majalla" w:eastAsia="Calibri" w:hAnsi="Sakkal Majalla" w:cs="Sakkal Majalla"/>
          <w:b/>
          <w:bCs/>
          <w:sz w:val="28"/>
          <w:szCs w:val="28"/>
          <w:rtl/>
        </w:rPr>
        <w:t>7.1 المنطلقات النظرية للدراسة:</w:t>
      </w:r>
      <w:bookmarkEnd w:id="5"/>
      <w:bookmarkEnd w:id="6"/>
      <w:bookmarkEnd w:id="26"/>
      <w:bookmarkEnd w:id="27"/>
    </w:p>
    <w:p w14:paraId="36FAC00A" w14:textId="77777777" w:rsidR="005019F4" w:rsidRPr="005019F4" w:rsidRDefault="005019F4" w:rsidP="005019F4">
      <w:pPr>
        <w:bidi/>
        <w:spacing w:before="100" w:beforeAutospacing="1" w:after="100" w:afterAutospacing="1" w:line="360" w:lineRule="auto"/>
        <w:jc w:val="both"/>
        <w:rPr>
          <w:rFonts w:ascii="Sakkal Majalla" w:hAnsi="Sakkal Majalla" w:cs="Sakkal Majalla"/>
          <w:sz w:val="32"/>
          <w:szCs w:val="32"/>
        </w:rPr>
      </w:pPr>
      <w:r w:rsidRPr="005019F4">
        <w:rPr>
          <w:rFonts w:ascii="Sakkal Majalla" w:hAnsi="Sakkal Majalla" w:cs="Sakkal Majalla"/>
          <w:b/>
          <w:bCs/>
          <w:sz w:val="32"/>
          <w:szCs w:val="32"/>
        </w:rPr>
        <w:t xml:space="preserve">7.1 </w:t>
      </w:r>
      <w:r w:rsidRPr="005019F4">
        <w:rPr>
          <w:rFonts w:ascii="Sakkal Majalla" w:hAnsi="Sakkal Majalla" w:cs="Sakkal Majalla"/>
          <w:b/>
          <w:bCs/>
          <w:sz w:val="32"/>
          <w:szCs w:val="32"/>
          <w:rtl/>
        </w:rPr>
        <w:t>المنطلقات النظرية للدراسة</w:t>
      </w:r>
    </w:p>
    <w:p w14:paraId="4CA60B9C" w14:textId="77777777" w:rsidR="005019F4" w:rsidRPr="005019F4" w:rsidRDefault="005019F4" w:rsidP="005019F4">
      <w:p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sz w:val="28"/>
          <w:szCs w:val="28"/>
          <w:rtl/>
        </w:rPr>
        <w:t>تعتمد هذه الدراسة على مجموعة من الأطر والنظريات التي تفسر كيفية عمل برامج إدارة المخاطر وتأثيرها في مكافحة العدوى داخل المستشفيات الحكومية. ويمكن تلخيص أهم المنطلقات النظرية فيما يلي</w:t>
      </w:r>
      <w:r w:rsidRPr="005019F4">
        <w:rPr>
          <w:rFonts w:ascii="Sakkal Majalla" w:hAnsi="Sakkal Majalla" w:cs="Sakkal Majalla"/>
          <w:sz w:val="28"/>
          <w:szCs w:val="28"/>
        </w:rPr>
        <w:t>:</w:t>
      </w:r>
    </w:p>
    <w:p w14:paraId="1918408F" w14:textId="77777777" w:rsidR="005019F4" w:rsidRPr="005019F4" w:rsidRDefault="005019F4" w:rsidP="00F634A6">
      <w:pPr>
        <w:numPr>
          <w:ilvl w:val="0"/>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دورة إدارة المخاطر</w:t>
      </w:r>
      <w:r w:rsidRPr="005019F4">
        <w:rPr>
          <w:rFonts w:ascii="Sakkal Majalla" w:hAnsi="Sakkal Majalla" w:cs="Sakkal Majalla"/>
          <w:b/>
          <w:bCs/>
          <w:sz w:val="28"/>
          <w:szCs w:val="28"/>
        </w:rPr>
        <w:t xml:space="preserve"> (Risk Management Cycle)</w:t>
      </w:r>
    </w:p>
    <w:p w14:paraId="52715C1B" w14:textId="77777777" w:rsidR="005019F4" w:rsidRPr="005019F4" w:rsidRDefault="005019F4" w:rsidP="005019F4">
      <w:pPr>
        <w:bidi/>
        <w:spacing w:before="100" w:beforeAutospacing="1" w:after="100" w:afterAutospacing="1" w:line="360" w:lineRule="auto"/>
        <w:ind w:left="720"/>
        <w:jc w:val="both"/>
        <w:rPr>
          <w:rFonts w:ascii="Sakkal Majalla" w:hAnsi="Sakkal Majalla" w:cs="Sakkal Majalla"/>
          <w:sz w:val="28"/>
          <w:szCs w:val="28"/>
        </w:rPr>
      </w:pPr>
      <w:r w:rsidRPr="005019F4">
        <w:rPr>
          <w:rFonts w:ascii="Sakkal Majalla" w:hAnsi="Sakkal Majalla" w:cs="Sakkal Majalla"/>
          <w:sz w:val="28"/>
          <w:szCs w:val="28"/>
          <w:rtl/>
        </w:rPr>
        <w:t xml:space="preserve">تنطلق إدارة المخاطر من دورة متكاملة تشمل أربع مراحل رئيسية: (1) تحديد المخاطر، (2) تقييم المخاطر، (3) وضع استراتيجيات التعامل (التجنب، التقليل، النقل، القبول)، و(4) المتابعة </w:t>
      </w:r>
      <w:r w:rsidRPr="005019F4">
        <w:rPr>
          <w:rFonts w:ascii="Sakkal Majalla" w:hAnsi="Sakkal Majalla" w:cs="Sakkal Majalla"/>
          <w:sz w:val="28"/>
          <w:szCs w:val="28"/>
          <w:rtl/>
        </w:rPr>
        <w:lastRenderedPageBreak/>
        <w:t>والمراجعة المستمرة. ويؤكد إطار</w:t>
      </w:r>
      <w:r w:rsidRPr="005019F4">
        <w:rPr>
          <w:rFonts w:ascii="Sakkal Majalla" w:hAnsi="Sakkal Majalla" w:cs="Sakkal Majalla"/>
          <w:sz w:val="28"/>
          <w:szCs w:val="28"/>
        </w:rPr>
        <w:t xml:space="preserve"> “ISO 31000” </w:t>
      </w:r>
      <w:r w:rsidRPr="005019F4">
        <w:rPr>
          <w:rFonts w:ascii="Sakkal Majalla" w:hAnsi="Sakkal Majalla" w:cs="Sakkal Majalla"/>
          <w:sz w:val="28"/>
          <w:szCs w:val="28"/>
          <w:rtl/>
        </w:rPr>
        <w:t>وأطر</w:t>
      </w:r>
      <w:r w:rsidRPr="005019F4">
        <w:rPr>
          <w:rFonts w:ascii="Sakkal Majalla" w:hAnsi="Sakkal Majalla" w:cs="Sakkal Majalla"/>
          <w:sz w:val="28"/>
          <w:szCs w:val="28"/>
        </w:rPr>
        <w:t xml:space="preserve"> COSO </w:t>
      </w:r>
      <w:r w:rsidRPr="005019F4">
        <w:rPr>
          <w:rFonts w:ascii="Sakkal Majalla" w:hAnsi="Sakkal Majalla" w:cs="Sakkal Majalla"/>
          <w:sz w:val="28"/>
          <w:szCs w:val="28"/>
          <w:rtl/>
        </w:rPr>
        <w:t>لإدارة المخاطر على ضرورة تكرار هذه الدورة بانتظام للتكيف مع المستجدات</w:t>
      </w:r>
      <w:r w:rsidRPr="005019F4">
        <w:rPr>
          <w:rFonts w:ascii="Sakkal Majalla" w:hAnsi="Sakkal Majalla" w:cs="Sakkal Majalla"/>
          <w:sz w:val="28"/>
          <w:szCs w:val="28"/>
        </w:rPr>
        <w:t xml:space="preserve"> (</w:t>
      </w:r>
      <w:proofErr w:type="spellStart"/>
      <w:r w:rsidRPr="005019F4">
        <w:rPr>
          <w:rFonts w:ascii="Sakkal Majalla" w:hAnsi="Sakkal Majalla" w:cs="Sakkal Majalla"/>
          <w:sz w:val="28"/>
          <w:szCs w:val="28"/>
        </w:rPr>
        <w:t>Shakatreh</w:t>
      </w:r>
      <w:proofErr w:type="spellEnd"/>
      <w:r w:rsidRPr="005019F4">
        <w:rPr>
          <w:rFonts w:ascii="Sakkal Majalla" w:hAnsi="Sakkal Majalla" w:cs="Sakkal Majalla"/>
          <w:sz w:val="28"/>
          <w:szCs w:val="28"/>
        </w:rPr>
        <w:t xml:space="preserve"> &amp; </w:t>
      </w:r>
      <w:proofErr w:type="spellStart"/>
      <w:r w:rsidRPr="005019F4">
        <w:rPr>
          <w:rFonts w:ascii="Sakkal Majalla" w:hAnsi="Sakkal Majalla" w:cs="Sakkal Majalla"/>
          <w:sz w:val="28"/>
          <w:szCs w:val="28"/>
        </w:rPr>
        <w:t>Mansour</w:t>
      </w:r>
      <w:proofErr w:type="spellEnd"/>
      <w:r w:rsidRPr="005019F4">
        <w:rPr>
          <w:rFonts w:ascii="Sakkal Majalla" w:hAnsi="Sakkal Majalla" w:cs="Sakkal Majalla"/>
          <w:sz w:val="28"/>
          <w:szCs w:val="28"/>
        </w:rPr>
        <w:t xml:space="preserve">, 2023). </w:t>
      </w:r>
      <w:r w:rsidRPr="005019F4">
        <w:rPr>
          <w:rFonts w:ascii="Sakkal Majalla" w:hAnsi="Sakkal Majalla" w:cs="Sakkal Majalla"/>
          <w:sz w:val="28"/>
          <w:szCs w:val="28"/>
          <w:rtl/>
        </w:rPr>
        <w:t>وفي سياق مكافحة العدوى، يتيح هذا المنهج التعرف المبكر على المخاطر الوبائية وتقييم شدتها وتطوير بروتوكولات وقائية ملائمة، ثم مراجعتها دورياً بناءً على نتائج الأداء الفعلي</w:t>
      </w:r>
      <w:r w:rsidRPr="005019F4">
        <w:rPr>
          <w:rFonts w:ascii="Sakkal Majalla" w:hAnsi="Sakkal Majalla" w:cs="Sakkal Majalla"/>
          <w:sz w:val="28"/>
          <w:szCs w:val="28"/>
        </w:rPr>
        <w:t>.</w:t>
      </w:r>
    </w:p>
    <w:p w14:paraId="61E74D73" w14:textId="77777777" w:rsidR="005019F4" w:rsidRPr="005019F4" w:rsidRDefault="005019F4" w:rsidP="00F634A6">
      <w:pPr>
        <w:numPr>
          <w:ilvl w:val="0"/>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نماذج الجودة في الرعاية الصحية</w:t>
      </w:r>
      <w:r w:rsidRPr="005019F4">
        <w:rPr>
          <w:rFonts w:ascii="Sakkal Majalla" w:hAnsi="Sakkal Majalla" w:cs="Sakkal Majalla"/>
          <w:b/>
          <w:bCs/>
          <w:sz w:val="28"/>
          <w:szCs w:val="28"/>
        </w:rPr>
        <w:t xml:space="preserve"> (</w:t>
      </w:r>
      <w:proofErr w:type="spellStart"/>
      <w:r w:rsidRPr="005019F4">
        <w:rPr>
          <w:rFonts w:ascii="Sakkal Majalla" w:hAnsi="Sakkal Majalla" w:cs="Sakkal Majalla"/>
          <w:b/>
          <w:bCs/>
          <w:sz w:val="28"/>
          <w:szCs w:val="28"/>
        </w:rPr>
        <w:t>Donabedian</w:t>
      </w:r>
      <w:proofErr w:type="spellEnd"/>
      <w:r w:rsidRPr="005019F4">
        <w:rPr>
          <w:rFonts w:ascii="Sakkal Majalla" w:hAnsi="Sakkal Majalla" w:cs="Sakkal Majalla"/>
          <w:b/>
          <w:bCs/>
          <w:sz w:val="28"/>
          <w:szCs w:val="28"/>
        </w:rPr>
        <w:t xml:space="preserve"> Model)</w:t>
      </w:r>
    </w:p>
    <w:p w14:paraId="01932639" w14:textId="77777777" w:rsidR="005019F4" w:rsidRPr="005019F4" w:rsidRDefault="005019F4" w:rsidP="005019F4">
      <w:pPr>
        <w:bidi/>
        <w:spacing w:before="100" w:beforeAutospacing="1" w:after="100" w:afterAutospacing="1" w:line="360" w:lineRule="auto"/>
        <w:ind w:left="720"/>
        <w:jc w:val="both"/>
        <w:rPr>
          <w:rFonts w:ascii="Sakkal Majalla" w:hAnsi="Sakkal Majalla" w:cs="Sakkal Majalla"/>
          <w:sz w:val="28"/>
          <w:szCs w:val="28"/>
        </w:rPr>
      </w:pPr>
      <w:r w:rsidRPr="005019F4">
        <w:rPr>
          <w:rFonts w:ascii="Sakkal Majalla" w:hAnsi="Sakkal Majalla" w:cs="Sakkal Majalla"/>
          <w:sz w:val="28"/>
          <w:szCs w:val="28"/>
          <w:rtl/>
        </w:rPr>
        <w:t>يقدم نموذج دونابيديَن لتحليل جودة الرعاية ثلاثة مكونات أساسية: المدخلات</w:t>
      </w:r>
      <w:r w:rsidRPr="005019F4">
        <w:rPr>
          <w:rFonts w:ascii="Sakkal Majalla" w:hAnsi="Sakkal Majalla" w:cs="Sakkal Majalla"/>
          <w:sz w:val="28"/>
          <w:szCs w:val="28"/>
        </w:rPr>
        <w:t xml:space="preserve"> (Structure)</w:t>
      </w:r>
      <w:r w:rsidRPr="005019F4">
        <w:rPr>
          <w:rFonts w:ascii="Sakkal Majalla" w:hAnsi="Sakkal Majalla" w:cs="Sakkal Majalla"/>
          <w:sz w:val="28"/>
          <w:szCs w:val="28"/>
          <w:rtl/>
        </w:rPr>
        <w:t>، والعمليات</w:t>
      </w:r>
      <w:r w:rsidRPr="005019F4">
        <w:rPr>
          <w:rFonts w:ascii="Sakkal Majalla" w:hAnsi="Sakkal Majalla" w:cs="Sakkal Majalla"/>
          <w:sz w:val="28"/>
          <w:szCs w:val="28"/>
        </w:rPr>
        <w:t xml:space="preserve"> (Process)</w:t>
      </w:r>
      <w:r w:rsidRPr="005019F4">
        <w:rPr>
          <w:rFonts w:ascii="Sakkal Majalla" w:hAnsi="Sakkal Majalla" w:cs="Sakkal Majalla"/>
          <w:sz w:val="28"/>
          <w:szCs w:val="28"/>
          <w:rtl/>
        </w:rPr>
        <w:t>، والمخرجات</w:t>
      </w:r>
      <w:r w:rsidRPr="005019F4">
        <w:rPr>
          <w:rFonts w:ascii="Sakkal Majalla" w:hAnsi="Sakkal Majalla" w:cs="Sakkal Majalla"/>
          <w:sz w:val="28"/>
          <w:szCs w:val="28"/>
        </w:rPr>
        <w:t xml:space="preserve"> (Outcomes).</w:t>
      </w:r>
    </w:p>
    <w:p w14:paraId="052E0C56" w14:textId="77777777" w:rsidR="005019F4" w:rsidRPr="005019F4" w:rsidRDefault="005019F4" w:rsidP="00F634A6">
      <w:pPr>
        <w:numPr>
          <w:ilvl w:val="1"/>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المدخلات</w:t>
      </w:r>
      <w:r w:rsidRPr="005019F4">
        <w:rPr>
          <w:rFonts w:ascii="Sakkal Majalla" w:hAnsi="Sakkal Majalla" w:cs="Sakkal Majalla"/>
          <w:sz w:val="28"/>
          <w:szCs w:val="28"/>
          <w:rtl/>
        </w:rPr>
        <w:t xml:space="preserve"> تتضمن البنية التنظيمية للمستشفى وأدوات مكافحة العدوى والكفاءات البشرية</w:t>
      </w:r>
      <w:r w:rsidRPr="005019F4">
        <w:rPr>
          <w:rFonts w:ascii="Sakkal Majalla" w:hAnsi="Sakkal Majalla" w:cs="Sakkal Majalla"/>
          <w:sz w:val="28"/>
          <w:szCs w:val="28"/>
        </w:rPr>
        <w:t>.</w:t>
      </w:r>
    </w:p>
    <w:p w14:paraId="529BF87D" w14:textId="77777777" w:rsidR="005019F4" w:rsidRPr="005019F4" w:rsidRDefault="005019F4" w:rsidP="00F634A6">
      <w:pPr>
        <w:numPr>
          <w:ilvl w:val="1"/>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العمليات</w:t>
      </w:r>
      <w:r w:rsidRPr="005019F4">
        <w:rPr>
          <w:rFonts w:ascii="Sakkal Majalla" w:hAnsi="Sakkal Majalla" w:cs="Sakkal Majalla"/>
          <w:sz w:val="28"/>
          <w:szCs w:val="28"/>
          <w:rtl/>
        </w:rPr>
        <w:t xml:space="preserve"> تشمل الإجراءات الوقائية، مثل التعقيم والتطهير والتدريب على الالتزام بالبروتوكولات</w:t>
      </w:r>
      <w:r w:rsidRPr="005019F4">
        <w:rPr>
          <w:rFonts w:ascii="Sakkal Majalla" w:hAnsi="Sakkal Majalla" w:cs="Sakkal Majalla"/>
          <w:sz w:val="28"/>
          <w:szCs w:val="28"/>
        </w:rPr>
        <w:t xml:space="preserve"> (</w:t>
      </w:r>
      <w:r w:rsidRPr="005019F4">
        <w:rPr>
          <w:rFonts w:ascii="Sakkal Majalla" w:hAnsi="Sakkal Majalla" w:cs="Sakkal Majalla"/>
          <w:sz w:val="28"/>
          <w:szCs w:val="28"/>
          <w:rtl/>
        </w:rPr>
        <w:t>نصر الله</w:t>
      </w:r>
      <w:r w:rsidRPr="005019F4">
        <w:rPr>
          <w:rFonts w:ascii="Sakkal Majalla" w:hAnsi="Sakkal Majalla" w:cs="Sakkal Majalla"/>
          <w:sz w:val="28"/>
          <w:szCs w:val="28"/>
        </w:rPr>
        <w:t xml:space="preserve"> et al., 2017).</w:t>
      </w:r>
    </w:p>
    <w:p w14:paraId="4498B00E" w14:textId="77777777" w:rsidR="005019F4" w:rsidRPr="005019F4" w:rsidRDefault="005019F4" w:rsidP="00F634A6">
      <w:pPr>
        <w:numPr>
          <w:ilvl w:val="1"/>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المخرجات</w:t>
      </w:r>
      <w:r w:rsidRPr="005019F4">
        <w:rPr>
          <w:rFonts w:ascii="Sakkal Majalla" w:hAnsi="Sakkal Majalla" w:cs="Sakkal Majalla"/>
          <w:sz w:val="28"/>
          <w:szCs w:val="28"/>
          <w:rtl/>
        </w:rPr>
        <w:t xml:space="preserve"> تقاس بمعدلات العدوى المكتسبة ورضا المرضى وسرعة الاستجابة للحوادث الوبائية</w:t>
      </w:r>
      <w:r w:rsidRPr="005019F4">
        <w:rPr>
          <w:rFonts w:ascii="Sakkal Majalla" w:hAnsi="Sakkal Majalla" w:cs="Sakkal Majalla"/>
          <w:sz w:val="28"/>
          <w:szCs w:val="28"/>
        </w:rPr>
        <w:t>.</w:t>
      </w:r>
      <w:r w:rsidRPr="005019F4">
        <w:rPr>
          <w:rFonts w:ascii="Sakkal Majalla" w:hAnsi="Sakkal Majalla" w:cs="Sakkal Majalla"/>
          <w:sz w:val="28"/>
          <w:szCs w:val="28"/>
        </w:rPr>
        <w:br/>
      </w:r>
      <w:r w:rsidRPr="005019F4">
        <w:rPr>
          <w:rFonts w:ascii="Sakkal Majalla" w:hAnsi="Sakkal Majalla" w:cs="Sakkal Majalla"/>
          <w:sz w:val="28"/>
          <w:szCs w:val="28"/>
          <w:rtl/>
        </w:rPr>
        <w:t>يتيح هذا الإطار ربط ممارسات إدارة المخاطر (الهيكلية والتنظيمية) بأداء مكافحة العدوى وقياس فاعليتها</w:t>
      </w:r>
      <w:r w:rsidRPr="005019F4">
        <w:rPr>
          <w:rFonts w:ascii="Sakkal Majalla" w:hAnsi="Sakkal Majalla" w:cs="Sakkal Majalla"/>
          <w:sz w:val="28"/>
          <w:szCs w:val="28"/>
        </w:rPr>
        <w:t>.</w:t>
      </w:r>
    </w:p>
    <w:p w14:paraId="30A6DF1B" w14:textId="77777777" w:rsidR="005019F4" w:rsidRPr="005019F4" w:rsidRDefault="005019F4" w:rsidP="00F634A6">
      <w:pPr>
        <w:numPr>
          <w:ilvl w:val="0"/>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نظرية المنظمات عالية الاعتمادية</w:t>
      </w:r>
      <w:r w:rsidRPr="005019F4">
        <w:rPr>
          <w:rFonts w:ascii="Sakkal Majalla" w:hAnsi="Sakkal Majalla" w:cs="Sakkal Majalla"/>
          <w:b/>
          <w:bCs/>
          <w:sz w:val="28"/>
          <w:szCs w:val="28"/>
        </w:rPr>
        <w:t xml:space="preserve"> (High Reliability Organizations, HROs)</w:t>
      </w:r>
      <w:r w:rsidRPr="005019F4">
        <w:rPr>
          <w:rFonts w:ascii="Sakkal Majalla" w:hAnsi="Sakkal Majalla" w:cs="Sakkal Majalla"/>
          <w:sz w:val="28"/>
          <w:szCs w:val="28"/>
        </w:rPr>
        <w:br/>
      </w:r>
      <w:r w:rsidRPr="005019F4">
        <w:rPr>
          <w:rFonts w:ascii="Sakkal Majalla" w:hAnsi="Sakkal Majalla" w:cs="Sakkal Majalla"/>
          <w:sz w:val="28"/>
          <w:szCs w:val="28"/>
          <w:rtl/>
        </w:rPr>
        <w:t>تركز هذه النظرية على المؤسسات التي تبذل جهداً استثنائياً للحفاظ على عمليات خالية من الأخطاء تحت ظروف معقدة وعالية المخاطر. وتقوم</w:t>
      </w:r>
      <w:r w:rsidRPr="005019F4">
        <w:rPr>
          <w:rFonts w:ascii="Sakkal Majalla" w:hAnsi="Sakkal Majalla" w:cs="Sakkal Majalla"/>
          <w:sz w:val="28"/>
          <w:szCs w:val="28"/>
        </w:rPr>
        <w:t xml:space="preserve"> HROs </w:t>
      </w:r>
      <w:r w:rsidRPr="005019F4">
        <w:rPr>
          <w:rFonts w:ascii="Sakkal Majalla" w:hAnsi="Sakkal Majalla" w:cs="Sakkal Majalla"/>
          <w:sz w:val="28"/>
          <w:szCs w:val="28"/>
          <w:rtl/>
        </w:rPr>
        <w:t>على خمسة مبادئ: الحس الدائم للاحتمالات، واستعداد دائم للخطأ، وقدرة على الاستجابة السريعة، وآلية لتركيز المعرفة في خطوط العمل، وتعلم جماعي مستمر. وتطبق المستشفيات التي تنشد تفوقاً في مكافحة العدوى مبادئ</w:t>
      </w:r>
      <w:r w:rsidRPr="005019F4">
        <w:rPr>
          <w:rFonts w:ascii="Sakkal Majalla" w:hAnsi="Sakkal Majalla" w:cs="Sakkal Majalla"/>
          <w:sz w:val="28"/>
          <w:szCs w:val="28"/>
        </w:rPr>
        <w:t xml:space="preserve"> HROs </w:t>
      </w:r>
      <w:r w:rsidRPr="005019F4">
        <w:rPr>
          <w:rFonts w:ascii="Sakkal Majalla" w:hAnsi="Sakkal Majalla" w:cs="Sakkal Majalla"/>
          <w:sz w:val="28"/>
          <w:szCs w:val="28"/>
          <w:rtl/>
        </w:rPr>
        <w:t>عبر تعزيز ثقافة الوعي بالمخاطر والاستعداد للطوارئ</w:t>
      </w:r>
      <w:r w:rsidRPr="005019F4">
        <w:rPr>
          <w:rFonts w:ascii="Sakkal Majalla" w:hAnsi="Sakkal Majalla" w:cs="Sakkal Majalla"/>
          <w:sz w:val="28"/>
          <w:szCs w:val="28"/>
        </w:rPr>
        <w:t xml:space="preserve"> (</w:t>
      </w:r>
      <w:proofErr w:type="spellStart"/>
      <w:r w:rsidRPr="005019F4">
        <w:rPr>
          <w:rFonts w:ascii="Sakkal Majalla" w:hAnsi="Sakkal Majalla" w:cs="Sakkal Majalla"/>
          <w:sz w:val="28"/>
          <w:szCs w:val="28"/>
        </w:rPr>
        <w:t>Abdelsalam</w:t>
      </w:r>
      <w:proofErr w:type="spellEnd"/>
      <w:r w:rsidRPr="005019F4">
        <w:rPr>
          <w:rFonts w:ascii="Sakkal Majalla" w:hAnsi="Sakkal Majalla" w:cs="Sakkal Majalla"/>
          <w:sz w:val="28"/>
          <w:szCs w:val="28"/>
        </w:rPr>
        <w:t xml:space="preserve"> &amp; Briar, 2020).</w:t>
      </w:r>
    </w:p>
    <w:p w14:paraId="0CC9D65E" w14:textId="77777777" w:rsidR="005019F4" w:rsidRPr="005019F4" w:rsidRDefault="005019F4" w:rsidP="00F634A6">
      <w:pPr>
        <w:numPr>
          <w:ilvl w:val="0"/>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lastRenderedPageBreak/>
        <w:t>نموذج الجبن السويسري</w:t>
      </w:r>
      <w:r w:rsidRPr="005019F4">
        <w:rPr>
          <w:rFonts w:ascii="Sakkal Majalla" w:hAnsi="Sakkal Majalla" w:cs="Sakkal Majalla"/>
          <w:b/>
          <w:bCs/>
          <w:sz w:val="28"/>
          <w:szCs w:val="28"/>
        </w:rPr>
        <w:t xml:space="preserve"> (Swiss Cheese Model)</w:t>
      </w:r>
    </w:p>
    <w:p w14:paraId="36319988" w14:textId="77777777" w:rsidR="005019F4" w:rsidRPr="005019F4" w:rsidRDefault="005019F4" w:rsidP="005019F4">
      <w:pPr>
        <w:bidi/>
        <w:spacing w:before="100" w:beforeAutospacing="1" w:after="100" w:afterAutospacing="1" w:line="360" w:lineRule="auto"/>
        <w:ind w:left="720"/>
        <w:jc w:val="both"/>
        <w:rPr>
          <w:rFonts w:ascii="Sakkal Majalla" w:hAnsi="Sakkal Majalla" w:cs="Sakkal Majalla"/>
          <w:sz w:val="28"/>
          <w:szCs w:val="28"/>
        </w:rPr>
      </w:pPr>
      <w:r w:rsidRPr="005019F4">
        <w:rPr>
          <w:rFonts w:ascii="Sakkal Majalla" w:hAnsi="Sakkal Majalla" w:cs="Sakkal Majalla"/>
          <w:sz w:val="28"/>
          <w:szCs w:val="28"/>
          <w:rtl/>
        </w:rPr>
        <w:t>يقترح جيمس ريزن أن الحوادث تحدث عند تراكب نقاط الضعف في مستويات النظام المختلفة والتي تشبه شرائح الجبن السويسري، حيث توجد ثقوب في كل شريحة. ومن ثم، فإن ملء هذه الثقوب عبر طبقات متعددة من الإجراءات الوقائية—كالتحصين، والتعقيم، والتدريب، والمراجعة الدورية—يقلل من احتمال وصول العدوى إلى المريض</w:t>
      </w:r>
      <w:r w:rsidRPr="005019F4">
        <w:rPr>
          <w:rFonts w:ascii="Sakkal Majalla" w:hAnsi="Sakkal Majalla" w:cs="Sakkal Majalla"/>
          <w:sz w:val="28"/>
          <w:szCs w:val="28"/>
        </w:rPr>
        <w:t xml:space="preserve"> (</w:t>
      </w:r>
      <w:proofErr w:type="spellStart"/>
      <w:r w:rsidRPr="005019F4">
        <w:rPr>
          <w:rFonts w:ascii="Sakkal Majalla" w:hAnsi="Sakkal Majalla" w:cs="Sakkal Majalla"/>
          <w:sz w:val="28"/>
          <w:szCs w:val="28"/>
        </w:rPr>
        <w:t>Layes</w:t>
      </w:r>
      <w:proofErr w:type="spellEnd"/>
      <w:r w:rsidRPr="005019F4">
        <w:rPr>
          <w:rFonts w:ascii="Sakkal Majalla" w:hAnsi="Sakkal Majalla" w:cs="Sakkal Majalla"/>
          <w:sz w:val="28"/>
          <w:szCs w:val="28"/>
        </w:rPr>
        <w:t xml:space="preserve"> et al., 2021).</w:t>
      </w:r>
    </w:p>
    <w:p w14:paraId="27DBD7E4" w14:textId="77777777" w:rsidR="005019F4" w:rsidRPr="005019F4" w:rsidRDefault="005019F4" w:rsidP="00F634A6">
      <w:pPr>
        <w:numPr>
          <w:ilvl w:val="0"/>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النظرة المنظومية</w:t>
      </w:r>
      <w:r w:rsidRPr="005019F4">
        <w:rPr>
          <w:rFonts w:ascii="Sakkal Majalla" w:hAnsi="Sakkal Majalla" w:cs="Sakkal Majalla"/>
          <w:b/>
          <w:bCs/>
          <w:sz w:val="28"/>
          <w:szCs w:val="28"/>
        </w:rPr>
        <w:t xml:space="preserve"> (Systems Theory)</w:t>
      </w:r>
    </w:p>
    <w:p w14:paraId="37F6055E" w14:textId="77777777" w:rsidR="005019F4" w:rsidRPr="005019F4" w:rsidRDefault="005019F4" w:rsidP="005019F4">
      <w:pPr>
        <w:bidi/>
        <w:spacing w:before="100" w:beforeAutospacing="1" w:after="100" w:afterAutospacing="1" w:line="360" w:lineRule="auto"/>
        <w:ind w:left="720"/>
        <w:jc w:val="both"/>
        <w:rPr>
          <w:rFonts w:ascii="Sakkal Majalla" w:hAnsi="Sakkal Majalla" w:cs="Sakkal Majalla"/>
          <w:sz w:val="28"/>
          <w:szCs w:val="28"/>
        </w:rPr>
      </w:pPr>
      <w:r w:rsidRPr="005019F4">
        <w:rPr>
          <w:rFonts w:ascii="Sakkal Majalla" w:hAnsi="Sakkal Majalla" w:cs="Sakkal Majalla"/>
          <w:sz w:val="28"/>
          <w:szCs w:val="28"/>
          <w:rtl/>
        </w:rPr>
        <w:t>تنظر النظرية المنظومية إلى المستشفى كنظام متكامل تتفاعل فيه الأجزاء (الإدارات، والكادر الطبي، والأجهزة، والإجراءات) وتؤثر على بعضها بعضاً. وتؤكد هذه النظرة ضرورة تكامل جهود إدارة المخاطر مع وحدات مكافحة العدوى وإدارات الجودة وتقنية المعلومات الصحية لخلق حلقة تغذية راجعة مستمرة قادرة على رصد وتحسين الأداء</w:t>
      </w:r>
      <w:r w:rsidRPr="005019F4">
        <w:rPr>
          <w:rFonts w:ascii="Sakkal Majalla" w:hAnsi="Sakkal Majalla" w:cs="Sakkal Majalla"/>
          <w:sz w:val="28"/>
          <w:szCs w:val="28"/>
        </w:rPr>
        <w:t xml:space="preserve"> (Al-Muṭayrī, 2023).</w:t>
      </w:r>
    </w:p>
    <w:p w14:paraId="7438C22F" w14:textId="77777777" w:rsidR="005019F4" w:rsidRPr="005019F4" w:rsidRDefault="005019F4" w:rsidP="00F634A6">
      <w:pPr>
        <w:numPr>
          <w:ilvl w:val="0"/>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منظور علم الوبائيات</w:t>
      </w:r>
      <w:r w:rsidRPr="005019F4">
        <w:rPr>
          <w:rFonts w:ascii="Sakkal Majalla" w:hAnsi="Sakkal Majalla" w:cs="Sakkal Majalla"/>
          <w:b/>
          <w:bCs/>
          <w:sz w:val="28"/>
          <w:szCs w:val="28"/>
        </w:rPr>
        <w:t xml:space="preserve"> (Epidemiological Framework)</w:t>
      </w:r>
    </w:p>
    <w:p w14:paraId="407E7983" w14:textId="77777777" w:rsidR="005019F4" w:rsidRPr="005019F4" w:rsidRDefault="005019F4" w:rsidP="005019F4">
      <w:pPr>
        <w:bidi/>
        <w:spacing w:before="100" w:beforeAutospacing="1" w:after="100" w:afterAutospacing="1" w:line="360" w:lineRule="auto"/>
        <w:ind w:left="720"/>
        <w:jc w:val="both"/>
        <w:rPr>
          <w:rFonts w:ascii="Sakkal Majalla" w:hAnsi="Sakkal Majalla" w:cs="Sakkal Majalla"/>
          <w:sz w:val="28"/>
          <w:szCs w:val="28"/>
        </w:rPr>
      </w:pPr>
      <w:r w:rsidRPr="005019F4">
        <w:rPr>
          <w:rFonts w:ascii="Sakkal Majalla" w:hAnsi="Sakkal Majalla" w:cs="Sakkal Majalla"/>
          <w:sz w:val="28"/>
          <w:szCs w:val="28"/>
          <w:rtl/>
        </w:rPr>
        <w:t>يعتمد مكافحة العدوى على نموذج السلسلة الوبائية الذي يحدد دائماً أربعة عناصر: العامل الممرض، المستضيف، الوسيط الناقل، والبيئة. وتكمن فاعلية إدارة المخاطر في قطع هذه السلسلة عبر استراتيجيات التعقيم، والتحصين، ومراقبة المواصفات البيئية، والعزل عند اللزوم</w:t>
      </w:r>
      <w:r w:rsidRPr="005019F4">
        <w:rPr>
          <w:rFonts w:ascii="Sakkal Majalla" w:hAnsi="Sakkal Majalla" w:cs="Sakkal Majalla"/>
          <w:sz w:val="28"/>
          <w:szCs w:val="28"/>
        </w:rPr>
        <w:t xml:space="preserve"> (</w:t>
      </w:r>
      <w:proofErr w:type="spellStart"/>
      <w:r w:rsidRPr="005019F4">
        <w:rPr>
          <w:rFonts w:ascii="Sakkal Majalla" w:hAnsi="Sakkal Majalla" w:cs="Sakkal Majalla"/>
          <w:sz w:val="28"/>
          <w:szCs w:val="28"/>
        </w:rPr>
        <w:t>Nasher</w:t>
      </w:r>
      <w:proofErr w:type="spellEnd"/>
      <w:r w:rsidRPr="005019F4">
        <w:rPr>
          <w:rFonts w:ascii="Sakkal Majalla" w:hAnsi="Sakkal Majalla" w:cs="Sakkal Majalla"/>
          <w:sz w:val="28"/>
          <w:szCs w:val="28"/>
        </w:rPr>
        <w:t xml:space="preserve"> et al., 2024).</w:t>
      </w:r>
    </w:p>
    <w:p w14:paraId="4F087AEB" w14:textId="77777777" w:rsidR="005019F4" w:rsidRPr="005019F4" w:rsidRDefault="005019F4" w:rsidP="00F634A6">
      <w:pPr>
        <w:numPr>
          <w:ilvl w:val="0"/>
          <w:numId w:val="35"/>
        </w:numPr>
        <w:bidi/>
        <w:spacing w:before="100" w:beforeAutospacing="1" w:after="100" w:afterAutospacing="1" w:line="360" w:lineRule="auto"/>
        <w:jc w:val="both"/>
        <w:rPr>
          <w:rFonts w:ascii="Sakkal Majalla" w:hAnsi="Sakkal Majalla" w:cs="Sakkal Majalla"/>
          <w:sz w:val="28"/>
          <w:szCs w:val="28"/>
        </w:rPr>
      </w:pPr>
      <w:r w:rsidRPr="005019F4">
        <w:rPr>
          <w:rFonts w:ascii="Sakkal Majalla" w:hAnsi="Sakkal Majalla" w:cs="Sakkal Majalla"/>
          <w:b/>
          <w:bCs/>
          <w:sz w:val="28"/>
          <w:szCs w:val="28"/>
          <w:rtl/>
        </w:rPr>
        <w:t>نظرية الثقافة التنظيمية</w:t>
      </w:r>
      <w:r w:rsidRPr="005019F4">
        <w:rPr>
          <w:rFonts w:ascii="Sakkal Majalla" w:hAnsi="Sakkal Majalla" w:cs="Sakkal Majalla"/>
          <w:b/>
          <w:bCs/>
          <w:sz w:val="28"/>
          <w:szCs w:val="28"/>
        </w:rPr>
        <w:t xml:space="preserve"> (Organizational Culture Theory)</w:t>
      </w:r>
    </w:p>
    <w:p w14:paraId="13606B88" w14:textId="77777777" w:rsidR="005019F4" w:rsidRPr="005019F4" w:rsidRDefault="005019F4" w:rsidP="005019F4">
      <w:pPr>
        <w:bidi/>
        <w:spacing w:before="100" w:beforeAutospacing="1" w:after="100" w:afterAutospacing="1" w:line="360" w:lineRule="auto"/>
        <w:ind w:left="720"/>
        <w:jc w:val="both"/>
        <w:rPr>
          <w:rFonts w:ascii="Sakkal Majalla" w:hAnsi="Sakkal Majalla" w:cs="Sakkal Majalla"/>
          <w:sz w:val="28"/>
          <w:szCs w:val="28"/>
        </w:rPr>
      </w:pPr>
      <w:r w:rsidRPr="005019F4">
        <w:rPr>
          <w:rFonts w:ascii="Sakkal Majalla" w:hAnsi="Sakkal Majalla" w:cs="Sakkal Majalla"/>
          <w:sz w:val="28"/>
          <w:szCs w:val="28"/>
          <w:rtl/>
        </w:rPr>
        <w:t>تؤكد هذه النظرية على أن ثقافة المؤسسة وقيمها وممارساتها المشتركة تلعب دوراً محوريّاً في مدى التزام الأفراد بالإجراءات الوقائية. فثقافة السلامة التي تشجع على الإبلاغ عن الأخطاء والتعلم منها تعزز الالتزام بالبروتوكولات وتسرّع الاستجابة للأحداث الوبائية</w:t>
      </w:r>
      <w:r w:rsidRPr="005019F4">
        <w:rPr>
          <w:rFonts w:ascii="Sakkal Majalla" w:hAnsi="Sakkal Majalla" w:cs="Sakkal Majalla"/>
          <w:sz w:val="28"/>
          <w:szCs w:val="28"/>
        </w:rPr>
        <w:t xml:space="preserve"> (</w:t>
      </w:r>
      <w:proofErr w:type="spellStart"/>
      <w:r w:rsidRPr="005019F4">
        <w:rPr>
          <w:rFonts w:ascii="Sakkal Majalla" w:hAnsi="Sakkal Majalla" w:cs="Sakkal Majalla"/>
          <w:sz w:val="28"/>
          <w:szCs w:val="28"/>
        </w:rPr>
        <w:t>Tahri</w:t>
      </w:r>
      <w:proofErr w:type="spellEnd"/>
      <w:r w:rsidRPr="005019F4">
        <w:rPr>
          <w:rFonts w:ascii="Sakkal Majalla" w:hAnsi="Sakkal Majalla" w:cs="Sakkal Majalla"/>
          <w:sz w:val="28"/>
          <w:szCs w:val="28"/>
        </w:rPr>
        <w:t xml:space="preserve"> &amp; Chkīb, 2019).</w:t>
      </w:r>
    </w:p>
    <w:p w14:paraId="7509F1EE" w14:textId="77777777" w:rsidR="005019F4" w:rsidRPr="005019F4" w:rsidRDefault="005019F4" w:rsidP="005019F4">
      <w:pPr>
        <w:bidi/>
        <w:spacing w:after="0" w:line="360" w:lineRule="auto"/>
        <w:ind w:firstLine="720"/>
        <w:contextualSpacing/>
        <w:jc w:val="both"/>
        <w:rPr>
          <w:rFonts w:ascii="Sakkal Majalla" w:hAnsi="Sakkal Majalla" w:cs="Sakkal Majalla"/>
          <w:sz w:val="16"/>
          <w:szCs w:val="16"/>
          <w:rtl/>
          <w14:ligatures w14:val="standardContextual"/>
        </w:rPr>
      </w:pPr>
    </w:p>
    <w:bookmarkEnd w:id="7"/>
    <w:p w14:paraId="19933A23" w14:textId="77777777" w:rsidR="005019F4" w:rsidRPr="005019F4" w:rsidRDefault="005019F4" w:rsidP="005019F4">
      <w:pPr>
        <w:bidi/>
        <w:spacing w:after="0" w:line="360" w:lineRule="auto"/>
        <w:ind w:firstLine="720"/>
        <w:contextualSpacing/>
        <w:jc w:val="both"/>
        <w:rPr>
          <w:rFonts w:ascii="Sakkal Majalla" w:hAnsi="Sakkal Majalla" w:cs="Sakkal Majalla"/>
          <w:sz w:val="16"/>
          <w:szCs w:val="16"/>
          <w:rtl/>
          <w14:ligatures w14:val="standardContextual"/>
        </w:rPr>
      </w:pPr>
    </w:p>
    <w:p w14:paraId="402A222A" w14:textId="77777777" w:rsidR="005019F4" w:rsidRPr="005019F4" w:rsidRDefault="005019F4" w:rsidP="005019F4">
      <w:pPr>
        <w:bidi/>
        <w:spacing w:after="0" w:line="360" w:lineRule="auto"/>
        <w:jc w:val="center"/>
        <w:rPr>
          <w:rFonts w:ascii="Sakkal Majalla" w:hAnsi="Sakkal Majalla" w:cs="Sakkal Majalla"/>
          <w:b/>
          <w:bCs/>
          <w:sz w:val="40"/>
          <w:szCs w:val="40"/>
          <w:rtl/>
          <w14:ligatures w14:val="standardContextual"/>
        </w:rPr>
      </w:pPr>
      <w:bookmarkStart w:id="28" w:name="_Toc153867270"/>
      <w:bookmarkStart w:id="29" w:name="_Hlk208953578"/>
      <w:r w:rsidRPr="005019F4">
        <w:rPr>
          <w:rFonts w:cs="Sakkal Majalla"/>
          <w:b/>
          <w:bCs/>
          <w:sz w:val="40"/>
          <w:szCs w:val="40"/>
          <w:rtl/>
        </w:rPr>
        <w:lastRenderedPageBreak/>
        <w:t>الفصل الثاني: الإطار النظري</w:t>
      </w:r>
      <w:bookmarkEnd w:id="28"/>
    </w:p>
    <w:p w14:paraId="2B6D69BE" w14:textId="77777777" w:rsidR="005019F4" w:rsidRPr="005019F4" w:rsidRDefault="005019F4" w:rsidP="005019F4">
      <w:pPr>
        <w:bidi/>
        <w:spacing w:after="0" w:line="360" w:lineRule="auto"/>
        <w:jc w:val="center"/>
        <w:outlineLvl w:val="0"/>
        <w:rPr>
          <w:rFonts w:ascii="Sakkal Majalla" w:eastAsia="Calibri" w:hAnsi="Sakkal Majalla" w:cs="Sakkal Majalla"/>
          <w:b/>
          <w:bCs/>
          <w:kern w:val="2"/>
          <w:sz w:val="40"/>
          <w:szCs w:val="40"/>
          <w:rtl/>
          <w:lang w:bidi="ar-EG"/>
        </w:rPr>
      </w:pPr>
      <w:bookmarkStart w:id="30" w:name="_Toc180449120"/>
      <w:r w:rsidRPr="005019F4">
        <w:rPr>
          <w:rFonts w:ascii="Sakkal Majalla" w:eastAsia="Calibri" w:hAnsi="Sakkal Majalla" w:cs="Sakkal Majalla" w:hint="cs"/>
          <w:b/>
          <w:bCs/>
          <w:kern w:val="2"/>
          <w:sz w:val="40"/>
          <w:szCs w:val="40"/>
          <w:rtl/>
          <w:lang w:bidi="ar-EG"/>
        </w:rPr>
        <w:t xml:space="preserve">المبحث الأول : </w:t>
      </w:r>
      <w:bookmarkEnd w:id="30"/>
      <w:r w:rsidRPr="005019F4">
        <w:rPr>
          <w:rFonts w:ascii="Sakkal Majalla" w:eastAsia="Calibri" w:hAnsi="Sakkal Majalla" w:cs="Sakkal Majalla" w:hint="cs"/>
          <w:b/>
          <w:bCs/>
          <w:kern w:val="2"/>
          <w:sz w:val="40"/>
          <w:szCs w:val="40"/>
          <w:rtl/>
          <w:lang w:bidi="ar-EG"/>
        </w:rPr>
        <w:t>برنامج إدارة المخاطر</w:t>
      </w:r>
    </w:p>
    <w:p w14:paraId="1F7E789D" w14:textId="77777777" w:rsidR="005019F4" w:rsidRPr="005019F4" w:rsidRDefault="005019F4" w:rsidP="005019F4">
      <w:pPr>
        <w:bidi/>
        <w:spacing w:after="0" w:line="240" w:lineRule="auto"/>
        <w:jc w:val="both"/>
        <w:rPr>
          <w:rFonts w:ascii="Times New Roman" w:eastAsia="Times New Roman" w:hAnsi="Times New Roman" w:cs="Times New Roman"/>
          <w:sz w:val="24"/>
          <w:szCs w:val="24"/>
        </w:rPr>
      </w:pPr>
    </w:p>
    <w:p w14:paraId="51E5E9AA" w14:textId="77777777" w:rsidR="005019F4" w:rsidRPr="005019F4" w:rsidRDefault="005019F4" w:rsidP="005019F4">
      <w:pPr>
        <w:bidi/>
        <w:spacing w:before="100" w:beforeAutospacing="1" w:after="100" w:afterAutospacing="1" w:line="360" w:lineRule="auto"/>
        <w:jc w:val="both"/>
        <w:outlineLvl w:val="0"/>
        <w:rPr>
          <w:rFonts w:ascii="Sakkal Majalla" w:eastAsia="Times New Roman" w:hAnsi="Sakkal Majalla" w:cs="Sakkal Majalla"/>
          <w:b/>
          <w:bCs/>
          <w:kern w:val="36"/>
          <w:sz w:val="32"/>
          <w:szCs w:val="32"/>
        </w:rPr>
      </w:pPr>
      <w:r w:rsidRPr="005019F4">
        <w:rPr>
          <w:rFonts w:ascii="Sakkal Majalla" w:eastAsia="Times New Roman" w:hAnsi="Sakkal Majalla" w:cs="Sakkal Majalla"/>
          <w:b/>
          <w:bCs/>
          <w:kern w:val="36"/>
          <w:sz w:val="32"/>
          <w:szCs w:val="32"/>
          <w:rtl/>
        </w:rPr>
        <w:t>مقدمة عن إدارة المخاطر</w:t>
      </w:r>
    </w:p>
    <w:p w14:paraId="7C41F54C"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28"/>
          <w:szCs w:val="28"/>
        </w:rPr>
      </w:pPr>
      <w:r w:rsidRPr="005019F4">
        <w:rPr>
          <w:rFonts w:ascii="Sakkal Majalla" w:eastAsia="Times New Roman" w:hAnsi="Sakkal Majalla" w:cs="Sakkal Majalla"/>
          <w:b/>
          <w:bCs/>
          <w:sz w:val="28"/>
          <w:szCs w:val="28"/>
          <w:rtl/>
        </w:rPr>
        <w:t>أولاً: تعريف إدارة المخاطر</w:t>
      </w:r>
      <w:r w:rsidRPr="005019F4">
        <w:rPr>
          <w:rFonts w:ascii="Sakkal Majalla" w:eastAsia="Times New Roman" w:hAnsi="Sakkal Majalla" w:cs="Sakkal Majalla" w:hint="cs"/>
          <w:b/>
          <w:bCs/>
          <w:sz w:val="28"/>
          <w:szCs w:val="28"/>
          <w:rtl/>
        </w:rPr>
        <w:t xml:space="preserve">:  </w:t>
      </w:r>
      <w:r w:rsidRPr="005019F4">
        <w:rPr>
          <w:rFonts w:ascii="Sakkal Majalla" w:eastAsia="Times New Roman" w:hAnsi="Sakkal Majalla" w:cs="Sakkal Majalla"/>
          <w:sz w:val="28"/>
          <w:szCs w:val="28"/>
          <w:rtl/>
        </w:rPr>
        <w:t>تُعرَّف إدارة المخاطر بأنها منظومة منهجية متكاملة لتحديد مصادر الخطر المحتملة، وتحليل احتمالية وقوعها وشدّة أثرها، ثم اختيار استجاباتٍ مناسبة (التقليل/التحويل/التجنّب/القبول) وتنفيذها ومراجعتها بصورةٍ مستمرة بما يضمن استدامة الأعمال وتعظيم المنافع وتقليص الخسائر. وهي ليست نشاطًا ردّ فعلٍ لما يقع من أحداث، بل إطار استباقي للتعامل مع «اللايقين» عبر أدواتٍ كمية وكيفية، يندمج ضمن هياكل الحوكمة وصنع القرار الإستراتيجي، ويعيد مواءمة شهية المخاطر مع الموارد المتاحة والفرص الممكنة (القحطاني، 2023؛ حسانين والحاروني، 2009؛ الأردن/المعهد العربي للدراسات المالية والمصرفية، 2023). ويتسع المفهوم ليشمل بيئاتٍ قطاعية متباينة—كالصحيّة، والتعليمية، والضيافة، والقطاع المالي</w:t>
      </w:r>
      <w:r w:rsidRPr="005019F4">
        <w:rPr>
          <w:rFonts w:ascii="Sakkal Majalla" w:eastAsia="Times New Roman" w:hAnsi="Sakkal Majalla" w:cs="Sakkal Majalla" w:hint="cs"/>
          <w:sz w:val="28"/>
          <w:szCs w:val="28"/>
          <w:rtl/>
        </w:rPr>
        <w:t xml:space="preserve"> </w:t>
      </w:r>
      <w:r w:rsidRPr="005019F4">
        <w:rPr>
          <w:rFonts w:ascii="Sakkal Majalla" w:eastAsia="Times New Roman" w:hAnsi="Sakkal Majalla" w:cs="Sakkal Majalla"/>
          <w:sz w:val="28"/>
          <w:szCs w:val="28"/>
          <w:rtl/>
        </w:rPr>
        <w:t xml:space="preserve">ما يعزّز طبيعته العابرة للقطاعات بوصفه إطارًا إدارياً عاماً يكيَّف بحسب السياق (طاهري وشكيب، 2019؛ شحاتة وبدير، 2021؛ </w:t>
      </w:r>
      <w:r w:rsidRPr="005019F4">
        <w:rPr>
          <w:rFonts w:ascii="Sakkal Majalla" w:eastAsia="Times New Roman" w:hAnsi="Sakkal Majalla" w:cs="Sakkal Majalla" w:hint="cs"/>
          <w:sz w:val="28"/>
          <w:szCs w:val="28"/>
          <w:rtl/>
        </w:rPr>
        <w:t>على</w:t>
      </w:r>
      <w:r w:rsidRPr="005019F4">
        <w:rPr>
          <w:rFonts w:ascii="Sakkal Majalla" w:eastAsia="Times New Roman" w:hAnsi="Sakkal Majalla" w:cs="Sakkal Majalla"/>
          <w:sz w:val="28"/>
          <w:szCs w:val="28"/>
          <w:rtl/>
        </w:rPr>
        <w:t xml:space="preserve"> وآخرون، 2015؛ خان والمصري، 2016)</w:t>
      </w:r>
      <w:r w:rsidRPr="005019F4">
        <w:rPr>
          <w:rFonts w:ascii="Sakkal Majalla" w:eastAsia="Times New Roman" w:hAnsi="Sakkal Majalla" w:cs="Sakkal Majalla"/>
          <w:sz w:val="28"/>
          <w:szCs w:val="28"/>
        </w:rPr>
        <w:t>.</w:t>
      </w:r>
    </w:p>
    <w:p w14:paraId="096C5CF3"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أهمية إدارة المخاطر في المنظمات</w:t>
      </w:r>
    </w:p>
    <w:p w14:paraId="1D367EF7"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tl/>
        </w:rPr>
      </w:pPr>
      <w:r w:rsidRPr="005019F4">
        <w:rPr>
          <w:rFonts w:ascii="Sakkal Majalla" w:eastAsia="Times New Roman" w:hAnsi="Sakkal Majalla" w:cs="Sakkal Majalla"/>
          <w:sz w:val="28"/>
          <w:szCs w:val="28"/>
          <w:rtl/>
        </w:rPr>
        <w:t xml:space="preserve">تنبع الأهمية من كون إدارة المخاطر ترسًا رئيسًا في حماية الأصول والسمعة واستمرارية الخدمة، إذ تقلّل انقطاعات سلاسل التوريد، وتضبط الانحرافات التشغيلية، وتجسر الفجوة بين المتطلبات الرقابية والواقع العملي. ففي القطاع الصحي مثلًا، ارتبط مستوى جودة الرعاية إيجابياً بنضج ممارسات إدارة المخاطر—بدءًا من رصد الحوادث القريبة الوقوع إلى تحسين مسارات العمل—بما ينعكس على سلامة المرضى وكفاءة الخدمة (المطيري، 2023؛ طاهري وشكيب، 2019). وفي قطاعات التعليم قبل الجامعي، أظهرت الدراسات أن ضعف البنى المؤسسية للمخاطر الصحية والبيئية يفاقم التعرض للمهددات ويؤثر </w:t>
      </w:r>
      <w:r w:rsidRPr="005019F4">
        <w:rPr>
          <w:rFonts w:ascii="Sakkal Majalla" w:eastAsia="Times New Roman" w:hAnsi="Sakkal Majalla" w:cs="Sakkal Majalla"/>
          <w:sz w:val="28"/>
          <w:szCs w:val="28"/>
          <w:rtl/>
        </w:rPr>
        <w:lastRenderedPageBreak/>
        <w:t>في استمرارية العملية التعليمية، ما يجعل للإدارة المنهجية للمخاطر أثرًا مباشرًا في الحدّ من التعرض والتأهب المؤسسي (شحاتة وبدير، 2021؛ بدير، 2023)</w:t>
      </w:r>
      <w:r w:rsidRPr="005019F4">
        <w:rPr>
          <w:rFonts w:ascii="Sakkal Majalla" w:eastAsia="Times New Roman" w:hAnsi="Sakkal Majalla" w:cs="Sakkal Majalla"/>
          <w:sz w:val="28"/>
          <w:szCs w:val="28"/>
        </w:rPr>
        <w:t>.</w:t>
      </w:r>
    </w:p>
    <w:p w14:paraId="4EB19568"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tl/>
        </w:rPr>
      </w:pPr>
      <w:r w:rsidRPr="005019F4">
        <w:rPr>
          <w:rFonts w:ascii="Sakkal Majalla" w:eastAsia="Times New Roman" w:hAnsi="Sakkal Majalla" w:cs="Sakkal Majalla"/>
          <w:sz w:val="28"/>
          <w:szCs w:val="28"/>
          <w:rtl/>
        </w:rPr>
        <w:t>أمّا في بيئات الخدمات والضيافة والمشروعات كثيفة التعامل مع الجمهور، فترتبط إدارة المخاطر بقدرة المنشأة على تقليل الهدر والأعطال وتحسين رضا العملاء عبر خطط وقائية وتدابير ضبط جودة مدمجة في دورة حياة الخدمة والمشروع (علي وآخرون، 2015). وفي القطاع المالي، تُعَدّ إدارة المخاطر شرطًا لحماية الاستقرار المالي والامتثال الشرعي/القانوني (في الصناعة المالية الإسلامية مثلًا)، وذلك عبر سياسات تسعير المخاطر، وتنويع المحافظ، وأطر الحوكمة (خان والمصري، 2016). وعلى المستوى الكلي، تفرض المخاطر المعاصرة</w:t>
      </w:r>
      <w:r w:rsidRPr="005019F4">
        <w:rPr>
          <w:rFonts w:ascii="Sakkal Majalla" w:eastAsia="Times New Roman" w:hAnsi="Sakkal Majalla" w:cs="Sakkal Majalla"/>
          <w:sz w:val="28"/>
          <w:szCs w:val="28"/>
        </w:rPr>
        <w:t>—</w:t>
      </w:r>
      <w:r w:rsidRPr="005019F4">
        <w:rPr>
          <w:rFonts w:ascii="Sakkal Majalla" w:eastAsia="Times New Roman" w:hAnsi="Sakkal Majalla" w:cs="Sakkal Majalla"/>
          <w:sz w:val="28"/>
          <w:szCs w:val="28"/>
          <w:rtl/>
        </w:rPr>
        <w:t xml:space="preserve">كالتحوّل الرقمي، والتهديدات السيبرانية، وسرعة تغير الأسواق—حلولًا تكاملية تتجاوز الجزر التنظيمية وتتعاطى مع المخاطر ضمن منهجٍ مؤسسي موحّد </w:t>
      </w:r>
      <w:r w:rsidRPr="005019F4">
        <w:rPr>
          <w:rFonts w:ascii="Sakkal Majalla" w:eastAsia="Times New Roman" w:hAnsi="Sakkal Majalla" w:cs="Sakkal Majalla"/>
          <w:sz w:val="28"/>
          <w:szCs w:val="28"/>
        </w:rPr>
        <w:t>(</w:t>
      </w:r>
      <w:r w:rsidRPr="005019F4">
        <w:rPr>
          <w:rFonts w:ascii="Sakkal Majalla" w:eastAsia="Times New Roman" w:hAnsi="Sakkal Majalla" w:cs="Sakkal Majalla"/>
          <w:sz w:val="28"/>
          <w:szCs w:val="28"/>
          <w:rtl/>
        </w:rPr>
        <w:t>الأردن/المعهد العربي للدراسات المالية والمصرفية، 2023</w:t>
      </w:r>
      <w:r w:rsidRPr="005019F4">
        <w:rPr>
          <w:rFonts w:ascii="Sakkal Majalla" w:eastAsia="Times New Roman" w:hAnsi="Sakkal Majalla" w:cs="Sakkal Majalla" w:hint="cs"/>
          <w:sz w:val="28"/>
          <w:szCs w:val="28"/>
          <w:rtl/>
        </w:rPr>
        <w:t>)</w:t>
      </w:r>
    </w:p>
    <w:p w14:paraId="0DBDA228"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وتمتد الأهمية إلى مخاطر السمعة، حيث يسهم النهج الاستباقي الشفّاف في امتصاص الصدمات وتقليل التبعات الإعلامية والقانونية للأحداث السلبية، وهو ما ينعكس على ثقة أصحاب المصلحة واستدامة التمويل (صبح، 2000). كما أن وجود إطار إدارة مخاطر واضح ومعلن يرفع ثقة العاملين ويعزّز ثقافة الإبلاغ والتحسين المستمر، ما يدعم الصحة التنظيمية عامة (حسانين والحاروني، 2009؛ القحطاني، 2023)</w:t>
      </w:r>
      <w:r w:rsidRPr="005019F4">
        <w:rPr>
          <w:rFonts w:ascii="Sakkal Majalla" w:eastAsia="Times New Roman" w:hAnsi="Sakkal Majalla" w:cs="Sakkal Majalla"/>
          <w:sz w:val="28"/>
          <w:szCs w:val="28"/>
        </w:rPr>
        <w:t>.</w:t>
      </w:r>
    </w:p>
    <w:p w14:paraId="3F02972C"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العلاقة بين إدارة المخاطر وتحقيق الأهداف الاستراتيجية</w:t>
      </w:r>
    </w:p>
    <w:p w14:paraId="616E4721"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لا تنفصل إدارة المخاطر عن التخطيط الإستراتيجي؛ فكل هدفٍ إستراتيجي يُبنى على افتراضاتٍ حول البيئة الداخلية والخارجية، وهذه الافتراضات نفسها تحمل مصفوفة فرصٍ وتهديدات</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يتيح إطار إدارة المخاطر اختبار «قابلية التحقيق» عبر مواءمة الأهداف مع الموارد، وتحديد التعطيلات المحتملة قبل حدوثها، وتصميم ضوابطٍ واستجاباتٍ تقلّل احتمالية أو أثر تلك التعطيلات. عند توسّع منشأةٍ فندقية مثلًا، يبيّن ربط إدارة المخاطر بإدارة المشروع كيف يمكن تقليل مخاطر الجدول والميزانية والجودة ورفع احتمالات نجاح المشروع والامتثال لمستويات الخدمة المستهدفة (</w:t>
      </w:r>
      <w:r w:rsidRPr="005019F4">
        <w:rPr>
          <w:rFonts w:ascii="Sakkal Majalla" w:eastAsia="Times New Roman" w:hAnsi="Sakkal Majalla" w:cs="Sakkal Majalla" w:hint="cs"/>
          <w:sz w:val="28"/>
          <w:szCs w:val="28"/>
          <w:rtl/>
        </w:rPr>
        <w:t>على</w:t>
      </w:r>
      <w:r w:rsidRPr="005019F4">
        <w:rPr>
          <w:rFonts w:ascii="Sakkal Majalla" w:eastAsia="Times New Roman" w:hAnsi="Sakkal Majalla" w:cs="Sakkal Majalla"/>
          <w:sz w:val="28"/>
          <w:szCs w:val="28"/>
          <w:rtl/>
        </w:rPr>
        <w:t xml:space="preserve"> وآخرون، 2015). وفي الصحة، ينعكس دمج </w:t>
      </w:r>
      <w:r w:rsidRPr="005019F4">
        <w:rPr>
          <w:rFonts w:ascii="Sakkal Majalla" w:eastAsia="Times New Roman" w:hAnsi="Sakkal Majalla" w:cs="Sakkal Majalla"/>
          <w:sz w:val="28"/>
          <w:szCs w:val="28"/>
          <w:rtl/>
        </w:rPr>
        <w:lastRenderedPageBreak/>
        <w:t xml:space="preserve">إدارة المخاطر داخل منظومة الجودة وسلامة المرضى على مؤشرات الأداء الإستراتيجية مثل الاعتماد، والحصائل السريرية، ورضا المستفيد (المطيري، 2023؛ طاهري وشكيب، 2019). كذلك تُظهر الأدبيات أن نضج إطار المخاطر المؤسسي </w:t>
      </w:r>
      <w:r w:rsidRPr="005019F4">
        <w:rPr>
          <w:rFonts w:ascii="Sakkal Majalla" w:eastAsia="Times New Roman" w:hAnsi="Sakkal Majalla" w:cs="Sakkal Majalla"/>
          <w:sz w:val="28"/>
          <w:szCs w:val="28"/>
        </w:rPr>
        <w:t xml:space="preserve">(ERM) </w:t>
      </w:r>
      <w:r w:rsidRPr="005019F4">
        <w:rPr>
          <w:rFonts w:ascii="Sakkal Majalla" w:eastAsia="Times New Roman" w:hAnsi="Sakkal Majalla" w:cs="Sakkal Majalla"/>
          <w:sz w:val="28"/>
          <w:szCs w:val="28"/>
          <w:rtl/>
        </w:rPr>
        <w:t>يقوّي الاتساق بين اختيار المبادرات وترتيب أولوياتها وبين الشهية المؤسسية للمخاطر، ويُحسّن سرعة الاستجابة عند الطوارئ والاضطرابات، ما يحافظ على اتزان المحفظة الإستراتيجية وتقليل الانحراف عن الأهداف (الأردن/المعهد العربي للدراسات المالية والمصرفية، 2023؛ حسانين والحاروني، 2009؛ القحطاني، 2023). وبذلك لا تكون إدارة المخاطر نشاطًا موازياً، بل آلية حاكمة لضمان أن يبقى الطموح الإستراتيجي واقعياً، مدعومًا بخططٍ بديلة، ومؤشرات إنذار مبكر، وحلقات تعلّم تُغذي التحسين المستمر</w:t>
      </w:r>
      <w:r w:rsidRPr="005019F4">
        <w:rPr>
          <w:rFonts w:ascii="Sakkal Majalla" w:eastAsia="Times New Roman" w:hAnsi="Sakkal Majalla" w:cs="Sakkal Majalla"/>
          <w:sz w:val="28"/>
          <w:szCs w:val="28"/>
        </w:rPr>
        <w:t>.</w:t>
      </w:r>
    </w:p>
    <w:p w14:paraId="5EAB9627"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مفهوم برنامج إدارة المخاطر</w:t>
      </w:r>
    </w:p>
    <w:p w14:paraId="77AC35D9"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أهداف البرنامج</w:t>
      </w:r>
    </w:p>
    <w:p w14:paraId="249AC450"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تتمثل الأهداف الرئيسة لبرنامج إدارة المخاطر في بناء إطار مؤسسي متكامل يساعد المنظمة على التعرّف المبكر على التهديدات المحتملة، وتحليلها من حيث درجة الخطورة وإمكانية التأثير على استمرارية الأعمال، ومن ثم وضع خطط استجابة ملائمة. ومن بين الأهداف المهمة أيضًا تعزيز ثقافة وقائية بين العاملين، بحيث تصبح إدارة المخاطر مسؤولية مشتركة وليست مجرد وظيفة تابعة للإدارة العليا. فالبرنامج يسعى إلى حماية الأصول البشرية والمادية والمالية للمؤسسة، وضمان التوافق مع المتطلبات القانونية والتنظيمية، إضافة إلى دعم القدرة التنافسية للمنظمة من خلال تقليل معدلات الفشل والخسائر (المطيري، 2023؛ القحطاني، 2023). كما يهدف البرنامج إلى تعظيم الاستفادة من الفرص؛ فالمخاطر ليست كلها سلبية، بل قد تحمل فرصًا للتوسع والابتكار إذا ما أُديرت بشكل استراتيجي (حسانين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الحاروني، 2009</w:t>
      </w:r>
      <w:r w:rsidRPr="005019F4">
        <w:rPr>
          <w:rFonts w:ascii="Sakkal Majalla" w:eastAsia="Times New Roman" w:hAnsi="Sakkal Majalla" w:cs="Sakkal Majalla" w:hint="cs"/>
          <w:sz w:val="28"/>
          <w:szCs w:val="28"/>
          <w:rtl/>
        </w:rPr>
        <w:t>)</w:t>
      </w:r>
    </w:p>
    <w:p w14:paraId="6069FBEA"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خصائص البرنامج الفعّال</w:t>
      </w:r>
    </w:p>
    <w:p w14:paraId="5CF22B74"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يتصف برنامج إدارة المخاطر الفعّال بعدة خصائص تجعل منه أداة ديناميكية ومرنة. أول هذه الخصائص هو الشمولية؛ إذ ينبغي أن يغطي البرنامج جميع أنواع المخاطر: التشغيلية، الاستراتيجية، المالية، البيئية، </w:t>
      </w:r>
      <w:r w:rsidRPr="005019F4">
        <w:rPr>
          <w:rFonts w:ascii="Sakkal Majalla" w:eastAsia="Times New Roman" w:hAnsi="Sakkal Majalla" w:cs="Sakkal Majalla"/>
          <w:sz w:val="28"/>
          <w:szCs w:val="28"/>
          <w:rtl/>
        </w:rPr>
        <w:lastRenderedPageBreak/>
        <w:t xml:space="preserve">وحتى المخاطر المرتبطة بالسمعة (صبح، 2000). والخاصية الثانية هي التكامل، بحيث لا يكون البرنامج معزولًا عن بقية أنشطة الإدارة، بل مدمجًا في عمليات التخطيط والتنفيذ والتقييم. أما الخاصية الثالثة فهي المرونة والقدرة على التكيف، حيث يتعين أن يكون البرنامج قادراً على التعديل والتطوير المستمر استجابةً للتغيرات في البيئة الداخلية والخارجية (الأردن/المعهد العربي للدراسات المالية والمصرفية، 2023). ومن الخصائص الأساسية أيضًا الاعتماد على البيانات والتحليل العلمي في التنبؤ بالمخاطر، إلى جانب الوضوح في الأدوار والمسؤوليات بحيث يعرف كل فرد دوره في منظومة إدارة المخاطر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بدير، 2021</w:t>
      </w:r>
      <w:r w:rsidRPr="005019F4">
        <w:rPr>
          <w:rFonts w:ascii="Sakkal Majalla" w:eastAsia="Times New Roman" w:hAnsi="Sakkal Majalla" w:cs="Sakkal Majalla" w:hint="cs"/>
          <w:sz w:val="28"/>
          <w:szCs w:val="28"/>
          <w:rtl/>
        </w:rPr>
        <w:t>)</w:t>
      </w:r>
    </w:p>
    <w:p w14:paraId="5179ED1D"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نطاق التطبيق (المؤسسة ككل/أقسام محددة)</w:t>
      </w:r>
    </w:p>
    <w:p w14:paraId="4D8A418F"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يتسم نطاق تطبيق برنامج إدارة المخاطر بالمرونة والتدرج، فقد يتم اعتماده على مستوى </w:t>
      </w:r>
      <w:r w:rsidRPr="005019F4">
        <w:rPr>
          <w:rFonts w:ascii="Sakkal Majalla" w:eastAsia="Times New Roman" w:hAnsi="Sakkal Majalla" w:cs="Sakkal Majalla"/>
          <w:b/>
          <w:bCs/>
          <w:sz w:val="28"/>
          <w:szCs w:val="28"/>
          <w:rtl/>
        </w:rPr>
        <w:t>ا</w:t>
      </w:r>
      <w:r w:rsidRPr="005019F4">
        <w:rPr>
          <w:rFonts w:ascii="Sakkal Majalla" w:eastAsia="Times New Roman" w:hAnsi="Sakkal Majalla" w:cs="Sakkal Majalla"/>
          <w:sz w:val="28"/>
          <w:szCs w:val="28"/>
          <w:rtl/>
        </w:rPr>
        <w:t>لمؤسسة بأكملها كإطار شامل يُعرف باسم "إدارة المخاطر المؤسسية</w:t>
      </w:r>
      <w:r w:rsidRPr="005019F4">
        <w:rPr>
          <w:rFonts w:ascii="Sakkal Majalla" w:eastAsia="Times New Roman" w:hAnsi="Sakkal Majalla" w:cs="Sakkal Majalla"/>
          <w:sz w:val="28"/>
          <w:szCs w:val="28"/>
        </w:rPr>
        <w:t>" (ERM)</w:t>
      </w:r>
      <w:r w:rsidRPr="005019F4">
        <w:rPr>
          <w:rFonts w:ascii="Sakkal Majalla" w:eastAsia="Times New Roman" w:hAnsi="Sakkal Majalla" w:cs="Sakkal Majalla"/>
          <w:sz w:val="28"/>
          <w:szCs w:val="28"/>
          <w:rtl/>
        </w:rPr>
        <w:t xml:space="preserve">، وهو النهج الذي يضمن أن تصبح إدارة المخاطر جزءًا من الثقافة التنظيمية ويُدمج في صياغة السياسات والخطط الإستراتيجية (القحطاني، 2023). وفي حالات أخرى قد يُطبق البرنامج في أقسام أو وحدات محددة ذات طبيعة عالية التعرض للمخاطر، مثل الأقسام الطبية في المستشفى ات، أو إدارات العمليات في شركات الطيران، أو وحدات التخزين والنقل في المؤسسات الدوائية، وذلك لضمان إدارة دقيقة للمخاطر الأكثر إلحاحًا (طاهري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شكيب، 2019؛ بدير، 2023). ويعتمد تحديد النطاق على طبيعة عمل المنظمة وحجمها ودرجة تعقيد أنشطتها، غير أن الاتجاه العالمي المعاصر يميل إلى تبني مقاربات شاملة تعزز التنسيق بين جميع الأقسام وتضمن عدم ترك ثغرات قد تُشكل مصدرًا للتهديدات المستقبلية (علي وآخرون، 2015)</w:t>
      </w:r>
      <w:r w:rsidRPr="005019F4">
        <w:rPr>
          <w:rFonts w:ascii="Sakkal Majalla" w:eastAsia="Times New Roman" w:hAnsi="Sakkal Majalla" w:cs="Sakkal Majalla"/>
          <w:sz w:val="28"/>
          <w:szCs w:val="28"/>
        </w:rPr>
        <w:t>.</w:t>
      </w:r>
    </w:p>
    <w:p w14:paraId="4C01E47D"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مبادئ إدارة المخاطر</w:t>
      </w:r>
    </w:p>
    <w:p w14:paraId="7FA76B92"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مبدأ التنبؤ والوقاية</w:t>
      </w:r>
    </w:p>
    <w:p w14:paraId="54D6A9E9"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يُعد التنبؤ والوقاية من أهم المبادئ التي يقوم عليها برنامج إدارة المخاطر، إذ لا تقتصر الإدارة الفعّالة على التعامل مع الأزمات بعد وقوعها، بل تسعى إلى استشراف المخاطر قبل حدوثها من خلال أدوات التحليل </w:t>
      </w:r>
      <w:r w:rsidRPr="005019F4">
        <w:rPr>
          <w:rFonts w:ascii="Sakkal Majalla" w:eastAsia="Times New Roman" w:hAnsi="Sakkal Majalla" w:cs="Sakkal Majalla"/>
          <w:sz w:val="28"/>
          <w:szCs w:val="28"/>
          <w:rtl/>
        </w:rPr>
        <w:lastRenderedPageBreak/>
        <w:t xml:space="preserve">الكمي والكيفي، مثل تحليل الاتجاهات، ونماذج السيناريو، ومؤشرات الإنذار المبكر. فالمؤسسات التي تستثمر في بناء أنظمة استشعار مبكر تكون أكثر قدرة على تقليل آثار المخاطر وتوفير التكاليف المترتبة عليها، كما ظهر بوضوح في القطاع الصحي أثناء الأزمات العالمية مثل جائحة كوفيد-19 (المطيري، 2023؛ أقريقز، 2020). ومن ثم يصبح التنبؤ وسيلة للانتقال من منطق "رد الفعل" إلى منطق "الوقاية المسبقة"، بما يعزز استدامة الأعمال على المدى الطويل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بدير، 2021</w:t>
      </w:r>
      <w:r w:rsidRPr="005019F4">
        <w:rPr>
          <w:rFonts w:ascii="Sakkal Majalla" w:eastAsia="Times New Roman" w:hAnsi="Sakkal Majalla" w:cs="Sakkal Majalla" w:hint="cs"/>
          <w:sz w:val="28"/>
          <w:szCs w:val="28"/>
          <w:rtl/>
        </w:rPr>
        <w:t>)</w:t>
      </w:r>
    </w:p>
    <w:p w14:paraId="4A4142CF"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مبدأ الشمولية والاتساق</w:t>
      </w:r>
    </w:p>
    <w:p w14:paraId="44ACE002"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يقوم هذا المبدأ على أن إدارة المخاطر لا ينبغي أن تكون مجزأة أو محصورة في وحدة تنظيمية بعينها، بل يجب أن تغطي جميع جوانب المنظمة</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التشغيلية، المالية، الاستراتيجية، البيئية، وحتى تلك المتعلقة بالسمعة والامتثال القانوني. ويقتضي ذلك أن يكون هناك اتساق في السياسات والإجراءات عبر مختلف المستويات، بحيث لا توجد فجوات قد تسمح بتسرب المخاطر أو تضارب في القرارات (القحطاني، 2023). وقد أظهرت التجارب التطبيقية في مؤسسات التعليم قبل الجامعي أن غياب الشمولية في معالجة المخاطر الصحية والبيئية يؤدي إلى ضعف الاستجابة وتكرار المشكلات (بدير، 2023). كما بيّنت الدراسات في القطاع الفندقي أن التطبيق المتسق لإطار إدارة المخاطر على مستوى المؤسسة ككل يرفع مستوى الجودة والالتزام بالمعايير الدولية (علي وآخرون، 2015)</w:t>
      </w:r>
      <w:r w:rsidRPr="005019F4">
        <w:rPr>
          <w:rFonts w:ascii="Sakkal Majalla" w:eastAsia="Times New Roman" w:hAnsi="Sakkal Majalla" w:cs="Sakkal Majalla"/>
          <w:sz w:val="28"/>
          <w:szCs w:val="28"/>
        </w:rPr>
        <w:t>.</w:t>
      </w:r>
    </w:p>
    <w:p w14:paraId="371A7A47"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مبدأ الاستجابة السريعة والمرونة</w:t>
      </w:r>
    </w:p>
    <w:p w14:paraId="0DD1CF8F"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يتعلق هذا المبدأ بقدرة المؤسسة على التحرك السريع في مواجهة المهددات غير المتوقعة مع التحلي بالمرونة اللازمة لتعديل الخطط والإجراءات وفق تطورات الموقف. فالزمن يعدّ عاملاً حاسماً في تقليل حجم الخسائر وتعظيم فرص التعافي، وهو ما ظهر بجلاء في التجارب الوطنية لإدارة الأزمات المرتبطة بالأوبئة والكوارث الطبيعية (أقريقز، 2020؛ عثمان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آل جحني، 2023). وتقتضي المرونة أن تكون هناك بدائل معدّة سلفاً، وأن تتوافر صلاحيات اتخاذ القرار عند مختلف المستويات الإدارية، بما يتيح تسريع الاستجابة وتقليل الاعتماد على الإجراءات البيروقراطية المعقدة. كما أن المرونة تُمكّن المؤسسات من إعادة توزيع </w:t>
      </w:r>
      <w:r w:rsidRPr="005019F4">
        <w:rPr>
          <w:rFonts w:ascii="Sakkal Majalla" w:eastAsia="Times New Roman" w:hAnsi="Sakkal Majalla" w:cs="Sakkal Majalla"/>
          <w:sz w:val="28"/>
          <w:szCs w:val="28"/>
          <w:rtl/>
        </w:rPr>
        <w:lastRenderedPageBreak/>
        <w:t>الموارد والتكيف مع بيئات عمل متغيرة، سواء تعلق الأمر بالأسواق المالية أو بالقطاع الصحي أو التعليمي (الأردن/المعهد العربي للدراسات المالية والمصرفية، 2023)</w:t>
      </w:r>
      <w:r w:rsidRPr="005019F4">
        <w:rPr>
          <w:rFonts w:ascii="Sakkal Majalla" w:eastAsia="Times New Roman" w:hAnsi="Sakkal Majalla" w:cs="Sakkal Majalla"/>
          <w:sz w:val="28"/>
          <w:szCs w:val="28"/>
        </w:rPr>
        <w:t>.</w:t>
      </w:r>
    </w:p>
    <w:p w14:paraId="45146BA7"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رابعاً: مبدأ التحسين المستمر</w:t>
      </w:r>
    </w:p>
    <w:p w14:paraId="3B72C32E"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tl/>
        </w:rPr>
      </w:pPr>
      <w:r w:rsidRPr="005019F4">
        <w:rPr>
          <w:rFonts w:ascii="Sakkal Majalla" w:eastAsia="Times New Roman" w:hAnsi="Sakkal Majalla" w:cs="Sakkal Majalla"/>
          <w:sz w:val="28"/>
          <w:szCs w:val="28"/>
          <w:rtl/>
        </w:rPr>
        <w:t xml:space="preserve">التحسين المستمر يمثل حجر الزاوية في أي نظام لإدارة المخاطر، إذ لا يكفي وضع خطة أولية أو إجراءات محددة ثم الاكتفاء بها، بل يجب أن تخضع جميع مراحل إدارة المخاطر للتقييم الدوري والمراجعة المستمرة بغرض التطوير. هذا المبدأ يرتبط ارتباطاً وثيقاً بثقافة التعلّم المؤسسي؛ فكل حادثة أو أزمة تشكّل فرصة لاستخلاص الدروس وتحسين الآليات المستقبلية. وقد بينت الدراسات أن المؤسسات التي تعتمد مراجعات دورية لخطط المخاطر تحقق مستويات أعلى من الجاهزية والتنافسية (صبح، 2000؛ حسانين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الحاروني، 2009). وفي السياق الصحي، أثبتت البحوث أن اعتماد دورة "خطط – نفذ – تحقق – صحح</w:t>
      </w:r>
      <w:r w:rsidRPr="005019F4">
        <w:rPr>
          <w:rFonts w:ascii="Sakkal Majalla" w:eastAsia="Times New Roman" w:hAnsi="Sakkal Majalla" w:cs="Sakkal Majalla"/>
          <w:sz w:val="28"/>
          <w:szCs w:val="28"/>
        </w:rPr>
        <w:t xml:space="preserve">" (PDCA) </w:t>
      </w:r>
      <w:r w:rsidRPr="005019F4">
        <w:rPr>
          <w:rFonts w:ascii="Sakkal Majalla" w:eastAsia="Times New Roman" w:hAnsi="Sakkal Majalla" w:cs="Sakkal Majalla"/>
          <w:sz w:val="28"/>
          <w:szCs w:val="28"/>
          <w:rtl/>
        </w:rPr>
        <w:t xml:space="preserve">في إدارة المخاطر يرفع من كفاءة الخدمات ويقلل من الأخطاء الطبية (طاهري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شكيب، 2019؛ المطيري، 2023). كما أن التحسين المستمر يعزز من ثقة أصحاب المصلحة ويؤكد التزام المؤسسة بالحوكمة الرشيدة والمسؤولية الاجتماعية (الربيعي، 2021</w:t>
      </w:r>
      <w:r w:rsidRPr="005019F4">
        <w:rPr>
          <w:rFonts w:ascii="Sakkal Majalla" w:eastAsia="Times New Roman" w:hAnsi="Sakkal Majalla" w:cs="Sakkal Majalla"/>
          <w:sz w:val="28"/>
          <w:szCs w:val="28"/>
        </w:rPr>
        <w:t>).</w:t>
      </w:r>
    </w:p>
    <w:p w14:paraId="3CB68990"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خطوات برنامج إدارة المخاطر</w:t>
      </w:r>
    </w:p>
    <w:p w14:paraId="41C82896"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تحديد المخاطر</w:t>
      </w:r>
    </w:p>
    <w:p w14:paraId="36C9E313"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تمثل عملية </w:t>
      </w:r>
      <w:r w:rsidRPr="005019F4">
        <w:rPr>
          <w:rFonts w:ascii="Sakkal Majalla" w:eastAsia="Times New Roman" w:hAnsi="Sakkal Majalla" w:cs="Sakkal Majalla"/>
          <w:b/>
          <w:bCs/>
          <w:sz w:val="28"/>
          <w:szCs w:val="28"/>
          <w:rtl/>
        </w:rPr>
        <w:t>تحديد المخاطر</w:t>
      </w:r>
      <w:r w:rsidRPr="005019F4">
        <w:rPr>
          <w:rFonts w:ascii="Sakkal Majalla" w:eastAsia="Times New Roman" w:hAnsi="Sakkal Majalla" w:cs="Sakkal Majalla"/>
          <w:sz w:val="28"/>
          <w:szCs w:val="28"/>
          <w:rtl/>
        </w:rPr>
        <w:t xml:space="preserve"> الخطوة الأولى في بناء برنامج إدارة المخاطر، إذ يتم فيها التعرف على جميع مصادر التهديد المحتملة التي يمكن أن تؤثر على أهداف المؤسسة أو استمرارية أعمالها. وتشمل هذه المصادر المخاطر التشغيلية، والمالية، والاستراتيجية، والبيئية، والتكنولوجية، وحتى تلك المرتبطة بالسمعة أو الامتثال القانوني. ويُستخدم في هذه المرحلة مزيج من الأدوات مثل جلسات العصف الذهني، والمقابلات مع الخبراء، وتحليل الوثائق، ودراسة التجارب السابقة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بدير، 2021). وقد بينت الدراسات التطبيقية في المؤسسات الصحية أن إغفال خطوة التحديد الدقيق يؤدي إلى ضعف القدرة على مواجهة الكوارث مثل الأوبئة أو الحوادث الكبرى (المطيري، 2023؛ طاهري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شكيب، 2019</w:t>
      </w:r>
      <w:r w:rsidRPr="005019F4">
        <w:rPr>
          <w:rFonts w:ascii="Sakkal Majalla" w:eastAsia="Times New Roman" w:hAnsi="Sakkal Majalla" w:cs="Sakkal Majalla" w:hint="cs"/>
          <w:sz w:val="28"/>
          <w:szCs w:val="28"/>
          <w:rtl/>
        </w:rPr>
        <w:t>)</w:t>
      </w:r>
    </w:p>
    <w:p w14:paraId="7A192EE8"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lastRenderedPageBreak/>
        <w:t>ثانياً: تحليل وتقييم المخاطر</w:t>
      </w:r>
    </w:p>
    <w:p w14:paraId="332986C6"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بعد التحديد، تأتي مرحلة </w:t>
      </w:r>
      <w:r w:rsidRPr="005019F4">
        <w:rPr>
          <w:rFonts w:ascii="Sakkal Majalla" w:eastAsia="Times New Roman" w:hAnsi="Sakkal Majalla" w:cs="Sakkal Majalla"/>
          <w:b/>
          <w:bCs/>
          <w:sz w:val="28"/>
          <w:szCs w:val="28"/>
          <w:rtl/>
        </w:rPr>
        <w:t>التحليل والتقييم</w:t>
      </w:r>
      <w:r w:rsidRPr="005019F4">
        <w:rPr>
          <w:rFonts w:ascii="Sakkal Majalla" w:eastAsia="Times New Roman" w:hAnsi="Sakkal Majalla" w:cs="Sakkal Majalla"/>
          <w:sz w:val="28"/>
          <w:szCs w:val="28"/>
          <w:rtl/>
        </w:rPr>
        <w:t xml:space="preserve"> التي تهدف إلى قياس احتمالية حدوث كل خطر، وتقدير حجم أثره على أهداف المؤسسة. ويتم استخدام أدوات كمية مثل مصفوفة الاحتمالية والأثر، والنماذج الإحصائية، وأدوات كيفية مثل التحليل النوعي، لتصنيف المخاطر إلى مستويات: مرتفعة، متوسطة، منخفضة (القحطاني، 2023). ويُسهم هذا التصنيف في تحديد الأولويات وترتيب الاستجابات بما يتناسب مع الموارد المتاحة. وأكدت دراسات إدارة المخاطر في المؤسسات التعليمية والرياضية أن عملية التقييم المنهجي تعزز من </w:t>
      </w:r>
      <w:r w:rsidRPr="005019F4">
        <w:rPr>
          <w:rFonts w:ascii="Sakkal Majalla" w:eastAsia="Times New Roman" w:hAnsi="Sakkal Majalla" w:cs="Sakkal Majalla"/>
          <w:b/>
          <w:bCs/>
          <w:sz w:val="28"/>
          <w:szCs w:val="28"/>
          <w:rtl/>
        </w:rPr>
        <w:t>فاعلية الاستجابة</w:t>
      </w:r>
      <w:r w:rsidRPr="005019F4">
        <w:rPr>
          <w:rFonts w:ascii="Sakkal Majalla" w:eastAsia="Times New Roman" w:hAnsi="Sakkal Majalla" w:cs="Sakkal Majalla"/>
          <w:sz w:val="28"/>
          <w:szCs w:val="28"/>
          <w:rtl/>
        </w:rPr>
        <w:t xml:space="preserve"> وتمنع إهدار الموارد في مواجهة مخاطر ثانوية (بدير، 2023؛ جنيدي، 2020)</w:t>
      </w:r>
      <w:r w:rsidRPr="005019F4">
        <w:rPr>
          <w:rFonts w:ascii="Sakkal Majalla" w:eastAsia="Times New Roman" w:hAnsi="Sakkal Majalla" w:cs="Sakkal Majalla"/>
          <w:sz w:val="28"/>
          <w:szCs w:val="28"/>
        </w:rPr>
        <w:t>.</w:t>
      </w:r>
    </w:p>
    <w:p w14:paraId="5B242395"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وضع خطط الاستجابة (التقليل، التحويل، التجنب، القبول)</w:t>
      </w:r>
    </w:p>
    <w:p w14:paraId="1475FA2D"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تُعَدّ هذه الخطوة جوهر إدارة المخاطر، حيث يتم وضع الاستراتيجيات الملائمة للتعامل مع كل خطر بناءً على درجته. وتتضمن الخيارات الرئيسة</w:t>
      </w:r>
      <w:r w:rsidRPr="005019F4">
        <w:rPr>
          <w:rFonts w:ascii="Sakkal Majalla" w:eastAsia="Times New Roman" w:hAnsi="Sakkal Majalla" w:cs="Sakkal Majalla"/>
          <w:sz w:val="28"/>
          <w:szCs w:val="28"/>
        </w:rPr>
        <w:t>:</w:t>
      </w:r>
    </w:p>
    <w:p w14:paraId="0D0B4B2B" w14:textId="77777777" w:rsidR="005019F4" w:rsidRPr="005019F4" w:rsidRDefault="005019F4" w:rsidP="00F634A6">
      <w:pPr>
        <w:numPr>
          <w:ilvl w:val="0"/>
          <w:numId w:val="38"/>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التقليل</w:t>
      </w:r>
      <w:r w:rsidRPr="005019F4">
        <w:rPr>
          <w:rFonts w:ascii="Sakkal Majalla" w:eastAsia="Times New Roman" w:hAnsi="Sakkal Majalla" w:cs="Sakkal Majalla"/>
          <w:b/>
          <w:bCs/>
          <w:sz w:val="28"/>
          <w:szCs w:val="28"/>
        </w:rPr>
        <w:t xml:space="preserve"> (Reduction):</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عبر تقليص احتمالية الخطر أو تقليل أثره من خلال تدابير وقائية</w:t>
      </w:r>
      <w:r w:rsidRPr="005019F4">
        <w:rPr>
          <w:rFonts w:ascii="Sakkal Majalla" w:eastAsia="Times New Roman" w:hAnsi="Sakkal Majalla" w:cs="Sakkal Majalla"/>
          <w:sz w:val="28"/>
          <w:szCs w:val="28"/>
        </w:rPr>
        <w:t>.</w:t>
      </w:r>
    </w:p>
    <w:p w14:paraId="054F7AA7" w14:textId="77777777" w:rsidR="005019F4" w:rsidRPr="005019F4" w:rsidRDefault="005019F4" w:rsidP="00F634A6">
      <w:pPr>
        <w:numPr>
          <w:ilvl w:val="0"/>
          <w:numId w:val="38"/>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التحويل</w:t>
      </w:r>
      <w:r w:rsidRPr="005019F4">
        <w:rPr>
          <w:rFonts w:ascii="Sakkal Majalla" w:eastAsia="Times New Roman" w:hAnsi="Sakkal Majalla" w:cs="Sakkal Majalla"/>
          <w:b/>
          <w:bCs/>
          <w:sz w:val="28"/>
          <w:szCs w:val="28"/>
        </w:rPr>
        <w:t xml:space="preserve"> (Transfer):</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بنقل تبعات الخطر إلى طرف آخر مثل شركات التأمين أو عقود المقاولة (خان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المصري، 2016</w:t>
      </w:r>
      <w:r w:rsidRPr="005019F4">
        <w:rPr>
          <w:rFonts w:ascii="Sakkal Majalla" w:eastAsia="Times New Roman" w:hAnsi="Sakkal Majalla" w:cs="Sakkal Majalla"/>
          <w:sz w:val="28"/>
          <w:szCs w:val="28"/>
        </w:rPr>
        <w:t>).</w:t>
      </w:r>
    </w:p>
    <w:p w14:paraId="55211DD3" w14:textId="77777777" w:rsidR="005019F4" w:rsidRPr="005019F4" w:rsidRDefault="005019F4" w:rsidP="00F634A6">
      <w:pPr>
        <w:numPr>
          <w:ilvl w:val="0"/>
          <w:numId w:val="38"/>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التجنب</w:t>
      </w:r>
      <w:r w:rsidRPr="005019F4">
        <w:rPr>
          <w:rFonts w:ascii="Sakkal Majalla" w:eastAsia="Times New Roman" w:hAnsi="Sakkal Majalla" w:cs="Sakkal Majalla"/>
          <w:b/>
          <w:bCs/>
          <w:sz w:val="28"/>
          <w:szCs w:val="28"/>
        </w:rPr>
        <w:t xml:space="preserve"> (Avoidance):</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بإلغاء الأنشطة عالية المخاطر أو تعديلها جذريًا لمنع التعرض لها</w:t>
      </w:r>
      <w:r w:rsidRPr="005019F4">
        <w:rPr>
          <w:rFonts w:ascii="Sakkal Majalla" w:eastAsia="Times New Roman" w:hAnsi="Sakkal Majalla" w:cs="Sakkal Majalla"/>
          <w:sz w:val="28"/>
          <w:szCs w:val="28"/>
        </w:rPr>
        <w:t>.</w:t>
      </w:r>
    </w:p>
    <w:p w14:paraId="72821A97" w14:textId="77777777" w:rsidR="005019F4" w:rsidRPr="005019F4" w:rsidRDefault="005019F4" w:rsidP="00F634A6">
      <w:pPr>
        <w:numPr>
          <w:ilvl w:val="0"/>
          <w:numId w:val="38"/>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القبول</w:t>
      </w:r>
      <w:r w:rsidRPr="005019F4">
        <w:rPr>
          <w:rFonts w:ascii="Sakkal Majalla" w:eastAsia="Times New Roman" w:hAnsi="Sakkal Majalla" w:cs="Sakkal Majalla"/>
          <w:b/>
          <w:bCs/>
          <w:sz w:val="28"/>
          <w:szCs w:val="28"/>
        </w:rPr>
        <w:t xml:space="preserve"> (Acceptance):</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بالاعتراف بوجود الخطر وتخصيص خطط بديلة لمواجهته عند وقوعه</w:t>
      </w:r>
      <w:r w:rsidRPr="005019F4">
        <w:rPr>
          <w:rFonts w:ascii="Sakkal Majalla" w:eastAsia="Times New Roman" w:hAnsi="Sakkal Majalla" w:cs="Sakkal Majalla"/>
          <w:sz w:val="28"/>
          <w:szCs w:val="28"/>
        </w:rPr>
        <w:t>.</w:t>
      </w:r>
    </w:p>
    <w:p w14:paraId="04430520"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وقد أوضحت التجارب في المشروعات الفندقية الكبرى أن اختيار الاستراتيجية المناسبة يتوقف على مدى توافقها مع الأهداف الاستراتيجية وموارد المؤسسة (علي وآخرون، 2015). كما أظهرت الدراسات الصحية أن وضع خطط استجابة شاملة يرفع من قدرة المستشفيات على الصمود أثناء الكوارث الوبائية (عثمان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آل جحني، 2023</w:t>
      </w:r>
      <w:r w:rsidRPr="005019F4">
        <w:rPr>
          <w:rFonts w:ascii="Sakkal Majalla" w:eastAsia="Times New Roman" w:hAnsi="Sakkal Majalla" w:cs="Sakkal Majalla"/>
          <w:sz w:val="28"/>
          <w:szCs w:val="28"/>
        </w:rPr>
        <w:t>).</w:t>
      </w:r>
    </w:p>
    <w:p w14:paraId="1A285041"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lastRenderedPageBreak/>
        <w:t>رابعاً: تنفيذ الاستجابات</w:t>
      </w:r>
    </w:p>
    <w:p w14:paraId="179B86DC"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لا يقتصر نجاح البرنامج على صياغة خطط الاستجابة، بل يعتمد بدرجة كبيرة على آلية التنفيذ الفعلي</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وتتطلب هذه المرحلة تحديد الأدوار والمسؤوليات بوضوح، وتخصيص الموارد المالية والبشرية، ووضع جداول زمنية محددة، إلى جانب إنشاء قنوات اتصال فعّالة لضمان التنسيق بين مختلف الإدارات (الأردن/المعهد العربي للدراسات المالية والمصرفية، 2023). وأكدت الدراسات التطبيقية أن ضعف التنفيذ هو السبب الرئيس في فشل كثير من برامج إدارة المخاطر، حتى وإن كانت الخطط مصممة بعناية (حسانين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الحاروني، 2009</w:t>
      </w:r>
      <w:r w:rsidRPr="005019F4">
        <w:rPr>
          <w:rFonts w:ascii="Sakkal Majalla" w:eastAsia="Times New Roman" w:hAnsi="Sakkal Majalla" w:cs="Sakkal Majalla" w:hint="cs"/>
          <w:sz w:val="28"/>
          <w:szCs w:val="28"/>
          <w:rtl/>
        </w:rPr>
        <w:t>)</w:t>
      </w:r>
    </w:p>
    <w:p w14:paraId="44917712"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خامساً: المتابعة والمراجعة الدورية</w:t>
      </w:r>
    </w:p>
    <w:p w14:paraId="1B91BC84"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المرحلة الأخيرة هي المتابعة والمراجعة الدورية، إذ يتم فيها التأكد من فاعلية الخطط والاستجابات، ومقارنة النتائج المحققة مع الأهداف الموضوعة، وتحديد أوجه القصور للتحسين المستقبلي. كما تُسهم هذه المرحلة في تحديث سجل المخاطر باستمرار ليعكس التغيرات في البيئة الداخلية والخارجية (صبح، 2000). وتُظهر التجارب العملية في القطاعات الصحية والتعليمية أن المؤسسات التي تعتمد آليات مراجعة دورية تحقق مستويات أعلى من الجاهزية والمرونة في مواجهة المخاطر المتجددة (الربيعي، 2021؛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بدير، 2021). كما أن هذه المراجعة تمثل تطبيقًا عمليًا لمبدأ التحسين المستمر، الذي يعد من أعمدة إدارة المخاطر الحديثة (المطيري، 2023)</w:t>
      </w:r>
      <w:r w:rsidRPr="005019F4">
        <w:rPr>
          <w:rFonts w:ascii="Sakkal Majalla" w:eastAsia="Times New Roman" w:hAnsi="Sakkal Majalla" w:cs="Sakkal Majalla"/>
          <w:sz w:val="28"/>
          <w:szCs w:val="28"/>
        </w:rPr>
        <w:t>.</w:t>
      </w:r>
    </w:p>
    <w:p w14:paraId="40F9D8AA"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الأدوار والمسؤوليات في إدارة المخاطر</w:t>
      </w:r>
    </w:p>
    <w:p w14:paraId="4BF9BAE3"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دور الإدارة العليا</w:t>
      </w:r>
    </w:p>
    <w:p w14:paraId="46837B18"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تُعتبر الإدارة العليا المسؤول الأول عن وضع الأسس الاستراتيجية لبرنامج إدارة المخاطر، فهي التي تحدد "شهية المخاطر" التي يمكن للمنظمة تقبّلها، وتضع السياسات العامة التي تضبط عملية التعامل مع التهديدات. كما تتحمل مسؤولية توفير الدعم المؤسسي والمالي والموارد البشرية اللازمة لإنجاح البرنامج، </w:t>
      </w:r>
      <w:r w:rsidRPr="005019F4">
        <w:rPr>
          <w:rFonts w:ascii="Sakkal Majalla" w:eastAsia="Times New Roman" w:hAnsi="Sakkal Majalla" w:cs="Sakkal Majalla"/>
          <w:sz w:val="28"/>
          <w:szCs w:val="28"/>
          <w:rtl/>
        </w:rPr>
        <w:lastRenderedPageBreak/>
        <w:t>وضمان دمجه في صميم عملية صنع القرار. ومن مهام الإدارة العليا أيضًا إرساء ثقافة مؤسسية تقوم على الشفافية والمساءلة وتشجع العاملين على الإبلاغ عن المخاطر من دون خوف أو تردد (القحطاني، 2023؛ الأردن/المعهد العربي للدراسات المالية والمصرفية، 2023). وقد أكدت الدراسات في القطاع الصحي والفندقي أن غياب التزام القيادة العليا يقلل من جدوى أي مبادرات لإدارة المخاطر، حتى وإن كانت الخطط والأدوات متطورة (المطيري، 2023؛ علي وآخرون، 2015)</w:t>
      </w:r>
      <w:r w:rsidRPr="005019F4">
        <w:rPr>
          <w:rFonts w:ascii="Sakkal Majalla" w:eastAsia="Times New Roman" w:hAnsi="Sakkal Majalla" w:cs="Sakkal Majalla"/>
          <w:sz w:val="28"/>
          <w:szCs w:val="28"/>
        </w:rPr>
        <w:t>.</w:t>
      </w:r>
    </w:p>
    <w:p w14:paraId="3D161F63"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دور فرق العمل التنفيذية</w:t>
      </w:r>
    </w:p>
    <w:p w14:paraId="14BEE060"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تُعد فرق العمل التنفيذية الخط الأمامي في تطبيق سياسات إدارة المخاطر، حيث تتحمل مسؤولية جمع البيانات، وتحديد المخاطر في بيئة العمل اليومية، وتنفيذ الإجراءات الوقائية والاستجابات المحددة. وتشمل هذه الفرق مختلف الإدارات التشغيلية، مثل فرق الصيانة، والإنتاج، والخدمات اللوجستية، والموارد البشرية، وذلك بحسب طبيعة المؤسسة. وتتمثل مسؤوليتها في الربط بين الخطة الاستراتيجية للإدارة العليا والواقع العملي، من خلال الالتزام بالإجراءات، والمشاركة في التدريب المستمر، وتقديم تقارير دورية عن التغيرات والمستجدات في المخاطر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بدير، 2021). وقد أظهرت الدراسات في مؤسسات التعليم والصحة أن كفاءة فرق التنفيذ هي العامل الحاسم في نجاح البرنامج، حيث يؤدي ضعف المشاركة أو نقص الوعي إلى فجوات كبيرة في منظومة الحماية (بدير، 2023؛ طاهري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شكيب، 2019</w:t>
      </w:r>
      <w:r w:rsidRPr="005019F4">
        <w:rPr>
          <w:rFonts w:ascii="Sakkal Majalla" w:eastAsia="Times New Roman" w:hAnsi="Sakkal Majalla" w:cs="Sakkal Majalla"/>
          <w:sz w:val="28"/>
          <w:szCs w:val="28"/>
        </w:rPr>
        <w:t>).</w:t>
      </w:r>
    </w:p>
    <w:p w14:paraId="79B27A52"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دور إدارة الجودة/التدقيق الداخلي</w:t>
      </w:r>
    </w:p>
    <w:p w14:paraId="4F0B8583"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تلعب إدارة الجودة والتدقيق الداخلي دورًا محوريًا في ضمان فعالية برنامج إدارة المخاطر عبر القيام بالمراجعة المستقلة والتأكد من أن جميع الخطط والسياسات يتم تطبيقها على النحو المطلوب. وتقوم هذه الإدارة بمراقبة الأداء، وقياس مؤشرات المخاطر الرئيسية، وتقديم تقارير للإدارة العليا تتضمن نقاط القوة والضعف، بالإضافة إلى التوصيات اللازمة للتحسين. كما تعمل على التأكد من أن أنشطة إدارة المخاطر متوافقة مع المتطلبات التشريعية والمعايير الدولية مثل</w:t>
      </w:r>
      <w:r w:rsidRPr="005019F4">
        <w:rPr>
          <w:rFonts w:ascii="Sakkal Majalla" w:eastAsia="Times New Roman" w:hAnsi="Sakkal Majalla" w:cs="Sakkal Majalla"/>
          <w:sz w:val="28"/>
          <w:szCs w:val="28"/>
        </w:rPr>
        <w:t xml:space="preserve"> ISO 9001 </w:t>
      </w:r>
      <w:r w:rsidRPr="005019F4">
        <w:rPr>
          <w:rFonts w:ascii="Sakkal Majalla" w:eastAsia="Times New Roman" w:hAnsi="Sakkal Majalla" w:cs="Sakkal Majalla"/>
          <w:sz w:val="28"/>
          <w:szCs w:val="28"/>
          <w:rtl/>
        </w:rPr>
        <w:t xml:space="preserve">أو أطر الحوكمة المؤسسية (حسانين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الحاروني، 2009). وفي المؤسسات الصحية مثلاً، تُسهم إدارة الجودة في ربط إدارة المخاطر ببرامج سلامة </w:t>
      </w:r>
      <w:r w:rsidRPr="005019F4">
        <w:rPr>
          <w:rFonts w:ascii="Sakkal Majalla" w:eastAsia="Times New Roman" w:hAnsi="Sakkal Majalla" w:cs="Sakkal Majalla"/>
          <w:sz w:val="28"/>
          <w:szCs w:val="28"/>
          <w:rtl/>
        </w:rPr>
        <w:lastRenderedPageBreak/>
        <w:t xml:space="preserve">المرضى والاعتماد الدولي، ما يرفع من ثقة أصحاب المصلحة (المطيري، 2023؛ الربيعي، 2021). وفي المؤسسات التعليمية والخدمية، يؤدي التدقيق الداخلي دورًا مماثلاً في مراجعة الإجراءات وتقديم التغذية الراجعة التي تضمن التحسين المستمر </w:t>
      </w:r>
      <w:r w:rsidRPr="005019F4">
        <w:rPr>
          <w:rFonts w:ascii="Sakkal Majalla" w:eastAsia="Times New Roman" w:hAnsi="Sakkal Majalla" w:cs="Sakkal Majalla"/>
          <w:sz w:val="28"/>
          <w:szCs w:val="28"/>
        </w:rPr>
        <w:t>(</w:t>
      </w:r>
      <w:r w:rsidRPr="005019F4">
        <w:rPr>
          <w:rFonts w:ascii="Sakkal Majalla" w:eastAsia="Times New Roman" w:hAnsi="Sakkal Majalla" w:cs="Sakkal Majalla"/>
          <w:sz w:val="28"/>
          <w:szCs w:val="28"/>
          <w:rtl/>
        </w:rPr>
        <w:t xml:space="preserve">صبح، 2000؛ عثمان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آل جحني، 2023</w:t>
      </w:r>
      <w:r w:rsidRPr="005019F4">
        <w:rPr>
          <w:rFonts w:ascii="Sakkal Majalla" w:eastAsia="Times New Roman" w:hAnsi="Sakkal Majalla" w:cs="Sakkal Majalla"/>
          <w:sz w:val="28"/>
          <w:szCs w:val="28"/>
        </w:rPr>
        <w:t>).</w:t>
      </w:r>
    </w:p>
    <w:p w14:paraId="080DD7D2"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أدوات وأساليب إدارة المخاطر</w:t>
      </w:r>
    </w:p>
    <w:p w14:paraId="161D55FA"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مصفوفة الاحتمالية والأثر</w:t>
      </w:r>
    </w:p>
    <w:p w14:paraId="7E78249E"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تُعَدّ </w:t>
      </w:r>
      <w:r w:rsidRPr="005019F4">
        <w:rPr>
          <w:rFonts w:ascii="Sakkal Majalla" w:eastAsia="Times New Roman" w:hAnsi="Sakkal Majalla" w:cs="Sakkal Majalla"/>
          <w:b/>
          <w:bCs/>
          <w:sz w:val="28"/>
          <w:szCs w:val="28"/>
          <w:rtl/>
        </w:rPr>
        <w:t>مصفوفة الاحتمالية والأثر</w:t>
      </w:r>
      <w:r w:rsidRPr="005019F4">
        <w:rPr>
          <w:rFonts w:ascii="Sakkal Majalla" w:eastAsia="Times New Roman" w:hAnsi="Sakkal Majalla" w:cs="Sakkal Majalla"/>
          <w:sz w:val="28"/>
          <w:szCs w:val="28"/>
          <w:rtl/>
        </w:rPr>
        <w:t xml:space="preserve"> من أكثر الأدوات شيوعًا في إدارة المخاطر، حيث يتم من خلالها تصنيف المخاطر بناءً على محورين أساسيين: احتمالية وقوع الخطر، وحجم الأثر المترتب عليه إذا حدث. وتساعد هذه المصفوفة في </w:t>
      </w:r>
      <w:r w:rsidRPr="005019F4">
        <w:rPr>
          <w:rFonts w:ascii="Sakkal Majalla" w:eastAsia="Times New Roman" w:hAnsi="Sakkal Majalla" w:cs="Sakkal Majalla"/>
          <w:b/>
          <w:bCs/>
          <w:sz w:val="28"/>
          <w:szCs w:val="28"/>
          <w:rtl/>
        </w:rPr>
        <w:t>تحديد أولويات التعامل مع المخاطر</w:t>
      </w:r>
      <w:r w:rsidRPr="005019F4">
        <w:rPr>
          <w:rFonts w:ascii="Sakkal Majalla" w:eastAsia="Times New Roman" w:hAnsi="Sakkal Majalla" w:cs="Sakkal Majalla"/>
          <w:sz w:val="28"/>
          <w:szCs w:val="28"/>
          <w:rtl/>
        </w:rPr>
        <w:t xml:space="preserve">، بحيث تُعطى المخاطر ذات الاحتمالية العالية والأثر الكبير أولوية قصوى، بينما قد يتم قبول أو مراقبة المخاطر ذات الاحتمالية أو الأثر المنخفضين. وتُستخدم هذه الأداة على نطاق واسع في القطاعات الصحية والتعليمية والخدمية، لما توفره من </w:t>
      </w:r>
      <w:r w:rsidRPr="005019F4">
        <w:rPr>
          <w:rFonts w:ascii="Sakkal Majalla" w:eastAsia="Times New Roman" w:hAnsi="Sakkal Majalla" w:cs="Sakkal Majalla"/>
          <w:b/>
          <w:bCs/>
          <w:sz w:val="28"/>
          <w:szCs w:val="28"/>
          <w:rtl/>
        </w:rPr>
        <w:t>بساطة ووضوح</w:t>
      </w:r>
      <w:r w:rsidRPr="005019F4">
        <w:rPr>
          <w:rFonts w:ascii="Sakkal Majalla" w:eastAsia="Times New Roman" w:hAnsi="Sakkal Majalla" w:cs="Sakkal Majalla"/>
          <w:sz w:val="28"/>
          <w:szCs w:val="28"/>
          <w:rtl/>
        </w:rPr>
        <w:t xml:space="preserve"> في العرض واتخاذ القرار (القحطاني، 2023؛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بدير، 2021). وأثبتت التجارب التطبيقية في المؤسسات الصحية أن هذه الأداة تساعد على توجيه الموارد المحدودة نحو أكثر المخاطر تهديدًا لاستمرارية الخدمات (المطيري، 2023؛ طاهري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شكيب، 2019</w:t>
      </w:r>
      <w:r w:rsidRPr="005019F4">
        <w:rPr>
          <w:rFonts w:ascii="Sakkal Majalla" w:eastAsia="Times New Roman" w:hAnsi="Sakkal Majalla" w:cs="Sakkal Majalla" w:hint="cs"/>
          <w:sz w:val="28"/>
          <w:szCs w:val="28"/>
          <w:rtl/>
        </w:rPr>
        <w:t>)</w:t>
      </w:r>
    </w:p>
    <w:p w14:paraId="6221C891"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تحليل</w:t>
      </w:r>
      <w:r w:rsidRPr="005019F4">
        <w:rPr>
          <w:rFonts w:ascii="Sakkal Majalla" w:eastAsia="Times New Roman" w:hAnsi="Sakkal Majalla" w:cs="Sakkal Majalla"/>
          <w:b/>
          <w:bCs/>
          <w:sz w:val="32"/>
          <w:szCs w:val="32"/>
        </w:rPr>
        <w:t xml:space="preserve"> SWOT</w:t>
      </w:r>
    </w:p>
    <w:p w14:paraId="45185697"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يُستخدم </w:t>
      </w:r>
      <w:r w:rsidRPr="005019F4">
        <w:rPr>
          <w:rFonts w:ascii="Sakkal Majalla" w:eastAsia="Times New Roman" w:hAnsi="Sakkal Majalla" w:cs="Sakkal Majalla"/>
          <w:b/>
          <w:bCs/>
          <w:sz w:val="28"/>
          <w:szCs w:val="28"/>
          <w:rtl/>
        </w:rPr>
        <w:t>تحليل</w:t>
      </w:r>
      <w:r w:rsidRPr="005019F4">
        <w:rPr>
          <w:rFonts w:ascii="Sakkal Majalla" w:eastAsia="Times New Roman" w:hAnsi="Sakkal Majalla" w:cs="Sakkal Majalla"/>
          <w:b/>
          <w:bCs/>
          <w:sz w:val="28"/>
          <w:szCs w:val="28"/>
        </w:rPr>
        <w:t xml:space="preserve"> SWOT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(نقاط القوة – نقاط الضعف – الفرص – التهديدات) كأداة استراتيجية لإدارة المخاطر من خلال الربط بين البيئة الداخلية للمؤسسة (القوة والضعف) والبيئة الخارجية (الفرص والتهديدات). هذا التحليل يسمح للمؤسسة بأن تحدد المخاطر ليس فقط من منظور سلبي، بل أيضًا من خلال التعرف على الفرص التي قد تنشأ من المواقف المعقدة</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ففي المؤسسات التعليمية، مثلًا، يساعد هذا التحليل على استكشاف نقاط الضعف التي قد تزيد من تعرض المؤسسة للمخاطر، ويقترح استراتيجيات استثمار الفرص لتعويض تلك المخاطر (بدير، 2023). وفي المجال الفندقي، أثبت تحليل</w:t>
      </w:r>
      <w:r w:rsidRPr="005019F4">
        <w:rPr>
          <w:rFonts w:ascii="Sakkal Majalla" w:eastAsia="Times New Roman" w:hAnsi="Sakkal Majalla" w:cs="Sakkal Majalla"/>
          <w:sz w:val="28"/>
          <w:szCs w:val="28"/>
        </w:rPr>
        <w:t xml:space="preserve"> SWOT </w:t>
      </w:r>
      <w:r w:rsidRPr="005019F4">
        <w:rPr>
          <w:rFonts w:ascii="Sakkal Majalla" w:eastAsia="Times New Roman" w:hAnsi="Sakkal Majalla" w:cs="Sakkal Majalla"/>
          <w:sz w:val="28"/>
          <w:szCs w:val="28"/>
          <w:rtl/>
        </w:rPr>
        <w:t xml:space="preserve">دوره في </w:t>
      </w:r>
      <w:r w:rsidRPr="005019F4">
        <w:rPr>
          <w:rFonts w:ascii="Sakkal Majalla" w:eastAsia="Times New Roman" w:hAnsi="Sakkal Majalla" w:cs="Sakkal Majalla"/>
          <w:sz w:val="28"/>
          <w:szCs w:val="28"/>
          <w:rtl/>
        </w:rPr>
        <w:lastRenderedPageBreak/>
        <w:t>توجيه الاستراتيجيات نحو تقليل التهديدات الخارجية كالمنافسة الحادة أو الأزمات الاقتصادية، مع تعزيز نقاط القوة الداخلية مثل السمعة والخبرة (علي وآخرون، 2015)</w:t>
      </w:r>
      <w:r w:rsidRPr="005019F4">
        <w:rPr>
          <w:rFonts w:ascii="Sakkal Majalla" w:eastAsia="Times New Roman" w:hAnsi="Sakkal Majalla" w:cs="Sakkal Majalla"/>
          <w:sz w:val="28"/>
          <w:szCs w:val="28"/>
        </w:rPr>
        <w:t>.</w:t>
      </w:r>
    </w:p>
    <w:p w14:paraId="51BEB89E"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أسلوب السيناريوهات</w:t>
      </w:r>
    </w:p>
    <w:p w14:paraId="1CBD7678"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السيناريوهات تُعتبر أداة استشرافية متقدمة تتيح للمؤسسات بناء تصورات مستقبلية متعددة للاحتمالات التي قد تواجهها، ومن ثم إعداد خطط بديلة للتعامل معها. يعتمد هذا الأسلوب على صياغة مجموعة من السيناريوهات: متفائلة، متشائمة، وواقعية، لتغطية أكبر قدر ممكن من اللايقين المرتبط بالبيئة الخارجية</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وقد تم استخدام هذا الأسلوب بفعالية في إدارة الأزمات الكبرى مثل جائحة كورونا، حيث ساعد المؤسسات والدول على وضع خطط طوارئ بديلة تضمن استمرار الخدمات وتقليل حجم الخسائر (أقريقز، 2020؛ عثمان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آل جحني، 2023). وتكمن قوة هذا الأسلوب في أنه يعزز من المرونة المؤسسية عبر تمكين صناع القرار من التفكير في بدائل متعددة وعدم الارتهان لسيناريو واحد قد ينهار عند وقوع أحداث غير متوقعة (الأردن/المعهد العربي للدراسات المالية والمصرفية، 2023)</w:t>
      </w:r>
      <w:r w:rsidRPr="005019F4">
        <w:rPr>
          <w:rFonts w:ascii="Sakkal Majalla" w:eastAsia="Times New Roman" w:hAnsi="Sakkal Majalla" w:cs="Sakkal Majalla"/>
          <w:sz w:val="28"/>
          <w:szCs w:val="28"/>
        </w:rPr>
        <w:t>.</w:t>
      </w:r>
    </w:p>
    <w:p w14:paraId="2B7690BE"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رابعاً: مؤشرات الإنذار المبكر</w:t>
      </w:r>
    </w:p>
    <w:p w14:paraId="7E9B96DF"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تمثل مؤشرات الإنذار المبكر إحدى الأدوات الوقائية المهمة التي تتيح رصد إشارات أو علامات مبدئية تدل على إمكانية وقوع الخطر في المستقبل. يمكن أن تكون هذه المؤشرات كمية مثل نسب الغياب المتكرر، أو مؤشرات السلامة، أو نسب الأعطال الفنية، كما يمكن أن تكون نوعية مثل تزايد الشكاوى أو ضعف الروح المعنوية للعاملين. وتكمن أهمية هذه الأداة في أنها تسمح باتخاذ إجراءات استباقية قبل أن يتحول الخطر إلى أزمة حقيقية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بدير، 2021). وقد برهنت المؤسسات الصحية والتعليمية على فاعلية هذه المؤشرات في منع الكوارث وتقليل حدتها، إذ إن رصد علامات مبكرة كارتفاع معدلات العدوى أو زيادة حوادث العمل يوفر أساسًا للتدخل السريع (الربيعي، 2021؛ المطيري، 2023). كما أن مؤشرات الإنذار المبكر ترتبط بشكل وثيق بمبدأ التحسين المستمر، إذ تُستخدم نتائجها كمدخلات لتطوير السياسات والإجراءات بشكل دائم (حسانين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الحاروني، 2009</w:t>
      </w:r>
      <w:r w:rsidRPr="005019F4">
        <w:rPr>
          <w:rFonts w:ascii="Sakkal Majalla" w:eastAsia="Times New Roman" w:hAnsi="Sakkal Majalla" w:cs="Sakkal Majalla" w:hint="cs"/>
          <w:sz w:val="28"/>
          <w:szCs w:val="28"/>
          <w:rtl/>
        </w:rPr>
        <w:t>)</w:t>
      </w:r>
    </w:p>
    <w:p w14:paraId="31F7DEA6"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lastRenderedPageBreak/>
        <w:t>تحديات تطبيق برنامج إدارة المخاطر</w:t>
      </w:r>
    </w:p>
    <w:p w14:paraId="0D25670A"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مقاومة التغيير</w:t>
      </w:r>
    </w:p>
    <w:p w14:paraId="6EEEB136"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تُعَدّ مقاومة التغيير من أبرز التحديات التي تواجه المؤسسات عند تطبيق برامج إدارة المخاطر، حيث يرى بعض الأفراد أن السياسات والإجراءات الجديدة تشكل عبئًا إضافيًا أو تهديدًا لمصالحهم المباشرة. وغالبًا ما تنشأ هذه المقاومة نتيجة ضعف الوعي أو الخوف من المجهول أو الاعتياد على أنماط العمل التقليدية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بدير، 2021). وتزداد حدة المقاومة في المؤسسات التي تفتقر إلى ثقافة المشاركة والشفافية، مما يجعل العاملين أقل تقبلاً لتبني أنظمة جديدة. وقد أظهرت دراسات في القطاع الصحي والفندقي أن غياب التواصل الفعّال مع العاملين وعدم إشراكهم في مراحل إعداد البرنامج يؤدي إلى تعطيل التنفيذ وإضعاف الفوائد المرجوة </w:t>
      </w:r>
      <w:r w:rsidRPr="005019F4">
        <w:rPr>
          <w:rFonts w:ascii="Sakkal Majalla" w:eastAsia="Times New Roman" w:hAnsi="Sakkal Majalla" w:cs="Sakkal Majalla"/>
          <w:sz w:val="28"/>
          <w:szCs w:val="28"/>
        </w:rPr>
        <w:t>(</w:t>
      </w:r>
      <w:r w:rsidRPr="005019F4">
        <w:rPr>
          <w:rFonts w:ascii="Sakkal Majalla" w:eastAsia="Times New Roman" w:hAnsi="Sakkal Majalla" w:cs="Sakkal Majalla"/>
          <w:sz w:val="28"/>
          <w:szCs w:val="28"/>
          <w:rtl/>
        </w:rPr>
        <w:t>المطيري، 2023؛ علي وآخرون، 2015</w:t>
      </w:r>
      <w:r w:rsidRPr="005019F4">
        <w:rPr>
          <w:rFonts w:ascii="Sakkal Majalla" w:eastAsia="Times New Roman" w:hAnsi="Sakkal Majalla" w:cs="Sakkal Majalla" w:hint="cs"/>
          <w:sz w:val="28"/>
          <w:szCs w:val="28"/>
          <w:rtl/>
        </w:rPr>
        <w:t>)</w:t>
      </w:r>
    </w:p>
    <w:p w14:paraId="561168DD"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نقص الموارد أو الخبرة</w:t>
      </w:r>
    </w:p>
    <w:p w14:paraId="74F0D70D"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يمثل نقص الموارد المالية والبشرية والتقنية أحد العوائق الجوهرية أمام نجاح برامج إدارة المخاطر. إذ إن بناء نظام متكامل يتطلب تدريبًا متخصصًا للعاملين، واستثمارًا في أدوات التحليل والرصد، إضافة إلى تخصيص ميزانيات كافية للتنفيذ والمتابعة. وفي المؤسسات التعليمية مثلًا، غالبًا ما يواجه القائمون على إدارة المخاطر تحديات مرتبطة بضعف الإمكانات المادية وعدم توفر خبرات متخصصة، مما يؤدي إلى معالجات جزئية وغير مستدامة (بدير، 2023). كما أن نقص الكفاءات المدربة في مجال تقييم المخاطر وتخطيط الاستجابات يؤدي إلى فجوات في التطبيق العملي حتى مع وجود خطط مكتوبة (طاهري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شكيب، 2019). وقد بيّنت تقارير متخصصة أن المؤسسات التي لا تستثمر في تطوير كوادرها الفنية تعاني من ضعف القدرة على مواجهة الأزمات والتهديدات المعقدة (الأردن/المعهد العربي للدراسات المالية والمصرفية، 2023</w:t>
      </w:r>
      <w:r w:rsidRPr="005019F4">
        <w:rPr>
          <w:rFonts w:ascii="Sakkal Majalla" w:eastAsia="Times New Roman" w:hAnsi="Sakkal Majalla" w:cs="Sakkal Majalla" w:hint="cs"/>
          <w:sz w:val="28"/>
          <w:szCs w:val="28"/>
          <w:rtl/>
        </w:rPr>
        <w:t>)</w:t>
      </w:r>
    </w:p>
    <w:p w14:paraId="5676F5B9"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ضعف ثقافة المخاطر</w:t>
      </w:r>
    </w:p>
    <w:p w14:paraId="2CBD988B"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lastRenderedPageBreak/>
        <w:t xml:space="preserve">تُعتبر ثقافة المخاطر إحدى الركائز الأساسية لنجاح أي برنامج، وهي تعكس وعي العاملين وإدراكهم بأهمية المخاطر وضرورة التعامل معها بجدية. وعندما تكون هذه الثقافة ضعيفة، يقتصر التعامل مع المخاطر على ردود أفعال متفرقة بدلاً من أن تكون جزءًا من السلوك التنظيمي اليومي (حسانين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الحاروني، 2009). ويؤدي غياب ثقافة المخاطر إلى إخفاء المعلومات أو تجاهل المؤشرات المبكرة، مما يزيد من احتمالية تفاقم الأزمات. وقد أشارت الدراسات إلى أن تعزيز ثقافة المخاطر يحتاج إلى برامج تدريب وتوعية مستمرة، وربط الأداء الوظيفي بمؤشرات إدارة المخاطر، وإبراز قصص نجاح في كيفية مواجهة التهديدات (صبح، 2000؛ الربيعي، 2021). كما أن المؤسسات التي تبنت هذه الثقافة استطاعت تحسين قدرتها على التحسين المستمر والجاهزية للأزمات، في حين بقيت المؤسسات الأخرى عرضة للقصور المتكرر (المطيري، 2023؛ أقريقز، 2020)</w:t>
      </w:r>
      <w:r w:rsidRPr="005019F4">
        <w:rPr>
          <w:rFonts w:ascii="Sakkal Majalla" w:eastAsia="Times New Roman" w:hAnsi="Sakkal Majalla" w:cs="Sakkal Majalla"/>
          <w:sz w:val="28"/>
          <w:szCs w:val="28"/>
        </w:rPr>
        <w:t>.</w:t>
      </w:r>
    </w:p>
    <w:p w14:paraId="0091DA47"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فوائد ومخرجات برنامج إدارة المخاطر</w:t>
      </w:r>
    </w:p>
    <w:p w14:paraId="766F77BC"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حماية الأصول والموارد</w:t>
      </w:r>
    </w:p>
    <w:p w14:paraId="2D514C01"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أحد أهم المخرجات المباشرة لبرنامج إدارة المخاطر هو حماية الأصول الملموسة وغير الملموسة التي تمتلكها المؤسسة، بما يشمل الموارد البشرية، والممتلكات المادية، والبنية التحتية، والبيانات والمعلومات، وكذلك السمعة المؤسسية. فالتطبيق الفعّال لهذا البرنامج يقلل من احتمالية فقدان الأصول بسبب الكوارث أو الحوادث التشغيلية أو الأزمات البيئية (المطيري، 2023). وقد بينت الدراسات في القطاع الصحي أن المؤسسات التي تعتمد أنظمة متقدمة لإدارة المخاطر تحقق معدلات أقل من الحوادث والإصابات وتكلفة أقل لمعالجتها، مما ينعكس على كفاءة استخدام الموارد (طاهري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شكيب، 2019). كما أن المؤسسات التعليمية التي تبنّت هذا النهج تمكنت من الحفاظ على بيئات عمل أكثر أمانًا وحماية العاملين والطلاب من المخاطر الصحية والبيئية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بدير، 2021</w:t>
      </w:r>
      <w:r w:rsidRPr="005019F4">
        <w:rPr>
          <w:rFonts w:ascii="Sakkal Majalla" w:eastAsia="Times New Roman" w:hAnsi="Sakkal Majalla" w:cs="Sakkal Majalla" w:hint="cs"/>
          <w:sz w:val="28"/>
          <w:szCs w:val="28"/>
          <w:rtl/>
        </w:rPr>
        <w:t>)</w:t>
      </w:r>
    </w:p>
    <w:p w14:paraId="22DD862D"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تحسين اتخاذ القرار</w:t>
      </w:r>
    </w:p>
    <w:p w14:paraId="27712E96"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lastRenderedPageBreak/>
        <w:t>يوفر برنامج إدارة المخاطر قاعدة بيانات متكاملة عن التهديدات المحتملة وطرق التعامل معها، ما يرفع من جودة القرارات الإدارية</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فبدلاً من الاعتماد على الحدس أو ردود الفعل العاجلة، يصبح القرار مبنيًا على تقييم موضوعي لاحتمالية المخاطر وآثارها (القحطاني، 2023). وتظهر أهمية ذلك بوضوح في القطاعات ذات المخاطر العالية مثل الخدمات الفندقية أو التمويل، حيث تحتاج الإدارة إلى اتخاذ قرارات سريعة ودقيقة تستند إلى معلومات محكومة بأطر علمية (علي وآخرون، 2015؛ خان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المصري، 2016). كما أن تحليل المخاطر يتيح للإدارة العليا صياغة استراتيجيات أكثر واقعية، ويمنع الاستثمار في مشروعات عالية الخطورة دون خطط وقائية كافية (الأردن/المعهد العربي للدراسات المالية والمصرفية، 2023</w:t>
      </w:r>
      <w:r w:rsidRPr="005019F4">
        <w:rPr>
          <w:rFonts w:ascii="Sakkal Majalla" w:eastAsia="Times New Roman" w:hAnsi="Sakkal Majalla" w:cs="Sakkal Majalla" w:hint="cs"/>
          <w:sz w:val="28"/>
          <w:szCs w:val="28"/>
          <w:rtl/>
        </w:rPr>
        <w:t>)</w:t>
      </w:r>
    </w:p>
    <w:p w14:paraId="3C14F9D9"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تعزيز استمرارية الأعمال</w:t>
      </w:r>
    </w:p>
    <w:p w14:paraId="0BC1CD02"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يساهم البرنامج في ضمان استمرارية الأعمال حتى أثناء مواجهة الأزمات والكوارث، من خلال بناء خطط استجابة للطوارئ وخطط استعادة النشاط</w:t>
      </w:r>
      <w:r w:rsidRPr="005019F4">
        <w:rPr>
          <w:rFonts w:ascii="Sakkal Majalla" w:eastAsia="Times New Roman" w:hAnsi="Sakkal Majalla" w:cs="Sakkal Majalla"/>
          <w:sz w:val="28"/>
          <w:szCs w:val="28"/>
        </w:rPr>
        <w:t xml:space="preserve"> (Business Continuity Plans). </w:t>
      </w:r>
      <w:r w:rsidRPr="005019F4">
        <w:rPr>
          <w:rFonts w:ascii="Sakkal Majalla" w:eastAsia="Times New Roman" w:hAnsi="Sakkal Majalla" w:cs="Sakkal Majalla"/>
          <w:sz w:val="28"/>
          <w:szCs w:val="28"/>
          <w:rtl/>
        </w:rPr>
        <w:t xml:space="preserve">وقد أوضحت دراسات تطبيقية أن المؤسسات الصحية التي اعتمدت هذا النهج تمكنت من الحفاظ على خدماتها الأساسية أثناء جائحة كورونا، رغم الضغوط الكبيرة على الموارد البشرية والتقنية (أقريقز، 2020؛ عثمان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آل جحني، 2023). وفي القطاعات التعليمية والخدمية، أسهمت خطط استمرارية الأعمال المبنية على إدارة المخاطر في تقليل فترات التوقف وضمان عودة العمليات بشكل أسرع وأكثر فاعلية (بدير، 2023). وتعد هذه الفائدة من أهم مخرجات البرنامج لأنها ترتبط مباشرة بثقة العملاء واستدامة التنافسية</w:t>
      </w:r>
      <w:r w:rsidRPr="005019F4">
        <w:rPr>
          <w:rFonts w:ascii="Sakkal Majalla" w:eastAsia="Times New Roman" w:hAnsi="Sakkal Majalla" w:cs="Sakkal Majalla"/>
          <w:sz w:val="28"/>
          <w:szCs w:val="28"/>
        </w:rPr>
        <w:t>.</w:t>
      </w:r>
    </w:p>
    <w:p w14:paraId="24E26AAB"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رابعاً: تحقيق الامتثال للمتطلبات التنظيمية والتشريعية</w:t>
      </w:r>
    </w:p>
    <w:p w14:paraId="1D22EAA7"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في بيئات الأعمال المعاصرة، لم تعد إدارة المخاطر خيارًا، بل أصبحت ضرورة للامتثال لمجموعة واسعة من القوانين والمعايير الدولية</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فالعديد من الأنظمة الرقابية في مجالات الصحة والتمويل والتعليم تفرض على المؤسسات وجود آليات واضحة لإدارة المخاطر، وتعتبر عدم الامتثال أحد مؤشرات القصور المؤسسي (الربيعي، 2021). ويساعد البرنامج المؤسسات على تلبية متطلبات جهات الاعتماد الدولية مثل</w:t>
      </w:r>
      <w:r w:rsidRPr="005019F4">
        <w:rPr>
          <w:rFonts w:ascii="Sakkal Majalla" w:eastAsia="Times New Roman" w:hAnsi="Sakkal Majalla" w:cs="Sakkal Majalla"/>
          <w:sz w:val="28"/>
          <w:szCs w:val="28"/>
        </w:rPr>
        <w:t xml:space="preserve"> ISO 9001 </w:t>
      </w:r>
      <w:r w:rsidRPr="005019F4">
        <w:rPr>
          <w:rFonts w:ascii="Sakkal Majalla" w:eastAsia="Times New Roman" w:hAnsi="Sakkal Majalla" w:cs="Sakkal Majalla"/>
          <w:sz w:val="28"/>
          <w:szCs w:val="28"/>
          <w:rtl/>
        </w:rPr>
        <w:t xml:space="preserve">ومعايير الحوكمة، ما يرفع من مصداقيتها وشرعيتها (حسانين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الحاروني، 2009). وقد أظهرت البحوث أن </w:t>
      </w:r>
      <w:r w:rsidRPr="005019F4">
        <w:rPr>
          <w:rFonts w:ascii="Sakkal Majalla" w:eastAsia="Times New Roman" w:hAnsi="Sakkal Majalla" w:cs="Sakkal Majalla"/>
          <w:sz w:val="28"/>
          <w:szCs w:val="28"/>
          <w:rtl/>
        </w:rPr>
        <w:lastRenderedPageBreak/>
        <w:t>المؤسسات التي تفتقر إلى أنظمة إدارة مخاطر فعّالة غالبًا ما تواجه غرامات وتشريعات صارمة وتفقد ثقة أصحاب المصلحة، بينما تحقق المؤسسات الملتزمة ميزة تنافسية إضافية عبر تعزيز سمعتها واستقطاب الاستثمارات (صبح، 2000؛ المطيري، 2023)</w:t>
      </w:r>
      <w:r w:rsidRPr="005019F4">
        <w:rPr>
          <w:rFonts w:ascii="Sakkal Majalla" w:eastAsia="Times New Roman" w:hAnsi="Sakkal Majalla" w:cs="Sakkal Majalla"/>
          <w:sz w:val="28"/>
          <w:szCs w:val="28"/>
        </w:rPr>
        <w:t>.</w:t>
      </w:r>
    </w:p>
    <w:p w14:paraId="5F90DBE9"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خاتمة المبحث</w:t>
      </w:r>
    </w:p>
    <w:p w14:paraId="53517247"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يُظهر العرض السابق أن إدارة المخاطر ليست مجرد نشاط ثانوي أو إجراء تكميلي، بل هي إطار استراتيجي شامل يتداخل مع جميع جوانب عمل المؤسسة. فقد تناولنا في هذا المبحث تعريف إدارة المخاطر وأهميتها، ووقفنا على مفهوم البرنامج وأهدافه وخصائصه ونطاق تطبيقه. ثم استعرضنا المبادئ التي يقوم عليها مثل التنبؤ والوقاية، والشمولية والاتساق، والاستجابة السريعة والمرونة، والتحسين المستمر، وهي مبادئ جوهرية تجعل من البرنامج أداة ديناميكية قادرة على حماية المؤسسات من التهديدات المعقدة (القحطاني، 2023؛ شحاتة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بدير، 2021). كما عرضنا الخطوات العملية التي تبدأ من تحديد المخاطر مرورًا بالتحليل والتقييم ووضع خطط الاستجابة وتنفيذها، وصولاً إلى المتابعة والمراجعة الدورية، وهو ما يضمن وجود دورة متكاملة لإدارة المخاطر (المطيري، 2023؛ طاهري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شكيب، 2019</w:t>
      </w:r>
      <w:r w:rsidRPr="005019F4">
        <w:rPr>
          <w:rFonts w:ascii="Sakkal Majalla" w:eastAsia="Times New Roman" w:hAnsi="Sakkal Majalla" w:cs="Sakkal Majalla" w:hint="cs"/>
          <w:sz w:val="28"/>
          <w:szCs w:val="28"/>
          <w:rtl/>
        </w:rPr>
        <w:t>)</w:t>
      </w:r>
    </w:p>
    <w:p w14:paraId="7699F890"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كذلك تبيّن لنا أن نجاح البرنامج يتوقف على وضوح الأدوار والمسؤوليات، بدءًا من التزام الإدارة العليا، مرورًا بفرق العمل التنفيذية، وانتهاءً بدور إدارة الجودة والتدقيق الداخلي في المتابعة والتقييم (الأردن/المعهد العربي للدراسات المالية والمصرفية، 2023؛ حسانين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الحاروني، 2009). ولا يقل عن ذلك أهميةً توظيف الأدوات الحديثة مثل مصفوفة الاحتمالية والأثر، وتحليل</w:t>
      </w:r>
      <w:r w:rsidRPr="005019F4">
        <w:rPr>
          <w:rFonts w:ascii="Sakkal Majalla" w:eastAsia="Times New Roman" w:hAnsi="Sakkal Majalla" w:cs="Sakkal Majalla"/>
          <w:sz w:val="28"/>
          <w:szCs w:val="28"/>
        </w:rPr>
        <w:t xml:space="preserve"> SWOT</w:t>
      </w:r>
      <w:r w:rsidRPr="005019F4">
        <w:rPr>
          <w:rFonts w:ascii="Sakkal Majalla" w:eastAsia="Times New Roman" w:hAnsi="Sakkal Majalla" w:cs="Sakkal Majalla"/>
          <w:sz w:val="28"/>
          <w:szCs w:val="28"/>
          <w:rtl/>
        </w:rPr>
        <w:t>، وأسلوب السيناريوهات، ومؤشرات الإنذار المبكر، لما توفره من دعم علمي وعملي في اتخاذ القرارات. وعلى الرغم من التحديات مثل مقاومة التغيير، ونقص الموارد، وضعف ثقافة المخاطر، إلا أن تطبيق البرنامج يؤدي إلى فوائد واضحة تشمل حماية الأصول، تحسين جودة القرارات، ضمان استمرارية الأعمال، وتحقيق الامتثال التنظيمي (الربيعي، 2021؛ أقريقز، 2020)</w:t>
      </w:r>
      <w:r w:rsidRPr="005019F4">
        <w:rPr>
          <w:rFonts w:ascii="Sakkal Majalla" w:eastAsia="Times New Roman" w:hAnsi="Sakkal Majalla" w:cs="Sakkal Majalla"/>
          <w:sz w:val="28"/>
          <w:szCs w:val="28"/>
        </w:rPr>
        <w:t>.</w:t>
      </w:r>
    </w:p>
    <w:p w14:paraId="0BE1A64D"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tl/>
        </w:rPr>
      </w:pPr>
      <w:r w:rsidRPr="005019F4">
        <w:rPr>
          <w:rFonts w:ascii="Sakkal Majalla" w:eastAsia="Times New Roman" w:hAnsi="Sakkal Majalla" w:cs="Sakkal Majalla"/>
          <w:sz w:val="28"/>
          <w:szCs w:val="28"/>
          <w:rtl/>
        </w:rPr>
        <w:t xml:space="preserve">وبذلك، يمكن القول إن برنامج إدارة المخاطر يمثل خط الدفاع الأول عن استمرارية المنظمات، ويُشكّل الأساس الذي يُبنى عليه نجاح الممارسات المؤسسية الأخرى. ومن هنا يظهر الارتباط المباشر مع المبحث التالي </w:t>
      </w:r>
      <w:r w:rsidRPr="005019F4">
        <w:rPr>
          <w:rFonts w:ascii="Sakkal Majalla" w:eastAsia="Times New Roman" w:hAnsi="Sakkal Majalla" w:cs="Sakkal Majalla"/>
          <w:sz w:val="28"/>
          <w:szCs w:val="28"/>
          <w:rtl/>
        </w:rPr>
        <w:lastRenderedPageBreak/>
        <w:t xml:space="preserve">حول مكافحة العدوى، إذ إن برامج مكافحة العدوى في المؤسسات الصحية تمثل صورة عملية لتطبيق إدارة المخاطر على مستوى بالغ الحساسية، حيث يتعلق الأمر بصحة الإنسان وسلامته. ومن خلال هذا الربط، يتضح أن مكافحة العدوى ليست مجرد إجراءات طبية، بل هي امتداد طبيعي لبرنامج شامل لإدارة المخاطر، يعزز من قدرة المؤسسات الصحية على الوقاية من الأخطار وتحسين جودة الرعاية (المطيري، 2023؛ عثمان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آل جحني، 2023</w:t>
      </w:r>
      <w:r w:rsidRPr="005019F4">
        <w:rPr>
          <w:rFonts w:ascii="Sakkal Majalla" w:eastAsia="Times New Roman" w:hAnsi="Sakkal Majalla" w:cs="Sakkal Majalla"/>
          <w:sz w:val="28"/>
          <w:szCs w:val="28"/>
        </w:rPr>
        <w:t>).</w:t>
      </w:r>
    </w:p>
    <w:p w14:paraId="6AB5805B" w14:textId="77777777" w:rsidR="005019F4" w:rsidRPr="005019F4" w:rsidRDefault="005019F4" w:rsidP="005019F4">
      <w:pPr>
        <w:bidi/>
        <w:spacing w:after="0" w:line="360" w:lineRule="auto"/>
        <w:jc w:val="center"/>
        <w:rPr>
          <w:rFonts w:ascii="Sakkal Majalla" w:eastAsia="Calibri" w:hAnsi="Sakkal Majalla" w:cs="Sakkal Majalla"/>
          <w:b/>
          <w:bCs/>
          <w:kern w:val="2"/>
          <w:sz w:val="28"/>
          <w:szCs w:val="28"/>
          <w:rtl/>
          <w:lang w:bidi="ar-EG"/>
        </w:rPr>
      </w:pPr>
      <w:r w:rsidRPr="005019F4">
        <w:rPr>
          <w:rFonts w:ascii="Sakkal Majalla" w:eastAsia="Calibri" w:hAnsi="Sakkal Majalla" w:cs="Sakkal Majalla" w:hint="cs"/>
          <w:b/>
          <w:bCs/>
          <w:kern w:val="2"/>
          <w:sz w:val="40"/>
          <w:szCs w:val="40"/>
          <w:rtl/>
          <w:lang w:bidi="ar-EG"/>
        </w:rPr>
        <w:t>المبحث الثاني:   مكافحة العدوى</w:t>
      </w:r>
    </w:p>
    <w:p w14:paraId="500A1F97"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مقدمة عن مكافحة العدوى</w:t>
      </w:r>
    </w:p>
    <w:p w14:paraId="2F6AB95A"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تعريف مكافحة العدوى</w:t>
      </w:r>
    </w:p>
    <w:p w14:paraId="2C556ED7"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تُعرَّف مكافحة العدوى بأنها مجموعة من السياسات والإجراءات والأنشطة التي تهدف إلى منع انتقال الكائنات الدقيقة المسببة للأمراض من شخص إلى آخر أو من بيئة إلى أخرى داخل المؤسسات الصحية والمجتمعية. وتشمل هذه الإجراءات التدابير الوقائية مثل غسل اليدين، واستخدام أدوات الحماية الشخصية، والتعقيم والتطهير، والعزل عند الضرورة، إضافة إلى أنظمة المراقبة الوبائية التي تتيح رصد العدوى ومصادرها بشكل دوري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فرحات، 2017). ولا تقتصر مكافحة العدوى على المستشفيات فقط، بل تمتد إلى العيادات، والمدارس، والمجتمعات، وحتى البيئات العامة، مما يجعلها عنصرًا أساسيًا في الصحة العامة. ويشير بعض الباحثين إلى أن مكافحة العدوى ليست مجرد ممارسة تقنية بل هي منظومة متكاملة تتداخل فيها الجوانب الطبية والقانونية والشرعية والأخلاقية (محمد، 2015؛ العطار، التلباني،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شهاب، 2022</w:t>
      </w:r>
      <w:r w:rsidRPr="005019F4">
        <w:rPr>
          <w:rFonts w:ascii="Sakkal Majalla" w:eastAsia="Times New Roman" w:hAnsi="Sakkal Majalla" w:cs="Sakkal Majalla" w:hint="cs"/>
          <w:sz w:val="28"/>
          <w:szCs w:val="28"/>
          <w:rtl/>
        </w:rPr>
        <w:t>)</w:t>
      </w:r>
    </w:p>
    <w:p w14:paraId="6489E9F9"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أهميتها في المؤسسات الصحية والتعليمية والمجتمعية</w:t>
      </w:r>
    </w:p>
    <w:p w14:paraId="19E1D452"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تنبع أهمية مكافحة العدوى من كونها خط الدفاع الأول في تقليل معدلات الإصابة بالأمراض المعدية، سواء كانت تلك العدوى مكتسبة داخل المستشفيات أو منتقلة عبر المجتمع. ففي المؤسسات الصحية، تشكل </w:t>
      </w:r>
      <w:r w:rsidRPr="005019F4">
        <w:rPr>
          <w:rFonts w:ascii="Sakkal Majalla" w:eastAsia="Times New Roman" w:hAnsi="Sakkal Majalla" w:cs="Sakkal Majalla"/>
          <w:sz w:val="28"/>
          <w:szCs w:val="28"/>
          <w:rtl/>
        </w:rPr>
        <w:lastRenderedPageBreak/>
        <w:t xml:space="preserve">العدوى الاستشفائية عبئًا كبيرًا يؤدي إلى ارتفاع معدلات الوفيات وزيادة التكاليف العلاجية، وهو ما يجعل تطبيق برامج مكافحة العدوى ضرورة قصوى لضمان سلامة المرضى والعاملين على حد سواء (الصباح، مناوي،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الخراز، 2021؛</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كما أن المؤسسات التعليمية تعد بيئة خصبة لانتشار العدوى بسبب كثافة التجمعات الطلابية وتنوع الأنشطة، ما يجعل إدماج سياسات مكافحة العدوى في المدارس والجامعات أحد عوامل الوقاية الرئيسة (هيئة التحرير، 2017). وعلى المستوى المجتمعي، أثبتت جائحة كورونا أن الإجراءات الاحترازية البسيطة مثل التباعد الاجتماعي، وارتداء الكمامات، وغسل اليدين، يمكن أن تقلل بشكل كبير من سرعة انتشار العدوى، وتحافظ على استقرار الأنظمة الصحية (هادي، 2020؛ المصباحي، 2022</w:t>
      </w:r>
      <w:r w:rsidRPr="005019F4">
        <w:rPr>
          <w:rFonts w:ascii="Sakkal Majalla" w:eastAsia="Times New Roman" w:hAnsi="Sakkal Majalla" w:cs="Sakkal Majalla" w:hint="cs"/>
          <w:sz w:val="28"/>
          <w:szCs w:val="28"/>
          <w:rtl/>
        </w:rPr>
        <w:t>)</w:t>
      </w:r>
    </w:p>
    <w:p w14:paraId="079AFF9F"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sz w:val="32"/>
          <w:szCs w:val="32"/>
        </w:rPr>
      </w:pPr>
      <w:r w:rsidRPr="005019F4">
        <w:rPr>
          <w:rFonts w:ascii="Sakkal Majalla" w:eastAsia="Times New Roman" w:hAnsi="Sakkal Majalla" w:cs="Sakkal Majalla"/>
          <w:b/>
          <w:bCs/>
          <w:sz w:val="32"/>
          <w:szCs w:val="32"/>
          <w:rtl/>
        </w:rPr>
        <w:t>ثالثاً: العلاقة بين مكافحة العدوى وجودة الرعاية الصحية</w:t>
      </w:r>
    </w:p>
    <w:p w14:paraId="604D2238"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ترتبط مكافحة العدوى ارتباطًا وثيقًا بمفهوم جودة الرعاية الصحية، حيث تشكل أحد المؤشرات الجوهرية التي تُقاس بها كفاءة المؤسسات الصحية واعتمادها وفق المعايير الدولية. فالمستشفيات التي تطبق بروتوكولات فعالة لمكافحة العدوى تسجل معدلات أقل من الأخطاء الطبية والوفيات، وتحقق مستويات أعلى من رضا المرضى (الطوس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الكساسبة، 2015؛ إبراهيم، الشعراوي،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زيد، 2024). كما أن التكامل بين إدارة الجودة الشاملة ومكافحة العدوى يسهم في بناء أنظمة صحية قادرة على التكيف مع الأزمات وتقليل تكاليف التشغيل وتحقيق استدامة الخدمات (نصر الله وآخرون، 2017). ومن جانب آخر، فإن الالتزام بمكافحة العدوى يعد جزءًا من مسؤولية المؤسسات الصحية تجاه المجتمع، حيث يعكس احترامها لحق المريض في بيئة علاجية آمنة وشفافة (مختار، 2017؛</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2024</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وبذلك تصبح مكافحة العدوى ليس فقط أداة لحماية المرضى والعاملين، بل أيضًا عنصرًا أساسيًا في تحسين سمعة المؤسسات الصحية وزيادة ثقة المجتمع بها</w:t>
      </w:r>
      <w:r w:rsidRPr="005019F4">
        <w:rPr>
          <w:rFonts w:ascii="Sakkal Majalla" w:eastAsia="Times New Roman" w:hAnsi="Sakkal Majalla" w:cs="Sakkal Majalla"/>
          <w:sz w:val="28"/>
          <w:szCs w:val="28"/>
        </w:rPr>
        <w:t>.</w:t>
      </w:r>
    </w:p>
    <w:p w14:paraId="0A26A5AC"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مفهوم برنامج مكافحة العدوى</w:t>
      </w:r>
    </w:p>
    <w:p w14:paraId="07AE7D79"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الأهداف الرئيسة للبرنامج</w:t>
      </w:r>
    </w:p>
    <w:p w14:paraId="4C103118"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lastRenderedPageBreak/>
        <w:t xml:space="preserve">يهدف برنامج مكافحة العدوى إلى تقليل معدلات العدوى المكتسبة داخل المؤسسات الصحية وضمان بيئة علاجية آمنة للمرضى والعاملين والزوار على حد سواء. ويتحقق ذلك من خلال تطبيق سياسات وقائية تحد من انتقال الكائنات الدقيقة، سواء عبر التلامس المباشر، أو الأدوات الطبية، أو الهواء، أو حتى من خلال الممارسات غير السليمة في غرف العمليات وأقسام العناية المركزة (الصباح، مناوي،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الخراز، 2021؛</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كما يسعى البرنامج إلى خفض التكاليف الاقتصادية المرتبطة بانتشار العدوى، حيث إن معالجة الإصابات المكتسبة تزيد من طول فترة الإقامة بالمستشفيات وتستهلك موارد إضافية من الأدوية والمستلزمات</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Nazzal</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Al-Shawish</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وإلى جانب ذلك، يساهم البرنامج في رفع مستوى رضا المرضى وثقتهم بالخدمات المقدمة، مما يعزز السمعة المؤسسية للمستشفى أو المركز الصحي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فرحات، 2017). ولا يقتصر الهدف على الجانب العلاجي، بل يشمل أيضًا الجانب الوقائي المجتمعي، حيث تعمل برامج مكافحة العدوى على تقليل انتشار الأوبئة داخل المجتمع عبر التوعية والتثقيف الصحي (هيئة التحرير، 2017؛ هادي، 2020)</w:t>
      </w:r>
      <w:r w:rsidRPr="005019F4">
        <w:rPr>
          <w:rFonts w:ascii="Sakkal Majalla" w:eastAsia="Times New Roman" w:hAnsi="Sakkal Majalla" w:cs="Sakkal Majalla"/>
          <w:sz w:val="28"/>
          <w:szCs w:val="28"/>
        </w:rPr>
        <w:t>.</w:t>
      </w:r>
    </w:p>
    <w:p w14:paraId="24385105"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المبادئ الأساسية</w:t>
      </w:r>
    </w:p>
    <w:p w14:paraId="1F88E47E"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يقوم برنامج مكافحة العدوى على مجموعة من المبادئ الجوهرية التي تضمن نجاحه. أول هذه المبادئ هو الوقاية خير من العلاج، أي أن الإجراءات الوقائية مثل غسل اليدين، واستخدام أدوات الحماية الشخصية، والتعقيم الدوري للأدوات الطبية، هي الأساس في منع انتقال العدوى</w:t>
      </w:r>
      <w:r w:rsidRPr="005019F4">
        <w:rPr>
          <w:rFonts w:ascii="Sakkal Majalla" w:eastAsia="Times New Roman" w:hAnsi="Sakkal Majalla" w:cs="Sakkal Majalla"/>
          <w:sz w:val="28"/>
          <w:szCs w:val="28"/>
        </w:rPr>
        <w:t xml:space="preserve"> (Nour &amp; </w:t>
      </w:r>
      <w:proofErr w:type="spellStart"/>
      <w:r w:rsidRPr="005019F4">
        <w:rPr>
          <w:rFonts w:ascii="Sakkal Majalla" w:eastAsia="Times New Roman" w:hAnsi="Sakkal Majalla" w:cs="Sakkal Majalla"/>
          <w:sz w:val="28"/>
          <w:szCs w:val="28"/>
        </w:rPr>
        <w:t>Nasor</w:t>
      </w:r>
      <w:proofErr w:type="spellEnd"/>
      <w:r w:rsidRPr="005019F4">
        <w:rPr>
          <w:rFonts w:ascii="Sakkal Majalla" w:eastAsia="Times New Roman" w:hAnsi="Sakkal Majalla" w:cs="Sakkal Majalla"/>
          <w:sz w:val="28"/>
          <w:szCs w:val="28"/>
          <w:rtl/>
        </w:rPr>
        <w:t>، 2015؛</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Al-Sakarneh</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وآخرون، 2016). أما المبدأ الثاني فهو الالتزام بمعايير الجودة، إذ إن مكافحة العدوى جزء لا يتجزأ من نظام إدارة الجودة الشاملة في المؤسسات الصحية، ويُعد أحد معايير الاعتماد الدولية للمستشفيات (الطوس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الكساسبة، 2015؛ نصر الله وآخرون، 2017). ويأتي المبدأ الثالث متمثلًا في المسؤولية المشتركة، حيث لا يقتصر البرنامج على الطاقم الطبي فحسب، بل يشمل جميع العاملين في المؤسسة الصحية، إضافة إلى المرضى والزوار الذين يجب توعيتهم بدورهم في الوقاية (مختار، 2017). ومن المبادئ الأساسية كذلك المراجعة والتحسين المستمر، فكل حادثة عدوى أو فشل في الإجراءات ينبغي أن تُستثمر كفرصة لاستخلاص الدروس وتحسين الأداء المستقبلي</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2024؛ المصباحي، 2022</w:t>
      </w:r>
      <w:r w:rsidRPr="005019F4">
        <w:rPr>
          <w:rFonts w:ascii="Sakkal Majalla" w:eastAsia="Times New Roman" w:hAnsi="Sakkal Majalla" w:cs="Sakkal Majalla" w:hint="cs"/>
          <w:sz w:val="28"/>
          <w:szCs w:val="28"/>
          <w:rtl/>
        </w:rPr>
        <w:t>)</w:t>
      </w:r>
    </w:p>
    <w:p w14:paraId="61B267AD"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lastRenderedPageBreak/>
        <w:t>ثالثاً: النطاق والتطبيق في المؤسسات الصحية</w:t>
      </w:r>
    </w:p>
    <w:p w14:paraId="144030A4"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يتسم نطاق برنامج مكافحة العدوى بالاتساع والشمولية، حيث يُطبق على جميع أقسام المستشفى بدءًا من غرف العمليات التي تتطلب أعلى مستويات التعقيم، مرورًا بأقسام العناية المركزة والطوارئ، وصولاً إلى العيادات الخارجية وأماكن انتظار المرضى</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tl/>
        </w:rPr>
        <w:t xml:space="preserve">، </w:t>
      </w:r>
      <w:proofErr w:type="spellStart"/>
      <w:r w:rsidRPr="005019F4">
        <w:rPr>
          <w:rFonts w:ascii="Sakkal Majalla" w:eastAsia="Times New Roman" w:hAnsi="Sakkal Majalla" w:cs="Sakkal Majalla"/>
          <w:sz w:val="28"/>
          <w:szCs w:val="28"/>
        </w:rPr>
        <w:t>Ghenbazi</w:t>
      </w:r>
      <w:proofErr w:type="spellEnd"/>
      <w:r w:rsidRPr="005019F4">
        <w:rPr>
          <w:rFonts w:ascii="Sakkal Majalla" w:eastAsia="Times New Roman" w:hAnsi="Sakkal Majalla" w:cs="Sakkal Majalla"/>
          <w:sz w:val="28"/>
          <w:szCs w:val="28"/>
          <w:rtl/>
        </w:rPr>
        <w:t xml:space="preserve">، </w:t>
      </w:r>
      <w:r w:rsidRPr="005019F4">
        <w:rPr>
          <w:rFonts w:ascii="Sakkal Majalla" w:eastAsia="Times New Roman" w:hAnsi="Sakkal Majalla" w:cs="Sakkal Majalla"/>
          <w:sz w:val="28"/>
          <w:szCs w:val="28"/>
        </w:rPr>
        <w:t xml:space="preserve">&amp; </w:t>
      </w:r>
      <w:proofErr w:type="spellStart"/>
      <w:r w:rsidRPr="005019F4">
        <w:rPr>
          <w:rFonts w:ascii="Sakkal Majalla" w:eastAsia="Times New Roman" w:hAnsi="Sakkal Majalla" w:cs="Sakkal Majalla"/>
          <w:sz w:val="28"/>
          <w:szCs w:val="28"/>
        </w:rPr>
        <w:t>Lati</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كما يُطبق في أقسام متخصصة مثل عيادات الأسنان التي تُعد من أكثر البيئات عرضة لنقل العدوى إذا لم تُتبع فيها سياسات صارمة (الصباح وآخرون، 2021). ويتجاوز النطاق الإطار العلاجي ليشمل أيضًا إدارة النفايات الطبية ووسائل التخلص الآمن منها، وهو ما يشكل خط دفاع إضافيًا للحد من المخاطر البيئية المرتبطة بالعدوى</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Elnour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2015</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وتحرص بعض الأنظمة الصحية الحديثة على دمج برنامج مكافحة العدوى ضمن خطط الطوارئ والأزمات، بحيث يصبح جزءًا من الاستجابة المؤسسية الشاملة للأوبئة والكوارث الصحية كما حدث خلال جائحة كورونا</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هادي، 2020؛</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2024</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ومن ثم فإن نطاق البرنامج لا يقتصر على الإجراءات التقنية فقط، بل يتعداها إلى صياغة سياسات تشريعية وتنظيمية، وتدريب العاملين، وتثقيف المرضى والزوار، ليكون برنامجًا متكاملاً يحقق استدامة بيئة الرعاية الصحية</w:t>
      </w:r>
      <w:r w:rsidRPr="005019F4">
        <w:rPr>
          <w:rFonts w:ascii="Sakkal Majalla" w:eastAsia="Times New Roman" w:hAnsi="Sakkal Majalla" w:cs="Sakkal Majalla"/>
          <w:sz w:val="28"/>
          <w:szCs w:val="28"/>
        </w:rPr>
        <w:t>.</w:t>
      </w:r>
    </w:p>
    <w:p w14:paraId="7D96C06B"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28"/>
          <w:szCs w:val="28"/>
        </w:rPr>
      </w:pPr>
      <w:r w:rsidRPr="005019F4">
        <w:rPr>
          <w:rFonts w:ascii="Sakkal Majalla" w:eastAsia="Times New Roman" w:hAnsi="Sakkal Majalla" w:cs="Sakkal Majalla"/>
          <w:b/>
          <w:bCs/>
          <w:sz w:val="28"/>
          <w:szCs w:val="28"/>
          <w:rtl/>
        </w:rPr>
        <w:t>مصادر العدوى وطرق انتقالها</w:t>
      </w:r>
    </w:p>
    <w:p w14:paraId="1B60B598"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28"/>
          <w:szCs w:val="28"/>
        </w:rPr>
      </w:pPr>
      <w:r w:rsidRPr="005019F4">
        <w:rPr>
          <w:rFonts w:ascii="Sakkal Majalla" w:eastAsia="Times New Roman" w:hAnsi="Sakkal Majalla" w:cs="Sakkal Majalla"/>
          <w:b/>
          <w:bCs/>
          <w:sz w:val="28"/>
          <w:szCs w:val="28"/>
          <w:rtl/>
        </w:rPr>
        <w:t xml:space="preserve">أولاً: العدوى المكتسبة من المستشفيات </w:t>
      </w:r>
      <w:r w:rsidRPr="005019F4">
        <w:rPr>
          <w:rFonts w:ascii="Sakkal Majalla" w:eastAsia="Times New Roman" w:hAnsi="Sakkal Majalla" w:cs="Sakkal Majalla"/>
          <w:b/>
          <w:bCs/>
          <w:sz w:val="28"/>
          <w:szCs w:val="28"/>
        </w:rPr>
        <w:t>(Hospital-acquired infections)</w:t>
      </w:r>
    </w:p>
    <w:p w14:paraId="68235146"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تُعرَّف العدوى المكتسبة من المستشفيات بأنها تلك الإصابات التي يتعرض لها المرضى بعد دخولهم المستشفى أو المؤسسة الصحية ولم تكن موجودة عند وقت القبول. وتشكل هذه العدوى أحد أخطر التحديات التي تواجه الأنظمة الصحية، إذ ترتبط بارتفاع معدلات المراضة والوفيات، إضافة إلى تكاليف اقتصادية هائلة تتحملها المستشفيات والمرضى على حد سواء</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Nazzal</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Al-Shawish</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وقد أثبتت الدراسات أن أقسام العناية المركزة تُعدّ بؤرة رئيسة لانتشار العدوى نظرًا لشدة الحالات المرضية واستخدام الأجهزة الطبية المعقدة مثل أجهزة التنفس الصناعي والقساطر الوريدية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وآخرون، 2024). وفي عيادات الأسنان، وُجد أن غياب تطبيق بروتوكولات مكافحة العدوى يؤدي إلى ارتفاع معدلات العدوى المتصالبة بين المرضى والعاملين (الصباح، مناوي،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الخراز، 2021). كما أن انتشار الميكروبات </w:t>
      </w:r>
      <w:r w:rsidRPr="005019F4">
        <w:rPr>
          <w:rFonts w:ascii="Sakkal Majalla" w:eastAsia="Times New Roman" w:hAnsi="Sakkal Majalla" w:cs="Sakkal Majalla"/>
          <w:sz w:val="28"/>
          <w:szCs w:val="28"/>
          <w:rtl/>
        </w:rPr>
        <w:lastRenderedPageBreak/>
        <w:t>المقاومة للمضادات الحيوية داخل المستشفيات يمثل تهديدًا إضافيًا يزيد من صعوبة العلاج ويطيل مدة الإقامة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Ghenbazi</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Lati</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وبذلك فإن العدوى المكتسبة في المستشفيات ليست مشكلة طبية فحسب، بل هي قضية </w:t>
      </w:r>
      <w:r w:rsidRPr="005019F4">
        <w:rPr>
          <w:rFonts w:ascii="Sakkal Majalla" w:eastAsia="Times New Roman" w:hAnsi="Sakkal Majalla" w:cs="Sakkal Majalla"/>
          <w:b/>
          <w:bCs/>
          <w:sz w:val="28"/>
          <w:szCs w:val="28"/>
          <w:rtl/>
        </w:rPr>
        <w:t>جودة وسلامة</w:t>
      </w:r>
      <w:r w:rsidRPr="005019F4">
        <w:rPr>
          <w:rFonts w:ascii="Sakkal Majalla" w:eastAsia="Times New Roman" w:hAnsi="Sakkal Majalla" w:cs="Sakkal Majalla"/>
          <w:sz w:val="28"/>
          <w:szCs w:val="28"/>
          <w:rtl/>
        </w:rPr>
        <w:t xml:space="preserve"> تضعف ثقة المجتمع بالمؤسسات الصحية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فرحات، 2017</w:t>
      </w:r>
      <w:r w:rsidRPr="005019F4">
        <w:rPr>
          <w:rFonts w:ascii="Sakkal Majalla" w:eastAsia="Times New Roman" w:hAnsi="Sakkal Majalla" w:cs="Sakkal Majalla" w:hint="cs"/>
          <w:sz w:val="28"/>
          <w:szCs w:val="28"/>
          <w:rtl/>
        </w:rPr>
        <w:t>)</w:t>
      </w:r>
    </w:p>
    <w:p w14:paraId="2DF1C817"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طرق الانتقال</w:t>
      </w:r>
    </w:p>
    <w:p w14:paraId="2F95F625"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تنتقل العدوى عبر مسارات متعددة، ويُعد فهمها بدقة أمرًا أساسيًا لتصميم استراتيجيات فعالة للوقاية</w:t>
      </w:r>
      <w:r w:rsidRPr="005019F4">
        <w:rPr>
          <w:rFonts w:ascii="Sakkal Majalla" w:eastAsia="Times New Roman" w:hAnsi="Sakkal Majalla" w:cs="Sakkal Majalla"/>
          <w:sz w:val="28"/>
          <w:szCs w:val="28"/>
        </w:rPr>
        <w:t>.</w:t>
      </w:r>
    </w:p>
    <w:p w14:paraId="2710B07A" w14:textId="77777777" w:rsidR="005019F4" w:rsidRPr="005019F4" w:rsidRDefault="005019F4" w:rsidP="00F634A6">
      <w:pPr>
        <w:numPr>
          <w:ilvl w:val="0"/>
          <w:numId w:val="39"/>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التلامس المباشر وغير المباشر</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يُعتبر من أكثر طرق الانتقال شيوعًا، حيث تنتقل الميكروبات عبر اللمس المباشر بين المريض والعامل الصحي أو عبر الأسطح والأدوات الملوثة. وقد أثبتت الدراسات أن ضعف الالتزام بغسل اليدين يمثل العامل الأكبر في هذا النمط من الانتقال</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Al-Sakarneh</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2016؛</w:t>
      </w:r>
      <w:r w:rsidRPr="005019F4">
        <w:rPr>
          <w:rFonts w:ascii="Sakkal Majalla" w:eastAsia="Times New Roman" w:hAnsi="Sakkal Majalla" w:cs="Sakkal Majalla"/>
          <w:sz w:val="28"/>
          <w:szCs w:val="28"/>
        </w:rPr>
        <w:t xml:space="preserve"> Nour &amp; </w:t>
      </w:r>
      <w:proofErr w:type="spellStart"/>
      <w:r w:rsidRPr="005019F4">
        <w:rPr>
          <w:rFonts w:ascii="Sakkal Majalla" w:eastAsia="Times New Roman" w:hAnsi="Sakkal Majalla" w:cs="Sakkal Majalla"/>
          <w:sz w:val="28"/>
          <w:szCs w:val="28"/>
        </w:rPr>
        <w:t>Nasor</w:t>
      </w:r>
      <w:proofErr w:type="spellEnd"/>
      <w:r w:rsidRPr="005019F4">
        <w:rPr>
          <w:rFonts w:ascii="Sakkal Majalla" w:eastAsia="Times New Roman" w:hAnsi="Sakkal Majalla" w:cs="Sakkal Majalla"/>
          <w:sz w:val="28"/>
          <w:szCs w:val="28"/>
          <w:rtl/>
        </w:rPr>
        <w:t>، 2015</w:t>
      </w:r>
      <w:r w:rsidRPr="005019F4">
        <w:rPr>
          <w:rFonts w:ascii="Sakkal Majalla" w:eastAsia="Times New Roman" w:hAnsi="Sakkal Majalla" w:cs="Sakkal Majalla"/>
          <w:sz w:val="28"/>
          <w:szCs w:val="28"/>
        </w:rPr>
        <w:t>).</w:t>
      </w:r>
    </w:p>
    <w:p w14:paraId="464EF34A" w14:textId="77777777" w:rsidR="005019F4" w:rsidRPr="005019F4" w:rsidRDefault="005019F4" w:rsidP="00F634A6">
      <w:pPr>
        <w:numPr>
          <w:ilvl w:val="0"/>
          <w:numId w:val="39"/>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الرذاذ التنفسي</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ينتقل عبر العطس والسعال، ويزداد خطره في البيئات المكتظة مثل المدارس والعيادات الخارجية. وقد برهنت جائحة كورونا على قدرة الرذاذ على نقل الفيروسات بشكل سريع وواسع النطاق، مما يجعل الكمامات والتباعد الاجتماعي من أهم وسائل الحد منه (هادي، 2020؛ المصباحي، 2022)</w:t>
      </w:r>
      <w:r w:rsidRPr="005019F4">
        <w:rPr>
          <w:rFonts w:ascii="Sakkal Majalla" w:eastAsia="Times New Roman" w:hAnsi="Sakkal Majalla" w:cs="Sakkal Majalla"/>
          <w:sz w:val="28"/>
          <w:szCs w:val="28"/>
        </w:rPr>
        <w:t>.</w:t>
      </w:r>
    </w:p>
    <w:p w14:paraId="5DD835D9" w14:textId="77777777" w:rsidR="005019F4" w:rsidRPr="005019F4" w:rsidRDefault="005019F4" w:rsidP="00F634A6">
      <w:pPr>
        <w:numPr>
          <w:ilvl w:val="0"/>
          <w:numId w:val="39"/>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الانتقال عبر الهواء</w:t>
      </w:r>
      <w:r w:rsidRPr="005019F4">
        <w:rPr>
          <w:rFonts w:ascii="Sakkal Majalla" w:eastAsia="Times New Roman" w:hAnsi="Sakkal Majalla" w:cs="Sakkal Majalla"/>
          <w:b/>
          <w:bCs/>
          <w:sz w:val="28"/>
          <w:szCs w:val="28"/>
        </w:rPr>
        <w:t xml:space="preserve"> (Airborne):</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بعض الميكروبات مثل الدرن يمكن أن تبقى عالقة في الهواء لفترات طويلة وتنتقل لمسافات بعيدة، مما يتطلب أنظمة تهوية متطورة وغرف عزل خاصة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Kanaan</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Shahin</w:t>
      </w:r>
      <w:proofErr w:type="spellEnd"/>
      <w:r w:rsidRPr="005019F4">
        <w:rPr>
          <w:rFonts w:ascii="Sakkal Majalla" w:eastAsia="Times New Roman" w:hAnsi="Sakkal Majalla" w:cs="Sakkal Majalla"/>
          <w:sz w:val="28"/>
          <w:szCs w:val="28"/>
          <w:rtl/>
        </w:rPr>
        <w:t>، 1998؛</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2024</w:t>
      </w:r>
      <w:r w:rsidRPr="005019F4">
        <w:rPr>
          <w:rFonts w:ascii="Sakkal Majalla" w:eastAsia="Times New Roman" w:hAnsi="Sakkal Majalla" w:cs="Sakkal Majalla"/>
          <w:sz w:val="28"/>
          <w:szCs w:val="28"/>
        </w:rPr>
        <w:t>).</w:t>
      </w:r>
    </w:p>
    <w:p w14:paraId="4A96A91D" w14:textId="77777777" w:rsidR="005019F4" w:rsidRPr="005019F4" w:rsidRDefault="005019F4" w:rsidP="00F634A6">
      <w:pPr>
        <w:numPr>
          <w:ilvl w:val="0"/>
          <w:numId w:val="39"/>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الأدوات الملوثة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مثل الحقن، والقساطر، وأجهزة التنفس الصناعي، وهي من أبرز مصادر العدوى في وحدات العناية المركزة. وتشير البحوث إلى أن الاستخدام غير الآمن للأدوات الطبية مسؤول عن نسب مرتفعة من الإصابات في الدول النامية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2024؛</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sz w:val="28"/>
          <w:szCs w:val="28"/>
        </w:rPr>
        <w:t>).</w:t>
      </w:r>
    </w:p>
    <w:p w14:paraId="10E28ADD"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lastRenderedPageBreak/>
        <w:t>ثالثاً: عوامل الخطر المؤثرة في انتشار العدوى</w:t>
      </w:r>
    </w:p>
    <w:p w14:paraId="5DF60525"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تتعدد عوامل الخطر التي تزيد من احتمالية انتشار العدوى داخل المؤسسات الصحية والمجتمعية</w:t>
      </w:r>
      <w:r w:rsidRPr="005019F4">
        <w:rPr>
          <w:rFonts w:ascii="Sakkal Majalla" w:eastAsia="Times New Roman" w:hAnsi="Sakkal Majalla" w:cs="Sakkal Majalla"/>
          <w:sz w:val="28"/>
          <w:szCs w:val="28"/>
        </w:rPr>
        <w:t>.</w:t>
      </w:r>
    </w:p>
    <w:p w14:paraId="42303382" w14:textId="77777777" w:rsidR="005019F4" w:rsidRPr="005019F4" w:rsidRDefault="005019F4" w:rsidP="00F634A6">
      <w:pPr>
        <w:numPr>
          <w:ilvl w:val="0"/>
          <w:numId w:val="40"/>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ضعف الالتزام بالإجراءات الوقائية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مثل عدم غسل اليدين أو سوء استخدام أدوات الوقاية الشخصية، وقد أظهرت الدراسات في السودان أن قصور معرفة الممرضات والقابلات بممارسات مكافحة العدوى في غرف الولادة يسهم في ارتفاع معدلات العدوى</w:t>
      </w:r>
      <w:r w:rsidRPr="005019F4">
        <w:rPr>
          <w:rFonts w:ascii="Sakkal Majalla" w:eastAsia="Times New Roman" w:hAnsi="Sakkal Majalla" w:cs="Sakkal Majalla"/>
          <w:sz w:val="28"/>
          <w:szCs w:val="28"/>
        </w:rPr>
        <w:t xml:space="preserve"> (Nour &amp; </w:t>
      </w:r>
      <w:proofErr w:type="spellStart"/>
      <w:r w:rsidRPr="005019F4">
        <w:rPr>
          <w:rFonts w:ascii="Sakkal Majalla" w:eastAsia="Times New Roman" w:hAnsi="Sakkal Majalla" w:cs="Sakkal Majalla"/>
          <w:sz w:val="28"/>
          <w:szCs w:val="28"/>
        </w:rPr>
        <w:t>Nasor</w:t>
      </w:r>
      <w:proofErr w:type="spellEnd"/>
      <w:r w:rsidRPr="005019F4">
        <w:rPr>
          <w:rFonts w:ascii="Sakkal Majalla" w:eastAsia="Times New Roman" w:hAnsi="Sakkal Majalla" w:cs="Sakkal Majalla"/>
          <w:sz w:val="28"/>
          <w:szCs w:val="28"/>
          <w:rtl/>
        </w:rPr>
        <w:t>، 2015؛</w:t>
      </w:r>
      <w:r w:rsidRPr="005019F4">
        <w:rPr>
          <w:rFonts w:ascii="Sakkal Majalla" w:eastAsia="Times New Roman" w:hAnsi="Sakkal Majalla" w:cs="Sakkal Majalla"/>
          <w:sz w:val="28"/>
          <w:szCs w:val="28"/>
        </w:rPr>
        <w:t xml:space="preserve"> Ahmed &amp; </w:t>
      </w:r>
      <w:proofErr w:type="spellStart"/>
      <w:r w:rsidRPr="005019F4">
        <w:rPr>
          <w:rFonts w:ascii="Sakkal Majalla" w:eastAsia="Times New Roman" w:hAnsi="Sakkal Majalla" w:cs="Sakkal Majalla"/>
          <w:sz w:val="28"/>
          <w:szCs w:val="28"/>
        </w:rPr>
        <w:t>Yosif</w:t>
      </w:r>
      <w:proofErr w:type="spellEnd"/>
      <w:r w:rsidRPr="005019F4">
        <w:rPr>
          <w:rFonts w:ascii="Sakkal Majalla" w:eastAsia="Times New Roman" w:hAnsi="Sakkal Majalla" w:cs="Sakkal Majalla"/>
          <w:sz w:val="28"/>
          <w:szCs w:val="28"/>
          <w:rtl/>
        </w:rPr>
        <w:t>، 2019</w:t>
      </w:r>
      <w:r w:rsidRPr="005019F4">
        <w:rPr>
          <w:rFonts w:ascii="Sakkal Majalla" w:eastAsia="Times New Roman" w:hAnsi="Sakkal Majalla" w:cs="Sakkal Majalla" w:hint="cs"/>
          <w:sz w:val="28"/>
          <w:szCs w:val="28"/>
          <w:rtl/>
        </w:rPr>
        <w:t>)</w:t>
      </w:r>
    </w:p>
    <w:p w14:paraId="4E34DE9D" w14:textId="77777777" w:rsidR="005019F4" w:rsidRPr="005019F4" w:rsidRDefault="005019F4" w:rsidP="00F634A6">
      <w:pPr>
        <w:numPr>
          <w:ilvl w:val="0"/>
          <w:numId w:val="40"/>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الاكتظاظ وضعف البنية التحتية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حيث تؤدي الكثافة العالية للمرضى في المستشفيات إلى تقليل فعالية التدابير الوقائية وزيادة فرص انتقال الميكروبات</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مختار، 2017؛</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Elnour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2015</w:t>
      </w:r>
      <w:r w:rsidRPr="005019F4">
        <w:rPr>
          <w:rFonts w:ascii="Sakkal Majalla" w:eastAsia="Times New Roman" w:hAnsi="Sakkal Majalla" w:cs="Sakkal Majalla"/>
          <w:sz w:val="28"/>
          <w:szCs w:val="28"/>
        </w:rPr>
        <w:t>).</w:t>
      </w:r>
    </w:p>
    <w:p w14:paraId="5D4D0573" w14:textId="77777777" w:rsidR="005019F4" w:rsidRPr="005019F4" w:rsidRDefault="005019F4" w:rsidP="00F634A6">
      <w:pPr>
        <w:numPr>
          <w:ilvl w:val="0"/>
          <w:numId w:val="40"/>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مقاومة الميكروبات للمضادات الحيوية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تُعد من أخطر العوامل الحديثة، إذ تجعل العدوى أكثر استعصاءً على العلاج وتفرض أعباء مضاعفة على النظم الصحية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2024</w:t>
      </w:r>
      <w:r w:rsidRPr="005019F4">
        <w:rPr>
          <w:rFonts w:ascii="Sakkal Majalla" w:eastAsia="Times New Roman" w:hAnsi="Sakkal Majalla" w:cs="Sakkal Majalla" w:hint="cs"/>
          <w:sz w:val="28"/>
          <w:szCs w:val="28"/>
          <w:rtl/>
        </w:rPr>
        <w:t>)</w:t>
      </w:r>
    </w:p>
    <w:p w14:paraId="6ED6F380" w14:textId="77777777" w:rsidR="005019F4" w:rsidRPr="005019F4" w:rsidRDefault="005019F4" w:rsidP="00F634A6">
      <w:pPr>
        <w:numPr>
          <w:ilvl w:val="0"/>
          <w:numId w:val="40"/>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العوامل البشرية والسلوكية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مثل ضعف التدريب أو الإهمال أو غياب ثقافة السلامة، وقد أكدت دراسات عدة أن نجاح برامج مكافحة العدوى يعتمد بدرجة كبيرة على رفع وعي العاملين والمرضى والزوار</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نصر الله وآخرون، 2017؛</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2024</w:t>
      </w:r>
      <w:r w:rsidRPr="005019F4">
        <w:rPr>
          <w:rFonts w:ascii="Sakkal Majalla" w:eastAsia="Times New Roman" w:hAnsi="Sakkal Majalla" w:cs="Sakkal Majalla" w:hint="cs"/>
          <w:sz w:val="28"/>
          <w:szCs w:val="28"/>
          <w:rtl/>
        </w:rPr>
        <w:t>)</w:t>
      </w:r>
    </w:p>
    <w:p w14:paraId="474876D3" w14:textId="77777777" w:rsidR="005019F4" w:rsidRPr="005019F4" w:rsidRDefault="005019F4" w:rsidP="00F634A6">
      <w:pPr>
        <w:numPr>
          <w:ilvl w:val="0"/>
          <w:numId w:val="40"/>
        </w:num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b/>
          <w:bCs/>
          <w:sz w:val="28"/>
          <w:szCs w:val="28"/>
          <w:rtl/>
        </w:rPr>
        <w:t>الأزمات الوبائية والطوارئ الصحية</w:t>
      </w:r>
      <w:r w:rsidRPr="005019F4">
        <w:rPr>
          <w:rFonts w:ascii="Sakkal Majalla" w:eastAsia="Times New Roman" w:hAnsi="Sakkal Majalla" w:cs="Sakkal Majalla"/>
          <w:b/>
          <w:bCs/>
          <w:sz w:val="28"/>
          <w:szCs w:val="28"/>
        </w:rPr>
        <w:t>:</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مثل جائحة كورونا التي كشفت عن هشاشة بعض الأنظمة الصحية في مواجهة الانتشار السريع للعدوى، وأظهرت الحاجة إلى خطط طوارئ محكمة</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هادي، 2020؛</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2021</w:t>
      </w:r>
      <w:r w:rsidRPr="005019F4">
        <w:rPr>
          <w:rFonts w:ascii="Sakkal Majalla" w:eastAsia="Times New Roman" w:hAnsi="Sakkal Majalla" w:cs="Sakkal Majalla" w:hint="cs"/>
          <w:sz w:val="28"/>
          <w:szCs w:val="28"/>
          <w:rtl/>
        </w:rPr>
        <w:t>)</w:t>
      </w:r>
    </w:p>
    <w:p w14:paraId="42036A46"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استراتيجيات مكافحة العدوى</w:t>
      </w:r>
    </w:p>
    <w:p w14:paraId="1810CF4E"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الوقاية العامة (غسل اليدين، التعقيم، التطهير)</w:t>
      </w:r>
    </w:p>
    <w:p w14:paraId="57EDAEF0"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تُعد الوقاية العامة حجر الأساس في برامج مكافحة العدوى، حيث يقوم معظم الباحثين على التأكيد أن </w:t>
      </w:r>
      <w:r w:rsidRPr="005019F4">
        <w:rPr>
          <w:rFonts w:ascii="Sakkal Majalla" w:eastAsia="Times New Roman" w:hAnsi="Sakkal Majalla" w:cs="Sakkal Majalla"/>
          <w:b/>
          <w:bCs/>
          <w:sz w:val="28"/>
          <w:szCs w:val="28"/>
          <w:rtl/>
        </w:rPr>
        <w:t>غسل اليدين</w:t>
      </w:r>
      <w:r w:rsidRPr="005019F4">
        <w:rPr>
          <w:rFonts w:ascii="Sakkal Majalla" w:eastAsia="Times New Roman" w:hAnsi="Sakkal Majalla" w:cs="Sakkal Majalla"/>
          <w:sz w:val="28"/>
          <w:szCs w:val="28"/>
          <w:rtl/>
        </w:rPr>
        <w:t xml:space="preserve"> يمثل الخطوة الأكثر فاعلية والأقل تكلفة في الحد من انتقال الميكروبات. وقد بينت دراسات </w:t>
      </w:r>
      <w:r w:rsidRPr="005019F4">
        <w:rPr>
          <w:rFonts w:ascii="Sakkal Majalla" w:eastAsia="Times New Roman" w:hAnsi="Sakkal Majalla" w:cs="Sakkal Majalla"/>
          <w:sz w:val="28"/>
          <w:szCs w:val="28"/>
          <w:rtl/>
        </w:rPr>
        <w:lastRenderedPageBreak/>
        <w:t>متعددة أن الالتزام بغسل اليدين بالصابون أو المطهرات الكحولية يقلل بشكل ملحوظ من معدلات العدوى داخل المستشفى ات، وخاصة في أقسام العناية المركزة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Al-Sakarneh</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2016؛</w:t>
      </w:r>
      <w:r w:rsidRPr="005019F4">
        <w:rPr>
          <w:rFonts w:ascii="Sakkal Majalla" w:eastAsia="Times New Roman" w:hAnsi="Sakkal Majalla" w:cs="Sakkal Majalla"/>
          <w:sz w:val="28"/>
          <w:szCs w:val="28"/>
        </w:rPr>
        <w:t xml:space="preserve"> Nour &amp; </w:t>
      </w:r>
      <w:proofErr w:type="spellStart"/>
      <w:r w:rsidRPr="005019F4">
        <w:rPr>
          <w:rFonts w:ascii="Sakkal Majalla" w:eastAsia="Times New Roman" w:hAnsi="Sakkal Majalla" w:cs="Sakkal Majalla"/>
          <w:sz w:val="28"/>
          <w:szCs w:val="28"/>
        </w:rPr>
        <w:t>Nasor</w:t>
      </w:r>
      <w:proofErr w:type="spellEnd"/>
      <w:r w:rsidRPr="005019F4">
        <w:rPr>
          <w:rFonts w:ascii="Sakkal Majalla" w:eastAsia="Times New Roman" w:hAnsi="Sakkal Majalla" w:cs="Sakkal Majalla"/>
          <w:sz w:val="28"/>
          <w:szCs w:val="28"/>
          <w:rtl/>
        </w:rPr>
        <w:t>، 2015</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كما يُعد </w:t>
      </w:r>
      <w:r w:rsidRPr="005019F4">
        <w:rPr>
          <w:rFonts w:ascii="Sakkal Majalla" w:eastAsia="Times New Roman" w:hAnsi="Sakkal Majalla" w:cs="Sakkal Majalla"/>
          <w:b/>
          <w:bCs/>
          <w:sz w:val="28"/>
          <w:szCs w:val="28"/>
          <w:rtl/>
        </w:rPr>
        <w:t>التعقيم والتطهير</w:t>
      </w:r>
      <w:r w:rsidRPr="005019F4">
        <w:rPr>
          <w:rFonts w:ascii="Sakkal Majalla" w:eastAsia="Times New Roman" w:hAnsi="Sakkal Majalla" w:cs="Sakkal Majalla"/>
          <w:sz w:val="28"/>
          <w:szCs w:val="28"/>
          <w:rtl/>
        </w:rPr>
        <w:t xml:space="preserve"> المستمر للأدوات الطبية والأسطح البيئية عنصرًا لا غنى عنه، إذ إن الأسطح الملوثة تُعتبر أحد أهم مصادر العدوى المكتسبة داخل المستشفيات </w:t>
      </w:r>
      <w:r w:rsidRPr="005019F4">
        <w:rPr>
          <w:rFonts w:ascii="Sakkal Majalla" w:eastAsia="Times New Roman" w:hAnsi="Sakkal Majalla" w:cs="Sakkal Majalla"/>
          <w:sz w:val="28"/>
          <w:szCs w:val="28"/>
        </w:rPr>
        <w:t>(</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ومن الجدير بالذكر أن جائحة كورونا أعادت إبراز قيمة هذه التدابير العامة مثل ارتداء الكمامات، والتباعد الاجتماعي، وتعقيم اليدين كوسائل وقاية فعالة على مستوى المجتمع أيضًا (هادي، 2020؛ المصباحي، 2022</w:t>
      </w:r>
      <w:r w:rsidRPr="005019F4">
        <w:rPr>
          <w:rFonts w:ascii="Sakkal Majalla" w:eastAsia="Times New Roman" w:hAnsi="Sakkal Majalla" w:cs="Sakkal Majalla" w:hint="cs"/>
          <w:sz w:val="28"/>
          <w:szCs w:val="28"/>
          <w:rtl/>
        </w:rPr>
        <w:t>)</w:t>
      </w:r>
    </w:p>
    <w:p w14:paraId="545D1197"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الوقاية الخاصة (العزل، أدوات الوقاية الشخصية)</w:t>
      </w:r>
    </w:p>
    <w:p w14:paraId="1178B6FC"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عندما لا تكفي التدابير العامة وحدها، يتم اللجوء إلى </w:t>
      </w:r>
      <w:r w:rsidRPr="005019F4">
        <w:rPr>
          <w:rFonts w:ascii="Sakkal Majalla" w:eastAsia="Times New Roman" w:hAnsi="Sakkal Majalla" w:cs="Sakkal Majalla"/>
          <w:b/>
          <w:bCs/>
          <w:sz w:val="28"/>
          <w:szCs w:val="28"/>
          <w:rtl/>
        </w:rPr>
        <w:t>الوقاية الخاصة</w:t>
      </w:r>
      <w:r w:rsidRPr="005019F4">
        <w:rPr>
          <w:rFonts w:ascii="Sakkal Majalla" w:eastAsia="Times New Roman" w:hAnsi="Sakkal Majalla" w:cs="Sakkal Majalla"/>
          <w:sz w:val="28"/>
          <w:szCs w:val="28"/>
          <w:rtl/>
        </w:rPr>
        <w:t xml:space="preserve"> التي تشمل إجراءات أكثر صرامة. ويأتي في مقدمتها </w:t>
      </w:r>
      <w:r w:rsidRPr="005019F4">
        <w:rPr>
          <w:rFonts w:ascii="Sakkal Majalla" w:eastAsia="Times New Roman" w:hAnsi="Sakkal Majalla" w:cs="Sakkal Majalla"/>
          <w:b/>
          <w:bCs/>
          <w:sz w:val="28"/>
          <w:szCs w:val="28"/>
          <w:rtl/>
        </w:rPr>
        <w:t>العزل</w:t>
      </w:r>
      <w:r w:rsidRPr="005019F4">
        <w:rPr>
          <w:rFonts w:ascii="Sakkal Majalla" w:eastAsia="Times New Roman" w:hAnsi="Sakkal Majalla" w:cs="Sakkal Majalla"/>
          <w:sz w:val="28"/>
          <w:szCs w:val="28"/>
          <w:rtl/>
        </w:rPr>
        <w:t>، الذي يُستخدم لحماية المرضى الآخرين والعاملين من التعرض للميكروبات شديدة العدوى أو المقاومة للأدوية. وتشمل استراتيجيات العزل إنشاء غرف مخصصة بتهوية سلبية، وتحديد مسارات حركة منفصلة للمرضى المصابين</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Kanaan</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Shahin</w:t>
      </w:r>
      <w:proofErr w:type="spellEnd"/>
      <w:r w:rsidRPr="005019F4">
        <w:rPr>
          <w:rFonts w:ascii="Sakkal Majalla" w:eastAsia="Times New Roman" w:hAnsi="Sakkal Majalla" w:cs="Sakkal Majalla"/>
          <w:sz w:val="28"/>
          <w:szCs w:val="28"/>
          <w:rtl/>
        </w:rPr>
        <w:t>، 1998؛</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وآخرون، 2021). كما تلعب </w:t>
      </w:r>
      <w:r w:rsidRPr="005019F4">
        <w:rPr>
          <w:rFonts w:ascii="Sakkal Majalla" w:eastAsia="Times New Roman" w:hAnsi="Sakkal Majalla" w:cs="Sakkal Majalla"/>
          <w:b/>
          <w:bCs/>
          <w:sz w:val="28"/>
          <w:szCs w:val="28"/>
          <w:rtl/>
        </w:rPr>
        <w:t>أدوات الوقاية الشخصية</w:t>
      </w:r>
      <w:r w:rsidRPr="005019F4">
        <w:rPr>
          <w:rFonts w:ascii="Sakkal Majalla" w:eastAsia="Times New Roman" w:hAnsi="Sakkal Majalla" w:cs="Sakkal Majalla"/>
          <w:sz w:val="28"/>
          <w:szCs w:val="28"/>
          <w:rtl/>
        </w:rPr>
        <w:t xml:space="preserve"> مثل القفازات، والكمامات، والأثواب الواقية، والدروع الواقية للوجه، دورًا أساسيًا في حماية الكوادر الطبية. وأظهرت الأبحاث أن الاستخدام السليم لهذه الأدوات يقلل من معدلات العدوى بين الطاقم الصحي، خاصة في أقسام العمليات والعناية المركزة (الصباح، مناوي،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الخراز، 2021؛</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وآخرون، 2024). ومن التحديات هنا ضمان </w:t>
      </w:r>
      <w:r w:rsidRPr="005019F4">
        <w:rPr>
          <w:rFonts w:ascii="Sakkal Majalla" w:eastAsia="Times New Roman" w:hAnsi="Sakkal Majalla" w:cs="Sakkal Majalla"/>
          <w:b/>
          <w:bCs/>
          <w:sz w:val="28"/>
          <w:szCs w:val="28"/>
          <w:rtl/>
        </w:rPr>
        <w:t>التدريب المستمر</w:t>
      </w:r>
      <w:r w:rsidRPr="005019F4">
        <w:rPr>
          <w:rFonts w:ascii="Sakkal Majalla" w:eastAsia="Times New Roman" w:hAnsi="Sakkal Majalla" w:cs="Sakkal Majalla"/>
          <w:sz w:val="28"/>
          <w:szCs w:val="28"/>
          <w:rtl/>
        </w:rPr>
        <w:t xml:space="preserve"> للعاملين على الاستخدام الصحيح والالتزام بالتخلص الآمن من هذه الأدوات بعد الاستعمال، إذ إن الاستخدام غير الملائم قد يحولها من وسيلة وقاية إلى مصدر خطر إضافي</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Nazzal</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Al-Shawish</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hint="cs"/>
          <w:sz w:val="28"/>
          <w:szCs w:val="28"/>
          <w:rtl/>
        </w:rPr>
        <w:t>)</w:t>
      </w:r>
    </w:p>
    <w:p w14:paraId="5F108EF4"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 xml:space="preserve">ثالثاً: الممارسات السريرية الآمنة </w:t>
      </w:r>
    </w:p>
    <w:p w14:paraId="19490354"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تُعتبر </w:t>
      </w:r>
      <w:r w:rsidRPr="005019F4">
        <w:rPr>
          <w:rFonts w:ascii="Sakkal Majalla" w:eastAsia="Times New Roman" w:hAnsi="Sakkal Majalla" w:cs="Sakkal Majalla"/>
          <w:b/>
          <w:bCs/>
          <w:sz w:val="28"/>
          <w:szCs w:val="28"/>
          <w:rtl/>
        </w:rPr>
        <w:t>الممارسات السريرية الآمنة</w:t>
      </w:r>
      <w:r w:rsidRPr="005019F4">
        <w:rPr>
          <w:rFonts w:ascii="Sakkal Majalla" w:eastAsia="Times New Roman" w:hAnsi="Sakkal Majalla" w:cs="Sakkal Majalla"/>
          <w:sz w:val="28"/>
          <w:szCs w:val="28"/>
          <w:rtl/>
        </w:rPr>
        <w:t xml:space="preserve"> مكملاً أساسياً للاستراتيجيات السابقة، حيث تركز على كيفية تعامل الطاقم الطبي مع الأدوات والأجهزة والمواد البيولوجية بطريقة تقلل من احتمالية نقل العدوى. فالاستخدام </w:t>
      </w:r>
      <w:r w:rsidRPr="005019F4">
        <w:rPr>
          <w:rFonts w:ascii="Sakkal Majalla" w:eastAsia="Times New Roman" w:hAnsi="Sakkal Majalla" w:cs="Sakkal Majalla"/>
          <w:sz w:val="28"/>
          <w:szCs w:val="28"/>
          <w:rtl/>
        </w:rPr>
        <w:lastRenderedPageBreak/>
        <w:t xml:space="preserve">غير السليم للحقن، أو القساطر، أو أجهزة التنفس الصناعي يُعد من أبرز أسباب العدوى المكتسبة في المستشفيات </w:t>
      </w:r>
      <w:r w:rsidRPr="005019F4">
        <w:rPr>
          <w:rFonts w:ascii="Sakkal Majalla" w:eastAsia="Times New Roman" w:hAnsi="Sakkal Majalla" w:cs="Sakkal Majalla"/>
          <w:sz w:val="28"/>
          <w:szCs w:val="28"/>
        </w:rPr>
        <w:t>(</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2024؛</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ولهذا تتطلب الاستراتيجيات تدريب العاملين على بروتوكولات دقيقة لاستخدام الأدوات وإعادة معالجتها أو التخلص منها. كما أن </w:t>
      </w:r>
      <w:r w:rsidRPr="005019F4">
        <w:rPr>
          <w:rFonts w:ascii="Sakkal Majalla" w:eastAsia="Times New Roman" w:hAnsi="Sakkal Majalla" w:cs="Sakkal Majalla"/>
          <w:b/>
          <w:bCs/>
          <w:sz w:val="28"/>
          <w:szCs w:val="28"/>
          <w:rtl/>
        </w:rPr>
        <w:t>التخلص الآمن من النفايات الطبية</w:t>
      </w:r>
      <w:r w:rsidRPr="005019F4">
        <w:rPr>
          <w:rFonts w:ascii="Sakkal Majalla" w:eastAsia="Times New Roman" w:hAnsi="Sakkal Majalla" w:cs="Sakkal Majalla"/>
          <w:sz w:val="28"/>
          <w:szCs w:val="28"/>
          <w:rtl/>
        </w:rPr>
        <w:t xml:space="preserve"> يشكل ركيزة جوهرية، حيث أن الإهمال في جمع النفايات أو فرزها أو التخلص منها يزيد من فرص انتقال الميكروبات بين المرضى والعاملين وحتى المجتمع المحيط</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Elnour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2015؛ مختار، 2017</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وقد بيّن باحثون أن اعتماد نظم متكاملة للتعامل مع النفايات الطبية يقلل من التلوث البيئي ويعزز ثقة المجتمع بالمؤسسات الصحية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فرحات، 2017؛</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2024</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كذلك، يشمل هذا الجانب تطبيق بروتوكولات </w:t>
      </w:r>
      <w:r w:rsidRPr="005019F4">
        <w:rPr>
          <w:rFonts w:ascii="Sakkal Majalla" w:eastAsia="Times New Roman" w:hAnsi="Sakkal Majalla" w:cs="Sakkal Majalla"/>
          <w:b/>
          <w:bCs/>
          <w:sz w:val="28"/>
          <w:szCs w:val="28"/>
          <w:rtl/>
        </w:rPr>
        <w:t>السلامة الحيوية</w:t>
      </w:r>
      <w:r w:rsidRPr="005019F4">
        <w:rPr>
          <w:rFonts w:ascii="Sakkal Majalla" w:eastAsia="Times New Roman" w:hAnsi="Sakkal Majalla" w:cs="Sakkal Majalla"/>
          <w:sz w:val="28"/>
          <w:szCs w:val="28"/>
          <w:rtl/>
        </w:rPr>
        <w:t xml:space="preserve"> عند التعامل مع العينات المخبرية والمواد المعدية لضمان حماية العاملين في المختبرات</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2021</w:t>
      </w:r>
      <w:r w:rsidRPr="005019F4">
        <w:rPr>
          <w:rFonts w:ascii="Sakkal Majalla" w:eastAsia="Times New Roman" w:hAnsi="Sakkal Majalla" w:cs="Sakkal Majalla"/>
          <w:sz w:val="28"/>
          <w:szCs w:val="28"/>
        </w:rPr>
        <w:t>).</w:t>
      </w:r>
    </w:p>
    <w:p w14:paraId="21117B71"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28"/>
          <w:szCs w:val="28"/>
        </w:rPr>
      </w:pPr>
      <w:r w:rsidRPr="005019F4">
        <w:rPr>
          <w:rFonts w:ascii="Sakkal Majalla" w:eastAsia="Times New Roman" w:hAnsi="Sakkal Majalla" w:cs="Sakkal Majalla"/>
          <w:b/>
          <w:bCs/>
          <w:sz w:val="28"/>
          <w:szCs w:val="28"/>
          <w:rtl/>
        </w:rPr>
        <w:t>أدوار ومسؤوليات فرق مكافحة العدوى</w:t>
      </w:r>
    </w:p>
    <w:p w14:paraId="36B9744B"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28"/>
          <w:szCs w:val="28"/>
        </w:rPr>
      </w:pPr>
      <w:r w:rsidRPr="005019F4">
        <w:rPr>
          <w:rFonts w:ascii="Sakkal Majalla" w:eastAsia="Times New Roman" w:hAnsi="Sakkal Majalla" w:cs="Sakkal Majalla"/>
          <w:b/>
          <w:bCs/>
          <w:sz w:val="28"/>
          <w:szCs w:val="28"/>
          <w:rtl/>
        </w:rPr>
        <w:t>أولاً: دور الإدارة العليا</w:t>
      </w:r>
    </w:p>
    <w:p w14:paraId="03AF3DB6"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تمثل الإدارة العليا المحرك الأساس لنجاح برامج مكافحة العدوى، إذ يقع على عاتقها توفير الدعم المؤسسي والمالي اللازم لضمان تطبيق السياسات الوقائية بكفاءة. فهي الجهة التي تحدد التوجهات العامة، وتضع السياسات الاستراتيجية، وتتابع تنفيذها عبر مؤشرات أداء واضحة. وقد بيّنت الدراسات أن التزام الإدارة العليا يعزز ثقافة السلامة وجودة الرعاية الصحية، ويضمن دمج مكافحة العدوى ضمن نظام الجودة الشاملة للمؤسسة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فرحات، 2017؛ الطوس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الكساسبة، 2015). كما أن الإدارة العليا تتحمل مسؤولية تهيئة البنية التحتية من حيث غرف العزل، وأنظمة التهوية، ونظم التخلص من النفايات الطبية، وهي استثمارات لا يمكن إنجاح أي برنامج دونها (إبراهيم، الشعراوي،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زيد، 2024). ومن جانب آخر، فإن القيادة الإدارية تمثل القدوة للعاملين من خلال الالتزام بالقواعد وتطبيقها عمليًا، وهو ما يخلق بيئة تنظيمية داعمة لمكافحة العدوى (مختار، 2017</w:t>
      </w:r>
      <w:r w:rsidRPr="005019F4">
        <w:rPr>
          <w:rFonts w:ascii="Sakkal Majalla" w:eastAsia="Times New Roman" w:hAnsi="Sakkal Majalla" w:cs="Sakkal Majalla" w:hint="cs"/>
          <w:sz w:val="28"/>
          <w:szCs w:val="28"/>
          <w:rtl/>
        </w:rPr>
        <w:t>)</w:t>
      </w:r>
    </w:p>
    <w:p w14:paraId="74DF2822"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28"/>
          <w:szCs w:val="28"/>
        </w:rPr>
      </w:pPr>
      <w:r w:rsidRPr="005019F4">
        <w:rPr>
          <w:rFonts w:ascii="Sakkal Majalla" w:eastAsia="Times New Roman" w:hAnsi="Sakkal Majalla" w:cs="Sakkal Majalla"/>
          <w:b/>
          <w:bCs/>
          <w:sz w:val="28"/>
          <w:szCs w:val="28"/>
          <w:rtl/>
        </w:rPr>
        <w:t>ثانياً: دور الطاقم الطبي والتمريضي</w:t>
      </w:r>
    </w:p>
    <w:p w14:paraId="3013A952"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lastRenderedPageBreak/>
        <w:t xml:space="preserve">يُعتبر الأطباء والممرضون </w:t>
      </w:r>
      <w:r w:rsidRPr="005019F4">
        <w:rPr>
          <w:rFonts w:ascii="Sakkal Majalla" w:eastAsia="Times New Roman" w:hAnsi="Sakkal Majalla" w:cs="Sakkal Majalla"/>
          <w:b/>
          <w:bCs/>
          <w:sz w:val="28"/>
          <w:szCs w:val="28"/>
          <w:rtl/>
        </w:rPr>
        <w:t>الخط الأمامي</w:t>
      </w:r>
      <w:r w:rsidRPr="005019F4">
        <w:rPr>
          <w:rFonts w:ascii="Sakkal Majalla" w:eastAsia="Times New Roman" w:hAnsi="Sakkal Majalla" w:cs="Sakkal Majalla"/>
          <w:sz w:val="28"/>
          <w:szCs w:val="28"/>
          <w:rtl/>
        </w:rPr>
        <w:t xml:space="preserve"> في مواجهة العدوى، حيث أنهم الأكثر تواصلًا مع المرضى ويقومون بإجراءات تشخيصية وعلاجية متعددة تحمل مخاطر انتقال الميكروبات. وتتمثل مسؤولياتهم في الالتزام ببروتوكولات غسل اليدين، واستخدام أدوات الوقاية الشخصية، وتطبيق أساليب التعقيم والتطهير أثناء الإجراءات السريرية. وقد أظهرت الدراسات في السودان أن </w:t>
      </w:r>
      <w:r w:rsidRPr="005019F4">
        <w:rPr>
          <w:rFonts w:ascii="Sakkal Majalla" w:eastAsia="Times New Roman" w:hAnsi="Sakkal Majalla" w:cs="Sakkal Majalla"/>
          <w:b/>
          <w:bCs/>
          <w:sz w:val="28"/>
          <w:szCs w:val="28"/>
          <w:rtl/>
        </w:rPr>
        <w:t>ضعف معرفة الممرضات والقابلات</w:t>
      </w:r>
      <w:r w:rsidRPr="005019F4">
        <w:rPr>
          <w:rFonts w:ascii="Sakkal Majalla" w:eastAsia="Times New Roman" w:hAnsi="Sakkal Majalla" w:cs="Sakkal Majalla"/>
          <w:sz w:val="28"/>
          <w:szCs w:val="28"/>
          <w:rtl/>
        </w:rPr>
        <w:t xml:space="preserve"> بالإجراءات السليمة كان من أبرز أسباب زيادة معدلات العدوى في غرف الولادة</w:t>
      </w:r>
      <w:r w:rsidRPr="005019F4">
        <w:rPr>
          <w:rFonts w:ascii="Sakkal Majalla" w:eastAsia="Times New Roman" w:hAnsi="Sakkal Majalla" w:cs="Sakkal Majalla"/>
          <w:sz w:val="28"/>
          <w:szCs w:val="28"/>
        </w:rPr>
        <w:t xml:space="preserve"> (Nour &amp; </w:t>
      </w:r>
      <w:proofErr w:type="spellStart"/>
      <w:r w:rsidRPr="005019F4">
        <w:rPr>
          <w:rFonts w:ascii="Sakkal Majalla" w:eastAsia="Times New Roman" w:hAnsi="Sakkal Majalla" w:cs="Sakkal Majalla"/>
          <w:sz w:val="28"/>
          <w:szCs w:val="28"/>
        </w:rPr>
        <w:t>Nasor</w:t>
      </w:r>
      <w:proofErr w:type="spellEnd"/>
      <w:r w:rsidRPr="005019F4">
        <w:rPr>
          <w:rFonts w:ascii="Sakkal Majalla" w:eastAsia="Times New Roman" w:hAnsi="Sakkal Majalla" w:cs="Sakkal Majalla"/>
          <w:sz w:val="28"/>
          <w:szCs w:val="28"/>
          <w:rtl/>
        </w:rPr>
        <w:t>، 2015؛</w:t>
      </w:r>
      <w:r w:rsidRPr="005019F4">
        <w:rPr>
          <w:rFonts w:ascii="Sakkal Majalla" w:eastAsia="Times New Roman" w:hAnsi="Sakkal Majalla" w:cs="Sakkal Majalla"/>
          <w:sz w:val="28"/>
          <w:szCs w:val="28"/>
        </w:rPr>
        <w:t xml:space="preserve"> Ahmed &amp; </w:t>
      </w:r>
      <w:proofErr w:type="spellStart"/>
      <w:r w:rsidRPr="005019F4">
        <w:rPr>
          <w:rFonts w:ascii="Sakkal Majalla" w:eastAsia="Times New Roman" w:hAnsi="Sakkal Majalla" w:cs="Sakkal Majalla"/>
          <w:sz w:val="28"/>
          <w:szCs w:val="28"/>
        </w:rPr>
        <w:t>Yosif</w:t>
      </w:r>
      <w:proofErr w:type="spellEnd"/>
      <w:r w:rsidRPr="005019F4">
        <w:rPr>
          <w:rFonts w:ascii="Sakkal Majalla" w:eastAsia="Times New Roman" w:hAnsi="Sakkal Majalla" w:cs="Sakkal Majalla"/>
          <w:sz w:val="28"/>
          <w:szCs w:val="28"/>
          <w:rtl/>
        </w:rPr>
        <w:t>، 2019</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كما أكدت الأبحاث أن تدريب الطاقم الطبي المستمر ورفع وعيهم حول أحدث الممارسات الوقائية يسهم بشكل مباشر في خفض معدلات العدوى المكتسبة بالمستشفيات </w:t>
      </w:r>
      <w:r w:rsidRPr="005019F4">
        <w:rPr>
          <w:rFonts w:ascii="Sakkal Majalla" w:eastAsia="Times New Roman" w:hAnsi="Sakkal Majalla" w:cs="Sakkal Majalla"/>
          <w:sz w:val="28"/>
          <w:szCs w:val="28"/>
        </w:rPr>
        <w:t>(</w:t>
      </w:r>
      <w:proofErr w:type="spellStart"/>
      <w:r w:rsidRPr="005019F4">
        <w:rPr>
          <w:rFonts w:ascii="Sakkal Majalla" w:eastAsia="Times New Roman" w:hAnsi="Sakkal Majalla" w:cs="Sakkal Majalla"/>
          <w:sz w:val="28"/>
          <w:szCs w:val="28"/>
        </w:rPr>
        <w:t>Al-Sakarneh</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2016؛</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ولا يقتصر دور الطاقم الطبي على الوقاية المباشرة، بل يشمل أيضًا </w:t>
      </w:r>
      <w:r w:rsidRPr="005019F4">
        <w:rPr>
          <w:rFonts w:ascii="Sakkal Majalla" w:eastAsia="Times New Roman" w:hAnsi="Sakkal Majalla" w:cs="Sakkal Majalla"/>
          <w:b/>
          <w:bCs/>
          <w:sz w:val="28"/>
          <w:szCs w:val="28"/>
          <w:rtl/>
        </w:rPr>
        <w:t>التثقيف الصحي للمرضى وأسرهم</w:t>
      </w:r>
      <w:r w:rsidRPr="005019F4">
        <w:rPr>
          <w:rFonts w:ascii="Sakkal Majalla" w:eastAsia="Times New Roman" w:hAnsi="Sakkal Majalla" w:cs="Sakkal Majalla"/>
          <w:sz w:val="28"/>
          <w:szCs w:val="28"/>
          <w:rtl/>
        </w:rPr>
        <w:t>، بما يعزز من استدامة الجهود الوقائية داخل المؤسسة وخارجها</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2024</w:t>
      </w:r>
      <w:r w:rsidRPr="005019F4">
        <w:rPr>
          <w:rFonts w:ascii="Sakkal Majalla" w:eastAsia="Times New Roman" w:hAnsi="Sakkal Majalla" w:cs="Sakkal Majalla" w:hint="cs"/>
          <w:sz w:val="28"/>
          <w:szCs w:val="28"/>
          <w:rtl/>
        </w:rPr>
        <w:t>)</w:t>
      </w:r>
    </w:p>
    <w:p w14:paraId="7D538A20"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دور فرق مكافحة العدوى المتخصصة</w:t>
      </w:r>
    </w:p>
    <w:p w14:paraId="08E6D794"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تُعتبر فرق مكافحة العدوى المتخصصة العمود الفقري لأي برنامج فعال، إذ تتكون عادةً من خبراء في علم الأوبئة، وأطباء، وممرضين مدربين، ومسؤولي جودة. وتقوم هذه الفرق بعدة مهام رئيسة، منها</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إجراء المراقبة الوبائية لرصد حالات العدوى ومصادرها، وتقديم تقارير دورية للإدارة العليا، وتدريب العاملين، وتصميم بروتوكولات الوقاية والتعقيم</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Ghenbazi</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Lati</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كما أنها مسؤولة عن التحقيق في الحوادث الوبائية وتقديم التوصيات لتجنب تكرارها، فضلاً عن المساهمة في إعداد خطط الطوارئ عند ظهور أوبئة جديدة مثل كوفيد-19</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2024؛ هادي، 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وقد أوضحت الدراسات أن وجود هذه الفرق يرفع مستوى الالتزام العام في المؤسسات الصحية، ويمنح البرنامج صفة الاستمرارية بدلًا من اقتصاره على حملات مؤقتة (الصباح، مناوي،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الخراز، 2021</w:t>
      </w:r>
      <w:r w:rsidRPr="005019F4">
        <w:rPr>
          <w:rFonts w:ascii="Sakkal Majalla" w:eastAsia="Times New Roman" w:hAnsi="Sakkal Majalla" w:cs="Sakkal Majalla" w:hint="cs"/>
          <w:sz w:val="28"/>
          <w:szCs w:val="28"/>
          <w:rtl/>
        </w:rPr>
        <w:t>)</w:t>
      </w:r>
    </w:p>
    <w:p w14:paraId="1AE8F640"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رابعاً: دور المرضى والزوار في الوقاية</w:t>
      </w:r>
    </w:p>
    <w:p w14:paraId="763BB28A"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lastRenderedPageBreak/>
        <w:t xml:space="preserve">لا يقتصر نجاح مكافحة العدوى على الإدارة أو الطاقم الطبي وحدهم، بل يمتد ليشمل المريض والزائر كجزء من المنظومة. فالمريض يتحمل مسؤولية الالتزام بتعليمات النظافة الشخصية، وعدم مشاركة الأدوات، واتباع إرشادات الطاقم الطبي أثناء فترة العلاج (هيئة التحرير، 2017). أما الزوار، فإن دورهم يكمن في احترام السياسات الخاصة بالدخول إلى غرف المرضى، مثل ارتداء أدوات الوقاية الشخصية عند الحاجة، وتجنب الزيارات في حال وجود أعراض مرضية لديهم، والالتزام بمواعيد الزيارة المحددة. وقد أثبتت جائحة كورونا أن وعي الزوار والمرضى والتزامهم بالتدابير البسيطة مثل ارتداء الكمامات والتباعد ساهم في تقليل معدلات العدوى داخل المستشفيات </w:t>
      </w:r>
      <w:r w:rsidRPr="005019F4">
        <w:rPr>
          <w:rFonts w:ascii="Sakkal Majalla" w:eastAsia="Times New Roman" w:hAnsi="Sakkal Majalla" w:cs="Sakkal Majalla"/>
          <w:sz w:val="28"/>
          <w:szCs w:val="28"/>
        </w:rPr>
        <w:t>(</w:t>
      </w:r>
      <w:r w:rsidRPr="005019F4">
        <w:rPr>
          <w:rFonts w:ascii="Sakkal Majalla" w:eastAsia="Times New Roman" w:hAnsi="Sakkal Majalla" w:cs="Sakkal Majalla"/>
          <w:sz w:val="28"/>
          <w:szCs w:val="28"/>
          <w:rtl/>
        </w:rPr>
        <w:t>المصباحي، 2022؛</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2024</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ومن هنا فإن إدماج المرضى والزوار في برامج التوعية يمثل خطًا مكملاً لدور المؤسسات الصحية في تحقيق بيئة علاجية آمنة ومستدامة</w:t>
      </w:r>
      <w:r w:rsidRPr="005019F4">
        <w:rPr>
          <w:rFonts w:ascii="Sakkal Majalla" w:eastAsia="Times New Roman" w:hAnsi="Sakkal Majalla" w:cs="Sakkal Majalla"/>
          <w:sz w:val="28"/>
          <w:szCs w:val="28"/>
        </w:rPr>
        <w:t>.</w:t>
      </w:r>
    </w:p>
    <w:p w14:paraId="6B3D484C"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الأدوات والتقنيات المستخدمة في مكافحة العدوى</w:t>
      </w:r>
    </w:p>
    <w:p w14:paraId="290B88AB"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نظم المراقبة الوبائية</w:t>
      </w:r>
    </w:p>
    <w:p w14:paraId="3A86C1BE"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تُعَدّ </w:t>
      </w:r>
      <w:r w:rsidRPr="005019F4">
        <w:rPr>
          <w:rFonts w:ascii="Sakkal Majalla" w:eastAsia="Times New Roman" w:hAnsi="Sakkal Majalla" w:cs="Sakkal Majalla"/>
          <w:b/>
          <w:bCs/>
          <w:sz w:val="28"/>
          <w:szCs w:val="28"/>
          <w:rtl/>
        </w:rPr>
        <w:t>المراقبة الوبائية</w:t>
      </w:r>
      <w:r w:rsidRPr="005019F4">
        <w:rPr>
          <w:rFonts w:ascii="Sakkal Majalla" w:eastAsia="Times New Roman" w:hAnsi="Sakkal Majalla" w:cs="Sakkal Majalla"/>
          <w:sz w:val="28"/>
          <w:szCs w:val="28"/>
          <w:rtl/>
        </w:rPr>
        <w:t xml:space="preserve"> إحدى الأدوات الأكثر أهمية في برامج مكافحة العدوى، إذ تهدف إلى جمع البيانات بشكل منهجي حول حالات العدوى، وتحليلها، ومقارنتها بمعايير قياسية، ثم استخدامها لتوجيه القرارات الوقائية والعلاجية. تقوم هذه النظم برصد معدلات العدوى المكتسبة داخل المستشفى ات، مثل التهابات مجرى الدم المرتبطة بالقساطر، أو التهابات الجهاز التنفسي الناتجة عن أجهزة التنفس الصناعي، أو التهابات المسالك البولية المرتبطة بالقساطر البولية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Nazzal</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Al-Shawish</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وآخرون، 2024). كما تسمح هذه النظم بالكشف المبكر عن </w:t>
      </w:r>
      <w:r w:rsidRPr="005019F4">
        <w:rPr>
          <w:rFonts w:ascii="Sakkal Majalla" w:eastAsia="Times New Roman" w:hAnsi="Sakkal Majalla" w:cs="Sakkal Majalla"/>
          <w:b/>
          <w:bCs/>
          <w:sz w:val="28"/>
          <w:szCs w:val="28"/>
          <w:rtl/>
        </w:rPr>
        <w:t>تفشي الأوبئة</w:t>
      </w:r>
      <w:r w:rsidRPr="005019F4">
        <w:rPr>
          <w:rFonts w:ascii="Sakkal Majalla" w:eastAsia="Times New Roman" w:hAnsi="Sakkal Majalla" w:cs="Sakkal Majalla"/>
          <w:sz w:val="28"/>
          <w:szCs w:val="28"/>
          <w:rtl/>
        </w:rPr>
        <w:t xml:space="preserve"> داخل المؤسسات الصحية والتدخل السريع للحد من انتشارها</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Ghenbazi</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Lati</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وقد أشارت الأبحاث إلى أن نجاح نظم المراقبة الوبائية يعتمد على تدريب الكوادر الصحية على جمع البيانات بدقة، وربط هذه البيانات بالتحليل الإحصائي والوبائي لاستخلاص مؤشرات يمكن الاعتماد عليها في وضع السياسات</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وفي هذا الإطار، تعد المراقبة الوبائية بمثابة "نظام إنذار مبكر" يوجّه فرق مكافحة العدوى نحو الإجراءات الأكثر إلحاحًا</w:t>
      </w:r>
      <w:r w:rsidRPr="005019F4">
        <w:rPr>
          <w:rFonts w:ascii="Sakkal Majalla" w:eastAsia="Times New Roman" w:hAnsi="Sakkal Majalla" w:cs="Sakkal Majalla"/>
          <w:sz w:val="28"/>
          <w:szCs w:val="28"/>
        </w:rPr>
        <w:t>.</w:t>
      </w:r>
    </w:p>
    <w:p w14:paraId="5EC363A6"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lastRenderedPageBreak/>
        <w:t>ثانياً: بروتوكولات التعقيم والتطهير</w:t>
      </w:r>
    </w:p>
    <w:p w14:paraId="08D2B80A"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إن الالتزام بـ بروتوكولات التعقيم والتطهير يشكل خط الدفاع الرئيس ضد انتقال العدوى في المؤسسات الصحية. فالتعقيم يهدف إلى القضاء التام على جميع الكائنات الحية الدقيقة من الأدوات والأجهزة الطبية باستخدام أساليب مثل التعقيم بالبخار (الأوتوكلاف)، أو الغازات الكيميائية، أو الإشعاع، بينما يركز التطهير على تقليل عدد الميكروبات إلى مستويات آمنة باستخدام المطهرات الكيميائية (الصباح، مناوي،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الخراز، 2021). وقد أكدت الدراسات أن فشل الالتزام ببروتوكولات التعقيم، خاصة في غرف العمليات وعيادات الأسنان، يؤدي إلى ارتفاع كبير في معدلات العدوى المتصالبة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Kanaan</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Shahin</w:t>
      </w:r>
      <w:proofErr w:type="spellEnd"/>
      <w:r w:rsidRPr="005019F4">
        <w:rPr>
          <w:rFonts w:ascii="Sakkal Majalla" w:eastAsia="Times New Roman" w:hAnsi="Sakkal Majalla" w:cs="Sakkal Majalla"/>
          <w:sz w:val="28"/>
          <w:szCs w:val="28"/>
          <w:rtl/>
        </w:rPr>
        <w:t>، 1998</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ومن الأمثلة التطبيقية أن اتباع معايير منظمة الصحة العالمية</w:t>
      </w:r>
      <w:r w:rsidRPr="005019F4">
        <w:rPr>
          <w:rFonts w:ascii="Sakkal Majalla" w:eastAsia="Times New Roman" w:hAnsi="Sakkal Majalla" w:cs="Sakkal Majalla"/>
          <w:sz w:val="28"/>
          <w:szCs w:val="28"/>
        </w:rPr>
        <w:t xml:space="preserve"> (WHO) </w:t>
      </w:r>
      <w:r w:rsidRPr="005019F4">
        <w:rPr>
          <w:rFonts w:ascii="Sakkal Majalla" w:eastAsia="Times New Roman" w:hAnsi="Sakkal Majalla" w:cs="Sakkal Majalla"/>
          <w:sz w:val="28"/>
          <w:szCs w:val="28"/>
          <w:rtl/>
        </w:rPr>
        <w:t>ومعايير الاعتماد الدولية للمستشفيات</w:t>
      </w:r>
      <w:r w:rsidRPr="005019F4">
        <w:rPr>
          <w:rFonts w:ascii="Sakkal Majalla" w:eastAsia="Times New Roman" w:hAnsi="Sakkal Majalla" w:cs="Sakkal Majalla"/>
          <w:sz w:val="28"/>
          <w:szCs w:val="28"/>
        </w:rPr>
        <w:t xml:space="preserve"> (JCI) </w:t>
      </w:r>
      <w:r w:rsidRPr="005019F4">
        <w:rPr>
          <w:rFonts w:ascii="Sakkal Majalla" w:eastAsia="Times New Roman" w:hAnsi="Sakkal Majalla" w:cs="Sakkal Majalla"/>
          <w:sz w:val="28"/>
          <w:szCs w:val="28"/>
          <w:rtl/>
        </w:rPr>
        <w:t xml:space="preserve">في عمليات التعقيم يقلل من نسب العدوى المكتسبة بنسبة تتجاوز 40% في بعض المؤسسات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فرحات، 2017). كما أن وضع جداول زمنية دورية للتطهير، وربطها ببرامج تدريب مستمر للعاملين، يسهم في ضمان الالتزام وتحقيق نتائج أفضل</w:t>
      </w:r>
      <w:r w:rsidRPr="005019F4">
        <w:rPr>
          <w:rFonts w:ascii="Sakkal Majalla" w:eastAsia="Times New Roman" w:hAnsi="Sakkal Majalla" w:cs="Sakkal Majalla"/>
          <w:sz w:val="28"/>
          <w:szCs w:val="28"/>
        </w:rPr>
        <w:t xml:space="preserve"> (Ahmed &amp; </w:t>
      </w:r>
      <w:proofErr w:type="spellStart"/>
      <w:r w:rsidRPr="005019F4">
        <w:rPr>
          <w:rFonts w:ascii="Sakkal Majalla" w:eastAsia="Times New Roman" w:hAnsi="Sakkal Majalla" w:cs="Sakkal Majalla"/>
          <w:sz w:val="28"/>
          <w:szCs w:val="28"/>
        </w:rPr>
        <w:t>Yosif</w:t>
      </w:r>
      <w:proofErr w:type="spellEnd"/>
      <w:r w:rsidRPr="005019F4">
        <w:rPr>
          <w:rFonts w:ascii="Sakkal Majalla" w:eastAsia="Times New Roman" w:hAnsi="Sakkal Majalla" w:cs="Sakkal Majalla"/>
          <w:sz w:val="28"/>
          <w:szCs w:val="28"/>
          <w:rtl/>
        </w:rPr>
        <w:t>، 2019؛</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Elnour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2015</w:t>
      </w:r>
      <w:r w:rsidRPr="005019F4">
        <w:rPr>
          <w:rFonts w:ascii="Sakkal Majalla" w:eastAsia="Times New Roman" w:hAnsi="Sakkal Majalla" w:cs="Sakkal Majalla" w:hint="cs"/>
          <w:sz w:val="28"/>
          <w:szCs w:val="28"/>
          <w:rtl/>
        </w:rPr>
        <w:t>)</w:t>
      </w:r>
    </w:p>
    <w:p w14:paraId="16EB1E38"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مؤشرات الجودة لمتابعة مكافحة العدوى</w:t>
      </w:r>
    </w:p>
    <w:p w14:paraId="54F301DD"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تُستخدم مؤشرات الجودة كأداة قياس لمدى فاعلية برامج مكافحة العدوى داخل المؤسسات الصحية. وتشمل هذه المؤشرات معدلات العدوى المكتسبة في وحدات العناية المركزة، ونسب التزام الكوادر بغسل اليدين، ومعدل استخدام أدوات الوقاية الشخصية، إضافة إلى معدلات العدوى المرتبطة بالإجراءات الجراحية</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xml:space="preserve">، 2024؛ الطوس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الكساسبة، 2015). وتعمل مؤشرات الجودة كأداة للتقييم المستمر والتحسين المستمر </w:t>
      </w:r>
      <w:r w:rsidRPr="005019F4">
        <w:rPr>
          <w:rFonts w:ascii="Sakkal Majalla" w:eastAsia="Times New Roman" w:hAnsi="Sakkal Majalla" w:cs="Sakkal Majalla"/>
          <w:sz w:val="28"/>
          <w:szCs w:val="28"/>
        </w:rPr>
        <w:t>(Continuous Quality Improvement)</w:t>
      </w:r>
      <w:r w:rsidRPr="005019F4">
        <w:rPr>
          <w:rFonts w:ascii="Sakkal Majalla" w:eastAsia="Times New Roman" w:hAnsi="Sakkal Majalla" w:cs="Sakkal Majalla"/>
          <w:sz w:val="28"/>
          <w:szCs w:val="28"/>
          <w:rtl/>
        </w:rPr>
        <w:t xml:space="preserve">، حيث تسمح للإدارة العليا بمراجعة السياسات وتعديلها عند الحاجة. وقد أوضحت الدراسات أن اعتماد هذه المؤشرات ضمن نظم الجودة الشاملة يساهم في الحصول على الاعتماد الصحي الدولي، ويعزز ثقة المرضى وأسرهم بالمؤسسة الصحية (إبراهيم، الشعراوي،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زيد، 2024؛ نصر الله وآخرون، 2017). كما أن متابعة هذه المؤشرات بانتظام </w:t>
      </w:r>
      <w:r w:rsidRPr="005019F4">
        <w:rPr>
          <w:rFonts w:ascii="Sakkal Majalla" w:eastAsia="Times New Roman" w:hAnsi="Sakkal Majalla" w:cs="Sakkal Majalla"/>
          <w:sz w:val="28"/>
          <w:szCs w:val="28"/>
          <w:rtl/>
        </w:rPr>
        <w:lastRenderedPageBreak/>
        <w:t>يساعد على ربط مكافحة العدوى بالحوكمة المؤسسية ويجعلها جزءًا لا يتجزأ من التخطيط الاستراتيجي (مختار، 2017</w:t>
      </w:r>
      <w:r w:rsidRPr="005019F4">
        <w:rPr>
          <w:rFonts w:ascii="Sakkal Majalla" w:eastAsia="Times New Roman" w:hAnsi="Sakkal Majalla" w:cs="Sakkal Majalla" w:hint="cs"/>
          <w:sz w:val="28"/>
          <w:szCs w:val="28"/>
          <w:rtl/>
        </w:rPr>
        <w:t>)</w:t>
      </w:r>
    </w:p>
    <w:p w14:paraId="099B6BFB"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التحديات التي تواجه برامج مكافحة العدوى</w:t>
      </w:r>
    </w:p>
    <w:p w14:paraId="2A8A36DB"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مقاومة الميكروبات للمضادات الحيوية</w:t>
      </w:r>
    </w:p>
    <w:p w14:paraId="13672BA7"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أحد أكبر التحديات العالمية أمام مكافحة العدوى هو تزايد مقاومة الميكروبات للمضادات الحيوية، إذ تؤدي هذه الظاهرة إلى فقدان فاعلية العديد من الأدوية، مما يجعل العدوى أكثر صعوبة في العلاج وأكثر عرضة للانتشار. وتشير الدراسات في وحدات العناية المركزة باليمن إلى معدلات مرتفعة جدًا من البكتيريا المقاومة للأدوية المتعددة</w:t>
      </w:r>
      <w:r w:rsidRPr="005019F4">
        <w:rPr>
          <w:rFonts w:ascii="Sakkal Majalla" w:eastAsia="Times New Roman" w:hAnsi="Sakkal Majalla" w:cs="Sakkal Majalla"/>
          <w:sz w:val="28"/>
          <w:szCs w:val="28"/>
        </w:rPr>
        <w:t xml:space="preserve"> (XDR)</w:t>
      </w:r>
      <w:r w:rsidRPr="005019F4">
        <w:rPr>
          <w:rFonts w:ascii="Sakkal Majalla" w:eastAsia="Times New Roman" w:hAnsi="Sakkal Majalla" w:cs="Sakkal Majalla"/>
          <w:sz w:val="28"/>
          <w:szCs w:val="28"/>
          <w:rtl/>
        </w:rPr>
        <w:t>، والتي ارتبطت بزيادة ملحوظة في معدلات الوفيات</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2024</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كما أظهرت أبحاث أخرى أن انتشار المكورات العنقودية الذهبية المقاومة للميثيسيلين</w:t>
      </w:r>
      <w:r w:rsidRPr="005019F4">
        <w:rPr>
          <w:rFonts w:ascii="Sakkal Majalla" w:eastAsia="Times New Roman" w:hAnsi="Sakkal Majalla" w:cs="Sakkal Majalla"/>
          <w:sz w:val="28"/>
          <w:szCs w:val="28"/>
        </w:rPr>
        <w:t xml:space="preserve"> (MRSA) </w:t>
      </w:r>
      <w:r w:rsidRPr="005019F4">
        <w:rPr>
          <w:rFonts w:ascii="Sakkal Majalla" w:eastAsia="Times New Roman" w:hAnsi="Sakkal Majalla" w:cs="Sakkal Majalla"/>
          <w:sz w:val="28"/>
          <w:szCs w:val="28"/>
          <w:rtl/>
        </w:rPr>
        <w:t>في المستشفيات الفلسطينية مثّل تحديًا كبيرًا لإجراءات الوقاية التقليدية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Kanaan</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Shahin</w:t>
      </w:r>
      <w:proofErr w:type="spellEnd"/>
      <w:r w:rsidRPr="005019F4">
        <w:rPr>
          <w:rFonts w:ascii="Sakkal Majalla" w:eastAsia="Times New Roman" w:hAnsi="Sakkal Majalla" w:cs="Sakkal Majalla"/>
          <w:sz w:val="28"/>
          <w:szCs w:val="28"/>
          <w:rtl/>
        </w:rPr>
        <w:t>، 1998</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هذه الظاهرة لا تؤثر فقط على المرضى، بل تفرض أعباءً اقتصادية إضافية على المؤسسات الصحية التي تضطر لاستخدام بدائل دوائية أكثر تكلفة وأقل توافراً</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Ghenbazi</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Lati</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وبالتالي، فإن مقاومة المضادات الحيوية لا تمثل مشكلة علاجية فقط، بل هي قضية استراتيجية تهدد فاعلية برامج مكافحة العدوى عالميًا</w:t>
      </w:r>
      <w:r w:rsidRPr="005019F4">
        <w:rPr>
          <w:rFonts w:ascii="Sakkal Majalla" w:eastAsia="Times New Roman" w:hAnsi="Sakkal Majalla" w:cs="Sakkal Majalla"/>
          <w:sz w:val="28"/>
          <w:szCs w:val="28"/>
        </w:rPr>
        <w:t>.</w:t>
      </w:r>
    </w:p>
    <w:p w14:paraId="78027311"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نقص الموارد أو التدريب</w:t>
      </w:r>
    </w:p>
    <w:p w14:paraId="1105455F"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من التحديات الجوهرية الأخرى التي تواجه المؤسسات الصحية، خاصة في الدول النامية، نقص الموارد البشرية والمالية والتقنية اللازمة لتطبيق سياسات مكافحة العدوى. فالكثير من المستشفيات تعاني من ضعف البنية التحتية كغرف العزل ونظم التهوية، إضافة إلى نقص أدوات الوقاية الشخصية ومواد التعقيم</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Elnour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2015</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كما أن محدودية التدريب المتخصص للعاملين الصحيين تجعلهم أقل قدرة على الالتزام بالإجراءات السليمة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وقد بيّنت دراسات في غرف الولادة بمستشفيات الخرطوم أن ضعف معرفة الممرضات بممارسات مكافحة العدوى ساهم في زيادة معدلات </w:t>
      </w:r>
      <w:r w:rsidRPr="005019F4">
        <w:rPr>
          <w:rFonts w:ascii="Sakkal Majalla" w:eastAsia="Times New Roman" w:hAnsi="Sakkal Majalla" w:cs="Sakkal Majalla"/>
          <w:sz w:val="28"/>
          <w:szCs w:val="28"/>
          <w:rtl/>
        </w:rPr>
        <w:lastRenderedPageBreak/>
        <w:t>العدوى بين الأمهات وحديثي الولادة</w:t>
      </w:r>
      <w:r w:rsidRPr="005019F4">
        <w:rPr>
          <w:rFonts w:ascii="Sakkal Majalla" w:eastAsia="Times New Roman" w:hAnsi="Sakkal Majalla" w:cs="Sakkal Majalla"/>
          <w:sz w:val="28"/>
          <w:szCs w:val="28"/>
        </w:rPr>
        <w:t xml:space="preserve"> (Nour &amp; </w:t>
      </w:r>
      <w:proofErr w:type="spellStart"/>
      <w:r w:rsidRPr="005019F4">
        <w:rPr>
          <w:rFonts w:ascii="Sakkal Majalla" w:eastAsia="Times New Roman" w:hAnsi="Sakkal Majalla" w:cs="Sakkal Majalla"/>
          <w:sz w:val="28"/>
          <w:szCs w:val="28"/>
        </w:rPr>
        <w:t>Nasor</w:t>
      </w:r>
      <w:proofErr w:type="spellEnd"/>
      <w:r w:rsidRPr="005019F4">
        <w:rPr>
          <w:rFonts w:ascii="Sakkal Majalla" w:eastAsia="Times New Roman" w:hAnsi="Sakkal Majalla" w:cs="Sakkal Majalla"/>
          <w:sz w:val="28"/>
          <w:szCs w:val="28"/>
          <w:rtl/>
        </w:rPr>
        <w:t>، 2015</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كذلك، أشارت أبحاث أخرى إلى أن غياب برامج التدريب المستمر يؤدي إلى فجوات واضحة بين السياسات المكتوبة والممارسات الفعلية</w:t>
      </w:r>
      <w:r w:rsidRPr="005019F4">
        <w:rPr>
          <w:rFonts w:ascii="Sakkal Majalla" w:eastAsia="Times New Roman" w:hAnsi="Sakkal Majalla" w:cs="Sakkal Majalla"/>
          <w:sz w:val="28"/>
          <w:szCs w:val="28"/>
        </w:rPr>
        <w:t xml:space="preserve"> (Ahmed &amp; </w:t>
      </w:r>
      <w:proofErr w:type="spellStart"/>
      <w:r w:rsidRPr="005019F4">
        <w:rPr>
          <w:rFonts w:ascii="Sakkal Majalla" w:eastAsia="Times New Roman" w:hAnsi="Sakkal Majalla" w:cs="Sakkal Majalla"/>
          <w:sz w:val="28"/>
          <w:szCs w:val="28"/>
        </w:rPr>
        <w:t>Yosif</w:t>
      </w:r>
      <w:proofErr w:type="spellEnd"/>
      <w:r w:rsidRPr="005019F4">
        <w:rPr>
          <w:rFonts w:ascii="Sakkal Majalla" w:eastAsia="Times New Roman" w:hAnsi="Sakkal Majalla" w:cs="Sakkal Majalla"/>
          <w:sz w:val="28"/>
          <w:szCs w:val="28"/>
          <w:rtl/>
        </w:rPr>
        <w:t>، 2019</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ومن هنا، فإن نقص الموارد أو التدريب لا يؤدي فقط إلى إضعاف فاعلية البرنامج، بل يفتح الباب لظهور بؤر عدوى يصعب السيطرة عليها</w:t>
      </w:r>
      <w:r w:rsidRPr="005019F4">
        <w:rPr>
          <w:rFonts w:ascii="Sakkal Majalla" w:eastAsia="Times New Roman" w:hAnsi="Sakkal Majalla" w:cs="Sakkal Majalla"/>
          <w:sz w:val="28"/>
          <w:szCs w:val="28"/>
        </w:rPr>
        <w:t>.</w:t>
      </w:r>
    </w:p>
    <w:p w14:paraId="1242FA19"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ضعف الالتزام بالإجراءات الوقائية</w:t>
      </w:r>
    </w:p>
    <w:p w14:paraId="2E81477B"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حتى في المؤسسات التي تتوفر لديها الموارد والبنية التحتية، يظل ضعف الالتزام البشري بالإجراءات الوقائية أحد أبرز التحديات. إذ أثبتت الدراسات أن معدلات التزام العاملين بغسل اليدين أو استخدام أدوات الوقاية الشخصية قد تكون منخفضة رغم توافر الإمكانات</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Al-Sakarneh</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2016</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هذا التهاون غالبًا ما يرتبط بعوامل سلوكية مثل الاستعجال، أو الثقة المفرطة، أو غياب الرقابة الصارمة. وقد أشارت تقارير من مستشفيات السودان إلى أن ضعف الرقابة الداخلية وعدم متابعة الأداء أدى إلى تكرار حدوث العدوى رغم وجود بروتوكولات مكتوبة (مختار، 2017). كما أن بعض العاملين يفتقرون إلى القناعة بأهمية الإجراءات البسيطة مثل غسل اليدين أو ارتداء الكمامة، وهو ما يجعل برامج التوعية والتثقيف عنصرًا لا غنى عنه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فرحات، 2017). على مستوى المجتمع، أظهرت جائحة كورونا أن ضعف التزام الأفراد بالتدابير الوقائية ساهم في تسريع انتشار الفيروس رغم جهود المؤسسات الرسمية (هادي، 2020؛ المصباحي، 2022). وبالتالي، فإن أي برنامج لمكافحة العدوى يظل معرضًا للفشل إذا لم يُدمج فيه عنصر المراقبة والمتابعة المستمرة لتعزيز الالتزام</w:t>
      </w:r>
      <w:r w:rsidRPr="005019F4">
        <w:rPr>
          <w:rFonts w:ascii="Sakkal Majalla" w:eastAsia="Times New Roman" w:hAnsi="Sakkal Majalla" w:cs="Sakkal Majalla"/>
          <w:sz w:val="28"/>
          <w:szCs w:val="28"/>
        </w:rPr>
        <w:t>.</w:t>
      </w:r>
    </w:p>
    <w:p w14:paraId="30A00E94"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فوائد ومخرجات برامج مكافحة العدوى</w:t>
      </w:r>
    </w:p>
    <w:p w14:paraId="075C15E4"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أولاً: تقليل معدلات العدوى والوفيات</w:t>
      </w:r>
    </w:p>
    <w:p w14:paraId="72C0824C"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أبرز مخرجات برامج مكافحة العدوى هو الحد من انتشار العدوى داخل المؤسسات الصحية وخارجها، الأمر الذي ينعكس مباشرة على تقليل معدلات الوفيات. وقد أظهرت دراسات في مستشفيات فلسطين أن الالتزام ببروتوكولات مكافحة العدوى خفض معدلات العدوى المكتسبة في وحدات العناية المركزة، خاصة </w:t>
      </w:r>
      <w:r w:rsidRPr="005019F4">
        <w:rPr>
          <w:rFonts w:ascii="Sakkal Majalla" w:eastAsia="Times New Roman" w:hAnsi="Sakkal Majalla" w:cs="Sakkal Majalla"/>
          <w:sz w:val="28"/>
          <w:szCs w:val="28"/>
          <w:rtl/>
        </w:rPr>
        <w:lastRenderedPageBreak/>
        <w:t>تلك المرتبطة بالقساطر وأجهزة التنفس الصناعي</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Nazzal</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Al-Shawish</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كما أكدت أبحاث أخرى أن عيادات الأسنان التي طبقت استراتيجيات صارمة لمكافحة العدوى سجلت انخفاضًا ملحوظًا في العدوى المتصالبة بين المرضى والأطباء (الصباح، مناوي،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الخراز، 2021). وفي اليمن، أشار باحثون إلى أن برامج مكافحة العدوى أسهمت في تقليل الوفيات الناتجة عن البكتيريا المقاومة للأدوية المتعددة في وحدات العناية المركزة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2024). وبذلك فإن هذه البرامج تمثل خط الدفاع الأول للحفاظ على حياة المرضى والكوادر الطبية على حد سواء</w:t>
      </w:r>
      <w:r w:rsidRPr="005019F4">
        <w:rPr>
          <w:rFonts w:ascii="Sakkal Majalla" w:eastAsia="Times New Roman" w:hAnsi="Sakkal Majalla" w:cs="Sakkal Majalla"/>
          <w:sz w:val="28"/>
          <w:szCs w:val="28"/>
        </w:rPr>
        <w:t>.</w:t>
      </w:r>
    </w:p>
    <w:p w14:paraId="5E539FD5"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ثانياً: تحسين جودة الرعاية وسلامة المرضى</w:t>
      </w:r>
    </w:p>
    <w:p w14:paraId="4927A2E4"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تُعتبر مكافحة العدوى جزءًا جوهريًا من جودة الرعاية الصحية، حيث لا يمكن الحديث عن خدمات صحية عالية الجودة دون وجود بيئة علاجية آمنة خالية من العدوى القابلة للانتقال. وقد أوضحت أبحاث أن إدماج مكافحة العدوى ضمن إدارة الجودة الشاملة يعزز من سلامة المرضى ويقلل من الأخطاء الطبية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فرحات، 2017). كما أن مؤشرات الجودة، مثل نسب الالتزام بغسل اليدين ومعدلات العدوى بعد العمليات الجراحية، أصبحت جزءًا من تقييم أداء المستشفيات دوليًا</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xml:space="preserve">، 2024؛ الطوس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 xml:space="preserve">الكساسبة، 2015). ومن جانب آخر، فإن المؤسسات التي تعتمد نظمًا متكاملة لمكافحة العدوى تحقق مستويات أعلى من رضا المرضى، وهو ما يعزز تنافسيتها مقارنة بغيرها (إبراهيم، الشعراوي،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زيد، 2024</w:t>
      </w:r>
      <w:r w:rsidRPr="005019F4">
        <w:rPr>
          <w:rFonts w:ascii="Sakkal Majalla" w:eastAsia="Times New Roman" w:hAnsi="Sakkal Majalla" w:cs="Sakkal Majalla" w:hint="cs"/>
          <w:sz w:val="28"/>
          <w:szCs w:val="28"/>
          <w:rtl/>
        </w:rPr>
        <w:t>)</w:t>
      </w:r>
    </w:p>
    <w:p w14:paraId="10A0EFFB"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ثالثاً: خفض التكاليف العلاجية</w:t>
      </w:r>
    </w:p>
    <w:p w14:paraId="092319EC"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من الفوائد الاقتصادية البارزة لبرامج مكافحة العدوى أنها تسهم في خفض التكاليف العلاجية بشكل كبير. فكل إصابة بعدوى مكتسبة داخل المستشفى تعني إقامة أطول، واستخدامًا أكبر للأدوية والمستلزمات، واحتمال الحاجة إلى إجراءات إضافية، مما يزيد العبء المالي على المؤسسة والمريض</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Elnour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2015</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وقد أثبتت الدراسات أن الاستثمارات في الوقاية مثل توفير المطهرات وأدوات الوقاية الشخصية وبرامج التدريب أقل بكثير من التكاليف المترتبة على معالجة العدوى بعد وقوعها</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xml:space="preserve">، </w:t>
      </w:r>
      <w:r w:rsidRPr="005019F4">
        <w:rPr>
          <w:rFonts w:ascii="Sakkal Majalla" w:eastAsia="Times New Roman" w:hAnsi="Sakkal Majalla" w:cs="Sakkal Majalla"/>
          <w:sz w:val="28"/>
          <w:szCs w:val="28"/>
          <w:rtl/>
        </w:rPr>
        <w:lastRenderedPageBreak/>
        <w:t>2020</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كما أن تقليل فترة بقاء المرضى في المستشفى نتيجة انخفاض معدلات العدوى يحرر الموارد لاستخدامها في حالات أخرى، مما يعزز كفاءة النظام الصحي ككل</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Layes</w:t>
      </w:r>
      <w:proofErr w:type="spellEnd"/>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Ghenbazi</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Lati</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hint="cs"/>
          <w:sz w:val="28"/>
          <w:szCs w:val="28"/>
          <w:rtl/>
        </w:rPr>
        <w:t>)</w:t>
      </w:r>
    </w:p>
    <w:p w14:paraId="22A62CE1" w14:textId="77777777" w:rsidR="005019F4" w:rsidRPr="005019F4" w:rsidRDefault="005019F4" w:rsidP="005019F4">
      <w:pPr>
        <w:bidi/>
        <w:spacing w:before="100" w:beforeAutospacing="1" w:after="100" w:afterAutospacing="1" w:line="360" w:lineRule="auto"/>
        <w:jc w:val="both"/>
        <w:outlineLvl w:val="2"/>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رابعاً: تعزيز ثقة المجتمع بالمؤسسات الصحية</w:t>
      </w:r>
    </w:p>
    <w:p w14:paraId="5C148BC7"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لا يقتصر أثر برامج مكافحة العدوى على الجانب العلاجي والاقتصادي، بل يمتد إلى البعد الاجتماعي والإنساني، إذ يسهم في تعزيز ثقة المجتمع بالمؤسسات الصحية. فالمستشفى الذي ينجح في السيطرة على العدوى ويضمن سلامة المرضى والعاملين يُنظر إليه كمؤسسة مسؤولة وموثوقة، وهو ما يرفع من مستوى الإقبال على خدماته (هيئة التحرير، 2017). وخلال جائحة كورونا، لعبت سياسات مكافحة العدوى دورًا محوريًا في الحفاظ على استقرار الأنظمة الصحية وبناء ثقة المواطنين في قدرتها على مواجهة الأزمات (هادي، 2020؛ المصباحي، 2022). كما أن تعزيز هذه الثقة ينعكس على سمعة المؤسسات الصحية محليًا ودوليًا، ويسهم في حصولها على اعتمادات وشهادات جودة عالمية (مختار، 2017). وهكذا، فإن مكافحة العدوى لا تحمي الأرواح فحسب، بل تبني أيضًا جسر الثقة بين المؤسسة والمجتمع</w:t>
      </w:r>
      <w:r w:rsidRPr="005019F4">
        <w:rPr>
          <w:rFonts w:ascii="Sakkal Majalla" w:eastAsia="Times New Roman" w:hAnsi="Sakkal Majalla" w:cs="Sakkal Majalla"/>
          <w:sz w:val="28"/>
          <w:szCs w:val="28"/>
        </w:rPr>
        <w:t>.</w:t>
      </w:r>
    </w:p>
    <w:p w14:paraId="1B433B8B" w14:textId="77777777" w:rsidR="005019F4" w:rsidRPr="005019F4" w:rsidRDefault="005019F4" w:rsidP="005019F4">
      <w:pPr>
        <w:bidi/>
        <w:spacing w:before="100" w:beforeAutospacing="1" w:after="100" w:afterAutospacing="1" w:line="360" w:lineRule="auto"/>
        <w:jc w:val="both"/>
        <w:outlineLvl w:val="1"/>
        <w:rPr>
          <w:rFonts w:ascii="Sakkal Majalla" w:eastAsia="Times New Roman" w:hAnsi="Sakkal Majalla" w:cs="Sakkal Majalla"/>
          <w:b/>
          <w:bCs/>
          <w:sz w:val="32"/>
          <w:szCs w:val="32"/>
        </w:rPr>
      </w:pPr>
      <w:r w:rsidRPr="005019F4">
        <w:rPr>
          <w:rFonts w:ascii="Sakkal Majalla" w:eastAsia="Times New Roman" w:hAnsi="Sakkal Majalla" w:cs="Sakkal Majalla"/>
          <w:b/>
          <w:bCs/>
          <w:sz w:val="32"/>
          <w:szCs w:val="32"/>
          <w:rtl/>
        </w:rPr>
        <w:t>خاتمة المبحث</w:t>
      </w:r>
    </w:p>
    <w:p w14:paraId="7D500CB3"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t xml:space="preserve">يتضح مما سبق أن مكافحة العدوى ليست مجرد إجراءات تقنية أو تعليمات تنظيمية، بل هي إطار استراتيجي متكامل يهدف إلى حماية الأرواح وضمان بيئة علاجية وتعليمية ومجتمعية أكثر أمانًا. فمن خلال استعراض المفاهيم والأهداف والمبادئ، تبيّن أن مكافحة العدوى تمثل خط الدفاع الأول ضد انتشار الأمراض المعدية، وتُسهم بشكل مباشر في تقليل معدلات العدوى والوفيات، وتعزيز جودة الرعاية الصحية (نصر الله، أبو شقرا،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فرحات، 2017؛</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Nazzal</w:t>
      </w:r>
      <w:proofErr w:type="spellEnd"/>
      <w:r w:rsidRPr="005019F4">
        <w:rPr>
          <w:rFonts w:ascii="Sakkal Majalla" w:eastAsia="Times New Roman" w:hAnsi="Sakkal Majalla" w:cs="Sakkal Majalla"/>
          <w:sz w:val="28"/>
          <w:szCs w:val="28"/>
        </w:rPr>
        <w:t xml:space="preserve"> &amp; </w:t>
      </w:r>
      <w:proofErr w:type="spellStart"/>
      <w:r w:rsidRPr="005019F4">
        <w:rPr>
          <w:rFonts w:ascii="Sakkal Majalla" w:eastAsia="Times New Roman" w:hAnsi="Sakkal Majalla" w:cs="Sakkal Majalla"/>
          <w:sz w:val="28"/>
          <w:szCs w:val="28"/>
        </w:rPr>
        <w:t>Al-Shawish</w:t>
      </w:r>
      <w:proofErr w:type="spellEnd"/>
      <w:r w:rsidRPr="005019F4">
        <w:rPr>
          <w:rFonts w:ascii="Sakkal Majalla" w:eastAsia="Times New Roman" w:hAnsi="Sakkal Majalla" w:cs="Sakkal Majalla"/>
          <w:sz w:val="28"/>
          <w:szCs w:val="28"/>
          <w:rtl/>
        </w:rPr>
        <w:t>، 2021</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كما أظهرت الأدلة أن نجاح هذه البرامج يعتمد على مجموعة من العناصر المتداخلة تشمل: نظم المراقبة الوبائية، بروتوكولات التعقيم والتطهير، أدوار الإدارة العليا والكوادر الطبية، إضافة إلى وعي المرضى والزوار، بحيث تصبح مكافحة العدوى مسؤولية جماعية وليست مقتصرة على جهة واحدة (الصباح، مناوي،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الخراز، 2021؛</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Abdelsalam</w:t>
      </w:r>
      <w:proofErr w:type="spellEnd"/>
      <w:r w:rsidRPr="005019F4">
        <w:rPr>
          <w:rFonts w:ascii="Sakkal Majalla" w:eastAsia="Times New Roman" w:hAnsi="Sakkal Majalla" w:cs="Sakkal Majalla"/>
          <w:sz w:val="28"/>
          <w:szCs w:val="28"/>
        </w:rPr>
        <w:t xml:space="preserve"> &amp; Briar</w:t>
      </w:r>
      <w:r w:rsidRPr="005019F4">
        <w:rPr>
          <w:rFonts w:ascii="Sakkal Majalla" w:eastAsia="Times New Roman" w:hAnsi="Sakkal Majalla" w:cs="Sakkal Majalla"/>
          <w:sz w:val="28"/>
          <w:szCs w:val="28"/>
          <w:rtl/>
        </w:rPr>
        <w:t>، 2020</w:t>
      </w:r>
      <w:r w:rsidRPr="005019F4">
        <w:rPr>
          <w:rFonts w:ascii="Sakkal Majalla" w:eastAsia="Times New Roman" w:hAnsi="Sakkal Majalla" w:cs="Sakkal Majalla" w:hint="cs"/>
          <w:sz w:val="28"/>
          <w:szCs w:val="28"/>
          <w:rtl/>
        </w:rPr>
        <w:t>)</w:t>
      </w:r>
    </w:p>
    <w:p w14:paraId="03041AA1" w14:textId="77777777" w:rsidR="005019F4" w:rsidRPr="005019F4" w:rsidRDefault="005019F4" w:rsidP="005019F4">
      <w:pPr>
        <w:bidi/>
        <w:spacing w:before="100" w:beforeAutospacing="1" w:after="100" w:afterAutospacing="1" w:line="360" w:lineRule="auto"/>
        <w:jc w:val="both"/>
        <w:rPr>
          <w:rFonts w:ascii="Sakkal Majalla" w:eastAsia="Times New Roman" w:hAnsi="Sakkal Majalla" w:cs="Sakkal Majalla"/>
          <w:sz w:val="28"/>
          <w:szCs w:val="28"/>
        </w:rPr>
      </w:pPr>
      <w:r w:rsidRPr="005019F4">
        <w:rPr>
          <w:rFonts w:ascii="Sakkal Majalla" w:eastAsia="Times New Roman" w:hAnsi="Sakkal Majalla" w:cs="Sakkal Majalla"/>
          <w:sz w:val="28"/>
          <w:szCs w:val="28"/>
          <w:rtl/>
        </w:rPr>
        <w:lastRenderedPageBreak/>
        <w:t>إلى جانب ذلك، كشفت الممارسة العملية عن وجود تحديات جوهرية مثل مقاومة الميكروبات للمضادات الحيوية، ونقص الموارد أو التدريب، وضعف الالتزام بالإجراءات الوقائية</w:t>
      </w:r>
      <w:r w:rsidRPr="005019F4">
        <w:rPr>
          <w:rFonts w:ascii="Sakkal Majalla" w:eastAsia="Times New Roman" w:hAnsi="Sakkal Majalla" w:cs="Sakkal Majalla"/>
          <w:sz w:val="28"/>
          <w:szCs w:val="28"/>
        </w:rPr>
        <w:t xml:space="preserve"> (</w:t>
      </w:r>
      <w:proofErr w:type="spellStart"/>
      <w:r w:rsidRPr="005019F4">
        <w:rPr>
          <w:rFonts w:ascii="Sakkal Majalla" w:eastAsia="Times New Roman" w:hAnsi="Sakkal Majalla" w:cs="Sakkal Majalla"/>
          <w:sz w:val="28"/>
          <w:szCs w:val="28"/>
        </w:rPr>
        <w:t>Nasher</w:t>
      </w:r>
      <w:proofErr w:type="spellEnd"/>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وآخرون، 2024؛ مختار، 2017</w:t>
      </w:r>
      <w:r w:rsidRPr="005019F4">
        <w:rPr>
          <w:rFonts w:ascii="Sakkal Majalla" w:eastAsia="Times New Roman" w:hAnsi="Sakkal Majalla" w:cs="Sakkal Majalla"/>
          <w:sz w:val="28"/>
          <w:szCs w:val="28"/>
        </w:rPr>
        <w:t xml:space="preserve">). </w:t>
      </w:r>
      <w:r w:rsidRPr="005019F4">
        <w:rPr>
          <w:rFonts w:ascii="Sakkal Majalla" w:eastAsia="Times New Roman" w:hAnsi="Sakkal Majalla" w:cs="Sakkal Majalla"/>
          <w:sz w:val="28"/>
          <w:szCs w:val="28"/>
          <w:rtl/>
        </w:rPr>
        <w:t xml:space="preserve">غير أن الفوائد العديدة لهذه البرامج، والمتمثلة في تحسين جودة الرعاية وسلامة المرضى، وخفض التكاليف العلاجية، وتعزيز ثقة المجتمع بالمؤسسات الصحية، تجعل من الاستثمار في مكافحة العدوى خيارًا استراتيجيًا لا غنى عنه (إبراهيم، الشعراوي، </w:t>
      </w:r>
      <w:r w:rsidRPr="005019F4">
        <w:rPr>
          <w:rFonts w:ascii="Sakkal Majalla" w:eastAsia="Times New Roman" w:hAnsi="Sakkal Majalla" w:cs="Sakkal Majalla"/>
          <w:sz w:val="28"/>
          <w:szCs w:val="28"/>
        </w:rPr>
        <w:t xml:space="preserve">&amp; </w:t>
      </w:r>
      <w:r w:rsidRPr="005019F4">
        <w:rPr>
          <w:rFonts w:ascii="Sakkal Majalla" w:eastAsia="Times New Roman" w:hAnsi="Sakkal Majalla" w:cs="Sakkal Majalla"/>
          <w:sz w:val="28"/>
          <w:szCs w:val="28"/>
          <w:rtl/>
        </w:rPr>
        <w:t>زيد، 2024؛</w:t>
      </w:r>
      <w:r w:rsidRPr="005019F4">
        <w:rPr>
          <w:rFonts w:ascii="Sakkal Majalla" w:eastAsia="Times New Roman" w:hAnsi="Sakkal Majalla" w:cs="Sakkal Majalla"/>
          <w:sz w:val="28"/>
          <w:szCs w:val="28"/>
        </w:rPr>
        <w:t xml:space="preserve"> Abdel-Hamid</w:t>
      </w:r>
      <w:r w:rsidRPr="005019F4">
        <w:rPr>
          <w:rFonts w:ascii="Sakkal Majalla" w:eastAsia="Times New Roman" w:hAnsi="Sakkal Majalla" w:cs="Sakkal Majalla"/>
          <w:sz w:val="28"/>
          <w:szCs w:val="28"/>
          <w:rtl/>
        </w:rPr>
        <w:t>، 2024</w:t>
      </w:r>
      <w:r w:rsidRPr="005019F4">
        <w:rPr>
          <w:rFonts w:ascii="Sakkal Majalla" w:eastAsia="Times New Roman" w:hAnsi="Sakkal Majalla" w:cs="Sakkal Majalla" w:hint="cs"/>
          <w:sz w:val="28"/>
          <w:szCs w:val="28"/>
          <w:rtl/>
        </w:rPr>
        <w:t>)</w:t>
      </w:r>
    </w:p>
    <w:bookmarkEnd w:id="29"/>
    <w:p w14:paraId="4F7E3FAB" w14:textId="77777777" w:rsidR="005019F4" w:rsidRPr="005019F4" w:rsidRDefault="005019F4" w:rsidP="005019F4">
      <w:pPr>
        <w:bidi/>
        <w:outlineLvl w:val="0"/>
        <w:rPr>
          <w:rFonts w:ascii="Times New Roman" w:eastAsia="Times New Roman" w:hAnsi="Times New Roman" w:cs="Times New Roman"/>
          <w:b/>
          <w:bCs/>
          <w:sz w:val="24"/>
          <w:szCs w:val="24"/>
          <w:rtl/>
        </w:rPr>
      </w:pPr>
    </w:p>
    <w:p w14:paraId="395D7145" w14:textId="77777777" w:rsidR="005019F4" w:rsidRPr="005019F4" w:rsidRDefault="005019F4" w:rsidP="005019F4">
      <w:pPr>
        <w:bidi/>
        <w:outlineLvl w:val="0"/>
        <w:rPr>
          <w:rFonts w:ascii="Times New Roman" w:eastAsia="Times New Roman" w:hAnsi="Times New Roman" w:cs="Times New Roman"/>
          <w:b/>
          <w:bCs/>
          <w:sz w:val="24"/>
          <w:szCs w:val="24"/>
          <w:rtl/>
          <w:lang w:bidi="ar-EG"/>
        </w:rPr>
      </w:pPr>
    </w:p>
    <w:p w14:paraId="141BC83C" w14:textId="77777777" w:rsidR="00E44679" w:rsidRPr="000508C0" w:rsidRDefault="00E44679" w:rsidP="00E44679">
      <w:pPr>
        <w:bidi/>
        <w:jc w:val="center"/>
        <w:outlineLvl w:val="0"/>
        <w:rPr>
          <w:rFonts w:ascii="Times New Roman" w:eastAsia="Times New Roman" w:hAnsi="Times New Roman" w:cs="Times New Roman"/>
          <w:b/>
          <w:bCs/>
          <w:sz w:val="24"/>
          <w:szCs w:val="24"/>
          <w:rtl/>
          <w:lang w:bidi="ar-EG"/>
        </w:rPr>
      </w:pPr>
    </w:p>
    <w:p w14:paraId="33A57F14" w14:textId="77777777" w:rsidR="00E44679" w:rsidRPr="000508C0" w:rsidRDefault="00E44679" w:rsidP="00E44679">
      <w:pPr>
        <w:bidi/>
        <w:jc w:val="center"/>
        <w:outlineLvl w:val="0"/>
        <w:rPr>
          <w:rFonts w:ascii="Times New Roman" w:eastAsia="Times New Roman" w:hAnsi="Times New Roman" w:cs="Times New Roman"/>
          <w:b/>
          <w:bCs/>
          <w:sz w:val="24"/>
          <w:szCs w:val="24"/>
          <w:rtl/>
        </w:rPr>
      </w:pPr>
    </w:p>
    <w:p w14:paraId="381DE1AC" w14:textId="77777777" w:rsidR="00E44679" w:rsidRPr="000508C0" w:rsidRDefault="00E44679" w:rsidP="00E15775">
      <w:pPr>
        <w:bidi/>
        <w:outlineLvl w:val="0"/>
        <w:rPr>
          <w:rFonts w:ascii="Times New Roman" w:eastAsia="Times New Roman" w:hAnsi="Times New Roman" w:cs="Times New Roman"/>
          <w:b/>
          <w:bCs/>
          <w:sz w:val="24"/>
          <w:szCs w:val="24"/>
          <w:rtl/>
        </w:rPr>
      </w:pPr>
    </w:p>
    <w:p w14:paraId="31B7A692" w14:textId="38F0A95F" w:rsidR="00456B18" w:rsidRPr="000508C0" w:rsidRDefault="00CD5D51" w:rsidP="001D300E">
      <w:pPr>
        <w:bidi/>
        <w:spacing w:before="100" w:beforeAutospacing="1" w:after="100" w:afterAutospacing="1" w:line="240" w:lineRule="auto"/>
        <w:jc w:val="both"/>
        <w:outlineLvl w:val="0"/>
        <w:rPr>
          <w:rFonts w:ascii="Sakkal Majalla" w:eastAsia="Calibri" w:hAnsi="Sakkal Majalla" w:cs="Sakkal Majalla"/>
          <w:b/>
          <w:bCs/>
          <w:kern w:val="2"/>
          <w:sz w:val="40"/>
          <w:szCs w:val="40"/>
        </w:rPr>
      </w:pPr>
      <w:bookmarkStart w:id="31" w:name="_Toc180449163"/>
      <w:bookmarkEnd w:id="8"/>
      <w:bookmarkEnd w:id="9"/>
      <w:r w:rsidRPr="000508C0">
        <w:rPr>
          <w:rFonts w:ascii="Sakkal Majalla" w:eastAsia="Times New Roman" w:hAnsi="Sakkal Majalla" w:cs="Sakkal Majalla"/>
          <w:sz w:val="32"/>
          <w:szCs w:val="32"/>
        </w:rPr>
        <w:br w:type="page"/>
      </w:r>
      <w:bookmarkStart w:id="32" w:name="_Toc153867316"/>
      <w:bookmarkStart w:id="33" w:name="_Hlk203279269"/>
      <w:r w:rsidR="00456B18" w:rsidRPr="000508C0">
        <w:rPr>
          <w:rFonts w:ascii="Sakkal Majalla" w:eastAsia="Calibri" w:hAnsi="Sakkal Majalla" w:cs="Sakkal Majalla"/>
          <w:b/>
          <w:bCs/>
          <w:kern w:val="2"/>
          <w:sz w:val="40"/>
          <w:szCs w:val="40"/>
          <w:rtl/>
        </w:rPr>
        <w:lastRenderedPageBreak/>
        <w:t>المراجع</w:t>
      </w:r>
      <w:bookmarkEnd w:id="31"/>
      <w:bookmarkEnd w:id="32"/>
    </w:p>
    <w:p w14:paraId="65B68F1A" w14:textId="0337A107" w:rsidR="00A02667" w:rsidRPr="000508C0" w:rsidRDefault="00124490" w:rsidP="00122610">
      <w:pPr>
        <w:bidi/>
        <w:spacing w:before="100" w:beforeAutospacing="1" w:after="100" w:afterAutospacing="1" w:line="360" w:lineRule="auto"/>
        <w:jc w:val="both"/>
        <w:outlineLvl w:val="1"/>
        <w:rPr>
          <w:rFonts w:ascii="Sakkal Majalla" w:eastAsia="Calibri" w:hAnsi="Sakkal Majalla" w:cs="Sakkal Majalla"/>
          <w:b/>
          <w:bCs/>
          <w:kern w:val="2"/>
          <w:sz w:val="36"/>
          <w:szCs w:val="36"/>
          <w:lang w:bidi="ar-EG"/>
        </w:rPr>
      </w:pPr>
      <w:bookmarkStart w:id="34" w:name="_Toc153867317"/>
      <w:bookmarkStart w:id="35" w:name="_Toc180449164"/>
      <w:r w:rsidRPr="000508C0">
        <w:rPr>
          <w:rFonts w:ascii="Sakkal Majalla" w:eastAsia="Calibri" w:hAnsi="Sakkal Majalla" w:cs="Sakkal Majalla"/>
          <w:b/>
          <w:bCs/>
          <w:kern w:val="2"/>
          <w:sz w:val="36"/>
          <w:szCs w:val="36"/>
          <w:rtl/>
          <w:lang w:bidi="ar-EG"/>
        </w:rPr>
        <w:t xml:space="preserve">أولاً: </w:t>
      </w:r>
      <w:r w:rsidR="00456B18" w:rsidRPr="000508C0">
        <w:rPr>
          <w:rFonts w:ascii="Sakkal Majalla" w:eastAsia="Calibri" w:hAnsi="Sakkal Majalla" w:cs="Sakkal Majalla"/>
          <w:b/>
          <w:bCs/>
          <w:kern w:val="2"/>
          <w:sz w:val="36"/>
          <w:szCs w:val="36"/>
          <w:rtl/>
          <w:lang w:bidi="ar-EG"/>
        </w:rPr>
        <w:t>المراجع العربية</w:t>
      </w:r>
      <w:bookmarkEnd w:id="34"/>
      <w:bookmarkEnd w:id="35"/>
      <w:r w:rsidR="00456B18" w:rsidRPr="000508C0">
        <w:rPr>
          <w:rFonts w:ascii="Sakkal Majalla" w:eastAsia="Calibri" w:hAnsi="Sakkal Majalla" w:cs="Sakkal Majalla"/>
          <w:b/>
          <w:bCs/>
          <w:kern w:val="2"/>
          <w:sz w:val="36"/>
          <w:szCs w:val="36"/>
          <w:rtl/>
          <w:lang w:bidi="ar-EG"/>
        </w:rPr>
        <w:t xml:space="preserve"> </w:t>
      </w:r>
    </w:p>
    <w:p w14:paraId="6AD9A03E"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bookmarkStart w:id="36" w:name="_Toc180449165"/>
      <w:r w:rsidRPr="000508C0">
        <w:rPr>
          <w:rFonts w:cs="Sakkal Majalla"/>
          <w:szCs w:val="28"/>
          <w:rtl/>
        </w:rPr>
        <w:t>المطيري، رائد نزال. (2023). أثر ممارسات إدارة المخاطر على جودة الرعاية الصحية في قطاع الخدمات الصحية بالقصيم: دراسة حالة مستشفى المذنب العام</w:t>
      </w:r>
      <w:r w:rsidRPr="000508C0">
        <w:rPr>
          <w:rFonts w:cs="Sakkal Majalla"/>
          <w:szCs w:val="28"/>
        </w:rPr>
        <w:t>. </w:t>
      </w:r>
      <w:r w:rsidRPr="000508C0">
        <w:rPr>
          <w:rFonts w:cs="Sakkal Majalla"/>
          <w:i/>
          <w:iCs/>
          <w:szCs w:val="28"/>
          <w:rtl/>
        </w:rPr>
        <w:t>مجلة رماح للبحوث والدراسات، ع87</w:t>
      </w:r>
      <w:r w:rsidRPr="000508C0">
        <w:rPr>
          <w:rFonts w:cs="Sakkal Majalla"/>
          <w:szCs w:val="28"/>
          <w:rtl/>
        </w:rPr>
        <w:t> ، 407</w:t>
      </w:r>
      <w:r w:rsidRPr="000508C0">
        <w:rPr>
          <w:rFonts w:cs="Sakkal Majalla"/>
          <w:szCs w:val="28"/>
        </w:rPr>
        <w:t xml:space="preserve"> - 452. </w:t>
      </w:r>
      <w:r w:rsidRPr="000508C0">
        <w:rPr>
          <w:rFonts w:cs="Sakkal Majalla"/>
          <w:szCs w:val="28"/>
          <w:rtl/>
        </w:rPr>
        <w:t>مسترجع من</w:t>
      </w:r>
      <w:r w:rsidRPr="000508C0">
        <w:rPr>
          <w:rFonts w:cs="Sakkal Majalla"/>
          <w:szCs w:val="28"/>
        </w:rPr>
        <w:t xml:space="preserve"> http://search.mandumah.com/Record/1424869</w:t>
      </w:r>
    </w:p>
    <w:p w14:paraId="39E556A5" w14:textId="1ADCA3B9"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مصطفى، وجيه </w:t>
      </w:r>
      <w:r w:rsidR="008B701D" w:rsidRPr="000508C0">
        <w:rPr>
          <w:rFonts w:cs="Sakkal Majalla" w:hint="cs"/>
          <w:szCs w:val="28"/>
          <w:rtl/>
        </w:rPr>
        <w:t>عبد الل</w:t>
      </w:r>
      <w:r w:rsidR="008B701D" w:rsidRPr="000508C0">
        <w:rPr>
          <w:rFonts w:cs="Sakkal Majalla" w:hint="eastAsia"/>
          <w:szCs w:val="28"/>
          <w:rtl/>
        </w:rPr>
        <w:t>ه</w:t>
      </w:r>
      <w:r w:rsidRPr="000508C0">
        <w:rPr>
          <w:rFonts w:cs="Sakkal Majalla"/>
          <w:szCs w:val="28"/>
          <w:rtl/>
        </w:rPr>
        <w:t xml:space="preserve"> فهمي. (2012). إدارة مخاطر الوعي البيئي: مقتروحات و توصيات : دراسة تطبيقية على محافظة الطائف</w:t>
      </w:r>
      <w:r w:rsidRPr="000508C0">
        <w:rPr>
          <w:rFonts w:cs="Sakkal Majalla"/>
          <w:szCs w:val="28"/>
        </w:rPr>
        <w:t>. </w:t>
      </w:r>
      <w:r w:rsidRPr="000508C0">
        <w:rPr>
          <w:rFonts w:cs="Sakkal Majalla"/>
          <w:i/>
          <w:iCs/>
          <w:szCs w:val="28"/>
          <w:rtl/>
        </w:rPr>
        <w:t>مجلة البحوث التجارية المعاصرة، مج 26, ع 1</w:t>
      </w:r>
      <w:r w:rsidRPr="000508C0">
        <w:rPr>
          <w:rFonts w:cs="Sakkal Majalla"/>
          <w:szCs w:val="28"/>
          <w:rtl/>
        </w:rPr>
        <w:t> ، 303</w:t>
      </w:r>
      <w:r w:rsidRPr="000508C0">
        <w:rPr>
          <w:rFonts w:cs="Sakkal Majalla"/>
          <w:szCs w:val="28"/>
        </w:rPr>
        <w:t xml:space="preserve"> - 355. </w:t>
      </w:r>
      <w:r w:rsidRPr="000508C0">
        <w:rPr>
          <w:rFonts w:cs="Sakkal Majalla"/>
          <w:szCs w:val="28"/>
          <w:rtl/>
        </w:rPr>
        <w:t>مسترجع من</w:t>
      </w:r>
      <w:r w:rsidRPr="000508C0">
        <w:rPr>
          <w:rFonts w:cs="Sakkal Majalla"/>
          <w:szCs w:val="28"/>
        </w:rPr>
        <w:t xml:space="preserve"> http://search.mandumah.com/Record/332922</w:t>
      </w:r>
    </w:p>
    <w:p w14:paraId="2E39D5FA"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شحاتة، حامد أحمد محمد، و بدير، المتولي إسماعيل. (2021). إدارة المخاطر الصحية والبيئية بمؤسسات التعليم قبل الجامعي بمصر: الواقع - المأمول</w:t>
      </w:r>
      <w:r w:rsidRPr="000508C0">
        <w:rPr>
          <w:rFonts w:cs="Sakkal Majalla"/>
          <w:szCs w:val="28"/>
        </w:rPr>
        <w:t>. </w:t>
      </w:r>
      <w:r w:rsidRPr="000508C0">
        <w:rPr>
          <w:rFonts w:cs="Sakkal Majalla"/>
          <w:i/>
          <w:iCs/>
          <w:szCs w:val="28"/>
          <w:rtl/>
        </w:rPr>
        <w:t>مجلة جامعة الفيوم للعلوم التربوية والنفسية، ع15, ج2</w:t>
      </w:r>
      <w:r w:rsidRPr="000508C0">
        <w:rPr>
          <w:rFonts w:cs="Sakkal Majalla"/>
          <w:szCs w:val="28"/>
          <w:rtl/>
        </w:rPr>
        <w:t> ، 74</w:t>
      </w:r>
      <w:r w:rsidRPr="000508C0">
        <w:rPr>
          <w:rFonts w:cs="Sakkal Majalla"/>
          <w:szCs w:val="28"/>
        </w:rPr>
        <w:t xml:space="preserve"> - 135. </w:t>
      </w:r>
      <w:r w:rsidRPr="000508C0">
        <w:rPr>
          <w:rFonts w:cs="Sakkal Majalla"/>
          <w:szCs w:val="28"/>
          <w:rtl/>
        </w:rPr>
        <w:t>مسترجع من</w:t>
      </w:r>
      <w:r w:rsidRPr="000508C0">
        <w:rPr>
          <w:rFonts w:cs="Sakkal Majalla"/>
          <w:szCs w:val="28"/>
        </w:rPr>
        <w:t xml:space="preserve"> http://search.mandumah.com/Record/1178741</w:t>
      </w:r>
    </w:p>
    <w:p w14:paraId="7BD2B015"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بدير، أيمن إسماعيل. (2023). إدارة المخاطر الصحية والبيئية والسكانية بمدارس التعليم العام: المعوقات - سبل المواجهة</w:t>
      </w:r>
      <w:r w:rsidRPr="000508C0">
        <w:rPr>
          <w:rFonts w:cs="Sakkal Majalla"/>
          <w:szCs w:val="28"/>
        </w:rPr>
        <w:t>. </w:t>
      </w:r>
      <w:r w:rsidRPr="000508C0">
        <w:rPr>
          <w:rFonts w:cs="Sakkal Majalla"/>
          <w:i/>
          <w:iCs/>
          <w:szCs w:val="28"/>
          <w:rtl/>
        </w:rPr>
        <w:t>مجلة تطوير الأداء الجامعي، مج24, ع1</w:t>
      </w:r>
      <w:r w:rsidRPr="000508C0">
        <w:rPr>
          <w:rFonts w:cs="Sakkal Majalla"/>
          <w:szCs w:val="28"/>
          <w:rtl/>
        </w:rPr>
        <w:t> ، 3</w:t>
      </w:r>
      <w:r w:rsidRPr="000508C0">
        <w:rPr>
          <w:rFonts w:cs="Sakkal Majalla"/>
          <w:szCs w:val="28"/>
        </w:rPr>
        <w:t xml:space="preserve"> - 15. </w:t>
      </w:r>
      <w:r w:rsidRPr="000508C0">
        <w:rPr>
          <w:rFonts w:cs="Sakkal Majalla"/>
          <w:szCs w:val="28"/>
          <w:rtl/>
        </w:rPr>
        <w:t>مسترجع من</w:t>
      </w:r>
      <w:r w:rsidRPr="000508C0">
        <w:rPr>
          <w:rFonts w:cs="Sakkal Majalla"/>
          <w:szCs w:val="28"/>
        </w:rPr>
        <w:t xml:space="preserve"> http://search.mandumah.com/Record/1418051</w:t>
      </w:r>
    </w:p>
    <w:p w14:paraId="5CBA14C8"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معياش، إدير، و راشدى، وردية. (2021). اتصال المخاطر ودوره في إدارة الأزمة الصحية العالمية: دراسة إثنومتدولوجية على منطقة القبائل (الجزائر)</w:t>
      </w:r>
      <w:r w:rsidRPr="000508C0">
        <w:rPr>
          <w:rFonts w:cs="Sakkal Majalla"/>
          <w:szCs w:val="28"/>
        </w:rPr>
        <w:t>. </w:t>
      </w:r>
      <w:r w:rsidRPr="000508C0">
        <w:rPr>
          <w:rFonts w:cs="Sakkal Majalla"/>
          <w:i/>
          <w:iCs/>
          <w:szCs w:val="28"/>
          <w:rtl/>
        </w:rPr>
        <w:t>المجلة الجزائرية للعلوم الاجتماعية والانسانية، مج9, ع2</w:t>
      </w:r>
      <w:r w:rsidRPr="000508C0">
        <w:rPr>
          <w:rFonts w:cs="Sakkal Majalla"/>
          <w:szCs w:val="28"/>
          <w:rtl/>
        </w:rPr>
        <w:t> ، 140</w:t>
      </w:r>
      <w:r w:rsidRPr="000508C0">
        <w:rPr>
          <w:rFonts w:cs="Sakkal Majalla"/>
          <w:szCs w:val="28"/>
        </w:rPr>
        <w:t xml:space="preserve"> - 160. </w:t>
      </w:r>
      <w:r w:rsidRPr="000508C0">
        <w:rPr>
          <w:rFonts w:cs="Sakkal Majalla"/>
          <w:szCs w:val="28"/>
          <w:rtl/>
        </w:rPr>
        <w:t>مسترجع من</w:t>
      </w:r>
      <w:r w:rsidRPr="000508C0">
        <w:rPr>
          <w:rFonts w:cs="Sakkal Majalla"/>
          <w:szCs w:val="28"/>
        </w:rPr>
        <w:t xml:space="preserve"> http://search.mandumah.com/Record/1250893</w:t>
      </w:r>
    </w:p>
    <w:p w14:paraId="69BC1FEF"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lastRenderedPageBreak/>
        <w:t>جنيدى، عادل كمال الدين على. (2020). إدارة المخاطر في المجال الرياضي: دراسة حالة على وباء فيروس كورونا</w:t>
      </w:r>
      <w:r w:rsidRPr="000508C0">
        <w:rPr>
          <w:rFonts w:cs="Sakkal Majalla"/>
          <w:szCs w:val="28"/>
        </w:rPr>
        <w:t>. </w:t>
      </w:r>
      <w:r w:rsidRPr="000508C0">
        <w:rPr>
          <w:rFonts w:cs="Sakkal Majalla"/>
          <w:i/>
          <w:iCs/>
          <w:szCs w:val="28"/>
          <w:rtl/>
        </w:rPr>
        <w:t>المجلة العلمية للبحوث والدراسات في التربية الرياضية، ع40</w:t>
      </w:r>
      <w:r w:rsidRPr="000508C0">
        <w:rPr>
          <w:rFonts w:cs="Sakkal Majalla"/>
          <w:szCs w:val="28"/>
          <w:rtl/>
        </w:rPr>
        <w:t> ، 350</w:t>
      </w:r>
      <w:r w:rsidRPr="000508C0">
        <w:rPr>
          <w:rFonts w:cs="Sakkal Majalla"/>
          <w:szCs w:val="28"/>
        </w:rPr>
        <w:t xml:space="preserve"> - 368. </w:t>
      </w:r>
      <w:r w:rsidRPr="000508C0">
        <w:rPr>
          <w:rFonts w:cs="Sakkal Majalla"/>
          <w:szCs w:val="28"/>
          <w:rtl/>
        </w:rPr>
        <w:t>مسترجع من</w:t>
      </w:r>
      <w:r w:rsidRPr="000508C0">
        <w:rPr>
          <w:rFonts w:cs="Sakkal Majalla"/>
          <w:szCs w:val="28"/>
        </w:rPr>
        <w:t xml:space="preserve"> http://search.mandumah.com/Record/1092824</w:t>
      </w:r>
    </w:p>
    <w:p w14:paraId="71220783"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أقريقز، محمد. (2020). إدارة الأزمات وتدبير المخاطر: أزمة جائحة فيروس كورونا كوفيد 19: قراءة في التجربة المغربية بين النص الدستوري والممارسة</w:t>
      </w:r>
      <w:r w:rsidRPr="000508C0">
        <w:rPr>
          <w:rFonts w:cs="Sakkal Majalla"/>
          <w:szCs w:val="28"/>
        </w:rPr>
        <w:t>. </w:t>
      </w:r>
      <w:r w:rsidRPr="000508C0">
        <w:rPr>
          <w:rFonts w:cs="Sakkal Majalla"/>
          <w:i/>
          <w:iCs/>
          <w:szCs w:val="28"/>
          <w:rtl/>
        </w:rPr>
        <w:t>مجلة منازعات الأعمال، ع57</w:t>
      </w:r>
      <w:r w:rsidRPr="000508C0">
        <w:rPr>
          <w:rFonts w:cs="Sakkal Majalla"/>
          <w:szCs w:val="28"/>
          <w:rtl/>
        </w:rPr>
        <w:t> ، 232</w:t>
      </w:r>
      <w:r w:rsidRPr="000508C0">
        <w:rPr>
          <w:rFonts w:cs="Sakkal Majalla"/>
          <w:szCs w:val="28"/>
        </w:rPr>
        <w:t xml:space="preserve"> - 255. </w:t>
      </w:r>
      <w:r w:rsidRPr="000508C0">
        <w:rPr>
          <w:rFonts w:cs="Sakkal Majalla"/>
          <w:szCs w:val="28"/>
          <w:rtl/>
        </w:rPr>
        <w:t>مسترجع من</w:t>
      </w:r>
      <w:r w:rsidRPr="000508C0">
        <w:rPr>
          <w:rFonts w:cs="Sakkal Majalla"/>
          <w:szCs w:val="28"/>
        </w:rPr>
        <w:t xml:space="preserve"> http://search.mandumah.com/Record/1096163</w:t>
      </w:r>
    </w:p>
    <w:p w14:paraId="418717D0"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عثمان، أحمد رشاد محمد، و آل جحني، محمد علي. (2023). إدارة المخاطر الصحية أثناء الأحداث الرياضية الكبرى: دولة قطر نموذجا</w:t>
      </w:r>
      <w:r w:rsidRPr="000508C0">
        <w:rPr>
          <w:rFonts w:cs="Sakkal Majalla"/>
          <w:szCs w:val="28"/>
        </w:rPr>
        <w:t>. </w:t>
      </w:r>
      <w:r w:rsidRPr="000508C0">
        <w:rPr>
          <w:rFonts w:cs="Sakkal Majalla"/>
          <w:i/>
          <w:iCs/>
          <w:szCs w:val="28"/>
          <w:rtl/>
        </w:rPr>
        <w:t>المجلة العلمیة للتربیة البدنیة والریاضة، ع22</w:t>
      </w:r>
      <w:r w:rsidRPr="000508C0">
        <w:rPr>
          <w:rFonts w:cs="Sakkal Majalla"/>
          <w:szCs w:val="28"/>
          <w:rtl/>
        </w:rPr>
        <w:t> ، 1</w:t>
      </w:r>
      <w:r w:rsidRPr="000508C0">
        <w:rPr>
          <w:rFonts w:cs="Sakkal Majalla"/>
          <w:szCs w:val="28"/>
        </w:rPr>
        <w:t xml:space="preserve"> - 19. </w:t>
      </w:r>
      <w:r w:rsidRPr="000508C0">
        <w:rPr>
          <w:rFonts w:cs="Sakkal Majalla"/>
          <w:szCs w:val="28"/>
          <w:rtl/>
        </w:rPr>
        <w:t>مسترجع من</w:t>
      </w:r>
      <w:r w:rsidRPr="000508C0">
        <w:rPr>
          <w:rFonts w:cs="Sakkal Majalla"/>
          <w:szCs w:val="28"/>
        </w:rPr>
        <w:t xml:space="preserve"> http://search.mandumah.com/Record/1409720</w:t>
      </w:r>
    </w:p>
    <w:p w14:paraId="76A95DB3"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الربيعي، رشا جواد جمعة. (2021). مسؤولية الإدارة تجاه مخاطر النفايات الصحية</w:t>
      </w:r>
      <w:r w:rsidRPr="000508C0">
        <w:rPr>
          <w:rFonts w:cs="Sakkal Majalla"/>
          <w:szCs w:val="28"/>
        </w:rPr>
        <w:t>. </w:t>
      </w:r>
      <w:r w:rsidRPr="000508C0">
        <w:rPr>
          <w:rFonts w:cs="Sakkal Majalla"/>
          <w:i/>
          <w:iCs/>
          <w:szCs w:val="28"/>
          <w:rtl/>
        </w:rPr>
        <w:t>المجلة الدولية أبحاث في العلوم التربوية والإنسانية والآداب واللغات، مج2, ع4</w:t>
      </w:r>
      <w:r w:rsidRPr="000508C0">
        <w:rPr>
          <w:rFonts w:cs="Sakkal Majalla"/>
          <w:szCs w:val="28"/>
          <w:rtl/>
        </w:rPr>
        <w:t> ، 17</w:t>
      </w:r>
      <w:r w:rsidRPr="000508C0">
        <w:rPr>
          <w:rFonts w:cs="Sakkal Majalla"/>
          <w:szCs w:val="28"/>
        </w:rPr>
        <w:t xml:space="preserve"> - 46. </w:t>
      </w:r>
      <w:r w:rsidRPr="000508C0">
        <w:rPr>
          <w:rFonts w:cs="Sakkal Majalla"/>
          <w:szCs w:val="28"/>
          <w:rtl/>
        </w:rPr>
        <w:t>مسترجع من</w:t>
      </w:r>
      <w:r w:rsidRPr="000508C0">
        <w:rPr>
          <w:rFonts w:cs="Sakkal Majalla"/>
          <w:szCs w:val="28"/>
        </w:rPr>
        <w:t xml:space="preserve"> http://search.mandumah.com/Record/1132428</w:t>
      </w:r>
    </w:p>
    <w:p w14:paraId="5A7CA5BF"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طاهري، طيبة، و شكيب، كاهية أحمد. (2019). إدارة المخاطر في المؤسسات الصحية: دراسة حالة المؤسسة الاستشفائية الجامعية 1 نوفمبر 1954 بوهران</w:t>
      </w:r>
      <w:r w:rsidRPr="000508C0">
        <w:rPr>
          <w:rFonts w:cs="Sakkal Majalla"/>
          <w:szCs w:val="28"/>
        </w:rPr>
        <w:t>. </w:t>
      </w:r>
      <w:r w:rsidRPr="000508C0">
        <w:rPr>
          <w:rFonts w:cs="Sakkal Majalla"/>
          <w:i/>
          <w:iCs/>
          <w:szCs w:val="28"/>
          <w:rtl/>
        </w:rPr>
        <w:t>مجلة الاقتصاد الصناعي - خزارتك، مج9, ع1</w:t>
      </w:r>
      <w:r w:rsidRPr="000508C0">
        <w:rPr>
          <w:rFonts w:cs="Sakkal Majalla"/>
          <w:szCs w:val="28"/>
          <w:rtl/>
        </w:rPr>
        <w:t> ، 300</w:t>
      </w:r>
      <w:r w:rsidRPr="000508C0">
        <w:rPr>
          <w:rFonts w:cs="Sakkal Majalla"/>
          <w:szCs w:val="28"/>
        </w:rPr>
        <w:t xml:space="preserve"> - 315. </w:t>
      </w:r>
      <w:r w:rsidRPr="000508C0">
        <w:rPr>
          <w:rFonts w:cs="Sakkal Majalla"/>
          <w:szCs w:val="28"/>
          <w:rtl/>
        </w:rPr>
        <w:t>مسترجع من</w:t>
      </w:r>
      <w:r w:rsidRPr="000508C0">
        <w:rPr>
          <w:rFonts w:cs="Sakkal Majalla"/>
          <w:szCs w:val="28"/>
        </w:rPr>
        <w:t xml:space="preserve"> http://search.mandumah.com/Record/1143562</w:t>
      </w:r>
    </w:p>
    <w:p w14:paraId="7AEF64D4" w14:textId="4EBA9C5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صبح، محمود محمد عبدالهادي. (2000). إدارة مخاطر السمعة: في إطار إدارة الأزمات في </w:t>
      </w:r>
      <w:r w:rsidR="000508C0">
        <w:rPr>
          <w:rFonts w:cs="Sakkal Majalla"/>
          <w:szCs w:val="28"/>
          <w:rtl/>
        </w:rPr>
        <w:t xml:space="preserve">المستشفى </w:t>
      </w:r>
      <w:r w:rsidRPr="000508C0">
        <w:rPr>
          <w:rFonts w:cs="Sakkal Majalla"/>
          <w:szCs w:val="28"/>
          <w:rtl/>
        </w:rPr>
        <w:t xml:space="preserve"> (ورقة عمل)</w:t>
      </w:r>
      <w:r w:rsidRPr="000508C0">
        <w:rPr>
          <w:rFonts w:cs="Sakkal Majalla"/>
          <w:szCs w:val="28"/>
        </w:rPr>
        <w:t>. </w:t>
      </w:r>
      <w:r w:rsidRPr="000508C0">
        <w:rPr>
          <w:rFonts w:cs="Sakkal Majalla"/>
          <w:i/>
          <w:iCs/>
          <w:szCs w:val="28"/>
          <w:rtl/>
        </w:rPr>
        <w:t>المؤتمر السنوى الخامس لإدارة الأزمات والكوارث، مج 2</w:t>
      </w:r>
      <w:r w:rsidRPr="000508C0">
        <w:rPr>
          <w:rFonts w:cs="Sakkal Majalla"/>
          <w:szCs w:val="28"/>
          <w:rtl/>
        </w:rPr>
        <w:t> ، القاهرة: كلية التجارة - جامعة عين شمس، 192 - 209. مسترجع من</w:t>
      </w:r>
      <w:r w:rsidRPr="000508C0">
        <w:rPr>
          <w:rFonts w:cs="Sakkal Majalla"/>
          <w:szCs w:val="28"/>
        </w:rPr>
        <w:t xml:space="preserve"> http://search.mandumah.com/Record/51624</w:t>
      </w:r>
    </w:p>
    <w:p w14:paraId="4CFC0E0E" w14:textId="529475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حسانين، طارق عبدالعال حماد، والحاروني، علي </w:t>
      </w:r>
      <w:r w:rsidR="008B701D" w:rsidRPr="000508C0">
        <w:rPr>
          <w:rFonts w:cs="Sakkal Majalla" w:hint="cs"/>
          <w:szCs w:val="28"/>
          <w:rtl/>
        </w:rPr>
        <w:t>عبد الفتا</w:t>
      </w:r>
      <w:r w:rsidR="008B701D" w:rsidRPr="000508C0">
        <w:rPr>
          <w:rFonts w:cs="Sakkal Majalla" w:hint="eastAsia"/>
          <w:szCs w:val="28"/>
          <w:rtl/>
        </w:rPr>
        <w:t>ح</w:t>
      </w:r>
      <w:r w:rsidRPr="000508C0">
        <w:rPr>
          <w:rFonts w:cs="Sakkal Majalla"/>
          <w:szCs w:val="28"/>
          <w:rtl/>
        </w:rPr>
        <w:t>. (2009). إدارة المخاطر</w:t>
      </w:r>
      <w:r w:rsidRPr="000508C0">
        <w:rPr>
          <w:rFonts w:cs="Sakkal Majalla"/>
          <w:szCs w:val="28"/>
        </w:rPr>
        <w:t>. </w:t>
      </w:r>
      <w:r w:rsidRPr="000508C0">
        <w:rPr>
          <w:rFonts w:cs="Sakkal Majalla"/>
          <w:i/>
          <w:iCs/>
          <w:szCs w:val="28"/>
          <w:rtl/>
        </w:rPr>
        <w:t>حصاد الفكر، ع 202</w:t>
      </w:r>
      <w:r w:rsidRPr="000508C0">
        <w:rPr>
          <w:rFonts w:cs="Sakkal Majalla"/>
          <w:szCs w:val="28"/>
          <w:rtl/>
        </w:rPr>
        <w:t> ، 81</w:t>
      </w:r>
      <w:r w:rsidRPr="000508C0">
        <w:rPr>
          <w:rFonts w:cs="Sakkal Majalla"/>
          <w:szCs w:val="28"/>
        </w:rPr>
        <w:t xml:space="preserve"> - 86. </w:t>
      </w:r>
      <w:r w:rsidRPr="000508C0">
        <w:rPr>
          <w:rFonts w:cs="Sakkal Majalla"/>
          <w:szCs w:val="28"/>
          <w:rtl/>
        </w:rPr>
        <w:t>مسترجع من</w:t>
      </w:r>
      <w:r w:rsidRPr="000508C0">
        <w:rPr>
          <w:rFonts w:cs="Sakkal Majalla"/>
          <w:szCs w:val="28"/>
        </w:rPr>
        <w:t xml:space="preserve"> http://search.mandumah.com/Record/432762</w:t>
      </w:r>
    </w:p>
    <w:p w14:paraId="7CB3FE6E" w14:textId="615CD87A"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عسيري، حسن بن </w:t>
      </w:r>
      <w:r w:rsidR="008B701D" w:rsidRPr="000508C0">
        <w:rPr>
          <w:rFonts w:cs="Sakkal Majalla" w:hint="cs"/>
          <w:szCs w:val="28"/>
          <w:rtl/>
        </w:rPr>
        <w:t>عبد الل</w:t>
      </w:r>
      <w:r w:rsidR="008B701D" w:rsidRPr="000508C0">
        <w:rPr>
          <w:rFonts w:cs="Sakkal Majalla" w:hint="eastAsia"/>
          <w:szCs w:val="28"/>
          <w:rtl/>
        </w:rPr>
        <w:t>ه</w:t>
      </w:r>
      <w:r w:rsidRPr="000508C0">
        <w:rPr>
          <w:rFonts w:cs="Sakkal Majalla"/>
          <w:szCs w:val="28"/>
          <w:rtl/>
        </w:rPr>
        <w:t xml:space="preserve"> بن محسن. (2000). إدارة المخاطر</w:t>
      </w:r>
      <w:r w:rsidRPr="000508C0">
        <w:rPr>
          <w:rFonts w:cs="Sakkal Majalla"/>
          <w:szCs w:val="28"/>
        </w:rPr>
        <w:t>. </w:t>
      </w:r>
      <w:r w:rsidRPr="000508C0">
        <w:rPr>
          <w:rFonts w:cs="Sakkal Majalla"/>
          <w:i/>
          <w:iCs/>
          <w:szCs w:val="28"/>
          <w:rtl/>
        </w:rPr>
        <w:t>رسالة الكلية، مج 7, ع 8</w:t>
      </w:r>
      <w:r w:rsidRPr="000508C0">
        <w:rPr>
          <w:rFonts w:cs="Sakkal Majalla"/>
          <w:szCs w:val="28"/>
          <w:rtl/>
        </w:rPr>
        <w:t> ، 46</w:t>
      </w:r>
      <w:r w:rsidRPr="000508C0">
        <w:rPr>
          <w:rFonts w:cs="Sakkal Majalla"/>
          <w:szCs w:val="28"/>
        </w:rPr>
        <w:t xml:space="preserve"> - 48. </w:t>
      </w:r>
      <w:r w:rsidRPr="000508C0">
        <w:rPr>
          <w:rFonts w:cs="Sakkal Majalla"/>
          <w:szCs w:val="28"/>
          <w:rtl/>
        </w:rPr>
        <w:t>مسترجع من</w:t>
      </w:r>
      <w:r w:rsidRPr="000508C0">
        <w:rPr>
          <w:rFonts w:cs="Sakkal Majalla"/>
          <w:szCs w:val="28"/>
        </w:rPr>
        <w:t xml:space="preserve"> http://search.mandumah.com/Record/281293</w:t>
      </w:r>
    </w:p>
    <w:p w14:paraId="2034CFE1" w14:textId="3C6F6A2D"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lastRenderedPageBreak/>
        <w:t xml:space="preserve">علي، سيد مدبولي، حسين، ولاء محمود عبده، خضير، ليلى، </w:t>
      </w:r>
      <w:r w:rsidR="008B701D" w:rsidRPr="000508C0">
        <w:rPr>
          <w:rFonts w:cs="Sakkal Majalla" w:hint="cs"/>
          <w:szCs w:val="28"/>
          <w:rtl/>
        </w:rPr>
        <w:t>وإبراهيم</w:t>
      </w:r>
      <w:r w:rsidRPr="000508C0">
        <w:rPr>
          <w:rFonts w:cs="Sakkal Majalla"/>
          <w:szCs w:val="28"/>
          <w:rtl/>
        </w:rPr>
        <w:t>، ضياء الدين. (2015). إدارة المخاطر: رصد لحالة تطبيق إدارة المخاطر في المشروعات الفندقية الكبرى بجمهورية مصر العربية</w:t>
      </w:r>
      <w:r w:rsidRPr="000508C0">
        <w:rPr>
          <w:rFonts w:cs="Sakkal Majalla"/>
          <w:szCs w:val="28"/>
        </w:rPr>
        <w:t>. </w:t>
      </w:r>
      <w:r w:rsidRPr="000508C0">
        <w:rPr>
          <w:rFonts w:cs="Sakkal Majalla"/>
          <w:i/>
          <w:iCs/>
          <w:szCs w:val="28"/>
          <w:rtl/>
        </w:rPr>
        <w:t>مجلة كلية التجارة للبحوث العلمية، ع59</w:t>
      </w:r>
      <w:r w:rsidRPr="000508C0">
        <w:rPr>
          <w:rFonts w:cs="Sakkal Majalla"/>
          <w:szCs w:val="28"/>
          <w:rtl/>
        </w:rPr>
        <w:t> ، 303</w:t>
      </w:r>
      <w:r w:rsidRPr="000508C0">
        <w:rPr>
          <w:rFonts w:cs="Sakkal Majalla"/>
          <w:szCs w:val="28"/>
        </w:rPr>
        <w:t xml:space="preserve"> - 325. </w:t>
      </w:r>
      <w:r w:rsidRPr="000508C0">
        <w:rPr>
          <w:rFonts w:cs="Sakkal Majalla"/>
          <w:szCs w:val="28"/>
          <w:rtl/>
        </w:rPr>
        <w:t>مسترجع من</w:t>
      </w:r>
      <w:r w:rsidRPr="000508C0">
        <w:rPr>
          <w:rFonts w:cs="Sakkal Majalla"/>
          <w:szCs w:val="28"/>
        </w:rPr>
        <w:t xml:space="preserve"> http://search.mandumah.com/Record/760573</w:t>
      </w:r>
    </w:p>
    <w:p w14:paraId="25179F6A"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القحطاني، نواف ناصر حمد ال فطيح. (2023). إدارة المخاطر: المفهوم والمبادئ</w:t>
      </w:r>
      <w:r w:rsidRPr="000508C0">
        <w:rPr>
          <w:rFonts w:cs="Sakkal Majalla"/>
          <w:szCs w:val="28"/>
        </w:rPr>
        <w:t>. </w:t>
      </w:r>
      <w:r w:rsidRPr="000508C0">
        <w:rPr>
          <w:rFonts w:cs="Sakkal Majalla"/>
          <w:i/>
          <w:iCs/>
          <w:szCs w:val="28"/>
          <w:rtl/>
        </w:rPr>
        <w:t>مجلة الباحث للدراسات القانونية والقضائية، ع61</w:t>
      </w:r>
      <w:r w:rsidRPr="000508C0">
        <w:rPr>
          <w:rFonts w:cs="Sakkal Majalla"/>
          <w:szCs w:val="28"/>
          <w:rtl/>
        </w:rPr>
        <w:t> ، 390</w:t>
      </w:r>
      <w:r w:rsidRPr="000508C0">
        <w:rPr>
          <w:rFonts w:cs="Sakkal Majalla"/>
          <w:szCs w:val="28"/>
        </w:rPr>
        <w:t xml:space="preserve"> - 397. </w:t>
      </w:r>
      <w:r w:rsidRPr="000508C0">
        <w:rPr>
          <w:rFonts w:cs="Sakkal Majalla"/>
          <w:szCs w:val="28"/>
          <w:rtl/>
        </w:rPr>
        <w:t>مسترجع من</w:t>
      </w:r>
      <w:r w:rsidRPr="000508C0">
        <w:rPr>
          <w:rFonts w:cs="Sakkal Majalla"/>
          <w:szCs w:val="28"/>
        </w:rPr>
        <w:t xml:space="preserve"> http://search.mandumah.com/Record/1433930</w:t>
      </w:r>
    </w:p>
    <w:p w14:paraId="164B7396"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tl/>
          <w:lang w:bidi="ar-EG"/>
        </w:rPr>
      </w:pPr>
      <w:r w:rsidRPr="000508C0">
        <w:rPr>
          <w:rFonts w:cs="Sakkal Majalla"/>
          <w:szCs w:val="28"/>
          <w:rtl/>
        </w:rPr>
        <w:t>الأردن. المعهد العربي للدراسات المالية والمصرفية. مركز البحوث المالية والمصرفية. (</w:t>
      </w:r>
      <w:r w:rsidRPr="000508C0">
        <w:rPr>
          <w:rFonts w:cs="Sakkal Majalla" w:hint="cs"/>
          <w:szCs w:val="28"/>
          <w:rtl/>
        </w:rPr>
        <w:t>2023</w:t>
      </w:r>
      <w:r w:rsidRPr="000508C0">
        <w:rPr>
          <w:rFonts w:cs="Sakkal Majalla"/>
          <w:szCs w:val="28"/>
          <w:rtl/>
        </w:rPr>
        <w:t>). إدارة المخاطر: تحديات جديدة تتطلب حلاً متكاملاً</w:t>
      </w:r>
      <w:r w:rsidRPr="000508C0">
        <w:rPr>
          <w:rFonts w:cs="Sakkal Majalla"/>
          <w:szCs w:val="28"/>
        </w:rPr>
        <w:t>. </w:t>
      </w:r>
      <w:r w:rsidRPr="000508C0">
        <w:rPr>
          <w:rFonts w:cs="Sakkal Majalla"/>
          <w:i/>
          <w:iCs/>
          <w:szCs w:val="28"/>
          <w:rtl/>
        </w:rPr>
        <w:t>مجلة الدراسات المالية والمصرفية، مج 7, ع 2</w:t>
      </w:r>
      <w:r w:rsidRPr="000508C0">
        <w:rPr>
          <w:rFonts w:cs="Sakkal Majalla"/>
          <w:szCs w:val="28"/>
          <w:rtl/>
        </w:rPr>
        <w:t> ، 33</w:t>
      </w:r>
      <w:r w:rsidRPr="000508C0">
        <w:rPr>
          <w:rFonts w:cs="Sakkal Majalla"/>
          <w:szCs w:val="28"/>
        </w:rPr>
        <w:t xml:space="preserve"> - 34. </w:t>
      </w:r>
      <w:r w:rsidRPr="000508C0">
        <w:rPr>
          <w:rFonts w:cs="Sakkal Majalla"/>
          <w:szCs w:val="28"/>
          <w:rtl/>
        </w:rPr>
        <w:t>مسترجع من</w:t>
      </w:r>
      <w:r w:rsidRPr="000508C0">
        <w:rPr>
          <w:rFonts w:cs="Sakkal Majalla"/>
          <w:szCs w:val="28"/>
        </w:rPr>
        <w:t xml:space="preserve"> </w:t>
      </w:r>
      <w:hyperlink r:id="rId10" w:history="1">
        <w:r w:rsidRPr="000508C0">
          <w:rPr>
            <w:rStyle w:val="Hyperlink"/>
            <w:rFonts w:cs="Sakkal Majalla"/>
            <w:color w:val="auto"/>
            <w:szCs w:val="28"/>
          </w:rPr>
          <w:t>http://search.mandumah.com/Record/503670</w:t>
        </w:r>
      </w:hyperlink>
    </w:p>
    <w:p w14:paraId="679DFF4E" w14:textId="283DCA8C" w:rsidR="00997F7D" w:rsidRPr="000508C0" w:rsidRDefault="00997F7D" w:rsidP="00F634A6">
      <w:pPr>
        <w:pStyle w:val="a7"/>
        <w:numPr>
          <w:ilvl w:val="0"/>
          <w:numId w:val="37"/>
        </w:numPr>
        <w:spacing w:before="100" w:beforeAutospacing="1" w:after="100" w:afterAutospacing="1"/>
        <w:outlineLvl w:val="1"/>
        <w:rPr>
          <w:rFonts w:cs="Sakkal Majalla"/>
          <w:szCs w:val="28"/>
          <w:rtl/>
          <w:lang w:bidi="ar-EG"/>
        </w:rPr>
      </w:pPr>
      <w:r w:rsidRPr="000508C0">
        <w:rPr>
          <w:rFonts w:cs="Sakkal Majalla"/>
          <w:szCs w:val="28"/>
          <w:rtl/>
        </w:rPr>
        <w:t xml:space="preserve">خان، طارق الله، </w:t>
      </w:r>
      <w:r w:rsidR="008B701D" w:rsidRPr="000508C0">
        <w:rPr>
          <w:rFonts w:cs="Sakkal Majalla" w:hint="cs"/>
          <w:szCs w:val="28"/>
          <w:rtl/>
        </w:rPr>
        <w:t>والمصري</w:t>
      </w:r>
      <w:r w:rsidRPr="000508C0">
        <w:rPr>
          <w:rFonts w:cs="Sakkal Majalla"/>
          <w:szCs w:val="28"/>
          <w:rtl/>
        </w:rPr>
        <w:t>، رفيق يونس أحمد. (20</w:t>
      </w:r>
      <w:r w:rsidRPr="000508C0">
        <w:rPr>
          <w:rFonts w:cs="Sakkal Majalla" w:hint="cs"/>
          <w:szCs w:val="28"/>
          <w:rtl/>
        </w:rPr>
        <w:t>1</w:t>
      </w:r>
      <w:r w:rsidRPr="000508C0">
        <w:rPr>
          <w:rFonts w:cs="Sakkal Majalla"/>
          <w:szCs w:val="28"/>
          <w:rtl/>
        </w:rPr>
        <w:t>6). إدارة المخاطر: تحليل قضايا في الصناعة المالية الإسلامية</w:t>
      </w:r>
      <w:r w:rsidRPr="000508C0">
        <w:rPr>
          <w:rFonts w:cs="Sakkal Majalla"/>
          <w:szCs w:val="28"/>
        </w:rPr>
        <w:t>. </w:t>
      </w:r>
      <w:r w:rsidRPr="000508C0">
        <w:rPr>
          <w:rFonts w:cs="Sakkal Majalla"/>
          <w:i/>
          <w:iCs/>
          <w:szCs w:val="28"/>
          <w:rtl/>
        </w:rPr>
        <w:t xml:space="preserve">مجلة جامعة الملك </w:t>
      </w:r>
      <w:r w:rsidR="008B701D" w:rsidRPr="000508C0">
        <w:rPr>
          <w:rFonts w:cs="Sakkal Majalla" w:hint="cs"/>
          <w:i/>
          <w:iCs/>
          <w:szCs w:val="28"/>
          <w:rtl/>
        </w:rPr>
        <w:t>عبد العزي</w:t>
      </w:r>
      <w:r w:rsidR="008B701D" w:rsidRPr="000508C0">
        <w:rPr>
          <w:rFonts w:cs="Sakkal Majalla" w:hint="eastAsia"/>
          <w:i/>
          <w:iCs/>
          <w:szCs w:val="28"/>
          <w:rtl/>
        </w:rPr>
        <w:t>ز</w:t>
      </w:r>
      <w:r w:rsidRPr="000508C0">
        <w:rPr>
          <w:rFonts w:cs="Sakkal Majalla"/>
          <w:i/>
          <w:iCs/>
          <w:szCs w:val="28"/>
          <w:rtl/>
        </w:rPr>
        <w:t xml:space="preserve"> - الاقتصاد الإسلامي، مج 19, ع 2</w:t>
      </w:r>
      <w:r w:rsidRPr="000508C0">
        <w:rPr>
          <w:rFonts w:cs="Sakkal Majalla"/>
          <w:szCs w:val="28"/>
          <w:rtl/>
        </w:rPr>
        <w:t> ، 107</w:t>
      </w:r>
      <w:r w:rsidRPr="000508C0">
        <w:rPr>
          <w:rFonts w:cs="Sakkal Majalla"/>
          <w:szCs w:val="28"/>
        </w:rPr>
        <w:t xml:space="preserve"> - 111. </w:t>
      </w:r>
      <w:r w:rsidRPr="000508C0">
        <w:rPr>
          <w:rFonts w:cs="Sakkal Majalla"/>
          <w:szCs w:val="28"/>
          <w:rtl/>
        </w:rPr>
        <w:t>مسترجع من</w:t>
      </w:r>
      <w:r w:rsidRPr="000508C0">
        <w:rPr>
          <w:rFonts w:cs="Sakkal Majalla"/>
          <w:szCs w:val="28"/>
        </w:rPr>
        <w:t xml:space="preserve"> </w:t>
      </w:r>
      <w:hyperlink r:id="rId11" w:history="1">
        <w:r w:rsidRPr="000508C0">
          <w:rPr>
            <w:rStyle w:val="Hyperlink"/>
            <w:rFonts w:cs="Sakkal Majalla"/>
            <w:color w:val="auto"/>
            <w:szCs w:val="28"/>
          </w:rPr>
          <w:t>http://search.mandumah.com/Record/72251</w:t>
        </w:r>
      </w:hyperlink>
    </w:p>
    <w:p w14:paraId="33584DEB" w14:textId="76432518"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نصر الله، انعام محمود، أبو شقرا، مروان، </w:t>
      </w:r>
      <w:r w:rsidR="008B701D" w:rsidRPr="000508C0">
        <w:rPr>
          <w:rFonts w:cs="Sakkal Majalla" w:hint="cs"/>
          <w:szCs w:val="28"/>
          <w:rtl/>
        </w:rPr>
        <w:t>وفرحات</w:t>
      </w:r>
      <w:r w:rsidRPr="000508C0">
        <w:rPr>
          <w:rFonts w:cs="Sakkal Majalla"/>
          <w:szCs w:val="28"/>
          <w:rtl/>
        </w:rPr>
        <w:t>، محمد</w:t>
      </w:r>
      <w:r w:rsidRPr="000508C0">
        <w:rPr>
          <w:rFonts w:cs="Sakkal Majalla"/>
          <w:szCs w:val="28"/>
        </w:rPr>
        <w:t>. (20</w:t>
      </w:r>
      <w:r w:rsidRPr="000508C0">
        <w:rPr>
          <w:rFonts w:cs="Sakkal Majalla" w:hint="cs"/>
          <w:szCs w:val="28"/>
          <w:rtl/>
          <w:lang w:bidi="ar-EG"/>
        </w:rPr>
        <w:t>1</w:t>
      </w:r>
      <w:r w:rsidRPr="000508C0">
        <w:rPr>
          <w:rFonts w:cs="Sakkal Majalla"/>
          <w:szCs w:val="28"/>
        </w:rPr>
        <w:t>7). </w:t>
      </w:r>
      <w:r w:rsidRPr="000508C0">
        <w:rPr>
          <w:rFonts w:cs="Sakkal Majalla"/>
          <w:i/>
          <w:iCs/>
          <w:szCs w:val="28"/>
          <w:rtl/>
        </w:rPr>
        <w:t xml:space="preserve">أهمية دور إدارة الجودة الشاملة في مكافحة العدوى </w:t>
      </w:r>
      <w:r w:rsidR="008B701D" w:rsidRPr="000508C0">
        <w:rPr>
          <w:rFonts w:cs="Sakkal Majalla" w:hint="cs"/>
          <w:i/>
          <w:iCs/>
          <w:szCs w:val="28"/>
          <w:rtl/>
        </w:rPr>
        <w:t>الاستشفائية</w:t>
      </w:r>
      <w:r w:rsidRPr="000508C0">
        <w:rPr>
          <w:rFonts w:cs="Sakkal Majalla"/>
          <w:szCs w:val="28"/>
          <w:rtl/>
        </w:rPr>
        <w:t> (رسالة ماجستير غير منشورة). الجامعة الاسلامية في لبنان، بيروت. مسترجع من</w:t>
      </w:r>
      <w:r w:rsidRPr="000508C0">
        <w:rPr>
          <w:rFonts w:cs="Sakkal Majalla"/>
          <w:szCs w:val="28"/>
        </w:rPr>
        <w:t xml:space="preserve"> http://search.mandumah.com/Record/590172</w:t>
      </w:r>
    </w:p>
    <w:p w14:paraId="5DB21081"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المكاوي، أحمد. (</w:t>
      </w:r>
      <w:r w:rsidRPr="000508C0">
        <w:rPr>
          <w:rFonts w:cs="Sakkal Majalla" w:hint="cs"/>
          <w:szCs w:val="28"/>
          <w:rtl/>
        </w:rPr>
        <w:t>2022</w:t>
      </w:r>
      <w:r w:rsidRPr="000508C0">
        <w:rPr>
          <w:rFonts w:cs="Sakkal Majalla"/>
          <w:szCs w:val="28"/>
          <w:rtl/>
        </w:rPr>
        <w:t>). إشكالية العدوى والاحتراز من الأوبئة في مغرب القرن 19</w:t>
      </w:r>
      <w:r w:rsidRPr="000508C0">
        <w:rPr>
          <w:rFonts w:cs="Sakkal Majalla"/>
          <w:szCs w:val="28"/>
        </w:rPr>
        <w:t>. </w:t>
      </w:r>
      <w:r w:rsidRPr="000508C0">
        <w:rPr>
          <w:rFonts w:cs="Sakkal Majalla"/>
          <w:i/>
          <w:iCs/>
          <w:szCs w:val="28"/>
          <w:rtl/>
        </w:rPr>
        <w:t>الأيام الوطنية العاشرة : المجاعات والأوبئة في تاريخ المغرب، </w:t>
      </w:r>
      <w:r w:rsidRPr="000508C0">
        <w:rPr>
          <w:rFonts w:cs="Sakkal Majalla"/>
          <w:szCs w:val="28"/>
          <w:rtl/>
        </w:rPr>
        <w:t>الجديدة: الجمعية المغربية للبحث التاريخي، 405 - 425. مسترجع من</w:t>
      </w:r>
      <w:r w:rsidRPr="000508C0">
        <w:rPr>
          <w:rFonts w:cs="Sakkal Majalla"/>
          <w:szCs w:val="28"/>
        </w:rPr>
        <w:t xml:space="preserve"> http://search.mandumah.com/Record/576335</w:t>
      </w:r>
    </w:p>
    <w:p w14:paraId="1330006E"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tl/>
          <w:lang w:bidi="ar-EG"/>
        </w:rPr>
      </w:pPr>
      <w:r w:rsidRPr="000508C0">
        <w:rPr>
          <w:rFonts w:cs="Sakkal Majalla"/>
          <w:szCs w:val="28"/>
          <w:rtl/>
        </w:rPr>
        <w:t>هيئة التحرير. (</w:t>
      </w:r>
      <w:r w:rsidRPr="000508C0">
        <w:rPr>
          <w:rFonts w:cs="Sakkal Majalla" w:hint="cs"/>
          <w:szCs w:val="28"/>
          <w:rtl/>
        </w:rPr>
        <w:t>2017</w:t>
      </w:r>
      <w:r w:rsidRPr="000508C0">
        <w:rPr>
          <w:rFonts w:cs="Sakkal Majalla"/>
          <w:szCs w:val="28"/>
          <w:rtl/>
        </w:rPr>
        <w:t>). لا تتهاونوا في مكافحة أمراض الأطفال فتندموا</w:t>
      </w:r>
      <w:r w:rsidRPr="000508C0">
        <w:rPr>
          <w:rFonts w:cs="Sakkal Majalla"/>
          <w:szCs w:val="28"/>
        </w:rPr>
        <w:t>. </w:t>
      </w:r>
      <w:r w:rsidRPr="000508C0">
        <w:rPr>
          <w:rFonts w:cs="Sakkal Majalla"/>
          <w:i/>
          <w:iCs/>
          <w:szCs w:val="28"/>
          <w:rtl/>
        </w:rPr>
        <w:t>مجلة الخرطوم، ع1</w:t>
      </w:r>
      <w:r w:rsidRPr="000508C0">
        <w:rPr>
          <w:rFonts w:cs="Sakkal Majalla"/>
          <w:szCs w:val="28"/>
          <w:rtl/>
        </w:rPr>
        <w:t> ، 43</w:t>
      </w:r>
      <w:r w:rsidRPr="000508C0">
        <w:rPr>
          <w:rFonts w:cs="Sakkal Majalla"/>
          <w:szCs w:val="28"/>
        </w:rPr>
        <w:t xml:space="preserve"> - 47. </w:t>
      </w:r>
      <w:r w:rsidRPr="000508C0">
        <w:rPr>
          <w:rFonts w:cs="Sakkal Majalla"/>
          <w:szCs w:val="28"/>
          <w:rtl/>
        </w:rPr>
        <w:t>مسترجع من</w:t>
      </w:r>
      <w:r w:rsidRPr="000508C0">
        <w:rPr>
          <w:rFonts w:cs="Sakkal Majalla"/>
          <w:szCs w:val="28"/>
        </w:rPr>
        <w:t xml:space="preserve"> </w:t>
      </w:r>
      <w:hyperlink r:id="rId12" w:history="1">
        <w:r w:rsidRPr="000508C0">
          <w:rPr>
            <w:rStyle w:val="Hyperlink"/>
            <w:rFonts w:cs="Sakkal Majalla"/>
            <w:color w:val="auto"/>
            <w:szCs w:val="28"/>
          </w:rPr>
          <w:t>http://search.mandumah.com/Record/340079</w:t>
        </w:r>
      </w:hyperlink>
    </w:p>
    <w:p w14:paraId="338D2E17" w14:textId="525BAF99"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هادي، شهد أحمد </w:t>
      </w:r>
      <w:r w:rsidR="008B701D" w:rsidRPr="000508C0">
        <w:rPr>
          <w:rFonts w:cs="Sakkal Majalla" w:hint="cs"/>
          <w:szCs w:val="28"/>
          <w:rtl/>
        </w:rPr>
        <w:t>عبد الل</w:t>
      </w:r>
      <w:r w:rsidR="008B701D" w:rsidRPr="000508C0">
        <w:rPr>
          <w:rFonts w:cs="Sakkal Majalla" w:hint="eastAsia"/>
          <w:szCs w:val="28"/>
          <w:rtl/>
        </w:rPr>
        <w:t>ه</w:t>
      </w:r>
      <w:r w:rsidRPr="000508C0">
        <w:rPr>
          <w:rFonts w:cs="Sakkal Majalla"/>
          <w:szCs w:val="28"/>
          <w:rtl/>
        </w:rPr>
        <w:t>. (2020). الإجراءات الاحترازية للحد من انتشار عدوى فيروس كورونا المستجد في دولة الكويت: دراسة تأصيلية فقهية قانونية</w:t>
      </w:r>
      <w:r w:rsidRPr="000508C0">
        <w:rPr>
          <w:rFonts w:cs="Sakkal Majalla"/>
          <w:szCs w:val="28"/>
        </w:rPr>
        <w:t>. </w:t>
      </w:r>
      <w:r w:rsidRPr="000508C0">
        <w:rPr>
          <w:rFonts w:cs="Sakkal Majalla"/>
          <w:i/>
          <w:iCs/>
          <w:szCs w:val="28"/>
          <w:rtl/>
        </w:rPr>
        <w:t xml:space="preserve">مجلة كلية الدراسات الإسلامية والعربية </w:t>
      </w:r>
      <w:r w:rsidRPr="000508C0">
        <w:rPr>
          <w:rFonts w:cs="Sakkal Majalla"/>
          <w:i/>
          <w:iCs/>
          <w:szCs w:val="28"/>
          <w:rtl/>
        </w:rPr>
        <w:lastRenderedPageBreak/>
        <w:t>للبنين بالقاهرة، ع38, ج2</w:t>
      </w:r>
      <w:r w:rsidRPr="000508C0">
        <w:rPr>
          <w:rFonts w:cs="Sakkal Majalla"/>
          <w:szCs w:val="28"/>
          <w:rtl/>
        </w:rPr>
        <w:t> ، 973</w:t>
      </w:r>
      <w:r w:rsidRPr="000508C0">
        <w:rPr>
          <w:rFonts w:cs="Sakkal Majalla"/>
          <w:szCs w:val="28"/>
        </w:rPr>
        <w:t xml:space="preserve"> - 1028. </w:t>
      </w:r>
      <w:r w:rsidRPr="000508C0">
        <w:rPr>
          <w:rFonts w:cs="Sakkal Majalla"/>
          <w:szCs w:val="28"/>
          <w:rtl/>
        </w:rPr>
        <w:t>مسترجع من</w:t>
      </w:r>
      <w:r w:rsidRPr="000508C0">
        <w:rPr>
          <w:rFonts w:cs="Sakkal Majalla"/>
          <w:szCs w:val="28"/>
        </w:rPr>
        <w:t xml:space="preserve"> http://search.mandumah.com/Record/1090990</w:t>
      </w:r>
    </w:p>
    <w:p w14:paraId="4A2DEFB0" w14:textId="19526689"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محمد، حسن </w:t>
      </w:r>
      <w:r w:rsidR="008B701D" w:rsidRPr="000508C0">
        <w:rPr>
          <w:rFonts w:cs="Sakkal Majalla" w:hint="cs"/>
          <w:szCs w:val="28"/>
          <w:rtl/>
        </w:rPr>
        <w:t>عبد الفتا</w:t>
      </w:r>
      <w:r w:rsidR="008B701D" w:rsidRPr="000508C0">
        <w:rPr>
          <w:rFonts w:cs="Sakkal Majalla" w:hint="eastAsia"/>
          <w:szCs w:val="28"/>
          <w:rtl/>
        </w:rPr>
        <w:t>ح</w:t>
      </w:r>
      <w:r w:rsidRPr="000508C0">
        <w:rPr>
          <w:rFonts w:cs="Sakkal Majalla"/>
          <w:szCs w:val="28"/>
          <w:rtl/>
        </w:rPr>
        <w:t xml:space="preserve"> </w:t>
      </w:r>
      <w:r w:rsidR="008B701D" w:rsidRPr="000508C0">
        <w:rPr>
          <w:rFonts w:cs="Sakkal Majalla" w:hint="cs"/>
          <w:szCs w:val="28"/>
          <w:rtl/>
        </w:rPr>
        <w:t>السد</w:t>
      </w:r>
      <w:r w:rsidRPr="000508C0">
        <w:rPr>
          <w:rFonts w:cs="Sakkal Majalla"/>
          <w:szCs w:val="28"/>
          <w:rtl/>
        </w:rPr>
        <w:t xml:space="preserve">. (2015). </w:t>
      </w:r>
      <w:r w:rsidR="008B701D" w:rsidRPr="000508C0">
        <w:rPr>
          <w:rFonts w:cs="Sakkal Majalla" w:hint="cs"/>
          <w:szCs w:val="28"/>
          <w:rtl/>
        </w:rPr>
        <w:t>التدابر</w:t>
      </w:r>
      <w:r w:rsidRPr="000508C0">
        <w:rPr>
          <w:rFonts w:cs="Sakkal Majalla"/>
          <w:szCs w:val="28"/>
          <w:rtl/>
        </w:rPr>
        <w:t xml:space="preserve"> </w:t>
      </w:r>
      <w:r w:rsidR="008B701D" w:rsidRPr="000508C0">
        <w:rPr>
          <w:rFonts w:cs="Sakkal Majalla" w:hint="cs"/>
          <w:szCs w:val="28"/>
          <w:rtl/>
        </w:rPr>
        <w:t>الوقائية</w:t>
      </w:r>
      <w:r w:rsidRPr="000508C0">
        <w:rPr>
          <w:rFonts w:cs="Sakkal Majalla"/>
          <w:szCs w:val="28"/>
          <w:rtl/>
        </w:rPr>
        <w:t xml:space="preserve"> </w:t>
      </w:r>
      <w:r w:rsidR="008B701D" w:rsidRPr="000508C0">
        <w:rPr>
          <w:rFonts w:cs="Sakkal Majalla" w:hint="cs"/>
          <w:szCs w:val="28"/>
          <w:rtl/>
        </w:rPr>
        <w:t>لمصافحة</w:t>
      </w:r>
      <w:r w:rsidRPr="000508C0">
        <w:rPr>
          <w:rFonts w:cs="Sakkal Majalla"/>
          <w:szCs w:val="28"/>
          <w:rtl/>
        </w:rPr>
        <w:t xml:space="preserve"> الأمراض </w:t>
      </w:r>
      <w:r w:rsidR="008B701D" w:rsidRPr="000508C0">
        <w:rPr>
          <w:rFonts w:cs="Sakkal Majalla" w:hint="cs"/>
          <w:szCs w:val="28"/>
          <w:rtl/>
        </w:rPr>
        <w:t>المعدة</w:t>
      </w:r>
      <w:r w:rsidRPr="000508C0">
        <w:rPr>
          <w:rFonts w:cs="Sakkal Majalla"/>
          <w:szCs w:val="28"/>
          <w:rtl/>
        </w:rPr>
        <w:t xml:space="preserve"> </w:t>
      </w:r>
      <w:r w:rsidR="008B701D" w:rsidRPr="000508C0">
        <w:rPr>
          <w:rFonts w:cs="Sakkal Majalla" w:hint="cs"/>
          <w:szCs w:val="28"/>
          <w:rtl/>
        </w:rPr>
        <w:t>والوبائية</w:t>
      </w:r>
      <w:r w:rsidRPr="000508C0">
        <w:rPr>
          <w:rFonts w:cs="Sakkal Majalla"/>
          <w:szCs w:val="28"/>
          <w:rtl/>
        </w:rPr>
        <w:t xml:space="preserve"> من منظور الفقه </w:t>
      </w:r>
      <w:r w:rsidR="008B701D" w:rsidRPr="000508C0">
        <w:rPr>
          <w:rFonts w:cs="Sakkal Majalla" w:hint="cs"/>
          <w:szCs w:val="28"/>
          <w:rtl/>
        </w:rPr>
        <w:t>الإسلام</w:t>
      </w:r>
      <w:r w:rsidRPr="000508C0">
        <w:rPr>
          <w:rFonts w:cs="Sakkal Majalla"/>
          <w:szCs w:val="28"/>
          <w:rtl/>
        </w:rPr>
        <w:t xml:space="preserve"> والطب </w:t>
      </w:r>
      <w:r w:rsidR="008B701D" w:rsidRPr="000508C0">
        <w:rPr>
          <w:rFonts w:cs="Sakkal Majalla" w:hint="cs"/>
          <w:szCs w:val="28"/>
          <w:rtl/>
        </w:rPr>
        <w:t>الحدث</w:t>
      </w:r>
      <w:r w:rsidRPr="000508C0">
        <w:rPr>
          <w:rFonts w:cs="Sakkal Majalla"/>
          <w:szCs w:val="28"/>
        </w:rPr>
        <w:t>. </w:t>
      </w:r>
      <w:r w:rsidRPr="000508C0">
        <w:rPr>
          <w:rFonts w:cs="Sakkal Majalla"/>
          <w:i/>
          <w:iCs/>
          <w:szCs w:val="28"/>
          <w:rtl/>
        </w:rPr>
        <w:t>مجلة كلية الشريعة والقانون بتفهنا الأشراف، ع17, ج1</w:t>
      </w:r>
      <w:r w:rsidRPr="000508C0">
        <w:rPr>
          <w:rFonts w:cs="Sakkal Majalla"/>
          <w:szCs w:val="28"/>
          <w:rtl/>
        </w:rPr>
        <w:t> ، 1</w:t>
      </w:r>
      <w:r w:rsidRPr="000508C0">
        <w:rPr>
          <w:rFonts w:cs="Sakkal Majalla"/>
          <w:szCs w:val="28"/>
        </w:rPr>
        <w:t xml:space="preserve"> - 83. </w:t>
      </w:r>
      <w:r w:rsidRPr="000508C0">
        <w:rPr>
          <w:rFonts w:cs="Sakkal Majalla"/>
          <w:szCs w:val="28"/>
          <w:rtl/>
        </w:rPr>
        <w:t>مسترجع من</w:t>
      </w:r>
      <w:r w:rsidRPr="000508C0">
        <w:rPr>
          <w:rFonts w:cs="Sakkal Majalla"/>
          <w:szCs w:val="28"/>
        </w:rPr>
        <w:t xml:space="preserve"> http://search.mandumah.com/Record/963814</w:t>
      </w:r>
    </w:p>
    <w:p w14:paraId="5F5109C7" w14:textId="37A573A5"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الصباح، أريج بسام، مناوي، وفاء، </w:t>
      </w:r>
      <w:r w:rsidR="008B701D" w:rsidRPr="000508C0">
        <w:rPr>
          <w:rFonts w:cs="Sakkal Majalla" w:hint="cs"/>
          <w:szCs w:val="28"/>
          <w:rtl/>
        </w:rPr>
        <w:t>والخراز</w:t>
      </w:r>
      <w:r w:rsidRPr="000508C0">
        <w:rPr>
          <w:rFonts w:cs="Sakkal Majalla"/>
          <w:szCs w:val="28"/>
          <w:rtl/>
        </w:rPr>
        <w:t>، لبنى</w:t>
      </w:r>
      <w:r w:rsidRPr="000508C0">
        <w:rPr>
          <w:rFonts w:cs="Sakkal Majalla"/>
          <w:szCs w:val="28"/>
        </w:rPr>
        <w:t>. (2021). </w:t>
      </w:r>
      <w:r w:rsidRPr="000508C0">
        <w:rPr>
          <w:rFonts w:cs="Sakkal Majalla"/>
          <w:i/>
          <w:iCs/>
          <w:szCs w:val="28"/>
        </w:rPr>
        <w:t xml:space="preserve">Cross-Infection and Infection Control in Dental Clinics in Nablus and </w:t>
      </w:r>
      <w:proofErr w:type="spellStart"/>
      <w:r w:rsidRPr="000508C0">
        <w:rPr>
          <w:rFonts w:cs="Sakkal Majalla"/>
          <w:i/>
          <w:iCs/>
          <w:szCs w:val="28"/>
        </w:rPr>
        <w:t>Tulkarm</w:t>
      </w:r>
      <w:proofErr w:type="spellEnd"/>
      <w:r w:rsidRPr="000508C0">
        <w:rPr>
          <w:rFonts w:cs="Sakkal Majalla"/>
          <w:i/>
          <w:iCs/>
          <w:szCs w:val="28"/>
        </w:rPr>
        <w:t xml:space="preserve"> Districts</w:t>
      </w:r>
      <w:r w:rsidRPr="000508C0">
        <w:rPr>
          <w:rFonts w:cs="Sakkal Majalla"/>
          <w:szCs w:val="28"/>
        </w:rPr>
        <w:t> </w:t>
      </w:r>
      <w:r w:rsidRPr="000508C0">
        <w:rPr>
          <w:rFonts w:cs="Sakkal Majalla"/>
          <w:szCs w:val="28"/>
          <w:rtl/>
        </w:rPr>
        <w:t>(رسالة ماجستير غير منشورة). جامعة النجاح الوطنية، نابلس. مسترجع من</w:t>
      </w:r>
      <w:r w:rsidRPr="000508C0">
        <w:rPr>
          <w:rFonts w:cs="Sakkal Majalla"/>
          <w:szCs w:val="28"/>
        </w:rPr>
        <w:t xml:space="preserve"> http://search.mandumah.com/Record/1236791</w:t>
      </w:r>
    </w:p>
    <w:p w14:paraId="42F10523" w14:textId="2C41210F"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العمران، نائل موسى، </w:t>
      </w:r>
      <w:r w:rsidR="008B701D" w:rsidRPr="000508C0">
        <w:rPr>
          <w:rFonts w:cs="Sakkal Majalla" w:hint="cs"/>
          <w:szCs w:val="28"/>
          <w:rtl/>
        </w:rPr>
        <w:t>والشهري</w:t>
      </w:r>
      <w:r w:rsidRPr="000508C0">
        <w:rPr>
          <w:rFonts w:cs="Sakkal Majalla"/>
          <w:szCs w:val="28"/>
          <w:rtl/>
        </w:rPr>
        <w:t>، ظافر بن حمود. (2017). دور القيادة السياسية في مكافحة الفساد الإداري من المنظور الإسلامي: "الخليفة عمر بن الخطاب" نموذجا: دراسة تحليلية</w:t>
      </w:r>
      <w:r w:rsidRPr="000508C0">
        <w:rPr>
          <w:rFonts w:cs="Sakkal Majalla"/>
          <w:szCs w:val="28"/>
        </w:rPr>
        <w:t>. </w:t>
      </w:r>
      <w:r w:rsidRPr="000508C0">
        <w:rPr>
          <w:rFonts w:cs="Sakkal Majalla"/>
          <w:i/>
          <w:iCs/>
          <w:szCs w:val="28"/>
          <w:rtl/>
        </w:rPr>
        <w:t>مجلة الندوة للدراسات القانونية، ع14</w:t>
      </w:r>
      <w:r w:rsidRPr="000508C0">
        <w:rPr>
          <w:rFonts w:cs="Sakkal Majalla"/>
          <w:szCs w:val="28"/>
          <w:rtl/>
        </w:rPr>
        <w:t> ، 3</w:t>
      </w:r>
      <w:r w:rsidRPr="000508C0">
        <w:rPr>
          <w:rFonts w:cs="Sakkal Majalla"/>
          <w:szCs w:val="28"/>
        </w:rPr>
        <w:t xml:space="preserve"> - 21. </w:t>
      </w:r>
      <w:r w:rsidRPr="000508C0">
        <w:rPr>
          <w:rFonts w:cs="Sakkal Majalla"/>
          <w:szCs w:val="28"/>
          <w:rtl/>
        </w:rPr>
        <w:t>مسترجع من</w:t>
      </w:r>
      <w:r w:rsidRPr="000508C0">
        <w:rPr>
          <w:rFonts w:cs="Sakkal Majalla"/>
          <w:szCs w:val="28"/>
        </w:rPr>
        <w:t xml:space="preserve"> http://search.mandumah.com/Record/890213</w:t>
      </w:r>
    </w:p>
    <w:p w14:paraId="335EF47F" w14:textId="5FE7AD9F"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العطار، نسمة حسين، </w:t>
      </w:r>
      <w:r w:rsidR="008B701D" w:rsidRPr="000508C0">
        <w:rPr>
          <w:rFonts w:cs="Sakkal Majalla" w:hint="cs"/>
          <w:szCs w:val="28"/>
          <w:rtl/>
        </w:rPr>
        <w:t>التلبان</w:t>
      </w:r>
      <w:r w:rsidRPr="000508C0">
        <w:rPr>
          <w:rFonts w:cs="Sakkal Majalla"/>
          <w:szCs w:val="28"/>
          <w:rtl/>
        </w:rPr>
        <w:t xml:space="preserve">، لبني عودة حسن، </w:t>
      </w:r>
      <w:r w:rsidR="008B701D" w:rsidRPr="000508C0">
        <w:rPr>
          <w:rFonts w:cs="Sakkal Majalla" w:hint="cs"/>
          <w:szCs w:val="28"/>
          <w:rtl/>
        </w:rPr>
        <w:t>وشهاب</w:t>
      </w:r>
      <w:r w:rsidRPr="000508C0">
        <w:rPr>
          <w:rFonts w:cs="Sakkal Majalla"/>
          <w:szCs w:val="28"/>
          <w:rtl/>
        </w:rPr>
        <w:t xml:space="preserve">، أحمد </w:t>
      </w:r>
      <w:r w:rsidR="008B701D" w:rsidRPr="000508C0">
        <w:rPr>
          <w:rFonts w:cs="Sakkal Majalla" w:hint="cs"/>
          <w:szCs w:val="28"/>
          <w:rtl/>
        </w:rPr>
        <w:t>عبد الحكي</w:t>
      </w:r>
      <w:r w:rsidR="008B701D" w:rsidRPr="000508C0">
        <w:rPr>
          <w:rFonts w:cs="Sakkal Majalla" w:hint="eastAsia"/>
          <w:szCs w:val="28"/>
          <w:rtl/>
        </w:rPr>
        <w:t>م</w:t>
      </w:r>
      <w:r w:rsidRPr="000508C0">
        <w:rPr>
          <w:rFonts w:cs="Sakkal Majalla"/>
          <w:szCs w:val="28"/>
          <w:rtl/>
        </w:rPr>
        <w:t>. (2022). المسئولية الجنائية لنقل عدوي فيروس كورونا</w:t>
      </w:r>
      <w:r w:rsidRPr="000508C0">
        <w:rPr>
          <w:rFonts w:cs="Sakkal Majalla"/>
          <w:szCs w:val="28"/>
        </w:rPr>
        <w:t xml:space="preserve"> (Covid 19). </w:t>
      </w:r>
      <w:r w:rsidRPr="000508C0">
        <w:rPr>
          <w:rFonts w:cs="Sakkal Majalla"/>
          <w:i/>
          <w:iCs/>
          <w:szCs w:val="28"/>
          <w:rtl/>
        </w:rPr>
        <w:t>مجلة الدراسات الحقوقية، مج9, ع1</w:t>
      </w:r>
      <w:r w:rsidRPr="000508C0">
        <w:rPr>
          <w:rFonts w:cs="Sakkal Majalla"/>
          <w:szCs w:val="28"/>
          <w:rtl/>
        </w:rPr>
        <w:t> ، 445</w:t>
      </w:r>
      <w:r w:rsidRPr="000508C0">
        <w:rPr>
          <w:rFonts w:cs="Sakkal Majalla"/>
          <w:szCs w:val="28"/>
        </w:rPr>
        <w:t xml:space="preserve"> - 468. </w:t>
      </w:r>
      <w:r w:rsidRPr="000508C0">
        <w:rPr>
          <w:rFonts w:cs="Sakkal Majalla"/>
          <w:szCs w:val="28"/>
          <w:rtl/>
        </w:rPr>
        <w:t>مسترجع من</w:t>
      </w:r>
      <w:r w:rsidRPr="000508C0">
        <w:rPr>
          <w:rFonts w:cs="Sakkal Majalla"/>
          <w:szCs w:val="28"/>
        </w:rPr>
        <w:t xml:space="preserve"> http://search.mandumah.com/Record/1275470</w:t>
      </w:r>
    </w:p>
    <w:p w14:paraId="5CD66B60" w14:textId="31BE7631"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الربضي، عيسى غسان </w:t>
      </w:r>
      <w:r w:rsidR="008B701D" w:rsidRPr="000508C0">
        <w:rPr>
          <w:rFonts w:cs="Sakkal Majalla" w:hint="cs"/>
          <w:szCs w:val="28"/>
          <w:rtl/>
        </w:rPr>
        <w:t>عبد الل</w:t>
      </w:r>
      <w:r w:rsidR="008B701D" w:rsidRPr="000508C0">
        <w:rPr>
          <w:rFonts w:cs="Sakkal Majalla" w:hint="eastAsia"/>
          <w:szCs w:val="28"/>
          <w:rtl/>
        </w:rPr>
        <w:t>ه</w:t>
      </w:r>
      <w:r w:rsidRPr="000508C0">
        <w:rPr>
          <w:rFonts w:cs="Sakkal Majalla"/>
          <w:szCs w:val="28"/>
          <w:rtl/>
        </w:rPr>
        <w:t xml:space="preserve">، </w:t>
      </w:r>
      <w:r w:rsidR="008B701D" w:rsidRPr="000508C0">
        <w:rPr>
          <w:rFonts w:cs="Sakkal Majalla" w:hint="cs"/>
          <w:szCs w:val="28"/>
          <w:rtl/>
        </w:rPr>
        <w:t>والربضي</w:t>
      </w:r>
      <w:r w:rsidRPr="000508C0">
        <w:rPr>
          <w:rFonts w:cs="Sakkal Majalla"/>
          <w:szCs w:val="28"/>
          <w:rtl/>
        </w:rPr>
        <w:t>، نجم رياض نجم. (2021). المسؤولية المدنية الناشئة عن عدوى الغير بفيروس "كوفيد-19</w:t>
      </w:r>
      <w:r w:rsidRPr="000508C0">
        <w:rPr>
          <w:rFonts w:cs="Sakkal Majalla"/>
          <w:szCs w:val="28"/>
        </w:rPr>
        <w:t>". </w:t>
      </w:r>
      <w:r w:rsidRPr="000508C0">
        <w:rPr>
          <w:rFonts w:cs="Sakkal Majalla"/>
          <w:i/>
          <w:iCs/>
          <w:szCs w:val="28"/>
          <w:rtl/>
        </w:rPr>
        <w:t>مجلة الحقوق، مج18, ع2</w:t>
      </w:r>
      <w:r w:rsidRPr="000508C0">
        <w:rPr>
          <w:rFonts w:cs="Sakkal Majalla"/>
          <w:szCs w:val="28"/>
          <w:rtl/>
        </w:rPr>
        <w:t> ، 189</w:t>
      </w:r>
      <w:r w:rsidRPr="000508C0">
        <w:rPr>
          <w:rFonts w:cs="Sakkal Majalla"/>
          <w:szCs w:val="28"/>
        </w:rPr>
        <w:t xml:space="preserve"> - 218. </w:t>
      </w:r>
      <w:r w:rsidRPr="000508C0">
        <w:rPr>
          <w:rFonts w:cs="Sakkal Majalla"/>
          <w:szCs w:val="28"/>
          <w:rtl/>
        </w:rPr>
        <w:t>مسترجع من</w:t>
      </w:r>
      <w:r w:rsidRPr="000508C0">
        <w:rPr>
          <w:rFonts w:cs="Sakkal Majalla"/>
          <w:szCs w:val="28"/>
        </w:rPr>
        <w:t xml:space="preserve"> http://search.mandumah.com/Record/1365018</w:t>
      </w:r>
    </w:p>
    <w:p w14:paraId="28E22768" w14:textId="77777777"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المصباحي، أحمد بن محمد بن إسماعيل. (2022). القواعد الأصولية والمقاصد الشرعية التي تتخرج عليها أحكام العدوى: فيروس كورونا</w:t>
      </w:r>
      <w:r w:rsidRPr="000508C0">
        <w:rPr>
          <w:rFonts w:cs="Sakkal Majalla"/>
          <w:szCs w:val="28"/>
        </w:rPr>
        <w:t xml:space="preserve"> Covid-19 </w:t>
      </w:r>
      <w:r w:rsidRPr="000508C0">
        <w:rPr>
          <w:rFonts w:cs="Sakkal Majalla"/>
          <w:szCs w:val="28"/>
          <w:rtl/>
        </w:rPr>
        <w:t>أنموذجا</w:t>
      </w:r>
      <w:r w:rsidRPr="000508C0">
        <w:rPr>
          <w:rFonts w:cs="Sakkal Majalla"/>
          <w:szCs w:val="28"/>
        </w:rPr>
        <w:t>. </w:t>
      </w:r>
      <w:r w:rsidRPr="000508C0">
        <w:rPr>
          <w:rFonts w:cs="Sakkal Majalla"/>
          <w:i/>
          <w:iCs/>
          <w:szCs w:val="28"/>
          <w:rtl/>
        </w:rPr>
        <w:t>المجلة الدولية للعلوم الإنسانية، ع3</w:t>
      </w:r>
      <w:r w:rsidRPr="000508C0">
        <w:rPr>
          <w:rFonts w:cs="Sakkal Majalla"/>
          <w:szCs w:val="28"/>
          <w:rtl/>
        </w:rPr>
        <w:t> ، 50</w:t>
      </w:r>
      <w:r w:rsidRPr="000508C0">
        <w:rPr>
          <w:rFonts w:cs="Sakkal Majalla"/>
          <w:szCs w:val="28"/>
        </w:rPr>
        <w:t xml:space="preserve"> - 109. </w:t>
      </w:r>
      <w:r w:rsidRPr="000508C0">
        <w:rPr>
          <w:rFonts w:cs="Sakkal Majalla"/>
          <w:szCs w:val="28"/>
          <w:rtl/>
        </w:rPr>
        <w:t>مسترجع من</w:t>
      </w:r>
      <w:r w:rsidRPr="000508C0">
        <w:rPr>
          <w:rFonts w:cs="Sakkal Majalla"/>
          <w:szCs w:val="28"/>
        </w:rPr>
        <w:t xml:space="preserve"> http://search.mandumah.com/Record/1315225</w:t>
      </w:r>
    </w:p>
    <w:p w14:paraId="070E78FB" w14:textId="20DBB85E" w:rsidR="00997F7D" w:rsidRPr="000508C0" w:rsidRDefault="00997F7D" w:rsidP="00F634A6">
      <w:pPr>
        <w:pStyle w:val="a7"/>
        <w:numPr>
          <w:ilvl w:val="0"/>
          <w:numId w:val="37"/>
        </w:numPr>
        <w:spacing w:before="100" w:beforeAutospacing="1" w:after="100" w:afterAutospacing="1"/>
        <w:outlineLvl w:val="1"/>
        <w:rPr>
          <w:rFonts w:cs="Sakkal Majalla"/>
          <w:szCs w:val="28"/>
          <w:rtl/>
          <w:lang w:bidi="ar-EG"/>
        </w:rPr>
      </w:pPr>
      <w:r w:rsidRPr="000508C0">
        <w:rPr>
          <w:rFonts w:cs="Sakkal Majalla"/>
          <w:szCs w:val="28"/>
          <w:rtl/>
        </w:rPr>
        <w:lastRenderedPageBreak/>
        <w:t xml:space="preserve">نصر الله، انعام محمود، أبو شقرا، مروان، </w:t>
      </w:r>
      <w:r w:rsidR="008B701D" w:rsidRPr="000508C0">
        <w:rPr>
          <w:rFonts w:cs="Sakkal Majalla" w:hint="cs"/>
          <w:szCs w:val="28"/>
          <w:rtl/>
        </w:rPr>
        <w:t>وفرحات</w:t>
      </w:r>
      <w:r w:rsidRPr="000508C0">
        <w:rPr>
          <w:rFonts w:cs="Sakkal Majalla"/>
          <w:szCs w:val="28"/>
          <w:rtl/>
        </w:rPr>
        <w:t>، محمد</w:t>
      </w:r>
      <w:r w:rsidRPr="000508C0">
        <w:rPr>
          <w:rFonts w:cs="Sakkal Majalla"/>
          <w:szCs w:val="28"/>
        </w:rPr>
        <w:t>. (</w:t>
      </w:r>
      <w:r w:rsidRPr="000508C0">
        <w:rPr>
          <w:rFonts w:cs="Sakkal Majalla" w:hint="cs"/>
          <w:szCs w:val="28"/>
          <w:rtl/>
          <w:lang w:bidi="ar-EG"/>
        </w:rPr>
        <w:t>2017</w:t>
      </w:r>
      <w:r w:rsidRPr="000508C0">
        <w:rPr>
          <w:rFonts w:cs="Sakkal Majalla"/>
          <w:szCs w:val="28"/>
        </w:rPr>
        <w:t>). </w:t>
      </w:r>
      <w:r w:rsidRPr="000508C0">
        <w:rPr>
          <w:rFonts w:cs="Sakkal Majalla"/>
          <w:i/>
          <w:iCs/>
          <w:szCs w:val="28"/>
          <w:rtl/>
        </w:rPr>
        <w:t xml:space="preserve">أهمية دور إدارة الجودة الشاملة في مكافحة العدوى </w:t>
      </w:r>
      <w:r w:rsidR="008B701D" w:rsidRPr="000508C0">
        <w:rPr>
          <w:rFonts w:cs="Sakkal Majalla" w:hint="cs"/>
          <w:i/>
          <w:iCs/>
          <w:szCs w:val="28"/>
          <w:rtl/>
        </w:rPr>
        <w:t>الاستشفائية</w:t>
      </w:r>
      <w:r w:rsidRPr="000508C0">
        <w:rPr>
          <w:rFonts w:cs="Sakkal Majalla"/>
          <w:szCs w:val="28"/>
          <w:rtl/>
        </w:rPr>
        <w:t> (رسالة ماجستير غير منشورة). الجامعة الاسلامية في لبنان، بيروت. مسترجع من</w:t>
      </w:r>
      <w:r w:rsidRPr="000508C0">
        <w:rPr>
          <w:rFonts w:cs="Sakkal Majalla"/>
          <w:szCs w:val="28"/>
        </w:rPr>
        <w:t xml:space="preserve"> </w:t>
      </w:r>
      <w:hyperlink r:id="rId13" w:history="1">
        <w:r w:rsidRPr="000508C0">
          <w:rPr>
            <w:rStyle w:val="Hyperlink"/>
            <w:rFonts w:cs="Sakkal Majalla"/>
            <w:color w:val="auto"/>
            <w:szCs w:val="28"/>
          </w:rPr>
          <w:t>http://search.mandumah.com/Record/590172</w:t>
        </w:r>
      </w:hyperlink>
    </w:p>
    <w:p w14:paraId="5143F180" w14:textId="3C1965E1" w:rsidR="00997F7D" w:rsidRPr="000508C0" w:rsidRDefault="00997F7D" w:rsidP="00F634A6">
      <w:pPr>
        <w:pStyle w:val="a7"/>
        <w:numPr>
          <w:ilvl w:val="0"/>
          <w:numId w:val="37"/>
        </w:numPr>
        <w:spacing w:before="100" w:beforeAutospacing="1" w:after="100" w:afterAutospacing="1"/>
        <w:outlineLvl w:val="1"/>
        <w:rPr>
          <w:rFonts w:cs="Sakkal Majalla"/>
          <w:szCs w:val="28"/>
          <w:rtl/>
          <w:lang w:bidi="ar-EG"/>
        </w:rPr>
      </w:pPr>
      <w:r w:rsidRPr="000508C0">
        <w:rPr>
          <w:rFonts w:cs="Sakkal Majalla"/>
          <w:szCs w:val="28"/>
          <w:rtl/>
          <w:lang w:bidi="ar-EG"/>
        </w:rPr>
        <w:t xml:space="preserve">الطوس، علي أحمد، </w:t>
      </w:r>
      <w:r w:rsidR="008B701D" w:rsidRPr="000508C0">
        <w:rPr>
          <w:rFonts w:cs="Sakkal Majalla" w:hint="cs"/>
          <w:szCs w:val="28"/>
          <w:rtl/>
          <w:lang w:bidi="ar-EG"/>
        </w:rPr>
        <w:t>والكساسبة</w:t>
      </w:r>
      <w:r w:rsidRPr="000508C0">
        <w:rPr>
          <w:rFonts w:cs="Sakkal Majalla"/>
          <w:szCs w:val="28"/>
          <w:rtl/>
          <w:lang w:bidi="ar-EG"/>
        </w:rPr>
        <w:t xml:space="preserve">، محمد مفضي عثمان. (2015). أثر الجدارات الجوهرية على تطبيق معايير الاعتماد الصحية الأردنية في </w:t>
      </w:r>
      <w:r w:rsidR="000508C0">
        <w:rPr>
          <w:rFonts w:cs="Sakkal Majalla"/>
          <w:szCs w:val="28"/>
          <w:rtl/>
          <w:lang w:bidi="ar-EG"/>
        </w:rPr>
        <w:t xml:space="preserve">المستشفى </w:t>
      </w:r>
      <w:r w:rsidRPr="000508C0">
        <w:rPr>
          <w:rFonts w:cs="Sakkal Majalla"/>
          <w:szCs w:val="28"/>
          <w:rtl/>
          <w:lang w:bidi="ar-EG"/>
        </w:rPr>
        <w:t xml:space="preserve">ات الجامعية الأردنية (رسالة ماجستير غير منشورة). جامعة عمان العربية، عمان. مسترجع من </w:t>
      </w:r>
      <w:r w:rsidRPr="000508C0">
        <w:rPr>
          <w:rFonts w:cs="Sakkal Majalla"/>
          <w:szCs w:val="28"/>
        </w:rPr>
        <w:t>http://search.mandumah.com/Record/788381</w:t>
      </w:r>
    </w:p>
    <w:p w14:paraId="36949DCF" w14:textId="25137A93" w:rsidR="00997F7D" w:rsidRPr="000508C0" w:rsidRDefault="00997F7D" w:rsidP="00F634A6">
      <w:pPr>
        <w:pStyle w:val="a7"/>
        <w:numPr>
          <w:ilvl w:val="0"/>
          <w:numId w:val="37"/>
        </w:numPr>
        <w:spacing w:before="100" w:beforeAutospacing="1" w:after="100" w:afterAutospacing="1"/>
        <w:outlineLvl w:val="1"/>
        <w:rPr>
          <w:rFonts w:cs="Sakkal Majalla"/>
          <w:szCs w:val="28"/>
        </w:rPr>
      </w:pPr>
      <w:r w:rsidRPr="000508C0">
        <w:rPr>
          <w:rFonts w:cs="Sakkal Majalla"/>
          <w:szCs w:val="28"/>
          <w:rtl/>
        </w:rPr>
        <w:t xml:space="preserve">إبراهيم، محمد زيدان، الشعراوي، حاتم </w:t>
      </w:r>
      <w:r w:rsidR="008B701D" w:rsidRPr="000508C0">
        <w:rPr>
          <w:rFonts w:cs="Sakkal Majalla" w:hint="cs"/>
          <w:szCs w:val="28"/>
          <w:rtl/>
        </w:rPr>
        <w:t>عبد الفتا</w:t>
      </w:r>
      <w:r w:rsidR="008B701D" w:rsidRPr="000508C0">
        <w:rPr>
          <w:rFonts w:cs="Sakkal Majalla" w:hint="eastAsia"/>
          <w:szCs w:val="28"/>
          <w:rtl/>
        </w:rPr>
        <w:t>ح</w:t>
      </w:r>
      <w:r w:rsidRPr="000508C0">
        <w:rPr>
          <w:rFonts w:cs="Sakkal Majalla"/>
          <w:szCs w:val="28"/>
          <w:rtl/>
        </w:rPr>
        <w:t xml:space="preserve">، </w:t>
      </w:r>
      <w:r w:rsidR="008B701D" w:rsidRPr="000508C0">
        <w:rPr>
          <w:rFonts w:cs="Sakkal Majalla" w:hint="cs"/>
          <w:szCs w:val="28"/>
          <w:rtl/>
        </w:rPr>
        <w:t>وزيد</w:t>
      </w:r>
      <w:r w:rsidRPr="000508C0">
        <w:rPr>
          <w:rFonts w:cs="Sakkal Majalla"/>
          <w:szCs w:val="28"/>
          <w:rtl/>
        </w:rPr>
        <w:t xml:space="preserve">، جاد سعيد جاد. (2024). تقييم أداء </w:t>
      </w:r>
      <w:r w:rsidR="000508C0">
        <w:rPr>
          <w:rFonts w:cs="Sakkal Majalla"/>
          <w:szCs w:val="28"/>
          <w:rtl/>
        </w:rPr>
        <w:t xml:space="preserve">المستشفى </w:t>
      </w:r>
      <w:r w:rsidRPr="000508C0">
        <w:rPr>
          <w:rFonts w:cs="Sakkal Majalla"/>
          <w:szCs w:val="28"/>
          <w:rtl/>
        </w:rPr>
        <w:t>ات الحكومية المتخصصة في ضوء التكامل بين أسلوبي القياس المرجعي والأداء المتوازن: دراسة تطبيقية</w:t>
      </w:r>
      <w:r w:rsidRPr="000508C0">
        <w:rPr>
          <w:rFonts w:cs="Sakkal Majalla"/>
          <w:szCs w:val="28"/>
        </w:rPr>
        <w:t>. </w:t>
      </w:r>
      <w:r w:rsidRPr="000508C0">
        <w:rPr>
          <w:rFonts w:cs="Sakkal Majalla"/>
          <w:i/>
          <w:iCs/>
          <w:szCs w:val="28"/>
          <w:rtl/>
        </w:rPr>
        <w:t>المجلة العلمية للبحوث التجارية، س11, ع2</w:t>
      </w:r>
      <w:r w:rsidRPr="000508C0">
        <w:rPr>
          <w:rFonts w:cs="Sakkal Majalla"/>
          <w:szCs w:val="28"/>
          <w:rtl/>
        </w:rPr>
        <w:t> ، 639</w:t>
      </w:r>
      <w:r w:rsidRPr="000508C0">
        <w:rPr>
          <w:rFonts w:cs="Sakkal Majalla"/>
          <w:szCs w:val="28"/>
        </w:rPr>
        <w:t xml:space="preserve"> - 708. </w:t>
      </w:r>
      <w:r w:rsidRPr="000508C0">
        <w:rPr>
          <w:rFonts w:cs="Sakkal Majalla"/>
          <w:szCs w:val="28"/>
          <w:rtl/>
        </w:rPr>
        <w:t>مسترجع من</w:t>
      </w:r>
      <w:r w:rsidRPr="000508C0">
        <w:rPr>
          <w:rFonts w:cs="Sakkal Majalla"/>
          <w:szCs w:val="28"/>
        </w:rPr>
        <w:t xml:space="preserve"> http://search.mandumah.com/Record/1471206</w:t>
      </w:r>
    </w:p>
    <w:p w14:paraId="26BD8675" w14:textId="5DA85233" w:rsidR="001D300E" w:rsidRPr="000508C0" w:rsidRDefault="00997F7D" w:rsidP="00F634A6">
      <w:pPr>
        <w:pStyle w:val="a7"/>
        <w:numPr>
          <w:ilvl w:val="0"/>
          <w:numId w:val="37"/>
        </w:numPr>
        <w:spacing w:before="100" w:beforeAutospacing="1" w:after="100" w:afterAutospacing="1"/>
        <w:outlineLvl w:val="1"/>
        <w:rPr>
          <w:rFonts w:cs="Sakkal Majalla"/>
          <w:szCs w:val="28"/>
          <w:rtl/>
        </w:rPr>
      </w:pPr>
      <w:r w:rsidRPr="000508C0">
        <w:rPr>
          <w:rFonts w:cs="Sakkal Majalla"/>
          <w:szCs w:val="28"/>
          <w:rtl/>
        </w:rPr>
        <w:t xml:space="preserve">مختار، عثمان </w:t>
      </w:r>
      <w:r w:rsidR="008B701D" w:rsidRPr="000508C0">
        <w:rPr>
          <w:rFonts w:cs="Sakkal Majalla" w:hint="cs"/>
          <w:szCs w:val="28"/>
          <w:rtl/>
        </w:rPr>
        <w:t>عبد الل</w:t>
      </w:r>
      <w:r w:rsidR="008B701D" w:rsidRPr="000508C0">
        <w:rPr>
          <w:rFonts w:cs="Sakkal Majalla" w:hint="eastAsia"/>
          <w:szCs w:val="28"/>
          <w:rtl/>
        </w:rPr>
        <w:t>ه</w:t>
      </w:r>
      <w:r w:rsidRPr="000508C0">
        <w:rPr>
          <w:rFonts w:cs="Sakkal Majalla"/>
          <w:szCs w:val="28"/>
          <w:rtl/>
        </w:rPr>
        <w:t xml:space="preserve"> عثمان. (2017). أثر سياسات وإجراءات الأمن والسلامة في توفير بيئة آمنة في </w:t>
      </w:r>
      <w:r w:rsidR="000508C0">
        <w:rPr>
          <w:rFonts w:cs="Sakkal Majalla"/>
          <w:szCs w:val="28"/>
          <w:rtl/>
        </w:rPr>
        <w:t xml:space="preserve">المستشفى </w:t>
      </w:r>
      <w:r w:rsidRPr="000508C0">
        <w:rPr>
          <w:rFonts w:cs="Sakkal Majalla"/>
          <w:szCs w:val="28"/>
          <w:rtl/>
        </w:rPr>
        <w:t>ات السودانية: دراسة مقارنة للمستشفيات الحكومية والخاصة بمدينة الخرطوم للفترة من أكتوبر 2014م إلى يناير 2015م</w:t>
      </w:r>
      <w:r w:rsidRPr="000508C0">
        <w:rPr>
          <w:rFonts w:cs="Sakkal Majalla"/>
          <w:szCs w:val="28"/>
        </w:rPr>
        <w:t>. </w:t>
      </w:r>
      <w:r w:rsidRPr="000508C0">
        <w:rPr>
          <w:rFonts w:cs="Sakkal Majalla"/>
          <w:i/>
          <w:iCs/>
          <w:szCs w:val="28"/>
          <w:rtl/>
        </w:rPr>
        <w:t>مجلة جامعة دنقلا للبحوث العلمية، مج7, ع12</w:t>
      </w:r>
      <w:r w:rsidRPr="000508C0">
        <w:rPr>
          <w:rFonts w:cs="Sakkal Majalla"/>
          <w:szCs w:val="28"/>
          <w:rtl/>
        </w:rPr>
        <w:t> ، 103</w:t>
      </w:r>
      <w:r w:rsidRPr="000508C0">
        <w:rPr>
          <w:rFonts w:cs="Sakkal Majalla"/>
          <w:szCs w:val="28"/>
        </w:rPr>
        <w:t xml:space="preserve"> - 166. </w:t>
      </w:r>
      <w:r w:rsidRPr="000508C0">
        <w:rPr>
          <w:rFonts w:cs="Sakkal Majalla"/>
          <w:szCs w:val="28"/>
          <w:rtl/>
        </w:rPr>
        <w:t>مسترجع من</w:t>
      </w:r>
      <w:r w:rsidRPr="000508C0">
        <w:rPr>
          <w:rFonts w:cs="Sakkal Majalla"/>
          <w:szCs w:val="28"/>
        </w:rPr>
        <w:t xml:space="preserve"> </w:t>
      </w:r>
      <w:hyperlink r:id="rId14" w:history="1">
        <w:r w:rsidRPr="000508C0">
          <w:rPr>
            <w:rStyle w:val="Hyperlink"/>
            <w:rFonts w:cs="Sakkal Majalla"/>
            <w:color w:val="auto"/>
            <w:szCs w:val="28"/>
          </w:rPr>
          <w:t>http://search.mandumah.com/Record/1175481</w:t>
        </w:r>
      </w:hyperlink>
    </w:p>
    <w:p w14:paraId="4710559E" w14:textId="77777777" w:rsidR="00997F7D" w:rsidRPr="000508C0" w:rsidRDefault="00997F7D" w:rsidP="00997F7D">
      <w:pPr>
        <w:bidi/>
        <w:spacing w:before="100" w:beforeAutospacing="1" w:after="100" w:afterAutospacing="1"/>
        <w:outlineLvl w:val="1"/>
        <w:rPr>
          <w:rFonts w:cs="Sakkal Majalla"/>
          <w:szCs w:val="28"/>
          <w:rtl/>
        </w:rPr>
      </w:pPr>
    </w:p>
    <w:p w14:paraId="7CD8D697" w14:textId="0172A8AC" w:rsidR="00403537" w:rsidRPr="000508C0" w:rsidRDefault="00B30AD8" w:rsidP="001D300E">
      <w:pPr>
        <w:bidi/>
        <w:spacing w:before="100" w:beforeAutospacing="1" w:after="100" w:afterAutospacing="1"/>
        <w:outlineLvl w:val="1"/>
        <w:rPr>
          <w:rFonts w:ascii="Sakkal Majalla" w:hAnsi="Sakkal Majalla" w:cs="Sakkal Majalla"/>
          <w:b/>
          <w:bCs/>
          <w:sz w:val="36"/>
          <w:szCs w:val="36"/>
          <w:rtl/>
        </w:rPr>
      </w:pPr>
      <w:r w:rsidRPr="000508C0">
        <w:rPr>
          <w:rFonts w:ascii="Sakkal Majalla" w:hAnsi="Sakkal Majalla" w:cs="Sakkal Majalla"/>
          <w:b/>
          <w:bCs/>
          <w:sz w:val="36"/>
          <w:szCs w:val="36"/>
          <w:rtl/>
        </w:rPr>
        <w:t>ثانيا: المراجع الأجنبية</w:t>
      </w:r>
      <w:bookmarkEnd w:id="36"/>
    </w:p>
    <w:p w14:paraId="050EC189" w14:textId="77777777" w:rsidR="00997F7D" w:rsidRPr="000508C0" w:rsidRDefault="00997F7D" w:rsidP="00997F7D">
      <w:pPr>
        <w:bidi/>
        <w:spacing w:after="0" w:line="360" w:lineRule="auto"/>
        <w:ind w:firstLine="720"/>
        <w:jc w:val="both"/>
        <w:rPr>
          <w:rFonts w:ascii="Sakkal Majalla" w:hAnsi="Sakkal Majalla" w:cs="Sakkal Majalla"/>
          <w:sz w:val="28"/>
          <w:szCs w:val="28"/>
          <w:rtl/>
          <w:lang w:bidi="ar-EG"/>
        </w:rPr>
      </w:pPr>
    </w:p>
    <w:p w14:paraId="222344D7"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Sakkal Majalla" w:hAnsi="Sakkal Majalla" w:cs="Sakkal Majalla"/>
          <w:sz w:val="28"/>
          <w:szCs w:val="28"/>
        </w:rPr>
        <w:t xml:space="preserve">Kutcher, S. (2018). </w:t>
      </w:r>
      <w:r w:rsidRPr="000508C0">
        <w:rPr>
          <w:rFonts w:ascii="Sakkal Majalla" w:hAnsi="Sakkal Majalla" w:cs="Sakkal Majalla"/>
          <w:i/>
          <w:iCs/>
          <w:sz w:val="28"/>
          <w:szCs w:val="28"/>
        </w:rPr>
        <w:t xml:space="preserve">Suicide Risk Management: A Manual for Health </w:t>
      </w:r>
      <w:r w:rsidRPr="000508C0">
        <w:rPr>
          <w:rFonts w:asciiTheme="majorBidi" w:hAnsiTheme="majorBidi" w:cstheme="majorBidi"/>
          <w:i/>
          <w:iCs/>
          <w:sz w:val="28"/>
          <w:szCs w:val="28"/>
        </w:rPr>
        <w:t>Professionals</w:t>
      </w:r>
      <w:r w:rsidRPr="000508C0">
        <w:rPr>
          <w:rFonts w:asciiTheme="majorBidi" w:hAnsiTheme="majorBidi" w:cstheme="majorBidi"/>
          <w:sz w:val="28"/>
          <w:szCs w:val="28"/>
        </w:rPr>
        <w:t xml:space="preserve">. Arab Journal of Psychiatry, 19(2), 1–3. Retrieved from </w:t>
      </w:r>
      <w:hyperlink r:id="rId15" w:history="1">
        <w:r w:rsidRPr="000508C0">
          <w:rPr>
            <w:rStyle w:val="Hyperlink"/>
            <w:rFonts w:asciiTheme="majorBidi" w:hAnsiTheme="majorBidi" w:cstheme="majorBidi"/>
            <w:color w:val="auto"/>
            <w:sz w:val="28"/>
            <w:szCs w:val="28"/>
          </w:rPr>
          <w:t>http://search.mandumah.com/Record/634184</w:t>
        </w:r>
      </w:hyperlink>
    </w:p>
    <w:p w14:paraId="3E14BC0E"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Shakatreh</w:t>
      </w:r>
      <w:proofErr w:type="spellEnd"/>
      <w:r w:rsidRPr="000508C0">
        <w:rPr>
          <w:rFonts w:asciiTheme="majorBidi" w:hAnsiTheme="majorBidi" w:cstheme="majorBidi"/>
          <w:sz w:val="28"/>
          <w:szCs w:val="28"/>
        </w:rPr>
        <w:t xml:space="preserve">, M., &amp; </w:t>
      </w:r>
      <w:proofErr w:type="spellStart"/>
      <w:r w:rsidRPr="000508C0">
        <w:rPr>
          <w:rFonts w:asciiTheme="majorBidi" w:hAnsiTheme="majorBidi" w:cstheme="majorBidi"/>
          <w:sz w:val="28"/>
          <w:szCs w:val="28"/>
        </w:rPr>
        <w:t>Mansour</w:t>
      </w:r>
      <w:proofErr w:type="spellEnd"/>
      <w:r w:rsidRPr="000508C0">
        <w:rPr>
          <w:rFonts w:asciiTheme="majorBidi" w:hAnsiTheme="majorBidi" w:cstheme="majorBidi"/>
          <w:sz w:val="28"/>
          <w:szCs w:val="28"/>
        </w:rPr>
        <w:t xml:space="preserve">, A. M. A. (2023). </w:t>
      </w:r>
      <w:r w:rsidRPr="000508C0">
        <w:rPr>
          <w:rFonts w:asciiTheme="majorBidi" w:hAnsiTheme="majorBidi" w:cstheme="majorBidi"/>
          <w:i/>
          <w:iCs/>
          <w:sz w:val="28"/>
          <w:szCs w:val="28"/>
        </w:rPr>
        <w:t xml:space="preserve">Risk Management Ramifications: Syrian </w:t>
      </w:r>
      <w:proofErr w:type="spellStart"/>
      <w:r w:rsidRPr="000508C0">
        <w:rPr>
          <w:rFonts w:asciiTheme="majorBidi" w:hAnsiTheme="majorBidi" w:cstheme="majorBidi"/>
          <w:i/>
          <w:iCs/>
          <w:sz w:val="28"/>
          <w:szCs w:val="28"/>
        </w:rPr>
        <w:t>Zaatari</w:t>
      </w:r>
      <w:proofErr w:type="spellEnd"/>
      <w:r w:rsidRPr="000508C0">
        <w:rPr>
          <w:rFonts w:asciiTheme="majorBidi" w:hAnsiTheme="majorBidi" w:cstheme="majorBidi"/>
          <w:i/>
          <w:iCs/>
          <w:sz w:val="28"/>
          <w:szCs w:val="28"/>
        </w:rPr>
        <w:t xml:space="preserve"> Refugee Camp during COVID-19 </w:t>
      </w:r>
      <w:r w:rsidRPr="000508C0">
        <w:rPr>
          <w:rFonts w:asciiTheme="majorBidi" w:hAnsiTheme="majorBidi" w:cstheme="majorBidi"/>
          <w:i/>
          <w:iCs/>
          <w:sz w:val="28"/>
          <w:szCs w:val="28"/>
        </w:rPr>
        <w:lastRenderedPageBreak/>
        <w:t>in Jordan</w:t>
      </w:r>
      <w:r w:rsidRPr="000508C0">
        <w:rPr>
          <w:rFonts w:asciiTheme="majorBidi" w:hAnsiTheme="majorBidi" w:cstheme="majorBidi"/>
          <w:sz w:val="28"/>
          <w:szCs w:val="28"/>
        </w:rPr>
        <w:t xml:space="preserve">. Journal of Finance and Commercial Studies, (1), 39–61. Retrieved from </w:t>
      </w:r>
      <w:hyperlink r:id="rId16" w:history="1">
        <w:r w:rsidRPr="000508C0">
          <w:rPr>
            <w:rStyle w:val="Hyperlink"/>
            <w:rFonts w:asciiTheme="majorBidi" w:hAnsiTheme="majorBidi" w:cstheme="majorBidi"/>
            <w:color w:val="auto"/>
            <w:sz w:val="28"/>
            <w:szCs w:val="28"/>
          </w:rPr>
          <w:t>http://search.mandumah.com/Record/1468317</w:t>
        </w:r>
      </w:hyperlink>
    </w:p>
    <w:p w14:paraId="3C7F37A8"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Abu </w:t>
      </w:r>
      <w:proofErr w:type="spellStart"/>
      <w:r w:rsidRPr="000508C0">
        <w:rPr>
          <w:rFonts w:asciiTheme="majorBidi" w:hAnsiTheme="majorBidi" w:cstheme="majorBidi"/>
          <w:sz w:val="28"/>
          <w:szCs w:val="28"/>
        </w:rPr>
        <w:t>Auda</w:t>
      </w:r>
      <w:proofErr w:type="spellEnd"/>
      <w:r w:rsidRPr="000508C0">
        <w:rPr>
          <w:rFonts w:asciiTheme="majorBidi" w:hAnsiTheme="majorBidi" w:cstheme="majorBidi"/>
          <w:sz w:val="28"/>
          <w:szCs w:val="28"/>
        </w:rPr>
        <w:t xml:space="preserve">, A. M. M., &amp; </w:t>
      </w:r>
      <w:proofErr w:type="spellStart"/>
      <w:r w:rsidRPr="000508C0">
        <w:rPr>
          <w:rFonts w:asciiTheme="majorBidi" w:hAnsiTheme="majorBidi" w:cstheme="majorBidi"/>
          <w:sz w:val="28"/>
          <w:szCs w:val="28"/>
        </w:rPr>
        <w:t>Al-Jaish</w:t>
      </w:r>
      <w:proofErr w:type="spellEnd"/>
      <w:r w:rsidRPr="000508C0">
        <w:rPr>
          <w:rFonts w:asciiTheme="majorBidi" w:hAnsiTheme="majorBidi" w:cstheme="majorBidi"/>
          <w:sz w:val="28"/>
          <w:szCs w:val="28"/>
        </w:rPr>
        <w:t xml:space="preserve">, Y. I. (2019). </w:t>
      </w:r>
      <w:r w:rsidRPr="000508C0">
        <w:rPr>
          <w:rFonts w:asciiTheme="majorBidi" w:hAnsiTheme="majorBidi" w:cstheme="majorBidi"/>
          <w:i/>
          <w:iCs/>
          <w:sz w:val="28"/>
          <w:szCs w:val="28"/>
        </w:rPr>
        <w:t>Management of Health and Safety Risks at Governmental Hospitals in the Gaza Strip</w:t>
      </w:r>
      <w:r w:rsidRPr="000508C0">
        <w:rPr>
          <w:rFonts w:asciiTheme="majorBidi" w:hAnsiTheme="majorBidi" w:cstheme="majorBidi"/>
          <w:sz w:val="28"/>
          <w:szCs w:val="28"/>
        </w:rPr>
        <w:t xml:space="preserve"> (Unpublished master’s thesis). Islamic University of Gaza, Gaza. Retrieved from </w:t>
      </w:r>
      <w:hyperlink r:id="rId17" w:history="1">
        <w:r w:rsidRPr="000508C0">
          <w:rPr>
            <w:rStyle w:val="Hyperlink"/>
            <w:rFonts w:asciiTheme="majorBidi" w:hAnsiTheme="majorBidi" w:cstheme="majorBidi"/>
            <w:color w:val="auto"/>
            <w:sz w:val="28"/>
            <w:szCs w:val="28"/>
          </w:rPr>
          <w:t>http://search.mandumah.com/Record/1031023</w:t>
        </w:r>
      </w:hyperlink>
    </w:p>
    <w:p w14:paraId="77870850"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Mohammad, A. J., &amp; </w:t>
      </w:r>
      <w:proofErr w:type="spellStart"/>
      <w:r w:rsidRPr="000508C0">
        <w:rPr>
          <w:rFonts w:asciiTheme="majorBidi" w:hAnsiTheme="majorBidi" w:cstheme="majorBidi"/>
          <w:sz w:val="28"/>
          <w:szCs w:val="28"/>
        </w:rPr>
        <w:t>Al-Musawi</w:t>
      </w:r>
      <w:proofErr w:type="spellEnd"/>
      <w:r w:rsidRPr="000508C0">
        <w:rPr>
          <w:rFonts w:asciiTheme="majorBidi" w:hAnsiTheme="majorBidi" w:cstheme="majorBidi"/>
          <w:sz w:val="28"/>
          <w:szCs w:val="28"/>
        </w:rPr>
        <w:t xml:space="preserve">, T. J. (2021). </w:t>
      </w:r>
      <w:r w:rsidRPr="000508C0">
        <w:rPr>
          <w:rFonts w:asciiTheme="majorBidi" w:hAnsiTheme="majorBidi" w:cstheme="majorBidi"/>
          <w:i/>
          <w:iCs/>
          <w:sz w:val="28"/>
          <w:szCs w:val="28"/>
        </w:rPr>
        <w:t>Environmental Risk Management of Cement Factories: Case Study in Iraq</w:t>
      </w:r>
      <w:r w:rsidRPr="000508C0">
        <w:rPr>
          <w:rFonts w:asciiTheme="majorBidi" w:hAnsiTheme="majorBidi" w:cstheme="majorBidi"/>
          <w:sz w:val="28"/>
          <w:szCs w:val="28"/>
        </w:rPr>
        <w:t xml:space="preserve"> (Unpublished master’s thesis). Isra Private University, Amman. Retrieved from </w:t>
      </w:r>
      <w:hyperlink r:id="rId18" w:history="1">
        <w:r w:rsidRPr="000508C0">
          <w:rPr>
            <w:rStyle w:val="Hyperlink"/>
            <w:rFonts w:asciiTheme="majorBidi" w:hAnsiTheme="majorBidi" w:cstheme="majorBidi"/>
            <w:color w:val="auto"/>
            <w:sz w:val="28"/>
            <w:szCs w:val="28"/>
          </w:rPr>
          <w:t>http://search.mandumah.com/Record/1147037</w:t>
        </w:r>
      </w:hyperlink>
    </w:p>
    <w:p w14:paraId="1256CE91"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Mustafa, A. M. S. (2021). </w:t>
      </w:r>
      <w:r w:rsidRPr="000508C0">
        <w:rPr>
          <w:rFonts w:asciiTheme="majorBidi" w:hAnsiTheme="majorBidi" w:cstheme="majorBidi"/>
          <w:i/>
          <w:iCs/>
          <w:sz w:val="28"/>
          <w:szCs w:val="28"/>
        </w:rPr>
        <w:t xml:space="preserve">The Impact of Crisis Management Strategies on Organizational Health: Field Study in the Banking Sector in </w:t>
      </w:r>
      <w:proofErr w:type="spellStart"/>
      <w:r w:rsidRPr="000508C0">
        <w:rPr>
          <w:rFonts w:asciiTheme="majorBidi" w:hAnsiTheme="majorBidi" w:cstheme="majorBidi"/>
          <w:i/>
          <w:iCs/>
          <w:sz w:val="28"/>
          <w:szCs w:val="28"/>
        </w:rPr>
        <w:t>Assiut</w:t>
      </w:r>
      <w:proofErr w:type="spellEnd"/>
      <w:r w:rsidRPr="000508C0">
        <w:rPr>
          <w:rFonts w:asciiTheme="majorBidi" w:hAnsiTheme="majorBidi" w:cstheme="majorBidi"/>
          <w:i/>
          <w:iCs/>
          <w:sz w:val="28"/>
          <w:szCs w:val="28"/>
        </w:rPr>
        <w:t xml:space="preserve"> </w:t>
      </w:r>
      <w:proofErr w:type="spellStart"/>
      <w:r w:rsidRPr="000508C0">
        <w:rPr>
          <w:rFonts w:asciiTheme="majorBidi" w:hAnsiTheme="majorBidi" w:cstheme="majorBidi"/>
          <w:i/>
          <w:iCs/>
          <w:sz w:val="28"/>
          <w:szCs w:val="28"/>
        </w:rPr>
        <w:t>Governorate</w:t>
      </w:r>
      <w:proofErr w:type="spellEnd"/>
      <w:r w:rsidRPr="000508C0">
        <w:rPr>
          <w:rFonts w:asciiTheme="majorBidi" w:hAnsiTheme="majorBidi" w:cstheme="majorBidi"/>
          <w:sz w:val="28"/>
          <w:szCs w:val="28"/>
        </w:rPr>
        <w:t xml:space="preserve">. Journal of Risk and Crisis Management, 3(2), 65–98. Retrieved from </w:t>
      </w:r>
      <w:hyperlink r:id="rId19" w:history="1">
        <w:r w:rsidRPr="000508C0">
          <w:rPr>
            <w:rStyle w:val="Hyperlink"/>
            <w:rFonts w:asciiTheme="majorBidi" w:hAnsiTheme="majorBidi" w:cstheme="majorBidi"/>
            <w:color w:val="auto"/>
            <w:sz w:val="28"/>
            <w:szCs w:val="28"/>
          </w:rPr>
          <w:t>http://search.mandumah.com/Record/1237166</w:t>
        </w:r>
      </w:hyperlink>
    </w:p>
    <w:p w14:paraId="273F3A90"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Ismail, E. A. A. (2016). </w:t>
      </w:r>
      <w:r w:rsidRPr="000508C0">
        <w:rPr>
          <w:rFonts w:asciiTheme="majorBidi" w:hAnsiTheme="majorBidi" w:cstheme="majorBidi"/>
          <w:i/>
          <w:iCs/>
          <w:sz w:val="28"/>
          <w:szCs w:val="28"/>
        </w:rPr>
        <w:t>Supports the Decision of Insurance Company while Underwriting Individual Health Risks</w:t>
      </w:r>
      <w:r w:rsidRPr="000508C0">
        <w:rPr>
          <w:rFonts w:asciiTheme="majorBidi" w:hAnsiTheme="majorBidi" w:cstheme="majorBidi"/>
          <w:sz w:val="28"/>
          <w:szCs w:val="28"/>
        </w:rPr>
        <w:t xml:space="preserve">. Journal of Commerce and Finance, (1), 1–15. Retrieved from </w:t>
      </w:r>
      <w:hyperlink r:id="rId20" w:history="1">
        <w:r w:rsidRPr="000508C0">
          <w:rPr>
            <w:rStyle w:val="Hyperlink"/>
            <w:rFonts w:asciiTheme="majorBidi" w:hAnsiTheme="majorBidi" w:cstheme="majorBidi"/>
            <w:color w:val="auto"/>
            <w:sz w:val="28"/>
            <w:szCs w:val="28"/>
          </w:rPr>
          <w:t>http://search.mandumah.com/Record/973631</w:t>
        </w:r>
      </w:hyperlink>
    </w:p>
    <w:p w14:paraId="3FB66E65" w14:textId="4E5C1318" w:rsidR="00997F7D" w:rsidRPr="000508C0" w:rsidRDefault="008B701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Eres</w:t>
      </w:r>
      <w:proofErr w:type="spellEnd"/>
      <w:r w:rsidR="00997F7D" w:rsidRPr="000508C0">
        <w:rPr>
          <w:rFonts w:asciiTheme="majorBidi" w:hAnsiTheme="majorBidi" w:cstheme="majorBidi"/>
          <w:sz w:val="28"/>
          <w:szCs w:val="28"/>
        </w:rPr>
        <w:t xml:space="preserve">, M., Raymond, M., </w:t>
      </w:r>
      <w:r w:rsidRPr="000508C0">
        <w:rPr>
          <w:rFonts w:asciiTheme="majorBidi" w:hAnsiTheme="majorBidi" w:cstheme="majorBidi"/>
          <w:sz w:val="28"/>
          <w:szCs w:val="28"/>
        </w:rPr>
        <w:t>Cherisher</w:t>
      </w:r>
      <w:r w:rsidR="00997F7D" w:rsidRPr="000508C0">
        <w:rPr>
          <w:rFonts w:asciiTheme="majorBidi" w:hAnsiTheme="majorBidi" w:cstheme="majorBidi"/>
          <w:sz w:val="28"/>
          <w:szCs w:val="28"/>
        </w:rPr>
        <w:t xml:space="preserve">, E., &amp; </w:t>
      </w:r>
      <w:proofErr w:type="spellStart"/>
      <w:r w:rsidR="00997F7D" w:rsidRPr="000508C0">
        <w:rPr>
          <w:rFonts w:asciiTheme="majorBidi" w:hAnsiTheme="majorBidi" w:cstheme="majorBidi"/>
          <w:sz w:val="28"/>
          <w:szCs w:val="28"/>
        </w:rPr>
        <w:t>Madzivanyika</w:t>
      </w:r>
      <w:proofErr w:type="spellEnd"/>
      <w:r w:rsidR="00997F7D" w:rsidRPr="000508C0">
        <w:rPr>
          <w:rFonts w:asciiTheme="majorBidi" w:hAnsiTheme="majorBidi" w:cstheme="majorBidi"/>
          <w:sz w:val="28"/>
          <w:szCs w:val="28"/>
        </w:rPr>
        <w:t xml:space="preserve">, G. (2024). </w:t>
      </w:r>
      <w:r w:rsidR="00997F7D" w:rsidRPr="000508C0">
        <w:rPr>
          <w:rFonts w:asciiTheme="majorBidi" w:hAnsiTheme="majorBidi" w:cstheme="majorBidi"/>
          <w:i/>
          <w:iCs/>
          <w:sz w:val="28"/>
          <w:szCs w:val="28"/>
        </w:rPr>
        <w:t>Occupational Health and Safety Risks Associated with Grass Trimmers in One of the Universities in Zimbabwe</w:t>
      </w:r>
      <w:r w:rsidR="00997F7D" w:rsidRPr="000508C0">
        <w:rPr>
          <w:rFonts w:asciiTheme="majorBidi" w:hAnsiTheme="majorBidi" w:cstheme="majorBidi"/>
          <w:sz w:val="28"/>
          <w:szCs w:val="28"/>
        </w:rPr>
        <w:t xml:space="preserve">. Global Journal of Economics and Business, 14(5), 495–506. Retrieved from </w:t>
      </w:r>
      <w:hyperlink r:id="rId21" w:history="1">
        <w:r w:rsidR="00997F7D" w:rsidRPr="000508C0">
          <w:rPr>
            <w:rStyle w:val="Hyperlink"/>
            <w:rFonts w:asciiTheme="majorBidi" w:hAnsiTheme="majorBidi" w:cstheme="majorBidi"/>
            <w:color w:val="auto"/>
            <w:sz w:val="28"/>
            <w:szCs w:val="28"/>
          </w:rPr>
          <w:t>http://search.mandumah.com/Record/1516717</w:t>
        </w:r>
      </w:hyperlink>
    </w:p>
    <w:p w14:paraId="54B5E87D" w14:textId="11141533" w:rsidR="00997F7D" w:rsidRPr="000508C0" w:rsidRDefault="008B701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LaRoche</w:t>
      </w:r>
      <w:r w:rsidR="00997F7D" w:rsidRPr="000508C0">
        <w:rPr>
          <w:rFonts w:asciiTheme="majorBidi" w:hAnsiTheme="majorBidi" w:cstheme="majorBidi"/>
          <w:sz w:val="28"/>
          <w:szCs w:val="28"/>
        </w:rPr>
        <w:t xml:space="preserve">, A. (2024). </w:t>
      </w:r>
      <w:r w:rsidR="00997F7D" w:rsidRPr="000508C0">
        <w:rPr>
          <w:rFonts w:asciiTheme="majorBidi" w:hAnsiTheme="majorBidi" w:cstheme="majorBidi"/>
          <w:i/>
          <w:iCs/>
          <w:sz w:val="28"/>
          <w:szCs w:val="28"/>
        </w:rPr>
        <w:t>Managing Administrative Control over the Risk of Chemical Pollution on the Environment</w:t>
      </w:r>
      <w:r w:rsidR="00997F7D" w:rsidRPr="000508C0">
        <w:rPr>
          <w:rFonts w:asciiTheme="majorBidi" w:hAnsiTheme="majorBidi" w:cstheme="majorBidi"/>
          <w:sz w:val="28"/>
          <w:szCs w:val="28"/>
        </w:rPr>
        <w:t xml:space="preserve">. Journal of Real </w:t>
      </w:r>
      <w:r w:rsidR="00997F7D" w:rsidRPr="000508C0">
        <w:rPr>
          <w:rFonts w:asciiTheme="majorBidi" w:hAnsiTheme="majorBidi" w:cstheme="majorBidi"/>
          <w:sz w:val="28"/>
          <w:szCs w:val="28"/>
        </w:rPr>
        <w:lastRenderedPageBreak/>
        <w:t xml:space="preserve">Estate Law and Environment, 12(1), 192–208. Retrieved from </w:t>
      </w:r>
      <w:hyperlink r:id="rId22" w:history="1">
        <w:r w:rsidR="00997F7D" w:rsidRPr="000508C0">
          <w:rPr>
            <w:rStyle w:val="Hyperlink"/>
            <w:rFonts w:asciiTheme="majorBidi" w:hAnsiTheme="majorBidi" w:cstheme="majorBidi"/>
            <w:color w:val="auto"/>
            <w:sz w:val="28"/>
            <w:szCs w:val="28"/>
          </w:rPr>
          <w:t>http://search.mandumah.com/Record/1456476</w:t>
        </w:r>
      </w:hyperlink>
    </w:p>
    <w:p w14:paraId="61A4EE68" w14:textId="3A6864A8"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Thamir</w:t>
      </w:r>
      <w:proofErr w:type="spellEnd"/>
      <w:r w:rsidRPr="000508C0">
        <w:rPr>
          <w:rFonts w:asciiTheme="majorBidi" w:hAnsiTheme="majorBidi" w:cstheme="majorBidi"/>
          <w:sz w:val="28"/>
          <w:szCs w:val="28"/>
        </w:rPr>
        <w:t xml:space="preserve">, S. K., </w:t>
      </w:r>
      <w:proofErr w:type="spellStart"/>
      <w:r w:rsidRPr="000508C0">
        <w:rPr>
          <w:rFonts w:asciiTheme="majorBidi" w:hAnsiTheme="majorBidi" w:cstheme="majorBidi"/>
          <w:sz w:val="28"/>
          <w:szCs w:val="28"/>
        </w:rPr>
        <w:t>Al-</w:t>
      </w:r>
      <w:r w:rsidR="008B701D" w:rsidRPr="000508C0">
        <w:rPr>
          <w:rFonts w:asciiTheme="majorBidi" w:hAnsiTheme="majorBidi" w:cstheme="majorBidi"/>
          <w:sz w:val="28"/>
          <w:szCs w:val="28"/>
        </w:rPr>
        <w:t>Gizzi</w:t>
      </w:r>
      <w:proofErr w:type="spellEnd"/>
      <w:r w:rsidRPr="000508C0">
        <w:rPr>
          <w:rFonts w:asciiTheme="majorBidi" w:hAnsiTheme="majorBidi" w:cstheme="majorBidi"/>
          <w:sz w:val="28"/>
          <w:szCs w:val="28"/>
        </w:rPr>
        <w:t xml:space="preserve">, A. A. S., &amp; </w:t>
      </w:r>
      <w:proofErr w:type="spellStart"/>
      <w:r w:rsidRPr="000508C0">
        <w:rPr>
          <w:rFonts w:asciiTheme="majorBidi" w:hAnsiTheme="majorBidi" w:cstheme="majorBidi"/>
          <w:sz w:val="28"/>
          <w:szCs w:val="28"/>
        </w:rPr>
        <w:t>Al-Khafaji</w:t>
      </w:r>
      <w:proofErr w:type="spellEnd"/>
      <w:r w:rsidRPr="000508C0">
        <w:rPr>
          <w:rFonts w:asciiTheme="majorBidi" w:hAnsiTheme="majorBidi" w:cstheme="majorBidi"/>
          <w:sz w:val="28"/>
          <w:szCs w:val="28"/>
        </w:rPr>
        <w:t xml:space="preserve">, H. R. (2017). </w:t>
      </w:r>
      <w:r w:rsidRPr="000508C0">
        <w:rPr>
          <w:rFonts w:asciiTheme="majorBidi" w:hAnsiTheme="majorBidi" w:cstheme="majorBidi"/>
          <w:i/>
          <w:iCs/>
          <w:sz w:val="28"/>
          <w:szCs w:val="28"/>
        </w:rPr>
        <w:t xml:space="preserve">Extent, Distribution of Risk Factors and Management Modalities of Urolithiasis in </w:t>
      </w:r>
      <w:proofErr w:type="spellStart"/>
      <w:r w:rsidRPr="000508C0">
        <w:rPr>
          <w:rFonts w:asciiTheme="majorBidi" w:hAnsiTheme="majorBidi" w:cstheme="majorBidi"/>
          <w:i/>
          <w:iCs/>
          <w:sz w:val="28"/>
          <w:szCs w:val="28"/>
        </w:rPr>
        <w:t>Al-Nasiriyah</w:t>
      </w:r>
      <w:proofErr w:type="spellEnd"/>
      <w:r w:rsidRPr="000508C0">
        <w:rPr>
          <w:rFonts w:asciiTheme="majorBidi" w:hAnsiTheme="majorBidi" w:cstheme="majorBidi"/>
          <w:i/>
          <w:iCs/>
          <w:sz w:val="28"/>
          <w:szCs w:val="28"/>
        </w:rPr>
        <w:t xml:space="preserve"> City</w:t>
      </w:r>
      <w:r w:rsidRPr="000508C0">
        <w:rPr>
          <w:rFonts w:asciiTheme="majorBidi" w:hAnsiTheme="majorBidi" w:cstheme="majorBidi"/>
          <w:sz w:val="28"/>
          <w:szCs w:val="28"/>
        </w:rPr>
        <w:t xml:space="preserve"> (Unpublished master’s thesis). University of </w:t>
      </w:r>
      <w:r w:rsidR="008B701D" w:rsidRPr="000508C0">
        <w:rPr>
          <w:rFonts w:asciiTheme="majorBidi" w:hAnsiTheme="majorBidi" w:cstheme="majorBidi"/>
          <w:sz w:val="28"/>
          <w:szCs w:val="28"/>
        </w:rPr>
        <w:t>Tiara</w:t>
      </w:r>
      <w:r w:rsidRPr="000508C0">
        <w:rPr>
          <w:rFonts w:asciiTheme="majorBidi" w:hAnsiTheme="majorBidi" w:cstheme="majorBidi"/>
          <w:sz w:val="28"/>
          <w:szCs w:val="28"/>
        </w:rPr>
        <w:t xml:space="preserve">, </w:t>
      </w:r>
      <w:proofErr w:type="spellStart"/>
      <w:r w:rsidRPr="000508C0">
        <w:rPr>
          <w:rFonts w:asciiTheme="majorBidi" w:hAnsiTheme="majorBidi" w:cstheme="majorBidi"/>
          <w:sz w:val="28"/>
          <w:szCs w:val="28"/>
        </w:rPr>
        <w:t>Nasiriyah</w:t>
      </w:r>
      <w:proofErr w:type="spellEnd"/>
      <w:r w:rsidRPr="000508C0">
        <w:rPr>
          <w:rFonts w:asciiTheme="majorBidi" w:hAnsiTheme="majorBidi" w:cstheme="majorBidi"/>
          <w:sz w:val="28"/>
          <w:szCs w:val="28"/>
        </w:rPr>
        <w:t xml:space="preserve">. Retrieved from </w:t>
      </w:r>
      <w:hyperlink r:id="rId23" w:history="1">
        <w:r w:rsidRPr="000508C0">
          <w:rPr>
            <w:rStyle w:val="Hyperlink"/>
            <w:rFonts w:asciiTheme="majorBidi" w:hAnsiTheme="majorBidi" w:cstheme="majorBidi"/>
            <w:color w:val="auto"/>
            <w:sz w:val="28"/>
            <w:szCs w:val="28"/>
          </w:rPr>
          <w:t>http://search.mandumah.com/Record/1037907</w:t>
        </w:r>
      </w:hyperlink>
    </w:p>
    <w:p w14:paraId="0F5AF44F"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Alafghani</w:t>
      </w:r>
      <w:proofErr w:type="spellEnd"/>
      <w:r w:rsidRPr="000508C0">
        <w:rPr>
          <w:rFonts w:asciiTheme="majorBidi" w:hAnsiTheme="majorBidi" w:cstheme="majorBidi"/>
          <w:sz w:val="28"/>
          <w:szCs w:val="28"/>
        </w:rPr>
        <w:t xml:space="preserve">, J. K., </w:t>
      </w:r>
      <w:proofErr w:type="spellStart"/>
      <w:r w:rsidRPr="000508C0">
        <w:rPr>
          <w:rFonts w:asciiTheme="majorBidi" w:hAnsiTheme="majorBidi" w:cstheme="majorBidi"/>
          <w:sz w:val="28"/>
          <w:szCs w:val="28"/>
        </w:rPr>
        <w:t>Alharbi</w:t>
      </w:r>
      <w:proofErr w:type="spellEnd"/>
      <w:r w:rsidRPr="000508C0">
        <w:rPr>
          <w:rFonts w:asciiTheme="majorBidi" w:hAnsiTheme="majorBidi" w:cstheme="majorBidi"/>
          <w:sz w:val="28"/>
          <w:szCs w:val="28"/>
        </w:rPr>
        <w:t xml:space="preserve">, K. E., </w:t>
      </w:r>
      <w:proofErr w:type="spellStart"/>
      <w:r w:rsidRPr="000508C0">
        <w:rPr>
          <w:rFonts w:asciiTheme="majorBidi" w:hAnsiTheme="majorBidi" w:cstheme="majorBidi"/>
          <w:sz w:val="28"/>
          <w:szCs w:val="28"/>
        </w:rPr>
        <w:t>Alotaibi</w:t>
      </w:r>
      <w:proofErr w:type="spellEnd"/>
      <w:r w:rsidRPr="000508C0">
        <w:rPr>
          <w:rFonts w:asciiTheme="majorBidi" w:hAnsiTheme="majorBidi" w:cstheme="majorBidi"/>
          <w:sz w:val="28"/>
          <w:szCs w:val="28"/>
        </w:rPr>
        <w:t xml:space="preserve">, F. A., </w:t>
      </w:r>
      <w:proofErr w:type="spellStart"/>
      <w:r w:rsidRPr="000508C0">
        <w:rPr>
          <w:rFonts w:asciiTheme="majorBidi" w:hAnsiTheme="majorBidi" w:cstheme="majorBidi"/>
          <w:sz w:val="28"/>
          <w:szCs w:val="28"/>
        </w:rPr>
        <w:t>Alzubaidi</w:t>
      </w:r>
      <w:proofErr w:type="spellEnd"/>
      <w:r w:rsidRPr="000508C0">
        <w:rPr>
          <w:rFonts w:asciiTheme="majorBidi" w:hAnsiTheme="majorBidi" w:cstheme="majorBidi"/>
          <w:sz w:val="28"/>
          <w:szCs w:val="28"/>
        </w:rPr>
        <w:t xml:space="preserve">, S. M., &amp; </w:t>
      </w:r>
      <w:proofErr w:type="spellStart"/>
      <w:r w:rsidRPr="000508C0">
        <w:rPr>
          <w:rFonts w:asciiTheme="majorBidi" w:hAnsiTheme="majorBidi" w:cstheme="majorBidi"/>
          <w:sz w:val="28"/>
          <w:szCs w:val="28"/>
        </w:rPr>
        <w:t>Alhuzali</w:t>
      </w:r>
      <w:proofErr w:type="spellEnd"/>
      <w:r w:rsidRPr="000508C0">
        <w:rPr>
          <w:rFonts w:asciiTheme="majorBidi" w:hAnsiTheme="majorBidi" w:cstheme="majorBidi"/>
          <w:sz w:val="28"/>
          <w:szCs w:val="28"/>
        </w:rPr>
        <w:t xml:space="preserve">, M. A. (2024). </w:t>
      </w:r>
      <w:r w:rsidRPr="000508C0">
        <w:rPr>
          <w:rFonts w:asciiTheme="majorBidi" w:hAnsiTheme="majorBidi" w:cstheme="majorBidi"/>
          <w:i/>
          <w:iCs/>
          <w:sz w:val="28"/>
          <w:szCs w:val="28"/>
        </w:rPr>
        <w:t>Effectiveness of Crowd Forecasting and Crisis Management Techniques in Health Emergencies during Hajj</w:t>
      </w:r>
      <w:r w:rsidRPr="000508C0">
        <w:rPr>
          <w:rFonts w:asciiTheme="majorBidi" w:hAnsiTheme="majorBidi" w:cstheme="majorBidi"/>
          <w:sz w:val="28"/>
          <w:szCs w:val="28"/>
        </w:rPr>
        <w:t xml:space="preserve">. Arab Journal of Scientific Publishing, (74), 113–121. Retrieved from </w:t>
      </w:r>
      <w:hyperlink r:id="rId24" w:history="1">
        <w:r w:rsidRPr="000508C0">
          <w:rPr>
            <w:rStyle w:val="Hyperlink"/>
            <w:rFonts w:asciiTheme="majorBidi" w:hAnsiTheme="majorBidi" w:cstheme="majorBidi"/>
            <w:color w:val="auto"/>
            <w:sz w:val="28"/>
            <w:szCs w:val="28"/>
          </w:rPr>
          <w:t>http://search.mandumah.com/Record/1547413</w:t>
        </w:r>
      </w:hyperlink>
    </w:p>
    <w:p w14:paraId="2F5B3D16"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Martinez, J., Jose, M., </w:t>
      </w:r>
      <w:proofErr w:type="spellStart"/>
      <w:r w:rsidRPr="000508C0">
        <w:rPr>
          <w:rFonts w:asciiTheme="majorBidi" w:hAnsiTheme="majorBidi" w:cstheme="majorBidi"/>
          <w:sz w:val="28"/>
          <w:szCs w:val="28"/>
        </w:rPr>
        <w:t>Al-Hayari</w:t>
      </w:r>
      <w:proofErr w:type="spellEnd"/>
      <w:r w:rsidRPr="000508C0">
        <w:rPr>
          <w:rFonts w:asciiTheme="majorBidi" w:hAnsiTheme="majorBidi" w:cstheme="majorBidi"/>
          <w:sz w:val="28"/>
          <w:szCs w:val="28"/>
        </w:rPr>
        <w:t xml:space="preserve">, H. S. M., &amp; </w:t>
      </w:r>
      <w:proofErr w:type="spellStart"/>
      <w:r w:rsidRPr="000508C0">
        <w:rPr>
          <w:rFonts w:asciiTheme="majorBidi" w:hAnsiTheme="majorBidi" w:cstheme="majorBidi"/>
          <w:sz w:val="28"/>
          <w:szCs w:val="28"/>
        </w:rPr>
        <w:t>Jarar</w:t>
      </w:r>
      <w:proofErr w:type="spellEnd"/>
      <w:r w:rsidRPr="000508C0">
        <w:rPr>
          <w:rFonts w:asciiTheme="majorBidi" w:hAnsiTheme="majorBidi" w:cstheme="majorBidi"/>
          <w:sz w:val="28"/>
          <w:szCs w:val="28"/>
        </w:rPr>
        <w:t xml:space="preserve">, W. (2024). </w:t>
      </w:r>
      <w:r w:rsidRPr="000508C0">
        <w:rPr>
          <w:rFonts w:asciiTheme="majorBidi" w:hAnsiTheme="majorBidi" w:cstheme="majorBidi"/>
          <w:i/>
          <w:iCs/>
          <w:sz w:val="28"/>
          <w:szCs w:val="28"/>
        </w:rPr>
        <w:t>Working towards Mitigating New Risks in the Digital Era: The Role of Human Resource Management in the Achievement of Sustainable Development Goals (SDGs)</w:t>
      </w:r>
      <w:r w:rsidRPr="000508C0">
        <w:rPr>
          <w:rFonts w:asciiTheme="majorBidi" w:hAnsiTheme="majorBidi" w:cstheme="majorBidi"/>
          <w:sz w:val="28"/>
          <w:szCs w:val="28"/>
        </w:rPr>
        <w:t xml:space="preserve">. </w:t>
      </w:r>
      <w:proofErr w:type="spellStart"/>
      <w:r w:rsidRPr="000508C0">
        <w:rPr>
          <w:rFonts w:asciiTheme="majorBidi" w:hAnsiTheme="majorBidi" w:cstheme="majorBidi"/>
          <w:sz w:val="28"/>
          <w:szCs w:val="28"/>
        </w:rPr>
        <w:t>Al-Balqa</w:t>
      </w:r>
      <w:proofErr w:type="spellEnd"/>
      <w:r w:rsidRPr="000508C0">
        <w:rPr>
          <w:rFonts w:asciiTheme="majorBidi" w:hAnsiTheme="majorBidi" w:cstheme="majorBidi"/>
          <w:sz w:val="28"/>
          <w:szCs w:val="28"/>
        </w:rPr>
        <w:t xml:space="preserve"> Journal of Research and Studies, 27(Special Issue), 147–157. Retrieved from </w:t>
      </w:r>
      <w:hyperlink r:id="rId25" w:history="1">
        <w:r w:rsidRPr="000508C0">
          <w:rPr>
            <w:rStyle w:val="Hyperlink"/>
            <w:rFonts w:asciiTheme="majorBidi" w:hAnsiTheme="majorBidi" w:cstheme="majorBidi"/>
            <w:color w:val="auto"/>
            <w:sz w:val="28"/>
            <w:szCs w:val="28"/>
          </w:rPr>
          <w:t>http://search.mandumah.com/Record/1508825</w:t>
        </w:r>
      </w:hyperlink>
    </w:p>
    <w:p w14:paraId="5A434C48"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Saad, A. M., &amp; Hawa, D. M. (2024). </w:t>
      </w:r>
      <w:r w:rsidRPr="000508C0">
        <w:rPr>
          <w:rFonts w:asciiTheme="majorBidi" w:hAnsiTheme="majorBidi" w:cstheme="majorBidi"/>
          <w:i/>
          <w:iCs/>
          <w:sz w:val="28"/>
          <w:szCs w:val="28"/>
        </w:rPr>
        <w:t>Empowering College Health: A Predictive Modeling Approach</w:t>
      </w:r>
      <w:r w:rsidRPr="000508C0">
        <w:rPr>
          <w:rFonts w:asciiTheme="majorBidi" w:hAnsiTheme="majorBidi" w:cstheme="majorBidi"/>
          <w:sz w:val="28"/>
          <w:szCs w:val="28"/>
        </w:rPr>
        <w:t xml:space="preserve">. Journal of Qualitative Education Research, (83), 575–605. Retrieved from </w:t>
      </w:r>
      <w:hyperlink r:id="rId26" w:history="1">
        <w:r w:rsidRPr="000508C0">
          <w:rPr>
            <w:rStyle w:val="Hyperlink"/>
            <w:rFonts w:asciiTheme="majorBidi" w:hAnsiTheme="majorBidi" w:cstheme="majorBidi"/>
            <w:color w:val="auto"/>
            <w:sz w:val="28"/>
            <w:szCs w:val="28"/>
          </w:rPr>
          <w:t>http://search.mandumah.com/Record/1533167</w:t>
        </w:r>
      </w:hyperlink>
    </w:p>
    <w:p w14:paraId="62D25772"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Al-Barzanji</w:t>
      </w:r>
      <w:proofErr w:type="spellEnd"/>
      <w:r w:rsidRPr="000508C0">
        <w:rPr>
          <w:rFonts w:asciiTheme="majorBidi" w:hAnsiTheme="majorBidi" w:cstheme="majorBidi"/>
          <w:sz w:val="28"/>
          <w:szCs w:val="28"/>
        </w:rPr>
        <w:t xml:space="preserve">, N. S., </w:t>
      </w:r>
      <w:proofErr w:type="spellStart"/>
      <w:r w:rsidRPr="000508C0">
        <w:rPr>
          <w:rFonts w:asciiTheme="majorBidi" w:hAnsiTheme="majorBidi" w:cstheme="majorBidi"/>
          <w:sz w:val="28"/>
          <w:szCs w:val="28"/>
        </w:rPr>
        <w:t>Bikhall</w:t>
      </w:r>
      <w:proofErr w:type="spellEnd"/>
      <w:r w:rsidRPr="000508C0">
        <w:rPr>
          <w:rFonts w:asciiTheme="majorBidi" w:hAnsiTheme="majorBidi" w:cstheme="majorBidi"/>
          <w:sz w:val="28"/>
          <w:szCs w:val="28"/>
        </w:rPr>
        <w:t xml:space="preserve">, S. S., </w:t>
      </w:r>
      <w:proofErr w:type="spellStart"/>
      <w:r w:rsidRPr="000508C0">
        <w:rPr>
          <w:rFonts w:asciiTheme="majorBidi" w:hAnsiTheme="majorBidi" w:cstheme="majorBidi"/>
          <w:sz w:val="28"/>
          <w:szCs w:val="28"/>
        </w:rPr>
        <w:t>Taha</w:t>
      </w:r>
      <w:proofErr w:type="spellEnd"/>
      <w:r w:rsidRPr="000508C0">
        <w:rPr>
          <w:rFonts w:asciiTheme="majorBidi" w:hAnsiTheme="majorBidi" w:cstheme="majorBidi"/>
          <w:sz w:val="28"/>
          <w:szCs w:val="28"/>
        </w:rPr>
        <w:t xml:space="preserve">, K. S., &amp; Abdullah, D. F. (2024). </w:t>
      </w:r>
      <w:r w:rsidRPr="000508C0">
        <w:rPr>
          <w:rFonts w:asciiTheme="majorBidi" w:hAnsiTheme="majorBidi" w:cstheme="majorBidi"/>
          <w:i/>
          <w:iCs/>
          <w:sz w:val="28"/>
          <w:szCs w:val="28"/>
        </w:rPr>
        <w:t>Utilizing Cox Regression Analysis and Bootstrapping Test for Indicating the Risk of Smoking on Health in Kurdistan</w:t>
      </w:r>
      <w:r w:rsidRPr="000508C0">
        <w:rPr>
          <w:rFonts w:asciiTheme="majorBidi" w:hAnsiTheme="majorBidi" w:cstheme="majorBidi"/>
          <w:sz w:val="28"/>
          <w:szCs w:val="28"/>
        </w:rPr>
        <w:t xml:space="preserve">. </w:t>
      </w:r>
      <w:proofErr w:type="spellStart"/>
      <w:r w:rsidRPr="000508C0">
        <w:rPr>
          <w:rFonts w:asciiTheme="majorBidi" w:hAnsiTheme="majorBidi" w:cstheme="majorBidi"/>
          <w:sz w:val="28"/>
          <w:szCs w:val="28"/>
        </w:rPr>
        <w:t>Tikrit</w:t>
      </w:r>
      <w:proofErr w:type="spellEnd"/>
      <w:r w:rsidRPr="000508C0">
        <w:rPr>
          <w:rFonts w:asciiTheme="majorBidi" w:hAnsiTheme="majorBidi" w:cstheme="majorBidi"/>
          <w:sz w:val="28"/>
          <w:szCs w:val="28"/>
        </w:rPr>
        <w:t xml:space="preserve"> Journal of Administrative and Economic Sciences, 20(65), 331–347. Retrieved from </w:t>
      </w:r>
      <w:hyperlink r:id="rId27" w:history="1">
        <w:r w:rsidRPr="000508C0">
          <w:rPr>
            <w:rStyle w:val="Hyperlink"/>
            <w:rFonts w:asciiTheme="majorBidi" w:hAnsiTheme="majorBidi" w:cstheme="majorBidi"/>
            <w:color w:val="auto"/>
            <w:sz w:val="28"/>
            <w:szCs w:val="28"/>
          </w:rPr>
          <w:t>http://search.mandumah.com/Record/1498037</w:t>
        </w:r>
      </w:hyperlink>
    </w:p>
    <w:p w14:paraId="3A71A2D5"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lastRenderedPageBreak/>
        <w:t>Abdelsalam</w:t>
      </w:r>
      <w:proofErr w:type="spellEnd"/>
      <w:r w:rsidRPr="000508C0">
        <w:rPr>
          <w:rFonts w:asciiTheme="majorBidi" w:hAnsiTheme="majorBidi" w:cstheme="majorBidi"/>
          <w:sz w:val="28"/>
          <w:szCs w:val="28"/>
        </w:rPr>
        <w:t xml:space="preserve">, A., &amp; Briar, S. L. (2020). </w:t>
      </w:r>
      <w:r w:rsidRPr="000508C0">
        <w:rPr>
          <w:rFonts w:asciiTheme="majorBidi" w:hAnsiTheme="majorBidi" w:cstheme="majorBidi"/>
          <w:i/>
          <w:iCs/>
          <w:sz w:val="28"/>
          <w:szCs w:val="28"/>
        </w:rPr>
        <w:t>Adherence to Infection Control Guidelines among the Intensive Care Units Staff in Khartoum State</w:t>
      </w:r>
      <w:r w:rsidRPr="000508C0">
        <w:rPr>
          <w:rFonts w:asciiTheme="majorBidi" w:hAnsiTheme="majorBidi" w:cstheme="majorBidi"/>
          <w:sz w:val="28"/>
          <w:szCs w:val="28"/>
        </w:rPr>
        <w:t xml:space="preserve"> (Unpublished master’s thesis). University of </w:t>
      </w:r>
      <w:proofErr w:type="spellStart"/>
      <w:r w:rsidRPr="000508C0">
        <w:rPr>
          <w:rFonts w:asciiTheme="majorBidi" w:hAnsiTheme="majorBidi" w:cstheme="majorBidi"/>
          <w:sz w:val="28"/>
          <w:szCs w:val="28"/>
        </w:rPr>
        <w:t>Neelain</w:t>
      </w:r>
      <w:proofErr w:type="spellEnd"/>
      <w:r w:rsidRPr="000508C0">
        <w:rPr>
          <w:rFonts w:asciiTheme="majorBidi" w:hAnsiTheme="majorBidi" w:cstheme="majorBidi"/>
          <w:sz w:val="28"/>
          <w:szCs w:val="28"/>
        </w:rPr>
        <w:t xml:space="preserve">, Khartoum. Retrieved from </w:t>
      </w:r>
      <w:hyperlink r:id="rId28" w:history="1">
        <w:r w:rsidRPr="000508C0">
          <w:rPr>
            <w:rStyle w:val="Hyperlink"/>
            <w:rFonts w:asciiTheme="majorBidi" w:hAnsiTheme="majorBidi" w:cstheme="majorBidi"/>
            <w:color w:val="auto"/>
            <w:sz w:val="28"/>
            <w:szCs w:val="28"/>
          </w:rPr>
          <w:t>http://search.mandumah.com/Record/1341604</w:t>
        </w:r>
      </w:hyperlink>
    </w:p>
    <w:p w14:paraId="348086DE"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Nasher</w:t>
      </w:r>
      <w:proofErr w:type="spellEnd"/>
      <w:r w:rsidRPr="000508C0">
        <w:rPr>
          <w:rFonts w:asciiTheme="majorBidi" w:hAnsiTheme="majorBidi" w:cstheme="majorBidi"/>
          <w:sz w:val="28"/>
          <w:szCs w:val="28"/>
        </w:rPr>
        <w:t xml:space="preserve">, S. S., Qasim, S. A. A., </w:t>
      </w:r>
      <w:proofErr w:type="spellStart"/>
      <w:r w:rsidRPr="000508C0">
        <w:rPr>
          <w:rFonts w:asciiTheme="majorBidi" w:hAnsiTheme="majorBidi" w:cstheme="majorBidi"/>
          <w:sz w:val="28"/>
          <w:szCs w:val="28"/>
        </w:rPr>
        <w:t>Al-Qahtani</w:t>
      </w:r>
      <w:proofErr w:type="spellEnd"/>
      <w:r w:rsidRPr="000508C0">
        <w:rPr>
          <w:rFonts w:asciiTheme="majorBidi" w:hAnsiTheme="majorBidi" w:cstheme="majorBidi"/>
          <w:sz w:val="28"/>
          <w:szCs w:val="28"/>
        </w:rPr>
        <w:t xml:space="preserve">, T. Y., &amp; </w:t>
      </w:r>
      <w:proofErr w:type="spellStart"/>
      <w:r w:rsidRPr="000508C0">
        <w:rPr>
          <w:rFonts w:asciiTheme="majorBidi" w:hAnsiTheme="majorBidi" w:cstheme="majorBidi"/>
          <w:sz w:val="28"/>
          <w:szCs w:val="28"/>
        </w:rPr>
        <w:t>Al-Sarouri</w:t>
      </w:r>
      <w:proofErr w:type="spellEnd"/>
      <w:r w:rsidRPr="000508C0">
        <w:rPr>
          <w:rFonts w:asciiTheme="majorBidi" w:hAnsiTheme="majorBidi" w:cstheme="majorBidi"/>
          <w:sz w:val="28"/>
          <w:szCs w:val="28"/>
        </w:rPr>
        <w:t xml:space="preserve">, A. A. J. (2024). </w:t>
      </w:r>
      <w:r w:rsidRPr="000508C0">
        <w:rPr>
          <w:rFonts w:asciiTheme="majorBidi" w:hAnsiTheme="majorBidi" w:cstheme="majorBidi"/>
          <w:i/>
          <w:iCs/>
          <w:sz w:val="28"/>
          <w:szCs w:val="28"/>
        </w:rPr>
        <w:t>Extensive Drug Resistance in Intensive Care Units, Yemen, 2021: A Cross-Sectional Study</w:t>
      </w:r>
      <w:r w:rsidRPr="000508C0">
        <w:rPr>
          <w:rFonts w:asciiTheme="majorBidi" w:hAnsiTheme="majorBidi" w:cstheme="majorBidi"/>
          <w:sz w:val="28"/>
          <w:szCs w:val="28"/>
        </w:rPr>
        <w:t xml:space="preserve">. Scientific Journal of Saba’a University, 6(2), 163–180. Retrieved from </w:t>
      </w:r>
      <w:hyperlink r:id="rId29" w:history="1">
        <w:r w:rsidRPr="000508C0">
          <w:rPr>
            <w:rStyle w:val="Hyperlink"/>
            <w:rFonts w:asciiTheme="majorBidi" w:hAnsiTheme="majorBidi" w:cstheme="majorBidi"/>
            <w:color w:val="auto"/>
            <w:sz w:val="28"/>
            <w:szCs w:val="28"/>
          </w:rPr>
          <w:t>http://search.mandumah.com/Record/1477392</w:t>
        </w:r>
      </w:hyperlink>
    </w:p>
    <w:p w14:paraId="41C2C30C"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Layes</w:t>
      </w:r>
      <w:proofErr w:type="spellEnd"/>
      <w:r w:rsidRPr="000508C0">
        <w:rPr>
          <w:rFonts w:asciiTheme="majorBidi" w:hAnsiTheme="majorBidi" w:cstheme="majorBidi"/>
          <w:sz w:val="28"/>
          <w:szCs w:val="28"/>
        </w:rPr>
        <w:t xml:space="preserve">, A., </w:t>
      </w:r>
      <w:proofErr w:type="spellStart"/>
      <w:r w:rsidRPr="000508C0">
        <w:rPr>
          <w:rFonts w:asciiTheme="majorBidi" w:hAnsiTheme="majorBidi" w:cstheme="majorBidi"/>
          <w:sz w:val="28"/>
          <w:szCs w:val="28"/>
        </w:rPr>
        <w:t>Ghenbazi</w:t>
      </w:r>
      <w:proofErr w:type="spellEnd"/>
      <w:r w:rsidRPr="000508C0">
        <w:rPr>
          <w:rFonts w:asciiTheme="majorBidi" w:hAnsiTheme="majorBidi" w:cstheme="majorBidi"/>
          <w:sz w:val="28"/>
          <w:szCs w:val="28"/>
        </w:rPr>
        <w:t xml:space="preserve">, K., &amp; </w:t>
      </w:r>
      <w:proofErr w:type="spellStart"/>
      <w:r w:rsidRPr="000508C0">
        <w:rPr>
          <w:rFonts w:asciiTheme="majorBidi" w:hAnsiTheme="majorBidi" w:cstheme="majorBidi"/>
          <w:sz w:val="28"/>
          <w:szCs w:val="28"/>
        </w:rPr>
        <w:t>Lati</w:t>
      </w:r>
      <w:proofErr w:type="spellEnd"/>
      <w:r w:rsidRPr="000508C0">
        <w:rPr>
          <w:rFonts w:asciiTheme="majorBidi" w:hAnsiTheme="majorBidi" w:cstheme="majorBidi"/>
          <w:sz w:val="28"/>
          <w:szCs w:val="28"/>
        </w:rPr>
        <w:t xml:space="preserve">, I. (2021). </w:t>
      </w:r>
      <w:r w:rsidRPr="000508C0">
        <w:rPr>
          <w:rFonts w:asciiTheme="majorBidi" w:hAnsiTheme="majorBidi" w:cstheme="majorBidi"/>
          <w:i/>
          <w:iCs/>
          <w:sz w:val="28"/>
          <w:szCs w:val="28"/>
        </w:rPr>
        <w:t xml:space="preserve">Clinical, </w:t>
      </w:r>
      <w:proofErr w:type="spellStart"/>
      <w:r w:rsidRPr="000508C0">
        <w:rPr>
          <w:rFonts w:asciiTheme="majorBidi" w:hAnsiTheme="majorBidi" w:cstheme="majorBidi"/>
          <w:i/>
          <w:iCs/>
          <w:sz w:val="28"/>
          <w:szCs w:val="28"/>
        </w:rPr>
        <w:t>Paraclinical</w:t>
      </w:r>
      <w:proofErr w:type="spellEnd"/>
      <w:r w:rsidRPr="000508C0">
        <w:rPr>
          <w:rFonts w:asciiTheme="majorBidi" w:hAnsiTheme="majorBidi" w:cstheme="majorBidi"/>
          <w:i/>
          <w:iCs/>
          <w:sz w:val="28"/>
          <w:szCs w:val="28"/>
        </w:rPr>
        <w:t xml:space="preserve"> and Therapeutic Profile of COVID-19 Patients Managed at the </w:t>
      </w:r>
      <w:proofErr w:type="spellStart"/>
      <w:r w:rsidRPr="000508C0">
        <w:rPr>
          <w:rFonts w:asciiTheme="majorBidi" w:hAnsiTheme="majorBidi" w:cstheme="majorBidi"/>
          <w:i/>
          <w:iCs/>
          <w:sz w:val="28"/>
          <w:szCs w:val="28"/>
        </w:rPr>
        <w:t>D’ouargla</w:t>
      </w:r>
      <w:proofErr w:type="spellEnd"/>
      <w:r w:rsidRPr="000508C0">
        <w:rPr>
          <w:rFonts w:asciiTheme="majorBidi" w:hAnsiTheme="majorBidi" w:cstheme="majorBidi"/>
          <w:i/>
          <w:iCs/>
          <w:sz w:val="28"/>
          <w:szCs w:val="28"/>
        </w:rPr>
        <w:t xml:space="preserve"> Hospital during 2020</w:t>
      </w:r>
      <w:r w:rsidRPr="000508C0">
        <w:rPr>
          <w:rFonts w:asciiTheme="majorBidi" w:hAnsiTheme="majorBidi" w:cstheme="majorBidi"/>
          <w:sz w:val="28"/>
          <w:szCs w:val="28"/>
        </w:rPr>
        <w:t xml:space="preserve"> (Unpublished doctoral dissertation). University of </w:t>
      </w:r>
      <w:proofErr w:type="spellStart"/>
      <w:r w:rsidRPr="000508C0">
        <w:rPr>
          <w:rFonts w:asciiTheme="majorBidi" w:hAnsiTheme="majorBidi" w:cstheme="majorBidi"/>
          <w:sz w:val="28"/>
          <w:szCs w:val="28"/>
        </w:rPr>
        <w:t>Kasdi</w:t>
      </w:r>
      <w:proofErr w:type="spellEnd"/>
      <w:r w:rsidRPr="000508C0">
        <w:rPr>
          <w:rFonts w:asciiTheme="majorBidi" w:hAnsiTheme="majorBidi" w:cstheme="majorBidi"/>
          <w:sz w:val="28"/>
          <w:szCs w:val="28"/>
        </w:rPr>
        <w:t xml:space="preserve"> </w:t>
      </w:r>
      <w:proofErr w:type="spellStart"/>
      <w:r w:rsidRPr="000508C0">
        <w:rPr>
          <w:rFonts w:asciiTheme="majorBidi" w:hAnsiTheme="majorBidi" w:cstheme="majorBidi"/>
          <w:sz w:val="28"/>
          <w:szCs w:val="28"/>
        </w:rPr>
        <w:t>Merbah</w:t>
      </w:r>
      <w:proofErr w:type="spellEnd"/>
      <w:r w:rsidRPr="000508C0">
        <w:rPr>
          <w:rFonts w:asciiTheme="majorBidi" w:hAnsiTheme="majorBidi" w:cstheme="majorBidi"/>
          <w:sz w:val="28"/>
          <w:szCs w:val="28"/>
        </w:rPr>
        <w:t xml:space="preserve"> – </w:t>
      </w:r>
      <w:proofErr w:type="spellStart"/>
      <w:r w:rsidRPr="000508C0">
        <w:rPr>
          <w:rFonts w:asciiTheme="majorBidi" w:hAnsiTheme="majorBidi" w:cstheme="majorBidi"/>
          <w:sz w:val="28"/>
          <w:szCs w:val="28"/>
        </w:rPr>
        <w:t>Ouargla</w:t>
      </w:r>
      <w:proofErr w:type="spellEnd"/>
      <w:r w:rsidRPr="000508C0">
        <w:rPr>
          <w:rFonts w:asciiTheme="majorBidi" w:hAnsiTheme="majorBidi" w:cstheme="majorBidi"/>
          <w:sz w:val="28"/>
          <w:szCs w:val="28"/>
        </w:rPr>
        <w:t xml:space="preserve">, </w:t>
      </w:r>
      <w:proofErr w:type="spellStart"/>
      <w:r w:rsidRPr="000508C0">
        <w:rPr>
          <w:rFonts w:asciiTheme="majorBidi" w:hAnsiTheme="majorBidi" w:cstheme="majorBidi"/>
          <w:sz w:val="28"/>
          <w:szCs w:val="28"/>
        </w:rPr>
        <w:t>Ouargla</w:t>
      </w:r>
      <w:proofErr w:type="spellEnd"/>
      <w:r w:rsidRPr="000508C0">
        <w:rPr>
          <w:rFonts w:asciiTheme="majorBidi" w:hAnsiTheme="majorBidi" w:cstheme="majorBidi"/>
          <w:sz w:val="28"/>
          <w:szCs w:val="28"/>
        </w:rPr>
        <w:t xml:space="preserve">. Retrieved from </w:t>
      </w:r>
      <w:hyperlink r:id="rId30" w:history="1">
        <w:r w:rsidRPr="000508C0">
          <w:rPr>
            <w:rStyle w:val="Hyperlink"/>
            <w:rFonts w:asciiTheme="majorBidi" w:hAnsiTheme="majorBidi" w:cstheme="majorBidi"/>
            <w:color w:val="auto"/>
            <w:sz w:val="28"/>
            <w:szCs w:val="28"/>
          </w:rPr>
          <w:t>http://search.mandumah.com/Record/1443426</w:t>
        </w:r>
      </w:hyperlink>
    </w:p>
    <w:p w14:paraId="67C17960"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Kanaan</w:t>
      </w:r>
      <w:proofErr w:type="spellEnd"/>
      <w:r w:rsidRPr="000508C0">
        <w:rPr>
          <w:rFonts w:asciiTheme="majorBidi" w:hAnsiTheme="majorBidi" w:cstheme="majorBidi"/>
          <w:sz w:val="28"/>
          <w:szCs w:val="28"/>
        </w:rPr>
        <w:t xml:space="preserve">, M., &amp; </w:t>
      </w:r>
      <w:proofErr w:type="spellStart"/>
      <w:r w:rsidRPr="000508C0">
        <w:rPr>
          <w:rFonts w:asciiTheme="majorBidi" w:hAnsiTheme="majorBidi" w:cstheme="majorBidi"/>
          <w:sz w:val="28"/>
          <w:szCs w:val="28"/>
        </w:rPr>
        <w:t>Shahin</w:t>
      </w:r>
      <w:proofErr w:type="spellEnd"/>
      <w:r w:rsidRPr="000508C0">
        <w:rPr>
          <w:rFonts w:asciiTheme="majorBidi" w:hAnsiTheme="majorBidi" w:cstheme="majorBidi"/>
          <w:sz w:val="28"/>
          <w:szCs w:val="28"/>
        </w:rPr>
        <w:t xml:space="preserve">, H. (1998). </w:t>
      </w:r>
      <w:r w:rsidRPr="000508C0">
        <w:rPr>
          <w:rFonts w:asciiTheme="majorBidi" w:hAnsiTheme="majorBidi" w:cstheme="majorBidi"/>
          <w:i/>
          <w:iCs/>
          <w:sz w:val="28"/>
          <w:szCs w:val="28"/>
        </w:rPr>
        <w:t>National Survey of Methicillin-Resistant Staphylococcus aureus in Palestinian Hospitals: Detection Methods, Prevalence Trends and Infection Control Measures</w:t>
      </w:r>
      <w:r w:rsidRPr="000508C0">
        <w:rPr>
          <w:rFonts w:asciiTheme="majorBidi" w:hAnsiTheme="majorBidi" w:cstheme="majorBidi"/>
          <w:sz w:val="28"/>
          <w:szCs w:val="28"/>
        </w:rPr>
        <w:t xml:space="preserve">. Bethlehem University Journal, 17, 67–68. Retrieved from </w:t>
      </w:r>
      <w:hyperlink r:id="rId31" w:history="1">
        <w:r w:rsidRPr="000508C0">
          <w:rPr>
            <w:rStyle w:val="Hyperlink"/>
            <w:rFonts w:asciiTheme="majorBidi" w:hAnsiTheme="majorBidi" w:cstheme="majorBidi"/>
            <w:color w:val="auto"/>
            <w:sz w:val="28"/>
            <w:szCs w:val="28"/>
          </w:rPr>
          <w:t>http://search.mandumah.com/Record/1558031</w:t>
        </w:r>
      </w:hyperlink>
    </w:p>
    <w:p w14:paraId="045A45CC"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Nazzal</w:t>
      </w:r>
      <w:proofErr w:type="spellEnd"/>
      <w:r w:rsidRPr="000508C0">
        <w:rPr>
          <w:rFonts w:asciiTheme="majorBidi" w:hAnsiTheme="majorBidi" w:cstheme="majorBidi"/>
          <w:sz w:val="28"/>
          <w:szCs w:val="28"/>
        </w:rPr>
        <w:t xml:space="preserve">, F., &amp; </w:t>
      </w:r>
      <w:proofErr w:type="spellStart"/>
      <w:r w:rsidRPr="000508C0">
        <w:rPr>
          <w:rFonts w:asciiTheme="majorBidi" w:hAnsiTheme="majorBidi" w:cstheme="majorBidi"/>
          <w:sz w:val="28"/>
          <w:szCs w:val="28"/>
        </w:rPr>
        <w:t>Al-Shawish</w:t>
      </w:r>
      <w:proofErr w:type="spellEnd"/>
      <w:r w:rsidRPr="000508C0">
        <w:rPr>
          <w:rFonts w:asciiTheme="majorBidi" w:hAnsiTheme="majorBidi" w:cstheme="majorBidi"/>
          <w:sz w:val="28"/>
          <w:szCs w:val="28"/>
        </w:rPr>
        <w:t xml:space="preserve">, I. (2021). </w:t>
      </w:r>
      <w:r w:rsidRPr="000508C0">
        <w:rPr>
          <w:rFonts w:asciiTheme="majorBidi" w:hAnsiTheme="majorBidi" w:cstheme="majorBidi"/>
          <w:i/>
          <w:iCs/>
          <w:sz w:val="28"/>
          <w:szCs w:val="28"/>
        </w:rPr>
        <w:t xml:space="preserve">The Incidence and Risk Factors of Nosocomial Infections in the Intensive Care Unit at </w:t>
      </w:r>
      <w:proofErr w:type="spellStart"/>
      <w:r w:rsidRPr="000508C0">
        <w:rPr>
          <w:rFonts w:asciiTheme="majorBidi" w:hAnsiTheme="majorBidi" w:cstheme="majorBidi"/>
          <w:i/>
          <w:iCs/>
          <w:sz w:val="28"/>
          <w:szCs w:val="28"/>
        </w:rPr>
        <w:t>Jenin</w:t>
      </w:r>
      <w:proofErr w:type="spellEnd"/>
      <w:r w:rsidRPr="000508C0">
        <w:rPr>
          <w:rFonts w:asciiTheme="majorBidi" w:hAnsiTheme="majorBidi" w:cstheme="majorBidi"/>
          <w:i/>
          <w:iCs/>
          <w:sz w:val="28"/>
          <w:szCs w:val="28"/>
        </w:rPr>
        <w:t xml:space="preserve"> Governmental Hospital</w:t>
      </w:r>
      <w:r w:rsidRPr="000508C0">
        <w:rPr>
          <w:rFonts w:asciiTheme="majorBidi" w:hAnsiTheme="majorBidi" w:cstheme="majorBidi"/>
          <w:sz w:val="28"/>
          <w:szCs w:val="28"/>
        </w:rPr>
        <w:t xml:space="preserve"> (Unpublished master’s thesis). </w:t>
      </w:r>
      <w:proofErr w:type="spellStart"/>
      <w:r w:rsidRPr="000508C0">
        <w:rPr>
          <w:rFonts w:asciiTheme="majorBidi" w:hAnsiTheme="majorBidi" w:cstheme="majorBidi"/>
          <w:sz w:val="28"/>
          <w:szCs w:val="28"/>
        </w:rPr>
        <w:t>An-Najah</w:t>
      </w:r>
      <w:proofErr w:type="spellEnd"/>
      <w:r w:rsidRPr="000508C0">
        <w:rPr>
          <w:rFonts w:asciiTheme="majorBidi" w:hAnsiTheme="majorBidi" w:cstheme="majorBidi"/>
          <w:sz w:val="28"/>
          <w:szCs w:val="28"/>
        </w:rPr>
        <w:t xml:space="preserve"> National University, Nablus. Retrieved from </w:t>
      </w:r>
      <w:hyperlink r:id="rId32" w:history="1">
        <w:r w:rsidRPr="000508C0">
          <w:rPr>
            <w:rStyle w:val="Hyperlink"/>
            <w:rFonts w:asciiTheme="majorBidi" w:hAnsiTheme="majorBidi" w:cstheme="majorBidi"/>
            <w:color w:val="auto"/>
            <w:sz w:val="28"/>
            <w:szCs w:val="28"/>
          </w:rPr>
          <w:t>http://search.mandumah.com/Record/1237946</w:t>
        </w:r>
      </w:hyperlink>
    </w:p>
    <w:p w14:paraId="1634687F"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Nour, R. S. M., &amp; </w:t>
      </w:r>
      <w:proofErr w:type="spellStart"/>
      <w:r w:rsidRPr="000508C0">
        <w:rPr>
          <w:rFonts w:asciiTheme="majorBidi" w:hAnsiTheme="majorBidi" w:cstheme="majorBidi"/>
          <w:sz w:val="28"/>
          <w:szCs w:val="28"/>
        </w:rPr>
        <w:t>Nasor</w:t>
      </w:r>
      <w:proofErr w:type="spellEnd"/>
      <w:r w:rsidRPr="000508C0">
        <w:rPr>
          <w:rFonts w:asciiTheme="majorBidi" w:hAnsiTheme="majorBidi" w:cstheme="majorBidi"/>
          <w:sz w:val="28"/>
          <w:szCs w:val="28"/>
        </w:rPr>
        <w:t xml:space="preserve">, F. A. (2015). </w:t>
      </w:r>
      <w:r w:rsidRPr="000508C0">
        <w:rPr>
          <w:rFonts w:asciiTheme="majorBidi" w:hAnsiTheme="majorBidi" w:cstheme="majorBidi"/>
          <w:i/>
          <w:iCs/>
          <w:sz w:val="28"/>
          <w:szCs w:val="28"/>
        </w:rPr>
        <w:t>Assessment of Nurse-Midwives’ Knowledge and Practice towards Infection Control in Labor Rooms in Maternity Hospitals – Khartoum State</w:t>
      </w:r>
      <w:r w:rsidRPr="000508C0">
        <w:rPr>
          <w:rFonts w:asciiTheme="majorBidi" w:hAnsiTheme="majorBidi" w:cstheme="majorBidi"/>
          <w:sz w:val="28"/>
          <w:szCs w:val="28"/>
        </w:rPr>
        <w:t xml:space="preserve"> </w:t>
      </w:r>
      <w:r w:rsidRPr="000508C0">
        <w:rPr>
          <w:rFonts w:asciiTheme="majorBidi" w:hAnsiTheme="majorBidi" w:cstheme="majorBidi"/>
          <w:sz w:val="28"/>
          <w:szCs w:val="28"/>
        </w:rPr>
        <w:lastRenderedPageBreak/>
        <w:t xml:space="preserve">(Unpublished master’s thesis). University of </w:t>
      </w:r>
      <w:proofErr w:type="spellStart"/>
      <w:r w:rsidRPr="000508C0">
        <w:rPr>
          <w:rFonts w:asciiTheme="majorBidi" w:hAnsiTheme="majorBidi" w:cstheme="majorBidi"/>
          <w:sz w:val="28"/>
          <w:szCs w:val="28"/>
        </w:rPr>
        <w:t>Neelain</w:t>
      </w:r>
      <w:proofErr w:type="spellEnd"/>
      <w:r w:rsidRPr="000508C0">
        <w:rPr>
          <w:rFonts w:asciiTheme="majorBidi" w:hAnsiTheme="majorBidi" w:cstheme="majorBidi"/>
          <w:sz w:val="28"/>
          <w:szCs w:val="28"/>
        </w:rPr>
        <w:t xml:space="preserve">, Khartoum. Retrieved from </w:t>
      </w:r>
      <w:hyperlink r:id="rId33" w:history="1">
        <w:r w:rsidRPr="000508C0">
          <w:rPr>
            <w:rStyle w:val="Hyperlink"/>
            <w:rFonts w:asciiTheme="majorBidi" w:hAnsiTheme="majorBidi" w:cstheme="majorBidi"/>
            <w:color w:val="auto"/>
            <w:sz w:val="28"/>
            <w:szCs w:val="28"/>
          </w:rPr>
          <w:t>http://search.mandumah.com/Record/829692</w:t>
        </w:r>
      </w:hyperlink>
    </w:p>
    <w:p w14:paraId="73998B41"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Abdel-Hamid, R. S. (2024). </w:t>
      </w:r>
      <w:r w:rsidRPr="000508C0">
        <w:rPr>
          <w:rFonts w:asciiTheme="majorBidi" w:hAnsiTheme="majorBidi" w:cstheme="majorBidi"/>
          <w:i/>
          <w:iCs/>
          <w:sz w:val="28"/>
          <w:szCs w:val="28"/>
        </w:rPr>
        <w:t>Infection Prevention in the Neonatal Unit</w:t>
      </w:r>
      <w:r w:rsidRPr="000508C0">
        <w:rPr>
          <w:rFonts w:asciiTheme="majorBidi" w:hAnsiTheme="majorBidi" w:cstheme="majorBidi"/>
          <w:sz w:val="28"/>
          <w:szCs w:val="28"/>
        </w:rPr>
        <w:t xml:space="preserve">. Childhood Studies Journal, 27(102), 1–5. Retrieved from </w:t>
      </w:r>
      <w:hyperlink r:id="rId34" w:history="1">
        <w:r w:rsidRPr="000508C0">
          <w:rPr>
            <w:rStyle w:val="Hyperlink"/>
            <w:rFonts w:asciiTheme="majorBidi" w:hAnsiTheme="majorBidi" w:cstheme="majorBidi"/>
            <w:color w:val="auto"/>
            <w:sz w:val="28"/>
            <w:szCs w:val="28"/>
          </w:rPr>
          <w:t>http://search.mandumah.com/Record/1489970</w:t>
        </w:r>
      </w:hyperlink>
    </w:p>
    <w:p w14:paraId="64802284"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Ali, E. B. A., &amp; Yousif, T. A. D. (2020). </w:t>
      </w:r>
      <w:r w:rsidRPr="000508C0">
        <w:rPr>
          <w:rFonts w:asciiTheme="majorBidi" w:hAnsiTheme="majorBidi" w:cstheme="majorBidi"/>
          <w:i/>
          <w:iCs/>
          <w:sz w:val="28"/>
          <w:szCs w:val="28"/>
        </w:rPr>
        <w:t xml:space="preserve">Scrub Nurses’ Performance Regarding Infection Control at </w:t>
      </w:r>
      <w:proofErr w:type="spellStart"/>
      <w:r w:rsidRPr="000508C0">
        <w:rPr>
          <w:rFonts w:asciiTheme="majorBidi" w:hAnsiTheme="majorBidi" w:cstheme="majorBidi"/>
          <w:i/>
          <w:iCs/>
          <w:sz w:val="28"/>
          <w:szCs w:val="28"/>
        </w:rPr>
        <w:t>Ombada</w:t>
      </w:r>
      <w:proofErr w:type="spellEnd"/>
      <w:r w:rsidRPr="000508C0">
        <w:rPr>
          <w:rFonts w:asciiTheme="majorBidi" w:hAnsiTheme="majorBidi" w:cstheme="majorBidi"/>
          <w:i/>
          <w:iCs/>
          <w:sz w:val="28"/>
          <w:szCs w:val="28"/>
        </w:rPr>
        <w:t xml:space="preserve"> Locality Public Hospitals</w:t>
      </w:r>
      <w:r w:rsidRPr="000508C0">
        <w:rPr>
          <w:rFonts w:asciiTheme="majorBidi" w:hAnsiTheme="majorBidi" w:cstheme="majorBidi"/>
          <w:sz w:val="28"/>
          <w:szCs w:val="28"/>
        </w:rPr>
        <w:t xml:space="preserve"> (Unpublished master’s thesis). University of </w:t>
      </w:r>
      <w:proofErr w:type="spellStart"/>
      <w:r w:rsidRPr="000508C0">
        <w:rPr>
          <w:rFonts w:asciiTheme="majorBidi" w:hAnsiTheme="majorBidi" w:cstheme="majorBidi"/>
          <w:sz w:val="28"/>
          <w:szCs w:val="28"/>
        </w:rPr>
        <w:t>Neelain</w:t>
      </w:r>
      <w:proofErr w:type="spellEnd"/>
      <w:r w:rsidRPr="000508C0">
        <w:rPr>
          <w:rFonts w:asciiTheme="majorBidi" w:hAnsiTheme="majorBidi" w:cstheme="majorBidi"/>
          <w:sz w:val="28"/>
          <w:szCs w:val="28"/>
        </w:rPr>
        <w:t xml:space="preserve">, Khartoum. Retrieved from </w:t>
      </w:r>
      <w:hyperlink r:id="rId35" w:history="1">
        <w:r w:rsidRPr="000508C0">
          <w:rPr>
            <w:rStyle w:val="Hyperlink"/>
            <w:rFonts w:asciiTheme="majorBidi" w:hAnsiTheme="majorBidi" w:cstheme="majorBidi"/>
            <w:color w:val="auto"/>
            <w:sz w:val="28"/>
            <w:szCs w:val="28"/>
          </w:rPr>
          <w:t>http://search.mandumah.com/Record/1138888</w:t>
        </w:r>
      </w:hyperlink>
    </w:p>
    <w:p w14:paraId="22B8FCFE"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Elnour</w:t>
      </w:r>
      <w:proofErr w:type="spellEnd"/>
      <w:r w:rsidRPr="000508C0">
        <w:rPr>
          <w:rFonts w:asciiTheme="majorBidi" w:hAnsiTheme="majorBidi" w:cstheme="majorBidi"/>
          <w:sz w:val="28"/>
          <w:szCs w:val="28"/>
        </w:rPr>
        <w:t xml:space="preserve">, A. M., Mahmoud, A. H., Moussa, M. M. R., </w:t>
      </w:r>
      <w:proofErr w:type="spellStart"/>
      <w:r w:rsidRPr="000508C0">
        <w:rPr>
          <w:rFonts w:asciiTheme="majorBidi" w:hAnsiTheme="majorBidi" w:cstheme="majorBidi"/>
          <w:sz w:val="28"/>
          <w:szCs w:val="28"/>
        </w:rPr>
        <w:t>Fadelella</w:t>
      </w:r>
      <w:proofErr w:type="spellEnd"/>
      <w:r w:rsidRPr="000508C0">
        <w:rPr>
          <w:rFonts w:asciiTheme="majorBidi" w:hAnsiTheme="majorBidi" w:cstheme="majorBidi"/>
          <w:sz w:val="28"/>
          <w:szCs w:val="28"/>
        </w:rPr>
        <w:t xml:space="preserve">, N. A. E., &amp; </w:t>
      </w:r>
      <w:proofErr w:type="spellStart"/>
      <w:r w:rsidRPr="000508C0">
        <w:rPr>
          <w:rFonts w:asciiTheme="majorBidi" w:hAnsiTheme="majorBidi" w:cstheme="majorBidi"/>
          <w:sz w:val="28"/>
          <w:szCs w:val="28"/>
        </w:rPr>
        <w:t>El-Borgy</w:t>
      </w:r>
      <w:proofErr w:type="spellEnd"/>
      <w:r w:rsidRPr="000508C0">
        <w:rPr>
          <w:rFonts w:asciiTheme="majorBidi" w:hAnsiTheme="majorBidi" w:cstheme="majorBidi"/>
          <w:sz w:val="28"/>
          <w:szCs w:val="28"/>
        </w:rPr>
        <w:t xml:space="preserve">, M. D. (2015). </w:t>
      </w:r>
      <w:r w:rsidRPr="000508C0">
        <w:rPr>
          <w:rFonts w:asciiTheme="majorBidi" w:hAnsiTheme="majorBidi" w:cstheme="majorBidi"/>
          <w:i/>
          <w:iCs/>
          <w:sz w:val="28"/>
          <w:szCs w:val="28"/>
        </w:rPr>
        <w:t>Assessment of Environmental Health Services in the Main Hospitals of White Nile State, Sudan</w:t>
      </w:r>
      <w:r w:rsidRPr="000508C0">
        <w:rPr>
          <w:rFonts w:asciiTheme="majorBidi" w:hAnsiTheme="majorBidi" w:cstheme="majorBidi"/>
          <w:sz w:val="28"/>
          <w:szCs w:val="28"/>
        </w:rPr>
        <w:t xml:space="preserve">. Scientific Journal of Imam Al-Mahdi University, (5), 297–324. Retrieved from </w:t>
      </w:r>
      <w:hyperlink r:id="rId36" w:history="1">
        <w:r w:rsidRPr="000508C0">
          <w:rPr>
            <w:rStyle w:val="Hyperlink"/>
            <w:rFonts w:asciiTheme="majorBidi" w:hAnsiTheme="majorBidi" w:cstheme="majorBidi"/>
            <w:color w:val="auto"/>
            <w:sz w:val="28"/>
            <w:szCs w:val="28"/>
          </w:rPr>
          <w:t>http://search.mandumah.com/Record/696847</w:t>
        </w:r>
      </w:hyperlink>
    </w:p>
    <w:p w14:paraId="2DCE6A5A"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r w:rsidRPr="000508C0">
        <w:rPr>
          <w:rFonts w:asciiTheme="majorBidi" w:hAnsiTheme="majorBidi" w:cstheme="majorBidi"/>
          <w:sz w:val="28"/>
          <w:szCs w:val="28"/>
        </w:rPr>
        <w:t xml:space="preserve">Ahmed, R. N. A. M., &amp; </w:t>
      </w:r>
      <w:proofErr w:type="spellStart"/>
      <w:r w:rsidRPr="000508C0">
        <w:rPr>
          <w:rFonts w:asciiTheme="majorBidi" w:hAnsiTheme="majorBidi" w:cstheme="majorBidi"/>
          <w:sz w:val="28"/>
          <w:szCs w:val="28"/>
        </w:rPr>
        <w:t>Yosif</w:t>
      </w:r>
      <w:proofErr w:type="spellEnd"/>
      <w:r w:rsidRPr="000508C0">
        <w:rPr>
          <w:rFonts w:asciiTheme="majorBidi" w:hAnsiTheme="majorBidi" w:cstheme="majorBidi"/>
          <w:sz w:val="28"/>
          <w:szCs w:val="28"/>
        </w:rPr>
        <w:t xml:space="preserve">, T. A. D. (2019). </w:t>
      </w:r>
      <w:r w:rsidRPr="000508C0">
        <w:rPr>
          <w:rFonts w:asciiTheme="majorBidi" w:hAnsiTheme="majorBidi" w:cstheme="majorBidi"/>
          <w:i/>
          <w:iCs/>
          <w:sz w:val="28"/>
          <w:szCs w:val="28"/>
        </w:rPr>
        <w:t>Nurses’ Knowledge and Practice Regarding Infection Control of Wounds at Khartoum North Public Hospital</w:t>
      </w:r>
      <w:r w:rsidRPr="000508C0">
        <w:rPr>
          <w:rFonts w:asciiTheme="majorBidi" w:hAnsiTheme="majorBidi" w:cstheme="majorBidi"/>
          <w:sz w:val="28"/>
          <w:szCs w:val="28"/>
        </w:rPr>
        <w:t xml:space="preserve"> (Unpublished master’s thesis). University of </w:t>
      </w:r>
      <w:proofErr w:type="spellStart"/>
      <w:r w:rsidRPr="000508C0">
        <w:rPr>
          <w:rFonts w:asciiTheme="majorBidi" w:hAnsiTheme="majorBidi" w:cstheme="majorBidi"/>
          <w:sz w:val="28"/>
          <w:szCs w:val="28"/>
        </w:rPr>
        <w:t>Neelain</w:t>
      </w:r>
      <w:proofErr w:type="spellEnd"/>
      <w:r w:rsidRPr="000508C0">
        <w:rPr>
          <w:rFonts w:asciiTheme="majorBidi" w:hAnsiTheme="majorBidi" w:cstheme="majorBidi"/>
          <w:sz w:val="28"/>
          <w:szCs w:val="28"/>
        </w:rPr>
        <w:t xml:space="preserve">, Khartoum. Retrieved from </w:t>
      </w:r>
      <w:hyperlink r:id="rId37" w:history="1">
        <w:r w:rsidRPr="000508C0">
          <w:rPr>
            <w:rStyle w:val="Hyperlink"/>
            <w:rFonts w:asciiTheme="majorBidi" w:hAnsiTheme="majorBidi" w:cstheme="majorBidi"/>
            <w:color w:val="auto"/>
            <w:sz w:val="28"/>
            <w:szCs w:val="28"/>
          </w:rPr>
          <w:t>http://search.mandumah.com/Record/1140494</w:t>
        </w:r>
      </w:hyperlink>
    </w:p>
    <w:p w14:paraId="62D2BC82"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Al-Sakarneh</w:t>
      </w:r>
      <w:proofErr w:type="spellEnd"/>
      <w:r w:rsidRPr="000508C0">
        <w:rPr>
          <w:rFonts w:asciiTheme="majorBidi" w:hAnsiTheme="majorBidi" w:cstheme="majorBidi"/>
          <w:sz w:val="28"/>
          <w:szCs w:val="28"/>
        </w:rPr>
        <w:t xml:space="preserve">, H. G. H., </w:t>
      </w:r>
      <w:proofErr w:type="spellStart"/>
      <w:r w:rsidRPr="000508C0">
        <w:rPr>
          <w:rFonts w:asciiTheme="majorBidi" w:hAnsiTheme="majorBidi" w:cstheme="majorBidi"/>
          <w:sz w:val="28"/>
          <w:szCs w:val="28"/>
        </w:rPr>
        <w:t>Al-Hadidi</w:t>
      </w:r>
      <w:proofErr w:type="spellEnd"/>
      <w:r w:rsidRPr="000508C0">
        <w:rPr>
          <w:rFonts w:asciiTheme="majorBidi" w:hAnsiTheme="majorBidi" w:cstheme="majorBidi"/>
          <w:sz w:val="28"/>
          <w:szCs w:val="28"/>
        </w:rPr>
        <w:t xml:space="preserve">, K. A., &amp; </w:t>
      </w:r>
      <w:proofErr w:type="spellStart"/>
      <w:r w:rsidRPr="000508C0">
        <w:rPr>
          <w:rFonts w:asciiTheme="majorBidi" w:hAnsiTheme="majorBidi" w:cstheme="majorBidi"/>
          <w:sz w:val="28"/>
          <w:szCs w:val="28"/>
        </w:rPr>
        <w:t>Al-Jaghbeer</w:t>
      </w:r>
      <w:proofErr w:type="spellEnd"/>
      <w:r w:rsidRPr="000508C0">
        <w:rPr>
          <w:rFonts w:asciiTheme="majorBidi" w:hAnsiTheme="majorBidi" w:cstheme="majorBidi"/>
          <w:sz w:val="28"/>
          <w:szCs w:val="28"/>
        </w:rPr>
        <w:t xml:space="preserve">, M. A. W. (2016). </w:t>
      </w:r>
      <w:r w:rsidRPr="000508C0">
        <w:rPr>
          <w:rFonts w:asciiTheme="majorBidi" w:hAnsiTheme="majorBidi" w:cstheme="majorBidi"/>
          <w:i/>
          <w:iCs/>
          <w:sz w:val="28"/>
          <w:szCs w:val="28"/>
        </w:rPr>
        <w:t>Assessment of Knowledge, Attitudes, and Practices of Hand Hygiene among Health Care Workers in Four Hospitals in Amman, Jordan: A Cross-Sectional Study 2014–2015</w:t>
      </w:r>
      <w:r w:rsidRPr="000508C0">
        <w:rPr>
          <w:rFonts w:asciiTheme="majorBidi" w:hAnsiTheme="majorBidi" w:cstheme="majorBidi"/>
          <w:sz w:val="28"/>
          <w:szCs w:val="28"/>
        </w:rPr>
        <w:t xml:space="preserve"> (Unpublished master’s thesis). University of Jordan, Amman. Retrieved from </w:t>
      </w:r>
      <w:hyperlink r:id="rId38" w:history="1">
        <w:r w:rsidRPr="000508C0">
          <w:rPr>
            <w:rStyle w:val="Hyperlink"/>
            <w:rFonts w:asciiTheme="majorBidi" w:hAnsiTheme="majorBidi" w:cstheme="majorBidi"/>
            <w:color w:val="auto"/>
            <w:sz w:val="28"/>
            <w:szCs w:val="28"/>
          </w:rPr>
          <w:t>http://search.mandumah.com/Record/1135507</w:t>
        </w:r>
      </w:hyperlink>
    </w:p>
    <w:p w14:paraId="4996C1CF" w14:textId="77777777" w:rsidR="00997F7D" w:rsidRPr="000508C0" w:rsidRDefault="00997F7D" w:rsidP="00F634A6">
      <w:pPr>
        <w:numPr>
          <w:ilvl w:val="0"/>
          <w:numId w:val="36"/>
        </w:numPr>
        <w:spacing w:after="0" w:line="360" w:lineRule="auto"/>
        <w:jc w:val="both"/>
        <w:rPr>
          <w:rFonts w:asciiTheme="majorBidi" w:hAnsiTheme="majorBidi" w:cstheme="majorBidi"/>
          <w:sz w:val="28"/>
          <w:szCs w:val="28"/>
        </w:rPr>
      </w:pPr>
      <w:proofErr w:type="spellStart"/>
      <w:r w:rsidRPr="000508C0">
        <w:rPr>
          <w:rFonts w:asciiTheme="majorBidi" w:hAnsiTheme="majorBidi" w:cstheme="majorBidi"/>
          <w:sz w:val="28"/>
          <w:szCs w:val="28"/>
        </w:rPr>
        <w:t>Hreemat</w:t>
      </w:r>
      <w:proofErr w:type="spellEnd"/>
      <w:r w:rsidRPr="000508C0">
        <w:rPr>
          <w:rFonts w:asciiTheme="majorBidi" w:hAnsiTheme="majorBidi" w:cstheme="majorBidi"/>
          <w:sz w:val="28"/>
          <w:szCs w:val="28"/>
        </w:rPr>
        <w:t xml:space="preserve">, L. A. H., &amp; Abu </w:t>
      </w:r>
      <w:proofErr w:type="spellStart"/>
      <w:r w:rsidRPr="000508C0">
        <w:rPr>
          <w:rFonts w:asciiTheme="majorBidi" w:hAnsiTheme="majorBidi" w:cstheme="majorBidi"/>
          <w:sz w:val="28"/>
          <w:szCs w:val="28"/>
        </w:rPr>
        <w:t>Taha</w:t>
      </w:r>
      <w:proofErr w:type="spellEnd"/>
      <w:r w:rsidRPr="000508C0">
        <w:rPr>
          <w:rFonts w:asciiTheme="majorBidi" w:hAnsiTheme="majorBidi" w:cstheme="majorBidi"/>
          <w:sz w:val="28"/>
          <w:szCs w:val="28"/>
        </w:rPr>
        <w:t xml:space="preserve">, A. (2016). </w:t>
      </w:r>
      <w:r w:rsidRPr="000508C0">
        <w:rPr>
          <w:rFonts w:asciiTheme="majorBidi" w:hAnsiTheme="majorBidi" w:cstheme="majorBidi"/>
          <w:i/>
          <w:iCs/>
          <w:sz w:val="28"/>
          <w:szCs w:val="28"/>
        </w:rPr>
        <w:t xml:space="preserve">Knowledge, Attitudes, and Adherence to Methicillin-Resistant </w:t>
      </w:r>
      <w:r w:rsidRPr="000508C0">
        <w:rPr>
          <w:rFonts w:asciiTheme="majorBidi" w:hAnsiTheme="majorBidi" w:cstheme="majorBidi"/>
          <w:i/>
          <w:iCs/>
          <w:sz w:val="28"/>
          <w:szCs w:val="28"/>
        </w:rPr>
        <w:lastRenderedPageBreak/>
        <w:t>Staphylococcus aureus Transmission Prevention among Health Care Workers</w:t>
      </w:r>
      <w:r w:rsidRPr="000508C0">
        <w:rPr>
          <w:rFonts w:asciiTheme="majorBidi" w:hAnsiTheme="majorBidi" w:cstheme="majorBidi"/>
          <w:sz w:val="28"/>
          <w:szCs w:val="28"/>
        </w:rPr>
        <w:t xml:space="preserve"> (Unpublished master’s thesis). </w:t>
      </w:r>
      <w:proofErr w:type="spellStart"/>
      <w:r w:rsidRPr="000508C0">
        <w:rPr>
          <w:rFonts w:asciiTheme="majorBidi" w:hAnsiTheme="majorBidi" w:cstheme="majorBidi"/>
          <w:sz w:val="28"/>
          <w:szCs w:val="28"/>
        </w:rPr>
        <w:t>An-Najah</w:t>
      </w:r>
      <w:proofErr w:type="spellEnd"/>
      <w:r w:rsidRPr="000508C0">
        <w:rPr>
          <w:rFonts w:asciiTheme="majorBidi" w:hAnsiTheme="majorBidi" w:cstheme="majorBidi"/>
          <w:sz w:val="28"/>
          <w:szCs w:val="28"/>
        </w:rPr>
        <w:t xml:space="preserve"> National University, Nablus. Retrieved from </w:t>
      </w:r>
      <w:hyperlink r:id="rId39" w:history="1">
        <w:r w:rsidRPr="000508C0">
          <w:rPr>
            <w:rStyle w:val="Hyperlink"/>
            <w:rFonts w:asciiTheme="majorBidi" w:hAnsiTheme="majorBidi" w:cstheme="majorBidi"/>
            <w:color w:val="auto"/>
            <w:sz w:val="28"/>
            <w:szCs w:val="28"/>
          </w:rPr>
          <w:t>http://search.mandumah.com/Record/1231998</w:t>
        </w:r>
      </w:hyperlink>
    </w:p>
    <w:p w14:paraId="05F3E1E9" w14:textId="77777777" w:rsidR="00403537" w:rsidRPr="000508C0" w:rsidRDefault="00403537" w:rsidP="003A346D">
      <w:pPr>
        <w:spacing w:after="0" w:line="360" w:lineRule="auto"/>
        <w:ind w:firstLine="720"/>
        <w:jc w:val="both"/>
        <w:rPr>
          <w:rFonts w:asciiTheme="majorBidi" w:hAnsiTheme="majorBidi" w:cstheme="majorBidi"/>
          <w:sz w:val="28"/>
          <w:szCs w:val="28"/>
          <w:rtl/>
        </w:rPr>
      </w:pPr>
    </w:p>
    <w:p w14:paraId="66DF6912" w14:textId="77777777" w:rsidR="00403537" w:rsidRPr="000508C0" w:rsidRDefault="00403537" w:rsidP="003A346D">
      <w:pPr>
        <w:spacing w:after="0" w:line="360" w:lineRule="auto"/>
        <w:ind w:firstLine="720"/>
        <w:jc w:val="both"/>
        <w:rPr>
          <w:rFonts w:asciiTheme="majorBidi" w:eastAsia="Calibri" w:hAnsiTheme="majorBidi" w:cstheme="majorBidi"/>
          <w:b/>
          <w:bCs/>
          <w:sz w:val="32"/>
          <w:szCs w:val="32"/>
          <w:rtl/>
          <w:lang w:bidi="ar-EG"/>
        </w:rPr>
      </w:pPr>
    </w:p>
    <w:p w14:paraId="69AFF0A4" w14:textId="77777777" w:rsidR="00026693" w:rsidRPr="000508C0" w:rsidRDefault="00026693" w:rsidP="00122610">
      <w:pPr>
        <w:bidi/>
        <w:rPr>
          <w:rFonts w:ascii="Traditional Arabic" w:hAnsi="Traditional Arabic" w:cs="Traditional Arabic"/>
          <w:b/>
          <w:bCs/>
          <w:sz w:val="40"/>
          <w:szCs w:val="40"/>
          <w:rtl/>
        </w:rPr>
      </w:pPr>
      <w:bookmarkStart w:id="37" w:name="_Hlk161862590"/>
      <w:bookmarkStart w:id="38" w:name="_Hlk162329489"/>
      <w:bookmarkEnd w:id="33"/>
      <w:bookmarkEnd w:id="37"/>
      <w:bookmarkEnd w:id="38"/>
    </w:p>
    <w:sectPr w:rsidR="00026693" w:rsidRPr="000508C0" w:rsidSect="00232E88">
      <w:footerReference w:type="default" r:id="rId40"/>
      <w:pgSz w:w="11907" w:h="16840" w:code="9"/>
      <w:pgMar w:top="1440" w:right="1984"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F9589" w14:textId="77777777" w:rsidR="00F83A5D" w:rsidRDefault="00F83A5D" w:rsidP="00C01CDA">
      <w:pPr>
        <w:spacing w:after="0" w:line="240" w:lineRule="auto"/>
      </w:pPr>
      <w:r>
        <w:separator/>
      </w:r>
    </w:p>
  </w:endnote>
  <w:endnote w:type="continuationSeparator" w:id="0">
    <w:p w14:paraId="74D879E7" w14:textId="77777777" w:rsidR="00F83A5D" w:rsidRDefault="00F83A5D" w:rsidP="00C0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raditional Arabic">
    <w:altName w:val="Times New Roman"/>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96ED" w14:textId="77777777" w:rsidR="00FC5DF5" w:rsidRDefault="00FC5DF5" w:rsidP="00A07EEA">
    <w:pPr>
      <w:pStyle w:val="a4"/>
      <w:tabs>
        <w:tab w:val="clear" w:pos="4680"/>
      </w:tabs>
      <w:jc w:val="center"/>
    </w:pPr>
    <w:r>
      <w:rPr>
        <w:rFonts w:hint="cs"/>
        <w:rtl/>
      </w:rPr>
      <w:t>(</w:t>
    </w:r>
    <w:sdt>
      <w:sdtPr>
        <w:id w:val="-101167430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rFonts w:hint="cs"/>
            <w:noProof/>
            <w:rtl/>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6FCFC" w14:textId="77777777" w:rsidR="00F83A5D" w:rsidRDefault="00F83A5D" w:rsidP="00C01CDA">
      <w:pPr>
        <w:spacing w:after="0" w:line="240" w:lineRule="auto"/>
      </w:pPr>
      <w:r>
        <w:separator/>
      </w:r>
    </w:p>
  </w:footnote>
  <w:footnote w:type="continuationSeparator" w:id="0">
    <w:p w14:paraId="5E297F21" w14:textId="77777777" w:rsidR="00F83A5D" w:rsidRDefault="00F83A5D" w:rsidP="00C0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start w:val="1"/>
      <w:numFmt w:val="bullet"/>
      <w:lvlText w:val="o"/>
      <w:lvlJc w:val="left"/>
      <w:pPr>
        <w:ind w:left="1712" w:hanging="360"/>
      </w:pPr>
      <w:rPr>
        <w:rFonts w:ascii="Courier New" w:hAnsi="Courier New" w:cs="Courier New" w:hint="default"/>
      </w:rPr>
    </w:lvl>
    <w:lvl w:ilvl="2" w:tplc="FFFFFFFF">
      <w:start w:val="1"/>
      <w:numFmt w:val="bullet"/>
      <w:lvlText w:val=""/>
      <w:lvlJc w:val="left"/>
      <w:pPr>
        <w:ind w:left="2432" w:hanging="360"/>
      </w:pPr>
      <w:rPr>
        <w:rFonts w:ascii="Wingdings" w:hAnsi="Wingdings" w:hint="default"/>
      </w:rPr>
    </w:lvl>
    <w:lvl w:ilvl="3" w:tplc="FFFFFFFF">
      <w:start w:val="1"/>
      <w:numFmt w:val="bullet"/>
      <w:lvlText w:val=""/>
      <w:lvlJc w:val="left"/>
      <w:pPr>
        <w:ind w:left="3152" w:hanging="360"/>
      </w:pPr>
      <w:rPr>
        <w:rFonts w:ascii="Symbol" w:hAnsi="Symbol" w:hint="default"/>
      </w:rPr>
    </w:lvl>
    <w:lvl w:ilvl="4" w:tplc="FFFFFFFF">
      <w:start w:val="1"/>
      <w:numFmt w:val="bullet"/>
      <w:lvlText w:val="o"/>
      <w:lvlJc w:val="left"/>
      <w:pPr>
        <w:ind w:left="3872" w:hanging="360"/>
      </w:pPr>
      <w:rPr>
        <w:rFonts w:ascii="Courier New" w:hAnsi="Courier New" w:cs="Courier New" w:hint="default"/>
      </w:rPr>
    </w:lvl>
    <w:lvl w:ilvl="5" w:tplc="FFFFFFFF">
      <w:start w:val="1"/>
      <w:numFmt w:val="bullet"/>
      <w:lvlText w:val=""/>
      <w:lvlJc w:val="left"/>
      <w:pPr>
        <w:ind w:left="4592" w:hanging="360"/>
      </w:pPr>
      <w:rPr>
        <w:rFonts w:ascii="Wingdings" w:hAnsi="Wingdings" w:hint="default"/>
      </w:rPr>
    </w:lvl>
    <w:lvl w:ilvl="6" w:tplc="FFFFFFFF">
      <w:start w:val="1"/>
      <w:numFmt w:val="bullet"/>
      <w:lvlText w:val=""/>
      <w:lvlJc w:val="left"/>
      <w:pPr>
        <w:ind w:left="5312" w:hanging="360"/>
      </w:pPr>
      <w:rPr>
        <w:rFonts w:ascii="Symbol" w:hAnsi="Symbol" w:hint="default"/>
      </w:rPr>
    </w:lvl>
    <w:lvl w:ilvl="7" w:tplc="FFFFFFFF">
      <w:start w:val="1"/>
      <w:numFmt w:val="bullet"/>
      <w:lvlText w:val="o"/>
      <w:lvlJc w:val="left"/>
      <w:pPr>
        <w:ind w:left="6032" w:hanging="360"/>
      </w:pPr>
      <w:rPr>
        <w:rFonts w:ascii="Courier New" w:hAnsi="Courier New" w:cs="Courier New" w:hint="default"/>
      </w:rPr>
    </w:lvl>
    <w:lvl w:ilvl="8" w:tplc="FFFFFFFF">
      <w:start w:val="1"/>
      <w:numFmt w:val="bullet"/>
      <w:lvlText w:val=""/>
      <w:lvlJc w:val="left"/>
      <w:pPr>
        <w:ind w:left="6752" w:hanging="360"/>
      </w:pPr>
      <w:rPr>
        <w:rFonts w:ascii="Wingdings" w:hAnsi="Wingdings" w:hint="default"/>
      </w:rPr>
    </w:lvl>
  </w:abstractNum>
  <w:abstractNum w:abstractNumId="1" w15:restartNumberingAfterBreak="0">
    <w:nsid w:val="02651BBA"/>
    <w:multiLevelType w:val="multilevel"/>
    <w:tmpl w:val="DB48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E07A2"/>
    <w:multiLevelType w:val="multilevel"/>
    <w:tmpl w:val="220E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364CA"/>
    <w:multiLevelType w:val="multilevel"/>
    <w:tmpl w:val="D1B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6C291E"/>
    <w:multiLevelType w:val="hybridMultilevel"/>
    <w:tmpl w:val="CB806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5A47A4"/>
    <w:multiLevelType w:val="multilevel"/>
    <w:tmpl w:val="56186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5B659B"/>
    <w:multiLevelType w:val="multilevel"/>
    <w:tmpl w:val="83C21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D0B45"/>
    <w:multiLevelType w:val="multilevel"/>
    <w:tmpl w:val="1278E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630"/>
        </w:tabs>
        <w:ind w:left="63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1417C"/>
    <w:multiLevelType w:val="multilevel"/>
    <w:tmpl w:val="DF905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1DC42D94"/>
    <w:multiLevelType w:val="multilevel"/>
    <w:tmpl w:val="978C4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630"/>
        </w:tabs>
        <w:ind w:left="630" w:hanging="360"/>
      </w:pPr>
      <w:rPr>
        <w:rFonts w:ascii="Courier New" w:hAnsi="Courier New" w:hint="default"/>
        <w:sz w:val="20"/>
      </w:rPr>
    </w:lvl>
    <w:lvl w:ilvl="2">
      <w:start w:val="1"/>
      <w:numFmt w:val="decimal"/>
      <w:lvlText w:val="%3."/>
      <w:lvlJc w:val="left"/>
      <w:pPr>
        <w:tabs>
          <w:tab w:val="num" w:pos="450"/>
        </w:tabs>
        <w:ind w:left="45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244750"/>
    <w:multiLevelType w:val="multilevel"/>
    <w:tmpl w:val="17D8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828C6"/>
    <w:multiLevelType w:val="multilevel"/>
    <w:tmpl w:val="E23CD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1A14CE"/>
    <w:multiLevelType w:val="multilevel"/>
    <w:tmpl w:val="BB74F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BA549D"/>
    <w:multiLevelType w:val="multilevel"/>
    <w:tmpl w:val="A218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ED6C76"/>
    <w:multiLevelType w:val="multilevel"/>
    <w:tmpl w:val="8166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917B8E"/>
    <w:multiLevelType w:val="multilevel"/>
    <w:tmpl w:val="AB00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7D0F2E"/>
    <w:multiLevelType w:val="multilevel"/>
    <w:tmpl w:val="FA0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AC79D5"/>
    <w:multiLevelType w:val="hybridMultilevel"/>
    <w:tmpl w:val="699CFA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F3478FE"/>
    <w:multiLevelType w:val="multilevel"/>
    <w:tmpl w:val="F580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973873"/>
    <w:multiLevelType w:val="multilevel"/>
    <w:tmpl w:val="8B1AE2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F775B2"/>
    <w:multiLevelType w:val="multilevel"/>
    <w:tmpl w:val="EE864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450"/>
        </w:tabs>
        <w:ind w:left="45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F75EDF"/>
    <w:multiLevelType w:val="multilevel"/>
    <w:tmpl w:val="A12E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8B62B0"/>
    <w:multiLevelType w:val="multilevel"/>
    <w:tmpl w:val="7BD0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BC652A"/>
    <w:multiLevelType w:val="multilevel"/>
    <w:tmpl w:val="B302E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630"/>
        </w:tabs>
        <w:ind w:left="630" w:hanging="360"/>
      </w:pPr>
      <w:rPr>
        <w:rFonts w:ascii="Courier New" w:hAnsi="Courier New" w:hint="default"/>
        <w:sz w:val="20"/>
      </w:rPr>
    </w:lvl>
    <w:lvl w:ilvl="2">
      <w:start w:val="1"/>
      <w:numFmt w:val="decimal"/>
      <w:lvlText w:val="%3."/>
      <w:lvlJc w:val="left"/>
      <w:pPr>
        <w:tabs>
          <w:tab w:val="num" w:pos="720"/>
        </w:tabs>
        <w:ind w:left="72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692230"/>
    <w:multiLevelType w:val="multilevel"/>
    <w:tmpl w:val="A01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5A48D8"/>
    <w:multiLevelType w:val="multilevel"/>
    <w:tmpl w:val="7C68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D368B7"/>
    <w:multiLevelType w:val="multilevel"/>
    <w:tmpl w:val="289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CC66DB"/>
    <w:multiLevelType w:val="hybridMultilevel"/>
    <w:tmpl w:val="ECFAF72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5F5467B"/>
    <w:multiLevelType w:val="hybridMultilevel"/>
    <w:tmpl w:val="EA44D598"/>
    <w:lvl w:ilvl="0" w:tplc="0409000B">
      <w:start w:val="1"/>
      <w:numFmt w:val="bullet"/>
      <w:lvlText w:val=""/>
      <w:lvlJc w:val="left"/>
      <w:pPr>
        <w:ind w:left="927" w:hanging="360"/>
      </w:pPr>
      <w:rPr>
        <w:rFonts w:ascii="Wingdings" w:hAnsi="Wingdings"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68857DFF"/>
    <w:multiLevelType w:val="multilevel"/>
    <w:tmpl w:val="0D7CC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291C62"/>
    <w:multiLevelType w:val="multilevel"/>
    <w:tmpl w:val="37F0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E96627"/>
    <w:multiLevelType w:val="hybridMultilevel"/>
    <w:tmpl w:val="5C300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15:restartNumberingAfterBreak="0">
    <w:nsid w:val="6B364781"/>
    <w:multiLevelType w:val="multilevel"/>
    <w:tmpl w:val="CAB2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7C709A"/>
    <w:multiLevelType w:val="hybridMultilevel"/>
    <w:tmpl w:val="4846FE46"/>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E95EAE"/>
    <w:multiLevelType w:val="hybridMultilevel"/>
    <w:tmpl w:val="FB20C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1936161">
    <w:abstractNumId w:val="0"/>
  </w:num>
  <w:num w:numId="2" w16cid:durableId="844366371">
    <w:abstractNumId w:val="29"/>
  </w:num>
  <w:num w:numId="3" w16cid:durableId="832720576">
    <w:abstractNumId w:val="33"/>
  </w:num>
  <w:num w:numId="4" w16cid:durableId="654260700">
    <w:abstractNumId w:val="36"/>
  </w:num>
  <w:num w:numId="5" w16cid:durableId="154689423">
    <w:abstractNumId w:val="9"/>
  </w:num>
  <w:num w:numId="6" w16cid:durableId="976373870">
    <w:abstractNumId w:val="28"/>
  </w:num>
  <w:num w:numId="7" w16cid:durableId="27024380">
    <w:abstractNumId w:val="35"/>
  </w:num>
  <w:num w:numId="8" w16cid:durableId="1446732792">
    <w:abstractNumId w:val="31"/>
  </w:num>
  <w:num w:numId="9" w16cid:durableId="950861960">
    <w:abstractNumId w:val="27"/>
  </w:num>
  <w:num w:numId="10" w16cid:durableId="2018995083">
    <w:abstractNumId w:val="2"/>
  </w:num>
  <w:num w:numId="11" w16cid:durableId="1329596893">
    <w:abstractNumId w:val="22"/>
  </w:num>
  <w:num w:numId="12" w16cid:durableId="516578754">
    <w:abstractNumId w:val="18"/>
  </w:num>
  <w:num w:numId="13" w16cid:durableId="1997488966">
    <w:abstractNumId w:val="6"/>
  </w:num>
  <w:num w:numId="14" w16cid:durableId="1229849411">
    <w:abstractNumId w:val="6"/>
    <w:lvlOverride w:ilvl="2">
      <w:lvl w:ilvl="2">
        <w:numFmt w:val="decimal"/>
        <w:lvlText w:val="%3."/>
        <w:lvlJc w:val="left"/>
      </w:lvl>
    </w:lvlOverride>
  </w:num>
  <w:num w:numId="15" w16cid:durableId="1675722494">
    <w:abstractNumId w:val="12"/>
  </w:num>
  <w:num w:numId="16" w16cid:durableId="1640837006">
    <w:abstractNumId w:val="17"/>
  </w:num>
  <w:num w:numId="17" w16cid:durableId="843933730">
    <w:abstractNumId w:val="13"/>
  </w:num>
  <w:num w:numId="18" w16cid:durableId="520896361">
    <w:abstractNumId w:val="21"/>
  </w:num>
  <w:num w:numId="19" w16cid:durableId="1127888937">
    <w:abstractNumId w:val="21"/>
    <w:lvlOverride w:ilvl="2">
      <w:lvl w:ilvl="2">
        <w:numFmt w:val="decimal"/>
        <w:lvlText w:val="%3."/>
        <w:lvlJc w:val="left"/>
      </w:lvl>
    </w:lvlOverride>
  </w:num>
  <w:num w:numId="20" w16cid:durableId="562521043">
    <w:abstractNumId w:val="25"/>
  </w:num>
  <w:num w:numId="21" w16cid:durableId="1968705302">
    <w:abstractNumId w:val="30"/>
  </w:num>
  <w:num w:numId="22" w16cid:durableId="499080172">
    <w:abstractNumId w:val="34"/>
  </w:num>
  <w:num w:numId="23" w16cid:durableId="1076248804">
    <w:abstractNumId w:val="16"/>
  </w:num>
  <w:num w:numId="24" w16cid:durableId="325943016">
    <w:abstractNumId w:val="8"/>
  </w:num>
  <w:num w:numId="25" w16cid:durableId="269508688">
    <w:abstractNumId w:val="11"/>
  </w:num>
  <w:num w:numId="26" w16cid:durableId="940845028">
    <w:abstractNumId w:val="7"/>
  </w:num>
  <w:num w:numId="27" w16cid:durableId="499933303">
    <w:abstractNumId w:val="26"/>
  </w:num>
  <w:num w:numId="28" w16cid:durableId="1247770048">
    <w:abstractNumId w:val="4"/>
  </w:num>
  <w:num w:numId="29" w16cid:durableId="832722069">
    <w:abstractNumId w:val="24"/>
  </w:num>
  <w:num w:numId="30" w16cid:durableId="187107924">
    <w:abstractNumId w:val="14"/>
  </w:num>
  <w:num w:numId="31" w16cid:durableId="1185943708">
    <w:abstractNumId w:val="10"/>
  </w:num>
  <w:num w:numId="32" w16cid:durableId="1035541799">
    <w:abstractNumId w:val="1"/>
  </w:num>
  <w:num w:numId="33" w16cid:durableId="154228992">
    <w:abstractNumId w:val="15"/>
  </w:num>
  <w:num w:numId="34" w16cid:durableId="1165053740">
    <w:abstractNumId w:val="5"/>
  </w:num>
  <w:num w:numId="35" w16cid:durableId="1293900258">
    <w:abstractNumId w:val="20"/>
  </w:num>
  <w:num w:numId="36" w16cid:durableId="1221287063">
    <w:abstractNumId w:val="32"/>
  </w:num>
  <w:num w:numId="37" w16cid:durableId="2043094788">
    <w:abstractNumId w:val="37"/>
  </w:num>
  <w:num w:numId="38" w16cid:durableId="1724670119">
    <w:abstractNumId w:val="23"/>
  </w:num>
  <w:num w:numId="39" w16cid:durableId="587738518">
    <w:abstractNumId w:val="19"/>
  </w:num>
  <w:num w:numId="40" w16cid:durableId="744183709">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activeWritingStyle w:appName="MSWord" w:lang="ar-SA" w:vendorID="64" w:dllVersion="4096" w:nlCheck="1" w:checkStyle="0"/>
  <w:activeWritingStyle w:appName="MSWord" w:lang="ar-EG" w:vendorID="64" w:dllVersion="4096" w:nlCheck="1" w:checkStyle="0"/>
  <w:activeWritingStyle w:appName="MSWord" w:lang="en-US" w:vendorID="64" w:dllVersion="4096" w:nlCheck="1" w:checkStyle="0"/>
  <w:activeWritingStyle w:appName="MSWord" w:lang="ar-JO"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CDA"/>
    <w:rsid w:val="00001CF6"/>
    <w:rsid w:val="0001061E"/>
    <w:rsid w:val="00026693"/>
    <w:rsid w:val="00033A14"/>
    <w:rsid w:val="00044BDB"/>
    <w:rsid w:val="00044C5D"/>
    <w:rsid w:val="000508C0"/>
    <w:rsid w:val="00051CA3"/>
    <w:rsid w:val="0007314C"/>
    <w:rsid w:val="00092971"/>
    <w:rsid w:val="000A7673"/>
    <w:rsid w:val="000B2580"/>
    <w:rsid w:val="000B49F5"/>
    <w:rsid w:val="000F3D48"/>
    <w:rsid w:val="000F606F"/>
    <w:rsid w:val="001002E8"/>
    <w:rsid w:val="001040E5"/>
    <w:rsid w:val="00106F67"/>
    <w:rsid w:val="00114A9B"/>
    <w:rsid w:val="00122610"/>
    <w:rsid w:val="00123BAE"/>
    <w:rsid w:val="00124490"/>
    <w:rsid w:val="00124995"/>
    <w:rsid w:val="00152343"/>
    <w:rsid w:val="00154F7E"/>
    <w:rsid w:val="001578E3"/>
    <w:rsid w:val="001603CC"/>
    <w:rsid w:val="00164773"/>
    <w:rsid w:val="00173415"/>
    <w:rsid w:val="00181761"/>
    <w:rsid w:val="00183170"/>
    <w:rsid w:val="001879E3"/>
    <w:rsid w:val="00193827"/>
    <w:rsid w:val="00193FFB"/>
    <w:rsid w:val="001A4593"/>
    <w:rsid w:val="001A5844"/>
    <w:rsid w:val="001B2958"/>
    <w:rsid w:val="001B5077"/>
    <w:rsid w:val="001D300E"/>
    <w:rsid w:val="001D4123"/>
    <w:rsid w:val="001E6118"/>
    <w:rsid w:val="001F3DAA"/>
    <w:rsid w:val="001F46CB"/>
    <w:rsid w:val="001F4E3C"/>
    <w:rsid w:val="00202C8D"/>
    <w:rsid w:val="00206666"/>
    <w:rsid w:val="00232E88"/>
    <w:rsid w:val="00237177"/>
    <w:rsid w:val="00241FBD"/>
    <w:rsid w:val="00246982"/>
    <w:rsid w:val="00251CA5"/>
    <w:rsid w:val="00266C8A"/>
    <w:rsid w:val="00283DAB"/>
    <w:rsid w:val="002B5D12"/>
    <w:rsid w:val="002C6679"/>
    <w:rsid w:val="002D1908"/>
    <w:rsid w:val="002E0F31"/>
    <w:rsid w:val="002E485F"/>
    <w:rsid w:val="002F0834"/>
    <w:rsid w:val="002F5EFA"/>
    <w:rsid w:val="00305183"/>
    <w:rsid w:val="00330C25"/>
    <w:rsid w:val="00342B1A"/>
    <w:rsid w:val="00345576"/>
    <w:rsid w:val="003460B8"/>
    <w:rsid w:val="00354811"/>
    <w:rsid w:val="00356F57"/>
    <w:rsid w:val="00362449"/>
    <w:rsid w:val="00370775"/>
    <w:rsid w:val="003707ED"/>
    <w:rsid w:val="0038122B"/>
    <w:rsid w:val="003A0960"/>
    <w:rsid w:val="003A1B2C"/>
    <w:rsid w:val="003A346D"/>
    <w:rsid w:val="003A3B16"/>
    <w:rsid w:val="003B2AE7"/>
    <w:rsid w:val="003D429A"/>
    <w:rsid w:val="003E14E9"/>
    <w:rsid w:val="003E4D38"/>
    <w:rsid w:val="003E60B2"/>
    <w:rsid w:val="00403537"/>
    <w:rsid w:val="00404FCD"/>
    <w:rsid w:val="004056CE"/>
    <w:rsid w:val="00407B55"/>
    <w:rsid w:val="00427105"/>
    <w:rsid w:val="00435CEE"/>
    <w:rsid w:val="004379F9"/>
    <w:rsid w:val="004436F0"/>
    <w:rsid w:val="00447715"/>
    <w:rsid w:val="00456B18"/>
    <w:rsid w:val="00462B1C"/>
    <w:rsid w:val="004663D6"/>
    <w:rsid w:val="004721C8"/>
    <w:rsid w:val="00481689"/>
    <w:rsid w:val="00490F2B"/>
    <w:rsid w:val="00493ED6"/>
    <w:rsid w:val="0049438E"/>
    <w:rsid w:val="004A345C"/>
    <w:rsid w:val="004A5484"/>
    <w:rsid w:val="004B0DA7"/>
    <w:rsid w:val="004B185F"/>
    <w:rsid w:val="004C291C"/>
    <w:rsid w:val="004D7D5F"/>
    <w:rsid w:val="004E0B16"/>
    <w:rsid w:val="004E5116"/>
    <w:rsid w:val="004F0546"/>
    <w:rsid w:val="004F2AE6"/>
    <w:rsid w:val="005019F4"/>
    <w:rsid w:val="00504CB2"/>
    <w:rsid w:val="00505C21"/>
    <w:rsid w:val="005109F2"/>
    <w:rsid w:val="00520CD7"/>
    <w:rsid w:val="00521385"/>
    <w:rsid w:val="0052187E"/>
    <w:rsid w:val="00551BB7"/>
    <w:rsid w:val="005571BC"/>
    <w:rsid w:val="00557237"/>
    <w:rsid w:val="00574A35"/>
    <w:rsid w:val="005777C8"/>
    <w:rsid w:val="00583DB6"/>
    <w:rsid w:val="00593411"/>
    <w:rsid w:val="005A0E64"/>
    <w:rsid w:val="005B72A6"/>
    <w:rsid w:val="005D141B"/>
    <w:rsid w:val="005D4F9A"/>
    <w:rsid w:val="005E027D"/>
    <w:rsid w:val="005F72E3"/>
    <w:rsid w:val="00600185"/>
    <w:rsid w:val="006074B7"/>
    <w:rsid w:val="006119DF"/>
    <w:rsid w:val="00622260"/>
    <w:rsid w:val="00631562"/>
    <w:rsid w:val="006568D2"/>
    <w:rsid w:val="00657DD1"/>
    <w:rsid w:val="0066188F"/>
    <w:rsid w:val="006620FC"/>
    <w:rsid w:val="00685CC7"/>
    <w:rsid w:val="006922DB"/>
    <w:rsid w:val="006B1A12"/>
    <w:rsid w:val="006D769C"/>
    <w:rsid w:val="006F3B05"/>
    <w:rsid w:val="006F678B"/>
    <w:rsid w:val="00702C98"/>
    <w:rsid w:val="007040C6"/>
    <w:rsid w:val="00714494"/>
    <w:rsid w:val="00732E62"/>
    <w:rsid w:val="00740004"/>
    <w:rsid w:val="00746045"/>
    <w:rsid w:val="00747EA7"/>
    <w:rsid w:val="0075667F"/>
    <w:rsid w:val="00772EFC"/>
    <w:rsid w:val="00776975"/>
    <w:rsid w:val="00783933"/>
    <w:rsid w:val="00793D00"/>
    <w:rsid w:val="0079697E"/>
    <w:rsid w:val="0079727C"/>
    <w:rsid w:val="00797FF7"/>
    <w:rsid w:val="007B73E0"/>
    <w:rsid w:val="007E22F3"/>
    <w:rsid w:val="0080633F"/>
    <w:rsid w:val="00831BF5"/>
    <w:rsid w:val="008372EB"/>
    <w:rsid w:val="0084005C"/>
    <w:rsid w:val="0085691F"/>
    <w:rsid w:val="00861725"/>
    <w:rsid w:val="00876B15"/>
    <w:rsid w:val="00877B4E"/>
    <w:rsid w:val="00885454"/>
    <w:rsid w:val="008961E4"/>
    <w:rsid w:val="008A050B"/>
    <w:rsid w:val="008A5A01"/>
    <w:rsid w:val="008B701D"/>
    <w:rsid w:val="008D62A9"/>
    <w:rsid w:val="008E301B"/>
    <w:rsid w:val="008F230C"/>
    <w:rsid w:val="008F2AED"/>
    <w:rsid w:val="008F57D2"/>
    <w:rsid w:val="008F5BE9"/>
    <w:rsid w:val="00921670"/>
    <w:rsid w:val="00922287"/>
    <w:rsid w:val="00925FB3"/>
    <w:rsid w:val="00927D62"/>
    <w:rsid w:val="00931380"/>
    <w:rsid w:val="009315B7"/>
    <w:rsid w:val="00935919"/>
    <w:rsid w:val="00937111"/>
    <w:rsid w:val="0094691B"/>
    <w:rsid w:val="00952305"/>
    <w:rsid w:val="00962BD5"/>
    <w:rsid w:val="00964ED5"/>
    <w:rsid w:val="00965BDD"/>
    <w:rsid w:val="00972C0D"/>
    <w:rsid w:val="0097558C"/>
    <w:rsid w:val="009838E9"/>
    <w:rsid w:val="00986CD4"/>
    <w:rsid w:val="00993785"/>
    <w:rsid w:val="00994E6A"/>
    <w:rsid w:val="00995249"/>
    <w:rsid w:val="0099632C"/>
    <w:rsid w:val="00997F7D"/>
    <w:rsid w:val="009A615D"/>
    <w:rsid w:val="009B1D7A"/>
    <w:rsid w:val="009C32E7"/>
    <w:rsid w:val="009C7E00"/>
    <w:rsid w:val="009F5ADA"/>
    <w:rsid w:val="00A01A76"/>
    <w:rsid w:val="00A02667"/>
    <w:rsid w:val="00A05AF5"/>
    <w:rsid w:val="00A07EEA"/>
    <w:rsid w:val="00A11A46"/>
    <w:rsid w:val="00A42C08"/>
    <w:rsid w:val="00A468B6"/>
    <w:rsid w:val="00A53D8B"/>
    <w:rsid w:val="00A56B3E"/>
    <w:rsid w:val="00A61E44"/>
    <w:rsid w:val="00A75FC3"/>
    <w:rsid w:val="00A87B84"/>
    <w:rsid w:val="00A9307C"/>
    <w:rsid w:val="00AA7BD9"/>
    <w:rsid w:val="00AB64F8"/>
    <w:rsid w:val="00AE1C87"/>
    <w:rsid w:val="00B14348"/>
    <w:rsid w:val="00B225FE"/>
    <w:rsid w:val="00B30AD8"/>
    <w:rsid w:val="00B32CEF"/>
    <w:rsid w:val="00B341C3"/>
    <w:rsid w:val="00B56199"/>
    <w:rsid w:val="00B94E95"/>
    <w:rsid w:val="00B959BF"/>
    <w:rsid w:val="00BA4E63"/>
    <w:rsid w:val="00BA6043"/>
    <w:rsid w:val="00BA6932"/>
    <w:rsid w:val="00BC644E"/>
    <w:rsid w:val="00BE03CF"/>
    <w:rsid w:val="00BE2BA4"/>
    <w:rsid w:val="00BE6F8E"/>
    <w:rsid w:val="00C01BE6"/>
    <w:rsid w:val="00C01CDA"/>
    <w:rsid w:val="00C07444"/>
    <w:rsid w:val="00C22910"/>
    <w:rsid w:val="00C44C64"/>
    <w:rsid w:val="00C47076"/>
    <w:rsid w:val="00C53138"/>
    <w:rsid w:val="00C53575"/>
    <w:rsid w:val="00C57D36"/>
    <w:rsid w:val="00C777F0"/>
    <w:rsid w:val="00C8609E"/>
    <w:rsid w:val="00C92C60"/>
    <w:rsid w:val="00C94F5C"/>
    <w:rsid w:val="00C9771F"/>
    <w:rsid w:val="00CA3A59"/>
    <w:rsid w:val="00CB1CE2"/>
    <w:rsid w:val="00CB6069"/>
    <w:rsid w:val="00CC6777"/>
    <w:rsid w:val="00CD0619"/>
    <w:rsid w:val="00CD5D51"/>
    <w:rsid w:val="00CF2968"/>
    <w:rsid w:val="00D0104A"/>
    <w:rsid w:val="00D1435C"/>
    <w:rsid w:val="00D17CF3"/>
    <w:rsid w:val="00D36047"/>
    <w:rsid w:val="00D401E9"/>
    <w:rsid w:val="00D7240F"/>
    <w:rsid w:val="00D754FA"/>
    <w:rsid w:val="00D84A65"/>
    <w:rsid w:val="00DA7A00"/>
    <w:rsid w:val="00DB6969"/>
    <w:rsid w:val="00DC32F3"/>
    <w:rsid w:val="00DE41E7"/>
    <w:rsid w:val="00E129D5"/>
    <w:rsid w:val="00E13C2B"/>
    <w:rsid w:val="00E15775"/>
    <w:rsid w:val="00E17A6D"/>
    <w:rsid w:val="00E231FD"/>
    <w:rsid w:val="00E25672"/>
    <w:rsid w:val="00E35025"/>
    <w:rsid w:val="00E35D5B"/>
    <w:rsid w:val="00E44679"/>
    <w:rsid w:val="00E50CB7"/>
    <w:rsid w:val="00E5106B"/>
    <w:rsid w:val="00E577BF"/>
    <w:rsid w:val="00E8624C"/>
    <w:rsid w:val="00E86698"/>
    <w:rsid w:val="00E929B5"/>
    <w:rsid w:val="00EA6D3F"/>
    <w:rsid w:val="00EB1EA3"/>
    <w:rsid w:val="00EB5BD3"/>
    <w:rsid w:val="00ED50C7"/>
    <w:rsid w:val="00EE3707"/>
    <w:rsid w:val="00EF5978"/>
    <w:rsid w:val="00F33763"/>
    <w:rsid w:val="00F37598"/>
    <w:rsid w:val="00F37CB3"/>
    <w:rsid w:val="00F40686"/>
    <w:rsid w:val="00F40805"/>
    <w:rsid w:val="00F461ED"/>
    <w:rsid w:val="00F53EBA"/>
    <w:rsid w:val="00F61E91"/>
    <w:rsid w:val="00F634A6"/>
    <w:rsid w:val="00F83A5D"/>
    <w:rsid w:val="00F93B2F"/>
    <w:rsid w:val="00F942A8"/>
    <w:rsid w:val="00FB5D46"/>
    <w:rsid w:val="00FC2848"/>
    <w:rsid w:val="00FC3C35"/>
    <w:rsid w:val="00FC5DF5"/>
    <w:rsid w:val="00FE2879"/>
    <w:rsid w:val="00FE4613"/>
    <w:rsid w:val="00FF3A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F1423"/>
  <w15:chartTrackingRefBased/>
  <w15:docId w15:val="{E8D40747-2815-47C6-BA92-57BAFDA60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Calibri"/>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EBA"/>
    <w:rPr>
      <w:rFonts w:asciiTheme="minorHAnsi" w:hAnsiTheme="minorHAnsi" w:cstheme="minorBidi"/>
      <w:kern w:val="0"/>
      <w:sz w:val="22"/>
      <w:szCs w:val="22"/>
      <w14:ligatures w14:val="none"/>
    </w:rPr>
  </w:style>
  <w:style w:type="paragraph" w:styleId="1">
    <w:name w:val="heading 1"/>
    <w:basedOn w:val="a"/>
    <w:next w:val="a"/>
    <w:link w:val="1Char"/>
    <w:uiPriority w:val="9"/>
    <w:qFormat/>
    <w:rsid w:val="00C01CDA"/>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2">
    <w:name w:val="heading 2"/>
    <w:basedOn w:val="a"/>
    <w:next w:val="a"/>
    <w:link w:val="2Char"/>
    <w:uiPriority w:val="9"/>
    <w:unhideWhenUsed/>
    <w:qFormat/>
    <w:rsid w:val="00D0104A"/>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3">
    <w:name w:val="heading 3"/>
    <w:basedOn w:val="a"/>
    <w:next w:val="a"/>
    <w:link w:val="3Char"/>
    <w:uiPriority w:val="9"/>
    <w:semiHidden/>
    <w:unhideWhenUsed/>
    <w:qFormat/>
    <w:rsid w:val="00124995"/>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4">
    <w:name w:val="heading 4"/>
    <w:basedOn w:val="a"/>
    <w:next w:val="a"/>
    <w:link w:val="4Char"/>
    <w:uiPriority w:val="9"/>
    <w:semiHidden/>
    <w:unhideWhenUsed/>
    <w:qFormat/>
    <w:rsid w:val="00CF2968"/>
    <w:pPr>
      <w:keepNext/>
      <w:keepLines/>
      <w:bidi/>
      <w:spacing w:before="40" w:after="0" w:line="360" w:lineRule="auto"/>
      <w:ind w:left="862" w:firstLine="720"/>
      <w:jc w:val="both"/>
      <w:outlineLvl w:val="3"/>
    </w:pPr>
    <w:rPr>
      <w:rFonts w:asciiTheme="majorHAnsi" w:eastAsiaTheme="majorEastAsia" w:hAnsiTheme="majorHAnsi" w:cstheme="majorBidi"/>
      <w:i/>
      <w:iCs/>
      <w:color w:val="374C80" w:themeColor="accent1" w:themeShade="BF"/>
      <w:sz w:val="2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01CDA"/>
    <w:pPr>
      <w:tabs>
        <w:tab w:val="center" w:pos="4680"/>
        <w:tab w:val="right" w:pos="9360"/>
      </w:tabs>
      <w:spacing w:after="0" w:line="240" w:lineRule="auto"/>
    </w:pPr>
  </w:style>
  <w:style w:type="character" w:customStyle="1" w:styleId="Char">
    <w:name w:val="رأس الصفحة Char"/>
    <w:basedOn w:val="a0"/>
    <w:link w:val="a3"/>
    <w:uiPriority w:val="99"/>
    <w:rsid w:val="00C01CDA"/>
  </w:style>
  <w:style w:type="paragraph" w:styleId="a4">
    <w:name w:val="footer"/>
    <w:basedOn w:val="a"/>
    <w:link w:val="Char0"/>
    <w:uiPriority w:val="99"/>
    <w:unhideWhenUsed/>
    <w:rsid w:val="00C01CDA"/>
    <w:pPr>
      <w:tabs>
        <w:tab w:val="center" w:pos="4680"/>
        <w:tab w:val="right" w:pos="9360"/>
      </w:tabs>
      <w:spacing w:after="0" w:line="240" w:lineRule="auto"/>
    </w:pPr>
  </w:style>
  <w:style w:type="character" w:customStyle="1" w:styleId="Char0">
    <w:name w:val="تذييل الصفحة Char"/>
    <w:basedOn w:val="a0"/>
    <w:link w:val="a4"/>
    <w:uiPriority w:val="99"/>
    <w:rsid w:val="00C01CDA"/>
  </w:style>
  <w:style w:type="character" w:customStyle="1" w:styleId="1Char">
    <w:name w:val="العنوان 1 Char"/>
    <w:basedOn w:val="a0"/>
    <w:link w:val="1"/>
    <w:uiPriority w:val="9"/>
    <w:rsid w:val="00C01CDA"/>
    <w:rPr>
      <w:rFonts w:asciiTheme="majorHAnsi" w:eastAsiaTheme="majorEastAsia" w:hAnsiTheme="majorHAnsi" w:cstheme="majorBidi"/>
      <w:color w:val="374C80" w:themeColor="accent1" w:themeShade="BF"/>
      <w:kern w:val="0"/>
      <w:sz w:val="32"/>
      <w:szCs w:val="32"/>
      <w14:ligatures w14:val="none"/>
    </w:rPr>
  </w:style>
  <w:style w:type="paragraph" w:styleId="a5">
    <w:name w:val="TOC Heading"/>
    <w:basedOn w:val="1"/>
    <w:next w:val="a"/>
    <w:uiPriority w:val="39"/>
    <w:unhideWhenUsed/>
    <w:qFormat/>
    <w:rsid w:val="00C01CDA"/>
    <w:pPr>
      <w:outlineLvl w:val="9"/>
    </w:pPr>
  </w:style>
  <w:style w:type="paragraph" w:styleId="10">
    <w:name w:val="toc 1"/>
    <w:basedOn w:val="a"/>
    <w:next w:val="a"/>
    <w:autoRedefine/>
    <w:uiPriority w:val="39"/>
    <w:unhideWhenUsed/>
    <w:rsid w:val="001603CC"/>
    <w:pPr>
      <w:tabs>
        <w:tab w:val="right" w:leader="dot" w:pos="8260"/>
      </w:tabs>
      <w:bidi/>
      <w:spacing w:after="100"/>
    </w:pPr>
  </w:style>
  <w:style w:type="character" w:styleId="Hyperlink">
    <w:name w:val="Hyperlink"/>
    <w:basedOn w:val="a0"/>
    <w:uiPriority w:val="99"/>
    <w:unhideWhenUsed/>
    <w:rsid w:val="00C01CDA"/>
    <w:rPr>
      <w:color w:val="9454C3" w:themeColor="hyperlink"/>
      <w:u w:val="single"/>
    </w:rPr>
  </w:style>
  <w:style w:type="table" w:styleId="a6">
    <w:name w:val="Table Grid"/>
    <w:basedOn w:val="a1"/>
    <w:uiPriority w:val="39"/>
    <w:rsid w:val="00C01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C01C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C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A2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A2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A2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A2AE" w:themeFill="accent5"/>
      </w:tcPr>
    </w:tblStylePr>
    <w:tblStylePr w:type="band1Vert">
      <w:tblPr/>
      <w:tcPr>
        <w:shd w:val="clear" w:color="auto" w:fill="BCD9DE" w:themeFill="accent5" w:themeFillTint="66"/>
      </w:tcPr>
    </w:tblStylePr>
    <w:tblStylePr w:type="band1Horz">
      <w:tblPr/>
      <w:tcPr>
        <w:shd w:val="clear" w:color="auto" w:fill="BCD9DE" w:themeFill="accent5" w:themeFillTint="66"/>
      </w:tcPr>
    </w:tblStylePr>
  </w:style>
  <w:style w:type="table" w:styleId="4-5">
    <w:name w:val="Grid Table 4 Accent 5"/>
    <w:basedOn w:val="a1"/>
    <w:uiPriority w:val="49"/>
    <w:rsid w:val="00C01CDA"/>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paragraph" w:styleId="a7">
    <w:name w:val="List Paragraph"/>
    <w:basedOn w:val="a"/>
    <w:link w:val="Char1"/>
    <w:uiPriority w:val="34"/>
    <w:qFormat/>
    <w:rsid w:val="009C7E00"/>
    <w:pPr>
      <w:bidi/>
      <w:spacing w:line="360" w:lineRule="auto"/>
      <w:ind w:left="720" w:firstLine="720"/>
      <w:contextualSpacing/>
      <w:jc w:val="both"/>
    </w:pPr>
    <w:rPr>
      <w:rFonts w:ascii="Sakkal Majalla" w:hAnsi="Sakkal Majalla"/>
      <w:sz w:val="28"/>
      <w14:ligatures w14:val="standardContextual"/>
    </w:rPr>
  </w:style>
  <w:style w:type="table" w:customStyle="1" w:styleId="6-61">
    <w:name w:val="جدول شبكة 6 ملون - تمييز 61"/>
    <w:basedOn w:val="a1"/>
    <w:uiPriority w:val="51"/>
    <w:rsid w:val="00A05AF5"/>
    <w:pPr>
      <w:bidi/>
      <w:spacing w:after="0" w:line="240" w:lineRule="auto"/>
      <w:ind w:left="862" w:hanging="142"/>
    </w:pPr>
    <w:rPr>
      <w:rFonts w:asciiTheme="minorHAnsi" w:hAnsiTheme="minorHAnsi" w:cstheme="minorBidi"/>
      <w:color w:val="77697A" w:themeColor="accent6" w:themeShade="BF"/>
      <w:kern w:val="0"/>
      <w:sz w:val="22"/>
      <w:szCs w:val="22"/>
    </w:rPr>
    <w:tblPr>
      <w:tblStyleRowBandSize w:val="1"/>
      <w:tblStyleColBandSize w:val="1"/>
      <w:tblBorders>
        <w:top w:val="single" w:sz="4" w:space="0" w:color="C4BCC6" w:themeColor="accent6" w:themeTint="99"/>
        <w:left w:val="single" w:sz="4" w:space="0" w:color="C4BCC6" w:themeColor="accent6" w:themeTint="99"/>
        <w:bottom w:val="single" w:sz="4" w:space="0" w:color="C4BCC6" w:themeColor="accent6" w:themeTint="99"/>
        <w:right w:val="single" w:sz="4" w:space="0" w:color="C4BCC6" w:themeColor="accent6" w:themeTint="99"/>
        <w:insideH w:val="single" w:sz="4" w:space="0" w:color="C4BCC6" w:themeColor="accent6" w:themeTint="99"/>
        <w:insideV w:val="single" w:sz="4" w:space="0" w:color="C4BCC6" w:themeColor="accent6" w:themeTint="99"/>
      </w:tblBorders>
    </w:tblPr>
    <w:tblStylePr w:type="firstRow">
      <w:rPr>
        <w:b/>
        <w:bCs/>
      </w:rPr>
      <w:tblPr/>
      <w:tcPr>
        <w:tcBorders>
          <w:bottom w:val="single" w:sz="12" w:space="0" w:color="C4BCC6" w:themeColor="accent6" w:themeTint="99"/>
        </w:tcBorders>
      </w:tcPr>
    </w:tblStylePr>
    <w:tblStylePr w:type="lastRow">
      <w:rPr>
        <w:b/>
        <w:bCs/>
      </w:rPr>
      <w:tblPr/>
      <w:tcPr>
        <w:tcBorders>
          <w:top w:val="double" w:sz="4" w:space="0" w:color="C4BCC6" w:themeColor="accent6" w:themeTint="99"/>
        </w:tcBorders>
      </w:tcPr>
    </w:tblStylePr>
    <w:tblStylePr w:type="firstCol">
      <w:rPr>
        <w:b/>
        <w:bCs/>
      </w:rPr>
    </w:tblStylePr>
    <w:tblStylePr w:type="lastCol">
      <w:rPr>
        <w:b/>
        <w:bCs/>
      </w:rPr>
    </w:tblStylePr>
    <w:tblStylePr w:type="band1Vert">
      <w:tblPr/>
      <w:tcPr>
        <w:shd w:val="clear" w:color="auto" w:fill="EBE8EC" w:themeFill="accent6" w:themeFillTint="33"/>
      </w:tcPr>
    </w:tblStylePr>
    <w:tblStylePr w:type="band1Horz">
      <w:tblPr/>
      <w:tcPr>
        <w:shd w:val="clear" w:color="auto" w:fill="EBE8EC" w:themeFill="accent6" w:themeFillTint="33"/>
      </w:tcPr>
    </w:tblStylePr>
  </w:style>
  <w:style w:type="table" w:customStyle="1" w:styleId="11">
    <w:name w:val="شبكة جدول1"/>
    <w:basedOn w:val="a1"/>
    <w:next w:val="a6"/>
    <w:uiPriority w:val="39"/>
    <w:rsid w:val="00962BD5"/>
    <w:pPr>
      <w:spacing w:after="0" w:line="240" w:lineRule="auto"/>
    </w:pPr>
    <w:rPr>
      <w:rFonts w:asciiTheme="minorHAnsi" w:eastAsia="Times New Roman"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6B1A12"/>
    <w:pPr>
      <w:spacing w:after="0" w:line="240" w:lineRule="auto"/>
    </w:pPr>
    <w:tblPr>
      <w:tblStyleRowBandSize w:val="1"/>
      <w:tblStyleColBandSize w:val="1"/>
      <w:tblBorders>
        <w:top w:val="single" w:sz="4" w:space="0" w:color="B2BBCB" w:themeColor="accent4" w:themeTint="99"/>
        <w:left w:val="single" w:sz="4" w:space="0" w:color="B2BBCB" w:themeColor="accent4" w:themeTint="99"/>
        <w:bottom w:val="single" w:sz="4" w:space="0" w:color="B2BBCB" w:themeColor="accent4" w:themeTint="99"/>
        <w:right w:val="single" w:sz="4" w:space="0" w:color="B2BBCB" w:themeColor="accent4" w:themeTint="99"/>
        <w:insideH w:val="single" w:sz="4" w:space="0" w:color="B2BBCB" w:themeColor="accent4" w:themeTint="99"/>
        <w:insideV w:val="single" w:sz="4" w:space="0" w:color="B2BBCB" w:themeColor="accent4" w:themeTint="99"/>
      </w:tblBorders>
    </w:tblPr>
    <w:tblStylePr w:type="firstRow">
      <w:rPr>
        <w:b/>
        <w:bCs/>
        <w:color w:val="FFFFFF" w:themeColor="background1"/>
      </w:rPr>
      <w:tblPr/>
      <w:tcPr>
        <w:tcBorders>
          <w:top w:val="single" w:sz="4" w:space="0" w:color="7F8FA9" w:themeColor="accent4"/>
          <w:left w:val="single" w:sz="4" w:space="0" w:color="7F8FA9" w:themeColor="accent4"/>
          <w:bottom w:val="single" w:sz="4" w:space="0" w:color="7F8FA9" w:themeColor="accent4"/>
          <w:right w:val="single" w:sz="4" w:space="0" w:color="7F8FA9" w:themeColor="accent4"/>
          <w:insideH w:val="nil"/>
          <w:insideV w:val="nil"/>
        </w:tcBorders>
        <w:shd w:val="clear" w:color="auto" w:fill="7F8FA9" w:themeFill="accent4"/>
      </w:tcPr>
    </w:tblStylePr>
    <w:tblStylePr w:type="lastRow">
      <w:rPr>
        <w:b/>
        <w:bCs/>
      </w:rPr>
      <w:tblPr/>
      <w:tcPr>
        <w:tcBorders>
          <w:top w:val="double" w:sz="4" w:space="0" w:color="7F8FA9" w:themeColor="accent4"/>
        </w:tcBorders>
      </w:tcPr>
    </w:tblStylePr>
    <w:tblStylePr w:type="firstCol">
      <w:rPr>
        <w:b/>
        <w:bCs/>
      </w:rPr>
    </w:tblStylePr>
    <w:tblStylePr w:type="lastCol">
      <w:rPr>
        <w:b/>
        <w:bCs/>
      </w:rPr>
    </w:tblStylePr>
    <w:tblStylePr w:type="band1Vert">
      <w:tblPr/>
      <w:tcPr>
        <w:shd w:val="clear" w:color="auto" w:fill="E5E8ED" w:themeFill="accent4" w:themeFillTint="33"/>
      </w:tcPr>
    </w:tblStylePr>
    <w:tblStylePr w:type="band1Horz">
      <w:tblPr/>
      <w:tcPr>
        <w:shd w:val="clear" w:color="auto" w:fill="E5E8ED" w:themeFill="accent4" w:themeFillTint="33"/>
      </w:tcPr>
    </w:tblStylePr>
  </w:style>
  <w:style w:type="table" w:styleId="4-6">
    <w:name w:val="Grid Table 4 Accent 6"/>
    <w:basedOn w:val="a1"/>
    <w:uiPriority w:val="49"/>
    <w:rsid w:val="006B1A12"/>
    <w:pPr>
      <w:spacing w:after="0" w:line="240" w:lineRule="auto"/>
    </w:pPr>
    <w:tblPr>
      <w:tblStyleRowBandSize w:val="1"/>
      <w:tblStyleColBandSize w:val="1"/>
      <w:tblBorders>
        <w:top w:val="single" w:sz="4" w:space="0" w:color="C4BCC6" w:themeColor="accent6" w:themeTint="99"/>
        <w:left w:val="single" w:sz="4" w:space="0" w:color="C4BCC6" w:themeColor="accent6" w:themeTint="99"/>
        <w:bottom w:val="single" w:sz="4" w:space="0" w:color="C4BCC6" w:themeColor="accent6" w:themeTint="99"/>
        <w:right w:val="single" w:sz="4" w:space="0" w:color="C4BCC6" w:themeColor="accent6" w:themeTint="99"/>
        <w:insideH w:val="single" w:sz="4" w:space="0" w:color="C4BCC6" w:themeColor="accent6" w:themeTint="99"/>
        <w:insideV w:val="single" w:sz="4" w:space="0" w:color="C4BCC6" w:themeColor="accent6" w:themeTint="99"/>
      </w:tblBorders>
    </w:tblPr>
    <w:tblStylePr w:type="firstRow">
      <w:rPr>
        <w:b/>
        <w:bCs/>
        <w:color w:val="FFFFFF" w:themeColor="background1"/>
      </w:rPr>
      <w:tblPr/>
      <w:tcPr>
        <w:tcBorders>
          <w:top w:val="single" w:sz="4" w:space="0" w:color="9D90A0" w:themeColor="accent6"/>
          <w:left w:val="single" w:sz="4" w:space="0" w:color="9D90A0" w:themeColor="accent6"/>
          <w:bottom w:val="single" w:sz="4" w:space="0" w:color="9D90A0" w:themeColor="accent6"/>
          <w:right w:val="single" w:sz="4" w:space="0" w:color="9D90A0" w:themeColor="accent6"/>
          <w:insideH w:val="nil"/>
          <w:insideV w:val="nil"/>
        </w:tcBorders>
        <w:shd w:val="clear" w:color="auto" w:fill="9D90A0" w:themeFill="accent6"/>
      </w:tcPr>
    </w:tblStylePr>
    <w:tblStylePr w:type="lastRow">
      <w:rPr>
        <w:b/>
        <w:bCs/>
      </w:rPr>
      <w:tblPr/>
      <w:tcPr>
        <w:tcBorders>
          <w:top w:val="double" w:sz="4" w:space="0" w:color="9D90A0" w:themeColor="accent6"/>
        </w:tcBorders>
      </w:tcPr>
    </w:tblStylePr>
    <w:tblStylePr w:type="firstCol">
      <w:rPr>
        <w:b/>
        <w:bCs/>
      </w:rPr>
    </w:tblStylePr>
    <w:tblStylePr w:type="lastCol">
      <w:rPr>
        <w:b/>
        <w:bCs/>
      </w:rPr>
    </w:tblStylePr>
    <w:tblStylePr w:type="band1Vert">
      <w:tblPr/>
      <w:tcPr>
        <w:shd w:val="clear" w:color="auto" w:fill="EBE8EC" w:themeFill="accent6" w:themeFillTint="33"/>
      </w:tcPr>
    </w:tblStylePr>
    <w:tblStylePr w:type="band1Horz">
      <w:tblPr/>
      <w:tcPr>
        <w:shd w:val="clear" w:color="auto" w:fill="EBE8EC" w:themeFill="accent6" w:themeFillTint="33"/>
      </w:tcPr>
    </w:tblStylePr>
  </w:style>
  <w:style w:type="character" w:customStyle="1" w:styleId="4Char">
    <w:name w:val="عنوان 4 Char"/>
    <w:basedOn w:val="a0"/>
    <w:link w:val="4"/>
    <w:uiPriority w:val="9"/>
    <w:semiHidden/>
    <w:rsid w:val="00CF2968"/>
    <w:rPr>
      <w:rFonts w:asciiTheme="majorHAnsi" w:eastAsiaTheme="majorEastAsia" w:hAnsiTheme="majorHAnsi" w:cstheme="majorBidi"/>
      <w:i/>
      <w:iCs/>
      <w:color w:val="374C80" w:themeColor="accent1" w:themeShade="BF"/>
      <w:kern w:val="0"/>
      <w:szCs w:val="22"/>
    </w:rPr>
  </w:style>
  <w:style w:type="table" w:customStyle="1" w:styleId="4-51">
    <w:name w:val="جدول شبكة 4 - تمييز 51"/>
    <w:basedOn w:val="a1"/>
    <w:uiPriority w:val="49"/>
    <w:rsid w:val="00CF2968"/>
    <w:pPr>
      <w:bidi/>
      <w:spacing w:after="0" w:line="240" w:lineRule="auto"/>
      <w:ind w:left="862" w:hanging="142"/>
    </w:pPr>
    <w:rPr>
      <w:rFonts w:asciiTheme="minorHAnsi" w:hAnsiTheme="minorHAnsi" w:cstheme="minorBidi"/>
      <w:kern w:val="0"/>
      <w:sz w:val="22"/>
      <w:szCs w:val="22"/>
    </w:r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paragraph" w:customStyle="1" w:styleId="selectable-text">
    <w:name w:val="selectable-text"/>
    <w:basedOn w:val="a"/>
    <w:rsid w:val="00CF2968"/>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selectable-text1">
    <w:name w:val="selectable-text1"/>
    <w:basedOn w:val="a0"/>
    <w:rsid w:val="00CF2968"/>
  </w:style>
  <w:style w:type="character" w:customStyle="1" w:styleId="fontstyle01">
    <w:name w:val="fontstyle01"/>
    <w:basedOn w:val="a0"/>
    <w:rsid w:val="00CF2968"/>
    <w:rPr>
      <w:rFonts w:cs="Simplified Arabic" w:hint="cs"/>
      <w:b w:val="0"/>
      <w:bCs w:val="0"/>
      <w:i w:val="0"/>
      <w:iCs w:val="0"/>
      <w:color w:val="000000"/>
      <w:sz w:val="24"/>
      <w:szCs w:val="24"/>
    </w:rPr>
  </w:style>
  <w:style w:type="character" w:customStyle="1" w:styleId="fontstyle21">
    <w:name w:val="fontstyle21"/>
    <w:basedOn w:val="a0"/>
    <w:rsid w:val="00CF2968"/>
    <w:rPr>
      <w:rFonts w:cs="Simplified Arabic" w:hint="cs"/>
      <w:b/>
      <w:bCs/>
      <w:i w:val="0"/>
      <w:iCs w:val="0"/>
      <w:color w:val="000000"/>
      <w:sz w:val="24"/>
      <w:szCs w:val="24"/>
    </w:rPr>
  </w:style>
  <w:style w:type="character" w:customStyle="1" w:styleId="12">
    <w:name w:val="إشارة لم يتم حلها1"/>
    <w:basedOn w:val="a0"/>
    <w:uiPriority w:val="99"/>
    <w:semiHidden/>
    <w:unhideWhenUsed/>
    <w:rsid w:val="00CF2968"/>
    <w:rPr>
      <w:color w:val="605E5C"/>
      <w:shd w:val="clear" w:color="auto" w:fill="E1DFDD"/>
    </w:rPr>
  </w:style>
  <w:style w:type="numbering" w:customStyle="1" w:styleId="13">
    <w:name w:val="بلا قائمة1"/>
    <w:next w:val="a2"/>
    <w:uiPriority w:val="99"/>
    <w:semiHidden/>
    <w:unhideWhenUsed/>
    <w:rsid w:val="00CF2968"/>
  </w:style>
  <w:style w:type="character" w:styleId="a8">
    <w:name w:val="Placeholder Text"/>
    <w:basedOn w:val="a0"/>
    <w:uiPriority w:val="99"/>
    <w:semiHidden/>
    <w:rsid w:val="00CF2968"/>
    <w:rPr>
      <w:color w:val="666666"/>
    </w:rPr>
  </w:style>
  <w:style w:type="table" w:customStyle="1" w:styleId="14">
    <w:name w:val="شبكة جدول فاتح1"/>
    <w:basedOn w:val="a1"/>
    <w:next w:val="a9"/>
    <w:uiPriority w:val="40"/>
    <w:rsid w:val="00CF2968"/>
    <w:pPr>
      <w:spacing w:after="0" w:line="240" w:lineRule="auto"/>
    </w:pPr>
    <w:rPr>
      <w:rFonts w:asciiTheme="minorHAnsi" w:eastAsia="Times New Roman" w:hAnsiTheme="minorHAnsi" w:cstheme="minorBid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عادي 11"/>
    <w:basedOn w:val="a1"/>
    <w:next w:val="15"/>
    <w:uiPriority w:val="41"/>
    <w:rsid w:val="00CF2968"/>
    <w:pPr>
      <w:spacing w:after="0" w:line="240" w:lineRule="auto"/>
    </w:pPr>
    <w:rPr>
      <w:rFonts w:asciiTheme="minorHAnsi" w:eastAsia="Times New Roman" w:hAnsiTheme="minorHAnsi" w:cstheme="minorBid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
    <w:name w:val="جدول عادي 21"/>
    <w:basedOn w:val="a1"/>
    <w:next w:val="20"/>
    <w:uiPriority w:val="42"/>
    <w:rsid w:val="00CF2968"/>
    <w:pPr>
      <w:spacing w:after="0" w:line="240" w:lineRule="auto"/>
    </w:pPr>
    <w:rPr>
      <w:rFonts w:asciiTheme="minorHAnsi" w:eastAsia="Times New Roman" w:hAnsiTheme="minorHAnsi" w:cstheme="minorBidi"/>
      <w:sz w:val="22"/>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a9">
    <w:name w:val="Grid Table Light"/>
    <w:basedOn w:val="a1"/>
    <w:uiPriority w:val="40"/>
    <w:rsid w:val="00CF2968"/>
    <w:pPr>
      <w:bidi/>
      <w:spacing w:after="0" w:line="240" w:lineRule="auto"/>
      <w:ind w:firstLine="720"/>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5">
    <w:name w:val="Plain Table 1"/>
    <w:basedOn w:val="a1"/>
    <w:uiPriority w:val="41"/>
    <w:rsid w:val="00CF2968"/>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CF2968"/>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a">
    <w:name w:val="Normal (Web)"/>
    <w:basedOn w:val="a"/>
    <w:uiPriority w:val="99"/>
    <w:unhideWhenUsed/>
    <w:rsid w:val="00CF2968"/>
    <w:pPr>
      <w:spacing w:before="100" w:beforeAutospacing="1" w:after="100" w:afterAutospacing="1" w:line="240" w:lineRule="auto"/>
    </w:pPr>
    <w:rPr>
      <w:rFonts w:ascii="Times New Roman" w:eastAsia="Times New Roman" w:hAnsi="Times New Roman" w:cs="Times New Roman"/>
      <w:sz w:val="24"/>
      <w:szCs w:val="24"/>
    </w:rPr>
  </w:style>
  <w:style w:type="paragraph" w:styleId="22">
    <w:name w:val="toc 2"/>
    <w:basedOn w:val="a"/>
    <w:next w:val="a"/>
    <w:autoRedefine/>
    <w:uiPriority w:val="39"/>
    <w:unhideWhenUsed/>
    <w:rsid w:val="008F230C"/>
    <w:pPr>
      <w:tabs>
        <w:tab w:val="right" w:leader="dot" w:pos="7927"/>
      </w:tabs>
      <w:spacing w:after="100"/>
      <w:ind w:left="220"/>
    </w:pPr>
  </w:style>
  <w:style w:type="paragraph" w:styleId="30">
    <w:name w:val="toc 3"/>
    <w:basedOn w:val="a"/>
    <w:next w:val="a"/>
    <w:autoRedefine/>
    <w:uiPriority w:val="39"/>
    <w:unhideWhenUsed/>
    <w:rsid w:val="008F230C"/>
    <w:pPr>
      <w:tabs>
        <w:tab w:val="right" w:leader="dot" w:pos="7927"/>
      </w:tabs>
      <w:bidi/>
      <w:spacing w:after="100"/>
      <w:ind w:left="440"/>
    </w:pPr>
  </w:style>
  <w:style w:type="character" w:customStyle="1" w:styleId="2Char">
    <w:name w:val="عنوان 2 Char"/>
    <w:basedOn w:val="a0"/>
    <w:link w:val="2"/>
    <w:uiPriority w:val="9"/>
    <w:rsid w:val="00D0104A"/>
    <w:rPr>
      <w:rFonts w:asciiTheme="majorHAnsi" w:eastAsiaTheme="majorEastAsia" w:hAnsiTheme="majorHAnsi" w:cstheme="majorBidi"/>
      <w:color w:val="374C80" w:themeColor="accent1" w:themeShade="BF"/>
      <w:kern w:val="0"/>
      <w:sz w:val="26"/>
      <w:szCs w:val="26"/>
      <w14:ligatures w14:val="none"/>
    </w:rPr>
  </w:style>
  <w:style w:type="character" w:customStyle="1" w:styleId="Char1">
    <w:name w:val="سرد الفقرات Char"/>
    <w:link w:val="a7"/>
    <w:uiPriority w:val="34"/>
    <w:rsid w:val="00D0104A"/>
    <w:rPr>
      <w:rFonts w:ascii="Sakkal Majalla" w:hAnsi="Sakkal Majalla" w:cstheme="minorBidi"/>
      <w:kern w:val="0"/>
      <w:szCs w:val="22"/>
    </w:rPr>
  </w:style>
  <w:style w:type="table" w:customStyle="1" w:styleId="23">
    <w:name w:val="شبكة جدول2"/>
    <w:basedOn w:val="a1"/>
    <w:next w:val="a6"/>
    <w:uiPriority w:val="39"/>
    <w:rsid w:val="00342B1A"/>
    <w:pPr>
      <w:spacing w:after="0" w:line="240" w:lineRule="auto"/>
    </w:pPr>
    <w:rPr>
      <w:rFonts w:asciiTheme="minorHAnsi" w:eastAsia="Times New Roman" w:hAnsiTheme="minorHAnsi" w:cstheme="minorBidi"/>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إشارة لم يتم حلها2"/>
    <w:basedOn w:val="a0"/>
    <w:uiPriority w:val="99"/>
    <w:semiHidden/>
    <w:unhideWhenUsed/>
    <w:rsid w:val="00925FB3"/>
    <w:rPr>
      <w:color w:val="605E5C"/>
      <w:shd w:val="clear" w:color="auto" w:fill="E1DFDD"/>
    </w:rPr>
  </w:style>
  <w:style w:type="table" w:styleId="31">
    <w:name w:val="Grid Table 3"/>
    <w:basedOn w:val="a1"/>
    <w:uiPriority w:val="48"/>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2">
    <w:name w:val="Plain Table 3"/>
    <w:basedOn w:val="a1"/>
    <w:uiPriority w:val="43"/>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925FB3"/>
    <w:pPr>
      <w:bidi/>
      <w:spacing w:after="0" w:line="240" w:lineRule="auto"/>
      <w:ind w:left="862" w:firstLine="720"/>
      <w:jc w:val="both"/>
    </w:pPr>
    <w:rPr>
      <w:rFonts w:ascii="Consolas" w:hAnsi="Consolas"/>
      <w:sz w:val="20"/>
      <w:szCs w:val="20"/>
    </w:rPr>
  </w:style>
  <w:style w:type="character" w:customStyle="1" w:styleId="HTMLChar">
    <w:name w:val="بتنسيق HTML مسبق Char"/>
    <w:basedOn w:val="a0"/>
    <w:link w:val="HTML"/>
    <w:uiPriority w:val="99"/>
    <w:semiHidden/>
    <w:rsid w:val="00925FB3"/>
    <w:rPr>
      <w:rFonts w:ascii="Consolas" w:hAnsi="Consolas" w:cstheme="minorBidi"/>
      <w:kern w:val="0"/>
      <w:sz w:val="20"/>
      <w:szCs w:val="20"/>
      <w14:ligatures w14:val="none"/>
    </w:rPr>
  </w:style>
  <w:style w:type="character" w:styleId="ab">
    <w:name w:val="annotation reference"/>
    <w:basedOn w:val="a0"/>
    <w:uiPriority w:val="99"/>
    <w:semiHidden/>
    <w:unhideWhenUsed/>
    <w:rsid w:val="00925FB3"/>
    <w:rPr>
      <w:sz w:val="16"/>
      <w:szCs w:val="16"/>
    </w:rPr>
  </w:style>
  <w:style w:type="paragraph" w:customStyle="1" w:styleId="16">
    <w:name w:val="نص تعليق1"/>
    <w:basedOn w:val="a"/>
    <w:next w:val="ac"/>
    <w:link w:val="Char2"/>
    <w:uiPriority w:val="99"/>
    <w:semiHidden/>
    <w:unhideWhenUsed/>
    <w:rsid w:val="00925FB3"/>
    <w:pPr>
      <w:bidi/>
      <w:spacing w:line="240" w:lineRule="auto"/>
    </w:pPr>
    <w:rPr>
      <w:sz w:val="20"/>
      <w:szCs w:val="20"/>
    </w:rPr>
  </w:style>
  <w:style w:type="character" w:customStyle="1" w:styleId="Char2">
    <w:name w:val="نص تعليق Char"/>
    <w:basedOn w:val="a0"/>
    <w:link w:val="16"/>
    <w:uiPriority w:val="99"/>
    <w:semiHidden/>
    <w:rsid w:val="00925FB3"/>
    <w:rPr>
      <w:rFonts w:asciiTheme="minorHAnsi" w:hAnsiTheme="minorHAnsi" w:cstheme="minorBidi"/>
      <w:kern w:val="0"/>
      <w:sz w:val="20"/>
      <w:szCs w:val="20"/>
      <w14:ligatures w14:val="none"/>
    </w:rPr>
  </w:style>
  <w:style w:type="paragraph" w:customStyle="1" w:styleId="Body">
    <w:name w:val="Body"/>
    <w:rsid w:val="00925FB3"/>
    <w:pPr>
      <w:pBdr>
        <w:top w:val="nil"/>
        <w:left w:val="nil"/>
        <w:bottom w:val="nil"/>
        <w:right w:val="nil"/>
        <w:between w:val="nil"/>
        <w:bar w:val="nil"/>
      </w:pBdr>
      <w:spacing w:after="0" w:line="240" w:lineRule="auto"/>
    </w:pPr>
    <w:rPr>
      <w:rFonts w:eastAsia="Arial Unicode MS" w:cs="Arial Unicode MS"/>
      <w:color w:val="000000"/>
      <w:kern w:val="0"/>
      <w:sz w:val="24"/>
      <w:szCs w:val="24"/>
      <w:u w:color="000000"/>
      <w:bdr w:val="nil"/>
      <w14:ligatures w14:val="none"/>
    </w:rPr>
  </w:style>
  <w:style w:type="paragraph" w:styleId="ac">
    <w:name w:val="annotation text"/>
    <w:basedOn w:val="a"/>
    <w:link w:val="Char10"/>
    <w:uiPriority w:val="99"/>
    <w:semiHidden/>
    <w:unhideWhenUsed/>
    <w:rsid w:val="00925FB3"/>
    <w:pPr>
      <w:bidi/>
      <w:spacing w:line="240" w:lineRule="auto"/>
      <w:ind w:left="862" w:firstLine="720"/>
      <w:jc w:val="both"/>
    </w:pPr>
    <w:rPr>
      <w:sz w:val="20"/>
      <w:szCs w:val="20"/>
    </w:rPr>
  </w:style>
  <w:style w:type="character" w:customStyle="1" w:styleId="Char10">
    <w:name w:val="نص تعليق Char1"/>
    <w:basedOn w:val="a0"/>
    <w:link w:val="ac"/>
    <w:uiPriority w:val="99"/>
    <w:semiHidden/>
    <w:rsid w:val="00925FB3"/>
    <w:rPr>
      <w:rFonts w:asciiTheme="minorHAnsi" w:hAnsiTheme="minorHAnsi" w:cstheme="minorBidi"/>
      <w:kern w:val="0"/>
      <w:sz w:val="20"/>
      <w:szCs w:val="20"/>
      <w14:ligatures w14:val="none"/>
    </w:rPr>
  </w:style>
  <w:style w:type="paragraph" w:styleId="ad">
    <w:name w:val="Title"/>
    <w:basedOn w:val="a"/>
    <w:next w:val="a"/>
    <w:link w:val="Char3"/>
    <w:uiPriority w:val="10"/>
    <w:qFormat/>
    <w:rsid w:val="00925FB3"/>
    <w:pPr>
      <w:bidi/>
      <w:spacing w:after="0" w:line="216" w:lineRule="auto"/>
      <w:contextualSpacing/>
    </w:pPr>
    <w:rPr>
      <w:rFonts w:asciiTheme="majorHAnsi" w:eastAsiaTheme="majorEastAsia" w:hAnsiTheme="majorHAnsi" w:cstheme="majorBidi"/>
      <w:color w:val="404040" w:themeColor="text1" w:themeTint="BF"/>
      <w:spacing w:val="-10"/>
      <w:kern w:val="28"/>
      <w:sz w:val="56"/>
      <w:szCs w:val="56"/>
      <w:rtl/>
    </w:rPr>
  </w:style>
  <w:style w:type="character" w:customStyle="1" w:styleId="Char3">
    <w:name w:val="العنوان Char"/>
    <w:basedOn w:val="a0"/>
    <w:link w:val="ad"/>
    <w:uiPriority w:val="10"/>
    <w:rsid w:val="00925FB3"/>
    <w:rPr>
      <w:rFonts w:asciiTheme="majorHAnsi" w:eastAsiaTheme="majorEastAsia" w:hAnsiTheme="majorHAnsi" w:cstheme="majorBidi"/>
      <w:color w:val="404040" w:themeColor="text1" w:themeTint="BF"/>
      <w:spacing w:val="-10"/>
      <w:kern w:val="28"/>
      <w:sz w:val="56"/>
      <w:szCs w:val="56"/>
      <w14:ligatures w14:val="none"/>
    </w:rPr>
  </w:style>
  <w:style w:type="paragraph" w:styleId="ae">
    <w:name w:val="Subtitle"/>
    <w:basedOn w:val="a"/>
    <w:next w:val="a"/>
    <w:link w:val="Char4"/>
    <w:uiPriority w:val="11"/>
    <w:qFormat/>
    <w:rsid w:val="00925FB3"/>
    <w:pPr>
      <w:numPr>
        <w:ilvl w:val="1"/>
      </w:numPr>
      <w:bidi/>
      <w:ind w:left="862" w:firstLine="720"/>
    </w:pPr>
    <w:rPr>
      <w:rFonts w:eastAsiaTheme="minorEastAsia" w:cs="Times New Roman"/>
      <w:color w:val="5A5A5A" w:themeColor="text1" w:themeTint="A5"/>
      <w:spacing w:val="15"/>
      <w:rtl/>
    </w:rPr>
  </w:style>
  <w:style w:type="character" w:customStyle="1" w:styleId="Char4">
    <w:name w:val="عنوان فرعي Char"/>
    <w:basedOn w:val="a0"/>
    <w:link w:val="ae"/>
    <w:uiPriority w:val="11"/>
    <w:rsid w:val="00925FB3"/>
    <w:rPr>
      <w:rFonts w:asciiTheme="minorHAnsi" w:eastAsiaTheme="minorEastAsia" w:hAnsiTheme="minorHAnsi" w:cs="Times New Roman"/>
      <w:color w:val="5A5A5A" w:themeColor="text1" w:themeTint="A5"/>
      <w:spacing w:val="15"/>
      <w:kern w:val="0"/>
      <w:sz w:val="22"/>
      <w:szCs w:val="22"/>
      <w14:ligatures w14:val="none"/>
    </w:rPr>
  </w:style>
  <w:style w:type="table" w:styleId="40">
    <w:name w:val="Plain Table 4"/>
    <w:basedOn w:val="a1"/>
    <w:uiPriority w:val="44"/>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DFEF" w:themeFill="accent1" w:themeFillTint="33"/>
      </w:tcPr>
    </w:tblStylePr>
    <w:tblStylePr w:type="band1Horz">
      <w:tblPr/>
      <w:tcPr>
        <w:shd w:val="clear" w:color="auto" w:fill="D9DFEF" w:themeFill="accent1" w:themeFillTint="33"/>
      </w:tcPr>
    </w:tblStylePr>
    <w:tblStylePr w:type="neCell">
      <w:tblPr/>
      <w:tcPr>
        <w:tcBorders>
          <w:bottom w:val="single" w:sz="4" w:space="0" w:color="90A1CF" w:themeColor="accent1" w:themeTint="99"/>
        </w:tcBorders>
      </w:tcPr>
    </w:tblStylePr>
    <w:tblStylePr w:type="nwCell">
      <w:tblPr/>
      <w:tcPr>
        <w:tcBorders>
          <w:bottom w:val="single" w:sz="4" w:space="0" w:color="90A1CF" w:themeColor="accent1" w:themeTint="99"/>
        </w:tcBorders>
      </w:tcPr>
    </w:tblStylePr>
    <w:tblStylePr w:type="seCell">
      <w:tblPr/>
      <w:tcPr>
        <w:tcBorders>
          <w:top w:val="single" w:sz="4" w:space="0" w:color="90A1CF" w:themeColor="accent1" w:themeTint="99"/>
        </w:tcBorders>
      </w:tcPr>
    </w:tblStylePr>
    <w:tblStylePr w:type="swCell">
      <w:tblPr/>
      <w:tcPr>
        <w:tcBorders>
          <w:top w:val="single" w:sz="4" w:space="0" w:color="90A1CF" w:themeColor="accent1" w:themeTint="99"/>
        </w:tcBorders>
      </w:tcPr>
    </w:tblStylePr>
  </w:style>
  <w:style w:type="numbering" w:customStyle="1" w:styleId="25">
    <w:name w:val="بلا قائمة2"/>
    <w:next w:val="a2"/>
    <w:uiPriority w:val="99"/>
    <w:semiHidden/>
    <w:unhideWhenUsed/>
    <w:rsid w:val="00925FB3"/>
  </w:style>
  <w:style w:type="character" w:styleId="af">
    <w:name w:val="Strong"/>
    <w:basedOn w:val="a0"/>
    <w:uiPriority w:val="22"/>
    <w:qFormat/>
    <w:rsid w:val="00123BAE"/>
    <w:rPr>
      <w:b/>
      <w:bCs/>
    </w:rPr>
  </w:style>
  <w:style w:type="table" w:styleId="6-2">
    <w:name w:val="Grid Table 6 Colorful Accent 2"/>
    <w:basedOn w:val="a1"/>
    <w:uiPriority w:val="51"/>
    <w:rsid w:val="0084005C"/>
    <w:pPr>
      <w:spacing w:after="0" w:line="240" w:lineRule="auto"/>
    </w:pPr>
    <w:rPr>
      <w:color w:val="3476B1" w:themeColor="accent2" w:themeShade="BF"/>
    </w:r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rPr>
      <w:tblPr/>
      <w:tcPr>
        <w:tcBorders>
          <w:bottom w:val="single" w:sz="12" w:space="0" w:color="A0C3E3" w:themeColor="accent2" w:themeTint="99"/>
        </w:tcBorders>
      </w:tcPr>
    </w:tblStylePr>
    <w:tblStylePr w:type="lastRow">
      <w:rPr>
        <w:b/>
        <w:bCs/>
      </w:rPr>
      <w:tblPr/>
      <w:tcPr>
        <w:tcBorders>
          <w:top w:val="double" w:sz="4" w:space="0" w:color="A0C3E3" w:themeColor="accent2" w:themeTint="99"/>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styleId="1-2">
    <w:name w:val="Grid Table 1 Light Accent 2"/>
    <w:basedOn w:val="a1"/>
    <w:uiPriority w:val="46"/>
    <w:rsid w:val="004C291C"/>
    <w:pPr>
      <w:spacing w:after="0" w:line="240" w:lineRule="auto"/>
    </w:pPr>
    <w:tblPr>
      <w:tblStyleRowBandSize w:val="1"/>
      <w:tblStyleColBandSize w:val="1"/>
      <w:tblBorders>
        <w:top w:val="single" w:sz="4" w:space="0" w:color="C0D7EC" w:themeColor="accent2" w:themeTint="66"/>
        <w:left w:val="single" w:sz="4" w:space="0" w:color="C0D7EC" w:themeColor="accent2" w:themeTint="66"/>
        <w:bottom w:val="single" w:sz="4" w:space="0" w:color="C0D7EC" w:themeColor="accent2" w:themeTint="66"/>
        <w:right w:val="single" w:sz="4" w:space="0" w:color="C0D7EC" w:themeColor="accent2" w:themeTint="66"/>
        <w:insideH w:val="single" w:sz="4" w:space="0" w:color="C0D7EC" w:themeColor="accent2" w:themeTint="66"/>
        <w:insideV w:val="single" w:sz="4" w:space="0" w:color="C0D7EC" w:themeColor="accent2" w:themeTint="66"/>
      </w:tblBorders>
    </w:tblPr>
    <w:tblStylePr w:type="firstRow">
      <w:rPr>
        <w:b/>
        <w:bCs/>
      </w:rPr>
      <w:tblPr/>
      <w:tcPr>
        <w:tcBorders>
          <w:bottom w:val="single" w:sz="12" w:space="0" w:color="A0C3E3" w:themeColor="accent2" w:themeTint="99"/>
        </w:tcBorders>
      </w:tcPr>
    </w:tblStylePr>
    <w:tblStylePr w:type="lastRow">
      <w:rPr>
        <w:b/>
        <w:bCs/>
      </w:rPr>
      <w:tblPr/>
      <w:tcPr>
        <w:tcBorders>
          <w:top w:val="double" w:sz="2" w:space="0" w:color="A0C3E3" w:themeColor="accent2" w:themeTint="99"/>
        </w:tcBorders>
      </w:tcPr>
    </w:tblStylePr>
    <w:tblStylePr w:type="firstCol">
      <w:rPr>
        <w:b/>
        <w:bCs/>
      </w:rPr>
    </w:tblStylePr>
    <w:tblStylePr w:type="lastCol">
      <w:rPr>
        <w:b/>
        <w:bCs/>
      </w:rPr>
    </w:tblStylePr>
  </w:style>
  <w:style w:type="table" w:styleId="6-5">
    <w:name w:val="Grid Table 6 Colorful Accent 5"/>
    <w:basedOn w:val="a1"/>
    <w:uiPriority w:val="51"/>
    <w:rsid w:val="00DE41E7"/>
    <w:pPr>
      <w:spacing w:after="0" w:line="240" w:lineRule="auto"/>
    </w:pPr>
    <w:rPr>
      <w:color w:val="417A84" w:themeColor="accent5" w:themeShade="BF"/>
    </w:r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rPr>
      <w:tblPr/>
      <w:tcPr>
        <w:tcBorders>
          <w:bottom w:val="single" w:sz="12" w:space="0" w:color="9BC7CE" w:themeColor="accent5" w:themeTint="99"/>
        </w:tcBorders>
      </w:tcPr>
    </w:tblStylePr>
    <w:tblStylePr w:type="lastRow">
      <w:rPr>
        <w:b/>
        <w:bCs/>
      </w:rPr>
      <w:tblPr/>
      <w:tcPr>
        <w:tcBorders>
          <w:top w:val="double" w:sz="4" w:space="0" w:color="9BC7CE" w:themeColor="accent5" w:themeTint="99"/>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customStyle="1" w:styleId="4-52">
    <w:name w:val="جدول شبكة 4 - تمييز 52"/>
    <w:basedOn w:val="a1"/>
    <w:uiPriority w:val="49"/>
    <w:rsid w:val="00164773"/>
    <w:pPr>
      <w:spacing w:after="0" w:line="240" w:lineRule="auto"/>
      <w:ind w:right="862" w:hanging="142"/>
      <w:jc w:val="right"/>
    </w:pPr>
    <w:rPr>
      <w:rFonts w:ascii="Calibri" w:eastAsia="Calibri" w:hAnsi="Calibri" w:cs="Arial"/>
      <w:kern w:val="0"/>
      <w:sz w:val="22"/>
      <w:szCs w:val="22"/>
      <w14:ligatures w14:val="none"/>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0">
    <w:name w:val="Unresolved Mention"/>
    <w:basedOn w:val="a0"/>
    <w:uiPriority w:val="99"/>
    <w:semiHidden/>
    <w:unhideWhenUsed/>
    <w:rsid w:val="00A02667"/>
    <w:rPr>
      <w:color w:val="605E5C"/>
      <w:shd w:val="clear" w:color="auto" w:fill="E1DFDD"/>
    </w:rPr>
  </w:style>
  <w:style w:type="table" w:styleId="6-1">
    <w:name w:val="Grid Table 6 Colorful Accent 1"/>
    <w:basedOn w:val="a1"/>
    <w:uiPriority w:val="51"/>
    <w:rsid w:val="00557237"/>
    <w:pPr>
      <w:spacing w:after="0" w:line="240" w:lineRule="auto"/>
    </w:pPr>
    <w:rPr>
      <w:color w:val="374C80" w:themeColor="accent1" w:themeShade="BF"/>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4" w:space="0" w:color="90A1CF" w:themeColor="accent1" w:themeTint="99"/>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customStyle="1" w:styleId="4-53">
    <w:name w:val="جدول شبكة 4 - تمييز 53"/>
    <w:basedOn w:val="a1"/>
    <w:next w:val="4-5"/>
    <w:uiPriority w:val="49"/>
    <w:rsid w:val="001D300E"/>
    <w:pPr>
      <w:bidi/>
      <w:spacing w:after="0" w:line="240" w:lineRule="auto"/>
      <w:ind w:left="862" w:hanging="142"/>
    </w:pPr>
    <w:rPr>
      <w:rFonts w:ascii="Calibri" w:hAnsi="Calibri" w:cs="Arial"/>
      <w:kern w:val="0"/>
      <w:sz w:val="22"/>
      <w:szCs w:val="22"/>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3Char">
    <w:name w:val="عنوان 3 Char"/>
    <w:basedOn w:val="a0"/>
    <w:link w:val="3"/>
    <w:uiPriority w:val="9"/>
    <w:semiHidden/>
    <w:rsid w:val="00124995"/>
    <w:rPr>
      <w:rFonts w:asciiTheme="majorHAnsi" w:eastAsiaTheme="majorEastAsia" w:hAnsiTheme="majorHAnsi" w:cstheme="majorBidi"/>
      <w:color w:val="243255" w:themeColor="accent1" w:themeShade="7F"/>
      <w:kern w:val="0"/>
      <w:sz w:val="24"/>
      <w:szCs w:val="24"/>
      <w14:ligatures w14:val="none"/>
    </w:rPr>
  </w:style>
  <w:style w:type="table" w:styleId="4-2">
    <w:name w:val="Grid Table 4 Accent 2"/>
    <w:basedOn w:val="a1"/>
    <w:uiPriority w:val="49"/>
    <w:rsid w:val="00793D00"/>
    <w:pPr>
      <w:spacing w:after="0" w:line="240" w:lineRule="auto"/>
    </w:p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1743">
      <w:bodyDiv w:val="1"/>
      <w:marLeft w:val="0"/>
      <w:marRight w:val="0"/>
      <w:marTop w:val="0"/>
      <w:marBottom w:val="0"/>
      <w:divBdr>
        <w:top w:val="none" w:sz="0" w:space="0" w:color="auto"/>
        <w:left w:val="none" w:sz="0" w:space="0" w:color="auto"/>
        <w:bottom w:val="none" w:sz="0" w:space="0" w:color="auto"/>
        <w:right w:val="none" w:sz="0" w:space="0" w:color="auto"/>
      </w:divBdr>
    </w:div>
    <w:div w:id="186915963">
      <w:bodyDiv w:val="1"/>
      <w:marLeft w:val="0"/>
      <w:marRight w:val="0"/>
      <w:marTop w:val="0"/>
      <w:marBottom w:val="0"/>
      <w:divBdr>
        <w:top w:val="none" w:sz="0" w:space="0" w:color="auto"/>
        <w:left w:val="none" w:sz="0" w:space="0" w:color="auto"/>
        <w:bottom w:val="none" w:sz="0" w:space="0" w:color="auto"/>
        <w:right w:val="none" w:sz="0" w:space="0" w:color="auto"/>
      </w:divBdr>
    </w:div>
    <w:div w:id="203177854">
      <w:bodyDiv w:val="1"/>
      <w:marLeft w:val="0"/>
      <w:marRight w:val="0"/>
      <w:marTop w:val="0"/>
      <w:marBottom w:val="0"/>
      <w:divBdr>
        <w:top w:val="none" w:sz="0" w:space="0" w:color="auto"/>
        <w:left w:val="none" w:sz="0" w:space="0" w:color="auto"/>
        <w:bottom w:val="none" w:sz="0" w:space="0" w:color="auto"/>
        <w:right w:val="none" w:sz="0" w:space="0" w:color="auto"/>
      </w:divBdr>
    </w:div>
    <w:div w:id="249043163">
      <w:bodyDiv w:val="1"/>
      <w:marLeft w:val="0"/>
      <w:marRight w:val="0"/>
      <w:marTop w:val="0"/>
      <w:marBottom w:val="0"/>
      <w:divBdr>
        <w:top w:val="none" w:sz="0" w:space="0" w:color="auto"/>
        <w:left w:val="none" w:sz="0" w:space="0" w:color="auto"/>
        <w:bottom w:val="none" w:sz="0" w:space="0" w:color="auto"/>
        <w:right w:val="none" w:sz="0" w:space="0" w:color="auto"/>
      </w:divBdr>
    </w:div>
    <w:div w:id="253394531">
      <w:bodyDiv w:val="1"/>
      <w:marLeft w:val="0"/>
      <w:marRight w:val="0"/>
      <w:marTop w:val="0"/>
      <w:marBottom w:val="0"/>
      <w:divBdr>
        <w:top w:val="none" w:sz="0" w:space="0" w:color="auto"/>
        <w:left w:val="none" w:sz="0" w:space="0" w:color="auto"/>
        <w:bottom w:val="none" w:sz="0" w:space="0" w:color="auto"/>
        <w:right w:val="none" w:sz="0" w:space="0" w:color="auto"/>
      </w:divBdr>
    </w:div>
    <w:div w:id="278807416">
      <w:bodyDiv w:val="1"/>
      <w:marLeft w:val="0"/>
      <w:marRight w:val="0"/>
      <w:marTop w:val="0"/>
      <w:marBottom w:val="0"/>
      <w:divBdr>
        <w:top w:val="none" w:sz="0" w:space="0" w:color="auto"/>
        <w:left w:val="none" w:sz="0" w:space="0" w:color="auto"/>
        <w:bottom w:val="none" w:sz="0" w:space="0" w:color="auto"/>
        <w:right w:val="none" w:sz="0" w:space="0" w:color="auto"/>
      </w:divBdr>
    </w:div>
    <w:div w:id="288974614">
      <w:bodyDiv w:val="1"/>
      <w:marLeft w:val="0"/>
      <w:marRight w:val="0"/>
      <w:marTop w:val="0"/>
      <w:marBottom w:val="0"/>
      <w:divBdr>
        <w:top w:val="none" w:sz="0" w:space="0" w:color="auto"/>
        <w:left w:val="none" w:sz="0" w:space="0" w:color="auto"/>
        <w:bottom w:val="none" w:sz="0" w:space="0" w:color="auto"/>
        <w:right w:val="none" w:sz="0" w:space="0" w:color="auto"/>
      </w:divBdr>
    </w:div>
    <w:div w:id="289946854">
      <w:bodyDiv w:val="1"/>
      <w:marLeft w:val="0"/>
      <w:marRight w:val="0"/>
      <w:marTop w:val="0"/>
      <w:marBottom w:val="0"/>
      <w:divBdr>
        <w:top w:val="none" w:sz="0" w:space="0" w:color="auto"/>
        <w:left w:val="none" w:sz="0" w:space="0" w:color="auto"/>
        <w:bottom w:val="none" w:sz="0" w:space="0" w:color="auto"/>
        <w:right w:val="none" w:sz="0" w:space="0" w:color="auto"/>
      </w:divBdr>
    </w:div>
    <w:div w:id="303045392">
      <w:bodyDiv w:val="1"/>
      <w:marLeft w:val="0"/>
      <w:marRight w:val="0"/>
      <w:marTop w:val="0"/>
      <w:marBottom w:val="0"/>
      <w:divBdr>
        <w:top w:val="none" w:sz="0" w:space="0" w:color="auto"/>
        <w:left w:val="none" w:sz="0" w:space="0" w:color="auto"/>
        <w:bottom w:val="none" w:sz="0" w:space="0" w:color="auto"/>
        <w:right w:val="none" w:sz="0" w:space="0" w:color="auto"/>
      </w:divBdr>
    </w:div>
    <w:div w:id="352650465">
      <w:bodyDiv w:val="1"/>
      <w:marLeft w:val="0"/>
      <w:marRight w:val="0"/>
      <w:marTop w:val="0"/>
      <w:marBottom w:val="0"/>
      <w:divBdr>
        <w:top w:val="none" w:sz="0" w:space="0" w:color="auto"/>
        <w:left w:val="none" w:sz="0" w:space="0" w:color="auto"/>
        <w:bottom w:val="none" w:sz="0" w:space="0" w:color="auto"/>
        <w:right w:val="none" w:sz="0" w:space="0" w:color="auto"/>
      </w:divBdr>
    </w:div>
    <w:div w:id="358287058">
      <w:bodyDiv w:val="1"/>
      <w:marLeft w:val="0"/>
      <w:marRight w:val="0"/>
      <w:marTop w:val="0"/>
      <w:marBottom w:val="0"/>
      <w:divBdr>
        <w:top w:val="none" w:sz="0" w:space="0" w:color="auto"/>
        <w:left w:val="none" w:sz="0" w:space="0" w:color="auto"/>
        <w:bottom w:val="none" w:sz="0" w:space="0" w:color="auto"/>
        <w:right w:val="none" w:sz="0" w:space="0" w:color="auto"/>
      </w:divBdr>
    </w:div>
    <w:div w:id="358628450">
      <w:bodyDiv w:val="1"/>
      <w:marLeft w:val="0"/>
      <w:marRight w:val="0"/>
      <w:marTop w:val="0"/>
      <w:marBottom w:val="0"/>
      <w:divBdr>
        <w:top w:val="none" w:sz="0" w:space="0" w:color="auto"/>
        <w:left w:val="none" w:sz="0" w:space="0" w:color="auto"/>
        <w:bottom w:val="none" w:sz="0" w:space="0" w:color="auto"/>
        <w:right w:val="none" w:sz="0" w:space="0" w:color="auto"/>
      </w:divBdr>
    </w:div>
    <w:div w:id="391780125">
      <w:bodyDiv w:val="1"/>
      <w:marLeft w:val="0"/>
      <w:marRight w:val="0"/>
      <w:marTop w:val="0"/>
      <w:marBottom w:val="0"/>
      <w:divBdr>
        <w:top w:val="none" w:sz="0" w:space="0" w:color="auto"/>
        <w:left w:val="none" w:sz="0" w:space="0" w:color="auto"/>
        <w:bottom w:val="none" w:sz="0" w:space="0" w:color="auto"/>
        <w:right w:val="none" w:sz="0" w:space="0" w:color="auto"/>
      </w:divBdr>
    </w:div>
    <w:div w:id="395779816">
      <w:bodyDiv w:val="1"/>
      <w:marLeft w:val="0"/>
      <w:marRight w:val="0"/>
      <w:marTop w:val="0"/>
      <w:marBottom w:val="0"/>
      <w:divBdr>
        <w:top w:val="none" w:sz="0" w:space="0" w:color="auto"/>
        <w:left w:val="none" w:sz="0" w:space="0" w:color="auto"/>
        <w:bottom w:val="none" w:sz="0" w:space="0" w:color="auto"/>
        <w:right w:val="none" w:sz="0" w:space="0" w:color="auto"/>
      </w:divBdr>
    </w:div>
    <w:div w:id="427387258">
      <w:bodyDiv w:val="1"/>
      <w:marLeft w:val="0"/>
      <w:marRight w:val="0"/>
      <w:marTop w:val="0"/>
      <w:marBottom w:val="0"/>
      <w:divBdr>
        <w:top w:val="none" w:sz="0" w:space="0" w:color="auto"/>
        <w:left w:val="none" w:sz="0" w:space="0" w:color="auto"/>
        <w:bottom w:val="none" w:sz="0" w:space="0" w:color="auto"/>
        <w:right w:val="none" w:sz="0" w:space="0" w:color="auto"/>
      </w:divBdr>
    </w:div>
    <w:div w:id="448087111">
      <w:bodyDiv w:val="1"/>
      <w:marLeft w:val="0"/>
      <w:marRight w:val="0"/>
      <w:marTop w:val="0"/>
      <w:marBottom w:val="0"/>
      <w:divBdr>
        <w:top w:val="none" w:sz="0" w:space="0" w:color="auto"/>
        <w:left w:val="none" w:sz="0" w:space="0" w:color="auto"/>
        <w:bottom w:val="none" w:sz="0" w:space="0" w:color="auto"/>
        <w:right w:val="none" w:sz="0" w:space="0" w:color="auto"/>
      </w:divBdr>
    </w:div>
    <w:div w:id="523984130">
      <w:bodyDiv w:val="1"/>
      <w:marLeft w:val="0"/>
      <w:marRight w:val="0"/>
      <w:marTop w:val="0"/>
      <w:marBottom w:val="0"/>
      <w:divBdr>
        <w:top w:val="none" w:sz="0" w:space="0" w:color="auto"/>
        <w:left w:val="none" w:sz="0" w:space="0" w:color="auto"/>
        <w:bottom w:val="none" w:sz="0" w:space="0" w:color="auto"/>
        <w:right w:val="none" w:sz="0" w:space="0" w:color="auto"/>
      </w:divBdr>
    </w:div>
    <w:div w:id="534273271">
      <w:bodyDiv w:val="1"/>
      <w:marLeft w:val="0"/>
      <w:marRight w:val="0"/>
      <w:marTop w:val="0"/>
      <w:marBottom w:val="0"/>
      <w:divBdr>
        <w:top w:val="none" w:sz="0" w:space="0" w:color="auto"/>
        <w:left w:val="none" w:sz="0" w:space="0" w:color="auto"/>
        <w:bottom w:val="none" w:sz="0" w:space="0" w:color="auto"/>
        <w:right w:val="none" w:sz="0" w:space="0" w:color="auto"/>
      </w:divBdr>
    </w:div>
    <w:div w:id="536351494">
      <w:bodyDiv w:val="1"/>
      <w:marLeft w:val="0"/>
      <w:marRight w:val="0"/>
      <w:marTop w:val="0"/>
      <w:marBottom w:val="0"/>
      <w:divBdr>
        <w:top w:val="none" w:sz="0" w:space="0" w:color="auto"/>
        <w:left w:val="none" w:sz="0" w:space="0" w:color="auto"/>
        <w:bottom w:val="none" w:sz="0" w:space="0" w:color="auto"/>
        <w:right w:val="none" w:sz="0" w:space="0" w:color="auto"/>
      </w:divBdr>
    </w:div>
    <w:div w:id="567347506">
      <w:bodyDiv w:val="1"/>
      <w:marLeft w:val="0"/>
      <w:marRight w:val="0"/>
      <w:marTop w:val="0"/>
      <w:marBottom w:val="0"/>
      <w:divBdr>
        <w:top w:val="none" w:sz="0" w:space="0" w:color="auto"/>
        <w:left w:val="none" w:sz="0" w:space="0" w:color="auto"/>
        <w:bottom w:val="none" w:sz="0" w:space="0" w:color="auto"/>
        <w:right w:val="none" w:sz="0" w:space="0" w:color="auto"/>
      </w:divBdr>
    </w:div>
    <w:div w:id="604314649">
      <w:bodyDiv w:val="1"/>
      <w:marLeft w:val="0"/>
      <w:marRight w:val="0"/>
      <w:marTop w:val="0"/>
      <w:marBottom w:val="0"/>
      <w:divBdr>
        <w:top w:val="none" w:sz="0" w:space="0" w:color="auto"/>
        <w:left w:val="none" w:sz="0" w:space="0" w:color="auto"/>
        <w:bottom w:val="none" w:sz="0" w:space="0" w:color="auto"/>
        <w:right w:val="none" w:sz="0" w:space="0" w:color="auto"/>
      </w:divBdr>
    </w:div>
    <w:div w:id="623778186">
      <w:bodyDiv w:val="1"/>
      <w:marLeft w:val="0"/>
      <w:marRight w:val="0"/>
      <w:marTop w:val="0"/>
      <w:marBottom w:val="0"/>
      <w:divBdr>
        <w:top w:val="none" w:sz="0" w:space="0" w:color="auto"/>
        <w:left w:val="none" w:sz="0" w:space="0" w:color="auto"/>
        <w:bottom w:val="none" w:sz="0" w:space="0" w:color="auto"/>
        <w:right w:val="none" w:sz="0" w:space="0" w:color="auto"/>
      </w:divBdr>
    </w:div>
    <w:div w:id="634068596">
      <w:bodyDiv w:val="1"/>
      <w:marLeft w:val="0"/>
      <w:marRight w:val="0"/>
      <w:marTop w:val="0"/>
      <w:marBottom w:val="0"/>
      <w:divBdr>
        <w:top w:val="none" w:sz="0" w:space="0" w:color="auto"/>
        <w:left w:val="none" w:sz="0" w:space="0" w:color="auto"/>
        <w:bottom w:val="none" w:sz="0" w:space="0" w:color="auto"/>
        <w:right w:val="none" w:sz="0" w:space="0" w:color="auto"/>
      </w:divBdr>
    </w:div>
    <w:div w:id="654378832">
      <w:bodyDiv w:val="1"/>
      <w:marLeft w:val="0"/>
      <w:marRight w:val="0"/>
      <w:marTop w:val="0"/>
      <w:marBottom w:val="0"/>
      <w:divBdr>
        <w:top w:val="none" w:sz="0" w:space="0" w:color="auto"/>
        <w:left w:val="none" w:sz="0" w:space="0" w:color="auto"/>
        <w:bottom w:val="none" w:sz="0" w:space="0" w:color="auto"/>
        <w:right w:val="none" w:sz="0" w:space="0" w:color="auto"/>
      </w:divBdr>
    </w:div>
    <w:div w:id="673609472">
      <w:bodyDiv w:val="1"/>
      <w:marLeft w:val="0"/>
      <w:marRight w:val="0"/>
      <w:marTop w:val="0"/>
      <w:marBottom w:val="0"/>
      <w:divBdr>
        <w:top w:val="none" w:sz="0" w:space="0" w:color="auto"/>
        <w:left w:val="none" w:sz="0" w:space="0" w:color="auto"/>
        <w:bottom w:val="none" w:sz="0" w:space="0" w:color="auto"/>
        <w:right w:val="none" w:sz="0" w:space="0" w:color="auto"/>
      </w:divBdr>
    </w:div>
    <w:div w:id="673915971">
      <w:bodyDiv w:val="1"/>
      <w:marLeft w:val="0"/>
      <w:marRight w:val="0"/>
      <w:marTop w:val="0"/>
      <w:marBottom w:val="0"/>
      <w:divBdr>
        <w:top w:val="none" w:sz="0" w:space="0" w:color="auto"/>
        <w:left w:val="none" w:sz="0" w:space="0" w:color="auto"/>
        <w:bottom w:val="none" w:sz="0" w:space="0" w:color="auto"/>
        <w:right w:val="none" w:sz="0" w:space="0" w:color="auto"/>
      </w:divBdr>
    </w:div>
    <w:div w:id="681247783">
      <w:bodyDiv w:val="1"/>
      <w:marLeft w:val="0"/>
      <w:marRight w:val="0"/>
      <w:marTop w:val="0"/>
      <w:marBottom w:val="0"/>
      <w:divBdr>
        <w:top w:val="none" w:sz="0" w:space="0" w:color="auto"/>
        <w:left w:val="none" w:sz="0" w:space="0" w:color="auto"/>
        <w:bottom w:val="none" w:sz="0" w:space="0" w:color="auto"/>
        <w:right w:val="none" w:sz="0" w:space="0" w:color="auto"/>
      </w:divBdr>
    </w:div>
    <w:div w:id="712458548">
      <w:bodyDiv w:val="1"/>
      <w:marLeft w:val="0"/>
      <w:marRight w:val="0"/>
      <w:marTop w:val="0"/>
      <w:marBottom w:val="0"/>
      <w:divBdr>
        <w:top w:val="none" w:sz="0" w:space="0" w:color="auto"/>
        <w:left w:val="none" w:sz="0" w:space="0" w:color="auto"/>
        <w:bottom w:val="none" w:sz="0" w:space="0" w:color="auto"/>
        <w:right w:val="none" w:sz="0" w:space="0" w:color="auto"/>
      </w:divBdr>
    </w:div>
    <w:div w:id="771363870">
      <w:bodyDiv w:val="1"/>
      <w:marLeft w:val="0"/>
      <w:marRight w:val="0"/>
      <w:marTop w:val="0"/>
      <w:marBottom w:val="0"/>
      <w:divBdr>
        <w:top w:val="none" w:sz="0" w:space="0" w:color="auto"/>
        <w:left w:val="none" w:sz="0" w:space="0" w:color="auto"/>
        <w:bottom w:val="none" w:sz="0" w:space="0" w:color="auto"/>
        <w:right w:val="none" w:sz="0" w:space="0" w:color="auto"/>
      </w:divBdr>
    </w:div>
    <w:div w:id="958606593">
      <w:bodyDiv w:val="1"/>
      <w:marLeft w:val="0"/>
      <w:marRight w:val="0"/>
      <w:marTop w:val="0"/>
      <w:marBottom w:val="0"/>
      <w:divBdr>
        <w:top w:val="none" w:sz="0" w:space="0" w:color="auto"/>
        <w:left w:val="none" w:sz="0" w:space="0" w:color="auto"/>
        <w:bottom w:val="none" w:sz="0" w:space="0" w:color="auto"/>
        <w:right w:val="none" w:sz="0" w:space="0" w:color="auto"/>
      </w:divBdr>
    </w:div>
    <w:div w:id="1003823983">
      <w:bodyDiv w:val="1"/>
      <w:marLeft w:val="0"/>
      <w:marRight w:val="0"/>
      <w:marTop w:val="0"/>
      <w:marBottom w:val="0"/>
      <w:divBdr>
        <w:top w:val="none" w:sz="0" w:space="0" w:color="auto"/>
        <w:left w:val="none" w:sz="0" w:space="0" w:color="auto"/>
        <w:bottom w:val="none" w:sz="0" w:space="0" w:color="auto"/>
        <w:right w:val="none" w:sz="0" w:space="0" w:color="auto"/>
      </w:divBdr>
    </w:div>
    <w:div w:id="1010061947">
      <w:bodyDiv w:val="1"/>
      <w:marLeft w:val="0"/>
      <w:marRight w:val="0"/>
      <w:marTop w:val="0"/>
      <w:marBottom w:val="0"/>
      <w:divBdr>
        <w:top w:val="none" w:sz="0" w:space="0" w:color="auto"/>
        <w:left w:val="none" w:sz="0" w:space="0" w:color="auto"/>
        <w:bottom w:val="none" w:sz="0" w:space="0" w:color="auto"/>
        <w:right w:val="none" w:sz="0" w:space="0" w:color="auto"/>
      </w:divBdr>
    </w:div>
    <w:div w:id="1112091513">
      <w:bodyDiv w:val="1"/>
      <w:marLeft w:val="0"/>
      <w:marRight w:val="0"/>
      <w:marTop w:val="0"/>
      <w:marBottom w:val="0"/>
      <w:divBdr>
        <w:top w:val="none" w:sz="0" w:space="0" w:color="auto"/>
        <w:left w:val="none" w:sz="0" w:space="0" w:color="auto"/>
        <w:bottom w:val="none" w:sz="0" w:space="0" w:color="auto"/>
        <w:right w:val="none" w:sz="0" w:space="0" w:color="auto"/>
      </w:divBdr>
    </w:div>
    <w:div w:id="1159225950">
      <w:bodyDiv w:val="1"/>
      <w:marLeft w:val="0"/>
      <w:marRight w:val="0"/>
      <w:marTop w:val="0"/>
      <w:marBottom w:val="0"/>
      <w:divBdr>
        <w:top w:val="none" w:sz="0" w:space="0" w:color="auto"/>
        <w:left w:val="none" w:sz="0" w:space="0" w:color="auto"/>
        <w:bottom w:val="none" w:sz="0" w:space="0" w:color="auto"/>
        <w:right w:val="none" w:sz="0" w:space="0" w:color="auto"/>
      </w:divBdr>
    </w:div>
    <w:div w:id="1201094879">
      <w:bodyDiv w:val="1"/>
      <w:marLeft w:val="0"/>
      <w:marRight w:val="0"/>
      <w:marTop w:val="0"/>
      <w:marBottom w:val="0"/>
      <w:divBdr>
        <w:top w:val="none" w:sz="0" w:space="0" w:color="auto"/>
        <w:left w:val="none" w:sz="0" w:space="0" w:color="auto"/>
        <w:bottom w:val="none" w:sz="0" w:space="0" w:color="auto"/>
        <w:right w:val="none" w:sz="0" w:space="0" w:color="auto"/>
      </w:divBdr>
    </w:div>
    <w:div w:id="1260866459">
      <w:bodyDiv w:val="1"/>
      <w:marLeft w:val="0"/>
      <w:marRight w:val="0"/>
      <w:marTop w:val="0"/>
      <w:marBottom w:val="0"/>
      <w:divBdr>
        <w:top w:val="none" w:sz="0" w:space="0" w:color="auto"/>
        <w:left w:val="none" w:sz="0" w:space="0" w:color="auto"/>
        <w:bottom w:val="none" w:sz="0" w:space="0" w:color="auto"/>
        <w:right w:val="none" w:sz="0" w:space="0" w:color="auto"/>
      </w:divBdr>
    </w:div>
    <w:div w:id="1286697519">
      <w:bodyDiv w:val="1"/>
      <w:marLeft w:val="0"/>
      <w:marRight w:val="0"/>
      <w:marTop w:val="0"/>
      <w:marBottom w:val="0"/>
      <w:divBdr>
        <w:top w:val="none" w:sz="0" w:space="0" w:color="auto"/>
        <w:left w:val="none" w:sz="0" w:space="0" w:color="auto"/>
        <w:bottom w:val="none" w:sz="0" w:space="0" w:color="auto"/>
        <w:right w:val="none" w:sz="0" w:space="0" w:color="auto"/>
      </w:divBdr>
      <w:divsChild>
        <w:div w:id="1037125048">
          <w:marLeft w:val="0"/>
          <w:marRight w:val="0"/>
          <w:marTop w:val="0"/>
          <w:marBottom w:val="0"/>
          <w:divBdr>
            <w:top w:val="none" w:sz="0" w:space="0" w:color="auto"/>
            <w:left w:val="none" w:sz="0" w:space="0" w:color="auto"/>
            <w:bottom w:val="none" w:sz="0" w:space="0" w:color="auto"/>
            <w:right w:val="none" w:sz="0" w:space="0" w:color="auto"/>
          </w:divBdr>
          <w:divsChild>
            <w:div w:id="1392969823">
              <w:marLeft w:val="0"/>
              <w:marRight w:val="0"/>
              <w:marTop w:val="0"/>
              <w:marBottom w:val="0"/>
              <w:divBdr>
                <w:top w:val="none" w:sz="0" w:space="0" w:color="auto"/>
                <w:left w:val="none" w:sz="0" w:space="0" w:color="auto"/>
                <w:bottom w:val="none" w:sz="0" w:space="0" w:color="auto"/>
                <w:right w:val="none" w:sz="0" w:space="0" w:color="auto"/>
              </w:divBdr>
              <w:divsChild>
                <w:div w:id="1936162357">
                  <w:marLeft w:val="0"/>
                  <w:marRight w:val="0"/>
                  <w:marTop w:val="0"/>
                  <w:marBottom w:val="0"/>
                  <w:divBdr>
                    <w:top w:val="none" w:sz="0" w:space="0" w:color="auto"/>
                    <w:left w:val="none" w:sz="0" w:space="0" w:color="auto"/>
                    <w:bottom w:val="none" w:sz="0" w:space="0" w:color="auto"/>
                    <w:right w:val="none" w:sz="0" w:space="0" w:color="auto"/>
                  </w:divBdr>
                  <w:divsChild>
                    <w:div w:id="1591347958">
                      <w:marLeft w:val="0"/>
                      <w:marRight w:val="0"/>
                      <w:marTop w:val="0"/>
                      <w:marBottom w:val="0"/>
                      <w:divBdr>
                        <w:top w:val="none" w:sz="0" w:space="0" w:color="auto"/>
                        <w:left w:val="none" w:sz="0" w:space="0" w:color="auto"/>
                        <w:bottom w:val="none" w:sz="0" w:space="0" w:color="auto"/>
                        <w:right w:val="none" w:sz="0" w:space="0" w:color="auto"/>
                      </w:divBdr>
                      <w:divsChild>
                        <w:div w:id="1145391352">
                          <w:marLeft w:val="0"/>
                          <w:marRight w:val="0"/>
                          <w:marTop w:val="0"/>
                          <w:marBottom w:val="0"/>
                          <w:divBdr>
                            <w:top w:val="none" w:sz="0" w:space="0" w:color="auto"/>
                            <w:left w:val="none" w:sz="0" w:space="0" w:color="auto"/>
                            <w:bottom w:val="none" w:sz="0" w:space="0" w:color="auto"/>
                            <w:right w:val="none" w:sz="0" w:space="0" w:color="auto"/>
                          </w:divBdr>
                          <w:divsChild>
                            <w:div w:id="1084566976">
                              <w:marLeft w:val="0"/>
                              <w:marRight w:val="0"/>
                              <w:marTop w:val="0"/>
                              <w:marBottom w:val="0"/>
                              <w:divBdr>
                                <w:top w:val="none" w:sz="0" w:space="0" w:color="auto"/>
                                <w:left w:val="none" w:sz="0" w:space="0" w:color="auto"/>
                                <w:bottom w:val="none" w:sz="0" w:space="0" w:color="auto"/>
                                <w:right w:val="none" w:sz="0" w:space="0" w:color="auto"/>
                              </w:divBdr>
                              <w:divsChild>
                                <w:div w:id="1044327822">
                                  <w:marLeft w:val="0"/>
                                  <w:marRight w:val="0"/>
                                  <w:marTop w:val="0"/>
                                  <w:marBottom w:val="0"/>
                                  <w:divBdr>
                                    <w:top w:val="none" w:sz="0" w:space="0" w:color="auto"/>
                                    <w:left w:val="none" w:sz="0" w:space="0" w:color="auto"/>
                                    <w:bottom w:val="none" w:sz="0" w:space="0" w:color="auto"/>
                                    <w:right w:val="none" w:sz="0" w:space="0" w:color="auto"/>
                                  </w:divBdr>
                                  <w:divsChild>
                                    <w:div w:id="10315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097347">
                      <w:marLeft w:val="0"/>
                      <w:marRight w:val="0"/>
                      <w:marTop w:val="0"/>
                      <w:marBottom w:val="0"/>
                      <w:divBdr>
                        <w:top w:val="none" w:sz="0" w:space="0" w:color="auto"/>
                        <w:left w:val="none" w:sz="0" w:space="0" w:color="auto"/>
                        <w:bottom w:val="none" w:sz="0" w:space="0" w:color="auto"/>
                        <w:right w:val="none" w:sz="0" w:space="0" w:color="auto"/>
                      </w:divBdr>
                      <w:divsChild>
                        <w:div w:id="21662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168221">
      <w:bodyDiv w:val="1"/>
      <w:marLeft w:val="0"/>
      <w:marRight w:val="0"/>
      <w:marTop w:val="0"/>
      <w:marBottom w:val="0"/>
      <w:divBdr>
        <w:top w:val="none" w:sz="0" w:space="0" w:color="auto"/>
        <w:left w:val="none" w:sz="0" w:space="0" w:color="auto"/>
        <w:bottom w:val="none" w:sz="0" w:space="0" w:color="auto"/>
        <w:right w:val="none" w:sz="0" w:space="0" w:color="auto"/>
      </w:divBdr>
    </w:div>
    <w:div w:id="1306739974">
      <w:bodyDiv w:val="1"/>
      <w:marLeft w:val="0"/>
      <w:marRight w:val="0"/>
      <w:marTop w:val="0"/>
      <w:marBottom w:val="0"/>
      <w:divBdr>
        <w:top w:val="none" w:sz="0" w:space="0" w:color="auto"/>
        <w:left w:val="none" w:sz="0" w:space="0" w:color="auto"/>
        <w:bottom w:val="none" w:sz="0" w:space="0" w:color="auto"/>
        <w:right w:val="none" w:sz="0" w:space="0" w:color="auto"/>
      </w:divBdr>
    </w:div>
    <w:div w:id="1398943774">
      <w:bodyDiv w:val="1"/>
      <w:marLeft w:val="0"/>
      <w:marRight w:val="0"/>
      <w:marTop w:val="0"/>
      <w:marBottom w:val="0"/>
      <w:divBdr>
        <w:top w:val="none" w:sz="0" w:space="0" w:color="auto"/>
        <w:left w:val="none" w:sz="0" w:space="0" w:color="auto"/>
        <w:bottom w:val="none" w:sz="0" w:space="0" w:color="auto"/>
        <w:right w:val="none" w:sz="0" w:space="0" w:color="auto"/>
      </w:divBdr>
    </w:div>
    <w:div w:id="1403143800">
      <w:bodyDiv w:val="1"/>
      <w:marLeft w:val="0"/>
      <w:marRight w:val="0"/>
      <w:marTop w:val="0"/>
      <w:marBottom w:val="0"/>
      <w:divBdr>
        <w:top w:val="none" w:sz="0" w:space="0" w:color="auto"/>
        <w:left w:val="none" w:sz="0" w:space="0" w:color="auto"/>
        <w:bottom w:val="none" w:sz="0" w:space="0" w:color="auto"/>
        <w:right w:val="none" w:sz="0" w:space="0" w:color="auto"/>
      </w:divBdr>
    </w:div>
    <w:div w:id="1428118436">
      <w:bodyDiv w:val="1"/>
      <w:marLeft w:val="0"/>
      <w:marRight w:val="0"/>
      <w:marTop w:val="0"/>
      <w:marBottom w:val="0"/>
      <w:divBdr>
        <w:top w:val="none" w:sz="0" w:space="0" w:color="auto"/>
        <w:left w:val="none" w:sz="0" w:space="0" w:color="auto"/>
        <w:bottom w:val="none" w:sz="0" w:space="0" w:color="auto"/>
        <w:right w:val="none" w:sz="0" w:space="0" w:color="auto"/>
      </w:divBdr>
      <w:divsChild>
        <w:div w:id="1108816665">
          <w:marLeft w:val="0"/>
          <w:marRight w:val="0"/>
          <w:marTop w:val="0"/>
          <w:marBottom w:val="0"/>
          <w:divBdr>
            <w:top w:val="none" w:sz="0" w:space="0" w:color="auto"/>
            <w:left w:val="none" w:sz="0" w:space="0" w:color="auto"/>
            <w:bottom w:val="none" w:sz="0" w:space="0" w:color="auto"/>
            <w:right w:val="none" w:sz="0" w:space="0" w:color="auto"/>
          </w:divBdr>
          <w:divsChild>
            <w:div w:id="2115396737">
              <w:marLeft w:val="0"/>
              <w:marRight w:val="0"/>
              <w:marTop w:val="0"/>
              <w:marBottom w:val="0"/>
              <w:divBdr>
                <w:top w:val="none" w:sz="0" w:space="0" w:color="auto"/>
                <w:left w:val="none" w:sz="0" w:space="0" w:color="auto"/>
                <w:bottom w:val="none" w:sz="0" w:space="0" w:color="auto"/>
                <w:right w:val="none" w:sz="0" w:space="0" w:color="auto"/>
              </w:divBdr>
              <w:divsChild>
                <w:div w:id="1741947781">
                  <w:marLeft w:val="0"/>
                  <w:marRight w:val="0"/>
                  <w:marTop w:val="0"/>
                  <w:marBottom w:val="0"/>
                  <w:divBdr>
                    <w:top w:val="none" w:sz="0" w:space="0" w:color="auto"/>
                    <w:left w:val="none" w:sz="0" w:space="0" w:color="auto"/>
                    <w:bottom w:val="none" w:sz="0" w:space="0" w:color="auto"/>
                    <w:right w:val="none" w:sz="0" w:space="0" w:color="auto"/>
                  </w:divBdr>
                  <w:divsChild>
                    <w:div w:id="103422400">
                      <w:marLeft w:val="0"/>
                      <w:marRight w:val="0"/>
                      <w:marTop w:val="0"/>
                      <w:marBottom w:val="0"/>
                      <w:divBdr>
                        <w:top w:val="none" w:sz="0" w:space="0" w:color="auto"/>
                        <w:left w:val="none" w:sz="0" w:space="0" w:color="auto"/>
                        <w:bottom w:val="none" w:sz="0" w:space="0" w:color="auto"/>
                        <w:right w:val="none" w:sz="0" w:space="0" w:color="auto"/>
                      </w:divBdr>
                      <w:divsChild>
                        <w:div w:id="456459955">
                          <w:marLeft w:val="0"/>
                          <w:marRight w:val="0"/>
                          <w:marTop w:val="0"/>
                          <w:marBottom w:val="0"/>
                          <w:divBdr>
                            <w:top w:val="none" w:sz="0" w:space="0" w:color="auto"/>
                            <w:left w:val="none" w:sz="0" w:space="0" w:color="auto"/>
                            <w:bottom w:val="none" w:sz="0" w:space="0" w:color="auto"/>
                            <w:right w:val="none" w:sz="0" w:space="0" w:color="auto"/>
                          </w:divBdr>
                          <w:divsChild>
                            <w:div w:id="1140004509">
                              <w:marLeft w:val="0"/>
                              <w:marRight w:val="0"/>
                              <w:marTop w:val="0"/>
                              <w:marBottom w:val="0"/>
                              <w:divBdr>
                                <w:top w:val="none" w:sz="0" w:space="0" w:color="auto"/>
                                <w:left w:val="none" w:sz="0" w:space="0" w:color="auto"/>
                                <w:bottom w:val="none" w:sz="0" w:space="0" w:color="auto"/>
                                <w:right w:val="none" w:sz="0" w:space="0" w:color="auto"/>
                              </w:divBdr>
                              <w:divsChild>
                                <w:div w:id="217519637">
                                  <w:marLeft w:val="0"/>
                                  <w:marRight w:val="0"/>
                                  <w:marTop w:val="0"/>
                                  <w:marBottom w:val="0"/>
                                  <w:divBdr>
                                    <w:top w:val="none" w:sz="0" w:space="0" w:color="auto"/>
                                    <w:left w:val="none" w:sz="0" w:space="0" w:color="auto"/>
                                    <w:bottom w:val="none" w:sz="0" w:space="0" w:color="auto"/>
                                    <w:right w:val="none" w:sz="0" w:space="0" w:color="auto"/>
                                  </w:divBdr>
                                  <w:divsChild>
                                    <w:div w:id="175493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475566">
                      <w:marLeft w:val="0"/>
                      <w:marRight w:val="0"/>
                      <w:marTop w:val="0"/>
                      <w:marBottom w:val="0"/>
                      <w:divBdr>
                        <w:top w:val="none" w:sz="0" w:space="0" w:color="auto"/>
                        <w:left w:val="none" w:sz="0" w:space="0" w:color="auto"/>
                        <w:bottom w:val="none" w:sz="0" w:space="0" w:color="auto"/>
                        <w:right w:val="none" w:sz="0" w:space="0" w:color="auto"/>
                      </w:divBdr>
                      <w:divsChild>
                        <w:div w:id="19452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346819">
      <w:bodyDiv w:val="1"/>
      <w:marLeft w:val="0"/>
      <w:marRight w:val="0"/>
      <w:marTop w:val="0"/>
      <w:marBottom w:val="0"/>
      <w:divBdr>
        <w:top w:val="none" w:sz="0" w:space="0" w:color="auto"/>
        <w:left w:val="none" w:sz="0" w:space="0" w:color="auto"/>
        <w:bottom w:val="none" w:sz="0" w:space="0" w:color="auto"/>
        <w:right w:val="none" w:sz="0" w:space="0" w:color="auto"/>
      </w:divBdr>
    </w:div>
    <w:div w:id="1463037892">
      <w:bodyDiv w:val="1"/>
      <w:marLeft w:val="0"/>
      <w:marRight w:val="0"/>
      <w:marTop w:val="0"/>
      <w:marBottom w:val="0"/>
      <w:divBdr>
        <w:top w:val="none" w:sz="0" w:space="0" w:color="auto"/>
        <w:left w:val="none" w:sz="0" w:space="0" w:color="auto"/>
        <w:bottom w:val="none" w:sz="0" w:space="0" w:color="auto"/>
        <w:right w:val="none" w:sz="0" w:space="0" w:color="auto"/>
      </w:divBdr>
      <w:divsChild>
        <w:div w:id="627510991">
          <w:marLeft w:val="0"/>
          <w:marRight w:val="0"/>
          <w:marTop w:val="0"/>
          <w:marBottom w:val="0"/>
          <w:divBdr>
            <w:top w:val="none" w:sz="0" w:space="0" w:color="auto"/>
            <w:left w:val="none" w:sz="0" w:space="0" w:color="auto"/>
            <w:bottom w:val="none" w:sz="0" w:space="0" w:color="auto"/>
            <w:right w:val="none" w:sz="0" w:space="0" w:color="auto"/>
          </w:divBdr>
          <w:divsChild>
            <w:div w:id="901450930">
              <w:marLeft w:val="0"/>
              <w:marRight w:val="0"/>
              <w:marTop w:val="0"/>
              <w:marBottom w:val="0"/>
              <w:divBdr>
                <w:top w:val="none" w:sz="0" w:space="0" w:color="auto"/>
                <w:left w:val="none" w:sz="0" w:space="0" w:color="auto"/>
                <w:bottom w:val="none" w:sz="0" w:space="0" w:color="auto"/>
                <w:right w:val="none" w:sz="0" w:space="0" w:color="auto"/>
              </w:divBdr>
              <w:divsChild>
                <w:div w:id="1057516006">
                  <w:marLeft w:val="0"/>
                  <w:marRight w:val="0"/>
                  <w:marTop w:val="0"/>
                  <w:marBottom w:val="0"/>
                  <w:divBdr>
                    <w:top w:val="none" w:sz="0" w:space="0" w:color="auto"/>
                    <w:left w:val="none" w:sz="0" w:space="0" w:color="auto"/>
                    <w:bottom w:val="none" w:sz="0" w:space="0" w:color="auto"/>
                    <w:right w:val="none" w:sz="0" w:space="0" w:color="auto"/>
                  </w:divBdr>
                  <w:divsChild>
                    <w:div w:id="151592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891654">
          <w:marLeft w:val="0"/>
          <w:marRight w:val="0"/>
          <w:marTop w:val="0"/>
          <w:marBottom w:val="0"/>
          <w:divBdr>
            <w:top w:val="none" w:sz="0" w:space="0" w:color="auto"/>
            <w:left w:val="none" w:sz="0" w:space="0" w:color="auto"/>
            <w:bottom w:val="none" w:sz="0" w:space="0" w:color="auto"/>
            <w:right w:val="none" w:sz="0" w:space="0" w:color="auto"/>
          </w:divBdr>
          <w:divsChild>
            <w:div w:id="506021645">
              <w:marLeft w:val="0"/>
              <w:marRight w:val="0"/>
              <w:marTop w:val="0"/>
              <w:marBottom w:val="0"/>
              <w:divBdr>
                <w:top w:val="none" w:sz="0" w:space="0" w:color="auto"/>
                <w:left w:val="none" w:sz="0" w:space="0" w:color="auto"/>
                <w:bottom w:val="none" w:sz="0" w:space="0" w:color="auto"/>
                <w:right w:val="none" w:sz="0" w:space="0" w:color="auto"/>
              </w:divBdr>
              <w:divsChild>
                <w:div w:id="1766262111">
                  <w:marLeft w:val="0"/>
                  <w:marRight w:val="0"/>
                  <w:marTop w:val="0"/>
                  <w:marBottom w:val="0"/>
                  <w:divBdr>
                    <w:top w:val="none" w:sz="0" w:space="0" w:color="auto"/>
                    <w:left w:val="none" w:sz="0" w:space="0" w:color="auto"/>
                    <w:bottom w:val="none" w:sz="0" w:space="0" w:color="auto"/>
                    <w:right w:val="none" w:sz="0" w:space="0" w:color="auto"/>
                  </w:divBdr>
                  <w:divsChild>
                    <w:div w:id="74144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10646">
      <w:bodyDiv w:val="1"/>
      <w:marLeft w:val="0"/>
      <w:marRight w:val="0"/>
      <w:marTop w:val="0"/>
      <w:marBottom w:val="0"/>
      <w:divBdr>
        <w:top w:val="none" w:sz="0" w:space="0" w:color="auto"/>
        <w:left w:val="none" w:sz="0" w:space="0" w:color="auto"/>
        <w:bottom w:val="none" w:sz="0" w:space="0" w:color="auto"/>
        <w:right w:val="none" w:sz="0" w:space="0" w:color="auto"/>
      </w:divBdr>
    </w:div>
    <w:div w:id="1602637969">
      <w:bodyDiv w:val="1"/>
      <w:marLeft w:val="0"/>
      <w:marRight w:val="0"/>
      <w:marTop w:val="0"/>
      <w:marBottom w:val="0"/>
      <w:divBdr>
        <w:top w:val="none" w:sz="0" w:space="0" w:color="auto"/>
        <w:left w:val="none" w:sz="0" w:space="0" w:color="auto"/>
        <w:bottom w:val="none" w:sz="0" w:space="0" w:color="auto"/>
        <w:right w:val="none" w:sz="0" w:space="0" w:color="auto"/>
      </w:divBdr>
    </w:div>
    <w:div w:id="1612012203">
      <w:bodyDiv w:val="1"/>
      <w:marLeft w:val="0"/>
      <w:marRight w:val="0"/>
      <w:marTop w:val="0"/>
      <w:marBottom w:val="0"/>
      <w:divBdr>
        <w:top w:val="none" w:sz="0" w:space="0" w:color="auto"/>
        <w:left w:val="none" w:sz="0" w:space="0" w:color="auto"/>
        <w:bottom w:val="none" w:sz="0" w:space="0" w:color="auto"/>
        <w:right w:val="none" w:sz="0" w:space="0" w:color="auto"/>
      </w:divBdr>
    </w:div>
    <w:div w:id="1629315961">
      <w:bodyDiv w:val="1"/>
      <w:marLeft w:val="0"/>
      <w:marRight w:val="0"/>
      <w:marTop w:val="0"/>
      <w:marBottom w:val="0"/>
      <w:divBdr>
        <w:top w:val="none" w:sz="0" w:space="0" w:color="auto"/>
        <w:left w:val="none" w:sz="0" w:space="0" w:color="auto"/>
        <w:bottom w:val="none" w:sz="0" w:space="0" w:color="auto"/>
        <w:right w:val="none" w:sz="0" w:space="0" w:color="auto"/>
      </w:divBdr>
    </w:div>
    <w:div w:id="1685668382">
      <w:bodyDiv w:val="1"/>
      <w:marLeft w:val="0"/>
      <w:marRight w:val="0"/>
      <w:marTop w:val="0"/>
      <w:marBottom w:val="0"/>
      <w:divBdr>
        <w:top w:val="none" w:sz="0" w:space="0" w:color="auto"/>
        <w:left w:val="none" w:sz="0" w:space="0" w:color="auto"/>
        <w:bottom w:val="none" w:sz="0" w:space="0" w:color="auto"/>
        <w:right w:val="none" w:sz="0" w:space="0" w:color="auto"/>
      </w:divBdr>
    </w:div>
    <w:div w:id="1687294568">
      <w:bodyDiv w:val="1"/>
      <w:marLeft w:val="0"/>
      <w:marRight w:val="0"/>
      <w:marTop w:val="0"/>
      <w:marBottom w:val="0"/>
      <w:divBdr>
        <w:top w:val="none" w:sz="0" w:space="0" w:color="auto"/>
        <w:left w:val="none" w:sz="0" w:space="0" w:color="auto"/>
        <w:bottom w:val="none" w:sz="0" w:space="0" w:color="auto"/>
        <w:right w:val="none" w:sz="0" w:space="0" w:color="auto"/>
      </w:divBdr>
      <w:divsChild>
        <w:div w:id="1128357860">
          <w:marLeft w:val="0"/>
          <w:marRight w:val="0"/>
          <w:marTop w:val="0"/>
          <w:marBottom w:val="0"/>
          <w:divBdr>
            <w:top w:val="none" w:sz="0" w:space="0" w:color="auto"/>
            <w:left w:val="none" w:sz="0" w:space="0" w:color="auto"/>
            <w:bottom w:val="none" w:sz="0" w:space="0" w:color="auto"/>
            <w:right w:val="none" w:sz="0" w:space="0" w:color="auto"/>
          </w:divBdr>
          <w:divsChild>
            <w:div w:id="358553697">
              <w:marLeft w:val="0"/>
              <w:marRight w:val="0"/>
              <w:marTop w:val="0"/>
              <w:marBottom w:val="0"/>
              <w:divBdr>
                <w:top w:val="none" w:sz="0" w:space="0" w:color="auto"/>
                <w:left w:val="none" w:sz="0" w:space="0" w:color="auto"/>
                <w:bottom w:val="none" w:sz="0" w:space="0" w:color="auto"/>
                <w:right w:val="none" w:sz="0" w:space="0" w:color="auto"/>
              </w:divBdr>
              <w:divsChild>
                <w:div w:id="1376083395">
                  <w:marLeft w:val="0"/>
                  <w:marRight w:val="0"/>
                  <w:marTop w:val="0"/>
                  <w:marBottom w:val="0"/>
                  <w:divBdr>
                    <w:top w:val="none" w:sz="0" w:space="0" w:color="auto"/>
                    <w:left w:val="none" w:sz="0" w:space="0" w:color="auto"/>
                    <w:bottom w:val="none" w:sz="0" w:space="0" w:color="auto"/>
                    <w:right w:val="none" w:sz="0" w:space="0" w:color="auto"/>
                  </w:divBdr>
                  <w:divsChild>
                    <w:div w:id="88506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949776">
      <w:bodyDiv w:val="1"/>
      <w:marLeft w:val="0"/>
      <w:marRight w:val="0"/>
      <w:marTop w:val="0"/>
      <w:marBottom w:val="0"/>
      <w:divBdr>
        <w:top w:val="none" w:sz="0" w:space="0" w:color="auto"/>
        <w:left w:val="none" w:sz="0" w:space="0" w:color="auto"/>
        <w:bottom w:val="none" w:sz="0" w:space="0" w:color="auto"/>
        <w:right w:val="none" w:sz="0" w:space="0" w:color="auto"/>
      </w:divBdr>
    </w:div>
    <w:div w:id="1764261227">
      <w:bodyDiv w:val="1"/>
      <w:marLeft w:val="0"/>
      <w:marRight w:val="0"/>
      <w:marTop w:val="0"/>
      <w:marBottom w:val="0"/>
      <w:divBdr>
        <w:top w:val="none" w:sz="0" w:space="0" w:color="auto"/>
        <w:left w:val="none" w:sz="0" w:space="0" w:color="auto"/>
        <w:bottom w:val="none" w:sz="0" w:space="0" w:color="auto"/>
        <w:right w:val="none" w:sz="0" w:space="0" w:color="auto"/>
      </w:divBdr>
    </w:div>
    <w:div w:id="1793594723">
      <w:bodyDiv w:val="1"/>
      <w:marLeft w:val="0"/>
      <w:marRight w:val="0"/>
      <w:marTop w:val="0"/>
      <w:marBottom w:val="0"/>
      <w:divBdr>
        <w:top w:val="none" w:sz="0" w:space="0" w:color="auto"/>
        <w:left w:val="none" w:sz="0" w:space="0" w:color="auto"/>
        <w:bottom w:val="none" w:sz="0" w:space="0" w:color="auto"/>
        <w:right w:val="none" w:sz="0" w:space="0" w:color="auto"/>
      </w:divBdr>
    </w:div>
    <w:div w:id="1796868142">
      <w:bodyDiv w:val="1"/>
      <w:marLeft w:val="0"/>
      <w:marRight w:val="0"/>
      <w:marTop w:val="0"/>
      <w:marBottom w:val="0"/>
      <w:divBdr>
        <w:top w:val="none" w:sz="0" w:space="0" w:color="auto"/>
        <w:left w:val="none" w:sz="0" w:space="0" w:color="auto"/>
        <w:bottom w:val="none" w:sz="0" w:space="0" w:color="auto"/>
        <w:right w:val="none" w:sz="0" w:space="0" w:color="auto"/>
      </w:divBdr>
    </w:div>
    <w:div w:id="1902402996">
      <w:bodyDiv w:val="1"/>
      <w:marLeft w:val="0"/>
      <w:marRight w:val="0"/>
      <w:marTop w:val="0"/>
      <w:marBottom w:val="0"/>
      <w:divBdr>
        <w:top w:val="none" w:sz="0" w:space="0" w:color="auto"/>
        <w:left w:val="none" w:sz="0" w:space="0" w:color="auto"/>
        <w:bottom w:val="none" w:sz="0" w:space="0" w:color="auto"/>
        <w:right w:val="none" w:sz="0" w:space="0" w:color="auto"/>
      </w:divBdr>
    </w:div>
    <w:div w:id="1966084116">
      <w:bodyDiv w:val="1"/>
      <w:marLeft w:val="0"/>
      <w:marRight w:val="0"/>
      <w:marTop w:val="0"/>
      <w:marBottom w:val="0"/>
      <w:divBdr>
        <w:top w:val="none" w:sz="0" w:space="0" w:color="auto"/>
        <w:left w:val="none" w:sz="0" w:space="0" w:color="auto"/>
        <w:bottom w:val="none" w:sz="0" w:space="0" w:color="auto"/>
        <w:right w:val="none" w:sz="0" w:space="0" w:color="auto"/>
      </w:divBdr>
    </w:div>
    <w:div w:id="1966111573">
      <w:bodyDiv w:val="1"/>
      <w:marLeft w:val="0"/>
      <w:marRight w:val="0"/>
      <w:marTop w:val="0"/>
      <w:marBottom w:val="0"/>
      <w:divBdr>
        <w:top w:val="none" w:sz="0" w:space="0" w:color="auto"/>
        <w:left w:val="none" w:sz="0" w:space="0" w:color="auto"/>
        <w:bottom w:val="none" w:sz="0" w:space="0" w:color="auto"/>
        <w:right w:val="none" w:sz="0" w:space="0" w:color="auto"/>
      </w:divBdr>
    </w:div>
    <w:div w:id="2033916503">
      <w:bodyDiv w:val="1"/>
      <w:marLeft w:val="0"/>
      <w:marRight w:val="0"/>
      <w:marTop w:val="0"/>
      <w:marBottom w:val="0"/>
      <w:divBdr>
        <w:top w:val="none" w:sz="0" w:space="0" w:color="auto"/>
        <w:left w:val="none" w:sz="0" w:space="0" w:color="auto"/>
        <w:bottom w:val="none" w:sz="0" w:space="0" w:color="auto"/>
        <w:right w:val="none" w:sz="0" w:space="0" w:color="auto"/>
      </w:divBdr>
    </w:div>
    <w:div w:id="204748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590172" TargetMode="External"/><Relationship Id="rId18" Type="http://schemas.openxmlformats.org/officeDocument/2006/relationships/hyperlink" Target="http://search.mandumah.com/Record/1147037" TargetMode="External"/><Relationship Id="rId26" Type="http://schemas.openxmlformats.org/officeDocument/2006/relationships/hyperlink" Target="http://search.mandumah.com/Record/1533167" TargetMode="External"/><Relationship Id="rId39" Type="http://schemas.openxmlformats.org/officeDocument/2006/relationships/hyperlink" Target="http://search.mandumah.com/Record/1231998" TargetMode="External"/><Relationship Id="rId21" Type="http://schemas.openxmlformats.org/officeDocument/2006/relationships/hyperlink" Target="http://search.mandumah.com/Record/1516717" TargetMode="External"/><Relationship Id="rId34" Type="http://schemas.openxmlformats.org/officeDocument/2006/relationships/hyperlink" Target="http://search.mandumah.com/Record/1489970"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468317" TargetMode="External"/><Relationship Id="rId20" Type="http://schemas.openxmlformats.org/officeDocument/2006/relationships/hyperlink" Target="http://search.mandumah.com/Record/973631" TargetMode="External"/><Relationship Id="rId29" Type="http://schemas.openxmlformats.org/officeDocument/2006/relationships/hyperlink" Target="http://search.mandumah.com/Record/147739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72251" TargetMode="External"/><Relationship Id="rId24" Type="http://schemas.openxmlformats.org/officeDocument/2006/relationships/hyperlink" Target="http://search.mandumah.com/Record/1547413" TargetMode="External"/><Relationship Id="rId32" Type="http://schemas.openxmlformats.org/officeDocument/2006/relationships/hyperlink" Target="http://search.mandumah.com/Record/1237946" TargetMode="External"/><Relationship Id="rId37" Type="http://schemas.openxmlformats.org/officeDocument/2006/relationships/hyperlink" Target="http://search.mandumah.com/Record/1140494"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arch.mandumah.com/Record/634184" TargetMode="External"/><Relationship Id="rId23" Type="http://schemas.openxmlformats.org/officeDocument/2006/relationships/hyperlink" Target="http://search.mandumah.com/Record/1037907" TargetMode="External"/><Relationship Id="rId28" Type="http://schemas.openxmlformats.org/officeDocument/2006/relationships/hyperlink" Target="http://search.mandumah.com/Record/1341604" TargetMode="External"/><Relationship Id="rId36" Type="http://schemas.openxmlformats.org/officeDocument/2006/relationships/hyperlink" Target="http://search.mandumah.com/Record/696847" TargetMode="External"/><Relationship Id="rId10" Type="http://schemas.openxmlformats.org/officeDocument/2006/relationships/hyperlink" Target="http://search.mandumah.com/Record/503670" TargetMode="External"/><Relationship Id="rId19" Type="http://schemas.openxmlformats.org/officeDocument/2006/relationships/hyperlink" Target="http://search.mandumah.com/Record/1237166" TargetMode="External"/><Relationship Id="rId31" Type="http://schemas.openxmlformats.org/officeDocument/2006/relationships/hyperlink" Target="http://search.mandumah.com/Record/155803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175481" TargetMode="External"/><Relationship Id="rId22" Type="http://schemas.openxmlformats.org/officeDocument/2006/relationships/hyperlink" Target="http://search.mandumah.com/Record/1456476" TargetMode="External"/><Relationship Id="rId27" Type="http://schemas.openxmlformats.org/officeDocument/2006/relationships/hyperlink" Target="http://search.mandumah.com/Record/1498037" TargetMode="External"/><Relationship Id="rId30" Type="http://schemas.openxmlformats.org/officeDocument/2006/relationships/hyperlink" Target="http://search.mandumah.com/Record/1443426" TargetMode="External"/><Relationship Id="rId35" Type="http://schemas.openxmlformats.org/officeDocument/2006/relationships/hyperlink" Target="http://search.mandumah.com/Record/1138888"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340079" TargetMode="External"/><Relationship Id="rId17" Type="http://schemas.openxmlformats.org/officeDocument/2006/relationships/hyperlink" Target="http://search.mandumah.com/Record/1031023" TargetMode="External"/><Relationship Id="rId25" Type="http://schemas.openxmlformats.org/officeDocument/2006/relationships/hyperlink" Target="http://search.mandumah.com/Record/1508825" TargetMode="External"/><Relationship Id="rId33" Type="http://schemas.openxmlformats.org/officeDocument/2006/relationships/hyperlink" Target="http://search.mandumah.com/Record/829692" TargetMode="External"/><Relationship Id="rId38" Type="http://schemas.openxmlformats.org/officeDocument/2006/relationships/hyperlink" Target="http://search.mandumah.com/Record/1135507" TargetMode="External"/></Relationships>
</file>

<file path=word/theme/theme1.xml><?xml version="1.0" encoding="utf-8"?>
<a:theme xmlns:a="http://schemas.openxmlformats.org/drawingml/2006/main" name="Office Theme">
  <a:themeElements>
    <a:clrScheme name="أزرق دافئ">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F92F8-8B85-4862-A948-921C8EFBAB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70</Pages>
  <Words>15089</Words>
  <Characters>86008</Characters>
  <Application>Microsoft Office Word</Application>
  <DocSecurity>0</DocSecurity>
  <Lines>716</Lines>
  <Paragraphs>201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 Hamad</dc:creator>
  <cp:keywords/>
  <dc:description/>
  <cp:lastModifiedBy>Samia Alsari</cp:lastModifiedBy>
  <cp:revision>2</cp:revision>
  <cp:lastPrinted>2024-10-22T17:09:00Z</cp:lastPrinted>
  <dcterms:created xsi:type="dcterms:W3CDTF">2025-11-21T09:36:00Z</dcterms:created>
  <dcterms:modified xsi:type="dcterms:W3CDTF">2025-11-21T09:36:00Z</dcterms:modified>
</cp:coreProperties>
</file>