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15881FE" w:rsidR="009125CE" w:rsidRPr="00D330B0" w:rsidRDefault="00A37749" w:rsidP="00A3774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330B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5005E32">
            <wp:simplePos x="0" y="0"/>
            <wp:positionH relativeFrom="margin">
              <wp:posOffset>340995</wp:posOffset>
            </wp:positionH>
            <wp:positionV relativeFrom="margin">
              <wp:posOffset>-69850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D330B0">
        <w:rPr>
          <w:rFonts w:ascii="Simplified Arabic" w:hAnsi="Simplified Arabic" w:cs="Simplified Arabic"/>
          <w:b/>
          <w:bCs/>
          <w:color w:val="000000" w:themeColor="text1"/>
          <w:sz w:val="32"/>
          <w:szCs w:val="32"/>
          <w:rtl/>
          <w:lang w:bidi="ar-EG"/>
        </w:rPr>
        <w:t xml:space="preserve">جامعة ميدأوشن </w:t>
      </w:r>
    </w:p>
    <w:p w14:paraId="1E957002" w14:textId="5C1589E8" w:rsidR="00F546CE" w:rsidRPr="00D330B0" w:rsidRDefault="009125CE" w:rsidP="00A3774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330B0">
        <w:rPr>
          <w:rFonts w:ascii="Simplified Arabic" w:hAnsi="Simplified Arabic" w:cs="Simplified Arabic"/>
          <w:b/>
          <w:bCs/>
          <w:color w:val="000000" w:themeColor="text1"/>
          <w:sz w:val="32"/>
          <w:szCs w:val="32"/>
          <w:rtl/>
          <w:lang w:bidi="ar-EG"/>
        </w:rPr>
        <w:t xml:space="preserve">كلية </w:t>
      </w:r>
      <w:r w:rsidR="008C42C1" w:rsidRPr="00D330B0">
        <w:rPr>
          <w:rFonts w:ascii="Simplified Arabic" w:hAnsi="Simplified Arabic" w:cs="Simplified Arabic"/>
          <w:b/>
          <w:bCs/>
          <w:color w:val="000000" w:themeColor="text1"/>
          <w:sz w:val="32"/>
          <w:szCs w:val="32"/>
          <w:rtl/>
          <w:lang w:bidi="ar-EG"/>
        </w:rPr>
        <w:t>الإدارة</w:t>
      </w:r>
      <w:r w:rsidRPr="00D330B0">
        <w:rPr>
          <w:rFonts w:ascii="Simplified Arabic" w:hAnsi="Simplified Arabic" w:cs="Simplified Arabic"/>
          <w:b/>
          <w:bCs/>
          <w:color w:val="000000" w:themeColor="text1"/>
          <w:sz w:val="32"/>
          <w:szCs w:val="32"/>
          <w:rtl/>
          <w:lang w:bidi="ar-EG"/>
        </w:rPr>
        <w:t xml:space="preserve"> </w:t>
      </w:r>
    </w:p>
    <w:p w14:paraId="0217C513" w14:textId="6C456CE6" w:rsidR="009125CE" w:rsidRPr="00D330B0" w:rsidRDefault="009125CE" w:rsidP="00A3774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330B0">
        <w:rPr>
          <w:rFonts w:ascii="Simplified Arabic" w:hAnsi="Simplified Arabic" w:cs="Simplified Arabic"/>
          <w:b/>
          <w:bCs/>
          <w:color w:val="000000" w:themeColor="text1"/>
          <w:sz w:val="32"/>
          <w:szCs w:val="32"/>
          <w:rtl/>
          <w:lang w:bidi="ar-EG"/>
        </w:rPr>
        <w:t>تخصص</w:t>
      </w:r>
      <w:r w:rsidR="00B15A9E" w:rsidRPr="00D330B0">
        <w:rPr>
          <w:rFonts w:ascii="Simplified Arabic" w:hAnsi="Simplified Arabic" w:cs="Simplified Arabic"/>
          <w:b/>
          <w:bCs/>
          <w:color w:val="000000" w:themeColor="text1"/>
          <w:sz w:val="32"/>
          <w:szCs w:val="32"/>
          <w:rtl/>
          <w:lang w:bidi="ar-EG"/>
        </w:rPr>
        <w:t xml:space="preserve"> </w:t>
      </w:r>
      <w:r w:rsidR="00854B0B" w:rsidRPr="00D330B0">
        <w:rPr>
          <w:rFonts w:ascii="Simplified Arabic" w:hAnsi="Simplified Arabic" w:cs="Simplified Arabic"/>
          <w:b/>
          <w:bCs/>
          <w:color w:val="000000" w:themeColor="text1"/>
          <w:sz w:val="32"/>
          <w:szCs w:val="32"/>
          <w:rtl/>
          <w:lang w:bidi="ar-EG"/>
        </w:rPr>
        <w:t>اداره ا</w:t>
      </w:r>
      <w:r w:rsidR="00CC6261" w:rsidRPr="00D330B0">
        <w:rPr>
          <w:rFonts w:ascii="Simplified Arabic" w:hAnsi="Simplified Arabic" w:cs="Simplified Arabic"/>
          <w:b/>
          <w:bCs/>
          <w:color w:val="000000" w:themeColor="text1"/>
          <w:sz w:val="32"/>
          <w:szCs w:val="32"/>
          <w:rtl/>
          <w:lang w:bidi="ar-EG"/>
        </w:rPr>
        <w:t>لم</w:t>
      </w:r>
      <w:r w:rsidR="009241E8" w:rsidRPr="00D330B0">
        <w:rPr>
          <w:rFonts w:ascii="Simplified Arabic" w:hAnsi="Simplified Arabic" w:cs="Simplified Arabic"/>
          <w:b/>
          <w:bCs/>
          <w:color w:val="000000" w:themeColor="text1"/>
          <w:sz w:val="32"/>
          <w:szCs w:val="32"/>
          <w:rtl/>
          <w:lang w:bidi="ar-EG"/>
        </w:rPr>
        <w:t>شاريع</w:t>
      </w:r>
    </w:p>
    <w:p w14:paraId="0A25F43C" w14:textId="77777777" w:rsidR="008C7BB4" w:rsidRPr="00D330B0" w:rsidRDefault="008C7BB4" w:rsidP="00A3774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D6B650E" w14:textId="29D6B774" w:rsidR="00A37749" w:rsidRPr="00D330B0" w:rsidRDefault="009241E8" w:rsidP="00A3774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330B0">
        <w:rPr>
          <w:rFonts w:ascii="Simplified Arabic" w:hAnsi="Simplified Arabic" w:cs="Simplified Arabic"/>
          <w:b/>
          <w:bCs/>
          <w:color w:val="000000" w:themeColor="text1"/>
          <w:sz w:val="40"/>
          <w:szCs w:val="40"/>
          <w:rtl/>
        </w:rPr>
        <w:t xml:space="preserve">دور إدارة نطاق العمل وأوامر التغيير في خفض التكاليف غير المخططة </w:t>
      </w:r>
      <w:r w:rsidR="00556CA7" w:rsidRPr="00D330B0">
        <w:rPr>
          <w:rFonts w:ascii="Simplified Arabic" w:hAnsi="Simplified Arabic" w:cs="Simplified Arabic"/>
          <w:b/>
          <w:bCs/>
          <w:color w:val="000000" w:themeColor="text1"/>
          <w:sz w:val="40"/>
          <w:szCs w:val="40"/>
          <w:rtl/>
          <w:lang w:bidi="ar-EG"/>
        </w:rPr>
        <w:t xml:space="preserve">في </w:t>
      </w:r>
      <w:r w:rsidRPr="00D330B0">
        <w:rPr>
          <w:rFonts w:ascii="Simplified Arabic" w:hAnsi="Simplified Arabic" w:cs="Simplified Arabic"/>
          <w:b/>
          <w:bCs/>
          <w:color w:val="000000" w:themeColor="text1"/>
          <w:sz w:val="40"/>
          <w:szCs w:val="40"/>
          <w:rtl/>
        </w:rPr>
        <w:t xml:space="preserve">عقود التشغيل والصيانة: دراسة تطبيقية على المشاريع الحكومية في </w:t>
      </w:r>
      <w:r w:rsidR="00556CA7" w:rsidRPr="00D330B0">
        <w:rPr>
          <w:rFonts w:ascii="Simplified Arabic" w:hAnsi="Simplified Arabic" w:cs="Simplified Arabic"/>
          <w:b/>
          <w:bCs/>
          <w:color w:val="000000" w:themeColor="text1"/>
          <w:sz w:val="40"/>
          <w:szCs w:val="40"/>
          <w:rtl/>
        </w:rPr>
        <w:t>المملكة العربية السعودية</w:t>
      </w:r>
    </w:p>
    <w:p w14:paraId="751A7E65" w14:textId="63B2C74A" w:rsidR="009125CE" w:rsidRPr="00D330B0" w:rsidRDefault="009125CE" w:rsidP="00A3774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hAnsi="Simplified Arabic" w:cs="Simplified Arabic"/>
          <w:b/>
          <w:bCs/>
          <w:color w:val="000000" w:themeColor="text1"/>
          <w:sz w:val="36"/>
          <w:szCs w:val="36"/>
          <w:rtl/>
          <w:lang w:bidi="ar-EG"/>
        </w:rPr>
        <w:t>إعداد الطالب/</w:t>
      </w:r>
    </w:p>
    <w:p w14:paraId="5F98EC5C" w14:textId="7359989A" w:rsidR="00A37749" w:rsidRPr="00D330B0" w:rsidRDefault="003C1614" w:rsidP="00A3774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احمد يوسف الهايم</w:t>
      </w:r>
    </w:p>
    <w:p w14:paraId="7A9844B3" w14:textId="77777777" w:rsidR="00A37749" w:rsidRPr="00D330B0" w:rsidRDefault="00A37749" w:rsidP="00A3774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A37749" w:rsidRPr="00D330B0" w14:paraId="076E1939" w14:textId="77777777" w:rsidTr="00F70C83">
        <w:tc>
          <w:tcPr>
            <w:tcW w:w="4530" w:type="dxa"/>
          </w:tcPr>
          <w:p w14:paraId="70E48347" w14:textId="77777777" w:rsidR="00A37749" w:rsidRPr="00D330B0" w:rsidRDefault="00A37749" w:rsidP="00F70C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hAnsi="Simplified Arabic" w:cs="Simplified Arabic" w:hint="cs"/>
                <w:b/>
                <w:bCs/>
                <w:color w:val="000000" w:themeColor="text1"/>
                <w:sz w:val="36"/>
                <w:szCs w:val="36"/>
                <w:rtl/>
                <w:lang w:bidi="ar-EG"/>
              </w:rPr>
              <w:t>المشرف الرئيسي/</w:t>
            </w:r>
          </w:p>
        </w:tc>
        <w:tc>
          <w:tcPr>
            <w:tcW w:w="4531" w:type="dxa"/>
          </w:tcPr>
          <w:p w14:paraId="098D2917" w14:textId="77777777" w:rsidR="00A37749" w:rsidRPr="00D330B0" w:rsidRDefault="00A37749" w:rsidP="00F70C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hAnsi="Simplified Arabic" w:cs="Simplified Arabic" w:hint="cs"/>
                <w:b/>
                <w:bCs/>
                <w:color w:val="000000" w:themeColor="text1"/>
                <w:sz w:val="36"/>
                <w:szCs w:val="36"/>
                <w:rtl/>
                <w:lang w:bidi="ar-EG"/>
              </w:rPr>
              <w:t>المشرف الثاني/</w:t>
            </w:r>
          </w:p>
        </w:tc>
      </w:tr>
      <w:tr w:rsidR="00A37749" w:rsidRPr="00D330B0" w14:paraId="569500B1" w14:textId="77777777" w:rsidTr="00F70C83">
        <w:tc>
          <w:tcPr>
            <w:tcW w:w="4530" w:type="dxa"/>
          </w:tcPr>
          <w:p w14:paraId="25CA4639" w14:textId="77777777" w:rsidR="00A37749" w:rsidRPr="00D330B0" w:rsidRDefault="00A37749" w:rsidP="00F70C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BF4BA1E" w14:textId="77777777" w:rsidR="00A37749" w:rsidRPr="00D330B0" w:rsidRDefault="00A37749" w:rsidP="00F70C8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eastAsia="Calibri" w:hAnsi="Simplified Arabic" w:cs="Simplified Arabic"/>
                <w:color w:val="000000" w:themeColor="text1"/>
                <w:kern w:val="0"/>
                <w:sz w:val="36"/>
                <w:szCs w:val="36"/>
                <w:rtl/>
                <w:lang w:bidi="ar-EG"/>
                <w14:ligatures w14:val="none"/>
              </w:rPr>
              <w:t>د.فايز جراد</w:t>
            </w:r>
          </w:p>
        </w:tc>
      </w:tr>
    </w:tbl>
    <w:p w14:paraId="2D486071" w14:textId="77777777" w:rsidR="00A37749" w:rsidRPr="00D330B0" w:rsidRDefault="00A37749" w:rsidP="00A3774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330B0">
        <w:rPr>
          <w:rFonts w:ascii="Simplified Arabic" w:hAnsi="Simplified Arabic" w:cs="Simplified Arabic"/>
          <w:b/>
          <w:bCs/>
          <w:color w:val="000000" w:themeColor="text1"/>
          <w:sz w:val="36"/>
          <w:szCs w:val="36"/>
          <w:rtl/>
          <w:lang w:bidi="ar-EG"/>
        </w:rPr>
        <w:t>العام الدراسي:</w:t>
      </w:r>
    </w:p>
    <w:p w14:paraId="7D1773DA" w14:textId="77777777" w:rsidR="00A37749" w:rsidRPr="00D330B0" w:rsidRDefault="00A37749" w:rsidP="00A3774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37749" w:rsidRPr="00D330B0" w:rsidSect="00A37749">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D330B0">
        <w:rPr>
          <w:rFonts w:ascii="Simplified Arabic" w:hAnsi="Simplified Arabic" w:cs="Simplified Arabic" w:hint="cs"/>
          <w:color w:val="000000" w:themeColor="text1"/>
          <w:sz w:val="36"/>
          <w:szCs w:val="36"/>
          <w:rtl/>
          <w:lang w:bidi="ar-EG"/>
        </w:rPr>
        <w:t xml:space="preserve">1448 </w:t>
      </w:r>
      <w:r w:rsidRPr="00D330B0">
        <w:rPr>
          <w:rFonts w:ascii="Simplified Arabic" w:hAnsi="Simplified Arabic" w:cs="Simplified Arabic"/>
          <w:color w:val="000000" w:themeColor="text1"/>
          <w:sz w:val="36"/>
          <w:szCs w:val="36"/>
          <w:rtl/>
          <w:lang w:bidi="ar-EG"/>
        </w:rPr>
        <w:t>–</w:t>
      </w:r>
      <w:r w:rsidRPr="00D330B0">
        <w:rPr>
          <w:rFonts w:ascii="Simplified Arabic" w:hAnsi="Simplified Arabic" w:cs="Simplified Arabic" w:hint="cs"/>
          <w:color w:val="000000" w:themeColor="text1"/>
          <w:sz w:val="36"/>
          <w:szCs w:val="36"/>
          <w:rtl/>
          <w:lang w:bidi="ar-EG"/>
        </w:rPr>
        <w:t xml:space="preserve"> 2026</w:t>
      </w:r>
    </w:p>
    <w:p w14:paraId="35B50AC8" w14:textId="5EA85F5E" w:rsidR="00A37749" w:rsidRPr="00D330B0" w:rsidRDefault="00A37749" w:rsidP="00253519">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584037"/>
      <w:bookmarkStart w:id="1" w:name="_Hlk172151144"/>
      <w:bookmarkStart w:id="2" w:name="_Toc169790489"/>
      <w:r w:rsidRPr="00D330B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C5F8A49" w14:textId="66EDA502" w:rsidR="00A37749" w:rsidRPr="00D330B0" w:rsidRDefault="00A37749" w:rsidP="00253519">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584038"/>
      <w:r w:rsidRPr="00D330B0">
        <w:rPr>
          <w:rFonts w:ascii="Simplified Arabic" w:hAnsi="Simplified Arabic" w:cs="Simplified Arabic" w:hint="cs"/>
          <w:b/>
          <w:bCs/>
          <w:color w:val="000000" w:themeColor="text1"/>
          <w:sz w:val="36"/>
          <w:szCs w:val="36"/>
          <w:rtl/>
        </w:rPr>
        <w:t>1.1 المقدمة</w:t>
      </w:r>
      <w:bookmarkEnd w:id="3"/>
    </w:p>
    <w:p w14:paraId="1A20C480" w14:textId="270F8648"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يشهد قطاع المشاريع الحكومية على المستوى العالمي والإقليمي توسعًا متسارعًا في حجم الإنفاق على البنية التحتية والمرافق العامة، حيث تتزايد الحاجة إلى إدارة فعّالة لدورة حياة المشروع بدءًا من مرحلة التخطيط والتصميم مرورًا بالتنفيذ ووصولًا إلى مرحلة التشغيل والصيانة التي تستحوذ على النصيب الأكبر من التكاليف الإجمالية لعمر المشروع. وقد أكدت الأدبيات أن تكاليف التشغيل والصيانة قد تتجاوز تكاليف الإنشاء الأولية بأضعاف عديدة خلال العمر الافتراضي للمنشأة، مما يجعل من إدارة هذه التكاليف والسيطرة عليها ضرورة استراتيجية لا تقل أهمية عن إدارة مرحلة التشييد ذاتها</w:t>
      </w:r>
      <w:r w:rsidRPr="00D330B0">
        <w:rPr>
          <w:rFonts w:ascii="Simplified Arabic" w:hAnsi="Simplified Arabic" w:cs="Simplified Arabic"/>
          <w:color w:val="000000" w:themeColor="text1"/>
          <w:sz w:val="28"/>
          <w:szCs w:val="28"/>
        </w:rPr>
        <w:t xml:space="preserve"> (Desbalo et al., 2024).</w:t>
      </w:r>
    </w:p>
    <w:p w14:paraId="761F117A" w14:textId="77777777"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وتُعدّ إدارة نطاق العمل من الركائز الأساسية في إدارة المشاريع الإنشائية، إذ يُمثّل تحديد النطاق بدقة ووضوح نقطة الانطلاق لضبط التكاليف والجداول الزمنية ومستويات الجودة المستهدفة. وتبرز أوامر التغيير كإحدى أكثر الأدوات التعاقدية استخدامًا لتعديل نطاق العمل أثناء مراحل التنفيذ، سواء بالإضافة أو الحذف أو تعديل المواصفات، وهي أداة مشروعة تفرضها طبيعة المشاريع المعقدة ومتطلباتها المتغيرة، غير أن الإفراط في استخدامها أو سوء إدارتها يُفضي إلى تداعيات مالية وزمنية بالغة الخطورة على أداء المشروع</w:t>
      </w:r>
      <w:r w:rsidRPr="00D330B0">
        <w:rPr>
          <w:rFonts w:ascii="Simplified Arabic" w:hAnsi="Simplified Arabic" w:cs="Simplified Arabic"/>
          <w:color w:val="000000" w:themeColor="text1"/>
          <w:sz w:val="28"/>
          <w:szCs w:val="28"/>
        </w:rPr>
        <w:t xml:space="preserve"> (Ismaeil &amp; Sobaih, 2024). </w:t>
      </w:r>
      <w:r w:rsidRPr="00D330B0">
        <w:rPr>
          <w:rFonts w:ascii="Simplified Arabic" w:hAnsi="Simplified Arabic" w:cs="Simplified Arabic"/>
          <w:color w:val="000000" w:themeColor="text1"/>
          <w:sz w:val="28"/>
          <w:szCs w:val="28"/>
          <w:rtl/>
        </w:rPr>
        <w:t>وقد أثبتت الدراسات أن أوامر التغيير تُشكّل أحد أكثر مصادر المطالبات والنزاعات التعاقدية شيوعًا في مشاريع التشييد، وأن غياب إطار إجرائي واضح لإدارتها يُعمّق من أثرها السلبي على التكاليف</w:t>
      </w:r>
      <w:r w:rsidRPr="00D330B0">
        <w:rPr>
          <w:rFonts w:ascii="Simplified Arabic" w:hAnsi="Simplified Arabic" w:cs="Simplified Arabic"/>
          <w:color w:val="000000" w:themeColor="text1"/>
          <w:sz w:val="28"/>
          <w:szCs w:val="28"/>
        </w:rPr>
        <w:t xml:space="preserve"> (Naji et al., 2022).</w:t>
      </w:r>
    </w:p>
    <w:p w14:paraId="20EE7141" w14:textId="0305627D"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ويمتد أثر القصور في إدارة نطاق العمل وأوامر التغيير إلى ما بعد مرحلة التشييد والتسليم، إذ تنعكس التعديلات غير المدروسة على مواصفات المشروع ونطاقه على متطلبات التشغيل والصيانة اللاحقة، فتظهر احتياجات صيانة لم تكن مأخوذة في الحسبان عند إعداد عقود التشغيل والصيانة وميزانياتها التقديرية. وتُصنّف الأدبيات هذه التكاليف باعتبارها تكاليف غير مخططة تنشأ عن أعطال مفاجئة أو متطلبات صيانة تصحيحية لم تُدرج ضمن خطط الصيانة الوقائية المعتمدة، وتُلقي بأعباء مالية إضافية على الميزانيات التشغيلية</w:t>
      </w:r>
      <w:r w:rsidRPr="00D330B0">
        <w:rPr>
          <w:rFonts w:ascii="Simplified Arabic" w:hAnsi="Simplified Arabic" w:cs="Simplified Arabic"/>
          <w:color w:val="000000" w:themeColor="text1"/>
          <w:sz w:val="28"/>
          <w:szCs w:val="28"/>
        </w:rPr>
        <w:t xml:space="preserve"> (Weidner, 2023). </w:t>
      </w:r>
    </w:p>
    <w:p w14:paraId="767B8EDF" w14:textId="009FF542"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lastRenderedPageBreak/>
        <w:t>وتتجلى العلاقة بين المتغيرين بوضوح حين يُدرك أن كل تغيير في نطاق العمل لا يُقيَّم أثره على مرحلة التشغيل والصيانة يتحول إلى مصدر كامن لتكاليف غير مخططة مستقبلية. فالتعديلات في المواصفات الفنية أو إضافة بنود جديدة أو حذف عناصر من التصميم الأصلي دون مراجعة انعكاساتها على متطلبات الصيانة تُنشئ فجوة بين ما هو متعاقد عليه في عقود التشغيل والصيانة وما هو مطلوب فعليًا على أرض الواقع، وهي فجوة تُترجم حتمًا إلى أعباء مالية غير محسوبة</w:t>
      </w:r>
      <w:r w:rsidRPr="00D330B0">
        <w:rPr>
          <w:rFonts w:ascii="Simplified Arabic" w:hAnsi="Simplified Arabic" w:cs="Simplified Arabic"/>
          <w:color w:val="000000" w:themeColor="text1"/>
          <w:sz w:val="28"/>
          <w:szCs w:val="28"/>
        </w:rPr>
        <w:t xml:space="preserve"> (Ahmed et al., 2022). </w:t>
      </w:r>
    </w:p>
    <w:p w14:paraId="3D9A0DD9" w14:textId="7AAFE9B7" w:rsidR="00CC6261"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 xml:space="preserve">وانطلاقًا مما سبق، تأتي هذه الدراسة لتتناول العلاقة بين إدارة نطاق العمل وأوامر التغيير والتكاليف غير المخططة في عقود التشغيل والصيانة بالمشاريع الحكومية، ساعيةً إلى قياس هذا الأثر بشكل كمي ومنهجي عبر أبعاد محددة تشمل التخطيط المسبق للنطاق، وإجراءات إدارة أوامر التغيير، والرقابة التعاقدية والمالية، وكفاءة التوثيق والاتصال بين أطراف العقد. </w:t>
      </w:r>
    </w:p>
    <w:p w14:paraId="0D2F5D56" w14:textId="0DCB223C" w:rsidR="00253519" w:rsidRPr="00D330B0" w:rsidRDefault="00253519" w:rsidP="00253519">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584039"/>
      <w:bookmarkStart w:id="5" w:name="_Toc169790500"/>
      <w:bookmarkEnd w:id="1"/>
      <w:bookmarkEnd w:id="2"/>
      <w:r w:rsidRPr="00D330B0">
        <w:rPr>
          <w:rFonts w:ascii="Simplified Arabic" w:hAnsi="Simplified Arabic" w:cs="Simplified Arabic"/>
          <w:b/>
          <w:bCs/>
          <w:color w:val="000000" w:themeColor="text1"/>
          <w:sz w:val="36"/>
          <w:szCs w:val="36"/>
          <w:rtl/>
        </w:rPr>
        <w:t>2.1 مشكلة الدراسة</w:t>
      </w:r>
      <w:bookmarkEnd w:id="4"/>
    </w:p>
    <w:p w14:paraId="202FD205" w14:textId="00A8736E"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تُمثّل عقود التشغيل والصيانة في المشاريع الحكومية أحد أكثر أنماط التعاقد تعقيدًا وحساسية من الناحية المالية والتشغيلية، إذ تمتد هذه العقود لفترات زمنية طويلة وتتطلب تخصيص موارد مالية ضخمة لضمان استمرارية تشغيل المرافق العامة وصيانتها بالمستوى المطلوب، وعلى الرغم من الجهود المبذولة في التخطيط والتعاقد، فإن الواقع العملي يكشف عن ظاهرة متكررة ومتنامية تتمثل في بروز تكاليف غير مخططة تُثقل كاهل الميزانيات التشغيلية للجهات الحكومية، وتُفضي إلى تجاوزات مالية تُضعف كفاءة الإنفاق العام وتُعرقل تحقيق الأهداف الاستراتيجية لهذه المشاريع. وتتعدد مصادر هذه التكاليف غير المخططة وتتشعب أسبابها، غير أن أدبيات إدارة المشاريع والعقود تُشير بشكل متزايد إلى أن جذور هذه المشكلة تكمن في المقام الأول في القصور الذي يعتري إدارة نطاق العمل وأوامر التغيير خلال مراحل الإعداد والتعاقد والتنفيذ</w:t>
      </w:r>
      <w:r w:rsidRPr="00D330B0">
        <w:rPr>
          <w:rFonts w:ascii="Simplified Arabic" w:hAnsi="Simplified Arabic" w:cs="Simplified Arabic"/>
          <w:color w:val="000000" w:themeColor="text1"/>
          <w:sz w:val="28"/>
          <w:szCs w:val="28"/>
        </w:rPr>
        <w:t>.</w:t>
      </w:r>
    </w:p>
    <w:p w14:paraId="6598D6EA" w14:textId="77777777"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 xml:space="preserve">ويتجلى هذا القصور في عدة مظاهر مترابطة ومتراكمة الأثر: فعلى صعيد التخطيط المسبق للنطاق، تُبرم كثير من عقود التشغيل والصيانة دون تحديد دقيق وشامل لنطاق العمل ومتطلبات الأداء المتوقعة، مما يُنشئ فجوات تعاقدية تُصبح مصدرًا خصبًا لأوامر التغيير لاحقًا. وعلى صعيد إجراءات إدارة أوامر التغيير ذاتها، يُلاحظ غياب منهجيات موحدة وواضحة لتقديم هذه الأوامر ومراجعتها وتقييم أثرها المالي والزمني قبل اعتمادها، فتتحول أوامر التغيير من أداة تعاقدية مشروعة لمعالجة المستجدات إلى قناة لتسرّب </w:t>
      </w:r>
      <w:r w:rsidRPr="00D330B0">
        <w:rPr>
          <w:rFonts w:ascii="Simplified Arabic" w:hAnsi="Simplified Arabic" w:cs="Simplified Arabic"/>
          <w:color w:val="000000" w:themeColor="text1"/>
          <w:sz w:val="28"/>
          <w:szCs w:val="28"/>
          <w:rtl/>
        </w:rPr>
        <w:lastRenderedPageBreak/>
        <w:t>التكاليف غير المخططة. وعلى صعيد الرقابة التعاقدية والمالية، تعاني بعض الجهات الحكومية من ضعف في آليات المراجعة المالية المسبقة واللاحقة لأوامر التغيير، وعدم وضوح السقوف المالية والنسب التعاقدية المسموح بها، مما يُتيح المجال لتجاوزات مالية قد لا تُكتشف إلا بعد تراكمها. فضلًا عن ذلك، يُسهم ضعف كفاءة التوثيق والاتصال بين أطراف العقد — من جهة مالكة ومقاول واستشاري وجهات رقابية — في تأخر معالجة طلبات التغيير وضبابية المسؤوليات وتضارب المعلومات، وهو ما يُفاقم من حجم التكاليف غير المخططة ويُعقّد من عملية السيطرة عليها</w:t>
      </w:r>
      <w:r w:rsidRPr="00D330B0">
        <w:rPr>
          <w:rFonts w:ascii="Simplified Arabic" w:hAnsi="Simplified Arabic" w:cs="Simplified Arabic"/>
          <w:color w:val="000000" w:themeColor="text1"/>
          <w:sz w:val="28"/>
          <w:szCs w:val="28"/>
        </w:rPr>
        <w:t>.</w:t>
      </w:r>
    </w:p>
    <w:p w14:paraId="3379CBB1" w14:textId="77777777"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وقد أكدت دراسات حديثة حجم هذه المشكلة وخطورتها؛ فقد أشارت دراسة</w:t>
      </w:r>
      <w:r w:rsidRPr="00D330B0">
        <w:rPr>
          <w:rFonts w:ascii="Simplified Arabic" w:hAnsi="Simplified Arabic" w:cs="Simplified Arabic"/>
          <w:color w:val="000000" w:themeColor="text1"/>
          <w:sz w:val="28"/>
          <w:szCs w:val="28"/>
        </w:rPr>
        <w:t xml:space="preserve"> (Alsulami, 2025) </w:t>
      </w:r>
      <w:r w:rsidRPr="00D330B0">
        <w:rPr>
          <w:rFonts w:ascii="Simplified Arabic" w:hAnsi="Simplified Arabic" w:cs="Simplified Arabic"/>
          <w:color w:val="000000" w:themeColor="text1"/>
          <w:sz w:val="28"/>
          <w:szCs w:val="28"/>
          <w:rtl/>
        </w:rPr>
        <w:t>إلى أن أوامر التغيير في المشاريع الحكومية السعودية ارتبطت بتجاوزات في التكاليف تراوحت بين 2.67</w:t>
      </w:r>
      <w:r w:rsidRPr="00D330B0">
        <w:rPr>
          <w:rFonts w:ascii="Simplified Arabic" w:hAnsi="Simplified Arabic" w:cs="Simplified Arabic"/>
          <w:color w:val="000000" w:themeColor="text1"/>
          <w:sz w:val="28"/>
          <w:szCs w:val="28"/>
        </w:rPr>
        <w:t xml:space="preserve">% </w:t>
      </w:r>
      <w:r w:rsidRPr="00D330B0">
        <w:rPr>
          <w:rFonts w:ascii="Simplified Arabic" w:hAnsi="Simplified Arabic" w:cs="Simplified Arabic"/>
          <w:color w:val="000000" w:themeColor="text1"/>
          <w:sz w:val="28"/>
          <w:szCs w:val="28"/>
          <w:rtl/>
        </w:rPr>
        <w:t>و42.86%، وأن 80.65% من المشاريع المدروسة عانت من تجاوز الميزانية. كما كشفت دراسة</w:t>
      </w:r>
      <w:r w:rsidRPr="00D330B0">
        <w:rPr>
          <w:rFonts w:ascii="Simplified Arabic" w:hAnsi="Simplified Arabic" w:cs="Simplified Arabic"/>
          <w:color w:val="000000" w:themeColor="text1"/>
          <w:sz w:val="28"/>
          <w:szCs w:val="28"/>
        </w:rPr>
        <w:t xml:space="preserve"> (Ismaeil &amp; Sobaih, 2024) </w:t>
      </w:r>
      <w:r w:rsidRPr="00D330B0">
        <w:rPr>
          <w:rFonts w:ascii="Simplified Arabic" w:hAnsi="Simplified Arabic" w:cs="Simplified Arabic"/>
          <w:color w:val="000000" w:themeColor="text1"/>
          <w:sz w:val="28"/>
          <w:szCs w:val="28"/>
          <w:rtl/>
        </w:rPr>
        <w:t>أن 81% من التصاميم الأصلية تعرضت لتغييرات جوهرية أثرت على تكاليف المشاريع. وعلى صعيد عقود الصيانة تحديدًا، أثبتت دراسة</w:t>
      </w:r>
      <w:r w:rsidRPr="00D330B0">
        <w:rPr>
          <w:rFonts w:ascii="Simplified Arabic" w:hAnsi="Simplified Arabic" w:cs="Simplified Arabic"/>
          <w:color w:val="000000" w:themeColor="text1"/>
          <w:sz w:val="28"/>
          <w:szCs w:val="28"/>
        </w:rPr>
        <w:t xml:space="preserve"> (Desbalo et al., 2024) </w:t>
      </w:r>
      <w:r w:rsidRPr="00D330B0">
        <w:rPr>
          <w:rFonts w:ascii="Simplified Arabic" w:hAnsi="Simplified Arabic" w:cs="Simplified Arabic"/>
          <w:color w:val="000000" w:themeColor="text1"/>
          <w:sz w:val="28"/>
          <w:szCs w:val="28"/>
          <w:rtl/>
        </w:rPr>
        <w:t>أن 74.65% من المؤسسات الحكومية المدروسة تعتمد أسلوب الصيانة التصحيحية فقط مما يرفع التكاليف غير المخططة بشكل ملحوظ. وفي السياق المحلي، تُشير تقارير هيئة كفاءة الإنفاق والمشروعات الحكومية إلى أن أوامر التغيير في عقود التشغيل والصيانة تُشكّل مصدرًا رئيسيًا للانحراف عن الميزانيات المعتمدة</w:t>
      </w:r>
      <w:r w:rsidRPr="00D330B0">
        <w:rPr>
          <w:rFonts w:ascii="Simplified Arabic" w:hAnsi="Simplified Arabic" w:cs="Simplified Arabic"/>
          <w:color w:val="000000" w:themeColor="text1"/>
          <w:sz w:val="28"/>
          <w:szCs w:val="28"/>
        </w:rPr>
        <w:t>.</w:t>
      </w:r>
    </w:p>
    <w:p w14:paraId="6288025E" w14:textId="5960EEDE" w:rsidR="009241E8" w:rsidRPr="00D330B0" w:rsidRDefault="009241E8" w:rsidP="00253519">
      <w:pPr>
        <w:pStyle w:val="a8"/>
        <w:bidi/>
        <w:spacing w:line="276" w:lineRule="auto"/>
        <w:ind w:firstLine="424"/>
        <w:jc w:val="both"/>
        <w:rPr>
          <w:rFonts w:ascii="Simplified Arabic" w:hAnsi="Simplified Arabic" w:cs="Simplified Arabic"/>
          <w:color w:val="000000" w:themeColor="text1"/>
          <w:sz w:val="28"/>
          <w:szCs w:val="28"/>
        </w:rPr>
      </w:pPr>
      <w:r w:rsidRPr="00D330B0">
        <w:rPr>
          <w:rFonts w:ascii="Simplified Arabic" w:hAnsi="Simplified Arabic" w:cs="Simplified Arabic"/>
          <w:color w:val="000000" w:themeColor="text1"/>
          <w:sz w:val="28"/>
          <w:szCs w:val="28"/>
          <w:rtl/>
        </w:rPr>
        <w:t>ومن هنا تبرز الفجوة البحثية التي تسعى هذه الدراسة إلى سدّها، من خلال الإجابة عن السؤال الجوهري</w:t>
      </w:r>
      <w:r w:rsidRPr="00D330B0">
        <w:rPr>
          <w:rFonts w:ascii="Simplified Arabic" w:hAnsi="Simplified Arabic" w:cs="Simplified Arabic"/>
          <w:color w:val="000000" w:themeColor="text1"/>
          <w:sz w:val="28"/>
          <w:szCs w:val="28"/>
        </w:rPr>
        <w:t xml:space="preserve">: </w:t>
      </w:r>
      <w:r w:rsidRPr="00D330B0">
        <w:rPr>
          <w:rStyle w:val="a9"/>
          <w:rFonts w:ascii="Simplified Arabic" w:hAnsi="Simplified Arabic" w:cs="Simplified Arabic"/>
          <w:b w:val="0"/>
          <w:bCs w:val="0"/>
          <w:color w:val="000000" w:themeColor="text1"/>
          <w:sz w:val="28"/>
          <w:szCs w:val="28"/>
          <w:rtl/>
        </w:rPr>
        <w:t>ما أثر إدارة نطاق العمل وأوامر التغيير بأبعاده (التخطيط المسبق للنطاق، وإجراءات إدارة أوامر التغيير، والرقابة التعاقدية والمالية، وكفاءة التوثيق والاتصال بين أطراف العقد) على التكاليف غير المخططة في عقود التشغيل والصيانة بالمشاريع الحكومية؟</w:t>
      </w:r>
    </w:p>
    <w:p w14:paraId="62EB9E85" w14:textId="5A2B99DD" w:rsidR="00253519"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584040"/>
      <w:r w:rsidRPr="00D330B0">
        <w:rPr>
          <w:rFonts w:ascii="Simplified Arabic" w:eastAsia="Times New Roman" w:hAnsi="Simplified Arabic" w:cs="Simplified Arabic"/>
          <w:b/>
          <w:bCs/>
          <w:color w:val="000000" w:themeColor="text1"/>
          <w:kern w:val="0"/>
          <w:sz w:val="36"/>
          <w:szCs w:val="36"/>
          <w:rtl/>
          <w14:ligatures w14:val="none"/>
        </w:rPr>
        <w:t>3.1 اهداف الدراسة</w:t>
      </w:r>
      <w:bookmarkEnd w:id="6"/>
    </w:p>
    <w:p w14:paraId="7F5A197C" w14:textId="53B50890"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نطاق العمل وأوامر التغيير بأبعاده (التخطيط المسبق للنطاق، وإجراءات إدارة أوامر التغيير، والرقابة التعاقدية والمالية، وكفاءة التوثيق والاتصال بين أطراف العقد) على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3E90A741" w14:textId="77777777" w:rsidR="009241E8" w:rsidRPr="00D330B0" w:rsidRDefault="009241E8"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وتتفرع من هذا الهدف الرئيسي الأهداف الفرعية التالية</w:t>
      </w:r>
      <w:r w:rsidRPr="00D330B0">
        <w:rPr>
          <w:rFonts w:ascii="Simplified Arabic" w:eastAsia="Times New Roman" w:hAnsi="Simplified Arabic" w:cs="Simplified Arabic"/>
          <w:b/>
          <w:bCs/>
          <w:color w:val="000000" w:themeColor="text1"/>
          <w:kern w:val="0"/>
          <w:sz w:val="28"/>
          <w:szCs w:val="28"/>
          <w14:ligatures w14:val="none"/>
        </w:rPr>
        <w:t>:</w:t>
      </w:r>
    </w:p>
    <w:p w14:paraId="4E6D302B" w14:textId="0C5B288A" w:rsidR="009241E8" w:rsidRPr="00D330B0" w:rsidRDefault="009241E8" w:rsidP="00253519">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أولًا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التعرف على أثر التخطيط المسبق للنطاق على خفض التكاليف غير المخططة في عقود التشغيل والصيانة بالمشاريع الحكومية.</w:t>
      </w:r>
    </w:p>
    <w:p w14:paraId="4DDDCD5E" w14:textId="451D9C51" w:rsidR="009241E8" w:rsidRPr="00D330B0" w:rsidRDefault="009241E8" w:rsidP="00253519">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ثانيًا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التعرف على أثر إجراءات إدارة أوامر التغيير على خفض التكاليف غير المخططة في عقود التشغيل والصيانة بالمشاريع الحكومية.</w:t>
      </w:r>
    </w:p>
    <w:p w14:paraId="511C70A1" w14:textId="1C029782" w:rsidR="009241E8" w:rsidRPr="00D330B0" w:rsidRDefault="009241E8" w:rsidP="00253519">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ثالثًا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التعرف على أثر الرقابة التعاقدية والمالية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4B19B664" w14:textId="2A7B2607" w:rsidR="009241E8" w:rsidRPr="00D330B0" w:rsidRDefault="009241E8" w:rsidP="00253519">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رابعًا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التعرف على أثر كفاءة التوثيق والاتصال بين أطراف العقد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52AFE539" w14:textId="09ACA823" w:rsidR="009241E8" w:rsidRPr="00D330B0" w:rsidRDefault="009241E8" w:rsidP="00253519">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خامسًا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تقديم إطار مقترح لتطوير ممارسات إدارة نطاق العمل وأوامر التغيير بما يُسهم في الحدّ من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79DDB74D" w14:textId="77777777" w:rsidR="00253519" w:rsidRPr="00D330B0" w:rsidRDefault="00253519" w:rsidP="002535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584041"/>
      <w:r w:rsidRPr="00D330B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00930F72" w14:textId="49CE0DA4" w:rsidR="00253519" w:rsidRPr="00D330B0" w:rsidRDefault="00253519"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330B0">
        <w:rPr>
          <w:rFonts w:ascii="Simplified Arabic" w:eastAsia="Times New Roman" w:hAnsi="Simplified Arabic" w:cs="Simplified Arabic"/>
          <w:b/>
          <w:bCs/>
          <w:color w:val="000000" w:themeColor="text1"/>
          <w:kern w:val="0"/>
          <w:sz w:val="32"/>
          <w:szCs w:val="32"/>
          <w:rtl/>
          <w14:ligatures w14:val="none"/>
        </w:rPr>
        <w:t>السؤال الرئيسي:</w:t>
      </w:r>
    </w:p>
    <w:p w14:paraId="3169C351" w14:textId="512BDA1B"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ما أثر إدارة نطاق العمل وأوامر التغيير بأبعاده (التخطيط المسبق للنطاق، وإجراءات إدارة أوامر التغيير، والرقابة التعاقدية والمالية، وكفاءة التوثيق والاتصال بين أطراف العقد)</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على التكاليف غير المخططة في عقود التشغيل والصيانة بالمشاريع الحكومية؟</w:t>
      </w:r>
    </w:p>
    <w:p w14:paraId="4176D2EB"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514423"/>
      <w:r w:rsidRPr="00D330B0">
        <w:rPr>
          <w:rFonts w:ascii="Simplified Arabic" w:eastAsia="Times New Roman" w:hAnsi="Simplified Arabic" w:cs="Simplified Arabic"/>
          <w:b/>
          <w:bCs/>
          <w:color w:val="000000" w:themeColor="text1"/>
          <w:kern w:val="0"/>
          <w:sz w:val="32"/>
          <w:szCs w:val="32"/>
          <w:rtl/>
          <w14:ligatures w14:val="none"/>
        </w:rPr>
        <w:t>الأسئلة الفرعية</w:t>
      </w:r>
      <w:r w:rsidRPr="00D330B0">
        <w:rPr>
          <w:rFonts w:ascii="Simplified Arabic" w:eastAsia="Times New Roman" w:hAnsi="Simplified Arabic" w:cs="Simplified Arabic"/>
          <w:b/>
          <w:bCs/>
          <w:color w:val="000000" w:themeColor="text1"/>
          <w:kern w:val="0"/>
          <w:sz w:val="32"/>
          <w:szCs w:val="32"/>
          <w14:ligatures w14:val="none"/>
        </w:rPr>
        <w:t>:</w:t>
      </w:r>
      <w:bookmarkEnd w:id="8"/>
    </w:p>
    <w:p w14:paraId="068648B5" w14:textId="77777777"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السؤال الفرعي الأول</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ما أثر التخطيط المسبق للنطاق على خفض التكاليف غير المخططة في عقود التشغيل والصيانة بالمشاريع الحكومية؟</w:t>
      </w:r>
    </w:p>
    <w:p w14:paraId="689FF83B" w14:textId="77777777"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السؤال الفرعي الثاني</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ما أثر إجراءات إدارة أوامر التغيير على خفض التكاليف غير المخططة في عقود التشغيل والصيانة بالمشاريع الحكومية؟</w:t>
      </w:r>
    </w:p>
    <w:p w14:paraId="5C02DD47" w14:textId="77777777"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السؤال الفرعي الثالث</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ما أثر الرقابة التعاقدية والمالية على خفض التكاليف غير المخططة في عقود التشغيل والصيانة بالمشاريع الحكومية؟</w:t>
      </w:r>
    </w:p>
    <w:p w14:paraId="74EFD192" w14:textId="77777777"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السؤال الفرعي الرابع</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ما أثر كفاءة التوثيق والاتصال بين أطراف العقد على خفض التكاليف غير المخططة في عقود التشغيل والصيانة بالمشاريع الحكومية؟</w:t>
      </w:r>
    </w:p>
    <w:p w14:paraId="6CC3801B" w14:textId="12C63191" w:rsidR="009241E8" w:rsidRPr="00D330B0" w:rsidRDefault="009241E8" w:rsidP="00253519">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السؤال الفرعي الخامس</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ما الإطار المقترح لتطوير ممارسات إدارة نطاق العمل وأوامر التغيير بما يُسهم في الحدّ من التكاليف غير المخططة في عقود التشغيل والصيانة بالمشاريع الحكومية؟</w:t>
      </w:r>
    </w:p>
    <w:p w14:paraId="796C950E" w14:textId="0AADC0A4" w:rsidR="00253519"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584042"/>
      <w:r w:rsidRPr="00D330B0">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23A9B911" w14:textId="77777777" w:rsidR="009241E8" w:rsidRPr="00D330B0" w:rsidRDefault="009241E8" w:rsidP="00253519">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الفرض الرئيسي</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Times New Roman" w:eastAsia="Times New Roman" w:hAnsi="Times New Roman" w:cs="Times New Roman"/>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14:ligatures w14:val="none"/>
        </w:rPr>
        <w:t xml:space="preserve"> 0.05) </w:t>
      </w:r>
      <w:r w:rsidRPr="00D330B0">
        <w:rPr>
          <w:rFonts w:ascii="Simplified Arabic" w:eastAsia="Times New Roman" w:hAnsi="Simplified Arabic" w:cs="Simplified Arabic"/>
          <w:color w:val="000000" w:themeColor="text1"/>
          <w:kern w:val="0"/>
          <w:sz w:val="28"/>
          <w:szCs w:val="28"/>
          <w:rtl/>
          <w14:ligatures w14:val="none"/>
        </w:rPr>
        <w:t>لإدارة نطاق العمل وأوامر التغيير بأبعاده مجتمعة على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412D7866" w14:textId="77777777" w:rsidR="009241E8" w:rsidRPr="00D330B0" w:rsidRDefault="009241E8"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D330B0">
        <w:rPr>
          <w:rFonts w:ascii="Simplified Arabic" w:eastAsia="Times New Roman" w:hAnsi="Simplified Arabic" w:cs="Simplified Arabic"/>
          <w:b/>
          <w:bCs/>
          <w:color w:val="000000" w:themeColor="text1"/>
          <w:kern w:val="0"/>
          <w:sz w:val="28"/>
          <w:szCs w:val="28"/>
          <w14:ligatures w14:val="none"/>
        </w:rPr>
        <w:t>:</w:t>
      </w:r>
    </w:p>
    <w:p w14:paraId="0870B5E1" w14:textId="77777777" w:rsidR="009241E8" w:rsidRPr="00D330B0" w:rsidRDefault="009241E8" w:rsidP="00253519">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الفرض الفرعي الأول</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Times New Roman" w:eastAsia="Times New Roman" w:hAnsi="Times New Roman" w:cs="Times New Roman"/>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14:ligatures w14:val="none"/>
        </w:rPr>
        <w:t xml:space="preserve"> 0.05) </w:t>
      </w:r>
      <w:r w:rsidRPr="00D330B0">
        <w:rPr>
          <w:rFonts w:ascii="Simplified Arabic" w:eastAsia="Times New Roman" w:hAnsi="Simplified Arabic" w:cs="Simplified Arabic"/>
          <w:color w:val="000000" w:themeColor="text1"/>
          <w:kern w:val="0"/>
          <w:sz w:val="28"/>
          <w:szCs w:val="28"/>
          <w:rtl/>
          <w14:ligatures w14:val="none"/>
        </w:rPr>
        <w:t>للتخطيط المسبق للنطاق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66FE1D87" w14:textId="77777777" w:rsidR="009241E8" w:rsidRPr="00D330B0" w:rsidRDefault="009241E8" w:rsidP="00253519">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الفرض الفرعي الثاني</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Times New Roman" w:eastAsia="Times New Roman" w:hAnsi="Times New Roman" w:cs="Times New Roman"/>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14:ligatures w14:val="none"/>
        </w:rPr>
        <w:t xml:space="preserve"> 0.05) </w:t>
      </w:r>
      <w:r w:rsidRPr="00D330B0">
        <w:rPr>
          <w:rFonts w:ascii="Simplified Arabic" w:eastAsia="Times New Roman" w:hAnsi="Simplified Arabic" w:cs="Simplified Arabic"/>
          <w:color w:val="000000" w:themeColor="text1"/>
          <w:kern w:val="0"/>
          <w:sz w:val="28"/>
          <w:szCs w:val="28"/>
          <w:rtl/>
          <w14:ligatures w14:val="none"/>
        </w:rPr>
        <w:t>لإجراءات إدارة أوامر التغيير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3DBFA500" w14:textId="77777777" w:rsidR="009241E8" w:rsidRPr="00D330B0" w:rsidRDefault="009241E8" w:rsidP="00253519">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الفرض الفرعي الثالث</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Times New Roman" w:eastAsia="Times New Roman" w:hAnsi="Times New Roman" w:cs="Times New Roman"/>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14:ligatures w14:val="none"/>
        </w:rPr>
        <w:t xml:space="preserve"> 0.05) </w:t>
      </w:r>
      <w:r w:rsidRPr="00D330B0">
        <w:rPr>
          <w:rFonts w:ascii="Simplified Arabic" w:eastAsia="Times New Roman" w:hAnsi="Simplified Arabic" w:cs="Simplified Arabic"/>
          <w:color w:val="000000" w:themeColor="text1"/>
          <w:kern w:val="0"/>
          <w:sz w:val="28"/>
          <w:szCs w:val="28"/>
          <w:rtl/>
          <w14:ligatures w14:val="none"/>
        </w:rPr>
        <w:t>للرقابة التعاقدية والمالية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7C29CC7C" w14:textId="77777777" w:rsidR="009241E8" w:rsidRPr="00D330B0" w:rsidRDefault="009241E8" w:rsidP="00253519">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الفرض الفرعي الرابع</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Times New Roman" w:eastAsia="Times New Roman" w:hAnsi="Times New Roman" w:cs="Times New Roman"/>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14:ligatures w14:val="none"/>
        </w:rPr>
        <w:t xml:space="preserve"> 0.05) </w:t>
      </w:r>
      <w:r w:rsidRPr="00D330B0">
        <w:rPr>
          <w:rFonts w:ascii="Simplified Arabic" w:eastAsia="Times New Roman" w:hAnsi="Simplified Arabic" w:cs="Simplified Arabic"/>
          <w:color w:val="000000" w:themeColor="text1"/>
          <w:kern w:val="0"/>
          <w:sz w:val="28"/>
          <w:szCs w:val="28"/>
          <w:rtl/>
          <w14:ligatures w14:val="none"/>
        </w:rPr>
        <w:t>لكفاءة التوثيق والاتصال بين أطراف العقد على خفض التكاليف غير المخططة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3C5DA382" w14:textId="77777777" w:rsidR="00253519" w:rsidRPr="00D330B0" w:rsidRDefault="00253519" w:rsidP="002535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584043"/>
      <w:r w:rsidRPr="00D330B0">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561AA8C4" w14:textId="6F567A3B" w:rsidR="00253519" w:rsidRPr="00D330B0" w:rsidRDefault="00253519"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330B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2EEE6211" w14:textId="6599BDFE" w:rsidR="009241E8" w:rsidRPr="00D330B0" w:rsidRDefault="009241E8" w:rsidP="00253519">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تُسهم هذه الدراسة في سدّ فجوة بحثية واضحة في الأدبيات العربية والأجنبية، إذ أن الربط المباشر بين إدارة نطاق العمل وأوامر التغيير كمتغير مستقل والتكاليف غير المخططة في عقود التشغيل والصيانة </w:t>
      </w:r>
      <w:r w:rsidRPr="00D330B0">
        <w:rPr>
          <w:rFonts w:ascii="Simplified Arabic" w:eastAsia="Times New Roman" w:hAnsi="Simplified Arabic" w:cs="Simplified Arabic"/>
          <w:color w:val="000000" w:themeColor="text1"/>
          <w:kern w:val="0"/>
          <w:sz w:val="28"/>
          <w:szCs w:val="28"/>
          <w:rtl/>
          <w14:ligatures w14:val="none"/>
        </w:rPr>
        <w:lastRenderedPageBreak/>
        <w:t>كمتغير تابع لم يُتناول بشكل متكامل في دراسة واحدة، فمعظم الدراسات السابقة تناولت كل متغير على حدة أو ربطته بمتغيرات مختلفة كتجاوز التكاليف الإنشائية أو التأخير الزمني دون التطرق إلى مرحلة ما بعد التسليم</w:t>
      </w:r>
      <w:r w:rsidRPr="00D330B0">
        <w:rPr>
          <w:rFonts w:ascii="Simplified Arabic" w:eastAsia="Times New Roman" w:hAnsi="Simplified Arabic" w:cs="Simplified Arabic"/>
          <w:color w:val="000000" w:themeColor="text1"/>
          <w:kern w:val="0"/>
          <w:sz w:val="28"/>
          <w:szCs w:val="28"/>
          <w14:ligatures w14:val="none"/>
        </w:rPr>
        <w:t>.</w:t>
      </w:r>
    </w:p>
    <w:p w14:paraId="0A34EA84" w14:textId="26651359" w:rsidR="009241E8" w:rsidRPr="00D330B0" w:rsidRDefault="009241E8" w:rsidP="00253519">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تُقدّم الدراسة إطارًا نظريًا يجمع بين أدبيات إدارة نطاق المشروع ونظريات إدارة الصيانة والموثوقية، مما يُتيح فهمًا أعمق للعلاقة السببية بين القرارات المتخذة في مرحلة التعاقد والتنفيذ وانعكاساتها على التكاليف التشغيلية اللاحقة، ويفتح آفاقًا جديدة للباحثين لتطوير نماذج تنبؤية تربط بين متغيرات مرحلة التشييد ومخرجات مرحلة التشغيل</w:t>
      </w:r>
      <w:r w:rsidRPr="00D330B0">
        <w:rPr>
          <w:rFonts w:ascii="Simplified Arabic" w:eastAsia="Times New Roman" w:hAnsi="Simplified Arabic" w:cs="Simplified Arabic"/>
          <w:color w:val="000000" w:themeColor="text1"/>
          <w:kern w:val="0"/>
          <w:sz w:val="28"/>
          <w:szCs w:val="28"/>
          <w14:ligatures w14:val="none"/>
        </w:rPr>
        <w:t>.</w:t>
      </w:r>
    </w:p>
    <w:p w14:paraId="71F7717B" w14:textId="7FD5A40B" w:rsidR="009241E8" w:rsidRPr="00D330B0" w:rsidRDefault="009241E8" w:rsidP="00253519">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تفتح نتائج الدراسة المجال أمام بحوث مستقبلية تتناول متغيرات وسيطة ومعدّلة كدور التقنيات الرقمية</w:t>
      </w:r>
      <w:r w:rsidRPr="00D330B0">
        <w:rPr>
          <w:rFonts w:ascii="Simplified Arabic" w:eastAsia="Times New Roman" w:hAnsi="Simplified Arabic" w:cs="Simplified Arabic"/>
          <w:color w:val="000000" w:themeColor="text1"/>
          <w:kern w:val="0"/>
          <w:sz w:val="28"/>
          <w:szCs w:val="28"/>
          <w14:ligatures w14:val="none"/>
        </w:rPr>
        <w:t xml:space="preserve"> (BIM</w:t>
      </w:r>
      <w:r w:rsidRPr="00D330B0">
        <w:rPr>
          <w:rFonts w:ascii="Simplified Arabic" w:eastAsia="Times New Roman" w:hAnsi="Simplified Arabic" w:cs="Simplified Arabic"/>
          <w:color w:val="000000" w:themeColor="text1"/>
          <w:kern w:val="0"/>
          <w:sz w:val="28"/>
          <w:szCs w:val="28"/>
          <w:rtl/>
          <w14:ligatures w14:val="none"/>
        </w:rPr>
        <w:t>، إنترنت الأشياء</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في التخفيف من أثر أوامر التغيير على التكاليف غير المخططة، أو أثر نوع العقد وطريقة التسليم على هذه العلاقة</w:t>
      </w:r>
      <w:r w:rsidRPr="00D330B0">
        <w:rPr>
          <w:rFonts w:ascii="Simplified Arabic" w:eastAsia="Times New Roman" w:hAnsi="Simplified Arabic" w:cs="Simplified Arabic"/>
          <w:color w:val="000000" w:themeColor="text1"/>
          <w:kern w:val="0"/>
          <w:sz w:val="28"/>
          <w:szCs w:val="28"/>
          <w14:ligatures w14:val="none"/>
        </w:rPr>
        <w:t>.</w:t>
      </w:r>
    </w:p>
    <w:p w14:paraId="3CC97B23"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514427"/>
      <w:r w:rsidRPr="00D330B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1"/>
    </w:p>
    <w:p w14:paraId="1885C682" w14:textId="7B19F5E2" w:rsidR="009241E8" w:rsidRPr="00D330B0" w:rsidRDefault="009241E8" w:rsidP="00253519">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تُقدّم الدراسة توصيات عملية مبنية على أدلة إحصائية تُمكّن مسؤولي إدارات المشاريع والعقود في الجهات الحكومية من تحديد أولويات التحسين في ممارسات إدارة النطاق وأوامر التغيير، وتوجيه الموارد نحو الأبعاد الأكثر تأثيرًا على خفض التكاليف غير المخططة</w:t>
      </w:r>
      <w:r w:rsidRPr="00D330B0">
        <w:rPr>
          <w:rFonts w:ascii="Simplified Arabic" w:eastAsia="Times New Roman" w:hAnsi="Simplified Arabic" w:cs="Simplified Arabic"/>
          <w:color w:val="000000" w:themeColor="text1"/>
          <w:kern w:val="0"/>
          <w:sz w:val="28"/>
          <w:szCs w:val="28"/>
          <w14:ligatures w14:val="none"/>
        </w:rPr>
        <w:t>.</w:t>
      </w:r>
    </w:p>
    <w:p w14:paraId="5F1D2611" w14:textId="2475940A" w:rsidR="009241E8" w:rsidRPr="00D330B0" w:rsidRDefault="009241E8" w:rsidP="00253519">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في ظل التوجهات الحكومية نحو ترشيد الإنفاق وتحقيق الكفاءة المالية (كرؤية المملكة 2030 وتوجهات هيئة كفاءة الإنفاق والمشروعات الحكومية)، تُوفّر الدراسة رؤى تطبيقية حول كيفية الحدّ من الهدر المالي الناتج عن التكاليف غير المخططة في عقود التشغيل والصيانة التي تستنزف نسبة كبيرة من الميزانيات التشغيلية السنوية</w:t>
      </w:r>
      <w:r w:rsidRPr="00D330B0">
        <w:rPr>
          <w:rFonts w:ascii="Simplified Arabic" w:eastAsia="Times New Roman" w:hAnsi="Simplified Arabic" w:cs="Simplified Arabic"/>
          <w:color w:val="000000" w:themeColor="text1"/>
          <w:kern w:val="0"/>
          <w:sz w:val="28"/>
          <w:szCs w:val="28"/>
          <w14:ligatures w14:val="none"/>
        </w:rPr>
        <w:t>.</w:t>
      </w:r>
    </w:p>
    <w:p w14:paraId="7C4A46E5" w14:textId="0CDECB5D" w:rsidR="009241E8" w:rsidRPr="00D330B0" w:rsidRDefault="009241E8" w:rsidP="00253519">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يُمكن الاستفادة من نتائج الدراسة في تطوير أدلة إجرائية لإدارة أوامر التغيير ومراجعة الشروط التعاقدية في عقود التشغيل والصيانة، بما يتضمن آليات واضحة للرقابة المالية وحدود صلاحيات التعديل ومتطلبات التوثيق</w:t>
      </w:r>
      <w:r w:rsidRPr="00D330B0">
        <w:rPr>
          <w:rFonts w:ascii="Simplified Arabic" w:eastAsia="Times New Roman" w:hAnsi="Simplified Arabic" w:cs="Simplified Arabic"/>
          <w:color w:val="000000" w:themeColor="text1"/>
          <w:kern w:val="0"/>
          <w:sz w:val="28"/>
          <w:szCs w:val="28"/>
          <w14:ligatures w14:val="none"/>
        </w:rPr>
        <w:t>.</w:t>
      </w:r>
    </w:p>
    <w:p w14:paraId="488EAE89" w14:textId="5A2C69E7" w:rsidR="009241E8" w:rsidRPr="00D330B0" w:rsidRDefault="009241E8" w:rsidP="00253519">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تُمكّن الدراسة شركات المقاولات ومكاتب الاستشارات الهندسية من فهم الأبعاد الأكثر حساسية في إدارة النطاق وأوامر التغيير، مما يُساعدها على تحسين عملياتها الداخلية وتقليل المطالبات والنزاعات وتعزيز علاقتها مع الجهات المالكة</w:t>
      </w:r>
      <w:r w:rsidRPr="00D330B0">
        <w:rPr>
          <w:rFonts w:ascii="Simplified Arabic" w:eastAsia="Times New Roman" w:hAnsi="Simplified Arabic" w:cs="Simplified Arabic"/>
          <w:color w:val="000000" w:themeColor="text1"/>
          <w:kern w:val="0"/>
          <w:sz w:val="28"/>
          <w:szCs w:val="28"/>
          <w14:ligatures w14:val="none"/>
        </w:rPr>
        <w:t>.</w:t>
      </w:r>
    </w:p>
    <w:p w14:paraId="0AB41285" w14:textId="74E7A8D1" w:rsidR="009241E8" w:rsidRPr="00D330B0" w:rsidRDefault="009241E8" w:rsidP="00253519">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تُقدّم الدراسة إطارًا مقترحًا لتطوير ممارسات إدارة نطاق العمل وأوامر التغيير يمكن تبنّيه من قبل الجهات الحكومية والقطاع الخاص، يتضمن إجراءات محددة ومؤشرات أداء قابلة للقياس تُسهم في التحول من الصيانة التصحيحية المكلفة إلى الصيانة الوقائية والتنبؤية الأكثر كفاءة</w:t>
      </w:r>
      <w:r w:rsidRPr="00D330B0">
        <w:rPr>
          <w:rFonts w:ascii="Simplified Arabic" w:eastAsia="Times New Roman" w:hAnsi="Simplified Arabic" w:cs="Simplified Arabic"/>
          <w:color w:val="000000" w:themeColor="text1"/>
          <w:kern w:val="0"/>
          <w:sz w:val="28"/>
          <w:szCs w:val="28"/>
          <w14:ligatures w14:val="none"/>
        </w:rPr>
        <w:t>.</w:t>
      </w:r>
    </w:p>
    <w:p w14:paraId="1C9723EE" w14:textId="77777777" w:rsidR="00253519" w:rsidRPr="00D330B0" w:rsidRDefault="00253519" w:rsidP="002535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584044"/>
      <w:bookmarkStart w:id="13" w:name="_Toc169790501"/>
      <w:bookmarkEnd w:id="5"/>
      <w:r w:rsidRPr="00D330B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783F8D18" w14:textId="6D4A2904" w:rsidR="00253519" w:rsidRPr="00D330B0" w:rsidRDefault="00253519"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المحور الأول: الدراسات السابقة المتعلقة بالمتغير المستقل (إدارة نطاق العمل وأوامر التغيير)</w:t>
      </w:r>
    </w:p>
    <w:p w14:paraId="5C65E30C"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(أبو عامر، 2020)</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التكلفة الإضافية ومشروعات التشييد". </w:t>
      </w:r>
    </w:p>
    <w:p w14:paraId="44BE823C" w14:textId="4BC4297C"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مصادر التكلفة الإضافية بأبعادها (التغييرات في نطاق العمل، وقصور وثائق العقد، والظروف غير المتوقعة) على ميزانيات مشروعات التشييد. واستخدمت الدراسة المنهج الوصفي المسحي، وتكونت العينة من مجموعة من مشروعات التشييد المنفذة في المنطقة العربية. وتوصلت نتائج الدراسة إلى أن التغييرات في نطاق العمل تُعدّ المصدر الأول للتكلفة الإضافية، تليها أخطاء وثائق العقد والظروف الموقعية غير المتوقعة. وأوصت بضرورة الاهتمام بإدارة النطاق منذ مراحل التخطيط المبكرة وتطبيق نظم هندسة القيمة</w:t>
      </w:r>
      <w:r w:rsidRPr="00D330B0">
        <w:rPr>
          <w:rFonts w:ascii="Simplified Arabic" w:eastAsia="Times New Roman" w:hAnsi="Simplified Arabic" w:cs="Simplified Arabic"/>
          <w:color w:val="000000" w:themeColor="text1"/>
          <w:kern w:val="0"/>
          <w:sz w:val="28"/>
          <w:szCs w:val="28"/>
          <w14:ligatures w14:val="none"/>
        </w:rPr>
        <w:t>.</w:t>
      </w:r>
    </w:p>
    <w:p w14:paraId="3F7869FD"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(العثمان وآخرون، 2022)</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دراسة تحليلية لواقع ممارسات الشركات المقاولة المحلية لإدارة أوامر التعديل في مشاريع التشييد". </w:t>
      </w:r>
    </w:p>
    <w:p w14:paraId="61A900E8" w14:textId="0986F6FD"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واقع ممارسات إدارة أوامر التعديل بأبعادها (الأسباب التنظيمية، وأسباب التصميم، والأسباب التعاقدية) على أداء مشاريع التشييد في ليبيا. واستخدمت الدراسة المنهج الوصفي التحليلي، وتكونت العينة من (22) شركة مقاولات محلية عاملة في قطاع التشييد. وتوصلت نتائج الدراسة إلى أن أبرز أسباب أوامر التعديل تتمثل في التغييرات في متطلبات المالك وأخطاء التصميم، وأن هذه الأوامر تؤدي إلى تجاوز التكاليف والتأخير في الإنجاز. وأوصت بضرورة تطوير آليات مراجعة التصاميم قبل مرحلة التنفيذ</w:t>
      </w:r>
      <w:r w:rsidRPr="00D330B0">
        <w:rPr>
          <w:rFonts w:ascii="Simplified Arabic" w:eastAsia="Times New Roman" w:hAnsi="Simplified Arabic" w:cs="Simplified Arabic"/>
          <w:color w:val="000000" w:themeColor="text1"/>
          <w:kern w:val="0"/>
          <w:sz w:val="28"/>
          <w:szCs w:val="28"/>
          <w14:ligatures w14:val="none"/>
        </w:rPr>
        <w:t>.</w:t>
      </w:r>
    </w:p>
    <w:p w14:paraId="6FA0673C"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(Naji et al., 2022): "The Effect of Change-Order Management Factors on Construction Project Success". </w:t>
      </w:r>
    </w:p>
    <w:p w14:paraId="586DE3B6" w14:textId="77A5615A"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عوامل إدارة أوامر التغيير بأبعادها (إدارة الاتصالات والعلاقات، وتسوية النزاعات، والقضايا المالية، والتوثيق، والمشتريات، والتصميم، وإدارة الجودة) على نجاح المشاريع الإنشائية. واستخدمت الدراسة منهج نمذجة المعادلات الهيكلية بالمربعات الصغرى الجزئية</w:t>
      </w:r>
      <w:r w:rsidRPr="00D330B0">
        <w:rPr>
          <w:rFonts w:ascii="Simplified Arabic" w:eastAsia="Times New Roman" w:hAnsi="Simplified Arabic" w:cs="Simplified Arabic"/>
          <w:color w:val="000000" w:themeColor="text1"/>
          <w:kern w:val="0"/>
          <w:sz w:val="28"/>
          <w:szCs w:val="28"/>
          <w14:ligatures w14:val="none"/>
        </w:rPr>
        <w:t xml:space="preserve"> (PLS-SEM)</w:t>
      </w:r>
      <w:r w:rsidRPr="00D330B0">
        <w:rPr>
          <w:rFonts w:ascii="Simplified Arabic" w:eastAsia="Times New Roman" w:hAnsi="Simplified Arabic" w:cs="Simplified Arabic"/>
          <w:color w:val="000000" w:themeColor="text1"/>
          <w:kern w:val="0"/>
          <w:sz w:val="28"/>
          <w:szCs w:val="28"/>
          <w:rtl/>
          <w14:ligatures w14:val="none"/>
        </w:rPr>
        <w:t>، وتكونت العينة من (334) متخصصًا في مجال التشييد. وتوصلت نتائج الدراسة إلى أن عوامل أداء إدارة أوامر التغيير مسؤولة عن 66.5% من أداء المشروع</w:t>
      </w:r>
      <w:r w:rsidRPr="00D330B0">
        <w:rPr>
          <w:rFonts w:ascii="Simplified Arabic" w:eastAsia="Times New Roman" w:hAnsi="Simplified Arabic" w:cs="Simplified Arabic"/>
          <w:color w:val="000000" w:themeColor="text1"/>
          <w:kern w:val="0"/>
          <w:sz w:val="28"/>
          <w:szCs w:val="28"/>
          <w14:ligatures w14:val="none"/>
        </w:rPr>
        <w:t xml:space="preserve"> (R² = 0.665)</w:t>
      </w:r>
      <w:r w:rsidRPr="00D330B0">
        <w:rPr>
          <w:rFonts w:ascii="Simplified Arabic" w:eastAsia="Times New Roman" w:hAnsi="Simplified Arabic" w:cs="Simplified Arabic"/>
          <w:color w:val="000000" w:themeColor="text1"/>
          <w:kern w:val="0"/>
          <w:sz w:val="28"/>
          <w:szCs w:val="28"/>
          <w:rtl/>
          <w14:ligatures w14:val="none"/>
        </w:rPr>
        <w:t>، وأن إدارة الاتصالات والعلاقات وتسوية النزاعات والقضايا المالية لها الأثر الأكبر بقيم تشبع</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Cambria" w:eastAsia="Times New Roman" w:hAnsi="Cambria" w:cs="Cambria"/>
          <w:color w:val="000000" w:themeColor="text1"/>
          <w:kern w:val="0"/>
          <w:sz w:val="28"/>
          <w:szCs w:val="28"/>
          <w14:ligatures w14:val="none"/>
        </w:rPr>
        <w:t>β</w:t>
      </w:r>
      <w:r w:rsidRPr="00D330B0">
        <w:rPr>
          <w:rFonts w:ascii="Simplified Arabic" w:eastAsia="Times New Roman" w:hAnsi="Simplified Arabic" w:cs="Simplified Arabic"/>
          <w:color w:val="000000" w:themeColor="text1"/>
          <w:kern w:val="0"/>
          <w:sz w:val="28"/>
          <w:szCs w:val="28"/>
          <w14:ligatures w14:val="none"/>
        </w:rPr>
        <w:t xml:space="preserve"> = 0.433, 0.432, 0.422) </w:t>
      </w:r>
      <w:r w:rsidRPr="00D330B0">
        <w:rPr>
          <w:rFonts w:ascii="Simplified Arabic" w:eastAsia="Times New Roman" w:hAnsi="Simplified Arabic" w:cs="Simplified Arabic"/>
          <w:color w:val="000000" w:themeColor="text1"/>
          <w:kern w:val="0"/>
          <w:sz w:val="28"/>
          <w:szCs w:val="28"/>
          <w:rtl/>
          <w14:ligatures w14:val="none"/>
        </w:rPr>
        <w:t>على التوالي. وأوصت بأن يستخدم أطراف المشروع النموذج الكمي المقترح لتخطيط وإدارة ومراقبة أداء أوامر التغيير</w:t>
      </w:r>
      <w:r w:rsidRPr="00D330B0">
        <w:rPr>
          <w:rFonts w:ascii="Simplified Arabic" w:eastAsia="Times New Roman" w:hAnsi="Simplified Arabic" w:cs="Simplified Arabic"/>
          <w:color w:val="000000" w:themeColor="text1"/>
          <w:kern w:val="0"/>
          <w:sz w:val="28"/>
          <w:szCs w:val="28"/>
          <w14:ligatures w14:val="none"/>
        </w:rPr>
        <w:t>.</w:t>
      </w:r>
    </w:p>
    <w:p w14:paraId="1E94C3F1"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(Ajmal et al., 2022): "Managing Project Scope Creep in Construction Industry". </w:t>
      </w:r>
    </w:p>
    <w:p w14:paraId="73888BF3" w14:textId="4C2DACF9"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المسببة لزحف نطاق المشروع بأبعادها (المهام والمواصفات، ومتطلبات أصحاب المصلحة، والتواصل، والتخطيط، والتعقيد وعدم اليقين) على نجاح مشاريع التشييد في دولة الإمارات العربية المتحدة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واستخدمت الدراسة المنهج الكمي المسحي مع التحليل العاملي الاستكشافي</w:t>
      </w:r>
      <w:r w:rsidRPr="00D330B0">
        <w:rPr>
          <w:rFonts w:ascii="Simplified Arabic" w:eastAsia="Times New Roman" w:hAnsi="Simplified Arabic" w:cs="Simplified Arabic"/>
          <w:color w:val="000000" w:themeColor="text1"/>
          <w:kern w:val="0"/>
          <w:sz w:val="28"/>
          <w:szCs w:val="28"/>
          <w14:ligatures w14:val="none"/>
        </w:rPr>
        <w:t xml:space="preserve"> (EFA) </w:t>
      </w:r>
      <w:r w:rsidRPr="00D330B0">
        <w:rPr>
          <w:rFonts w:ascii="Simplified Arabic" w:eastAsia="Times New Roman" w:hAnsi="Simplified Arabic" w:cs="Simplified Arabic"/>
          <w:color w:val="000000" w:themeColor="text1"/>
          <w:kern w:val="0"/>
          <w:sz w:val="28"/>
          <w:szCs w:val="28"/>
          <w:rtl/>
          <w14:ligatures w14:val="none"/>
        </w:rPr>
        <w:t>والتحليل العاملي التوكيدي</w:t>
      </w:r>
      <w:r w:rsidRPr="00D330B0">
        <w:rPr>
          <w:rFonts w:ascii="Simplified Arabic" w:eastAsia="Times New Roman" w:hAnsi="Simplified Arabic" w:cs="Simplified Arabic"/>
          <w:color w:val="000000" w:themeColor="text1"/>
          <w:kern w:val="0"/>
          <w:sz w:val="28"/>
          <w:szCs w:val="28"/>
          <w14:ligatures w14:val="none"/>
        </w:rPr>
        <w:t xml:space="preserve"> (CFA)</w:t>
      </w:r>
      <w:r w:rsidRPr="00D330B0">
        <w:rPr>
          <w:rFonts w:ascii="Simplified Arabic" w:eastAsia="Times New Roman" w:hAnsi="Simplified Arabic" w:cs="Simplified Arabic"/>
          <w:color w:val="000000" w:themeColor="text1"/>
          <w:kern w:val="0"/>
          <w:sz w:val="28"/>
          <w:szCs w:val="28"/>
          <w:rtl/>
          <w14:ligatures w14:val="none"/>
        </w:rPr>
        <w:t>، وتكونت العينة من مجموعة من المشاريع الإنشائية الكبرى في الإمارات. وتوصلت نتائج الدراسة إلى تحديد خمسة عوامل رئيسية مسببة لزحف النطاق، حيث كان لعامل المهام والمواصفات الأثر الأكبر، بينما كان لعامل التعقيد وعدم اليقين الأثر الأقل. وأوصت بضرورة تعزيز عمليات التخطيط المبكر وإشراك أصحاب المصلحة في تحديد النطاق</w:t>
      </w:r>
      <w:r w:rsidRPr="00D330B0">
        <w:rPr>
          <w:rFonts w:ascii="Simplified Arabic" w:eastAsia="Times New Roman" w:hAnsi="Simplified Arabic" w:cs="Simplified Arabic"/>
          <w:color w:val="000000" w:themeColor="text1"/>
          <w:kern w:val="0"/>
          <w:sz w:val="28"/>
          <w:szCs w:val="28"/>
          <w14:ligatures w14:val="none"/>
        </w:rPr>
        <w:t>.</w:t>
      </w:r>
    </w:p>
    <w:p w14:paraId="48203C99"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(Ahmed et al., 2022): "Administering Change Orders in Highway Projects". </w:t>
      </w:r>
    </w:p>
    <w:p w14:paraId="0818421D" w14:textId="17C18D94"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الجوانب التعاقدية لأوامر التغيير بأبعادها (التعريفات والمصطلحات وعملياتها، وإجراءات الموافقة وفقًا للأحكام التعاقدية، وإجراءات الموافقة في ضوء القوانين المعمول بها) على إدارة مشاريع الطرق السريعة في ولاية أوهايو الأمريكية</w:t>
      </w:r>
      <w:r w:rsidRPr="00D330B0">
        <w:rPr>
          <w:rFonts w:ascii="Simplified Arabic" w:eastAsia="Times New Roman" w:hAnsi="Simplified Arabic" w:cs="Simplified Arabic"/>
          <w:color w:val="000000" w:themeColor="text1"/>
          <w:kern w:val="0"/>
          <w:sz w:val="28"/>
          <w:szCs w:val="28"/>
          <w14:ligatures w14:val="none"/>
        </w:rPr>
        <w:t xml:space="preserve"> (ODOT). </w:t>
      </w:r>
      <w:r w:rsidRPr="00D330B0">
        <w:rPr>
          <w:rFonts w:ascii="Simplified Arabic" w:eastAsia="Times New Roman" w:hAnsi="Simplified Arabic" w:cs="Simplified Arabic"/>
          <w:color w:val="000000" w:themeColor="text1"/>
          <w:kern w:val="0"/>
          <w:sz w:val="28"/>
          <w:szCs w:val="28"/>
          <w:rtl/>
          <w14:ligatures w14:val="none"/>
        </w:rPr>
        <w:t>واستخدمت الدراسة منهجًا بحثيًا متكاملًا يشمل تحليل دراسات الحالة والمراجعة التعاقدية مع التحقق من خبراء</w:t>
      </w:r>
      <w:r w:rsidRPr="00D330B0">
        <w:rPr>
          <w:rFonts w:ascii="Simplified Arabic" w:eastAsia="Times New Roman" w:hAnsi="Simplified Arabic" w:cs="Simplified Arabic"/>
          <w:color w:val="000000" w:themeColor="text1"/>
          <w:kern w:val="0"/>
          <w:sz w:val="28"/>
          <w:szCs w:val="28"/>
          <w14:ligatures w14:val="none"/>
        </w:rPr>
        <w:t xml:space="preserve"> ODOT </w:t>
      </w:r>
      <w:r w:rsidRPr="00D330B0">
        <w:rPr>
          <w:rFonts w:ascii="Simplified Arabic" w:eastAsia="Times New Roman" w:hAnsi="Simplified Arabic" w:cs="Simplified Arabic"/>
          <w:color w:val="000000" w:themeColor="text1"/>
          <w:kern w:val="0"/>
          <w:sz w:val="28"/>
          <w:szCs w:val="28"/>
          <w:rtl/>
          <w14:ligatures w14:val="none"/>
        </w:rPr>
        <w:t>بمتوسط خبرة 30 عامًا، وتكونت العينة من (10) دراسات حالة لمشاريع</w:t>
      </w:r>
      <w:r w:rsidRPr="00D330B0">
        <w:rPr>
          <w:rFonts w:ascii="Simplified Arabic" w:eastAsia="Times New Roman" w:hAnsi="Simplified Arabic" w:cs="Simplified Arabic"/>
          <w:color w:val="000000" w:themeColor="text1"/>
          <w:kern w:val="0"/>
          <w:sz w:val="28"/>
          <w:szCs w:val="28"/>
          <w14:ligatures w14:val="none"/>
        </w:rPr>
        <w:t xml:space="preserve"> ODOT. </w:t>
      </w:r>
      <w:r w:rsidRPr="00D330B0">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التحديات </w:t>
      </w:r>
      <w:r w:rsidRPr="00D330B0">
        <w:rPr>
          <w:rFonts w:ascii="Simplified Arabic" w:eastAsia="Times New Roman" w:hAnsi="Simplified Arabic" w:cs="Simplified Arabic"/>
          <w:color w:val="000000" w:themeColor="text1"/>
          <w:kern w:val="0"/>
          <w:sz w:val="28"/>
          <w:szCs w:val="28"/>
          <w:rtl/>
          <w14:ligatures w14:val="none"/>
        </w:rPr>
        <w:lastRenderedPageBreak/>
        <w:t>التعاقدية الرئيسية لأوامر التغيير تنتج عن سوء فهم التعريفات وعملياتها، وإجراءات الموافقة التعاقدية والقانونية، وقدّمت قائمة بالفرص والمخاطر وأسئلة مرجعية تعاقدية. وأوصت بضرورة فهم الأطراف المتعاقدة الكامل للتعريفات والإجراءات التعاقدية لتسهيل إدارة أوامر التغيير وتجنب النزاعات</w:t>
      </w:r>
      <w:r w:rsidRPr="00D330B0">
        <w:rPr>
          <w:rFonts w:ascii="Simplified Arabic" w:eastAsia="Times New Roman" w:hAnsi="Simplified Arabic" w:cs="Simplified Arabic"/>
          <w:color w:val="000000" w:themeColor="text1"/>
          <w:kern w:val="0"/>
          <w:sz w:val="28"/>
          <w:szCs w:val="28"/>
          <w14:ligatures w14:val="none"/>
        </w:rPr>
        <w:t>.</w:t>
      </w:r>
    </w:p>
    <w:p w14:paraId="776131FE"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(البريني، 2023)</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أوامر التغيير ودورها في حماية المال العام في ضوء قانون المناقصات العامة الكويتي". </w:t>
      </w:r>
    </w:p>
    <w:p w14:paraId="0D71E30F" w14:textId="66C7C532"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الطبيعة القانونية لأوامر التغيير بأبعادها (الضوابط العامة لإصدارها، والضوابط الإجرائية، ورقابة القضاء عليها) على حماية المال العام في العقود الإدارية. واستخدمت الدراسة المنهج التحليلي الاستقرائي لنصوص قانون المناقصات العامة الكويتي رقم 49 لسنة </w:t>
      </w:r>
      <w:r w:rsidRPr="00D330B0">
        <w:rPr>
          <w:rFonts w:ascii="Simplified Arabic" w:eastAsia="Times New Roman" w:hAnsi="Simplified Arabic" w:cs="Simplified Arabic"/>
          <w:color w:val="000000" w:themeColor="text1"/>
          <w:kern w:val="0"/>
          <w:sz w:val="28"/>
          <w:szCs w:val="28"/>
          <w14:ligatures w14:val="none"/>
        </w:rPr>
        <w:t xml:space="preserve">2016 </w:t>
      </w:r>
      <w:r w:rsidRPr="00D330B0">
        <w:rPr>
          <w:rFonts w:ascii="Simplified Arabic" w:eastAsia="Times New Roman" w:hAnsi="Simplified Arabic" w:cs="Simplified Arabic"/>
          <w:color w:val="000000" w:themeColor="text1"/>
          <w:kern w:val="0"/>
          <w:sz w:val="28"/>
          <w:szCs w:val="28"/>
          <w:rtl/>
          <w14:ligatures w14:val="none"/>
        </w:rPr>
        <w:t>واجتهادات القضاء الإداري الكويتي. وتكونت عينة الدراسة من نصوص تشريعية وأحكام قضائية ذات صلة بأوامر التغيير. وتوصلت نتائج الدراسة إلى أن أوامر التغيير تُعدّ قرارات إدارية مرتبطة بالعملية التعاقدية وتخضع لرقابة قاضي العقد، وأن تجزئة أوامر التغيير للتهرب من الرقابة يمثّل خطرًا على المال العام. وأوصت بضرورة النص في اللائحة التنفيذية على تفصيل أوامر التغيير وإلزام الجهات الإدارية بعدم تجزئتها</w:t>
      </w:r>
      <w:r w:rsidRPr="00D330B0">
        <w:rPr>
          <w:rFonts w:ascii="Simplified Arabic" w:eastAsia="Times New Roman" w:hAnsi="Simplified Arabic" w:cs="Simplified Arabic"/>
          <w:color w:val="000000" w:themeColor="text1"/>
          <w:kern w:val="0"/>
          <w:sz w:val="28"/>
          <w:szCs w:val="28"/>
          <w14:ligatures w14:val="none"/>
        </w:rPr>
        <w:t>.</w:t>
      </w:r>
    </w:p>
    <w:p w14:paraId="6B49E78D"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(أبو عامر وآخرون، 2024)</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الأوامر التغييرية وأثرها على كلفة المشروع". </w:t>
      </w:r>
    </w:p>
    <w:p w14:paraId="6321EE61" w14:textId="0D450742"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أثر الأوامر التغييرية بأبعادها (التعديلات في الكميات، والبنود الجديدة، والحذف من نطاق العمل) على كلفة مشاريع التشييد. واستخدمت الدراسة المنهج الوصفي التحليلي، وتكونت العينة من مجموعة من المشاريع الإنشائية وعقودها في قطاع المقاولات. وتوصلت نتائج الدراسة إلى أن الأوامر التغييرية تُسهم بشكل مباشر في رفع كلفة المشاريع بنسب تتراوح بحسب حجم التعديلات ونوعها، وأن ضعف إعداد وثائق المناقصة يُعدّ من أبرز مسببات أوامر التغيير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وأوصت الدراسة بضرورة تحسين جودة وثائق التصميم والمناقصة للحدّ من الأوامر التغييرية وآثارها المالية</w:t>
      </w:r>
      <w:r w:rsidRPr="00D330B0">
        <w:rPr>
          <w:rFonts w:ascii="Simplified Arabic" w:eastAsia="Times New Roman" w:hAnsi="Simplified Arabic" w:cs="Simplified Arabic"/>
          <w:color w:val="000000" w:themeColor="text1"/>
          <w:kern w:val="0"/>
          <w:sz w:val="28"/>
          <w:szCs w:val="28"/>
          <w14:ligatures w14:val="none"/>
        </w:rPr>
        <w:t>.</w:t>
      </w:r>
    </w:p>
    <w:p w14:paraId="2C342C58"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(الشربيني، 2024)</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تطوير إدارة أوامر التغيير خلال مرحلة التنفيذ للمشروعات الحكومية في مصر". </w:t>
      </w:r>
    </w:p>
    <w:p w14:paraId="072F065C" w14:textId="6895FCBD"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سبل تطوير إدارة أوامر التغيير بأبعادها (الإجراءات الإدارية، والرقابة المالية، وآليات الاعتماد) على أداء المشروعات الحكومية في مصر خلال مرحلة التنفيذ. واستخدمت الدراسة </w:t>
      </w:r>
      <w:r w:rsidRPr="00D330B0">
        <w:rPr>
          <w:rFonts w:ascii="Simplified Arabic" w:eastAsia="Times New Roman" w:hAnsi="Simplified Arabic" w:cs="Simplified Arabic"/>
          <w:color w:val="000000" w:themeColor="text1"/>
          <w:kern w:val="0"/>
          <w:sz w:val="28"/>
          <w:szCs w:val="28"/>
          <w:rtl/>
          <w14:ligatures w14:val="none"/>
        </w:rPr>
        <w:lastRenderedPageBreak/>
        <w:t>منهج دراسة الحالة والمنهج التحليلي، وتكونت العينة من مشروعات حكومية منفذة في مصر. وتوصلت نتائج الدراسة إلى أن غياب إطار إجرائي موحد لإدارة أوامر التغيير يُفضي إلى تجاوزات مالية وتأخر في التنفيذ، وأن تبني نموذج متكامل لإدارة التغيير يُسهم في ضبط التكاليف والجداول الزمنية. وأوصت بتطوير دليل إجرائي موحد لإدارة أوامر التغيير في المشروعات الحكومية</w:t>
      </w:r>
      <w:r w:rsidRPr="00D330B0">
        <w:rPr>
          <w:rFonts w:ascii="Simplified Arabic" w:eastAsia="Times New Roman" w:hAnsi="Simplified Arabic" w:cs="Simplified Arabic"/>
          <w:color w:val="000000" w:themeColor="text1"/>
          <w:kern w:val="0"/>
          <w:sz w:val="28"/>
          <w:szCs w:val="28"/>
          <w14:ligatures w14:val="none"/>
        </w:rPr>
        <w:t>.</w:t>
      </w:r>
    </w:p>
    <w:p w14:paraId="5908EA29"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(Ismaeil &amp; Sobaih, 2024): "A Proposed Model for Variation Order Management in Construction Projects". </w:t>
      </w:r>
    </w:p>
    <w:p w14:paraId="5590B931" w14:textId="460C15F0"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أسباب أوامر التغيير واقتراح نموذج متكامل لإدارتها بأبعاده (مرحلة البدء، ومرحلة معالجة أوامر التغيير، ومرحلة القرار) على ضبط تجاوز التكلفة والوقت في مشاريع التشييد بالمملكة العربية السعودية. واستخدمت الدراسة المنهج التحليلي الكمي مع المقابلات، وتكونت العينة من (10) مشاريع تشييد منفذة في حرم جامعة الملك فيصل بتكلفة إجمالية تجاوزت 1.19 مليار ريال سعودي وبعدد (103) أوامر تغيير. وتوصلت نتائج الدراسة إلى أن 81% من التصاميم الأصلية تعرضت لتغييرات، وأن إجمالي نسبة التغيير بلغت 7.13%، وأن ضعف إعداد وثائق المناقصة من قبل المصمم يُعدّ السبب الرئيسي. وأوصت بتطبيق نموذج إدارة أوامر التغيير</w:t>
      </w:r>
      <w:r w:rsidRPr="00D330B0">
        <w:rPr>
          <w:rFonts w:ascii="Simplified Arabic" w:eastAsia="Times New Roman" w:hAnsi="Simplified Arabic" w:cs="Simplified Arabic"/>
          <w:color w:val="000000" w:themeColor="text1"/>
          <w:kern w:val="0"/>
          <w:sz w:val="28"/>
          <w:szCs w:val="28"/>
          <w14:ligatures w14:val="none"/>
        </w:rPr>
        <w:t xml:space="preserve"> (VOM) </w:t>
      </w:r>
      <w:r w:rsidRPr="00D330B0">
        <w:rPr>
          <w:rFonts w:ascii="Simplified Arabic" w:eastAsia="Times New Roman" w:hAnsi="Simplified Arabic" w:cs="Simplified Arabic"/>
          <w:color w:val="000000" w:themeColor="text1"/>
          <w:kern w:val="0"/>
          <w:sz w:val="28"/>
          <w:szCs w:val="28"/>
          <w:rtl/>
          <w14:ligatures w14:val="none"/>
        </w:rPr>
        <w:t>الذي أسهم بعد تطبيقه على المشاريع المتبقية (32 مشروعًا) في خفض معدل التغيير بنسبة 68</w:t>
      </w:r>
      <w:r w:rsidRPr="00D330B0">
        <w:rPr>
          <w:rFonts w:ascii="Simplified Arabic" w:eastAsia="Times New Roman" w:hAnsi="Simplified Arabic" w:cs="Simplified Arabic"/>
          <w:color w:val="000000" w:themeColor="text1"/>
          <w:kern w:val="0"/>
          <w:sz w:val="28"/>
          <w:szCs w:val="28"/>
          <w14:ligatures w14:val="none"/>
        </w:rPr>
        <w:t>%.</w:t>
      </w:r>
    </w:p>
    <w:p w14:paraId="05344652"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(Alsulami, 2025): "Change Orders and Their Domino Effect: Insights from Public Construction Projects in the Kingdom of Saudi Arabia". </w:t>
      </w:r>
    </w:p>
    <w:p w14:paraId="2C1D600C" w14:textId="417A6A11"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أثر أوامر التغيير بأبعادها (عدد أوامر التغيير، ونسبة التكلفة، ونوع المشروع، والجهة المالكة) على تجاوز التكاليف والجداول الزمنية في المشاريع الإنشائية العامة بمنطقة مكة المكرمة. واستخدمت الدراسة المنهج الكمي الوصفي مع تحليل التباين</w:t>
      </w:r>
      <w:r w:rsidRPr="00D330B0">
        <w:rPr>
          <w:rFonts w:ascii="Simplified Arabic" w:eastAsia="Times New Roman" w:hAnsi="Simplified Arabic" w:cs="Simplified Arabic"/>
          <w:color w:val="000000" w:themeColor="text1"/>
          <w:kern w:val="0"/>
          <w:sz w:val="28"/>
          <w:szCs w:val="28"/>
          <w14:ligatures w14:val="none"/>
        </w:rPr>
        <w:t xml:space="preserve"> (ANOVA) </w:t>
      </w:r>
      <w:r w:rsidRPr="00D330B0">
        <w:rPr>
          <w:rFonts w:ascii="Simplified Arabic" w:eastAsia="Times New Roman" w:hAnsi="Simplified Arabic" w:cs="Simplified Arabic"/>
          <w:color w:val="000000" w:themeColor="text1"/>
          <w:kern w:val="0"/>
          <w:sz w:val="28"/>
          <w:szCs w:val="28"/>
          <w:rtl/>
          <w14:ligatures w14:val="none"/>
        </w:rPr>
        <w:t xml:space="preserve">والانحدار غير الخطي، وتكونت العينة من (32) مشروعًا إنشائيًا حكوميًا أُنجز بين عامي 2010 و2019. وتوصلت نتائج الدراسة إلى أن أوامر التغيير ارتبطت بتجاوزات في الجدول الزمني تراوحت بين 22% و200%، وزيادة في التكاليف تراوحت بين 2.67% و42.86%، وأن </w:t>
      </w:r>
      <w:r w:rsidRPr="00D330B0">
        <w:rPr>
          <w:rFonts w:ascii="Simplified Arabic" w:eastAsia="Times New Roman" w:hAnsi="Simplified Arabic" w:cs="Simplified Arabic"/>
          <w:color w:val="000000" w:themeColor="text1"/>
          <w:kern w:val="0"/>
          <w:sz w:val="28"/>
          <w:szCs w:val="28"/>
          <w14:ligatures w14:val="none"/>
        </w:rPr>
        <w:t xml:space="preserve">80.65% </w:t>
      </w:r>
      <w:r w:rsidRPr="00D330B0">
        <w:rPr>
          <w:rFonts w:ascii="Simplified Arabic" w:eastAsia="Times New Roman" w:hAnsi="Simplified Arabic" w:cs="Simplified Arabic"/>
          <w:color w:val="000000" w:themeColor="text1"/>
          <w:kern w:val="0"/>
          <w:sz w:val="28"/>
          <w:szCs w:val="28"/>
          <w:rtl/>
          <w14:ligatures w14:val="none"/>
        </w:rPr>
        <w:t>من المشاريع عانت من تجاوز التكاليف، وأن نتائج</w:t>
      </w:r>
      <w:r w:rsidRPr="00D330B0">
        <w:rPr>
          <w:rFonts w:ascii="Simplified Arabic" w:eastAsia="Times New Roman" w:hAnsi="Simplified Arabic" w:cs="Simplified Arabic"/>
          <w:color w:val="000000" w:themeColor="text1"/>
          <w:kern w:val="0"/>
          <w:sz w:val="28"/>
          <w:szCs w:val="28"/>
          <w14:ligatures w14:val="none"/>
        </w:rPr>
        <w:t xml:space="preserve"> ANOVA </w:t>
      </w:r>
      <w:r w:rsidRPr="00D330B0">
        <w:rPr>
          <w:rFonts w:ascii="Simplified Arabic" w:eastAsia="Times New Roman" w:hAnsi="Simplified Arabic" w:cs="Simplified Arabic"/>
          <w:color w:val="000000" w:themeColor="text1"/>
          <w:kern w:val="0"/>
          <w:sz w:val="28"/>
          <w:szCs w:val="28"/>
          <w:rtl/>
          <w14:ligatures w14:val="none"/>
        </w:rPr>
        <w:t xml:space="preserve">أظهرت أن الفروق بحسب حجم المشروع ونوعه ليست ذات دلالة إحصائية مما يشير إلى أن </w:t>
      </w:r>
      <w:r w:rsidRPr="00D330B0">
        <w:rPr>
          <w:rFonts w:ascii="Simplified Arabic" w:eastAsia="Times New Roman" w:hAnsi="Simplified Arabic" w:cs="Simplified Arabic"/>
          <w:color w:val="000000" w:themeColor="text1"/>
          <w:kern w:val="0"/>
          <w:sz w:val="28"/>
          <w:szCs w:val="28"/>
          <w:rtl/>
          <w14:ligatures w14:val="none"/>
        </w:rPr>
        <w:lastRenderedPageBreak/>
        <w:t>المشكلة نظامية وليست خاصة بفئة معينة. وأوصت بتبني بروتوكولات موحدة لإدارة أوامر التغيير واستخدام تقنيات</w:t>
      </w:r>
      <w:r w:rsidRPr="00D330B0">
        <w:rPr>
          <w:rFonts w:ascii="Simplified Arabic" w:eastAsia="Times New Roman" w:hAnsi="Simplified Arabic" w:cs="Simplified Arabic"/>
          <w:color w:val="000000" w:themeColor="text1"/>
          <w:kern w:val="0"/>
          <w:sz w:val="28"/>
          <w:szCs w:val="28"/>
          <w14:ligatures w14:val="none"/>
        </w:rPr>
        <w:t xml:space="preserve"> BIM </w:t>
      </w:r>
      <w:r w:rsidRPr="00D330B0">
        <w:rPr>
          <w:rFonts w:ascii="Simplified Arabic" w:eastAsia="Times New Roman" w:hAnsi="Simplified Arabic" w:cs="Simplified Arabic"/>
          <w:color w:val="000000" w:themeColor="text1"/>
          <w:kern w:val="0"/>
          <w:sz w:val="28"/>
          <w:szCs w:val="28"/>
          <w:rtl/>
          <w14:ligatures w14:val="none"/>
        </w:rPr>
        <w:t>والإشراك المبكر لأصحاب المصلحة</w:t>
      </w:r>
      <w:r w:rsidRPr="00D330B0">
        <w:rPr>
          <w:rFonts w:ascii="Simplified Arabic" w:eastAsia="Times New Roman" w:hAnsi="Simplified Arabic" w:cs="Simplified Arabic"/>
          <w:color w:val="000000" w:themeColor="text1"/>
          <w:kern w:val="0"/>
          <w:sz w:val="28"/>
          <w:szCs w:val="28"/>
          <w14:ligatures w14:val="none"/>
        </w:rPr>
        <w:t>.</w:t>
      </w:r>
    </w:p>
    <w:p w14:paraId="51E0CB09"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514430"/>
      <w:r w:rsidRPr="00D330B0">
        <w:rPr>
          <w:rFonts w:ascii="Simplified Arabic" w:eastAsia="Times New Roman" w:hAnsi="Simplified Arabic" w:cs="Simplified Arabic"/>
          <w:b/>
          <w:bCs/>
          <w:color w:val="000000" w:themeColor="text1"/>
          <w:kern w:val="0"/>
          <w:sz w:val="32"/>
          <w:szCs w:val="32"/>
          <w:rtl/>
          <w14:ligatures w14:val="none"/>
        </w:rPr>
        <w:t>المحور الثاني: الدراسات السابقة المتعلقة بالمتغير التابع (التكاليف غير المخططة في عقود التشغيل والصيانة)</w:t>
      </w:r>
      <w:bookmarkEnd w:id="14"/>
    </w:p>
    <w:p w14:paraId="48AFB560"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(Bad</w:t>
      </w:r>
      <w:r w:rsidRPr="00D330B0">
        <w:rPr>
          <w:rFonts w:ascii="Cambria" w:eastAsia="Times New Roman" w:hAnsi="Cambria" w:cs="Cambria"/>
          <w:b/>
          <w:bCs/>
          <w:color w:val="000000" w:themeColor="text1"/>
          <w:kern w:val="0"/>
          <w:sz w:val="28"/>
          <w:szCs w:val="28"/>
          <w14:ligatures w14:val="none"/>
        </w:rPr>
        <w:t>í</w:t>
      </w:r>
      <w:r w:rsidRPr="00D330B0">
        <w:rPr>
          <w:rFonts w:ascii="Simplified Arabic" w:eastAsia="Times New Roman" w:hAnsi="Simplified Arabic" w:cs="Simplified Arabic"/>
          <w:b/>
          <w:bCs/>
          <w:color w:val="000000" w:themeColor="text1"/>
          <w:kern w:val="0"/>
          <w:sz w:val="28"/>
          <w:szCs w:val="28"/>
          <w14:ligatures w14:val="none"/>
        </w:rPr>
        <w:t xml:space="preserve">a et al., 2020): "An Study of Cost Effective Maintenance Policies: Age Replacement versus Replacement after N Minimal Repairs". </w:t>
      </w:r>
    </w:p>
    <w:p w14:paraId="4986B712" w14:textId="17CE08A8"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سياسات الصيانة بأبعادها (سياسة الاستبدال بناءً على العمر، وسياسة الاستبدال بعد عدد محدد من الإصلاحات البسيطة) على تخفيض تكاليف الصيانة في عقود التشغيل. واستخدمت الدراسة المنهج التحليلي الرياضي القائم على نماذج الموثوقية والتكلفة، وتكونت العينة من نماذج محاكاة رياضية لأنظمة ميكانيكية متعددة. وتوصلت نتائج الدراسة إلى أن سياسة الاستبدال بعد عدد محدد من الإصلاحات البسيطة تحقق خفضًا في التكاليف يصل إلى 42% مقارنة بسياسة الاستبدال الزمني في بعض الحالات، وأن الاختيار الأمثل يعتمد على معدل تدهور النظام وتكاليف الإصلاح مقابل الاستبدال. وأوصت بتبني سياسات صيانة مرنة قائمة على حالة النظام الفعلية بدلاً من الجداول الزمنية الثابتة لتحقيق أقل تكلفة تشغيلية</w:t>
      </w:r>
      <w:r w:rsidRPr="00D330B0">
        <w:rPr>
          <w:rFonts w:ascii="Simplified Arabic" w:eastAsia="Times New Roman" w:hAnsi="Simplified Arabic" w:cs="Simplified Arabic"/>
          <w:color w:val="000000" w:themeColor="text1"/>
          <w:kern w:val="0"/>
          <w:sz w:val="28"/>
          <w:szCs w:val="28"/>
          <w14:ligatures w14:val="none"/>
        </w:rPr>
        <w:t>.</w:t>
      </w:r>
    </w:p>
    <w:p w14:paraId="562ED445"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(الحسن وآخرون، 2020)</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تحسين إدارة الصيانة للمباني الحكومية". </w:t>
      </w:r>
    </w:p>
    <w:p w14:paraId="201AB8E1" w14:textId="5D924098"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سبل تحسين إدارة الصيانة بأبعادها (تقييم حالة المبنى، وتخصيص الميزانية، والنماذج الرياضية للتنبؤ بالتدهور) على أداء المباني الحكومية في سوريا</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واستخدمت الدراسة المنهج التحليلي مع الاستبانة والنماذج الرياضية، وتكونت العينة من مجموعة من المباني الحكومية في محافظة اللاذقية. وتوصلت نتائج الدراسة إلى أن غياب نظام تقييم دوري لحالة المباني يؤدي إلى تراكم الأعطال وارتفاع تكاليف الإصلاح غير المخططة، وأن تطبيق نماذج رياضية للتنبؤ يُحسّن من تخصيص الموارد. وأوصت بتطوير قواعد بيانات متكاملة لحالة المباني واعتماد أسلوب الصيانة الوقائية</w:t>
      </w:r>
      <w:r w:rsidRPr="00D330B0">
        <w:rPr>
          <w:rFonts w:ascii="Simplified Arabic" w:eastAsia="Times New Roman" w:hAnsi="Simplified Arabic" w:cs="Simplified Arabic"/>
          <w:color w:val="000000" w:themeColor="text1"/>
          <w:kern w:val="0"/>
          <w:sz w:val="28"/>
          <w:szCs w:val="28"/>
          <w14:ligatures w14:val="none"/>
        </w:rPr>
        <w:t>.</w:t>
      </w:r>
    </w:p>
    <w:p w14:paraId="71008B6C"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lastRenderedPageBreak/>
        <w:t>دراسة</w:t>
      </w:r>
      <w:r w:rsidRPr="00D330B0">
        <w:rPr>
          <w:rFonts w:ascii="Simplified Arabic" w:eastAsia="Times New Roman" w:hAnsi="Simplified Arabic" w:cs="Simplified Arabic"/>
          <w:b/>
          <w:bCs/>
          <w:color w:val="000000" w:themeColor="text1"/>
          <w:kern w:val="0"/>
          <w:sz w:val="28"/>
          <w:szCs w:val="28"/>
          <w14:ligatures w14:val="none"/>
        </w:rPr>
        <w:t xml:space="preserve"> (Iskandar et al., 2022): "Warranty and Maintenance Service Contracts for Repairable Products". </w:t>
      </w:r>
    </w:p>
    <w:p w14:paraId="6128135D" w14:textId="3CF198C8"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عقود الضمان وعقود خدمة الصيانة بأبعادها (سياسات الصيانة الوقائية، وفترة الضمان، واستراتيجيات وكيل الخدمة) على تقليل التكاليف الإجمالية للمنتجات القابلة للإصلاح. واستخدمت الدراسة المنهج التحليلي الرياضي القائم على النمذجة الاحتمالية، وتكونت العينة من نماذج رياضية لثلاثة أطراف (المصنّع، ووكيل الخدمة، والمستخدم)</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وتوصلت نتائج الدراسة إلى أن تحسين سياسات الصيانة الوقائية خلال فترة الضمان يُخفض التكاليف غير المخططة للمستخدم بشكل كبير، وأن التوازن بين تكاليف الضمان وعقود الصيانة يعتمد على معدل الأعطال وعمر المنتج. وأوصت بتصميم عقود صيانة مرنة تتكيف مع حالة المنتج الفعلية لتحقيق أقل تكلفة إجمالية</w:t>
      </w:r>
      <w:r w:rsidRPr="00D330B0">
        <w:rPr>
          <w:rFonts w:ascii="Simplified Arabic" w:eastAsia="Times New Roman" w:hAnsi="Simplified Arabic" w:cs="Simplified Arabic"/>
          <w:color w:val="000000" w:themeColor="text1"/>
          <w:kern w:val="0"/>
          <w:sz w:val="28"/>
          <w:szCs w:val="28"/>
          <w14:ligatures w14:val="none"/>
        </w:rPr>
        <w:t>.</w:t>
      </w:r>
    </w:p>
    <w:p w14:paraId="1B7F15E3"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(Weidner, 2023): "Planned Maintenance vs Unplanned Maintenance and Facility Costs". </w:t>
      </w:r>
    </w:p>
    <w:p w14:paraId="07A331F7" w14:textId="75776826"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الصيانة المخططة والصيانة غير المخططة بأبعادها (تكاليف الصيانة التصحيحية، ومعدلات التوقف غير المخطط، ونسبة الصيانة الوقائية إلى الإجمالية) على تكاليف إدارة المرافق. واستخدمت الدراسة المنهج التحليلي المقارن مع تحليل بيانات المرافق، وتكونت العينة من بيانات صيانة مرافق جامعية في أمريكا الشمالية. وتوصلت نتائج الدراسة إلى أن المؤسسات التي ترتفع فيها نسبة الصيانة غير المخططة تتحمل تكاليف أعلى بشكل ملحوظ مقارنة بتلك التي تعتمد الصيانة المخططة، وأن كل دولار يُنفق على الصيانة الوقائية يوفّر أضعافه من تكاليف الإصلاح الطارئ. وأوصت بتحويل استراتيجيات الصيانة من الأسلوب التصحيحي إلى الأسلوب الوقائي والتنبؤي لخفض التكاليف الإجمالية</w:t>
      </w:r>
      <w:r w:rsidRPr="00D330B0">
        <w:rPr>
          <w:rFonts w:ascii="Simplified Arabic" w:eastAsia="Times New Roman" w:hAnsi="Simplified Arabic" w:cs="Simplified Arabic"/>
          <w:color w:val="000000" w:themeColor="text1"/>
          <w:kern w:val="0"/>
          <w:sz w:val="28"/>
          <w:szCs w:val="28"/>
          <w14:ligatures w14:val="none"/>
        </w:rPr>
        <w:t>.</w:t>
      </w:r>
    </w:p>
    <w:p w14:paraId="497EAF54" w14:textId="77777777" w:rsidR="00253519" w:rsidRPr="00D330B0" w:rsidRDefault="00253519"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w:t>
      </w:r>
      <w:r w:rsidRPr="00D330B0">
        <w:rPr>
          <w:rFonts w:ascii="Simplified Arabic" w:eastAsia="Times New Roman" w:hAnsi="Simplified Arabic" w:cs="Simplified Arabic"/>
          <w:b/>
          <w:bCs/>
          <w:color w:val="000000" w:themeColor="text1"/>
          <w:kern w:val="0"/>
          <w:sz w:val="28"/>
          <w:szCs w:val="28"/>
          <w14:ligatures w14:val="none"/>
        </w:rPr>
        <w:t xml:space="preserve"> (Desbalo et al., 2024): "Critical Factors That Influence the Effectiveness of Facility Maintenance Management Practice in Public University Buildings in Ethiopia". </w:t>
      </w:r>
    </w:p>
    <w:p w14:paraId="79A34536" w14:textId="1C190A8D" w:rsidR="00253519" w:rsidRPr="00D330B0" w:rsidRDefault="00253519"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الحرجة المؤثرة على فعالية ممارسات إدارة صيانة المرافق بأبعادها (العمليات الداخلية والتنظيم، وثقافة المجتمع والتعلم والنمو، وأثر جودة التصميم والتشييد، ونهج </w:t>
      </w:r>
      <w:r w:rsidRPr="00D330B0">
        <w:rPr>
          <w:rFonts w:ascii="Simplified Arabic" w:eastAsia="Times New Roman" w:hAnsi="Simplified Arabic" w:cs="Simplified Arabic"/>
          <w:color w:val="000000" w:themeColor="text1"/>
          <w:kern w:val="0"/>
          <w:sz w:val="28"/>
          <w:szCs w:val="28"/>
          <w:rtl/>
          <w14:ligatures w14:val="none"/>
        </w:rPr>
        <w:lastRenderedPageBreak/>
        <w:t>إدارة الصيانة) على أداء المباني الجامعية الحكومية في إثيوبيا. واستخدمت الدراسة المنهج الكمي المسحي مع التحليل العاملي الاستكشافي</w:t>
      </w:r>
      <w:r w:rsidRPr="00D330B0">
        <w:rPr>
          <w:rFonts w:ascii="Simplified Arabic" w:eastAsia="Times New Roman" w:hAnsi="Simplified Arabic" w:cs="Simplified Arabic"/>
          <w:color w:val="000000" w:themeColor="text1"/>
          <w:kern w:val="0"/>
          <w:sz w:val="28"/>
          <w:szCs w:val="28"/>
          <w14:ligatures w14:val="none"/>
        </w:rPr>
        <w:t xml:space="preserve"> (EFA)</w:t>
      </w:r>
      <w:r w:rsidRPr="00D330B0">
        <w:rPr>
          <w:rFonts w:ascii="Simplified Arabic" w:eastAsia="Times New Roman" w:hAnsi="Simplified Arabic" w:cs="Simplified Arabic"/>
          <w:color w:val="000000" w:themeColor="text1"/>
          <w:kern w:val="0"/>
          <w:sz w:val="28"/>
          <w:szCs w:val="28"/>
          <w:rtl/>
          <w14:ligatures w14:val="none"/>
        </w:rPr>
        <w:t>، وتكونت العينة من (75) مجموعة بيانات من (180) استبانة إلكترونية وُزّعت على مديرين وأعضاء هيئة تدريس وموظفين في (46) جامعة حكومية. وتوصلت نتائج الدراسة إلى تحديد (13) سمة حرجة مجمّعة في أربعة عوامل، وأن غياب استراتيجية الصيانة الوقائية يُعدّ أكثر العوامل تأثيرًا (متوسط = 4.47)، وأن 74.65% من الجامعات تعتمد الصيانة التصحيحية فقط مما يرفع التكاليف غير المخططة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وأوصت بتدخل شامل لتحسين ممارسات إدارة صيانة المرافق وتبني أساليب الصيانة الاستباقية</w:t>
      </w:r>
      <w:r w:rsidRPr="00D330B0">
        <w:rPr>
          <w:rFonts w:ascii="Simplified Arabic" w:eastAsia="Times New Roman" w:hAnsi="Simplified Arabic" w:cs="Simplified Arabic"/>
          <w:color w:val="000000" w:themeColor="text1"/>
          <w:kern w:val="0"/>
          <w:sz w:val="28"/>
          <w:szCs w:val="28"/>
          <w14:ligatures w14:val="none"/>
        </w:rPr>
        <w:t>.</w:t>
      </w:r>
    </w:p>
    <w:p w14:paraId="07B67F52"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(عبد القادر، 2024)</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دور النجار في صيانة وتجديد المباني الحكومية". </w:t>
      </w:r>
    </w:p>
    <w:p w14:paraId="37D9EDFD" w14:textId="7F3F13D3"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دور أعمال النجارة بأبعادها (الصيانة الوقائية للعناصر الخشبية، والصيانة العلاجية، وأعمال التجديد) على خفض تكاليف الصيانة غير المخططة في المباني الحكومية. واستخدمت الدراسة المنهج الوصفي التحليلي، وتكونت العينة من مجموعة من المباني الحكومية ومسؤولي الصيانة فيها. وتوصلت نتائج الدراسة إلى أن إهمال الصيانة الوقائية للعناصر الخشبية يؤدي إلى تكاليف علاجية غير مخططة مرتفعة، وأن التدخل المبكر يُخفض التكاليف الإجمالية بشكل ملحوظ. وأوصت بضرورة وضع برامج صيانة دورية للعناصر الخشبية وتأهيل الكوادر الفنية المتخصصة</w:t>
      </w:r>
      <w:r w:rsidRPr="00D330B0">
        <w:rPr>
          <w:rFonts w:ascii="Simplified Arabic" w:eastAsia="Times New Roman" w:hAnsi="Simplified Arabic" w:cs="Simplified Arabic"/>
          <w:color w:val="000000" w:themeColor="text1"/>
          <w:kern w:val="0"/>
          <w:sz w:val="28"/>
          <w:szCs w:val="28"/>
          <w14:ligatures w14:val="none"/>
        </w:rPr>
        <w:t>.</w:t>
      </w:r>
    </w:p>
    <w:p w14:paraId="1784E02D"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(العتيبي، 2024)</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 xml:space="preserve">تحسين كفاءة صيانة المركبات البلدية". </w:t>
      </w:r>
    </w:p>
    <w:p w14:paraId="3E8BD4F5" w14:textId="5F98EE98"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سبل تحسين كفاءة صيانة المركبات البلدية بأبعادها (التخطيط الوقائي، وإدارة قطع الغيار، والكوادر الفنية) على خفض التكاليف التشغيلية غير المخططة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واستخدمت الدراسة المنهج الوصفي المسحي، وتكونت العينة من العاملين في إدارات صيانة المركبات البلدية. وتوصلت نتائج الدراسة إلى أن غياب خطط الصيانة الوقائية يؤدي إلى ارتفاع الأعطال المفاجئة وزيادة التكاليف غير المخططة، وأن تطبيق أنظمة إدارة الصيانة المحوسبة يُسهم في تحسين الكفاءة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وأوصت بتبني استراتيجيات الصيانة الوقائية وتوفير قواعد بيانات متكاملة لإدارة الأصول</w:t>
      </w:r>
      <w:r w:rsidRPr="00D330B0">
        <w:rPr>
          <w:rFonts w:ascii="Simplified Arabic" w:eastAsia="Times New Roman" w:hAnsi="Simplified Arabic" w:cs="Simplified Arabic"/>
          <w:color w:val="000000" w:themeColor="text1"/>
          <w:kern w:val="0"/>
          <w:sz w:val="28"/>
          <w:szCs w:val="28"/>
          <w14:ligatures w14:val="none"/>
        </w:rPr>
        <w:t>.</w:t>
      </w:r>
    </w:p>
    <w:p w14:paraId="09062BAB"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(الهيتي والحسيني، 2024)</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التحديات التي تواجه إدارات الصيانة في القطاع الحكومي وسبل معالجتها</w:t>
      </w:r>
    </w:p>
    <w:p w14:paraId="157590E0" w14:textId="4CC5E88E"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14:ligatures w14:val="none"/>
        </w:rPr>
        <w:lastRenderedPageBreak/>
        <w:t xml:space="preserve">". </w:t>
      </w:r>
      <w:r w:rsidRPr="00D330B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التحديات التي تواجه إدارات الصيانة بأبعادها </w:t>
      </w:r>
      <w:r w:rsidRPr="00D330B0">
        <w:rPr>
          <w:rFonts w:ascii="Simplified Arabic" w:eastAsia="Times New Roman" w:hAnsi="Simplified Arabic" w:cs="Simplified Arabic"/>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rtl/>
          <w14:ligatures w14:val="none"/>
        </w:rPr>
        <w:t>محدودية الموارد المالية، ونقص الكوادر المؤهلة، وغياب الأنظمة الرقمية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على كفاءة عقود الصيانة الحكومية. واستخدمت الدراسة المنهج الوصفي التحليلي، وتكونت العينة من مسؤولي إدارات الصيانة في مؤسسات حكومية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وتوصلت نتائج الدراسة إلى أن محدودية الموارد المالية وغياب السجلات الرقمية الموثوقة يمثلان أبرز التحديات، وأن ذلك يُفضي إلى ارتفاع التكاليف غير المخططة وتراجع جودة الخدمات. وأوصت بتخصيص ميزانيات كافية للصيانة وتبني نظم إدارة الصيانة المحوسبة</w:t>
      </w:r>
      <w:r w:rsidRPr="00D330B0">
        <w:rPr>
          <w:rFonts w:ascii="Simplified Arabic" w:eastAsia="Times New Roman" w:hAnsi="Simplified Arabic" w:cs="Simplified Arabic"/>
          <w:color w:val="000000" w:themeColor="text1"/>
          <w:kern w:val="0"/>
          <w:sz w:val="28"/>
          <w:szCs w:val="28"/>
          <w14:ligatures w14:val="none"/>
        </w:rPr>
        <w:t xml:space="preserve"> (CMMS).</w:t>
      </w:r>
    </w:p>
    <w:p w14:paraId="4CFF9113" w14:textId="77777777" w:rsidR="00253519"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D330B0">
        <w:rPr>
          <w:rFonts w:ascii="Simplified Arabic" w:eastAsia="Times New Roman" w:hAnsi="Simplified Arabic" w:cs="Simplified Arabic"/>
          <w:b/>
          <w:bCs/>
          <w:color w:val="000000" w:themeColor="text1"/>
          <w:kern w:val="0"/>
          <w:sz w:val="28"/>
          <w:szCs w:val="28"/>
          <w:rtl/>
          <w14:ligatures w14:val="none"/>
        </w:rPr>
        <w:t>دراسة (مسعود، 2025)</w:t>
      </w:r>
      <w:r w:rsidRPr="00D330B0">
        <w:rPr>
          <w:rFonts w:ascii="Simplified Arabic" w:eastAsia="Times New Roman" w:hAnsi="Simplified Arabic" w:cs="Simplified Arabic"/>
          <w:b/>
          <w:bCs/>
          <w:color w:val="000000" w:themeColor="text1"/>
          <w:kern w:val="0"/>
          <w:sz w:val="28"/>
          <w:szCs w:val="28"/>
          <w14:ligatures w14:val="none"/>
        </w:rPr>
        <w:t>: "</w:t>
      </w:r>
      <w:r w:rsidRPr="00D330B0">
        <w:rPr>
          <w:rFonts w:ascii="Simplified Arabic" w:eastAsia="Times New Roman" w:hAnsi="Simplified Arabic" w:cs="Simplified Arabic"/>
          <w:b/>
          <w:bCs/>
          <w:color w:val="000000" w:themeColor="text1"/>
          <w:kern w:val="0"/>
          <w:sz w:val="28"/>
          <w:szCs w:val="28"/>
          <w:rtl/>
          <w14:ligatures w14:val="none"/>
        </w:rPr>
        <w:t>قياس الفجوة التشغيلية بين الوضع الراهن والمستوى الأمثل للصيانة في الصناعة باستخدام مؤشر الفعالية الشاملة للمعدات</w:t>
      </w:r>
      <w:r w:rsidRPr="00D330B0">
        <w:rPr>
          <w:rFonts w:ascii="Simplified Arabic" w:eastAsia="Times New Roman" w:hAnsi="Simplified Arabic" w:cs="Simplified Arabic"/>
          <w:b/>
          <w:bCs/>
          <w:color w:val="000000" w:themeColor="text1"/>
          <w:kern w:val="0"/>
          <w:sz w:val="28"/>
          <w:szCs w:val="28"/>
          <w14:ligatures w14:val="none"/>
        </w:rPr>
        <w:t xml:space="preserve"> (OEE)". </w:t>
      </w:r>
    </w:p>
    <w:p w14:paraId="6E9DF643" w14:textId="036D60DF"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هدفت الدراسة إلى التعرف على الفجوة التشغيلية بين ممارسات الصيانة الحالية والمستوى الأمثل بأبعادها (الإتاحية، والأداء، والجودة) على الكفاءة التشغيلية في القطاع الصناعي بليبيا. واستخدمت الدراسة المنهج التحليلي الكمي بالاعتماد على سجلات إدارة الإنتاج، وتكونت العينة من بيانات الأداء لخمس وحدات إنتاجية في مصنع لبدة للإسمنت خلال الفترة 2012–2022. وتوصلت نتائج الدراسة إلى وجود فجوة تشغيلية واضحة بين الأداء الفعلي والمستوى المثالي، وأن الأعطال غير المخططة تُسهم في انخفاض الإتاحية والإنتاجية وارتفاع التكاليف التشغيلية. وأوصت بتطوير استراتيجيات الصيانة التنبؤية وتحسين أنظمة الرصد والتحليل</w:t>
      </w:r>
      <w:r w:rsidRPr="00D330B0">
        <w:rPr>
          <w:rFonts w:ascii="Simplified Arabic" w:eastAsia="Times New Roman" w:hAnsi="Simplified Arabic" w:cs="Simplified Arabic"/>
          <w:color w:val="000000" w:themeColor="text1"/>
          <w:kern w:val="0"/>
          <w:sz w:val="28"/>
          <w:szCs w:val="28"/>
          <w14:ligatures w14:val="none"/>
        </w:rPr>
        <w:t>.</w:t>
      </w:r>
    </w:p>
    <w:p w14:paraId="10E246FB" w14:textId="0AA95533" w:rsidR="00253519"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584045"/>
      <w:r w:rsidRPr="00D330B0">
        <w:rPr>
          <w:rFonts w:ascii="Simplified Arabic" w:eastAsia="Times New Roman" w:hAnsi="Simplified Arabic" w:cs="Simplified Arabic"/>
          <w:b/>
          <w:bCs/>
          <w:color w:val="000000" w:themeColor="text1"/>
          <w:kern w:val="0"/>
          <w:sz w:val="36"/>
          <w:szCs w:val="36"/>
          <w:rtl/>
          <w14:ligatures w14:val="none"/>
        </w:rPr>
        <w:t>8.1 الفجوة البحثية</w:t>
      </w:r>
      <w:bookmarkEnd w:id="15"/>
    </w:p>
    <w:p w14:paraId="5F1E2FCE"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تتفق الدراسة الحالية مع معظم الدراسات السابقة في عدة جوانب جوهرية، إذ تتقاطع مع دراسة</w:t>
      </w:r>
      <w:r w:rsidRPr="00D330B0">
        <w:rPr>
          <w:rFonts w:ascii="Simplified Arabic" w:eastAsia="Times New Roman" w:hAnsi="Simplified Arabic" w:cs="Simplified Arabic"/>
          <w:color w:val="000000" w:themeColor="text1"/>
          <w:kern w:val="0"/>
          <w:sz w:val="28"/>
          <w:szCs w:val="28"/>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ودراسة</w:t>
      </w:r>
      <w:r w:rsidRPr="00D330B0">
        <w:rPr>
          <w:rFonts w:ascii="Simplified Arabic" w:eastAsia="Times New Roman" w:hAnsi="Simplified Arabic" w:cs="Simplified Arabic"/>
          <w:color w:val="000000" w:themeColor="text1"/>
          <w:kern w:val="0"/>
          <w:sz w:val="28"/>
          <w:szCs w:val="28"/>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 xml:space="preserve">ودراسة أبو عامر وآخرون (2024) في تناول أوامر التغيير بوصفها متغيراً محورياً يؤثر على الأداء المالي للمشاريع، كما تشترك مع دراسة </w:t>
      </w:r>
      <w:r w:rsidRPr="00D330B0">
        <w:rPr>
          <w:rFonts w:ascii="Simplified Arabic" w:eastAsia="Times New Roman" w:hAnsi="Simplified Arabic" w:cs="Simplified Arabic"/>
          <w:color w:val="000000" w:themeColor="text1"/>
          <w:kern w:val="0"/>
          <w:sz w:val="28"/>
          <w:szCs w:val="28"/>
          <w14:ligatures w14:val="none"/>
        </w:rPr>
        <w:t xml:space="preserve">Ajmal et al. (2022) </w:t>
      </w:r>
      <w:r w:rsidRPr="00D330B0">
        <w:rPr>
          <w:rFonts w:ascii="Simplified Arabic" w:eastAsia="Times New Roman" w:hAnsi="Simplified Arabic" w:cs="Simplified Arabic"/>
          <w:color w:val="000000" w:themeColor="text1"/>
          <w:kern w:val="0"/>
          <w:sz w:val="28"/>
          <w:szCs w:val="28"/>
          <w:rtl/>
          <w14:ligatures w14:val="none"/>
        </w:rPr>
        <w:t>ودراسة العثمان وآخرون (2022) في التركيز على أهمية وضوح نطاق العمل وتحديده المسبق بوصفه ركيزة أساسية للحد من التجاوزات</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وتتوافق أيضاً مع دراسة</w:t>
      </w:r>
      <w:r w:rsidRPr="00D330B0">
        <w:rPr>
          <w:rFonts w:ascii="Simplified Arabic" w:eastAsia="Times New Roman" w:hAnsi="Simplified Arabic" w:cs="Simplified Arabic"/>
          <w:color w:val="000000" w:themeColor="text1"/>
          <w:kern w:val="0"/>
          <w:sz w:val="28"/>
          <w:szCs w:val="28"/>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ودراسة البريني (2023) في إبراز دور الأطر التعاقدية والإجرائية في ضبط التعديلات، ومع دراسة</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ودراسة</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ودراسة</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 xml:space="preserve">a et al. (2020) </w:t>
      </w:r>
      <w:r w:rsidRPr="00D330B0">
        <w:rPr>
          <w:rFonts w:ascii="Simplified Arabic" w:eastAsia="Times New Roman" w:hAnsi="Simplified Arabic" w:cs="Simplified Arabic"/>
          <w:color w:val="000000" w:themeColor="text1"/>
          <w:kern w:val="0"/>
          <w:sz w:val="28"/>
          <w:szCs w:val="28"/>
          <w:rtl/>
          <w14:ligatures w14:val="none"/>
        </w:rPr>
        <w:t>في التأكيد على أن ضعف التخطيط الوقائي للصيانة يرفع التكاليف غير المخططة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 xml:space="preserve">كذلك تتفق مع هذه الدراسات في اعتماد المنهج </w:t>
      </w:r>
      <w:r w:rsidRPr="00D330B0">
        <w:rPr>
          <w:rFonts w:ascii="Simplified Arabic" w:eastAsia="Times New Roman" w:hAnsi="Simplified Arabic" w:cs="Simplified Arabic"/>
          <w:color w:val="000000" w:themeColor="text1"/>
          <w:kern w:val="0"/>
          <w:sz w:val="28"/>
          <w:szCs w:val="28"/>
          <w:rtl/>
          <w14:ligatures w14:val="none"/>
        </w:rPr>
        <w:lastRenderedPageBreak/>
        <w:t>الوصفي التحليلي أداةً بحثية رئيسية، واستخدام الاستبانة لجمع البيانات الأولية، وتوظيف الأساليب الإحصائية كتحليل الانحدار ومعامل الارتباط لاختبار الفرضيات</w:t>
      </w:r>
      <w:r w:rsidRPr="00D330B0">
        <w:rPr>
          <w:rFonts w:ascii="Simplified Arabic" w:eastAsia="Times New Roman" w:hAnsi="Simplified Arabic" w:cs="Simplified Arabic"/>
          <w:color w:val="000000" w:themeColor="text1"/>
          <w:kern w:val="0"/>
          <w:sz w:val="28"/>
          <w:szCs w:val="28"/>
          <w14:ligatures w14:val="none"/>
        </w:rPr>
        <w:t>.</w:t>
      </w:r>
    </w:p>
    <w:p w14:paraId="241CD9B0"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غير أن الدراسة الحالية تختلف عن الدراسات السابقة في عدة أبعاد تمنحها إضافة علمية مميزة؛ فبينما عالجت أغلب الدراسات أوامر التغيير أو تكاليف الصيانة كلاً على حدة — كدراسة</w:t>
      </w:r>
      <w:r w:rsidRPr="00D330B0">
        <w:rPr>
          <w:rFonts w:ascii="Simplified Arabic" w:eastAsia="Times New Roman" w:hAnsi="Simplified Arabic" w:cs="Simplified Arabic"/>
          <w:color w:val="000000" w:themeColor="text1"/>
          <w:kern w:val="0"/>
          <w:sz w:val="28"/>
          <w:szCs w:val="28"/>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التي ركزت على أثر أوامر التغيير في تجاوز التكاليف والجدول الزمني لمرحلة الإنشاء فقط، ودراسة مسعود (2025) التي اقتصرت على قياس الفجوة التشغيلية في بيئة صناعية، ودراسة</w:t>
      </w:r>
      <w:r w:rsidRPr="00D330B0">
        <w:rPr>
          <w:rFonts w:ascii="Simplified Arabic" w:eastAsia="Times New Roman" w:hAnsi="Simplified Arabic" w:cs="Simplified Arabic"/>
          <w:color w:val="000000" w:themeColor="text1"/>
          <w:kern w:val="0"/>
          <w:sz w:val="28"/>
          <w:szCs w:val="28"/>
          <w14:ligatures w14:val="none"/>
        </w:rPr>
        <w:t xml:space="preserve"> Iskandar et al. (2022) </w:t>
      </w:r>
      <w:r w:rsidRPr="00D330B0">
        <w:rPr>
          <w:rFonts w:ascii="Simplified Arabic" w:eastAsia="Times New Roman" w:hAnsi="Simplified Arabic" w:cs="Simplified Arabic"/>
          <w:color w:val="000000" w:themeColor="text1"/>
          <w:kern w:val="0"/>
          <w:sz w:val="28"/>
          <w:szCs w:val="28"/>
          <w:rtl/>
          <w14:ligatures w14:val="none"/>
        </w:rPr>
        <w:t>التي تناولت سياسات الضمان والصيانة للمنتجات القابلة للإصلاح — فإن الدراسة الحالية تتفرد بالربط المباشر بين إدارة نطاق العمل وأوامر التغيير كمتغير مستقل متعدد الأبعاد (التخطيط المسبق للنطاق، إجراءات إدارة أوامر التغيير، الرقابة التعاقدية والمالية، كفاءة التوثيق والاتصال) والتكاليف غير المخططة في عقود التشغيل والصيانة كمتغير تابع، وهو نموذج تكاملي لم تتناوله الأدبيات السابقة صراحةً. فضلاً عن ذلك، تختلف الدراسة الحالية في سياقها التطبيقي الذي يستهدف المشاريع الحكومية السعودية في مرحلة ما بعد التسليم والتشغيل تحديداً، بينما ركزت معظم الدراسات على مرحلة الإنشاء أو على بيئات جغرافية مختلفة كالإمارات</w:t>
      </w:r>
      <w:r w:rsidRPr="00D330B0">
        <w:rPr>
          <w:rFonts w:ascii="Simplified Arabic" w:eastAsia="Times New Roman" w:hAnsi="Simplified Arabic" w:cs="Simplified Arabic"/>
          <w:color w:val="000000" w:themeColor="text1"/>
          <w:kern w:val="0"/>
          <w:sz w:val="28"/>
          <w:szCs w:val="28"/>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 xml:space="preserve">وإثيوبيا </w:t>
      </w:r>
      <w:r w:rsidRPr="00D330B0">
        <w:rPr>
          <w:rFonts w:ascii="Simplified Arabic" w:eastAsia="Times New Roman" w:hAnsi="Simplified Arabic" w:cs="Simplified Arabic"/>
          <w:color w:val="000000" w:themeColor="text1"/>
          <w:kern w:val="0"/>
          <w:sz w:val="28"/>
          <w:szCs w:val="28"/>
          <w14:ligatures w14:val="none"/>
        </w:rPr>
        <w:t xml:space="preserve">(Desbalo et al., 2024) </w:t>
      </w:r>
      <w:r w:rsidRPr="00D330B0">
        <w:rPr>
          <w:rFonts w:ascii="Simplified Arabic" w:eastAsia="Times New Roman" w:hAnsi="Simplified Arabic" w:cs="Simplified Arabic"/>
          <w:color w:val="000000" w:themeColor="text1"/>
          <w:kern w:val="0"/>
          <w:sz w:val="28"/>
          <w:szCs w:val="28"/>
          <w:rtl/>
          <w14:ligatures w14:val="none"/>
        </w:rPr>
        <w:t>وأوهايو الأمريكية</w:t>
      </w:r>
      <w:r w:rsidRPr="00D330B0">
        <w:rPr>
          <w:rFonts w:ascii="Simplified Arabic" w:eastAsia="Times New Roman" w:hAnsi="Simplified Arabic" w:cs="Simplified Arabic"/>
          <w:color w:val="000000" w:themeColor="text1"/>
          <w:kern w:val="0"/>
          <w:sz w:val="28"/>
          <w:szCs w:val="28"/>
          <w14:ligatures w14:val="none"/>
        </w:rPr>
        <w:t xml:space="preserve"> (Ahmed et al., 2022)</w:t>
      </w:r>
      <w:r w:rsidRPr="00D330B0">
        <w:rPr>
          <w:rFonts w:ascii="Simplified Arabic" w:eastAsia="Times New Roman" w:hAnsi="Simplified Arabic" w:cs="Simplified Arabic"/>
          <w:color w:val="000000" w:themeColor="text1"/>
          <w:kern w:val="0"/>
          <w:sz w:val="28"/>
          <w:szCs w:val="28"/>
          <w:rtl/>
          <w14:ligatures w14:val="none"/>
        </w:rPr>
        <w:t>، مما يجعل الدراسة الحالية أكثر ملاءمة لواقع العقود الحكومية السعودية وخصوصيتها الإدارية والمالية</w:t>
      </w:r>
      <w:r w:rsidRPr="00D330B0">
        <w:rPr>
          <w:rFonts w:ascii="Simplified Arabic" w:eastAsia="Times New Roman" w:hAnsi="Simplified Arabic" w:cs="Simplified Arabic"/>
          <w:color w:val="000000" w:themeColor="text1"/>
          <w:kern w:val="0"/>
          <w:sz w:val="28"/>
          <w:szCs w:val="28"/>
          <w14:ligatures w14:val="none"/>
        </w:rPr>
        <w:t>.</w:t>
      </w:r>
    </w:p>
    <w:p w14:paraId="34BA91C5" w14:textId="77777777" w:rsidR="00253519" w:rsidRPr="00D330B0" w:rsidRDefault="00253519" w:rsidP="0025351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584046"/>
      <w:bookmarkStart w:id="17" w:name="_Toc169790502"/>
      <w:bookmarkEnd w:id="13"/>
      <w:r w:rsidRPr="00D330B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6"/>
    </w:p>
    <w:p w14:paraId="44599116" w14:textId="7476F8B2" w:rsidR="00253519" w:rsidRPr="00D330B0" w:rsidRDefault="00253519"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330B0">
        <w:rPr>
          <w:rFonts w:ascii="Simplified Arabic" w:eastAsia="Times New Roman" w:hAnsi="Simplified Arabic" w:cs="Simplified Arabic"/>
          <w:b/>
          <w:bCs/>
          <w:color w:val="000000" w:themeColor="text1"/>
          <w:kern w:val="0"/>
          <w:sz w:val="32"/>
          <w:szCs w:val="32"/>
          <w:rtl/>
          <w14:ligatures w14:val="none"/>
        </w:rPr>
        <w:t>أولًا: مفهوم إدارة نطاق العمل في المشاريع</w:t>
      </w:r>
    </w:p>
    <w:p w14:paraId="11A976A7"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يُعدّ نطاق العمل</w:t>
      </w:r>
      <w:r w:rsidRPr="00D330B0">
        <w:rPr>
          <w:rFonts w:ascii="Simplified Arabic" w:eastAsia="Times New Roman" w:hAnsi="Simplified Arabic" w:cs="Simplified Arabic"/>
          <w:color w:val="000000" w:themeColor="text1"/>
          <w:kern w:val="0"/>
          <w:sz w:val="28"/>
          <w:szCs w:val="28"/>
          <w14:ligatures w14:val="none"/>
        </w:rPr>
        <w:t xml:space="preserve"> (Project Scope) </w:t>
      </w:r>
      <w:r w:rsidRPr="00D330B0">
        <w:rPr>
          <w:rFonts w:ascii="Simplified Arabic" w:eastAsia="Times New Roman" w:hAnsi="Simplified Arabic" w:cs="Simplified Arabic"/>
          <w:color w:val="000000" w:themeColor="text1"/>
          <w:kern w:val="0"/>
          <w:sz w:val="28"/>
          <w:szCs w:val="28"/>
          <w:rtl/>
          <w14:ligatures w14:val="none"/>
        </w:rPr>
        <w:t>أحد المفاهيم الجوهرية في أدبيات إدارة المشاريع، ويُشير إلى مجموع الأعمال والمخرجات والخدمات التي يتعين إنجازها لتحقيق أهداف المشروع وفقًا لما هو متفق عليه تعاقديًا بين أطرافه. ويتضمن نطاق العمل تحديدًا دقيقًا للمواصفات الفنية والكميات والمعايير الأدائية والحدود الزمنية التي تُؤطّر التزامات كل طرف من أطراف العقد. ووفقًا لمعهد إدارة المشاريع</w:t>
      </w:r>
      <w:r w:rsidRPr="00D330B0">
        <w:rPr>
          <w:rFonts w:ascii="Simplified Arabic" w:eastAsia="Times New Roman" w:hAnsi="Simplified Arabic" w:cs="Simplified Arabic"/>
          <w:color w:val="000000" w:themeColor="text1"/>
          <w:kern w:val="0"/>
          <w:sz w:val="28"/>
          <w:szCs w:val="28"/>
          <w14:ligatures w14:val="none"/>
        </w:rPr>
        <w:t xml:space="preserve"> (PMI)</w:t>
      </w:r>
      <w:r w:rsidRPr="00D330B0">
        <w:rPr>
          <w:rFonts w:ascii="Simplified Arabic" w:eastAsia="Times New Roman" w:hAnsi="Simplified Arabic" w:cs="Simplified Arabic"/>
          <w:color w:val="000000" w:themeColor="text1"/>
          <w:kern w:val="0"/>
          <w:sz w:val="28"/>
          <w:szCs w:val="28"/>
          <w:rtl/>
          <w14:ligatures w14:val="none"/>
        </w:rPr>
        <w:t xml:space="preserve">، فإن إدارة نطاق المشروع تشمل العمليات اللازمة لضمان أن المشروع يتضمن جميع الأعمال المطلوبة — وتلك الأعمال فقط — لإنجازه بنجاح، وتتكون من ست عمليات رئيسية هي: تخطيط إدارة النطاق، وجمع </w:t>
      </w:r>
      <w:r w:rsidRPr="00D330B0">
        <w:rPr>
          <w:rFonts w:ascii="Simplified Arabic" w:eastAsia="Times New Roman" w:hAnsi="Simplified Arabic" w:cs="Simplified Arabic"/>
          <w:color w:val="000000" w:themeColor="text1"/>
          <w:kern w:val="0"/>
          <w:sz w:val="28"/>
          <w:szCs w:val="28"/>
          <w:rtl/>
          <w14:ligatures w14:val="none"/>
        </w:rPr>
        <w:lastRenderedPageBreak/>
        <w:t>المتطلبات، وتحديد النطاق، وإنشاء هيكل تجزئة العمل، والتحقق من النطاق، وضبط النطاق</w:t>
      </w:r>
      <w:r w:rsidRPr="00D330B0">
        <w:rPr>
          <w:rFonts w:ascii="Simplified Arabic" w:eastAsia="Times New Roman" w:hAnsi="Simplified Arabic" w:cs="Simplified Arabic"/>
          <w:color w:val="000000" w:themeColor="text1"/>
          <w:kern w:val="0"/>
          <w:sz w:val="28"/>
          <w:szCs w:val="28"/>
          <w14:ligatures w14:val="none"/>
        </w:rPr>
        <w:t xml:space="preserve"> (Ajmal et al., 2022).</w:t>
      </w:r>
    </w:p>
    <w:p w14:paraId="2D39A5C8" w14:textId="1A0CC603"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وتبرز أهمية إدارة نطاق العمل من كونها تُمثّل خط الدفاع الأول ضد التجاوزات المالية والزمنية في المشاريع، إذ أن أي قصور في تحديد النطاق أو ضبطه ينعكس مباشرة على تكاليف المشروع وجدوله الزمني ومستوى جودة مخرجاته. ويُعرف زحف النطاق</w:t>
      </w:r>
      <w:r w:rsidRPr="00D330B0">
        <w:rPr>
          <w:rFonts w:ascii="Simplified Arabic" w:eastAsia="Times New Roman" w:hAnsi="Simplified Arabic" w:cs="Simplified Arabic"/>
          <w:color w:val="000000" w:themeColor="text1"/>
          <w:kern w:val="0"/>
          <w:sz w:val="28"/>
          <w:szCs w:val="28"/>
          <w14:ligatures w14:val="none"/>
        </w:rPr>
        <w:t xml:space="preserve"> (Scope Creep) </w:t>
      </w:r>
      <w:r w:rsidRPr="00D330B0">
        <w:rPr>
          <w:rFonts w:ascii="Simplified Arabic" w:eastAsia="Times New Roman" w:hAnsi="Simplified Arabic" w:cs="Simplified Arabic"/>
          <w:color w:val="000000" w:themeColor="text1"/>
          <w:kern w:val="0"/>
          <w:sz w:val="28"/>
          <w:szCs w:val="28"/>
          <w:rtl/>
          <w14:ligatures w14:val="none"/>
        </w:rPr>
        <w:t>بأنه التوسع التدريجي وغير المنضبط في نطاق العمل دون تعديل مقابل في الموارد والوقت والميزانية، وهو من أخطر الظواهر التي تُهدد نجاح المشاريع الإنشائية، حيث يتراكم أثره بصورة تدريجية قد لا تُدرك خطورتها إلا بعد فوات الأوان</w:t>
      </w:r>
      <w:r w:rsidRPr="00D330B0">
        <w:rPr>
          <w:rFonts w:ascii="Simplified Arabic" w:eastAsia="Times New Roman" w:hAnsi="Simplified Arabic" w:cs="Simplified Arabic"/>
          <w:color w:val="000000" w:themeColor="text1"/>
          <w:kern w:val="0"/>
          <w:sz w:val="28"/>
          <w:szCs w:val="28"/>
          <w14:ligatures w14:val="none"/>
        </w:rPr>
        <w:t xml:space="preserve"> (Ajmal et al., 2022).</w:t>
      </w:r>
    </w:p>
    <w:p w14:paraId="1799BD94"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514434"/>
      <w:r w:rsidRPr="00D330B0">
        <w:rPr>
          <w:rFonts w:ascii="Simplified Arabic" w:eastAsia="Times New Roman" w:hAnsi="Simplified Arabic" w:cs="Simplified Arabic"/>
          <w:b/>
          <w:bCs/>
          <w:color w:val="000000" w:themeColor="text1"/>
          <w:kern w:val="0"/>
          <w:sz w:val="32"/>
          <w:szCs w:val="32"/>
          <w:rtl/>
          <w14:ligatures w14:val="none"/>
        </w:rPr>
        <w:t>ثانيًا: مفهوم أوامر التغيير وطبيعتها التعاقدية</w:t>
      </w:r>
      <w:bookmarkEnd w:id="18"/>
    </w:p>
    <w:p w14:paraId="000A9B08"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تُعرّف أوامر التغيير</w:t>
      </w:r>
      <w:r w:rsidRPr="00D330B0">
        <w:rPr>
          <w:rFonts w:ascii="Simplified Arabic" w:eastAsia="Times New Roman" w:hAnsi="Simplified Arabic" w:cs="Simplified Arabic"/>
          <w:color w:val="000000" w:themeColor="text1"/>
          <w:kern w:val="0"/>
          <w:sz w:val="28"/>
          <w:szCs w:val="28"/>
          <w14:ligatures w14:val="none"/>
        </w:rPr>
        <w:t xml:space="preserve"> (Change Orders / Variation Orders) </w:t>
      </w:r>
      <w:r w:rsidRPr="00D330B0">
        <w:rPr>
          <w:rFonts w:ascii="Simplified Arabic" w:eastAsia="Times New Roman" w:hAnsi="Simplified Arabic" w:cs="Simplified Arabic"/>
          <w:color w:val="000000" w:themeColor="text1"/>
          <w:kern w:val="0"/>
          <w:sz w:val="28"/>
          <w:szCs w:val="28"/>
          <w:rtl/>
          <w14:ligatures w14:val="none"/>
        </w:rPr>
        <w:t>بأنها توجيهات كتابية رسمية تصدرها الجهة المالكة أو من يمثلها إلى المقاول لإجراء تعديلات على شروط العقد أو مخططاته أو كمياته أو مواصفاته، سواء بالإضافة أو الحذف أو الاستبدال، ضمن نطاق العقد أو خارجه، مع تحديد أساس الدفع والتعديلات الزمنية المترتبة على هذه التغييرات</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وتُعدّ أوامر التغيير جزءًا لا يتجزأ من العملية التعاقدية في مشاريع التشييد نظرًا للطبيعة الديناميكية والمعقدة لهذه المشاريع التي تتأثر بمتغيرات متعددة كالظروف الموقعية غير المتوقعة، وتغيّر متطلبات المالك، وأخطاء التصميم، والتطورات التقنية والتشريعية</w:t>
      </w:r>
      <w:r w:rsidRPr="00D330B0">
        <w:rPr>
          <w:rFonts w:ascii="Simplified Arabic" w:eastAsia="Times New Roman" w:hAnsi="Simplified Arabic" w:cs="Simplified Arabic"/>
          <w:color w:val="000000" w:themeColor="text1"/>
          <w:kern w:val="0"/>
          <w:sz w:val="28"/>
          <w:szCs w:val="28"/>
          <w14:ligatures w14:val="none"/>
        </w:rPr>
        <w:t xml:space="preserve"> (Ismaeil &amp; Sobaih, 2024).</w:t>
      </w:r>
    </w:p>
    <w:p w14:paraId="31EA213A"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وتتنوع أوامر التغيير من حيث مصدرها إلى</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أوامر تغيير صادرة عن المالك نتيجة إضافة متطلبات جديدة أو تعديل المواصفات، وأوامر تغيير ناتجة عن أخطاء التصميم أو تعارض الوثائق التعاقدية، وأوامر تغيير مرتبطة بظروف الموقع غير المتوقعة أو متطلبات الجهات التنظيمية. كما تتنوع من حيث طبيعتها إلى: تغييرات موجّهة</w:t>
      </w:r>
      <w:r w:rsidRPr="00D330B0">
        <w:rPr>
          <w:rFonts w:ascii="Simplified Arabic" w:eastAsia="Times New Roman" w:hAnsi="Simplified Arabic" w:cs="Simplified Arabic"/>
          <w:color w:val="000000" w:themeColor="text1"/>
          <w:kern w:val="0"/>
          <w:sz w:val="28"/>
          <w:szCs w:val="28"/>
          <w14:ligatures w14:val="none"/>
        </w:rPr>
        <w:t xml:space="preserve"> (Directed Changes) </w:t>
      </w:r>
      <w:r w:rsidRPr="00D330B0">
        <w:rPr>
          <w:rFonts w:ascii="Simplified Arabic" w:eastAsia="Times New Roman" w:hAnsi="Simplified Arabic" w:cs="Simplified Arabic"/>
          <w:color w:val="000000" w:themeColor="text1"/>
          <w:kern w:val="0"/>
          <w:sz w:val="28"/>
          <w:szCs w:val="28"/>
          <w:rtl/>
          <w14:ligatures w14:val="none"/>
        </w:rPr>
        <w:t>يصدرها المالك صراحة، وتغييرات بنّاءة</w:t>
      </w:r>
      <w:r w:rsidRPr="00D330B0">
        <w:rPr>
          <w:rFonts w:ascii="Simplified Arabic" w:eastAsia="Times New Roman" w:hAnsi="Simplified Arabic" w:cs="Simplified Arabic"/>
          <w:color w:val="000000" w:themeColor="text1"/>
          <w:kern w:val="0"/>
          <w:sz w:val="28"/>
          <w:szCs w:val="28"/>
          <w14:ligatures w14:val="none"/>
        </w:rPr>
        <w:t xml:space="preserve"> (Constructive Changes) </w:t>
      </w:r>
      <w:r w:rsidRPr="00D330B0">
        <w:rPr>
          <w:rFonts w:ascii="Simplified Arabic" w:eastAsia="Times New Roman" w:hAnsi="Simplified Arabic" w:cs="Simplified Arabic"/>
          <w:color w:val="000000" w:themeColor="text1"/>
          <w:kern w:val="0"/>
          <w:sz w:val="28"/>
          <w:szCs w:val="28"/>
          <w:rtl/>
          <w14:ligatures w14:val="none"/>
        </w:rPr>
        <w:t xml:space="preserve">تنتج عن تصرفات المالك أو ممثليه دون أمر تغيير رسمي، وتغييرات تحسينية </w:t>
      </w:r>
      <w:r w:rsidRPr="00D330B0">
        <w:rPr>
          <w:rFonts w:ascii="Simplified Arabic" w:eastAsia="Times New Roman" w:hAnsi="Simplified Arabic" w:cs="Simplified Arabic"/>
          <w:color w:val="000000" w:themeColor="text1"/>
          <w:kern w:val="0"/>
          <w:sz w:val="28"/>
          <w:szCs w:val="28"/>
          <w14:ligatures w14:val="none"/>
        </w:rPr>
        <w:t xml:space="preserve">(Beneficial Changes) </w:t>
      </w:r>
      <w:r w:rsidRPr="00D330B0">
        <w:rPr>
          <w:rFonts w:ascii="Simplified Arabic" w:eastAsia="Times New Roman" w:hAnsi="Simplified Arabic" w:cs="Simplified Arabic"/>
          <w:color w:val="000000" w:themeColor="text1"/>
          <w:kern w:val="0"/>
          <w:sz w:val="28"/>
          <w:szCs w:val="28"/>
          <w:rtl/>
          <w14:ligatures w14:val="none"/>
        </w:rPr>
        <w:t>تهدف إلى رفع مستوى الجودة أو خفض التكاليف من خلال هندسة القيمة (البريني، 2023). وتتراوح الآثار المالية لأوامر التغيير عادة بين 5% و15% من قيمة العقد الأصلي، غير أنها قد تتجاوز ذلك بكثير في المشاريع التي تعاني من قصور في إدارة النطاق</w:t>
      </w:r>
      <w:r w:rsidRPr="00D330B0">
        <w:rPr>
          <w:rFonts w:ascii="Simplified Arabic" w:eastAsia="Times New Roman" w:hAnsi="Simplified Arabic" w:cs="Simplified Arabic"/>
          <w:color w:val="000000" w:themeColor="text1"/>
          <w:kern w:val="0"/>
          <w:sz w:val="28"/>
          <w:szCs w:val="28"/>
          <w14:ligatures w14:val="none"/>
        </w:rPr>
        <w:t xml:space="preserve"> (Alsulami, 2025).</w:t>
      </w:r>
    </w:p>
    <w:p w14:paraId="7E09850F"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514435"/>
      <w:r w:rsidRPr="00D330B0">
        <w:rPr>
          <w:rFonts w:ascii="Simplified Arabic" w:eastAsia="Times New Roman" w:hAnsi="Simplified Arabic" w:cs="Simplified Arabic"/>
          <w:b/>
          <w:bCs/>
          <w:color w:val="000000" w:themeColor="text1"/>
          <w:kern w:val="0"/>
          <w:sz w:val="32"/>
          <w:szCs w:val="32"/>
          <w:rtl/>
          <w14:ligatures w14:val="none"/>
        </w:rPr>
        <w:lastRenderedPageBreak/>
        <w:t>ثالثًا: التخطيط المسبق للنطاق</w:t>
      </w:r>
      <w:bookmarkEnd w:id="19"/>
    </w:p>
    <w:p w14:paraId="4E4299DE"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يُقصد بالتخطيط المسبق للنطاق</w:t>
      </w:r>
      <w:r w:rsidRPr="00D330B0">
        <w:rPr>
          <w:rFonts w:ascii="Simplified Arabic" w:eastAsia="Times New Roman" w:hAnsi="Simplified Arabic" w:cs="Simplified Arabic"/>
          <w:color w:val="000000" w:themeColor="text1"/>
          <w:kern w:val="0"/>
          <w:sz w:val="28"/>
          <w:szCs w:val="28"/>
          <w14:ligatures w14:val="none"/>
        </w:rPr>
        <w:t xml:space="preserve"> (Pre-Scope Planning) </w:t>
      </w:r>
      <w:r w:rsidRPr="00D330B0">
        <w:rPr>
          <w:rFonts w:ascii="Simplified Arabic" w:eastAsia="Times New Roman" w:hAnsi="Simplified Arabic" w:cs="Simplified Arabic"/>
          <w:color w:val="000000" w:themeColor="text1"/>
          <w:kern w:val="0"/>
          <w:sz w:val="28"/>
          <w:szCs w:val="28"/>
          <w:rtl/>
          <w14:ligatures w14:val="none"/>
        </w:rPr>
        <w:t>مجموع الأنشطة والعمليات التي تُنفذ قبل مرحلة التعاقد لتحديد نطاق العمل بدقة ووضوح، وتشمل إجراء دراسات الجدوى الفنية والمالية، وتحديد المواصفات والمتطلبات الأدائية، وإعداد هيكل تجزئة العمل التفصيلي، وإشراك الجهات المعنية بالتشغيل والصيانة في مراجعة وثائق المناقصة. ويُعدّ هذا التخطيط المرحلة الأكثر حسمًا في تقليل احتمالية حدوث أوامر تغيير لاحقة، إذ أن جودة تعريف النطاق في المراحل المبكرة تتناسب عكسيًا مع حجم التغييرات أثناء التنفيذ (أبو عامر، 2020)</w:t>
      </w:r>
      <w:r w:rsidRPr="00D330B0">
        <w:rPr>
          <w:rFonts w:ascii="Simplified Arabic" w:eastAsia="Times New Roman" w:hAnsi="Simplified Arabic" w:cs="Simplified Arabic"/>
          <w:color w:val="000000" w:themeColor="text1"/>
          <w:kern w:val="0"/>
          <w:sz w:val="28"/>
          <w:szCs w:val="28"/>
          <w14:ligatures w14:val="none"/>
        </w:rPr>
        <w:t>.</w:t>
      </w:r>
    </w:p>
    <w:p w14:paraId="6C15B895"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514436"/>
      <w:r w:rsidRPr="00D330B0">
        <w:rPr>
          <w:rFonts w:ascii="Simplified Arabic" w:eastAsia="Times New Roman" w:hAnsi="Simplified Arabic" w:cs="Simplified Arabic"/>
          <w:b/>
          <w:bCs/>
          <w:color w:val="000000" w:themeColor="text1"/>
          <w:kern w:val="0"/>
          <w:sz w:val="32"/>
          <w:szCs w:val="32"/>
          <w:rtl/>
          <w14:ligatures w14:val="none"/>
        </w:rPr>
        <w:t>رابعًا: الرقابة التعاقدية والمالية على أوامر التغيير</w:t>
      </w:r>
      <w:bookmarkEnd w:id="20"/>
    </w:p>
    <w:p w14:paraId="18570B4A" w14:textId="71A90711"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تُشير الرقابة التعاقدية والمالية </w:t>
      </w:r>
      <w:r w:rsidRPr="00D330B0">
        <w:rPr>
          <w:rFonts w:ascii="Simplified Arabic" w:eastAsia="Times New Roman" w:hAnsi="Simplified Arabic" w:cs="Simplified Arabic"/>
          <w:color w:val="000000" w:themeColor="text1"/>
          <w:kern w:val="0"/>
          <w:sz w:val="28"/>
          <w:szCs w:val="28"/>
          <w14:ligatures w14:val="none"/>
        </w:rPr>
        <w:t xml:space="preserve">(Contractual and Financial Control) </w:t>
      </w:r>
      <w:r w:rsidRPr="00D330B0">
        <w:rPr>
          <w:rFonts w:ascii="Simplified Arabic" w:eastAsia="Times New Roman" w:hAnsi="Simplified Arabic" w:cs="Simplified Arabic"/>
          <w:color w:val="000000" w:themeColor="text1"/>
          <w:kern w:val="0"/>
          <w:sz w:val="28"/>
          <w:szCs w:val="28"/>
          <w:rtl/>
          <w14:ligatures w14:val="none"/>
        </w:rPr>
        <w:t xml:space="preserve">إلى منظومة الأحكام والإجراءات والضوابط المنصوص عليها في العقد والأنظمة المعمول بها والتي تُنظّم عملية إصدار أوامر التغيير واعتمادها وصرف مستحقاتها. وتشمل هذه الرقابة تحديد الحدود المالية المسموح بها لأوامر التغيير، وآليات المراجعة المالية المسبقة واللاحقة، وصلاحيات الاعتماد وفقًا لمستوياتها المالية، ومتطلبات التبرير الفني والمالي لكل أمر تغيير قبل إصداره. وتهدف هذه الرقابة إلى حماية المال العام وضمان عدم تجاوز الميزانيات المعتمدة دون مسوّغ مشروع </w:t>
      </w:r>
      <w:r w:rsidR="00253519" w:rsidRPr="00D330B0">
        <w:rPr>
          <w:rFonts w:ascii="Simplified Arabic" w:eastAsia="Times New Roman" w:hAnsi="Simplified Arabic" w:cs="Simplified Arabic" w:hint="cs"/>
          <w:color w:val="000000" w:themeColor="text1"/>
          <w:kern w:val="0"/>
          <w:sz w:val="28"/>
          <w:szCs w:val="28"/>
          <w:rtl/>
          <w14:ligatures w14:val="none"/>
        </w:rPr>
        <w:t>(</w:t>
      </w:r>
      <w:r w:rsidRPr="00D330B0">
        <w:rPr>
          <w:rFonts w:ascii="Simplified Arabic" w:eastAsia="Times New Roman" w:hAnsi="Simplified Arabic" w:cs="Simplified Arabic"/>
          <w:color w:val="000000" w:themeColor="text1"/>
          <w:kern w:val="0"/>
          <w:sz w:val="28"/>
          <w:szCs w:val="28"/>
          <w:rtl/>
          <w14:ligatures w14:val="none"/>
        </w:rPr>
        <w:t>البريني، 2023</w:t>
      </w:r>
      <w:r w:rsidR="00253519" w:rsidRPr="00D330B0">
        <w:rPr>
          <w:rFonts w:ascii="Simplified Arabic" w:eastAsia="Times New Roman" w:hAnsi="Simplified Arabic" w:cs="Simplified Arabic" w:hint="cs"/>
          <w:color w:val="000000" w:themeColor="text1"/>
          <w:kern w:val="0"/>
          <w:sz w:val="28"/>
          <w:szCs w:val="28"/>
          <w:rtl/>
          <w14:ligatures w14:val="none"/>
        </w:rPr>
        <w:t>)</w:t>
      </w:r>
    </w:p>
    <w:p w14:paraId="5E58E3BB"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514437"/>
      <w:r w:rsidRPr="00D330B0">
        <w:rPr>
          <w:rFonts w:ascii="Simplified Arabic" w:eastAsia="Times New Roman" w:hAnsi="Simplified Arabic" w:cs="Simplified Arabic"/>
          <w:b/>
          <w:bCs/>
          <w:color w:val="000000" w:themeColor="text1"/>
          <w:kern w:val="0"/>
          <w:sz w:val="32"/>
          <w:szCs w:val="32"/>
          <w:rtl/>
          <w14:ligatures w14:val="none"/>
        </w:rPr>
        <w:t>خامسًا: كفاءة التوثيق والاتصال بين أطراف العقد</w:t>
      </w:r>
      <w:bookmarkEnd w:id="21"/>
    </w:p>
    <w:p w14:paraId="13257293"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يُقصد بكفاءة التوثيق والاتصال</w:t>
      </w:r>
      <w:r w:rsidRPr="00D330B0">
        <w:rPr>
          <w:rFonts w:ascii="Simplified Arabic" w:eastAsia="Times New Roman" w:hAnsi="Simplified Arabic" w:cs="Simplified Arabic"/>
          <w:color w:val="000000" w:themeColor="text1"/>
          <w:kern w:val="0"/>
          <w:sz w:val="28"/>
          <w:szCs w:val="28"/>
          <w14:ligatures w14:val="none"/>
        </w:rPr>
        <w:t xml:space="preserve"> (Documentation and Communication Efficiency) </w:t>
      </w:r>
      <w:r w:rsidRPr="00D330B0">
        <w:rPr>
          <w:rFonts w:ascii="Simplified Arabic" w:eastAsia="Times New Roman" w:hAnsi="Simplified Arabic" w:cs="Simplified Arabic"/>
          <w:color w:val="000000" w:themeColor="text1"/>
          <w:kern w:val="0"/>
          <w:sz w:val="28"/>
          <w:szCs w:val="28"/>
          <w:rtl/>
          <w14:ligatures w14:val="none"/>
        </w:rPr>
        <w:t>مستوى جودة تسجيل القرارات والتعديلات التعاقدية وحفظها، وفعالية قنوات التواصل بين أطراف العقد (الجهة المالكة، والمقاول، والاستشاري، والجهات الرقابية) في تبادل المعلومات المتعلقة بأوامر التغيير وتداعياتها. ويتضمن ذلك توافر قواعد بيانات متكاملة تربط بين وثائق النطاق الأصلي وأوامر التغيير المعتمدة والتكاليف الفعلية، ووضوح المسؤوليات والصلاحيات في سلسلة اتخاذ القرار. وقد أثبتت الدراسات أن ضعف التوثيق والاتصال يُعدّ من العوامل الرئيسية المُفضية إلى النزاعات التعاقدية وتأخر معالجة أوامر التغيير وتفاقم آثارها المالية</w:t>
      </w:r>
      <w:r w:rsidRPr="00D330B0">
        <w:rPr>
          <w:rFonts w:ascii="Simplified Arabic" w:eastAsia="Times New Roman" w:hAnsi="Simplified Arabic" w:cs="Simplified Arabic"/>
          <w:color w:val="000000" w:themeColor="text1"/>
          <w:kern w:val="0"/>
          <w:sz w:val="28"/>
          <w:szCs w:val="28"/>
          <w14:ligatures w14:val="none"/>
        </w:rPr>
        <w:t xml:space="preserve"> (Ahmed et al., 2022).</w:t>
      </w:r>
    </w:p>
    <w:p w14:paraId="1EA92BA0"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514438"/>
      <w:r w:rsidRPr="00D330B0">
        <w:rPr>
          <w:rFonts w:ascii="Simplified Arabic" w:eastAsia="Times New Roman" w:hAnsi="Simplified Arabic" w:cs="Simplified Arabic"/>
          <w:b/>
          <w:bCs/>
          <w:color w:val="000000" w:themeColor="text1"/>
          <w:kern w:val="0"/>
          <w:sz w:val="32"/>
          <w:szCs w:val="32"/>
          <w:rtl/>
          <w14:ligatures w14:val="none"/>
        </w:rPr>
        <w:lastRenderedPageBreak/>
        <w:t>سادسًا: مفهوم التكاليف غير المخططة في عقود التشغيل والصيانة</w:t>
      </w:r>
      <w:bookmarkEnd w:id="22"/>
    </w:p>
    <w:p w14:paraId="5AFB51C5"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تُعرّف التكاليف غير المخططة</w:t>
      </w:r>
      <w:r w:rsidRPr="00D330B0">
        <w:rPr>
          <w:rFonts w:ascii="Simplified Arabic" w:eastAsia="Times New Roman" w:hAnsi="Simplified Arabic" w:cs="Simplified Arabic"/>
          <w:color w:val="000000" w:themeColor="text1"/>
          <w:kern w:val="0"/>
          <w:sz w:val="28"/>
          <w:szCs w:val="28"/>
          <w14:ligatures w14:val="none"/>
        </w:rPr>
        <w:t xml:space="preserve"> (Unplanned Costs) </w:t>
      </w:r>
      <w:r w:rsidRPr="00D330B0">
        <w:rPr>
          <w:rFonts w:ascii="Simplified Arabic" w:eastAsia="Times New Roman" w:hAnsi="Simplified Arabic" w:cs="Simplified Arabic"/>
          <w:color w:val="000000" w:themeColor="text1"/>
          <w:kern w:val="0"/>
          <w:sz w:val="28"/>
          <w:szCs w:val="28"/>
          <w:rtl/>
          <w14:ligatures w14:val="none"/>
        </w:rPr>
        <w:t xml:space="preserve">بأنها جميع المصروفات التي لم تكن مدرجة ضمن الميزانية التقديرية المعتمدة لعقد التشغيل والصيانة عند إبرامه، والتي تنشأ نتيجة أحداث أو متطلبات لم يُؤخذ بها في الحسبان خلال مرحلة التخطيط والتعاقد. وتشمل هذه التكاليف نفقات الصيانة التصحيحية الطارئة الناتجة عن أعطال مفاجئة، وتكاليف الإصلاحات غير المدرجة في برامج الصيانة الوقائية، والمصروفات الإضافية المترتبة على تعديلات النطاق التي لم تُقيَّم آثارها على مرحلة التشغيل، والتكاليف الناجمة عن التوقف غير المخطط للمرافق والأنظمة </w:t>
      </w:r>
      <w:r w:rsidRPr="00D330B0">
        <w:rPr>
          <w:rFonts w:ascii="Simplified Arabic" w:eastAsia="Times New Roman" w:hAnsi="Simplified Arabic" w:cs="Simplified Arabic"/>
          <w:color w:val="000000" w:themeColor="text1"/>
          <w:kern w:val="0"/>
          <w:sz w:val="28"/>
          <w:szCs w:val="28"/>
          <w14:ligatures w14:val="none"/>
        </w:rPr>
        <w:t>(Weidner, 2023).</w:t>
      </w:r>
    </w:p>
    <w:p w14:paraId="767CD8B1"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وترتبط التكاليف غير المخططة ارتباطًا وثيقًا بنمط استراتيجية الصيانة المتبعة، إذ تميّز الأدبيات بين الصيانة المخططة </w:t>
      </w:r>
      <w:r w:rsidRPr="00D330B0">
        <w:rPr>
          <w:rFonts w:ascii="Simplified Arabic" w:eastAsia="Times New Roman" w:hAnsi="Simplified Arabic" w:cs="Simplified Arabic"/>
          <w:color w:val="000000" w:themeColor="text1"/>
          <w:kern w:val="0"/>
          <w:sz w:val="28"/>
          <w:szCs w:val="28"/>
          <w14:ligatures w14:val="none"/>
        </w:rPr>
        <w:t xml:space="preserve">(Planned Maintenance) </w:t>
      </w:r>
      <w:r w:rsidRPr="00D330B0">
        <w:rPr>
          <w:rFonts w:ascii="Simplified Arabic" w:eastAsia="Times New Roman" w:hAnsi="Simplified Arabic" w:cs="Simplified Arabic"/>
          <w:color w:val="000000" w:themeColor="text1"/>
          <w:kern w:val="0"/>
          <w:sz w:val="28"/>
          <w:szCs w:val="28"/>
          <w:rtl/>
          <w14:ligatures w14:val="none"/>
        </w:rPr>
        <w:t>التي تشمل الصيانة الوقائية والتنبؤية والمجدولة مسبقًا، والصيانة غير المخططة</w:t>
      </w:r>
      <w:r w:rsidRPr="00D330B0">
        <w:rPr>
          <w:rFonts w:ascii="Simplified Arabic" w:eastAsia="Times New Roman" w:hAnsi="Simplified Arabic" w:cs="Simplified Arabic"/>
          <w:color w:val="000000" w:themeColor="text1"/>
          <w:kern w:val="0"/>
          <w:sz w:val="28"/>
          <w:szCs w:val="28"/>
          <w14:ligatures w14:val="none"/>
        </w:rPr>
        <w:t xml:space="preserve"> (Unplanned Maintenance) </w:t>
      </w:r>
      <w:r w:rsidRPr="00D330B0">
        <w:rPr>
          <w:rFonts w:ascii="Simplified Arabic" w:eastAsia="Times New Roman" w:hAnsi="Simplified Arabic" w:cs="Simplified Arabic"/>
          <w:color w:val="000000" w:themeColor="text1"/>
          <w:kern w:val="0"/>
          <w:sz w:val="28"/>
          <w:szCs w:val="28"/>
          <w:rtl/>
          <w14:ligatures w14:val="none"/>
        </w:rPr>
        <w:t>التي تشمل الصيانة التصحيحية والطارئة التي تُنفذ استجابة لأعطال مفاجئة. وكلما ارتفعت نسبة الصيانة غير المخططة إلى إجمالي أنشطة الصيانة، ارتفعت معها التكاليف التشغيلية الإجمالية نظرًا لأن تكلفة الإصلاح الطارئ تفوق تكلفة الصيانة الوقائية بمراحل عديدة</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a et al., 2020).</w:t>
      </w:r>
    </w:p>
    <w:p w14:paraId="2E91EE3F"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514439"/>
      <w:r w:rsidRPr="00D330B0">
        <w:rPr>
          <w:rFonts w:ascii="Simplified Arabic" w:eastAsia="Times New Roman" w:hAnsi="Simplified Arabic" w:cs="Simplified Arabic"/>
          <w:b/>
          <w:bCs/>
          <w:color w:val="000000" w:themeColor="text1"/>
          <w:kern w:val="0"/>
          <w:sz w:val="32"/>
          <w:szCs w:val="32"/>
          <w:rtl/>
          <w14:ligatures w14:val="none"/>
        </w:rPr>
        <w:t>سابعًا: عقود التشغيل والصيانة في المشاريع الحكومية</w:t>
      </w:r>
      <w:bookmarkEnd w:id="23"/>
    </w:p>
    <w:p w14:paraId="2F6DA8C0"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يُقصد بعقود التشغيل والصيانة</w:t>
      </w:r>
      <w:r w:rsidRPr="00D330B0">
        <w:rPr>
          <w:rFonts w:ascii="Simplified Arabic" w:eastAsia="Times New Roman" w:hAnsi="Simplified Arabic" w:cs="Simplified Arabic"/>
          <w:color w:val="000000" w:themeColor="text1"/>
          <w:kern w:val="0"/>
          <w:sz w:val="28"/>
          <w:szCs w:val="28"/>
          <w14:ligatures w14:val="none"/>
        </w:rPr>
        <w:t xml:space="preserve"> (Operation and Maintenance Contracts – O&amp;M Contracts) </w:t>
      </w:r>
      <w:r w:rsidRPr="00D330B0">
        <w:rPr>
          <w:rFonts w:ascii="Simplified Arabic" w:eastAsia="Times New Roman" w:hAnsi="Simplified Arabic" w:cs="Simplified Arabic"/>
          <w:color w:val="000000" w:themeColor="text1"/>
          <w:kern w:val="0"/>
          <w:sz w:val="28"/>
          <w:szCs w:val="28"/>
          <w:rtl/>
          <w14:ligatures w14:val="none"/>
        </w:rPr>
        <w:t>العقود التي تُبرمها الجهات الحكومية المالكة مع متعاقدين متخصصين لتشغيل المرافق العامة وصيانتها وفقًا لمواصفات أداء محددة ولفترات زمنية معينة. وتتنوع هذه العقود بحسب نطاقها وآلية التعويض المالي، فمنها عقود الصيانة الشاملة التي تغطي جميع الأنظمة والمكونات، وعقود الصيانة الجزئية المقتصرة على أنظمة بعينها، وعقود الأداء المبنية على مؤشرات أداء رئيسية</w:t>
      </w:r>
      <w:r w:rsidRPr="00D330B0">
        <w:rPr>
          <w:rFonts w:ascii="Simplified Arabic" w:eastAsia="Times New Roman" w:hAnsi="Simplified Arabic" w:cs="Simplified Arabic"/>
          <w:color w:val="000000" w:themeColor="text1"/>
          <w:kern w:val="0"/>
          <w:sz w:val="28"/>
          <w:szCs w:val="28"/>
          <w14:ligatures w14:val="none"/>
        </w:rPr>
        <w:t xml:space="preserve"> (KPIs). </w:t>
      </w:r>
      <w:r w:rsidRPr="00D330B0">
        <w:rPr>
          <w:rFonts w:ascii="Simplified Arabic" w:eastAsia="Times New Roman" w:hAnsi="Simplified Arabic" w:cs="Simplified Arabic"/>
          <w:color w:val="000000" w:themeColor="text1"/>
          <w:kern w:val="0"/>
          <w:sz w:val="28"/>
          <w:szCs w:val="28"/>
          <w:rtl/>
          <w14:ligatures w14:val="none"/>
        </w:rPr>
        <w:t>وتمثل هذه العقود أداة رئيسية لضمان استمرارية خدمات المرافق العامة وصيانة قيمتها الأصولية على المدى الطويل (الحسن وآخرون، 2020)</w:t>
      </w:r>
      <w:r w:rsidRPr="00D330B0">
        <w:rPr>
          <w:rFonts w:ascii="Simplified Arabic" w:eastAsia="Times New Roman" w:hAnsi="Simplified Arabic" w:cs="Simplified Arabic"/>
          <w:color w:val="000000" w:themeColor="text1"/>
          <w:kern w:val="0"/>
          <w:sz w:val="28"/>
          <w:szCs w:val="28"/>
          <w14:ligatures w14:val="none"/>
        </w:rPr>
        <w:t>.</w:t>
      </w:r>
    </w:p>
    <w:p w14:paraId="1CEF9AA1" w14:textId="77777777" w:rsidR="009241E8" w:rsidRPr="00D330B0" w:rsidRDefault="009241E8" w:rsidP="0025351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514440"/>
      <w:r w:rsidRPr="00D330B0">
        <w:rPr>
          <w:rFonts w:ascii="Simplified Arabic" w:eastAsia="Times New Roman" w:hAnsi="Simplified Arabic" w:cs="Simplified Arabic"/>
          <w:b/>
          <w:bCs/>
          <w:color w:val="000000" w:themeColor="text1"/>
          <w:kern w:val="0"/>
          <w:sz w:val="32"/>
          <w:szCs w:val="32"/>
          <w:rtl/>
          <w14:ligatures w14:val="none"/>
        </w:rPr>
        <w:t>ثامنًا: الإطار التكاملي للعلاقة بين المتغيرين</w:t>
      </w:r>
      <w:bookmarkEnd w:id="24"/>
    </w:p>
    <w:p w14:paraId="2F0BD3E7"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تنطلق هذه الدراسة من فرضية نظرية مفادها أن القصور في إدارة نطاق العمل وأوامر التغيير خلال مراحل الإعداد والتعاقد والتنفيذ يُنتج آثارًا ممتدة تتجاوز مرحلة التشييد لتطال مرحلة التشغيل والصيانة، حيث تتحول التعديلات غير المدروسة في النطاق إلى مصادر كامنة لتكاليف غير مخططة تظهر لاحقًا في صورة أعطال مفاجئة أو متطلبات صيانة إضافية أو تعديلات تعاقدية لم تكن في الحسبان. ويعني ذلك أن كفاءة إدارة النطاق وأوامر التغيير — بأبعادها الأربعة: التخطيط المسبق للنطاق، وإجراءات إدارة أوامر التغيير، والرقابة التعاقدية والمالية، وكفاءة التوثيق والاتصال — تُمثّل متغيرًا تفسيريًا محوريًا لمستوى التكاليف غير المخططة في عقود التشغيل والصيانة. ويسعى هذا الإطار التكاملي إلى تقديم فهم شامل للعلاقة السببية بين قرارات مرحلة التعاقد والتنفيذ وانعكاساتها على الأداء المالي لمرحلة ما بعد التسليم</w:t>
      </w:r>
      <w:r w:rsidRPr="00D330B0">
        <w:rPr>
          <w:rFonts w:ascii="Simplified Arabic" w:eastAsia="Times New Roman" w:hAnsi="Simplified Arabic" w:cs="Simplified Arabic"/>
          <w:color w:val="000000" w:themeColor="text1"/>
          <w:kern w:val="0"/>
          <w:sz w:val="28"/>
          <w:szCs w:val="28"/>
          <w14:ligatures w14:val="none"/>
        </w:rPr>
        <w:t xml:space="preserve"> (Alsulami, 2025).</w:t>
      </w:r>
    </w:p>
    <w:p w14:paraId="0AD710A8" w14:textId="3B9DCBE4" w:rsidR="00253519"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584047"/>
      <w:bookmarkStart w:id="26" w:name="_Toc169790506"/>
      <w:bookmarkEnd w:id="17"/>
      <w:r w:rsidRPr="00D330B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78F34947"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الأنسب لتحقيق أهداف الدراسة، إذ يُتيح وصف الظاهرة المدروسة وتحليلها كمّيًا لاستخلاص النتائج وتعميمها. ويتلاءم هذا المنهج مع طبيعة الدراسة التي تسعى إلى قياس أثر إدارة نطاق العمل وأوامر التغيير بأبعاده الأربعة (التخطيط المسبق للنطاق، وإجراءات إدارة أوامر التغيير، والرقابة التعاقدية والمالية، وكفاءة التوثيق والاتصال بين أطراف العقد</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على التكاليف غير المخططة في عقود التشغيل والصيانة بالمشاريع الحكومية، من خلال جمع البيانات الأولية بأداة الاستبانة وتحليلها إحصائيًا لاختبار فروض الدراسة والإجابة عن أسئلتها</w:t>
      </w:r>
      <w:r w:rsidRPr="00D330B0">
        <w:rPr>
          <w:rFonts w:ascii="Simplified Arabic" w:eastAsia="Times New Roman" w:hAnsi="Simplified Arabic" w:cs="Simplified Arabic"/>
          <w:color w:val="000000" w:themeColor="text1"/>
          <w:kern w:val="0"/>
          <w:sz w:val="28"/>
          <w:szCs w:val="28"/>
          <w14:ligatures w14:val="none"/>
        </w:rPr>
        <w:t>.</w:t>
      </w:r>
    </w:p>
    <w:p w14:paraId="284F2B65"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وسيتضمن المنهج المتبع مرحلتين متكاملتين</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المرحلة الأولى نظرية تشمل مراجعة الأدبيات والدراسات السابقة العربية والأجنبية ذات الصلة بمتغيرات الدراسة لبناء الإطار النظري وتحديد أبعاد المتغيرات وفقراتها، والمرحلة الثانية ميدانية تشمل تصميم أداة الدراسة وتحكيمها واختبار صدقها وثباتها، ثم توزيعها على عينة الدراسة وجمع البيانات ومعالجتها إحصائيًا باستخدام برنامج الحزمة الإحصائية للعلوم الاجتماعية</w:t>
      </w:r>
      <w:r w:rsidRPr="00D330B0">
        <w:rPr>
          <w:rFonts w:ascii="Simplified Arabic" w:eastAsia="Times New Roman" w:hAnsi="Simplified Arabic" w:cs="Simplified Arabic"/>
          <w:color w:val="000000" w:themeColor="text1"/>
          <w:kern w:val="0"/>
          <w:sz w:val="28"/>
          <w:szCs w:val="28"/>
          <w14:ligatures w14:val="none"/>
        </w:rPr>
        <w:t xml:space="preserve"> (SPSS) </w:t>
      </w:r>
      <w:r w:rsidRPr="00D330B0">
        <w:rPr>
          <w:rFonts w:ascii="Simplified Arabic" w:eastAsia="Times New Roman" w:hAnsi="Simplified Arabic" w:cs="Simplified Arabic"/>
          <w:color w:val="000000" w:themeColor="text1"/>
          <w:kern w:val="0"/>
          <w:sz w:val="28"/>
          <w:szCs w:val="28"/>
          <w:rtl/>
          <w14:ligatures w14:val="none"/>
        </w:rPr>
        <w:t>لاستخلاص النتائج وتقديم التوصيات</w:t>
      </w:r>
      <w:r w:rsidRPr="00D330B0">
        <w:rPr>
          <w:rFonts w:ascii="Simplified Arabic" w:eastAsia="Times New Roman" w:hAnsi="Simplified Arabic" w:cs="Simplified Arabic"/>
          <w:color w:val="000000" w:themeColor="text1"/>
          <w:kern w:val="0"/>
          <w:sz w:val="28"/>
          <w:szCs w:val="28"/>
          <w14:ligatures w14:val="none"/>
        </w:rPr>
        <w:t>.</w:t>
      </w:r>
    </w:p>
    <w:p w14:paraId="47511C76" w14:textId="4B143BF9" w:rsidR="009241E8"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3514442"/>
      <w:bookmarkStart w:id="28" w:name="_Toc233584048"/>
      <w:r w:rsidRPr="00D330B0">
        <w:rPr>
          <w:rFonts w:ascii="Simplified Arabic" w:eastAsia="Times New Roman" w:hAnsi="Simplified Arabic" w:cs="Simplified Arabic" w:hint="cs"/>
          <w:b/>
          <w:bCs/>
          <w:color w:val="000000" w:themeColor="text1"/>
          <w:kern w:val="36"/>
          <w:sz w:val="36"/>
          <w:szCs w:val="36"/>
          <w:rtl/>
          <w14:ligatures w14:val="none"/>
        </w:rPr>
        <w:t xml:space="preserve">11.1 </w:t>
      </w:r>
      <w:r w:rsidR="009241E8" w:rsidRPr="00D330B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7"/>
      <w:bookmarkEnd w:id="28"/>
    </w:p>
    <w:p w14:paraId="0DBDB0F7"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إدارات المشاريع والعقود والتشغيل والصيانة في الجهات الحكومية والشركات المقاولة ومكاتب الاستشارات الهندسية ذات العلاقة بعقود التشغيل والصيانة في المشاريع الحكومية بالمملكة العربية السعودية، ويشمل ذلك مديري المشاريع، ومسؤولي العقود، ومديري التشغيل والصيانة، والمهندسين الاستشاريين، والمراقبين الماليين المعنيين بإدارة نطاق العمل وأوامر التغيير. ويُقدّر مجتمع الدراسة بنحو (800) فرد موزعين على الجهات الحكومية المعنية (كوزارة المالية، ووزارة الشؤون البلدية والقروية والإسكان، وهيئة كفاءة الإنفاق والمشروعات الحكومية) والشركات المقاولة ومكاتب الاستشارات العاملة في هذا القطاع</w:t>
      </w:r>
      <w:r w:rsidRPr="00D330B0">
        <w:rPr>
          <w:rFonts w:ascii="Simplified Arabic" w:eastAsia="Times New Roman" w:hAnsi="Simplified Arabic" w:cs="Simplified Arabic"/>
          <w:color w:val="000000" w:themeColor="text1"/>
          <w:kern w:val="0"/>
          <w:sz w:val="28"/>
          <w:szCs w:val="28"/>
          <w14:ligatures w14:val="none"/>
        </w:rPr>
        <w:t>.</w:t>
      </w:r>
    </w:p>
    <w:p w14:paraId="413AAA47"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لضمان تمثيل جميع فئات مجتمع الدراسة (جهات حكومية، وشركات مقاولات، ومكاتب استشارية) تمثيلًا متناسبًا. وبالرجوع إلى جدول كريجسي ومورغان</w:t>
      </w:r>
      <w:r w:rsidRPr="00D330B0">
        <w:rPr>
          <w:rFonts w:ascii="Simplified Arabic" w:eastAsia="Times New Roman" w:hAnsi="Simplified Arabic" w:cs="Simplified Arabic"/>
          <w:color w:val="000000" w:themeColor="text1"/>
          <w:kern w:val="0"/>
          <w:sz w:val="28"/>
          <w:szCs w:val="28"/>
          <w14:ligatures w14:val="none"/>
        </w:rPr>
        <w:t xml:space="preserve"> (Krejcie &amp; Morgan, 1970) </w:t>
      </w:r>
      <w:r w:rsidRPr="00D330B0">
        <w:rPr>
          <w:rFonts w:ascii="Simplified Arabic" w:eastAsia="Times New Roman" w:hAnsi="Simplified Arabic" w:cs="Simplified Arabic"/>
          <w:color w:val="000000" w:themeColor="text1"/>
          <w:kern w:val="0"/>
          <w:sz w:val="28"/>
          <w:szCs w:val="28"/>
          <w:rtl/>
          <w14:ligatures w14:val="none"/>
        </w:rPr>
        <w:t>لتحديد حجم العينة المناسب لمجتمع بحجم (800) فرد، فإن الحد الأدنى المطلوب للعينة يبلغ (260) مفردة عند مستوى ثقة 95%. وستسعى الدراسة إلى توزيع (300) استبانة لضمان الحصول على عدد كافٍ من الاستجابات الصالحة للتحليل الإحصائي بعد استبعاد الاستبانات غير المكتملة، بحيث تُوزّع بنسبة (40%) على العاملين في الجهات الحكومية المالكة، و(35%) على العاملين في شركات المقاولات، و(25%) على العاملين في مكاتب الاستشارات الهندسية</w:t>
      </w:r>
      <w:r w:rsidRPr="00D330B0">
        <w:rPr>
          <w:rFonts w:ascii="Simplified Arabic" w:eastAsia="Times New Roman" w:hAnsi="Simplified Arabic" w:cs="Simplified Arabic"/>
          <w:color w:val="000000" w:themeColor="text1"/>
          <w:kern w:val="0"/>
          <w:sz w:val="28"/>
          <w:szCs w:val="28"/>
          <w14:ligatures w14:val="none"/>
        </w:rPr>
        <w:t>.</w:t>
      </w:r>
    </w:p>
    <w:p w14:paraId="4D25EC01" w14:textId="70CCC411" w:rsidR="009241E8"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14443"/>
      <w:bookmarkStart w:id="30" w:name="_Toc233584049"/>
      <w:r w:rsidRPr="00D330B0">
        <w:rPr>
          <w:rFonts w:ascii="Simplified Arabic" w:eastAsia="Times New Roman" w:hAnsi="Simplified Arabic" w:cs="Simplified Arabic" w:hint="cs"/>
          <w:b/>
          <w:bCs/>
          <w:color w:val="000000" w:themeColor="text1"/>
          <w:kern w:val="36"/>
          <w:sz w:val="36"/>
          <w:szCs w:val="36"/>
          <w:rtl/>
          <w14:ligatures w14:val="none"/>
        </w:rPr>
        <w:t xml:space="preserve">12.1 </w:t>
      </w:r>
      <w:r w:rsidR="009241E8" w:rsidRPr="00D330B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9"/>
      <w:bookmarkEnd w:id="30"/>
    </w:p>
    <w:p w14:paraId="42DBBFF4" w14:textId="77777777" w:rsidR="009241E8" w:rsidRPr="00D330B0" w:rsidRDefault="009241E8"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D330B0">
        <w:rPr>
          <w:rFonts w:ascii="Simplified Arabic" w:eastAsia="Times New Roman" w:hAnsi="Simplified Arabic" w:cs="Simplified Arabic"/>
          <w:b/>
          <w:bCs/>
          <w:color w:val="000000" w:themeColor="text1"/>
          <w:kern w:val="0"/>
          <w:sz w:val="28"/>
          <w:szCs w:val="28"/>
          <w14:ligatures w14:val="none"/>
        </w:rPr>
        <w:t>:</w:t>
      </w:r>
    </w:p>
    <w:p w14:paraId="035FB91A" w14:textId="77777777" w:rsidR="009241E8"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المصادر الثانوية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وتشمل الكتب والمراجع العلمية، والدراسات السابقة العربية والأجنبية المنشورة في المجلات العلمية المحكّمة، والرسائل الجامعية، والتقارير الرسمية الصادرة عن الجهات الحكومية المعنية بإدارة المشاريع والعقود، والأدلة الإجرائية ذات الصلة بإدارة أوامر التغيير وعقود التشغيل والصيانة، وذلك لبناء الإطار النظري للدراسة وتحديد أبعاد المتغيرات وفقراتها</w:t>
      </w:r>
      <w:r w:rsidRPr="00D330B0">
        <w:rPr>
          <w:rFonts w:ascii="Simplified Arabic" w:eastAsia="Times New Roman" w:hAnsi="Simplified Arabic" w:cs="Simplified Arabic"/>
          <w:color w:val="000000" w:themeColor="text1"/>
          <w:kern w:val="0"/>
          <w:sz w:val="28"/>
          <w:szCs w:val="28"/>
          <w14:ligatures w14:val="none"/>
        </w:rPr>
        <w:t>.</w:t>
      </w:r>
    </w:p>
    <w:p w14:paraId="0A4CDC89" w14:textId="77777777" w:rsidR="009241E8" w:rsidRPr="00D330B0" w:rsidRDefault="009241E8" w:rsidP="00253519">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المصادر الأولية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لأغراض هذه الدراسة كأداة رئيسية لجمع البيانات الميدانية من أفراد عينة الدراسة، وستُوزّع إلكترونيًا عبر منصات الاستبيانات الرقمية لتسهيل الوصول إلى المستجيبين وضمان سرعة الاستجابة ودقة البيانات المجمعة</w:t>
      </w:r>
      <w:r w:rsidRPr="00D330B0">
        <w:rPr>
          <w:rFonts w:ascii="Simplified Arabic" w:eastAsia="Times New Roman" w:hAnsi="Simplified Arabic" w:cs="Simplified Arabic"/>
          <w:color w:val="000000" w:themeColor="text1"/>
          <w:kern w:val="0"/>
          <w:sz w:val="28"/>
          <w:szCs w:val="28"/>
          <w14:ligatures w14:val="none"/>
        </w:rPr>
        <w:t>.</w:t>
      </w:r>
    </w:p>
    <w:p w14:paraId="5EE01FD9" w14:textId="72A45201" w:rsidR="009241E8"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14444"/>
      <w:bookmarkStart w:id="32" w:name="_Toc233584050"/>
      <w:r w:rsidRPr="00D330B0">
        <w:rPr>
          <w:rFonts w:ascii="Simplified Arabic" w:eastAsia="Times New Roman" w:hAnsi="Simplified Arabic" w:cs="Simplified Arabic" w:hint="cs"/>
          <w:b/>
          <w:bCs/>
          <w:color w:val="000000" w:themeColor="text1"/>
          <w:kern w:val="36"/>
          <w:sz w:val="36"/>
          <w:szCs w:val="36"/>
          <w:rtl/>
          <w14:ligatures w14:val="none"/>
        </w:rPr>
        <w:lastRenderedPageBreak/>
        <w:t xml:space="preserve">13.1 </w:t>
      </w:r>
      <w:r w:rsidR="009241E8" w:rsidRPr="00D330B0">
        <w:rPr>
          <w:rFonts w:ascii="Simplified Arabic" w:eastAsia="Times New Roman" w:hAnsi="Simplified Arabic" w:cs="Simplified Arabic"/>
          <w:b/>
          <w:bCs/>
          <w:color w:val="000000" w:themeColor="text1"/>
          <w:kern w:val="36"/>
          <w:sz w:val="36"/>
          <w:szCs w:val="36"/>
          <w:rtl/>
          <w14:ligatures w14:val="none"/>
        </w:rPr>
        <w:t>أداة الدراسة</w:t>
      </w:r>
      <w:bookmarkEnd w:id="31"/>
      <w:bookmarkEnd w:id="32"/>
    </w:p>
    <w:p w14:paraId="5732B8BF" w14:textId="77777777" w:rsidR="009241E8" w:rsidRPr="00D330B0" w:rsidRDefault="009241E8"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ستتكون أداة الدراسة (الاستبانة) من ثلاثة أقسام رئيسية</w:t>
      </w:r>
      <w:r w:rsidRPr="00D330B0">
        <w:rPr>
          <w:rFonts w:ascii="Simplified Arabic" w:eastAsia="Times New Roman" w:hAnsi="Simplified Arabic" w:cs="Simplified Arabic"/>
          <w:b/>
          <w:bCs/>
          <w:color w:val="000000" w:themeColor="text1"/>
          <w:kern w:val="0"/>
          <w:sz w:val="28"/>
          <w:szCs w:val="28"/>
          <w14:ligatures w14:val="none"/>
        </w:rPr>
        <w:t>:</w:t>
      </w:r>
    </w:p>
    <w:p w14:paraId="4FE66D53"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القسم الأول</w:t>
      </w:r>
      <w:r w:rsidRPr="00D330B0">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معلومات عن المستجيب تشمل المؤهل العلمي، وسنوات الخبرة، وطبيعة الجهة (حكومية / مقاولات / استشارية)، والمسمى الوظيفي</w:t>
      </w:r>
      <w:r w:rsidRPr="00D330B0">
        <w:rPr>
          <w:rFonts w:ascii="Simplified Arabic" w:eastAsia="Times New Roman" w:hAnsi="Simplified Arabic" w:cs="Simplified Arabic"/>
          <w:color w:val="000000" w:themeColor="text1"/>
          <w:kern w:val="0"/>
          <w:sz w:val="28"/>
          <w:szCs w:val="28"/>
          <w14:ligatures w14:val="none"/>
        </w:rPr>
        <w:t>.</w:t>
      </w:r>
    </w:p>
    <w:p w14:paraId="55FCDF3E"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القسم الثاني</w:t>
      </w:r>
      <w:r w:rsidRPr="00D330B0">
        <w:rPr>
          <w:rFonts w:ascii="Simplified Arabic" w:eastAsia="Times New Roman" w:hAnsi="Simplified Arabic" w:cs="Simplified Arabic"/>
          <w:color w:val="000000" w:themeColor="text1"/>
          <w:kern w:val="0"/>
          <w:sz w:val="28"/>
          <w:szCs w:val="28"/>
          <w:rtl/>
          <w14:ligatures w14:val="none"/>
        </w:rPr>
        <w:t>: المتغير المستقل (إدارة نطاق العمل وأوامر التغيير)، ويتكون من أربعة أبعاد، يتضمن كل بُعد منها (4) فقرات، وذلك على النحو التالي</w:t>
      </w:r>
      <w:r w:rsidRPr="00D330B0">
        <w:rPr>
          <w:rFonts w:ascii="Simplified Arabic" w:eastAsia="Times New Roman" w:hAnsi="Simplified Arabic" w:cs="Simplified Arabic"/>
          <w:color w:val="000000" w:themeColor="text1"/>
          <w:kern w:val="0"/>
          <w:sz w:val="28"/>
          <w:szCs w:val="28"/>
          <w14:ligatures w14:val="none"/>
        </w:rPr>
        <w:t>:</w:t>
      </w:r>
    </w:p>
    <w:p w14:paraId="610D4269" w14:textId="77777777" w:rsidR="009241E8" w:rsidRPr="00D330B0" w:rsidRDefault="009241E8" w:rsidP="00253519">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البُعد الأول – التخطيط المسبق للنطاق</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ويتضمن (4) فقرات تقيس مستوى وضوح تعريف النطاق وشمولية الدراسات الفنية والمالية قبل التعاقد ومدى إشراك جهات التشغيل والصيانة في إعداد وثائق المناقصة</w:t>
      </w:r>
      <w:r w:rsidRPr="00D330B0">
        <w:rPr>
          <w:rFonts w:ascii="Simplified Arabic" w:eastAsia="Times New Roman" w:hAnsi="Simplified Arabic" w:cs="Simplified Arabic"/>
          <w:color w:val="000000" w:themeColor="text1"/>
          <w:kern w:val="0"/>
          <w:sz w:val="28"/>
          <w:szCs w:val="28"/>
          <w14:ligatures w14:val="none"/>
        </w:rPr>
        <w:t>.</w:t>
      </w:r>
    </w:p>
    <w:p w14:paraId="54B99DC5" w14:textId="77777777" w:rsidR="009241E8" w:rsidRPr="00D330B0" w:rsidRDefault="009241E8" w:rsidP="00253519">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البُعد الثاني – إجراءات إدارة أوامر التغيير</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ويتضمن (4) فقرات تقيس مدى وجود منهجية موحدة لمراجعة أوامر التغيير واعتمادها وتقييم أثرها المالي والزمني والتنسيق بين أطراف العقد</w:t>
      </w:r>
      <w:r w:rsidRPr="00D330B0">
        <w:rPr>
          <w:rFonts w:ascii="Simplified Arabic" w:eastAsia="Times New Roman" w:hAnsi="Simplified Arabic" w:cs="Simplified Arabic"/>
          <w:color w:val="000000" w:themeColor="text1"/>
          <w:kern w:val="0"/>
          <w:sz w:val="28"/>
          <w:szCs w:val="28"/>
          <w14:ligatures w14:val="none"/>
        </w:rPr>
        <w:t>.</w:t>
      </w:r>
    </w:p>
    <w:p w14:paraId="6FE6706C" w14:textId="77777777" w:rsidR="009241E8" w:rsidRPr="00D330B0" w:rsidRDefault="009241E8" w:rsidP="00253519">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البُعد الثالث – الرقابة التعاقدية والمالية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ويتضمن (4) فقرات تقيس مدى وضوح الأحكام التعاقدية وفعالية آليات المراجعة المالية والالتزام بالسقوف المالية وكفاية أنظمة الرقابة الداخلية</w:t>
      </w:r>
      <w:r w:rsidRPr="00D330B0">
        <w:rPr>
          <w:rFonts w:ascii="Simplified Arabic" w:eastAsia="Times New Roman" w:hAnsi="Simplified Arabic" w:cs="Simplified Arabic"/>
          <w:color w:val="000000" w:themeColor="text1"/>
          <w:kern w:val="0"/>
          <w:sz w:val="28"/>
          <w:szCs w:val="28"/>
          <w14:ligatures w14:val="none"/>
        </w:rPr>
        <w:t>.</w:t>
      </w:r>
    </w:p>
    <w:p w14:paraId="51D790E8" w14:textId="29F73AE9" w:rsidR="009241E8" w:rsidRPr="00D330B0" w:rsidRDefault="009241E8" w:rsidP="00253519">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البُعد الرابع – كفاءة التوثيق والاتصال بين أطراف العقد</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ويتضمن (4) فقرات تقيس جودة التوثيق وفعالية قنوات الاتصال وتوافر قواعد البيانات المتكاملة ووضوح المسؤوليات والصلاحيات</w:t>
      </w:r>
      <w:r w:rsidRPr="00D330B0">
        <w:rPr>
          <w:rFonts w:ascii="Simplified Arabic" w:eastAsia="Times New Roman" w:hAnsi="Simplified Arabic" w:cs="Simplified Arabic"/>
          <w:color w:val="000000" w:themeColor="text1"/>
          <w:kern w:val="0"/>
          <w:sz w:val="28"/>
          <w:szCs w:val="28"/>
          <w14:ligatures w14:val="none"/>
        </w:rPr>
        <w:t>.</w:t>
      </w:r>
      <w:r w:rsidR="00253519" w:rsidRPr="00D330B0">
        <w:rPr>
          <w:rFonts w:ascii="Simplified Arabic" w:eastAsia="Times New Roman" w:hAnsi="Simplified Arabic" w:cs="Simplified Arabic" w:hint="cs"/>
          <w:color w:val="000000" w:themeColor="text1"/>
          <w:kern w:val="0"/>
          <w:sz w:val="28"/>
          <w:szCs w:val="28"/>
          <w:rtl/>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D330B0">
        <w:rPr>
          <w:rFonts w:ascii="Simplified Arabic" w:eastAsia="Times New Roman" w:hAnsi="Simplified Arabic" w:cs="Simplified Arabic"/>
          <w:color w:val="000000" w:themeColor="text1"/>
          <w:kern w:val="0"/>
          <w:sz w:val="28"/>
          <w:szCs w:val="28"/>
          <w14:ligatures w14:val="none"/>
        </w:rPr>
        <w:t xml:space="preserve">(16) </w:t>
      </w:r>
      <w:r w:rsidRPr="00D330B0">
        <w:rPr>
          <w:rFonts w:ascii="Simplified Arabic" w:eastAsia="Times New Roman" w:hAnsi="Simplified Arabic" w:cs="Simplified Arabic"/>
          <w:color w:val="000000" w:themeColor="text1"/>
          <w:kern w:val="0"/>
          <w:sz w:val="28"/>
          <w:szCs w:val="28"/>
          <w:rtl/>
          <w14:ligatures w14:val="none"/>
        </w:rPr>
        <w:t>فقرة</w:t>
      </w:r>
      <w:r w:rsidRPr="00D330B0">
        <w:rPr>
          <w:rFonts w:ascii="Simplified Arabic" w:eastAsia="Times New Roman" w:hAnsi="Simplified Arabic" w:cs="Simplified Arabic"/>
          <w:color w:val="000000" w:themeColor="text1"/>
          <w:kern w:val="0"/>
          <w:sz w:val="28"/>
          <w:szCs w:val="28"/>
          <w14:ligatures w14:val="none"/>
        </w:rPr>
        <w:t>.</w:t>
      </w:r>
    </w:p>
    <w:p w14:paraId="55DEEB46"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القسم الثالث: المتغير التابع</w:t>
      </w:r>
      <w:r w:rsidRPr="00D330B0">
        <w:rPr>
          <w:rFonts w:ascii="Simplified Arabic" w:eastAsia="Times New Roman" w:hAnsi="Simplified Arabic" w:cs="Simplified Arabic"/>
          <w:color w:val="000000" w:themeColor="text1"/>
          <w:kern w:val="0"/>
          <w:sz w:val="28"/>
          <w:szCs w:val="28"/>
          <w:rtl/>
          <w14:ligatures w14:val="none"/>
        </w:rPr>
        <w:t xml:space="preserve"> (التكاليف غير المخططة في عقود التشغيل والصيانة)، وهو محور أحادي يتضمن </w:t>
      </w:r>
      <w:r w:rsidRPr="00D330B0">
        <w:rPr>
          <w:rFonts w:ascii="Simplified Arabic" w:eastAsia="Times New Roman" w:hAnsi="Simplified Arabic" w:cs="Simplified Arabic"/>
          <w:color w:val="000000" w:themeColor="text1"/>
          <w:kern w:val="0"/>
          <w:sz w:val="28"/>
          <w:szCs w:val="28"/>
          <w14:ligatures w14:val="none"/>
        </w:rPr>
        <w:t xml:space="preserve">(10) </w:t>
      </w:r>
      <w:r w:rsidRPr="00D330B0">
        <w:rPr>
          <w:rFonts w:ascii="Simplified Arabic" w:eastAsia="Times New Roman" w:hAnsi="Simplified Arabic" w:cs="Simplified Arabic"/>
          <w:color w:val="000000" w:themeColor="text1"/>
          <w:kern w:val="0"/>
          <w:sz w:val="28"/>
          <w:szCs w:val="28"/>
          <w:rtl/>
          <w14:ligatures w14:val="none"/>
        </w:rPr>
        <w:t>فقرات تقيس مستوى التكاليف غير المخططة الناتجة عن تغييرات النطاق في عقود التشغيل والصيانة، من حيث تكرار حدوثها، وحجمها المالي، وأسبابها المرتبطة بقصور إدارة النطاق وأوامر التغيير، وأثرها على الميزانيات التشغيلية وأداء العقود</w:t>
      </w:r>
      <w:r w:rsidRPr="00D330B0">
        <w:rPr>
          <w:rFonts w:ascii="Simplified Arabic" w:eastAsia="Times New Roman" w:hAnsi="Simplified Arabic" w:cs="Simplified Arabic"/>
          <w:color w:val="000000" w:themeColor="text1"/>
          <w:kern w:val="0"/>
          <w:sz w:val="28"/>
          <w:szCs w:val="28"/>
          <w14:ligatures w14:val="none"/>
        </w:rPr>
        <w:t>.</w:t>
      </w:r>
    </w:p>
    <w:p w14:paraId="63F4B1D9"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D330B0">
        <w:rPr>
          <w:rFonts w:ascii="Simplified Arabic" w:eastAsia="Times New Roman" w:hAnsi="Simplified Arabic" w:cs="Simplified Arabic"/>
          <w:color w:val="000000" w:themeColor="text1"/>
          <w:kern w:val="0"/>
          <w:sz w:val="28"/>
          <w:szCs w:val="28"/>
          <w14:ligatures w14:val="none"/>
        </w:rPr>
        <w:t xml:space="preserve">(26) </w:t>
      </w:r>
      <w:r w:rsidRPr="00D330B0">
        <w:rPr>
          <w:rFonts w:ascii="Simplified Arabic" w:eastAsia="Times New Roman" w:hAnsi="Simplified Arabic" w:cs="Simplified Arabic"/>
          <w:color w:val="000000" w:themeColor="text1"/>
          <w:kern w:val="0"/>
          <w:sz w:val="28"/>
          <w:szCs w:val="28"/>
          <w:rtl/>
          <w14:ligatures w14:val="none"/>
        </w:rPr>
        <w:t xml:space="preserve">فقرة إضافة إلى فقرات البيانات الديموغرافية. وسيتم استخدام مقياس ليكرت الخماسي (موافق بشدة = 5، موافق = 4، محايد = 3، غير موافق = 2، غير موافق بشدة </w:t>
      </w:r>
      <w:r w:rsidRPr="00D330B0">
        <w:rPr>
          <w:rFonts w:ascii="Simplified Arabic" w:eastAsia="Times New Roman" w:hAnsi="Simplified Arabic" w:cs="Simplified Arabic"/>
          <w:color w:val="000000" w:themeColor="text1"/>
          <w:kern w:val="0"/>
          <w:sz w:val="28"/>
          <w:szCs w:val="28"/>
          <w:rtl/>
          <w14:ligatures w14:val="none"/>
        </w:rPr>
        <w:lastRenderedPageBreak/>
        <w:t>= 1) لقياس استجابات أفراد العينة. وستُعرض الاستبانة على مجموعة من المحكّمين المتخصصين للتحقق من صدقها الظاهري وصدق المحتوى، كما سيتم حساب معامل ألفا كرونباخ للتحقق من ثباتها</w:t>
      </w:r>
      <w:r w:rsidRPr="00D330B0">
        <w:rPr>
          <w:rFonts w:ascii="Simplified Arabic" w:eastAsia="Times New Roman" w:hAnsi="Simplified Arabic" w:cs="Simplified Arabic"/>
          <w:color w:val="000000" w:themeColor="text1"/>
          <w:kern w:val="0"/>
          <w:sz w:val="28"/>
          <w:szCs w:val="28"/>
          <w14:ligatures w14:val="none"/>
        </w:rPr>
        <w:t>.</w:t>
      </w:r>
    </w:p>
    <w:p w14:paraId="67C93280" w14:textId="23CBBB6C" w:rsidR="009241E8"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3514445"/>
      <w:bookmarkStart w:id="34" w:name="_Toc233584051"/>
      <w:r w:rsidRPr="00D330B0">
        <w:rPr>
          <w:rFonts w:ascii="Simplified Arabic" w:eastAsia="Times New Roman" w:hAnsi="Simplified Arabic" w:cs="Simplified Arabic" w:hint="cs"/>
          <w:b/>
          <w:bCs/>
          <w:color w:val="000000" w:themeColor="text1"/>
          <w:kern w:val="36"/>
          <w:sz w:val="36"/>
          <w:szCs w:val="36"/>
          <w:rtl/>
          <w14:ligatures w14:val="none"/>
        </w:rPr>
        <w:t xml:space="preserve">14.1 </w:t>
      </w:r>
      <w:r w:rsidR="009241E8" w:rsidRPr="00D330B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3"/>
      <w:bookmarkEnd w:id="34"/>
    </w:p>
    <w:p w14:paraId="2CA336FC" w14:textId="77777777" w:rsidR="009241E8" w:rsidRPr="00D330B0" w:rsidRDefault="009241E8" w:rsidP="0025351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سيتم استخدام برنامج الحزمة الإحصائية للعلوم الاجتماعية</w:t>
      </w:r>
      <w:r w:rsidRPr="00D330B0">
        <w:rPr>
          <w:rFonts w:ascii="Simplified Arabic" w:eastAsia="Times New Roman" w:hAnsi="Simplified Arabic" w:cs="Simplified Arabic"/>
          <w:color w:val="000000" w:themeColor="text1"/>
          <w:kern w:val="0"/>
          <w:sz w:val="28"/>
          <w:szCs w:val="28"/>
          <w14:ligatures w14:val="none"/>
        </w:rPr>
        <w:t xml:space="preserve"> (SPSS) </w:t>
      </w:r>
      <w:r w:rsidRPr="00D330B0">
        <w:rPr>
          <w:rFonts w:ascii="Simplified Arabic" w:eastAsia="Times New Roman" w:hAnsi="Simplified Arabic" w:cs="Simplified Arabic"/>
          <w:color w:val="000000" w:themeColor="text1"/>
          <w:kern w:val="0"/>
          <w:sz w:val="28"/>
          <w:szCs w:val="28"/>
          <w:rtl/>
          <w14:ligatures w14:val="none"/>
        </w:rPr>
        <w:t>لتحليل البيانات، وستُطبّق الأساليب الإحصائية التالية</w:t>
      </w:r>
      <w:r w:rsidRPr="00D330B0">
        <w:rPr>
          <w:rFonts w:ascii="Simplified Arabic" w:eastAsia="Times New Roman" w:hAnsi="Simplified Arabic" w:cs="Simplified Arabic"/>
          <w:color w:val="000000" w:themeColor="text1"/>
          <w:kern w:val="0"/>
          <w:sz w:val="28"/>
          <w:szCs w:val="28"/>
          <w14:ligatures w14:val="none"/>
        </w:rPr>
        <w:t>:</w:t>
      </w:r>
    </w:p>
    <w:p w14:paraId="0C813D43"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لوصف خصائص عينة الدراسة وتحديد اتجاهات استجابات أفرادها حول محاور الدراسة</w:t>
      </w:r>
      <w:r w:rsidRPr="00D330B0">
        <w:rPr>
          <w:rFonts w:ascii="Simplified Arabic" w:eastAsia="Times New Roman" w:hAnsi="Simplified Arabic" w:cs="Simplified Arabic"/>
          <w:color w:val="000000" w:themeColor="text1"/>
          <w:kern w:val="0"/>
          <w:sz w:val="28"/>
          <w:szCs w:val="28"/>
          <w14:ligatures w14:val="none"/>
        </w:rPr>
        <w:t>.</w:t>
      </w:r>
    </w:p>
    <w:p w14:paraId="5517F367"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معامل ألفا كرونباخ</w:t>
      </w:r>
      <w:r w:rsidRPr="00D330B0">
        <w:rPr>
          <w:rFonts w:ascii="Simplified Arabic" w:eastAsia="Times New Roman" w:hAnsi="Simplified Arabic" w:cs="Simplified Arabic"/>
          <w:color w:val="000000" w:themeColor="text1"/>
          <w:kern w:val="0"/>
          <w:sz w:val="28"/>
          <w:szCs w:val="28"/>
          <w14:ligatures w14:val="none"/>
        </w:rPr>
        <w:t xml:space="preserve"> (Cronbach's Alpha): </w:t>
      </w:r>
      <w:r w:rsidRPr="00D330B0">
        <w:rPr>
          <w:rFonts w:ascii="Simplified Arabic" w:eastAsia="Times New Roman" w:hAnsi="Simplified Arabic" w:cs="Simplified Arabic"/>
          <w:color w:val="000000" w:themeColor="text1"/>
          <w:kern w:val="0"/>
          <w:sz w:val="28"/>
          <w:szCs w:val="28"/>
          <w:rtl/>
          <w14:ligatures w14:val="none"/>
        </w:rPr>
        <w:t>للتحقق من ثبات أداة الدراسة والاتساق الداخلي لفقراتها</w:t>
      </w:r>
      <w:r w:rsidRPr="00D330B0">
        <w:rPr>
          <w:rFonts w:ascii="Simplified Arabic" w:eastAsia="Times New Roman" w:hAnsi="Simplified Arabic" w:cs="Simplified Arabic"/>
          <w:color w:val="000000" w:themeColor="text1"/>
          <w:kern w:val="0"/>
          <w:sz w:val="28"/>
          <w:szCs w:val="28"/>
          <w14:ligatures w14:val="none"/>
        </w:rPr>
        <w:t>.</w:t>
      </w:r>
    </w:p>
    <w:p w14:paraId="12E19BE0"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معامل ارتباط بيرسون</w:t>
      </w:r>
      <w:r w:rsidRPr="00D330B0">
        <w:rPr>
          <w:rFonts w:ascii="Simplified Arabic" w:eastAsia="Times New Roman" w:hAnsi="Simplified Arabic" w:cs="Simplified Arabic"/>
          <w:color w:val="000000" w:themeColor="text1"/>
          <w:kern w:val="0"/>
          <w:sz w:val="28"/>
          <w:szCs w:val="28"/>
          <w14:ligatures w14:val="none"/>
        </w:rPr>
        <w:t xml:space="preserve"> (Pearson Correlation): </w:t>
      </w:r>
      <w:r w:rsidRPr="00D330B0">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ومحاورها، ولقياس العلاقة الارتباطية بين أبعاد المتغير المستقل والمتغير التابع</w:t>
      </w:r>
      <w:r w:rsidRPr="00D330B0">
        <w:rPr>
          <w:rFonts w:ascii="Simplified Arabic" w:eastAsia="Times New Roman" w:hAnsi="Simplified Arabic" w:cs="Simplified Arabic"/>
          <w:color w:val="000000" w:themeColor="text1"/>
          <w:kern w:val="0"/>
          <w:sz w:val="28"/>
          <w:szCs w:val="28"/>
          <w14:ligatures w14:val="none"/>
        </w:rPr>
        <w:t>.</w:t>
      </w:r>
    </w:p>
    <w:p w14:paraId="7425919A"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تحليل الانحدار المتعدد</w:t>
      </w:r>
      <w:r w:rsidRPr="00D330B0">
        <w:rPr>
          <w:rFonts w:ascii="Simplified Arabic" w:eastAsia="Times New Roman" w:hAnsi="Simplified Arabic" w:cs="Simplified Arabic"/>
          <w:color w:val="000000" w:themeColor="text1"/>
          <w:kern w:val="0"/>
          <w:sz w:val="28"/>
          <w:szCs w:val="28"/>
          <w14:ligatures w14:val="none"/>
        </w:rPr>
        <w:t xml:space="preserve"> (Multiple Regression Analysis): </w:t>
      </w:r>
      <w:r w:rsidRPr="00D330B0">
        <w:rPr>
          <w:rFonts w:ascii="Simplified Arabic" w:eastAsia="Times New Roman" w:hAnsi="Simplified Arabic" w:cs="Simplified Arabic"/>
          <w:color w:val="000000" w:themeColor="text1"/>
          <w:kern w:val="0"/>
          <w:sz w:val="28"/>
          <w:szCs w:val="28"/>
          <w:rtl/>
          <w14:ligatures w14:val="none"/>
        </w:rPr>
        <w:t>لقياس أثر أبعاد المتغير المستقل مجتمعة على المتغير التابع، وتحديد الأثر النسبي لكل بُعد، واختبار الفروض الرئيسية والفرعية للدراسة</w:t>
      </w:r>
      <w:r w:rsidRPr="00D330B0">
        <w:rPr>
          <w:rFonts w:ascii="Simplified Arabic" w:eastAsia="Times New Roman" w:hAnsi="Simplified Arabic" w:cs="Simplified Arabic"/>
          <w:color w:val="000000" w:themeColor="text1"/>
          <w:kern w:val="0"/>
          <w:sz w:val="28"/>
          <w:szCs w:val="28"/>
          <w14:ligatures w14:val="none"/>
        </w:rPr>
        <w:t>.</w:t>
      </w:r>
    </w:p>
    <w:p w14:paraId="604FA7BF"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تحليل الانحدار البسيط</w:t>
      </w:r>
      <w:r w:rsidRPr="00D330B0">
        <w:rPr>
          <w:rFonts w:ascii="Simplified Arabic" w:eastAsia="Times New Roman" w:hAnsi="Simplified Arabic" w:cs="Simplified Arabic"/>
          <w:color w:val="000000" w:themeColor="text1"/>
          <w:kern w:val="0"/>
          <w:sz w:val="28"/>
          <w:szCs w:val="28"/>
          <w14:ligatures w14:val="none"/>
        </w:rPr>
        <w:t xml:space="preserve"> (Simple Regression Analysis): </w:t>
      </w:r>
      <w:r w:rsidRPr="00D330B0">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حدة على المتغير التابع</w:t>
      </w:r>
      <w:r w:rsidRPr="00D330B0">
        <w:rPr>
          <w:rFonts w:ascii="Simplified Arabic" w:eastAsia="Times New Roman" w:hAnsi="Simplified Arabic" w:cs="Simplified Arabic"/>
          <w:color w:val="000000" w:themeColor="text1"/>
          <w:kern w:val="0"/>
          <w:sz w:val="28"/>
          <w:szCs w:val="28"/>
          <w14:ligatures w14:val="none"/>
        </w:rPr>
        <w:t>.</w:t>
      </w:r>
    </w:p>
    <w:p w14:paraId="6AE32C51" w14:textId="77777777" w:rsidR="009241E8" w:rsidRPr="00D330B0" w:rsidRDefault="009241E8" w:rsidP="00253519">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D330B0">
        <w:rPr>
          <w:rFonts w:ascii="Simplified Arabic" w:eastAsia="Times New Roman" w:hAnsi="Simplified Arabic" w:cs="Simplified Arabic"/>
          <w:color w:val="000000" w:themeColor="text1"/>
          <w:kern w:val="0"/>
          <w:sz w:val="28"/>
          <w:szCs w:val="28"/>
          <w14:ligatures w14:val="none"/>
        </w:rPr>
        <w:t xml:space="preserve"> (Independent Samples T-Test): </w:t>
      </w:r>
      <w:r w:rsidRPr="00D330B0">
        <w:rPr>
          <w:rFonts w:ascii="Simplified Arabic" w:eastAsia="Times New Roman" w:hAnsi="Simplified Arabic" w:cs="Simplified Arabic"/>
          <w:color w:val="000000" w:themeColor="text1"/>
          <w:kern w:val="0"/>
          <w:sz w:val="28"/>
          <w:szCs w:val="28"/>
          <w:rtl/>
          <w14:ligatures w14:val="none"/>
        </w:rPr>
        <w:t>لاختبار دلالة الفروق في استجابات أفراد العينة وفقًا للمتغيرات الديموغرافية ثنائية الفئات</w:t>
      </w:r>
      <w:r w:rsidRPr="00D330B0">
        <w:rPr>
          <w:rFonts w:ascii="Simplified Arabic" w:eastAsia="Times New Roman" w:hAnsi="Simplified Arabic" w:cs="Simplified Arabic"/>
          <w:color w:val="000000" w:themeColor="text1"/>
          <w:kern w:val="0"/>
          <w:sz w:val="28"/>
          <w:szCs w:val="28"/>
          <w14:ligatures w14:val="none"/>
        </w:rPr>
        <w:t>.</w:t>
      </w:r>
    </w:p>
    <w:p w14:paraId="03FFE7B0" w14:textId="5DC000D6" w:rsidR="009241E8" w:rsidRPr="00D330B0" w:rsidRDefault="00253519" w:rsidP="0025351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3514446"/>
      <w:bookmarkStart w:id="36" w:name="_Toc233584052"/>
      <w:r w:rsidRPr="00D330B0">
        <w:rPr>
          <w:rFonts w:ascii="Simplified Arabic" w:eastAsia="Times New Roman" w:hAnsi="Simplified Arabic" w:cs="Simplified Arabic" w:hint="cs"/>
          <w:b/>
          <w:bCs/>
          <w:color w:val="000000" w:themeColor="text1"/>
          <w:kern w:val="36"/>
          <w:sz w:val="36"/>
          <w:szCs w:val="36"/>
          <w:rtl/>
          <w14:ligatures w14:val="none"/>
        </w:rPr>
        <w:t xml:space="preserve">15.1 </w:t>
      </w:r>
      <w:r w:rsidR="009241E8" w:rsidRPr="00D330B0">
        <w:rPr>
          <w:rFonts w:ascii="Simplified Arabic" w:eastAsia="Times New Roman" w:hAnsi="Simplified Arabic" w:cs="Simplified Arabic"/>
          <w:b/>
          <w:bCs/>
          <w:color w:val="000000" w:themeColor="text1"/>
          <w:kern w:val="36"/>
          <w:sz w:val="36"/>
          <w:szCs w:val="36"/>
          <w:rtl/>
          <w14:ligatures w14:val="none"/>
        </w:rPr>
        <w:t>حدود الدراسة</w:t>
      </w:r>
      <w:bookmarkEnd w:id="35"/>
      <w:bookmarkEnd w:id="36"/>
    </w:p>
    <w:p w14:paraId="0B67F101" w14:textId="0DADE6AA" w:rsidR="009241E8" w:rsidRPr="00D330B0" w:rsidRDefault="009241E8" w:rsidP="0025351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D330B0">
        <w:rPr>
          <w:rFonts w:ascii="Simplified Arabic" w:eastAsia="Times New Roman" w:hAnsi="Simplified Arabic" w:cs="Simplified Arabic"/>
          <w:color w:val="000000" w:themeColor="text1"/>
          <w:kern w:val="0"/>
          <w:sz w:val="28"/>
          <w:szCs w:val="28"/>
          <w:rtl/>
          <w14:ligatures w14:val="none"/>
        </w:rPr>
        <w:t>الحدود الموضوعية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إدارة نطاق العمل وأوامر التغيير بأبعاده الأربعة </w:t>
      </w:r>
      <w:r w:rsidRPr="00D330B0">
        <w:rPr>
          <w:rFonts w:ascii="Simplified Arabic" w:eastAsia="Times New Roman" w:hAnsi="Simplified Arabic" w:cs="Simplified Arabic"/>
          <w:color w:val="000000" w:themeColor="text1"/>
          <w:kern w:val="0"/>
          <w:sz w:val="28"/>
          <w:szCs w:val="28"/>
          <w14:ligatures w14:val="none"/>
        </w:rPr>
        <w:t>)</w:t>
      </w:r>
      <w:r w:rsidRPr="00D330B0">
        <w:rPr>
          <w:rFonts w:ascii="Simplified Arabic" w:eastAsia="Times New Roman" w:hAnsi="Simplified Arabic" w:cs="Simplified Arabic"/>
          <w:color w:val="000000" w:themeColor="text1"/>
          <w:kern w:val="0"/>
          <w:sz w:val="28"/>
          <w:szCs w:val="28"/>
          <w:rtl/>
          <w14:ligatures w14:val="none"/>
        </w:rPr>
        <w:t>التخطيط المسبق للنطاق، وإجراءات إدارة أوامر التغيير، والرقابة التعاقدية والمالية، وكفاءة التوثيق والاتصال بين أطراف العقد) على التكاليف غير المخططة في عقود التشغيل والصيانة,</w:t>
      </w:r>
    </w:p>
    <w:p w14:paraId="2D957155" w14:textId="77777777" w:rsidR="009241E8" w:rsidRPr="00D330B0" w:rsidRDefault="009241E8" w:rsidP="0025351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الحدود المكانية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ستُطبّق الدراسة على الجهات الحكومية وشركات المقاولات ومكاتب الاستشارات الهندسية العاملة في مجال عقود التشغيل والصيانة بالمشاريع الحكومية في المملكة العربية السعودية</w:t>
      </w:r>
      <w:r w:rsidRPr="00D330B0">
        <w:rPr>
          <w:rFonts w:ascii="Simplified Arabic" w:eastAsia="Times New Roman" w:hAnsi="Simplified Arabic" w:cs="Simplified Arabic"/>
          <w:color w:val="000000" w:themeColor="text1"/>
          <w:kern w:val="0"/>
          <w:sz w:val="28"/>
          <w:szCs w:val="28"/>
          <w14:ligatures w14:val="none"/>
        </w:rPr>
        <w:t>.</w:t>
      </w:r>
    </w:p>
    <w:p w14:paraId="592985AC" w14:textId="3412D3FF" w:rsidR="009241E8" w:rsidRPr="00D330B0" w:rsidRDefault="009241E8" w:rsidP="0025351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الحدود الزمنية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خلال العام الأكاديمي 2026/2027م</w:t>
      </w:r>
      <w:r w:rsidRPr="00D330B0">
        <w:rPr>
          <w:rFonts w:ascii="Simplified Arabic" w:eastAsia="Times New Roman" w:hAnsi="Simplified Arabic" w:cs="Simplified Arabic"/>
          <w:color w:val="000000" w:themeColor="text1"/>
          <w:kern w:val="0"/>
          <w:sz w:val="28"/>
          <w:szCs w:val="28"/>
          <w14:ligatures w14:val="none"/>
        </w:rPr>
        <w:t>.</w:t>
      </w:r>
    </w:p>
    <w:p w14:paraId="28F9EF61" w14:textId="77777777" w:rsidR="009241E8" w:rsidRPr="00D330B0" w:rsidRDefault="009241E8" w:rsidP="00253519">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D330B0">
        <w:rPr>
          <w:rFonts w:ascii="Simplified Arabic" w:eastAsia="Times New Roman" w:hAnsi="Simplified Arabic" w:cs="Simplified Arabic"/>
          <w:color w:val="000000" w:themeColor="text1"/>
          <w:kern w:val="0"/>
          <w:sz w:val="28"/>
          <w:szCs w:val="28"/>
          <w14:ligatures w14:val="none"/>
        </w:rPr>
        <w:t xml:space="preserve">: </w:t>
      </w:r>
      <w:r w:rsidRPr="00D330B0">
        <w:rPr>
          <w:rFonts w:ascii="Simplified Arabic" w:eastAsia="Times New Roman" w:hAnsi="Simplified Arabic" w:cs="Simplified Arabic"/>
          <w:color w:val="000000" w:themeColor="text1"/>
          <w:kern w:val="0"/>
          <w:sz w:val="28"/>
          <w:szCs w:val="28"/>
          <w:rtl/>
          <w14:ligatures w14:val="none"/>
        </w:rPr>
        <w:t>ستقتصر الدراسة على مديري المشاريع، ومسؤولي العقود، ومديري التشغيل والصيانة، والمهندسين الاستشاريين، والمراقبين الماليين العاملين في الجهات المعنية بإدارة عقود التشغيل والصيانة في المشاريع الحكومية</w:t>
      </w:r>
      <w:r w:rsidRPr="00D330B0">
        <w:rPr>
          <w:rFonts w:ascii="Simplified Arabic" w:eastAsia="Times New Roman" w:hAnsi="Simplified Arabic" w:cs="Simplified Arabic"/>
          <w:color w:val="000000" w:themeColor="text1"/>
          <w:kern w:val="0"/>
          <w:sz w:val="28"/>
          <w:szCs w:val="28"/>
          <w14:ligatures w14:val="none"/>
        </w:rPr>
        <w:t>.</w:t>
      </w:r>
    </w:p>
    <w:p w14:paraId="7A1862A2" w14:textId="34B7FA6C" w:rsidR="00556CA7" w:rsidRPr="00D330B0" w:rsidRDefault="00253519" w:rsidP="000C13E4">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D330B0">
        <w:rPr>
          <w:rFonts w:ascii="Simplified Arabic" w:eastAsia="Times New Roman" w:hAnsi="Simplified Arabic" w:cs="Simplified Arabic"/>
          <w:b/>
          <w:bCs/>
          <w:color w:val="000000" w:themeColor="text1"/>
          <w:kern w:val="0"/>
          <w:sz w:val="40"/>
          <w:szCs w:val="40"/>
          <w:rtl/>
          <w14:ligatures w14:val="none"/>
        </w:rPr>
        <w:br w:type="page"/>
      </w:r>
      <w:bookmarkStart w:id="37" w:name="_Toc233584053"/>
      <w:r w:rsidRPr="00D330B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556CA7" w:rsidRPr="00D330B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7"/>
    </w:p>
    <w:p w14:paraId="148CCED9" w14:textId="77777777" w:rsidR="00556CA7" w:rsidRPr="00D330B0" w:rsidRDefault="00556CA7" w:rsidP="000C13E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8" w:name="_Toc233584054"/>
      <w:r w:rsidRPr="00D330B0">
        <w:rPr>
          <w:rFonts w:ascii="Simplified Arabic" w:eastAsia="Times New Roman" w:hAnsi="Simplified Arabic" w:cs="Simplified Arabic"/>
          <w:b/>
          <w:bCs/>
          <w:color w:val="000000" w:themeColor="text1"/>
          <w:kern w:val="0"/>
          <w:sz w:val="36"/>
          <w:szCs w:val="36"/>
          <w:rtl/>
          <w14:ligatures w14:val="none"/>
        </w:rPr>
        <w:t>المبحث الأول: إدارة نطاق العمل وأوامر التغيير</w:t>
      </w:r>
      <w:bookmarkEnd w:id="38"/>
    </w:p>
    <w:p w14:paraId="78E8272E" w14:textId="2965CA17"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584055"/>
      <w:r w:rsidRPr="00D330B0">
        <w:rPr>
          <w:rFonts w:ascii="Simplified Arabic" w:eastAsia="Times New Roman" w:hAnsi="Simplified Arabic" w:cs="Simplified Arabic" w:hint="cs"/>
          <w:b/>
          <w:bCs/>
          <w:color w:val="000000" w:themeColor="text1"/>
          <w:kern w:val="0"/>
          <w:sz w:val="32"/>
          <w:szCs w:val="32"/>
          <w:rtl/>
          <w14:ligatures w14:val="none"/>
        </w:rPr>
        <w:t xml:space="preserve">1.1.2 </w:t>
      </w:r>
      <w:r w:rsidR="00556CA7" w:rsidRPr="00D330B0">
        <w:rPr>
          <w:rFonts w:ascii="Simplified Arabic" w:eastAsia="Times New Roman" w:hAnsi="Simplified Arabic" w:cs="Simplified Arabic"/>
          <w:b/>
          <w:bCs/>
          <w:color w:val="000000" w:themeColor="text1"/>
          <w:kern w:val="0"/>
          <w:sz w:val="32"/>
          <w:szCs w:val="32"/>
          <w:rtl/>
          <w14:ligatures w14:val="none"/>
        </w:rPr>
        <w:t>تمهيد</w:t>
      </w:r>
      <w:bookmarkEnd w:id="39"/>
    </w:p>
    <w:p w14:paraId="7D34136E"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تُعدّ إدارة نطاق العمل وأوامر التغيير من أكثر الموضوعات التي استقطبت اهتمام الباحثين في حقل إدارة المشروعات الهندسية والحكومية خلال العقد الأخير، نظرًا لما تنطوي عليه من تأثيرات مباشرة على مسار التنفيذ ومخرجاته. فالنطاق يمثّل الإطار المرجعي الذي يحدّد ماهية الأعمال المطلوب إنجازها، وحدودها الفنية والزمنية والمالية، في حين تمثّل أوامر التغيير الأداة التعاقدية التي تتيح تعديل هذا النطاق وفق ما يستجد من ظروف ميدانية أو فنية أو تشريعية أثناء التنفيذ. ومن ثَمّ، فإن العلاقة بين الإدارة الفاعلة للنطاق وحوكمة أوامر التغيير علاقة جدلية متشابكة، إذ يُفضي القصور في الأولى إلى تضخّم الثانية، بينما تُسهم الحوكمة الرشيدة في ضبط الانحرافات وتقليصها إلى أدنى مستوى ممكن</w:t>
      </w:r>
      <w:r w:rsidRPr="00D330B0">
        <w:rPr>
          <w:rFonts w:ascii="Simplified Arabic" w:eastAsia="Times New Roman" w:hAnsi="Simplified Arabic" w:cs="Simplified Arabic"/>
          <w:color w:val="000000" w:themeColor="text1"/>
          <w:kern w:val="0"/>
          <w:sz w:val="28"/>
          <w:szCs w:val="28"/>
          <w:lang w:bidi="ar-EG"/>
          <w14:ligatures w14:val="none"/>
        </w:rPr>
        <w:t>.</w:t>
      </w:r>
    </w:p>
    <w:p w14:paraId="51DA6FC0"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وقد شهدت بيئة المشروعات الحكومية، ولا سيما في عقود التشغيل والصيانة، تصاعدًا ملحوظًا في حجم أوامر التغيير الصادرة بعد ترسية العقود، وهو ما دفع الباحثين إلى البحث في الأسس المنهجية لإدارة النطاق وأدواتها، وإلى محاولة بناء أُطر مفاهيمية تربط بين التخطيط المسبق وإجراءات الاعتماد والرقابة التعاقدية وكفاءة التوثيق. ويأتي هذا المبحث ليُقدّم معالجة نظرية مترابطة لهذا المتغير، مستعرضًا مفهومه وأهميته وأهدافه وأبعاده واستراتيجياته، مع التركيز على ما يخدم السياق التطبيقي للدراسة الحالية في عقود التشغيل والصيانة بالمشاريع الحكومية</w:t>
      </w:r>
      <w:r w:rsidRPr="00D330B0">
        <w:rPr>
          <w:rFonts w:ascii="Simplified Arabic" w:eastAsia="Times New Roman" w:hAnsi="Simplified Arabic" w:cs="Simplified Arabic"/>
          <w:color w:val="000000" w:themeColor="text1"/>
          <w:kern w:val="0"/>
          <w:sz w:val="28"/>
          <w:szCs w:val="28"/>
          <w:lang w:bidi="ar-EG"/>
          <w14:ligatures w14:val="none"/>
        </w:rPr>
        <w:t>.</w:t>
      </w:r>
    </w:p>
    <w:p w14:paraId="43FDFE47" w14:textId="29BCE8FC"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584056"/>
      <w:r w:rsidRPr="00D330B0">
        <w:rPr>
          <w:rFonts w:ascii="Simplified Arabic" w:eastAsia="Times New Roman" w:hAnsi="Simplified Arabic" w:cs="Simplified Arabic" w:hint="cs"/>
          <w:b/>
          <w:bCs/>
          <w:color w:val="000000" w:themeColor="text1"/>
          <w:kern w:val="0"/>
          <w:sz w:val="32"/>
          <w:szCs w:val="32"/>
          <w:rtl/>
          <w14:ligatures w14:val="none"/>
        </w:rPr>
        <w:t>2.1.2</w:t>
      </w:r>
      <w:r w:rsidR="00556CA7" w:rsidRPr="00D330B0">
        <w:rPr>
          <w:rFonts w:ascii="Simplified Arabic" w:eastAsia="Times New Roman" w:hAnsi="Simplified Arabic" w:cs="Simplified Arabic"/>
          <w:b/>
          <w:bCs/>
          <w:color w:val="000000" w:themeColor="text1"/>
          <w:kern w:val="0"/>
          <w:sz w:val="32"/>
          <w:szCs w:val="32"/>
          <w:rtl/>
          <w14:ligatures w14:val="none"/>
        </w:rPr>
        <w:t xml:space="preserve"> مفهوم إدارة نطاق العمل وأوامر التغيير</w:t>
      </w:r>
      <w:bookmarkEnd w:id="40"/>
    </w:p>
    <w:p w14:paraId="0210C85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تباينت تعريفات الباحثين لمفهوم إدارة نطاق العمل وأوامر التغيير تبعًا لاختلاف الزوايا التي عالجوا منها هذا المفهوم، فمنهم من نظر إليه باعتباره منظومة إجرائية، ومنهم من تناوله بوصفه أداة تعاقدية، فيما اتجه فريق ثالث إلى مقاربته بوصفه ممارسة إدارية رشيقة تستهدف ضبط الانحرافات. وقد أشار أبو عامر وآخرون (2023) إلى أن أوامر التغيير تمثّل التعديلات الرسمية التي تطرأ على بنود العقد الأصلي خلال مرحلة التنفيذ، سواء بالإضافة أو الحذف أو التعديل، بحيث تنعكس على مكوّنات النطاق وحجم الأعمال </w:t>
      </w:r>
      <w:r w:rsidRPr="00D330B0">
        <w:rPr>
          <w:rFonts w:ascii="Simplified Arabic" w:eastAsia="Times New Roman" w:hAnsi="Simplified Arabic" w:cs="Simplified Arabic"/>
          <w:color w:val="000000" w:themeColor="text1"/>
          <w:kern w:val="0"/>
          <w:sz w:val="28"/>
          <w:szCs w:val="28"/>
          <w:rtl/>
          <w14:ligatures w14:val="none"/>
        </w:rPr>
        <w:lastRenderedPageBreak/>
        <w:t>المطلوب إنجازها. ويتقاطع هذا الطرح مع ما ذهب إليه البريني (2024) من أن أوامر التغيير وسيلة قانونية تتيح للجهة المالكة تعديل النطاق المتعاقد عليه بما يحقّق المصلحة العامة، مع الحفاظ على التوازن العقدي بين الأطراف وحماية المال العام من الانحراف غير المبرَّر</w:t>
      </w:r>
      <w:r w:rsidRPr="00D330B0">
        <w:rPr>
          <w:rFonts w:ascii="Simplified Arabic" w:eastAsia="Times New Roman" w:hAnsi="Simplified Arabic" w:cs="Simplified Arabic"/>
          <w:color w:val="000000" w:themeColor="text1"/>
          <w:kern w:val="0"/>
          <w:sz w:val="28"/>
          <w:szCs w:val="28"/>
          <w:lang w:bidi="ar-EG"/>
          <w14:ligatures w14:val="none"/>
        </w:rPr>
        <w:t>.</w:t>
      </w:r>
    </w:p>
    <w:p w14:paraId="58E30760"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ومن زاوية أكثر إجرائية، عرّف الشربيني (2024) إدارة أوامر التغيير بأنها المنظومة المتكاملة من السياسات والإجراءات التي تتبعها الجهة الحكومية لرصد التغييرات المقترحة على المشروع، وتقييم آثارها الفنية والمالية والزمنية، ثم اعتمادها أو رفضها وفق معايير محدّدة. ويُكمل هذا التعريفَ ما طرحه العثمان وآخرون (2022) من أن إدارة أوامر التعديل تنطوي على جملة من الممارسات التي تتبنّاها الشركات المقاولة للتعامل مع التغييرات الطارئة في مشاريع التشييد، بما يشمل التوثيق والتفاوض والمتابعة. وفي السياق ذاته، يرى أبو عامر (2020) أن مفهوم النطاق يرتبط ارتباطًا وثيقًا بمفهوم التكلفة الإضافية، إذ إن أي تجاوز للحدود المرسومة للنطاق يُترجَم تلقائيًا إلى أعباء مالية إضافية تتحمّلها الجهة المالكة أو المنفّذ</w:t>
      </w:r>
      <w:r w:rsidRPr="00D330B0">
        <w:rPr>
          <w:rFonts w:ascii="Simplified Arabic" w:eastAsia="Times New Roman" w:hAnsi="Simplified Arabic" w:cs="Simplified Arabic"/>
          <w:color w:val="000000" w:themeColor="text1"/>
          <w:kern w:val="0"/>
          <w:sz w:val="28"/>
          <w:szCs w:val="28"/>
          <w:lang w:bidi="ar-EG"/>
          <w14:ligatures w14:val="none"/>
        </w:rPr>
        <w:t>.</w:t>
      </w:r>
    </w:p>
    <w:p w14:paraId="189ED030"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وعلى الصعيد الأجنبي، قدّم</w:t>
      </w:r>
      <w:r w:rsidRPr="00D330B0">
        <w:rPr>
          <w:rFonts w:ascii="Simplified Arabic" w:eastAsia="Times New Roman" w:hAnsi="Simplified Arabic" w:cs="Simplified Arabic"/>
          <w:color w:val="000000" w:themeColor="text1"/>
          <w:kern w:val="0"/>
          <w:sz w:val="28"/>
          <w:szCs w:val="28"/>
          <w:lang w:bidi="ar-EG"/>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معالجة موسّعة لمفهوم أوامر التغيير في مشاريع الطرق السريعة، إذ اعتبروها آلية تعاقدية ضرورية لاستيعاب التغيرات التقنية والميدانية، شريطة أن تُدار وفق إجراءات منضبطة تضمن الشفافية والعدالة بين الأطراف. ويتّسق هذا الطرح مع ما أورده</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الذين تناولوا إدارة أوامر التغيير باعتبارها مجموعة من العوامل الإدارية المترابطة التي تؤثّر في نجاح المشروع، مؤكّدين أن المفهوم لا يقتصر على الجانب الإجرائي، بل يمتدّ ليشمل الأبعاد التنظيمية والسلوكية للأطراف المتعاقدة</w:t>
      </w:r>
      <w:r w:rsidRPr="00D330B0">
        <w:rPr>
          <w:rFonts w:ascii="Simplified Arabic" w:eastAsia="Times New Roman" w:hAnsi="Simplified Arabic" w:cs="Simplified Arabic"/>
          <w:color w:val="000000" w:themeColor="text1"/>
          <w:kern w:val="0"/>
          <w:sz w:val="28"/>
          <w:szCs w:val="28"/>
          <w:lang w:bidi="ar-EG"/>
          <w14:ligatures w14:val="none"/>
        </w:rPr>
        <w:t>.</w:t>
      </w:r>
    </w:p>
    <w:p w14:paraId="1FA5718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ومن منظور مختلف، تناول</w:t>
      </w:r>
      <w:r w:rsidRPr="00D330B0">
        <w:rPr>
          <w:rFonts w:ascii="Simplified Arabic" w:eastAsia="Times New Roman" w:hAnsi="Simplified Arabic" w:cs="Simplified Arabic"/>
          <w:color w:val="000000" w:themeColor="text1"/>
          <w:kern w:val="0"/>
          <w:sz w:val="28"/>
          <w:szCs w:val="28"/>
          <w:lang w:bidi="ar-EG"/>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مفهوم زحف النطاق</w:t>
      </w:r>
      <w:r w:rsidRPr="00D330B0">
        <w:rPr>
          <w:rFonts w:ascii="Simplified Arabic" w:eastAsia="Times New Roman" w:hAnsi="Simplified Arabic" w:cs="Simplified Arabic"/>
          <w:color w:val="000000" w:themeColor="text1"/>
          <w:kern w:val="0"/>
          <w:sz w:val="28"/>
          <w:szCs w:val="28"/>
          <w:lang w:bidi="ar-EG"/>
          <w14:ligatures w14:val="none"/>
        </w:rPr>
        <w:t xml:space="preserve"> (Scope Creep) </w:t>
      </w:r>
      <w:r w:rsidRPr="00D330B0">
        <w:rPr>
          <w:rFonts w:ascii="Simplified Arabic" w:eastAsia="Times New Roman" w:hAnsi="Simplified Arabic" w:cs="Simplified Arabic"/>
          <w:color w:val="000000" w:themeColor="text1"/>
          <w:kern w:val="0"/>
          <w:sz w:val="28"/>
          <w:szCs w:val="28"/>
          <w:rtl/>
          <w14:ligatures w14:val="none"/>
        </w:rPr>
        <w:t>باعتباره الوجه الآخر لقصور إدارة النطاق، حيث يُشير إلى التوسّع التدريجي وغير المنضبط في متطلبات المشروع دون مقابل مناسب في الوقت أو التكلفة. ويُعزّز</w:t>
      </w:r>
      <w:r w:rsidRPr="00D330B0">
        <w:rPr>
          <w:rFonts w:ascii="Simplified Arabic" w:eastAsia="Times New Roman" w:hAnsi="Simplified Arabic" w:cs="Simplified Arabic"/>
          <w:color w:val="000000" w:themeColor="text1"/>
          <w:kern w:val="0"/>
          <w:sz w:val="28"/>
          <w:szCs w:val="28"/>
          <w:lang w:bidi="ar-EG"/>
          <w14:ligatures w14:val="none"/>
        </w:rPr>
        <w:t xml:space="preserve"> Okafor and Odubade (2022) </w:t>
      </w:r>
      <w:r w:rsidRPr="00D330B0">
        <w:rPr>
          <w:rFonts w:ascii="Simplified Arabic" w:eastAsia="Times New Roman" w:hAnsi="Simplified Arabic" w:cs="Simplified Arabic"/>
          <w:color w:val="000000" w:themeColor="text1"/>
          <w:kern w:val="0"/>
          <w:sz w:val="28"/>
          <w:szCs w:val="28"/>
          <w:rtl/>
          <w14:ligatures w14:val="none"/>
        </w:rPr>
        <w:t>هذا الفهم بتأكيدهما على أن زحف النطاق ظاهرة إدارية تنشأ من تفاعل عوامل متعدّدة، وأن التصدّي لها يستلزم بناء استراتيجيات وقائية مدمجة في صلب عملية التخطيط. أما</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فقد قدّما تعريفًا تكامليًا لإدارة أوامر التغيير بوصفها نموذجًا مقترحًا يجمع بين التحديد المبكر للتغيير، وتقييم أثره، وإقراره عبر مسار اعتمادٍ محكم، مع توثيق دقيق لكل مرحلة. وفي اتجاه قريب، يرى</w:t>
      </w:r>
      <w:r w:rsidRPr="00D330B0">
        <w:rPr>
          <w:rFonts w:ascii="Simplified Arabic" w:eastAsia="Times New Roman" w:hAnsi="Simplified Arabic" w:cs="Simplified Arabic"/>
          <w:color w:val="000000" w:themeColor="text1"/>
          <w:kern w:val="0"/>
          <w:sz w:val="28"/>
          <w:szCs w:val="28"/>
          <w:lang w:bidi="ar-EG"/>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أن أوامر التغيير في المشاريع الحكومية تمثّل ظاهرة ذات تأثيرات متسلسلة</w:t>
      </w:r>
      <w:r w:rsidRPr="00D330B0">
        <w:rPr>
          <w:rFonts w:ascii="Simplified Arabic" w:eastAsia="Times New Roman" w:hAnsi="Simplified Arabic" w:cs="Simplified Arabic"/>
          <w:color w:val="000000" w:themeColor="text1"/>
          <w:kern w:val="0"/>
          <w:sz w:val="28"/>
          <w:szCs w:val="28"/>
          <w:lang w:bidi="ar-EG"/>
          <w14:ligatures w14:val="none"/>
        </w:rPr>
        <w:t xml:space="preserve"> (Domino Effect)</w:t>
      </w:r>
      <w:r w:rsidRPr="00D330B0">
        <w:rPr>
          <w:rFonts w:ascii="Simplified Arabic" w:eastAsia="Times New Roman" w:hAnsi="Simplified Arabic" w:cs="Simplified Arabic"/>
          <w:color w:val="000000" w:themeColor="text1"/>
          <w:kern w:val="0"/>
          <w:sz w:val="28"/>
          <w:szCs w:val="28"/>
          <w:rtl/>
          <w14:ligatures w14:val="none"/>
        </w:rPr>
        <w:t xml:space="preserve">، تمتدّ من البند المعدَّل إلى </w:t>
      </w:r>
      <w:r w:rsidRPr="00D330B0">
        <w:rPr>
          <w:rFonts w:ascii="Simplified Arabic" w:eastAsia="Times New Roman" w:hAnsi="Simplified Arabic" w:cs="Simplified Arabic"/>
          <w:color w:val="000000" w:themeColor="text1"/>
          <w:kern w:val="0"/>
          <w:sz w:val="28"/>
          <w:szCs w:val="28"/>
          <w:rtl/>
          <w14:ligatures w14:val="none"/>
        </w:rPr>
        <w:lastRenderedPageBreak/>
        <w:t>مكوّنات أخرى من المشروع، وهو ما يفرض النظر إلى المفهوم باعتباره منظومة مترابطة لا مجرّد إجراء منعزل</w:t>
      </w:r>
      <w:r w:rsidRPr="00D330B0">
        <w:rPr>
          <w:rFonts w:ascii="Simplified Arabic" w:eastAsia="Times New Roman" w:hAnsi="Simplified Arabic" w:cs="Simplified Arabic"/>
          <w:color w:val="000000" w:themeColor="text1"/>
          <w:kern w:val="0"/>
          <w:sz w:val="28"/>
          <w:szCs w:val="28"/>
          <w:lang w:bidi="ar-EG"/>
          <w14:ligatures w14:val="none"/>
        </w:rPr>
        <w:t>.</w:t>
      </w:r>
    </w:p>
    <w:p w14:paraId="2901AC80"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ومن استقراء هذه التعريفات يتبيّن للباحث أن إدارة نطاق العمل وأوامر التغيير تتقاطع فيها أربعة محاور رئيسة: المحور التعاقدي–القانوني الذي يُعنى بضبط العلاقة بين الأطراف، والمحور الإجرائي الذي ينظّم مسار الاعتماد والمراجعة، والمحور المالي الذي يُعنى بتقدير الأثر الكلفوي، والمحور التوثيقي الذي يضمن استدامة المعلومة وقابليتها للتتبّع. ويرى الباحث أن إدارة نطاق العمل وأوامر التغيير يمكن تعريفها إجرائيًا في سياق عقود التشغيل والصيانة الحكومية بأنها: “المنظومة المتكاملة من الممارسات التخطيطية والإجرائية والرقابية والتوثيقية التي تتبنّاها الجهة الحكومية لضبط حدود الأعمال المتعاقد عليها، واستيعاب التغييرات المستجدّة عليها بأسلوب منضبط يحفظ الكفاءة المالية والزمنية، ويُقلّص التكاليف غير المخطّط لها إلى الحدّ الأدنى”. وهذا التعريف يستوعب التوجّهات السابقة ويُعيد ترتيبها بما يتلاءم مع طبيعة عقود التشغيل والصيانة التي تتسم باستمرار التفاعل بين المتعاقد والجهة المالكة طوال دورة العقد</w:t>
      </w:r>
      <w:r w:rsidRPr="00D330B0">
        <w:rPr>
          <w:rFonts w:ascii="Simplified Arabic" w:eastAsia="Times New Roman" w:hAnsi="Simplified Arabic" w:cs="Simplified Arabic"/>
          <w:color w:val="000000" w:themeColor="text1"/>
          <w:kern w:val="0"/>
          <w:sz w:val="28"/>
          <w:szCs w:val="28"/>
          <w:lang w:bidi="ar-EG"/>
          <w14:ligatures w14:val="none"/>
        </w:rPr>
        <w:t>.</w:t>
      </w:r>
    </w:p>
    <w:p w14:paraId="40437D85" w14:textId="68FCF251"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584057"/>
      <w:r w:rsidRPr="00D330B0">
        <w:rPr>
          <w:rFonts w:ascii="Simplified Arabic" w:eastAsia="Times New Roman" w:hAnsi="Simplified Arabic" w:cs="Simplified Arabic" w:hint="cs"/>
          <w:b/>
          <w:bCs/>
          <w:color w:val="000000" w:themeColor="text1"/>
          <w:kern w:val="0"/>
          <w:sz w:val="32"/>
          <w:szCs w:val="32"/>
          <w:rtl/>
          <w14:ligatures w14:val="none"/>
        </w:rPr>
        <w:t>3.1.2</w:t>
      </w:r>
      <w:r w:rsidR="00556CA7" w:rsidRPr="00D330B0">
        <w:rPr>
          <w:rFonts w:ascii="Simplified Arabic" w:eastAsia="Times New Roman" w:hAnsi="Simplified Arabic" w:cs="Simplified Arabic"/>
          <w:b/>
          <w:bCs/>
          <w:color w:val="000000" w:themeColor="text1"/>
          <w:kern w:val="0"/>
          <w:sz w:val="32"/>
          <w:szCs w:val="32"/>
          <w:rtl/>
          <w14:ligatures w14:val="none"/>
        </w:rPr>
        <w:t xml:space="preserve"> أهمية إدارة نطاق العمل وأوامر التغيير</w:t>
      </w:r>
      <w:bookmarkEnd w:id="41"/>
    </w:p>
    <w:p w14:paraId="78333B0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تنبع أهمية إدارة نطاق العمل وأوامر التغيير من كونها تمثّل خطّ الدفاع الأول عن التوازن المالي والزمني للمشروعات، ولا سيما في القطاع الحكومي الذي تُحكمه قيود تشريعية وماليّة دقيقة. فالتغييرات التي تطرأ على نطاق الأعمال ليست أحداثًا عرضية يمكن تجاوزها، وإنما هي معطيات هيكلية تستدعي منظومة إدارية متكاملة لاستيعابها وضبط آثارها. ومن هنا اتّجه الباحثون إلى إبراز هذه الأهمية من زوايا متعدّدة تكشف عن البُعد المتشعّب لهذه الإدارة</w:t>
      </w:r>
      <w:r w:rsidRPr="00D330B0">
        <w:rPr>
          <w:rFonts w:ascii="Simplified Arabic" w:eastAsia="Times New Roman" w:hAnsi="Simplified Arabic" w:cs="Simplified Arabic"/>
          <w:color w:val="000000" w:themeColor="text1"/>
          <w:kern w:val="0"/>
          <w:sz w:val="28"/>
          <w:szCs w:val="28"/>
          <w:lang w:bidi="ar-EG"/>
          <w14:ligatures w14:val="none"/>
        </w:rPr>
        <w:t>.</w:t>
      </w:r>
    </w:p>
    <w:p w14:paraId="606D0C21"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ويشير الشربيني (2024) إلى أن أهمية إدارة أوامر التغيير في المشروعات الحكومية تتجلّى في عدة محاور، أولها: ضبط الانحرافات المالية والزمنية التي قد تنشأ خلال مرحلة التنفيذ، وثانيها: حماية الجهة المالكة من المطالبات غير المبرّرة التي قد يتقدّم بها المنفّذ، وثالثها: تعزيز الشفافية في اتخاذ القرارات الفنية والمالية بما يخدم مبادئ الحوكمة، ورابعها: توفير قاعدة بيانات تاريخية يمكن الاستفادة منها في تطوير وثائق المناقصات اللاحقة وتفادي تكرار الأخطاء ذاتها</w:t>
      </w:r>
      <w:r w:rsidRPr="00D330B0">
        <w:rPr>
          <w:rFonts w:ascii="Simplified Arabic" w:eastAsia="Times New Roman" w:hAnsi="Simplified Arabic" w:cs="Simplified Arabic"/>
          <w:color w:val="000000" w:themeColor="text1"/>
          <w:kern w:val="0"/>
          <w:sz w:val="28"/>
          <w:szCs w:val="28"/>
          <w:lang w:bidi="ar-EG"/>
          <w14:ligatures w14:val="none"/>
        </w:rPr>
        <w:t>.</w:t>
      </w:r>
    </w:p>
    <w:p w14:paraId="527746FF"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ويرى البريني (2024) أن أهمية أوامر التغيير في المشروعات الحكومية تكتسب طابعًا مزدوجًا، إذ تُسهم من ناحية في حماية المال العام عبر منع التجاوزات غير المشروعة، ومن ناحية أخرى تُتيح للإدارة الحكومية المرونة اللازمة للتعامل مع المستجدات الفنية والميدانية دون الإخلال بمبدأ المشروعية. كما يبرز دور الإدارة الرشيدة لهذه الأوامر في تحقيق المساءلة وضمان عدم استخدام التعديلات التعاقدية ذريعةً للتحايل على نتائج المنافسة</w:t>
      </w:r>
      <w:r w:rsidRPr="00D330B0">
        <w:rPr>
          <w:rFonts w:ascii="Simplified Arabic" w:eastAsia="Times New Roman" w:hAnsi="Simplified Arabic" w:cs="Simplified Arabic"/>
          <w:color w:val="000000" w:themeColor="text1"/>
          <w:kern w:val="0"/>
          <w:sz w:val="28"/>
          <w:szCs w:val="28"/>
          <w:lang w:bidi="ar-EG"/>
          <w14:ligatures w14:val="none"/>
        </w:rPr>
        <w:t>.</w:t>
      </w:r>
    </w:p>
    <w:p w14:paraId="44EB8BE3"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ومن جانب آخر، تتبدّى أهمية إدارة نطاق العمل في ما طرحه أبو عامر وآخرون (2023) من ارتباطها الوثيق بكلفة المشروع، إذ يُعدّ ضبط النطاق المدخل الرئيس لضبط التكلفة، وأي تساهل في حوكمة التغييرات يُترجَم مباشرة إلى أعباء مالية إضافية. ويتقاطع هذا مع ما عرضه</w:t>
      </w:r>
      <w:r w:rsidRPr="00D330B0">
        <w:rPr>
          <w:rFonts w:ascii="Simplified Arabic" w:eastAsia="Times New Roman" w:hAnsi="Simplified Arabic" w:cs="Simplified Arabic"/>
          <w:color w:val="000000" w:themeColor="text1"/>
          <w:kern w:val="0"/>
          <w:sz w:val="28"/>
          <w:szCs w:val="28"/>
          <w:lang w:bidi="ar-EG"/>
          <w14:ligatures w14:val="none"/>
        </w:rPr>
        <w:t xml:space="preserve"> Gheraba et al. (2023) </w:t>
      </w:r>
      <w:r w:rsidRPr="00D330B0">
        <w:rPr>
          <w:rFonts w:ascii="Simplified Arabic" w:eastAsia="Times New Roman" w:hAnsi="Simplified Arabic" w:cs="Simplified Arabic"/>
          <w:color w:val="000000" w:themeColor="text1"/>
          <w:kern w:val="0"/>
          <w:sz w:val="28"/>
          <w:szCs w:val="28"/>
          <w:rtl/>
          <w14:ligatures w14:val="none"/>
        </w:rPr>
        <w:t>في تناولهم لأسباب أوامر التغيير وآثارها وإجراءات التحكّم فيها، حيث اعتبروا أن الأهمية تتركّز في القدرة على استباق المسبّبات والتعامل معها قبل تحوّلها إلى انحرافات فعلية. ويُكمل</w:t>
      </w:r>
      <w:r w:rsidRPr="00D330B0">
        <w:rPr>
          <w:rFonts w:ascii="Simplified Arabic" w:eastAsia="Times New Roman" w:hAnsi="Simplified Arabic" w:cs="Simplified Arabic"/>
          <w:color w:val="000000" w:themeColor="text1"/>
          <w:kern w:val="0"/>
          <w:sz w:val="28"/>
          <w:szCs w:val="28"/>
          <w:lang w:bidi="ar-EG"/>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هذا الطرح بالإشارة إلى أن أهمية الإدارة الفاعلة لأوامر التغيير تتضاعف في المشاريع الحكومية بفعل ما تُحدثه من تأثيرات متسلسلة على بنود أخرى لم تكن مستهدفة بالتغيير ابتداءً</w:t>
      </w:r>
      <w:r w:rsidRPr="00D330B0">
        <w:rPr>
          <w:rFonts w:ascii="Simplified Arabic" w:eastAsia="Times New Roman" w:hAnsi="Simplified Arabic" w:cs="Simplified Arabic"/>
          <w:color w:val="000000" w:themeColor="text1"/>
          <w:kern w:val="0"/>
          <w:sz w:val="28"/>
          <w:szCs w:val="28"/>
          <w:lang w:bidi="ar-EG"/>
          <w14:ligatures w14:val="none"/>
        </w:rPr>
        <w:t>.</w:t>
      </w:r>
    </w:p>
    <w:p w14:paraId="1B6268D8"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ويُضيف</w:t>
      </w:r>
      <w:r w:rsidRPr="00D330B0">
        <w:rPr>
          <w:rFonts w:ascii="Simplified Arabic" w:eastAsia="Times New Roman" w:hAnsi="Simplified Arabic" w:cs="Simplified Arabic"/>
          <w:color w:val="000000" w:themeColor="text1"/>
          <w:kern w:val="0"/>
          <w:sz w:val="28"/>
          <w:szCs w:val="28"/>
          <w:lang w:bidi="ar-EG"/>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بُعدًا جديدًا للأهمية حين يربطون بين إدارة النطاق ومواجهة ظاهرة زحف النطاق، مؤكّدين أن الإدارة المُحكمة لحدود الأعمال تُمثّل صمّام أمان يحول دون التوسّع التراكمي غير المبرّر في المتطلبات. ويتعمّق</w:t>
      </w:r>
      <w:r w:rsidRPr="00D330B0">
        <w:rPr>
          <w:rFonts w:ascii="Simplified Arabic" w:eastAsia="Times New Roman" w:hAnsi="Simplified Arabic" w:cs="Simplified Arabic"/>
          <w:color w:val="000000" w:themeColor="text1"/>
          <w:kern w:val="0"/>
          <w:sz w:val="28"/>
          <w:szCs w:val="28"/>
          <w:lang w:bidi="ar-EG"/>
          <w14:ligatures w14:val="none"/>
        </w:rPr>
        <w:t xml:space="preserve"> Okafor and Odubade (2022) </w:t>
      </w:r>
      <w:r w:rsidRPr="00D330B0">
        <w:rPr>
          <w:rFonts w:ascii="Simplified Arabic" w:eastAsia="Times New Roman" w:hAnsi="Simplified Arabic" w:cs="Simplified Arabic"/>
          <w:color w:val="000000" w:themeColor="text1"/>
          <w:kern w:val="0"/>
          <w:sz w:val="28"/>
          <w:szCs w:val="28"/>
          <w:rtl/>
          <w14:ligatures w14:val="none"/>
        </w:rPr>
        <w:t>في هذا الجانب بإبراز أهمية بناء استراتيجيات وقائية تستهدف العوامل المُسبّبة للزحف منذ مراحل التخطيط الأولى، باعتبار أن المعالجة المتأخّرة تكون أعلى كلفة وأقلّ فاعلية</w:t>
      </w:r>
      <w:r w:rsidRPr="00D330B0">
        <w:rPr>
          <w:rFonts w:ascii="Simplified Arabic" w:eastAsia="Times New Roman" w:hAnsi="Simplified Arabic" w:cs="Simplified Arabic"/>
          <w:color w:val="000000" w:themeColor="text1"/>
          <w:kern w:val="0"/>
          <w:sz w:val="28"/>
          <w:szCs w:val="28"/>
          <w:lang w:bidi="ar-EG"/>
          <w14:ligatures w14:val="none"/>
        </w:rPr>
        <w:t>.</w:t>
      </w:r>
    </w:p>
    <w:p w14:paraId="295CF718"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كما يُلقي</w:t>
      </w:r>
      <w:r w:rsidRPr="00D330B0">
        <w:rPr>
          <w:rFonts w:ascii="Simplified Arabic" w:eastAsia="Times New Roman" w:hAnsi="Simplified Arabic" w:cs="Simplified Arabic"/>
          <w:color w:val="000000" w:themeColor="text1"/>
          <w:kern w:val="0"/>
          <w:sz w:val="28"/>
          <w:szCs w:val="28"/>
          <w:lang w:bidi="ar-EG"/>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الضوء على أهمية إدارة أوامر التغيير من زاوية الإدارة الإجرائية في المشاريع الحكومية، حيث تبرز الحاجة إلى مسارات اعتماد واضحة وآليات تواصل منضبطة بين الأطراف المعنية. ويرى</w:t>
      </w:r>
      <w:r w:rsidRPr="00D330B0">
        <w:rPr>
          <w:rFonts w:ascii="Simplified Arabic" w:eastAsia="Times New Roman" w:hAnsi="Simplified Arabic" w:cs="Simplified Arabic"/>
          <w:color w:val="000000" w:themeColor="text1"/>
          <w:kern w:val="0"/>
          <w:sz w:val="28"/>
          <w:szCs w:val="28"/>
          <w:lang w:bidi="ar-EG"/>
          <w14:ligatures w14:val="none"/>
        </w:rPr>
        <w:t xml:space="preserve"> Alzraiee (2024) </w:t>
      </w:r>
      <w:r w:rsidRPr="00D330B0">
        <w:rPr>
          <w:rFonts w:ascii="Simplified Arabic" w:eastAsia="Times New Roman" w:hAnsi="Simplified Arabic" w:cs="Simplified Arabic"/>
          <w:color w:val="000000" w:themeColor="text1"/>
          <w:kern w:val="0"/>
          <w:sz w:val="28"/>
          <w:szCs w:val="28"/>
          <w:rtl/>
          <w14:ligatures w14:val="none"/>
        </w:rPr>
        <w:t>أن الأهمية تمتدّ لتشمل تقدير الأثر العمالي والإنتاجي لأوامر التغيير، باعتبار أن أي تعديل في النطاق ينعكس بالضرورة على تخصيص الموارد البشرية وكفاءة استخدامها. ويُعزّز</w:t>
      </w:r>
      <w:r w:rsidRPr="00D330B0">
        <w:rPr>
          <w:rFonts w:ascii="Simplified Arabic" w:eastAsia="Times New Roman" w:hAnsi="Simplified Arabic" w:cs="Simplified Arabic"/>
          <w:color w:val="000000" w:themeColor="text1"/>
          <w:kern w:val="0"/>
          <w:sz w:val="28"/>
          <w:szCs w:val="28"/>
          <w:lang w:bidi="ar-EG"/>
          <w14:ligatures w14:val="none"/>
        </w:rPr>
        <w:t xml:space="preserve"> Al-Kofahi et al. (2022) </w:t>
      </w:r>
      <w:r w:rsidRPr="00D330B0">
        <w:rPr>
          <w:rFonts w:ascii="Simplified Arabic" w:eastAsia="Times New Roman" w:hAnsi="Simplified Arabic" w:cs="Simplified Arabic"/>
          <w:color w:val="000000" w:themeColor="text1"/>
          <w:kern w:val="0"/>
          <w:sz w:val="28"/>
          <w:szCs w:val="28"/>
          <w:rtl/>
          <w14:ligatures w14:val="none"/>
        </w:rPr>
        <w:t>هذا الفهم بطرحهم لمنهجية ديناميات النظم لتحليل أثر أوامر التغيير على إنتاجية العمالة، وهو ما يُبيّن أن أهمية الإدارة الفاعلة لهذه الأوامر تتجاوز البُعد المالي المباشر إلى أبعاد تشغيلية أعمق</w:t>
      </w:r>
      <w:r w:rsidRPr="00D330B0">
        <w:rPr>
          <w:rFonts w:ascii="Simplified Arabic" w:eastAsia="Times New Roman" w:hAnsi="Simplified Arabic" w:cs="Simplified Arabic"/>
          <w:color w:val="000000" w:themeColor="text1"/>
          <w:kern w:val="0"/>
          <w:sz w:val="28"/>
          <w:szCs w:val="28"/>
          <w:lang w:bidi="ar-EG"/>
          <w14:ligatures w14:val="none"/>
        </w:rPr>
        <w:t>.</w:t>
      </w:r>
    </w:p>
    <w:p w14:paraId="6E801847"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ويستخلص الباحث من مجمل هذه الطروحات أن أهمية إدارة نطاق العمل وأوامر التغيير تتمظهر في أربعة مستويات متكاملة: المستوى الاستراتيجي المتعلّق بحماية الأهداف العليا للمشروع، والمستوى التشغيلي المرتبط بضبط مسار التنفيذ، والمستوى المالي المعنيّ بصون التكلفة من الانحراف، والمستوى الحوكمي الذي يُرسّخ مبادئ الشفافية والمساءلة. وهذه المستويات في مجموعها تجعل من إدارة النطاق وأوامر التغيير ركيزة لا يمكن الاستغناء عنها في منظومة عقود التشغيل والصيانة الحكومية</w:t>
      </w:r>
      <w:r w:rsidRPr="00D330B0">
        <w:rPr>
          <w:rFonts w:ascii="Simplified Arabic" w:eastAsia="Times New Roman" w:hAnsi="Simplified Arabic" w:cs="Simplified Arabic"/>
          <w:color w:val="000000" w:themeColor="text1"/>
          <w:kern w:val="0"/>
          <w:sz w:val="28"/>
          <w:szCs w:val="28"/>
          <w:lang w:bidi="ar-EG"/>
          <w14:ligatures w14:val="none"/>
        </w:rPr>
        <w:t>.</w:t>
      </w:r>
    </w:p>
    <w:p w14:paraId="43303D5A" w14:textId="299B6ECF"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584058"/>
      <w:r w:rsidRPr="00D330B0">
        <w:rPr>
          <w:rFonts w:ascii="Simplified Arabic" w:eastAsia="Times New Roman" w:hAnsi="Simplified Arabic" w:cs="Simplified Arabic" w:hint="cs"/>
          <w:b/>
          <w:bCs/>
          <w:color w:val="000000" w:themeColor="text1"/>
          <w:kern w:val="0"/>
          <w:sz w:val="32"/>
          <w:szCs w:val="32"/>
          <w:rtl/>
          <w14:ligatures w14:val="none"/>
        </w:rPr>
        <w:t>4.1.2</w:t>
      </w:r>
      <w:r w:rsidR="00556CA7" w:rsidRPr="00D330B0">
        <w:rPr>
          <w:rFonts w:ascii="Simplified Arabic" w:eastAsia="Times New Roman" w:hAnsi="Simplified Arabic" w:cs="Simplified Arabic"/>
          <w:b/>
          <w:bCs/>
          <w:color w:val="000000" w:themeColor="text1"/>
          <w:kern w:val="0"/>
          <w:sz w:val="32"/>
          <w:szCs w:val="32"/>
          <w:rtl/>
          <w14:ligatures w14:val="none"/>
        </w:rPr>
        <w:t xml:space="preserve"> أهداف إدارة نطاق العمل وأوامر التغيير</w:t>
      </w:r>
      <w:bookmarkEnd w:id="42"/>
    </w:p>
    <w:p w14:paraId="2CAE6C5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تتعدّد أهداف إدارة نطاق العمل وأوامر التغيير وتتشعّب بحسب الزاوية التي يُتناول منها هذا المتغير، وقد طرح الباحثون جملة من الأهداف يمكن تجميعها في محاور متمايزة. فقد أشار العثمان وآخرون (2022) إلى أن أهداف إدارة أوامر التعديل في الشركات المقاولة تتمحور حول: ضبط الانحرافات الميدانية في حدود مقبولة، وتعزيز قدرة الشركة على الاستجابة للتغيرات الطارئة، وحماية الموقف التعاقدي للمنفّذ من المطالبات المتقابلة، وبناء ذاكرة تنظيمية لتجارب التغيير السابقة بما يدعم تطوير الممارسات</w:t>
      </w:r>
      <w:r w:rsidRPr="00D330B0">
        <w:rPr>
          <w:rFonts w:ascii="Simplified Arabic" w:eastAsia="Times New Roman" w:hAnsi="Simplified Arabic" w:cs="Simplified Arabic"/>
          <w:color w:val="000000" w:themeColor="text1"/>
          <w:kern w:val="0"/>
          <w:sz w:val="28"/>
          <w:szCs w:val="28"/>
          <w:lang w:bidi="ar-EG"/>
          <w14:ligatures w14:val="none"/>
        </w:rPr>
        <w:t>.</w:t>
      </w:r>
    </w:p>
    <w:p w14:paraId="3A7F9D8D"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ويُضيف الشربيني (2024) جملة من الأهداف يمكن استقراؤها من معالجته لتطوير إدارة أوامر التغيير، إذ ترتكز على: تحقيق الانضباط الإجرائي في مسار اعتماد التغييرات، وتقليص الفجوة بين الأعمال المخطّطة والأعمال المنفّذة فعليًا، وتعزيز كفاءة التنسيق بين الأطراف المعنيّة بالمشروع، وتقديم إطار مرجعي للجهات الحكومية يُمكّنها من توحيد ممارساتها في التعامل مع التغييرات</w:t>
      </w:r>
      <w:r w:rsidRPr="00D330B0">
        <w:rPr>
          <w:rFonts w:ascii="Simplified Arabic" w:eastAsia="Times New Roman" w:hAnsi="Simplified Arabic" w:cs="Simplified Arabic"/>
          <w:color w:val="000000" w:themeColor="text1"/>
          <w:kern w:val="0"/>
          <w:sz w:val="28"/>
          <w:szCs w:val="28"/>
          <w:lang w:bidi="ar-EG"/>
          <w14:ligatures w14:val="none"/>
        </w:rPr>
        <w:t>.</w:t>
      </w:r>
    </w:p>
    <w:p w14:paraId="4CCBF06E"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ويرى أبو عامر وآخرون (2023) أن الأهداف الجوهرية لإدارة أوامر التغيير تتمثّل في: تشخيص الأسباب المؤدية إلى صدور هذه الأوامر، وتقييم آثارها على كلفة المشروع تقييمًا دقيقًا، وتقديم توصيات إجرائية للحدّ من تكرارها، وربط مخرجات إدارة التغيير بمنظومة ضبط التكاليف. وفي السياق ذاته، يطرح أبو عامر (2020) أهدافًا إضافية تشمل: تحديد طبيعة التكلفة الإضافية الناجمة عن التغيير، وتمييزها عن غيرها من التكاليف، وبناء آليات احترازية للحدّ من تضخّمها</w:t>
      </w:r>
      <w:r w:rsidRPr="00D330B0">
        <w:rPr>
          <w:rFonts w:ascii="Simplified Arabic" w:eastAsia="Times New Roman" w:hAnsi="Simplified Arabic" w:cs="Simplified Arabic"/>
          <w:color w:val="000000" w:themeColor="text1"/>
          <w:kern w:val="0"/>
          <w:sz w:val="28"/>
          <w:szCs w:val="28"/>
          <w:lang w:bidi="ar-EG"/>
          <w14:ligatures w14:val="none"/>
        </w:rPr>
        <w:t>.</w:t>
      </w:r>
    </w:p>
    <w:p w14:paraId="46D38D5E"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ومن منظور تشريعي، يُحدّد البريني (2024) أهداف إدارة أوامر التغيير بـ: صون مبدأ المشروعية في تعديل العقود الحكومية، وحماية المال العام من التصرّفات غير المنضبطة، وتوفير إطار قانوني واضح يُنظّم صلاحيات الأطراف في إجراء التعديلات، وتعزيز مبادئ الحوكمة والمساءلة. وعلى الصعيد الأجنبي، </w:t>
      </w:r>
      <w:r w:rsidRPr="00D330B0">
        <w:rPr>
          <w:rFonts w:ascii="Simplified Arabic" w:eastAsia="Times New Roman" w:hAnsi="Simplified Arabic" w:cs="Simplified Arabic"/>
          <w:color w:val="000000" w:themeColor="text1"/>
          <w:kern w:val="0"/>
          <w:sz w:val="28"/>
          <w:szCs w:val="28"/>
          <w:rtl/>
          <w14:ligatures w14:val="none"/>
        </w:rPr>
        <w:lastRenderedPageBreak/>
        <w:t>يستخلص</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من نموذجهما المقترح أهدافًا إجرائية تشمل: الكشف المبكر عن متطلبات التغيير، وتقييم آثاره متعدّدة الأبعاد، وتوحيد مسارات الاعتماد، وتوثيق كل مرحلة بدقة. ويُعزّز</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هذا الطرح بإضافة هدف ربط إدارة التغيير بنجاح المشروع ككل، عبر تحديد العوامل الأكثر تأثيرًا والعمل على تحسينها</w:t>
      </w:r>
      <w:r w:rsidRPr="00D330B0">
        <w:rPr>
          <w:rFonts w:ascii="Simplified Arabic" w:eastAsia="Times New Roman" w:hAnsi="Simplified Arabic" w:cs="Simplified Arabic"/>
          <w:color w:val="000000" w:themeColor="text1"/>
          <w:kern w:val="0"/>
          <w:sz w:val="28"/>
          <w:szCs w:val="28"/>
          <w:lang w:bidi="ar-EG"/>
          <w14:ligatures w14:val="none"/>
        </w:rPr>
        <w:t>.</w:t>
      </w:r>
    </w:p>
    <w:p w14:paraId="3CE32E15"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ويُضيف</w:t>
      </w:r>
      <w:r w:rsidRPr="00D330B0">
        <w:rPr>
          <w:rFonts w:ascii="Simplified Arabic" w:eastAsia="Times New Roman" w:hAnsi="Simplified Arabic" w:cs="Simplified Arabic"/>
          <w:color w:val="000000" w:themeColor="text1"/>
          <w:kern w:val="0"/>
          <w:sz w:val="28"/>
          <w:szCs w:val="28"/>
          <w:lang w:bidi="ar-EG"/>
          <w14:ligatures w14:val="none"/>
        </w:rPr>
        <w:t xml:space="preserve"> Gheraba et al. (2023) </w:t>
      </w:r>
      <w:r w:rsidRPr="00D330B0">
        <w:rPr>
          <w:rFonts w:ascii="Simplified Arabic" w:eastAsia="Times New Roman" w:hAnsi="Simplified Arabic" w:cs="Simplified Arabic"/>
          <w:color w:val="000000" w:themeColor="text1"/>
          <w:kern w:val="0"/>
          <w:sz w:val="28"/>
          <w:szCs w:val="28"/>
          <w:rtl/>
          <w14:ligatures w14:val="none"/>
        </w:rPr>
        <w:t>أهدافًا تتمحور حول: تحديد الأسباب الجذرية لأوامر التغيير، وتقدير آثارها التراكمية، وتصميم آليات للتحكّم الاستباقي. كما يُبرز</w:t>
      </w:r>
      <w:r w:rsidRPr="00D330B0">
        <w:rPr>
          <w:rFonts w:ascii="Simplified Arabic" w:eastAsia="Times New Roman" w:hAnsi="Simplified Arabic" w:cs="Simplified Arabic"/>
          <w:color w:val="000000" w:themeColor="text1"/>
          <w:kern w:val="0"/>
          <w:sz w:val="28"/>
          <w:szCs w:val="28"/>
          <w:lang w:bidi="ar-EG"/>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هدف فهم التأثيرات المتسلسلة لأوامر التغيير، بما يُمكّن الإدارة الحكومية من بناء سيناريوهات استباقية للتعامل معها. ومن جانب آخر، يُشير</w:t>
      </w:r>
      <w:r w:rsidRPr="00D330B0">
        <w:rPr>
          <w:rFonts w:ascii="Simplified Arabic" w:eastAsia="Times New Roman" w:hAnsi="Simplified Arabic" w:cs="Simplified Arabic"/>
          <w:color w:val="000000" w:themeColor="text1"/>
          <w:kern w:val="0"/>
          <w:sz w:val="28"/>
          <w:szCs w:val="28"/>
          <w:lang w:bidi="ar-EG"/>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إلى أهداف ترتبط بمواجهة زحف النطاق، تشمل: التعرّف على العوامل المُحفّزة للزحف، وبناء آليات لاحتوائه، وتعزيز قدرة فرق المشروع على ضبط حدود الأعمال. ويُكمل</w:t>
      </w:r>
      <w:r w:rsidRPr="00D330B0">
        <w:rPr>
          <w:rFonts w:ascii="Simplified Arabic" w:eastAsia="Times New Roman" w:hAnsi="Simplified Arabic" w:cs="Simplified Arabic"/>
          <w:color w:val="000000" w:themeColor="text1"/>
          <w:kern w:val="0"/>
          <w:sz w:val="28"/>
          <w:szCs w:val="28"/>
          <w:lang w:bidi="ar-EG"/>
          <w14:ligatures w14:val="none"/>
        </w:rPr>
        <w:t xml:space="preserve"> Okafor and Odubade (2022) </w:t>
      </w:r>
      <w:r w:rsidRPr="00D330B0">
        <w:rPr>
          <w:rFonts w:ascii="Simplified Arabic" w:eastAsia="Times New Roman" w:hAnsi="Simplified Arabic" w:cs="Simplified Arabic"/>
          <w:color w:val="000000" w:themeColor="text1"/>
          <w:kern w:val="0"/>
          <w:sz w:val="28"/>
          <w:szCs w:val="28"/>
          <w:rtl/>
          <w14:ligatures w14:val="none"/>
        </w:rPr>
        <w:t>هذه الأهداف بالتركيز على الجانب الوقائي عبر استراتيجيات تستهدف مسبّبات الزحف قبل تحوّلها إلى انحرافات فعلية</w:t>
      </w:r>
      <w:r w:rsidRPr="00D330B0">
        <w:rPr>
          <w:rFonts w:ascii="Simplified Arabic" w:eastAsia="Times New Roman" w:hAnsi="Simplified Arabic" w:cs="Simplified Arabic"/>
          <w:color w:val="000000" w:themeColor="text1"/>
          <w:kern w:val="0"/>
          <w:sz w:val="28"/>
          <w:szCs w:val="28"/>
          <w:lang w:bidi="ar-EG"/>
          <w14:ligatures w14:val="none"/>
        </w:rPr>
        <w:t>.</w:t>
      </w:r>
    </w:p>
    <w:p w14:paraId="726BBAC9"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ويُضاف إلى ما سبق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من أهداف ترتبط بالبيئة الإدارية لمشاريع الطرق السريعة، تتضمّن: تحقيق العدالة الإجرائية في معالجة أوامر التغيير، وتعزيز الشفافية بين الجهات المعنية، وضبط الأطر الزمنية للاعتماد. وعلى صعيد الأثر الإنتاجي، يحدّد</w:t>
      </w:r>
      <w:r w:rsidRPr="00D330B0">
        <w:rPr>
          <w:rFonts w:ascii="Simplified Arabic" w:eastAsia="Times New Roman" w:hAnsi="Simplified Arabic" w:cs="Simplified Arabic"/>
          <w:color w:val="000000" w:themeColor="text1"/>
          <w:kern w:val="0"/>
          <w:sz w:val="28"/>
          <w:szCs w:val="28"/>
          <w:lang w:bidi="ar-EG"/>
          <w14:ligatures w14:val="none"/>
        </w:rPr>
        <w:t xml:space="preserve"> Alzraiee (2024) </w:t>
      </w:r>
      <w:r w:rsidRPr="00D330B0">
        <w:rPr>
          <w:rFonts w:ascii="Simplified Arabic" w:eastAsia="Times New Roman" w:hAnsi="Simplified Arabic" w:cs="Simplified Arabic"/>
          <w:color w:val="000000" w:themeColor="text1"/>
          <w:kern w:val="0"/>
          <w:sz w:val="28"/>
          <w:szCs w:val="28"/>
          <w:rtl/>
          <w14:ligatures w14:val="none"/>
        </w:rPr>
        <w:t>هدف القياس الدقيق لأثر أوامر التغيير على إنتاجية العمالة، بينما يطرح</w:t>
      </w:r>
      <w:r w:rsidRPr="00D330B0">
        <w:rPr>
          <w:rFonts w:ascii="Simplified Arabic" w:eastAsia="Times New Roman" w:hAnsi="Simplified Arabic" w:cs="Simplified Arabic"/>
          <w:color w:val="000000" w:themeColor="text1"/>
          <w:kern w:val="0"/>
          <w:sz w:val="28"/>
          <w:szCs w:val="28"/>
          <w:lang w:bidi="ar-EG"/>
          <w14:ligatures w14:val="none"/>
        </w:rPr>
        <w:t xml:space="preserve"> Al-Kofahi et al. (2022) </w:t>
      </w:r>
      <w:r w:rsidRPr="00D330B0">
        <w:rPr>
          <w:rFonts w:ascii="Simplified Arabic" w:eastAsia="Times New Roman" w:hAnsi="Simplified Arabic" w:cs="Simplified Arabic"/>
          <w:color w:val="000000" w:themeColor="text1"/>
          <w:kern w:val="0"/>
          <w:sz w:val="28"/>
          <w:szCs w:val="28"/>
          <w:rtl/>
          <w14:ligatures w14:val="none"/>
        </w:rPr>
        <w:t>هدف بناء نماذج كمّية لتحليل هذا الأثر بمنهجية ديناميات النظم</w:t>
      </w:r>
      <w:r w:rsidRPr="00D330B0">
        <w:rPr>
          <w:rFonts w:ascii="Simplified Arabic" w:eastAsia="Times New Roman" w:hAnsi="Simplified Arabic" w:cs="Simplified Arabic"/>
          <w:color w:val="000000" w:themeColor="text1"/>
          <w:kern w:val="0"/>
          <w:sz w:val="28"/>
          <w:szCs w:val="28"/>
          <w:lang w:bidi="ar-EG"/>
          <w14:ligatures w14:val="none"/>
        </w:rPr>
        <w:t>.</w:t>
      </w:r>
    </w:p>
    <w:p w14:paraId="29E9A516"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ويرى الباحث أن هذه الأهداف يمكن تصنيفها في ثلاثة مستويات متكاملة: مستوى وقائي يستهدف الحدّ من نشوء أوامر التغيير ابتداءً، ومستوى علاجي يتعامل مع التغييرات الواقعة بإجراءات منضبطة، ومستوى تطويري يُوظّف الدروس المستفادة في تحسين الممارسات المستقبلية. وفي سياق الدراسة الحالية، تتمحور الأهداف حول ضبط التكاليف غير المخطّطة في عقود التشغيل والصيانة الحكومية عبر إدارة فاعلة للنطاق وأوامر التغيير</w:t>
      </w:r>
      <w:r w:rsidRPr="00D330B0">
        <w:rPr>
          <w:rFonts w:ascii="Simplified Arabic" w:eastAsia="Times New Roman" w:hAnsi="Simplified Arabic" w:cs="Simplified Arabic"/>
          <w:color w:val="000000" w:themeColor="text1"/>
          <w:kern w:val="0"/>
          <w:sz w:val="28"/>
          <w:szCs w:val="28"/>
          <w:lang w:bidi="ar-EG"/>
          <w14:ligatures w14:val="none"/>
        </w:rPr>
        <w:t>.</w:t>
      </w:r>
    </w:p>
    <w:p w14:paraId="036EFE69" w14:textId="68F64661"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584059"/>
      <w:r w:rsidRPr="00D330B0">
        <w:rPr>
          <w:rFonts w:ascii="Simplified Arabic" w:eastAsia="Times New Roman" w:hAnsi="Simplified Arabic" w:cs="Simplified Arabic" w:hint="cs"/>
          <w:b/>
          <w:bCs/>
          <w:color w:val="000000" w:themeColor="text1"/>
          <w:kern w:val="0"/>
          <w:sz w:val="32"/>
          <w:szCs w:val="32"/>
          <w:rtl/>
          <w14:ligatures w14:val="none"/>
        </w:rPr>
        <w:t>5.1.2</w:t>
      </w:r>
      <w:r w:rsidR="00556CA7" w:rsidRPr="00D330B0">
        <w:rPr>
          <w:rFonts w:ascii="Simplified Arabic" w:eastAsia="Times New Roman" w:hAnsi="Simplified Arabic" w:cs="Simplified Arabic"/>
          <w:b/>
          <w:bCs/>
          <w:color w:val="000000" w:themeColor="text1"/>
          <w:kern w:val="0"/>
          <w:sz w:val="32"/>
          <w:szCs w:val="32"/>
          <w:rtl/>
          <w14:ligatures w14:val="none"/>
        </w:rPr>
        <w:t xml:space="preserve"> أبعاد إدارة نطاق العمل وأوامر التغيير</w:t>
      </w:r>
      <w:bookmarkEnd w:id="43"/>
    </w:p>
    <w:p w14:paraId="5422A536"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تم تحديد أبعاد المتغير المستقل بناءً على دراسة الشربيني (2024) ودراسة</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ودراسة</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w:t>
      </w:r>
      <w:r w:rsidRPr="00D330B0">
        <w:rPr>
          <w:rFonts w:ascii="Simplified Arabic" w:eastAsia="Times New Roman" w:hAnsi="Simplified Arabic" w:cs="Simplified Arabic"/>
          <w:color w:val="000000" w:themeColor="text1"/>
          <w:kern w:val="0"/>
          <w:sz w:val="28"/>
          <w:szCs w:val="28"/>
          <w:rtl/>
          <w14:ligatures w14:val="none"/>
        </w:rPr>
        <w:t>، وذلك لما اتسمت به هذه الدراسات من معالجة شاملة لمكوّنات إدارة أوامر التغيير في المشاريع الحكومية، وقدرتها على استيعاب الجوانب التخطيطية والإجرائية والرقابية والتوثيقية. وفيما يلي عرض تفصيلي لهذه الأبعاد</w:t>
      </w:r>
      <w:r w:rsidRPr="00D330B0">
        <w:rPr>
          <w:rFonts w:ascii="Simplified Arabic" w:eastAsia="Times New Roman" w:hAnsi="Simplified Arabic" w:cs="Simplified Arabic"/>
          <w:color w:val="000000" w:themeColor="text1"/>
          <w:kern w:val="0"/>
          <w:sz w:val="28"/>
          <w:szCs w:val="28"/>
          <w:lang w:bidi="ar-EG"/>
          <w14:ligatures w14:val="none"/>
        </w:rPr>
        <w:t>:</w:t>
      </w:r>
    </w:p>
    <w:p w14:paraId="5028E2C1" w14:textId="77777777" w:rsidR="00556CA7" w:rsidRPr="00D330B0" w:rsidRDefault="00556CA7"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الأول: التخطيط المسبق للنطاق</w:t>
      </w:r>
    </w:p>
    <w:p w14:paraId="4B8FF3A8"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يُمثّل التخطيط المسبق للنطاق الركيزة الأساسية التي تُبنى عليها سائر مراحل إدارة المشروع، إذ تتحدّد عنده ملامح الأعمال المطلوب إنجازها، وحدودها الفنية والمالية والزمنية. ويتجلّى هذا البُعد في مدى وضوح تعريف النطاق منذ مرحلة ما قبل التعاقد، وشمولية الدراسات الفنية والمالية التي تسبق طرح المناقصة، فضلًا عن مدى إشراك جهات التشغيل والصيانة في إعداد وثائق المناقصة بما يضمن استيعاب الاحتياجات الفعلية. وقد أوضح الشربيني (2024) أن قصور التخطيط المسبق يُعدّ من أبرز مسبّبات أوامر التغيير في المشاريع الحكومية المصرية، إذ ينعكس على دقّة المواصفات وعلى توافقها مع متطلبات التشغيل اللاحق</w:t>
      </w:r>
      <w:r w:rsidRPr="00D330B0">
        <w:rPr>
          <w:rFonts w:ascii="Simplified Arabic" w:eastAsia="Times New Roman" w:hAnsi="Simplified Arabic" w:cs="Simplified Arabic"/>
          <w:color w:val="000000" w:themeColor="text1"/>
          <w:kern w:val="0"/>
          <w:sz w:val="28"/>
          <w:szCs w:val="28"/>
          <w:lang w:bidi="ar-EG"/>
          <w14:ligatures w14:val="none"/>
        </w:rPr>
        <w:t>.</w:t>
      </w:r>
    </w:p>
    <w:p w14:paraId="6C83634C"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ويتقاطع هذا الطرح مع ما تناوله</w:t>
      </w:r>
      <w:r w:rsidRPr="00D330B0">
        <w:rPr>
          <w:rFonts w:ascii="Simplified Arabic" w:eastAsia="Times New Roman" w:hAnsi="Simplified Arabic" w:cs="Simplified Arabic"/>
          <w:color w:val="000000" w:themeColor="text1"/>
          <w:kern w:val="0"/>
          <w:sz w:val="28"/>
          <w:szCs w:val="28"/>
          <w:lang w:bidi="ar-EG"/>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في معالجتهم لزحف النطاق، حيث أبرزوا أن ضعف التحديد المسبق للنطاق يُمثّل أرضًا خصبة لتراكم التغييرات غير المنضبطة خلال التنفيذ. كما يُسهم</w:t>
      </w:r>
      <w:r w:rsidRPr="00D330B0">
        <w:rPr>
          <w:rFonts w:ascii="Simplified Arabic" w:eastAsia="Times New Roman" w:hAnsi="Simplified Arabic" w:cs="Simplified Arabic"/>
          <w:color w:val="000000" w:themeColor="text1"/>
          <w:kern w:val="0"/>
          <w:sz w:val="28"/>
          <w:szCs w:val="28"/>
          <w:lang w:bidi="ar-EG"/>
          <w14:ligatures w14:val="none"/>
        </w:rPr>
        <w:t xml:space="preserve"> Okafor and Odubade (2022) </w:t>
      </w:r>
      <w:r w:rsidRPr="00D330B0">
        <w:rPr>
          <w:rFonts w:ascii="Simplified Arabic" w:eastAsia="Times New Roman" w:hAnsi="Simplified Arabic" w:cs="Simplified Arabic"/>
          <w:color w:val="000000" w:themeColor="text1"/>
          <w:kern w:val="0"/>
          <w:sz w:val="28"/>
          <w:szCs w:val="28"/>
          <w:rtl/>
          <w14:ligatures w14:val="none"/>
        </w:rPr>
        <w:t>في إثراء هذا البُعد بإبرازهم لأهمية الاستراتيجيات الوقائية المدمجة في مرحلة التخطيط، باعتبارها الأكثر فاعلية في تقليص فرص نشوء التغييرات لاحقًا. ويُضاف إلى ذلك ما طرحه أبو عامر وآخرون (2023) من أن دقّة دراسات الجدوى الفنية والمالية تُمثّل عاملًا حاسمًا في ضبط النطاق وتقليص التكاليف الإضافية المحتملة</w:t>
      </w:r>
      <w:r w:rsidRPr="00D330B0">
        <w:rPr>
          <w:rFonts w:ascii="Simplified Arabic" w:eastAsia="Times New Roman" w:hAnsi="Simplified Arabic" w:cs="Simplified Arabic"/>
          <w:color w:val="000000" w:themeColor="text1"/>
          <w:kern w:val="0"/>
          <w:sz w:val="28"/>
          <w:szCs w:val="28"/>
          <w:lang w:bidi="ar-EG"/>
          <w14:ligatures w14:val="none"/>
        </w:rPr>
        <w:t>.</w:t>
      </w:r>
    </w:p>
    <w:p w14:paraId="078550B3"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ويرى الباحث أن التخطيط المسبق للنطاق في سياق عقود التشغيل والصيانة يكتسب خصوصية إضافية، نظرًا لطول مدة هذه العقود وتنوّع الأعمال التي تتضمّنها، وهو ما يستلزم بذل عناية مضاعفة في مرحلة التخطيط لاستيعاب التغيرات المحتملة في احتياجات التشغيل خلال دورة العقد</w:t>
      </w:r>
      <w:r w:rsidRPr="00D330B0">
        <w:rPr>
          <w:rFonts w:ascii="Simplified Arabic" w:eastAsia="Times New Roman" w:hAnsi="Simplified Arabic" w:cs="Simplified Arabic"/>
          <w:color w:val="000000" w:themeColor="text1"/>
          <w:kern w:val="0"/>
          <w:sz w:val="28"/>
          <w:szCs w:val="28"/>
          <w:lang w:bidi="ar-EG"/>
          <w14:ligatures w14:val="none"/>
        </w:rPr>
        <w:t>.</w:t>
      </w:r>
    </w:p>
    <w:p w14:paraId="2075A0B2" w14:textId="77777777" w:rsidR="00556CA7" w:rsidRPr="00D330B0" w:rsidRDefault="00556CA7"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الثاني: إجراءات إدارة أوامر التغيير</w:t>
      </w:r>
    </w:p>
    <w:p w14:paraId="5BA292F2"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يتمحور هذا البُعد حول وجود منهجية موحّدة ومنضبطة لمراجعة أوامر التغيير واعتمادها، وتقييم آثارها المالية والزمنية، والتنسيق بين أطراف العقد بشأنها. وقد قدّم</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 xml:space="preserve">نموذجًا </w:t>
      </w:r>
      <w:r w:rsidRPr="00D330B0">
        <w:rPr>
          <w:rFonts w:ascii="Simplified Arabic" w:eastAsia="Times New Roman" w:hAnsi="Simplified Arabic" w:cs="Simplified Arabic"/>
          <w:color w:val="000000" w:themeColor="text1"/>
          <w:kern w:val="0"/>
          <w:sz w:val="28"/>
          <w:szCs w:val="28"/>
          <w:rtl/>
          <w14:ligatures w14:val="none"/>
        </w:rPr>
        <w:lastRenderedPageBreak/>
        <w:t>متكاملًا لإدارة أوامر التغيير يتضمّن مسارًا إجرائيًا واضحًا يبدأ بتحديد التغيير المقترح، ويمرّ بتقييم آثاره متعدّدة الأبعاد، وينتهي باعتماده أو رفضه وفق معايير محدّدة. ويتقاطع هذا الطرح مع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من أن العوامل الإدارية لإدارة أوامر التغيير تُمثّل محدّدًا جوهريًا لنجاح المشروع، وأن غياب الإجراءات الموحّدة يُؤدّي إلى تباين الممارسات وارتباك التنفيذ</w:t>
      </w:r>
      <w:r w:rsidRPr="00D330B0">
        <w:rPr>
          <w:rFonts w:ascii="Simplified Arabic" w:eastAsia="Times New Roman" w:hAnsi="Simplified Arabic" w:cs="Simplified Arabic"/>
          <w:color w:val="000000" w:themeColor="text1"/>
          <w:kern w:val="0"/>
          <w:sz w:val="28"/>
          <w:szCs w:val="28"/>
          <w:lang w:bidi="ar-EG"/>
          <w14:ligatures w14:val="none"/>
        </w:rPr>
        <w:t>.</w:t>
      </w:r>
    </w:p>
    <w:p w14:paraId="06EC364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ويُكمل</w:t>
      </w:r>
      <w:r w:rsidRPr="00D330B0">
        <w:rPr>
          <w:rFonts w:ascii="Simplified Arabic" w:eastAsia="Times New Roman" w:hAnsi="Simplified Arabic" w:cs="Simplified Arabic"/>
          <w:color w:val="000000" w:themeColor="text1"/>
          <w:kern w:val="0"/>
          <w:sz w:val="28"/>
          <w:szCs w:val="28"/>
          <w:lang w:bidi="ar-EG"/>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هذا الفهم بإبراز أهمية المسارات الإجرائية المنضبطة في مشاريع الطرق السريعة، حيث تتطلّب طبيعة هذه المشاريع آليات اعتماد سريعة لكنها منضبطة في الوقت ذاته. كما يُسهم العثمان وآخرون (2022) في تعميق هذا البُعد بطرحهم لممارسات الشركات المقاولة في إدارة أوامر التعديل، مُبرزين أهمية وجود إجراءات داخلية واضحة لدى المنفّذ بالتوازي مع الإجراءات لدى الجهة المالكة. ويُضاف إلى ذلك ما عرضه</w:t>
      </w:r>
      <w:r w:rsidRPr="00D330B0">
        <w:rPr>
          <w:rFonts w:ascii="Simplified Arabic" w:eastAsia="Times New Roman" w:hAnsi="Simplified Arabic" w:cs="Simplified Arabic"/>
          <w:color w:val="000000" w:themeColor="text1"/>
          <w:kern w:val="0"/>
          <w:sz w:val="28"/>
          <w:szCs w:val="28"/>
          <w:lang w:bidi="ar-EG"/>
          <w14:ligatures w14:val="none"/>
        </w:rPr>
        <w:t xml:space="preserve"> Gheraba et al. (2023) </w:t>
      </w:r>
      <w:r w:rsidRPr="00D330B0">
        <w:rPr>
          <w:rFonts w:ascii="Simplified Arabic" w:eastAsia="Times New Roman" w:hAnsi="Simplified Arabic" w:cs="Simplified Arabic"/>
          <w:color w:val="000000" w:themeColor="text1"/>
          <w:kern w:val="0"/>
          <w:sz w:val="28"/>
          <w:szCs w:val="28"/>
          <w:rtl/>
          <w14:ligatures w14:val="none"/>
        </w:rPr>
        <w:t>من إجراءات تحكّم استباقية يمكن دمجها في صلب منظومة إدارة أوامر التغيير لتقليص فرص نشوئها</w:t>
      </w:r>
      <w:r w:rsidRPr="00D330B0">
        <w:rPr>
          <w:rFonts w:ascii="Simplified Arabic" w:eastAsia="Times New Roman" w:hAnsi="Simplified Arabic" w:cs="Simplified Arabic"/>
          <w:color w:val="000000" w:themeColor="text1"/>
          <w:kern w:val="0"/>
          <w:sz w:val="28"/>
          <w:szCs w:val="28"/>
          <w:lang w:bidi="ar-EG"/>
          <w14:ligatures w14:val="none"/>
        </w:rPr>
        <w:t>.</w:t>
      </w:r>
    </w:p>
    <w:p w14:paraId="2EEB8FB3"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ويستخلص الباحث أن جودة الإجراءات المتعلّقة بإدارة أوامر التغيير تتوقّف على ثلاثة عناصر: وضوح المسار الإجرائي، وشمول معايير التقييم، وفاعلية آليات التنسيق بين الأطراف</w:t>
      </w:r>
      <w:r w:rsidRPr="00D330B0">
        <w:rPr>
          <w:rFonts w:ascii="Simplified Arabic" w:eastAsia="Times New Roman" w:hAnsi="Simplified Arabic" w:cs="Simplified Arabic"/>
          <w:color w:val="000000" w:themeColor="text1"/>
          <w:kern w:val="0"/>
          <w:sz w:val="28"/>
          <w:szCs w:val="28"/>
          <w:lang w:bidi="ar-EG"/>
          <w14:ligatures w14:val="none"/>
        </w:rPr>
        <w:t>.</w:t>
      </w:r>
    </w:p>
    <w:p w14:paraId="1DF47F33" w14:textId="77777777" w:rsidR="00556CA7" w:rsidRPr="00D330B0" w:rsidRDefault="00556CA7"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الثالث: الرقابة التعاقدية والمالية</w:t>
      </w:r>
    </w:p>
    <w:p w14:paraId="47C091B5"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يُعنى هذا البُعد بمدى وضوح الأحكام التعاقدية المنظّمة لأوامر التغيير، وفاعلية آليات المراجعة المالية، والالتزام بالسقوف المالية المعتمدة، وكفاية أنظمة الرقابة الداخلية. وقد أبرز البريني (2024) أهمية الإطار التعاقدي الواضح في حماية المال العام وضبط التصرّفات المتعلّقة بأوامر التغيير، مؤكّدًا أن غموض النصوص التعاقدية يفتح الباب لتأويلات متباينة قد تُفضي إلى انحرافات مالية. ويتقاطع هذا الطرح مع ما تناوله أبو عامر (2020) من ارتباط التكلفة الإضافية بمدى إحكام الضوابط التعاقدية والمالية</w:t>
      </w:r>
      <w:r w:rsidRPr="00D330B0">
        <w:rPr>
          <w:rFonts w:ascii="Simplified Arabic" w:eastAsia="Times New Roman" w:hAnsi="Simplified Arabic" w:cs="Simplified Arabic"/>
          <w:color w:val="000000" w:themeColor="text1"/>
          <w:kern w:val="0"/>
          <w:sz w:val="28"/>
          <w:szCs w:val="28"/>
          <w:lang w:bidi="ar-EG"/>
          <w14:ligatures w14:val="none"/>
        </w:rPr>
        <w:t>.</w:t>
      </w:r>
    </w:p>
    <w:p w14:paraId="41A29FD9"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ويُسهم</w:t>
      </w:r>
      <w:r w:rsidRPr="00D330B0">
        <w:rPr>
          <w:rFonts w:ascii="Simplified Arabic" w:eastAsia="Times New Roman" w:hAnsi="Simplified Arabic" w:cs="Simplified Arabic"/>
          <w:color w:val="000000" w:themeColor="text1"/>
          <w:kern w:val="0"/>
          <w:sz w:val="28"/>
          <w:szCs w:val="28"/>
          <w:lang w:bidi="ar-EG"/>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في إثراء هذا البُعد بطرحه للتأثيرات المتسلسلة لأوامر التغيير، حيث يُبرز أن غياب الرقابة الفاعلة يُتيح لهذه التأثيرات أن تمتدّ إلى بنود لم تكن مستهدفة بالتغيير ابتداءً. كما يُؤكّد</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على أهمية المراجعة المالية المنضبطة باعتبارها أحد العوامل المؤثّرة في نجاح إدارة أوامر التغيير. ويُضاف إلى ذلك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Alzraiee (2024) </w:t>
      </w:r>
      <w:r w:rsidRPr="00D330B0">
        <w:rPr>
          <w:rFonts w:ascii="Simplified Arabic" w:eastAsia="Times New Roman" w:hAnsi="Simplified Arabic" w:cs="Simplified Arabic"/>
          <w:color w:val="000000" w:themeColor="text1"/>
          <w:kern w:val="0"/>
          <w:sz w:val="28"/>
          <w:szCs w:val="28"/>
          <w:rtl/>
          <w14:ligatures w14:val="none"/>
        </w:rPr>
        <w:t>من ضرورة القياس الدقيق للأثر العمالي والمالي لأوامر التغيير، بما يدعم منظومة الرقابة بمعلومات كميّة موثوقة</w:t>
      </w:r>
      <w:r w:rsidRPr="00D330B0">
        <w:rPr>
          <w:rFonts w:ascii="Simplified Arabic" w:eastAsia="Times New Roman" w:hAnsi="Simplified Arabic" w:cs="Simplified Arabic"/>
          <w:color w:val="000000" w:themeColor="text1"/>
          <w:kern w:val="0"/>
          <w:sz w:val="28"/>
          <w:szCs w:val="28"/>
          <w:lang w:bidi="ar-EG"/>
          <w14:ligatures w14:val="none"/>
        </w:rPr>
        <w:t>.</w:t>
      </w:r>
    </w:p>
    <w:p w14:paraId="16DB3288"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ويرى الباحث أن الرقابة التعاقدية والمالية لا تقتصر على الجانب التقليدي للمراجعة، بل تمتدّ لتشمل بناء مؤشرات استباقية للإنذار المبكر تُمكّن الإدارة من التدخّل قبل تفاقم الانحرافات</w:t>
      </w:r>
      <w:r w:rsidRPr="00D330B0">
        <w:rPr>
          <w:rFonts w:ascii="Simplified Arabic" w:eastAsia="Times New Roman" w:hAnsi="Simplified Arabic" w:cs="Simplified Arabic"/>
          <w:color w:val="000000" w:themeColor="text1"/>
          <w:kern w:val="0"/>
          <w:sz w:val="28"/>
          <w:szCs w:val="28"/>
          <w:lang w:bidi="ar-EG"/>
          <w14:ligatures w14:val="none"/>
        </w:rPr>
        <w:t>.</w:t>
      </w:r>
    </w:p>
    <w:p w14:paraId="722E580E" w14:textId="77777777" w:rsidR="00556CA7" w:rsidRPr="00D330B0" w:rsidRDefault="00556CA7"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الرابع: كفاءة التوثيق والاتصال بين أطراف العقد</w:t>
      </w:r>
    </w:p>
    <w:p w14:paraId="76F50A51"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يُمثّل التوثيق والاتصال شريان الحياة لمنظومة إدارة أوامر التغيير، إذ يُتيح تتبّع مسار كل تغيير من نشأته إلى اعتماده وتنفيذه، ويضمن وصول المعلومة الصحيحة إلى الجهة المختصّة في الوقت المناسب. ويتجلّى هذا البُعد في جودة التوثيق، وفاعلية قنوات الاتصال، وتوافر قواعد البيانات المتكاملة، ووضوح المسؤوليات والصلاحيات. وقد أبرز</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أهمية التوثيق المنهجي لكل مرحلة من مراحل إدارة التغيير، باعتباره ضمانة للشفافية والمساءلة</w:t>
      </w:r>
      <w:r w:rsidRPr="00D330B0">
        <w:rPr>
          <w:rFonts w:ascii="Simplified Arabic" w:eastAsia="Times New Roman" w:hAnsi="Simplified Arabic" w:cs="Simplified Arabic"/>
          <w:color w:val="000000" w:themeColor="text1"/>
          <w:kern w:val="0"/>
          <w:sz w:val="28"/>
          <w:szCs w:val="28"/>
          <w:lang w:bidi="ar-EG"/>
          <w14:ligatures w14:val="none"/>
        </w:rPr>
        <w:t>.</w:t>
      </w:r>
    </w:p>
    <w:p w14:paraId="3199C1BC"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ويتقاطع هذا الطرح مع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Ahmed et al. (2022) </w:t>
      </w:r>
      <w:r w:rsidRPr="00D330B0">
        <w:rPr>
          <w:rFonts w:ascii="Simplified Arabic" w:eastAsia="Times New Roman" w:hAnsi="Simplified Arabic" w:cs="Simplified Arabic"/>
          <w:color w:val="000000" w:themeColor="text1"/>
          <w:kern w:val="0"/>
          <w:sz w:val="28"/>
          <w:szCs w:val="28"/>
          <w:rtl/>
          <w14:ligatures w14:val="none"/>
        </w:rPr>
        <w:t>من أهمية قنوات الاتصال المنضبطة في مشاريع البنية التحتية، حيث يُسهم وضوح المسؤوليات في تسريع مسار الاعتماد وتقليص الخلافات بين الأطراف. ويُضيف</w:t>
      </w:r>
      <w:r w:rsidRPr="00D330B0">
        <w:rPr>
          <w:rFonts w:ascii="Simplified Arabic" w:eastAsia="Times New Roman" w:hAnsi="Simplified Arabic" w:cs="Simplified Arabic"/>
          <w:color w:val="000000" w:themeColor="text1"/>
          <w:kern w:val="0"/>
          <w:sz w:val="28"/>
          <w:szCs w:val="28"/>
          <w:lang w:bidi="ar-EG"/>
          <w14:ligatures w14:val="none"/>
        </w:rPr>
        <w:t xml:space="preserve"> Al-Kofahi et al. (2022) </w:t>
      </w:r>
      <w:r w:rsidRPr="00D330B0">
        <w:rPr>
          <w:rFonts w:ascii="Simplified Arabic" w:eastAsia="Times New Roman" w:hAnsi="Simplified Arabic" w:cs="Simplified Arabic"/>
          <w:color w:val="000000" w:themeColor="text1"/>
          <w:kern w:val="0"/>
          <w:sz w:val="28"/>
          <w:szCs w:val="28"/>
          <w:rtl/>
          <w14:ligatures w14:val="none"/>
        </w:rPr>
        <w:t>بُعدًا تحليليًا حين يطرحان منهجية ديناميات النظم لتتبّع أثر أوامر التغيير، وهو ما يستلزم قواعد بيانات دقيقة وموثوقة. ويُكمل العثمان وآخرون (2022) هذا الفهم بإبرازهم لأهمية التوثيق الداخلي لدى الشركات المقاولة باعتباره أداة لحماية موقفها التعاقدي</w:t>
      </w:r>
      <w:r w:rsidRPr="00D330B0">
        <w:rPr>
          <w:rFonts w:ascii="Simplified Arabic" w:eastAsia="Times New Roman" w:hAnsi="Simplified Arabic" w:cs="Simplified Arabic"/>
          <w:color w:val="000000" w:themeColor="text1"/>
          <w:kern w:val="0"/>
          <w:sz w:val="28"/>
          <w:szCs w:val="28"/>
          <w:lang w:bidi="ar-EG"/>
          <w14:ligatures w14:val="none"/>
        </w:rPr>
        <w:t>.</w:t>
      </w:r>
    </w:p>
    <w:p w14:paraId="72AA09F5"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ويستخلص الباحث أن كفاءة التوثيق والاتصال تتوقّف على تكامل أربعة عناصر: جودة المستندات، فاعلية القنوات، تكامل قواعد البيانات، ووضوح هيكل المسؤوليات</w:t>
      </w:r>
      <w:r w:rsidRPr="00D330B0">
        <w:rPr>
          <w:rFonts w:ascii="Simplified Arabic" w:eastAsia="Times New Roman" w:hAnsi="Simplified Arabic" w:cs="Simplified Arabic"/>
          <w:color w:val="000000" w:themeColor="text1"/>
          <w:kern w:val="0"/>
          <w:sz w:val="28"/>
          <w:szCs w:val="28"/>
          <w:lang w:bidi="ar-EG"/>
          <w14:ligatures w14:val="none"/>
        </w:rPr>
        <w:t>.</w:t>
      </w:r>
    </w:p>
    <w:p w14:paraId="004CF2D8" w14:textId="16418571" w:rsidR="00556CA7"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4" w:name="_Toc233584060"/>
      <w:r w:rsidRPr="00D330B0">
        <w:rPr>
          <w:rFonts w:ascii="Simplified Arabic" w:eastAsia="Times New Roman" w:hAnsi="Simplified Arabic" w:cs="Simplified Arabic" w:hint="cs"/>
          <w:b/>
          <w:bCs/>
          <w:color w:val="000000" w:themeColor="text1"/>
          <w:kern w:val="0"/>
          <w:sz w:val="32"/>
          <w:szCs w:val="32"/>
          <w:rtl/>
          <w14:ligatures w14:val="none"/>
        </w:rPr>
        <w:t>6.1.2</w:t>
      </w:r>
      <w:r w:rsidR="00556CA7" w:rsidRPr="00D330B0">
        <w:rPr>
          <w:rFonts w:ascii="Simplified Arabic" w:eastAsia="Times New Roman" w:hAnsi="Simplified Arabic" w:cs="Simplified Arabic"/>
          <w:b/>
          <w:bCs/>
          <w:color w:val="000000" w:themeColor="text1"/>
          <w:kern w:val="0"/>
          <w:sz w:val="32"/>
          <w:szCs w:val="32"/>
          <w:rtl/>
          <w14:ligatures w14:val="none"/>
        </w:rPr>
        <w:t xml:space="preserve"> استراتيجيات إدارة نطاق العمل وأوامر التغيير</w:t>
      </w:r>
      <w:bookmarkEnd w:id="44"/>
    </w:p>
    <w:p w14:paraId="230CFF3E"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تتنوّع الاستراتيجيات التي يمكن للجهات الحكومية تبنّيها لإدارة نطاق العمل وأوامر التغيير في عقود التشغيل والصيانة، ويمكن تصنيفها في ثلاث مجموعات رئيسة: استراتيجيات وقائية، واستراتيجيات علاجية، واستراتيجيات تطويرية</w:t>
      </w:r>
      <w:r w:rsidRPr="00D330B0">
        <w:rPr>
          <w:rFonts w:ascii="Simplified Arabic" w:eastAsia="Times New Roman" w:hAnsi="Simplified Arabic" w:cs="Simplified Arabic"/>
          <w:color w:val="000000" w:themeColor="text1"/>
          <w:kern w:val="0"/>
          <w:sz w:val="28"/>
          <w:szCs w:val="28"/>
          <w:lang w:bidi="ar-EG"/>
          <w14:ligatures w14:val="none"/>
        </w:rPr>
        <w:t>.</w:t>
      </w:r>
    </w:p>
    <w:p w14:paraId="44A8BEE6"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تتمثّل الاستراتيجيات الوقائية في تعزيز جودة التخطيط المسبق، وتدقيق دراسات الجدوى، وإشراك الخبراء التشغيليين في إعداد وثائق المناقصة، وهو ما يتقاطع مع توجّهات</w:t>
      </w:r>
      <w:r w:rsidRPr="00D330B0">
        <w:rPr>
          <w:rFonts w:ascii="Simplified Arabic" w:eastAsia="Times New Roman" w:hAnsi="Simplified Arabic" w:cs="Simplified Arabic"/>
          <w:color w:val="000000" w:themeColor="text1"/>
          <w:kern w:val="0"/>
          <w:sz w:val="28"/>
          <w:szCs w:val="28"/>
          <w:lang w:bidi="ar-EG"/>
          <w14:ligatures w14:val="none"/>
        </w:rPr>
        <w:t xml:space="preserve"> Okafor and Odubade (2022) </w:t>
      </w:r>
      <w:r w:rsidRPr="00D330B0">
        <w:rPr>
          <w:rFonts w:ascii="Simplified Arabic" w:eastAsia="Times New Roman" w:hAnsi="Simplified Arabic" w:cs="Simplified Arabic"/>
          <w:color w:val="000000" w:themeColor="text1"/>
          <w:kern w:val="0"/>
          <w:sz w:val="28"/>
          <w:szCs w:val="28"/>
          <w:rtl/>
          <w14:ligatures w14:val="none"/>
        </w:rPr>
        <w:t xml:space="preserve">في معالجة زحف النطاق عبر استراتيجيات وقائية مدمجة في مرحلة التخطيط. وتُكمل هذه </w:t>
      </w:r>
      <w:r w:rsidRPr="00D330B0">
        <w:rPr>
          <w:rFonts w:ascii="Simplified Arabic" w:eastAsia="Times New Roman" w:hAnsi="Simplified Arabic" w:cs="Simplified Arabic"/>
          <w:color w:val="000000" w:themeColor="text1"/>
          <w:kern w:val="0"/>
          <w:sz w:val="28"/>
          <w:szCs w:val="28"/>
          <w:rtl/>
          <w14:ligatures w14:val="none"/>
        </w:rPr>
        <w:lastRenderedPageBreak/>
        <w:t>الاستراتيجيات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Ajmal et al. (2022) </w:t>
      </w:r>
      <w:r w:rsidRPr="00D330B0">
        <w:rPr>
          <w:rFonts w:ascii="Simplified Arabic" w:eastAsia="Times New Roman" w:hAnsi="Simplified Arabic" w:cs="Simplified Arabic"/>
          <w:color w:val="000000" w:themeColor="text1"/>
          <w:kern w:val="0"/>
          <w:sz w:val="28"/>
          <w:szCs w:val="28"/>
          <w:rtl/>
          <w14:ligatures w14:val="none"/>
        </w:rPr>
        <w:t>من ضرورة بناء آليات استباقية لاحتواء التوسّع غير المبرّر في المتطلبات</w:t>
      </w:r>
      <w:r w:rsidRPr="00D330B0">
        <w:rPr>
          <w:rFonts w:ascii="Simplified Arabic" w:eastAsia="Times New Roman" w:hAnsi="Simplified Arabic" w:cs="Simplified Arabic"/>
          <w:color w:val="000000" w:themeColor="text1"/>
          <w:kern w:val="0"/>
          <w:sz w:val="28"/>
          <w:szCs w:val="28"/>
          <w:lang w:bidi="ar-EG"/>
          <w14:ligatures w14:val="none"/>
        </w:rPr>
        <w:t>.</w:t>
      </w:r>
    </w:p>
    <w:p w14:paraId="18B04976"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أما الاستراتيجيات العلاجية، فتتمحور حول بناء مسارات اعتماد منضبطة، وتفعيل آليات التقييم متعدّد الأبعاد لكل تغيير مقترح، وضبط التوثيق والاتصال بين الأطراف. وقد طرح</w:t>
      </w:r>
      <w:r w:rsidRPr="00D330B0">
        <w:rPr>
          <w:rFonts w:ascii="Simplified Arabic" w:eastAsia="Times New Roman" w:hAnsi="Simplified Arabic" w:cs="Simplified Arabic"/>
          <w:color w:val="000000" w:themeColor="text1"/>
          <w:kern w:val="0"/>
          <w:sz w:val="28"/>
          <w:szCs w:val="28"/>
          <w:lang w:bidi="ar-EG"/>
          <w14:ligatures w14:val="none"/>
        </w:rPr>
        <w:t xml:space="preserve"> Ismaeil and Sobaih (2024) </w:t>
      </w:r>
      <w:r w:rsidRPr="00D330B0">
        <w:rPr>
          <w:rFonts w:ascii="Simplified Arabic" w:eastAsia="Times New Roman" w:hAnsi="Simplified Arabic" w:cs="Simplified Arabic"/>
          <w:color w:val="000000" w:themeColor="text1"/>
          <w:kern w:val="0"/>
          <w:sz w:val="28"/>
          <w:szCs w:val="28"/>
          <w:rtl/>
          <w14:ligatures w14:val="none"/>
        </w:rPr>
        <w:t>نموذجًا متكاملًا يجمع بين هذه العناصر، كما أبرز</w:t>
      </w:r>
      <w:r w:rsidRPr="00D330B0">
        <w:rPr>
          <w:rFonts w:ascii="Simplified Arabic" w:eastAsia="Times New Roman" w:hAnsi="Simplified Arabic" w:cs="Simplified Arabic"/>
          <w:color w:val="000000" w:themeColor="text1"/>
          <w:kern w:val="0"/>
          <w:sz w:val="28"/>
          <w:szCs w:val="28"/>
          <w:lang w:bidi="ar-EG"/>
          <w14:ligatures w14:val="none"/>
        </w:rPr>
        <w:t xml:space="preserve"> Naji et al. (2022) </w:t>
      </w:r>
      <w:r w:rsidRPr="00D330B0">
        <w:rPr>
          <w:rFonts w:ascii="Simplified Arabic" w:eastAsia="Times New Roman" w:hAnsi="Simplified Arabic" w:cs="Simplified Arabic"/>
          <w:color w:val="000000" w:themeColor="text1"/>
          <w:kern w:val="0"/>
          <w:sz w:val="28"/>
          <w:szCs w:val="28"/>
          <w:rtl/>
          <w14:ligatures w14:val="none"/>
        </w:rPr>
        <w:t>أهمية التكامل بين العوامل الإدارية لتحقيق فاعلية هذه الاستراتيجيات</w:t>
      </w:r>
      <w:r w:rsidRPr="00D330B0">
        <w:rPr>
          <w:rFonts w:ascii="Simplified Arabic" w:eastAsia="Times New Roman" w:hAnsi="Simplified Arabic" w:cs="Simplified Arabic"/>
          <w:color w:val="000000" w:themeColor="text1"/>
          <w:kern w:val="0"/>
          <w:sz w:val="28"/>
          <w:szCs w:val="28"/>
          <w:lang w:bidi="ar-EG"/>
          <w14:ligatures w14:val="none"/>
        </w:rPr>
        <w:t>.</w:t>
      </w:r>
    </w:p>
    <w:p w14:paraId="3DFEE76B"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وفيما يخصّ الاستراتيجيات التطويرية، فإنها تتركّز على بناء ذاكرة تنظيمية لتجارب التغيير السابقة، وتوظيف الدروس المستفادة في تطوير الممارسات، وتحديث الأدلة الإجرائية بصورة دورية. ويتقاطع هذا التوجّه مع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Gheraba et al. (2023) </w:t>
      </w:r>
      <w:r w:rsidRPr="00D330B0">
        <w:rPr>
          <w:rFonts w:ascii="Simplified Arabic" w:eastAsia="Times New Roman" w:hAnsi="Simplified Arabic" w:cs="Simplified Arabic"/>
          <w:color w:val="000000" w:themeColor="text1"/>
          <w:kern w:val="0"/>
          <w:sz w:val="28"/>
          <w:szCs w:val="28"/>
          <w:rtl/>
          <w14:ligatures w14:val="none"/>
        </w:rPr>
        <w:t>من أهمية التحليل المنهجي لأسباب أوامر التغيير وآثارها بهدف تطوير ممارسات التحكّم، وكذلك مع ما طرحه</w:t>
      </w:r>
      <w:r w:rsidRPr="00D330B0">
        <w:rPr>
          <w:rFonts w:ascii="Simplified Arabic" w:eastAsia="Times New Roman" w:hAnsi="Simplified Arabic" w:cs="Simplified Arabic"/>
          <w:color w:val="000000" w:themeColor="text1"/>
          <w:kern w:val="0"/>
          <w:sz w:val="28"/>
          <w:szCs w:val="28"/>
          <w:lang w:bidi="ar-EG"/>
          <w14:ligatures w14:val="none"/>
        </w:rPr>
        <w:t xml:space="preserve"> Alsulami (2025) </w:t>
      </w:r>
      <w:r w:rsidRPr="00D330B0">
        <w:rPr>
          <w:rFonts w:ascii="Simplified Arabic" w:eastAsia="Times New Roman" w:hAnsi="Simplified Arabic" w:cs="Simplified Arabic"/>
          <w:color w:val="000000" w:themeColor="text1"/>
          <w:kern w:val="0"/>
          <w:sz w:val="28"/>
          <w:szCs w:val="28"/>
          <w:rtl/>
          <w14:ligatures w14:val="none"/>
        </w:rPr>
        <w:t>من ضرورة بناء سيناريوهات استباقية للتعامل مع التأثيرات المتسلسلة</w:t>
      </w:r>
      <w:r w:rsidRPr="00D330B0">
        <w:rPr>
          <w:rFonts w:ascii="Simplified Arabic" w:eastAsia="Times New Roman" w:hAnsi="Simplified Arabic" w:cs="Simplified Arabic"/>
          <w:color w:val="000000" w:themeColor="text1"/>
          <w:kern w:val="0"/>
          <w:sz w:val="28"/>
          <w:szCs w:val="28"/>
          <w:lang w:bidi="ar-EG"/>
          <w14:ligatures w14:val="none"/>
        </w:rPr>
        <w:t>.</w:t>
      </w:r>
    </w:p>
    <w:p w14:paraId="7700CC82" w14:textId="77777777" w:rsidR="00556CA7" w:rsidRPr="00D330B0" w:rsidRDefault="00556CA7"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D330B0">
        <w:rPr>
          <w:rFonts w:ascii="Simplified Arabic" w:eastAsia="Times New Roman" w:hAnsi="Simplified Arabic" w:cs="Simplified Arabic"/>
          <w:color w:val="000000" w:themeColor="text1"/>
          <w:kern w:val="0"/>
          <w:sz w:val="28"/>
          <w:szCs w:val="28"/>
          <w:rtl/>
          <w14:ligatures w14:val="none"/>
        </w:rPr>
        <w:t>ويرى الباحث أن نجاح هذه الاستراتيجيات في عقود التشغيل والصيانة الحكومية مرهون بقدرة الجهة المالكة على تحقيق التكامل بين المستويات الثلاثة، بحيث لا تُغني استراتيجية عن أخرى، بل تتعاضد في منظومة واحدة تستهدف ضبط التكاليف غير المخطّطة وحماية الكفاءة المالية للمشروع</w:t>
      </w:r>
      <w:r w:rsidRPr="00D330B0">
        <w:rPr>
          <w:rFonts w:ascii="Simplified Arabic" w:eastAsia="Times New Roman" w:hAnsi="Simplified Arabic" w:cs="Simplified Arabic"/>
          <w:color w:val="000000" w:themeColor="text1"/>
          <w:kern w:val="0"/>
          <w:sz w:val="28"/>
          <w:szCs w:val="28"/>
          <w:lang w:bidi="ar-EG"/>
          <w14:ligatures w14:val="none"/>
        </w:rPr>
        <w:t>.</w:t>
      </w:r>
    </w:p>
    <w:p w14:paraId="6C686284" w14:textId="4500D3AD" w:rsidR="00D55955" w:rsidRPr="00D330B0" w:rsidRDefault="000C13E4" w:rsidP="000C13E4">
      <w:pPr>
        <w:jc w:val="center"/>
        <w:outlineLvl w:val="1"/>
        <w:rPr>
          <w:rFonts w:ascii="Simplified Arabic" w:eastAsia="Times New Roman" w:hAnsi="Simplified Arabic" w:cs="Simplified Arabic"/>
          <w:b/>
          <w:bCs/>
          <w:color w:val="000000" w:themeColor="text1"/>
          <w:kern w:val="0"/>
          <w:sz w:val="36"/>
          <w:szCs w:val="36"/>
          <w14:ligatures w14:val="none"/>
        </w:rPr>
      </w:pPr>
      <w:r w:rsidRPr="00D330B0">
        <w:rPr>
          <w:rFonts w:ascii="Simplified Arabic" w:eastAsia="Times New Roman" w:hAnsi="Simplified Arabic" w:cs="Simplified Arabic"/>
          <w:b/>
          <w:bCs/>
          <w:color w:val="000000" w:themeColor="text1"/>
          <w:kern w:val="0"/>
          <w:sz w:val="36"/>
          <w:szCs w:val="36"/>
          <w:rtl/>
          <w14:ligatures w14:val="none"/>
        </w:rPr>
        <w:br w:type="page"/>
      </w:r>
      <w:bookmarkStart w:id="45" w:name="_Toc233584061"/>
      <w:r w:rsidR="00D55955" w:rsidRPr="00D330B0">
        <w:rPr>
          <w:rFonts w:ascii="Simplified Arabic" w:eastAsia="Times New Roman" w:hAnsi="Simplified Arabic" w:cs="Simplified Arabic"/>
          <w:b/>
          <w:bCs/>
          <w:color w:val="000000" w:themeColor="text1"/>
          <w:kern w:val="0"/>
          <w:sz w:val="36"/>
          <w:szCs w:val="36"/>
          <w:rtl/>
          <w14:ligatures w14:val="none"/>
        </w:rPr>
        <w:lastRenderedPageBreak/>
        <w:t>المبحث الثاني: التكاليف غير المخطّطة في عقود التشغيل والصيانة</w:t>
      </w:r>
      <w:bookmarkEnd w:id="45"/>
    </w:p>
    <w:p w14:paraId="7B985796" w14:textId="25B81867"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584062"/>
      <w:r w:rsidRPr="00D330B0">
        <w:rPr>
          <w:rFonts w:ascii="Simplified Arabic" w:eastAsia="Times New Roman" w:hAnsi="Simplified Arabic" w:cs="Simplified Arabic" w:hint="cs"/>
          <w:b/>
          <w:bCs/>
          <w:color w:val="000000" w:themeColor="text1"/>
          <w:kern w:val="0"/>
          <w:sz w:val="32"/>
          <w:szCs w:val="32"/>
          <w:rtl/>
          <w14:ligatures w14:val="none"/>
        </w:rPr>
        <w:t xml:space="preserve">1.2.2 </w:t>
      </w:r>
      <w:r w:rsidR="00D55955" w:rsidRPr="00D330B0">
        <w:rPr>
          <w:rFonts w:ascii="Simplified Arabic" w:eastAsia="Times New Roman" w:hAnsi="Simplified Arabic" w:cs="Simplified Arabic"/>
          <w:b/>
          <w:bCs/>
          <w:color w:val="000000" w:themeColor="text1"/>
          <w:kern w:val="0"/>
          <w:sz w:val="32"/>
          <w:szCs w:val="32"/>
          <w:rtl/>
          <w14:ligatures w14:val="none"/>
        </w:rPr>
        <w:t>تمهيد</w:t>
      </w:r>
      <w:bookmarkEnd w:id="46"/>
    </w:p>
    <w:p w14:paraId="1E651C97"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تُمثّل التكاليف غير المخطّطة أحد أبرز التحدّيات التي تواجه الجهات الحكومية في إدارتها لعقود التشغيل والصيانة، نظرًا لما تنطوي عليه من انعكاسات مباشرة على الموازنات العامّة، وعلى كفاءة استثمار الموارد المالية المتاحة. فالموازنات المعتمدة لعقود التشغيل والصيانة تُبنى على تقديرات مسبقة تستند إلى دراسات الجدوى ومواصفات النطاق المتعاقد عليه، غير أن واقع التنفيذ كثيرًا ما يُفرز انحرافات مالية تتجاوز هذه التقديرات نتيجة عوامل متعدّدة، يأتي في مقدّمتها التغييرات الطارئة على نطاق الأعمال، والظروف الفنية المستجدّة، وقصور التخطيط المسبق، وضعف منظومة الرقابة</w:t>
      </w:r>
      <w:r w:rsidRPr="00D330B0">
        <w:rPr>
          <w:rFonts w:ascii="Simplified Arabic" w:eastAsia="Times New Roman" w:hAnsi="Simplified Arabic" w:cs="Simplified Arabic"/>
          <w:color w:val="000000" w:themeColor="text1"/>
          <w:kern w:val="0"/>
          <w:sz w:val="28"/>
          <w:szCs w:val="28"/>
          <w14:ligatures w14:val="none"/>
        </w:rPr>
        <w:t>.</w:t>
      </w:r>
    </w:p>
    <w:p w14:paraId="28069384"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ولا تقتصر خطورة هذه التكاليف على بُعدها الكمّي، بل تمتدّ إلى ما تُحدثه من اضطراب في أولويات الإنفاق الحكومي، وما تستنزفه من اعتمادات كان يمكن توجيهها إلى مشروعات أخرى. ومن هنا اتّجه الباحثون في حقل إدارة الأعمال والمحاسبة الإدارية إلى التعمّق في دراسة هذه التكاليف، سواء من حيث طبيعتها ومُسبّباتها، أو من حيث آليات احتوائها وخفضها. ويأتي هذا المبحث ليقدّم معالجة نظرية متكاملة لمفهوم التكاليف غير المخطّطة وخفض التكاليف في عقود التشغيل والصيانة، عبر استعراض المفهوم وأهميته وأهدافه وأبعاده واستراتيجياته، مع التركيز على ما يخدم السياق التطبيقي للدراسة الحالية</w:t>
      </w:r>
      <w:r w:rsidRPr="00D330B0">
        <w:rPr>
          <w:rFonts w:ascii="Simplified Arabic" w:eastAsia="Times New Roman" w:hAnsi="Simplified Arabic" w:cs="Simplified Arabic"/>
          <w:color w:val="000000" w:themeColor="text1"/>
          <w:kern w:val="0"/>
          <w:sz w:val="28"/>
          <w:szCs w:val="28"/>
          <w14:ligatures w14:val="none"/>
        </w:rPr>
        <w:t>.</w:t>
      </w:r>
    </w:p>
    <w:p w14:paraId="1F55ED72" w14:textId="10A3520E"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584063"/>
      <w:r w:rsidRPr="00D330B0">
        <w:rPr>
          <w:rFonts w:ascii="Simplified Arabic" w:eastAsia="Times New Roman" w:hAnsi="Simplified Arabic" w:cs="Simplified Arabic" w:hint="cs"/>
          <w:b/>
          <w:bCs/>
          <w:color w:val="000000" w:themeColor="text1"/>
          <w:kern w:val="0"/>
          <w:sz w:val="32"/>
          <w:szCs w:val="32"/>
          <w:rtl/>
          <w14:ligatures w14:val="none"/>
        </w:rPr>
        <w:t>2.2.2</w:t>
      </w:r>
      <w:r w:rsidR="00D55955" w:rsidRPr="00D330B0">
        <w:rPr>
          <w:rFonts w:ascii="Simplified Arabic" w:eastAsia="Times New Roman" w:hAnsi="Simplified Arabic" w:cs="Simplified Arabic"/>
          <w:b/>
          <w:bCs/>
          <w:color w:val="000000" w:themeColor="text1"/>
          <w:kern w:val="0"/>
          <w:sz w:val="32"/>
          <w:szCs w:val="32"/>
          <w:rtl/>
          <w14:ligatures w14:val="none"/>
        </w:rPr>
        <w:t xml:space="preserve"> مفهوم التكاليف غير المخطّطة وخفض التكاليف</w:t>
      </w:r>
      <w:bookmarkEnd w:id="47"/>
    </w:p>
    <w:p w14:paraId="3E82F49F"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تباينت معالجات الباحثين لمفهوم التكاليف غير المخطّطة وخفض التكاليف تبعًا لاختلاف زاوية المعالجة والإطار الفكري الذي يتبنّاه كلّ منهم، فبعضهم تناوله من منظور محاسبي بحت، فيما عالجه آخرون من منظور إداري استراتيجي، واتّجه فريق ثالث إلى النظر إليه بوصفه ممارسة تشغيلية ميدانية. وقد عرّف نوح (2025) خفض التكاليف بأنه عملية ممنهجة تستهدف إعادة النظر في مكوّنات سلسلة القيمة بهدف التخلّص من الأنشطة غير المضيفة للقيمة، وإعادة توزيع الموارد بصورة أكثر كفاءة، بما يُفضي إلى تخفيض الكلفة دون المساس بجودة المنتج النهائي أو الخدمة المقدَّمة. ويتقاطع هذا الطرح مع ما تناوله محمد (2021) من أن خفض التكاليف يستلزم مقاربة شاملة لاستهلاك الموارد، تنطلق من تتبّع الأنشطة وتحديد مسبّبات الكلفة الفعلية بدلًا من الاعتماد على التوزيعات التقديرية</w:t>
      </w:r>
      <w:r w:rsidRPr="00D330B0">
        <w:rPr>
          <w:rFonts w:ascii="Simplified Arabic" w:eastAsia="Times New Roman" w:hAnsi="Simplified Arabic" w:cs="Simplified Arabic"/>
          <w:color w:val="000000" w:themeColor="text1"/>
          <w:kern w:val="0"/>
          <w:sz w:val="28"/>
          <w:szCs w:val="28"/>
          <w14:ligatures w14:val="none"/>
        </w:rPr>
        <w:t>.</w:t>
      </w:r>
    </w:p>
    <w:p w14:paraId="40EF592B"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ومن منظور تطبيقي مختلف، عرّف الجمل والذباينة (2025) خفض التكاليف في إطار نظام الوقت المحدّد بأنه ممارسة إدارية تستهدف القضاء على الإهدار في جميع مراحل العملية الإنتاجية، عبر مزامنة التوريد مع التشغيل، وتقليص المخزون إلى حدّه الأدنى. ويُكمل هذا التعريف ما طرحته شنان والمنصوري (2022) من أن خفض التكاليف عبر هندسة القيمة يُعدّ ممارسة تحليلية تستهدف سدّ الفجوة بين التكاليف المقدّرة والتكاليف المستهدفة، عبر فحص وظائف المنتج أو الخدمة وإعادة تصميمها بصورة أكثر اقتصادية. وفي السياق ذاته، يطرح عمر (2023) مفهوم خفض التكاليف من زاوية الاتجاهات الحديثة في محاسبة التكاليف، باعتباره منظومة تكاملية تستفيد من الأدوات المعاصرة لضبط الكلفة التشغيلية</w:t>
      </w:r>
      <w:r w:rsidRPr="00D330B0">
        <w:rPr>
          <w:rFonts w:ascii="Simplified Arabic" w:eastAsia="Times New Roman" w:hAnsi="Simplified Arabic" w:cs="Simplified Arabic"/>
          <w:color w:val="000000" w:themeColor="text1"/>
          <w:kern w:val="0"/>
          <w:sz w:val="28"/>
          <w:szCs w:val="28"/>
          <w14:ligatures w14:val="none"/>
        </w:rPr>
        <w:t>.</w:t>
      </w:r>
    </w:p>
    <w:p w14:paraId="393CA58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أما خضير (2021) فقد عرّفت خفض التكاليف بأنه ممارسة استراتيجية تستهدف تعزيز الميزة التنافسية للوحدة الاقتصادية، عبر توظيف الأدوات والنظم الحديثة في تتبّع الكلفة وتحليلها واتخاذ القرارات المبنيّة عليها. ويعكس هذا التعريف توجّهًا حديثًا يربط بين خفض التكاليف وأهداف الوحدة الاقتصادية الاستراتيجية، لا مجرّد اعتباره ممارسة محاسبية معزولة</w:t>
      </w:r>
      <w:r w:rsidRPr="00D330B0">
        <w:rPr>
          <w:rFonts w:ascii="Simplified Arabic" w:eastAsia="Times New Roman" w:hAnsi="Simplified Arabic" w:cs="Simplified Arabic"/>
          <w:color w:val="000000" w:themeColor="text1"/>
          <w:kern w:val="0"/>
          <w:sz w:val="28"/>
          <w:szCs w:val="28"/>
          <w14:ligatures w14:val="none"/>
        </w:rPr>
        <w:t>.</w:t>
      </w:r>
    </w:p>
    <w:p w14:paraId="66A817B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وفي ما يتّصل بالتكاليف غير المخطّطة في عقود التشغيل والصيانة على وجه التحديد، يقدّم عبد القادر (2024) معالجة تربط بين هذه التكاليف وأنشطة الصيانة في المباني الحكومية، حيث يُشير إلى أن التكاليف غير المخطّطة تتولّد من تراكم احتياجات الصيانة التي لم تُرصد ضمن الخطط الأصلية، أو من تأخّر تنفيذ أعمال الصيانة الدورية بما يؤدّي إلى تفاقم الأعطال. ويتقاطع هذا الطرح مع ما تناوله العتيبي (2024) في معالجته لتحسين كفاءة الصيانة، حيث يُبرز أن قصور التخطيط للصيانة يُترجَم تلقائيًا إلى تكاليف غير محتسبة تتحمّلها الجهة الحكومية</w:t>
      </w:r>
      <w:r w:rsidRPr="00D330B0">
        <w:rPr>
          <w:rFonts w:ascii="Simplified Arabic" w:eastAsia="Times New Roman" w:hAnsi="Simplified Arabic" w:cs="Simplified Arabic"/>
          <w:color w:val="000000" w:themeColor="text1"/>
          <w:kern w:val="0"/>
          <w:sz w:val="28"/>
          <w:szCs w:val="28"/>
          <w14:ligatures w14:val="none"/>
        </w:rPr>
        <w:t>.</w:t>
      </w:r>
    </w:p>
    <w:p w14:paraId="59A3C816"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ويُضيف الهيتي والحسيني (2024) بُعدًا تشخيصيًا لمفهوم التكاليف غير المخطّطة في القطاع الحكومي، حيث يطرحانها بوصفها إفرازًا للتحدّيات البنيوية التي تواجه إدارات الصيانة، بدءًا من ضعف التمويل المخصّص، مرورًا بقصور الكوادر المؤهّلة، وانتهاءً بافتقار منظومة المعلومات الموحّدة. ويُكمل هذا الطرح ما عرضه الحسن وآخرون (2020) من أن التكاليف غير المخطّطة في إدارة صيانة المباني الحكومية ترتبط ارتباطًا وثيقًا بضعف منظومة التخطيط الاستباقي، وغياب الأولويات الواضحة في توزيع الموارد</w:t>
      </w:r>
      <w:r w:rsidRPr="00D330B0">
        <w:rPr>
          <w:rFonts w:ascii="Simplified Arabic" w:eastAsia="Times New Roman" w:hAnsi="Simplified Arabic" w:cs="Simplified Arabic"/>
          <w:color w:val="000000" w:themeColor="text1"/>
          <w:kern w:val="0"/>
          <w:sz w:val="28"/>
          <w:szCs w:val="28"/>
          <w14:ligatures w14:val="none"/>
        </w:rPr>
        <w:t>.</w:t>
      </w:r>
    </w:p>
    <w:p w14:paraId="7B3FDBB1"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وعلى الصعيد الأجنبي، يُقدّم</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معالجة دقيقة لمفهوم التكاليف غير المخطّطة من خلال المقارنة بين الصيانة المخطّطة والصيانة غير المخطّطة، حيث يُبيّن أن الأخيرة تُفضي إلى أعباء مالية تفوق الأولى بفارق ملحوظ، نظرًا لطبيعتها الطارئة التي تستلزم استدعاء موارد بأسعار أعلى وفي توقيتات غير مثلى. ويتقاطع هذا الطرح مع ما تناوله</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 xml:space="preserve">a et al. (2020) </w:t>
      </w:r>
      <w:r w:rsidRPr="00D330B0">
        <w:rPr>
          <w:rFonts w:ascii="Simplified Arabic" w:eastAsia="Times New Roman" w:hAnsi="Simplified Arabic" w:cs="Simplified Arabic"/>
          <w:color w:val="000000" w:themeColor="text1"/>
          <w:kern w:val="0"/>
          <w:sz w:val="28"/>
          <w:szCs w:val="28"/>
          <w:rtl/>
          <w14:ligatures w14:val="none"/>
        </w:rPr>
        <w:t>في معالجتهم لسياسات الصيانة الفاعلة كلفويًا، إذ يطرحون مفاضلة بين سياسة الاستبدال المسبق وسياسة الإصلاح بعد عدد محدّد من الأعطال البسيطة، باعتبارهما مقاربتين لاحتواء التكاليف غير المخطّطة</w:t>
      </w:r>
      <w:r w:rsidRPr="00D330B0">
        <w:rPr>
          <w:rFonts w:ascii="Simplified Arabic" w:eastAsia="Times New Roman" w:hAnsi="Simplified Arabic" w:cs="Simplified Arabic"/>
          <w:color w:val="000000" w:themeColor="text1"/>
          <w:kern w:val="0"/>
          <w:sz w:val="28"/>
          <w:szCs w:val="28"/>
          <w14:ligatures w14:val="none"/>
        </w:rPr>
        <w:t>.</w:t>
      </w:r>
    </w:p>
    <w:p w14:paraId="5BDBFE20"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ومن منظور تعاقدي، يُعرّف</w:t>
      </w:r>
      <w:r w:rsidRPr="00D330B0">
        <w:rPr>
          <w:rFonts w:ascii="Simplified Arabic" w:eastAsia="Times New Roman" w:hAnsi="Simplified Arabic" w:cs="Simplified Arabic"/>
          <w:color w:val="000000" w:themeColor="text1"/>
          <w:kern w:val="0"/>
          <w:sz w:val="28"/>
          <w:szCs w:val="28"/>
          <w14:ligatures w14:val="none"/>
        </w:rPr>
        <w:t xml:space="preserve"> Iskandar et al. (2022) </w:t>
      </w:r>
      <w:r w:rsidRPr="00D330B0">
        <w:rPr>
          <w:rFonts w:ascii="Simplified Arabic" w:eastAsia="Times New Roman" w:hAnsi="Simplified Arabic" w:cs="Simplified Arabic"/>
          <w:color w:val="000000" w:themeColor="text1"/>
          <w:kern w:val="0"/>
          <w:sz w:val="28"/>
          <w:szCs w:val="28"/>
          <w:rtl/>
          <w14:ligatures w14:val="none"/>
        </w:rPr>
        <w:t>التكاليف غير المخطّطة في عقود الضمان والصيانة بأنها الأعباء المالية التي تنشأ خلال فترة العقد نتيجة أعطال أو متطلبات لم تُحسب ضمن السعر التعاقدي المتّفق عليه، وهو ما يُفضي إلى توتّر في العلاقة بين مقدّم الخدمة والجهة المستفيدة. ويُسهم</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في إثراء هذا المفهوم بطرحهم لعوامل متعدّدة تؤثّر في فاعلية إدارة الصيانة في المباني الحكومية، تتقاطع جميعها مع منظومة التكاليف غير المخطّطة، سواء من زاوية المسبّبات أو من زاوية أدوات الاحتواء</w:t>
      </w:r>
      <w:r w:rsidRPr="00D330B0">
        <w:rPr>
          <w:rFonts w:ascii="Simplified Arabic" w:eastAsia="Times New Roman" w:hAnsi="Simplified Arabic" w:cs="Simplified Arabic"/>
          <w:color w:val="000000" w:themeColor="text1"/>
          <w:kern w:val="0"/>
          <w:sz w:val="28"/>
          <w:szCs w:val="28"/>
          <w14:ligatures w14:val="none"/>
        </w:rPr>
        <w:t>.</w:t>
      </w:r>
    </w:p>
    <w:p w14:paraId="21B0EFF6"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ومن استقراء هذه التعريفات يتبيّن للباحث أن مفهوم التكاليف غير المخطّطة وخفض التكاليف يتقاطع فيه ثلاثة أبعاد رئيسة: البُعد التشخيصي الذي يُعنى برصد التكاليف غير المحتسبة وتحديد مسبّباتها، والبُعد التحليلي الذي يُعنى بقياس آثارها وتقدير حجمها، والبُعد العلاجي الذي يُعنى ببناء آليات لاحتوائها وخفضها. ويرى الباحث أن التكاليف غير المخطّطة في عقود التشغيل والصيانة الحكومية يمكن تعريفها إجرائيًا بأنها: “تلك الأعباء المالية التي تتحمّلها الجهة الحكومية خلال دورة عقد التشغيل والصيانة دون أن تكون مرصودة ضمن الموازنة الأصلية للعقد، وتنشأ عن مسبّبات متعدّدة يتقدّمها أوامر التغيير وقصور التخطيط المسبق وضعف الرقابة، وتتطلّب إجراءات منهجية لاحتوائها وخفضها بما يصون كفاءة الإنفاق العام”. ويتميّز هذا التعريف بربطه بين البُعد المالي والبُعد الإداري، ومراعاته لخصوصية السياق الحكومي الذي تجري فيه الدراسة</w:t>
      </w:r>
      <w:r w:rsidRPr="00D330B0">
        <w:rPr>
          <w:rFonts w:ascii="Simplified Arabic" w:eastAsia="Times New Roman" w:hAnsi="Simplified Arabic" w:cs="Simplified Arabic"/>
          <w:color w:val="000000" w:themeColor="text1"/>
          <w:kern w:val="0"/>
          <w:sz w:val="28"/>
          <w:szCs w:val="28"/>
          <w14:ligatures w14:val="none"/>
        </w:rPr>
        <w:t>.</w:t>
      </w:r>
    </w:p>
    <w:p w14:paraId="1BF27E25" w14:textId="1A14B959"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584064"/>
      <w:r w:rsidRPr="00D330B0">
        <w:rPr>
          <w:rFonts w:ascii="Simplified Arabic" w:eastAsia="Times New Roman" w:hAnsi="Simplified Arabic" w:cs="Simplified Arabic" w:hint="cs"/>
          <w:b/>
          <w:bCs/>
          <w:color w:val="000000" w:themeColor="text1"/>
          <w:kern w:val="0"/>
          <w:sz w:val="32"/>
          <w:szCs w:val="32"/>
          <w:rtl/>
          <w14:ligatures w14:val="none"/>
        </w:rPr>
        <w:t>3.2.2</w:t>
      </w:r>
      <w:r w:rsidR="00D55955" w:rsidRPr="00D330B0">
        <w:rPr>
          <w:rFonts w:ascii="Simplified Arabic" w:eastAsia="Times New Roman" w:hAnsi="Simplified Arabic" w:cs="Simplified Arabic"/>
          <w:b/>
          <w:bCs/>
          <w:color w:val="000000" w:themeColor="text1"/>
          <w:kern w:val="0"/>
          <w:sz w:val="32"/>
          <w:szCs w:val="32"/>
          <w:rtl/>
          <w14:ligatures w14:val="none"/>
        </w:rPr>
        <w:t xml:space="preserve"> أهمية إدارة التكاليف غير المخطّطة وخفض التكاليف</w:t>
      </w:r>
      <w:bookmarkEnd w:id="48"/>
    </w:p>
    <w:p w14:paraId="40DE19BF"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تنبع أهمية إدارة التكاليف غير المخطّطة وخفض التكاليف في عقود التشغيل والصيانة من كونها تُمثّل أحد أهمّ مقاييس الكفاءة المالية للمشروعات الحكومية. فالموازنة العامّة في الدول كافّة تخضع لقيود متعدّدة، </w:t>
      </w:r>
      <w:r w:rsidRPr="00D330B0">
        <w:rPr>
          <w:rFonts w:ascii="Simplified Arabic" w:eastAsia="Times New Roman" w:hAnsi="Simplified Arabic" w:cs="Simplified Arabic"/>
          <w:color w:val="000000" w:themeColor="text1"/>
          <w:kern w:val="0"/>
          <w:sz w:val="28"/>
          <w:szCs w:val="28"/>
          <w:rtl/>
          <w14:ligatures w14:val="none"/>
        </w:rPr>
        <w:lastRenderedPageBreak/>
        <w:t>ومن ثَمّ فإن أي انحراف عن الكلفة المخطّطة يُمثّل استنزافًا لموارد كانت موجّهة لاستخدامات أخرى، وهو ما يستدعي الاهتمام بهذه المنظومة من زوايا متعدّدة</w:t>
      </w:r>
      <w:r w:rsidRPr="00D330B0">
        <w:rPr>
          <w:rFonts w:ascii="Simplified Arabic" w:eastAsia="Times New Roman" w:hAnsi="Simplified Arabic" w:cs="Simplified Arabic"/>
          <w:color w:val="000000" w:themeColor="text1"/>
          <w:kern w:val="0"/>
          <w:sz w:val="28"/>
          <w:szCs w:val="28"/>
          <w14:ligatures w14:val="none"/>
        </w:rPr>
        <w:t>.</w:t>
      </w:r>
    </w:p>
    <w:p w14:paraId="238E9918"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ويُشير عمر (2023) إلى أن أهمية خفض التكاليف تتجلّى في عدّة محاور، أوّلها: تعزيز قدرة الوحدة الاقتصادية على الاستمرار والمنافسة في بيئة الأعمال المتغيّرة، وثانيها: تحرير موارد مالية يمكن إعادة توجيهها نحو أنشطة ذات قيمة مضافة أعلى، وثالثها: تحسين جودة القرارات الإدارية عبر إتاحة معلومات أدقّ عن الكلفة الفعلية، ورابعها: دعم منظومة التخطيط الاستراتيجي بمعطيات كلفوية موثوقة</w:t>
      </w:r>
      <w:r w:rsidRPr="00D330B0">
        <w:rPr>
          <w:rFonts w:ascii="Simplified Arabic" w:eastAsia="Times New Roman" w:hAnsi="Simplified Arabic" w:cs="Simplified Arabic"/>
          <w:color w:val="000000" w:themeColor="text1"/>
          <w:kern w:val="0"/>
          <w:sz w:val="28"/>
          <w:szCs w:val="28"/>
          <w14:ligatures w14:val="none"/>
        </w:rPr>
        <w:t>.</w:t>
      </w:r>
    </w:p>
    <w:p w14:paraId="3093E5F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ويرى نوح (2025) أن أهمية خفض التكاليف عبر منظور سلسلة القيمة تتمثّل في: تشخيص الأنشطة غير المضيفة للقيمة وإعادة تصميمها، وتعزيز كفاءة استخدام الموارد عبر مراحل الإنتاج، وتمكين الإدارة من اتخاذ قرارات مبنيّة على فهم عميق لمكوّنات الكلفة، فضلًا عن تحسين الموقف التنافسي للوحدة الاقتصادية</w:t>
      </w:r>
      <w:r w:rsidRPr="00D330B0">
        <w:rPr>
          <w:rFonts w:ascii="Simplified Arabic" w:eastAsia="Times New Roman" w:hAnsi="Simplified Arabic" w:cs="Simplified Arabic"/>
          <w:color w:val="000000" w:themeColor="text1"/>
          <w:kern w:val="0"/>
          <w:sz w:val="28"/>
          <w:szCs w:val="28"/>
          <w14:ligatures w14:val="none"/>
        </w:rPr>
        <w:t>.</w:t>
      </w:r>
    </w:p>
    <w:p w14:paraId="34EB048F"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ومن جانب آخر، تتبدّى أهمية إدارة التكاليف غير المخطّطة في ما طرحه الحسن وآخرون (2020) من أن تحسين إدارة الصيانة للمباني الحكومية يستلزم نظرة شاملة لمنظومة التكاليف، تتضمّن: ضبط الإنفاق الفعلي وتقريبه من المخطّط، وتقليص الفاقد الناجم عن سوء التخطيط، وبناء أولويات واضحة في توزيع الاعتمادات المالية، وتعزيز قدرة الجهة الحكومية على الوفاء بالتزاماتها التشغيلية</w:t>
      </w:r>
      <w:r w:rsidRPr="00D330B0">
        <w:rPr>
          <w:rFonts w:ascii="Simplified Arabic" w:eastAsia="Times New Roman" w:hAnsi="Simplified Arabic" w:cs="Simplified Arabic"/>
          <w:color w:val="000000" w:themeColor="text1"/>
          <w:kern w:val="0"/>
          <w:sz w:val="28"/>
          <w:szCs w:val="28"/>
          <w14:ligatures w14:val="none"/>
        </w:rPr>
        <w:t>.</w:t>
      </w:r>
    </w:p>
    <w:p w14:paraId="371AC023"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ويُضيف الهيتي والحسيني (2024) بُعدًا مؤسّسيًا للأهمية، حيث يُبرزان أن معالجة التكاليف غير المخطّطة في إدارات الصيانة الحكومية تُمثّل مدخلًا لمعالجة جملة من التحدّيات البنيوية، تتضمّن: ضعف منظومة التمويل، وتفاوت الكفاءات البشرية، وتباين الممارسات بين الجهات. ويتقاطع ذلك مع ما طرحه العتيبي (2024) من أن تحسين كفاءة الصيانة في القطاع الحكومي يُمثّل ركيزة لخفض التكاليف الإجمالية، عبر مزج الجوانب الفنية والإدارية في منظومة واحدة</w:t>
      </w:r>
      <w:r w:rsidRPr="00D330B0">
        <w:rPr>
          <w:rFonts w:ascii="Simplified Arabic" w:eastAsia="Times New Roman" w:hAnsi="Simplified Arabic" w:cs="Simplified Arabic"/>
          <w:color w:val="000000" w:themeColor="text1"/>
          <w:kern w:val="0"/>
          <w:sz w:val="28"/>
          <w:szCs w:val="28"/>
          <w14:ligatures w14:val="none"/>
        </w:rPr>
        <w:t>.</w:t>
      </w:r>
    </w:p>
    <w:p w14:paraId="1849BE8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ومن منظور صناعي تطبيقي، تتجلّى الأهمية في ما طرحه مسعود (2025) من أن تحسين إدارة الصيانة باستخدام مؤشرات الأداء يُمثّل ركيزة لرفع كفاءة الأصول وخفض الكلفة التشغيلية. ويُسهم في تعميق هذا الفهم ما عرضه عبد القادر (2024) من أن أعمال الصيانة الدورية الموجَّهة بمنهجية واضحة تُقلّص الحاجة إلى التدخّلات الطارئة باهظة الكلفة</w:t>
      </w:r>
      <w:r w:rsidRPr="00D330B0">
        <w:rPr>
          <w:rFonts w:ascii="Simplified Arabic" w:eastAsia="Times New Roman" w:hAnsi="Simplified Arabic" w:cs="Simplified Arabic"/>
          <w:color w:val="000000" w:themeColor="text1"/>
          <w:kern w:val="0"/>
          <w:sz w:val="28"/>
          <w:szCs w:val="28"/>
          <w14:ligatures w14:val="none"/>
        </w:rPr>
        <w:t>.</w:t>
      </w:r>
    </w:p>
    <w:p w14:paraId="60201E22"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وعلى الصعيد الأجنبي، يُبرز</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أهمية المقارنة بين الصيانة المخطّطة وغير المخطّطة في الكشف عن حجم الفرص المتاحة لخفض التكاليف، إذ تتضاعف كلفة الصيانة غير المخطّطة بفعل عوامل متعدّدة، ممّا يجعل الانتقال إلى نموذج الصيانة المخطّطة استثمارًا مجزيًا. ويتقاطع ذلك مع ما طرحه</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 xml:space="preserve">a et al. (2020) </w:t>
      </w:r>
      <w:r w:rsidRPr="00D330B0">
        <w:rPr>
          <w:rFonts w:ascii="Simplified Arabic" w:eastAsia="Times New Roman" w:hAnsi="Simplified Arabic" w:cs="Simplified Arabic"/>
          <w:color w:val="000000" w:themeColor="text1"/>
          <w:kern w:val="0"/>
          <w:sz w:val="28"/>
          <w:szCs w:val="28"/>
          <w:rtl/>
          <w14:ligatures w14:val="none"/>
        </w:rPr>
        <w:t>في معالجتهم لسياسات الصيانة الفاعلة كلفويًا، حيث تبرز أهمية المفاضلة بين بدائل متعدّدة لتحديد السياسة الأكثر اقتصاديًة في سياق معيّن</w:t>
      </w:r>
      <w:r w:rsidRPr="00D330B0">
        <w:rPr>
          <w:rFonts w:ascii="Simplified Arabic" w:eastAsia="Times New Roman" w:hAnsi="Simplified Arabic" w:cs="Simplified Arabic"/>
          <w:color w:val="000000" w:themeColor="text1"/>
          <w:kern w:val="0"/>
          <w:sz w:val="28"/>
          <w:szCs w:val="28"/>
          <w14:ligatures w14:val="none"/>
        </w:rPr>
        <w:t>.</w:t>
      </w:r>
    </w:p>
    <w:p w14:paraId="4B30E24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ويُضيف</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بُعدًا تنظيميًا للأهمية، حيث يُبرز أن فاعلية إدارة الصيانة في المباني الحكومية مرهونة بفهم العوامل الحاسمة المؤثّرة فيها، وهو ما يُمثّل ركيزة لخفض التكاليف غير المخطّطة. ويُكمل ذلك ما تناوله</w:t>
      </w:r>
      <w:r w:rsidRPr="00D330B0">
        <w:rPr>
          <w:rFonts w:ascii="Simplified Arabic" w:eastAsia="Times New Roman" w:hAnsi="Simplified Arabic" w:cs="Simplified Arabic"/>
          <w:color w:val="000000" w:themeColor="text1"/>
          <w:kern w:val="0"/>
          <w:sz w:val="28"/>
          <w:szCs w:val="28"/>
          <w14:ligatures w14:val="none"/>
        </w:rPr>
        <w:t xml:space="preserve"> Iskandar et al. (2022) </w:t>
      </w:r>
      <w:r w:rsidRPr="00D330B0">
        <w:rPr>
          <w:rFonts w:ascii="Simplified Arabic" w:eastAsia="Times New Roman" w:hAnsi="Simplified Arabic" w:cs="Simplified Arabic"/>
          <w:color w:val="000000" w:themeColor="text1"/>
          <w:kern w:val="0"/>
          <w:sz w:val="28"/>
          <w:szCs w:val="28"/>
          <w:rtl/>
          <w14:ligatures w14:val="none"/>
        </w:rPr>
        <w:t>من أهمية تصميم عقود الصيانة بصورة تُوزّع المخاطر بصورة عادلة بين الأطراف، بما يحدّ من نشوء تكاليف غير محسوبة</w:t>
      </w:r>
      <w:r w:rsidRPr="00D330B0">
        <w:rPr>
          <w:rFonts w:ascii="Simplified Arabic" w:eastAsia="Times New Roman" w:hAnsi="Simplified Arabic" w:cs="Simplified Arabic"/>
          <w:color w:val="000000" w:themeColor="text1"/>
          <w:kern w:val="0"/>
          <w:sz w:val="28"/>
          <w:szCs w:val="28"/>
          <w14:ligatures w14:val="none"/>
        </w:rPr>
        <w:t>.</w:t>
      </w:r>
    </w:p>
    <w:p w14:paraId="2D66B004"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ويستخلص الباحث من هذه الطروحات أن أهمية إدارة التكاليف غير المخطّطة وخفض التكاليف تتجلّى في خمسة مستويات متكاملة: المستوى المالي المتعلّق بصون الموازنة، والمستوى التشغيلي المرتبط بكفاءة الأداء، والمستوى التعاقدي المعنيّ بضبط العلاقة بين الأطراف، والمستوى الاستراتيجي المتّصل بتعزيز قدرة الجهة على تحقيق أهدافها، والمستوى الحوكمي المرتبط بصون المال العام</w:t>
      </w:r>
      <w:r w:rsidRPr="00D330B0">
        <w:rPr>
          <w:rFonts w:ascii="Simplified Arabic" w:eastAsia="Times New Roman" w:hAnsi="Simplified Arabic" w:cs="Simplified Arabic"/>
          <w:color w:val="000000" w:themeColor="text1"/>
          <w:kern w:val="0"/>
          <w:sz w:val="28"/>
          <w:szCs w:val="28"/>
          <w14:ligatures w14:val="none"/>
        </w:rPr>
        <w:t>.</w:t>
      </w:r>
    </w:p>
    <w:p w14:paraId="577B4F96" w14:textId="593DCC52"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584065"/>
      <w:r w:rsidRPr="00D330B0">
        <w:rPr>
          <w:rFonts w:ascii="Simplified Arabic" w:eastAsia="Times New Roman" w:hAnsi="Simplified Arabic" w:cs="Simplified Arabic" w:hint="cs"/>
          <w:b/>
          <w:bCs/>
          <w:color w:val="000000" w:themeColor="text1"/>
          <w:kern w:val="0"/>
          <w:sz w:val="32"/>
          <w:szCs w:val="32"/>
          <w:rtl/>
          <w14:ligatures w14:val="none"/>
        </w:rPr>
        <w:t>4.2.2</w:t>
      </w:r>
      <w:r w:rsidR="00D55955" w:rsidRPr="00D330B0">
        <w:rPr>
          <w:rFonts w:ascii="Simplified Arabic" w:eastAsia="Times New Roman" w:hAnsi="Simplified Arabic" w:cs="Simplified Arabic"/>
          <w:b/>
          <w:bCs/>
          <w:color w:val="000000" w:themeColor="text1"/>
          <w:kern w:val="0"/>
          <w:sz w:val="32"/>
          <w:szCs w:val="32"/>
          <w:rtl/>
          <w14:ligatures w14:val="none"/>
        </w:rPr>
        <w:t xml:space="preserve"> أهداف إدارة التكاليف غير المخطّطة وخفض التكاليف</w:t>
      </w:r>
      <w:bookmarkEnd w:id="49"/>
    </w:p>
    <w:p w14:paraId="30A907EF"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تتعدّد أهداف إدارة التكاليف غير المخطّطة وخفض التكاليف وتتشعّب بحسب الزاوية التي يُتناول منها هذا المتغير. وقد طرح نوح (2025) جملة من الأهداف يمكن استقراؤها من معالجته لسلسلة القيمة، تتضمّن: تشخيص الأنشطة غير المضيفة للقيمة بهدف تطويرها أو الاستغناء عنها، وتحسين كفاءة استخدام الموارد عبر مراحل الإنتاج، وبناء قاعدة معلومات تكلفوية دقيقة تدعم قرارات التسعير والإنتاج، وتعزيز الموقف التنافسي عبر تقليص الكلفة دون المساس بالجودة</w:t>
      </w:r>
      <w:r w:rsidRPr="00D330B0">
        <w:rPr>
          <w:rFonts w:ascii="Simplified Arabic" w:eastAsia="Times New Roman" w:hAnsi="Simplified Arabic" w:cs="Simplified Arabic"/>
          <w:color w:val="000000" w:themeColor="text1"/>
          <w:kern w:val="0"/>
          <w:sz w:val="28"/>
          <w:szCs w:val="28"/>
          <w14:ligatures w14:val="none"/>
        </w:rPr>
        <w:t>.</w:t>
      </w:r>
    </w:p>
    <w:p w14:paraId="5FA21884"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 xml:space="preserve">ويرى محمد (2021) أن الأهداف الجوهرية لخفض التكاليف عبر محاسبة استهلاك الموارد تتمحور حول: تتبّع الموارد الفعلية المستخدمة في كل نشاط، وتحديد مسبّبات الكلفة بدقّة، وتفادي التشوّهات الناجمة عن التوزيعات التقليدية، وتمكين الإدارة من اتخاذ قرارات قائمة على بيانات موثوقة. وفي السياق ذاته، </w:t>
      </w:r>
      <w:r w:rsidRPr="00D330B0">
        <w:rPr>
          <w:rFonts w:ascii="Simplified Arabic" w:eastAsia="Times New Roman" w:hAnsi="Simplified Arabic" w:cs="Simplified Arabic"/>
          <w:color w:val="000000" w:themeColor="text1"/>
          <w:kern w:val="0"/>
          <w:sz w:val="28"/>
          <w:szCs w:val="28"/>
          <w:rtl/>
          <w14:ligatures w14:val="none"/>
        </w:rPr>
        <w:lastRenderedPageBreak/>
        <w:t>تطرح خضير (2021) أهدافًا إضافية تشمل: توظيف الأدوات والنظم الحديثة في ضبط الكلفة، وتعزيز الميزة التنافسية، وتطوير ممارسات اتخاذ القرار الإداري</w:t>
      </w:r>
      <w:r w:rsidRPr="00D330B0">
        <w:rPr>
          <w:rFonts w:ascii="Simplified Arabic" w:eastAsia="Times New Roman" w:hAnsi="Simplified Arabic" w:cs="Simplified Arabic"/>
          <w:color w:val="000000" w:themeColor="text1"/>
          <w:kern w:val="0"/>
          <w:sz w:val="28"/>
          <w:szCs w:val="28"/>
          <w14:ligatures w14:val="none"/>
        </w:rPr>
        <w:t>.</w:t>
      </w:r>
    </w:p>
    <w:p w14:paraId="68935EBC"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ومن منظور تطبيقي، يحدّد الجمل والذباينة (2025) أهداف خفض التكاليف من خلال نظام الوقت المحدّد بـ: تقليص المخزون إلى أدنى مستوى ممكن، والقضاء على الإهدار في مراحل الإنتاج، ومزامنة التوريد مع التشغيل، وتعزيز كفاءة استخدام الموارد. ويُكمل هذا الطرح ما تناولته شنان والمنصوري (2022) في معالجتهما لهندسة القيمة، حيث تتمحور الأهداف حول: سدّ الفجوة بين التكاليف المقدّرة والمستهدفة، وفحص وظائف المنتج أو الخدمة، وإعادة التصميم بصورة أكثر اقتصاديًة</w:t>
      </w:r>
      <w:r w:rsidRPr="00D330B0">
        <w:rPr>
          <w:rFonts w:ascii="Simplified Arabic" w:eastAsia="Times New Roman" w:hAnsi="Simplified Arabic" w:cs="Simplified Arabic"/>
          <w:color w:val="000000" w:themeColor="text1"/>
          <w:kern w:val="0"/>
          <w:sz w:val="28"/>
          <w:szCs w:val="28"/>
          <w14:ligatures w14:val="none"/>
        </w:rPr>
        <w:t>.</w:t>
      </w:r>
    </w:p>
    <w:p w14:paraId="78A649E1"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ويُضيف عمر (2023) أهدافًا ترتبط بالاتجاهات الحديثة في محاسبة التكاليف، تشمل: مواكبة التطوّرات في بيئة الأعمال، وتوظيف الأدوات المعاصرة لضبط الكلفة، وتطوير مخرجات النظام المحاسبي بما يخدم القرارات الاستراتيجية. وفي سياق الصيانة الحكومية، تطرح أبحاث الحسن وآخرون (2020) أهدافًا تتمحور حول: تحسين كفاءة استخدام الاعتمادات المالية، وبناء أولويات واضحة، وتقليص الفاقد، وتعزيز قدرة الجهة الحكومية على الوفاء بالتزاماتها التشغيلية</w:t>
      </w:r>
      <w:r w:rsidRPr="00D330B0">
        <w:rPr>
          <w:rFonts w:ascii="Simplified Arabic" w:eastAsia="Times New Roman" w:hAnsi="Simplified Arabic" w:cs="Simplified Arabic"/>
          <w:color w:val="000000" w:themeColor="text1"/>
          <w:kern w:val="0"/>
          <w:sz w:val="28"/>
          <w:szCs w:val="28"/>
          <w14:ligatures w14:val="none"/>
        </w:rPr>
        <w:t>.</w:t>
      </w:r>
    </w:p>
    <w:p w14:paraId="1E6D390C"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ويُسهم مسعود (2025) في إثراء هذه الأهداف بطرحه لاستخدام مؤشرات الأداء في إدارة الصيانة، حيث تتضمّن: قياس كفاءة الأصول، وتتبّع الكلفة التشغيلية، وتوفير معطيات استرشادية لاتخاذ القرار. ويُكمل العتيبي (2024) هذه الأهداف بالتركيز على: رفع كفاءة الصيانة من خلال الممارسات الميدانية المنضبطة، وتقليص فترات التوقّف، وضبط مكوّنات الكلفة. ويُضيف عبد القادر (2024) أهدافًا ترتبط بالأنشطة الفنية المتخصّصة في صيانة المباني الحكومية، تتمحور حول: ضبط مكوّنات الكلفة المرتبطة بكل نشاط، وتطوير الممارسات المهنية، وتحسين جودة المخرجات</w:t>
      </w:r>
      <w:r w:rsidRPr="00D330B0">
        <w:rPr>
          <w:rFonts w:ascii="Simplified Arabic" w:eastAsia="Times New Roman" w:hAnsi="Simplified Arabic" w:cs="Simplified Arabic"/>
          <w:color w:val="000000" w:themeColor="text1"/>
          <w:kern w:val="0"/>
          <w:sz w:val="28"/>
          <w:szCs w:val="28"/>
          <w14:ligatures w14:val="none"/>
        </w:rPr>
        <w:t>.</w:t>
      </w:r>
    </w:p>
    <w:p w14:paraId="5F324205"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أما الهيتي والحسيني (2024) فيطرحان أهدافًا تشخيصية وعلاجية للتحدّيات التي تواجه إدارات الصيانة الحكومية، تشمل: رصد التحدّيات البنيوية، وتقديم مقاربات منهجية لمعالجتها، وتعزيز كفاءة المنظومة ككلّ. وعلى الصعيد الأجنبي، يُبرز</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أهدافًا ترتبط بالمقارنة بين الصيانة المخطّطة وغير المخطّطة، تتمحور حول: تقدير الفجوة الكلفوية، وبناء استراتيجيات للانتقال إلى نموذج الصيانة المخطّطة، وتقليص الاعتماد على التدخّلات الطارئة</w:t>
      </w:r>
      <w:r w:rsidRPr="00D330B0">
        <w:rPr>
          <w:rFonts w:ascii="Simplified Arabic" w:eastAsia="Times New Roman" w:hAnsi="Simplified Arabic" w:cs="Simplified Arabic"/>
          <w:color w:val="000000" w:themeColor="text1"/>
          <w:kern w:val="0"/>
          <w:sz w:val="28"/>
          <w:szCs w:val="28"/>
          <w14:ligatures w14:val="none"/>
        </w:rPr>
        <w:t>.</w:t>
      </w:r>
    </w:p>
    <w:p w14:paraId="261BB0A8"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ويُضيف</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 xml:space="preserve">a et al. (2020) </w:t>
      </w:r>
      <w:r w:rsidRPr="00D330B0">
        <w:rPr>
          <w:rFonts w:ascii="Simplified Arabic" w:eastAsia="Times New Roman" w:hAnsi="Simplified Arabic" w:cs="Simplified Arabic"/>
          <w:color w:val="000000" w:themeColor="text1"/>
          <w:kern w:val="0"/>
          <w:sz w:val="28"/>
          <w:szCs w:val="28"/>
          <w:rtl/>
          <w14:ligatures w14:val="none"/>
        </w:rPr>
        <w:t>أهدافًا تتعلّق بسياسات الصيانة الفاعلة كلفويًا، تتمحور حول: المفاضلة بين بدائل متعدّدة، واختيار السياسة الأكثر اقتصاديًة، وتقدير حجم الوفر المتوقّع. ويُكمل</w:t>
      </w:r>
      <w:r w:rsidRPr="00D330B0">
        <w:rPr>
          <w:rFonts w:ascii="Simplified Arabic" w:eastAsia="Times New Roman" w:hAnsi="Simplified Arabic" w:cs="Simplified Arabic"/>
          <w:color w:val="000000" w:themeColor="text1"/>
          <w:kern w:val="0"/>
          <w:sz w:val="28"/>
          <w:szCs w:val="28"/>
          <w14:ligatures w14:val="none"/>
        </w:rPr>
        <w:t xml:space="preserve"> Iskandar et al. (2022) </w:t>
      </w:r>
      <w:r w:rsidRPr="00D330B0">
        <w:rPr>
          <w:rFonts w:ascii="Simplified Arabic" w:eastAsia="Times New Roman" w:hAnsi="Simplified Arabic" w:cs="Simplified Arabic"/>
          <w:color w:val="000000" w:themeColor="text1"/>
          <w:kern w:val="0"/>
          <w:sz w:val="28"/>
          <w:szCs w:val="28"/>
          <w:rtl/>
          <w14:ligatures w14:val="none"/>
        </w:rPr>
        <w:t>هذه الأهداف بطرحهم لتصميم عقود الضمان والصيانة، حيث تتمحور الأهداف حول: توزيع المخاطر بصورة عادلة، وضبط الالتزامات المالية، وتقليص فرص النزاع. ويُسهم</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بتحديد أهداف ترتبط باستكشاف العوامل الحاسمة في إدارة الصيانة، تشمل: بناء فهم منهجي لمحدّدات الفاعلية، وتوفير أساس علمي لتطوير الممارسات</w:t>
      </w:r>
      <w:r w:rsidRPr="00D330B0">
        <w:rPr>
          <w:rFonts w:ascii="Simplified Arabic" w:eastAsia="Times New Roman" w:hAnsi="Simplified Arabic" w:cs="Simplified Arabic"/>
          <w:color w:val="000000" w:themeColor="text1"/>
          <w:kern w:val="0"/>
          <w:sz w:val="28"/>
          <w:szCs w:val="28"/>
          <w14:ligatures w14:val="none"/>
        </w:rPr>
        <w:t>.</w:t>
      </w:r>
    </w:p>
    <w:p w14:paraId="0F54D3A8"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ويرى الباحث أن هذه الأهداف يمكن تصنيفها في ثلاثة مستويات: مستوى وقائي يستهدف تقليص فرص نشوء التكاليف غير المخطّطة، ومستوى علاجي يتعامل مع التكاليف القائمة فعليًا، ومستوى تطويري يُوظّف الدروس المستفادة في تطوير الممارسات المستقبلية</w:t>
      </w:r>
      <w:r w:rsidRPr="00D330B0">
        <w:rPr>
          <w:rFonts w:ascii="Simplified Arabic" w:eastAsia="Times New Roman" w:hAnsi="Simplified Arabic" w:cs="Simplified Arabic"/>
          <w:color w:val="000000" w:themeColor="text1"/>
          <w:kern w:val="0"/>
          <w:sz w:val="28"/>
          <w:szCs w:val="28"/>
          <w14:ligatures w14:val="none"/>
        </w:rPr>
        <w:t>.</w:t>
      </w:r>
    </w:p>
    <w:p w14:paraId="44489777" w14:textId="561881CB"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584066"/>
      <w:r w:rsidRPr="00D330B0">
        <w:rPr>
          <w:rFonts w:ascii="Simplified Arabic" w:eastAsia="Times New Roman" w:hAnsi="Simplified Arabic" w:cs="Simplified Arabic" w:hint="cs"/>
          <w:b/>
          <w:bCs/>
          <w:color w:val="000000" w:themeColor="text1"/>
          <w:kern w:val="0"/>
          <w:sz w:val="32"/>
          <w:szCs w:val="32"/>
          <w:rtl/>
          <w14:ligatures w14:val="none"/>
        </w:rPr>
        <w:t>5.2.2</w:t>
      </w:r>
      <w:r w:rsidR="00D55955" w:rsidRPr="00D330B0">
        <w:rPr>
          <w:rFonts w:ascii="Simplified Arabic" w:eastAsia="Times New Roman" w:hAnsi="Simplified Arabic" w:cs="Simplified Arabic"/>
          <w:b/>
          <w:bCs/>
          <w:color w:val="000000" w:themeColor="text1"/>
          <w:kern w:val="0"/>
          <w:sz w:val="32"/>
          <w:szCs w:val="32"/>
          <w:rtl/>
          <w14:ligatures w14:val="none"/>
        </w:rPr>
        <w:t xml:space="preserve"> أبعاد التكاليف غير المخطّطة في عقود التشغيل والصيانة</w:t>
      </w:r>
      <w:bookmarkEnd w:id="50"/>
    </w:p>
    <w:p w14:paraId="2FE79C5A"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يتعدّد تناول الباحثين لأبعاد التكاليف غير المخطّطة في عقود التشغيل والصيانة بحسب الإطار الذي يتبنّاه كلّ منهم، ويمكن استخلاص أربعة أبعاد رئيسة تتقاطع عندها معظم المعالجات، وهي</w:t>
      </w:r>
      <w:r w:rsidRPr="00D330B0">
        <w:rPr>
          <w:rFonts w:ascii="Simplified Arabic" w:eastAsia="Times New Roman" w:hAnsi="Simplified Arabic" w:cs="Simplified Arabic"/>
          <w:color w:val="000000" w:themeColor="text1"/>
          <w:kern w:val="0"/>
          <w:sz w:val="28"/>
          <w:szCs w:val="28"/>
          <w14:ligatures w14:val="none"/>
        </w:rPr>
        <w:t>:</w:t>
      </w:r>
    </w:p>
    <w:p w14:paraId="636606A7" w14:textId="77777777" w:rsidR="00D55955" w:rsidRPr="00D330B0" w:rsidRDefault="00D55955"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الأول: التكاليف الناجمة عن قصور التخطيط المسبق</w:t>
      </w:r>
    </w:p>
    <w:p w14:paraId="5C1A2C54"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يُمثّل قصور التخطيط المسبق أحد أبرز مولّدات التكاليف غير المخطّطة في عقود التشغيل والصيانة، إذ ينعكس على دقّة التقديرات الأوّلية للكلفة، ويُفضي إلى تنامي الحاجة لاحقًا إلى أوامر تغيير لتغطية الأعمال التي لم تُرصد ابتداءً. ويتجلّى هذا البُعد في ضعف دراسات الجدوى السابقة على التعاقد، وقصور إدراك متطلبات التشغيل الفعلية على المدى الطويل. وقد أبرز الحسن وآخرون (2020) أن تحسين إدارة الصيانة للمباني الحكومية يستلزم نظرة شاملة تنطلق من مرحلة التخطيط، إذ إن أي قصور في هذه المرحلة يُترجَم إلى تكاليف إضافية خلال مرحلة التنفيذ</w:t>
      </w:r>
      <w:r w:rsidRPr="00D330B0">
        <w:rPr>
          <w:rFonts w:ascii="Simplified Arabic" w:eastAsia="Times New Roman" w:hAnsi="Simplified Arabic" w:cs="Simplified Arabic"/>
          <w:color w:val="000000" w:themeColor="text1"/>
          <w:kern w:val="0"/>
          <w:sz w:val="28"/>
          <w:szCs w:val="28"/>
          <w14:ligatures w14:val="none"/>
        </w:rPr>
        <w:t>.</w:t>
      </w:r>
    </w:p>
    <w:p w14:paraId="73236F6D"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ويتقاطع هذا الطرح مع ما تناوله</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من أن العوامل الحاسمة في فاعلية إدارة الصيانة في المباني الحكومية تبدأ من جودة التخطيط، وأن ضعفه يُمثّل أحد أبرز مولّدات الانحرافات الكلفوية. كما يُسهم نوح (2025) في إثراء هذا البُعد بإبرازه لأهمية التحليل التفصيلي لسلسلة القيمة في مراحلها الأولى، باعتبار أن التشخيص المسبق يُمكّن من تفادي تراكم التكاليف لاحقًا</w:t>
      </w:r>
      <w:r w:rsidRPr="00D330B0">
        <w:rPr>
          <w:rFonts w:ascii="Simplified Arabic" w:eastAsia="Times New Roman" w:hAnsi="Simplified Arabic" w:cs="Simplified Arabic"/>
          <w:color w:val="000000" w:themeColor="text1"/>
          <w:kern w:val="0"/>
          <w:sz w:val="28"/>
          <w:szCs w:val="28"/>
          <w14:ligatures w14:val="none"/>
        </w:rPr>
        <w:t>.</w:t>
      </w:r>
    </w:p>
    <w:p w14:paraId="31768B6E" w14:textId="77777777" w:rsidR="00D55955" w:rsidRPr="00D330B0" w:rsidRDefault="00D55955"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lastRenderedPageBreak/>
        <w:t>البُعد الثاني: التكاليف الناجمة عن أوامر التغيير</w:t>
      </w:r>
    </w:p>
    <w:p w14:paraId="2BCFC4EB"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تُمثّل أوامر التغيير من أكثر مولّدات التكاليف غير المخطّطة وضوحًا في عقود التشغيل والصيانة، إذ يترتّب على كل أمر تغيير أعباء مالية إضافية تُضاف إلى السعر التعاقدي الأصلي. ويتجلّى هذا البُعد في حجم أوامر التغيير الصادرة خلال دورة العقد، وقيمتها التراكمية، ومدى ارتباطها بمسبّبات حقيقية أم بقصور تخطيطي</w:t>
      </w:r>
      <w:r w:rsidRPr="00D330B0">
        <w:rPr>
          <w:rFonts w:ascii="Simplified Arabic" w:eastAsia="Times New Roman" w:hAnsi="Simplified Arabic" w:cs="Simplified Arabic"/>
          <w:color w:val="000000" w:themeColor="text1"/>
          <w:kern w:val="0"/>
          <w:sz w:val="28"/>
          <w:szCs w:val="28"/>
          <w14:ligatures w14:val="none"/>
        </w:rPr>
        <w:t>.</w:t>
      </w:r>
    </w:p>
    <w:p w14:paraId="5CC2298F"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ويرتبط هذا البُعد بمنظومة إدارة الصيانة بصورة عميقة، إذ يُبرز</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أن الصيانة غير المخطّطة تُولّد كلفة تتجاوز نظيرتها المخطّطة بفارق ملحوظ، نظرًا لما تستلزمه من تدخّلات طارئة قد تتطلّب أوامر تغيير على العقد الأصلي. ويُكمل</w:t>
      </w:r>
      <w:r w:rsidRPr="00D330B0">
        <w:rPr>
          <w:rFonts w:ascii="Simplified Arabic" w:eastAsia="Times New Roman" w:hAnsi="Simplified Arabic" w:cs="Simplified Arabic"/>
          <w:color w:val="000000" w:themeColor="text1"/>
          <w:kern w:val="0"/>
          <w:sz w:val="28"/>
          <w:szCs w:val="28"/>
          <w14:ligatures w14:val="none"/>
        </w:rPr>
        <w:t xml:space="preserve"> Iskandar et al. (2022) </w:t>
      </w:r>
      <w:r w:rsidRPr="00D330B0">
        <w:rPr>
          <w:rFonts w:ascii="Simplified Arabic" w:eastAsia="Times New Roman" w:hAnsi="Simplified Arabic" w:cs="Simplified Arabic"/>
          <w:color w:val="000000" w:themeColor="text1"/>
          <w:kern w:val="0"/>
          <w:sz w:val="28"/>
          <w:szCs w:val="28"/>
          <w:rtl/>
          <w14:ligatures w14:val="none"/>
        </w:rPr>
        <w:t>هذا الفهم بطرحهم لعقود الضمان والصيانة، حيث تنشأ كثير من التكاليف غير المخطّطة من تعديلات تطرأ على نطاق الالتزامات خلال فترة العقد</w:t>
      </w:r>
      <w:r w:rsidRPr="00D330B0">
        <w:rPr>
          <w:rFonts w:ascii="Simplified Arabic" w:eastAsia="Times New Roman" w:hAnsi="Simplified Arabic" w:cs="Simplified Arabic"/>
          <w:color w:val="000000" w:themeColor="text1"/>
          <w:kern w:val="0"/>
          <w:sz w:val="28"/>
          <w:szCs w:val="28"/>
          <w14:ligatures w14:val="none"/>
        </w:rPr>
        <w:t>.</w:t>
      </w:r>
    </w:p>
    <w:p w14:paraId="1FC14A03" w14:textId="77777777" w:rsidR="00D55955" w:rsidRPr="00D330B0" w:rsidRDefault="00D55955"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الثالث: التكاليف الناجمة عن ضعف منظومة الرقابة والمتابعة</w:t>
      </w:r>
    </w:p>
    <w:p w14:paraId="5541209E"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يُمثّل ضعف منظومة الرقابة والمتابعة عاملًا مولّدًا للتكاليف غير المخطّطة، إذ يُتيح للانحرافات أن تتراكم دون رصد مبكر، وهو ما يضاعف من حجمها وكلفة معالجتها. ويتجلّى هذا البُعد في فاعلية المراجعة المالية، وكفاية أنظمة الرقابة الداخلية، ووجود مؤشرات إنذار مبكر</w:t>
      </w:r>
      <w:r w:rsidRPr="00D330B0">
        <w:rPr>
          <w:rFonts w:ascii="Simplified Arabic" w:eastAsia="Times New Roman" w:hAnsi="Simplified Arabic" w:cs="Simplified Arabic"/>
          <w:color w:val="000000" w:themeColor="text1"/>
          <w:kern w:val="0"/>
          <w:sz w:val="28"/>
          <w:szCs w:val="28"/>
          <w14:ligatures w14:val="none"/>
        </w:rPr>
        <w:t>.</w:t>
      </w:r>
    </w:p>
    <w:p w14:paraId="3E8D2AD6"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ويُبرز مسعود (2025) أن توظيف مؤشرات الأداء في إدارة الصيانة يُمثّل أداة محورية لاحتواء الانحرافات الكلفوية، إذ تُتيح المتابعة المستمرّة رصد الانحرافات والتدخّل المبكر. ويتقاطع هذا الطرح مع ما تناوله العتيبي (2024) من أن تحسين كفاءة الصيانة يستلزم منظومة متابعة منضبطة، تُتيح للإدارة معرفة المسار الفعلي للكلفة في كل مرحلة</w:t>
      </w:r>
      <w:r w:rsidRPr="00D330B0">
        <w:rPr>
          <w:rFonts w:ascii="Simplified Arabic" w:eastAsia="Times New Roman" w:hAnsi="Simplified Arabic" w:cs="Simplified Arabic"/>
          <w:color w:val="000000" w:themeColor="text1"/>
          <w:kern w:val="0"/>
          <w:sz w:val="28"/>
          <w:szCs w:val="28"/>
          <w14:ligatures w14:val="none"/>
        </w:rPr>
        <w:t>.</w:t>
      </w:r>
    </w:p>
    <w:p w14:paraId="48B11AA0" w14:textId="77777777" w:rsidR="00D55955" w:rsidRPr="00D330B0" w:rsidRDefault="00D55955" w:rsidP="00A3774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330B0">
        <w:rPr>
          <w:rFonts w:ascii="Simplified Arabic" w:eastAsia="Times New Roman" w:hAnsi="Simplified Arabic" w:cs="Simplified Arabic"/>
          <w:b/>
          <w:bCs/>
          <w:color w:val="000000" w:themeColor="text1"/>
          <w:kern w:val="0"/>
          <w:sz w:val="28"/>
          <w:szCs w:val="28"/>
          <w:rtl/>
          <w14:ligatures w14:val="none"/>
        </w:rPr>
        <w:t>البُعد الرابع: التكاليف الناجمة عن قصور الكفاءة التشغيلية والفنية</w:t>
      </w:r>
    </w:p>
    <w:p w14:paraId="4D573F85"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يرتبط هذا البُعد بمستوى الكفاءة التشغيلية والفنية للجهة الحكومية وللمتعاقد معها، إذ إن ضعف هذه الكفاءة يُفضي إلى تكاليف إضافية تتمثّل في تكرار الأعمال، وارتفاع نسبة الفاقد، وزيادة فترات التوقّف. وقد طرح عبد القادر (2024) معالجة دقيقة لهذا البُعد في سياق صيانة المباني الحكومية، حيث يُبرز ارتباط جودة الأداء الفنّي للعاملين بحجم التكاليف الناجمة عن إعادة العمل والمعالجة المتكرّرة</w:t>
      </w:r>
      <w:r w:rsidRPr="00D330B0">
        <w:rPr>
          <w:rFonts w:ascii="Simplified Arabic" w:eastAsia="Times New Roman" w:hAnsi="Simplified Arabic" w:cs="Simplified Arabic"/>
          <w:color w:val="000000" w:themeColor="text1"/>
          <w:kern w:val="0"/>
          <w:sz w:val="28"/>
          <w:szCs w:val="28"/>
          <w14:ligatures w14:val="none"/>
        </w:rPr>
        <w:t>.</w:t>
      </w:r>
    </w:p>
    <w:p w14:paraId="272CB187"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lastRenderedPageBreak/>
        <w:t>ويُكمل الهيتي والحسيني (2024) هذا الفهم بإبرازهما لأن قصور الكوادر المؤهّلة يُمثّل أحد أبرز التحدّيات التي تواجه إدارات الصيانة في القطاع الحكومي، وأن معالجة هذا القصور تُمثّل مدخلًا جوهريًا لخفض التكاليف غير المخطّطة. ويُسهم</w:t>
      </w:r>
      <w:r w:rsidRPr="00D330B0">
        <w:rPr>
          <w:rFonts w:ascii="Simplified Arabic" w:eastAsia="Times New Roman" w:hAnsi="Simplified Arabic" w:cs="Simplified Arabic"/>
          <w:color w:val="000000" w:themeColor="text1"/>
          <w:kern w:val="0"/>
          <w:sz w:val="28"/>
          <w:szCs w:val="28"/>
          <w14:ligatures w14:val="none"/>
        </w:rPr>
        <w:t xml:space="preserve"> Bad</w:t>
      </w:r>
      <w:r w:rsidRPr="00D330B0">
        <w:rPr>
          <w:rFonts w:ascii="Cambria" w:eastAsia="Times New Roman" w:hAnsi="Cambria" w:cs="Cambria"/>
          <w:color w:val="000000" w:themeColor="text1"/>
          <w:kern w:val="0"/>
          <w:sz w:val="28"/>
          <w:szCs w:val="28"/>
          <w14:ligatures w14:val="none"/>
        </w:rPr>
        <w:t>í</w:t>
      </w:r>
      <w:r w:rsidRPr="00D330B0">
        <w:rPr>
          <w:rFonts w:ascii="Simplified Arabic" w:eastAsia="Times New Roman" w:hAnsi="Simplified Arabic" w:cs="Simplified Arabic"/>
          <w:color w:val="000000" w:themeColor="text1"/>
          <w:kern w:val="0"/>
          <w:sz w:val="28"/>
          <w:szCs w:val="28"/>
          <w14:ligatures w14:val="none"/>
        </w:rPr>
        <w:t xml:space="preserve">a et al. (2020) </w:t>
      </w:r>
      <w:r w:rsidRPr="00D330B0">
        <w:rPr>
          <w:rFonts w:ascii="Simplified Arabic" w:eastAsia="Times New Roman" w:hAnsi="Simplified Arabic" w:cs="Simplified Arabic"/>
          <w:color w:val="000000" w:themeColor="text1"/>
          <w:kern w:val="0"/>
          <w:sz w:val="28"/>
          <w:szCs w:val="28"/>
          <w:rtl/>
          <w14:ligatures w14:val="none"/>
        </w:rPr>
        <w:t>في تعميق هذا البُعد بطرحهم لسياسات الصيانة الفاعلة، حيث ترتبط فاعلية السياسة المختارة بمستوى الكفاءة الفنية في تنفيذها</w:t>
      </w:r>
      <w:r w:rsidRPr="00D330B0">
        <w:rPr>
          <w:rFonts w:ascii="Simplified Arabic" w:eastAsia="Times New Roman" w:hAnsi="Simplified Arabic" w:cs="Simplified Arabic"/>
          <w:color w:val="000000" w:themeColor="text1"/>
          <w:kern w:val="0"/>
          <w:sz w:val="28"/>
          <w:szCs w:val="28"/>
          <w14:ligatures w14:val="none"/>
        </w:rPr>
        <w:t>.</w:t>
      </w:r>
    </w:p>
    <w:p w14:paraId="78A34435" w14:textId="2C435CFA" w:rsidR="00D55955" w:rsidRPr="00D330B0" w:rsidRDefault="000C13E4" w:rsidP="000C13E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584067"/>
      <w:r w:rsidRPr="00D330B0">
        <w:rPr>
          <w:rFonts w:ascii="Simplified Arabic" w:eastAsia="Times New Roman" w:hAnsi="Simplified Arabic" w:cs="Simplified Arabic" w:hint="cs"/>
          <w:b/>
          <w:bCs/>
          <w:color w:val="000000" w:themeColor="text1"/>
          <w:kern w:val="0"/>
          <w:sz w:val="32"/>
          <w:szCs w:val="32"/>
          <w:rtl/>
          <w14:ligatures w14:val="none"/>
        </w:rPr>
        <w:t>6.2.2</w:t>
      </w:r>
      <w:r w:rsidR="00D55955" w:rsidRPr="00D330B0">
        <w:rPr>
          <w:rFonts w:ascii="Simplified Arabic" w:eastAsia="Times New Roman" w:hAnsi="Simplified Arabic" w:cs="Simplified Arabic"/>
          <w:b/>
          <w:bCs/>
          <w:color w:val="000000" w:themeColor="text1"/>
          <w:kern w:val="0"/>
          <w:sz w:val="32"/>
          <w:szCs w:val="32"/>
          <w:rtl/>
          <w14:ligatures w14:val="none"/>
        </w:rPr>
        <w:t xml:space="preserve"> استراتيجيات خفض التكاليف غير المخطّطة في عقود التشغيل والصيانة</w:t>
      </w:r>
      <w:bookmarkEnd w:id="51"/>
    </w:p>
    <w:p w14:paraId="2A7C9FFD"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تتنوّع الاستراتيجيات التي يمكن للجهات الحكومية تبنّيها لخفض التكاليف غير المخطّطة في عقود التشغيل والصيانة، ويمكن تصنيفها في ثلاث مجموعات: استراتيجيات تخطيطية، واستراتيجيات تشغيلية، واستراتيجيات حوكمية</w:t>
      </w:r>
      <w:r w:rsidRPr="00D330B0">
        <w:rPr>
          <w:rFonts w:ascii="Simplified Arabic" w:eastAsia="Times New Roman" w:hAnsi="Simplified Arabic" w:cs="Simplified Arabic"/>
          <w:color w:val="000000" w:themeColor="text1"/>
          <w:kern w:val="0"/>
          <w:sz w:val="28"/>
          <w:szCs w:val="28"/>
          <w14:ligatures w14:val="none"/>
        </w:rPr>
        <w:t>.</w:t>
      </w:r>
    </w:p>
    <w:p w14:paraId="0A1274C5"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تتمثّل الاستراتيجيات التخطيطية في تعزيز جودة دراسات الجدوى السابقة على التعاقد، وتطبيق منهجيات تحليل سلسلة القيمة التي طرحها نوح (2025)، وتوظيف هندسة القيمة كما تناولتها شنان والمنصوري (2022) لسدّ الفجوة بين التكاليف المقدّرة والمستهدفة. كما تشمل هذه الاستراتيجيات تطبيق محاسبة استهلاك الموارد كما طرحها محمد (2021)، باعتبارها مدخلًا لتحديد مسبّبات الكلفة بدقّة</w:t>
      </w:r>
      <w:r w:rsidRPr="00D330B0">
        <w:rPr>
          <w:rFonts w:ascii="Simplified Arabic" w:eastAsia="Times New Roman" w:hAnsi="Simplified Arabic" w:cs="Simplified Arabic"/>
          <w:color w:val="000000" w:themeColor="text1"/>
          <w:kern w:val="0"/>
          <w:sz w:val="28"/>
          <w:szCs w:val="28"/>
          <w14:ligatures w14:val="none"/>
        </w:rPr>
        <w:t>.</w:t>
      </w:r>
    </w:p>
    <w:p w14:paraId="01166477"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أما الاستراتيجيات التشغيلية، فتتمحور حول تطبيق نماذج إدارة الصيانة الحديثة، وتوظيف مؤشرات الأداء كما طرحها مسعود (2025)، والانتقال من الصيانة غير المخطّطة إلى الصيانة المخطّطة كما أبرز</w:t>
      </w:r>
      <w:r w:rsidRPr="00D330B0">
        <w:rPr>
          <w:rFonts w:ascii="Simplified Arabic" w:eastAsia="Times New Roman" w:hAnsi="Simplified Arabic" w:cs="Simplified Arabic"/>
          <w:color w:val="000000" w:themeColor="text1"/>
          <w:kern w:val="0"/>
          <w:sz w:val="28"/>
          <w:szCs w:val="28"/>
          <w14:ligatures w14:val="none"/>
        </w:rPr>
        <w:t xml:space="preserve"> Weidner (2023). </w:t>
      </w:r>
      <w:r w:rsidRPr="00D330B0">
        <w:rPr>
          <w:rFonts w:ascii="Simplified Arabic" w:eastAsia="Times New Roman" w:hAnsi="Simplified Arabic" w:cs="Simplified Arabic"/>
          <w:color w:val="000000" w:themeColor="text1"/>
          <w:kern w:val="0"/>
          <w:sz w:val="28"/>
          <w:szCs w:val="28"/>
          <w:rtl/>
          <w14:ligatures w14:val="none"/>
        </w:rPr>
        <w:t>كما تشمل تطبيق نظام الوقت المحدّد في إدارة الموارد كما طرحه الجمل والذباينة (2025)، وتوظيف الأدوات والنظم الحديثة كما تناولتها خضير</w:t>
      </w:r>
      <w:r w:rsidRPr="00D330B0">
        <w:rPr>
          <w:rFonts w:ascii="Simplified Arabic" w:eastAsia="Times New Roman" w:hAnsi="Simplified Arabic" w:cs="Simplified Arabic"/>
          <w:color w:val="000000" w:themeColor="text1"/>
          <w:kern w:val="0"/>
          <w:sz w:val="28"/>
          <w:szCs w:val="28"/>
          <w14:ligatures w14:val="none"/>
        </w:rPr>
        <w:t xml:space="preserve"> (2021).</w:t>
      </w:r>
    </w:p>
    <w:p w14:paraId="5318D3DD" w14:textId="77777777" w:rsidR="00D55955"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وفيما يخصّ الاستراتيجيات الحوكمية، فإنها تتركّز على تصميم العقود بصورة تُوزّع المخاطر بصورة عادلة كما طرح</w:t>
      </w:r>
      <w:r w:rsidRPr="00D330B0">
        <w:rPr>
          <w:rFonts w:ascii="Simplified Arabic" w:eastAsia="Times New Roman" w:hAnsi="Simplified Arabic" w:cs="Simplified Arabic"/>
          <w:color w:val="000000" w:themeColor="text1"/>
          <w:kern w:val="0"/>
          <w:sz w:val="28"/>
          <w:szCs w:val="28"/>
          <w14:ligatures w14:val="none"/>
        </w:rPr>
        <w:t xml:space="preserve"> Iskandar et al. (2022)</w:t>
      </w:r>
      <w:r w:rsidRPr="00D330B0">
        <w:rPr>
          <w:rFonts w:ascii="Simplified Arabic" w:eastAsia="Times New Roman" w:hAnsi="Simplified Arabic" w:cs="Simplified Arabic"/>
          <w:color w:val="000000" w:themeColor="text1"/>
          <w:kern w:val="0"/>
          <w:sz w:val="28"/>
          <w:szCs w:val="28"/>
          <w:rtl/>
          <w14:ligatures w14:val="none"/>
        </w:rPr>
        <w:t>، ومعالجة التحدّيات البنيوية في إدارات الصيانة الحكومية كما تناوله الهيتي والحسيني (2024)، وبناء منظومة مؤشرات استرشادية كما يُستفاد من</w:t>
      </w:r>
      <w:r w:rsidRPr="00D330B0">
        <w:rPr>
          <w:rFonts w:ascii="Simplified Arabic" w:eastAsia="Times New Roman" w:hAnsi="Simplified Arabic" w:cs="Simplified Arabic"/>
          <w:color w:val="000000" w:themeColor="text1"/>
          <w:kern w:val="0"/>
          <w:sz w:val="28"/>
          <w:szCs w:val="28"/>
          <w14:ligatures w14:val="none"/>
        </w:rPr>
        <w:t xml:space="preserve"> Desbalo et al. (2024). </w:t>
      </w:r>
      <w:r w:rsidRPr="00D330B0">
        <w:rPr>
          <w:rFonts w:ascii="Simplified Arabic" w:eastAsia="Times New Roman" w:hAnsi="Simplified Arabic" w:cs="Simplified Arabic"/>
          <w:color w:val="000000" w:themeColor="text1"/>
          <w:kern w:val="0"/>
          <w:sz w:val="28"/>
          <w:szCs w:val="28"/>
          <w:rtl/>
          <w14:ligatures w14:val="none"/>
        </w:rPr>
        <w:t>ويُكمل هذه الاستراتيجيات ما طرحه عمر (2023) من أهمية تبنّي الاتجاهات الحديثة في محاسبة التكاليف لدعم منظومة خفض الكلفة</w:t>
      </w:r>
      <w:r w:rsidRPr="00D330B0">
        <w:rPr>
          <w:rFonts w:ascii="Simplified Arabic" w:eastAsia="Times New Roman" w:hAnsi="Simplified Arabic" w:cs="Simplified Arabic"/>
          <w:color w:val="000000" w:themeColor="text1"/>
          <w:kern w:val="0"/>
          <w:sz w:val="28"/>
          <w:szCs w:val="28"/>
          <w14:ligatures w14:val="none"/>
        </w:rPr>
        <w:t>.</w:t>
      </w:r>
    </w:p>
    <w:p w14:paraId="52E060D7" w14:textId="77777777" w:rsidR="000C13E4" w:rsidRPr="00D330B0" w:rsidRDefault="00D55955" w:rsidP="000C13E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330B0">
        <w:rPr>
          <w:rFonts w:ascii="Simplified Arabic" w:eastAsia="Times New Roman" w:hAnsi="Simplified Arabic" w:cs="Simplified Arabic"/>
          <w:color w:val="000000" w:themeColor="text1"/>
          <w:kern w:val="0"/>
          <w:sz w:val="28"/>
          <w:szCs w:val="28"/>
          <w:rtl/>
          <w14:ligatures w14:val="none"/>
        </w:rPr>
        <w:t>ويرى الباحث أن نجاح هذه الاستراتيجيات في عقود التشغيل والصيانة الحكومية مرهون بتحقيق التكامل بين المستويات الثلاثة، بحيث تتعاضد في منظومة واحدة تستهدف صون الموارد المالية الحكومية</w:t>
      </w:r>
      <w:r w:rsidRPr="00D330B0">
        <w:rPr>
          <w:rFonts w:ascii="Simplified Arabic" w:eastAsia="Times New Roman" w:hAnsi="Simplified Arabic" w:cs="Simplified Arabic"/>
          <w:color w:val="000000" w:themeColor="text1"/>
          <w:kern w:val="0"/>
          <w:sz w:val="28"/>
          <w:szCs w:val="28"/>
          <w14:ligatures w14:val="none"/>
        </w:rPr>
        <w:t>.</w:t>
      </w:r>
    </w:p>
    <w:bookmarkEnd w:id="26"/>
    <w:p w14:paraId="01B86273" w14:textId="2BD6DCEC" w:rsidR="00D330B0" w:rsidRPr="00D330B0" w:rsidRDefault="00D330B0" w:rsidP="00842AF4">
      <w:pPr>
        <w:jc w:val="center"/>
        <w:outlineLvl w:val="0"/>
        <w:rPr>
          <w:rFonts w:ascii="Simplified Arabic" w:hAnsi="Simplified Arabic" w:cs="Simplified Arabic"/>
          <w:b/>
          <w:bCs/>
          <w:color w:val="000000" w:themeColor="text1"/>
          <w:szCs w:val="28"/>
          <w:rtl/>
        </w:rPr>
        <w:sectPr w:rsidR="00D330B0" w:rsidRPr="00D330B0" w:rsidSect="00A37749">
          <w:footerReference w:type="default" r:id="rId10"/>
          <w:pgSz w:w="11906" w:h="16838" w:code="9"/>
          <w:pgMar w:top="1134" w:right="1701" w:bottom="1134" w:left="1134" w:header="720" w:footer="720" w:gutter="0"/>
          <w:pgNumType w:start="1"/>
          <w:cols w:space="708"/>
          <w:bidi/>
          <w:rtlGutter/>
          <w:docGrid w:linePitch="360"/>
        </w:sectPr>
      </w:pPr>
    </w:p>
    <w:p w14:paraId="29D4231B" w14:textId="3C227B82" w:rsidR="0081623B" w:rsidRPr="00D330B0" w:rsidRDefault="00E27D3B" w:rsidP="00A3774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330B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F4037EB">
            <wp:simplePos x="0" y="0"/>
            <wp:positionH relativeFrom="column">
              <wp:posOffset>4187190</wp:posOffset>
            </wp:positionH>
            <wp:positionV relativeFrom="paragraph">
              <wp:posOffset>0</wp:posOffset>
            </wp:positionV>
            <wp:extent cx="1453515" cy="1346200"/>
            <wp:effectExtent l="0" t="0" r="0" b="6350"/>
            <wp:wrapTight wrapText="bothSides">
              <wp:wrapPolygon edited="0">
                <wp:start x="0" y="0"/>
                <wp:lineTo x="0" y="21396"/>
                <wp:lineTo x="21232" y="21396"/>
                <wp:lineTo x="2123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3515" cy="1346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330B0">
        <w:rPr>
          <w:rFonts w:asciiTheme="majorBidi" w:eastAsia="Calibri" w:hAnsiTheme="majorBidi" w:cstheme="majorBidi"/>
          <w:b/>
          <w:bCs/>
          <w:color w:val="000000" w:themeColor="text1"/>
          <w:kern w:val="0"/>
          <w:sz w:val="32"/>
          <w:szCs w:val="32"/>
          <w:lang w:bidi="ar-EG"/>
          <w14:ligatures w14:val="none"/>
        </w:rPr>
        <w:t>Mid</w:t>
      </w:r>
      <w:r w:rsidR="000D353F" w:rsidRPr="00D330B0">
        <w:rPr>
          <w:rFonts w:asciiTheme="majorBidi" w:eastAsia="Calibri" w:hAnsiTheme="majorBidi" w:cstheme="majorBidi"/>
          <w:b/>
          <w:bCs/>
          <w:color w:val="000000" w:themeColor="text1"/>
          <w:kern w:val="0"/>
          <w:sz w:val="32"/>
          <w:szCs w:val="32"/>
          <w:lang w:bidi="ar-EG"/>
          <w14:ligatures w14:val="none"/>
        </w:rPr>
        <w:t xml:space="preserve"> </w:t>
      </w:r>
      <w:r w:rsidR="0081623B" w:rsidRPr="00D330B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330B0" w:rsidRDefault="0081623B" w:rsidP="00A3774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330B0">
        <w:rPr>
          <w:rFonts w:asciiTheme="majorBidi" w:eastAsia="Calibri" w:hAnsiTheme="majorBidi" w:cstheme="majorBidi"/>
          <w:b/>
          <w:bCs/>
          <w:color w:val="000000" w:themeColor="text1"/>
          <w:kern w:val="0"/>
          <w:sz w:val="32"/>
          <w:szCs w:val="32"/>
          <w:lang w:bidi="ar-EG"/>
          <w14:ligatures w14:val="none"/>
        </w:rPr>
        <w:t>College of Management</w:t>
      </w:r>
    </w:p>
    <w:p w14:paraId="7F1106F3" w14:textId="62E0AEC0" w:rsidR="00E27D3B" w:rsidRPr="00D330B0" w:rsidRDefault="00857739" w:rsidP="00D330B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330B0">
        <w:rPr>
          <w:rFonts w:asciiTheme="majorBidi" w:eastAsia="Calibri" w:hAnsiTheme="majorBidi" w:cstheme="majorBidi"/>
          <w:b/>
          <w:bCs/>
          <w:color w:val="000000" w:themeColor="text1"/>
          <w:kern w:val="0"/>
          <w:sz w:val="32"/>
          <w:szCs w:val="32"/>
          <w:lang w:bidi="ar-EG"/>
          <w14:ligatures w14:val="none"/>
        </w:rPr>
        <w:t xml:space="preserve">Department of </w:t>
      </w:r>
      <w:r w:rsidR="00A96477" w:rsidRPr="00D330B0">
        <w:rPr>
          <w:rFonts w:asciiTheme="majorBidi" w:eastAsia="Calibri" w:hAnsiTheme="majorBidi" w:cstheme="majorBidi"/>
          <w:b/>
          <w:bCs/>
          <w:color w:val="000000" w:themeColor="text1"/>
          <w:kern w:val="0"/>
          <w:sz w:val="32"/>
          <w:szCs w:val="32"/>
          <w14:ligatures w14:val="none"/>
        </w:rPr>
        <w:t xml:space="preserve">project </w:t>
      </w:r>
      <w:r w:rsidR="00CC6261" w:rsidRPr="00D330B0">
        <w:rPr>
          <w:rFonts w:asciiTheme="majorBidi" w:eastAsia="Calibri" w:hAnsiTheme="majorBidi" w:cstheme="majorBidi"/>
          <w:b/>
          <w:bCs/>
          <w:color w:val="000000" w:themeColor="text1"/>
          <w:kern w:val="0"/>
          <w:sz w:val="32"/>
          <w:szCs w:val="32"/>
          <w14:ligatures w14:val="none"/>
        </w:rPr>
        <w:t xml:space="preserve">management </w:t>
      </w:r>
    </w:p>
    <w:p w14:paraId="0CBE22B0" w14:textId="77777777" w:rsidR="00CC6261" w:rsidRPr="00D330B0" w:rsidRDefault="00CC6261" w:rsidP="00A3774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A31A0D2" w14:textId="26BA3553" w:rsidR="009241E8" w:rsidRPr="00D330B0" w:rsidRDefault="009241E8" w:rsidP="00D330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330B0">
        <w:rPr>
          <w:rFonts w:asciiTheme="majorBidi" w:eastAsia="Calibri" w:hAnsiTheme="majorBidi" w:cstheme="majorBidi"/>
          <w:b/>
          <w:bCs/>
          <w:color w:val="000000" w:themeColor="text1"/>
          <w:kern w:val="0"/>
          <w:sz w:val="40"/>
          <w:szCs w:val="40"/>
          <w:lang w:bidi="ar-EG"/>
          <w14:ligatures w14:val="none"/>
        </w:rPr>
        <w:t>The Impact of Work Scope Management and Change Orders on Unplanned Costs in Operation and Maintenance Contracts of Government Projects</w:t>
      </w:r>
      <w:r w:rsidR="00556CA7" w:rsidRPr="00D330B0">
        <w:rPr>
          <w:rFonts w:asciiTheme="majorBidi" w:hAnsiTheme="majorBidi" w:cstheme="majorBidi"/>
          <w:b/>
          <w:bCs/>
          <w:color w:val="000000" w:themeColor="text1"/>
          <w:sz w:val="40"/>
          <w:szCs w:val="40"/>
        </w:rPr>
        <w:t xml:space="preserve"> </w:t>
      </w:r>
      <w:r w:rsidR="00556CA7" w:rsidRPr="00D330B0">
        <w:rPr>
          <w:rFonts w:asciiTheme="majorBidi" w:eastAsia="Calibri" w:hAnsiTheme="majorBidi" w:cstheme="majorBidi"/>
          <w:b/>
          <w:bCs/>
          <w:color w:val="000000" w:themeColor="text1"/>
          <w:kern w:val="0"/>
          <w:sz w:val="40"/>
          <w:szCs w:val="40"/>
          <w:lang w:bidi="ar-EG"/>
          <w14:ligatures w14:val="none"/>
        </w:rPr>
        <w:t>in the Kingdom of Saudi Arabia</w:t>
      </w:r>
    </w:p>
    <w:p w14:paraId="0D20937B" w14:textId="77777777" w:rsidR="00D330B0" w:rsidRPr="00D330B0" w:rsidRDefault="00D330B0" w:rsidP="00A3774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6A384FC" w:rsidR="000D353F" w:rsidRPr="00D330B0" w:rsidRDefault="000D353F" w:rsidP="00D330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D330B0">
        <w:rPr>
          <w:rFonts w:asciiTheme="majorBidi" w:eastAsia="Calibri" w:hAnsiTheme="majorBidi" w:cstheme="majorBidi"/>
          <w:b/>
          <w:bCs/>
          <w:color w:val="000000" w:themeColor="text1"/>
          <w:kern w:val="0"/>
          <w:sz w:val="36"/>
          <w:szCs w:val="36"/>
          <w:lang w:bidi="ar-EG"/>
          <w14:ligatures w14:val="none"/>
        </w:rPr>
        <w:t>Prepared by:</w:t>
      </w:r>
    </w:p>
    <w:p w14:paraId="657E86E1" w14:textId="234BF226" w:rsidR="00D330B0" w:rsidRPr="00D330B0" w:rsidRDefault="00F5404A" w:rsidP="00D330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14:ligatures w14:val="none"/>
        </w:rPr>
        <w:t>Ahmed Yousef Al-Hayem</w:t>
      </w:r>
    </w:p>
    <w:p w14:paraId="420946C5" w14:textId="77777777" w:rsidR="00D330B0" w:rsidRPr="00D330B0" w:rsidRDefault="00D330B0" w:rsidP="00D330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330B0" w:rsidRPr="00D330B0" w14:paraId="5B4965D2" w14:textId="77777777" w:rsidTr="00CB4E99">
        <w:tc>
          <w:tcPr>
            <w:tcW w:w="4530" w:type="dxa"/>
          </w:tcPr>
          <w:p w14:paraId="30DB7195" w14:textId="77777777" w:rsidR="00D330B0" w:rsidRPr="00D330B0" w:rsidRDefault="00D330B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330B0">
              <w:rPr>
                <w:rFonts w:asciiTheme="majorBidi" w:eastAsia="Calibri" w:hAnsiTheme="majorBidi" w:cstheme="majorBidi"/>
                <w:b/>
                <w:bCs/>
                <w:color w:val="000000" w:themeColor="text1"/>
                <w:kern w:val="0"/>
                <w:sz w:val="36"/>
                <w:szCs w:val="36"/>
                <w:lang w:bidi="ar-EG"/>
                <w14:ligatures w14:val="none"/>
              </w:rPr>
              <w:t>Main supervisor</w:t>
            </w:r>
            <w:r w:rsidRPr="00D330B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DA12D07" w14:textId="77777777" w:rsidR="00D330B0" w:rsidRPr="00D330B0" w:rsidRDefault="00D330B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330B0">
              <w:rPr>
                <w:rFonts w:asciiTheme="majorBidi" w:eastAsia="Calibri" w:hAnsiTheme="majorBidi" w:cstheme="majorBidi"/>
                <w:b/>
                <w:bCs/>
                <w:color w:val="000000" w:themeColor="text1"/>
                <w:kern w:val="0"/>
                <w:sz w:val="36"/>
                <w:szCs w:val="36"/>
                <w:lang w:bidi="ar-EG"/>
                <w14:ligatures w14:val="none"/>
              </w:rPr>
              <w:t>Second supervisor</w:t>
            </w:r>
            <w:r w:rsidRPr="00D330B0">
              <w:rPr>
                <w:rFonts w:asciiTheme="majorBidi" w:eastAsia="Calibri" w:hAnsiTheme="majorBidi" w:cstheme="majorBidi"/>
                <w:b/>
                <w:bCs/>
                <w:color w:val="000000" w:themeColor="text1"/>
                <w:kern w:val="0"/>
                <w:sz w:val="36"/>
                <w:szCs w:val="36"/>
                <w:rtl/>
                <w:lang w:bidi="ar-EG"/>
                <w14:ligatures w14:val="none"/>
              </w:rPr>
              <w:t>/</w:t>
            </w:r>
          </w:p>
        </w:tc>
      </w:tr>
      <w:tr w:rsidR="00D330B0" w:rsidRPr="00D330B0" w14:paraId="49D2C088" w14:textId="77777777" w:rsidTr="00CB4E99">
        <w:tc>
          <w:tcPr>
            <w:tcW w:w="4530" w:type="dxa"/>
          </w:tcPr>
          <w:p w14:paraId="29D401EE" w14:textId="77777777" w:rsidR="00D330B0" w:rsidRPr="00D330B0" w:rsidRDefault="00D330B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330B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55ADCBB" w14:textId="77777777" w:rsidR="00D330B0" w:rsidRPr="00D330B0" w:rsidRDefault="00D330B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330B0">
              <w:rPr>
                <w:rFonts w:asciiTheme="majorBidi" w:eastAsia="Calibri" w:hAnsiTheme="majorBidi" w:cstheme="majorBidi"/>
                <w:color w:val="000000" w:themeColor="text1"/>
                <w:kern w:val="0"/>
                <w:sz w:val="36"/>
                <w:szCs w:val="36"/>
                <w:lang w:bidi="ar-EG"/>
                <w14:ligatures w14:val="none"/>
              </w:rPr>
              <w:t>Dr. Fayez Jarad</w:t>
            </w:r>
          </w:p>
        </w:tc>
      </w:tr>
    </w:tbl>
    <w:p w14:paraId="35311000" w14:textId="77777777" w:rsidR="00D330B0" w:rsidRPr="00D330B0" w:rsidRDefault="00D330B0" w:rsidP="00D330B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330B0">
        <w:rPr>
          <w:rFonts w:asciiTheme="majorBidi" w:eastAsia="Calibri" w:hAnsiTheme="majorBidi" w:cstheme="majorBidi"/>
          <w:color w:val="000000" w:themeColor="text1"/>
          <w:kern w:val="0"/>
          <w:sz w:val="36"/>
          <w:szCs w:val="36"/>
          <w:rtl/>
          <w:lang w:bidi="ar-EG"/>
          <w14:ligatures w14:val="none"/>
        </w:rPr>
        <w:t>1448 – 2026</w:t>
      </w:r>
    </w:p>
    <w:p w14:paraId="78ECD605" w14:textId="77777777" w:rsidR="00D330B0" w:rsidRPr="00D330B0" w:rsidRDefault="00D330B0" w:rsidP="00D330B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2C85E2B" w14:textId="77777777" w:rsidR="00E27D3B" w:rsidRPr="00D330B0" w:rsidRDefault="00E27D3B" w:rsidP="00A3774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D330B0" w:rsidRDefault="00E27D3B" w:rsidP="00A3774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98D4F1C" w:rsidR="009125CE" w:rsidRPr="00D330B0" w:rsidRDefault="009125CE" w:rsidP="00A3774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330B0" w:rsidSect="00A3774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68E27" w14:textId="77777777" w:rsidR="00365F1F" w:rsidRDefault="00365F1F" w:rsidP="009125CE">
      <w:pPr>
        <w:spacing w:after="0" w:line="240" w:lineRule="auto"/>
      </w:pPr>
      <w:r>
        <w:separator/>
      </w:r>
    </w:p>
  </w:endnote>
  <w:endnote w:type="continuationSeparator" w:id="0">
    <w:p w14:paraId="2F9E32B0" w14:textId="77777777" w:rsidR="00365F1F" w:rsidRDefault="00365F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b/>
        <w:bCs/>
        <w:sz w:val="24"/>
        <w:szCs w:val="24"/>
        <w:rtl/>
      </w:rPr>
      <w:id w:val="1519429982"/>
      <w:docPartObj>
        <w:docPartGallery w:val="Page Numbers (Bottom of Page)"/>
        <w:docPartUnique/>
      </w:docPartObj>
    </w:sdtPr>
    <w:sdtEndPr>
      <w:rPr>
        <w:noProof/>
      </w:rPr>
    </w:sdtEndPr>
    <w:sdtContent>
      <w:p w14:paraId="717C9AA4" w14:textId="30A7DE7A" w:rsidR="00F70C83" w:rsidRPr="00A37749" w:rsidRDefault="00F70C83">
        <w:pPr>
          <w:pStyle w:val="a4"/>
          <w:jc w:val="center"/>
          <w:rPr>
            <w:rFonts w:ascii="Simplified Arabic" w:hAnsi="Simplified Arabic" w:cs="Simplified Arabic"/>
            <w:b/>
            <w:bCs/>
            <w:sz w:val="24"/>
            <w:szCs w:val="24"/>
          </w:rPr>
        </w:pPr>
      </w:p>
      <w:p w14:paraId="13047AE1" w14:textId="4F78CF0E" w:rsidR="00F70C83" w:rsidRPr="00A37749" w:rsidRDefault="00BB7E31" w:rsidP="00A37749">
        <w:pPr>
          <w:pStyle w:val="a4"/>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b/>
        <w:bCs/>
        <w:sz w:val="24"/>
        <w:szCs w:val="24"/>
        <w:rtl/>
      </w:rPr>
      <w:id w:val="1009409965"/>
      <w:docPartObj>
        <w:docPartGallery w:val="Page Numbers (Bottom of Page)"/>
        <w:docPartUnique/>
      </w:docPartObj>
    </w:sdtPr>
    <w:sdtEndPr>
      <w:rPr>
        <w:noProof/>
      </w:rPr>
    </w:sdtEndPr>
    <w:sdtContent>
      <w:p w14:paraId="6BBC2724" w14:textId="77777777" w:rsidR="00F70C83" w:rsidRPr="00A37749" w:rsidRDefault="00F70C83">
        <w:pPr>
          <w:pStyle w:val="a4"/>
          <w:jc w:val="center"/>
          <w:rPr>
            <w:rFonts w:ascii="Simplified Arabic" w:hAnsi="Simplified Arabic" w:cs="Simplified Arabic"/>
            <w:b/>
            <w:bCs/>
            <w:sz w:val="24"/>
            <w:szCs w:val="24"/>
          </w:rPr>
        </w:pPr>
        <w:r w:rsidRPr="00A37749">
          <w:rPr>
            <w:rFonts w:ascii="Simplified Arabic" w:hAnsi="Simplified Arabic" w:cs="Simplified Arabic"/>
            <w:b/>
            <w:bCs/>
            <w:noProof/>
            <w:sz w:val="24"/>
            <w:szCs w:val="24"/>
          </w:rPr>
          <mc:AlternateContent>
            <mc:Choice Requires="wps">
              <w:drawing>
                <wp:inline distT="0" distB="0" distL="0" distR="0" wp14:anchorId="41F406CE" wp14:editId="49B5D404">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du="http://schemas.microsoft.com/office/word/2023/wordml/word16du" xmlns:oel="http://schemas.microsoft.com/office/2019/extlst">
              <w:pict>
                <v:shapetype w14:anchorId="6DC1E1DF"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2C3680B2" w14:textId="77777777" w:rsidR="00F70C83" w:rsidRPr="00A37749" w:rsidRDefault="00F70C83" w:rsidP="00A37749">
        <w:pPr>
          <w:pStyle w:val="a4"/>
          <w:jc w:val="center"/>
          <w:rPr>
            <w:rFonts w:ascii="Simplified Arabic" w:hAnsi="Simplified Arabic" w:cs="Simplified Arabic"/>
            <w:b/>
            <w:bCs/>
            <w:sz w:val="24"/>
            <w:szCs w:val="24"/>
          </w:rPr>
        </w:pPr>
        <w:r w:rsidRPr="00A37749">
          <w:rPr>
            <w:rFonts w:ascii="Simplified Arabic" w:hAnsi="Simplified Arabic" w:cs="Simplified Arabic"/>
            <w:b/>
            <w:bCs/>
            <w:sz w:val="24"/>
            <w:szCs w:val="24"/>
          </w:rPr>
          <w:fldChar w:fldCharType="begin"/>
        </w:r>
        <w:r w:rsidRPr="00A37749">
          <w:rPr>
            <w:rFonts w:ascii="Simplified Arabic" w:hAnsi="Simplified Arabic" w:cs="Simplified Arabic"/>
            <w:b/>
            <w:bCs/>
            <w:sz w:val="24"/>
            <w:szCs w:val="24"/>
          </w:rPr>
          <w:instrText xml:space="preserve"> PAGE    \* MERGEFORMAT </w:instrText>
        </w:r>
        <w:r w:rsidRPr="00A37749">
          <w:rPr>
            <w:rFonts w:ascii="Simplified Arabic" w:hAnsi="Simplified Arabic" w:cs="Simplified Arabic"/>
            <w:b/>
            <w:bCs/>
            <w:sz w:val="24"/>
            <w:szCs w:val="24"/>
          </w:rPr>
          <w:fldChar w:fldCharType="separate"/>
        </w:r>
        <w:r w:rsidR="00842AF4">
          <w:rPr>
            <w:rFonts w:ascii="Simplified Arabic" w:hAnsi="Simplified Arabic" w:cs="Simplified Arabic"/>
            <w:b/>
            <w:bCs/>
            <w:noProof/>
            <w:sz w:val="24"/>
            <w:szCs w:val="24"/>
            <w:rtl/>
          </w:rPr>
          <w:t>41</w:t>
        </w:r>
        <w:r w:rsidRPr="00A37749">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b/>
        <w:bCs/>
        <w:sz w:val="24"/>
        <w:szCs w:val="24"/>
        <w:rtl/>
      </w:rPr>
      <w:id w:val="313463425"/>
      <w:docPartObj>
        <w:docPartGallery w:val="Page Numbers (Bottom of Page)"/>
        <w:docPartUnique/>
      </w:docPartObj>
    </w:sdtPr>
    <w:sdtEndPr>
      <w:rPr>
        <w:noProof/>
      </w:rPr>
    </w:sdtEndPr>
    <w:sdtContent>
      <w:p w14:paraId="0F321011" w14:textId="71DC46BE" w:rsidR="00D330B0" w:rsidRPr="00A37749" w:rsidRDefault="00D330B0">
        <w:pPr>
          <w:pStyle w:val="a4"/>
          <w:jc w:val="center"/>
          <w:rPr>
            <w:rFonts w:ascii="Simplified Arabic" w:hAnsi="Simplified Arabic" w:cs="Simplified Arabic"/>
            <w:b/>
            <w:bCs/>
            <w:sz w:val="24"/>
            <w:szCs w:val="24"/>
          </w:rPr>
        </w:pPr>
      </w:p>
      <w:p w14:paraId="0E9F175F" w14:textId="5A5990C7" w:rsidR="00D330B0" w:rsidRPr="00A37749" w:rsidRDefault="00BB7E31" w:rsidP="00A37749">
        <w:pPr>
          <w:pStyle w:val="a4"/>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78C9B" w14:textId="77777777" w:rsidR="00365F1F" w:rsidRDefault="00365F1F" w:rsidP="009125CE">
      <w:pPr>
        <w:spacing w:after="0" w:line="240" w:lineRule="auto"/>
      </w:pPr>
      <w:r>
        <w:separator/>
      </w:r>
    </w:p>
  </w:footnote>
  <w:footnote w:type="continuationSeparator" w:id="0">
    <w:p w14:paraId="54CB3645" w14:textId="77777777" w:rsidR="00365F1F" w:rsidRDefault="00365F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A4C1"/>
      </v:shape>
    </w:pict>
  </w:numPicBullet>
  <w:abstractNum w:abstractNumId="0" w15:restartNumberingAfterBreak="0">
    <w:nsid w:val="04321BD5"/>
    <w:multiLevelType w:val="hybridMultilevel"/>
    <w:tmpl w:val="DFF0B61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B056C3"/>
    <w:multiLevelType w:val="hybridMultilevel"/>
    <w:tmpl w:val="A3EE85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B1EDA"/>
    <w:multiLevelType w:val="hybridMultilevel"/>
    <w:tmpl w:val="8D0228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90E76"/>
    <w:multiLevelType w:val="hybridMultilevel"/>
    <w:tmpl w:val="0A9C45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72125"/>
    <w:multiLevelType w:val="multilevel"/>
    <w:tmpl w:val="806C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44194"/>
    <w:multiLevelType w:val="hybridMultilevel"/>
    <w:tmpl w:val="15A82C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74A38D0"/>
    <w:multiLevelType w:val="hybridMultilevel"/>
    <w:tmpl w:val="179E4932"/>
    <w:lvl w:ilvl="0" w:tplc="6FA44D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D831E6"/>
    <w:multiLevelType w:val="multilevel"/>
    <w:tmpl w:val="28E6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10937"/>
    <w:multiLevelType w:val="hybridMultilevel"/>
    <w:tmpl w:val="8BCA32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D7431"/>
    <w:multiLevelType w:val="multilevel"/>
    <w:tmpl w:val="756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2D0F11"/>
    <w:multiLevelType w:val="multilevel"/>
    <w:tmpl w:val="8558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E46036"/>
    <w:multiLevelType w:val="hybridMultilevel"/>
    <w:tmpl w:val="89D0546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0362BE"/>
    <w:multiLevelType w:val="hybridMultilevel"/>
    <w:tmpl w:val="9E9667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82023"/>
    <w:multiLevelType w:val="multilevel"/>
    <w:tmpl w:val="06F2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D91D2B"/>
    <w:multiLevelType w:val="hybridMultilevel"/>
    <w:tmpl w:val="619042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FA0C97"/>
    <w:multiLevelType w:val="hybridMultilevel"/>
    <w:tmpl w:val="4D5EA88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F9A3CC2"/>
    <w:multiLevelType w:val="multilevel"/>
    <w:tmpl w:val="3D70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7228C8"/>
    <w:multiLevelType w:val="hybridMultilevel"/>
    <w:tmpl w:val="7572FF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740D10"/>
    <w:multiLevelType w:val="hybridMultilevel"/>
    <w:tmpl w:val="99D60C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804CEE"/>
    <w:multiLevelType w:val="hybridMultilevel"/>
    <w:tmpl w:val="B7BE8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0C50F6"/>
    <w:multiLevelType w:val="multilevel"/>
    <w:tmpl w:val="57DA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B07983"/>
    <w:multiLevelType w:val="multilevel"/>
    <w:tmpl w:val="F5D0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365651"/>
    <w:multiLevelType w:val="hybridMultilevel"/>
    <w:tmpl w:val="45D099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1125D"/>
    <w:multiLevelType w:val="hybridMultilevel"/>
    <w:tmpl w:val="99B8A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722952F8"/>
    <w:multiLevelType w:val="hybridMultilevel"/>
    <w:tmpl w:val="D2D854F6"/>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3862EA2"/>
    <w:multiLevelType w:val="multilevel"/>
    <w:tmpl w:val="8A08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1"/>
  </w:num>
  <w:num w:numId="3">
    <w:abstractNumId w:val="17"/>
  </w:num>
  <w:num w:numId="4">
    <w:abstractNumId w:val="9"/>
  </w:num>
  <w:num w:numId="5">
    <w:abstractNumId w:val="20"/>
  </w:num>
  <w:num w:numId="6">
    <w:abstractNumId w:val="4"/>
  </w:num>
  <w:num w:numId="7">
    <w:abstractNumId w:val="22"/>
  </w:num>
  <w:num w:numId="8">
    <w:abstractNumId w:val="27"/>
  </w:num>
  <w:num w:numId="9">
    <w:abstractNumId w:val="7"/>
  </w:num>
  <w:num w:numId="10">
    <w:abstractNumId w:val="10"/>
  </w:num>
  <w:num w:numId="11">
    <w:abstractNumId w:val="24"/>
  </w:num>
  <w:num w:numId="12">
    <w:abstractNumId w:val="1"/>
  </w:num>
  <w:num w:numId="13">
    <w:abstractNumId w:val="23"/>
  </w:num>
  <w:num w:numId="14">
    <w:abstractNumId w:val="13"/>
  </w:num>
  <w:num w:numId="15">
    <w:abstractNumId w:val="15"/>
  </w:num>
  <w:num w:numId="16">
    <w:abstractNumId w:val="5"/>
  </w:num>
  <w:num w:numId="17">
    <w:abstractNumId w:val="3"/>
  </w:num>
  <w:num w:numId="18">
    <w:abstractNumId w:val="0"/>
  </w:num>
  <w:num w:numId="19">
    <w:abstractNumId w:val="18"/>
  </w:num>
  <w:num w:numId="20">
    <w:abstractNumId w:val="19"/>
  </w:num>
  <w:num w:numId="21">
    <w:abstractNumId w:val="8"/>
  </w:num>
  <w:num w:numId="22">
    <w:abstractNumId w:val="6"/>
  </w:num>
  <w:num w:numId="23">
    <w:abstractNumId w:val="2"/>
  </w:num>
  <w:num w:numId="24">
    <w:abstractNumId w:val="16"/>
  </w:num>
  <w:num w:numId="25">
    <w:abstractNumId w:val="26"/>
  </w:num>
  <w:num w:numId="26">
    <w:abstractNumId w:val="11"/>
  </w:num>
  <w:num w:numId="27">
    <w:abstractNumId w:val="12"/>
  </w:num>
  <w:num w:numId="28">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13E4"/>
    <w:rsid w:val="000C4130"/>
    <w:rsid w:val="000C46EE"/>
    <w:rsid w:val="000C6F98"/>
    <w:rsid w:val="000D03ED"/>
    <w:rsid w:val="000D2E22"/>
    <w:rsid w:val="000D353F"/>
    <w:rsid w:val="000D7A52"/>
    <w:rsid w:val="000E0212"/>
    <w:rsid w:val="000E2A00"/>
    <w:rsid w:val="000E3680"/>
    <w:rsid w:val="000E503B"/>
    <w:rsid w:val="000F128C"/>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2C2"/>
    <w:rsid w:val="002304C2"/>
    <w:rsid w:val="00234450"/>
    <w:rsid w:val="00250D99"/>
    <w:rsid w:val="00251BCA"/>
    <w:rsid w:val="00253519"/>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65F1F"/>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614"/>
    <w:rsid w:val="003C2495"/>
    <w:rsid w:val="003D5D45"/>
    <w:rsid w:val="003D6376"/>
    <w:rsid w:val="003D7804"/>
    <w:rsid w:val="003E210E"/>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6CA7"/>
    <w:rsid w:val="00557A05"/>
    <w:rsid w:val="00557B85"/>
    <w:rsid w:val="00563386"/>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3082"/>
    <w:rsid w:val="00806716"/>
    <w:rsid w:val="00807477"/>
    <w:rsid w:val="00811E32"/>
    <w:rsid w:val="008156EA"/>
    <w:rsid w:val="0081623B"/>
    <w:rsid w:val="00821534"/>
    <w:rsid w:val="0083081C"/>
    <w:rsid w:val="00831F14"/>
    <w:rsid w:val="008332E4"/>
    <w:rsid w:val="0083662A"/>
    <w:rsid w:val="0084024D"/>
    <w:rsid w:val="00842AF4"/>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41E8"/>
    <w:rsid w:val="00927901"/>
    <w:rsid w:val="009307B0"/>
    <w:rsid w:val="00930A79"/>
    <w:rsid w:val="00932A89"/>
    <w:rsid w:val="00934B6D"/>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4A4C"/>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749"/>
    <w:rsid w:val="00A40ADE"/>
    <w:rsid w:val="00A44EBE"/>
    <w:rsid w:val="00A4659A"/>
    <w:rsid w:val="00A50745"/>
    <w:rsid w:val="00A55EF3"/>
    <w:rsid w:val="00A57461"/>
    <w:rsid w:val="00A71BCE"/>
    <w:rsid w:val="00A74F76"/>
    <w:rsid w:val="00A761BE"/>
    <w:rsid w:val="00A823EC"/>
    <w:rsid w:val="00A840CF"/>
    <w:rsid w:val="00A86E11"/>
    <w:rsid w:val="00A96477"/>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B6CD7"/>
    <w:rsid w:val="00BB7E31"/>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BCD"/>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899"/>
    <w:rsid w:val="00CB4A76"/>
    <w:rsid w:val="00CC4484"/>
    <w:rsid w:val="00CC6261"/>
    <w:rsid w:val="00CC6705"/>
    <w:rsid w:val="00CC7877"/>
    <w:rsid w:val="00CD105C"/>
    <w:rsid w:val="00CF16C6"/>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B0"/>
    <w:rsid w:val="00D417B5"/>
    <w:rsid w:val="00D5595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208"/>
    <w:rsid w:val="00EB46EF"/>
    <w:rsid w:val="00EB60A5"/>
    <w:rsid w:val="00EC10F6"/>
    <w:rsid w:val="00EC5DCF"/>
    <w:rsid w:val="00EC6C24"/>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4A"/>
    <w:rsid w:val="00F540A1"/>
    <w:rsid w:val="00F546CE"/>
    <w:rsid w:val="00F563E2"/>
    <w:rsid w:val="00F60BB7"/>
    <w:rsid w:val="00F66109"/>
    <w:rsid w:val="00F70C83"/>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4-1">
    <w:name w:val="Grid Table 4 Accent 1"/>
    <w:basedOn w:val="a1"/>
    <w:uiPriority w:val="49"/>
    <w:rsid w:val="00A377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1">
    <w:name w:val="Grid Table 5 Dark Accent 1"/>
    <w:basedOn w:val="a1"/>
    <w:uiPriority w:val="50"/>
    <w:rsid w:val="00F70C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6-3">
    <w:name w:val="Grid Table 6 Colorful Accent 3"/>
    <w:basedOn w:val="a1"/>
    <w:uiPriority w:val="51"/>
    <w:rsid w:val="00D330B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1777494">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0930909">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3178805">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50064799">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69698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219593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3182337">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2148334">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DC7B28-FB97-4601-BB5D-BC11C2A900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11662</Words>
  <Characters>65534</Characters>
  <Application>Microsoft Office Word</Application>
  <DocSecurity>0</DocSecurity>
  <Lines>546</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cp:lastPrinted>2026-06-28T21:12:00Z</cp:lastPrinted>
  <dcterms:created xsi:type="dcterms:W3CDTF">2026-07-15T15:51:00Z</dcterms:created>
  <dcterms:modified xsi:type="dcterms:W3CDTF">2026-07-15T15:51:00Z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