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D1F5C" w14:textId="77777777" w:rsidR="00292EFF" w:rsidRPr="00991EEB" w:rsidRDefault="00292EFF" w:rsidP="00292EFF">
      <w:pPr>
        <w:spacing w:before="240" w:line="276" w:lineRule="auto"/>
        <w:jc w:val="right"/>
        <w:rPr>
          <w:rFonts w:ascii="Sakkal Majalla" w:hAnsi="Sakkal Majalla" w:cs="Sakkal Majalla"/>
          <w:sz w:val="32"/>
          <w:szCs w:val="32"/>
        </w:rPr>
      </w:pPr>
      <w:r w:rsidRPr="00991EEB">
        <w:rPr>
          <w:rFonts w:ascii="Sakkal Majalla" w:hAnsi="Sakkal Majalla" w:cs="Sakkal Majalla"/>
          <w:noProof/>
          <w:sz w:val="32"/>
          <w:szCs w:val="32"/>
        </w:rPr>
        <w:drawing>
          <wp:anchor distT="0" distB="0" distL="114300" distR="114300" simplePos="0" relativeHeight="251659264" behindDoc="0" locked="0" layoutInCell="1" allowOverlap="1" wp14:anchorId="6B30A73E" wp14:editId="448CE398">
            <wp:simplePos x="0" y="0"/>
            <wp:positionH relativeFrom="margin">
              <wp:posOffset>-695325</wp:posOffset>
            </wp:positionH>
            <wp:positionV relativeFrom="margin">
              <wp:posOffset>-611505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1EEB">
        <w:rPr>
          <w:rFonts w:ascii="Sakkal Majalla" w:hAnsi="Sakkal Majalla" w:cs="Sakkal Majalla"/>
          <w:sz w:val="32"/>
          <w:szCs w:val="32"/>
          <w:rtl/>
          <w:lang w:bidi="ar-EG"/>
        </w:rPr>
        <w:t xml:space="preserve">جامعة ميدأوشن </w:t>
      </w:r>
    </w:p>
    <w:p w14:paraId="11D8D9E7" w14:textId="77777777" w:rsidR="00292EFF" w:rsidRPr="00991EEB" w:rsidRDefault="00292EFF" w:rsidP="00292EFF">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lang w:bidi="ar-EG"/>
        </w:rPr>
        <w:t xml:space="preserve">كلية العلوم الإنسانية </w:t>
      </w:r>
    </w:p>
    <w:p w14:paraId="472C1F5A" w14:textId="77777777" w:rsidR="00292EFF" w:rsidRPr="00991EEB" w:rsidRDefault="00292EFF" w:rsidP="00292EFF">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rtl/>
          <w:lang w:bidi="ar-EG"/>
        </w:rPr>
        <w:t>قسم / تخصص القانون</w:t>
      </w:r>
    </w:p>
    <w:p w14:paraId="02BB8E86" w14:textId="77777777" w:rsidR="00292EFF" w:rsidRPr="00991EEB" w:rsidRDefault="00292EFF" w:rsidP="00292EFF">
      <w:pPr>
        <w:spacing w:before="240" w:line="276" w:lineRule="auto"/>
        <w:jc w:val="center"/>
        <w:rPr>
          <w:rFonts w:ascii="Sakkal Majalla" w:hAnsi="Sakkal Majalla" w:cs="Sakkal Majalla"/>
          <w:sz w:val="32"/>
          <w:szCs w:val="32"/>
        </w:rPr>
      </w:pPr>
      <w:r w:rsidRPr="00991EEB">
        <w:rPr>
          <w:rFonts w:ascii="Sakkal Majalla" w:hAnsi="Sakkal Majalla" w:cs="Sakkal Majalla"/>
          <w:sz w:val="32"/>
          <w:szCs w:val="32"/>
          <w:rtl/>
          <w:lang w:bidi="ar-EG"/>
        </w:rPr>
        <w:t>عنوان البحث</w:t>
      </w:r>
    </w:p>
    <w:p w14:paraId="70576173" w14:textId="77777777" w:rsidR="00292EFF" w:rsidRPr="00991EEB" w:rsidRDefault="00292EFF" w:rsidP="00292EFF">
      <w:pPr>
        <w:spacing w:before="240" w:line="276" w:lineRule="auto"/>
        <w:jc w:val="center"/>
        <w:rPr>
          <w:rFonts w:ascii="Sakkal Majalla" w:hAnsi="Sakkal Majalla" w:cs="Sakkal Majalla"/>
          <w:sz w:val="32"/>
          <w:szCs w:val="32"/>
          <w:rtl/>
          <w:lang w:bidi="ar-EG"/>
        </w:rPr>
      </w:pPr>
    </w:p>
    <w:p w14:paraId="658F2B57" w14:textId="77777777" w:rsidR="00C33934" w:rsidRPr="00991EEB" w:rsidRDefault="00292EFF" w:rsidP="00292EFF">
      <w:pPr>
        <w:spacing w:before="240" w:line="276" w:lineRule="auto"/>
        <w:jc w:val="center"/>
        <w:rPr>
          <w:rFonts w:ascii="Sakkal Majalla" w:hAnsi="Sakkal Majalla" w:cs="Sakkal Majalla"/>
          <w:b/>
          <w:bCs/>
          <w:sz w:val="36"/>
          <w:szCs w:val="36"/>
          <w:rtl/>
          <w:lang w:bidi="ar-EG"/>
        </w:rPr>
      </w:pPr>
      <w:r w:rsidRPr="00991EEB">
        <w:rPr>
          <w:rFonts w:ascii="Sakkal Majalla" w:hAnsi="Sakkal Majalla" w:cs="Sakkal Majalla"/>
          <w:b/>
          <w:bCs/>
          <w:sz w:val="36"/>
          <w:szCs w:val="36"/>
          <w:rtl/>
          <w:lang w:bidi="ar-EG"/>
        </w:rPr>
        <w:t>المسؤولية المدنية الناشئة عن الجرائم الإلكترونية المرتكبة باستخدام الذكاء الاصطناعي</w:t>
      </w:r>
    </w:p>
    <w:p w14:paraId="63427083" w14:textId="44BB6E9C" w:rsidR="00292EFF" w:rsidRPr="00991EEB" w:rsidRDefault="00292EFF" w:rsidP="00292EFF">
      <w:pPr>
        <w:spacing w:before="240" w:line="276" w:lineRule="auto"/>
        <w:jc w:val="center"/>
        <w:rPr>
          <w:rFonts w:ascii="Sakkal Majalla" w:hAnsi="Sakkal Majalla" w:cs="Sakkal Majalla"/>
          <w:b/>
          <w:bCs/>
          <w:sz w:val="36"/>
          <w:szCs w:val="36"/>
          <w:lang w:bidi="ar-EG"/>
        </w:rPr>
      </w:pPr>
      <w:r w:rsidRPr="00991EEB">
        <w:rPr>
          <w:rFonts w:ascii="Sakkal Majalla" w:hAnsi="Sakkal Majalla" w:cs="Sakkal Majalla"/>
          <w:b/>
          <w:bCs/>
          <w:sz w:val="36"/>
          <w:szCs w:val="36"/>
          <w:rtl/>
          <w:lang w:bidi="ar-EG"/>
        </w:rPr>
        <w:t xml:space="preserve"> في النظام السعودي</w:t>
      </w:r>
    </w:p>
    <w:p w14:paraId="06E34C8D" w14:textId="77777777" w:rsidR="00292EFF" w:rsidRPr="00991EEB" w:rsidRDefault="00292EFF" w:rsidP="00292EFF">
      <w:pPr>
        <w:spacing w:before="240" w:line="276" w:lineRule="auto"/>
        <w:jc w:val="center"/>
        <w:rPr>
          <w:rFonts w:ascii="Sakkal Majalla" w:hAnsi="Sakkal Majalla" w:cs="Sakkal Majalla"/>
          <w:sz w:val="32"/>
          <w:szCs w:val="32"/>
          <w:rtl/>
          <w:lang w:bidi="ar-EG"/>
        </w:rPr>
      </w:pPr>
      <w:r w:rsidRPr="00991EEB">
        <w:rPr>
          <w:rFonts w:ascii="Sakkal Majalla" w:hAnsi="Sakkal Majalla" w:cs="Sakkal Majalla"/>
          <w:sz w:val="32"/>
          <w:szCs w:val="32"/>
          <w:rtl/>
          <w:lang w:bidi="ar-EG"/>
        </w:rPr>
        <w:t>إعداد:</w:t>
      </w:r>
    </w:p>
    <w:p w14:paraId="58FC7378" w14:textId="77777777" w:rsidR="00292EFF" w:rsidRPr="00991EEB" w:rsidRDefault="00292EFF" w:rsidP="00292EFF">
      <w:pPr>
        <w:spacing w:before="240" w:line="276" w:lineRule="auto"/>
        <w:jc w:val="center"/>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بدر عبدالله السبيعي</w:t>
      </w:r>
    </w:p>
    <w:p w14:paraId="67E6AFE9" w14:textId="77777777" w:rsidR="00292EFF" w:rsidRPr="00991EEB" w:rsidRDefault="00292EFF" w:rsidP="00292EFF">
      <w:pPr>
        <w:spacing w:before="240" w:line="276" w:lineRule="auto"/>
        <w:jc w:val="center"/>
        <w:rPr>
          <w:rFonts w:ascii="Sakkal Majalla" w:hAnsi="Sakkal Majalla" w:cs="Sakkal Majalla"/>
          <w:sz w:val="32"/>
          <w:szCs w:val="32"/>
          <w:lang w:bidi="ar-EG"/>
        </w:rPr>
      </w:pPr>
    </w:p>
    <w:p w14:paraId="17F77E60" w14:textId="77777777" w:rsidR="00292EFF" w:rsidRPr="00991EEB" w:rsidRDefault="00292EFF" w:rsidP="00292EFF">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الرقم الاكاديمي:</w:t>
      </w:r>
    </w:p>
    <w:p w14:paraId="0CB7DE9A" w14:textId="77777777" w:rsidR="00292EFF" w:rsidRPr="00991EEB" w:rsidRDefault="00292EFF" w:rsidP="00292EFF">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lang w:bidi="ar-EG"/>
        </w:rPr>
        <w:t>221002181</w:t>
      </w:r>
    </w:p>
    <w:p w14:paraId="04E3767E" w14:textId="77777777" w:rsidR="00292EFF" w:rsidRPr="00991EEB" w:rsidRDefault="00292EFF" w:rsidP="00292EFF">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العام الدراسي:</w:t>
      </w:r>
    </w:p>
    <w:p w14:paraId="25456A42" w14:textId="77777777" w:rsidR="00292EFF" w:rsidRPr="00991EEB" w:rsidRDefault="00292EFF" w:rsidP="00292EFF">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2025</w:t>
      </w:r>
    </w:p>
    <w:p w14:paraId="730A3F70" w14:textId="77777777" w:rsidR="00292EFF" w:rsidRPr="00991EEB" w:rsidRDefault="00292EFF" w:rsidP="00292EFF">
      <w:pPr>
        <w:spacing w:before="240" w:line="276" w:lineRule="auto"/>
        <w:jc w:val="lowKashida"/>
        <w:rPr>
          <w:rFonts w:ascii="Sakkal Majalla" w:hAnsi="Sakkal Majalla" w:cs="Sakkal Majalla"/>
          <w:b/>
          <w:bCs/>
          <w:sz w:val="32"/>
          <w:szCs w:val="32"/>
          <w:rtl/>
        </w:rPr>
      </w:pPr>
    </w:p>
    <w:p w14:paraId="5215DC7F" w14:textId="6A50CEC4" w:rsidR="006D5A87" w:rsidRPr="00991EEB" w:rsidRDefault="006D5A87">
      <w:pPr>
        <w:rPr>
          <w:rFonts w:ascii="Sakkal Majalla" w:hAnsi="Sakkal Majalla" w:cs="Sakkal Majalla"/>
          <w:b/>
          <w:bCs/>
          <w:sz w:val="40"/>
          <w:szCs w:val="40"/>
          <w:rtl/>
        </w:rPr>
      </w:pPr>
    </w:p>
    <w:p w14:paraId="7929F65F" w14:textId="77777777" w:rsidR="00991EEB" w:rsidRPr="00991EEB" w:rsidRDefault="00991EEB">
      <w:pPr>
        <w:rPr>
          <w:rFonts w:ascii="Sakkal Majalla" w:hAnsi="Sakkal Majalla" w:cs="Sakkal Majalla"/>
          <w:b/>
          <w:bCs/>
          <w:sz w:val="32"/>
          <w:szCs w:val="32"/>
        </w:rPr>
      </w:pPr>
    </w:p>
    <w:p w14:paraId="2BB8DCAA" w14:textId="77777777" w:rsidR="00C33934" w:rsidRPr="00991EEB" w:rsidRDefault="00C32203" w:rsidP="00C32203">
      <w:pPr>
        <w:bidi/>
        <w:spacing w:line="360" w:lineRule="auto"/>
        <w:jc w:val="lowKashida"/>
        <w:rPr>
          <w:rFonts w:ascii="Sakkal Majalla" w:hAnsi="Sakkal Majalla" w:cs="Sakkal Majalla" w:hint="cs"/>
          <w:b/>
          <w:bCs/>
          <w:sz w:val="32"/>
          <w:szCs w:val="32"/>
          <w:rtl/>
          <w:lang w:bidi="ar-EG"/>
        </w:rPr>
      </w:pPr>
      <w:r w:rsidRPr="00991EEB">
        <w:rPr>
          <w:rFonts w:ascii="Sakkal Majalla" w:hAnsi="Sakkal Majalla" w:cs="Sakkal Majalla"/>
          <w:b/>
          <w:bCs/>
          <w:sz w:val="32"/>
          <w:szCs w:val="32"/>
          <w:rtl/>
          <w:lang w:bidi="ar-EG"/>
        </w:rPr>
        <w:lastRenderedPageBreak/>
        <w:t>مقدمة:</w:t>
      </w:r>
    </w:p>
    <w:p w14:paraId="6DF62824" w14:textId="77777777" w:rsidR="00C32203" w:rsidRPr="00991EEB" w:rsidRDefault="00C32203" w:rsidP="00C32203">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في ظل الطفرة ا</w:t>
      </w:r>
      <w:r w:rsidR="00325053" w:rsidRPr="00991EEB">
        <w:rPr>
          <w:rFonts w:ascii="Sakkal Majalla" w:hAnsi="Sakkal Majalla" w:cs="Sakkal Majalla"/>
          <w:sz w:val="32"/>
          <w:szCs w:val="32"/>
          <w:rtl/>
          <w:lang w:bidi="ar-EG"/>
        </w:rPr>
        <w:t>لتقنية التي يشهدها العالم اليوم</w:t>
      </w:r>
      <w:r w:rsidRPr="00991EEB">
        <w:rPr>
          <w:rFonts w:ascii="Sakkal Majalla" w:hAnsi="Sakkal Majalla" w:cs="Sakkal Majalla"/>
          <w:sz w:val="32"/>
          <w:szCs w:val="32"/>
          <w:rtl/>
          <w:lang w:bidi="ar-EG"/>
        </w:rPr>
        <w:t xml:space="preserve"> برز الذكاء الاصطناعي بوصفه أحد أهم الابتكارات التي غيرت ملامح الحياة الإنسانية، وأعادت تشكيل العلاقات ال</w:t>
      </w:r>
      <w:r w:rsidR="00325053" w:rsidRPr="00991EEB">
        <w:rPr>
          <w:rFonts w:ascii="Sakkal Majalla" w:hAnsi="Sakkal Majalla" w:cs="Sakkal Majalla"/>
          <w:sz w:val="32"/>
          <w:szCs w:val="32"/>
          <w:rtl/>
          <w:lang w:bidi="ar-EG"/>
        </w:rPr>
        <w:t>اقتصادية والاجتماعية والقانونية،</w:t>
      </w:r>
      <w:r w:rsidRPr="00991EEB">
        <w:rPr>
          <w:rFonts w:ascii="Sakkal Majalla" w:hAnsi="Sakkal Majalla" w:cs="Sakkal Majalla"/>
          <w:sz w:val="32"/>
          <w:szCs w:val="32"/>
          <w:rtl/>
          <w:lang w:bidi="ar-EG"/>
        </w:rPr>
        <w:t xml:space="preserve"> ومع تزايد الاعتماد على </w:t>
      </w:r>
      <w:r w:rsidR="00325053" w:rsidRPr="00991EEB">
        <w:rPr>
          <w:rFonts w:ascii="Sakkal Majalla" w:hAnsi="Sakkal Majalla" w:cs="Sakkal Majalla"/>
          <w:sz w:val="32"/>
          <w:szCs w:val="32"/>
          <w:rtl/>
          <w:lang w:bidi="ar-EG"/>
        </w:rPr>
        <w:t>الأنظمة الذكية في مجالات متعددة</w:t>
      </w:r>
      <w:r w:rsidRPr="00991EEB">
        <w:rPr>
          <w:rFonts w:ascii="Sakkal Majalla" w:hAnsi="Sakkal Majalla" w:cs="Sakkal Majalla"/>
          <w:sz w:val="32"/>
          <w:szCs w:val="32"/>
          <w:rtl/>
          <w:lang w:bidi="ar-EG"/>
        </w:rPr>
        <w:t xml:space="preserve"> برزت معها تحديات قانونية معقدة تتعلق بتحديد المسؤولية المدنية عن الأفعال الصادرة عن هذه الأنظمة، خصوصاً في مجال الجرائم الإلكترونية التي أصبحت تتخذ أشكالاً جديدة تتجاوز</w:t>
      </w:r>
      <w:r w:rsidR="00325053" w:rsidRPr="00991EEB">
        <w:rPr>
          <w:rFonts w:ascii="Sakkal Majalla" w:hAnsi="Sakkal Majalla" w:cs="Sakkal Majalla"/>
          <w:sz w:val="32"/>
          <w:szCs w:val="32"/>
          <w:rtl/>
          <w:lang w:bidi="ar-EG"/>
        </w:rPr>
        <w:t xml:space="preserve"> القدرات البشرية في بعض الأحيان،</w:t>
      </w:r>
      <w:r w:rsidRPr="00991EEB">
        <w:rPr>
          <w:rFonts w:ascii="Sakkal Majalla" w:hAnsi="Sakkal Majalla" w:cs="Sakkal Majalla"/>
          <w:sz w:val="32"/>
          <w:szCs w:val="32"/>
          <w:rtl/>
          <w:lang w:bidi="ar-EG"/>
        </w:rPr>
        <w:t xml:space="preserve"> فالتطور الهائل في تقنيات الذكاء الاصطناعي جعل من الممكن استخدام البرمجيات الذكية في تنفيذ أفعال إجرامية بشكل دقيق ومنظم، كاختراق الأنظمة البنكية، أو تزييف البيانات، أو انتحال الهويات الرقمية، مما يثير تساؤلات جوهرية حول من يتحمل تبعة هذه الأفعال من منظور قانوني</w:t>
      </w:r>
      <w:r w:rsidRPr="00991EEB">
        <w:rPr>
          <w:rFonts w:ascii="Sakkal Majalla" w:hAnsi="Sakkal Majalla" w:cs="Sakkal Majalla"/>
          <w:sz w:val="32"/>
          <w:szCs w:val="32"/>
          <w:lang w:bidi="ar-EG"/>
        </w:rPr>
        <w:t>.</w:t>
      </w:r>
      <w:r w:rsidR="00325053" w:rsidRPr="00991EEB">
        <w:rPr>
          <w:rStyle w:val="a4"/>
          <w:rFonts w:ascii="Sakkal Majalla" w:hAnsi="Sakkal Majalla" w:cs="Sakkal Majalla"/>
          <w:sz w:val="32"/>
          <w:szCs w:val="32"/>
          <w:lang w:bidi="ar-EG"/>
        </w:rPr>
        <w:footnoteReference w:id="1"/>
      </w:r>
    </w:p>
    <w:p w14:paraId="6C7BD1FE" w14:textId="77777777" w:rsidR="00C32203" w:rsidRPr="00991EEB" w:rsidRDefault="005A124C" w:rsidP="005A124C">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w:t>
      </w:r>
      <w:r w:rsidR="00C32203" w:rsidRPr="00991EEB">
        <w:rPr>
          <w:rFonts w:ascii="Sakkal Majalla" w:hAnsi="Sakkal Majalla" w:cs="Sakkal Majalla"/>
          <w:sz w:val="32"/>
          <w:szCs w:val="32"/>
          <w:rtl/>
          <w:lang w:bidi="ar-EG"/>
        </w:rPr>
        <w:t xml:space="preserve">لقد أوجدت هذه التطورات فجوة واضحة بين ما هو تقني وما هو قانوني، إذ </w:t>
      </w:r>
      <w:r w:rsidRPr="00991EEB">
        <w:rPr>
          <w:rFonts w:ascii="Sakkal Majalla" w:hAnsi="Sakkal Majalla" w:cs="Sakkal Majalla"/>
          <w:sz w:val="32"/>
          <w:szCs w:val="32"/>
          <w:rtl/>
          <w:lang w:bidi="ar-EG"/>
        </w:rPr>
        <w:t>أن</w:t>
      </w:r>
      <w:r w:rsidR="00C32203" w:rsidRPr="00991EEB">
        <w:rPr>
          <w:rFonts w:ascii="Sakkal Majalla" w:hAnsi="Sakkal Majalla" w:cs="Sakkal Majalla"/>
          <w:sz w:val="32"/>
          <w:szCs w:val="32"/>
          <w:rtl/>
          <w:lang w:bidi="ar-EG"/>
        </w:rPr>
        <w:t xml:space="preserve"> القواعد التقليدية للمسؤولية المدنية التي تقوم على إثبات الخطأ والضرر وعلاقة السببية قد لا تكون كافية للتعامل مع الأفعال التي تصدر عن أنظمة تعمل بق</w:t>
      </w:r>
      <w:r w:rsidRPr="00991EEB">
        <w:rPr>
          <w:rFonts w:ascii="Sakkal Majalla" w:hAnsi="Sakkal Majalla" w:cs="Sakkal Majalla"/>
          <w:sz w:val="32"/>
          <w:szCs w:val="32"/>
          <w:rtl/>
          <w:lang w:bidi="ar-EG"/>
        </w:rPr>
        <w:t>در كبير من الاستقلالية والذاتية،</w:t>
      </w:r>
      <w:r w:rsidR="00C32203" w:rsidRPr="00991EEB">
        <w:rPr>
          <w:rFonts w:ascii="Sakkal Majalla" w:hAnsi="Sakkal Majalla" w:cs="Sakkal Majalla"/>
          <w:sz w:val="32"/>
          <w:szCs w:val="32"/>
          <w:rtl/>
          <w:lang w:bidi="ar-EG"/>
        </w:rPr>
        <w:t xml:space="preserve"> فالذكاء الاصطناعي اليوم لا يقتصر على التنفيذ الميكانيكي للأوامر، بل يمتلك القدرة على التعلم واتخاذ القرار والتفاعل مع البيئة المحيطة، وهو ما يجعل من الصعب أحياناً تحديد ما إذا كان الخطأ ناجماً عن الإنسان المشغل للنظام، أم عن المبرمج، أم عن النظام ذاته الذي يعمل وفق خوارزميات معقدة قادرة على </w:t>
      </w:r>
      <w:r w:rsidRPr="00991EEB">
        <w:rPr>
          <w:rFonts w:ascii="Sakkal Majalla" w:hAnsi="Sakkal Majalla" w:cs="Sakkal Majalla"/>
          <w:sz w:val="32"/>
          <w:szCs w:val="32"/>
          <w:rtl/>
          <w:lang w:bidi="ar-EG"/>
        </w:rPr>
        <w:t>تطوير نفسها دون تدخل بشري مباشر،</w:t>
      </w:r>
      <w:r w:rsidR="00C32203" w:rsidRPr="00991EEB">
        <w:rPr>
          <w:rFonts w:ascii="Sakkal Majalla" w:hAnsi="Sakkal Majalla" w:cs="Sakkal Majalla"/>
          <w:sz w:val="32"/>
          <w:szCs w:val="32"/>
          <w:rtl/>
          <w:lang w:bidi="ar-EG"/>
        </w:rPr>
        <w:t xml:space="preserve"> ومن هنا </w:t>
      </w:r>
      <w:r w:rsidR="00C32203" w:rsidRPr="00991EEB">
        <w:rPr>
          <w:rFonts w:ascii="Sakkal Majalla" w:hAnsi="Sakkal Majalla" w:cs="Sakkal Majalla"/>
          <w:sz w:val="32"/>
          <w:szCs w:val="32"/>
          <w:rtl/>
          <w:lang w:bidi="ar-EG"/>
        </w:rPr>
        <w:lastRenderedPageBreak/>
        <w:t>تنشأ إشكالية قانونية جوهرية تتعلق بمدى إمكانية مساءلة النظام الذكي عن أفعاله، أو إسناد المسؤولية إلى من قام بإنشائه أو استخدامه</w:t>
      </w:r>
      <w:r w:rsidR="00C32203" w:rsidRPr="00991EEB">
        <w:rPr>
          <w:rFonts w:ascii="Sakkal Majalla" w:hAnsi="Sakkal Majalla" w:cs="Sakkal Majalla"/>
          <w:sz w:val="32"/>
          <w:szCs w:val="32"/>
          <w:lang w:bidi="ar-EG"/>
        </w:rPr>
        <w:t>.</w:t>
      </w:r>
      <w:r w:rsidRPr="00991EEB">
        <w:rPr>
          <w:rStyle w:val="a4"/>
          <w:rFonts w:ascii="Sakkal Majalla" w:hAnsi="Sakkal Majalla" w:cs="Sakkal Majalla"/>
          <w:sz w:val="32"/>
          <w:szCs w:val="32"/>
          <w:lang w:bidi="ar-EG"/>
        </w:rPr>
        <w:footnoteReference w:id="2"/>
      </w:r>
    </w:p>
    <w:p w14:paraId="124BB437" w14:textId="77777777" w:rsidR="00C32203" w:rsidRPr="00991EEB" w:rsidRDefault="00C32203" w:rsidP="005A124C">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ومن الم</w:t>
      </w:r>
      <w:r w:rsidR="005A124C" w:rsidRPr="00991EEB">
        <w:rPr>
          <w:rFonts w:ascii="Sakkal Majalla" w:hAnsi="Sakkal Majalla" w:cs="Sakkal Majalla"/>
          <w:sz w:val="32"/>
          <w:szCs w:val="32"/>
          <w:rtl/>
          <w:lang w:bidi="ar-EG"/>
        </w:rPr>
        <w:t>لاحظ أن النظام القانوني السعودي</w:t>
      </w:r>
      <w:r w:rsidRPr="00991EEB">
        <w:rPr>
          <w:rFonts w:ascii="Sakkal Majalla" w:hAnsi="Sakkal Majalla" w:cs="Sakkal Majalla"/>
          <w:sz w:val="32"/>
          <w:szCs w:val="32"/>
          <w:rtl/>
          <w:lang w:bidi="ar-EG"/>
        </w:rPr>
        <w:t xml:space="preserve"> بالرغم من حداثة تعامله مع قضايا الذكاء الاصطناعي، يمتلك قاعدة فقهية متينة يمكن الانط</w:t>
      </w:r>
      <w:r w:rsidR="005A124C" w:rsidRPr="00991EEB">
        <w:rPr>
          <w:rFonts w:ascii="Sakkal Majalla" w:hAnsi="Sakkal Majalla" w:cs="Sakkal Majalla"/>
          <w:sz w:val="32"/>
          <w:szCs w:val="32"/>
          <w:rtl/>
          <w:lang w:bidi="ar-EG"/>
        </w:rPr>
        <w:t>لاق منها لمعالجة هذه الإشكاليات،</w:t>
      </w:r>
      <w:r w:rsidRPr="00991EEB">
        <w:rPr>
          <w:rFonts w:ascii="Sakkal Majalla" w:hAnsi="Sakkal Majalla" w:cs="Sakkal Majalla"/>
          <w:sz w:val="32"/>
          <w:szCs w:val="32"/>
          <w:rtl/>
          <w:lang w:bidi="ar-EG"/>
        </w:rPr>
        <w:t xml:space="preserve"> فالقواعد العامة في الشريعة الإسلامية – التي يقوم عليها التشريع السعودي – تنص على مبدأ الضمان في كل ضرر يحدث بفعل الإنسان أو بسبب ما يملكه أو يستخدمه، مما يعني إمكانية تكييف الأفعال الناشئة عن الأنظمة الذكية ضمن هذا الإطار</w:t>
      </w:r>
      <w:r w:rsidR="005A124C" w:rsidRPr="00991EEB">
        <w:rPr>
          <w:rFonts w:ascii="Sakkal Majalla" w:hAnsi="Sakkal Majalla" w:cs="Sakkal Majalla"/>
          <w:sz w:val="32"/>
          <w:szCs w:val="32"/>
          <w:rtl/>
          <w:lang w:bidi="ar-EG"/>
        </w:rPr>
        <w:t xml:space="preserve"> </w:t>
      </w:r>
      <w:r w:rsidRPr="00991EEB">
        <w:rPr>
          <w:rFonts w:ascii="Sakkal Majalla" w:hAnsi="Sakkal Majalla" w:cs="Sakkal Majalla"/>
          <w:sz w:val="32"/>
          <w:szCs w:val="32"/>
          <w:rtl/>
          <w:lang w:bidi="ar-EG"/>
        </w:rPr>
        <w:t>طالما أن هن</w:t>
      </w:r>
      <w:r w:rsidR="005A124C" w:rsidRPr="00991EEB">
        <w:rPr>
          <w:rFonts w:ascii="Sakkal Majalla" w:hAnsi="Sakkal Majalla" w:cs="Sakkal Majalla"/>
          <w:sz w:val="32"/>
          <w:szCs w:val="32"/>
          <w:rtl/>
          <w:lang w:bidi="ar-EG"/>
        </w:rPr>
        <w:t>اك علاقة سببية بين الفعل والضرر، ومع ذلك</w:t>
      </w:r>
      <w:r w:rsidRPr="00991EEB">
        <w:rPr>
          <w:rFonts w:ascii="Sakkal Majalla" w:hAnsi="Sakkal Majalla" w:cs="Sakkal Majalla"/>
          <w:sz w:val="32"/>
          <w:szCs w:val="32"/>
          <w:rtl/>
          <w:lang w:bidi="ar-EG"/>
        </w:rPr>
        <w:t xml:space="preserve"> يظل التحدي في تحديد طبيعة العلاقة </w:t>
      </w:r>
      <w:r w:rsidR="005A124C" w:rsidRPr="00991EEB">
        <w:rPr>
          <w:rFonts w:ascii="Sakkal Majalla" w:hAnsi="Sakkal Majalla" w:cs="Sakkal Majalla"/>
          <w:sz w:val="32"/>
          <w:szCs w:val="32"/>
          <w:rtl/>
          <w:lang w:bidi="ar-EG"/>
        </w:rPr>
        <w:t>بين الفاعل البشري والنظام الآلي</w:t>
      </w:r>
      <w:r w:rsidRPr="00991EEB">
        <w:rPr>
          <w:rFonts w:ascii="Sakkal Majalla" w:hAnsi="Sakkal Majalla" w:cs="Sakkal Majalla"/>
          <w:sz w:val="32"/>
          <w:szCs w:val="32"/>
          <w:rtl/>
          <w:lang w:bidi="ar-EG"/>
        </w:rPr>
        <w:t xml:space="preserve"> خاصة في الحالات التي يكون فيها الذكاء الاصطناعي قادراً على اتخاذ قرارات مستقلة تماماً، كما هو الحال في الجرائم الإلكترونية المعقدة التي تُنفذ من خلال برمجيات ذاتية التشغيل تعمل دون إشراف مباشر</w:t>
      </w:r>
      <w:r w:rsidRPr="00991EEB">
        <w:rPr>
          <w:rFonts w:ascii="Sakkal Majalla" w:hAnsi="Sakkal Majalla" w:cs="Sakkal Majalla"/>
          <w:sz w:val="32"/>
          <w:szCs w:val="32"/>
          <w:lang w:bidi="ar-EG"/>
        </w:rPr>
        <w:t>.</w:t>
      </w:r>
      <w:r w:rsidR="007A0F08" w:rsidRPr="00991EEB">
        <w:rPr>
          <w:rStyle w:val="a4"/>
          <w:rFonts w:ascii="Sakkal Majalla" w:hAnsi="Sakkal Majalla" w:cs="Sakkal Majalla"/>
          <w:sz w:val="32"/>
          <w:szCs w:val="32"/>
          <w:lang w:bidi="ar-EG"/>
        </w:rPr>
        <w:footnoteReference w:id="3"/>
      </w:r>
    </w:p>
    <w:p w14:paraId="1AC5DBD3" w14:textId="77777777" w:rsidR="00C32203" w:rsidRPr="00991EEB" w:rsidRDefault="005A124C" w:rsidP="005A124C">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وقد دفع هذا الواقع عدد</w:t>
      </w:r>
      <w:r w:rsidR="00C32203" w:rsidRPr="00991EEB">
        <w:rPr>
          <w:rFonts w:ascii="Sakkal Majalla" w:hAnsi="Sakkal Majalla" w:cs="Sakkal Majalla"/>
          <w:sz w:val="32"/>
          <w:szCs w:val="32"/>
          <w:rtl/>
          <w:lang w:bidi="ar-EG"/>
        </w:rPr>
        <w:t xml:space="preserve"> من الفقهاء والمشرعين في العالم إلى طرح أفكار جديدة تتعلق بضرورة إعادة النظر في مفهوم "الشخصية القا</w:t>
      </w:r>
      <w:r w:rsidRPr="00991EEB">
        <w:rPr>
          <w:rFonts w:ascii="Sakkal Majalla" w:hAnsi="Sakkal Majalla" w:cs="Sakkal Majalla"/>
          <w:sz w:val="32"/>
          <w:szCs w:val="32"/>
          <w:rtl/>
          <w:lang w:bidi="ar-EG"/>
        </w:rPr>
        <w:t>نونية" وربطها بالذكاء الاصطناعي،</w:t>
      </w:r>
      <w:r w:rsidR="00C32203" w:rsidRPr="00991EEB">
        <w:rPr>
          <w:rFonts w:ascii="Sakkal Majalla" w:hAnsi="Sakkal Majalla" w:cs="Sakkal Majalla"/>
          <w:sz w:val="32"/>
          <w:szCs w:val="32"/>
          <w:rtl/>
          <w:lang w:bidi="ar-EG"/>
        </w:rPr>
        <w:t xml:space="preserve"> فهناك من يرى أن تطور الأنظمة الذكية قد يقود مستقبلاً إ</w:t>
      </w:r>
      <w:r w:rsidRPr="00991EEB">
        <w:rPr>
          <w:rFonts w:ascii="Sakkal Majalla" w:hAnsi="Sakkal Majalla" w:cs="Sakkal Majalla"/>
          <w:sz w:val="32"/>
          <w:szCs w:val="32"/>
          <w:rtl/>
          <w:lang w:bidi="ar-EG"/>
        </w:rPr>
        <w:t>لى الاعتراف لها بوضع قانوني خاص</w:t>
      </w:r>
      <w:r w:rsidR="00C32203" w:rsidRPr="00991EEB">
        <w:rPr>
          <w:rFonts w:ascii="Sakkal Majalla" w:hAnsi="Sakkal Majalla" w:cs="Sakkal Majalla"/>
          <w:sz w:val="32"/>
          <w:szCs w:val="32"/>
          <w:rtl/>
          <w:lang w:bidi="ar-EG"/>
        </w:rPr>
        <w:t xml:space="preserve"> شبيه بما يُعرف في بعض التشريعات بـ"الشخصية الإلكترونية"، بحيث يمكن </w:t>
      </w:r>
      <w:r w:rsidRPr="00991EEB">
        <w:rPr>
          <w:rFonts w:ascii="Sakkal Majalla" w:hAnsi="Sakkal Majalla" w:cs="Sakkal Majalla"/>
          <w:sz w:val="32"/>
          <w:szCs w:val="32"/>
          <w:rtl/>
          <w:lang w:bidi="ar-EG"/>
        </w:rPr>
        <w:t>مساءلتها عن الأضرار التي تسببها،</w:t>
      </w:r>
      <w:r w:rsidR="00C32203" w:rsidRPr="00991EEB">
        <w:rPr>
          <w:rFonts w:ascii="Sakkal Majalla" w:hAnsi="Sakkal Majalla" w:cs="Sakkal Majalla"/>
          <w:sz w:val="32"/>
          <w:szCs w:val="32"/>
          <w:rtl/>
          <w:lang w:bidi="ar-EG"/>
        </w:rPr>
        <w:t xml:space="preserve"> ويست</w:t>
      </w:r>
      <w:r w:rsidRPr="00991EEB">
        <w:rPr>
          <w:rFonts w:ascii="Sakkal Majalla" w:hAnsi="Sakkal Majalla" w:cs="Sakkal Majalla"/>
          <w:sz w:val="32"/>
          <w:szCs w:val="32"/>
          <w:rtl/>
          <w:lang w:bidi="ar-EG"/>
        </w:rPr>
        <w:t>دل أصحاب هذا الاتجاه بعدة شواهد</w:t>
      </w:r>
      <w:r w:rsidR="00C32203" w:rsidRPr="00991EEB">
        <w:rPr>
          <w:rFonts w:ascii="Sakkal Majalla" w:hAnsi="Sakkal Majalla" w:cs="Sakkal Majalla"/>
          <w:sz w:val="32"/>
          <w:szCs w:val="32"/>
          <w:rtl/>
          <w:lang w:bidi="ar-EG"/>
        </w:rPr>
        <w:t xml:space="preserve"> من أبرزها منح المملكة العربية السعودية في عام 2017 الجنسية للروبوت "صوفيا"، وهو حدث رمزي فتح الباب واسعاً أمام التفكير في مدى إمكان</w:t>
      </w:r>
      <w:r w:rsidRPr="00991EEB">
        <w:rPr>
          <w:rFonts w:ascii="Sakkal Majalla" w:hAnsi="Sakkal Majalla" w:cs="Sakkal Majalla"/>
          <w:sz w:val="32"/>
          <w:szCs w:val="32"/>
          <w:rtl/>
          <w:lang w:bidi="ar-EG"/>
        </w:rPr>
        <w:t>ية اعتبار الأنظمة الذكية أطراف قانونية في المستقبل،</w:t>
      </w:r>
      <w:r w:rsidR="00C32203" w:rsidRPr="00991EEB">
        <w:rPr>
          <w:rFonts w:ascii="Sakkal Majalla" w:hAnsi="Sakkal Majalla" w:cs="Sakkal Majalla"/>
          <w:sz w:val="32"/>
          <w:szCs w:val="32"/>
          <w:rtl/>
          <w:lang w:bidi="ar-EG"/>
        </w:rPr>
        <w:t xml:space="preserve"> </w:t>
      </w:r>
      <w:r w:rsidRPr="00991EEB">
        <w:rPr>
          <w:rFonts w:ascii="Sakkal Majalla" w:hAnsi="Sakkal Majalla" w:cs="Sakkal Majalla"/>
          <w:sz w:val="32"/>
          <w:szCs w:val="32"/>
          <w:rtl/>
          <w:lang w:bidi="ar-EG"/>
        </w:rPr>
        <w:t xml:space="preserve">وطرح فكرة منح الروبوتات وضع </w:t>
      </w:r>
      <w:r w:rsidRPr="00991EEB">
        <w:rPr>
          <w:rFonts w:ascii="Sakkal Majalla" w:hAnsi="Sakkal Majalla" w:cs="Sakkal Majalla"/>
          <w:sz w:val="32"/>
          <w:szCs w:val="32"/>
          <w:rtl/>
          <w:lang w:bidi="ar-EG"/>
        </w:rPr>
        <w:lastRenderedPageBreak/>
        <w:t>قانوني خاص</w:t>
      </w:r>
      <w:r w:rsidR="00C32203" w:rsidRPr="00991EEB">
        <w:rPr>
          <w:rFonts w:ascii="Sakkal Majalla" w:hAnsi="Sakkal Majalla" w:cs="Sakkal Majalla"/>
          <w:sz w:val="32"/>
          <w:szCs w:val="32"/>
          <w:rtl/>
          <w:lang w:bidi="ar-EG"/>
        </w:rPr>
        <w:t xml:space="preserve"> يسمح بمساءلت</w:t>
      </w:r>
      <w:r w:rsidRPr="00991EEB">
        <w:rPr>
          <w:rFonts w:ascii="Sakkal Majalla" w:hAnsi="Sakkal Majalla" w:cs="Sakkal Majalla"/>
          <w:sz w:val="32"/>
          <w:szCs w:val="32"/>
          <w:rtl/>
          <w:lang w:bidi="ar-EG"/>
        </w:rPr>
        <w:t>ها في حال ارتكابها للجرائم والأفعال الضارة،</w:t>
      </w:r>
      <w:r w:rsidR="00C32203" w:rsidRPr="00991EEB">
        <w:rPr>
          <w:rFonts w:ascii="Sakkal Majalla" w:hAnsi="Sakkal Majalla" w:cs="Sakkal Majalla"/>
          <w:sz w:val="32"/>
          <w:szCs w:val="32"/>
          <w:rtl/>
          <w:lang w:bidi="ar-EG"/>
        </w:rPr>
        <w:t xml:space="preserve"> وعلى الرغم من أن ه</w:t>
      </w:r>
      <w:r w:rsidRPr="00991EEB">
        <w:rPr>
          <w:rFonts w:ascii="Sakkal Majalla" w:hAnsi="Sakkal Majalla" w:cs="Sakkal Majalla"/>
          <w:sz w:val="32"/>
          <w:szCs w:val="32"/>
          <w:rtl/>
          <w:lang w:bidi="ar-EG"/>
        </w:rPr>
        <w:t>ذه الفكرة لا تزال مثار جدل واسع إلا أنها تعكس إدراك متنامي</w:t>
      </w:r>
      <w:r w:rsidR="00C32203" w:rsidRPr="00991EEB">
        <w:rPr>
          <w:rFonts w:ascii="Sakkal Majalla" w:hAnsi="Sakkal Majalla" w:cs="Sakkal Majalla"/>
          <w:sz w:val="32"/>
          <w:szCs w:val="32"/>
          <w:rtl/>
          <w:lang w:bidi="ar-EG"/>
        </w:rPr>
        <w:t xml:space="preserve"> بضرورة تطوير المفاهيم القانونية التقليدية لمواكبة التطور التكنولوجي الهائل.</w:t>
      </w:r>
      <w:r w:rsidRPr="00991EEB">
        <w:rPr>
          <w:rStyle w:val="a4"/>
          <w:rFonts w:ascii="Sakkal Majalla" w:hAnsi="Sakkal Majalla" w:cs="Sakkal Majalla"/>
          <w:sz w:val="32"/>
          <w:szCs w:val="32"/>
          <w:rtl/>
          <w:lang w:bidi="ar-EG"/>
        </w:rPr>
        <w:footnoteReference w:id="4"/>
      </w:r>
    </w:p>
    <w:p w14:paraId="0E679DBF" w14:textId="77777777" w:rsidR="0004770A" w:rsidRPr="00991EEB" w:rsidRDefault="0004770A" w:rsidP="008169EA">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يتضح أن التطور السريع لتقنيات الذكاء الاصطناعي وارتفاع قدراتها على اتخاذ القرارات المستقلة يثير تساؤلات قانونية حقيقية حول من يتحمل تبعات</w:t>
      </w:r>
      <w:r w:rsidR="00DB1C86" w:rsidRPr="00991EEB">
        <w:rPr>
          <w:rFonts w:ascii="Sakkal Majalla" w:hAnsi="Sakkal Majalla" w:cs="Sakkal Majalla"/>
          <w:sz w:val="32"/>
          <w:szCs w:val="32"/>
          <w:rtl/>
          <w:lang w:bidi="ar-EG"/>
        </w:rPr>
        <w:t xml:space="preserve"> الأفعال الصادرة عن هذه الأنظمة</w:t>
      </w:r>
      <w:r w:rsidRPr="00991EEB">
        <w:rPr>
          <w:rFonts w:ascii="Sakkal Majalla" w:hAnsi="Sakkal Majalla" w:cs="Sakkal Majalla"/>
          <w:sz w:val="32"/>
          <w:szCs w:val="32"/>
          <w:rtl/>
          <w:lang w:bidi="ar-EG"/>
        </w:rPr>
        <w:t xml:space="preserve"> خ</w:t>
      </w:r>
      <w:r w:rsidR="00DB1C86" w:rsidRPr="00991EEB">
        <w:rPr>
          <w:rFonts w:ascii="Sakkal Majalla" w:hAnsi="Sakkal Majalla" w:cs="Sakkal Majalla"/>
          <w:sz w:val="32"/>
          <w:szCs w:val="32"/>
          <w:rtl/>
          <w:lang w:bidi="ar-EG"/>
        </w:rPr>
        <w:t>اصة في سياق الجرائم الإلكترونية،</w:t>
      </w:r>
      <w:r w:rsidRPr="00991EEB">
        <w:rPr>
          <w:rFonts w:ascii="Sakkal Majalla" w:hAnsi="Sakkal Majalla" w:cs="Sakkal Majalla"/>
          <w:sz w:val="32"/>
          <w:szCs w:val="32"/>
          <w:rtl/>
          <w:lang w:bidi="ar-EG"/>
        </w:rPr>
        <w:t xml:space="preserve"> ومن هنا تنشأ إشكالية البحث الأساسية المتعلقة بإمكاني</w:t>
      </w:r>
      <w:r w:rsidR="008169EA" w:rsidRPr="00991EEB">
        <w:rPr>
          <w:rFonts w:ascii="Sakkal Majalla" w:hAnsi="Sakkal Majalla" w:cs="Sakkal Majalla"/>
          <w:sz w:val="32"/>
          <w:szCs w:val="32"/>
          <w:rtl/>
          <w:lang w:bidi="ar-EG"/>
        </w:rPr>
        <w:t>ة مساءلة الأنظمة الذكية قانونياً</w:t>
      </w:r>
      <w:r w:rsidRPr="00991EEB">
        <w:rPr>
          <w:rFonts w:ascii="Sakkal Majalla" w:hAnsi="Sakkal Majalla" w:cs="Sakkal Majalla"/>
          <w:sz w:val="32"/>
          <w:szCs w:val="32"/>
          <w:rtl/>
          <w:lang w:bidi="ar-EG"/>
        </w:rPr>
        <w:t>، أو تحديد المسؤولي</w:t>
      </w:r>
      <w:r w:rsidR="008169EA" w:rsidRPr="00991EEB">
        <w:rPr>
          <w:rFonts w:ascii="Sakkal Majalla" w:hAnsi="Sakkal Majalla" w:cs="Sakkal Majalla"/>
          <w:sz w:val="32"/>
          <w:szCs w:val="32"/>
          <w:rtl/>
          <w:lang w:bidi="ar-EG"/>
        </w:rPr>
        <w:t>ة على الإنسان المشغل أو المبرمج،</w:t>
      </w:r>
      <w:r w:rsidRPr="00991EEB">
        <w:rPr>
          <w:rFonts w:ascii="Sakkal Majalla" w:hAnsi="Sakkal Majalla" w:cs="Sakkal Majalla"/>
          <w:sz w:val="32"/>
          <w:szCs w:val="32"/>
          <w:rtl/>
          <w:lang w:bidi="ar-EG"/>
        </w:rPr>
        <w:t xml:space="preserve"> ويهدف هذا البحث بشكل خاص إلى دراسة المسؤولية المدنية الناشئة عن الأفعال التي تصدر عن </w:t>
      </w:r>
      <w:r w:rsidR="008169EA" w:rsidRPr="00991EEB">
        <w:rPr>
          <w:rFonts w:ascii="Sakkal Majalla" w:hAnsi="Sakkal Majalla" w:cs="Sakkal Majalla"/>
          <w:sz w:val="32"/>
          <w:szCs w:val="32"/>
          <w:rtl/>
          <w:lang w:bidi="ar-EG"/>
        </w:rPr>
        <w:t>الذكاء الاصطناعي</w:t>
      </w:r>
      <w:r w:rsidRPr="00991EEB">
        <w:rPr>
          <w:rFonts w:ascii="Sakkal Majalla" w:hAnsi="Sakkal Majalla" w:cs="Sakkal Majalla"/>
          <w:sz w:val="32"/>
          <w:szCs w:val="32"/>
          <w:rtl/>
          <w:lang w:bidi="ar-EG"/>
        </w:rPr>
        <w:t xml:space="preserve"> في محاولة لتحديد أطر قانونية مناسبة تتماشى مع الواقع التكنولوجي الحديث.</w:t>
      </w:r>
    </w:p>
    <w:p w14:paraId="381B5B44" w14:textId="77777777" w:rsidR="00502554" w:rsidRPr="00991EEB" w:rsidRDefault="00502554" w:rsidP="00502554">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أولاً أهمية البحث:</w:t>
      </w:r>
    </w:p>
    <w:p w14:paraId="0C88FFFF" w14:textId="77777777" w:rsidR="00502554" w:rsidRPr="00991EEB" w:rsidRDefault="00502554" w:rsidP="00502554">
      <w:pPr>
        <w:pStyle w:val="a5"/>
        <w:numPr>
          <w:ilvl w:val="0"/>
          <w:numId w:val="3"/>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العلمية للبحث:</w:t>
      </w:r>
    </w:p>
    <w:p w14:paraId="7ED18744" w14:textId="77777777" w:rsidR="00502554" w:rsidRPr="00991EEB" w:rsidRDefault="00502554" w:rsidP="004636EC">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تنبع الأهمية العلمية </w:t>
      </w:r>
      <w:r w:rsidR="004636EC" w:rsidRPr="00991EEB">
        <w:rPr>
          <w:rFonts w:ascii="Sakkal Majalla" w:hAnsi="Sakkal Majalla" w:cs="Sakkal Majalla"/>
          <w:sz w:val="32"/>
          <w:szCs w:val="32"/>
          <w:rtl/>
          <w:lang w:bidi="ar-EG"/>
        </w:rPr>
        <w:t>للبحث من كونه يتناول موضوع حديث ومعقد</w:t>
      </w:r>
      <w:r w:rsidRPr="00991EEB">
        <w:rPr>
          <w:rFonts w:ascii="Sakkal Majalla" w:hAnsi="Sakkal Majalla" w:cs="Sakkal Majalla"/>
          <w:sz w:val="32"/>
          <w:szCs w:val="32"/>
          <w:rtl/>
          <w:lang w:bidi="ar-EG"/>
        </w:rPr>
        <w:t xml:space="preserve"> يجمع بين القانون والتكنولوجيا، وهو المسؤولية المدنية الناشئة عن الجرائم الإلكترونية المرتكبة باستخدام الذكاء الاصطناعي، وهو مجال لا يزال في طور التكوين في الفقه القانوني</w:t>
      </w:r>
      <w:r w:rsidR="004636EC" w:rsidRPr="00991EEB">
        <w:rPr>
          <w:rFonts w:ascii="Sakkal Majalla" w:hAnsi="Sakkal Majalla" w:cs="Sakkal Majalla"/>
          <w:sz w:val="32"/>
          <w:szCs w:val="32"/>
          <w:rtl/>
          <w:lang w:bidi="ar-EG"/>
        </w:rPr>
        <w:t xml:space="preserve"> العربي والسعودي على وجه الخصوص،</w:t>
      </w:r>
      <w:r w:rsidRPr="00991EEB">
        <w:rPr>
          <w:rFonts w:ascii="Sakkal Majalla" w:hAnsi="Sakkal Majalla" w:cs="Sakkal Majalla"/>
          <w:sz w:val="32"/>
          <w:szCs w:val="32"/>
          <w:rtl/>
          <w:lang w:bidi="ar-EG"/>
        </w:rPr>
        <w:t xml:space="preserve"> </w:t>
      </w:r>
      <w:r w:rsidR="004636EC" w:rsidRPr="00991EEB">
        <w:rPr>
          <w:rFonts w:ascii="Sakkal Majalla" w:hAnsi="Sakkal Majalla" w:cs="Sakkal Majalla"/>
          <w:sz w:val="32"/>
          <w:szCs w:val="32"/>
          <w:rtl/>
          <w:lang w:bidi="ar-EG"/>
        </w:rPr>
        <w:t>و</w:t>
      </w:r>
      <w:r w:rsidRPr="00991EEB">
        <w:rPr>
          <w:rFonts w:ascii="Sakkal Majalla" w:hAnsi="Sakkal Majalla" w:cs="Sakkal Majalla"/>
          <w:sz w:val="32"/>
          <w:szCs w:val="32"/>
          <w:rtl/>
          <w:lang w:bidi="ar-EG"/>
        </w:rPr>
        <w:t>يسهم هذا البحث في إثراء المكتبة القانونية بدراسة تأصيلية تحليلية تسعى إلى توضيح الأسس النظرية التي يمكن الاستناد إليها في تكييف الأفعال الصادرة عن الأنظمة الذكية، وبيان مدى انطباق قواعد ال</w:t>
      </w:r>
      <w:r w:rsidR="004636EC" w:rsidRPr="00991EEB">
        <w:rPr>
          <w:rFonts w:ascii="Sakkal Majalla" w:hAnsi="Sakkal Majalla" w:cs="Sakkal Majalla"/>
          <w:sz w:val="32"/>
          <w:szCs w:val="32"/>
          <w:rtl/>
          <w:lang w:bidi="ar-EG"/>
        </w:rPr>
        <w:t>مسؤولية المدنية التقليدية عليها،</w:t>
      </w:r>
      <w:r w:rsidRPr="00991EEB">
        <w:rPr>
          <w:rFonts w:ascii="Sakkal Majalla" w:hAnsi="Sakkal Majalla" w:cs="Sakkal Majalla"/>
          <w:sz w:val="32"/>
          <w:szCs w:val="32"/>
          <w:rtl/>
          <w:lang w:bidi="ar-EG"/>
        </w:rPr>
        <w:t xml:space="preserve"> كما يهدف </w:t>
      </w:r>
      <w:r w:rsidRPr="00991EEB">
        <w:rPr>
          <w:rFonts w:ascii="Sakkal Majalla" w:hAnsi="Sakkal Majalla" w:cs="Sakkal Majalla"/>
          <w:sz w:val="32"/>
          <w:szCs w:val="32"/>
          <w:rtl/>
          <w:lang w:bidi="ar-EG"/>
        </w:rPr>
        <w:lastRenderedPageBreak/>
        <w:t>إلى سد الفجوة المعرفية في الدراسات القانونية المتعلقة بالذكاء الاصطناعي، وإبراز التحديات التشريعية التي تواجه المشرّع السعودي في ظل التطور السريع للتقنيات الحديثة، مما يجعله مرجعاً أكاديمياً يمكن أن يستند إليه الباحثون والدارسون في المستقبل.</w:t>
      </w:r>
    </w:p>
    <w:p w14:paraId="473F2D4B" w14:textId="77777777" w:rsidR="004636EC" w:rsidRPr="00991EEB" w:rsidRDefault="004636EC" w:rsidP="004636EC">
      <w:pPr>
        <w:pStyle w:val="a5"/>
        <w:numPr>
          <w:ilvl w:val="0"/>
          <w:numId w:val="3"/>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العملية للبحث:</w:t>
      </w:r>
    </w:p>
    <w:p w14:paraId="5DB97E2C" w14:textId="77777777" w:rsidR="004636EC" w:rsidRPr="00991EEB" w:rsidRDefault="004636EC" w:rsidP="008F60BD">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تتجلى الأهمية العملية </w:t>
      </w:r>
      <w:r w:rsidR="008F60BD" w:rsidRPr="00991EEB">
        <w:rPr>
          <w:rFonts w:ascii="Sakkal Majalla" w:hAnsi="Sakkal Majalla" w:cs="Sakkal Majalla"/>
          <w:sz w:val="32"/>
          <w:szCs w:val="32"/>
          <w:rtl/>
          <w:lang w:bidi="ar-EG"/>
        </w:rPr>
        <w:t>ل</w:t>
      </w:r>
      <w:r w:rsidRPr="00991EEB">
        <w:rPr>
          <w:rFonts w:ascii="Sakkal Majalla" w:hAnsi="Sakkal Majalla" w:cs="Sakkal Majalla"/>
          <w:sz w:val="32"/>
          <w:szCs w:val="32"/>
          <w:rtl/>
          <w:lang w:bidi="ar-EG"/>
        </w:rPr>
        <w:t>لبحث في كونه يتناول قضية تمس الواقع العملي بشكل مباشر، خاصة مع تزايد استخدام تقنيات الذكاء الاصطناعي في المجالات الأمنية والتجارية والخدمي</w:t>
      </w:r>
      <w:r w:rsidR="008F60BD" w:rsidRPr="00991EEB">
        <w:rPr>
          <w:rFonts w:ascii="Sakkal Majalla" w:hAnsi="Sakkal Majalla" w:cs="Sakkal Majalla"/>
          <w:sz w:val="32"/>
          <w:szCs w:val="32"/>
          <w:rtl/>
          <w:lang w:bidi="ar-EG"/>
        </w:rPr>
        <w:t>ة داخل المملكة العربية السعودية،</w:t>
      </w:r>
      <w:r w:rsidRPr="00991EEB">
        <w:rPr>
          <w:rFonts w:ascii="Sakkal Majalla" w:hAnsi="Sakkal Majalla" w:cs="Sakkal Majalla"/>
          <w:sz w:val="32"/>
          <w:szCs w:val="32"/>
          <w:rtl/>
          <w:lang w:bidi="ar-EG"/>
        </w:rPr>
        <w:t xml:space="preserve"> إذ </w:t>
      </w:r>
      <w:r w:rsidR="008F60BD" w:rsidRPr="00991EEB">
        <w:rPr>
          <w:rFonts w:ascii="Sakkal Majalla" w:hAnsi="Sakkal Majalla" w:cs="Sakkal Majalla"/>
          <w:sz w:val="32"/>
          <w:szCs w:val="32"/>
          <w:rtl/>
          <w:lang w:bidi="ar-EG"/>
        </w:rPr>
        <w:t>أن</w:t>
      </w:r>
      <w:r w:rsidRPr="00991EEB">
        <w:rPr>
          <w:rFonts w:ascii="Sakkal Majalla" w:hAnsi="Sakkal Majalla" w:cs="Sakkal Majalla"/>
          <w:sz w:val="32"/>
          <w:szCs w:val="32"/>
          <w:rtl/>
          <w:lang w:bidi="ar-EG"/>
        </w:rPr>
        <w:t xml:space="preserve"> فهم أبعاد المسؤولية المدنية في الجرائم الإلكترونية يُسهم في تطوير السياسات القانونية والقضائية التي تنظم العلاقة بين الإنسان والنظام الذكي، ويعزز قدرة الجهات المختصة على تحديد المسؤوليات القانونية في ح</w:t>
      </w:r>
      <w:r w:rsidR="008F60BD" w:rsidRPr="00991EEB">
        <w:rPr>
          <w:rFonts w:ascii="Sakkal Majalla" w:hAnsi="Sakkal Majalla" w:cs="Sakkal Majalla"/>
          <w:sz w:val="32"/>
          <w:szCs w:val="32"/>
          <w:rtl/>
          <w:lang w:bidi="ar-EG"/>
        </w:rPr>
        <w:t>ال وقوع أضرار أو انتهاكات رقمية،</w:t>
      </w:r>
      <w:r w:rsidRPr="00991EEB">
        <w:rPr>
          <w:rFonts w:ascii="Sakkal Majalla" w:hAnsi="Sakkal Majalla" w:cs="Sakkal Majalla"/>
          <w:sz w:val="32"/>
          <w:szCs w:val="32"/>
          <w:rtl/>
          <w:lang w:bidi="ar-EG"/>
        </w:rPr>
        <w:t xml:space="preserve"> كما أن النتائج المتوقعة من هذا البحث يمكن أن تدعم جهود الهيئة السعودية للبيانات والذكاء الاصطناعي (سداي</w:t>
      </w:r>
      <w:r w:rsidR="008F60BD" w:rsidRPr="00991EEB">
        <w:rPr>
          <w:rFonts w:ascii="Sakkal Majalla" w:hAnsi="Sakkal Majalla" w:cs="Sakkal Majalla"/>
          <w:sz w:val="32"/>
          <w:szCs w:val="32"/>
          <w:rtl/>
          <w:lang w:bidi="ar-EG"/>
        </w:rPr>
        <w:t>ا)، والجهات التشريعية والقضائية</w:t>
      </w:r>
      <w:r w:rsidRPr="00991EEB">
        <w:rPr>
          <w:rFonts w:ascii="Sakkal Majalla" w:hAnsi="Sakkal Majalla" w:cs="Sakkal Majalla"/>
          <w:sz w:val="32"/>
          <w:szCs w:val="32"/>
          <w:rtl/>
          <w:lang w:bidi="ar-EG"/>
        </w:rPr>
        <w:t xml:space="preserve"> في وضع أطر قانونية متكاملة تضمن الاستخدام الآمن والمسؤول للتكنولوجيا المتقدمة، وتحقق التوازن بين الابتكار وحماية الحقوق.</w:t>
      </w:r>
    </w:p>
    <w:p w14:paraId="302A355A" w14:textId="77777777" w:rsidR="008F60BD" w:rsidRPr="00991EEB" w:rsidRDefault="009E5665" w:rsidP="008F60BD">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ثانياً أهداف البحث:</w:t>
      </w:r>
    </w:p>
    <w:p w14:paraId="5E4D8F97" w14:textId="77777777" w:rsidR="000F35BE" w:rsidRPr="00991EEB" w:rsidRDefault="000F35BE" w:rsidP="00C01764">
      <w:pPr>
        <w:pStyle w:val="a5"/>
        <w:numPr>
          <w:ilvl w:val="0"/>
          <w:numId w:val="4"/>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المفهوم والطبيعة القانونية للمسؤولية المدنية الناشئة عن الجرائم المرتكبة باستخدام الذكاء الاصطناعي في النظام السعودي.</w:t>
      </w:r>
    </w:p>
    <w:p w14:paraId="608A8226" w14:textId="77777777" w:rsidR="000F35BE" w:rsidRPr="00991EEB" w:rsidRDefault="000F35BE" w:rsidP="00C01764">
      <w:pPr>
        <w:pStyle w:val="a5"/>
        <w:numPr>
          <w:ilvl w:val="0"/>
          <w:numId w:val="4"/>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تحديد أبرز التحديات القانونية والمسائل الإشكالية المتعلقة بإثبات المسؤولية المدنية عن الجرائم المرتكبة بواسطة أنظمة الذكاء الاصطناعي.</w:t>
      </w:r>
    </w:p>
    <w:p w14:paraId="3CAFD408" w14:textId="77777777" w:rsidR="000F35BE" w:rsidRPr="00991EEB" w:rsidRDefault="000F35BE" w:rsidP="00C01764">
      <w:pPr>
        <w:pStyle w:val="a5"/>
        <w:numPr>
          <w:ilvl w:val="0"/>
          <w:numId w:val="4"/>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عرض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406603C8" w14:textId="77777777" w:rsidR="000F35BE" w:rsidRPr="00991EEB" w:rsidRDefault="000F35BE" w:rsidP="00C01764">
      <w:pPr>
        <w:pStyle w:val="a5"/>
        <w:numPr>
          <w:ilvl w:val="0"/>
          <w:numId w:val="4"/>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النصوص التشريعية والأنظمة السعودية ذات الصلة بالمسؤولية المدنية عن الجرائم المرتكبة باستخدام الذكاء الاصطناعي، وبيان مدى كفايتها لمواجهة هذه الجرائم الحديثة.</w:t>
      </w:r>
    </w:p>
    <w:p w14:paraId="24ABF76F" w14:textId="77777777" w:rsidR="00971C35" w:rsidRPr="00991EEB" w:rsidRDefault="000F35BE" w:rsidP="000F35BE">
      <w:pPr>
        <w:pStyle w:val="a5"/>
        <w:numPr>
          <w:ilvl w:val="0"/>
          <w:numId w:val="4"/>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مدى ملاءمة السياسات القانونية والتنظيمية الحالية في المملكة العربية السعودية للتعامل مع تحديات الذكاء الاصطناعي، وتحديد مجالات التطوير المحتملة لتعزيز الحماية القانونية للأفراد والمؤسسات.</w:t>
      </w:r>
    </w:p>
    <w:p w14:paraId="744026C0" w14:textId="77777777" w:rsidR="00A80993" w:rsidRPr="00991EEB" w:rsidRDefault="00971C35" w:rsidP="00467A02">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 xml:space="preserve">ثالثاً </w:t>
      </w:r>
      <w:r w:rsidR="00467A02" w:rsidRPr="00991EEB">
        <w:rPr>
          <w:rFonts w:ascii="Sakkal Majalla" w:hAnsi="Sakkal Majalla" w:cs="Sakkal Majalla"/>
          <w:b/>
          <w:bCs/>
          <w:sz w:val="32"/>
          <w:szCs w:val="32"/>
          <w:rtl/>
          <w:lang w:bidi="ar-EG"/>
        </w:rPr>
        <w:t>إشكالية</w:t>
      </w:r>
      <w:r w:rsidR="00F23411" w:rsidRPr="00991EEB">
        <w:rPr>
          <w:rFonts w:ascii="Sakkal Majalla" w:hAnsi="Sakkal Majalla" w:cs="Sakkal Majalla"/>
          <w:b/>
          <w:bCs/>
          <w:sz w:val="32"/>
          <w:szCs w:val="32"/>
          <w:rtl/>
          <w:lang w:bidi="ar-EG"/>
        </w:rPr>
        <w:t xml:space="preserve"> </w:t>
      </w:r>
      <w:r w:rsidR="00467A02" w:rsidRPr="00991EEB">
        <w:rPr>
          <w:rFonts w:ascii="Sakkal Majalla" w:hAnsi="Sakkal Majalla" w:cs="Sakkal Majalla"/>
          <w:b/>
          <w:bCs/>
          <w:sz w:val="32"/>
          <w:szCs w:val="32"/>
          <w:rtl/>
          <w:lang w:bidi="ar-EG"/>
        </w:rPr>
        <w:t>البحث</w:t>
      </w:r>
      <w:r w:rsidR="00F23411" w:rsidRPr="00991EEB">
        <w:rPr>
          <w:rFonts w:ascii="Sakkal Majalla" w:hAnsi="Sakkal Majalla" w:cs="Sakkal Majalla"/>
          <w:b/>
          <w:bCs/>
          <w:sz w:val="32"/>
          <w:szCs w:val="32"/>
          <w:rtl/>
          <w:lang w:bidi="ar-EG"/>
        </w:rPr>
        <w:t>:</w:t>
      </w:r>
    </w:p>
    <w:p w14:paraId="5C1B9440" w14:textId="77777777" w:rsidR="00F23411" w:rsidRPr="00991EEB" w:rsidRDefault="002571F6" w:rsidP="002571F6">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تتمثل إشكالية البحث في دراسة المسؤولية المدنية عن الأضرار الناتجة عن الجرائم الإلكترونية المرتكبة باستخدام تقنيات الذكاء الاصطناعي، وبيان مدى قدرة النصوص والأنظمة القانونية السعودية الحالية على استيعاب هذه الأفعال، لا سيما في الحالات التي يتصرف فيها النظام الذكي بشكل ذاتي دون تدخل مباشر من الإنسان، وتشير هذه الإشكالية إلى وجود فجوة واضحة في التشريع الحالي، إذ أن الأحكام التقليدية للمسؤولية المدنية لم تتناول بعد طبيعة العلاقة بين الفاعل البشري والنظام الذكي، وما إذا كان من الممكن إسناد المسؤولية للإنسان المشغل أو المبرمج، أو التفكير في أطر قانونية جديدة تتماشى مع التطورات التقنية الحديثة.</w:t>
      </w:r>
    </w:p>
    <w:p w14:paraId="291348DF" w14:textId="77777777" w:rsidR="006A105B" w:rsidRPr="00991EEB" w:rsidRDefault="005F094D" w:rsidP="006A105B">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رابعاً تساؤلات البحث:</w:t>
      </w:r>
    </w:p>
    <w:p w14:paraId="63DF62E2" w14:textId="77777777" w:rsidR="007D3005" w:rsidRPr="00991EEB" w:rsidRDefault="007D3005" w:rsidP="007D3005">
      <w:pPr>
        <w:pStyle w:val="a5"/>
        <w:numPr>
          <w:ilvl w:val="0"/>
          <w:numId w:val="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مدى إمكانية تطبيق أحكام المسؤولية المدنية في النظام القانوني السعودي على الأضرار الناتجة عن الجرائم المرتكبة باستخدام تقنيات الذكاء الاصطناعي؟</w:t>
      </w:r>
    </w:p>
    <w:p w14:paraId="0BE16A12" w14:textId="77777777" w:rsidR="007D3005" w:rsidRPr="00991EEB" w:rsidRDefault="007D3005" w:rsidP="003C31AE">
      <w:pPr>
        <w:pStyle w:val="a5"/>
        <w:numPr>
          <w:ilvl w:val="0"/>
          <w:numId w:val="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ما المف</w:t>
      </w:r>
      <w:r w:rsidR="003C31AE" w:rsidRPr="00991EEB">
        <w:rPr>
          <w:rFonts w:ascii="Sakkal Majalla" w:hAnsi="Sakkal Majalla" w:cs="Sakkal Majalla"/>
          <w:sz w:val="32"/>
          <w:szCs w:val="32"/>
          <w:rtl/>
          <w:lang w:bidi="ar-EG"/>
        </w:rPr>
        <w:t>اهيم الأساسية للمسؤولية المدنية؟</w:t>
      </w:r>
      <w:r w:rsidRPr="00991EEB">
        <w:rPr>
          <w:rFonts w:ascii="Sakkal Majalla" w:hAnsi="Sakkal Majalla" w:cs="Sakkal Majalla"/>
          <w:sz w:val="32"/>
          <w:szCs w:val="32"/>
          <w:rtl/>
          <w:lang w:bidi="ar-EG"/>
        </w:rPr>
        <w:t xml:space="preserve"> وكيف يمكن تطبيقها على الأفعال الضارة الصادرة عن الأنظمة الذكية في المملكة العربية السعودية؟</w:t>
      </w:r>
    </w:p>
    <w:p w14:paraId="61AEF294" w14:textId="77777777" w:rsidR="007D3005" w:rsidRPr="00991EEB" w:rsidRDefault="007D3005" w:rsidP="000F35BE">
      <w:pPr>
        <w:pStyle w:val="a5"/>
        <w:numPr>
          <w:ilvl w:val="0"/>
          <w:numId w:val="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أهم تطبيقات الذكاء الاصطناعي في القطاعات المختلفة بالمملكة ا</w:t>
      </w:r>
      <w:r w:rsidR="003C31AE" w:rsidRPr="00991EEB">
        <w:rPr>
          <w:rFonts w:ascii="Sakkal Majalla" w:hAnsi="Sakkal Majalla" w:cs="Sakkal Majalla"/>
          <w:sz w:val="32"/>
          <w:szCs w:val="32"/>
          <w:rtl/>
          <w:lang w:bidi="ar-EG"/>
        </w:rPr>
        <w:t>لعربية السعودية؟</w:t>
      </w:r>
      <w:r w:rsidRPr="00991EEB">
        <w:rPr>
          <w:rFonts w:ascii="Sakkal Majalla" w:hAnsi="Sakkal Majalla" w:cs="Sakkal Majalla"/>
          <w:sz w:val="32"/>
          <w:szCs w:val="32"/>
          <w:rtl/>
          <w:lang w:bidi="ar-EG"/>
        </w:rPr>
        <w:t xml:space="preserve"> وكيف يمكن أن تُستغل هذه التطبيقات في ارتكاب الجرائم التي تثير مسؤولية مدنية؟</w:t>
      </w:r>
    </w:p>
    <w:p w14:paraId="0F9D00E5" w14:textId="77777777" w:rsidR="007D3005" w:rsidRPr="00991EEB" w:rsidRDefault="007D3005" w:rsidP="000F35BE">
      <w:pPr>
        <w:pStyle w:val="a5"/>
        <w:numPr>
          <w:ilvl w:val="0"/>
          <w:numId w:val="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التحديات القانونية الرئيسة التي تواجه تطبيق أحكام المسؤولية المدنية على الجرائم المرتكبة باستخدام تقنيات الذكاء الاصطناعي في النظام السعودي؟</w:t>
      </w:r>
    </w:p>
    <w:p w14:paraId="1537FE9A" w14:textId="77777777" w:rsidR="007D3005" w:rsidRPr="00991EEB" w:rsidRDefault="007D3005" w:rsidP="000F35BE">
      <w:pPr>
        <w:pStyle w:val="a5"/>
        <w:numPr>
          <w:ilvl w:val="0"/>
          <w:numId w:val="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هل تناول المشرع السعودي في تشريعاته مسألة المسؤولية المدنية عن الجرائم الم</w:t>
      </w:r>
      <w:r w:rsidR="000F35BE" w:rsidRPr="00991EEB">
        <w:rPr>
          <w:rFonts w:ascii="Sakkal Majalla" w:hAnsi="Sakkal Majalla" w:cs="Sakkal Majalla"/>
          <w:sz w:val="32"/>
          <w:szCs w:val="32"/>
          <w:rtl/>
          <w:lang w:bidi="ar-EG"/>
        </w:rPr>
        <w:t>رتكبة باستخدام الذكاء الاصطناعي؟</w:t>
      </w:r>
      <w:r w:rsidRPr="00991EEB">
        <w:rPr>
          <w:rFonts w:ascii="Sakkal Majalla" w:hAnsi="Sakkal Majalla" w:cs="Sakkal Majalla"/>
          <w:sz w:val="32"/>
          <w:szCs w:val="32"/>
          <w:rtl/>
          <w:lang w:bidi="ar-EG"/>
        </w:rPr>
        <w:t xml:space="preserve"> وما مدى وجود تطبيقات عملية أو قضائية لهذه النصوص في الواقع السعودي؟</w:t>
      </w:r>
    </w:p>
    <w:p w14:paraId="202F1045" w14:textId="77777777" w:rsidR="00E06B7D" w:rsidRPr="00991EEB" w:rsidRDefault="007D3005" w:rsidP="007D3005">
      <w:pPr>
        <w:pStyle w:val="a5"/>
        <w:numPr>
          <w:ilvl w:val="0"/>
          <w:numId w:val="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كيف يمكن تحقيق التوازن بين التطور التقني ال</w:t>
      </w:r>
      <w:r w:rsidR="000F35BE" w:rsidRPr="00991EEB">
        <w:rPr>
          <w:rFonts w:ascii="Sakkal Majalla" w:hAnsi="Sakkal Majalla" w:cs="Sakkal Majalla"/>
          <w:sz w:val="32"/>
          <w:szCs w:val="32"/>
          <w:rtl/>
          <w:lang w:bidi="ar-EG"/>
        </w:rPr>
        <w:t>متسارع في مجال الذكاء الاصطناعي</w:t>
      </w:r>
      <w:r w:rsidRPr="00991EEB">
        <w:rPr>
          <w:rFonts w:ascii="Sakkal Majalla" w:hAnsi="Sakkal Majalla" w:cs="Sakkal Majalla"/>
          <w:sz w:val="32"/>
          <w:szCs w:val="32"/>
          <w:rtl/>
          <w:lang w:bidi="ar-EG"/>
        </w:rPr>
        <w:t xml:space="preserve"> ومتطلبات الحماية القانونية للأفراد والمؤسسات من الأضرار المدنية الناشئة عن هذه الجرائم في المملكة العربية السعودية؟</w:t>
      </w:r>
    </w:p>
    <w:p w14:paraId="488FF4FE" w14:textId="77777777" w:rsidR="00E06B7D" w:rsidRPr="00991EEB" w:rsidRDefault="00E06B7D" w:rsidP="00E06B7D">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خامساً منهجية البحث:</w:t>
      </w:r>
    </w:p>
    <w:p w14:paraId="55B68A84" w14:textId="77777777" w:rsidR="0044625A" w:rsidRPr="00991EEB" w:rsidRDefault="00F75C92" w:rsidP="0044625A">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سيعتمد الباحث</w:t>
      </w:r>
      <w:r w:rsidR="0044625A" w:rsidRPr="00991EEB">
        <w:rPr>
          <w:rFonts w:ascii="Sakkal Majalla" w:hAnsi="Sakkal Majalla" w:cs="Sakkal Majalla"/>
          <w:sz w:val="32"/>
          <w:szCs w:val="32"/>
          <w:rtl/>
          <w:lang w:bidi="ar-EG"/>
        </w:rPr>
        <w:t xml:space="preserve"> على المنهج الوصفي التحليلي باعتباره الأنسب لمعالجة موضوع المسؤولية المدنية الناشئة عن الجرائم الإلكترونية المرتكبة باستخدام الذكاء الاصطناعي في النظام السعودي، وذلك لما يتميز به هذا المنهج من قدرة على تحليل الظواهر القانونية وتفسيرها في ضوء النصوص النظ</w:t>
      </w:r>
      <w:r w:rsidRPr="00991EEB">
        <w:rPr>
          <w:rFonts w:ascii="Sakkal Majalla" w:hAnsi="Sakkal Majalla" w:cs="Sakkal Majalla"/>
          <w:sz w:val="32"/>
          <w:szCs w:val="32"/>
          <w:rtl/>
          <w:lang w:bidi="ar-EG"/>
        </w:rPr>
        <w:t>امية والمبادئ الفقهية ذات الصلة،</w:t>
      </w:r>
      <w:r w:rsidR="0044625A" w:rsidRPr="00991EEB">
        <w:rPr>
          <w:rFonts w:ascii="Sakkal Majalla" w:hAnsi="Sakkal Majalla" w:cs="Sakkal Majalla"/>
          <w:sz w:val="32"/>
          <w:szCs w:val="32"/>
          <w:rtl/>
          <w:lang w:bidi="ar-EG"/>
        </w:rPr>
        <w:t xml:space="preserve"> فقد تم توظيف هذا المنهج لوصف الإطار القانوني القائم في المملكة العربية السعودية، </w:t>
      </w:r>
      <w:r w:rsidRPr="00991EEB">
        <w:rPr>
          <w:rFonts w:ascii="Sakkal Majalla" w:hAnsi="Sakkal Majalla" w:cs="Sakkal Majalla"/>
          <w:sz w:val="32"/>
          <w:szCs w:val="32"/>
          <w:rtl/>
          <w:lang w:bidi="ar-EG"/>
        </w:rPr>
        <w:t>وتحليل نصوص الأنظمة ذات العلاقة</w:t>
      </w:r>
      <w:r w:rsidR="0044625A" w:rsidRPr="00991EEB">
        <w:rPr>
          <w:rFonts w:ascii="Sakkal Majalla" w:hAnsi="Sakkal Majalla" w:cs="Sakkal Majalla"/>
          <w:sz w:val="32"/>
          <w:szCs w:val="32"/>
          <w:rtl/>
          <w:lang w:bidi="ar-EG"/>
        </w:rPr>
        <w:t xml:space="preserve"> مثل</w:t>
      </w:r>
      <w:r w:rsidRPr="00991EEB">
        <w:rPr>
          <w:rFonts w:ascii="Sakkal Majalla" w:hAnsi="Sakkal Majalla" w:cs="Sakkal Majalla"/>
          <w:sz w:val="32"/>
          <w:szCs w:val="32"/>
          <w:rtl/>
          <w:lang w:bidi="ar-EG"/>
        </w:rPr>
        <w:t>؛</w:t>
      </w:r>
      <w:r w:rsidR="0044625A" w:rsidRPr="00991EEB">
        <w:rPr>
          <w:rFonts w:ascii="Sakkal Majalla" w:hAnsi="Sakkal Majalla" w:cs="Sakkal Majalla"/>
          <w:sz w:val="32"/>
          <w:szCs w:val="32"/>
          <w:rtl/>
          <w:lang w:bidi="ar-EG"/>
        </w:rPr>
        <w:t xml:space="preserve"> نظام مكافحة الجرائم المعلوماتية، ونظام البيانات والذكاء الاصطناعي، واستخلاص مدى كفايتها في تنظيم المسؤولية المدنية المترتبة على أفعال الذكاء الاصطناعي</w:t>
      </w:r>
      <w:r w:rsidR="0044625A" w:rsidRPr="00991EEB">
        <w:rPr>
          <w:rFonts w:ascii="Sakkal Majalla" w:hAnsi="Sakkal Majalla" w:cs="Sakkal Majalla"/>
          <w:sz w:val="32"/>
          <w:szCs w:val="32"/>
          <w:lang w:bidi="ar-EG"/>
        </w:rPr>
        <w:t>.</w:t>
      </w:r>
    </w:p>
    <w:p w14:paraId="56ECC66A" w14:textId="77777777" w:rsidR="00E06B7D" w:rsidRPr="00991EEB" w:rsidRDefault="0044625A" w:rsidP="00F75C92">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 xml:space="preserve">كما </w:t>
      </w:r>
      <w:r w:rsidR="00F75C92" w:rsidRPr="00991EEB">
        <w:rPr>
          <w:rFonts w:ascii="Sakkal Majalla" w:hAnsi="Sakkal Majalla" w:cs="Sakkal Majalla"/>
          <w:sz w:val="32"/>
          <w:szCs w:val="32"/>
          <w:rtl/>
          <w:lang w:bidi="ar-EG"/>
        </w:rPr>
        <w:t>سيستخدم</w:t>
      </w:r>
      <w:r w:rsidRPr="00991EEB">
        <w:rPr>
          <w:rFonts w:ascii="Sakkal Majalla" w:hAnsi="Sakkal Majalla" w:cs="Sakkal Majalla"/>
          <w:sz w:val="32"/>
          <w:szCs w:val="32"/>
          <w:rtl/>
          <w:lang w:bidi="ar-EG"/>
        </w:rPr>
        <w:t xml:space="preserve"> المنهج الاستقرائي من خلال تتبع النصوص النظامية السعودية، وقرارات الجهات القضائية ذات الصلة، وتحليل الوقائع الافتراضية التي قد تنشأ عن استخدام الذكاء الاصطناع</w:t>
      </w:r>
      <w:r w:rsidR="00F75C92" w:rsidRPr="00991EEB">
        <w:rPr>
          <w:rFonts w:ascii="Sakkal Majalla" w:hAnsi="Sakkal Majalla" w:cs="Sakkal Majalla"/>
          <w:sz w:val="32"/>
          <w:szCs w:val="32"/>
          <w:rtl/>
          <w:lang w:bidi="ar-EG"/>
        </w:rPr>
        <w:t>ي في ارتكاب الجرائم الإلكترونية،</w:t>
      </w:r>
      <w:r w:rsidRPr="00991EEB">
        <w:rPr>
          <w:rFonts w:ascii="Sakkal Majalla" w:hAnsi="Sakkal Majalla" w:cs="Sakkal Majalla"/>
          <w:sz w:val="32"/>
          <w:szCs w:val="32"/>
          <w:rtl/>
          <w:lang w:bidi="ar-EG"/>
        </w:rPr>
        <w:t xml:space="preserve"> ويسمح هذا المنهج باستخلاص القواعد العامة التي تحكم هذه المسؤولية، وربطها بالمبادئ الأساسية للمسؤولية المدنية في النظام السعودي</w:t>
      </w:r>
      <w:r w:rsidR="00F75C92" w:rsidRPr="00991EEB">
        <w:rPr>
          <w:rFonts w:ascii="Sakkal Majalla" w:hAnsi="Sakkal Majalla" w:cs="Sakkal Majalla"/>
          <w:sz w:val="32"/>
          <w:szCs w:val="32"/>
          <w:rtl/>
          <w:lang w:bidi="ar-EG"/>
        </w:rPr>
        <w:t>، حيث يتيح</w:t>
      </w:r>
      <w:r w:rsidRPr="00991EEB">
        <w:rPr>
          <w:rFonts w:ascii="Sakkal Majalla" w:hAnsi="Sakkal Majalla" w:cs="Sakkal Majalla"/>
          <w:sz w:val="32"/>
          <w:szCs w:val="32"/>
          <w:rtl/>
          <w:lang w:bidi="ar-EG"/>
        </w:rPr>
        <w:t xml:space="preserve"> الجمع بين المنهجين ال</w:t>
      </w:r>
      <w:r w:rsidR="00F75C92" w:rsidRPr="00991EEB">
        <w:rPr>
          <w:rFonts w:ascii="Sakkal Majalla" w:hAnsi="Sakkal Majalla" w:cs="Sakkal Majalla"/>
          <w:sz w:val="32"/>
          <w:szCs w:val="32"/>
          <w:rtl/>
          <w:lang w:bidi="ar-EG"/>
        </w:rPr>
        <w:t>وصفي والتحليلي والاستقرائي فهم دقيق</w:t>
      </w:r>
      <w:r w:rsidRPr="00991EEB">
        <w:rPr>
          <w:rFonts w:ascii="Sakkal Majalla" w:hAnsi="Sakkal Majalla" w:cs="Sakkal Majalla"/>
          <w:sz w:val="32"/>
          <w:szCs w:val="32"/>
          <w:rtl/>
          <w:lang w:bidi="ar-EG"/>
        </w:rPr>
        <w:t xml:space="preserve"> لطبيعة المسؤولية المدنية في الجرائم الإلكترونية المرتكبة بواسطة الذكاء الاصطناعي، مما ساهم في بناء رؤية علمية تسعى إلى توضيح الأساس القانوني لهذه المسؤولية، واقتراح سبل تطويرها بما يتلاءم مع التطور التكنولوجي الذي تشهده المملكة العربية السعودية.</w:t>
      </w:r>
    </w:p>
    <w:p w14:paraId="5484AFE4" w14:textId="77777777" w:rsidR="00F75C92" w:rsidRPr="00991EEB" w:rsidRDefault="00317F46" w:rsidP="00F75C92">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سادساً الدراسات السابقة:</w:t>
      </w:r>
    </w:p>
    <w:p w14:paraId="015CA070" w14:textId="77777777" w:rsidR="001C41A0" w:rsidRPr="00991EEB" w:rsidRDefault="001C41A0" w:rsidP="001C41A0">
      <w:pPr>
        <w:pStyle w:val="a5"/>
        <w:numPr>
          <w:ilvl w:val="0"/>
          <w:numId w:val="6"/>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(المالكي، 2024)، بعنوان: "المسؤولية المدنية عن فعل الذكاء الاصطناعي في النظام السعودي دراسة تحليلية تأصيلية".</w:t>
      </w:r>
    </w:p>
    <w:p w14:paraId="59839DA9" w14:textId="77777777" w:rsidR="001C41A0" w:rsidRPr="00991EEB" w:rsidRDefault="001C41A0" w:rsidP="001C41A0">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هدفت الدراسة تحليل مسألة المسؤولية المدنية عن فعل الذكاء الاصطناعي باعتبارها من القضايا الحديثة التي أثارت اهتماماً واسعاً ونقاشاً قانونياً عميقاً في النظام القانوني السعودي، خاصةً في ظل غياب نصوص نظامية صريحة تُحدد من يتحمل المسؤولية عن أفعال الأنظمة الذكية، وما إذا كان ينبغي منح الذكاء الاصطناعي شخصية قانونية مستقلة يمكن مساءلته بموجبها، وقد جاءت هذه الدراسة لتسلط الضوء على هذا الإشكال القانوني المستجد الذي ما زال يشكل تحدياً أمام الفقه والقضاء والتشريع في المملكة، واعتمدت الدراسة على المنهج التأصيلي التحليلي الذي مكّن الباحث من تناول الأسس النظرية للمسؤولية المدنية في ضوء القواعد القانونية السعودية، وتحليل مدى انطباقها على الأفعال الصادرة عن الذكاء الاصطناعي، كما استعان الباحث بالمنهج المقارن في نطاق محدود عند الضرورة، وذلك لاستعراض أبرز الاتجاهات القانونية في </w:t>
      </w:r>
      <w:r w:rsidRPr="00991EEB">
        <w:rPr>
          <w:rFonts w:ascii="Sakkal Majalla" w:hAnsi="Sakkal Majalla" w:cs="Sakkal Majalla"/>
          <w:sz w:val="32"/>
          <w:szCs w:val="32"/>
          <w:rtl/>
          <w:lang w:bidi="ar-EG"/>
        </w:rPr>
        <w:lastRenderedPageBreak/>
        <w:t>بعض التشريعات الحديثة التي تناولت المسألة بهدف الاستفادة مما يتناسب مع خصوصية النظام القانوني السعودي دون الخروج عن إطاره</w:t>
      </w:r>
      <w:r w:rsidRPr="00991EEB">
        <w:rPr>
          <w:rFonts w:ascii="Sakkal Majalla" w:hAnsi="Sakkal Majalla" w:cs="Sakkal Majalla"/>
          <w:sz w:val="32"/>
          <w:szCs w:val="32"/>
          <w:lang w:bidi="ar-EG"/>
        </w:rPr>
        <w:t>.</w:t>
      </w:r>
    </w:p>
    <w:p w14:paraId="29444659" w14:textId="77777777" w:rsidR="001C41A0" w:rsidRPr="00991EEB" w:rsidRDefault="001C41A0" w:rsidP="001C41A0">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وقد خلصت الدراسة إلى أن الفقه القانوني والتشريعات المدنية في مختلف الدول، بما فيها المملكة العربية السعودية لم تتوصل بعد إلى تعريف دقيق وشامل لمفهوم الذكاء الاصطناعي، كما أن المنظومة التشريعية السعودية ما تزال تفتقر إلى تنظيم قانوني متكامل يحكم تطبيقات الذكاء الاصطناعي ومسؤوليته المدنية، كما بيّنت الدراسة أن الذكاء الاصطناعي يمتلك قدرة متقدمة على محاكاة السلوك البشري واتخاذ القرارات بصورة مستقلة، الأمر الذي يجعل التفكير في منحه شخصية قانونية أمر مهم لمواكبة تطور تطبيقاته واتساع استخدامه في مختلف المجالات، وعلى الرغم من وجود اتجاهات فقهية تعارض هذا الطرح إلا أن الباحث تبنّى الرأي القائل بضرورة الاعتراف بهذه الشخصية كوسيلة لضمان تحقيق العدالة وحماية المتضررين من الأفعال الصادرة عن الأنظمة الذكية.</w:t>
      </w:r>
    </w:p>
    <w:p w14:paraId="3B4B7D21" w14:textId="77777777" w:rsidR="001C41A0" w:rsidRPr="00991EEB" w:rsidRDefault="001C41A0" w:rsidP="001C41A0">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وبالنظر إلى أوجه التشابه والاختلاف بين الدراسة الحالية والدراسة السابقة يمكن القول إن كلا الدراستين تتفقان في اهتمامهما بمسألة المسؤولية المدنية المرتبطة بالذكاء الاصطناعي وبتحليل آثارها القانونية والفكرية، إلا أن الاختلاف الجوهري يتمثل في أن الدراسة السابقة تناولت التنظيم القانوني العام للذكاء الاصطناعي في إطار مقارن، بينما ركّزت هذه الدراسة الحالية على المسؤولية المدنية الناشئة عن الجرائم الإلكترونية المرتكبة باستخدام الذكاء الاصطناعي في النظام السعودي تحديداً، مما يمنحها طابع تطبيقي أكثر ارتباطاً بالواقع التشريعي الوطني، ويجعلها تسهم في إثراء الفقه القانوني السعودي برؤية جديدة تتلاءم مع التطور التقني المتسارع.</w:t>
      </w:r>
    </w:p>
    <w:p w14:paraId="5A0C28B0" w14:textId="77777777" w:rsidR="001A3D1C" w:rsidRPr="00991EEB" w:rsidRDefault="001A3D1C" w:rsidP="001A3D1C">
      <w:pPr>
        <w:bidi/>
        <w:spacing w:line="360" w:lineRule="auto"/>
        <w:jc w:val="lowKashida"/>
        <w:rPr>
          <w:rFonts w:ascii="Sakkal Majalla" w:hAnsi="Sakkal Majalla" w:cs="Sakkal Majalla"/>
          <w:sz w:val="32"/>
          <w:szCs w:val="32"/>
          <w:lang w:bidi="ar-EG"/>
        </w:rPr>
      </w:pPr>
    </w:p>
    <w:p w14:paraId="1F81CFA4" w14:textId="77777777" w:rsidR="001C41A0" w:rsidRPr="00991EEB" w:rsidRDefault="001C41A0" w:rsidP="001C41A0">
      <w:pPr>
        <w:pStyle w:val="a5"/>
        <w:numPr>
          <w:ilvl w:val="0"/>
          <w:numId w:val="6"/>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lastRenderedPageBreak/>
        <w:t>دراسة (علي، 2025)، بعنوان: "المسئولية المدنية الناتجة عن أضرار الروبوت الطبي وآثارها".</w:t>
      </w:r>
    </w:p>
    <w:p w14:paraId="5207890A" w14:textId="77777777" w:rsidR="001C41A0" w:rsidRPr="00991EEB" w:rsidRDefault="001C41A0" w:rsidP="001C41A0">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إلى تحليل الأسس النظرية للمسؤولية المدنية الناشئة عن الأضرار الناتجة عن استخدام الروبوت الطبي في المملكة العربية السعودية، بوصفها من الموضوعات الحديثة والمعقدة التي أثارت اهتمام الفقه القانوني في ظل التطور المتسارع لتقنيات الذكاء الاصطناعي خاصة في المجال الطبي، وتناولت الدراسة بصورة خاصة الروبوت الجراحي باعتباره أكثر تطبيقات الذكاء الاصطناعي حساسية وخطورة على حياة الإنسان، وسعت إلى تحديد القواعد النظامية الأنسب التي يمكن أن تُطبَّق في حال وقوع ضرر نتيجة استخدامه سواء كانت هذه المسؤولية عقدية أو تقصيرية. كما بحثت الدراسة في تحديد نطاق المسؤولية بين الأطراف المختلفة مثل؛ المصنع، أو المبرمج، أو المستخدم، أو الطبيب المساعد، أو الممرض، إضافة إلى مناقشة الرأي القائل بتحميل الروبوت نفسه المسؤولية المدنية في حال الاعتراف له بالشخصية القانونية المستقلة، باعتباره كيان قادر على اتخاذ القرار والتصرف الذاتي، وقد اعتمدت الدراسة على المنهج التحليلي التأصيلي في تناول المفاهيم القانونية المرتبطة بالمسؤولية المدنية، إلى جانب المنهج المقارن الذي أتاح للباحث استعراض التجربة القانونية المصرية ومقارنتها بالنظام السعودي، بهدف الكشف عن أوجه القوة والقصور في كل نظام قانوني واقتراح سبل التطوير التشريعي المناسبة</w:t>
      </w:r>
      <w:r w:rsidRPr="00991EEB">
        <w:rPr>
          <w:rFonts w:ascii="Sakkal Majalla" w:hAnsi="Sakkal Majalla" w:cs="Sakkal Majalla"/>
          <w:sz w:val="32"/>
          <w:szCs w:val="32"/>
          <w:lang w:bidi="ar-EG"/>
        </w:rPr>
        <w:t>.</w:t>
      </w:r>
    </w:p>
    <w:p w14:paraId="062122E5" w14:textId="77777777" w:rsidR="001C41A0" w:rsidRPr="00991EEB" w:rsidRDefault="001C41A0" w:rsidP="001C41A0">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وخلصت الدراسة إلى مجموعة من النتائج أبرزها غياب تنظيم قانوني واضح في النظام السعودي يخص المسؤولية المدنية الناتجة عن استخدام الروبوتات الطبية، وأن هناك حاجة ماسة لوضع إطار نظامي يحدد المسؤوليات القانونية للأطراف المختلفة عند وقوع الضرر، كما أكدت أن منح الروبوت الطبي الشخصية القانونية لا يزال محل جدل فقهي واسع لما يثيره من إشكالات قانونية وفلسفية تتعلق بمفهوم الذمة والمسؤولية</w:t>
      </w:r>
      <w:r w:rsidRPr="00991EEB">
        <w:rPr>
          <w:rFonts w:ascii="Sakkal Majalla" w:hAnsi="Sakkal Majalla" w:cs="Sakkal Majalla"/>
          <w:sz w:val="32"/>
          <w:szCs w:val="32"/>
          <w:lang w:bidi="ar-EG"/>
        </w:rPr>
        <w:t>.</w:t>
      </w:r>
    </w:p>
    <w:p w14:paraId="40447200" w14:textId="77777777" w:rsidR="001C41A0" w:rsidRPr="00991EEB" w:rsidRDefault="001C41A0" w:rsidP="001C41A0">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وعند تناول أوجه التشابه والاختلاف بين هذه الدراسة والدراسة الحالية، يتضح أن كلتا الدراستين تتفقان في معالجتهما لمسألة المسؤولية المدنية الناتجة عن تطبيقات الذكاء الاصطناعي، واهتمامهما بتحليل الأبعاد القانونية والفكرية المرتبطة بها غير أن الاختلاف الجوهري يتمثل في تركيز الدراسة السابقة على التطبيقات الطبية للذكاء الاصطناعي ممثلة في الروبوت الطبي، بينما تتناول الدراسة الحالية الموضوع ذاته في سياق أوسع يرتبط بالجرائم الإلكترونية التي تُرتكب باستخدام تقنيات الذكاء الاصطناعي في البيئة القانونية السعودية، وبهذا تتميز الدراسة الحالية ببعدها التطبيقي المرتبط بالجوانب الجنائية والمسؤولية المدنية عن الأفعال غير المشروعة الناشئة عن الأنظمة الذكية، مما يجعلها أكثر اتساعاً وشمولاً من الناحية التحليلية والقانونية.</w:t>
      </w:r>
    </w:p>
    <w:p w14:paraId="1CD6366E" w14:textId="77777777" w:rsidR="00317F46" w:rsidRPr="00991EEB" w:rsidRDefault="00AC7C00" w:rsidP="00717ACF">
      <w:pPr>
        <w:pStyle w:val="a5"/>
        <w:numPr>
          <w:ilvl w:val="0"/>
          <w:numId w:val="6"/>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w:t>
      </w:r>
      <w:r w:rsidR="00717ACF" w:rsidRPr="00991EEB">
        <w:rPr>
          <w:rFonts w:ascii="Sakkal Majalla" w:hAnsi="Sakkal Majalla" w:cs="Sakkal Majalla"/>
          <w:b/>
          <w:bCs/>
          <w:sz w:val="32"/>
          <w:szCs w:val="32"/>
          <w:rtl/>
          <w:lang w:bidi="ar-EG"/>
        </w:rPr>
        <w:t>كريم، 2022)، بعنوان: "التنظيم القانوني للذكاء الاصطناعي (( دراسة مقارنة ))".</w:t>
      </w:r>
    </w:p>
    <w:p w14:paraId="60F2D7ED" w14:textId="77777777" w:rsidR="00AC7C00" w:rsidRPr="00991EEB" w:rsidRDefault="00AC7C00" w:rsidP="00390C64">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w:t>
      </w:r>
      <w:r w:rsidR="00390C64" w:rsidRPr="00991EEB">
        <w:rPr>
          <w:rFonts w:ascii="Sakkal Majalla" w:hAnsi="Sakkal Majalla" w:cs="Sakkal Majalla"/>
          <w:sz w:val="32"/>
          <w:szCs w:val="32"/>
          <w:rtl/>
          <w:lang w:bidi="ar-EG"/>
        </w:rPr>
        <w:t xml:space="preserve"> الدراسة</w:t>
      </w:r>
      <w:r w:rsidRPr="00991EEB">
        <w:rPr>
          <w:rFonts w:ascii="Sakkal Majalla" w:hAnsi="Sakkal Majalla" w:cs="Sakkal Majalla"/>
          <w:sz w:val="32"/>
          <w:szCs w:val="32"/>
          <w:rtl/>
          <w:lang w:bidi="ar-EG"/>
        </w:rPr>
        <w:t xml:space="preserve"> إلى توضيح الإطار القانوني المنظم للذكاء الاصطناعي، واستعراض تطور هذا التنظيم في عدد من الدول محل المقارنة، وتحليل تطوره التاريخي والتشريعي، وصولاً إلى تقديم مقترحات تشريعية تسهم في تطوير هذا النظام القانوني</w:t>
      </w:r>
      <w:r w:rsidR="00390C64" w:rsidRPr="00991EEB">
        <w:rPr>
          <w:rFonts w:ascii="Sakkal Majalla" w:hAnsi="Sakkal Majalla" w:cs="Sakkal Majalla"/>
          <w:sz w:val="32"/>
          <w:szCs w:val="32"/>
          <w:rtl/>
          <w:lang w:bidi="ar-EG"/>
        </w:rPr>
        <w:t xml:space="preserve">، حيث </w:t>
      </w:r>
      <w:r w:rsidRPr="00991EEB">
        <w:rPr>
          <w:rFonts w:ascii="Sakkal Majalla" w:hAnsi="Sakkal Majalla" w:cs="Sakkal Majalla"/>
          <w:sz w:val="32"/>
          <w:szCs w:val="32"/>
          <w:rtl/>
          <w:lang w:bidi="ar-EG"/>
        </w:rPr>
        <w:t>اعتمد الباحث في هذه الدراسة على المنهج التحليلي لبحث المفاهيم والنصوص القانونية ذات الصلة، إلى جانب المنهج المقارن الذي أتاح له استعراض تجارب تشريعية مختلفة ومقارنتها للوصول إلى رؤى إصلاحية مناسبة</w:t>
      </w:r>
      <w:r w:rsidR="00390C64" w:rsidRPr="00991EEB">
        <w:rPr>
          <w:rFonts w:ascii="Sakkal Majalla" w:hAnsi="Sakkal Majalla" w:cs="Sakkal Majalla"/>
          <w:sz w:val="32"/>
          <w:szCs w:val="32"/>
          <w:rtl/>
          <w:lang w:bidi="ar-EG"/>
        </w:rPr>
        <w:t xml:space="preserve">، </w:t>
      </w:r>
      <w:r w:rsidRPr="00991EEB">
        <w:rPr>
          <w:rFonts w:ascii="Sakkal Majalla" w:hAnsi="Sakkal Majalla" w:cs="Sakkal Majalla"/>
          <w:sz w:val="32"/>
          <w:szCs w:val="32"/>
          <w:rtl/>
          <w:lang w:bidi="ar-EG"/>
        </w:rPr>
        <w:t>وقد خلصت الدراس</w:t>
      </w:r>
      <w:r w:rsidR="00390C64" w:rsidRPr="00991EEB">
        <w:rPr>
          <w:rFonts w:ascii="Sakkal Majalla" w:hAnsi="Sakkal Majalla" w:cs="Sakkal Majalla"/>
          <w:sz w:val="32"/>
          <w:szCs w:val="32"/>
          <w:rtl/>
          <w:lang w:bidi="ar-EG"/>
        </w:rPr>
        <w:t xml:space="preserve">ة إلى مجموعة من النتائج </w:t>
      </w:r>
      <w:r w:rsidRPr="00991EEB">
        <w:rPr>
          <w:rFonts w:ascii="Sakkal Majalla" w:hAnsi="Sakkal Majalla" w:cs="Sakkal Majalla"/>
          <w:sz w:val="32"/>
          <w:szCs w:val="32"/>
          <w:rtl/>
          <w:lang w:bidi="ar-EG"/>
        </w:rPr>
        <w:t>من أبرزها أن الفقه القانوني والتشريعات المدنية الحديثة لم تتوصل حتى الآن إلى تعريف محدد وواضح لمفهوم الذكاء الاصطناعي، كما بيّنت أن ما طرحه البرلمان الأوروبي بشأن منح الشخصية القانونية للروبوتات ذات القدرة على التعلم العميق يُعد طرحاً غير مألوف وغريباً عن ا</w:t>
      </w:r>
      <w:r w:rsidR="00390C64" w:rsidRPr="00991EEB">
        <w:rPr>
          <w:rFonts w:ascii="Sakkal Majalla" w:hAnsi="Sakkal Majalla" w:cs="Sakkal Majalla"/>
          <w:sz w:val="32"/>
          <w:szCs w:val="32"/>
          <w:rtl/>
          <w:lang w:bidi="ar-EG"/>
        </w:rPr>
        <w:t>لأطر التشريعية في العالم العربي</w:t>
      </w:r>
      <w:r w:rsidRPr="00991EEB">
        <w:rPr>
          <w:rFonts w:ascii="Sakkal Majalla" w:hAnsi="Sakkal Majalla" w:cs="Sakkal Majalla"/>
          <w:sz w:val="32"/>
          <w:szCs w:val="32"/>
          <w:rtl/>
          <w:lang w:bidi="ar-EG"/>
        </w:rPr>
        <w:t xml:space="preserve"> لما يحمله من أبعاد قانونية وفلسفية معقدة</w:t>
      </w:r>
      <w:r w:rsidRPr="00991EEB">
        <w:rPr>
          <w:rFonts w:ascii="Sakkal Majalla" w:hAnsi="Sakkal Majalla" w:cs="Sakkal Majalla"/>
          <w:sz w:val="32"/>
          <w:szCs w:val="32"/>
          <w:lang w:bidi="ar-EG"/>
        </w:rPr>
        <w:t>.</w:t>
      </w:r>
    </w:p>
    <w:p w14:paraId="5F528141" w14:textId="77777777" w:rsidR="00AC7C00" w:rsidRPr="00991EEB" w:rsidRDefault="00AC7C00" w:rsidP="00AC7C00">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وبالنظر إلى أوجه التشابه والاختلاف بين هذه الدراسة والدراسة الحالية، يمكن القول إن الجانبين يتفقان في تناولهما لمسألة المسؤولية الم</w:t>
      </w:r>
      <w:r w:rsidR="00390C64" w:rsidRPr="00991EEB">
        <w:rPr>
          <w:rFonts w:ascii="Sakkal Majalla" w:hAnsi="Sakkal Majalla" w:cs="Sakkal Majalla"/>
          <w:sz w:val="32"/>
          <w:szCs w:val="32"/>
          <w:rtl/>
          <w:lang w:bidi="ar-EG"/>
        </w:rPr>
        <w:t>دنية المرتبطة بالذكاء الاصطناعي</w:t>
      </w:r>
      <w:r w:rsidRPr="00991EEB">
        <w:rPr>
          <w:rFonts w:ascii="Sakkal Majalla" w:hAnsi="Sakkal Majalla" w:cs="Sakkal Majalla"/>
          <w:sz w:val="32"/>
          <w:szCs w:val="32"/>
          <w:rtl/>
          <w:lang w:bidi="ar-EG"/>
        </w:rPr>
        <w:t xml:space="preserve"> بوصفها من القضايا الم</w:t>
      </w:r>
      <w:r w:rsidR="00390C64" w:rsidRPr="00991EEB">
        <w:rPr>
          <w:rFonts w:ascii="Sakkal Majalla" w:hAnsi="Sakkal Majalla" w:cs="Sakkal Majalla"/>
          <w:sz w:val="32"/>
          <w:szCs w:val="32"/>
          <w:rtl/>
          <w:lang w:bidi="ar-EG"/>
        </w:rPr>
        <w:t>ستجدة في الفكر القانوني المعاصر،</w:t>
      </w:r>
      <w:r w:rsidRPr="00991EEB">
        <w:rPr>
          <w:rFonts w:ascii="Sakkal Majalla" w:hAnsi="Sakkal Majalla" w:cs="Sakkal Majalla"/>
          <w:sz w:val="32"/>
          <w:szCs w:val="32"/>
          <w:rtl/>
          <w:lang w:bidi="ar-EG"/>
        </w:rPr>
        <w:t xml:space="preserve"> إلا أن الاختلاف الجوهري يتمثل في أن الدراسة السابقة ركّزت على النظام القانوني العراقي ومقارنته بتشريعات أخرى، في حين أن هذه الدراسة الحالية تتناول الموضوع ذاته في سياق النظام القانوني السعودي، مع التركيز على المسؤولية المدنية الناشئة عن الجرائم الإلكترونية المرتكبة باستخدام الذكاء الاصطناعي، وهو ما يمنحها بعداً تطبيقياً متميزاً في إطار البيئة القانونية للمملكة العربية السعودية.</w:t>
      </w:r>
    </w:p>
    <w:p w14:paraId="7B357280" w14:textId="77777777" w:rsidR="001C41A0" w:rsidRPr="00991EEB" w:rsidRDefault="00704859" w:rsidP="001C41A0">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 xml:space="preserve">سابعاً </w:t>
      </w:r>
      <w:r w:rsidR="007F3D0D" w:rsidRPr="00991EEB">
        <w:rPr>
          <w:rFonts w:ascii="Sakkal Majalla" w:hAnsi="Sakkal Majalla" w:cs="Sakkal Majalla"/>
          <w:b/>
          <w:bCs/>
          <w:sz w:val="32"/>
          <w:szCs w:val="32"/>
          <w:rtl/>
          <w:lang w:bidi="ar-EG"/>
        </w:rPr>
        <w:t xml:space="preserve">هيكل </w:t>
      </w:r>
      <w:r w:rsidRPr="00991EEB">
        <w:rPr>
          <w:rFonts w:ascii="Sakkal Majalla" w:hAnsi="Sakkal Majalla" w:cs="Sakkal Majalla"/>
          <w:b/>
          <w:bCs/>
          <w:sz w:val="32"/>
          <w:szCs w:val="32"/>
          <w:rtl/>
          <w:lang w:bidi="ar-EG"/>
        </w:rPr>
        <w:t>ومخطط البحث:</w:t>
      </w:r>
    </w:p>
    <w:p w14:paraId="4C769B2D" w14:textId="77777777" w:rsidR="008226BF" w:rsidRPr="00991EEB" w:rsidRDefault="008226BF" w:rsidP="008226BF">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سيتم تقسيم الدراسة إلى الفصل التمهيدي وهو الإطار العام للبحث والذي يتناول المقدمة، وأهمية البحث، أه</w:t>
      </w:r>
      <w:r w:rsidR="00C879FD" w:rsidRPr="00991EEB">
        <w:rPr>
          <w:rFonts w:ascii="Sakkal Majalla" w:hAnsi="Sakkal Majalla" w:cs="Sakkal Majalla"/>
          <w:sz w:val="32"/>
          <w:szCs w:val="32"/>
          <w:rtl/>
          <w:lang w:bidi="ar-EG"/>
        </w:rPr>
        <w:t>دافه، وإشكالية البحث، وتساؤلاته</w:t>
      </w:r>
      <w:r w:rsidRPr="00991EEB">
        <w:rPr>
          <w:rFonts w:ascii="Sakkal Majalla" w:hAnsi="Sakkal Majalla" w:cs="Sakkal Majalla"/>
          <w:sz w:val="32"/>
          <w:szCs w:val="32"/>
          <w:rtl/>
          <w:lang w:bidi="ar-EG"/>
        </w:rPr>
        <w:t>، ومنهجية البحث، والدراسات السابقة</w:t>
      </w:r>
      <w:r w:rsidR="00C879FD" w:rsidRPr="00991EEB">
        <w:rPr>
          <w:rFonts w:ascii="Sakkal Majalla" w:hAnsi="Sakkal Majalla" w:cs="Sakkal Majalla"/>
          <w:sz w:val="32"/>
          <w:szCs w:val="32"/>
          <w:rtl/>
          <w:lang w:bidi="ar-EG"/>
        </w:rPr>
        <w:t>.</w:t>
      </w:r>
    </w:p>
    <w:p w14:paraId="7D2BDECB" w14:textId="77777777" w:rsidR="00704859" w:rsidRPr="00991EEB" w:rsidRDefault="00704859" w:rsidP="008226BF">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الفصل الأول: الإطار المفاهيمي للذكاء الاصطناعي.</w:t>
      </w:r>
    </w:p>
    <w:p w14:paraId="170EFC99" w14:textId="77777777" w:rsidR="00704859" w:rsidRPr="00991EEB" w:rsidRDefault="00704859" w:rsidP="0071623A">
      <w:p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rPr>
        <w:t>المبحث الأول: التعريف بالذكاء الاصطناعي.</w:t>
      </w:r>
    </w:p>
    <w:p w14:paraId="34FD2DF5" w14:textId="77777777" w:rsidR="00704859" w:rsidRPr="00991EEB" w:rsidRDefault="00704859" w:rsidP="00704859">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الأول: المفهوم والسمات الجوهرية للذكاء الاصطناعي.</w:t>
      </w:r>
    </w:p>
    <w:p w14:paraId="6FD8E891" w14:textId="77777777" w:rsidR="005D173D" w:rsidRPr="00991EEB" w:rsidRDefault="00704859" w:rsidP="005D173D">
      <w:pPr>
        <w:pStyle w:val="a5"/>
        <w:numPr>
          <w:ilvl w:val="0"/>
          <w:numId w:val="1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0071623A" w:rsidRPr="00991EEB">
        <w:rPr>
          <w:rFonts w:ascii="Sakkal Majalla" w:hAnsi="Sakkal Majalla" w:cs="Sakkal Majalla"/>
          <w:sz w:val="32"/>
          <w:szCs w:val="32"/>
          <w:rtl/>
        </w:rPr>
        <w:t>تعريف ا</w:t>
      </w:r>
      <w:r w:rsidRPr="00991EEB">
        <w:rPr>
          <w:rFonts w:ascii="Sakkal Majalla" w:hAnsi="Sakkal Majalla" w:cs="Sakkal Majalla"/>
          <w:sz w:val="32"/>
          <w:szCs w:val="32"/>
          <w:rtl/>
        </w:rPr>
        <w:t>لذكاء الاصطناعي.</w:t>
      </w:r>
    </w:p>
    <w:p w14:paraId="6F5EF756" w14:textId="77777777" w:rsidR="00704859" w:rsidRPr="00991EEB" w:rsidRDefault="00704859" w:rsidP="005D173D">
      <w:pPr>
        <w:pStyle w:val="a5"/>
        <w:numPr>
          <w:ilvl w:val="0"/>
          <w:numId w:val="1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 xml:space="preserve">: </w:t>
      </w:r>
      <w:r w:rsidRPr="00991EEB">
        <w:rPr>
          <w:rFonts w:ascii="Sakkal Majalla" w:hAnsi="Sakkal Majalla" w:cs="Sakkal Majalla"/>
          <w:sz w:val="32"/>
          <w:szCs w:val="32"/>
          <w:rtl/>
        </w:rPr>
        <w:t>السمات التي تميز الذكاء الاصطناعي.</w:t>
      </w:r>
    </w:p>
    <w:p w14:paraId="29439767" w14:textId="77777777" w:rsidR="00704859" w:rsidRPr="00991EEB" w:rsidRDefault="00704859" w:rsidP="00704859">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الثاني: الجوانب الإيجابية والسلبية للذكاء الاصطناعي.</w:t>
      </w:r>
    </w:p>
    <w:p w14:paraId="21141952" w14:textId="77777777" w:rsidR="005D173D" w:rsidRPr="00991EEB" w:rsidRDefault="00704859" w:rsidP="005D173D">
      <w:pPr>
        <w:pStyle w:val="a5"/>
        <w:numPr>
          <w:ilvl w:val="0"/>
          <w:numId w:val="13"/>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 xml:space="preserve">: </w:t>
      </w:r>
      <w:r w:rsidRPr="00991EEB">
        <w:rPr>
          <w:rFonts w:ascii="Sakkal Majalla" w:hAnsi="Sakkal Majalla" w:cs="Sakkal Majalla"/>
          <w:sz w:val="32"/>
          <w:szCs w:val="32"/>
          <w:rtl/>
        </w:rPr>
        <w:t>المزايا والفوائد العملية لتطبيقات الذكاء الاصطناعي.</w:t>
      </w:r>
    </w:p>
    <w:p w14:paraId="1B1C1C88" w14:textId="77777777" w:rsidR="00704859" w:rsidRPr="00991EEB" w:rsidRDefault="00704859" w:rsidP="005D173D">
      <w:pPr>
        <w:pStyle w:val="a5"/>
        <w:numPr>
          <w:ilvl w:val="0"/>
          <w:numId w:val="13"/>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 xml:space="preserve">: </w:t>
      </w:r>
      <w:r w:rsidRPr="00991EEB">
        <w:rPr>
          <w:rFonts w:ascii="Sakkal Majalla" w:hAnsi="Sakkal Majalla" w:cs="Sakkal Majalla"/>
          <w:sz w:val="32"/>
          <w:szCs w:val="32"/>
          <w:rtl/>
        </w:rPr>
        <w:t>المخاطر والتحديات المرتبطة باستخدام الذكاء الاصطناعي.</w:t>
      </w:r>
    </w:p>
    <w:p w14:paraId="207F5AA9" w14:textId="77777777" w:rsidR="00704859" w:rsidRPr="00991EEB" w:rsidRDefault="00704859" w:rsidP="00704859">
      <w:p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rPr>
        <w:t>المبحث الثاني: دور الذ</w:t>
      </w:r>
      <w:r w:rsidR="006327E1" w:rsidRPr="00991EEB">
        <w:rPr>
          <w:rFonts w:ascii="Sakkal Majalla" w:hAnsi="Sakkal Majalla" w:cs="Sakkal Majalla"/>
          <w:b/>
          <w:bCs/>
          <w:sz w:val="32"/>
          <w:szCs w:val="32"/>
          <w:rtl/>
        </w:rPr>
        <w:t>كاء الاصطناعي وتطبيقاته المعاصر</w:t>
      </w:r>
      <w:r w:rsidR="006327E1" w:rsidRPr="00991EEB">
        <w:rPr>
          <w:rFonts w:ascii="Sakkal Majalla" w:hAnsi="Sakkal Majalla" w:cs="Sakkal Majalla"/>
          <w:b/>
          <w:bCs/>
          <w:sz w:val="32"/>
          <w:szCs w:val="32"/>
          <w:rtl/>
          <w:lang w:bidi="ar-EG"/>
        </w:rPr>
        <w:t>ة في المملكة العربية السعودية</w:t>
      </w:r>
      <w:r w:rsidRPr="00991EEB">
        <w:rPr>
          <w:rFonts w:ascii="Sakkal Majalla" w:hAnsi="Sakkal Majalla" w:cs="Sakkal Majalla"/>
          <w:b/>
          <w:bCs/>
          <w:sz w:val="32"/>
          <w:szCs w:val="32"/>
          <w:rtl/>
        </w:rPr>
        <w:t>.</w:t>
      </w:r>
    </w:p>
    <w:p w14:paraId="50C5C349" w14:textId="77777777" w:rsidR="00704859" w:rsidRPr="00991EEB" w:rsidRDefault="00704859" w:rsidP="00704859">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lastRenderedPageBreak/>
        <w:t>المطلب الأول: أهمية الذكاء الاصطناعي وتمييزه عن المفاهيم المشابهة.</w:t>
      </w:r>
    </w:p>
    <w:p w14:paraId="4DE1A2B5" w14:textId="77777777" w:rsidR="005D173D" w:rsidRPr="00991EEB" w:rsidRDefault="00704859" w:rsidP="005D173D">
      <w:pPr>
        <w:pStyle w:val="a5"/>
        <w:numPr>
          <w:ilvl w:val="0"/>
          <w:numId w:val="14"/>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0071623A" w:rsidRPr="00991EEB">
        <w:rPr>
          <w:rFonts w:ascii="Sakkal Majalla" w:hAnsi="Sakkal Majalla" w:cs="Sakkal Majalla"/>
          <w:sz w:val="32"/>
          <w:szCs w:val="32"/>
          <w:rtl/>
        </w:rPr>
        <w:t>أهمية ا</w:t>
      </w:r>
      <w:r w:rsidRPr="00991EEB">
        <w:rPr>
          <w:rFonts w:ascii="Sakkal Majalla" w:hAnsi="Sakkal Majalla" w:cs="Sakkal Majalla"/>
          <w:sz w:val="32"/>
          <w:szCs w:val="32"/>
          <w:rtl/>
        </w:rPr>
        <w:t>لذكاء الاصطناعي في المجتمعات الحديثة.</w:t>
      </w:r>
    </w:p>
    <w:p w14:paraId="642BD5C4" w14:textId="77777777" w:rsidR="00704859" w:rsidRPr="00991EEB" w:rsidRDefault="00704859" w:rsidP="00EC0FEC">
      <w:pPr>
        <w:pStyle w:val="a5"/>
        <w:numPr>
          <w:ilvl w:val="0"/>
          <w:numId w:val="14"/>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sz w:val="32"/>
          <w:szCs w:val="32"/>
          <w:lang w:bidi="ar-EG"/>
        </w:rPr>
        <w:t xml:space="preserve"> </w:t>
      </w:r>
      <w:r w:rsidR="0071623A" w:rsidRPr="00991EEB">
        <w:rPr>
          <w:rFonts w:ascii="Sakkal Majalla" w:hAnsi="Sakkal Majalla" w:cs="Sakkal Majalla"/>
          <w:sz w:val="32"/>
          <w:szCs w:val="32"/>
          <w:rtl/>
        </w:rPr>
        <w:t>الفرق</w:t>
      </w:r>
      <w:r w:rsidRPr="00991EEB">
        <w:rPr>
          <w:rFonts w:ascii="Sakkal Majalla" w:hAnsi="Sakkal Majalla" w:cs="Sakkal Majalla"/>
          <w:sz w:val="32"/>
          <w:szCs w:val="32"/>
          <w:rtl/>
        </w:rPr>
        <w:t xml:space="preserve"> بين الذكاء الاصطناعي والمفاهيم المشابهة له.</w:t>
      </w:r>
    </w:p>
    <w:p w14:paraId="00B49C25" w14:textId="77777777" w:rsidR="005D173D" w:rsidRPr="00991EEB" w:rsidRDefault="00704859" w:rsidP="005D173D">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الثاني: تصنيف الذكاء الاصطناعي ومجالات استخدامه</w:t>
      </w:r>
      <w:r w:rsidR="00EC0FEC" w:rsidRPr="00991EEB">
        <w:rPr>
          <w:rFonts w:ascii="Sakkal Majalla" w:hAnsi="Sakkal Majalla" w:cs="Sakkal Majalla"/>
          <w:sz w:val="32"/>
          <w:szCs w:val="32"/>
          <w:rtl/>
        </w:rPr>
        <w:t xml:space="preserve"> في المملكة</w:t>
      </w:r>
      <w:r w:rsidRPr="00991EEB">
        <w:rPr>
          <w:rFonts w:ascii="Sakkal Majalla" w:hAnsi="Sakkal Majalla" w:cs="Sakkal Majalla"/>
          <w:sz w:val="32"/>
          <w:szCs w:val="32"/>
          <w:rtl/>
        </w:rPr>
        <w:t>.</w:t>
      </w:r>
    </w:p>
    <w:p w14:paraId="2BD6E60C" w14:textId="77777777" w:rsidR="005D173D" w:rsidRPr="00991EEB" w:rsidRDefault="00704859" w:rsidP="005D173D">
      <w:pPr>
        <w:pStyle w:val="a5"/>
        <w:numPr>
          <w:ilvl w:val="0"/>
          <w:numId w:val="1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0071623A" w:rsidRPr="00991EEB">
        <w:rPr>
          <w:rFonts w:ascii="Sakkal Majalla" w:hAnsi="Sakkal Majalla" w:cs="Sakkal Majalla"/>
          <w:b/>
          <w:bCs/>
          <w:sz w:val="32"/>
          <w:szCs w:val="32"/>
          <w:rtl/>
          <w:lang w:bidi="ar-EG"/>
        </w:rPr>
        <w:t xml:space="preserve">: </w:t>
      </w:r>
      <w:r w:rsidR="0071623A" w:rsidRPr="00991EEB">
        <w:rPr>
          <w:rFonts w:ascii="Sakkal Majalla" w:hAnsi="Sakkal Majalla" w:cs="Sakkal Majalla"/>
          <w:sz w:val="32"/>
          <w:szCs w:val="32"/>
          <w:rtl/>
        </w:rPr>
        <w:t>أنواع ا</w:t>
      </w:r>
      <w:r w:rsidRPr="00991EEB">
        <w:rPr>
          <w:rFonts w:ascii="Sakkal Majalla" w:hAnsi="Sakkal Majalla" w:cs="Sakkal Majalla"/>
          <w:sz w:val="32"/>
          <w:szCs w:val="32"/>
          <w:rtl/>
        </w:rPr>
        <w:t>لذكاء الاصطناعي وفقاً لمستويات الأداء والوظيفة.</w:t>
      </w:r>
    </w:p>
    <w:p w14:paraId="6E443373" w14:textId="77777777" w:rsidR="00704859" w:rsidRPr="00991EEB" w:rsidRDefault="00704859" w:rsidP="005D173D">
      <w:pPr>
        <w:pStyle w:val="a5"/>
        <w:numPr>
          <w:ilvl w:val="0"/>
          <w:numId w:val="15"/>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0071623A" w:rsidRPr="00991EEB">
        <w:rPr>
          <w:rFonts w:ascii="Sakkal Majalla" w:hAnsi="Sakkal Majalla" w:cs="Sakkal Majalla"/>
          <w:b/>
          <w:bCs/>
          <w:sz w:val="32"/>
          <w:szCs w:val="32"/>
          <w:rtl/>
          <w:lang w:bidi="ar-EG"/>
        </w:rPr>
        <w:t xml:space="preserve">: </w:t>
      </w:r>
      <w:r w:rsidRPr="00991EEB">
        <w:rPr>
          <w:rFonts w:ascii="Sakkal Majalla" w:hAnsi="Sakkal Majalla" w:cs="Sakkal Majalla"/>
          <w:sz w:val="32"/>
          <w:szCs w:val="32"/>
          <w:rtl/>
        </w:rPr>
        <w:t xml:space="preserve">تطبيقات </w:t>
      </w:r>
      <w:r w:rsidR="0071623A" w:rsidRPr="00991EEB">
        <w:rPr>
          <w:rFonts w:ascii="Sakkal Majalla" w:hAnsi="Sakkal Majalla" w:cs="Sakkal Majalla"/>
          <w:sz w:val="32"/>
          <w:szCs w:val="32"/>
          <w:rtl/>
        </w:rPr>
        <w:t>ا</w:t>
      </w:r>
      <w:r w:rsidRPr="00991EEB">
        <w:rPr>
          <w:rFonts w:ascii="Sakkal Majalla" w:hAnsi="Sakkal Majalla" w:cs="Sakkal Majalla"/>
          <w:sz w:val="32"/>
          <w:szCs w:val="32"/>
          <w:rtl/>
        </w:rPr>
        <w:t>لذكاء الاصطناعي في المجالات المختلفة.</w:t>
      </w:r>
    </w:p>
    <w:p w14:paraId="4976A6FE" w14:textId="77777777" w:rsidR="0071623A" w:rsidRPr="00991EEB" w:rsidRDefault="0093226F" w:rsidP="0071623A">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 xml:space="preserve">الفصل الثاني: </w:t>
      </w:r>
      <w:r w:rsidR="00620962" w:rsidRPr="00991EEB">
        <w:rPr>
          <w:rFonts w:ascii="Sakkal Majalla" w:hAnsi="Sakkal Majalla" w:cs="Sakkal Majalla"/>
          <w:b/>
          <w:bCs/>
          <w:sz w:val="32"/>
          <w:szCs w:val="32"/>
          <w:rtl/>
          <w:lang w:bidi="ar-EG"/>
        </w:rPr>
        <w:t>الأسس القانونية للمسؤولية المدنية عن الذكاء الاصطناعي في الجرائم الإلكترونية</w:t>
      </w:r>
      <w:r w:rsidR="00A55BBE" w:rsidRPr="00991EEB">
        <w:rPr>
          <w:rFonts w:ascii="Sakkal Majalla" w:hAnsi="Sakkal Majalla" w:cs="Sakkal Majalla"/>
          <w:b/>
          <w:bCs/>
          <w:sz w:val="32"/>
          <w:szCs w:val="32"/>
          <w:rtl/>
          <w:lang w:bidi="ar-EG"/>
        </w:rPr>
        <w:t xml:space="preserve"> في النظام السعودي</w:t>
      </w:r>
      <w:r w:rsidR="00620962" w:rsidRPr="00991EEB">
        <w:rPr>
          <w:rFonts w:ascii="Sakkal Majalla" w:hAnsi="Sakkal Majalla" w:cs="Sakkal Majalla"/>
          <w:b/>
          <w:bCs/>
          <w:sz w:val="32"/>
          <w:szCs w:val="32"/>
          <w:rtl/>
          <w:lang w:bidi="ar-EG"/>
        </w:rPr>
        <w:t>.</w:t>
      </w:r>
    </w:p>
    <w:p w14:paraId="67F14932" w14:textId="77777777" w:rsidR="005D173D" w:rsidRPr="00991EEB" w:rsidRDefault="005D173D" w:rsidP="005D173D">
      <w:p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rPr>
        <w:t>المبحث الأول: الإطار القانوني للشخصية القانونية للذكاء الاصطناعي</w:t>
      </w:r>
      <w:r w:rsidR="00A55BBE" w:rsidRPr="00991EEB">
        <w:rPr>
          <w:rFonts w:ascii="Sakkal Majalla" w:hAnsi="Sakkal Majalla" w:cs="Sakkal Majalla"/>
          <w:b/>
          <w:bCs/>
          <w:sz w:val="32"/>
          <w:szCs w:val="32"/>
          <w:rtl/>
        </w:rPr>
        <w:t xml:space="preserve"> في الأنظمة السعودية</w:t>
      </w:r>
      <w:r w:rsidRPr="00991EEB">
        <w:rPr>
          <w:rFonts w:ascii="Sakkal Majalla" w:hAnsi="Sakkal Majalla" w:cs="Sakkal Majalla"/>
          <w:b/>
          <w:bCs/>
          <w:sz w:val="32"/>
          <w:szCs w:val="32"/>
          <w:rtl/>
        </w:rPr>
        <w:t>.</w:t>
      </w:r>
    </w:p>
    <w:p w14:paraId="2E91E4B9" w14:textId="77777777" w:rsidR="005D173D" w:rsidRPr="00991EEB" w:rsidRDefault="005D173D" w:rsidP="005D173D">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الأول: الاتجاهات النظرية في تحديد مركز الذكاء الاصطناعي القانوني.</w:t>
      </w:r>
    </w:p>
    <w:p w14:paraId="2E0053B7" w14:textId="77777777" w:rsidR="005D173D" w:rsidRPr="00991EEB" w:rsidRDefault="005D173D" w:rsidP="005D173D">
      <w:pPr>
        <w:pStyle w:val="a5"/>
        <w:numPr>
          <w:ilvl w:val="0"/>
          <w:numId w:val="1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الاتجاه المؤيد لمنح الذكاء الاصطناعي شخصية قانونية مستقلة.</w:t>
      </w:r>
    </w:p>
    <w:p w14:paraId="5D986A65" w14:textId="77777777" w:rsidR="005D173D" w:rsidRPr="00991EEB" w:rsidRDefault="005D173D" w:rsidP="005D173D">
      <w:pPr>
        <w:pStyle w:val="a5"/>
        <w:numPr>
          <w:ilvl w:val="0"/>
          <w:numId w:val="1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الاتجاه الرافض للاعتراف بالشخصية القانونية للذكاء الاصطناعي.</w:t>
      </w:r>
    </w:p>
    <w:p w14:paraId="3B369981" w14:textId="77777777" w:rsidR="005D173D" w:rsidRPr="00991EEB" w:rsidRDefault="005D173D" w:rsidP="00CC12CC">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الثاني: الطبيعة القانونية للمسؤولية المدنية عن أفعال الذكاء الاصطناعي.</w:t>
      </w:r>
    </w:p>
    <w:p w14:paraId="38ABCA86" w14:textId="77777777" w:rsidR="005D173D" w:rsidRPr="00991EEB" w:rsidRDefault="005D173D" w:rsidP="005D173D">
      <w:pPr>
        <w:pStyle w:val="a5"/>
        <w:numPr>
          <w:ilvl w:val="0"/>
          <w:numId w:val="1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 xml:space="preserve">: </w:t>
      </w:r>
      <w:r w:rsidRPr="00991EEB">
        <w:rPr>
          <w:rFonts w:ascii="Sakkal Majalla" w:hAnsi="Sakkal Majalla" w:cs="Sakkal Majalla"/>
          <w:sz w:val="32"/>
          <w:szCs w:val="32"/>
          <w:rtl/>
        </w:rPr>
        <w:t>الأسس النظرية التي تحكم قيام المسؤولية المدنية عن الجرائم الإلكترونية.</w:t>
      </w:r>
    </w:p>
    <w:p w14:paraId="3185364C" w14:textId="77777777" w:rsidR="005D173D" w:rsidRPr="00991EEB" w:rsidRDefault="005D173D" w:rsidP="005D173D">
      <w:pPr>
        <w:pStyle w:val="a5"/>
        <w:numPr>
          <w:ilvl w:val="0"/>
          <w:numId w:val="1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حدود التوسع في تطبيق أحكام المسؤولية المدنية على أفعال الذكاء الاصطناعي.</w:t>
      </w:r>
    </w:p>
    <w:p w14:paraId="5E80BD40" w14:textId="77777777" w:rsidR="008226BF" w:rsidRPr="00991EEB" w:rsidRDefault="008226BF" w:rsidP="008226BF">
      <w:p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rPr>
        <w:t>المبحث الثاني: الإطار النظامي للمسؤولية المدنية في النظام السعودي.</w:t>
      </w:r>
    </w:p>
    <w:p w14:paraId="0BE93092" w14:textId="77777777" w:rsidR="008226BF" w:rsidRPr="00991EEB" w:rsidRDefault="008226BF" w:rsidP="008226BF">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الأول: التنظيم القانوني للذكاء الاصطناعي في المملكة العربية السعودية.</w:t>
      </w:r>
    </w:p>
    <w:p w14:paraId="0BF90F3C" w14:textId="77777777" w:rsidR="008226BF" w:rsidRPr="00991EEB" w:rsidRDefault="008226BF" w:rsidP="008226BF">
      <w:pPr>
        <w:pStyle w:val="a5"/>
        <w:numPr>
          <w:ilvl w:val="0"/>
          <w:numId w:val="2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lastRenderedPageBreak/>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الأسس النظامية والمرجعية التشريعية ذات الصلة بالذكاء الاصطناعي.</w:t>
      </w:r>
    </w:p>
    <w:p w14:paraId="6CCA1B21" w14:textId="77777777" w:rsidR="008226BF" w:rsidRPr="00991EEB" w:rsidRDefault="008226BF" w:rsidP="00CC12CC">
      <w:pPr>
        <w:pStyle w:val="a5"/>
        <w:numPr>
          <w:ilvl w:val="0"/>
          <w:numId w:val="2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مدى كفاية النصوص</w:t>
      </w:r>
      <w:r w:rsidR="00CC12CC" w:rsidRPr="00991EEB">
        <w:rPr>
          <w:rFonts w:ascii="Sakkal Majalla" w:hAnsi="Sakkal Majalla" w:cs="Sakkal Majalla"/>
          <w:sz w:val="32"/>
          <w:szCs w:val="32"/>
          <w:rtl/>
        </w:rPr>
        <w:t xml:space="preserve"> </w:t>
      </w:r>
      <w:r w:rsidRPr="00991EEB">
        <w:rPr>
          <w:rFonts w:ascii="Sakkal Majalla" w:hAnsi="Sakkal Majalla" w:cs="Sakkal Majalla"/>
          <w:sz w:val="32"/>
          <w:szCs w:val="32"/>
          <w:rtl/>
        </w:rPr>
        <w:t>الحالية في مواجهة الجرائم الإلكترونية المعتمدة على الذكاء الاصطناعي.</w:t>
      </w:r>
    </w:p>
    <w:p w14:paraId="207FB2E2" w14:textId="77777777" w:rsidR="008226BF" w:rsidRPr="00991EEB" w:rsidRDefault="008226BF" w:rsidP="008226BF">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الثاني: التحديات القانونية في تحديد المسؤولية المدنية عن الجرائم الإلكترونية.</w:t>
      </w:r>
    </w:p>
    <w:p w14:paraId="5DFE3F2C" w14:textId="77777777" w:rsidR="008226BF" w:rsidRPr="00991EEB" w:rsidRDefault="008226BF" w:rsidP="008226BF">
      <w:pPr>
        <w:pStyle w:val="a5"/>
        <w:numPr>
          <w:ilvl w:val="0"/>
          <w:numId w:val="23"/>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صعوبة تحديد الفاعل الحقيقي في الجرائم المعتمدة على الذكاء الاصطناعي.</w:t>
      </w:r>
    </w:p>
    <w:p w14:paraId="7DCA683A" w14:textId="77777777" w:rsidR="008226BF" w:rsidRPr="00991EEB" w:rsidRDefault="008226BF" w:rsidP="008226BF">
      <w:pPr>
        <w:pStyle w:val="a5"/>
        <w:numPr>
          <w:ilvl w:val="0"/>
          <w:numId w:val="23"/>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إشكالية التداخل بين مسؤولية المبرمج والمستخدم والنظام التقني.</w:t>
      </w:r>
    </w:p>
    <w:p w14:paraId="590D72D4" w14:textId="77777777" w:rsidR="005D173D" w:rsidRPr="00991EEB" w:rsidRDefault="008226BF" w:rsidP="005D173D">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الفصل الثالث: آثار المسؤولية المدنية وإثباتها في الجرائم الإلكترونية الناتجة عن الذكاء الاصطناعي</w:t>
      </w:r>
      <w:r w:rsidR="00CC12CC" w:rsidRPr="00991EEB">
        <w:rPr>
          <w:rFonts w:ascii="Sakkal Majalla" w:hAnsi="Sakkal Majalla" w:cs="Sakkal Majalla"/>
          <w:b/>
          <w:bCs/>
          <w:sz w:val="32"/>
          <w:szCs w:val="32"/>
          <w:rtl/>
          <w:lang w:bidi="ar-EG"/>
        </w:rPr>
        <w:t xml:space="preserve"> في النظام السعودي</w:t>
      </w:r>
      <w:r w:rsidRPr="00991EEB">
        <w:rPr>
          <w:rFonts w:ascii="Sakkal Majalla" w:hAnsi="Sakkal Majalla" w:cs="Sakkal Majalla"/>
          <w:b/>
          <w:bCs/>
          <w:sz w:val="32"/>
          <w:szCs w:val="32"/>
          <w:rtl/>
          <w:lang w:bidi="ar-EG"/>
        </w:rPr>
        <w:t>.</w:t>
      </w:r>
    </w:p>
    <w:p w14:paraId="73FB0F4C" w14:textId="77777777" w:rsidR="008226BF" w:rsidRPr="00991EEB" w:rsidRDefault="008226BF" w:rsidP="008226BF">
      <w:p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rPr>
        <w:t>المبحث الأول: آثار قيام المسؤولية المدنية في النظام السعودي.</w:t>
      </w:r>
    </w:p>
    <w:p w14:paraId="0186C01D" w14:textId="77777777" w:rsidR="008226BF" w:rsidRPr="00991EEB" w:rsidRDefault="008226BF" w:rsidP="008226BF">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الأول: وسائل التعويض وجبر الضرر في الجرائم الإلكترونية.</w:t>
      </w:r>
    </w:p>
    <w:p w14:paraId="2984C26C" w14:textId="77777777" w:rsidR="008226BF" w:rsidRPr="00991EEB" w:rsidRDefault="008226BF" w:rsidP="008226BF">
      <w:pPr>
        <w:pStyle w:val="a5"/>
        <w:numPr>
          <w:ilvl w:val="0"/>
          <w:numId w:val="26"/>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الوسائل الأصلية للتعويض عن أضرار الذكاء الاصطناعي.</w:t>
      </w:r>
    </w:p>
    <w:p w14:paraId="65237151" w14:textId="77777777" w:rsidR="008226BF" w:rsidRPr="00991EEB" w:rsidRDefault="008226BF" w:rsidP="008226BF">
      <w:pPr>
        <w:pStyle w:val="a5"/>
        <w:numPr>
          <w:ilvl w:val="0"/>
          <w:numId w:val="26"/>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الوسائل البديلة أو الاحتياطية لجبر الضرر المدني.</w:t>
      </w:r>
    </w:p>
    <w:p w14:paraId="1BBF0BBA" w14:textId="77777777" w:rsidR="008226BF" w:rsidRPr="00991EEB" w:rsidRDefault="008226BF" w:rsidP="008226BF">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الثاني: الآثار النظامية والاجتماعية للمسؤولية المدنية.</w:t>
      </w:r>
    </w:p>
    <w:p w14:paraId="0B31B1E5" w14:textId="77777777" w:rsidR="008226BF" w:rsidRPr="00991EEB" w:rsidRDefault="008226BF" w:rsidP="008226BF">
      <w:pPr>
        <w:pStyle w:val="a5"/>
        <w:numPr>
          <w:ilvl w:val="0"/>
          <w:numId w:val="2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الانعكاسات القانونية على الأفراد والمؤسسات.</w:t>
      </w:r>
    </w:p>
    <w:p w14:paraId="0C825112" w14:textId="77777777" w:rsidR="008226BF" w:rsidRPr="00991EEB" w:rsidRDefault="008226BF" w:rsidP="008226BF">
      <w:pPr>
        <w:pStyle w:val="a5"/>
        <w:numPr>
          <w:ilvl w:val="0"/>
          <w:numId w:val="2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أثر الاعتراف بالمسؤولية المدنية على تطوير التشريعات المستقبلية.</w:t>
      </w:r>
    </w:p>
    <w:p w14:paraId="7E6CDFD3" w14:textId="77777777" w:rsidR="008226BF" w:rsidRPr="00991EEB" w:rsidRDefault="008226BF" w:rsidP="008226BF">
      <w:p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rPr>
        <w:t>المبحث الثاني: إثبات المسؤولية المدنية ونفيها في الجرائم الإلكترونية</w:t>
      </w:r>
      <w:r w:rsidR="000B1E9F" w:rsidRPr="00991EEB">
        <w:rPr>
          <w:rFonts w:ascii="Sakkal Majalla" w:hAnsi="Sakkal Majalla" w:cs="Sakkal Majalla"/>
          <w:b/>
          <w:bCs/>
          <w:sz w:val="32"/>
          <w:szCs w:val="32"/>
          <w:rtl/>
        </w:rPr>
        <w:t xml:space="preserve"> في النظام السعودي.</w:t>
      </w:r>
    </w:p>
    <w:p w14:paraId="31D39C03" w14:textId="77777777" w:rsidR="008226BF" w:rsidRPr="00991EEB" w:rsidRDefault="008226BF" w:rsidP="008226BF">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الأول: وسائل إثبات المسؤولية المدنية الناتجة عن الذكاء الاصطناعي.</w:t>
      </w:r>
    </w:p>
    <w:p w14:paraId="1E14EA65" w14:textId="77777777" w:rsidR="008226BF" w:rsidRPr="00991EEB" w:rsidRDefault="008226BF" w:rsidP="008226BF">
      <w:pPr>
        <w:pStyle w:val="a5"/>
        <w:numPr>
          <w:ilvl w:val="0"/>
          <w:numId w:val="30"/>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lastRenderedPageBreak/>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الأدلة الرقمية وإجراءات التتبع الإلكتروني.</w:t>
      </w:r>
    </w:p>
    <w:p w14:paraId="2370ED39" w14:textId="77777777" w:rsidR="008226BF" w:rsidRPr="00991EEB" w:rsidRDefault="008226BF" w:rsidP="008226BF">
      <w:pPr>
        <w:pStyle w:val="a5"/>
        <w:numPr>
          <w:ilvl w:val="0"/>
          <w:numId w:val="30"/>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دور الخبرة الفنية والتقارير التقنية في إثبات الضرر.</w:t>
      </w:r>
    </w:p>
    <w:p w14:paraId="3E4976F4" w14:textId="77777777" w:rsidR="008226BF" w:rsidRPr="00991EEB" w:rsidRDefault="008226BF" w:rsidP="008226BF">
      <w:pPr>
        <w:pStyle w:val="a5"/>
        <w:numPr>
          <w:ilvl w:val="0"/>
          <w:numId w:val="9"/>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المطلب الثاني: أوجه نفي أو دفع المسؤولية المدنية.</w:t>
      </w:r>
    </w:p>
    <w:p w14:paraId="236540EA" w14:textId="77777777" w:rsidR="008226BF" w:rsidRPr="00991EEB" w:rsidRDefault="008226BF" w:rsidP="008226BF">
      <w:pPr>
        <w:pStyle w:val="a5"/>
        <w:numPr>
          <w:ilvl w:val="0"/>
          <w:numId w:val="31"/>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الأول</w:t>
      </w:r>
      <w:r w:rsidRPr="00991EEB">
        <w:rPr>
          <w:rFonts w:ascii="Sakkal Majalla" w:hAnsi="Sakkal Majalla" w:cs="Sakkal Majalla"/>
          <w:b/>
          <w:bCs/>
          <w:sz w:val="32"/>
          <w:szCs w:val="32"/>
          <w:rtl/>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موانع المسؤولية في النظام السعودي.</w:t>
      </w:r>
    </w:p>
    <w:p w14:paraId="7E78156A" w14:textId="77777777" w:rsidR="008226BF" w:rsidRPr="00991EEB" w:rsidRDefault="008226BF" w:rsidP="008226BF">
      <w:pPr>
        <w:pStyle w:val="a5"/>
        <w:numPr>
          <w:ilvl w:val="0"/>
          <w:numId w:val="31"/>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b/>
          <w:bCs/>
          <w:sz w:val="32"/>
          <w:szCs w:val="32"/>
          <w:rtl/>
        </w:rPr>
        <w:t>الفرع الثاني</w:t>
      </w:r>
      <w:r w:rsidRPr="00991EEB">
        <w:rPr>
          <w:rFonts w:ascii="Sakkal Majalla" w:hAnsi="Sakkal Majalla" w:cs="Sakkal Majalla"/>
          <w:b/>
          <w:bCs/>
          <w:sz w:val="32"/>
          <w:szCs w:val="32"/>
          <w:lang w:bidi="ar-EG"/>
        </w:rPr>
        <w:t>:</w:t>
      </w: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rPr>
        <w:t>الأعذار القانونية والتقنية الدافعة للمسؤولية.</w:t>
      </w:r>
    </w:p>
    <w:p w14:paraId="5FDA7D7D" w14:textId="77777777" w:rsidR="00C879FD" w:rsidRPr="00991EEB" w:rsidRDefault="00C879FD" w:rsidP="00DA2961">
      <w:p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 xml:space="preserve">الفصل الرابع: </w:t>
      </w:r>
    </w:p>
    <w:p w14:paraId="5C0D1986" w14:textId="77777777" w:rsidR="008226BF" w:rsidRPr="00991EEB" w:rsidRDefault="00102FD3" w:rsidP="008226BF">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أولاً النتائج.</w:t>
      </w:r>
    </w:p>
    <w:p w14:paraId="7D98FFD8" w14:textId="77777777" w:rsidR="00102FD3" w:rsidRPr="00991EEB" w:rsidRDefault="00102FD3" w:rsidP="00102FD3">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ثانياً التوصيات.</w:t>
      </w:r>
    </w:p>
    <w:p w14:paraId="719BFD53"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08523CBC"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55F0BB35"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0F4AC1F7"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41FFCED0"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0DADD03E"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601A835C"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742E3A09" w14:textId="77777777" w:rsidR="0008326B" w:rsidRPr="00991EEB" w:rsidRDefault="0008326B" w:rsidP="0008326B">
      <w:pPr>
        <w:bidi/>
        <w:spacing w:line="360" w:lineRule="auto"/>
        <w:jc w:val="lowKashida"/>
        <w:rPr>
          <w:rFonts w:ascii="Sakkal Majalla" w:hAnsi="Sakkal Majalla" w:cs="Sakkal Majalla"/>
          <w:sz w:val="32"/>
          <w:szCs w:val="32"/>
          <w:rtl/>
          <w:lang w:bidi="ar-EG"/>
        </w:rPr>
      </w:pPr>
    </w:p>
    <w:p w14:paraId="51768186" w14:textId="77777777" w:rsidR="00991EEB" w:rsidRPr="00991EEB" w:rsidRDefault="00991EEB" w:rsidP="00991EEB">
      <w:pPr>
        <w:bidi/>
        <w:spacing w:line="360" w:lineRule="auto"/>
        <w:jc w:val="center"/>
        <w:rPr>
          <w:rFonts w:ascii="Sakkal Majalla" w:hAnsi="Sakkal Majalla" w:cs="Sakkal Majalla"/>
          <w:b/>
          <w:bCs/>
          <w:sz w:val="32"/>
          <w:szCs w:val="32"/>
          <w:u w:val="single"/>
        </w:rPr>
      </w:pPr>
      <w:r w:rsidRPr="00991EEB">
        <w:rPr>
          <w:rFonts w:ascii="Sakkal Majalla" w:hAnsi="Sakkal Majalla" w:cs="Sakkal Majalla"/>
          <w:b/>
          <w:bCs/>
          <w:sz w:val="32"/>
          <w:szCs w:val="32"/>
          <w:u w:val="single"/>
          <w:rtl/>
        </w:rPr>
        <w:lastRenderedPageBreak/>
        <w:t>الفصل الأول: الإطار المفاهيمي للذكاء الاصطناعي.</w:t>
      </w:r>
    </w:p>
    <w:p w14:paraId="4A53D0E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يشهد العالم المعاصر تحوّلًا تقنيًا غير مسبوق تقوده أنظمة الذكاء الاصطناعي التي لم تعد مجرد أدوات برمجية مساندة، بل أصبحت بنى تقنية قادرة على التعلم الذاتي، وتحليل البيانات الضخمة، واتخاذ قرارات تتسم بدرجة متفاوتة من الاستقلالية وقد انعكس هذا التحول على مختلف القطاعات الاقتصادية والأمنية والإدارية، وأعاد تشكيل أنماط التفاعل الرقمي، الأمر الذي فرض على الأنظمة القانونية تحديات نوعية تتعلق بتكييف هذه الظاهرة المستجدة ضمن الأطر المفاهيمية التقليدية للقانون</w:t>
      </w:r>
      <w:r w:rsidRPr="00991EEB">
        <w:rPr>
          <w:rStyle w:val="a4"/>
          <w:rFonts w:ascii="Sakkal Majalla" w:hAnsi="Sakkal Majalla" w:cs="Sakkal Majalla"/>
          <w:sz w:val="32"/>
          <w:szCs w:val="32"/>
          <w:rtl/>
        </w:rPr>
        <w:footnoteReference w:id="5"/>
      </w:r>
      <w:r w:rsidRPr="00991EEB">
        <w:rPr>
          <w:rFonts w:ascii="Sakkal Majalla" w:hAnsi="Sakkal Majalla" w:cs="Sakkal Majalla"/>
          <w:sz w:val="32"/>
          <w:szCs w:val="32"/>
          <w:rtl/>
        </w:rPr>
        <w:t>.</w:t>
      </w:r>
    </w:p>
    <w:p w14:paraId="0C8275A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وإذا كان البحث في المسؤولية المدنية الناشئة عن الجرائم الإلكترونية المرتكبة باستخدام الذكاء الاصطناعي يقتضي تحليل الأثر القانوني للفعل الضار وتحديد من يسند إليه الضمان، فإن ذلك يفترض ابتداءً ضبط المفهوم محل الدراسة وبيان خصائصه الجوهرية وحدوده النظرية فغياب تعريف قانوني دقيق للذكاء الاصطناعي، وتعدد استعمالاته التقنية، وتطور قدراته بصورة متسارعة، جميعها عوامل تجعل من تحديد طبيعته القانونية خطوة أساسية لفهم الإشكاليات اللاحقة المتعلقة بالمسؤولية والإثبات والتعويض</w:t>
      </w:r>
      <w:r w:rsidRPr="00991EEB">
        <w:rPr>
          <w:rStyle w:val="a4"/>
          <w:rFonts w:ascii="Sakkal Majalla" w:hAnsi="Sakkal Majalla" w:cs="Sakkal Majalla"/>
          <w:sz w:val="32"/>
          <w:szCs w:val="32"/>
          <w:rtl/>
        </w:rPr>
        <w:footnoteReference w:id="6"/>
      </w:r>
      <w:r w:rsidRPr="00991EEB">
        <w:rPr>
          <w:rFonts w:ascii="Sakkal Majalla" w:hAnsi="Sakkal Majalla" w:cs="Sakkal Majalla"/>
          <w:sz w:val="32"/>
          <w:szCs w:val="32"/>
          <w:rtl/>
        </w:rPr>
        <w:t>.</w:t>
      </w:r>
    </w:p>
    <w:p w14:paraId="03E9516E"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 xml:space="preserve">كما أن تنامي الاعتماد على تقنيات الذكاء الاصطناعي في المملكة العربية السعودية، في إطار التحول الرقمي الشامل وتعزيز الاقتصاد المعرفي، يضفي على هذه الدراسة بعدًا تطبيقيًا مهمًا، إذ لم يعد الذكاء الاصطناعي مفهومًا نظريًا، بل أصبح واقعًا عمليًا حاضرًا في الأنظمة الحكومية، </w:t>
      </w:r>
      <w:r w:rsidRPr="00991EEB">
        <w:rPr>
          <w:rFonts w:ascii="Sakkal Majalla" w:hAnsi="Sakkal Majalla" w:cs="Sakkal Majalla"/>
          <w:sz w:val="32"/>
          <w:szCs w:val="32"/>
          <w:rtl/>
        </w:rPr>
        <w:lastRenderedPageBreak/>
        <w:t>والقطاع المالي، والخدمات الصحية، والأمن السيبراني ومن ثم فإن بيان دوره وتطبيقاته المعاصرة في المملكة يُعد مدخلًا ضروريًا لفهم البيئة القانونية التي تنشأ فيها صور المسؤولية المدنية محل البحث.</w:t>
      </w:r>
    </w:p>
    <w:p w14:paraId="28E5ABCC"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وانطلاقًا من ذلك يتناول هذا الفصل الإطار المفاهيمي للذكاء الاصطناعي من خلال محورين رئيسين: أولهما تحديد مفهومه وخصائصه، وبيان جوانبه الإيجابية والسلبية، وثانيهما عرض دوره وتطبيقاته في المملكة العربية السعودية، مع تمييزه عن المفاهيم التقنية المشابهة، وتصنيفه وفق مستويات الأداء ومجالات الاستخدام ويعد هذا التأصيل النظري تمهيدًا لازمًا للانتقال في الفصل التالي إلى تحليل الأساس القانوني للمسؤولية المدنية عن الأفعال الناشئة عن استخدام هذه التقنيات في الجرائم الإلكترونية.</w:t>
      </w:r>
    </w:p>
    <w:p w14:paraId="0DFC8BDA"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المبحث الأول: التعريف بالذكاء الاصطناعي.</w:t>
      </w:r>
    </w:p>
    <w:p w14:paraId="2C8DDC6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تحديد المفهوم الدقيق للذكاء الاصطناعي خطوة منهجية أساسية لفهم الإشكاليات القانونية التي يثيرها، إذ لا يمكن معالجة آثار استخدامه أو بحث المسؤولية الناشئة عنه دون الوقوف على طبيعته وحدوده وخصائصه الجوهرية فالذكاء الاصطناعي ليس مجرد تقنية واحدة محددة المعالم، بل هو إطار شامل يضم مجموعة من الأنظمة والخوارزميات التي تتباين في درجة تعقيدها وقدرتها على التعلم والتفاعل، الأمر الذي أدى إلى تعدد تعريفاته واختلاف زوايا النظر إليه بين البعد التقني والبعد القانوني</w:t>
      </w:r>
      <w:r w:rsidRPr="00991EEB">
        <w:rPr>
          <w:rStyle w:val="a4"/>
          <w:rFonts w:ascii="Sakkal Majalla" w:hAnsi="Sakkal Majalla" w:cs="Sakkal Majalla"/>
          <w:sz w:val="32"/>
          <w:szCs w:val="32"/>
          <w:rtl/>
        </w:rPr>
        <w:footnoteReference w:id="7"/>
      </w:r>
      <w:r w:rsidRPr="00991EEB">
        <w:rPr>
          <w:rFonts w:ascii="Sakkal Majalla" w:hAnsi="Sakkal Majalla" w:cs="Sakkal Majalla"/>
          <w:sz w:val="32"/>
          <w:szCs w:val="32"/>
          <w:rtl/>
        </w:rPr>
        <w:t>.</w:t>
      </w:r>
    </w:p>
    <w:p w14:paraId="594D035B"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lastRenderedPageBreak/>
        <w:t>وقد ترتب على هذا التعدد المفاهيمي ظهور تباين في فهم نطاق الذكاء الاصطناعي، خاصة فيما يتعلق بمدى استقلاله عن الإرادة البشرية، وطبيعة القرارات التي يتخذها، وحدود تدخّل العنصر البشري في تشغيله وتوجيهه. وتبرز أهمية هذا التحديد المفاهيمي في الدراسات القانونية، لأن توصيف الذكاء الاصطناعي يؤثر مباشرة في تكييف الأفعال الصادرة عنه، وفي تحديد الأساس الذي يمكن الاستناد إليه لإسناد المسؤولية المدنية عند وقوع ضرر</w:t>
      </w:r>
      <w:r w:rsidRPr="00991EEB">
        <w:rPr>
          <w:rStyle w:val="a4"/>
          <w:rFonts w:ascii="Sakkal Majalla" w:hAnsi="Sakkal Majalla" w:cs="Sakkal Majalla"/>
          <w:sz w:val="32"/>
          <w:szCs w:val="32"/>
          <w:rtl/>
        </w:rPr>
        <w:footnoteReference w:id="8"/>
      </w:r>
      <w:r w:rsidRPr="00991EEB">
        <w:rPr>
          <w:rFonts w:ascii="Sakkal Majalla" w:hAnsi="Sakkal Majalla" w:cs="Sakkal Majalla"/>
          <w:sz w:val="32"/>
          <w:szCs w:val="32"/>
          <w:rtl/>
        </w:rPr>
        <w:t>.</w:t>
      </w:r>
    </w:p>
    <w:p w14:paraId="7A868CC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جهة أخرى فإن دراسة الذكاء الاصطناعي لا تقتصر على بيان خصائصه التقنية، بل تمتد إلى تحليل آثاره العملية والاجتماعية والاقتصادية، وما يرتبط بها من مزايا ومخاطر. فقد أسهمت تطبيقاته في تطوير الأداء المؤسسي وتعزيز الكفاءة التشغيلية، وفي المقابل أثارت تحديات قانونية وأخلاقية تتعلق بالأمن السيبراني، وحماية البيانات، وتحديد المسؤولية عند وقوع أضرار ومن ثم فإن عرض الجوانب الإيجابية والسلبية لا يعد مجرد استعراض وصفي، وإنما يمثل مدخلًا ضروريًا لفهم البيئة التي تنشأ فيها الإشكاليات القانونية المرتبطة به .</w:t>
      </w:r>
    </w:p>
    <w:p w14:paraId="16D39C84"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وانطلاقًا من ذلك يتناول هذا المبحث تحديد مفهوم الذكاء الاصطناعي وبيان سماته الجوهرية التي تميّزه عن غيره من الأنظمة التقنية، ثم يعرض أبرز مزاياه العملية وما يقابله من مخاطر وتحديات، تمهيدًا للانتقال في الفصول اللاحقة إلى بحث الآثار القانونية المترتبة على استخدامه، ولا سيما في نطاق المسؤولية المدنية الناشئة عن الجرائم الإلكترونية</w:t>
      </w:r>
      <w:r w:rsidRPr="00991EEB">
        <w:rPr>
          <w:rStyle w:val="a4"/>
          <w:rFonts w:ascii="Sakkal Majalla" w:hAnsi="Sakkal Majalla" w:cs="Sakkal Majalla"/>
          <w:sz w:val="32"/>
          <w:szCs w:val="32"/>
          <w:rtl/>
        </w:rPr>
        <w:footnoteReference w:id="9"/>
      </w:r>
      <w:r w:rsidRPr="00991EEB">
        <w:rPr>
          <w:rFonts w:ascii="Sakkal Majalla" w:hAnsi="Sakkal Majalla" w:cs="Sakkal Majalla"/>
          <w:sz w:val="32"/>
          <w:szCs w:val="32"/>
          <w:rtl/>
        </w:rPr>
        <w:t>.</w:t>
      </w:r>
    </w:p>
    <w:p w14:paraId="4F282EEC" w14:textId="77777777" w:rsidR="00991EEB" w:rsidRPr="00991EEB" w:rsidRDefault="00991EEB" w:rsidP="00991EEB">
      <w:pPr>
        <w:bidi/>
        <w:spacing w:line="360" w:lineRule="auto"/>
        <w:jc w:val="mediumKashida"/>
        <w:rPr>
          <w:rFonts w:ascii="Sakkal Majalla" w:hAnsi="Sakkal Majalla" w:cs="Sakkal Majalla"/>
          <w:sz w:val="32"/>
          <w:szCs w:val="32"/>
          <w:rtl/>
        </w:rPr>
      </w:pPr>
    </w:p>
    <w:p w14:paraId="539CEBB3" w14:textId="77777777" w:rsidR="00991EEB" w:rsidRPr="00991EEB" w:rsidRDefault="00991EEB" w:rsidP="00991EEB">
      <w:pPr>
        <w:bidi/>
        <w:spacing w:line="360" w:lineRule="auto"/>
        <w:jc w:val="mediumKashida"/>
        <w:rPr>
          <w:rFonts w:ascii="Sakkal Majalla" w:hAnsi="Sakkal Majalla" w:cs="Sakkal Majalla"/>
          <w:sz w:val="32"/>
          <w:szCs w:val="32"/>
        </w:rPr>
      </w:pPr>
    </w:p>
    <w:p w14:paraId="460B154F" w14:textId="77777777" w:rsidR="00991EEB" w:rsidRPr="00991EEB" w:rsidRDefault="00991EEB" w:rsidP="00991EEB">
      <w:pPr>
        <w:pStyle w:val="a5"/>
        <w:numPr>
          <w:ilvl w:val="0"/>
          <w:numId w:val="32"/>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المطلب الأول: المفهوم والسمات الجوهرية للذكاء الاصطناعي.</w:t>
      </w:r>
    </w:p>
    <w:p w14:paraId="323D450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يمثل ضبط المفهوم القانوني للذكاء الاصطناعي مدخلًا أساسيًا لأي دراسة تتناول آثاره النظامية، ولا سيما في مجال المسؤولية المدنية، إذ إن تحديد طبيعة هذا الكيان وحدود عمله يعد الخطوة الأولى لفهم مدى خضوع أفعاله للقواعد العامة للمسؤولية فالذكاء الاصطناعي ليس مصطلحًا تقنيًا فحسب، بل أصبح مفهومًا متعدد الأبعاد تتداخل فيه الجوانب التقنية والفلسفية والقانونية، الأمر الذي يستلزم تحليلًا دقيقًا يراعي طبيعة الدراسة القانونية وأهدافها</w:t>
      </w:r>
      <w:r w:rsidRPr="00991EEB">
        <w:rPr>
          <w:rStyle w:val="a4"/>
          <w:rFonts w:ascii="Sakkal Majalla" w:hAnsi="Sakkal Majalla" w:cs="Sakkal Majalla"/>
          <w:sz w:val="32"/>
          <w:szCs w:val="32"/>
          <w:rtl/>
        </w:rPr>
        <w:footnoteReference w:id="10"/>
      </w:r>
      <w:r w:rsidRPr="00991EEB">
        <w:rPr>
          <w:rFonts w:ascii="Sakkal Majalla" w:hAnsi="Sakkal Majalla" w:cs="Sakkal Majalla"/>
          <w:sz w:val="32"/>
          <w:szCs w:val="32"/>
          <w:rtl/>
        </w:rPr>
        <w:t>.</w:t>
      </w:r>
    </w:p>
    <w:p w14:paraId="738DE26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وقد أدى التطور المتسارع في تقنيات الذكاء الاصطناعي إلى تعدد تعريفاته في الأدبيات العلمية والفقهية، تبعًا لاختلاف زاوية النظر إليه؛ فبينما يركز التعريف التقني على قدرته على محاكاة الوظائف الإدراكية البشرية، ينصرف التعريف القانوني إلى بحث مدى استقلاله في اتخاذ القرار، وإمكان ترتب آثار قانونية على الأفعال الصادرة عنه ومن ثم فإن الدراسة لا تكتفي بإيراد تعريف اصطلاحي، بل تسعى إلى استخلاص تعريف وظيفي يتناسب مع متطلبات التكييف القانوني.</w:t>
      </w:r>
    </w:p>
    <w:p w14:paraId="2533607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كما أن الوقوف على السمات الجوهرية للذكاء الاصطناعي يعد أمرًا لازمًا لتمييزه عن البرمجيات التقليدية، وتحديد الخصائص التي قد تؤثر في إسناد المسؤولية، مثل خاصية التعلم الذاتي، والاستقلال النسبي في اتخاذ القرار، وتعقيد البنية الخوارزمية فهذه الخصائص هي التي تثير </w:t>
      </w:r>
      <w:r w:rsidRPr="00991EEB">
        <w:rPr>
          <w:rFonts w:ascii="Sakkal Majalla" w:hAnsi="Sakkal Majalla" w:cs="Sakkal Majalla"/>
          <w:sz w:val="32"/>
          <w:szCs w:val="32"/>
          <w:rtl/>
        </w:rPr>
        <w:lastRenderedPageBreak/>
        <w:t>الإشكاليات القانونية، خاصة عند وقوع ضرر نتيجة فعل صادر عن نظام ذكي دون تدخل بشري مباشر</w:t>
      </w:r>
      <w:r w:rsidRPr="00991EEB">
        <w:rPr>
          <w:rStyle w:val="a4"/>
          <w:rFonts w:ascii="Sakkal Majalla" w:hAnsi="Sakkal Majalla" w:cs="Sakkal Majalla"/>
          <w:sz w:val="32"/>
          <w:szCs w:val="32"/>
          <w:rtl/>
        </w:rPr>
        <w:footnoteReference w:id="11"/>
      </w:r>
      <w:r w:rsidRPr="00991EEB">
        <w:rPr>
          <w:rFonts w:ascii="Sakkal Majalla" w:hAnsi="Sakkal Majalla" w:cs="Sakkal Majalla"/>
          <w:sz w:val="32"/>
          <w:szCs w:val="32"/>
          <w:rtl/>
        </w:rPr>
        <w:t>.</w:t>
      </w:r>
    </w:p>
    <w:p w14:paraId="3F09519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يتناول هذا المطلب في فرعه الأول بيان تعريف الذكاء الاصطناعي من منظور قانوني تحليلي، ثم يعرض في فرعه الثاني أبرز السمات التي تميّزه، تمهيدًا لبحث انعكاس هذه الخصائص على القواعد المنظمة للمسؤولية المدنية في الفصول اللاحقة.</w:t>
      </w:r>
    </w:p>
    <w:p w14:paraId="638BA77B" w14:textId="77777777" w:rsidR="00991EEB" w:rsidRPr="00991EEB" w:rsidRDefault="00991EEB" w:rsidP="00991EEB">
      <w:pPr>
        <w:pStyle w:val="a5"/>
        <w:numPr>
          <w:ilvl w:val="0"/>
          <w:numId w:val="33"/>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الفرع الأول: تعريف الذكاء الاصطناعي.</w:t>
      </w:r>
    </w:p>
    <w:p w14:paraId="7FA4F82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الذكاء الاصطناعي من المفاهيم “المتحركة” التي يصعب حصرها في تعريف واحد ثابت، ليس فقط بسبب التطور المتسارع للتقنيات المرتبطة به، بل كذلك لاختلاف زاوية النظر إليه بين العلوم الحاسوبية من جهة، والعلوم القانونية من جهة أخرى فالتعريفات التقنية غالبًا ما تركز على “كيف يعمل” النظام، بينما تسعى التعريفات القانونية إلى ضبط “متى يعدّ النظام ذكاءً اصطناعيًا” وما الذي يترتب على ذلك من آثار، مثل: نطاق التنظيم، وحدود الالتزامات، وإمكان مساءلة الجهات القائمة عليه عند وقوع الضرر</w:t>
      </w:r>
      <w:r w:rsidRPr="00991EEB">
        <w:rPr>
          <w:rStyle w:val="a4"/>
          <w:rFonts w:ascii="Sakkal Majalla" w:hAnsi="Sakkal Majalla" w:cs="Sakkal Majalla"/>
          <w:sz w:val="32"/>
          <w:szCs w:val="32"/>
          <w:rtl/>
        </w:rPr>
        <w:footnoteReference w:id="12"/>
      </w:r>
      <w:r w:rsidRPr="00991EEB">
        <w:rPr>
          <w:rFonts w:ascii="Sakkal Majalla" w:hAnsi="Sakkal Majalla" w:cs="Sakkal Majalla"/>
          <w:sz w:val="32"/>
          <w:szCs w:val="32"/>
          <w:rtl/>
        </w:rPr>
        <w:t>.</w:t>
      </w:r>
    </w:p>
    <w:p w14:paraId="76D1655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ومن الناحية اللغوية/ الاصطلاحية العامة يتكون المصطلح من شقين: “الذكاء” الذي يدل على القدرة على الفهم والاستنتاج وحل المشكلات، و”الاصطناعي” الذي يفيد أن هذه القدرة ليست ناتجة عن عقل بشري، بل عن صنع تقني. غير أن هذا المدخل اللغوي لا يكفي قانونيًا، لأنه لا يبين </w:t>
      </w:r>
      <w:r w:rsidRPr="00991EEB">
        <w:rPr>
          <w:rFonts w:ascii="Sakkal Majalla" w:hAnsi="Sakkal Majalla" w:cs="Sakkal Majalla"/>
          <w:sz w:val="32"/>
          <w:szCs w:val="32"/>
          <w:rtl/>
        </w:rPr>
        <w:lastRenderedPageBreak/>
        <w:t>معيار التمييز بين البرامج التقليدية وأنظمة الذكاء الاصطناعي، ولا يوضح درجة الاستقلالية أو القدرة على التكيف التي تعد جوهرية في الإثبات وفي إسناد المسؤولية عند حدوث ضرر</w:t>
      </w:r>
      <w:r w:rsidRPr="00991EEB">
        <w:rPr>
          <w:rStyle w:val="a4"/>
          <w:rFonts w:ascii="Sakkal Majalla" w:hAnsi="Sakkal Majalla" w:cs="Sakkal Majalla"/>
          <w:sz w:val="32"/>
          <w:szCs w:val="32"/>
          <w:rtl/>
        </w:rPr>
        <w:footnoteReference w:id="13"/>
      </w:r>
      <w:r w:rsidRPr="00991EEB">
        <w:rPr>
          <w:rFonts w:ascii="Sakkal Majalla" w:hAnsi="Sakkal Majalla" w:cs="Sakkal Majalla"/>
          <w:sz w:val="32"/>
          <w:szCs w:val="32"/>
          <w:rtl/>
        </w:rPr>
        <w:t>.</w:t>
      </w:r>
    </w:p>
    <w:p w14:paraId="5A29544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لهذا اتجهت التعريفات الحديثة ذات الطابع المعياري إلى تبني منهج “وظيفي” يعرّف الذكاء الاصطناعي بناءً على ما يقوم به النظام من عمليات استدلال (</w:t>
      </w:r>
      <w:r w:rsidRPr="00991EEB">
        <w:rPr>
          <w:rFonts w:ascii="Sakkal Majalla" w:hAnsi="Sakkal Majalla" w:cs="Sakkal Majalla"/>
          <w:sz w:val="32"/>
          <w:szCs w:val="32"/>
        </w:rPr>
        <w:t>Inference</w:t>
      </w:r>
      <w:r w:rsidRPr="00991EEB">
        <w:rPr>
          <w:rFonts w:ascii="Sakkal Majalla" w:hAnsi="Sakkal Majalla" w:cs="Sakkal Majalla"/>
          <w:sz w:val="32"/>
          <w:szCs w:val="32"/>
          <w:rtl/>
        </w:rPr>
        <w:t>) وإنتاج مخرجات تؤثر في البيئة. ومن أبرز هذه التعريفات ما ورد في توصية منظمة التعاون الاقتصادي والتنمية (</w:t>
      </w:r>
      <w:r w:rsidRPr="00991EEB">
        <w:rPr>
          <w:rFonts w:ascii="Sakkal Majalla" w:hAnsi="Sakkal Majalla" w:cs="Sakkal Majalla"/>
          <w:sz w:val="32"/>
          <w:szCs w:val="32"/>
        </w:rPr>
        <w:t>OECD</w:t>
      </w:r>
      <w:r w:rsidRPr="00991EEB">
        <w:rPr>
          <w:rFonts w:ascii="Sakkal Majalla" w:hAnsi="Sakkal Majalla" w:cs="Sakkal Majalla"/>
          <w:sz w:val="32"/>
          <w:szCs w:val="32"/>
          <w:rtl/>
        </w:rPr>
        <w:t>) بشأن الذكاء الاصطناعي؛ إذ عرفت “نظام الذكاء الاصطناعي” بأنه نظام قائم على آلة يستدل—لأهداف صريحة أو ضمنية—من المدخلات التي يتلقاها، على كيفية توليد مخرجات مثل: التنبؤات أو المحتوى أو التوصيات أو القرارات التي يمكن أن تؤثر في بيئات مادية أو افتراضية، مع اختلاف الأنظمة في مستويات الاستقلالية وقابلية التكيف بعد النشر</w:t>
      </w:r>
      <w:r w:rsidRPr="00991EEB">
        <w:rPr>
          <w:rStyle w:val="a4"/>
          <w:rFonts w:ascii="Sakkal Majalla" w:hAnsi="Sakkal Majalla" w:cs="Sakkal Majalla"/>
          <w:sz w:val="32"/>
          <w:szCs w:val="32"/>
          <w:rtl/>
        </w:rPr>
        <w:footnoteReference w:id="14"/>
      </w:r>
      <w:r w:rsidRPr="00991EEB">
        <w:rPr>
          <w:rFonts w:ascii="Sakkal Majalla" w:hAnsi="Sakkal Majalla" w:cs="Sakkal Majalla"/>
          <w:sz w:val="32"/>
          <w:szCs w:val="32"/>
          <w:rtl/>
        </w:rPr>
        <w:t>.</w:t>
      </w:r>
    </w:p>
    <w:p w14:paraId="7E9419D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ويقترب من هذا الاتجاه التعريف الذي تبناه إطار الاتحاد الأوروبي في قانون الذكاء الاصطناعي (</w:t>
      </w:r>
      <w:r w:rsidRPr="00991EEB">
        <w:rPr>
          <w:rFonts w:ascii="Sakkal Majalla" w:hAnsi="Sakkal Majalla" w:cs="Sakkal Majalla"/>
          <w:sz w:val="32"/>
          <w:szCs w:val="32"/>
        </w:rPr>
        <w:t>AI Act</w:t>
      </w:r>
      <w:r w:rsidRPr="00991EEB">
        <w:rPr>
          <w:rFonts w:ascii="Sakkal Majalla" w:hAnsi="Sakkal Majalla" w:cs="Sakkal Majalla"/>
          <w:sz w:val="32"/>
          <w:szCs w:val="32"/>
          <w:rtl/>
        </w:rPr>
        <w:t>)، والذي يركز على عناصر: “النظام القائم على آلة”، و”الاستدلال من المدخلات”، و”إنتاج مخرجات مؤثرة”، وإمكانية وجود أهداف صريحة أو ضمنية، مع الإشارة إلى تفاوت الاستقلالية وإمكان التكيف وتعد أهمية هذا التعريف بالنسبة للدراسات القانونية أنه يرسم حدًا فاصلًا بين الأنظمة الخوارزمية العادية وأنظمة الذكاء الاصطناعي التي تنتج مخرجات مؤثرة في الواقع أو البيئة الرقمية، وهو ما يرتبط مباشرة بتصور المخاطر وتحديد نطاق المسؤولية.</w:t>
      </w:r>
      <w:r w:rsidRPr="00991EEB">
        <w:rPr>
          <w:rStyle w:val="a4"/>
          <w:rFonts w:ascii="Sakkal Majalla" w:hAnsi="Sakkal Majalla" w:cs="Sakkal Majalla"/>
          <w:sz w:val="32"/>
          <w:szCs w:val="32"/>
          <w:rtl/>
        </w:rPr>
        <w:footnoteReference w:id="15"/>
      </w:r>
    </w:p>
    <w:p w14:paraId="12B111D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وعلى المستوى السعودي، تبرز تعريفات مؤسسية ذات طابع إرشادي تركز على الوظائف الجوهرية لأنظمة الذكاء الاصطناعي، مثل قدرتها على التنبؤ أو توليد المحتوى أو تقديم التوصيات أو اتخاذ القرارات وفق مستويات مختلفة من الاستقلالية</w:t>
      </w:r>
      <w:r w:rsidRPr="00991EEB">
        <w:rPr>
          <w:rFonts w:ascii="Sakkal Majalla" w:hAnsi="Sakkal Majalla" w:cs="Sakkal Majalla"/>
          <w:sz w:val="32"/>
          <w:szCs w:val="32"/>
        </w:rPr>
        <w:t xml:space="preserve"> </w:t>
      </w:r>
      <w:r w:rsidRPr="00991EEB">
        <w:rPr>
          <w:rFonts w:ascii="Sakkal Majalla" w:hAnsi="Sakkal Majalla" w:cs="Sakkal Majalla"/>
          <w:sz w:val="32"/>
          <w:szCs w:val="32"/>
          <w:rtl/>
        </w:rPr>
        <w:t>وهذه المقاربة مهمة في سياق الدراسة لأنها تعكس تصورًا وطنيًا لطبيعة الذكاء الاصطناعي بوصفه أنظمة ذات أثر فعلي على الخدمات والقرارات.</w:t>
      </w:r>
    </w:p>
    <w:p w14:paraId="2E066E4D" w14:textId="01D3BEE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وبالانتقال إلى المنظور القانوني التحليلي—وهو الأهم </w:t>
      </w:r>
      <w:r w:rsidR="002507A3">
        <w:rPr>
          <w:rFonts w:ascii="Sakkal Majalla" w:hAnsi="Sakkal Majalla" w:cs="Sakkal Majalla" w:hint="cs"/>
          <w:sz w:val="32"/>
          <w:szCs w:val="32"/>
          <w:rtl/>
        </w:rPr>
        <w:t>بالرسالة</w:t>
      </w:r>
      <w:r w:rsidRPr="00991EEB">
        <w:rPr>
          <w:rFonts w:ascii="Sakkal Majalla" w:hAnsi="Sakkal Majalla" w:cs="Sakkal Majalla"/>
          <w:sz w:val="32"/>
          <w:szCs w:val="32"/>
          <w:rtl/>
        </w:rPr>
        <w:t>—فإن تعريف الذكاء الاصطناعي ينبغي أن يصاغ بصورة تخدم غرضين</w:t>
      </w:r>
      <w:r w:rsidRPr="00991EEB">
        <w:rPr>
          <w:rStyle w:val="a4"/>
          <w:rFonts w:ascii="Sakkal Majalla" w:hAnsi="Sakkal Majalla" w:cs="Sakkal Majalla"/>
          <w:sz w:val="32"/>
          <w:szCs w:val="32"/>
          <w:rtl/>
        </w:rPr>
        <w:footnoteReference w:id="16"/>
      </w:r>
      <w:r w:rsidRPr="00991EEB">
        <w:rPr>
          <w:rFonts w:ascii="Sakkal Majalla" w:hAnsi="Sakkal Majalla" w:cs="Sakkal Majalla"/>
          <w:sz w:val="32"/>
          <w:szCs w:val="32"/>
          <w:rtl/>
        </w:rPr>
        <w:t>:</w:t>
      </w:r>
    </w:p>
    <w:p w14:paraId="47C249DA" w14:textId="77777777" w:rsidR="00991EEB" w:rsidRPr="00991EEB" w:rsidRDefault="00991EEB" w:rsidP="00991EEB">
      <w:pPr>
        <w:pStyle w:val="a5"/>
        <w:numPr>
          <w:ilvl w:val="0"/>
          <w:numId w:val="32"/>
        </w:num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الأول: التمييز بين الذكاء الاصطناعي وبين البرمجيات التقليدية التي تنفذ أوامر محددة دون “استدلال” أو “تعلم” أو “تكيّف”.</w:t>
      </w:r>
    </w:p>
    <w:p w14:paraId="03980DC9" w14:textId="77777777" w:rsidR="00991EEB" w:rsidRPr="00991EEB" w:rsidRDefault="00991EEB" w:rsidP="00991EEB">
      <w:pPr>
        <w:pStyle w:val="a5"/>
        <w:numPr>
          <w:ilvl w:val="0"/>
          <w:numId w:val="32"/>
        </w:num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الثاني: ربط التعريف بالعناصر التي تُنتج الإشكاليات القانونية في المسؤولية المدنية، خصوصًا عند وقوع أضرار أو جرائم إلكترونية يكون الذكاء الاصطناعي أداةً فيها أو وسيطًا أو جزءًا من سلسلة الفعل الضار.</w:t>
      </w:r>
    </w:p>
    <w:p w14:paraId="7B558679"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يمكن اعتماد تعريف إجرائي مناسب لموضوع الرسالة (المسؤولية المدنية عن الجرائم الإلكترونية باستخدام الذكاء الاصطناعي) على النحو الآتي</w:t>
      </w:r>
      <w:r w:rsidRPr="00991EEB">
        <w:rPr>
          <w:rStyle w:val="a4"/>
          <w:rFonts w:ascii="Sakkal Majalla" w:hAnsi="Sakkal Majalla" w:cs="Sakkal Majalla"/>
          <w:sz w:val="32"/>
          <w:szCs w:val="32"/>
          <w:rtl/>
        </w:rPr>
        <w:footnoteReference w:id="17"/>
      </w:r>
      <w:r w:rsidRPr="00991EEB">
        <w:rPr>
          <w:rFonts w:ascii="Sakkal Majalla" w:hAnsi="Sakkal Majalla" w:cs="Sakkal Majalla"/>
          <w:sz w:val="32"/>
          <w:szCs w:val="32"/>
          <w:rtl/>
        </w:rPr>
        <w:t>:</w:t>
      </w:r>
    </w:p>
    <w:p w14:paraId="1B14C17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الذكاء الاصطناعي هو: “منظومة تقنية قائمة على معالجة البيانات والخوارزميات، تستدل من مدخلات تتلقاها—لتحقيق أهداف محددة صراحة أو ضمنًا—على كيفية توليد مخرجات </w:t>
      </w:r>
      <w:r w:rsidRPr="00991EEB">
        <w:rPr>
          <w:rFonts w:ascii="Sakkal Majalla" w:hAnsi="Sakkal Majalla" w:cs="Sakkal Majalla"/>
          <w:sz w:val="32"/>
          <w:szCs w:val="32"/>
          <w:rtl/>
        </w:rPr>
        <w:lastRenderedPageBreak/>
        <w:t>(كتنبؤات أو توصيات أو محتوى أو قرارات) قد تؤثر في البيئة الرقمية أو المادية، وتعمل بدرجات متفاوتة من الاستقلالية وقد تُظهر قابلية للتكيف بعد التشغيل.”</w:t>
      </w:r>
    </w:p>
    <w:p w14:paraId="064F1FF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ويمتاز هذا التعريف الإجرائي—في سياق المسؤولية المدنية—بأنه يبرز العناصر الأكثر التصاقًا بمحل النزاع القانوني، وهي:</w:t>
      </w:r>
    </w:p>
    <w:p w14:paraId="248B0F5E" w14:textId="077F1C5C" w:rsidR="00991EEB" w:rsidRPr="00991EEB" w:rsidRDefault="00991EEB" w:rsidP="00991EEB">
      <w:pPr>
        <w:pStyle w:val="a5"/>
        <w:numPr>
          <w:ilvl w:val="0"/>
          <w:numId w:val="33"/>
        </w:num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كونه “نظامًا قائمًا على آلة” لا مجرد برنامج تقليدي</w:t>
      </w:r>
      <w:r w:rsidR="002507A3">
        <w:rPr>
          <w:rFonts w:ascii="Sakkal Majalla" w:hAnsi="Sakkal Majalla" w:cs="Sakkal Majalla" w:hint="cs"/>
          <w:sz w:val="32"/>
          <w:szCs w:val="32"/>
          <w:rtl/>
        </w:rPr>
        <w:t>.</w:t>
      </w:r>
    </w:p>
    <w:p w14:paraId="05D9568E" w14:textId="7F845EAC" w:rsidR="00991EEB" w:rsidRPr="00991EEB" w:rsidRDefault="00991EEB" w:rsidP="00991EEB">
      <w:pPr>
        <w:pStyle w:val="a5"/>
        <w:numPr>
          <w:ilvl w:val="0"/>
          <w:numId w:val="33"/>
        </w:num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قيامه بعملية “استدلال” من المدخلات وليس مجرد تنفيذ تعليمات</w:t>
      </w:r>
      <w:r w:rsidR="002507A3">
        <w:rPr>
          <w:rFonts w:ascii="Sakkal Majalla" w:hAnsi="Sakkal Majalla" w:cs="Sakkal Majalla" w:hint="cs"/>
          <w:sz w:val="32"/>
          <w:szCs w:val="32"/>
          <w:rtl/>
        </w:rPr>
        <w:t>.</w:t>
      </w:r>
    </w:p>
    <w:p w14:paraId="7DDA2B0C" w14:textId="34E0A315" w:rsidR="00991EEB" w:rsidRPr="00991EEB" w:rsidRDefault="00991EEB" w:rsidP="00991EEB">
      <w:pPr>
        <w:pStyle w:val="a5"/>
        <w:numPr>
          <w:ilvl w:val="0"/>
          <w:numId w:val="33"/>
        </w:num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إنتاجه “مخرجات” ذات أثر (وهذا هو جوهر الضرر/التعدي)</w:t>
      </w:r>
      <w:r w:rsidR="002507A3">
        <w:rPr>
          <w:rFonts w:ascii="Sakkal Majalla" w:hAnsi="Sakkal Majalla" w:cs="Sakkal Majalla" w:hint="cs"/>
          <w:sz w:val="32"/>
          <w:szCs w:val="32"/>
          <w:rtl/>
        </w:rPr>
        <w:t>.</w:t>
      </w:r>
    </w:p>
    <w:p w14:paraId="35B264AB" w14:textId="77777777" w:rsidR="00991EEB" w:rsidRPr="00991EEB" w:rsidRDefault="00991EEB" w:rsidP="00991EEB">
      <w:pPr>
        <w:pStyle w:val="a5"/>
        <w:numPr>
          <w:ilvl w:val="0"/>
          <w:numId w:val="33"/>
        </w:num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تفاوت “الاستقلالية” وإمكان “التكيف” بعد النشر، وهما عنصران يفسران صعوبة الإسناد وتحديد المسؤول عند وقوع الضرر</w:t>
      </w:r>
      <w:r w:rsidRPr="00991EEB">
        <w:rPr>
          <w:rStyle w:val="a4"/>
          <w:rFonts w:ascii="Sakkal Majalla" w:hAnsi="Sakkal Majalla" w:cs="Sakkal Majalla"/>
          <w:sz w:val="32"/>
          <w:szCs w:val="32"/>
          <w:rtl/>
        </w:rPr>
        <w:footnoteReference w:id="18"/>
      </w:r>
      <w:r w:rsidRPr="00991EEB">
        <w:rPr>
          <w:rFonts w:ascii="Sakkal Majalla" w:hAnsi="Sakkal Majalla" w:cs="Sakkal Majalla"/>
          <w:sz w:val="32"/>
          <w:szCs w:val="32"/>
          <w:rtl/>
        </w:rPr>
        <w:t>.</w:t>
      </w:r>
    </w:p>
    <w:p w14:paraId="17CCD0F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وبذلك يتضح أن تعريف الذكاء الاصطناعي—في الدراسة القانونية—لا يُقصد به تقديم شرح تقني، وإنما وضع معيار يحدد متى نكون أمام “نظام ذكاء اصطناعي” يرتب آثارًا نظامية، ويستدعي بحث المركز القانوني للجهات المرتبطة به (المطور/المزود/المشغل/المستخدم)، وهو ما يمهد منطقيًا للفرع التالي المتعلق بسمات الذكاء الاصطناعي التي تميزه وتفسر صعوبات الإثبات والإسناد في نطاق المسؤولية المدنية</w:t>
      </w:r>
      <w:r w:rsidRPr="00991EEB">
        <w:rPr>
          <w:rStyle w:val="a4"/>
          <w:rFonts w:ascii="Sakkal Majalla" w:hAnsi="Sakkal Majalla" w:cs="Sakkal Majalla"/>
          <w:sz w:val="32"/>
          <w:szCs w:val="32"/>
          <w:rtl/>
        </w:rPr>
        <w:footnoteReference w:id="19"/>
      </w:r>
      <w:r w:rsidRPr="00991EEB">
        <w:rPr>
          <w:rFonts w:ascii="Sakkal Majalla" w:hAnsi="Sakkal Majalla" w:cs="Sakkal Majalla"/>
          <w:sz w:val="32"/>
          <w:szCs w:val="32"/>
          <w:rtl/>
        </w:rPr>
        <w:t>.</w:t>
      </w:r>
    </w:p>
    <w:p w14:paraId="277922DE" w14:textId="77777777" w:rsidR="00991EEB" w:rsidRPr="00991EEB" w:rsidRDefault="00991EEB" w:rsidP="00991EEB">
      <w:pPr>
        <w:pStyle w:val="a5"/>
        <w:numPr>
          <w:ilvl w:val="0"/>
          <w:numId w:val="33"/>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الفرع الثاني: السمات التي تميز الذكاء الاصطناعي</w:t>
      </w:r>
      <w:r w:rsidRPr="00991EEB">
        <w:rPr>
          <w:rFonts w:ascii="Sakkal Majalla" w:hAnsi="Sakkal Majalla" w:cs="Sakkal Majalla"/>
          <w:b/>
          <w:bCs/>
          <w:sz w:val="32"/>
          <w:szCs w:val="32"/>
        </w:rPr>
        <w:t xml:space="preserve"> : </w:t>
      </w:r>
    </w:p>
    <w:p w14:paraId="6D3B6CA5"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lastRenderedPageBreak/>
        <w:t>يمتاز الذكاء الاصطناعي بعدد من الخصائص الجوهرية التي تجعله مختلفًا عن البرمجيات التقليدية، وتعد هذه السمات ذات أهمية خاصة في الدراسات القانونية، إذ إن طبيعتها تؤثر مباشرة في تكييف الأفعال الصادرة عنه، وفي تحديد أساس المسؤولية المدنية عند وقوع ضرر ويمكن بيان أبرز هذه السمات على النحو الآتي:</w:t>
      </w:r>
    </w:p>
    <w:p w14:paraId="1BC3F985"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أولًا: القدرة على التعلم الذاتي (</w:t>
      </w:r>
      <w:r w:rsidRPr="00991EEB">
        <w:rPr>
          <w:rFonts w:ascii="Sakkal Majalla" w:hAnsi="Sakkal Majalla" w:cs="Sakkal Majalla"/>
          <w:b/>
          <w:bCs/>
          <w:sz w:val="32"/>
          <w:szCs w:val="32"/>
        </w:rPr>
        <w:t>Self-Learning</w:t>
      </w:r>
      <w:r w:rsidRPr="00991EEB">
        <w:rPr>
          <w:rFonts w:ascii="Sakkal Majalla" w:hAnsi="Sakkal Majalla" w:cs="Sakkal Majalla"/>
          <w:b/>
          <w:bCs/>
          <w:sz w:val="32"/>
          <w:szCs w:val="32"/>
          <w:rtl/>
        </w:rPr>
        <w:t>) :</w:t>
      </w:r>
    </w:p>
    <w:p w14:paraId="4848154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تعد القدرة على التعلم الذاتي من أبرز السمات التي تميز أنظمة الذكاء الاصطناعي عن البرمجيات التقليدية فبينما تعتمد البرامج العادية على تنفيذ تعليمات محددة وثابتة سلفًا، تقوم أنظمة الذكاء الاصطناعي—لا سيما تلك القائمة على تقنيات التعلم الآلي (</w:t>
      </w:r>
      <w:r w:rsidRPr="00991EEB">
        <w:rPr>
          <w:rFonts w:ascii="Sakkal Majalla" w:hAnsi="Sakkal Majalla" w:cs="Sakkal Majalla"/>
          <w:sz w:val="32"/>
          <w:szCs w:val="32"/>
        </w:rPr>
        <w:t>Machine Learning</w:t>
      </w:r>
      <w:r w:rsidRPr="00991EEB">
        <w:rPr>
          <w:rFonts w:ascii="Sakkal Majalla" w:hAnsi="Sakkal Majalla" w:cs="Sakkal Majalla"/>
          <w:sz w:val="32"/>
          <w:szCs w:val="32"/>
          <w:rtl/>
        </w:rPr>
        <w:t>) والتعلم العميق (</w:t>
      </w:r>
      <w:r w:rsidRPr="00991EEB">
        <w:rPr>
          <w:rFonts w:ascii="Sakkal Majalla" w:hAnsi="Sakkal Majalla" w:cs="Sakkal Majalla"/>
          <w:sz w:val="32"/>
          <w:szCs w:val="32"/>
        </w:rPr>
        <w:t>Deep Learning</w:t>
      </w:r>
      <w:r w:rsidRPr="00991EEB">
        <w:rPr>
          <w:rFonts w:ascii="Sakkal Majalla" w:hAnsi="Sakkal Majalla" w:cs="Sakkal Majalla"/>
          <w:sz w:val="32"/>
          <w:szCs w:val="32"/>
          <w:rtl/>
        </w:rPr>
        <w:t>)—بتحليل البيانات التي تغذى بها، واستخلاص أنماط منها، ثم تعديل سلوكها وأدائها استنادًا إلى النتائج التي تتوصل إليها وبعبارة أخرى، فإن النظام لا يظل مقيدًا بمنطق برمجي جامد، بل يطور آلية عمله تدريجيًا وفقًا للخبرة المتراكمة</w:t>
      </w:r>
      <w:r w:rsidRPr="00991EEB">
        <w:rPr>
          <w:rStyle w:val="a4"/>
          <w:rFonts w:ascii="Sakkal Majalla" w:hAnsi="Sakkal Majalla" w:cs="Sakkal Majalla"/>
          <w:sz w:val="32"/>
          <w:szCs w:val="32"/>
          <w:rtl/>
        </w:rPr>
        <w:footnoteReference w:id="20"/>
      </w:r>
      <w:r w:rsidRPr="00991EEB">
        <w:rPr>
          <w:rFonts w:ascii="Sakkal Majalla" w:hAnsi="Sakkal Majalla" w:cs="Sakkal Majalla"/>
          <w:sz w:val="32"/>
          <w:szCs w:val="32"/>
          <w:rtl/>
        </w:rPr>
        <w:t>.</w:t>
      </w:r>
    </w:p>
    <w:p w14:paraId="1065BE02"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وتتجلى هذه السمة في التطبيقات التي تعتمد على النماذج التنبؤية، أو أنظمة كشف الاحتيال، أو أنظمة الأمن السيبراني، حيث يتعلم النظام من الحالات السابقة ليحسن من قدرته على التعرف على الأنماط المشابهة مستقبلاً غير أن هذه القدرة، رغم ما تحققه من كفاءة ودقة، تثير إشكاليات قانونية دقيقة، إذ إن سلوك النظام بعد فترة من التشغيل قد يختلف عن سلوكه عند تصميمه، نتيجة لتفاعله مع بيانات جديدة لم تكن متوقعة</w:t>
      </w:r>
      <w:r w:rsidRPr="00991EEB">
        <w:rPr>
          <w:rStyle w:val="a4"/>
          <w:rFonts w:ascii="Sakkal Majalla" w:hAnsi="Sakkal Majalla" w:cs="Sakkal Majalla"/>
          <w:sz w:val="32"/>
          <w:szCs w:val="32"/>
          <w:rtl/>
        </w:rPr>
        <w:footnoteReference w:id="21"/>
      </w:r>
      <w:r w:rsidRPr="00991EEB">
        <w:rPr>
          <w:rFonts w:ascii="Sakkal Majalla" w:hAnsi="Sakkal Majalla" w:cs="Sakkal Majalla"/>
          <w:sz w:val="32"/>
          <w:szCs w:val="32"/>
          <w:rtl/>
        </w:rPr>
        <w:t>.</w:t>
      </w:r>
    </w:p>
    <w:p w14:paraId="2A370B73"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الناحية القانونية تؤثر هذه الخاصية في تحليل عنصر الخطأ في المسؤولية المدنية، خاصة إذا كان الفعل الضار قد نتج عن تطور لاحق في أداء النظام لم يكن منصوصًا عليه صراحة عند إنشائه ففي هذه الحالة، يطرح التساؤل حول ما إذا كان مطوّر النظام أو الجهة المشغلة قد قصر في وضع ضوابط كافية، أم أن الضرر يعد نتيجة طبيعية لتقنية ذات طبيعة متغيرة بطبيعتها ومن ثم فإن التعلم الذاتي لا يمثل مجرد خاصية تقنية، بل عنصرًا مؤثرًا في تكييف الفعل الضار وإسناد المسؤولية</w:t>
      </w:r>
      <w:r w:rsidRPr="00991EEB">
        <w:rPr>
          <w:rStyle w:val="a4"/>
          <w:rFonts w:ascii="Sakkal Majalla" w:hAnsi="Sakkal Majalla" w:cs="Sakkal Majalla"/>
          <w:sz w:val="32"/>
          <w:szCs w:val="32"/>
          <w:rtl/>
        </w:rPr>
        <w:footnoteReference w:id="22"/>
      </w:r>
      <w:r w:rsidRPr="00991EEB">
        <w:rPr>
          <w:rFonts w:ascii="Sakkal Majalla" w:hAnsi="Sakkal Majalla" w:cs="Sakkal Majalla"/>
          <w:sz w:val="32"/>
          <w:szCs w:val="32"/>
          <w:rtl/>
        </w:rPr>
        <w:t>.</w:t>
      </w:r>
    </w:p>
    <w:p w14:paraId="1CBF0183"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ثانيًا: الاستقلال النسبي في اتخاذ القرار (</w:t>
      </w:r>
      <w:r w:rsidRPr="00991EEB">
        <w:rPr>
          <w:rFonts w:ascii="Sakkal Majalla" w:hAnsi="Sakkal Majalla" w:cs="Sakkal Majalla"/>
          <w:b/>
          <w:bCs/>
          <w:sz w:val="32"/>
          <w:szCs w:val="32"/>
        </w:rPr>
        <w:t>Relative Autonomy</w:t>
      </w:r>
      <w:r w:rsidRPr="00991EEB">
        <w:rPr>
          <w:rFonts w:ascii="Sakkal Majalla" w:hAnsi="Sakkal Majalla" w:cs="Sakkal Majalla"/>
          <w:b/>
          <w:bCs/>
          <w:sz w:val="32"/>
          <w:szCs w:val="32"/>
          <w:rtl/>
        </w:rPr>
        <w:t>) :</w:t>
      </w:r>
    </w:p>
    <w:p w14:paraId="66A9C40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تتميز بعض أنظمة الذكاء الاصطناعي بقدرتها على اتخاذ قرارات أو تنفيذ أفعال دون تدخل بشري مباشر في كل مرحلة من مراحل التشغيل ويقصد بالاستقلال النسبي أن النظام يعمل ضمن إطار أهداف أو معايير يحددها الإنسان مسبقًا، لكنه يختار الوسيلة الأنسب لتحقيق تلك الأهداف استنادًا إلى معالجة خوارزمية للبيانات المتاحة</w:t>
      </w:r>
      <w:r w:rsidRPr="00991EEB">
        <w:rPr>
          <w:rStyle w:val="a4"/>
          <w:rFonts w:ascii="Sakkal Majalla" w:hAnsi="Sakkal Majalla" w:cs="Sakkal Majalla"/>
          <w:sz w:val="32"/>
          <w:szCs w:val="32"/>
          <w:rtl/>
        </w:rPr>
        <w:footnoteReference w:id="23"/>
      </w:r>
      <w:r w:rsidRPr="00991EEB">
        <w:rPr>
          <w:rFonts w:ascii="Sakkal Majalla" w:hAnsi="Sakkal Majalla" w:cs="Sakkal Majalla"/>
          <w:sz w:val="32"/>
          <w:szCs w:val="32"/>
          <w:rtl/>
        </w:rPr>
        <w:t>.</w:t>
      </w:r>
    </w:p>
    <w:p w14:paraId="19D2E8D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ولا يعني هذا الاستقلال وجود إرادة قانونية مستقلة للنظام، إذ يظل في جوهره أداة تقنية، إلا أن غياب التدخل البشري المباشر في لحظة اتخاذ القرار يعقد مسألة تحديد الفاعل القانوني عند وقوع ضرر فقرار الرفض أو القبول، أو تنفيذ عملية إلكترونية معينة، أو إطلاق إجراء رقمي، قد </w:t>
      </w:r>
      <w:r w:rsidRPr="00991EEB">
        <w:rPr>
          <w:rFonts w:ascii="Sakkal Majalla" w:hAnsi="Sakkal Majalla" w:cs="Sakkal Majalla"/>
          <w:sz w:val="32"/>
          <w:szCs w:val="32"/>
          <w:rtl/>
        </w:rPr>
        <w:lastRenderedPageBreak/>
        <w:t>يكون نتيجة تحليل آلي كامل دون أن يكون هناك شخص طبيعي أصدر أمرًا محددًا في تلك اللحظة</w:t>
      </w:r>
      <w:r w:rsidRPr="00991EEB">
        <w:rPr>
          <w:rStyle w:val="a4"/>
          <w:rFonts w:ascii="Sakkal Majalla" w:hAnsi="Sakkal Majalla" w:cs="Sakkal Majalla"/>
          <w:sz w:val="32"/>
          <w:szCs w:val="32"/>
          <w:rtl/>
        </w:rPr>
        <w:footnoteReference w:id="24"/>
      </w:r>
      <w:r w:rsidRPr="00991EEB">
        <w:rPr>
          <w:rFonts w:ascii="Sakkal Majalla" w:hAnsi="Sakkal Majalla" w:cs="Sakkal Majalla"/>
          <w:sz w:val="32"/>
          <w:szCs w:val="32"/>
          <w:rtl/>
        </w:rPr>
        <w:t>.</w:t>
      </w:r>
    </w:p>
    <w:p w14:paraId="4B3A2EFB"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وتبرز أهمية هذه السمة في سياق الجرائم الإلكترونية المرتكبة باستخدام الذكاء الاصطناعي، حيث قد يستخدم النظام في تنفيذ عمليات احتيالية أو هجمات سيبرانية بصورة آلية وفي هذه الحالة يتعين على القاضي أو الباحث القانوني التمييز بين الاستقلال التقني للنظام وبين المسؤولية البشرية عن إنشائه أو تشغيله أو توجيهه ومن ثم فإن الاستقلال النسبي لا ينفي المسؤولية البشرية، لكنه يفرض إعادة النظر في كيفية إسنادها، سواء على أساس الخطأ، أو على أساس المخاطر، أو وفق نظريات الحراسة والرقابة</w:t>
      </w:r>
      <w:r w:rsidRPr="00991EEB">
        <w:rPr>
          <w:rStyle w:val="a4"/>
          <w:rFonts w:ascii="Sakkal Majalla" w:hAnsi="Sakkal Majalla" w:cs="Sakkal Majalla"/>
          <w:sz w:val="32"/>
          <w:szCs w:val="32"/>
          <w:rtl/>
        </w:rPr>
        <w:footnoteReference w:id="25"/>
      </w:r>
      <w:r w:rsidRPr="00991EEB">
        <w:rPr>
          <w:rFonts w:ascii="Sakkal Majalla" w:hAnsi="Sakkal Majalla" w:cs="Sakkal Majalla"/>
          <w:sz w:val="32"/>
          <w:szCs w:val="32"/>
          <w:rtl/>
        </w:rPr>
        <w:t>.</w:t>
      </w:r>
    </w:p>
    <w:p w14:paraId="12292E99"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ويتضح أن هاتين السمتين—التعلم الذاتي والاستقلال النسبي—تمثلان حجر الزاوية في الإشكاليات القانونية التي يثيرها الذكاء الاصطناعي، إذ إنهما تؤثران مباشرة في تحليل عناصر المسؤولية المدنية، لا سيما في تحديد الخطأ والعلاقة السببية وتعيين الشخص الملزم بالتعويض.</w:t>
      </w:r>
    </w:p>
    <w:p w14:paraId="50ED6E23"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ثالثًا: التعقيد التقني وصعوبة التفسير (</w:t>
      </w:r>
      <w:r w:rsidRPr="00991EEB">
        <w:rPr>
          <w:rFonts w:ascii="Sakkal Majalla" w:hAnsi="Sakkal Majalla" w:cs="Sakkal Majalla"/>
          <w:b/>
          <w:bCs/>
          <w:sz w:val="32"/>
          <w:szCs w:val="32"/>
        </w:rPr>
        <w:t>Black Box Problem</w:t>
      </w:r>
      <w:r w:rsidRPr="00991EEB">
        <w:rPr>
          <w:rFonts w:ascii="Sakkal Majalla" w:hAnsi="Sakkal Majalla" w:cs="Sakkal Majalla"/>
          <w:b/>
          <w:bCs/>
          <w:sz w:val="32"/>
          <w:szCs w:val="32"/>
          <w:rtl/>
        </w:rPr>
        <w:t>) :</w:t>
      </w:r>
    </w:p>
    <w:p w14:paraId="3FA7044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تعد مسألة التعقيد التقني وصعوبة تفسير آلية عمل أنظمة الذكاء الاصطناعي من أبرز السمات التي تثير تحديات قانونية عميقة، ويشار إليها في الأدبيات التقنية بمشكلة “الصندوق الأسود” (</w:t>
      </w:r>
      <w:r w:rsidRPr="00991EEB">
        <w:rPr>
          <w:rFonts w:ascii="Sakkal Majalla" w:hAnsi="Sakkal Majalla" w:cs="Sakkal Majalla"/>
          <w:sz w:val="32"/>
          <w:szCs w:val="32"/>
        </w:rPr>
        <w:t>Black Box</w:t>
      </w:r>
      <w:r w:rsidRPr="00991EEB">
        <w:rPr>
          <w:rFonts w:ascii="Sakkal Majalla" w:hAnsi="Sakkal Majalla" w:cs="Sakkal Majalla"/>
          <w:sz w:val="32"/>
          <w:szCs w:val="32"/>
          <w:rtl/>
        </w:rPr>
        <w:t>). فبعض الأنظمة، ولا سيما تلك القائمة على تقنيات التعلم العميق (</w:t>
      </w:r>
      <w:r w:rsidRPr="00991EEB">
        <w:rPr>
          <w:rFonts w:ascii="Sakkal Majalla" w:hAnsi="Sakkal Majalla" w:cs="Sakkal Majalla"/>
          <w:sz w:val="32"/>
          <w:szCs w:val="32"/>
        </w:rPr>
        <w:t>Deep Learning</w:t>
      </w:r>
      <w:r w:rsidRPr="00991EEB">
        <w:rPr>
          <w:rFonts w:ascii="Sakkal Majalla" w:hAnsi="Sakkal Majalla" w:cs="Sakkal Majalla"/>
          <w:sz w:val="32"/>
          <w:szCs w:val="32"/>
          <w:rtl/>
        </w:rPr>
        <w:t xml:space="preserve">)، تعتمد على شبكات عصبية اصطناعية متعددة الطبقات، تجري عمليات حسابية </w:t>
      </w:r>
      <w:r w:rsidRPr="00991EEB">
        <w:rPr>
          <w:rFonts w:ascii="Sakkal Majalla" w:hAnsi="Sakkal Majalla" w:cs="Sakkal Majalla"/>
          <w:sz w:val="32"/>
          <w:szCs w:val="32"/>
          <w:rtl/>
        </w:rPr>
        <w:lastRenderedPageBreak/>
        <w:t>معقدة للغاية، بحيث يصعب تتبع المنطق الداخلي الذي أدى إلى نتيجة معينة، حتى من قبل المبرمجين أنفسهم</w:t>
      </w:r>
      <w:r w:rsidRPr="00991EEB">
        <w:rPr>
          <w:rStyle w:val="a4"/>
          <w:rFonts w:ascii="Sakkal Majalla" w:hAnsi="Sakkal Majalla" w:cs="Sakkal Majalla"/>
          <w:sz w:val="32"/>
          <w:szCs w:val="32"/>
          <w:rtl/>
        </w:rPr>
        <w:footnoteReference w:id="26"/>
      </w:r>
      <w:r w:rsidRPr="00991EEB">
        <w:rPr>
          <w:rFonts w:ascii="Sakkal Majalla" w:hAnsi="Sakkal Majalla" w:cs="Sakkal Majalla"/>
          <w:sz w:val="32"/>
          <w:szCs w:val="32"/>
          <w:rtl/>
        </w:rPr>
        <w:t>.</w:t>
      </w:r>
    </w:p>
    <w:p w14:paraId="055C60F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وفي هذه الحالة تكون المدخلات واضحة (البيانات التي تم إدخالها)، والمخرجات واضحة (القرار أو التوصية أو الفعل الناتج)، غير أن المسار الوسيط الذي ربط بينهما يظل غير شفاف وهذا الغموض لا يقتصر على الجانب التقني، بل يمتد أثره إلى المجال القانوني، إذ إن أحد أركان المسؤولية المدنية يتمثل في إمكانية تحديد سبب الضرر وإسناده إلى خطأ معين أو تقصير محدد.</w:t>
      </w:r>
    </w:p>
    <w:p w14:paraId="44012558"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فإذا ترتب ضرر عن قرار صادر عن نظام ذكاء اصطناعي، وكان من المتعذر تفسير الأساس الذي بني عليه هذا القرار، فإن ذلك يثير إشكاليات في إثبات عنصر الخطأ، وفي إقامة العلاقة السببية بين سلوك محدد والضرر الواقع كما قد يواجه المتضرر صعوبة في تقديم الدليل الفني اللازم لإثبات دعواه، الأمر الذي يفرض على الأنظمة القانونية التفكير في آليات تنظيمية تكفل قدرًا من الشفافية أو قابلية التفسير، خاصة في الأنظمة ذات التأثير الكبير على حقوق الأفراد</w:t>
      </w:r>
      <w:r w:rsidRPr="00991EEB">
        <w:rPr>
          <w:rStyle w:val="a4"/>
          <w:rFonts w:ascii="Sakkal Majalla" w:hAnsi="Sakkal Majalla" w:cs="Sakkal Majalla"/>
          <w:sz w:val="32"/>
          <w:szCs w:val="32"/>
          <w:rtl/>
        </w:rPr>
        <w:footnoteReference w:id="27"/>
      </w:r>
      <w:r w:rsidRPr="00991EEB">
        <w:rPr>
          <w:rFonts w:ascii="Sakkal Majalla" w:hAnsi="Sakkal Majalla" w:cs="Sakkal Majalla"/>
          <w:sz w:val="32"/>
          <w:szCs w:val="32"/>
          <w:rtl/>
        </w:rPr>
        <w:t>.</w:t>
      </w:r>
    </w:p>
    <w:p w14:paraId="7B02889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ثم، فإن مشكلة “الصندوق الأسود” لا تمثل مجرد تعقيد تقني، بل تشكل تحديًا مباشرًا للقواعد التقليدية في الإثبات والمسؤولية، وقد تستدعي تطوير قواعد خاصة أو تبني قرائن قانونية لتخفيف عبء الإثبات في بعض الحالات.</w:t>
      </w:r>
    </w:p>
    <w:p w14:paraId="2B3F1114"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رابعًا: القدرة على معالجة كميات ضخمة من البيانات (</w:t>
      </w:r>
      <w:r w:rsidRPr="00991EEB">
        <w:rPr>
          <w:rFonts w:ascii="Sakkal Majalla" w:hAnsi="Sakkal Majalla" w:cs="Sakkal Majalla"/>
          <w:b/>
          <w:bCs/>
          <w:sz w:val="32"/>
          <w:szCs w:val="32"/>
        </w:rPr>
        <w:t>Big Data Processing</w:t>
      </w:r>
      <w:r w:rsidRPr="00991EEB">
        <w:rPr>
          <w:rFonts w:ascii="Sakkal Majalla" w:hAnsi="Sakkal Majalla" w:cs="Sakkal Majalla"/>
          <w:b/>
          <w:bCs/>
          <w:sz w:val="32"/>
          <w:szCs w:val="32"/>
          <w:rtl/>
        </w:rPr>
        <w:t>) :</w:t>
      </w:r>
    </w:p>
    <w:p w14:paraId="2D7EE86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من السمات الجوهرية لأنظمة الذكاء الاصطناعي قدرتها على معالجة وتحليل كميات هائلة من البيانات في زمن قياسي، وهي قدرة تفوق الإمكانات البشرية التقليدية بدرجة كبيرة وتعتمد هذه الأنظمة على تقنيات تحليل البيانات الضخمة (</w:t>
      </w:r>
      <w:r w:rsidRPr="00991EEB">
        <w:rPr>
          <w:rFonts w:ascii="Sakkal Majalla" w:hAnsi="Sakkal Majalla" w:cs="Sakkal Majalla"/>
          <w:sz w:val="32"/>
          <w:szCs w:val="32"/>
        </w:rPr>
        <w:t>Big Data Analytics</w:t>
      </w:r>
      <w:r w:rsidRPr="00991EEB">
        <w:rPr>
          <w:rFonts w:ascii="Sakkal Majalla" w:hAnsi="Sakkal Majalla" w:cs="Sakkal Majalla"/>
          <w:sz w:val="32"/>
          <w:szCs w:val="32"/>
          <w:rtl/>
        </w:rPr>
        <w:t>)، التي تمكنها من استخلاص أنماط معقدة، وإجراء تنبؤات دقيقة، واتخاذ قرارات مبنية على معطيات واسعة النطاق</w:t>
      </w:r>
      <w:r w:rsidRPr="00991EEB">
        <w:rPr>
          <w:rStyle w:val="a4"/>
          <w:rFonts w:ascii="Sakkal Majalla" w:hAnsi="Sakkal Majalla" w:cs="Sakkal Majalla"/>
          <w:sz w:val="32"/>
          <w:szCs w:val="32"/>
          <w:rtl/>
        </w:rPr>
        <w:footnoteReference w:id="28"/>
      </w:r>
      <w:r w:rsidRPr="00991EEB">
        <w:rPr>
          <w:rFonts w:ascii="Sakkal Majalla" w:hAnsi="Sakkal Majalla" w:cs="Sakkal Majalla"/>
          <w:sz w:val="32"/>
          <w:szCs w:val="32"/>
          <w:rtl/>
        </w:rPr>
        <w:t>.</w:t>
      </w:r>
    </w:p>
    <w:p w14:paraId="78A7BEB1"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وتتجلى أهمية هذه السمة في العديد من التطبيقات، مثل كشف عمليات الاحتيال المالي، وتحليل السلوك الرقمي، وتحديد المخاطر الأمنية، وتحسين الخدمات الإلكترونية غير أن هذه القدرة، رغم ما تحققه من كفاءة وفعالية، ترتبط بإشكاليات قانونية متعددة، أبرزها ما يتعلق بحماية البيانات الشخصية، وخصوصية الأفراد، وحدود الاستخدام المشروع للبيانات</w:t>
      </w:r>
      <w:r w:rsidRPr="00991EEB">
        <w:rPr>
          <w:rStyle w:val="a4"/>
          <w:rFonts w:ascii="Sakkal Majalla" w:hAnsi="Sakkal Majalla" w:cs="Sakkal Majalla"/>
          <w:sz w:val="32"/>
          <w:szCs w:val="32"/>
          <w:rtl/>
        </w:rPr>
        <w:footnoteReference w:id="29"/>
      </w:r>
      <w:r w:rsidRPr="00991EEB">
        <w:rPr>
          <w:rFonts w:ascii="Sakkal Majalla" w:hAnsi="Sakkal Majalla" w:cs="Sakkal Majalla"/>
          <w:sz w:val="32"/>
          <w:szCs w:val="32"/>
          <w:rtl/>
        </w:rPr>
        <w:t>.</w:t>
      </w:r>
    </w:p>
    <w:p w14:paraId="564B7A5F"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rPr>
        <w:t>فإذا تم تحليل بيانات شخصية دون سند نظامي، أو تم استخدام نتائج التحليل في اتخاذ قرارات تمس حقوق الأفراد دون ضمانات كافية، فقد تنشأ مسؤولية مدنية عن انتهاك الحق في الخصوصية أو عن إساءة استخدام المعلومات كما أن الاعتماد على بيانات غير دقيقة أو متحيزة قد يؤدي إلى قرارات خاطئة تترتب عليها أضرار مادية أو معنوية</w:t>
      </w:r>
      <w:r w:rsidRPr="00991EEB">
        <w:rPr>
          <w:rFonts w:ascii="Sakkal Majalla" w:hAnsi="Sakkal Majalla" w:cs="Sakkal Majalla"/>
          <w:sz w:val="32"/>
          <w:szCs w:val="32"/>
          <w:rtl/>
          <w:lang w:bidi="ar-EG"/>
        </w:rPr>
        <w:t xml:space="preserve"> .</w:t>
      </w:r>
    </w:p>
    <w:p w14:paraId="28A261E9"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 xml:space="preserve">ومن ثم فإن القدرة على معالجة البيانات الضخمة تمثل سلاحًا ذا حدين: فهي مصدر قوة وفعالية تقنية، وفي الوقت ذاته قد تكون مصدرًا لمخاطر قانونية جسيمة إذا لم تحط بضوابط تنظيمية </w:t>
      </w:r>
      <w:r w:rsidRPr="00991EEB">
        <w:rPr>
          <w:rFonts w:ascii="Sakkal Majalla" w:hAnsi="Sakkal Majalla" w:cs="Sakkal Majalla"/>
          <w:sz w:val="32"/>
          <w:szCs w:val="32"/>
          <w:rtl/>
        </w:rPr>
        <w:lastRenderedPageBreak/>
        <w:t>تضمن مشروعية جمع البيانات ومعالجتها، وتكفل حماية حقوق الأفراد من التعسف أو الخطأ الناتج عن التحليل الآلي</w:t>
      </w:r>
      <w:r w:rsidRPr="00991EEB">
        <w:rPr>
          <w:rStyle w:val="a4"/>
          <w:rFonts w:ascii="Sakkal Majalla" w:hAnsi="Sakkal Majalla" w:cs="Sakkal Majalla"/>
          <w:sz w:val="32"/>
          <w:szCs w:val="32"/>
          <w:rtl/>
        </w:rPr>
        <w:footnoteReference w:id="30"/>
      </w:r>
    </w:p>
    <w:p w14:paraId="7892E17C"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خامسًا: التفاعل مع البيئة الرقمية والمادية :</w:t>
      </w:r>
    </w:p>
    <w:p w14:paraId="35E15AF1"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لا يقتصر أثر أنظمة الذكاء الاصطناعي على نطاق افتراضي محدود، بل تمتد قدرتها إلى التفاعل المباشر مع البيئة الرقمية، بل والمادية في بعض الحالات ففي البيئة الرقمية قد تتولى الأنظمة الذكية إدارة منصات إلكترونية، أو تنفيذ معاملات مالية، أو إصدار قرارات تتعلق بحسابات المستخدمين، أو توليد محتوى رقمي يؤثر في الرأي العام أو السمعة الشخصية أما في البيئة المادية، فقد يظهر أثر الذكاء الاصطناعي في الروبوتات الصناعية، أو الأنظمة الطبية المؤتمتة، أو المركبات ذاتية القيادة، وغيرها من التطبيقات التي تتجاوز المجال الافتراضي إلى الواقع الملموس</w:t>
      </w:r>
      <w:r w:rsidRPr="00991EEB">
        <w:rPr>
          <w:rStyle w:val="a4"/>
          <w:rFonts w:ascii="Sakkal Majalla" w:hAnsi="Sakkal Majalla" w:cs="Sakkal Majalla"/>
          <w:sz w:val="32"/>
          <w:szCs w:val="32"/>
          <w:rtl/>
        </w:rPr>
        <w:footnoteReference w:id="31"/>
      </w:r>
      <w:r w:rsidRPr="00991EEB">
        <w:rPr>
          <w:rFonts w:ascii="Sakkal Majalla" w:hAnsi="Sakkal Majalla" w:cs="Sakkal Majalla"/>
          <w:sz w:val="32"/>
          <w:szCs w:val="32"/>
          <w:rtl/>
        </w:rPr>
        <w:t>.</w:t>
      </w:r>
    </w:p>
    <w:p w14:paraId="216AA3F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وتكمن أهمية هذه السمة من الناحية القانونية في أن نطاق الضرر المحتمل يتسع ليشمل أضرارًا رقمية ومادية ومعنوية في آن واحد فقد ينشأ ضرر مالي نتيجة معاملة إلكترونية خاطئة، أو ضرر جسدي بسبب خلل في نظام طبي ذكي، أو ضرر أدبي نتيجة نشر محتوى زائف أو مسيء ومن ثم فإن التفاعل المتعدد الأبعاد للذكاء الاصطناعي مع البيئتين الرقمية والمادية يعقّد مسألة تحديد طبيعة الضرر وتقدير التعويض المناسب، ويستلزم تحليلًا دقيقًا لمدى ارتباط الفعل الضار بعمل النظام ذاته.</w:t>
      </w:r>
    </w:p>
    <w:p w14:paraId="13223C51"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سادسًا: القابلية للتوسع والتكرار السريع :</w:t>
      </w:r>
    </w:p>
    <w:p w14:paraId="2370984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تتميز أنظمة الذكاء الاصطناعي بإمكانية نسخها ونشرها على نطاق واسع خلال فترة زمنية قصيرة، بحيث يمكن تعميم النموذج ذاته عبر منصات متعددة أو مؤسسات مختلفة وهذه القابلية للتوسع تعني أن أي خلل أو عيب في التصميم قد يتكرر في مئات أو آلاف الحالات خلال زمن وجيز، مما يؤدي إلى تضاعف حجم الأضرار المحتملة</w:t>
      </w:r>
      <w:r w:rsidRPr="00991EEB">
        <w:rPr>
          <w:rStyle w:val="a4"/>
          <w:rFonts w:ascii="Sakkal Majalla" w:hAnsi="Sakkal Majalla" w:cs="Sakkal Majalla"/>
          <w:sz w:val="32"/>
          <w:szCs w:val="32"/>
          <w:rtl/>
        </w:rPr>
        <w:footnoteReference w:id="32"/>
      </w:r>
      <w:r w:rsidRPr="00991EEB">
        <w:rPr>
          <w:rFonts w:ascii="Sakkal Majalla" w:hAnsi="Sakkal Majalla" w:cs="Sakkal Majalla"/>
          <w:sz w:val="32"/>
          <w:szCs w:val="32"/>
          <w:rtl/>
        </w:rPr>
        <w:t>.</w:t>
      </w:r>
    </w:p>
    <w:p w14:paraId="318E1BF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وتبرز خطورة هذه السمة في حال وقوع ضرر ناتج عن خطأ خوارزمي مشترك بين نسخ متعددة من النظام، إذ قد يتحول الضرر من حالة فردية إلى ظاهرة جماعية. وهنا تثار تساؤلات قانونية حول طبيعة المسؤولية، وما إذا كانت فردية أم تضامنية، وحول إمكان اللجوء إلى دعاوى جماعية أو آليات تعويض جماعي عند تعدد المتضررين كما تفرض هذه السمة على الجهات المطورة والمشغلة التزامًا أكبر بضمان جودة التصميم واختباره قبل تعميمه، نظرًا لما قد يترتب على الانتشار الواسع من آثار جسيمة.</w:t>
      </w:r>
    </w:p>
    <w:p w14:paraId="33D342C6"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سابعًا: قابلية الاستخدام المشروع وغير المشروع :</w:t>
      </w:r>
    </w:p>
    <w:p w14:paraId="4AB56552"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تعد قابلية الاستخدام المزدوج من السمات الجوهرية للذكاء الاصطناعي، إذ يمكن توظيفه في تحقيق منافع مشروعة تعزز الكفاءة والإنتاجية، كما يمكن إساءة استخدامه في ارتكاب أفعال ضارة أو غير مشروعة فالتقنيات ذاتها التي تستخدم في كشف الاحتيال المالي يمكن توظيفها في تطوير أساليب احتيال أكثر تعقيدًا، كما أن أدوات توليد المحتوى قد تستخدم في إنتاج معلومات مضللة أو مواد مزيفة</w:t>
      </w:r>
      <w:r w:rsidRPr="00991EEB">
        <w:rPr>
          <w:rStyle w:val="a4"/>
          <w:rFonts w:ascii="Sakkal Majalla" w:hAnsi="Sakkal Majalla" w:cs="Sakkal Majalla"/>
          <w:sz w:val="32"/>
          <w:szCs w:val="32"/>
          <w:rtl/>
        </w:rPr>
        <w:footnoteReference w:id="33"/>
      </w:r>
      <w:r w:rsidRPr="00991EEB">
        <w:rPr>
          <w:rFonts w:ascii="Sakkal Majalla" w:hAnsi="Sakkal Majalla" w:cs="Sakkal Majalla"/>
          <w:sz w:val="32"/>
          <w:szCs w:val="32"/>
          <w:rtl/>
        </w:rPr>
        <w:t>.</w:t>
      </w:r>
    </w:p>
    <w:p w14:paraId="2BFCC7E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الناحية القانونية، تثير هذه السمة إشكاليات تتعلق بحدود مسؤولية المطور أو المزود عند سوء استخدام التقنية من قبل الغير فإذا استخدم النظام في ارتكاب جريمة إلكترونية دون علم الجهة المطورة، فهل تسأل هذه الجهة عن تقصير في وضع ضوابط أمان كافية؟ أم أن المسؤولية تقتصر على المستخدم الذي تعمد الانحراف عن الغرض المشروع؟ ويستلزم ذلك التمييز بين العيب في التصميم أو الإهمال في الرقابة من جهة، وبين الاستعمال غير المشروع الخارج عن نطاق التوقع المعقول من جهة أخرى</w:t>
      </w:r>
      <w:r w:rsidRPr="00991EEB">
        <w:rPr>
          <w:rStyle w:val="a4"/>
          <w:rFonts w:ascii="Sakkal Majalla" w:hAnsi="Sakkal Majalla" w:cs="Sakkal Majalla"/>
          <w:sz w:val="32"/>
          <w:szCs w:val="32"/>
          <w:rtl/>
        </w:rPr>
        <w:footnoteReference w:id="34"/>
      </w:r>
      <w:r w:rsidRPr="00991EEB">
        <w:rPr>
          <w:rFonts w:ascii="Sakkal Majalla" w:hAnsi="Sakkal Majalla" w:cs="Sakkal Majalla"/>
          <w:sz w:val="32"/>
          <w:szCs w:val="32"/>
          <w:rtl/>
        </w:rPr>
        <w:t>.</w:t>
      </w:r>
    </w:p>
    <w:p w14:paraId="1B8D4C26"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فإن قابلية الاستخدام المشروع وغير المشروع تؤكد أن الذكاء الاصطناعي ليس بطبيعته خيرًا أو شرًا، وإنما تتحدد مشروعية آثاره وفقًا لكيفية تصميمه وتشغيله وضبطه قانونيًا، وهو ما يعزز ضرورة وجود إطار تنظيمي يوازن بين دعم الابتكار وحماية الحقوق</w:t>
      </w:r>
      <w:r w:rsidRPr="00991EEB">
        <w:rPr>
          <w:rStyle w:val="a4"/>
          <w:rFonts w:ascii="Sakkal Majalla" w:hAnsi="Sakkal Majalla" w:cs="Sakkal Majalla"/>
          <w:sz w:val="32"/>
          <w:szCs w:val="32"/>
          <w:rtl/>
        </w:rPr>
        <w:footnoteReference w:id="35"/>
      </w:r>
      <w:r w:rsidRPr="00991EEB">
        <w:rPr>
          <w:rFonts w:ascii="Sakkal Majalla" w:hAnsi="Sakkal Majalla" w:cs="Sakkal Majalla"/>
          <w:sz w:val="32"/>
          <w:szCs w:val="32"/>
          <w:rtl/>
        </w:rPr>
        <w:t>.</w:t>
      </w:r>
    </w:p>
    <w:p w14:paraId="16AF0AE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ويتضح من خلال هذه السمات أن الذكاء الاصطناعي ليس مجرد أداة تقنية محايدة، بل منظومة معقدة ذات خصائص مميزة تؤثر بصورة مباشرة في تحليل عناصر المسؤولية المدنية، خاصة فيما يتعلق بتحديد الخطأ، وإثبات العلاقة السببية، وتعيين الشخص المسؤول عن التعويض ومن ثم فإن فهم هذه الخصائص يعد أساسًا ضروريًا للانتقال إلى بحث الأسس القانونية للمسؤولية في الفصول اللاحقة.</w:t>
      </w:r>
    </w:p>
    <w:p w14:paraId="5440E846" w14:textId="77777777" w:rsidR="00991EEB" w:rsidRPr="00991EEB" w:rsidRDefault="00991EEB" w:rsidP="00991EEB">
      <w:pPr>
        <w:pStyle w:val="a5"/>
        <w:numPr>
          <w:ilvl w:val="0"/>
          <w:numId w:val="32"/>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المطلب الثاني: الجوانب الإيجابية والسلبية للذكاء الاصطناعي.</w:t>
      </w:r>
    </w:p>
    <w:p w14:paraId="591BA86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لا يمكن تناول الذكاء الاصطناعي من منظور قانوني بمعزل عن تحليل آثاره العملية في الواقع المعاصر، إذ إن دراسة المسؤولية المدنية الناشئة عن استخدامه تفترض فهمًا متوازنًا لمزاياه وفوائده من جهة، ولمخاطره وتحدياته من جهة أخرى فالذكاء الاصطناعي يمثل في الوقت ذاته أداةً لتعزيز الكفاءة والابتكار، ومصدرًا لإشكاليات قانونية وأخلاقية معقدة قد تمس حقوق الأفراد والمصالح العامة</w:t>
      </w:r>
      <w:r w:rsidRPr="00991EEB">
        <w:rPr>
          <w:rStyle w:val="a4"/>
          <w:rFonts w:ascii="Sakkal Majalla" w:hAnsi="Sakkal Majalla" w:cs="Sakkal Majalla"/>
          <w:sz w:val="32"/>
          <w:szCs w:val="32"/>
          <w:rtl/>
        </w:rPr>
        <w:footnoteReference w:id="36"/>
      </w:r>
      <w:r w:rsidRPr="00991EEB">
        <w:rPr>
          <w:rFonts w:ascii="Sakkal Majalla" w:hAnsi="Sakkal Majalla" w:cs="Sakkal Majalla"/>
          <w:sz w:val="32"/>
          <w:szCs w:val="32"/>
          <w:rtl/>
        </w:rPr>
        <w:t>.</w:t>
      </w:r>
    </w:p>
    <w:p w14:paraId="15189BF7"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وقد أسهمت تطبيقات الذكاء الاصطناعي في تطوير قطاعات حيوية متعددة، من خلال تحسين دقة التحليل، وتسريع اتخاذ القرار، وتقليل الخطأ البشري، وتعزيز القدرة على التنبؤ بالمخاطر. كما أصبح عنصرًا أساسيًا في دعم التحول الرقمي، وتطوير الخدمات الحكومية، وتعزيز الأمن السيبراني غير أن هذه الفوائد العملية لا تنفي ما يثيره من تحديات تتعلق بحماية الخصوصية، وأمن البيانات، وشفافية القرارات الآلية، وإمكانية إساءة الاستخدام في ارتكاب أفعال غير مشروعة</w:t>
      </w:r>
      <w:r w:rsidRPr="00991EEB">
        <w:rPr>
          <w:rStyle w:val="a4"/>
          <w:rFonts w:ascii="Sakkal Majalla" w:hAnsi="Sakkal Majalla" w:cs="Sakkal Majalla"/>
          <w:sz w:val="32"/>
          <w:szCs w:val="32"/>
          <w:rtl/>
        </w:rPr>
        <w:footnoteReference w:id="37"/>
      </w:r>
      <w:r w:rsidRPr="00991EEB">
        <w:rPr>
          <w:rFonts w:ascii="Sakkal Majalla" w:hAnsi="Sakkal Majalla" w:cs="Sakkal Majalla"/>
          <w:sz w:val="32"/>
          <w:szCs w:val="32"/>
          <w:rtl/>
        </w:rPr>
        <w:t>.</w:t>
      </w:r>
    </w:p>
    <w:p w14:paraId="6C2401B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ومن ثم فإن تناول الجوانب الإيجابية والسلبية للذكاء الاصطناعي لا يهدف إلى المفاضلة بينهما، وإنما إلى بيان الطبيعة المزدوجة لهذه التقنية، بما يمكن من فهم السياق الذي تنشأ فيه الإشكاليات القانونية، خاصة في مجال المسؤولية المدنية فكلما اتسع نطاق استخدام الذكاء </w:t>
      </w:r>
      <w:r w:rsidRPr="00991EEB">
        <w:rPr>
          <w:rFonts w:ascii="Sakkal Majalla" w:hAnsi="Sakkal Majalla" w:cs="Sakkal Majalla"/>
          <w:sz w:val="32"/>
          <w:szCs w:val="32"/>
          <w:rtl/>
        </w:rPr>
        <w:lastRenderedPageBreak/>
        <w:t>الاصطناعي وتعاظم أثره، ازدادت الحاجة إلى ضبطه تنظيميًا، وتحديد الضوابط الكفيلة بتحقيق التوازن بين دعم الابتكار وحماية الحقوق</w:t>
      </w:r>
      <w:r w:rsidRPr="00991EEB">
        <w:rPr>
          <w:rStyle w:val="a4"/>
          <w:rFonts w:ascii="Sakkal Majalla" w:hAnsi="Sakkal Majalla" w:cs="Sakkal Majalla"/>
          <w:sz w:val="32"/>
          <w:szCs w:val="32"/>
          <w:rtl/>
        </w:rPr>
        <w:footnoteReference w:id="38"/>
      </w:r>
      <w:r w:rsidRPr="00991EEB">
        <w:rPr>
          <w:rFonts w:ascii="Sakkal Majalla" w:hAnsi="Sakkal Majalla" w:cs="Sakkal Majalla"/>
          <w:sz w:val="32"/>
          <w:szCs w:val="32"/>
          <w:rtl/>
        </w:rPr>
        <w:t>.</w:t>
      </w:r>
    </w:p>
    <w:p w14:paraId="3C6278B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يعرض هذا المطلب في فرعه الأول أبرز المزايا والفوائد العملية لتطبيقات الذكاء الاصطناعي، ثم يتناول في فرعه الثاني أهم المخاطر والتحديات المرتبطة باستخدامه، تمهيدًا لبحث انعكاس هذه الجوانب على قواعد المسؤولية المدنية في الفصول اللاحقة.</w:t>
      </w:r>
    </w:p>
    <w:p w14:paraId="28BCBC33" w14:textId="77777777" w:rsidR="00991EEB" w:rsidRPr="00991EEB" w:rsidRDefault="00991EEB" w:rsidP="00991EEB">
      <w:pPr>
        <w:pStyle w:val="a5"/>
        <w:numPr>
          <w:ilvl w:val="0"/>
          <w:numId w:val="34"/>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الفرع الأول: المزايا والفوائد العملية لتطبيقات الذكاء الاصطناعي :</w:t>
      </w:r>
    </w:p>
    <w:p w14:paraId="6B8CB635"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أدى التوسع في استخدام تقنيات الذكاء الاصطناعي إلى إحداث نقلة نوعية في مختلف القطاعات الاقتصادية والإدارية والأمنية، حيث لم يعد دوره مقتصرًا على دعم العمليات التقليدية، بل أصبح عنصرًا فاعلًا في إعادة هيكلة آليات العمل وصنع القرار. وتتمثل أبرز المزايا والفوائد العملية لتطبيقات الذكاء الاصطناعي فيما يأتي</w:t>
      </w:r>
      <w:r w:rsidRPr="00991EEB">
        <w:rPr>
          <w:rStyle w:val="a4"/>
          <w:rFonts w:ascii="Sakkal Majalla" w:hAnsi="Sakkal Majalla" w:cs="Sakkal Majalla"/>
          <w:sz w:val="32"/>
          <w:szCs w:val="32"/>
          <w:rtl/>
        </w:rPr>
        <w:footnoteReference w:id="39"/>
      </w:r>
      <w:r w:rsidRPr="00991EEB">
        <w:rPr>
          <w:rFonts w:ascii="Sakkal Majalla" w:hAnsi="Sakkal Majalla" w:cs="Sakkal Majalla"/>
          <w:sz w:val="32"/>
          <w:szCs w:val="32"/>
          <w:rtl/>
        </w:rPr>
        <w:t>:</w:t>
      </w:r>
    </w:p>
    <w:p w14:paraId="10370C9D"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أولًا: رفع كفاءة الأداء وتحسين جودة الخدمات :</w:t>
      </w:r>
    </w:p>
    <w:p w14:paraId="2AEB922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تعد زيادة الكفاءة التشغيلية وتحسين جودة الخدمات من أبرز المزايا العملية لتطبيقات الذكاء الاصطناعي، إذ تقوم الأنظمة الذكية بإعادة تشكيل طريقة أداء الأعمال عبر الأتمتة والتحليل المتقدم للبيانات، بما ينعكس على سرعة الإنجاز ودقة المخرجات واستمرارية تقديم الخدمة وتتجلى هذه الميزة في أن الذكاء الاصطناعي يتيح تنفيذ عدد كبير من المهام الروتينية والمتكررة </w:t>
      </w:r>
      <w:r w:rsidRPr="00991EEB">
        <w:rPr>
          <w:rFonts w:ascii="Sakkal Majalla" w:hAnsi="Sakkal Majalla" w:cs="Sakkal Majalla"/>
          <w:sz w:val="32"/>
          <w:szCs w:val="32"/>
          <w:rtl/>
        </w:rPr>
        <w:lastRenderedPageBreak/>
        <w:t>بصورة آلية، كفرز الطلبات، وتصنيف المستندات، والرد على الاستفسارات، والتحقق من البيانات، الأمر الذي يقلل العبء الإداري ويرفع معدل الإنتاجية</w:t>
      </w:r>
      <w:r w:rsidRPr="00991EEB">
        <w:rPr>
          <w:rStyle w:val="a4"/>
          <w:rFonts w:ascii="Sakkal Majalla" w:hAnsi="Sakkal Majalla" w:cs="Sakkal Majalla"/>
          <w:sz w:val="32"/>
          <w:szCs w:val="32"/>
          <w:rtl/>
        </w:rPr>
        <w:footnoteReference w:id="40"/>
      </w:r>
      <w:r w:rsidRPr="00991EEB">
        <w:rPr>
          <w:rFonts w:ascii="Sakkal Majalla" w:hAnsi="Sakkal Majalla" w:cs="Sakkal Majalla"/>
          <w:sz w:val="32"/>
          <w:szCs w:val="32"/>
          <w:rtl/>
        </w:rPr>
        <w:t>.</w:t>
      </w:r>
    </w:p>
    <w:p w14:paraId="2A5338C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يسهم الذكاء الاصطناعي في تحسين جودة الخدمة من خلال قدرته على “فهم” احتياجات المستفيدين وتحليل سلوكهم الرقمي، ثم تقديم خدمات أكثر ملاءمة وتخصيصًا، سواء في القطاع الحكومي أو الخاص فبدلًا من تقديم خدمة موحدة لجميع المستخدمين، تستطيع الأنظمة الذكية تقديم اقتراحات وخيارات تتناسب مع طبيعة كل حالة، بناءً على بيانات سابقة أو معايير تشغيل محددة ويؤدي ذلك إلى رفع مستوى رضا المستفيد، وتقليل نسبة الأخطاء الإجرائية، وتعزيز الثقة في الخدمات الرقمية</w:t>
      </w:r>
      <w:r w:rsidRPr="00991EEB">
        <w:rPr>
          <w:rStyle w:val="a4"/>
          <w:rFonts w:ascii="Sakkal Majalla" w:hAnsi="Sakkal Majalla" w:cs="Sakkal Majalla"/>
          <w:sz w:val="32"/>
          <w:szCs w:val="32"/>
          <w:rtl/>
        </w:rPr>
        <w:footnoteReference w:id="41"/>
      </w:r>
      <w:r w:rsidRPr="00991EEB">
        <w:rPr>
          <w:rFonts w:ascii="Sakkal Majalla" w:hAnsi="Sakkal Majalla" w:cs="Sakkal Majalla"/>
          <w:sz w:val="32"/>
          <w:szCs w:val="32"/>
          <w:rtl/>
        </w:rPr>
        <w:t>.</w:t>
      </w:r>
    </w:p>
    <w:p w14:paraId="55B57312"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ويضاف إلى ذلك أن الذكاء الاصطناعي يرفع الكفاءة من خلال دعم سرعة اتخاذ القرار داخل المؤسسات، حيث يقوم بتجميع البيانات وتحليلها وإظهار النتائج بصورة فورية أو شبه فورية، بما يمكن صانع القرار من التعامل مع المعلومات في الوقت المناسب وهذا ينعكس بوجه خاص في القطاعات التي تتطلب استجابة سريعة، مثل الخدمات الصحية الطارئة، والعمليات المالية، وإدارة المخاطر. ومن ثم، فإن تحسين الكفاءة لا يقتصر على “السرعة” فقط، بل يمتد إلى “الاستقرار” و”القدرة على الاستجابة” و”رفع جودة المخرجات” ضمن منظومة عمل مؤسسية متكاملة</w:t>
      </w:r>
      <w:r w:rsidRPr="00991EEB">
        <w:rPr>
          <w:rStyle w:val="a4"/>
          <w:rFonts w:ascii="Sakkal Majalla" w:hAnsi="Sakkal Majalla" w:cs="Sakkal Majalla"/>
          <w:sz w:val="32"/>
          <w:szCs w:val="32"/>
          <w:rtl/>
        </w:rPr>
        <w:footnoteReference w:id="42"/>
      </w:r>
      <w:r w:rsidRPr="00991EEB">
        <w:rPr>
          <w:rFonts w:ascii="Sakkal Majalla" w:hAnsi="Sakkal Majalla" w:cs="Sakkal Majalla"/>
          <w:sz w:val="32"/>
          <w:szCs w:val="32"/>
          <w:rtl/>
        </w:rPr>
        <w:t>.</w:t>
      </w:r>
    </w:p>
    <w:p w14:paraId="2D0C586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الناحية القانونية فإن ارتفاع كفاءة الأنظمة الذكية وتوسع استخدامها في تقديم الخدمات قد يؤدي إلى اتساع نطاق الاعتماد عليها، بما يجعل أي خلل أو سوء استخدام أو خطأ في التشغيل أكثر أثرًا على حقوق الأفراد، وهو ما يرتبط مباشرة بموضوع الدراسة عند بحث مسؤولية التعويض عن الأضرار الناشئة عن أفعال الذكاء الاصطناعي في البيئة الرقمية</w:t>
      </w:r>
      <w:r w:rsidRPr="00991EEB">
        <w:rPr>
          <w:rStyle w:val="a4"/>
          <w:rFonts w:ascii="Sakkal Majalla" w:hAnsi="Sakkal Majalla" w:cs="Sakkal Majalla"/>
          <w:sz w:val="32"/>
          <w:szCs w:val="32"/>
          <w:rtl/>
        </w:rPr>
        <w:footnoteReference w:id="43"/>
      </w:r>
      <w:r w:rsidRPr="00991EEB">
        <w:rPr>
          <w:rFonts w:ascii="Sakkal Majalla" w:hAnsi="Sakkal Majalla" w:cs="Sakkal Majalla"/>
          <w:sz w:val="32"/>
          <w:szCs w:val="32"/>
          <w:rtl/>
        </w:rPr>
        <w:t>.</w:t>
      </w:r>
    </w:p>
    <w:p w14:paraId="4DA8193F"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ثانيًا: تقليل نسبة الخطأ البشري وتعزيز الدقة :</w:t>
      </w:r>
    </w:p>
    <w:p w14:paraId="44DD57B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يمثل تقليل الخطأ البشري أحد الدوافع الأساسية للاعتماد على الذكاء الاصطناعي، إذ إن كثيرًا من الأخطاء البشرية تنشأ بسبب الإرهاق، أو ضغط العمل، أو محدودية القدرة على معالجة الكم الكبير من البيانات، أو التقدير الشخصي المتفاوت بين الأفراد بينما تعمل الأنظمة الذكية وفق قواعد خوارزمية ثابتة، ومعايير تحليل محددة، بما يقلل من نسبة الأخطاء العشوائية التي قد تظهر في العمل البشري التقليدي</w:t>
      </w:r>
      <w:r w:rsidRPr="00991EEB">
        <w:rPr>
          <w:rStyle w:val="a4"/>
          <w:rFonts w:ascii="Sakkal Majalla" w:hAnsi="Sakkal Majalla" w:cs="Sakkal Majalla"/>
          <w:sz w:val="32"/>
          <w:szCs w:val="32"/>
          <w:rtl/>
        </w:rPr>
        <w:footnoteReference w:id="44"/>
      </w:r>
      <w:r w:rsidRPr="00991EEB">
        <w:rPr>
          <w:rFonts w:ascii="Sakkal Majalla" w:hAnsi="Sakkal Majalla" w:cs="Sakkal Majalla"/>
          <w:sz w:val="32"/>
          <w:szCs w:val="32"/>
          <w:rtl/>
        </w:rPr>
        <w:t>.</w:t>
      </w:r>
    </w:p>
    <w:p w14:paraId="7A7AA21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وتتجسد هذه الميزة في المجالات التي تتطلب دقة عالية واتساقًا في النتائج، مثل: التدقيق المالي، والتحقق من الهوية، ومراقبة العمليات الإلكترونية، وتحليل السجلات الرقمية، والكشف المبكر عن الأنماط غير الطبيعية التي قد تشير إلى احتيال أو اختراق ففي هذه المجالات قد يعجز الإنسان عن اكتشاف أنماط دقيقة داخل ملايين العمليات، بينما يستطيع الذكاء الاصطناعي رصد الانحرافات الصغيرة والتحذير منها في الوقت المناسب</w:t>
      </w:r>
      <w:r w:rsidRPr="00991EEB">
        <w:rPr>
          <w:rStyle w:val="a4"/>
          <w:rFonts w:ascii="Sakkal Majalla" w:hAnsi="Sakkal Majalla" w:cs="Sakkal Majalla"/>
          <w:sz w:val="32"/>
          <w:szCs w:val="32"/>
          <w:rtl/>
        </w:rPr>
        <w:footnoteReference w:id="45"/>
      </w:r>
      <w:r w:rsidRPr="00991EEB">
        <w:rPr>
          <w:rFonts w:ascii="Sakkal Majalla" w:hAnsi="Sakkal Majalla" w:cs="Sakkal Majalla"/>
          <w:sz w:val="32"/>
          <w:szCs w:val="32"/>
          <w:rtl/>
        </w:rPr>
        <w:t>.</w:t>
      </w:r>
    </w:p>
    <w:p w14:paraId="4DA8C59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غير أن الحديث عن “تقليل الخطأ البشري” لا يعني استبعاد الخطأ كليًا، إذ قد تظهر أخطاء من نوع مختلف، مثل أخطاء البيانات المدخلة، أو التحيز الخوارزمي، أو خلل في التدريب على البيانات، أو ضعف الضوابط الرقابية على النظام ومن ثم، فإن الذكاء الاصطناعي ينقل طبيعة الخطأ من “خطأ بشري مباشر” إلى “خطأ تقني أو تنظيمي” قد يكون أكثر تعقيدًا في التتبع والإثبات وهذا يثير أهمية قانونية خاصة عند بحث المسؤولية المدنية، لأن تحديد الخطأ ومصدره يصبح مرتبطًا بمراحل متعددة: مرحلة التصميم، ومرحلة التدريب، ومرحلة التشغيل، ومرحلة الرقابة</w:t>
      </w:r>
      <w:r w:rsidRPr="00991EEB">
        <w:rPr>
          <w:rStyle w:val="a4"/>
          <w:rFonts w:ascii="Sakkal Majalla" w:hAnsi="Sakkal Majalla" w:cs="Sakkal Majalla"/>
          <w:sz w:val="32"/>
          <w:szCs w:val="32"/>
          <w:rtl/>
        </w:rPr>
        <w:footnoteReference w:id="46"/>
      </w:r>
      <w:r w:rsidRPr="00991EEB">
        <w:rPr>
          <w:rFonts w:ascii="Sakkal Majalla" w:hAnsi="Sakkal Majalla" w:cs="Sakkal Majalla"/>
          <w:sz w:val="32"/>
          <w:szCs w:val="32"/>
          <w:rtl/>
        </w:rPr>
        <w:t>.</w:t>
      </w:r>
    </w:p>
    <w:p w14:paraId="5EB1E4AF"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فإن ميزة تعزيز الدقة لا تقف عند تقليل أخطاء التنفيذ، بل تمتد إلى بناء قرارات أكثر اتساقًا مع المعايير المحددة سلفًا، وهو ما يرفع مستوى الانضباط داخل المؤسسات غير أن هذا الاتساق ذاته قد يصبح مصدر ضرر إذا كانت المعايير أو البيانات غير سليمة، مما يجعل ضرورة الضبط والرقابة القانونية على هذه الأنظمة أمرًا ملازمًا للاستفادة من دقتها دون الإضرار بحقوق الأفراد.</w:t>
      </w:r>
    </w:p>
    <w:p w14:paraId="699F06CE"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ثالثًا: دعم اتخاذ القرار المبني على البيانات :</w:t>
      </w:r>
    </w:p>
    <w:p w14:paraId="14D508F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يعد دعم اتخاذ القرار المبني على البيانات من أبرز المزايا الجوهرية لتطبيقات الذكاء الاصطناعي، إذ يتيح هذا النظام الانتقال من القرارات القائمة على التقدير الشخصي أو الخبرة المحدودة إلى قرارات تستند إلى تحليل منهجي شامل للمعطيات المتاحة فالذكاء الاصطناعي قادر على جمع </w:t>
      </w:r>
      <w:r w:rsidRPr="00991EEB">
        <w:rPr>
          <w:rFonts w:ascii="Sakkal Majalla" w:hAnsi="Sakkal Majalla" w:cs="Sakkal Majalla"/>
          <w:sz w:val="32"/>
          <w:szCs w:val="32"/>
          <w:rtl/>
        </w:rPr>
        <w:lastRenderedPageBreak/>
        <w:t>البيانات من مصادر متعددة، ومعالجتها، وربطها ببعضها البعض، ثم استخلاص أنماط واتجاهات يصعب على الإنسان إدراكها في ظل الكم الهائل من المعلومات</w:t>
      </w:r>
      <w:r w:rsidRPr="00991EEB">
        <w:rPr>
          <w:rStyle w:val="a4"/>
          <w:rFonts w:ascii="Sakkal Majalla" w:hAnsi="Sakkal Majalla" w:cs="Sakkal Majalla"/>
          <w:sz w:val="32"/>
          <w:szCs w:val="32"/>
          <w:rtl/>
        </w:rPr>
        <w:footnoteReference w:id="47"/>
      </w:r>
      <w:r w:rsidRPr="00991EEB">
        <w:rPr>
          <w:rFonts w:ascii="Sakkal Majalla" w:hAnsi="Sakkal Majalla" w:cs="Sakkal Majalla"/>
          <w:sz w:val="32"/>
          <w:szCs w:val="32"/>
          <w:rtl/>
        </w:rPr>
        <w:t>.</w:t>
      </w:r>
    </w:p>
    <w:p w14:paraId="4BC6D14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وتتجلى أهمية هذه الميزة في المجالات التي تتطلب تقييمًا مستمرًا للمخاطر والفرص، مثل القطاع المالي، وإدارة الاستثمارات، وتحليل سلوك المستهلكين، والتخطيط الاستراتيجي داخل المؤسسات فمن خلال النماذج التنبؤية، يمكن للنظام الذكي تقدير احتمالات وقوع حدث معين، أو توقع سلوك مستقبلي، أو اقتراح بدائل أكثر كفاءة لتحقيق هدف محدد</w:t>
      </w:r>
      <w:r w:rsidRPr="00991EEB">
        <w:rPr>
          <w:rStyle w:val="a4"/>
          <w:rFonts w:ascii="Sakkal Majalla" w:hAnsi="Sakkal Majalla" w:cs="Sakkal Majalla"/>
          <w:sz w:val="32"/>
          <w:szCs w:val="32"/>
          <w:rtl/>
        </w:rPr>
        <w:footnoteReference w:id="48"/>
      </w:r>
      <w:r w:rsidRPr="00991EEB">
        <w:rPr>
          <w:rFonts w:ascii="Sakkal Majalla" w:hAnsi="Sakkal Majalla" w:cs="Sakkal Majalla"/>
          <w:sz w:val="32"/>
          <w:szCs w:val="32"/>
          <w:rtl/>
        </w:rPr>
        <w:t>.</w:t>
      </w:r>
    </w:p>
    <w:p w14:paraId="2557D5A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الناحية العملية يسهم هذا النمط من اتخاذ القرار في تحسين تخصيص الموارد، وتقليل نسبة المخاطر غير المحسوبة، وتعزيز القدرة على الاستجابة السريعة للمتغيرات. غير أن هذه الميزة تثير أيضًا أبعادًا قانونية، خاصة إذا كان القرار الآلي يمس مراكز قانونية للأفراد، كرفض طلب تمويل، أو تصنيف شخص ضمن فئة عالية المخاطر، أو اتخاذ إجراء إداري مؤثر ففي مثل هذه الحالات، يبرز التساؤل حول مدى شفافية القرار، وحق المتضرر في الطعن عليه، وإمكانية مراجعة الأساس الذي بني عليه</w:t>
      </w:r>
      <w:r w:rsidRPr="00991EEB">
        <w:rPr>
          <w:rStyle w:val="a4"/>
          <w:rFonts w:ascii="Sakkal Majalla" w:hAnsi="Sakkal Majalla" w:cs="Sakkal Majalla"/>
          <w:sz w:val="32"/>
          <w:szCs w:val="32"/>
          <w:rtl/>
        </w:rPr>
        <w:footnoteReference w:id="49"/>
      </w:r>
      <w:r w:rsidRPr="00991EEB">
        <w:rPr>
          <w:rFonts w:ascii="Sakkal Majalla" w:hAnsi="Sakkal Majalla" w:cs="Sakkal Majalla"/>
          <w:sz w:val="32"/>
          <w:szCs w:val="32"/>
          <w:rtl/>
        </w:rPr>
        <w:t>.</w:t>
      </w:r>
    </w:p>
    <w:p w14:paraId="35AB61D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فإن دعم اتخاذ القرار المبني على البيانات يمثل قوة تنظيمية وإدارية كبيرة، لكنه في الوقت ذاته يفرض ضرورة وضع ضوابط تكفل عدالة الإجراءات، وإمكان مراجعة القرارات التي تصدر اعتمادًا على أنظمة ذكية.</w:t>
      </w:r>
    </w:p>
    <w:p w14:paraId="0AD58BF1"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lastRenderedPageBreak/>
        <w:t>رابعًا: تعزيز الأمن السيبراني ومكافحة الجرائم الإلكترونية :</w:t>
      </w:r>
    </w:p>
    <w:p w14:paraId="3D664251"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أصبح الذكاء الاصطناعي أداة أساسية في تعزيز الأمن السيبراني ومكافحة الجرائم الإلكترونية، نظرًا لقدرته على تحليل أنماط النشاط الرقمي واكتشاف السلوك غير المعتاد في الشبكات والأنظمة المعلوماتية فالهجمات الإلكترونية الحديثة غالبًا ما تتسم بالتعقيد والسرعة، مما يجعل اكتشافها يدويًا أمرًا بالغ الصعوبة وهنا تتدخل الأنظمة الذكية لتحليل ملايين العمليات في الزمن الفعلي، ورصد المؤشرات التي قد تدل على وجود تهديد</w:t>
      </w:r>
      <w:r w:rsidRPr="00991EEB">
        <w:rPr>
          <w:rStyle w:val="a4"/>
          <w:rFonts w:ascii="Sakkal Majalla" w:hAnsi="Sakkal Majalla" w:cs="Sakkal Majalla"/>
          <w:sz w:val="32"/>
          <w:szCs w:val="32"/>
          <w:rtl/>
        </w:rPr>
        <w:footnoteReference w:id="50"/>
      </w:r>
      <w:r w:rsidRPr="00991EEB">
        <w:rPr>
          <w:rFonts w:ascii="Sakkal Majalla" w:hAnsi="Sakkal Majalla" w:cs="Sakkal Majalla"/>
          <w:sz w:val="32"/>
          <w:szCs w:val="32"/>
          <w:rtl/>
        </w:rPr>
        <w:t>.</w:t>
      </w:r>
    </w:p>
    <w:p w14:paraId="170AE5E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وتستطيع أنظمة الذكاء الاصطناعي التعرف على الأنماط المرتبطة بالاختراقات، أو محاولات الاحتيال، أو الوصول غير المشروع إلى البيانات، من خلال مقارنة السلوك الحالي بالسلوك الطبيعي المتوقع كما يمكنها التعلم من الحوادث السابقة لتحسين قدرتها على التنبؤ بالتهديدات المستقبلية، وهو ما يعزز الجانب الوقائي للأمن السيبراني</w:t>
      </w:r>
      <w:r w:rsidRPr="00991EEB">
        <w:rPr>
          <w:rStyle w:val="a4"/>
          <w:rFonts w:ascii="Sakkal Majalla" w:hAnsi="Sakkal Majalla" w:cs="Sakkal Majalla"/>
          <w:sz w:val="32"/>
          <w:szCs w:val="32"/>
          <w:rtl/>
        </w:rPr>
        <w:footnoteReference w:id="51"/>
      </w:r>
      <w:r w:rsidRPr="00991EEB">
        <w:rPr>
          <w:rFonts w:ascii="Sakkal Majalla" w:hAnsi="Sakkal Majalla" w:cs="Sakkal Majalla"/>
          <w:sz w:val="32"/>
          <w:szCs w:val="32"/>
          <w:rtl/>
        </w:rPr>
        <w:t>.</w:t>
      </w:r>
    </w:p>
    <w:p w14:paraId="1821DB6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وتتجلى الفائدة العملية لهذه الميزة في تقليل الخسائر المالية، وحماية البيانات الحساسة، والحفاظ على استقرار الأنظمة الرقمية غير أن هذه القدرة لا تخلو من إشكاليات قانونية، إذ قد يتطلب تحليل الأنشطة الرقمية مراقبة واسعة للبيانات، مما يستدعي مراعاة قواعد حماية الخصوصية والضوابط النظامية المتعلقة بجمع المعلومات ومعالجتها.</w:t>
      </w:r>
    </w:p>
    <w:p w14:paraId="65E9EEA1"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lastRenderedPageBreak/>
        <w:t>ومن ثم فإن استخدام الذكاء الاصطناعي في مكافحة الجرائم الإلكترونية يعكس طبيعته المزدوجة: فهو أداة فعالة للحماية والدفاع، وفي الوقت ذاته يتطلب تنظيمًا قانونيًا يضمن ألا تتحول آليات الحماية إلى وسائل انتهاك لحقوق الأفراد أو تجاوز للضوابط النظامية</w:t>
      </w:r>
      <w:r w:rsidRPr="00991EEB">
        <w:rPr>
          <w:rStyle w:val="a4"/>
          <w:rFonts w:ascii="Sakkal Majalla" w:hAnsi="Sakkal Majalla" w:cs="Sakkal Majalla"/>
          <w:sz w:val="32"/>
          <w:szCs w:val="32"/>
          <w:rtl/>
        </w:rPr>
        <w:footnoteReference w:id="52"/>
      </w:r>
      <w:r w:rsidRPr="00991EEB">
        <w:rPr>
          <w:rFonts w:ascii="Sakkal Majalla" w:hAnsi="Sakkal Majalla" w:cs="Sakkal Majalla"/>
          <w:sz w:val="32"/>
          <w:szCs w:val="32"/>
          <w:rtl/>
        </w:rPr>
        <w:t>.</w:t>
      </w:r>
    </w:p>
    <w:p w14:paraId="5A7480E3"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خامسًا: دعم الابتكار والتحول الرقمي :</w:t>
      </w:r>
    </w:p>
    <w:p w14:paraId="42815B9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الذكاء الاصطناعي أحد الركائز الأساسية لبرامج التحول الرقمي الحديثة، إذ يسهم في إعادة صياغة نماذج الأعمال والإدارة من خلال إدماج التقنيات الذكية في مختلف العمليات المؤسسية فبدلًا من الاعتماد على الأساليب التقليدية في تقديم الخدمات أو إدارة البيانات، يتيح الذكاء الاصطناعي تطوير حلول مبتكرة تعتمد على التحليل المتقدم، والأتمتة، والتنبؤ بالاتجاهات المستقبلية</w:t>
      </w:r>
      <w:r w:rsidRPr="00991EEB">
        <w:rPr>
          <w:rStyle w:val="a4"/>
          <w:rFonts w:ascii="Sakkal Majalla" w:hAnsi="Sakkal Majalla" w:cs="Sakkal Majalla"/>
          <w:sz w:val="32"/>
          <w:szCs w:val="32"/>
          <w:rtl/>
        </w:rPr>
        <w:footnoteReference w:id="53"/>
      </w:r>
      <w:r w:rsidRPr="00991EEB">
        <w:rPr>
          <w:rFonts w:ascii="Sakkal Majalla" w:hAnsi="Sakkal Majalla" w:cs="Sakkal Majalla"/>
          <w:sz w:val="32"/>
          <w:szCs w:val="32"/>
          <w:rtl/>
        </w:rPr>
        <w:t>.</w:t>
      </w:r>
    </w:p>
    <w:p w14:paraId="77A42CA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ويتجلى أثر هذه السمة في قدرة المؤسسات على تصميم خدمات رقمية أكثر تفاعلًا وكفاءة، مثل المنصات الذكية، وأنظمة الرد الآلي المتقدمة، وأدوات تحليل السلوك الاستهلاكي، ونظم التوصية المخصصة. كما يسهم في فتح آفاق جديدة للابتكار من خلال استكشاف أنماط وفرص لم تكن ظاهرة في ظل المعالجة التقليدية للبيانات وهذا يعزز القدرة التنافسية للمؤسسات، ويدعم التحول نحو اقتصاد قائم على المعرفة والتقنية</w:t>
      </w:r>
      <w:r w:rsidRPr="00991EEB">
        <w:rPr>
          <w:rStyle w:val="a4"/>
          <w:rFonts w:ascii="Sakkal Majalla" w:hAnsi="Sakkal Majalla" w:cs="Sakkal Majalla"/>
          <w:sz w:val="32"/>
          <w:szCs w:val="32"/>
          <w:rtl/>
        </w:rPr>
        <w:footnoteReference w:id="54"/>
      </w:r>
      <w:r w:rsidRPr="00991EEB">
        <w:rPr>
          <w:rFonts w:ascii="Sakkal Majalla" w:hAnsi="Sakkal Majalla" w:cs="Sakkal Majalla"/>
          <w:sz w:val="32"/>
          <w:szCs w:val="32"/>
          <w:rtl/>
        </w:rPr>
        <w:t>.</w:t>
      </w:r>
    </w:p>
    <w:p w14:paraId="70524A0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الناحية الاستراتيجية، يمكن الذكاء الاصطناعي الجهات العامة والخاصة من بناء بنية تحتية رقمية متكاملة قادرة على التكيف مع المتغيرات السريعة في البيئة التقنية كما يعزز من سرعة تطوير المنتجات والخدمات، ويقلل من الوقت اللازم لاختبار الأفكار الجديدة وتطبيقها عمليًا غير أن هذا الدعم للابتكار يجب أن يواكب بإطار تنظيمي يضمن ألا يتجاوز التطور التقني حدود المشروعية أو يمس حقوق الأفراد دون ضوابط واضحة</w:t>
      </w:r>
      <w:r w:rsidRPr="00991EEB">
        <w:rPr>
          <w:rStyle w:val="a4"/>
          <w:rFonts w:ascii="Sakkal Majalla" w:hAnsi="Sakkal Majalla" w:cs="Sakkal Majalla"/>
          <w:sz w:val="32"/>
          <w:szCs w:val="32"/>
          <w:rtl/>
        </w:rPr>
        <w:footnoteReference w:id="55"/>
      </w:r>
      <w:r w:rsidRPr="00991EEB">
        <w:rPr>
          <w:rFonts w:ascii="Sakkal Majalla" w:hAnsi="Sakkal Majalla" w:cs="Sakkal Majalla"/>
          <w:sz w:val="32"/>
          <w:szCs w:val="32"/>
          <w:rtl/>
        </w:rPr>
        <w:t>.</w:t>
      </w:r>
    </w:p>
    <w:p w14:paraId="1FEFBBE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فإن دور الذكاء الاصطناعي في دعم الابتكار لا يقتصر على تطوير الأدوات التقنية، بل يمتد إلى إعادة تشكيل الثقافة المؤسسية نحو مزيد من الاعتماد على التحليل المنهجي واتخاذ القرار المبني على البيانات</w:t>
      </w:r>
      <w:r w:rsidRPr="00991EEB">
        <w:rPr>
          <w:rStyle w:val="a4"/>
          <w:rFonts w:ascii="Sakkal Majalla" w:hAnsi="Sakkal Majalla" w:cs="Sakkal Majalla"/>
          <w:sz w:val="32"/>
          <w:szCs w:val="32"/>
          <w:rtl/>
        </w:rPr>
        <w:footnoteReference w:id="56"/>
      </w:r>
      <w:r w:rsidRPr="00991EEB">
        <w:rPr>
          <w:rFonts w:ascii="Sakkal Majalla" w:hAnsi="Sakkal Majalla" w:cs="Sakkal Majalla"/>
          <w:sz w:val="32"/>
          <w:szCs w:val="32"/>
          <w:rtl/>
        </w:rPr>
        <w:t>.</w:t>
      </w:r>
    </w:p>
    <w:p w14:paraId="4B08450A"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سادسًا: تحسين إدارة الموارد وترشيد النفقات :</w:t>
      </w:r>
    </w:p>
    <w:p w14:paraId="174D6C5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يسهم الذكاء الاصطناعي في تحسين إدارة الموارد البشرية والمالية والتقنية، من خلال تحليل الأداء واكتشاف أوجه القصور وتقديم توصيات لتحسين الكفاءة التشغيلية فبفضل قدرته على تتبع العمليات بدقة، يمكن للنظام الذكي تحديد مصادر الهدر، واقتراح حلول عملية لتقليل التكاليف دون التأثير على جودة الخدمة.</w:t>
      </w:r>
    </w:p>
    <w:p w14:paraId="1042526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وفي مجال إدارة الموارد البشرية، يمكن للذكاء الاصطناعي تحليل أنماط العمل والإنتاجية، وتحديد الاحتياجات التدريبية، وتحسين توزيع المهام بما يتناسب مع قدرات العاملين. أما في إدارة الموارد </w:t>
      </w:r>
      <w:r w:rsidRPr="00991EEB">
        <w:rPr>
          <w:rFonts w:ascii="Sakkal Majalla" w:hAnsi="Sakkal Majalla" w:cs="Sakkal Majalla"/>
          <w:sz w:val="32"/>
          <w:szCs w:val="32"/>
          <w:rtl/>
        </w:rPr>
        <w:lastRenderedPageBreak/>
        <w:t>المالية، فيمكن استخدامه للتنبؤ بالاحتياجات المستقبلية، وضبط الميزانيات، وتقليل المخاطر المالية الناتجة عن قرارات غير مدروسة</w:t>
      </w:r>
      <w:r w:rsidRPr="00991EEB">
        <w:rPr>
          <w:rStyle w:val="a4"/>
          <w:rFonts w:ascii="Sakkal Majalla" w:hAnsi="Sakkal Majalla" w:cs="Sakkal Majalla"/>
          <w:sz w:val="32"/>
          <w:szCs w:val="32"/>
          <w:rtl/>
        </w:rPr>
        <w:footnoteReference w:id="57"/>
      </w:r>
      <w:r w:rsidRPr="00991EEB">
        <w:rPr>
          <w:rFonts w:ascii="Sakkal Majalla" w:hAnsi="Sakkal Majalla" w:cs="Sakkal Majalla"/>
          <w:sz w:val="32"/>
          <w:szCs w:val="32"/>
          <w:rtl/>
        </w:rPr>
        <w:t>.</w:t>
      </w:r>
    </w:p>
    <w:p w14:paraId="5B5FD22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تسهم التطبيقات الذكية في إدارة سلاسل الإمداد وتحسين عمليات التخزين والنقل، عبر التنبؤ بمستويات الطلب وتحديد أفضل توقيت لإعادة التوريد، مما يقلل من الفاقد ويعزز الاستدامة وتنعكس هذه الكفاءة في صورة خفض النفقات التشغيلية، وتحقيق استخدام أمثل للموارد المتاحة.</w:t>
      </w:r>
    </w:p>
    <w:p w14:paraId="060DAD0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غير أن تحسين إدارة الموارد لا يعني إلغاء الدور البشري، بل يتطلب تكاملًا بين الأنظمة الذكية والرقابة البشرية لضمان سلامة النتائج ودقتها كما أن الاعتماد المفرط على الأتمتة دون ضوابط قد يؤدي إلى آثار اجتماعية أو تنظيمية تستوجب المعالجة القانونية المناسبة</w:t>
      </w:r>
      <w:r w:rsidRPr="00991EEB">
        <w:rPr>
          <w:rStyle w:val="a4"/>
          <w:rFonts w:ascii="Sakkal Majalla" w:hAnsi="Sakkal Majalla" w:cs="Sakkal Majalla"/>
          <w:sz w:val="32"/>
          <w:szCs w:val="32"/>
          <w:rtl/>
        </w:rPr>
        <w:footnoteReference w:id="58"/>
      </w:r>
      <w:r w:rsidRPr="00991EEB">
        <w:rPr>
          <w:rFonts w:ascii="Sakkal Majalla" w:hAnsi="Sakkal Majalla" w:cs="Sakkal Majalla"/>
          <w:sz w:val="32"/>
          <w:szCs w:val="32"/>
          <w:rtl/>
        </w:rPr>
        <w:t>.</w:t>
      </w:r>
    </w:p>
    <w:p w14:paraId="55B3F2B5"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وبذلك يتضح أن الذكاء الاصطناعي لا يعزز فقط الابتكار، بل يسهم كذلك في بناء منظومة إدارية أكثر انضباطًا وكفاءة، قادرة على تحقيق التوازن بين تقليل التكاليف ورفع جودة الأداء، مع ضرورة الإحاطة بهذه المزايا بإطار تنظيمي يحمي الحقوق ويمنع إساءة الاستخدام.</w:t>
      </w:r>
    </w:p>
    <w:p w14:paraId="7372EBA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ويتضح من العرض السابق أن الذكاء الاصطناعي لا يمثل مجرد أداة تقنية، بل يشكل عنصرًا محوريًا في تطوير الأداء المؤسسي وتعزيز الكفاءة الاقتصادية والأمنية غير أن هذه الفوائد، على أهميتها، لا تحول دون ما يثيره من تحديات قانونية وأخلاقية، وهو ما يستدعي الانتقال إلى بيان </w:t>
      </w:r>
      <w:r w:rsidRPr="00991EEB">
        <w:rPr>
          <w:rFonts w:ascii="Sakkal Majalla" w:hAnsi="Sakkal Majalla" w:cs="Sakkal Majalla"/>
          <w:sz w:val="32"/>
          <w:szCs w:val="32"/>
          <w:rtl/>
        </w:rPr>
        <w:lastRenderedPageBreak/>
        <w:t>المخاطر والتحديات المرتبطة باستخدامه في الفرع التالي، تمهيدًا لبحث انعكاسها على قواعد المسؤولية المدنية</w:t>
      </w:r>
      <w:r w:rsidRPr="00991EEB">
        <w:rPr>
          <w:rStyle w:val="a4"/>
          <w:rFonts w:ascii="Sakkal Majalla" w:hAnsi="Sakkal Majalla" w:cs="Sakkal Majalla"/>
          <w:sz w:val="32"/>
          <w:szCs w:val="32"/>
          <w:rtl/>
        </w:rPr>
        <w:footnoteReference w:id="59"/>
      </w:r>
      <w:r w:rsidRPr="00991EEB">
        <w:rPr>
          <w:rFonts w:ascii="Sakkal Majalla" w:hAnsi="Sakkal Majalla" w:cs="Sakkal Majalla"/>
          <w:sz w:val="32"/>
          <w:szCs w:val="32"/>
          <w:rtl/>
        </w:rPr>
        <w:t>.</w:t>
      </w:r>
    </w:p>
    <w:p w14:paraId="1AC881ED" w14:textId="77777777" w:rsidR="00991EEB" w:rsidRPr="00991EEB" w:rsidRDefault="00991EEB" w:rsidP="00991EEB">
      <w:pPr>
        <w:pStyle w:val="a5"/>
        <w:numPr>
          <w:ilvl w:val="0"/>
          <w:numId w:val="34"/>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الفرع الثاني: المخاطر والتحديات المرتبطة باستخدام الذكاء الاصطناعي.</w:t>
      </w:r>
    </w:p>
    <w:p w14:paraId="192D2390"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يمثل الذكاء الاصطناعي تقنية ذات طبيعة مزدوجة؛ فكما يحمل فرصًا واسعة لتطوير الأداء المؤسسي وتعزيز الأمن والخدمات، فإنه يثير في المقابل منظومة من المخاطر والتحديات التي تتجاوز البعد التقني إلى أبعاد قانونية وأخلاقية واجتماعية وتزداد أهمية تناول هذه المخاطر في إطار الرسالة محل البحث؛ لأن الجرائم الإلكترونية المعتمدة على الذكاء الاصطناعي تظهر بصورة واضحة كيف يمكن أن تتحول التقنية من أداة تحسين إلى وسيلة إضرار، بما يستدعي بحثًا دقيقًا في مدى كفاية القواعد التقليدية للمسؤولية المدنية لمواجهة هذا الواقع</w:t>
      </w:r>
      <w:r w:rsidRPr="00991EEB">
        <w:rPr>
          <w:rStyle w:val="a4"/>
          <w:rFonts w:ascii="Sakkal Majalla" w:hAnsi="Sakkal Majalla" w:cs="Sakkal Majalla"/>
          <w:sz w:val="32"/>
          <w:szCs w:val="32"/>
          <w:rtl/>
        </w:rPr>
        <w:footnoteReference w:id="60"/>
      </w:r>
      <w:r w:rsidRPr="00991EEB">
        <w:rPr>
          <w:rFonts w:ascii="Sakkal Majalla" w:hAnsi="Sakkal Majalla" w:cs="Sakkal Majalla"/>
          <w:sz w:val="32"/>
          <w:szCs w:val="32"/>
          <w:rtl/>
        </w:rPr>
        <w:t>.</w:t>
      </w:r>
    </w:p>
    <w:p w14:paraId="73BA0335"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أولًا: صعوبة تحديد المسؤول وتداخل أدوار الأطراف (إشكالية الإسناد) :</w:t>
      </w:r>
    </w:p>
    <w:p w14:paraId="4219F56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تعد إشكالية الإسناد من أكثر التحديات تعقيدًا عند بحث الأضرار الناشئة عن استخدام الذكاء الاصطناعي، لأنها تمس جوهر فكرة المسؤولية المدنية القائمة على نسبة الفعل الضار إلى شخص محدد يلزم بالتعويض ففي النماذج التقليدية، غالبًا ما يكون الفاعل معروفًا، أو يمكن تحديده بسهولة عبر معيار الخطأ أو التعدي أما في أنظمة الذكاء الاصطناعي، فإن الفعل الضار قد يكون </w:t>
      </w:r>
      <w:r w:rsidRPr="00991EEB">
        <w:rPr>
          <w:rFonts w:ascii="Sakkal Majalla" w:hAnsi="Sakkal Majalla" w:cs="Sakkal Majalla"/>
          <w:sz w:val="32"/>
          <w:szCs w:val="32"/>
          <w:rtl/>
        </w:rPr>
        <w:lastRenderedPageBreak/>
        <w:t>“نتاج منظومة” وليس نتاج شخص واحد، بما يجعل المسؤولية موزعة على سلسلة أطراف متداخلة تتفاوت أدوارها ودرجة سيطرتها على النظام</w:t>
      </w:r>
      <w:r w:rsidRPr="00991EEB">
        <w:rPr>
          <w:rStyle w:val="a4"/>
          <w:rFonts w:ascii="Sakkal Majalla" w:hAnsi="Sakkal Majalla" w:cs="Sakkal Majalla"/>
          <w:sz w:val="32"/>
          <w:szCs w:val="32"/>
          <w:rtl/>
        </w:rPr>
        <w:footnoteReference w:id="61"/>
      </w:r>
      <w:r w:rsidRPr="00991EEB">
        <w:rPr>
          <w:rFonts w:ascii="Sakkal Majalla" w:hAnsi="Sakkal Majalla" w:cs="Sakkal Majalla"/>
          <w:sz w:val="32"/>
          <w:szCs w:val="32"/>
          <w:rtl/>
        </w:rPr>
        <w:t>.</w:t>
      </w:r>
    </w:p>
    <w:p w14:paraId="78E9231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وتتكون هذه السلسلة عادة من: مطور الخوارزمية، الجهة المنتجة للنظام أو المزود، مالك النظام داخل المؤسسة، المشغل أو الجهة القائمة على التشغيل والصيانة، المستخدم النهائي الذي يتعامل مع النظام، وربما طرف ثالث يزود النظام بالبيانات أو يوفر البنية السحابية أو واجهات الربط. وتبرز الإشكالية حين يقع الضرر: هل كان بسبب عيب برمجي في التصميم؟ أم نتيجة قصور في اختبار النظام قبل إطلاقه؟ أم بسبب بيانات تدريب غير ملائمة؟ أم بسبب خطأ في الإعدادات والتشغيل؟ أم بسبب استخدام غير مشروع أو مخالف للتعليمات؟ أم نتيجة تفاعل غير متوقع بين النظام وبيئة رقمية متغيرة؟</w:t>
      </w:r>
      <w:r w:rsidRPr="00991EEB">
        <w:rPr>
          <w:rStyle w:val="a4"/>
          <w:rFonts w:ascii="Sakkal Majalla" w:hAnsi="Sakkal Majalla" w:cs="Sakkal Majalla"/>
          <w:sz w:val="32"/>
          <w:szCs w:val="32"/>
          <w:rtl/>
        </w:rPr>
        <w:footnoteReference w:id="62"/>
      </w:r>
    </w:p>
    <w:p w14:paraId="22F4616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وتزداد صعوبة الإسناد عندما يكون النظام قائمًا على التعلم الذاتي، إذ قد يتطور سلوكه بمرور الوقت بصورة لم تكن متوقعة عند مرحلة التطوير الأولى هنا يثور تساؤل جوهري حول حدود مسؤولية المطور: هل يُسأل عن كل نتيجة لاحقة أم فقط عن نطاق ما كان يتوقعه وفق معيار “التوقع المعقول”؟ وفي المقابل، هل تُعد الجهة المشغلة مسؤولة لأنها لم تضع قيودًا كافية على تعلم النظام أو لم تعتمد سياسات رقابية تمنع الانحرافات؟ كذلك، قد يظهر دور “مزود البيانات” </w:t>
      </w:r>
      <w:r w:rsidRPr="00991EEB">
        <w:rPr>
          <w:rFonts w:ascii="Sakkal Majalla" w:hAnsi="Sakkal Majalla" w:cs="Sakkal Majalla"/>
          <w:sz w:val="32"/>
          <w:szCs w:val="32"/>
          <w:rtl/>
        </w:rPr>
        <w:lastRenderedPageBreak/>
        <w:t>بوصفه عنصرًا حاسمًا: فالبيانات هي الوقود الذي يتشكل منه القرار الآلي؛ فإذا كانت البيانات فاسدة أو متحيزة أو ناقصة، فقد ينتج قرار ضار فهل تسند المسؤولية لمصدر البيانات أم لمن اعتمدها دون تحقق؟</w:t>
      </w:r>
      <w:r w:rsidRPr="00991EEB">
        <w:rPr>
          <w:rStyle w:val="a4"/>
          <w:rFonts w:ascii="Sakkal Majalla" w:hAnsi="Sakkal Majalla" w:cs="Sakkal Majalla"/>
          <w:sz w:val="32"/>
          <w:szCs w:val="32"/>
          <w:rtl/>
        </w:rPr>
        <w:footnoteReference w:id="63"/>
      </w:r>
    </w:p>
    <w:p w14:paraId="1448A44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ناحية أخرى فإن طبيعة الاستخدام قد تغيّر نتيجة الإسناد. فإذا كان المستخدم قد وظف النظام في فعل غير مشروع (كالتزييف العميق أو الاحتيال الآلي)، فإن مسؤوليته تبدو مباشرة غير أن ذلك لا يلغي احتمالية مسؤولية مزود التقنية إذا كان قد أهمل وضع ضوابط حماية متعارف عليها، أو قدّم النظام بشكل يسهّل إساءة الاستخدام دون إجراءات أمان مناسبة. وفي هذا السياق تظهر فكرة “واجب العناية” التي قد تمتد من المطور إلى المشغل، حيث يتحمل كل طرف واجبًا محددًا يتناسب مع موقعه من السيطرة الفنية أو التشغيلية على النظام</w:t>
      </w:r>
      <w:r w:rsidRPr="00991EEB">
        <w:rPr>
          <w:rStyle w:val="a4"/>
          <w:rFonts w:ascii="Sakkal Majalla" w:hAnsi="Sakkal Majalla" w:cs="Sakkal Majalla"/>
          <w:sz w:val="32"/>
          <w:szCs w:val="32"/>
          <w:rtl/>
        </w:rPr>
        <w:footnoteReference w:id="64"/>
      </w:r>
      <w:r w:rsidRPr="00991EEB">
        <w:rPr>
          <w:rFonts w:ascii="Sakkal Majalla" w:hAnsi="Sakkal Majalla" w:cs="Sakkal Majalla"/>
          <w:sz w:val="32"/>
          <w:szCs w:val="32"/>
          <w:rtl/>
        </w:rPr>
        <w:t>.</w:t>
      </w:r>
    </w:p>
    <w:p w14:paraId="41D2E9B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وتنعكس هذه الإشكالية عمليًا على مسألة حماية المتضرر؛ إذ إن تداخل الأطراف قد يؤدي إلى ضياع الحق أو تأخره، خاصة إذا تبادل كل طرف دفع المسؤولية إلى طرف آخر ومن ثم تبرز الحاجة إلى معيار منهجي في الرسالة يحدد “نقطة الإسناد” وفق عناصر مثل: السيطرة الفعلية على النظام، القدرة على منع الضرر، وجود التزام قانوني أو عقدي بالرقابة، معيار التوقع، ومدى مساهمة كل طرف في صنع النتيجة الضارة.</w:t>
      </w:r>
    </w:p>
    <w:p w14:paraId="535C2A74" w14:textId="77777777" w:rsidR="00991EEB" w:rsidRPr="00991EEB" w:rsidRDefault="00991EEB" w:rsidP="00991EEB">
      <w:pPr>
        <w:bidi/>
        <w:spacing w:line="360" w:lineRule="auto"/>
        <w:jc w:val="mediumKashida"/>
        <w:rPr>
          <w:rFonts w:ascii="Sakkal Majalla" w:hAnsi="Sakkal Majalla" w:cs="Sakkal Majalla"/>
          <w:sz w:val="32"/>
          <w:szCs w:val="32"/>
        </w:rPr>
      </w:pPr>
    </w:p>
    <w:p w14:paraId="11D58759" w14:textId="77777777" w:rsidR="00991EEB" w:rsidRPr="00991EEB" w:rsidRDefault="00991EEB" w:rsidP="00991EEB">
      <w:pPr>
        <w:bidi/>
        <w:spacing w:line="360" w:lineRule="auto"/>
        <w:jc w:val="mediumKashida"/>
        <w:rPr>
          <w:rFonts w:ascii="Sakkal Majalla" w:hAnsi="Sakkal Majalla" w:cs="Sakkal Majalla"/>
          <w:sz w:val="32"/>
          <w:szCs w:val="32"/>
        </w:rPr>
      </w:pPr>
    </w:p>
    <w:p w14:paraId="47B627B1"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lastRenderedPageBreak/>
        <w:t>ثانيًا: مشكلة “الصندوق الأسود” وأثرها على الإثبات والسببية :</w:t>
      </w:r>
    </w:p>
    <w:p w14:paraId="321D7A48"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تمثل مشكلة “الصندوق الأسود” أحد أكبر التحديات التي تواجه إثبات المسؤولية المدنية في سياق الذكاء الاصطناعي، لأنها تضرب في صميم عنصرين رئيسين: إثبات الخطأ، وإثبات العلاقة السببية بين الفعل والضرر فبعض أنظمة الذكاء الاصطناعي، خصوصًا القائمة على نماذج التعلم العميق، تُنتج قرارات أو مخرجات دون أن تكون آلية اتخاذ القرار قابلة للتفسير بوضوح، حتى للمتخصصين. وبذلك تكون النتيجة النهائية ظاهرة، بينما تبقى “أسبابها الخوارزمية” غير شفافة</w:t>
      </w:r>
      <w:r w:rsidRPr="00991EEB">
        <w:rPr>
          <w:rStyle w:val="a4"/>
          <w:rFonts w:ascii="Sakkal Majalla" w:hAnsi="Sakkal Majalla" w:cs="Sakkal Majalla"/>
          <w:sz w:val="32"/>
          <w:szCs w:val="32"/>
          <w:rtl/>
        </w:rPr>
        <w:footnoteReference w:id="65"/>
      </w:r>
      <w:r w:rsidRPr="00991EEB">
        <w:rPr>
          <w:rFonts w:ascii="Sakkal Majalla" w:hAnsi="Sakkal Majalla" w:cs="Sakkal Majalla"/>
          <w:sz w:val="32"/>
          <w:szCs w:val="32"/>
          <w:rtl/>
        </w:rPr>
        <w:t>.</w:t>
      </w:r>
    </w:p>
    <w:p w14:paraId="2FE8F2D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وعند وقوع ضرر يحتاج المتضرر في الأصل إلى بيان أن هناك سلوكًا خاطئًا أو تقصيرًا أدى إلى الضرر إلا أن غموض عمل النظام يجعل من الصعب تحديد موضع الخطأ: هل وقع في مرحلة تصميم النموذج؟ أم في اختيار البيانات؟ أم في عملية التدريب؟ أم في ضبط الإعدادات؟ أم في التشغيل اليومي؟ وقد يتعذر كذلك تحديد “لماذا” اتخذ النظام قرارًا معينًا بدلًا من قرار آخر، وهو ما يجعل دعوى التعويض تواجه تحديًا إثباتيًا كبيرًا</w:t>
      </w:r>
      <w:r w:rsidRPr="00991EEB">
        <w:rPr>
          <w:rStyle w:val="a4"/>
          <w:rFonts w:ascii="Sakkal Majalla" w:hAnsi="Sakkal Majalla" w:cs="Sakkal Majalla"/>
          <w:sz w:val="32"/>
          <w:szCs w:val="32"/>
          <w:rtl/>
        </w:rPr>
        <w:footnoteReference w:id="66"/>
      </w:r>
      <w:r w:rsidRPr="00991EEB">
        <w:rPr>
          <w:rFonts w:ascii="Sakkal Majalla" w:hAnsi="Sakkal Majalla" w:cs="Sakkal Majalla"/>
          <w:sz w:val="32"/>
          <w:szCs w:val="32"/>
          <w:rtl/>
        </w:rPr>
        <w:t>.</w:t>
      </w:r>
    </w:p>
    <w:p w14:paraId="16B94EB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أما العلاقة السببية فتزداد تعقيدًا لأسباب متعددة فقرار الذكاء الاصطناعي قد يكون نتيجة سلسلة من العوامل المتداخلة: بيانات مدخلة، نماذج تدريب، تحديثات لاحقة، تفاعل مع أنظمة أخرى، وربما تدخل بشري جزئي. وقد يحدث الضرر بعد فترة زمنية من تشغيل النظام أو بعد تحديث معين، مما يضعف قدرة المتضرر على الربط المباشر بين الفعل والضرر كذلك، فإن بعض </w:t>
      </w:r>
      <w:r w:rsidRPr="00991EEB">
        <w:rPr>
          <w:rFonts w:ascii="Sakkal Majalla" w:hAnsi="Sakkal Majalla" w:cs="Sakkal Majalla"/>
          <w:sz w:val="32"/>
          <w:szCs w:val="32"/>
          <w:rtl/>
        </w:rPr>
        <w:lastRenderedPageBreak/>
        <w:t>الأنظمة تعمل في بيئات رقمية متغيرة، بحيث قد يكون القرار الضار نتيجة تفاعل بين النظام وبيئة التشغيل وليس نتيجة “خطأ منفرد”</w:t>
      </w:r>
      <w:r w:rsidRPr="00991EEB">
        <w:rPr>
          <w:rStyle w:val="a4"/>
          <w:rFonts w:ascii="Sakkal Majalla" w:hAnsi="Sakkal Majalla" w:cs="Sakkal Majalla"/>
          <w:sz w:val="32"/>
          <w:szCs w:val="32"/>
          <w:rtl/>
        </w:rPr>
        <w:footnoteReference w:id="67"/>
      </w:r>
      <w:r w:rsidRPr="00991EEB">
        <w:rPr>
          <w:rFonts w:ascii="Sakkal Majalla" w:hAnsi="Sakkal Majalla" w:cs="Sakkal Majalla"/>
          <w:sz w:val="32"/>
          <w:szCs w:val="32"/>
          <w:rtl/>
        </w:rPr>
        <w:t>.</w:t>
      </w:r>
    </w:p>
    <w:p w14:paraId="5E0E95A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وتنعكس مشكلة الصندوق الأسود أيضًا على دور الخبرة الفنية في الإثبات فالقاضي لا يستطيع غالبًا تقييم المنطق الخوارزمي دون تقارير تقنية، والمتضرر قد يفتقر إلى القدرة على الوصول إلى البيانات أو أكواد النظام أو سجلات القرار، خاصة إذا كانت بيد جهة خاصة أو مزود خارجي وهذا يفتح الباب أمام إشكالية عدم تكافؤ المعلومات بين المتضرر والمدعى عليه، مما قد يتطلب قانونيًا تدخلًا عبر قواعد خاصة للإفصاح، أو تحميل جهة التشغيل واجب حفظ السجلات (</w:t>
      </w:r>
      <w:r w:rsidRPr="00991EEB">
        <w:rPr>
          <w:rFonts w:ascii="Sakkal Majalla" w:hAnsi="Sakkal Majalla" w:cs="Sakkal Majalla"/>
          <w:sz w:val="32"/>
          <w:szCs w:val="32"/>
        </w:rPr>
        <w:t>Logs</w:t>
      </w:r>
      <w:r w:rsidRPr="00991EEB">
        <w:rPr>
          <w:rFonts w:ascii="Sakkal Majalla" w:hAnsi="Sakkal Majalla" w:cs="Sakkal Majalla"/>
          <w:sz w:val="32"/>
          <w:szCs w:val="32"/>
          <w:rtl/>
        </w:rPr>
        <w:t>) وإتاحتها عند النزاع</w:t>
      </w:r>
      <w:r w:rsidRPr="00991EEB">
        <w:rPr>
          <w:rStyle w:val="a4"/>
          <w:rFonts w:ascii="Sakkal Majalla" w:hAnsi="Sakkal Majalla" w:cs="Sakkal Majalla"/>
          <w:sz w:val="32"/>
          <w:szCs w:val="32"/>
          <w:rtl/>
        </w:rPr>
        <w:footnoteReference w:id="68"/>
      </w:r>
      <w:r w:rsidRPr="00991EEB">
        <w:rPr>
          <w:rFonts w:ascii="Sakkal Majalla" w:hAnsi="Sakkal Majalla" w:cs="Sakkal Majalla"/>
          <w:sz w:val="32"/>
          <w:szCs w:val="32"/>
          <w:rtl/>
        </w:rPr>
        <w:t>.</w:t>
      </w:r>
    </w:p>
    <w:p w14:paraId="7091191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زاوية المسؤولية المدنية، فإن الصندوق الأسود يطرح سؤالًا عمليًا: هل من العدل إبقاء عبء الإثبات كاملًا على المتضرر في سياق لا يستطيع فيه الوصول إلى دليل السبب؟ أم أن طبيعة التقنية تستوجب تخفيف العبء عبر قرائن أو افتراضات قانونية، أو عبر نقل عبء الإثبات إلى من يملك السيطرة على النظام؟ ويزداد هذا النقاش أهمية في الجرائم الإلكترونية المعتمدة على الذكاء الاصطناعي، لأن الضرر قد يقع سريعًا وعلى نطاق واسع، بينما تتأخر القدرة على تفسير مصدره</w:t>
      </w:r>
      <w:r w:rsidRPr="00991EEB">
        <w:rPr>
          <w:rStyle w:val="a4"/>
          <w:rFonts w:ascii="Sakkal Majalla" w:hAnsi="Sakkal Majalla" w:cs="Sakkal Majalla"/>
          <w:sz w:val="32"/>
          <w:szCs w:val="32"/>
          <w:rtl/>
        </w:rPr>
        <w:footnoteReference w:id="69"/>
      </w:r>
      <w:r w:rsidRPr="00991EEB">
        <w:rPr>
          <w:rFonts w:ascii="Sakkal Majalla" w:hAnsi="Sakkal Majalla" w:cs="Sakkal Majalla"/>
          <w:sz w:val="32"/>
          <w:szCs w:val="32"/>
          <w:rtl/>
        </w:rPr>
        <w:t>.</w:t>
      </w:r>
    </w:p>
    <w:p w14:paraId="097B6763"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 xml:space="preserve">وعليه، فإن معالجة مشكلة “الصندوق الأسود” في إطار الرسالة ينبغي أن تربط بين هذا التحدي وبين آليات الإثبات في الفقه والنظام، مثل: دور الخبرة الفنية، حجية الأدلة الرقمية، التزام الجهة </w:t>
      </w:r>
      <w:r w:rsidRPr="00991EEB">
        <w:rPr>
          <w:rFonts w:ascii="Sakkal Majalla" w:hAnsi="Sakkal Majalla" w:cs="Sakkal Majalla"/>
          <w:sz w:val="32"/>
          <w:szCs w:val="32"/>
          <w:rtl/>
        </w:rPr>
        <w:lastRenderedPageBreak/>
        <w:t>المشغلة بحفظ سجلات القرار، وإمكان الاستناد إلى قرائن تقنية أو قانونية لتيسير حصول المتضرر على حقه في التعويض دون إهدار لعدالة التقاضي.</w:t>
      </w:r>
    </w:p>
    <w:p w14:paraId="5E39FC15"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ثالثًا: مخاطر التحيز الخوارزمي والتمييز غير المباشر :</w:t>
      </w:r>
    </w:p>
    <w:p w14:paraId="7188978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التحيز الخوارزمي من أبرز المخاطر المرتبطة بأنظمة الذكاء الاصطناعي، ويقصد به انحراف النتائج أو القرارات الصادرة عن النظام بصورة تؤدي إلى معاملة غير متكافئة لفئات معينة، سواء كان ذلك نتيجة خلل في البيانات المستخدمة في التدريب، أو بسبب تصميم النموذج ذاته، أو نتيجة لاختيارات برمجية غير متوازنة. وتكمن خطورة هذا النوع من المخاطر في أنه قد لا يكون مقصودًا أو ظاهرًا، بل يتشكل بصورة غير مباشرة من خلال البيانات التاريخية التي تعكس أنماطًا اجتماعية سابقة قد تنطوي على تمييز أو تحيز</w:t>
      </w:r>
      <w:r w:rsidRPr="00991EEB">
        <w:rPr>
          <w:rStyle w:val="a4"/>
          <w:rFonts w:ascii="Sakkal Majalla" w:hAnsi="Sakkal Majalla" w:cs="Sakkal Majalla"/>
          <w:sz w:val="32"/>
          <w:szCs w:val="32"/>
          <w:rtl/>
        </w:rPr>
        <w:footnoteReference w:id="70"/>
      </w:r>
      <w:r w:rsidRPr="00991EEB">
        <w:rPr>
          <w:rFonts w:ascii="Sakkal Majalla" w:hAnsi="Sakkal Majalla" w:cs="Sakkal Majalla"/>
          <w:sz w:val="32"/>
          <w:szCs w:val="32"/>
          <w:rtl/>
        </w:rPr>
        <w:t>.</w:t>
      </w:r>
    </w:p>
    <w:p w14:paraId="202A177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فإذا تم تدريب النظام على بيانات غير ممثلة تمثيلًا عادلًا لجميع الفئات، أو إذا كانت البيانات تعكس ممارسات سابقة متحيزة، فإن النتائج التي ينتجها النظام قد تعيد إنتاج هذا التحيز بصورة آلية ويظهر ذلك في مجالات متعددة، مثل تقييم الجدارة الائتمانية، أو تصنيف المخاطر، أو تحليل السلوك الرقمي، حيث قد تؤدي الخوارزميات إلى قرارات تمس فرص الأفراد الاقتصادية أو الاجتماعية دون مبرر موضوعي كافٍ</w:t>
      </w:r>
      <w:r w:rsidRPr="00991EEB">
        <w:rPr>
          <w:rStyle w:val="a4"/>
          <w:rFonts w:ascii="Sakkal Majalla" w:hAnsi="Sakkal Majalla" w:cs="Sakkal Majalla"/>
          <w:sz w:val="32"/>
          <w:szCs w:val="32"/>
          <w:rtl/>
        </w:rPr>
        <w:footnoteReference w:id="71"/>
      </w:r>
      <w:r w:rsidRPr="00991EEB">
        <w:rPr>
          <w:rFonts w:ascii="Sakkal Majalla" w:hAnsi="Sakkal Majalla" w:cs="Sakkal Majalla"/>
          <w:sz w:val="32"/>
          <w:szCs w:val="32"/>
          <w:rtl/>
        </w:rPr>
        <w:t>.</w:t>
      </w:r>
    </w:p>
    <w:p w14:paraId="09D23E91"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ومن الناحية القانونية يثير التحيز الخوارزمي إشكالية مزدوجة: الأولى تتعلق بمبدأ المساواة وعدم التمييز، إذ قد يؤدي القرار الآلي إلى معاملة غير عادلة دون وجود قصد تمييزي مباشر؛ والثانية </w:t>
      </w:r>
      <w:r w:rsidRPr="00991EEB">
        <w:rPr>
          <w:rFonts w:ascii="Sakkal Majalla" w:hAnsi="Sakkal Majalla" w:cs="Sakkal Majalla"/>
          <w:sz w:val="32"/>
          <w:szCs w:val="32"/>
          <w:rtl/>
        </w:rPr>
        <w:lastRenderedPageBreak/>
        <w:t>تتعلق بالمسؤولية المدنية عند ترتب ضرر مادي أو معنوي نتيجة قرار متحيز فهل يعد الاعتماد على بيانات غير منقحة أو غير متوازنة تقصيرًا من جانب الجهة المطورة أو المشغلة؟ وهل يسأل القائم على النظام عن نتائج خوارزمية لم يكن يقصدها صراحة، لكنها كانت متوقعة علميًا بالنظر إلى طبيعة البيانات المستخدمة؟</w:t>
      </w:r>
      <w:r w:rsidRPr="00991EEB">
        <w:rPr>
          <w:rStyle w:val="a4"/>
          <w:rFonts w:ascii="Sakkal Majalla" w:hAnsi="Sakkal Majalla" w:cs="Sakkal Majalla"/>
          <w:sz w:val="32"/>
          <w:szCs w:val="32"/>
          <w:rtl/>
        </w:rPr>
        <w:footnoteReference w:id="72"/>
      </w:r>
    </w:p>
    <w:p w14:paraId="61B7057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أن التحيز الخوارزمي قد يكون صعب الاكتشاف، خاصة إذا لم تتوافر آليات مراجعة مستقلة أو أدوات لتقييم عدالة النموذج وهذا يفرض التزامًا مهنيًا وقانونيًا على الجهات القائمة على تطوير وتشغيل الأنظمة الذكية باتخاذ إجراءات تضمن اختبار النماذج وتحليل مخرجاتها بشكل دوري للكشف عن أي انحرافات غير مبررة ومن ثم فإن خطر التحيز لا يمثل مجرد خلل تقني، بل يشكل تحديًا قانونيًا يتصل بحماية الحقوق وضمان العدالة في القرارات الآلية.</w:t>
      </w:r>
    </w:p>
    <w:p w14:paraId="45594FF7"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رابعًا: انتهاك الخصوصية وحماية البيانات الشخصية :</w:t>
      </w:r>
    </w:p>
    <w:p w14:paraId="0E5D973E"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يرتبط عمل أنظمة الذكاء الاصطناعي ارتباطًا وثيقًا بجمع البيانات وتحليلها، وغالبًا ما تكون هذه البيانات ذات طابع شخصي أو حساس. فكلما زادت كمية البيانات المتاحة للنظام، زادت قدرته على التعلم والتحليل والتنبؤ غير أن هذه الحاجة التقنية تثير في المقابل مخاطر جسيمة تتعلق بالخصوصية وحماية البيانات الشخصية، خاصة إذا تم جمع البيانات أو معالجتها دون سند نظامي واضح أو دون موافقة صحيحة من أصحابها</w:t>
      </w:r>
      <w:r w:rsidRPr="00991EEB">
        <w:rPr>
          <w:rStyle w:val="a4"/>
          <w:rFonts w:ascii="Sakkal Majalla" w:hAnsi="Sakkal Majalla" w:cs="Sakkal Majalla"/>
          <w:sz w:val="32"/>
          <w:szCs w:val="32"/>
          <w:rtl/>
        </w:rPr>
        <w:footnoteReference w:id="73"/>
      </w:r>
      <w:r w:rsidRPr="00991EEB">
        <w:rPr>
          <w:rFonts w:ascii="Sakkal Majalla" w:hAnsi="Sakkal Majalla" w:cs="Sakkal Majalla"/>
          <w:sz w:val="32"/>
          <w:szCs w:val="32"/>
          <w:rtl/>
        </w:rPr>
        <w:t>.</w:t>
      </w:r>
    </w:p>
    <w:p w14:paraId="377FD73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وتتمثل أبرز أوجه هذا الخطر في إمكانية استخدام البيانات لأغراض تتجاوز الهدف الذي جمعت من أجله، أو مشاركتها مع أطراف ثالثة دون رقابة كافية، أو تحليلها بطرق تؤدي إلى استنتاج معلومات حساسة عن الأفراد لم يصرحوا بها صراحة كما قد ينتج عن خرق أمني في النظام تسريب بيانات شخصية، مما يسبب أضرارًا مالية أو معنوية للمتضررين</w:t>
      </w:r>
      <w:r w:rsidRPr="00991EEB">
        <w:rPr>
          <w:rStyle w:val="a4"/>
          <w:rFonts w:ascii="Sakkal Majalla" w:hAnsi="Sakkal Majalla" w:cs="Sakkal Majalla"/>
          <w:sz w:val="32"/>
          <w:szCs w:val="32"/>
          <w:rtl/>
        </w:rPr>
        <w:footnoteReference w:id="74"/>
      </w:r>
      <w:r w:rsidRPr="00991EEB">
        <w:rPr>
          <w:rFonts w:ascii="Sakkal Majalla" w:hAnsi="Sakkal Majalla" w:cs="Sakkal Majalla"/>
          <w:sz w:val="32"/>
          <w:szCs w:val="32"/>
          <w:rtl/>
        </w:rPr>
        <w:t>.</w:t>
      </w:r>
    </w:p>
    <w:p w14:paraId="3E6FA9C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الناحية القانونية يشكل انتهاك الخصوصية أحد الأسس المهمة لقيام المسؤولية المدنية، خاصة إذا ثبت أن الجهة القائمة على النظام لم تتخذ التدابير التقنية والتنظيمية الكافية لحماية البيانات كما تزداد خطورة هذا المحور في الجرائم الإلكترونية التي تستهدف سرقة البيانات أو إعادة تركيبها أو استخدامها في الابتزاز أو الاحتيال</w:t>
      </w:r>
      <w:r w:rsidRPr="00991EEB">
        <w:rPr>
          <w:rStyle w:val="a4"/>
          <w:rFonts w:ascii="Sakkal Majalla" w:hAnsi="Sakkal Majalla" w:cs="Sakkal Majalla"/>
          <w:sz w:val="32"/>
          <w:szCs w:val="32"/>
          <w:rtl/>
        </w:rPr>
        <w:footnoteReference w:id="75"/>
      </w:r>
      <w:r w:rsidRPr="00991EEB">
        <w:rPr>
          <w:rFonts w:ascii="Sakkal Majalla" w:hAnsi="Sakkal Majalla" w:cs="Sakkal Majalla"/>
          <w:sz w:val="32"/>
          <w:szCs w:val="32"/>
          <w:rtl/>
        </w:rPr>
        <w:t>.</w:t>
      </w:r>
    </w:p>
    <w:p w14:paraId="5CD1007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وتبرز كذلك إشكالية “المعالجة الآلية للقرارات المؤثرة”، حيث قد يُتخذ قرار يؤثر في مركز قانوني للفرد اعتمادًا على تحليل بياناته الشخصية دون مراجعة بشرية كافية وهنا يطرح تساؤل حول مدى مشروعية هذا القرار، وحق الفرد في الاعتراض أو طلب تفسير الأساس الذي بني عليه.</w:t>
      </w:r>
    </w:p>
    <w:p w14:paraId="590CF3BC"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فإن حماية الخصوصية في سياق الذكاء الاصطناعي لا تقتصر على منع التسريب أو الاختراق، بل تشمل ضمان مشروعية الجمع والمعالجة، وتحديد الأغراض، وتقييد الاحتفاظ بالبيانات، وإتاحة سبل التظلم عند وقوع ضرر ومن ثم فإن هذا المحور يمثل أحد أكثر المجالات ارتباطًا ببحث المسؤولية المدنية الناشئة عن استخدام الذكاء الاصطناعي في البيئة الرقمية</w:t>
      </w:r>
      <w:r w:rsidRPr="00991EEB">
        <w:rPr>
          <w:rStyle w:val="a4"/>
          <w:rFonts w:ascii="Sakkal Majalla" w:hAnsi="Sakkal Majalla" w:cs="Sakkal Majalla"/>
          <w:sz w:val="32"/>
          <w:szCs w:val="32"/>
          <w:rtl/>
        </w:rPr>
        <w:footnoteReference w:id="76"/>
      </w:r>
      <w:r w:rsidRPr="00991EEB">
        <w:rPr>
          <w:rFonts w:ascii="Sakkal Majalla" w:hAnsi="Sakkal Majalla" w:cs="Sakkal Majalla"/>
          <w:sz w:val="32"/>
          <w:szCs w:val="32"/>
          <w:rtl/>
        </w:rPr>
        <w:t>.</w:t>
      </w:r>
    </w:p>
    <w:p w14:paraId="60EF46D7"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lastRenderedPageBreak/>
        <w:t>خامسًا: تضخم المخاطر الأمنية والتقنية (هشاشة المنظومات الذكية) :</w:t>
      </w:r>
    </w:p>
    <w:p w14:paraId="567D944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رغم أن الذكاء الاصطناعي يستخدم على نطاق واسع لتعزيز الأمن السيبراني وكشف التهديدات، فإن أنظمته ذاتها قد تكون عرضة لمخاطر أمنية وتقنية معقدة، تجعلها هدفًا مباشرًا للهجمات أو التلاعب وتتمثل هذه الهشاشة في كون الأنظمة الذكية تعتمد على بيانات ضخمة، ونماذج خوارزمية معقدة، وبيئات تشغيل مترابطة، مما يفتح المجال لثغرات يمكن استغلالها</w:t>
      </w:r>
      <w:r w:rsidRPr="00991EEB">
        <w:rPr>
          <w:rStyle w:val="a4"/>
          <w:rFonts w:ascii="Sakkal Majalla" w:hAnsi="Sakkal Majalla" w:cs="Sakkal Majalla"/>
          <w:sz w:val="32"/>
          <w:szCs w:val="32"/>
          <w:rtl/>
        </w:rPr>
        <w:footnoteReference w:id="77"/>
      </w:r>
      <w:r w:rsidRPr="00991EEB">
        <w:rPr>
          <w:rFonts w:ascii="Sakkal Majalla" w:hAnsi="Sakkal Majalla" w:cs="Sakkal Majalla"/>
          <w:sz w:val="32"/>
          <w:szCs w:val="32"/>
          <w:rtl/>
        </w:rPr>
        <w:t>.</w:t>
      </w:r>
    </w:p>
    <w:p w14:paraId="2AAD358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أبرز صور هذه المخاطر ما يعرف بهجمات “تسميم البيانات” (</w:t>
      </w:r>
      <w:r w:rsidRPr="00991EEB">
        <w:rPr>
          <w:rFonts w:ascii="Sakkal Majalla" w:hAnsi="Sakkal Majalla" w:cs="Sakkal Majalla"/>
          <w:sz w:val="32"/>
          <w:szCs w:val="32"/>
        </w:rPr>
        <w:t>Data Poisoning</w:t>
      </w:r>
      <w:r w:rsidRPr="00991EEB">
        <w:rPr>
          <w:rFonts w:ascii="Sakkal Majalla" w:hAnsi="Sakkal Majalla" w:cs="Sakkal Majalla"/>
          <w:sz w:val="32"/>
          <w:szCs w:val="32"/>
          <w:rtl/>
        </w:rPr>
        <w:t>)، حيث يتم إدخال بيانات مضللة أو مشوهة إلى مرحلة التدريب، بما يؤدي إلى تغيير سلوك النموذج أو إضعاف دقته كما توجد هجمات “المدخلات الخادعة” (</w:t>
      </w:r>
      <w:r w:rsidRPr="00991EEB">
        <w:rPr>
          <w:rFonts w:ascii="Sakkal Majalla" w:hAnsi="Sakkal Majalla" w:cs="Sakkal Majalla"/>
          <w:sz w:val="32"/>
          <w:szCs w:val="32"/>
        </w:rPr>
        <w:t>Adversarial Attacks</w:t>
      </w:r>
      <w:r w:rsidRPr="00991EEB">
        <w:rPr>
          <w:rFonts w:ascii="Sakkal Majalla" w:hAnsi="Sakkal Majalla" w:cs="Sakkal Majalla"/>
          <w:sz w:val="32"/>
          <w:szCs w:val="32"/>
          <w:rtl/>
        </w:rPr>
        <w:t>)، التي تعتمد على إدخال تعديلات طفيفة على البيانات تجعل النظام يتخذ قرارًا خاطئًا دون أن يكتشف التلاعب. وهذه الهجمات لا تؤثر فقط على الأداء التقني، بل قد تؤدي إلى أضرار مباشرة للأفراد أو المؤسسات</w:t>
      </w:r>
      <w:r w:rsidRPr="00991EEB">
        <w:rPr>
          <w:rStyle w:val="a4"/>
          <w:rFonts w:ascii="Sakkal Majalla" w:hAnsi="Sakkal Majalla" w:cs="Sakkal Majalla"/>
          <w:sz w:val="32"/>
          <w:szCs w:val="32"/>
          <w:rtl/>
        </w:rPr>
        <w:footnoteReference w:id="78"/>
      </w:r>
      <w:r w:rsidRPr="00991EEB">
        <w:rPr>
          <w:rFonts w:ascii="Sakkal Majalla" w:hAnsi="Sakkal Majalla" w:cs="Sakkal Majalla"/>
          <w:sz w:val="32"/>
          <w:szCs w:val="32"/>
          <w:rtl/>
        </w:rPr>
        <w:t>.</w:t>
      </w:r>
    </w:p>
    <w:p w14:paraId="51EBC44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وتزداد خطورة هذه المخاطر عندما تكون الأنظمة الذكية جزءًا من بنية تحتية حيوية، كأنظمة الطاقة، أو الصحة، أو المعاملات المالية، إذ إن أي خلل أو اختراق قد يترتب عليه ضرر واسع النطاق كما أن الطبيعة المتصلة لهذه الأنظمة—من خلال الحوسبة السحابية أو واجهات الربط البرمجية—تزيد من احتمالية انتقال الخلل من نظام إلى آخر</w:t>
      </w:r>
      <w:r w:rsidRPr="00991EEB">
        <w:rPr>
          <w:rStyle w:val="a4"/>
          <w:rFonts w:ascii="Sakkal Majalla" w:hAnsi="Sakkal Majalla" w:cs="Sakkal Majalla"/>
          <w:sz w:val="32"/>
          <w:szCs w:val="32"/>
          <w:rtl/>
        </w:rPr>
        <w:footnoteReference w:id="79"/>
      </w:r>
      <w:r w:rsidRPr="00991EEB">
        <w:rPr>
          <w:rFonts w:ascii="Sakkal Majalla" w:hAnsi="Sakkal Majalla" w:cs="Sakkal Majalla"/>
          <w:sz w:val="32"/>
          <w:szCs w:val="32"/>
          <w:rtl/>
        </w:rPr>
        <w:t>.</w:t>
      </w:r>
    </w:p>
    <w:p w14:paraId="5CD4B24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الناحية القانونية تثير هشاشة المنظومات الذكية تساؤلات حول معيار “واجب العناية” المفروض على الجهات المطورة والمشغلة، ومدى التزامها بتطبيق معايير الأمان المعترف بها تقنيًا فإذا ثبت أن الضرر نتج عن إهمال في تحديث النظام، أو ضعف في اختبارات الأمان، أو غياب تدابير الحماية الأساسية، فقد تقوم المسؤولية المدنية على أساس التقصير كما أن صعوبة اكتشاف بعض الهجمات قد تؤثر في مسألة إثبات العلاقة السببية، خاصة إذا تعددت العوامل المؤثرة في وقوع الضرر</w:t>
      </w:r>
      <w:r w:rsidRPr="00991EEB">
        <w:rPr>
          <w:rStyle w:val="a4"/>
          <w:rFonts w:ascii="Sakkal Majalla" w:hAnsi="Sakkal Majalla" w:cs="Sakkal Majalla"/>
          <w:sz w:val="32"/>
          <w:szCs w:val="32"/>
          <w:rtl/>
        </w:rPr>
        <w:footnoteReference w:id="80"/>
      </w:r>
      <w:r w:rsidRPr="00991EEB">
        <w:rPr>
          <w:rFonts w:ascii="Sakkal Majalla" w:hAnsi="Sakkal Majalla" w:cs="Sakkal Majalla"/>
          <w:sz w:val="32"/>
          <w:szCs w:val="32"/>
          <w:rtl/>
        </w:rPr>
        <w:t>.</w:t>
      </w:r>
    </w:p>
    <w:p w14:paraId="66C81E4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فإن تضخم المخاطر الأمنية لا يُعد مجرد احتمال نظري، بل يمثل واقعًا عمليًا يفرض ضرورة وضع ضوابط تقنية وتنظيمية صارمة لضمان سلامة الأنظمة الذكية، وحماية الحقوق من الآثار المترتبة على اختراقها أو التلاعب بها.</w:t>
      </w:r>
    </w:p>
    <w:p w14:paraId="263DF3B1"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سادسًا: التزييف العميق وتضليل المحتوى والاعتداء على السمعة :</w:t>
      </w:r>
    </w:p>
    <w:p w14:paraId="31BA90B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التزييف العميق (</w:t>
      </w:r>
      <w:r w:rsidRPr="00991EEB">
        <w:rPr>
          <w:rFonts w:ascii="Sakkal Majalla" w:hAnsi="Sakkal Majalla" w:cs="Sakkal Majalla"/>
          <w:sz w:val="32"/>
          <w:szCs w:val="32"/>
        </w:rPr>
        <w:t>Deepfake</w:t>
      </w:r>
      <w:r w:rsidRPr="00991EEB">
        <w:rPr>
          <w:rFonts w:ascii="Sakkal Majalla" w:hAnsi="Sakkal Majalla" w:cs="Sakkal Majalla"/>
          <w:sz w:val="32"/>
          <w:szCs w:val="32"/>
          <w:rtl/>
        </w:rPr>
        <w:t>) من أخطر التطبيقات السلبية المرتبطة بالذكاء الاصطناعي، إذ يتيح إنتاج صور أو مقاطع فيديو أو تسجيلات صوتية تبدو واقعية بدرجة عالية، رغم كونها مصطنعة بالكامل. وتعتمد هذه التقنية على نماذج تعلم عميق قادرة على محاكاة الملامح والصوت والحركات، بما يصعب معه التمييز بين الحقيقي والمزيف</w:t>
      </w:r>
      <w:r w:rsidRPr="00991EEB">
        <w:rPr>
          <w:rStyle w:val="a4"/>
          <w:rFonts w:ascii="Sakkal Majalla" w:hAnsi="Sakkal Majalla" w:cs="Sakkal Majalla"/>
          <w:sz w:val="32"/>
          <w:szCs w:val="32"/>
          <w:rtl/>
        </w:rPr>
        <w:footnoteReference w:id="81"/>
      </w:r>
      <w:r w:rsidRPr="00991EEB">
        <w:rPr>
          <w:rFonts w:ascii="Sakkal Majalla" w:hAnsi="Sakkal Majalla" w:cs="Sakkal Majalla"/>
          <w:sz w:val="32"/>
          <w:szCs w:val="32"/>
          <w:rtl/>
        </w:rPr>
        <w:t>.</w:t>
      </w:r>
    </w:p>
    <w:p w14:paraId="5D4F686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وتكمن خطورة التزييف العميق في أنه لا يقتصر على الجانب الترفيهي أو التجريبي، بل يمكن توظيفه في ارتكاب جرائم إلكترونية، كالتشهير، أو الابتزاز، أو انتحال الهوية، أو نشر معلومات مضللة وقد يؤدي نشر محتوى مزيف إلى إلحاق ضرر جسيم بسمعة الأفراد أو المؤسسات، أو التأثير في الثقة العامة، أو زعزعة الاستقرار الاجتماعي</w:t>
      </w:r>
      <w:r w:rsidRPr="00991EEB">
        <w:rPr>
          <w:rStyle w:val="a4"/>
          <w:rFonts w:ascii="Sakkal Majalla" w:hAnsi="Sakkal Majalla" w:cs="Sakkal Majalla"/>
          <w:sz w:val="32"/>
          <w:szCs w:val="32"/>
          <w:rtl/>
        </w:rPr>
        <w:footnoteReference w:id="82"/>
      </w:r>
      <w:r w:rsidRPr="00991EEB">
        <w:rPr>
          <w:rFonts w:ascii="Sakkal Majalla" w:hAnsi="Sakkal Majalla" w:cs="Sakkal Majalla"/>
          <w:sz w:val="32"/>
          <w:szCs w:val="32"/>
          <w:rtl/>
        </w:rPr>
        <w:t>.</w:t>
      </w:r>
    </w:p>
    <w:p w14:paraId="4A65AED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الناحية القانونية يثير هذا النوع من المخاطر عدة إشكاليات. أولها تحديد المسؤول عن المحتوى المزيف: هل يُسأل مطور الأداة، أم المستخدم الذي أنشأ المحتوى، أم المنصة التي استضافته ونشرته؟ وثانيها تقدير الضرر المعنوي الناتج عن الاعتداء على السمعة أو الحياة الخاصة، خاصة في ظل الانتشار السريع للمحتوى عبر الوسائط الرقمية وثالثها مسألة الإثبات، إذ قد يكون من الصعب إثبات أن المحتوى مصطنع، أو تحديد مصدره الأصلي في ظل إعادة النشر المتكرر.</w:t>
      </w:r>
    </w:p>
    <w:p w14:paraId="39F0F2A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أن التزييف العميق يعيد طرح مفهوم “الضرر الرقمي”، الذي قد يتحقق بمجرد النشر، حتى لو تم لاحقًا إزالة المحتوى، نظرًا لبقاء أثره في الذاكرة الرقمية أو في الإدراك الاجتماعي. ومن ثم، فإن هذه الظاهرة تمثل تحديًا مباشرًا لقواعد المسؤولية المدنية، إذ تتطلب تكييفًا دقيقًا لمفهوم الخطأ، وتحديدًا واضحًا للجهة الملزمة بالتعويض، فضلًا عن ضرورة تطوير آليات قانونية وتقنية للحد من انتشار المحتوى المزيف</w:t>
      </w:r>
      <w:r w:rsidRPr="00991EEB">
        <w:rPr>
          <w:rStyle w:val="a4"/>
          <w:rFonts w:ascii="Sakkal Majalla" w:hAnsi="Sakkal Majalla" w:cs="Sakkal Majalla"/>
          <w:sz w:val="32"/>
          <w:szCs w:val="32"/>
          <w:rtl/>
        </w:rPr>
        <w:footnoteReference w:id="83"/>
      </w:r>
      <w:r w:rsidRPr="00991EEB">
        <w:rPr>
          <w:rFonts w:ascii="Sakkal Majalla" w:hAnsi="Sakkal Majalla" w:cs="Sakkal Majalla"/>
          <w:sz w:val="32"/>
          <w:szCs w:val="32"/>
          <w:rtl/>
        </w:rPr>
        <w:t>.</w:t>
      </w:r>
    </w:p>
    <w:p w14:paraId="6B9AB3C2"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lastRenderedPageBreak/>
        <w:t>وبذلك يتضح أن مخاطر الذكاء الاصطناعي لا تقتصر على الجوانب التقنية البحتة، بل تمتد إلى المساس بالحقوق الشخصية والسمعة والاعتبار، وهو ما يعزز أهمية دراسة هذه المخاطر ضمن إطار قانوني متكامل يوازن بين حرية الابتكار وحماية الحقوق الفردية.</w:t>
      </w:r>
    </w:p>
    <w:p w14:paraId="28EEFC4F"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سابعًا: اتساع نطاق الضرر وسرعة الانتشار :</w:t>
      </w:r>
    </w:p>
    <w:p w14:paraId="73522CA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من السمات المميزة لتطبيقات الذكاء الاصطناعي قدرتها على العمل على نطاق واسع وبسرعة فائقة، وهو ما يجعل الضرر المحتمل الناتج عنها يتسم بالاتساع وسرعة الانتشار في آن واحد فإذا وقع خلل في نظام ذكي، أو تم توظيفه في نشاط غير مشروع، فإن أثره لا يظل محدودًا بحالة فردية، بل قد يمتد خلال دقائق إلى عدد كبير من الأفراد أو الجهات، نظرًا لطبيعة البيئة الرقمية القائمة على الاتصال الفوري وتبادل البيانات عبر الشبكات</w:t>
      </w:r>
      <w:r w:rsidRPr="00991EEB">
        <w:rPr>
          <w:rStyle w:val="a4"/>
          <w:rFonts w:ascii="Sakkal Majalla" w:hAnsi="Sakkal Majalla" w:cs="Sakkal Majalla"/>
          <w:sz w:val="32"/>
          <w:szCs w:val="32"/>
          <w:rtl/>
        </w:rPr>
        <w:footnoteReference w:id="84"/>
      </w:r>
      <w:r w:rsidRPr="00991EEB">
        <w:rPr>
          <w:rFonts w:ascii="Sakkal Majalla" w:hAnsi="Sakkal Majalla" w:cs="Sakkal Majalla"/>
          <w:sz w:val="32"/>
          <w:szCs w:val="32"/>
          <w:rtl/>
        </w:rPr>
        <w:t>.</w:t>
      </w:r>
    </w:p>
    <w:p w14:paraId="3287E73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وتتجلى هذه السمة بوضوح في الجرائم الإلكترونية المعتمدة على الأتمتة، مثل الهجمات السيبرانية الآلية، أو حملات الاحتيال الجماعي، أو نشر المحتوى المضلل باستخدام أدوات التوليد الآلي ففي هذه الحالات، يستطيع النظام تنفيذ آلاف العمليات خلال فترة زمنية قصيرة، بما يؤدي إلى تضاعف حجم الأضرار بصورة متسارعة</w:t>
      </w:r>
      <w:r w:rsidRPr="00991EEB">
        <w:rPr>
          <w:rStyle w:val="a4"/>
          <w:rFonts w:ascii="Sakkal Majalla" w:hAnsi="Sakkal Majalla" w:cs="Sakkal Majalla"/>
          <w:sz w:val="32"/>
          <w:szCs w:val="32"/>
          <w:rtl/>
        </w:rPr>
        <w:footnoteReference w:id="85"/>
      </w:r>
      <w:r w:rsidRPr="00991EEB">
        <w:rPr>
          <w:rFonts w:ascii="Sakkal Majalla" w:hAnsi="Sakkal Majalla" w:cs="Sakkal Majalla"/>
          <w:sz w:val="32"/>
          <w:szCs w:val="32"/>
          <w:rtl/>
        </w:rPr>
        <w:t>.</w:t>
      </w:r>
    </w:p>
    <w:p w14:paraId="22BE468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ومن الناحية القانونية يثير هذا الاتساع في نطاق الضرر عدة إشكاليات؛ من أبرزها مسألة تقدير التعويض عند تعدد المتضررين، ومدى إمكانية قيام مسؤولية تضامنية بين الأطراف المرتبطة بالنظام، فضلًا عن بحث آليات التقاضي المناسبة عند وجود عدد كبير من الضحايا كما قد يؤدي </w:t>
      </w:r>
      <w:r w:rsidRPr="00991EEB">
        <w:rPr>
          <w:rFonts w:ascii="Sakkal Majalla" w:hAnsi="Sakkal Majalla" w:cs="Sakkal Majalla"/>
          <w:sz w:val="32"/>
          <w:szCs w:val="32"/>
          <w:rtl/>
        </w:rPr>
        <w:lastRenderedPageBreak/>
        <w:t>الانتشار السريع إلى صعوبة الحد من الضرر أو احتوائه في الوقت المناسب، وهو ما يضاعف من الخسائر المادية والمعنوية</w:t>
      </w:r>
      <w:r w:rsidRPr="00991EEB">
        <w:rPr>
          <w:rStyle w:val="a4"/>
          <w:rFonts w:ascii="Sakkal Majalla" w:hAnsi="Sakkal Majalla" w:cs="Sakkal Majalla"/>
          <w:sz w:val="32"/>
          <w:szCs w:val="32"/>
          <w:rtl/>
        </w:rPr>
        <w:footnoteReference w:id="86"/>
      </w:r>
      <w:r w:rsidRPr="00991EEB">
        <w:rPr>
          <w:rFonts w:ascii="Sakkal Majalla" w:hAnsi="Sakkal Majalla" w:cs="Sakkal Majalla"/>
          <w:sz w:val="32"/>
          <w:szCs w:val="32"/>
          <w:rtl/>
        </w:rPr>
        <w:t>.</w:t>
      </w:r>
    </w:p>
    <w:p w14:paraId="78A58F0C" w14:textId="77777777" w:rsidR="00991EEB" w:rsidRPr="00991EEB" w:rsidRDefault="00991EEB" w:rsidP="00991EEB">
      <w:pPr>
        <w:bidi/>
        <w:spacing w:line="360" w:lineRule="auto"/>
        <w:rPr>
          <w:rFonts w:ascii="Sakkal Majalla" w:hAnsi="Sakkal Majalla" w:cs="Sakkal Majalla"/>
          <w:sz w:val="32"/>
          <w:szCs w:val="32"/>
        </w:rPr>
      </w:pPr>
      <w:r w:rsidRPr="00991EEB">
        <w:rPr>
          <w:rFonts w:ascii="Sakkal Majalla" w:hAnsi="Sakkal Majalla" w:cs="Sakkal Majalla"/>
          <w:sz w:val="32"/>
          <w:szCs w:val="32"/>
          <w:rtl/>
        </w:rPr>
        <w:t>ويترتب على ذلك أن اتساع نطاق الضرر لا يؤثر فقط في حجم التعويض، بل في طبيعة المسؤولية ذاتها، إذ قد يتحول الضرر من حالة فردية يمكن معالجتها بسهولة نسبية إلى ظاهرة جماعية تستدعي تدخلًا تنظيميًا وقضائيًا أكثر تعقيدًا ومن ثم فإن سرعة الانتشار واتساع الأثر يمثلان عاملين جوهريين يجب أخذهما في الاعتبار عند دراسة المسؤولية المدنية الناشئة عن استخدام الذكاء الاصطناعي في البيئة الرقمية</w:t>
      </w:r>
      <w:r w:rsidRPr="00991EEB">
        <w:rPr>
          <w:rStyle w:val="a4"/>
          <w:rFonts w:ascii="Sakkal Majalla" w:hAnsi="Sakkal Majalla" w:cs="Sakkal Majalla"/>
          <w:sz w:val="32"/>
          <w:szCs w:val="32"/>
          <w:rtl/>
        </w:rPr>
        <w:footnoteReference w:id="87"/>
      </w:r>
      <w:r w:rsidRPr="00991EEB">
        <w:rPr>
          <w:rFonts w:ascii="Sakkal Majalla" w:hAnsi="Sakkal Majalla" w:cs="Sakkal Majalla"/>
          <w:sz w:val="32"/>
          <w:szCs w:val="32"/>
          <w:rtl/>
        </w:rPr>
        <w:t>.</w:t>
      </w:r>
    </w:p>
    <w:p w14:paraId="026DBAEC"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ثامنًا: فجوة التنظيم وتحديات الملاءمة التشريعية :</w:t>
      </w:r>
    </w:p>
    <w:p w14:paraId="46A89114"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يعد التطور المتسارع لتقنيات الذكاء الاصطناعي أسرع من وتيرة تطور التشريعات في كثير من الأحيان، مما يؤدي إلى ظهور فجوة تنظيمية بين الواقع التقني والنصوص القانونية القائمة فالقواعد التقليدية للمسؤولية المدنية نشأت لمعالجة أفعال بشرية مباشرة أو أنشطة تقليدية يمكن تتبعها وتفسيرها، بينما تنتج أنظمة الذكاء الاصطناعي أفعالًا معقدة قد تكون غير مباشرة أو متسلسلة أو ناتجة عن تفاعل خوارزمي متعدد المستويات</w:t>
      </w:r>
      <w:r w:rsidRPr="00991EEB">
        <w:rPr>
          <w:rStyle w:val="a4"/>
          <w:rFonts w:ascii="Sakkal Majalla" w:hAnsi="Sakkal Majalla" w:cs="Sakkal Majalla"/>
          <w:sz w:val="32"/>
          <w:szCs w:val="32"/>
          <w:rtl/>
        </w:rPr>
        <w:footnoteReference w:id="88"/>
      </w:r>
      <w:r w:rsidRPr="00991EEB">
        <w:rPr>
          <w:rFonts w:ascii="Sakkal Majalla" w:hAnsi="Sakkal Majalla" w:cs="Sakkal Majalla"/>
          <w:sz w:val="32"/>
          <w:szCs w:val="32"/>
          <w:rtl/>
        </w:rPr>
        <w:t>.</w:t>
      </w:r>
    </w:p>
    <w:p w14:paraId="4BD27F9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وتظهر هذه الفجوة في عدة صور، منها: غياب تعريف تشريعي دقيق للذكاء الاصطناعي، أو عدم وجود تنظيم خاص للقرارات الآلية المؤثرة في الحقوق، أو عدم وضوح المعايير الفنية المطلوبة لضمان سلامة النظام كما أن بعض صور الضرر الرقمي—كضرر البيانات، أو الضرر الناتج عن </w:t>
      </w:r>
      <w:r w:rsidRPr="00991EEB">
        <w:rPr>
          <w:rFonts w:ascii="Sakkal Majalla" w:hAnsi="Sakkal Majalla" w:cs="Sakkal Majalla"/>
          <w:sz w:val="32"/>
          <w:szCs w:val="32"/>
          <w:rtl/>
        </w:rPr>
        <w:lastRenderedPageBreak/>
        <w:t>التحيز الخوارزمي، أو التزييف العميق—قد لا تجد معالجة صريحة في القواعد التقليدية، مما يستدعي الاجتهاد في التكييف القانوني</w:t>
      </w:r>
      <w:r w:rsidRPr="00991EEB">
        <w:rPr>
          <w:rStyle w:val="a4"/>
          <w:rFonts w:ascii="Sakkal Majalla" w:hAnsi="Sakkal Majalla" w:cs="Sakkal Majalla"/>
          <w:sz w:val="32"/>
          <w:szCs w:val="32"/>
          <w:rtl/>
        </w:rPr>
        <w:footnoteReference w:id="89"/>
      </w:r>
      <w:r w:rsidRPr="00991EEB">
        <w:rPr>
          <w:rFonts w:ascii="Sakkal Majalla" w:hAnsi="Sakkal Majalla" w:cs="Sakkal Majalla"/>
          <w:sz w:val="32"/>
          <w:szCs w:val="32"/>
          <w:rtl/>
        </w:rPr>
        <w:t>.</w:t>
      </w:r>
    </w:p>
    <w:p w14:paraId="65758DB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ثم فإن التحدي لا يتمثل فقط في وجود نصوص قانونية، بل في مدى ملاءمتها لاستيعاب الطبيعة التقنية المستجدة وقد يقتضي ذلك إما تفسيرًا مرنًا للقواعد القائمة بما يتوافق مع التطور التقني، أو تدخلًا تشريعيًا لتحديث الأطر التنظيمية، أو اعتماد لوائح ومعايير فنية مكملة للنصوص العامة.</w:t>
      </w:r>
    </w:p>
    <w:p w14:paraId="69CB42E1"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وتنعكس فجوة التنظيم على استقرار المعاملات الرقمية، إذ قد يؤدي الغموض التشريعي إلى تردد المؤسسات في تبني التقنيات الذكية خوفًا من المسؤولية غير المحددة، كما قد يضعف حماية المتضررين إذا لم تتوافر قواعد واضحة لتحديد المسؤولية ومن هنا، فإن معالجة هذه الفجوة تعد ضرورة لتحقيق التوازن بين دعم الابتكار التقني وضمان حماية الحقوق والمراكز القانونية في ظل التحول الرقمي المتسارع</w:t>
      </w:r>
      <w:r w:rsidRPr="00991EEB">
        <w:rPr>
          <w:rStyle w:val="a4"/>
          <w:rFonts w:ascii="Sakkal Majalla" w:hAnsi="Sakkal Majalla" w:cs="Sakkal Majalla"/>
          <w:sz w:val="32"/>
          <w:szCs w:val="32"/>
          <w:rtl/>
        </w:rPr>
        <w:footnoteReference w:id="90"/>
      </w:r>
      <w:r w:rsidRPr="00991EEB">
        <w:rPr>
          <w:rFonts w:ascii="Sakkal Majalla" w:hAnsi="Sakkal Majalla" w:cs="Sakkal Majalla"/>
          <w:sz w:val="32"/>
          <w:szCs w:val="32"/>
          <w:rtl/>
        </w:rPr>
        <w:t>.</w:t>
      </w:r>
    </w:p>
    <w:p w14:paraId="35D1ACEC"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 xml:space="preserve">وفي ضوء ما تقدم، يتبين أن المخاطر والتحديات المرتبطة باستخدام الذكاء الاصطناعي لا تُعد استثناءً عارضًا، بل تمثل جانبًا ملازمًا لطبيعة هذه التقنية وتطورها المستمر فكلما اتسع نطاق الاعتماد على الأنظمة الذكية في إدارة المعاملات واتخاذ القرارات، ازدادت احتمالات تعقد النزاعات الناشئة عنها، سواء من حيث تحديد المسؤول، أو إثبات الخطأ، أو تقدير الضرر ومن ثم، فإن فهم هذه المخاطر لا يهدف إلى الحد من استخدام الذكاء الاصطناعي، وإنما إلى إدراك حدوده </w:t>
      </w:r>
      <w:r w:rsidRPr="00991EEB">
        <w:rPr>
          <w:rFonts w:ascii="Sakkal Majalla" w:hAnsi="Sakkal Majalla" w:cs="Sakkal Majalla"/>
          <w:sz w:val="32"/>
          <w:szCs w:val="32"/>
          <w:rtl/>
        </w:rPr>
        <w:lastRenderedPageBreak/>
        <w:t>وضبطه قانونيًا بما يضمن الاستفادة من مزاياه دون الإضرار بالحقوق الفردية أو المصالح العامة</w:t>
      </w:r>
      <w:r w:rsidRPr="00991EEB">
        <w:rPr>
          <w:rStyle w:val="a4"/>
          <w:rFonts w:ascii="Sakkal Majalla" w:hAnsi="Sakkal Majalla" w:cs="Sakkal Majalla"/>
          <w:sz w:val="32"/>
          <w:szCs w:val="32"/>
          <w:rtl/>
        </w:rPr>
        <w:footnoteReference w:id="91"/>
      </w:r>
      <w:r w:rsidRPr="00991EEB">
        <w:rPr>
          <w:rFonts w:ascii="Sakkal Majalla" w:hAnsi="Sakkal Majalla" w:cs="Sakkal Majalla"/>
          <w:sz w:val="32"/>
          <w:szCs w:val="32"/>
          <w:rtl/>
        </w:rPr>
        <w:t>.</w:t>
      </w:r>
    </w:p>
    <w:p w14:paraId="47E3A4E3"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فإن التوازن بين تشجيع الابتكار التقني وضمان الحماية القانونية يُعد الركيزة الأساسية في التعامل مع تحديات الذكاء الاصطناعي. فلا يكفي أن تتطور التطبيقات التقنية، بل يجب أن يواكبها إطار تنظيمي وقضائي قادر على استيعاب طبيعتها الخاصة، وتكييف قواعد المسؤولية المدنية بما يتلاءم مع خصوصية الأفعال الناشئة عنها، خاصة في مجال الجرائم الإلكترونية ويشكل ذلك مدخلًا منهجيًا للانتقال في الفصول اللاحقة إلى بحث الأسس القانونية للمسؤولية المدنية في ضوء هذه التحديات المستجدة</w:t>
      </w:r>
      <w:r w:rsidRPr="00991EEB">
        <w:rPr>
          <w:rStyle w:val="a4"/>
          <w:rFonts w:ascii="Sakkal Majalla" w:hAnsi="Sakkal Majalla" w:cs="Sakkal Majalla"/>
          <w:sz w:val="32"/>
          <w:szCs w:val="32"/>
          <w:rtl/>
        </w:rPr>
        <w:footnoteReference w:id="92"/>
      </w:r>
      <w:r w:rsidRPr="00991EEB">
        <w:rPr>
          <w:rFonts w:ascii="Sakkal Majalla" w:hAnsi="Sakkal Majalla" w:cs="Sakkal Majalla"/>
          <w:sz w:val="32"/>
          <w:szCs w:val="32"/>
          <w:rtl/>
        </w:rPr>
        <w:t>.</w:t>
      </w:r>
    </w:p>
    <w:p w14:paraId="0339796D" w14:textId="77777777" w:rsidR="00991EEB" w:rsidRPr="00991EEB" w:rsidRDefault="00991EEB" w:rsidP="00991EEB">
      <w:pPr>
        <w:spacing w:line="360" w:lineRule="auto"/>
        <w:rPr>
          <w:rFonts w:ascii="Sakkal Majalla" w:hAnsi="Sakkal Majalla" w:cs="Sakkal Majalla"/>
          <w:sz w:val="32"/>
          <w:szCs w:val="32"/>
        </w:rPr>
      </w:pPr>
    </w:p>
    <w:p w14:paraId="4EF3FFB9" w14:textId="77777777" w:rsidR="00991EEB" w:rsidRPr="00991EEB" w:rsidRDefault="00991EEB" w:rsidP="00991EEB">
      <w:pPr>
        <w:bidi/>
        <w:spacing w:line="360" w:lineRule="auto"/>
        <w:rPr>
          <w:rFonts w:ascii="Sakkal Majalla" w:hAnsi="Sakkal Majalla" w:cs="Sakkal Majalla"/>
          <w:b/>
          <w:bCs/>
          <w:sz w:val="32"/>
          <w:szCs w:val="32"/>
          <w:rtl/>
        </w:rPr>
      </w:pPr>
      <w:r w:rsidRPr="00991EEB">
        <w:rPr>
          <w:rFonts w:ascii="Sakkal Majalla" w:hAnsi="Sakkal Majalla" w:cs="Sakkal Majalla"/>
          <w:b/>
          <w:bCs/>
          <w:sz w:val="32"/>
          <w:szCs w:val="32"/>
          <w:rtl/>
        </w:rPr>
        <w:br w:type="page"/>
      </w:r>
    </w:p>
    <w:p w14:paraId="01A62DBC" w14:textId="77777777" w:rsidR="00991EEB" w:rsidRPr="00991EEB" w:rsidRDefault="00991EEB" w:rsidP="00991EEB">
      <w:pPr>
        <w:bidi/>
        <w:spacing w:line="360" w:lineRule="auto"/>
        <w:jc w:val="center"/>
        <w:rPr>
          <w:rFonts w:ascii="Sakkal Majalla" w:hAnsi="Sakkal Majalla" w:cs="Sakkal Majalla"/>
          <w:b/>
          <w:bCs/>
          <w:sz w:val="32"/>
          <w:szCs w:val="32"/>
        </w:rPr>
      </w:pPr>
      <w:r w:rsidRPr="00991EEB">
        <w:rPr>
          <w:rFonts w:ascii="Sakkal Majalla" w:hAnsi="Sakkal Majalla" w:cs="Sakkal Majalla"/>
          <w:b/>
          <w:bCs/>
          <w:sz w:val="32"/>
          <w:szCs w:val="32"/>
          <w:rtl/>
        </w:rPr>
        <w:lastRenderedPageBreak/>
        <w:t>المبحث الثاني: دور الذكاء الاصطناعي وتطبيقاته المعاصرة في المملكة العربية السعودية.</w:t>
      </w:r>
    </w:p>
    <w:p w14:paraId="5F354163"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لم يعد الذكاء الاصطناعي مفهومًا نظريًا أو تقنية مستقبلية قيد التجربة، بل أصبح عنصرًا جوهريًا في مسار التحول الرقمي الذي تشهده المجتمعات المعاصرة، وفي مقدمتها المملكة العربية السعودية فقد تبنت المملكة توجهًا استراتيجيًا واضحًا نحو تعزيز الاقتصاد الرقمي وتطوير البنية التقنية، مما أتاح للذكاء الاصطناعي دورًا محوريًا في دعم القطاعات الحكومية والخاصة، وتحسين جودة الخدمات، وتعزيز الأمن السيبراني، ورفع كفاءة الأداء المؤسسي</w:t>
      </w:r>
      <w:r w:rsidRPr="00991EEB">
        <w:rPr>
          <w:rStyle w:val="a4"/>
          <w:rFonts w:ascii="Sakkal Majalla" w:hAnsi="Sakkal Majalla" w:cs="Sakkal Majalla"/>
          <w:sz w:val="32"/>
          <w:szCs w:val="32"/>
          <w:rtl/>
        </w:rPr>
        <w:footnoteReference w:id="93"/>
      </w:r>
      <w:r w:rsidRPr="00991EEB">
        <w:rPr>
          <w:rFonts w:ascii="Sakkal Majalla" w:hAnsi="Sakkal Majalla" w:cs="Sakkal Majalla"/>
          <w:sz w:val="32"/>
          <w:szCs w:val="32"/>
          <w:rtl/>
        </w:rPr>
        <w:t>.</w:t>
      </w:r>
    </w:p>
    <w:p w14:paraId="191A66B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وتبرز أهمية تناول هذا المحور في سياق الدراسة الحالية من أن البحث في المسؤولية المدنية الناشئة عن الجرائم الإلكترونية المرتكبة باستخدام الذكاء الاصطناعي يقتضي فهم البيئة التطبيقية التي تعمل فيها هذه التقنية داخل المملكة فكلما اتسع نطاق استخدامها في مجالات حيوية، زادت احتمالات نشوء منازعات قانونية متصلة بالأفعال الصادرة عنها، سواء من حيث إساءة الاستخدام، أو الخطأ في التشغيل، أو القصور في الرقابة</w:t>
      </w:r>
      <w:r w:rsidRPr="00991EEB">
        <w:rPr>
          <w:rStyle w:val="a4"/>
          <w:rFonts w:ascii="Sakkal Majalla" w:hAnsi="Sakkal Majalla" w:cs="Sakkal Majalla"/>
          <w:sz w:val="32"/>
          <w:szCs w:val="32"/>
          <w:rtl/>
        </w:rPr>
        <w:footnoteReference w:id="94"/>
      </w:r>
      <w:r w:rsidRPr="00991EEB">
        <w:rPr>
          <w:rFonts w:ascii="Sakkal Majalla" w:hAnsi="Sakkal Majalla" w:cs="Sakkal Majalla"/>
          <w:sz w:val="32"/>
          <w:szCs w:val="32"/>
          <w:rtl/>
        </w:rPr>
        <w:t>.</w:t>
      </w:r>
    </w:p>
    <w:p w14:paraId="24E3EB3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أن تحليل دور الذكاء الاصطناعي في المجتمع السعودي يقتضي تمييزه عن المفاهيم التقنية المشابهة التي قد تختلط به، مثل الأتمتة التقليدية أو تحليل البيانات الإحصائي أو الأنظمة المعلوماتية الاعتيادية فالتحديد الدقيق للمفهوم يعد خطوة لازمة لتكييف الأفعال قانونيًا، خاصة عند بحث الأساس النظامي للمسؤولية المدنية.</w:t>
      </w:r>
    </w:p>
    <w:p w14:paraId="56C3DAF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ناحية أخرى فإن تصنيف أنواع الذكاء الاصطناعي وبيان مجالات استخدامه في المملكة يسهم في رسم صورة واقعية لطبيعة التطبيقات القائمة، ومدى تأثيرها في الحقوق والمراكز القانونية للأفراد فالتطبيقات في المجال المالي أو الصحي أو الأمني تختلف في طبيعتها وأثرها عن تلك المستخدمة في الخدمات الإلكترونية أو التجارة الرقمية، الأمر الذي ينعكس مباشرة على نوعية المخاطر المحتملة وطبيعة المسؤولية الناشئة عنها</w:t>
      </w:r>
      <w:r w:rsidRPr="00991EEB">
        <w:rPr>
          <w:rStyle w:val="a4"/>
          <w:rFonts w:ascii="Sakkal Majalla" w:hAnsi="Sakkal Majalla" w:cs="Sakkal Majalla"/>
          <w:sz w:val="32"/>
          <w:szCs w:val="32"/>
          <w:rtl/>
        </w:rPr>
        <w:footnoteReference w:id="95"/>
      </w:r>
      <w:r w:rsidRPr="00991EEB">
        <w:rPr>
          <w:rFonts w:ascii="Sakkal Majalla" w:hAnsi="Sakkal Majalla" w:cs="Sakkal Majalla"/>
          <w:sz w:val="32"/>
          <w:szCs w:val="32"/>
          <w:rtl/>
        </w:rPr>
        <w:t>.</w:t>
      </w:r>
    </w:p>
    <w:p w14:paraId="32B55B0E"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يتناول هذا المبحث في مطلبه الأول أهمية الذكاء الاصطناعي في المجتمعات الحديثة ويميزه عن المفاهيم التقنية المتقاربة، ثم يعرض في مطلبه الثاني تصنيف أنواعه ومجالات استخدامه في المملكة العربية السعودية، تمهيدًا لربط هذه التطبيقات بالتحليل القانوني للمسؤولية المدنية في الفصول اللاحقة.</w:t>
      </w:r>
    </w:p>
    <w:p w14:paraId="7272E992"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 xml:space="preserve">المطلب الأول: أهمية الذكاء الاصطناعي وتمييزه عن المفاهيم المشابهة: </w:t>
      </w:r>
    </w:p>
    <w:p w14:paraId="3D777CC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يشكل الذكاء الاصطناعي في الوقت الحاضر أحد أهم مرتكزات التحول التقني الذي تشهده المجتمعات الحديثة، إذ لم يعد مجرد أداة مساندة للأنظمة الرقمية، بل أصبح عنصرًا فاعلًا في إعادة تشكيل أنماط العمل والإدارة وصنع القرار في مختلف القطاعات وقد انعكس هذا الدور المتنامي على البنية الاقتصادية والاجتماعية والقانونية للدول، بما في ذلك المملكة العربية السعودية التي تبنت توجهًا استراتيجيًا نحو توظيف التقنيات الذكية في إطار رؤيتها التنموية والتحول الرقمي الشامل</w:t>
      </w:r>
      <w:r w:rsidRPr="00991EEB">
        <w:rPr>
          <w:rStyle w:val="a4"/>
          <w:rFonts w:ascii="Sakkal Majalla" w:hAnsi="Sakkal Majalla" w:cs="Sakkal Majalla"/>
          <w:sz w:val="32"/>
          <w:szCs w:val="32"/>
          <w:rtl/>
        </w:rPr>
        <w:footnoteReference w:id="96"/>
      </w:r>
      <w:r w:rsidRPr="00991EEB">
        <w:rPr>
          <w:rFonts w:ascii="Sakkal Majalla" w:hAnsi="Sakkal Majalla" w:cs="Sakkal Majalla"/>
          <w:sz w:val="32"/>
          <w:szCs w:val="32"/>
          <w:rtl/>
        </w:rPr>
        <w:t>.</w:t>
      </w:r>
    </w:p>
    <w:p w14:paraId="2BFB9A91"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lastRenderedPageBreak/>
        <w:t>وتنبع أهمية دراسة هذا المحور في سياق الرسالة من أن اتساع نطاق استخدام الذكاء الاصطناعي في المجالات الحيوية يترتب عليه آثار قانونية متزايدة، خاصة فيما يتعلق بالأفعال الصادرة عن الأنظمة الذكية والجرائم الإلكترونية المرتكبة باستخدامها فكلما تعاظم حضور هذه التقنية في إدارة المعاملات والخدمات، أصبح من الضروري إدراك أبعادها وأهميتها لفهم طبيعة المخاطر والمسؤوليات المترتبة عليها</w:t>
      </w:r>
      <w:r w:rsidRPr="00991EEB">
        <w:rPr>
          <w:rStyle w:val="a4"/>
          <w:rFonts w:ascii="Sakkal Majalla" w:hAnsi="Sakkal Majalla" w:cs="Sakkal Majalla"/>
          <w:sz w:val="32"/>
          <w:szCs w:val="32"/>
          <w:rtl/>
        </w:rPr>
        <w:footnoteReference w:id="97"/>
      </w:r>
      <w:r w:rsidRPr="00991EEB">
        <w:rPr>
          <w:rFonts w:ascii="Sakkal Majalla" w:hAnsi="Sakkal Majalla" w:cs="Sakkal Majalla"/>
          <w:sz w:val="32"/>
          <w:szCs w:val="32"/>
          <w:rtl/>
        </w:rPr>
        <w:t>.</w:t>
      </w:r>
    </w:p>
    <w:p w14:paraId="6E657B33"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غير أن تناول أهمية الذكاء الاصطناعي يقتضي في المقابل تمييزه بدقة عن المفاهيم التقنية المتقاربة التي قد تختلط به، مثل الأتمتة التقليدية، أو نظم المعلومات، أو تحليل البيانات الإحصائي فعدم التفرقة بين هذه المفاهيم قد يؤدي إلى خلل في التكييف القانوني للأفعال، وإلى تعميم غير دقيق للقواعد النظامية ومن ثم، فإن تحديد الخصائص التي تجعل الذكاء الاصطناعي متميزًا عن غيره يعد خطوة منهجية أساسية قبل الانتقال إلى بحث تطبيقاته العملية وأثرها القانوني</w:t>
      </w:r>
      <w:r w:rsidRPr="00991EEB">
        <w:rPr>
          <w:rStyle w:val="a4"/>
          <w:rFonts w:ascii="Sakkal Majalla" w:hAnsi="Sakkal Majalla" w:cs="Sakkal Majalla"/>
          <w:sz w:val="32"/>
          <w:szCs w:val="32"/>
          <w:rtl/>
        </w:rPr>
        <w:footnoteReference w:id="98"/>
      </w:r>
      <w:r w:rsidRPr="00991EEB">
        <w:rPr>
          <w:rFonts w:ascii="Sakkal Majalla" w:hAnsi="Sakkal Majalla" w:cs="Sakkal Majalla"/>
          <w:sz w:val="32"/>
          <w:szCs w:val="32"/>
          <w:rtl/>
        </w:rPr>
        <w:t>.</w:t>
      </w:r>
    </w:p>
    <w:p w14:paraId="46343B2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يعرض هذا المطلب في فرعه الأول أهمية الذكاء الاصطناعي في المجتمعات الحديثة من منظور تنموي وقانوني، ثم يتناول في فرعه الثاني بيان الفروق الجوهرية بينه وبين المفاهيم المشابهة، تمهيدًا لإرساء أساس دقيق للتحليل النظامي في الفصول اللاحقة.</w:t>
      </w:r>
    </w:p>
    <w:p w14:paraId="5CCE2919" w14:textId="77777777" w:rsidR="00991EEB" w:rsidRPr="00991EEB" w:rsidRDefault="00991EEB" w:rsidP="00991EEB">
      <w:pPr>
        <w:pStyle w:val="a5"/>
        <w:numPr>
          <w:ilvl w:val="0"/>
          <w:numId w:val="35"/>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الفرع الأول: أهمية الذكاء الاصطناعي في المجتمعات الحديثة :</w:t>
      </w:r>
    </w:p>
    <w:p w14:paraId="6C0B8D6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يشكل الذكاء الاصطناعي في العصر الراهن أحد أبرز مظاهر التحول الحضاري والتقني الذي تعيشه المجتمعات الحديثة، إذ لم يعد حضوره مقتصرًا على المجالات التقنية البحتة، بل أصبح متغلغلًا في مختلف الأنشطة الاقتصادية والإدارية والاجتماعية وقد أدى هذا الانتشار الواسع إلى إعادة صياغة آليات العمل، وأنماط التفاعل، وطرق اتخاذ القرار، بما جعله عنصرًا مؤثرًا في البنية المؤسسية للدول وفي طبيعة العلاقات القانونية الناشئة داخل المجتمع الرقمي</w:t>
      </w:r>
      <w:r w:rsidRPr="00991EEB">
        <w:rPr>
          <w:rStyle w:val="a4"/>
          <w:rFonts w:ascii="Sakkal Majalla" w:hAnsi="Sakkal Majalla" w:cs="Sakkal Majalla"/>
          <w:sz w:val="32"/>
          <w:szCs w:val="32"/>
          <w:rtl/>
        </w:rPr>
        <w:footnoteReference w:id="99"/>
      </w:r>
      <w:r w:rsidRPr="00991EEB">
        <w:rPr>
          <w:rFonts w:ascii="Sakkal Majalla" w:hAnsi="Sakkal Majalla" w:cs="Sakkal Majalla"/>
          <w:sz w:val="32"/>
          <w:szCs w:val="32"/>
          <w:rtl/>
        </w:rPr>
        <w:t>.</w:t>
      </w:r>
    </w:p>
    <w:p w14:paraId="123D9DA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ولا تقتصر أهمية الذكاء الاصطناعي على كونه أداة لتحسين الكفاءة، بل تمتد إلى كونه محركًا للتنمية الشاملة، ووسيلة لتعزيز القدرة التنافسية، ومكونًا أساسيًا في استراتيجيات التحول الرقمي ومن ثم فإن إدراك أبعاده المختلفة يعد خطوة لازمة لفهم طبيعة أثره في المجتمعات الحديثة، خاصة في ظل ارتباطه الوثيق بإدارة البيانات والقرارات المؤثرة في الحقوق والمراكز القانونية</w:t>
      </w:r>
      <w:r w:rsidRPr="00991EEB">
        <w:rPr>
          <w:rStyle w:val="a4"/>
          <w:rFonts w:ascii="Sakkal Majalla" w:hAnsi="Sakkal Majalla" w:cs="Sakkal Majalla"/>
          <w:sz w:val="32"/>
          <w:szCs w:val="32"/>
          <w:rtl/>
        </w:rPr>
        <w:footnoteReference w:id="100"/>
      </w:r>
      <w:r w:rsidRPr="00991EEB">
        <w:rPr>
          <w:rFonts w:ascii="Sakkal Majalla" w:hAnsi="Sakkal Majalla" w:cs="Sakkal Majalla"/>
          <w:sz w:val="32"/>
          <w:szCs w:val="32"/>
          <w:rtl/>
        </w:rPr>
        <w:t>.</w:t>
      </w:r>
    </w:p>
    <w:p w14:paraId="60D5469C"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يمكن بيان أهمية الذكاء الاصطناعي في المجتمعات الحديثة من خلال مجموعة من الأبعاد الرئيسة التي تعكس دوره التنموي والإداري والأمني، وذلك على النحو الآتي:</w:t>
      </w:r>
    </w:p>
    <w:p w14:paraId="7102CB0D"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أولًا: تعزيز النمو الاقتصادي وبناء الاقتصاد الرقمي :</w:t>
      </w:r>
    </w:p>
    <w:p w14:paraId="13349FA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يمثل الذكاء الاصطناعي ركيزة أساسية في التحول نحو اقتصاد رقمي قائم على البيانات والمعرفة، حيث أصبحت الخوارزميات والتحليلات الذكية أدوات استراتيجية في تحسين الإنتاجية وتعظيم القيمة المضافة فالاقتصاد الرقمي لا يعتمد فقط على استخدام التقنية، بل على القدرة على </w:t>
      </w:r>
      <w:r w:rsidRPr="00991EEB">
        <w:rPr>
          <w:rFonts w:ascii="Sakkal Majalla" w:hAnsi="Sakkal Majalla" w:cs="Sakkal Majalla"/>
          <w:sz w:val="32"/>
          <w:szCs w:val="32"/>
          <w:rtl/>
        </w:rPr>
        <w:lastRenderedPageBreak/>
        <w:t>تحليل البيانات واستخلاص مؤشرات دقيقة تسهم في تحسين التخطيط، وتطوير المنتجات، وتعزيز تنافسية المؤسسات وهنا يظهر الذكاء الاصطناعي بوصفه محركًا رئيسًا لإعادة هيكلة العمليات الاقتصادية، من خلال أتمتة الإجراءات، وتحليل سلوك الأسواق، وتوقع الاتجاهات المستقبلية</w:t>
      </w:r>
      <w:r w:rsidRPr="00991EEB">
        <w:rPr>
          <w:rStyle w:val="a4"/>
          <w:rFonts w:ascii="Sakkal Majalla" w:hAnsi="Sakkal Majalla" w:cs="Sakkal Majalla"/>
          <w:sz w:val="32"/>
          <w:szCs w:val="32"/>
          <w:rtl/>
        </w:rPr>
        <w:footnoteReference w:id="101"/>
      </w:r>
      <w:r w:rsidRPr="00991EEB">
        <w:rPr>
          <w:rFonts w:ascii="Sakkal Majalla" w:hAnsi="Sakkal Majalla" w:cs="Sakkal Majalla"/>
          <w:sz w:val="32"/>
          <w:szCs w:val="32"/>
          <w:rtl/>
        </w:rPr>
        <w:t>.</w:t>
      </w:r>
    </w:p>
    <w:p w14:paraId="64DD4266"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كما يسهم الذكاء الاصطناعي في رفع كفاءة القطاعات الإنتاجية، سواء في الصناعة أو التجارة أو الخدمات، عبر تحسين إدارة سلاسل الإمداد، وتقليل الفاقد، وتعزيز القدرة على التنبؤ بالطلب وتتيح الأنظمة الذكية للمؤسسات اتخاذ قرارات استثمارية أكثر دقة، وتقليل المخاطر المالية من خلال تحليل سيناريوهات متعددة في زمن قياسي وهذا بدوره يؤدي إلى زيادة العائد على الاستثمار، وتحسين استغلال الموارد، وتحقيق نمو اقتصادي أكثر استدامة</w:t>
      </w:r>
      <w:r w:rsidRPr="00991EEB">
        <w:rPr>
          <w:rStyle w:val="a4"/>
          <w:rFonts w:ascii="Sakkal Majalla" w:hAnsi="Sakkal Majalla" w:cs="Sakkal Majalla"/>
          <w:sz w:val="32"/>
          <w:szCs w:val="32"/>
          <w:rtl/>
        </w:rPr>
        <w:footnoteReference w:id="102"/>
      </w:r>
      <w:r w:rsidRPr="00991EEB">
        <w:rPr>
          <w:rFonts w:ascii="Sakkal Majalla" w:hAnsi="Sakkal Majalla" w:cs="Sakkal Majalla"/>
          <w:sz w:val="32"/>
          <w:szCs w:val="32"/>
          <w:rtl/>
        </w:rPr>
        <w:t>.</w:t>
      </w:r>
    </w:p>
    <w:p w14:paraId="17492B8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ويضاف إلى ذلك أن الذكاء الاصطناعي يفتح مجالات جديدة للاستثمار وريادة الأعمال، خاصة في قطاعات التقنية المتقدمة، وتحليل البيانات، والحوسبة السحابية، والتطبيقات الذكية فالدول التي تستثمر في البنية التحتية الرقمية وتبني سياسات داعمة للابتكار تتمكن من جذب الاستثمارات التقنية وتعزيز مكانتها في الاقتصاد العالمي ومن ثم فإن الذكاء الاصطناعي لا يسهم فقط في تحسين أداء القطاعات القائمة، بل في خلق قطاعات جديدة قائمة على المعرفة والتقنية</w:t>
      </w:r>
      <w:r w:rsidRPr="00991EEB">
        <w:rPr>
          <w:rStyle w:val="a4"/>
          <w:rFonts w:ascii="Sakkal Majalla" w:hAnsi="Sakkal Majalla" w:cs="Sakkal Majalla"/>
          <w:sz w:val="32"/>
          <w:szCs w:val="32"/>
          <w:rtl/>
        </w:rPr>
        <w:footnoteReference w:id="103"/>
      </w:r>
      <w:r w:rsidRPr="00991EEB">
        <w:rPr>
          <w:rFonts w:ascii="Sakkal Majalla" w:hAnsi="Sakkal Majalla" w:cs="Sakkal Majalla"/>
          <w:sz w:val="32"/>
          <w:szCs w:val="32"/>
          <w:rtl/>
        </w:rPr>
        <w:t>.</w:t>
      </w:r>
    </w:p>
    <w:p w14:paraId="6D16D5A4"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الناحية القانونية فإن هذا التحول الاقتصادي يفرض تحديات تتعلق بتنظيم المعاملات الرقمية، وحماية البيانات، وضبط المسؤولية الناشئة عن القرارات الآلية، بما يضمن تحقيق التوازن بين دعم الابتكار وحماية الحقوق. فكلما تعاظم دور الذكاء الاصطناعي في النشاط الاقتصادي، ازدادت أهمية وجود إطار قانوني واضح ينظم استخدامه ويحدد حدود المسؤولية عنه</w:t>
      </w:r>
      <w:r w:rsidRPr="00991EEB">
        <w:rPr>
          <w:rStyle w:val="a4"/>
          <w:rFonts w:ascii="Sakkal Majalla" w:hAnsi="Sakkal Majalla" w:cs="Sakkal Majalla"/>
          <w:sz w:val="32"/>
          <w:szCs w:val="32"/>
          <w:rtl/>
        </w:rPr>
        <w:footnoteReference w:id="104"/>
      </w:r>
      <w:r w:rsidRPr="00991EEB">
        <w:rPr>
          <w:rFonts w:ascii="Sakkal Majalla" w:hAnsi="Sakkal Majalla" w:cs="Sakkal Majalla"/>
          <w:sz w:val="32"/>
          <w:szCs w:val="32"/>
          <w:rtl/>
        </w:rPr>
        <w:t>.</w:t>
      </w:r>
    </w:p>
    <w:p w14:paraId="200EF65B"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ثانيًا: تطوير الخدمات الحكومية وتعزيز كفاءة الإدارة العامة :</w:t>
      </w:r>
    </w:p>
    <w:p w14:paraId="790DCB9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أصبح الذكاء الاصطناعي أداة مركزية في تحديث الإدارة العامة وتحسين جودة الخدمات الحكومية، حيث تعتمد العديد من الجهات على الأنظمة الذكية في أتمتة الإجراءات، وتحليل البيانات المتعلقة بالمستفيدين، وتقديم خدمات رقمية أكثر سرعة ودقة وتتمثل أهمية ذلك في تقليل البيروقراطية، واختصار الوقت اللازم لإنجاز المعاملات، والحد من الأخطاء الإدارية الناتجة عن التدخل البشري المتكرر</w:t>
      </w:r>
      <w:r w:rsidRPr="00991EEB">
        <w:rPr>
          <w:rStyle w:val="a4"/>
          <w:rFonts w:ascii="Sakkal Majalla" w:hAnsi="Sakkal Majalla" w:cs="Sakkal Majalla"/>
          <w:sz w:val="32"/>
          <w:szCs w:val="32"/>
          <w:rtl/>
        </w:rPr>
        <w:footnoteReference w:id="105"/>
      </w:r>
      <w:r w:rsidRPr="00991EEB">
        <w:rPr>
          <w:rFonts w:ascii="Sakkal Majalla" w:hAnsi="Sakkal Majalla" w:cs="Sakkal Majalla"/>
          <w:sz w:val="32"/>
          <w:szCs w:val="32"/>
          <w:rtl/>
        </w:rPr>
        <w:t>.</w:t>
      </w:r>
    </w:p>
    <w:p w14:paraId="2149159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يسهم الذكاء الاصطناعي في دعم متخذي القرار داخل الأجهزة الحكومية، من خلال توفير تحليلات متقدمة للبيانات السكانية والاقتصادية والأمنية، مما يساعد على وضع سياسات أكثر دقة واستجابة للواقع. فالقرارات المبنية على تحليل البيانات الضخمة تكون أكثر موضوعية واتساقًا، وتقل فيها احتمالات التقدير العشوائي أو غير المدروس</w:t>
      </w:r>
      <w:r w:rsidRPr="00991EEB">
        <w:rPr>
          <w:rStyle w:val="a4"/>
          <w:rFonts w:ascii="Sakkal Majalla" w:hAnsi="Sakkal Majalla" w:cs="Sakkal Majalla"/>
          <w:sz w:val="32"/>
          <w:szCs w:val="32"/>
          <w:rtl/>
        </w:rPr>
        <w:footnoteReference w:id="106"/>
      </w:r>
      <w:r w:rsidRPr="00991EEB">
        <w:rPr>
          <w:rFonts w:ascii="Sakkal Majalla" w:hAnsi="Sakkal Majalla" w:cs="Sakkal Majalla"/>
          <w:sz w:val="32"/>
          <w:szCs w:val="32"/>
          <w:rtl/>
        </w:rPr>
        <w:t>.</w:t>
      </w:r>
    </w:p>
    <w:p w14:paraId="0BCED7E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وتبرز كذلك أهمية الذكاء الاصطناعي في تحسين الشفافية وتعزيز المساءلة، إذ يمكن تتبع العمليات الرقمية وتوثيقها بصورة دقيقة، بما يحد من مظاهر الفساد الإداري أو سوء استخدام السلطة كما تسهم الأنظمة الذكية في تحسين إدارة الموارد الحكومية، من خلال تحليل الأداء المؤسسي وتحديد مواطن القصور واقتراح سبل التطوير</w:t>
      </w:r>
      <w:r w:rsidRPr="00991EEB">
        <w:rPr>
          <w:rStyle w:val="a4"/>
          <w:rFonts w:ascii="Sakkal Majalla" w:hAnsi="Sakkal Majalla" w:cs="Sakkal Majalla"/>
          <w:sz w:val="32"/>
          <w:szCs w:val="32"/>
          <w:rtl/>
        </w:rPr>
        <w:footnoteReference w:id="107"/>
      </w:r>
      <w:r w:rsidRPr="00991EEB">
        <w:rPr>
          <w:rFonts w:ascii="Sakkal Majalla" w:hAnsi="Sakkal Majalla" w:cs="Sakkal Majalla"/>
          <w:sz w:val="32"/>
          <w:szCs w:val="32"/>
          <w:rtl/>
        </w:rPr>
        <w:t>.</w:t>
      </w:r>
    </w:p>
    <w:p w14:paraId="193E087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غير أن هذا التطوير الإداري يقتضي في المقابل وضع ضوابط قانونية تحكم استخدام الأنظمة الذكية في اتخاذ القرارات المؤثرة في الحقوق، خاصة إذا كانت هذه القرارات تصدر بصورة آلية. فالموازنة بين الكفاءة الإدارية وضمان الحقوق تمثل تحديًا أساسيًا في سياق التحول الرقمي للإدارة العامة.</w:t>
      </w:r>
    </w:p>
    <w:p w14:paraId="7BD7C2F9"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فإن دور الذكاء الاصطناعي في تطوير الخدمات الحكومية لا يقتصر على تحسين الأداء، بل يمتد إلى إعادة تشكيل العلاقة بين الإدارة والأفراد في البيئة الرقمية، وهو ما يستدعي تحليلًا قانونيًا دقيقًا لآثار هذه التحولات في إطار المسؤولية المدنية والتنظيم القانوني للتقنيات الذكية</w:t>
      </w:r>
      <w:r w:rsidRPr="00991EEB">
        <w:rPr>
          <w:rStyle w:val="a4"/>
          <w:rFonts w:ascii="Sakkal Majalla" w:hAnsi="Sakkal Majalla" w:cs="Sakkal Majalla"/>
          <w:sz w:val="32"/>
          <w:szCs w:val="32"/>
          <w:rtl/>
        </w:rPr>
        <w:footnoteReference w:id="108"/>
      </w:r>
      <w:r w:rsidRPr="00991EEB">
        <w:rPr>
          <w:rFonts w:ascii="Sakkal Majalla" w:hAnsi="Sakkal Majalla" w:cs="Sakkal Majalla"/>
          <w:sz w:val="32"/>
          <w:szCs w:val="32"/>
          <w:rtl/>
        </w:rPr>
        <w:t>.</w:t>
      </w:r>
    </w:p>
    <w:p w14:paraId="1F5FD36E"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ثالثًا: دعم القطاعات الحيوية (الصحة، التعليم، الأمن) :</w:t>
      </w:r>
    </w:p>
    <w:p w14:paraId="3A3ED7F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يؤدي الذكاء الاصطناعي دورًا محوريًا في دعم القطاعات الحيوية التي تمس بصورة مباشرة جودة الحياة والاستقرار المجتمعي، وفي مقدمتها الصحة والتعليم والأمن ففي القطاع الصحي تستخدم الأنظمة الذكية في تحليل الصور الطبية، واكتشاف الأنماط المرضية، ودعم التشخيص المبكر، </w:t>
      </w:r>
      <w:r w:rsidRPr="00991EEB">
        <w:rPr>
          <w:rFonts w:ascii="Sakkal Majalla" w:hAnsi="Sakkal Majalla" w:cs="Sakkal Majalla"/>
          <w:sz w:val="32"/>
          <w:szCs w:val="32"/>
          <w:rtl/>
        </w:rPr>
        <w:lastRenderedPageBreak/>
        <w:t>إضافة إلى تحسين إدارة السجلات الطبية وتوقع انتشار الأمراض وتمكن هذه التطبيقات من رفع دقة التشخيص، وتقليل زمن الانتظار، وتحسين كفاءة استخدام الموارد الطبية، وهو ما ينعكس إيجابًا على مستوى الرعاية الصحية</w:t>
      </w:r>
      <w:r w:rsidRPr="00991EEB">
        <w:rPr>
          <w:rStyle w:val="a4"/>
          <w:rFonts w:ascii="Sakkal Majalla" w:hAnsi="Sakkal Majalla" w:cs="Sakkal Majalla"/>
          <w:sz w:val="32"/>
          <w:szCs w:val="32"/>
          <w:rtl/>
        </w:rPr>
        <w:footnoteReference w:id="109"/>
      </w:r>
      <w:r w:rsidRPr="00991EEB">
        <w:rPr>
          <w:rFonts w:ascii="Sakkal Majalla" w:hAnsi="Sakkal Majalla" w:cs="Sakkal Majalla"/>
          <w:sz w:val="32"/>
          <w:szCs w:val="32"/>
          <w:rtl/>
        </w:rPr>
        <w:t>.</w:t>
      </w:r>
    </w:p>
    <w:p w14:paraId="17EED5C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أما في مجال التعليم فقد أسهم الذكاء الاصطناعي في تطوير منصات تعليمية ذكية قادرة على التكيف مع مستوى المتعلم، وتقديم محتوى مخصص بناءً على أدائه واحتياجاته كما يستخدم في تحليل نتائج الاختبارات، وتحديد نقاط الضعف، واقتراح خطط تعليمية مناسبة، بما يعزز كفاءة العملية التعليمية ويواكب متطلبات العصر الرقمي</w:t>
      </w:r>
      <w:r w:rsidRPr="00991EEB">
        <w:rPr>
          <w:rStyle w:val="a4"/>
          <w:rFonts w:ascii="Sakkal Majalla" w:hAnsi="Sakkal Majalla" w:cs="Sakkal Majalla"/>
          <w:sz w:val="32"/>
          <w:szCs w:val="32"/>
          <w:rtl/>
        </w:rPr>
        <w:footnoteReference w:id="110"/>
      </w:r>
      <w:r w:rsidRPr="00991EEB">
        <w:rPr>
          <w:rFonts w:ascii="Sakkal Majalla" w:hAnsi="Sakkal Majalla" w:cs="Sakkal Majalla"/>
          <w:sz w:val="32"/>
          <w:szCs w:val="32"/>
          <w:rtl/>
        </w:rPr>
        <w:t>.</w:t>
      </w:r>
    </w:p>
    <w:p w14:paraId="408BE0A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وفي المجال الأمني يستفاد من الذكاء الاصطناعي في تحليل الأنماط السلوكية، ورصد المؤشرات المبكرة للتهديدات، وتحليل البيانات الأمنية بصورة آنية. ويساعد ذلك في دعم الأجهزة المختصة في اتخاذ قرارات استباقية، وتقليل المخاطر المحتملة، وتعزيز الاستقرار الداخلي غير أن استخدام هذه التطبيقات، خاصة في المجالات الحساسة، يفرض ضرورة الالتزام بضوابط قانونية تحمي الحقوق والحريات، وتمنع أي تجاوز قد يمس الخصوصية أو المساواة</w:t>
      </w:r>
      <w:r w:rsidRPr="00991EEB">
        <w:rPr>
          <w:rStyle w:val="a4"/>
          <w:rFonts w:ascii="Sakkal Majalla" w:hAnsi="Sakkal Majalla" w:cs="Sakkal Majalla"/>
          <w:sz w:val="32"/>
          <w:szCs w:val="32"/>
          <w:rtl/>
        </w:rPr>
        <w:footnoteReference w:id="111"/>
      </w:r>
      <w:r w:rsidRPr="00991EEB">
        <w:rPr>
          <w:rFonts w:ascii="Sakkal Majalla" w:hAnsi="Sakkal Majalla" w:cs="Sakkal Majalla"/>
          <w:sz w:val="32"/>
          <w:szCs w:val="32"/>
          <w:rtl/>
        </w:rPr>
        <w:t>.</w:t>
      </w:r>
    </w:p>
    <w:p w14:paraId="51352FD8"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ثم فإن دور الذكاء الاصطناعي في هذه القطاعات لا يقتصر على تحسين الأداء الفني، بل يمتد إلى التأثير المباشر في الحقوق الأساسية للأفراد، مما يبرز أهمية إخضاعه لإطار تنظيمي يحقق التوازن بين الفاعلية التقنية والضمانات القانونية.</w:t>
      </w:r>
    </w:p>
    <w:p w14:paraId="00794385"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lastRenderedPageBreak/>
        <w:t>رابعًا: تعزيز الأمن السيبراني والاستقرار الرقمي :</w:t>
      </w:r>
    </w:p>
    <w:p w14:paraId="471FF4D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مع التوسع المتزايد في الاعتماد على الأنظمة الرقمية، أصبح الأمن السيبراني أحد أعمدة الاستقرار الوطني والمؤسسي، ويأتي الذكاء الاصطناعي في مقدمة الأدوات المستخدمة لتعزيز هذا الجانب و إذ تتيح الأنظمة الذكية تحليل حركة الشبكات واكتشاف السلوكيات غير المعتادة، ورصد محاولات الاختراق أو الاحتيال في مراحل مبكرة، مما يحد من الخسائر ويمنع تفاقم الأضرار</w:t>
      </w:r>
      <w:r w:rsidRPr="00991EEB">
        <w:rPr>
          <w:rStyle w:val="a4"/>
          <w:rFonts w:ascii="Sakkal Majalla" w:hAnsi="Sakkal Majalla" w:cs="Sakkal Majalla"/>
          <w:sz w:val="32"/>
          <w:szCs w:val="32"/>
          <w:rtl/>
        </w:rPr>
        <w:footnoteReference w:id="112"/>
      </w:r>
      <w:r w:rsidRPr="00991EEB">
        <w:rPr>
          <w:rFonts w:ascii="Sakkal Majalla" w:hAnsi="Sakkal Majalla" w:cs="Sakkal Majalla"/>
          <w:sz w:val="32"/>
          <w:szCs w:val="32"/>
          <w:rtl/>
        </w:rPr>
        <w:t>.</w:t>
      </w:r>
    </w:p>
    <w:p w14:paraId="2FFFFC4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وتتمثل أهمية الذكاء الاصطناعي في هذا المجال في قدرته على التعامل مع الكم الهائل من البيانات المتدفقة عبر الشبكات، واكتشاف الأنماط الخفية التي قد تشير إلى تهديدات محتملة كما يمكنه التعلم من الحوادث السابقة لتحسين قدرته على التنبؤ بالهجمات المستقبلية، مما يمنحه بعدًا وقائيًا واستباقيًا يفوق الأساليب التقليدية</w:t>
      </w:r>
      <w:r w:rsidRPr="00991EEB">
        <w:rPr>
          <w:rStyle w:val="a4"/>
          <w:rFonts w:ascii="Sakkal Majalla" w:hAnsi="Sakkal Majalla" w:cs="Sakkal Majalla"/>
          <w:sz w:val="32"/>
          <w:szCs w:val="32"/>
          <w:rtl/>
        </w:rPr>
        <w:footnoteReference w:id="113"/>
      </w:r>
      <w:r w:rsidRPr="00991EEB">
        <w:rPr>
          <w:rFonts w:ascii="Sakkal Majalla" w:hAnsi="Sakkal Majalla" w:cs="Sakkal Majalla"/>
          <w:sz w:val="32"/>
          <w:szCs w:val="32"/>
          <w:rtl/>
        </w:rPr>
        <w:t>.</w:t>
      </w:r>
    </w:p>
    <w:p w14:paraId="0A7DE286"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غير أن تعزيز الأمن السيبراني باستخدام الذكاء الاصطناعي يثير بدوره تحديات قانونية، خاصة فيما يتعلق بمدى مشروعية مراقبة البيانات وتحليلها، وضمان عدم انتهاك الخصوصية أثناء عمليات الرصد كما أن أي خلل في النظام الأمني الذكي قد يؤدي إلى آثار واسعة النطاق، مما يستدعي تحديد مسؤولية الجهات القائمة عليه في حال وقوع ضرر.</w:t>
      </w:r>
    </w:p>
    <w:p w14:paraId="1A67E109"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lastRenderedPageBreak/>
        <w:t>وعليه فإن دور الذكاء الاصطناعي في تعزيز الأمن السيبراني يمثل عنصرًا أساسيًا في تحقيق الاستقرار الرقمي، لكنه يظل مرتبطًا بضرورة وجود إطار قانوني يضمن الاستخدام المشروع والآمن لهذه التقنية، ويحمي الحقوق في مواجهة المخاطر المحتملة.</w:t>
      </w:r>
    </w:p>
    <w:p w14:paraId="1E30CC25"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خامسًا: تمكين الابتكار وتعزيز التنافسية العالمية :</w:t>
      </w:r>
    </w:p>
    <w:p w14:paraId="511471E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الذكاء الاصطناعي من أهم محركات الابتكار في العصر الرقمي، إذ يتيح تطوير حلول تقنية غير تقليدية لمشكلات معقدة في مجالات الصناعة والخدمات والبحث العلمي فمن خلال تحليل البيانات الضخمة واكتشاف الأنماط غير الظاهرة، تستطيع الأنظمة الذكية دعم عمليات البحث والتطوير، وتسريع اختبار النماذج الأولية، وتقليل الزمن اللازم للانتقال من الفكرة إلى التطبيق العملي وهذا يعزز قدرة المؤسسات على تقديم منتجات وخدمات مبتكرة تتوافق مع متطلبات السوق المتغيرة</w:t>
      </w:r>
      <w:r w:rsidRPr="00991EEB">
        <w:rPr>
          <w:rStyle w:val="a4"/>
          <w:rFonts w:ascii="Sakkal Majalla" w:hAnsi="Sakkal Majalla" w:cs="Sakkal Majalla"/>
          <w:sz w:val="32"/>
          <w:szCs w:val="32"/>
          <w:rtl/>
        </w:rPr>
        <w:footnoteReference w:id="114"/>
      </w:r>
      <w:r w:rsidRPr="00991EEB">
        <w:rPr>
          <w:rFonts w:ascii="Sakkal Majalla" w:hAnsi="Sakkal Majalla" w:cs="Sakkal Majalla"/>
          <w:sz w:val="32"/>
          <w:szCs w:val="32"/>
          <w:rtl/>
        </w:rPr>
        <w:t>.</w:t>
      </w:r>
    </w:p>
    <w:p w14:paraId="18633358"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يسهم الذكاء الاصطناعي في رفع مستوى التنافسية العالمية للدول، حيث أصبحت مؤشرات التقدم التقني والابتكار أحد المعايير الأساسية في تقييم قوة الاقتصاد الوطني. فالدول التي تستثمر في البنية التحتية الرقمية، وتدعم البحث العلمي في مجالات الذكاء الاصطناعي، وتتبنى سياسات تشجع على تطوير التقنيات المتقدمة، تكون أكثر قدرة على جذب الاستثمارات، واستقطاب الكفاءات، وتعزيز حضورها في الأسواق الدولية</w:t>
      </w:r>
      <w:r w:rsidRPr="00991EEB">
        <w:rPr>
          <w:rStyle w:val="a4"/>
          <w:rFonts w:ascii="Sakkal Majalla" w:hAnsi="Sakkal Majalla" w:cs="Sakkal Majalla"/>
          <w:sz w:val="32"/>
          <w:szCs w:val="32"/>
          <w:rtl/>
        </w:rPr>
        <w:footnoteReference w:id="115"/>
      </w:r>
      <w:r w:rsidRPr="00991EEB">
        <w:rPr>
          <w:rFonts w:ascii="Sakkal Majalla" w:hAnsi="Sakkal Majalla" w:cs="Sakkal Majalla"/>
          <w:sz w:val="32"/>
          <w:szCs w:val="32"/>
          <w:rtl/>
        </w:rPr>
        <w:t>.</w:t>
      </w:r>
    </w:p>
    <w:p w14:paraId="30B56AD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منظور قانوني فإن دعم الابتكار عبر الذكاء الاصطناعي يستلزم وجود بيئة تنظيمية متوازنة تحمي حقوق الملكية الفكرية، وتنظم استخدام البيانات، وتحدد المسؤولية الناشئة عن التطبيقات التقنية الجديدة فالإطار القانوني الواضح يشجع على الاستثمار والبحث والتطوير، ويمنح الثقة للجهات العاملة في المجال، مما يعزز الاستدامة في النمو والابتكار</w:t>
      </w:r>
      <w:r w:rsidRPr="00991EEB">
        <w:rPr>
          <w:rStyle w:val="a4"/>
          <w:rFonts w:ascii="Sakkal Majalla" w:hAnsi="Sakkal Majalla" w:cs="Sakkal Majalla"/>
          <w:sz w:val="32"/>
          <w:szCs w:val="32"/>
          <w:rtl/>
        </w:rPr>
        <w:footnoteReference w:id="116"/>
      </w:r>
      <w:r w:rsidRPr="00991EEB">
        <w:rPr>
          <w:rFonts w:ascii="Sakkal Majalla" w:hAnsi="Sakkal Majalla" w:cs="Sakkal Majalla"/>
          <w:sz w:val="32"/>
          <w:szCs w:val="32"/>
          <w:rtl/>
        </w:rPr>
        <w:t>.</w:t>
      </w:r>
    </w:p>
    <w:p w14:paraId="3ACFC871"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وعليه فإن الذكاء الاصطناعي لا يمثل مجرد أداة تقنية لتحسين الأداء، بل يشكل عنصرًا استراتيجيًا في تعزيز مكانة الدول والمؤسسات في بيئة تنافسية عالمية تتسارع فيها وتيرة التطور التقني.</w:t>
      </w:r>
    </w:p>
    <w:p w14:paraId="50495BD6"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سادسًا: إعادة تشكيل سوق العمل والمهارات المطلوبة :</w:t>
      </w:r>
    </w:p>
    <w:p w14:paraId="2954F0D8"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أدى الانتشار المتزايد للذكاء الاصطناعي إلى إحداث تحولات جوهرية في طبيعة سوق العمل، حيث أصبحت بعض الوظائف الروتينية قابلة للأتمتة، في حين برزت في المقابل وظائف جديدة تتطلب مهارات تقنية وتحليلية متقدمة ويعكس هذا التحول انتقالًا من اقتصاد يعتمد على العمل اليدوي المتكرر إلى اقتصاد يقوم على المعرفة والابتكار والتحليل</w:t>
      </w:r>
      <w:r w:rsidRPr="00991EEB">
        <w:rPr>
          <w:rStyle w:val="a4"/>
          <w:rFonts w:ascii="Sakkal Majalla" w:hAnsi="Sakkal Majalla" w:cs="Sakkal Majalla"/>
          <w:sz w:val="32"/>
          <w:szCs w:val="32"/>
          <w:rtl/>
        </w:rPr>
        <w:footnoteReference w:id="117"/>
      </w:r>
      <w:r w:rsidRPr="00991EEB">
        <w:rPr>
          <w:rFonts w:ascii="Sakkal Majalla" w:hAnsi="Sakkal Majalla" w:cs="Sakkal Majalla"/>
          <w:sz w:val="32"/>
          <w:szCs w:val="32"/>
          <w:rtl/>
        </w:rPr>
        <w:t>.</w:t>
      </w:r>
    </w:p>
    <w:p w14:paraId="3AA8489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وقد أسهم الذكاء الاصطناعي في تغيير طبيعة المهارات المطلوبة، حيث ارتفع الطلب على التخصصات المرتبطة بعلوم البيانات، وهندسة البرمجيات، والأمن السيبراني، وتحليل الأنظمة، مقابل تراجع بعض الوظائف التي يمكن تنفيذها آليًا وهذا يفرض على الأنظمة التعليمية </w:t>
      </w:r>
      <w:r w:rsidRPr="00991EEB">
        <w:rPr>
          <w:rFonts w:ascii="Sakkal Majalla" w:hAnsi="Sakkal Majalla" w:cs="Sakkal Majalla"/>
          <w:sz w:val="32"/>
          <w:szCs w:val="32"/>
          <w:rtl/>
        </w:rPr>
        <w:lastRenderedPageBreak/>
        <w:t>والتدريبية إعادة هيكلة مناهجها وبرامجها لتأهيل الكوادر الوطنية بما يتوافق مع متطلبات الثورة الصناعية الرابعة.</w:t>
      </w:r>
    </w:p>
    <w:p w14:paraId="64F68713"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الناحية الاجتماعية والقانونية، يثير هذا التحول تساؤلات تتعلق بحماية حقوق العاملين، وإعادة تأهيل القوى العاملة، وضمان العدالة في توزيع الفرص الاقتصادية كما يستدعي وضع سياسات عامة تدعم الانتقال السلس إلى اقتصاد رقمي دون الإضرار بالفئات المتأثرة بعمليات الأتمتة</w:t>
      </w:r>
      <w:r w:rsidRPr="00991EEB">
        <w:rPr>
          <w:rStyle w:val="a4"/>
          <w:rFonts w:ascii="Sakkal Majalla" w:hAnsi="Sakkal Majalla" w:cs="Sakkal Majalla"/>
          <w:sz w:val="32"/>
          <w:szCs w:val="32"/>
          <w:rtl/>
        </w:rPr>
        <w:footnoteReference w:id="118"/>
      </w:r>
      <w:r w:rsidRPr="00991EEB">
        <w:rPr>
          <w:rFonts w:ascii="Sakkal Majalla" w:hAnsi="Sakkal Majalla" w:cs="Sakkal Majalla"/>
          <w:sz w:val="32"/>
          <w:szCs w:val="32"/>
          <w:rtl/>
        </w:rPr>
        <w:t>.</w:t>
      </w:r>
    </w:p>
    <w:p w14:paraId="60A8CE26"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وبذلك يتضح أن الذكاء الاصطناعي لا يؤثر فقط في البنية التقنية للمؤسسات، بل يمتد أثره إلى إعادة تشكيل هيكل سوق العمل ذاته، مما يعزز أهمية دراسته في سياق التحول الشامل الذي تشهده المجتمعات الحديثة، وما يترتب عليه من آثار قانونية وتنظيمية</w:t>
      </w:r>
      <w:r w:rsidRPr="00991EEB">
        <w:rPr>
          <w:rStyle w:val="a4"/>
          <w:rFonts w:ascii="Sakkal Majalla" w:hAnsi="Sakkal Majalla" w:cs="Sakkal Majalla"/>
          <w:sz w:val="32"/>
          <w:szCs w:val="32"/>
          <w:rtl/>
        </w:rPr>
        <w:footnoteReference w:id="119"/>
      </w:r>
      <w:r w:rsidRPr="00991EEB">
        <w:rPr>
          <w:rFonts w:ascii="Sakkal Majalla" w:hAnsi="Sakkal Majalla" w:cs="Sakkal Majalla"/>
          <w:sz w:val="32"/>
          <w:szCs w:val="32"/>
          <w:rtl/>
        </w:rPr>
        <w:t>.</w:t>
      </w:r>
    </w:p>
    <w:p w14:paraId="46F9775F"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 يتضح مما سبق أن الذكاء الاصطناعي لم يعد مجرد أداة تقنية لتحسين بعض العمليات، بل أصبح عنصرًا هيكليًا في بناء المجتمعات الحديثة، يؤثر في الاقتصاد والإدارة والأمن والتعليم وسوق العمل على حد سواء وقد أفضى هذا الدور المتنامي إلى إعادة تشكيل أنماط الإنتاج والخدمات واتخاذ القرار، بما جعله أحد المحركات الأساسية للتحول الرقمي والتنمية المستدامة، ومؤشرًا على قدرة الدول على مواكبة التطور العالمي وتعزيز تنافسيتها</w:t>
      </w:r>
      <w:r w:rsidRPr="00991EEB">
        <w:rPr>
          <w:rStyle w:val="a4"/>
          <w:rFonts w:ascii="Sakkal Majalla" w:hAnsi="Sakkal Majalla" w:cs="Sakkal Majalla"/>
          <w:sz w:val="32"/>
          <w:szCs w:val="32"/>
          <w:rtl/>
        </w:rPr>
        <w:footnoteReference w:id="120"/>
      </w:r>
      <w:r w:rsidRPr="00991EEB">
        <w:rPr>
          <w:rFonts w:ascii="Sakkal Majalla" w:hAnsi="Sakkal Majalla" w:cs="Sakkal Majalla"/>
          <w:sz w:val="32"/>
          <w:szCs w:val="32"/>
          <w:rtl/>
        </w:rPr>
        <w:t>.</w:t>
      </w:r>
    </w:p>
    <w:p w14:paraId="6B65631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غير أن اتساع نطاق تأثير الذكاء الاصطناعي يقتضي في المقابل وعيًا قانونيًا متزايدًا بطبيعة هذه التحولات، خاصة في ظل ما قد يترتب عليها من آثار تمس الحقوق والمراكز القانونية للأفراد فكلما تعاظمت أهميته في المجتمعات الحديثة، ازدادت الحاجة إلى تنظيم استخدامه وضبطه بإطار تشريعي يوازن بين دعم الابتكار وضمان الحماية القانونية، وهو ما يمهد للانتقال إلى بيان الفروق الجوهرية بينه وبين المفاهيم التقنية المشابهة، توطئةً لإرساء أساس مفاهيمي دقيق للتحليل القانوني في هذه الدراسة</w:t>
      </w:r>
      <w:r w:rsidRPr="00991EEB">
        <w:rPr>
          <w:rStyle w:val="a4"/>
          <w:rFonts w:ascii="Sakkal Majalla" w:hAnsi="Sakkal Majalla" w:cs="Sakkal Majalla"/>
          <w:sz w:val="32"/>
          <w:szCs w:val="32"/>
          <w:rtl/>
        </w:rPr>
        <w:footnoteReference w:id="121"/>
      </w:r>
      <w:r w:rsidRPr="00991EEB">
        <w:rPr>
          <w:rFonts w:ascii="Sakkal Majalla" w:hAnsi="Sakkal Majalla" w:cs="Sakkal Majalla"/>
          <w:sz w:val="32"/>
          <w:szCs w:val="32"/>
          <w:rtl/>
        </w:rPr>
        <w:t>.</w:t>
      </w:r>
    </w:p>
    <w:p w14:paraId="2B97FCB8" w14:textId="77777777" w:rsidR="00991EEB" w:rsidRPr="00991EEB" w:rsidRDefault="00991EEB" w:rsidP="00991EEB">
      <w:pPr>
        <w:pStyle w:val="a5"/>
        <w:numPr>
          <w:ilvl w:val="0"/>
          <w:numId w:val="35"/>
        </w:num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الفرع الثاني: الفرق بين الذكاء الاصطناعي والمفاهيم المشابهة له :</w:t>
      </w:r>
    </w:p>
    <w:p w14:paraId="00C6E6B4"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يعد التمييز بين الذكاء الاصطناعي وغيره من المفاهيم التقنية المتقاربة مسألة منهجية ذات أهمية خاصة في الدراسات القانونية، إذ إن الخلط بين هذه المفاهيم قد يؤدي إلى تكييف غير دقيق للأفعال، ومن ثم إلى تطبيق قواعد قانونية في غير محلها فالذكاء الاصطناعي يتميز بخصائص جوهرية تجعله يتجاوز حدود الأنظمة المعلوماتية التقليدية أو أدوات الأتمتة البسيطة، وهو ما يستلزم بيان الفروق المفاهيمية الأساسية على النحو الآتي</w:t>
      </w:r>
      <w:r w:rsidRPr="00991EEB">
        <w:rPr>
          <w:rStyle w:val="a4"/>
          <w:rFonts w:ascii="Sakkal Majalla" w:hAnsi="Sakkal Majalla" w:cs="Sakkal Majalla"/>
          <w:sz w:val="32"/>
          <w:szCs w:val="32"/>
          <w:rtl/>
        </w:rPr>
        <w:footnoteReference w:id="122"/>
      </w:r>
      <w:r w:rsidRPr="00991EEB">
        <w:rPr>
          <w:rFonts w:ascii="Sakkal Majalla" w:hAnsi="Sakkal Majalla" w:cs="Sakkal Majalla"/>
          <w:sz w:val="32"/>
          <w:szCs w:val="32"/>
          <w:rtl/>
        </w:rPr>
        <w:t>:</w:t>
      </w:r>
    </w:p>
    <w:p w14:paraId="698D4248"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أولًا: التمييز بين الذكاء الاصطناعي والأتمتة التقليدية :</w:t>
      </w:r>
    </w:p>
    <w:p w14:paraId="6B34BB84"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 xml:space="preserve">يعد التمييز بين الذكاء الاصطناعي والأتمتة التقليدية من المسائل المفصلية في الدراسات القانونية المرتبطة بالتقنيات الحديثة، لأن اختلاف الطبيعة الوظيفية لكل منهما ينعكس مباشرة على كيفية تكييف الأفعال الناتجة عنهما وعلى تحديد المسؤولية عند وقوع ضرر فالأتمتة التقليدية تمثل </w:t>
      </w:r>
      <w:r w:rsidRPr="00991EEB">
        <w:rPr>
          <w:rFonts w:ascii="Sakkal Majalla" w:hAnsi="Sakkal Majalla" w:cs="Sakkal Majalla"/>
          <w:sz w:val="32"/>
          <w:szCs w:val="32"/>
          <w:rtl/>
        </w:rPr>
        <w:lastRenderedPageBreak/>
        <w:t>نمطًا تقنيًا يستهدف تحويل إجراءات متكررة إلى خطوات آلية ثابتة، بينما يمثل الذكاء الاصطناعي نمطًا أكثر تقدمًا يستند إلى التحليل والاستدلال والتعلم من البيانات، بما يخلق مستوى مختلفًا من التعقيد والتأثير</w:t>
      </w:r>
      <w:r w:rsidRPr="00991EEB">
        <w:rPr>
          <w:rStyle w:val="a4"/>
          <w:rFonts w:ascii="Sakkal Majalla" w:hAnsi="Sakkal Majalla" w:cs="Sakkal Majalla"/>
          <w:sz w:val="32"/>
          <w:szCs w:val="32"/>
          <w:rtl/>
        </w:rPr>
        <w:footnoteReference w:id="123"/>
      </w:r>
      <w:r w:rsidRPr="00991EEB">
        <w:rPr>
          <w:rFonts w:ascii="Sakkal Majalla" w:hAnsi="Sakkal Majalla" w:cs="Sakkal Majalla"/>
          <w:sz w:val="32"/>
          <w:szCs w:val="32"/>
          <w:rtl/>
        </w:rPr>
        <w:t>.</w:t>
      </w:r>
    </w:p>
    <w:p w14:paraId="610AA9D1"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وتقوم الأتمتة التقليدية في جوهرها على منطق “القواعد الثابتة” (</w:t>
      </w:r>
      <w:r w:rsidRPr="00991EEB">
        <w:rPr>
          <w:rFonts w:ascii="Sakkal Majalla" w:hAnsi="Sakkal Majalla" w:cs="Sakkal Majalla"/>
          <w:sz w:val="32"/>
          <w:szCs w:val="32"/>
        </w:rPr>
        <w:t>Rule-Based Systems</w:t>
      </w:r>
      <w:r w:rsidRPr="00991EEB">
        <w:rPr>
          <w:rFonts w:ascii="Sakkal Majalla" w:hAnsi="Sakkal Majalla" w:cs="Sakkal Majalla"/>
          <w:sz w:val="32"/>
          <w:szCs w:val="32"/>
          <w:rtl/>
        </w:rPr>
        <w:t>)، أي أن المبرمج يضع سلسلة من التعليمات المحددة سلفًا، ويقوم النظام بتنفيذها على نحو حرفي عند تحقق شروط معينة ومن ثم فإن العلاقة بين المدخلات والمخرجات تكون في الغالب واضحة ومحددة مسبقًا؛ فإذا أُدخلت بيانات معينة، ينتج النظام استجابة متوقعة وفق القاعدة البرمجية وبذلك يمكن تتبع مسار القرار خطوة بخطوة، وتحديد سبب النتيجة بدقة، لأن النظام لا يخرج—في الأصل—عن مساراته المرسومة سلفًا</w:t>
      </w:r>
      <w:r w:rsidRPr="00991EEB">
        <w:rPr>
          <w:rStyle w:val="a4"/>
          <w:rFonts w:ascii="Sakkal Majalla" w:hAnsi="Sakkal Majalla" w:cs="Sakkal Majalla"/>
          <w:sz w:val="32"/>
          <w:szCs w:val="32"/>
          <w:rtl/>
        </w:rPr>
        <w:footnoteReference w:id="124"/>
      </w:r>
      <w:r w:rsidRPr="00991EEB">
        <w:rPr>
          <w:rFonts w:ascii="Sakkal Majalla" w:hAnsi="Sakkal Majalla" w:cs="Sakkal Majalla"/>
          <w:sz w:val="32"/>
          <w:szCs w:val="32"/>
          <w:rtl/>
        </w:rPr>
        <w:t>.</w:t>
      </w:r>
    </w:p>
    <w:p w14:paraId="7121A24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أما الذكاء الاصطناعي ولا سيما القائم على التعلم الآلي، فلا يقتصر على تنفيذ قواعد مكتوبة بصورة مباشرة، بل يعتمد على بناء “نموذج” يستخلص الأنماط من البيانات، ثم ينتج مخرجات مثل التنبؤ أو التصنيف أو التوصية أو القرار. ومعنى ذلك أن المبرمج لا يكتب دائمًا القواعد التفصيلية للنتيجة، وإنما يحدد طريقة التعلم، ويزود النظام بالبيانات، ويضبط المعايير، ثم يقوم النظام باستنتاج علاقات داخل البيانات للوصول إلى نتيجة. وهنا تصبح العلاقة بين المدخلات </w:t>
      </w:r>
      <w:r w:rsidRPr="00991EEB">
        <w:rPr>
          <w:rFonts w:ascii="Sakkal Majalla" w:hAnsi="Sakkal Majalla" w:cs="Sakkal Majalla"/>
          <w:sz w:val="32"/>
          <w:szCs w:val="32"/>
          <w:rtl/>
        </w:rPr>
        <w:lastRenderedPageBreak/>
        <w:t>والمخرجات أقل بساطة وأكثر تعقيدًا، وقد يصعب تفسيرها تفسيرًا مباشرًا في بعض النماذج المتقدمة</w:t>
      </w:r>
      <w:r w:rsidRPr="00991EEB">
        <w:rPr>
          <w:rStyle w:val="a4"/>
          <w:rFonts w:ascii="Sakkal Majalla" w:hAnsi="Sakkal Majalla" w:cs="Sakkal Majalla"/>
          <w:sz w:val="32"/>
          <w:szCs w:val="32"/>
          <w:rtl/>
        </w:rPr>
        <w:footnoteReference w:id="125"/>
      </w:r>
      <w:r w:rsidRPr="00991EEB">
        <w:rPr>
          <w:rFonts w:ascii="Sakkal Majalla" w:hAnsi="Sakkal Majalla" w:cs="Sakkal Majalla"/>
          <w:sz w:val="32"/>
          <w:szCs w:val="32"/>
          <w:rtl/>
        </w:rPr>
        <w:t>.</w:t>
      </w:r>
    </w:p>
    <w:p w14:paraId="325C229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ويظهر الفرق بوضوح أيضًا من حيث “التطور بمرور الزمن” فالأتمتة التقليدية لا تتحسن ذاتيًا، ولا تتغير نتائجها إلا إذا قام الإنسان بتعديل القواعد أو تحديث البرنامج أما أنظمة الذكاء الاصطناعي فقد تتحسن تدريجيًا مع إدخال بيانات جديدة أو إعادة تدريب النموذج أو تحديثه، وقد تتغير دقة النتائج أو طريقة التصنيف بمرور الوقت وهذا التطور قد يكون ميزة تشغيلية، لكنه في المقابل يثير تساؤلات قانونية تتعلق بمدى قابلية توقع سلوك النظام، وما إذا كانت الجهة المشغلة أو المطورة قد وضعت ضوابط كافية لمنع الانحرافات أو الأخطاء الناتجة عن التعلم أو عن تغير البيانات.</w:t>
      </w:r>
    </w:p>
    <w:p w14:paraId="13A8B52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كما يختلف النظامان من حيث “شفافية القرار وقابلية التفسير” ففي الأتمتة التقليدية، يكون القرار غالبًا قابلاً للتفسير بسهولة لأنه قائم على شرط ونتيجة: إذا تحقق الشرط (</w:t>
      </w:r>
      <w:r w:rsidRPr="00991EEB">
        <w:rPr>
          <w:rFonts w:ascii="Sakkal Majalla" w:hAnsi="Sakkal Majalla" w:cs="Sakkal Majalla"/>
          <w:sz w:val="32"/>
          <w:szCs w:val="32"/>
        </w:rPr>
        <w:t>X</w:t>
      </w:r>
      <w:r w:rsidRPr="00991EEB">
        <w:rPr>
          <w:rFonts w:ascii="Sakkal Majalla" w:hAnsi="Sakkal Majalla" w:cs="Sakkal Majalla"/>
          <w:sz w:val="32"/>
          <w:szCs w:val="32"/>
          <w:rtl/>
        </w:rPr>
        <w:t>) يحدث الإجراء (</w:t>
      </w:r>
      <w:r w:rsidRPr="00991EEB">
        <w:rPr>
          <w:rFonts w:ascii="Sakkal Majalla" w:hAnsi="Sakkal Majalla" w:cs="Sakkal Majalla"/>
          <w:sz w:val="32"/>
          <w:szCs w:val="32"/>
        </w:rPr>
        <w:t>Y</w:t>
      </w:r>
      <w:r w:rsidRPr="00991EEB">
        <w:rPr>
          <w:rFonts w:ascii="Sakkal Majalla" w:hAnsi="Sakkal Majalla" w:cs="Sakkal Majalla"/>
          <w:sz w:val="32"/>
          <w:szCs w:val="32"/>
          <w:rtl/>
        </w:rPr>
        <w:t>) وبالتالي يسهل تحديد موضع الخلل عند وقوع ضرر: هل القاعدة نفسها خاطئة؟ هل البيانات المدخلة غير صحيحة؟ هل حدث خطأ في التشغيل؟ أما في الذكاء الاصطناعي، فقد تكون النتيجة صادرة عن شبكة من العلاقات الإحصائية أو الخوارزمية يصعب تفكيكها، وهو ما يزيد من صعوبة الإثبات، ويؤثر على تحديد الخطأ والعلاقة السببية، خاصة إذا احتاج الأمر إلى خبرة فنية متخصصة أو إلى سجلات تشغيل لا تتوافر للمتضرر</w:t>
      </w:r>
      <w:r w:rsidRPr="00991EEB">
        <w:rPr>
          <w:rStyle w:val="a4"/>
          <w:rFonts w:ascii="Sakkal Majalla" w:hAnsi="Sakkal Majalla" w:cs="Sakkal Majalla"/>
          <w:sz w:val="32"/>
          <w:szCs w:val="32"/>
          <w:rtl/>
        </w:rPr>
        <w:footnoteReference w:id="126"/>
      </w:r>
      <w:r w:rsidRPr="00991EEB">
        <w:rPr>
          <w:rFonts w:ascii="Sakkal Majalla" w:hAnsi="Sakkal Majalla" w:cs="Sakkal Majalla"/>
          <w:sz w:val="32"/>
          <w:szCs w:val="32"/>
          <w:rtl/>
        </w:rPr>
        <w:t>.</w:t>
      </w:r>
    </w:p>
    <w:p w14:paraId="4A3B7EE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ومن زاوية التطبيق تستخدم الأتمتة التقليدية غالبًا في الأعمال الروتينية المتكررة ذات الطبيعة الإجرائية، كإرسال الإشعارات، أو فرز الطلبات وفق معايير ثابتة، أو تنفيذ خطوات إدارية محددة بينما يستخدم الذكاء الاصطناعي عادة في المهام التي تتطلب تحليلًا وتقديرًا وتنبؤًا، مثل كشف الاحتيال، وتحليل المخاطر، والتعرف على الأنماط، وتوليد المحتوى، والتصنيف الذكي. وهذا التوسع في نطاق الاستخدام يجعل آثار الذكاء الاصطناعي أكثر اتصالًا بالحقوق والمراكز القانونية للأفراد، وبالتالي أكثر قابلية لإحداث أضرار مادية أو معنوية أو معلوماتية</w:t>
      </w:r>
      <w:r w:rsidRPr="00991EEB">
        <w:rPr>
          <w:rStyle w:val="a4"/>
          <w:rFonts w:ascii="Sakkal Majalla" w:hAnsi="Sakkal Majalla" w:cs="Sakkal Majalla"/>
          <w:sz w:val="32"/>
          <w:szCs w:val="32"/>
          <w:rtl/>
        </w:rPr>
        <w:footnoteReference w:id="127"/>
      </w:r>
      <w:r w:rsidRPr="00991EEB">
        <w:rPr>
          <w:rFonts w:ascii="Sakkal Majalla" w:hAnsi="Sakkal Majalla" w:cs="Sakkal Majalla"/>
          <w:sz w:val="32"/>
          <w:szCs w:val="32"/>
          <w:rtl/>
        </w:rPr>
        <w:t>.</w:t>
      </w:r>
    </w:p>
    <w:p w14:paraId="677F370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ويترتب على هذه الفروق أثر قانوني مباشر في نطاق المسؤولية المدنية ففي الأتمتة التقليدية تكون النتائج أكثر قابلية للتوقع، وبالتالي تكون عناصر المسؤولية—لا سيما الخطأ والسببية—أقرب إلى التطبيق التقليدي، ويسهل غالبًا تحديد الشخص المسؤول (المشغل أو الجهة المالكة أو المبرمج وفق الحالة) أما في الذكاء الاصطناعي، فقد يتداخل دور المطور والمشغل ومزود البيانات والمستخدم، وقد ينشأ الضرر عن تسلسل عوامل تقنية وتشغيلية، مما يعقد مسألة الإسناد وقد يحتاج التحليل القانوني إلى توسيع معيار المسؤولية ليشمل واجبات إضافية مثل: واجب الاختبار، وواجب الرقابة، وواجب حماية البيانات، وواجب الشفافية وحفظ السجلات</w:t>
      </w:r>
      <w:r w:rsidRPr="00991EEB">
        <w:rPr>
          <w:rStyle w:val="a4"/>
          <w:rFonts w:ascii="Sakkal Majalla" w:hAnsi="Sakkal Majalla" w:cs="Sakkal Majalla"/>
          <w:sz w:val="32"/>
          <w:szCs w:val="32"/>
          <w:rtl/>
        </w:rPr>
        <w:footnoteReference w:id="128"/>
      </w:r>
      <w:r w:rsidRPr="00991EEB">
        <w:rPr>
          <w:rFonts w:ascii="Sakkal Majalla" w:hAnsi="Sakkal Majalla" w:cs="Sakkal Majalla"/>
          <w:sz w:val="32"/>
          <w:szCs w:val="32"/>
          <w:rtl/>
        </w:rPr>
        <w:t>.</w:t>
      </w:r>
    </w:p>
    <w:p w14:paraId="16701291"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 xml:space="preserve">فإن الأتمتة التقليدية تقوم على تنفيذ قواعد ثابتة ومسارات محددة، بينما يقوم الذكاء الاصطناعي على التعلم والاستدلال وإنتاج مخرجات قد تتغير بمرور الوقت، وهو ما يجعل سلوكه أكثر تعقيدًا وأثره القانوني أوسع ومن ثم فإن هذا التمييز يُعد أساسًا منهجيًا ضروريًا قبل الانتقال </w:t>
      </w:r>
      <w:r w:rsidRPr="00991EEB">
        <w:rPr>
          <w:rFonts w:ascii="Sakkal Majalla" w:hAnsi="Sakkal Majalla" w:cs="Sakkal Majalla"/>
          <w:sz w:val="32"/>
          <w:szCs w:val="32"/>
          <w:rtl/>
        </w:rPr>
        <w:lastRenderedPageBreak/>
        <w:t>إلى بحث المسؤولية المدنية عن الأضرار الناتجة عن استخدام الذكاء الاصطناعي، خاصة في سياق الجرائم الإلكترونية التي تتسم بسرعة التنفيذ واتساع نطاق الأثر</w:t>
      </w:r>
      <w:r w:rsidRPr="00991EEB">
        <w:rPr>
          <w:rStyle w:val="a4"/>
          <w:rFonts w:ascii="Sakkal Majalla" w:hAnsi="Sakkal Majalla" w:cs="Sakkal Majalla"/>
          <w:sz w:val="32"/>
          <w:szCs w:val="32"/>
          <w:rtl/>
        </w:rPr>
        <w:footnoteReference w:id="129"/>
      </w:r>
      <w:r w:rsidRPr="00991EEB">
        <w:rPr>
          <w:rFonts w:ascii="Sakkal Majalla" w:hAnsi="Sakkal Majalla" w:cs="Sakkal Majalla"/>
          <w:sz w:val="32"/>
          <w:szCs w:val="32"/>
          <w:rtl/>
        </w:rPr>
        <w:t>.</w:t>
      </w:r>
    </w:p>
    <w:p w14:paraId="64850F87"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ثانيًا: التمييز بين الذكاء الاصطناعي ونظم المعلومات التقليدية :</w:t>
      </w:r>
    </w:p>
    <w:p w14:paraId="5FB1997D"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التفريق بين الذكاء الاصطناعي ونظم المعلومات التقليدية خطوة منهجية مهمة في التحليل المفاهيمي، نظرًا لما قد يترتب على الخلط بينهما من آثار في التكييف القانوني للأفعال الناتجة عنهما فرغم أن كلا النظامين يعمل في إطار البيئة الرقمية ويعتمد على معالجة البيانات، فإن طبيعة الدور الذي يؤديه كل منهما تختلف اختلافًا جوهريًا من حيث مستوى التحليل والاستقلالية واتخاذ القرار</w:t>
      </w:r>
      <w:r w:rsidRPr="00991EEB">
        <w:rPr>
          <w:rStyle w:val="a4"/>
          <w:rFonts w:ascii="Sakkal Majalla" w:hAnsi="Sakkal Majalla" w:cs="Sakkal Majalla"/>
          <w:sz w:val="32"/>
          <w:szCs w:val="32"/>
          <w:rtl/>
        </w:rPr>
        <w:footnoteReference w:id="130"/>
      </w:r>
      <w:r w:rsidRPr="00991EEB">
        <w:rPr>
          <w:rFonts w:ascii="Sakkal Majalla" w:hAnsi="Sakkal Majalla" w:cs="Sakkal Majalla"/>
          <w:sz w:val="32"/>
          <w:szCs w:val="32"/>
          <w:rtl/>
        </w:rPr>
        <w:t>.</w:t>
      </w:r>
    </w:p>
    <w:p w14:paraId="3B5A3C62"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فنظم المعلومات التقليدية تعنى أساسًا بجمع البيانات وتخزينها وتنظيمها ومعالجتها وفق قواعد محددة سلفًا، بهدف دعم متخذ القرار البشري فهي تقوم بإدارة قواعد البيانات، وإنتاج التقارير، وعرض المؤشرات، وتسهيل الوصول إلى المعلومات، لكنها لا تحل محل الإنسان في عملية التقدير أو اتخاذ القرار النهائي ومن ثم فإن دورها في الغالب دور “مساند”، يقتصر على توفير المعلومات بصورة منظمة دون أن تنتج استنتاجات ذات طابع مستقل</w:t>
      </w:r>
      <w:r w:rsidRPr="00991EEB">
        <w:rPr>
          <w:rStyle w:val="a4"/>
          <w:rFonts w:ascii="Sakkal Majalla" w:hAnsi="Sakkal Majalla" w:cs="Sakkal Majalla"/>
          <w:sz w:val="32"/>
          <w:szCs w:val="32"/>
          <w:rtl/>
        </w:rPr>
        <w:footnoteReference w:id="131"/>
      </w:r>
      <w:r w:rsidRPr="00991EEB">
        <w:rPr>
          <w:rFonts w:ascii="Sakkal Majalla" w:hAnsi="Sakkal Majalla" w:cs="Sakkal Majalla"/>
          <w:sz w:val="32"/>
          <w:szCs w:val="32"/>
          <w:rtl/>
        </w:rPr>
        <w:t>.</w:t>
      </w:r>
    </w:p>
    <w:p w14:paraId="0FCB4BA1"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أما الذكاء الاصطناعي فيتجاوز وظيفة العرض والتنظيم إلى وظيفة التحليل المتقدم والاستدلال فهو لا يكتفي بتقديم البيانات، بل يعالجها عبر نماذج خوارزمية قادرة على اكتشاف الأنماط، </w:t>
      </w:r>
      <w:r w:rsidRPr="00991EEB">
        <w:rPr>
          <w:rFonts w:ascii="Sakkal Majalla" w:hAnsi="Sakkal Majalla" w:cs="Sakkal Majalla"/>
          <w:sz w:val="32"/>
          <w:szCs w:val="32"/>
          <w:rtl/>
        </w:rPr>
        <w:lastRenderedPageBreak/>
        <w:t>وإنتاج توصيات، بل واتخاذ قرارات آلية في بعض التطبيقات فالنظام الذكي قد يصنف الأفراد وفق مستوى خطر معين، أو يتنبأ بسلوك مستقبلي، أو يوصي بإجراء محدد، دون تدخل بشري مباشر في كل حالة وهذه القدرة على إنتاج مخرجات تحليلية مستقلة تمثل فارقًا جوهريًا بينه وبين نظم المعلومات التقليدية</w:t>
      </w:r>
      <w:r w:rsidRPr="00991EEB">
        <w:rPr>
          <w:rStyle w:val="a4"/>
          <w:rFonts w:ascii="Sakkal Majalla" w:hAnsi="Sakkal Majalla" w:cs="Sakkal Majalla"/>
          <w:sz w:val="32"/>
          <w:szCs w:val="32"/>
          <w:rtl/>
        </w:rPr>
        <w:footnoteReference w:id="132"/>
      </w:r>
      <w:r w:rsidRPr="00991EEB">
        <w:rPr>
          <w:rFonts w:ascii="Sakkal Majalla" w:hAnsi="Sakkal Majalla" w:cs="Sakkal Majalla"/>
          <w:sz w:val="32"/>
          <w:szCs w:val="32"/>
          <w:rtl/>
        </w:rPr>
        <w:t>.</w:t>
      </w:r>
    </w:p>
    <w:p w14:paraId="052112AB"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ويظهر الفرق كذلك في عنصر “التعلم والتكيّف” فبينما تعمل نظم المعلومات وفق بنية ثابتة لا تتغير إلا بتحديثات برمجية محددة، قد تتطور أنظمة الذكاء الاصطناعي بمرور الوقت نتيجة التعلم من البيانات الجديدة، مما يمنحها طبيعة ديناميكية وهذا التطور المستمر قد يؤثر في النتائج ويجعلها أقل قابلية للتنبؤ مقارنة بالأنظمة التقليدية</w:t>
      </w:r>
      <w:r w:rsidRPr="00991EEB">
        <w:rPr>
          <w:rStyle w:val="a4"/>
          <w:rFonts w:ascii="Sakkal Majalla" w:hAnsi="Sakkal Majalla" w:cs="Sakkal Majalla"/>
          <w:sz w:val="32"/>
          <w:szCs w:val="32"/>
          <w:rtl/>
        </w:rPr>
        <w:footnoteReference w:id="133"/>
      </w:r>
      <w:r w:rsidRPr="00991EEB">
        <w:rPr>
          <w:rFonts w:ascii="Sakkal Majalla" w:hAnsi="Sakkal Majalla" w:cs="Sakkal Majalla"/>
          <w:sz w:val="32"/>
          <w:szCs w:val="32"/>
          <w:rtl/>
        </w:rPr>
        <w:t>.</w:t>
      </w:r>
    </w:p>
    <w:p w14:paraId="60D5DFEB"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ومن الناحية القانونية ينعكس هذا التمييز على تحديد نطاق المسؤولية عند وقوع ضرر. فإذا كان نظام المعلومات التقليدي قد قدم بيانات خاطئة بسبب إدخال غير صحيح أو خلل تقني، فإن الخطأ غالبًا يكون واضحًا ومحددًا أما إذا صدر عن نظام ذكاء اصطناعي قرار ضار نتيجة تحليل خوارزمي، فإن تحديد موضع الخطأ قد يكون أكثر تعقيدًا، خاصة إذا كان القرار مبنيًا على نموذج تعلمي أو على معالجة متعددة المستويات</w:t>
      </w:r>
      <w:r w:rsidRPr="00991EEB">
        <w:rPr>
          <w:rStyle w:val="a4"/>
          <w:rFonts w:ascii="Sakkal Majalla" w:hAnsi="Sakkal Majalla" w:cs="Sakkal Majalla"/>
          <w:sz w:val="32"/>
          <w:szCs w:val="32"/>
          <w:rtl/>
        </w:rPr>
        <w:footnoteReference w:id="134"/>
      </w:r>
      <w:r w:rsidRPr="00991EEB">
        <w:rPr>
          <w:rFonts w:ascii="Sakkal Majalla" w:hAnsi="Sakkal Majalla" w:cs="Sakkal Majalla"/>
          <w:sz w:val="32"/>
          <w:szCs w:val="32"/>
          <w:rtl/>
        </w:rPr>
        <w:t>.</w:t>
      </w:r>
    </w:p>
    <w:p w14:paraId="07FC2440"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 xml:space="preserve">وعليه فإن نظم المعلومات التقليدية تمثل أدوات تنظيم وإدارة للبيانات، في حين يمثل الذكاء الاصطناعي منظومة تحليلية واستدلالية قادرة على إنتاج قرارات أو توصيات ذات أثر قانوني مباشر ويعد هذا الفرق أساسيًا لفهم خصوصية الأفعال الصادرة عن الأنظمة الذكية، ولتحديد </w:t>
      </w:r>
      <w:r w:rsidRPr="00991EEB">
        <w:rPr>
          <w:rFonts w:ascii="Sakkal Majalla" w:hAnsi="Sakkal Majalla" w:cs="Sakkal Majalla"/>
          <w:sz w:val="32"/>
          <w:szCs w:val="32"/>
          <w:rtl/>
        </w:rPr>
        <w:lastRenderedPageBreak/>
        <w:t>الإطار القانوني الملائم للمسؤولية المدنية الناشئة عنها، خاصة في سياق التطبيقات الرقمية المتقدمة.</w:t>
      </w:r>
    </w:p>
    <w:p w14:paraId="6F07519C"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ثالثًا: التمييز بين الذكاء الاصطناعي وتحليل البيانات الإحصائي :</w:t>
      </w:r>
    </w:p>
    <w:p w14:paraId="06D2CDE1"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يعد تحليل البيانات الإحصائي من الأدوات الأساسية في فهم المعطيات واستخلاص المؤشرات، غير أن مساواته بالذكاء الاصطناعي يعد تبسيطًا غير دقيق من الناحية العلمية والقانونية فبينما يشترك المجالان في الاعتماد على البيانات والنماذج الرياضية، إلا أن طبيعة الوظيفة التي يؤديها كل منهما تختلف اختلافًا جوهريًا من حيث مستوى الاستقلال، وطبيعة التعلم، ومدى التأثير في اتخاذ القرار</w:t>
      </w:r>
      <w:r w:rsidRPr="00991EEB">
        <w:rPr>
          <w:rStyle w:val="a4"/>
          <w:rFonts w:ascii="Sakkal Majalla" w:hAnsi="Sakkal Majalla" w:cs="Sakkal Majalla"/>
          <w:sz w:val="32"/>
          <w:szCs w:val="32"/>
          <w:rtl/>
        </w:rPr>
        <w:footnoteReference w:id="135"/>
      </w:r>
      <w:r w:rsidRPr="00991EEB">
        <w:rPr>
          <w:rFonts w:ascii="Sakkal Majalla" w:hAnsi="Sakkal Majalla" w:cs="Sakkal Majalla"/>
          <w:sz w:val="32"/>
          <w:szCs w:val="32"/>
          <w:rtl/>
        </w:rPr>
        <w:t>.</w:t>
      </w:r>
    </w:p>
    <w:p w14:paraId="6030DC1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يقوم التحليل الإحصائي التقليدي على تطبيق نماذج رياضية محددة سلفًا لاختبار فرضيات أو قياس علاقات بين متغيرات معينة، ويكون دور الباحث أو المحلل محوريًا في اختيار النموذج، وتحديد الفرضيات، وتفسير النتائج فالنتيجة الإحصائية تعد أداة تفسيرية أو وصفية تساعد الإنسان على فهم الظاهرة، لكنها لا تتضمن بالضرورة قدرة ذاتية للنظام على التعلم أو تعديل النموذج تلقائيًا</w:t>
      </w:r>
      <w:r w:rsidRPr="00991EEB">
        <w:rPr>
          <w:rStyle w:val="a4"/>
          <w:rFonts w:ascii="Sakkal Majalla" w:hAnsi="Sakkal Majalla" w:cs="Sakkal Majalla"/>
          <w:sz w:val="32"/>
          <w:szCs w:val="32"/>
          <w:rtl/>
        </w:rPr>
        <w:footnoteReference w:id="136"/>
      </w:r>
      <w:r w:rsidRPr="00991EEB">
        <w:rPr>
          <w:rFonts w:ascii="Sakkal Majalla" w:hAnsi="Sakkal Majalla" w:cs="Sakkal Majalla"/>
          <w:sz w:val="32"/>
          <w:szCs w:val="32"/>
          <w:rtl/>
        </w:rPr>
        <w:t>.</w:t>
      </w:r>
    </w:p>
    <w:p w14:paraId="4D79719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أما الذكاء الاصطناعي ولا سيما في صورته المعتمدة على التعلم الآلي، فيعتمد على بناء نماذج قادرة على “التعلم” من البيانات دون تدخل بشري مباشر في كل خطوة تحليلية فبدلًا من اختبار فرضية محددة، قد يقوم النظام باكتشاف أنماط وعلاقات داخل البيانات بصورة تلقائية، ويطوّر أداءه </w:t>
      </w:r>
      <w:r w:rsidRPr="00991EEB">
        <w:rPr>
          <w:rFonts w:ascii="Sakkal Majalla" w:hAnsi="Sakkal Majalla" w:cs="Sakkal Majalla"/>
          <w:sz w:val="32"/>
          <w:szCs w:val="32"/>
          <w:rtl/>
        </w:rPr>
        <w:lastRenderedPageBreak/>
        <w:t>بمرور الوقت عبر التحديث المستمر للمعلمات (</w:t>
      </w:r>
      <w:r w:rsidRPr="00991EEB">
        <w:rPr>
          <w:rFonts w:ascii="Sakkal Majalla" w:hAnsi="Sakkal Majalla" w:cs="Sakkal Majalla"/>
          <w:sz w:val="32"/>
          <w:szCs w:val="32"/>
        </w:rPr>
        <w:t>Parameters</w:t>
      </w:r>
      <w:r w:rsidRPr="00991EEB">
        <w:rPr>
          <w:rFonts w:ascii="Sakkal Majalla" w:hAnsi="Sakkal Majalla" w:cs="Sakkal Majalla"/>
          <w:sz w:val="32"/>
          <w:szCs w:val="32"/>
          <w:rtl/>
        </w:rPr>
        <w:t>) استنادًا إلى البيانات الجديدة ومن ثم فإن دوره لا يقتصر على التحليل الوصفي، بل يمتد إلى التنبؤ واتخاذ القرار وإنتاج مخرجات ذات أثر عملي مباشر</w:t>
      </w:r>
      <w:r w:rsidRPr="00991EEB">
        <w:rPr>
          <w:rStyle w:val="a4"/>
          <w:rFonts w:ascii="Sakkal Majalla" w:hAnsi="Sakkal Majalla" w:cs="Sakkal Majalla"/>
          <w:sz w:val="32"/>
          <w:szCs w:val="32"/>
          <w:rtl/>
        </w:rPr>
        <w:footnoteReference w:id="137"/>
      </w:r>
      <w:r w:rsidRPr="00991EEB">
        <w:rPr>
          <w:rFonts w:ascii="Sakkal Majalla" w:hAnsi="Sakkal Majalla" w:cs="Sakkal Majalla"/>
          <w:sz w:val="32"/>
          <w:szCs w:val="32"/>
          <w:rtl/>
        </w:rPr>
        <w:t>.</w:t>
      </w:r>
    </w:p>
    <w:p w14:paraId="4708AAD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ويظهر الفرق أيضًا في مسألة الثبات مقابل الديناميكية؛ فالنموذج الإحصائي التقليدي غالبًا ما يكون ثابتًا، ويُعاد تطبيقه على بيانات مختلفة ضمن الإطار ذاته، بينما قد يتغير نموذج الذكاء الاصطناعي بمرور الوقت نتيجة إعادة التدريب أو إدخال بيانات جديدة وهذا التطور المستمر يجعل سلوك النظام الذكي أقل قابلية للتنبؤ مقارنة بالتحليل الإحصائي التقليدي.</w:t>
      </w:r>
    </w:p>
    <w:p w14:paraId="328FD2C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الناحية القانونية ينعكس هذا التمييز على طبيعة المسؤولية عند وقوع ضرر فإذا استند القرار إلى تحليل إحصائي تقليدي، فإن مسؤولية الخطأ قد ترتبط بسوء اختيار النموذج أو تفسير النتائج أما إذا كان القرار صادرًا عن نظام ذكاء اصطناعي قائم على التعلم، فقد يكون الضرر ناتجًا عن تحيز في البيانات، أو قصور في التدريب، أو خلل في النموذج، أو غياب رقابة بشرية كافية وبالتالي فإن تحديد الخطأ والعلاقة السببية في سياق الذكاء الاصطناعي يكون أكثر تعقيدًا، نظرًا للطبيعة الديناميكية للنظام</w:t>
      </w:r>
      <w:r w:rsidRPr="00991EEB">
        <w:rPr>
          <w:rStyle w:val="a4"/>
          <w:rFonts w:ascii="Sakkal Majalla" w:hAnsi="Sakkal Majalla" w:cs="Sakkal Majalla"/>
          <w:sz w:val="32"/>
          <w:szCs w:val="32"/>
          <w:rtl/>
        </w:rPr>
        <w:footnoteReference w:id="138"/>
      </w:r>
      <w:r w:rsidRPr="00991EEB">
        <w:rPr>
          <w:rFonts w:ascii="Sakkal Majalla" w:hAnsi="Sakkal Majalla" w:cs="Sakkal Majalla"/>
          <w:sz w:val="32"/>
          <w:szCs w:val="32"/>
          <w:rtl/>
        </w:rPr>
        <w:t>.</w:t>
      </w:r>
    </w:p>
    <w:p w14:paraId="5295E4B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وعليه فإن تحليل البيانات الإحصائي يمثل أداة علمية لتفسير المعطيات وفق نماذج محددة، بينما يمثل الذكاء الاصطناعي منظومة تحليلية متطورة قادرة على التعلم والاستدلال وإنتاج قرارات أو تنبؤات بصورة شبه مستقلة ويعد هذا الفرق جوهريًا لفهم خصوصية التطبيقات الذكية، </w:t>
      </w:r>
      <w:r w:rsidRPr="00991EEB">
        <w:rPr>
          <w:rFonts w:ascii="Sakkal Majalla" w:hAnsi="Sakkal Majalla" w:cs="Sakkal Majalla"/>
          <w:sz w:val="32"/>
          <w:szCs w:val="32"/>
          <w:rtl/>
        </w:rPr>
        <w:lastRenderedPageBreak/>
        <w:t>ولتحديد الإطار القانوني المناسب لتنظيمها ومساءلة الجهات القائمة عليها عند ترتب أضرار ناجمة عن استخدامها</w:t>
      </w:r>
      <w:r w:rsidRPr="00991EEB">
        <w:rPr>
          <w:rStyle w:val="a4"/>
          <w:rFonts w:ascii="Sakkal Majalla" w:hAnsi="Sakkal Majalla" w:cs="Sakkal Majalla"/>
          <w:sz w:val="32"/>
          <w:szCs w:val="32"/>
          <w:rtl/>
        </w:rPr>
        <w:footnoteReference w:id="139"/>
      </w:r>
      <w:r w:rsidRPr="00991EEB">
        <w:rPr>
          <w:rFonts w:ascii="Sakkal Majalla" w:hAnsi="Sakkal Majalla" w:cs="Sakkal Majalla"/>
          <w:sz w:val="32"/>
          <w:szCs w:val="32"/>
          <w:rtl/>
        </w:rPr>
        <w:t>.</w:t>
      </w:r>
    </w:p>
    <w:p w14:paraId="5B756607" w14:textId="77777777" w:rsidR="00991EEB" w:rsidRPr="00991EEB" w:rsidRDefault="00991EEB" w:rsidP="00991EEB">
      <w:pPr>
        <w:bidi/>
        <w:spacing w:line="360" w:lineRule="auto"/>
        <w:jc w:val="mediumKashida"/>
        <w:rPr>
          <w:rFonts w:ascii="Sakkal Majalla" w:hAnsi="Sakkal Majalla" w:cs="Sakkal Majalla"/>
          <w:b/>
          <w:bCs/>
          <w:sz w:val="32"/>
          <w:szCs w:val="32"/>
          <w:rtl/>
        </w:rPr>
      </w:pPr>
      <w:r w:rsidRPr="00991EEB">
        <w:rPr>
          <w:rFonts w:ascii="Sakkal Majalla" w:hAnsi="Sakkal Majalla" w:cs="Sakkal Majalla"/>
          <w:b/>
          <w:bCs/>
          <w:sz w:val="32"/>
          <w:szCs w:val="32"/>
          <w:rtl/>
        </w:rPr>
        <w:t>رابعًا: التمييز بين الذكاء الاصطناعي والروبوتات :</w:t>
      </w:r>
    </w:p>
    <w:p w14:paraId="41D7F0EF"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sz w:val="32"/>
          <w:szCs w:val="32"/>
          <w:rtl/>
        </w:rPr>
        <w:t>كثيرًا ما يربط مفهوم الذكاء الاصطناعي بالروبوتات في الخطاب العام، إلا أن هذا الربط لا يعكس دقة المفهومين من الناحية العلمية أو القانونية فالروبوت في جوهره جهاز مادي (</w:t>
      </w:r>
      <w:r w:rsidRPr="00991EEB">
        <w:rPr>
          <w:rFonts w:ascii="Sakkal Majalla" w:hAnsi="Sakkal Majalla" w:cs="Sakkal Majalla"/>
          <w:sz w:val="32"/>
          <w:szCs w:val="32"/>
        </w:rPr>
        <w:t>Hardware</w:t>
      </w:r>
      <w:r w:rsidRPr="00991EEB">
        <w:rPr>
          <w:rFonts w:ascii="Sakkal Majalla" w:hAnsi="Sakkal Majalla" w:cs="Sakkal Majalla"/>
          <w:sz w:val="32"/>
          <w:szCs w:val="32"/>
          <w:rtl/>
        </w:rPr>
        <w:t>) مصمم لتنفيذ مهام معينة في البيئة الفيزيائية، وقد يعمل وفق برمجة تقليدية ثابتة، أو قد يكون مزودًا بنظام ذكاء اصطناعي يمكنه من أداء مهام أكثر تعقيدًا أما الذكاء الاصطناعي فهو منظومة خوارزمية (</w:t>
      </w:r>
      <w:r w:rsidRPr="00991EEB">
        <w:rPr>
          <w:rFonts w:ascii="Sakkal Majalla" w:hAnsi="Sakkal Majalla" w:cs="Sakkal Majalla"/>
          <w:sz w:val="32"/>
          <w:szCs w:val="32"/>
        </w:rPr>
        <w:t>Software/Algorithmic System</w:t>
      </w:r>
      <w:r w:rsidRPr="00991EEB">
        <w:rPr>
          <w:rFonts w:ascii="Sakkal Majalla" w:hAnsi="Sakkal Majalla" w:cs="Sakkal Majalla"/>
          <w:sz w:val="32"/>
          <w:szCs w:val="32"/>
          <w:rtl/>
        </w:rPr>
        <w:t>) قادرة على تحليل البيانات والتعلم واتخاذ قرارات ضمن نطاق معين، وقد يعمل دون أي تجسيد مادي</w:t>
      </w:r>
      <w:r w:rsidRPr="00991EEB">
        <w:rPr>
          <w:rStyle w:val="a4"/>
          <w:rFonts w:ascii="Sakkal Majalla" w:hAnsi="Sakkal Majalla" w:cs="Sakkal Majalla"/>
          <w:sz w:val="32"/>
          <w:szCs w:val="32"/>
          <w:rtl/>
        </w:rPr>
        <w:footnoteReference w:id="140"/>
      </w:r>
      <w:r w:rsidRPr="00991EEB">
        <w:rPr>
          <w:rFonts w:ascii="Sakkal Majalla" w:hAnsi="Sakkal Majalla" w:cs="Sakkal Majalla"/>
          <w:sz w:val="32"/>
          <w:szCs w:val="32"/>
          <w:rtl/>
        </w:rPr>
        <w:t>.</w:t>
      </w:r>
    </w:p>
    <w:p w14:paraId="1442EB3A"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وبعبارة أخرى الروبوت هو “الكيان المادي المنفّذ”، بينما الذكاء الاصطناعي هو “العقل البرمجي التحليلي” الذي قد يدمج داخل الروبوت أو يعمل بصورة مستقلة عبر منصة رقمية فليس كل روبوت ذكاءً اصطناعيًا، إذ قد يقتصر عمل بعض الروبوتات على تنفيذ حركات مبرمجة مسبقًا وفق تعليمات ثابتة وفي المقابل قد توجد تطبيقات ذكاء اصطناعي متقدمة لا ترتبط بأي جهاز مادي، مثل أنظمة تحليل البيانات، أو خوارزميات كشف الاحتيال، أو منصات توليد المحتوى</w:t>
      </w:r>
      <w:r w:rsidRPr="00991EEB">
        <w:rPr>
          <w:rStyle w:val="a4"/>
          <w:rFonts w:ascii="Sakkal Majalla" w:hAnsi="Sakkal Majalla" w:cs="Sakkal Majalla"/>
          <w:sz w:val="32"/>
          <w:szCs w:val="32"/>
          <w:rtl/>
        </w:rPr>
        <w:footnoteReference w:id="141"/>
      </w:r>
      <w:r w:rsidRPr="00991EEB">
        <w:rPr>
          <w:rFonts w:ascii="Sakkal Majalla" w:hAnsi="Sakkal Majalla" w:cs="Sakkal Majalla"/>
          <w:sz w:val="32"/>
          <w:szCs w:val="32"/>
          <w:rtl/>
        </w:rPr>
        <w:t>.</w:t>
      </w:r>
    </w:p>
    <w:p w14:paraId="6646C0D9"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ويظهر الفرق بوضوح في طبيعة الوظيفة؛ فالروبوت يركز على التفاعل المادي مع البيئة (الحركة، الالتقاط، التجميع، التنفيذ)، بينما يركز الذكاء الاصطناعي على المعالجة الذهنية للبيانات (التحليل، التنبؤ، الاستنتاج) وعندما يدمج الذكاء الاصطناعي داخل روبوت، يصبح الروبوت قادرًا على التكيف واتخاذ قرارات أكثر استقلالية، لكن يظل التمييز قائمًا بين “الوسيط المادي” و”النظام التحليلي”</w:t>
      </w:r>
      <w:r w:rsidRPr="00991EEB">
        <w:rPr>
          <w:rStyle w:val="a4"/>
          <w:rFonts w:ascii="Sakkal Majalla" w:hAnsi="Sakkal Majalla" w:cs="Sakkal Majalla"/>
          <w:sz w:val="32"/>
          <w:szCs w:val="32"/>
          <w:rtl/>
        </w:rPr>
        <w:footnoteReference w:id="142"/>
      </w:r>
      <w:r w:rsidRPr="00991EEB">
        <w:rPr>
          <w:rFonts w:ascii="Sakkal Majalla" w:hAnsi="Sakkal Majalla" w:cs="Sakkal Majalla"/>
          <w:sz w:val="32"/>
          <w:szCs w:val="32"/>
          <w:rtl/>
        </w:rPr>
        <w:t>.</w:t>
      </w:r>
    </w:p>
    <w:p w14:paraId="43612830"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الناحية القانونية يترتب على هذا التمييز أثر مهم في تحديد مصدر الخطأ عند وقوع ضرر فإذا نتج الضرر عن خلل ميكانيكي أو عيب في الجهاز، فقد تكون المسؤولية مرتبطة بمصنع الروبوت أو بصيانته. أما إذا كان الضرر نتيجة قرار تحليلي خاطئ صادر عن خوارزمية مدمجة في الروبوت، فقد تتجه المسؤولية نحو مطور النظام أو الجهة المشغلة أو مزود البيانات كما قد ينشأ الضرر عن تفاعل بين الخلل المادي والقرار الخوارزمي، مما يستلزم تحليلًا دقيقًا لسلسلة الأسباب</w:t>
      </w:r>
      <w:r w:rsidRPr="00991EEB">
        <w:rPr>
          <w:rStyle w:val="a4"/>
          <w:rFonts w:ascii="Sakkal Majalla" w:hAnsi="Sakkal Majalla" w:cs="Sakkal Majalla"/>
          <w:sz w:val="32"/>
          <w:szCs w:val="32"/>
          <w:rtl/>
        </w:rPr>
        <w:footnoteReference w:id="143"/>
      </w:r>
      <w:r w:rsidRPr="00991EEB">
        <w:rPr>
          <w:rFonts w:ascii="Sakkal Majalla" w:hAnsi="Sakkal Majalla" w:cs="Sakkal Majalla"/>
          <w:sz w:val="32"/>
          <w:szCs w:val="32"/>
          <w:rtl/>
        </w:rPr>
        <w:t>.</w:t>
      </w:r>
    </w:p>
    <w:p w14:paraId="014F8DBC"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فإن الذكاء الاصطناعي لا يُختزل في صورة روبوت مادي، بل يمثل مفهومًا أوسع وأشمل يرتبط بالمعالجة الذكية للبيانات، سواء تجسد في جهاز مادي أو في بيئة رقمية بحتة ويعد هذا التمييز ضروريًا لضبط التحليل القانوني، وتحديد نطاق المسؤولية المدنية في الحالات التي تتداخل فيها المكونات البرمجية والمادية ضمن منظومة تقنية واحدة.</w:t>
      </w:r>
    </w:p>
    <w:p w14:paraId="63FD2608" w14:textId="77777777" w:rsidR="00991EEB" w:rsidRPr="00991EEB" w:rsidRDefault="00991EEB" w:rsidP="00991EEB">
      <w:pPr>
        <w:bidi/>
        <w:spacing w:line="360" w:lineRule="auto"/>
        <w:jc w:val="mediumKashida"/>
        <w:rPr>
          <w:rFonts w:ascii="Sakkal Majalla" w:hAnsi="Sakkal Majalla" w:cs="Sakkal Majalla"/>
          <w:b/>
          <w:bCs/>
          <w:sz w:val="32"/>
          <w:szCs w:val="32"/>
        </w:rPr>
      </w:pPr>
      <w:r w:rsidRPr="00991EEB">
        <w:rPr>
          <w:rFonts w:ascii="Sakkal Majalla" w:hAnsi="Sakkal Majalla" w:cs="Sakkal Majalla"/>
          <w:b/>
          <w:bCs/>
          <w:sz w:val="32"/>
          <w:szCs w:val="32"/>
          <w:rtl/>
        </w:rPr>
        <w:t>خامسًا: التمييز بين الذكاء الاصطناعي والبرمجيات التقليدية :</w:t>
      </w:r>
    </w:p>
    <w:p w14:paraId="01A8FEB7"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يعد التفريق بين الذكاء الاصطناعي والبرمجيات التقليدية أمرًا جوهريًا في التحليل القانوني، لأن كلاهما ينتمي إلى المجال البرمجي، إلا أن طبيعة عمل كل منهما تختلف من حيث المنهجية والوظيفة ودرجة الاستقلال في إنتاج النتائج فالبرمجيات التقليدية تصمم لتنفيذ مهام محددة وفق تعليمات صريحة ومباشرة يضعها المبرمج، بحيث تكون كل خطوة من خطوات المعالجة منصوصًا عليها بوضوح، وتكون النتائج متوقعة في ضوء المدخلات</w:t>
      </w:r>
      <w:r w:rsidRPr="00991EEB">
        <w:rPr>
          <w:rStyle w:val="a4"/>
          <w:rFonts w:ascii="Sakkal Majalla" w:hAnsi="Sakkal Majalla" w:cs="Sakkal Majalla"/>
          <w:sz w:val="32"/>
          <w:szCs w:val="32"/>
          <w:rtl/>
        </w:rPr>
        <w:footnoteReference w:id="144"/>
      </w:r>
      <w:r w:rsidRPr="00991EEB">
        <w:rPr>
          <w:rFonts w:ascii="Sakkal Majalla" w:hAnsi="Sakkal Majalla" w:cs="Sakkal Majalla"/>
          <w:sz w:val="32"/>
          <w:szCs w:val="32"/>
          <w:rtl/>
        </w:rPr>
        <w:t>.</w:t>
      </w:r>
    </w:p>
    <w:p w14:paraId="4B407072"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وتعمل البرمجيات التقليدية وفق منطق “إذا تحقق الشرط، نفّذ الإجراء”، أي أن العلاقة بين المدخلات والمخرجات محددة سلفًا ضمن مسار ثابت فإذا أدخلت البيانات ذاتها، أعطت النتيجة ذاتها، ولا تتغير هذه النتيجة إلا بتعديل الكود البرمجي ومن ثم فإن سلوكها يعد في الغالب قابلاً للتنبؤ والتفسير بسهولة نسبية، مما يسهّل تحديد مصدر الخطأ عند وقوع خلل</w:t>
      </w:r>
      <w:r w:rsidRPr="00991EEB">
        <w:rPr>
          <w:rStyle w:val="a4"/>
          <w:rFonts w:ascii="Sakkal Majalla" w:hAnsi="Sakkal Majalla" w:cs="Sakkal Majalla"/>
          <w:sz w:val="32"/>
          <w:szCs w:val="32"/>
          <w:rtl/>
        </w:rPr>
        <w:footnoteReference w:id="145"/>
      </w:r>
      <w:r w:rsidRPr="00991EEB">
        <w:rPr>
          <w:rFonts w:ascii="Sakkal Majalla" w:hAnsi="Sakkal Majalla" w:cs="Sakkal Majalla"/>
          <w:sz w:val="32"/>
          <w:szCs w:val="32"/>
          <w:rtl/>
        </w:rPr>
        <w:t>.</w:t>
      </w:r>
    </w:p>
    <w:p w14:paraId="0226A793"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أما الذكاء الاصطناعي فيتميز بقدرته على تحليل البيانات وبناء نماذج تستخلص الأنماط والعلاقات دون أن تكون كل نتيجة منصوصًا عليها مسبقًا في الكود بصورة تفصيلية فالمبرمج في أنظمة الذكاء الاصطناعي لا يحدد جميع القواعد الجزئية للنتائج، بل يضع إطار التعلم والمعايير العامة، ويقوم النظام بعد ذلك ببناء نموذج يعتمد على البيانات لإنتاج التنبؤ أو القرار وهذا يجعل العلاقة بين المدخلات والمخرجات أكثر تعقيدًا وأقل مباشرة مقارنة بالبرمجيات التقليدية</w:t>
      </w:r>
      <w:r w:rsidRPr="00991EEB">
        <w:rPr>
          <w:rStyle w:val="a4"/>
          <w:rFonts w:ascii="Sakkal Majalla" w:hAnsi="Sakkal Majalla" w:cs="Sakkal Majalla"/>
          <w:sz w:val="32"/>
          <w:szCs w:val="32"/>
          <w:rtl/>
        </w:rPr>
        <w:footnoteReference w:id="146"/>
      </w:r>
      <w:r w:rsidRPr="00991EEB">
        <w:rPr>
          <w:rFonts w:ascii="Sakkal Majalla" w:hAnsi="Sakkal Majalla" w:cs="Sakkal Majalla"/>
          <w:sz w:val="32"/>
          <w:szCs w:val="32"/>
          <w:rtl/>
        </w:rPr>
        <w:t>.</w:t>
      </w:r>
    </w:p>
    <w:p w14:paraId="1FF76F65"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lastRenderedPageBreak/>
        <w:t>ويظهر الفارق كذلك في عنصر التطور؛ فالبرمجيات التقليدية ثابتة الأداء، ولا تتحسن أو تتغير إلا بتدخل بشري مباشر، بينما قد تتطور أنظمة الذكاء الاصطناعي نتيجة التعلم من بيانات جديدة أو إعادة تدريب النموذج. وهذه الديناميكية تجعل سلوك النظام الذكي أكثر مرونة، لكنها في الوقت ذاته قد تقلل من درجة اليقين بشأن مخرجاته المستقبلية</w:t>
      </w:r>
      <w:r w:rsidRPr="00991EEB">
        <w:rPr>
          <w:rStyle w:val="a4"/>
          <w:rFonts w:ascii="Sakkal Majalla" w:hAnsi="Sakkal Majalla" w:cs="Sakkal Majalla"/>
          <w:sz w:val="32"/>
          <w:szCs w:val="32"/>
          <w:rtl/>
        </w:rPr>
        <w:footnoteReference w:id="147"/>
      </w:r>
      <w:r w:rsidRPr="00991EEB">
        <w:rPr>
          <w:rFonts w:ascii="Sakkal Majalla" w:hAnsi="Sakkal Majalla" w:cs="Sakkal Majalla"/>
          <w:sz w:val="32"/>
          <w:szCs w:val="32"/>
          <w:rtl/>
        </w:rPr>
        <w:t>.</w:t>
      </w:r>
    </w:p>
    <w:p w14:paraId="727949FC"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ومن الناحية القانونية ينعكس هذا الفرق على تحليل المسؤولية المدنية ففي البرمجيات التقليدية، يمكن غالبًا تحديد الخطأ بدقة، سواء كان في التصميم أو التنفيذ أو الإدخال أما في الذكاء الاصطناعي، فقد ينشأ الضرر عن تفاعل معقد بين البيانات والنموذج والخوارزمية وبيئة التشغيل، مما يثير إشكاليات في تحديد موضع الخطأ وإثبات العلاقة السببية كما أن خاصية التعلم الذاتي قد تجعل من الصعب حصر المسؤولية في مرحلة معينة من مراحل التطوير أو التشغيل </w:t>
      </w:r>
      <w:r w:rsidRPr="00991EEB">
        <w:rPr>
          <w:rStyle w:val="a4"/>
          <w:rFonts w:ascii="Sakkal Majalla" w:hAnsi="Sakkal Majalla" w:cs="Sakkal Majalla"/>
          <w:sz w:val="32"/>
          <w:szCs w:val="32"/>
          <w:rtl/>
        </w:rPr>
        <w:footnoteReference w:id="148"/>
      </w:r>
      <w:r w:rsidRPr="00991EEB">
        <w:rPr>
          <w:rFonts w:ascii="Sakkal Majalla" w:hAnsi="Sakkal Majalla" w:cs="Sakkal Majalla"/>
          <w:sz w:val="32"/>
          <w:szCs w:val="32"/>
          <w:rtl/>
        </w:rPr>
        <w:t>.</w:t>
      </w:r>
    </w:p>
    <w:p w14:paraId="321846A7" w14:textId="77777777" w:rsidR="00991EEB" w:rsidRPr="00991EEB" w:rsidRDefault="00991EEB" w:rsidP="00991EEB">
      <w:pPr>
        <w:bidi/>
        <w:spacing w:line="360" w:lineRule="auto"/>
        <w:jc w:val="mediumKashida"/>
        <w:rPr>
          <w:rFonts w:ascii="Sakkal Majalla" w:hAnsi="Sakkal Majalla" w:cs="Sakkal Majalla"/>
          <w:sz w:val="32"/>
          <w:szCs w:val="32"/>
          <w:rtl/>
        </w:rPr>
      </w:pPr>
      <w:r w:rsidRPr="00991EEB">
        <w:rPr>
          <w:rFonts w:ascii="Sakkal Majalla" w:hAnsi="Sakkal Majalla" w:cs="Sakkal Majalla"/>
          <w:sz w:val="32"/>
          <w:szCs w:val="32"/>
          <w:rtl/>
        </w:rPr>
        <w:t>وعليه فإن البرمجيات التقليدية تمثل نظمًا تنفيذية قائمة على تعليمات محددة وثابتة، بينما يمثل الذكاء الاصطناعي منظومة تحليلية قادرة على التعلم والاستنتاج والتكيف. ويُعد هذا التمييز ضروريًا لفهم الطبيعة الخاصة للأفعال الصادرة عن الأنظمة الذكية، ولتحديد الإطار القانوني الملائم لمساءلة الجهات القائمة عليها عند ترتب أضرار ناجمة عن استخدامها</w:t>
      </w:r>
      <w:r w:rsidRPr="00991EEB">
        <w:rPr>
          <w:rStyle w:val="a4"/>
          <w:rFonts w:ascii="Sakkal Majalla" w:hAnsi="Sakkal Majalla" w:cs="Sakkal Majalla"/>
          <w:sz w:val="32"/>
          <w:szCs w:val="32"/>
          <w:rtl/>
        </w:rPr>
        <w:footnoteReference w:id="149"/>
      </w:r>
      <w:r w:rsidRPr="00991EEB">
        <w:rPr>
          <w:rFonts w:ascii="Sakkal Majalla" w:hAnsi="Sakkal Majalla" w:cs="Sakkal Majalla"/>
          <w:sz w:val="32"/>
          <w:szCs w:val="32"/>
          <w:rtl/>
        </w:rPr>
        <w:t>.</w:t>
      </w:r>
    </w:p>
    <w:p w14:paraId="685B431E"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 xml:space="preserve">يتضح مما تقدم أن التمييز بين الذكاء الاصطناعي والمفاهيم التقنية المشابهة له ليس ترفًا نظريًا، بل يمثل ضرورة منهجية لضبط التحليل القانوني وتحديد الطبيعة الحقيقية للفعل التقني محل </w:t>
      </w:r>
      <w:r w:rsidRPr="00991EEB">
        <w:rPr>
          <w:rFonts w:ascii="Sakkal Majalla" w:hAnsi="Sakkal Majalla" w:cs="Sakkal Majalla"/>
          <w:sz w:val="32"/>
          <w:szCs w:val="32"/>
          <w:rtl/>
        </w:rPr>
        <w:lastRenderedPageBreak/>
        <w:t>البحث فاختلاف طبيعة الأداة—سواء كانت أتمتة تقليدية، أو نظام معلومات، أو تحليلًا إحصائيًا، أو روبوتًا، أو برنامجًا تقليديًا—يؤثر مباشرة في تحديد عناصر الخطأ، وإمكان التوقع، ومدى السيطرة الفنية، وبالتالي في إسناد المسؤولية المدنية عند وقوع الضرر.</w:t>
      </w:r>
    </w:p>
    <w:p w14:paraId="102AB68F" w14:textId="77777777" w:rsidR="00991EEB" w:rsidRPr="00991EEB" w:rsidRDefault="00991EEB" w:rsidP="00991EEB">
      <w:pPr>
        <w:bidi/>
        <w:spacing w:line="360" w:lineRule="auto"/>
        <w:jc w:val="mediumKashida"/>
        <w:rPr>
          <w:rFonts w:ascii="Sakkal Majalla" w:hAnsi="Sakkal Majalla" w:cs="Sakkal Majalla"/>
          <w:sz w:val="32"/>
          <w:szCs w:val="32"/>
        </w:rPr>
      </w:pPr>
      <w:r w:rsidRPr="00991EEB">
        <w:rPr>
          <w:rFonts w:ascii="Sakkal Majalla" w:hAnsi="Sakkal Majalla" w:cs="Sakkal Majalla"/>
          <w:sz w:val="32"/>
          <w:szCs w:val="32"/>
          <w:rtl/>
        </w:rPr>
        <w:t>ومن ثم فإن إفراد الذكاء الاصطناعي بمعالجة قانونية مستقلة يجد مبرره في خصائصه المميزة، ولا سيما التعلم الذاتي، والاستقلال النسبي، والتعقيد الخوارزمي، والتأثير المباشر في اتخاذ القرار ويعد هذا الضبط المفاهيمي أساسًا ضروريًا للانتقال إلى تصنيف أنواعه وبيان مجالات استخدامه في المملكة، تمهيدًا لربط تلك التطبيقات بالإطار النظامي للمسؤولية المدنية في ضوء طبيعتها الخاصة</w:t>
      </w:r>
      <w:r w:rsidRPr="00991EEB">
        <w:rPr>
          <w:rStyle w:val="a4"/>
          <w:rFonts w:ascii="Sakkal Majalla" w:hAnsi="Sakkal Majalla" w:cs="Sakkal Majalla"/>
          <w:sz w:val="32"/>
          <w:szCs w:val="32"/>
          <w:rtl/>
        </w:rPr>
        <w:footnoteReference w:id="150"/>
      </w:r>
    </w:p>
    <w:p w14:paraId="51AA4B90" w14:textId="77777777" w:rsidR="00991EEB" w:rsidRPr="00991EEB" w:rsidRDefault="00991EEB" w:rsidP="00991EEB">
      <w:pPr>
        <w:bidi/>
        <w:spacing w:line="360" w:lineRule="auto"/>
        <w:jc w:val="medium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 xml:space="preserve">المطلب الثاني : تصنيف الذكاء الاصطناعي ومجالات استخدامه في المملكة </w:t>
      </w:r>
      <w:r w:rsidRPr="00991EEB">
        <w:rPr>
          <w:rFonts w:ascii="Sakkal Majalla" w:hAnsi="Sakkal Majalla" w:cs="Sakkal Majalla"/>
          <w:b/>
          <w:bCs/>
          <w:sz w:val="32"/>
          <w:szCs w:val="32"/>
          <w:lang w:bidi="ar-EG"/>
        </w:rPr>
        <w:t>:</w:t>
      </w:r>
    </w:p>
    <w:p w14:paraId="0D21B552"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يمثل تصنيف الذكاء الاصطناعي خطوة منهجية ضرورية لفهم طبيعته التقنية وتحديد نطاق تأثيره القانوني، إذ إن الحديث عن “الذكاء الاصطناعي” بصيغة عامة قد يخفي تنوعًا واسعًا في مستوياته وقدراته ووظائفه فليست جميع أنظمة الذكاء الاصطناعي على درجة واحدة من التعقيد أو الاستقلال، كما أن اختلاف مستوى الأداء والوظيفة ينعكس بصورة مباشرة على طبيعة المخاطر المحتملة والمسؤوليات الناشئة عنها. ومن ثم، فإن ضبط التصنيف يسهم في تمييز الأنظمة البسيطة ذات الوظائف المحدودة عن الأنظمة المتقدمة القادرة على التعلم واتخاذ القرار ضمن نطاق أوسع من الاستقلال</w:t>
      </w:r>
      <w:r w:rsidRPr="00991EEB">
        <w:rPr>
          <w:rStyle w:val="a4"/>
          <w:rFonts w:ascii="Sakkal Majalla" w:hAnsi="Sakkal Majalla" w:cs="Sakkal Majalla"/>
          <w:sz w:val="32"/>
          <w:szCs w:val="32"/>
          <w:rtl/>
          <w:lang w:bidi="ar-EG"/>
        </w:rPr>
        <w:footnoteReference w:id="151"/>
      </w:r>
      <w:r w:rsidRPr="00991EEB">
        <w:rPr>
          <w:rFonts w:ascii="Sakkal Majalla" w:hAnsi="Sakkal Majalla" w:cs="Sakkal Majalla"/>
          <w:sz w:val="32"/>
          <w:szCs w:val="32"/>
          <w:rtl/>
          <w:lang w:bidi="ar-EG"/>
        </w:rPr>
        <w:t>.</w:t>
      </w:r>
    </w:p>
    <w:p w14:paraId="6135D4BE"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كما أن بيان مجالات استخدام الذكاء الاصطناعي في المملكة العربية السعودية يعد أمرًا جوهريًا في سياق هذه الدراسة، لأن التحليل القانوني للمسؤولية المدنية لا ينفصل عن البيئة التطبيقية التي تعمل فيها هذه التقنية فالتطبيقات في القطاع المالي أو الصحي أو الأمني تختلف في طبيعتها وأثرها عن تلك المستخدمة في الخدمات الإلكترونية أو التجارة الرقمية، وهو ما يستلزم ربط التصنيف النظري بالواقع العملي داخل الدولة</w:t>
      </w:r>
      <w:r w:rsidRPr="00991EEB">
        <w:rPr>
          <w:rStyle w:val="a4"/>
          <w:rFonts w:ascii="Sakkal Majalla" w:hAnsi="Sakkal Majalla" w:cs="Sakkal Majalla"/>
          <w:sz w:val="32"/>
          <w:szCs w:val="32"/>
          <w:rtl/>
          <w:lang w:bidi="ar-EG"/>
        </w:rPr>
        <w:footnoteReference w:id="152"/>
      </w:r>
      <w:r w:rsidRPr="00991EEB">
        <w:rPr>
          <w:rFonts w:ascii="Sakkal Majalla" w:hAnsi="Sakkal Majalla" w:cs="Sakkal Majalla"/>
          <w:sz w:val="32"/>
          <w:szCs w:val="32"/>
          <w:rtl/>
          <w:lang w:bidi="ar-EG"/>
        </w:rPr>
        <w:t>.</w:t>
      </w:r>
    </w:p>
    <w:p w14:paraId="692F6193"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ويكتسب هذا المحور أهمية إضافية في ظل التوجه الاستراتيجي للمملكة نحو التحول الرقمي وتبني التقنيات المتقدمة في مختلف القطاعات، الأمر الذي وسع نطاق استخدام الأنظمة الذكية وأضفى عليها دورًا محوريًا في إدارة المعاملات والقرارات وكلما اتسعت هذه التطبيقات، ازدادت الحاجة إلى تحليلها في ضوء مستوياتها الوظيفية، لتحديد طبيعة الالتزامات القانونية الواقعة على الجهات المطورة أو المشغلة أو المستخدمة لها</w:t>
      </w:r>
      <w:r w:rsidRPr="00991EEB">
        <w:rPr>
          <w:rStyle w:val="a4"/>
          <w:rFonts w:ascii="Sakkal Majalla" w:hAnsi="Sakkal Majalla" w:cs="Sakkal Majalla"/>
          <w:sz w:val="32"/>
          <w:szCs w:val="32"/>
          <w:rtl/>
          <w:lang w:bidi="ar-EG"/>
        </w:rPr>
        <w:footnoteReference w:id="153"/>
      </w:r>
      <w:r w:rsidRPr="00991EEB">
        <w:rPr>
          <w:rFonts w:ascii="Sakkal Majalla" w:hAnsi="Sakkal Majalla" w:cs="Sakkal Majalla"/>
          <w:sz w:val="32"/>
          <w:szCs w:val="32"/>
          <w:rtl/>
          <w:lang w:bidi="ar-EG"/>
        </w:rPr>
        <w:t>.</w:t>
      </w:r>
    </w:p>
    <w:p w14:paraId="59BF3B76"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وعليه يتناول هذا المطلب في فرعه الأول بيان أنواع الذكاء الاصطناعي وفقًا لمستويات الأداء والوظيفة، تمهيدًا لفهم الفروق بين الأنظمة المحدودة والأنظمة المتقدمة، ثم يعرض في الفرع الثاني أبرز تطبيقات الذكاء الاصطناعي في المجالات المختلفة داخل المملكة، بما يمهد لربط هذه التطبيقات بالإطار النظامي للمسؤولية المدنية في الفصول اللاحقة.</w:t>
      </w:r>
    </w:p>
    <w:p w14:paraId="18590FC3" w14:textId="77777777" w:rsidR="00991EEB" w:rsidRPr="00991EEB" w:rsidRDefault="00991EEB" w:rsidP="00991EEB">
      <w:pPr>
        <w:pStyle w:val="a5"/>
        <w:numPr>
          <w:ilvl w:val="0"/>
          <w:numId w:val="36"/>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الفرع الاول: أنواع الذكاء الاصطناعي وفقًا لمستويات الأداء و الوظيفة :</w:t>
      </w:r>
    </w:p>
    <w:p w14:paraId="2BBE62EA"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يعد تصنيف الذكاء الاصطناعي وفقًا لمستويات الأداء والوظيفة مدخلًا منهجيًا مهمًا لفهم طبيعة الأنظمة الذكية وحدود قدراتها، كما أنه يساعد في تحديد درجة المخاطر القانونية المحتملة المرتبطة بكل مستوى، وما قد يترتب عليه من التزامات أو مسؤوليات عند وقوع ضرر فليست جميع تطبيقات الذكاء الاصطناعي على درجة واحدة من التعقيد أو الاستقلال، بل تتدرج من أنظمة محدودة الوظيفة إلى أنظمة ذات قدرات تحليلية وتعلمية متقدمة. ويمكن عرض هذا التصنيف من زاويتين مترابطتين: زاوية “مستوى الأداء/القدرة”، وزاوية “الوظيفة/طريقة العمل”</w:t>
      </w:r>
      <w:r w:rsidRPr="00991EEB">
        <w:rPr>
          <w:rStyle w:val="a4"/>
          <w:rFonts w:ascii="Sakkal Majalla" w:hAnsi="Sakkal Majalla" w:cs="Sakkal Majalla"/>
          <w:sz w:val="32"/>
          <w:szCs w:val="32"/>
          <w:rtl/>
          <w:lang w:bidi="ar-EG"/>
        </w:rPr>
        <w:footnoteReference w:id="154"/>
      </w:r>
      <w:r w:rsidRPr="00991EEB">
        <w:rPr>
          <w:rFonts w:ascii="Sakkal Majalla" w:hAnsi="Sakkal Majalla" w:cs="Sakkal Majalla"/>
          <w:sz w:val="32"/>
          <w:szCs w:val="32"/>
          <w:rtl/>
          <w:lang w:bidi="ar-EG"/>
        </w:rPr>
        <w:t>.</w:t>
      </w:r>
    </w:p>
    <w:p w14:paraId="41E571E4"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أولًا: أنواع الذكاء الاصطناعي وفقًا لمستويات الأداء (</w:t>
      </w:r>
      <w:r w:rsidRPr="00991EEB">
        <w:rPr>
          <w:rFonts w:ascii="Sakkal Majalla" w:hAnsi="Sakkal Majalla" w:cs="Sakkal Majalla"/>
          <w:b/>
          <w:bCs/>
          <w:sz w:val="32"/>
          <w:szCs w:val="32"/>
          <w:lang w:bidi="ar-EG"/>
        </w:rPr>
        <w:t>Capability-Based Classification</w:t>
      </w:r>
      <w:r w:rsidRPr="00991EEB">
        <w:rPr>
          <w:rFonts w:ascii="Sakkal Majalla" w:hAnsi="Sakkal Majalla" w:cs="Sakkal Majalla"/>
          <w:b/>
          <w:bCs/>
          <w:sz w:val="32"/>
          <w:szCs w:val="32"/>
          <w:rtl/>
          <w:lang w:bidi="ar-EG"/>
        </w:rPr>
        <w:t>) :</w:t>
      </w:r>
    </w:p>
    <w:p w14:paraId="1A4F0B3A"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يستند هذا التصنيف إلى معيار “مدى القدرة المعرفية” التي يتمتع بها النظام الذكي، أي مستوى الأداء الذي يمكنه تحقيقه مقارنة بالقدرات البشرية ويعد هذا التقسيم مهمًا من الناحية القانونية، لأنه يساعد في تقدير درجة الاستقلال والتعقيد وإمكان التوقع، وهي عناصر تؤثر مباشرة في تحليل المسؤولية المدنية عند وقوع ضرر</w:t>
      </w:r>
      <w:r w:rsidRPr="00991EEB">
        <w:rPr>
          <w:rStyle w:val="a4"/>
          <w:rFonts w:ascii="Sakkal Majalla" w:hAnsi="Sakkal Majalla" w:cs="Sakkal Majalla"/>
          <w:sz w:val="32"/>
          <w:szCs w:val="32"/>
          <w:rtl/>
          <w:lang w:bidi="ar-EG"/>
        </w:rPr>
        <w:footnoteReference w:id="155"/>
      </w:r>
      <w:r w:rsidRPr="00991EEB">
        <w:rPr>
          <w:rFonts w:ascii="Sakkal Majalla" w:hAnsi="Sakkal Majalla" w:cs="Sakkal Majalla"/>
          <w:sz w:val="32"/>
          <w:szCs w:val="32"/>
          <w:rtl/>
          <w:lang w:bidi="ar-EG"/>
        </w:rPr>
        <w:t>.</w:t>
      </w:r>
    </w:p>
    <w:p w14:paraId="656E69EA" w14:textId="77777777" w:rsidR="00991EEB" w:rsidRPr="00991EEB" w:rsidRDefault="00991EEB" w:rsidP="00991EEB">
      <w:pPr>
        <w:pStyle w:val="a5"/>
        <w:numPr>
          <w:ilvl w:val="0"/>
          <w:numId w:val="37"/>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الذكاء الاصطناعي الضيق أو المحدود (</w:t>
      </w:r>
      <w:r w:rsidRPr="00991EEB">
        <w:rPr>
          <w:rFonts w:ascii="Sakkal Majalla" w:hAnsi="Sakkal Majalla" w:cs="Sakkal Majalla"/>
          <w:b/>
          <w:bCs/>
          <w:sz w:val="32"/>
          <w:szCs w:val="32"/>
          <w:lang w:bidi="ar-EG"/>
        </w:rPr>
        <w:t>Narrow / Weak AI</w:t>
      </w:r>
      <w:r w:rsidRPr="00991EEB">
        <w:rPr>
          <w:rFonts w:ascii="Sakkal Majalla" w:hAnsi="Sakkal Majalla" w:cs="Sakkal Majalla"/>
          <w:b/>
          <w:bCs/>
          <w:sz w:val="32"/>
          <w:szCs w:val="32"/>
          <w:rtl/>
          <w:lang w:bidi="ar-EG"/>
        </w:rPr>
        <w:t xml:space="preserve">) : </w:t>
      </w:r>
    </w:p>
    <w:p w14:paraId="57E2188A"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sz w:val="32"/>
          <w:szCs w:val="32"/>
          <w:rtl/>
          <w:lang w:bidi="ar-EG"/>
        </w:rPr>
        <w:lastRenderedPageBreak/>
        <w:t>يمثل هذا النوع الشكل الواقعي السائد في التطبيقات المعاصرة، وهو نظام مصمم لأداء مهمة محددة أو نطاق ضيق من المهام بكفاءة عالية. ومن أمثلته: أنظمة كشف الاحتيال، التعرف على الوجوه، الترجمة الآلية، أنظمة التوصية، تحليل الصور الطبية، وتصنيف المخاطر المالية</w:t>
      </w:r>
      <w:r w:rsidRPr="00991EEB">
        <w:rPr>
          <w:rStyle w:val="a4"/>
          <w:rFonts w:ascii="Sakkal Majalla" w:hAnsi="Sakkal Majalla" w:cs="Sakkal Majalla"/>
          <w:sz w:val="32"/>
          <w:szCs w:val="32"/>
          <w:rtl/>
          <w:lang w:bidi="ar-EG"/>
        </w:rPr>
        <w:footnoteReference w:id="156"/>
      </w:r>
      <w:r w:rsidRPr="00991EEB">
        <w:rPr>
          <w:rFonts w:ascii="Sakkal Majalla" w:hAnsi="Sakkal Majalla" w:cs="Sakkal Majalla"/>
          <w:sz w:val="32"/>
          <w:szCs w:val="32"/>
          <w:rtl/>
          <w:lang w:bidi="ar-EG"/>
        </w:rPr>
        <w:t>.</w:t>
      </w:r>
    </w:p>
    <w:p w14:paraId="17D43A81"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ولا يمتلك هذا النوع “فهمًا عامًا” أو قدرة على الانتقال التلقائي بين مجالات مختلفة، بل يظل محصورًا ضمن المهمة التي درب عليها فإذا استخدم خارج نطاق تدريبه، قد تنخفض دقته أو تنتج عنه نتائج غير ملائمة.</w:t>
      </w:r>
    </w:p>
    <w:p w14:paraId="43D52E92"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ومن الناحية القانونية فإن الذكاء الاصطناعي الضيق يظل خاضعًا لسيطرة بشرية في التصميم والتدريب والتشغيل، ما يجعل المسؤولية المدنية في حال وقوع ضرر قابلة للإسناد إلى المطور أو المشغل أو الجهة المالكة وفق ظروف الحالة غير أن خطورته تكمن في اتساع نطاق استخدامه في قطاعات حساسة، مما يجعل أي خلل—</w:t>
      </w:r>
      <w:r w:rsidRPr="00991EEB">
        <w:rPr>
          <w:rFonts w:ascii="Sakkal Majalla" w:hAnsi="Sakkal Majalla" w:cs="Sakkal Majalla"/>
          <w:sz w:val="32"/>
          <w:szCs w:val="32"/>
          <w:lang w:bidi="ar-EG"/>
        </w:rPr>
        <w:t>even</w:t>
      </w:r>
      <w:r w:rsidRPr="00991EEB">
        <w:rPr>
          <w:rFonts w:ascii="Sakkal Majalla" w:hAnsi="Sakkal Majalla" w:cs="Sakkal Majalla"/>
          <w:sz w:val="32"/>
          <w:szCs w:val="32"/>
          <w:rtl/>
          <w:lang w:bidi="ar-EG"/>
        </w:rPr>
        <w:t xml:space="preserve"> لو كان محدودًا—ذا أثر واسع</w:t>
      </w:r>
      <w:r w:rsidRPr="00991EEB">
        <w:rPr>
          <w:rStyle w:val="a4"/>
          <w:rFonts w:ascii="Sakkal Majalla" w:hAnsi="Sakkal Majalla" w:cs="Sakkal Majalla"/>
          <w:sz w:val="32"/>
          <w:szCs w:val="32"/>
          <w:rtl/>
          <w:lang w:bidi="ar-EG"/>
        </w:rPr>
        <w:footnoteReference w:id="157"/>
      </w:r>
      <w:r w:rsidRPr="00991EEB">
        <w:rPr>
          <w:rFonts w:ascii="Sakkal Majalla" w:hAnsi="Sakkal Majalla" w:cs="Sakkal Majalla"/>
          <w:sz w:val="32"/>
          <w:szCs w:val="32"/>
          <w:rtl/>
          <w:lang w:bidi="ar-EG"/>
        </w:rPr>
        <w:t>.</w:t>
      </w:r>
    </w:p>
    <w:p w14:paraId="64686A5C" w14:textId="77777777" w:rsidR="00991EEB" w:rsidRPr="00991EEB" w:rsidRDefault="00991EEB" w:rsidP="00991EEB">
      <w:pPr>
        <w:pStyle w:val="a5"/>
        <w:numPr>
          <w:ilvl w:val="0"/>
          <w:numId w:val="37"/>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الذكاء الاصطناعي العام (</w:t>
      </w:r>
      <w:r w:rsidRPr="00991EEB">
        <w:rPr>
          <w:rFonts w:ascii="Sakkal Majalla" w:hAnsi="Sakkal Majalla" w:cs="Sakkal Majalla"/>
          <w:b/>
          <w:bCs/>
          <w:sz w:val="32"/>
          <w:szCs w:val="32"/>
          <w:lang w:bidi="ar-EG"/>
        </w:rPr>
        <w:t>Artificial General Intelligence – AGI</w:t>
      </w:r>
      <w:r w:rsidRPr="00991EEB">
        <w:rPr>
          <w:rFonts w:ascii="Sakkal Majalla" w:hAnsi="Sakkal Majalla" w:cs="Sakkal Majalla"/>
          <w:b/>
          <w:bCs/>
          <w:sz w:val="32"/>
          <w:szCs w:val="32"/>
          <w:rtl/>
          <w:lang w:bidi="ar-EG"/>
        </w:rPr>
        <w:t xml:space="preserve">) :  </w:t>
      </w:r>
    </w:p>
    <w:p w14:paraId="14C524AA"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sz w:val="32"/>
          <w:szCs w:val="32"/>
          <w:rtl/>
          <w:lang w:bidi="ar-EG"/>
        </w:rPr>
        <w:t>يشير هذا المفهوم إلى نظام يمتلك قدرة معرفية عامة تمكنه من أداء مهام متنوعة في مجالات مختلفة، بطريقة قريبة من مستوى التفكير البشري أي أنه لا يكون محصورًا في مهمة واحدة، بل يستطيع فهم السياق والتكيف مع مشكلات جديدة دون تدريب خاص لكل حالة</w:t>
      </w:r>
      <w:r w:rsidRPr="00991EEB">
        <w:rPr>
          <w:rStyle w:val="a4"/>
          <w:rFonts w:ascii="Sakkal Majalla" w:hAnsi="Sakkal Majalla" w:cs="Sakkal Majalla"/>
          <w:sz w:val="32"/>
          <w:szCs w:val="32"/>
          <w:rtl/>
          <w:lang w:bidi="ar-EG"/>
        </w:rPr>
        <w:footnoteReference w:id="158"/>
      </w:r>
      <w:r w:rsidRPr="00991EEB">
        <w:rPr>
          <w:rFonts w:ascii="Sakkal Majalla" w:hAnsi="Sakkal Majalla" w:cs="Sakkal Majalla"/>
          <w:sz w:val="32"/>
          <w:szCs w:val="32"/>
          <w:rtl/>
          <w:lang w:bidi="ar-EG"/>
        </w:rPr>
        <w:t>.</w:t>
      </w:r>
    </w:p>
    <w:p w14:paraId="6A1C4E0B"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وحتى الآن، لا يوجد نموذج تطبيقي متكامل يحقق هذا المستوى بصورة فعلية، ويظل هذا المفهوم في إطار البحث النظري والدراسات المستقبلية. إلا أن أهميته في البحث القانوني تكمن في أنه يطرح </w:t>
      </w:r>
      <w:r w:rsidRPr="00991EEB">
        <w:rPr>
          <w:rFonts w:ascii="Sakkal Majalla" w:hAnsi="Sakkal Majalla" w:cs="Sakkal Majalla"/>
          <w:sz w:val="32"/>
          <w:szCs w:val="32"/>
          <w:rtl/>
          <w:lang w:bidi="ar-EG"/>
        </w:rPr>
        <w:lastRenderedPageBreak/>
        <w:t>تصورًا لمستقبل قد تتزايد فيه درجة استقلال الأنظمة الذكية، بما يثير تساؤلات حول حدود الرقابة البشرية، ومعيار التوقع، وإمكان تطبيق القواعد التقليدية للمسؤولية.</w:t>
      </w:r>
    </w:p>
    <w:p w14:paraId="5AEAF65A"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فإذا بلغ النظام درجة من الاستقلال المعرفي الواسع، فإن تحديد الخطأ أو نسبة الفعل إلى شخص معين قد يصبح أكثر تعقيدًا، مما قد يستدعي إعادة النظر في بعض مفاهيم الإسناد والرقابة.</w:t>
      </w:r>
    </w:p>
    <w:p w14:paraId="02F9CC4A" w14:textId="77777777" w:rsidR="00991EEB" w:rsidRPr="00991EEB" w:rsidRDefault="00991EEB" w:rsidP="00991EEB">
      <w:pPr>
        <w:pStyle w:val="a5"/>
        <w:numPr>
          <w:ilvl w:val="0"/>
          <w:numId w:val="37"/>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الذكاء الاصطناعي الفائق (</w:t>
      </w:r>
      <w:r w:rsidRPr="00991EEB">
        <w:rPr>
          <w:rFonts w:ascii="Sakkal Majalla" w:hAnsi="Sakkal Majalla" w:cs="Sakkal Majalla"/>
          <w:b/>
          <w:bCs/>
          <w:sz w:val="32"/>
          <w:szCs w:val="32"/>
          <w:lang w:bidi="ar-EG"/>
        </w:rPr>
        <w:t>Artificial Super Intelligence – ASI</w:t>
      </w:r>
      <w:r w:rsidRPr="00991EEB">
        <w:rPr>
          <w:rFonts w:ascii="Sakkal Majalla" w:hAnsi="Sakkal Majalla" w:cs="Sakkal Majalla"/>
          <w:b/>
          <w:bCs/>
          <w:sz w:val="32"/>
          <w:szCs w:val="32"/>
          <w:rtl/>
          <w:lang w:bidi="ar-EG"/>
        </w:rPr>
        <w:t>) :</w:t>
      </w:r>
    </w:p>
    <w:p w14:paraId="441EF472"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يقصد به مستوى افتراضي تتجاوز فيه قدرات النظام الذكي القدرات البشرية في مجالات متعددة، سواء في التحليل أو الإبداع أو اتخاذ القرار ويظل هذا النوع ضمن نطاق الفرضيات النظرية والتصورات المستقبلية، ولم يتحقق في الواقع العملي.</w:t>
      </w:r>
    </w:p>
    <w:p w14:paraId="729490C8"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ورغم طابعه الافتراضي فإن طرحه في التصنيف يفيد في إبراز الاتجاه التصاعدي للتطور التقني، وما قد يترتب عليه من تحديات قانونية غير مسبوقة فوجود نظام يتفوق معرفيًا على الإنسان يثير تساؤلات عميقة حول السيطرة، والضبط، والمسؤولية، ومدى كفاية القواعد التقليدية في استيعاب مثل هذا التطور</w:t>
      </w:r>
      <w:r w:rsidRPr="00991EEB">
        <w:rPr>
          <w:rStyle w:val="a4"/>
          <w:rFonts w:ascii="Sakkal Majalla" w:hAnsi="Sakkal Majalla" w:cs="Sakkal Majalla"/>
          <w:sz w:val="32"/>
          <w:szCs w:val="32"/>
          <w:rtl/>
          <w:lang w:bidi="ar-EG"/>
        </w:rPr>
        <w:footnoteReference w:id="159"/>
      </w:r>
      <w:r w:rsidRPr="00991EEB">
        <w:rPr>
          <w:rFonts w:ascii="Sakkal Majalla" w:hAnsi="Sakkal Majalla" w:cs="Sakkal Majalla"/>
          <w:sz w:val="32"/>
          <w:szCs w:val="32"/>
          <w:rtl/>
          <w:lang w:bidi="ar-EG"/>
        </w:rPr>
        <w:t>.</w:t>
      </w:r>
    </w:p>
    <w:p w14:paraId="4883318E"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 يتضح أن الذكاء الاصطناعي يتدرج من أنظمة ضيقة محددة الوظيفة (وهي السائدة حاليًا) إلى أنظمة عامة وفائقة لا تزال في الإطار النظري وكلما ارتفع مستوى الأداء والاستقلال، تعاظمت التحديات القانونية المرتبطة بالتوقع والإسناد وإثبات الخطأ ومن ثم فإن التركيز في التحليل التطبيقي ينصرف أساسًا إلى الذكاء الاصطناعي الضيق، بوصفه الواقع العملي المستخدم في </w:t>
      </w:r>
      <w:r w:rsidRPr="00991EEB">
        <w:rPr>
          <w:rFonts w:ascii="Sakkal Majalla" w:hAnsi="Sakkal Majalla" w:cs="Sakkal Majalla"/>
          <w:sz w:val="32"/>
          <w:szCs w:val="32"/>
          <w:rtl/>
          <w:lang w:bidi="ar-EG"/>
        </w:rPr>
        <w:lastRenderedPageBreak/>
        <w:t>القطاعات المختلفة، مع الإشارة إلى المستويات الأعلى باعتبارها إطارًا لفهم الاتجاهات المستقبلية وتقدير المخاطر المحتملة</w:t>
      </w:r>
      <w:r w:rsidRPr="00991EEB">
        <w:rPr>
          <w:rStyle w:val="a4"/>
          <w:rFonts w:ascii="Sakkal Majalla" w:hAnsi="Sakkal Majalla" w:cs="Sakkal Majalla"/>
          <w:sz w:val="32"/>
          <w:szCs w:val="32"/>
          <w:rtl/>
          <w:lang w:bidi="ar-EG"/>
        </w:rPr>
        <w:footnoteReference w:id="160"/>
      </w:r>
      <w:r w:rsidRPr="00991EEB">
        <w:rPr>
          <w:rFonts w:ascii="Sakkal Majalla" w:hAnsi="Sakkal Majalla" w:cs="Sakkal Majalla"/>
          <w:sz w:val="32"/>
          <w:szCs w:val="32"/>
          <w:rtl/>
          <w:lang w:bidi="ar-EG"/>
        </w:rPr>
        <w:t>.</w:t>
      </w:r>
    </w:p>
    <w:p w14:paraId="6C10F9D0"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ثانيًا: أنواع الذكاء الاصطناعي وفقًا للوظيفة وطريقة العمل (</w:t>
      </w:r>
      <w:r w:rsidRPr="00991EEB">
        <w:rPr>
          <w:rFonts w:ascii="Sakkal Majalla" w:hAnsi="Sakkal Majalla" w:cs="Sakkal Majalla"/>
          <w:b/>
          <w:bCs/>
          <w:sz w:val="32"/>
          <w:szCs w:val="32"/>
          <w:lang w:bidi="ar-EG"/>
        </w:rPr>
        <w:t>Function / Operation-Based Classification</w:t>
      </w:r>
      <w:r w:rsidRPr="00991EEB">
        <w:rPr>
          <w:rFonts w:ascii="Sakkal Majalla" w:hAnsi="Sakkal Majalla" w:cs="Sakkal Majalla"/>
          <w:b/>
          <w:bCs/>
          <w:sz w:val="32"/>
          <w:szCs w:val="32"/>
          <w:rtl/>
          <w:lang w:bidi="ar-EG"/>
        </w:rPr>
        <w:t>)</w:t>
      </w:r>
    </w:p>
    <w:p w14:paraId="624C899C"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إذا كان التصنيف وفق مستوى الأداء يركّز على “قدرة” النظام، فإن التصنيف وفق الوظيفة وطريقة العمل يركّز على “كيفية” عمله تقنيًا، أي الآلية التي يعتمد عليها في إنتاج مخرجاته ويعد هذا التقسيم أكثر ارتباطًا بالتحليل القانوني التطبيقي، لأنه يمكن من فهم مصدر الخطأ المحتمل، وطبيعة البيانات المستخدمة، ودرجة قابلية القرار للتفسير، وهي عناصر جوهرية في بحث المسؤولية المدنية</w:t>
      </w:r>
      <w:r w:rsidRPr="00991EEB">
        <w:rPr>
          <w:rStyle w:val="a4"/>
          <w:rFonts w:ascii="Sakkal Majalla" w:hAnsi="Sakkal Majalla" w:cs="Sakkal Majalla"/>
          <w:sz w:val="32"/>
          <w:szCs w:val="32"/>
          <w:rtl/>
          <w:lang w:bidi="ar-EG"/>
        </w:rPr>
        <w:footnoteReference w:id="161"/>
      </w:r>
      <w:r w:rsidRPr="00991EEB">
        <w:rPr>
          <w:rFonts w:ascii="Sakkal Majalla" w:hAnsi="Sakkal Majalla" w:cs="Sakkal Majalla"/>
          <w:sz w:val="32"/>
          <w:szCs w:val="32"/>
          <w:rtl/>
          <w:lang w:bidi="ar-EG"/>
        </w:rPr>
        <w:t>.</w:t>
      </w:r>
    </w:p>
    <w:p w14:paraId="2D4818FD" w14:textId="77777777" w:rsidR="00991EEB" w:rsidRPr="00991EEB" w:rsidRDefault="00991EEB" w:rsidP="00991EEB">
      <w:pPr>
        <w:pStyle w:val="a5"/>
        <w:numPr>
          <w:ilvl w:val="0"/>
          <w:numId w:val="38"/>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 xml:space="preserve"> الأنظمة القائمة على القواعد (</w:t>
      </w:r>
      <w:r w:rsidRPr="00991EEB">
        <w:rPr>
          <w:rFonts w:ascii="Sakkal Majalla" w:hAnsi="Sakkal Majalla" w:cs="Sakkal Majalla"/>
          <w:b/>
          <w:bCs/>
          <w:sz w:val="32"/>
          <w:szCs w:val="32"/>
          <w:lang w:bidi="ar-EG"/>
        </w:rPr>
        <w:t>Rule-Based / Expert Systems</w:t>
      </w:r>
      <w:r w:rsidRPr="00991EEB">
        <w:rPr>
          <w:rFonts w:ascii="Sakkal Majalla" w:hAnsi="Sakkal Majalla" w:cs="Sakkal Majalla"/>
          <w:b/>
          <w:bCs/>
          <w:sz w:val="32"/>
          <w:szCs w:val="32"/>
          <w:rtl/>
          <w:lang w:bidi="ar-EG"/>
        </w:rPr>
        <w:t>) :</w:t>
      </w:r>
    </w:p>
    <w:p w14:paraId="41F36A4B"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تعد هذه الأنظمة من أقدم صور الذكاء الاصطناعي، وتعتمد على مجموعة من القواعد المنطقية المحددة مسبقًا من قبل خبراء المجال أو المبرمجين ويعمل النظام وفق صيغة “إذا تحقق الشرط (</w:t>
      </w:r>
      <w:r w:rsidRPr="00991EEB">
        <w:rPr>
          <w:rFonts w:ascii="Sakkal Majalla" w:hAnsi="Sakkal Majalla" w:cs="Sakkal Majalla"/>
          <w:sz w:val="32"/>
          <w:szCs w:val="32"/>
          <w:lang w:bidi="ar-EG"/>
        </w:rPr>
        <w:t>X</w:t>
      </w:r>
      <w:r w:rsidRPr="00991EEB">
        <w:rPr>
          <w:rFonts w:ascii="Sakkal Majalla" w:hAnsi="Sakkal Majalla" w:cs="Sakkal Majalla"/>
          <w:sz w:val="32"/>
          <w:szCs w:val="32"/>
          <w:rtl/>
          <w:lang w:bidi="ar-EG"/>
        </w:rPr>
        <w:t>) فافعل (</w:t>
      </w:r>
      <w:r w:rsidRPr="00991EEB">
        <w:rPr>
          <w:rFonts w:ascii="Sakkal Majalla" w:hAnsi="Sakkal Majalla" w:cs="Sakkal Majalla"/>
          <w:sz w:val="32"/>
          <w:szCs w:val="32"/>
          <w:lang w:bidi="ar-EG"/>
        </w:rPr>
        <w:t>Y</w:t>
      </w:r>
      <w:r w:rsidRPr="00991EEB">
        <w:rPr>
          <w:rFonts w:ascii="Sakkal Majalla" w:hAnsi="Sakkal Majalla" w:cs="Sakkal Majalla"/>
          <w:sz w:val="32"/>
          <w:szCs w:val="32"/>
          <w:rtl/>
          <w:lang w:bidi="ar-EG"/>
        </w:rPr>
        <w:t>)”، بحيث تكون العلاقة بين المدخلات والمخرجات واضحة ومباشرة.</w:t>
      </w:r>
    </w:p>
    <w:p w14:paraId="3241848E"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وتتميز هذه الأنظمة بارتفاع درجة الشفافية وقابلية التفسير، إذ يمكن تتبع القرار إلى قاعدة محددة ومن الناحية القانونية، يسهل تحديد موضع الخطأ إذا وقع ضرر، سواء كان في صياغة </w:t>
      </w:r>
      <w:r w:rsidRPr="00991EEB">
        <w:rPr>
          <w:rFonts w:ascii="Sakkal Majalla" w:hAnsi="Sakkal Majalla" w:cs="Sakkal Majalla"/>
          <w:sz w:val="32"/>
          <w:szCs w:val="32"/>
          <w:rtl/>
          <w:lang w:bidi="ar-EG"/>
        </w:rPr>
        <w:lastRenderedPageBreak/>
        <w:t>القاعدة أو في إدخال البيانات أو في التطبيق غير أن محدودية هذه الأنظمة تكمن في ضعف قدرتها على التعامل مع الحالات المعقدة أو غير المتوقعة</w:t>
      </w:r>
      <w:r w:rsidRPr="00991EEB">
        <w:rPr>
          <w:rStyle w:val="a4"/>
          <w:rFonts w:ascii="Sakkal Majalla" w:hAnsi="Sakkal Majalla" w:cs="Sakkal Majalla"/>
          <w:sz w:val="32"/>
          <w:szCs w:val="32"/>
          <w:rtl/>
          <w:lang w:bidi="ar-EG"/>
        </w:rPr>
        <w:footnoteReference w:id="162"/>
      </w:r>
      <w:r w:rsidRPr="00991EEB">
        <w:rPr>
          <w:rFonts w:ascii="Sakkal Majalla" w:hAnsi="Sakkal Majalla" w:cs="Sakkal Majalla"/>
          <w:sz w:val="32"/>
          <w:szCs w:val="32"/>
          <w:rtl/>
          <w:lang w:bidi="ar-EG"/>
        </w:rPr>
        <w:t>.</w:t>
      </w:r>
    </w:p>
    <w:p w14:paraId="1687161A" w14:textId="77777777" w:rsidR="00991EEB" w:rsidRPr="00991EEB" w:rsidRDefault="00991EEB" w:rsidP="00991EEB">
      <w:pPr>
        <w:pStyle w:val="a5"/>
        <w:numPr>
          <w:ilvl w:val="0"/>
          <w:numId w:val="38"/>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 xml:space="preserve"> أنظمة التعلم الآلي (</w:t>
      </w:r>
      <w:r w:rsidRPr="00991EEB">
        <w:rPr>
          <w:rFonts w:ascii="Sakkal Majalla" w:hAnsi="Sakkal Majalla" w:cs="Sakkal Majalla"/>
          <w:b/>
          <w:bCs/>
          <w:sz w:val="32"/>
          <w:szCs w:val="32"/>
          <w:lang w:bidi="ar-EG"/>
        </w:rPr>
        <w:t>Machine Learning Systems</w:t>
      </w:r>
      <w:r w:rsidRPr="00991EEB">
        <w:rPr>
          <w:rFonts w:ascii="Sakkal Majalla" w:hAnsi="Sakkal Majalla" w:cs="Sakkal Majalla"/>
          <w:b/>
          <w:bCs/>
          <w:sz w:val="32"/>
          <w:szCs w:val="32"/>
          <w:rtl/>
          <w:lang w:bidi="ar-EG"/>
        </w:rPr>
        <w:t>) :</w:t>
      </w:r>
    </w:p>
    <w:p w14:paraId="5767A71B"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تعتمد هذه الأنظمة على تدريب نموذج خوارزمي باستخدام بيانات ضخمة، بحيث يتعلم النظام اكتشاف الأنماط والعلاقات داخل البيانات دون أن تكون جميع القواعد مكتوبة صراحة في البرمجة ويستطيع النظام بعد التدريب تصنيف الحالات أو التنبؤ بالنتائج أو اتخاذ قرارات ضمن نطاق المهمة المحددة</w:t>
      </w:r>
      <w:r w:rsidRPr="00991EEB">
        <w:rPr>
          <w:rStyle w:val="a4"/>
          <w:rFonts w:ascii="Sakkal Majalla" w:hAnsi="Sakkal Majalla" w:cs="Sakkal Majalla"/>
          <w:sz w:val="32"/>
          <w:szCs w:val="32"/>
          <w:rtl/>
          <w:lang w:bidi="ar-EG"/>
        </w:rPr>
        <w:footnoteReference w:id="163"/>
      </w:r>
      <w:r w:rsidRPr="00991EEB">
        <w:rPr>
          <w:rFonts w:ascii="Sakkal Majalla" w:hAnsi="Sakkal Majalla" w:cs="Sakkal Majalla"/>
          <w:sz w:val="32"/>
          <w:szCs w:val="32"/>
          <w:rtl/>
          <w:lang w:bidi="ar-EG"/>
        </w:rPr>
        <w:t>.</w:t>
      </w:r>
    </w:p>
    <w:p w14:paraId="3E829179"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وتكمن قوة هذا النوع في قدرته على تحسين الأداء بمرور الوقت مع إدخال بيانات جديدة إلا أن اعتماده الكبير على جودة البيانات يجعله عرضة لمشكلات التحيز الخوارزمي أو الأخطاء الناتجة عن بيانات غير دقيقة ومن الناحية القانونية، يثير هذا النوع تحديات في تحديد المسؤولية عن اختيار البيانات، وضبط التدريب، ومراقبة أداء النموذج، فضلًا عن صعوبة تفسير بعض قراراته.</w:t>
      </w:r>
    </w:p>
    <w:p w14:paraId="3213A08E" w14:textId="77777777" w:rsidR="00991EEB" w:rsidRPr="00991EEB" w:rsidRDefault="00991EEB" w:rsidP="00991EEB">
      <w:pPr>
        <w:pStyle w:val="a5"/>
        <w:numPr>
          <w:ilvl w:val="0"/>
          <w:numId w:val="38"/>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أنظمة التعلم العميق (</w:t>
      </w:r>
      <w:r w:rsidRPr="00991EEB">
        <w:rPr>
          <w:rFonts w:ascii="Sakkal Majalla" w:hAnsi="Sakkal Majalla" w:cs="Sakkal Majalla"/>
          <w:b/>
          <w:bCs/>
          <w:sz w:val="32"/>
          <w:szCs w:val="32"/>
          <w:lang w:bidi="ar-EG"/>
        </w:rPr>
        <w:t>Deep Learning Systems</w:t>
      </w:r>
      <w:r w:rsidRPr="00991EEB">
        <w:rPr>
          <w:rFonts w:ascii="Sakkal Majalla" w:hAnsi="Sakkal Majalla" w:cs="Sakkal Majalla"/>
          <w:b/>
          <w:bCs/>
          <w:sz w:val="32"/>
          <w:szCs w:val="32"/>
          <w:rtl/>
          <w:lang w:bidi="ar-EG"/>
        </w:rPr>
        <w:t>) :</w:t>
      </w:r>
    </w:p>
    <w:p w14:paraId="36033A02"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يعد التعلم العميق فرعًا متقدمًا من التعلم الآلي يعتمد على شبكات عصبية اصطناعية متعددة الطبقات، قادرة على تحليل الصور والصوت والنصوص بدرجة عالية من الدقة وتستخدم هذه </w:t>
      </w:r>
      <w:r w:rsidRPr="00991EEB">
        <w:rPr>
          <w:rFonts w:ascii="Sakkal Majalla" w:hAnsi="Sakkal Majalla" w:cs="Sakkal Majalla"/>
          <w:sz w:val="32"/>
          <w:szCs w:val="32"/>
          <w:rtl/>
          <w:lang w:bidi="ar-EG"/>
        </w:rPr>
        <w:lastRenderedPageBreak/>
        <w:t>الأنظمة في تطبيقات مثل التعرف على الوجوه، وتحليل الأشعة الطبية، ومعالجة اللغة الطبيعية، وتوليد المحتوى</w:t>
      </w:r>
      <w:r w:rsidRPr="00991EEB">
        <w:rPr>
          <w:rStyle w:val="a4"/>
          <w:rFonts w:ascii="Sakkal Majalla" w:hAnsi="Sakkal Majalla" w:cs="Sakkal Majalla"/>
          <w:sz w:val="32"/>
          <w:szCs w:val="32"/>
          <w:rtl/>
          <w:lang w:bidi="ar-EG"/>
        </w:rPr>
        <w:footnoteReference w:id="164"/>
      </w:r>
      <w:r w:rsidRPr="00991EEB">
        <w:rPr>
          <w:rFonts w:ascii="Sakkal Majalla" w:hAnsi="Sakkal Majalla" w:cs="Sakkal Majalla"/>
          <w:sz w:val="32"/>
          <w:szCs w:val="32"/>
          <w:rtl/>
          <w:lang w:bidi="ar-EG"/>
        </w:rPr>
        <w:t>.</w:t>
      </w:r>
    </w:p>
    <w:p w14:paraId="34D53113"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ورغم كفاءتها العالية فإن أبرز تحدياتها تتمثل في انخفاض قابلية التفسير، إذ قد يصعب تتبع المسار الخوارزمي الذي أدى إلى نتيجة معينة وهذا ما يُعرف بمشكلة “الصندوق الأسود”، والتي تثير إشكاليات إثباتية وقانونية عند وقوع ضرر، خاصة فيما يتعلق بإثبات الخطأ والعلاقة السببية</w:t>
      </w:r>
      <w:r w:rsidRPr="00991EEB">
        <w:rPr>
          <w:rStyle w:val="a4"/>
          <w:rFonts w:ascii="Sakkal Majalla" w:hAnsi="Sakkal Majalla" w:cs="Sakkal Majalla"/>
          <w:sz w:val="32"/>
          <w:szCs w:val="32"/>
          <w:rtl/>
          <w:lang w:bidi="ar-EG"/>
        </w:rPr>
        <w:footnoteReference w:id="165"/>
      </w:r>
      <w:r w:rsidRPr="00991EEB">
        <w:rPr>
          <w:rFonts w:ascii="Sakkal Majalla" w:hAnsi="Sakkal Majalla" w:cs="Sakkal Majalla"/>
          <w:sz w:val="32"/>
          <w:szCs w:val="32"/>
          <w:rtl/>
          <w:lang w:bidi="ar-EG"/>
        </w:rPr>
        <w:t>.</w:t>
      </w:r>
    </w:p>
    <w:p w14:paraId="71C87147" w14:textId="77777777" w:rsidR="00991EEB" w:rsidRPr="00991EEB" w:rsidRDefault="00991EEB" w:rsidP="00991EEB">
      <w:pPr>
        <w:pStyle w:val="a5"/>
        <w:numPr>
          <w:ilvl w:val="0"/>
          <w:numId w:val="38"/>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 xml:space="preserve"> أنظمة معالجة اللغة الطبيعية وتوليد المحتوى (</w:t>
      </w:r>
      <w:r w:rsidRPr="00991EEB">
        <w:rPr>
          <w:rFonts w:ascii="Sakkal Majalla" w:hAnsi="Sakkal Majalla" w:cs="Sakkal Majalla"/>
          <w:b/>
          <w:bCs/>
          <w:sz w:val="32"/>
          <w:szCs w:val="32"/>
          <w:lang w:bidi="ar-EG"/>
        </w:rPr>
        <w:t>Natural Language Processing &amp; Generative AI</w:t>
      </w:r>
      <w:r w:rsidRPr="00991EEB">
        <w:rPr>
          <w:rFonts w:ascii="Sakkal Majalla" w:hAnsi="Sakkal Majalla" w:cs="Sakkal Majalla"/>
          <w:b/>
          <w:bCs/>
          <w:sz w:val="32"/>
          <w:szCs w:val="32"/>
          <w:rtl/>
          <w:lang w:bidi="ar-EG"/>
        </w:rPr>
        <w:t>)</w:t>
      </w:r>
    </w:p>
    <w:p w14:paraId="31AEA6A8"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تتعامل هذه الأنظمة مع اللغة البشرية فهمًا وتحليلًا وتوليدًا، سواء في صورة نصوص أو أصوات أو حتى صور وفيديوهات مولدة آليًا وتستخدم في الترجمة، والتلخيص، والردود الآلية، وصناعة المحتوى، وإنشاء مواد رقمية متقدمة.</w:t>
      </w:r>
    </w:p>
    <w:p w14:paraId="143C4A3C"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وتكمن خطورتها القانونية في إمكانية استخدامها في إنتاج محتوى مضلل أو مسيء أو منتهك للخصوصية أو للملكية الفكرية، فضلًا عن دورها في ظاهرة التزييف العميق ومن ثم يرتبط هذا النوع مباشرة بمسائل التشهير، وانتحال الهوية، والمسؤولية عن المحتوى الرقمي</w:t>
      </w:r>
      <w:r w:rsidRPr="00991EEB">
        <w:rPr>
          <w:rStyle w:val="a4"/>
          <w:rFonts w:ascii="Sakkal Majalla" w:hAnsi="Sakkal Majalla" w:cs="Sakkal Majalla"/>
          <w:sz w:val="32"/>
          <w:szCs w:val="32"/>
          <w:rtl/>
          <w:lang w:bidi="ar-EG"/>
        </w:rPr>
        <w:footnoteReference w:id="166"/>
      </w:r>
      <w:r w:rsidRPr="00991EEB">
        <w:rPr>
          <w:rFonts w:ascii="Sakkal Majalla" w:hAnsi="Sakkal Majalla" w:cs="Sakkal Majalla"/>
          <w:sz w:val="32"/>
          <w:szCs w:val="32"/>
          <w:rtl/>
          <w:lang w:bidi="ar-EG"/>
        </w:rPr>
        <w:t>.</w:t>
      </w:r>
    </w:p>
    <w:p w14:paraId="67F8930C" w14:textId="77777777" w:rsidR="00991EEB" w:rsidRPr="00991EEB" w:rsidRDefault="00991EEB" w:rsidP="00991EEB">
      <w:pPr>
        <w:pStyle w:val="a5"/>
        <w:numPr>
          <w:ilvl w:val="0"/>
          <w:numId w:val="38"/>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 xml:space="preserve"> أنظمة الرؤية الحاسوبية (</w:t>
      </w:r>
      <w:r w:rsidRPr="00991EEB">
        <w:rPr>
          <w:rFonts w:ascii="Sakkal Majalla" w:hAnsi="Sakkal Majalla" w:cs="Sakkal Majalla"/>
          <w:b/>
          <w:bCs/>
          <w:sz w:val="32"/>
          <w:szCs w:val="32"/>
          <w:lang w:bidi="ar-EG"/>
        </w:rPr>
        <w:t>Computer Vision Systems</w:t>
      </w:r>
      <w:r w:rsidRPr="00991EEB">
        <w:rPr>
          <w:rFonts w:ascii="Sakkal Majalla" w:hAnsi="Sakkal Majalla" w:cs="Sakkal Majalla"/>
          <w:b/>
          <w:bCs/>
          <w:sz w:val="32"/>
          <w:szCs w:val="32"/>
          <w:rtl/>
          <w:lang w:bidi="ar-EG"/>
        </w:rPr>
        <w:t>) :</w:t>
      </w:r>
    </w:p>
    <w:p w14:paraId="462E167D"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تركز هذه الأنظمة على تحليل الصور والفيديو واستخلاص معلومات منها، مثل التعرف على الوجوه أو تتبع الحركة أو اكتشاف الأنماط البصرية وتستخدم في الأمن، والمراقبة، والمرور، والتطبيقات الصناعية والطبية</w:t>
      </w:r>
      <w:r w:rsidRPr="00991EEB">
        <w:rPr>
          <w:rStyle w:val="a4"/>
          <w:rFonts w:ascii="Sakkal Majalla" w:hAnsi="Sakkal Majalla" w:cs="Sakkal Majalla"/>
          <w:sz w:val="32"/>
          <w:szCs w:val="32"/>
          <w:rtl/>
          <w:lang w:bidi="ar-EG"/>
        </w:rPr>
        <w:footnoteReference w:id="167"/>
      </w:r>
      <w:r w:rsidRPr="00991EEB">
        <w:rPr>
          <w:rFonts w:ascii="Sakkal Majalla" w:hAnsi="Sakkal Majalla" w:cs="Sakkal Majalla"/>
          <w:sz w:val="32"/>
          <w:szCs w:val="32"/>
          <w:rtl/>
          <w:lang w:bidi="ar-EG"/>
        </w:rPr>
        <w:t>.</w:t>
      </w:r>
    </w:p>
    <w:p w14:paraId="71219F29"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وتثير هذه الأنظمة تحديات قانونية متعلقة بحماية الخصوصية، خاصة عند استخدام تقنيات التعرف على الوجوه في الأماكن العامة، فضلًا عن المسؤولية في حال حدوث خطأ في التعرف أو التصنيف أدى إلى ضرر أو اتهام غير صحيح.</w:t>
      </w:r>
    </w:p>
    <w:p w14:paraId="31E3DB5C" w14:textId="77777777" w:rsidR="00991EEB" w:rsidRPr="00991EEB" w:rsidRDefault="00991EEB" w:rsidP="00991EEB">
      <w:pPr>
        <w:pStyle w:val="a5"/>
        <w:numPr>
          <w:ilvl w:val="0"/>
          <w:numId w:val="38"/>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الأنظمة الذاتية والأنظمة المدمجة في الأجهزة (</w:t>
      </w:r>
      <w:r w:rsidRPr="00991EEB">
        <w:rPr>
          <w:rFonts w:ascii="Sakkal Majalla" w:hAnsi="Sakkal Majalla" w:cs="Sakkal Majalla"/>
          <w:b/>
          <w:bCs/>
          <w:sz w:val="32"/>
          <w:szCs w:val="32"/>
          <w:lang w:bidi="ar-EG"/>
        </w:rPr>
        <w:t>Autonomous &amp; Embedded AI Systems</w:t>
      </w:r>
      <w:r w:rsidRPr="00991EEB">
        <w:rPr>
          <w:rFonts w:ascii="Sakkal Majalla" w:hAnsi="Sakkal Majalla" w:cs="Sakkal Majalla"/>
          <w:b/>
          <w:bCs/>
          <w:sz w:val="32"/>
          <w:szCs w:val="32"/>
          <w:rtl/>
          <w:lang w:bidi="ar-EG"/>
        </w:rPr>
        <w:t>)</w:t>
      </w:r>
    </w:p>
    <w:p w14:paraId="0D632ED1"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يدمج الذكاء الاصطناعي في هذا النوع داخل أجهزة أو أنظمة تعمل في بيئة مادية، مثل المركبات ذاتية القيادة، والروبوتات الصناعية، والأجهزة الطبية الذكية ويتميز هذا النوع بوجود تفاعل مباشر بين الخوارزمية والبيئة الفيزيائية</w:t>
      </w:r>
      <w:r w:rsidRPr="00991EEB">
        <w:rPr>
          <w:rStyle w:val="a4"/>
          <w:rFonts w:ascii="Sakkal Majalla" w:hAnsi="Sakkal Majalla" w:cs="Sakkal Majalla"/>
          <w:sz w:val="32"/>
          <w:szCs w:val="32"/>
          <w:rtl/>
          <w:lang w:bidi="ar-EG"/>
        </w:rPr>
        <w:footnoteReference w:id="168"/>
      </w:r>
      <w:r w:rsidRPr="00991EEB">
        <w:rPr>
          <w:rFonts w:ascii="Sakkal Majalla" w:hAnsi="Sakkal Majalla" w:cs="Sakkal Majalla"/>
          <w:sz w:val="32"/>
          <w:szCs w:val="32"/>
          <w:rtl/>
          <w:lang w:bidi="ar-EG"/>
        </w:rPr>
        <w:t>.</w:t>
      </w:r>
    </w:p>
    <w:p w14:paraId="3107CBF6"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ومن الناحية القانونية يعد هذا النوع من أكثر الأنواع تعقيدًا، لأنه قد ينتج عنه ضرر مادي مباشر، ويستلزم تحليل العلاقة بين الخلل البرمجي والعيب المادي في الجهاز، وتحديد المسؤولية بين المصنع والمطور والمشغل والمستخدم</w:t>
      </w:r>
      <w:r w:rsidRPr="00991EEB">
        <w:rPr>
          <w:rStyle w:val="a4"/>
          <w:rFonts w:ascii="Sakkal Majalla" w:hAnsi="Sakkal Majalla" w:cs="Sakkal Majalla"/>
          <w:sz w:val="32"/>
          <w:szCs w:val="32"/>
          <w:rtl/>
          <w:lang w:bidi="ar-EG"/>
        </w:rPr>
        <w:footnoteReference w:id="169"/>
      </w:r>
      <w:r w:rsidRPr="00991EEB">
        <w:rPr>
          <w:rFonts w:ascii="Sakkal Majalla" w:hAnsi="Sakkal Majalla" w:cs="Sakkal Majalla"/>
          <w:sz w:val="32"/>
          <w:szCs w:val="32"/>
          <w:rtl/>
          <w:lang w:bidi="ar-EG"/>
        </w:rPr>
        <w:t>.</w:t>
      </w:r>
    </w:p>
    <w:p w14:paraId="13287383"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و يتبين أن اختلاف طريقة عمل النظام الذكي ينعكس مباشرة على طبيعة المخاطر المرتبطة به، وعلى درجة قابلية تفسير قراراته، وعلى سهولة أو صعوبة إثبات الخطأ عند وقوع ضرر فكلما انتقلنا من الأنظمة القائمة على القواعد إلى الأنظمة التعلمية المتقدمة، ازدادت درجة التعقيد وانخفضت قابلية التفسير، وتعاظمت التحديات القانونية المرتبطة بالإسناد والإثبات</w:t>
      </w:r>
      <w:r w:rsidRPr="00991EEB">
        <w:rPr>
          <w:rStyle w:val="a4"/>
          <w:rFonts w:ascii="Sakkal Majalla" w:hAnsi="Sakkal Majalla" w:cs="Sakkal Majalla"/>
          <w:sz w:val="32"/>
          <w:szCs w:val="32"/>
          <w:rtl/>
          <w:lang w:bidi="ar-EG"/>
        </w:rPr>
        <w:footnoteReference w:id="170"/>
      </w:r>
      <w:r w:rsidRPr="00991EEB">
        <w:rPr>
          <w:rFonts w:ascii="Sakkal Majalla" w:hAnsi="Sakkal Majalla" w:cs="Sakkal Majalla"/>
          <w:sz w:val="32"/>
          <w:szCs w:val="32"/>
          <w:rtl/>
          <w:lang w:bidi="ar-EG"/>
        </w:rPr>
        <w:t>.</w:t>
      </w:r>
    </w:p>
    <w:p w14:paraId="11E42596"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ومن ثم فإن هذا التصنيف يعد أداة تحليلية أساسية لفهم التطبيقات الواقعية للذكاء الاصطناعي في المملكة، تمهيدًا لبحث مجالات استخدامه المختلفة، وربطها بالقواعد النظامية للمسؤولية المدنية في ضوء طبيعة كل نوع من هذه الأنظمة</w:t>
      </w:r>
      <w:r w:rsidRPr="00991EEB">
        <w:rPr>
          <w:rStyle w:val="a4"/>
          <w:rFonts w:ascii="Sakkal Majalla" w:hAnsi="Sakkal Majalla" w:cs="Sakkal Majalla"/>
          <w:sz w:val="32"/>
          <w:szCs w:val="32"/>
          <w:rtl/>
          <w:lang w:bidi="ar-EG"/>
        </w:rPr>
        <w:footnoteReference w:id="171"/>
      </w:r>
      <w:r w:rsidRPr="00991EEB">
        <w:rPr>
          <w:rFonts w:ascii="Sakkal Majalla" w:hAnsi="Sakkal Majalla" w:cs="Sakkal Majalla"/>
          <w:sz w:val="32"/>
          <w:szCs w:val="32"/>
          <w:rtl/>
          <w:lang w:bidi="ar-EG"/>
        </w:rPr>
        <w:t>.</w:t>
      </w:r>
    </w:p>
    <w:p w14:paraId="7882996C" w14:textId="77777777" w:rsidR="00991EEB" w:rsidRPr="00991EEB" w:rsidRDefault="00991EEB" w:rsidP="00991EEB">
      <w:pPr>
        <w:pStyle w:val="a5"/>
        <w:numPr>
          <w:ilvl w:val="0"/>
          <w:numId w:val="36"/>
        </w:num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الفرع الثاني : تطبيقات الذكاء الاصطناعى في المجالات المختلفة :</w:t>
      </w:r>
    </w:p>
    <w:p w14:paraId="4544AB56"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لم يعد الذكاء الاصطناعي حكرًا على المختبرات البحثية أو الشركات التقنية الكبرى، بل أصبح مكوّنًا أساسيًا في البنية التشغيلية للعديد من القطاعات الحيوية وتزداد أهمية دراسة تطبيقاته في السياق السعودي في ظل التوجه الوطني نحو التحول الرقمي وتبني التقنيات المتقدمة في مختلف المجالات ويمكن بيان أبرز مجالات استخدام الذكاء الاصطناعي على النحو الآتي</w:t>
      </w:r>
      <w:r w:rsidRPr="00991EEB">
        <w:rPr>
          <w:rStyle w:val="a4"/>
          <w:rFonts w:ascii="Sakkal Majalla" w:hAnsi="Sakkal Majalla" w:cs="Sakkal Majalla"/>
          <w:sz w:val="32"/>
          <w:szCs w:val="32"/>
          <w:rtl/>
          <w:lang w:bidi="ar-EG"/>
        </w:rPr>
        <w:footnoteReference w:id="172"/>
      </w:r>
      <w:r w:rsidRPr="00991EEB">
        <w:rPr>
          <w:rFonts w:ascii="Sakkal Majalla" w:hAnsi="Sakkal Majalla" w:cs="Sakkal Majalla"/>
          <w:sz w:val="32"/>
          <w:szCs w:val="32"/>
          <w:rtl/>
          <w:lang w:bidi="ar-EG"/>
        </w:rPr>
        <w:t>:</w:t>
      </w:r>
    </w:p>
    <w:p w14:paraId="766DD9AE"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أولًا: تطبيقات الذكاء الاصطناعي في القطاع الحكومي والخدمات العامة :</w:t>
      </w:r>
    </w:p>
    <w:p w14:paraId="6F44E770"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يشهد القطاع الحكومي تحولًا نوعيًا في آليات العمل نتيجة تبني تقنيات الذكاء الاصطناعي ضمن منظومة التحول الرقمي، حيث أصبحت الأنظمة الذكية عنصرًا داعمًا في تطوير الخدمات العامة </w:t>
      </w:r>
      <w:r w:rsidRPr="00991EEB">
        <w:rPr>
          <w:rFonts w:ascii="Sakkal Majalla" w:hAnsi="Sakkal Majalla" w:cs="Sakkal Majalla"/>
          <w:sz w:val="32"/>
          <w:szCs w:val="32"/>
          <w:rtl/>
          <w:lang w:bidi="ar-EG"/>
        </w:rPr>
        <w:lastRenderedPageBreak/>
        <w:t>ورفع كفاءة الأداء الإداري. ويتمثل أحد أبرز أوجه هذا الاستخدام في أتمتة الإجراءات الحكومية، من خلال استقبال الطلبات إلكترونيًا، وفرزها، والتحقق من استيفاء الشروط بصورة آلية، وتوجيهها إلى الجهات المختصة دون تدخل يدوي مباشر في كل مرحلة ويسهم ذلك في تقليل الزمن اللازم لإنجاز المعاملات، وخفض نسبة الأخطاء الإدارية، وتعزيز الاتساق في تطبيق القواعد النظامية، بما ينعكس إيجابًا على جودة الخدمة وثقة المستفيدين</w:t>
      </w:r>
      <w:r w:rsidRPr="00991EEB">
        <w:rPr>
          <w:rStyle w:val="a4"/>
          <w:rFonts w:ascii="Sakkal Majalla" w:hAnsi="Sakkal Majalla" w:cs="Sakkal Majalla"/>
          <w:sz w:val="32"/>
          <w:szCs w:val="32"/>
          <w:rtl/>
          <w:lang w:bidi="ar-EG"/>
        </w:rPr>
        <w:footnoteReference w:id="173"/>
      </w:r>
      <w:r w:rsidRPr="00991EEB">
        <w:rPr>
          <w:rFonts w:ascii="Sakkal Majalla" w:hAnsi="Sakkal Majalla" w:cs="Sakkal Majalla"/>
          <w:sz w:val="32"/>
          <w:szCs w:val="32"/>
          <w:rtl/>
          <w:lang w:bidi="ar-EG"/>
        </w:rPr>
        <w:t>.</w:t>
      </w:r>
    </w:p>
    <w:p w14:paraId="416F9E03"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ويمتد دور الذكاء الاصطناعي إلى دعم متخذ القرار داخل الجهات الحكومية عبر تحليل البيانات الضخمة واستخلاص مؤشرات تساعد في التخطيط وصياغة السياسات العامة فمن خلال تقنيات التحليل التنبؤي، يمكن للأنظمة الذكية رصد الاتجاهات المستقبلية في الطلب على الخدمات، أو تقييم فعالية البرامج الحكومية، أو تحديد أولويات الإنفاق العام ويعد هذا الاستخدام أداة مساندة تعزز من كفاءة الإدارة العامة، إلا أنه يثير في الوقت ذاته أهمية قانونية خاصة عندما تصبح مخرجات النظام أساسًا لقرار إداري مؤثر في حقوق الأفراد</w:t>
      </w:r>
      <w:r w:rsidRPr="00991EEB">
        <w:rPr>
          <w:rStyle w:val="a4"/>
          <w:rFonts w:ascii="Sakkal Majalla" w:hAnsi="Sakkal Majalla" w:cs="Sakkal Majalla"/>
          <w:sz w:val="32"/>
          <w:szCs w:val="32"/>
          <w:rtl/>
          <w:lang w:bidi="ar-EG"/>
        </w:rPr>
        <w:footnoteReference w:id="174"/>
      </w:r>
      <w:r w:rsidRPr="00991EEB">
        <w:rPr>
          <w:rFonts w:ascii="Sakkal Majalla" w:hAnsi="Sakkal Majalla" w:cs="Sakkal Majalla"/>
          <w:sz w:val="32"/>
          <w:szCs w:val="32"/>
          <w:rtl/>
          <w:lang w:bidi="ar-EG"/>
        </w:rPr>
        <w:t>.</w:t>
      </w:r>
    </w:p>
    <w:p w14:paraId="720DA956"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كما تلعب تقنيات الذكاء الاصطناعي دورًا متزايدًا في تقديم الخدمات التفاعلية للمستفيدين عبر المساعدات الافتراضية وأنظمة الردود الآلية، التي توفر معلومات وإرشادات على مدار الساعة وتسهم هذه الأدوات في تسهيل الوصول إلى الخدمة وتقليل الضغط على مراكز الاتصال، غير أن دقة المعلومات المقدمة عبرها تظل محل اعتبار قانوني، إذ قد يترتب على الخطأ في التوجيه أو في </w:t>
      </w:r>
      <w:r w:rsidRPr="00991EEB">
        <w:rPr>
          <w:rFonts w:ascii="Sakkal Majalla" w:hAnsi="Sakkal Majalla" w:cs="Sakkal Majalla"/>
          <w:sz w:val="32"/>
          <w:szCs w:val="32"/>
          <w:rtl/>
          <w:lang w:bidi="ar-EG"/>
        </w:rPr>
        <w:lastRenderedPageBreak/>
        <w:t>تفسير المتطلبات النظامية ضرر للمستفيد، الأمر الذي يقتضي وجود آليات رقابية تضمن تحديث البيانات ومراجعة المحتوى بصفة دورية</w:t>
      </w:r>
      <w:r w:rsidRPr="00991EEB">
        <w:rPr>
          <w:rStyle w:val="a4"/>
          <w:rFonts w:ascii="Sakkal Majalla" w:hAnsi="Sakkal Majalla" w:cs="Sakkal Majalla"/>
          <w:sz w:val="32"/>
          <w:szCs w:val="32"/>
          <w:rtl/>
          <w:lang w:bidi="ar-EG"/>
        </w:rPr>
        <w:footnoteReference w:id="175"/>
      </w:r>
      <w:r w:rsidRPr="00991EEB">
        <w:rPr>
          <w:rFonts w:ascii="Sakkal Majalla" w:hAnsi="Sakkal Majalla" w:cs="Sakkal Majalla"/>
          <w:sz w:val="32"/>
          <w:szCs w:val="32"/>
          <w:rtl/>
          <w:lang w:bidi="ar-EG"/>
        </w:rPr>
        <w:t>.</w:t>
      </w:r>
    </w:p>
    <w:p w14:paraId="112636B1"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وفي مجال الرقابة الإدارية ومكافحة الفساد، تستخدم الأنظمة الذكية لتحليل الأنماط غير المعتادة في المعاملات المالية والإدارية، واكتشاف المؤشرات التي قد تدل على وجود تجاوزات أو تعارض مصالح ويسهم ذلك في تعزيز الشفافية والنزاهة داخل الأجهزة الحكومية، إلا أن الاعتماد على التصنيف الآلي يستلزم مراعاة ضمانات العدالة الإجرائية، بحيث تبقى مخرجات النظام أداة دعم لا بديلًا عن التحقق البشري والتحقيق النظامي.</w:t>
      </w:r>
    </w:p>
    <w:p w14:paraId="020CCDE4"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كذلك يوظف الذكاء الاصطناعي في إدارة البيانات الحكومية وتحسين تكاملها بين الجهات المختلفة، عبر تصنيف السجلات وتنقيتها وربطها، مما يعزز من جودة قواعد البيانات ودقة الخدمات المقدمة غير أن هذا الاستخدام يرتبط ارتباطًا وثيقًا بحماية البيانات الشخصية وأمن المعلومات، خاصة مع توسع نطاق المعالجة والتحليل، الأمر الذي يفرض التزامًا بضوابط الحوكمة الرقمية والامتثال للأنظمة ذات الصلة</w:t>
      </w:r>
      <w:r w:rsidRPr="00991EEB">
        <w:rPr>
          <w:rStyle w:val="a4"/>
          <w:rFonts w:ascii="Sakkal Majalla" w:hAnsi="Sakkal Majalla" w:cs="Sakkal Majalla"/>
          <w:sz w:val="32"/>
          <w:szCs w:val="32"/>
          <w:rtl/>
          <w:lang w:bidi="ar-EG"/>
        </w:rPr>
        <w:footnoteReference w:id="176"/>
      </w:r>
      <w:r w:rsidRPr="00991EEB">
        <w:rPr>
          <w:rFonts w:ascii="Sakkal Majalla" w:hAnsi="Sakkal Majalla" w:cs="Sakkal Majalla"/>
          <w:sz w:val="32"/>
          <w:szCs w:val="32"/>
          <w:rtl/>
          <w:lang w:bidi="ar-EG"/>
        </w:rPr>
        <w:t>.</w:t>
      </w:r>
    </w:p>
    <w:p w14:paraId="40435009"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وعليه فإن تطبيقات الذكاء الاصطناعي في القطاع الحكومي تمثل ركيزة أساسية في تطوير الإدارة العامة وتحسين الخدمات، إلا أنها في الوقت ذاته تستدعي إطارًا قانونيًا يضمن الشفافية </w:t>
      </w:r>
      <w:r w:rsidRPr="00991EEB">
        <w:rPr>
          <w:rFonts w:ascii="Sakkal Majalla" w:hAnsi="Sakkal Majalla" w:cs="Sakkal Majalla"/>
          <w:sz w:val="32"/>
          <w:szCs w:val="32"/>
          <w:rtl/>
          <w:lang w:bidi="ar-EG"/>
        </w:rPr>
        <w:lastRenderedPageBreak/>
        <w:t>والمساءلة، ويوازن بين كفاءة الأداء الإداري وحماية حقوق الأفراد من أي أضرار قد تنشأ عن الاعتماد غير المنضبط على الأنظمة الذكية</w:t>
      </w:r>
      <w:r w:rsidRPr="00991EEB">
        <w:rPr>
          <w:rStyle w:val="a4"/>
          <w:rFonts w:ascii="Sakkal Majalla" w:hAnsi="Sakkal Majalla" w:cs="Sakkal Majalla"/>
          <w:sz w:val="32"/>
          <w:szCs w:val="32"/>
          <w:rtl/>
          <w:lang w:bidi="ar-EG"/>
        </w:rPr>
        <w:footnoteReference w:id="177"/>
      </w:r>
    </w:p>
    <w:p w14:paraId="7162498D"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ثانيًا: تطبيقات الذكاء الاصطناعي في القطاع المالي والمصرفي :</w:t>
      </w:r>
    </w:p>
    <w:p w14:paraId="62ACA6B9"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يعد القطاع المالي والمصرفي من أكثر القطاعات توظيفًا لتقنيات الذكاء الاصطناعي، نظرًا لاعتماده المكثف على تحليل البيانات واتخاذ القرارات في بيئة تتسم بالحساسية والدقة وسرعة التغير وقد أسهمت الأنظمة الذكية في تطوير آليات إدارة المخاطر، وتحسين جودة الخدمات المصرفية، وتعزيز كفاءة العمليات المالية، بما يعكس التحول نحو اقتصاد رقمي قائم على البيانات والتحليل الخوارزمي</w:t>
      </w:r>
      <w:r w:rsidRPr="00991EEB">
        <w:rPr>
          <w:rStyle w:val="a4"/>
          <w:rFonts w:ascii="Sakkal Majalla" w:hAnsi="Sakkal Majalla" w:cs="Sakkal Majalla"/>
          <w:sz w:val="32"/>
          <w:szCs w:val="32"/>
          <w:rtl/>
          <w:lang w:bidi="ar-EG"/>
        </w:rPr>
        <w:footnoteReference w:id="178"/>
      </w:r>
      <w:r w:rsidRPr="00991EEB">
        <w:rPr>
          <w:rFonts w:ascii="Sakkal Majalla" w:hAnsi="Sakkal Majalla" w:cs="Sakkal Majalla"/>
          <w:sz w:val="32"/>
          <w:szCs w:val="32"/>
          <w:rtl/>
          <w:lang w:bidi="ar-EG"/>
        </w:rPr>
        <w:t>.</w:t>
      </w:r>
    </w:p>
    <w:p w14:paraId="1484F4D5"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تستخدم تقنيات الذكاء الاصطناعي بصورة واسعة في مجال كشف الاحتيال والجرائم المالية، حيث تعتمد المصارف والمؤسسات المالية على نماذج تعلم آلي لتحليل أنماط العمليات واكتشاف السلوكيات غير المعتادة التي قد تشير إلى معاملات احتيالية أو أنشطة مشبوهة وتتميز هذه الأنظمة بقدرتها على معالجة ملايين العمليات في وقت قصير، وتحديد المخاطر المحتملة بدرجة عالية من السرعة والدقة، مما يسهم في حماية أموال العملاء وتعزيز الثقة في النظام المالي غير أن الخطأ في التصنيف قد يؤدي إلى تجميد حسابات أو تعطيل معاملات بصورة غير مبررة، وهو ما يثير تساؤلات قانونية بشأن التعويض عن الأضرار الناتجة عن قرارات آلية خاطئة</w:t>
      </w:r>
      <w:r w:rsidRPr="00991EEB">
        <w:rPr>
          <w:rStyle w:val="a4"/>
          <w:rFonts w:ascii="Sakkal Majalla" w:hAnsi="Sakkal Majalla" w:cs="Sakkal Majalla"/>
          <w:sz w:val="32"/>
          <w:szCs w:val="32"/>
          <w:rtl/>
          <w:lang w:bidi="ar-EG"/>
        </w:rPr>
        <w:footnoteReference w:id="179"/>
      </w:r>
      <w:r w:rsidRPr="00991EEB">
        <w:rPr>
          <w:rFonts w:ascii="Sakkal Majalla" w:hAnsi="Sakkal Majalla" w:cs="Sakkal Majalla"/>
          <w:sz w:val="32"/>
          <w:szCs w:val="32"/>
          <w:rtl/>
          <w:lang w:bidi="ar-EG"/>
        </w:rPr>
        <w:t>.</w:t>
      </w:r>
    </w:p>
    <w:p w14:paraId="4BB138E4"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كما يستخدم الذكاء الاصطناعي في تقييم الجدارة الائتمانية وتحليل المخاطر التمويلية، حيث تقوم الأنظمة الذكية بتحليل بيانات العملاء المالية والسلوكية لإصدار توصيات بشأن منح التمويل أو تحديد شروطه ويؤدي ذلك إلى تسريع إجراءات الإقراض وتحسين دقة التقييم، إلا أنه قد يثير إشكاليات تتعلق بالتحيز الخوارزمي أو استخدام بيانات غير ملائمة، مما قد يؤدي إلى تمييز غير مباشر بين المتقدمين ومن ثم، يبرز البعد القانوني المتعلق بضرورة الشفافية في معايير التقييم، وضمان حق العميل في معرفة أسباب الرفض أو التقييد</w:t>
      </w:r>
      <w:r w:rsidRPr="00991EEB">
        <w:rPr>
          <w:rStyle w:val="a4"/>
          <w:rFonts w:ascii="Sakkal Majalla" w:hAnsi="Sakkal Majalla" w:cs="Sakkal Majalla"/>
          <w:sz w:val="32"/>
          <w:szCs w:val="32"/>
          <w:rtl/>
          <w:lang w:bidi="ar-EG"/>
        </w:rPr>
        <w:footnoteReference w:id="180"/>
      </w:r>
      <w:r w:rsidRPr="00991EEB">
        <w:rPr>
          <w:rFonts w:ascii="Sakkal Majalla" w:hAnsi="Sakkal Majalla" w:cs="Sakkal Majalla"/>
          <w:sz w:val="32"/>
          <w:szCs w:val="32"/>
          <w:rtl/>
          <w:lang w:bidi="ar-EG"/>
        </w:rPr>
        <w:t>.</w:t>
      </w:r>
    </w:p>
    <w:p w14:paraId="68E04E6E"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وفي مجال الاستثمار وإدارة المحافظ، تستخدم أنظمة التداول الخوارزمي لتحليل الأسواق المالية واتخاذ قرارات بيع وشراء بصورة آلية استنادًا إلى معايير محددة أو نماذج تنبؤية وتسهم هذه التطبيقات في زيادة سرعة التفاعل مع تغيرات السوق، إلا أن الاعتماد المفرط على الخوارزميات قد يؤدي إلى تقلبات حادة أو خسائر سريعة في حال وجود خلل تقني أو خطأ في النموذج، مما يثير مسؤولية الجهة المشغلة أو المطورة في حال ترتب ضرر على العملاء.</w:t>
      </w:r>
    </w:p>
    <w:p w14:paraId="002DB65E"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كذلك تستخدم تقنيات الذكاء الاصطناعي في تحسين تجربة العميل المصرفية، من خلال المساعدات الرقمية، وتخصيص العروض، وتحليل احتياجات العملاء بصورة استباقية ورغم ما توفره هذه التطبيقات من سهولة وكفاءة، إلا أنها تعتمد على جمع وتحليل كميات كبيرة من البيانات الشخصية، الأمر الذي يفرض التزامًا صارمًا بضوابط حماية البيانات وأمن المعلومات، تفاديًا لأي انتهاك للخصوصية أو إساءة استخدام للبيانات</w:t>
      </w:r>
      <w:r w:rsidRPr="00991EEB">
        <w:rPr>
          <w:rStyle w:val="a4"/>
          <w:rFonts w:ascii="Sakkal Majalla" w:hAnsi="Sakkal Majalla" w:cs="Sakkal Majalla"/>
          <w:sz w:val="32"/>
          <w:szCs w:val="32"/>
          <w:rtl/>
          <w:lang w:bidi="ar-EG"/>
        </w:rPr>
        <w:footnoteReference w:id="181"/>
      </w:r>
      <w:r w:rsidRPr="00991EEB">
        <w:rPr>
          <w:rFonts w:ascii="Sakkal Majalla" w:hAnsi="Sakkal Majalla" w:cs="Sakkal Majalla"/>
          <w:sz w:val="32"/>
          <w:szCs w:val="32"/>
          <w:rtl/>
          <w:lang w:bidi="ar-EG"/>
        </w:rPr>
        <w:t>.</w:t>
      </w:r>
    </w:p>
    <w:p w14:paraId="74B9F6E8"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وعليه فإن تطبيقات الذكاء الاصطناعي في القطاع المالي والمصرفي تمثل أداة فعالة لتعزيز الكفاءة والاستقرار المالي، لكنها في الوقت ذاته ترتبط بمخاطر قانونية محتملة تتعلق بدقة القرارات الآلية، وحماية البيانات، ومنع التمييز، وتحديد المسؤولية عن الأضرار الناتجة عن خلل في النظم الذكية ومن ثم فإن تنظيم هذه التطبيقات وضبطها تشريعيًا يُعد ضرورة لضمان تحقيق التوازن بين الابتكار المالي وحماية الحقوق والمراكز القانونية للأفراد</w:t>
      </w:r>
      <w:r w:rsidRPr="00991EEB">
        <w:rPr>
          <w:rStyle w:val="a4"/>
          <w:rFonts w:ascii="Sakkal Majalla" w:hAnsi="Sakkal Majalla" w:cs="Sakkal Majalla"/>
          <w:sz w:val="32"/>
          <w:szCs w:val="32"/>
          <w:rtl/>
          <w:lang w:bidi="ar-EG"/>
        </w:rPr>
        <w:footnoteReference w:id="182"/>
      </w:r>
      <w:r w:rsidRPr="00991EEB">
        <w:rPr>
          <w:rFonts w:ascii="Sakkal Majalla" w:hAnsi="Sakkal Majalla" w:cs="Sakkal Majalla"/>
          <w:sz w:val="32"/>
          <w:szCs w:val="32"/>
          <w:rtl/>
          <w:lang w:bidi="ar-EG"/>
        </w:rPr>
        <w:t>.</w:t>
      </w:r>
    </w:p>
    <w:p w14:paraId="1D421C6B" w14:textId="77777777" w:rsidR="00991EEB" w:rsidRPr="00991EEB" w:rsidRDefault="00991EEB" w:rsidP="00991EEB">
      <w:pPr>
        <w:bidi/>
        <w:spacing w:line="360" w:lineRule="auto"/>
        <w:jc w:val="medium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ثالثًا: تطبيقات الذكاء الاصطناعي في القطاع الصحي :</w:t>
      </w:r>
    </w:p>
    <w:p w14:paraId="0C48F995"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sz w:val="32"/>
          <w:szCs w:val="32"/>
          <w:rtl/>
          <w:lang w:bidi="ar-EG"/>
        </w:rPr>
        <w:t>يعد القطاع الصحي من أكثر القطاعات حساسية في توظيف تقنيات الذكاء الاصطناعي، نظرًا لارتباطه المباشر بحياة الإنسان وسلامته الجسدية وقد أسهمت الأنظمة الذكية في إحداث تحول ملحوظ في أساليب التشخيص والعلاج وإدارة الموارد الصحية، عبر الاعتماد على تحليل البيانات الطبية الضخمة واستخلاص أنماط تساعد في دعم القرار الطبي ورفع كفاءة الرعاية الصحية.</w:t>
      </w:r>
    </w:p>
    <w:p w14:paraId="669B9242"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تستخدم تطبيقات الذكاء الاصطناعي في مجال التشخيص الطبي، ولا سيما في تحليل الصور الإشعاعية والفحوص المخبرية، حيث يمكن للأنظمة المعتمدة على التعلم العميق اكتشاف مؤشرات مرضية بدقة عالية وفي زمن قصير ويساعد ذلك في دعم الطبيب في اتخاذ القرار، وتقليل نسبة الخطأ البشري، وتسريع إجراءات التشخيص، خاصة في الحالات التي تتطلب تدخلًا عاجلًا </w:t>
      </w:r>
      <w:r w:rsidRPr="00991EEB">
        <w:rPr>
          <w:rFonts w:ascii="Sakkal Majalla" w:hAnsi="Sakkal Majalla" w:cs="Sakkal Majalla"/>
          <w:sz w:val="32"/>
          <w:szCs w:val="32"/>
          <w:rtl/>
          <w:lang w:bidi="ar-EG"/>
        </w:rPr>
        <w:lastRenderedPageBreak/>
        <w:t>غير أن الاعتماد على توصية آلية يثير تساؤلات قانونية حول حدود مسؤولية الطبيب في حال ثبوت خطأ التحليل، ومدى مسؤولية الجهة المطورة للنظام أو المشغلة له</w:t>
      </w:r>
      <w:r w:rsidRPr="00991EEB">
        <w:rPr>
          <w:rStyle w:val="a4"/>
          <w:rFonts w:ascii="Sakkal Majalla" w:hAnsi="Sakkal Majalla" w:cs="Sakkal Majalla"/>
          <w:sz w:val="32"/>
          <w:szCs w:val="32"/>
          <w:rtl/>
          <w:lang w:bidi="ar-EG"/>
        </w:rPr>
        <w:footnoteReference w:id="183"/>
      </w:r>
      <w:r w:rsidRPr="00991EEB">
        <w:rPr>
          <w:rFonts w:ascii="Sakkal Majalla" w:hAnsi="Sakkal Majalla" w:cs="Sakkal Majalla"/>
          <w:sz w:val="32"/>
          <w:szCs w:val="32"/>
          <w:rtl/>
          <w:lang w:bidi="ar-EG"/>
        </w:rPr>
        <w:t>.</w:t>
      </w:r>
    </w:p>
    <w:p w14:paraId="7946D29A"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كما يستخدم الذكاء الاصطناعي في التنبؤ بتطور الحالات المرضية وتقييم المخاطر الصحية، من خلال تحليل السجلات الطبية والبيانات الحيوية، مما يمكن من التدخل المبكر وتقليل المضاعفات وتظهر أهمية هذه التطبيقات في إدارة الأمراض المزمنة، وتحسين خطط العلاج، وتخصيص الرعاية وفق الحالة الفردية للمريض إلا أن دقة هذه التوقعات تعتمد على جودة البيانات وتوازنها، مما يفرض ضرورة وضع ضوابط صارمة لحماية البيانات الصحية وضمان سلامتها</w:t>
      </w:r>
      <w:r w:rsidRPr="00991EEB">
        <w:rPr>
          <w:rStyle w:val="a4"/>
          <w:rFonts w:ascii="Sakkal Majalla" w:hAnsi="Sakkal Majalla" w:cs="Sakkal Majalla"/>
          <w:sz w:val="32"/>
          <w:szCs w:val="32"/>
          <w:rtl/>
          <w:lang w:bidi="ar-EG"/>
        </w:rPr>
        <w:footnoteReference w:id="184"/>
      </w:r>
      <w:r w:rsidRPr="00991EEB">
        <w:rPr>
          <w:rFonts w:ascii="Sakkal Majalla" w:hAnsi="Sakkal Majalla" w:cs="Sakkal Majalla"/>
          <w:sz w:val="32"/>
          <w:szCs w:val="32"/>
          <w:rtl/>
          <w:lang w:bidi="ar-EG"/>
        </w:rPr>
        <w:t>.</w:t>
      </w:r>
    </w:p>
    <w:p w14:paraId="2D0A5BFA"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ويمتد استخدام الذكاء الاصطناعي إلى إدارة المنشآت الصحية، من خلال تحسين توزيع الموارد، وتوقع الضغط على الأقسام الطبية، وتنظيم المواعيد، وإدارة سلاسل الإمداد الدوائي ويسهم ذلك في رفع كفاءة التشغيل وتقليل الهدر وتحسين مستوى الخدمة المقدمة للمراجعين. ومع ذلك، فإن أي خلل في الأنظمة الذكية قد يؤدي إلى سوء توزيع الموارد أو تأخير تقديم الخدمة، بما قد يترتب عليه ضرر للمرضى</w:t>
      </w:r>
      <w:r w:rsidRPr="00991EEB">
        <w:rPr>
          <w:rStyle w:val="a4"/>
          <w:rFonts w:ascii="Sakkal Majalla" w:hAnsi="Sakkal Majalla" w:cs="Sakkal Majalla"/>
          <w:sz w:val="32"/>
          <w:szCs w:val="32"/>
          <w:rtl/>
          <w:lang w:bidi="ar-EG"/>
        </w:rPr>
        <w:footnoteReference w:id="185"/>
      </w:r>
      <w:r w:rsidRPr="00991EEB">
        <w:rPr>
          <w:rFonts w:ascii="Sakkal Majalla" w:hAnsi="Sakkal Majalla" w:cs="Sakkal Majalla"/>
          <w:sz w:val="32"/>
          <w:szCs w:val="32"/>
          <w:rtl/>
          <w:lang w:bidi="ar-EG"/>
        </w:rPr>
        <w:t>.</w:t>
      </w:r>
    </w:p>
    <w:p w14:paraId="01774D62"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ومن الجوانب المهمة كذلك استخدام الذكاء الاصطناعي في تطوير الأدوية والبحوث الطبية، حيث تستخدم النماذج الخوارزمية لتحليل المركبات الكيميائية وتسريع عمليات الاكتشاف الدوائي </w:t>
      </w:r>
      <w:r w:rsidRPr="00991EEB">
        <w:rPr>
          <w:rFonts w:ascii="Sakkal Majalla" w:hAnsi="Sakkal Majalla" w:cs="Sakkal Majalla"/>
          <w:sz w:val="32"/>
          <w:szCs w:val="32"/>
          <w:rtl/>
          <w:lang w:bidi="ar-EG"/>
        </w:rPr>
        <w:lastRenderedPageBreak/>
        <w:t>ويعكس هذا الاستخدام إمكانات كبيرة في تحسين الرعاية الصحية، لكنه يثير أيضًا إشكاليات تتعلق بملكية البيانات البحثية، وحماية المعلومات الحساسة، والمسؤولية عن نتائج غير دقيقة في المراحل المبكرة من التجارب</w:t>
      </w:r>
      <w:r w:rsidRPr="00991EEB">
        <w:rPr>
          <w:rStyle w:val="a4"/>
          <w:rFonts w:ascii="Sakkal Majalla" w:hAnsi="Sakkal Majalla" w:cs="Sakkal Majalla"/>
          <w:sz w:val="32"/>
          <w:szCs w:val="32"/>
          <w:rtl/>
          <w:lang w:bidi="ar-EG"/>
        </w:rPr>
        <w:footnoteReference w:id="186"/>
      </w:r>
      <w:r w:rsidRPr="00991EEB">
        <w:rPr>
          <w:rFonts w:ascii="Sakkal Majalla" w:hAnsi="Sakkal Majalla" w:cs="Sakkal Majalla"/>
          <w:sz w:val="32"/>
          <w:szCs w:val="32"/>
          <w:rtl/>
          <w:lang w:bidi="ar-EG"/>
        </w:rPr>
        <w:t>.</w:t>
      </w:r>
    </w:p>
    <w:p w14:paraId="58E0479F"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فإن تطبيقات الذكاء الاصطناعي في القطاع الصحي تمثل فرصة نوعية لتحسين جودة الرعاية الطبية وتسريع التشخيص والعلاج، إلا أنها في الوقت ذاته تستدعي إطارًا قانونيًا يوازن بين دعم الابتكار الطبي وضمان سلامة المرضى، ويحدد بوضوح نطاق المسؤولية عند وقوع ضرر ناتج عن خلل في النظام الذكي أو قصور في الإشراف والرقابة على استخدامه</w:t>
      </w:r>
      <w:r w:rsidRPr="00991EEB">
        <w:rPr>
          <w:rStyle w:val="a4"/>
          <w:rFonts w:ascii="Sakkal Majalla" w:hAnsi="Sakkal Majalla" w:cs="Sakkal Majalla"/>
          <w:sz w:val="32"/>
          <w:szCs w:val="32"/>
          <w:rtl/>
          <w:lang w:bidi="ar-EG"/>
        </w:rPr>
        <w:footnoteReference w:id="187"/>
      </w:r>
      <w:r w:rsidRPr="00991EEB">
        <w:rPr>
          <w:rFonts w:ascii="Sakkal Majalla" w:hAnsi="Sakkal Majalla" w:cs="Sakkal Majalla"/>
          <w:sz w:val="32"/>
          <w:szCs w:val="32"/>
          <w:rtl/>
          <w:lang w:bidi="ar-EG"/>
        </w:rPr>
        <w:t>.</w:t>
      </w:r>
    </w:p>
    <w:p w14:paraId="2F28803F"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rPr>
        <w:t>رابعًا: تطبيقات الذكاء الاصطناعي في المجال الأمني ومكافحة الجرائم الإلكترونية</w:t>
      </w:r>
    </w:p>
    <w:p w14:paraId="3FCCBBE4"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rPr>
        <w:t>يعد المجال الأمني من أبرز المجالات التي استفادت من تقنيات الذكاء الاصطناعي، نظرًا لما توفره من قدرة عالية على تحليل البيانات الضخمة واكتشاف الأنماط المعقدة التي قد يصعب على العنصر البشري ملاحظتها في الوقت المناسب وقد أصبح الذكاء الاصطناعي أداة محورية في دعم الأجهزة الأمنية، لا سيما في ظل تنامي الجرائم الإلكترونية واتساع نطاق الفضاء الرقمي</w:t>
      </w:r>
      <w:r w:rsidRPr="00991EEB">
        <w:rPr>
          <w:rStyle w:val="a4"/>
          <w:rFonts w:ascii="Sakkal Majalla" w:hAnsi="Sakkal Majalla" w:cs="Sakkal Majalla"/>
          <w:sz w:val="32"/>
          <w:szCs w:val="32"/>
          <w:rtl/>
        </w:rPr>
        <w:footnoteReference w:id="188"/>
      </w:r>
      <w:r w:rsidRPr="00991EEB">
        <w:rPr>
          <w:rFonts w:ascii="Sakkal Majalla" w:hAnsi="Sakkal Majalla" w:cs="Sakkal Majalla"/>
          <w:sz w:val="32"/>
          <w:szCs w:val="32"/>
          <w:lang w:bidi="ar-EG"/>
        </w:rPr>
        <w:t>.</w:t>
      </w:r>
    </w:p>
    <w:p w14:paraId="2C50ECDA"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rPr>
        <w:t xml:space="preserve">تستخدم الأنظمة الذكية في رصد التهديدات السيبرانية وتحليل حركة الشبكات، من خلال مراقبة الأنشطة غير المعتادة واكتشاف محاولات الاختراق أو البرمجيات الخبيثة في مراحل مبكرة وتعتمد هذه الأنظمة على نماذج تعلم آلي قادرة على التمييز بين السلوك الطبيعي والسلوك المشبوه، مما </w:t>
      </w:r>
      <w:r w:rsidRPr="00991EEB">
        <w:rPr>
          <w:rFonts w:ascii="Sakkal Majalla" w:hAnsi="Sakkal Majalla" w:cs="Sakkal Majalla"/>
          <w:sz w:val="32"/>
          <w:szCs w:val="32"/>
          <w:rtl/>
        </w:rPr>
        <w:lastRenderedPageBreak/>
        <w:t>يعزز سرعة الاستجابة ويقلل من حجم الأضرار المحتملة ويسهم هذا الاستخدام في حماية البنية التحتية الرقمية والأنظمة المالية والخدمات الحيوية من الهجمات السيبرانية</w:t>
      </w:r>
      <w:r w:rsidRPr="00991EEB">
        <w:rPr>
          <w:rFonts w:ascii="Sakkal Majalla" w:hAnsi="Sakkal Majalla" w:cs="Sakkal Majalla"/>
          <w:sz w:val="32"/>
          <w:szCs w:val="32"/>
          <w:lang w:bidi="ar-EG"/>
        </w:rPr>
        <w:t>.</w:t>
      </w:r>
      <w:r w:rsidRPr="00991EEB">
        <w:rPr>
          <w:rStyle w:val="a4"/>
          <w:rFonts w:ascii="Sakkal Majalla" w:hAnsi="Sakkal Majalla" w:cs="Sakkal Majalla"/>
          <w:sz w:val="32"/>
          <w:szCs w:val="32"/>
          <w:lang w:bidi="ar-EG"/>
        </w:rPr>
        <w:footnoteReference w:id="189"/>
      </w:r>
    </w:p>
    <w:p w14:paraId="379B2490"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rPr>
        <w:t>كما يُوظف الذكاء الاصطناعي في تحليل البيانات الجنائية وربط المعلومات المتفرقة لاكتشاف أنماط سلوكية قد تشير إلى نشاط إجرامي منظم ويمكن لهذه الأنظمة تحليل كميات كبيرة من البيانات النصية والمرئية والرقمية، واستخلاص علاقات بين وقائع أو أشخاص أو أحداث، بما يدعم التحقيقات ويسهم في كشف الجرائم بصورة أكثر كفاءة غير أن هذا الاستخدام يثير أهمية مراعاة الضوابط القانونية المتعلقة بجمع البيانات واستخدامها، حتى لا يُفضي إلى انتهاك الخصوصية أو التوسع غير المشروع في المراقبة</w:t>
      </w:r>
      <w:r w:rsidRPr="00991EEB">
        <w:rPr>
          <w:rStyle w:val="a4"/>
          <w:rFonts w:ascii="Sakkal Majalla" w:hAnsi="Sakkal Majalla" w:cs="Sakkal Majalla"/>
          <w:sz w:val="32"/>
          <w:szCs w:val="32"/>
          <w:rtl/>
        </w:rPr>
        <w:footnoteReference w:id="190"/>
      </w:r>
      <w:r w:rsidRPr="00991EEB">
        <w:rPr>
          <w:rFonts w:ascii="Sakkal Majalla" w:hAnsi="Sakkal Majalla" w:cs="Sakkal Majalla"/>
          <w:sz w:val="32"/>
          <w:szCs w:val="32"/>
          <w:lang w:bidi="ar-EG"/>
        </w:rPr>
        <w:t>.</w:t>
      </w:r>
    </w:p>
    <w:p w14:paraId="55D67916"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rPr>
        <w:t>ومن التطبيقات البارزة أيضًا استخدام تقنيات التعرف على الوجوه والرؤية الحاسوبية في تعزيز الأمن العام، سواء في المنافذ الحدودية أو في الأماكن العامة أو في التحقيقات الجنائية. ورغم ما توفره هذه التقنيات من دعم أمني فعال، إلا أنها تثير تساؤلات قانونية وأخلاقية تتعلق بمدى مشروعية استخدامها، وحدود الاحتفاظ بالبيانات البيومترية، وضمان عدم إساءة استخدامها أو توظيفها في سياقات تتجاوز الغرض المشروع</w:t>
      </w:r>
      <w:r w:rsidRPr="00991EEB">
        <w:rPr>
          <w:rFonts w:ascii="Sakkal Majalla" w:hAnsi="Sakkal Majalla" w:cs="Sakkal Majalla"/>
          <w:sz w:val="32"/>
          <w:szCs w:val="32"/>
          <w:lang w:bidi="ar-EG"/>
        </w:rPr>
        <w:t>.</w:t>
      </w:r>
    </w:p>
    <w:p w14:paraId="1FF0137E"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rPr>
        <w:t xml:space="preserve">كذلك يستخدم الذكاء الاصطناعي في مكافحة الجرائم الإلكترونية ذات الطابع المستحدث، مثل الاحتيال الرقمي، وانتحال الهوية، ونشر البرمجيات الضارة، والتزييف العميق وتساعد الأنظمة </w:t>
      </w:r>
      <w:r w:rsidRPr="00991EEB">
        <w:rPr>
          <w:rFonts w:ascii="Sakkal Majalla" w:hAnsi="Sakkal Majalla" w:cs="Sakkal Majalla"/>
          <w:sz w:val="32"/>
          <w:szCs w:val="32"/>
          <w:rtl/>
        </w:rPr>
        <w:lastRenderedPageBreak/>
        <w:t>الذكية في تتبع الأنشطة الرقمية المشبوهة وتحليل المحتوى المضلل أو المزور، مما يُسهم في الحد من انتشار الجرائم التقنية وحماية الأفراد والمؤسسات</w:t>
      </w:r>
      <w:r w:rsidRPr="00991EEB">
        <w:rPr>
          <w:rStyle w:val="a4"/>
          <w:rFonts w:ascii="Sakkal Majalla" w:hAnsi="Sakkal Majalla" w:cs="Sakkal Majalla"/>
          <w:sz w:val="32"/>
          <w:szCs w:val="32"/>
          <w:rtl/>
        </w:rPr>
        <w:footnoteReference w:id="191"/>
      </w:r>
      <w:r w:rsidRPr="00991EEB">
        <w:rPr>
          <w:rFonts w:ascii="Sakkal Majalla" w:hAnsi="Sakkal Majalla" w:cs="Sakkal Majalla"/>
          <w:sz w:val="32"/>
          <w:szCs w:val="32"/>
          <w:lang w:bidi="ar-EG"/>
        </w:rPr>
        <w:t>.</w:t>
      </w:r>
    </w:p>
    <w:p w14:paraId="58287BB9"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rPr>
        <w:t>ومع ذلك فإن الاعتماد على القرارات أو التصنيفات الآلية في المجال الأمني يثير إشكاليات قانونية مهمة، تتعلق بضمانات العدالة الإجرائية، وقرينة البراءة، وحق الأفراد في الطعن على القرارات المبنية على تحليل خوارزمي كما أن الخطأ في التصنيف قد يؤدي إلى ضرر معنوي أو مادي جسيم مما يفرض ضرورة وجود رقابة بشرية فعالة، وضوابط تنظيمية تضمن التوازن بين متطلبات الأمن وحماية الحقوق والحريات</w:t>
      </w:r>
      <w:r w:rsidRPr="00991EEB">
        <w:rPr>
          <w:rStyle w:val="a4"/>
          <w:rFonts w:ascii="Sakkal Majalla" w:hAnsi="Sakkal Majalla" w:cs="Sakkal Majalla"/>
          <w:sz w:val="32"/>
          <w:szCs w:val="32"/>
          <w:rtl/>
        </w:rPr>
        <w:footnoteReference w:id="192"/>
      </w:r>
      <w:r w:rsidRPr="00991EEB">
        <w:rPr>
          <w:rFonts w:ascii="Sakkal Majalla" w:hAnsi="Sakkal Majalla" w:cs="Sakkal Majalla"/>
          <w:sz w:val="32"/>
          <w:szCs w:val="32"/>
          <w:lang w:bidi="ar-EG"/>
        </w:rPr>
        <w:t>.</w:t>
      </w:r>
    </w:p>
    <w:p w14:paraId="241F55D4"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rPr>
        <w:t>وعليه فإن تطبيقات الذكاء الاصطناعي في المجال الأمني تمثل أداة فعالة لتعزيز الاستقرار الرقمي ومكافحة الجرائم الإلكترونية، لكنها تستلزم إطارًا قانونيًا دقيقًا يحدد حدود الاستخدام المشروع، ويضمن الشفافية والمساءلة، ويكفل حماية الحقوق الأساسية للأفراد في مواجهة أي انحراف أو خطأ تقني</w:t>
      </w:r>
      <w:r w:rsidRPr="00991EEB">
        <w:rPr>
          <w:rFonts w:ascii="Sakkal Majalla" w:hAnsi="Sakkal Majalla" w:cs="Sakkal Majalla"/>
          <w:sz w:val="32"/>
          <w:szCs w:val="32"/>
          <w:lang w:bidi="ar-EG"/>
        </w:rPr>
        <w:t>.</w:t>
      </w:r>
    </w:p>
    <w:p w14:paraId="612C75E3"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خامسًا: تطبيقات الذكاء الاصطناعي في قطاع التعليم :</w:t>
      </w:r>
    </w:p>
    <w:p w14:paraId="01B3776F"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شهد قطاع التعليم تطورًا ملحوظًا في توظيف تقنيات الذكاء الاصطناعي، حيث أصبحت الأنظمة الذكية عنصرًا داعمًا في تحسين جودة العملية التعليمية وتعزيز كفاءة الإدارة الأكاديمية ويأتي </w:t>
      </w:r>
      <w:r w:rsidRPr="00991EEB">
        <w:rPr>
          <w:rFonts w:ascii="Sakkal Majalla" w:hAnsi="Sakkal Majalla" w:cs="Sakkal Majalla"/>
          <w:sz w:val="32"/>
          <w:szCs w:val="32"/>
          <w:rtl/>
          <w:lang w:bidi="ar-EG"/>
        </w:rPr>
        <w:lastRenderedPageBreak/>
        <w:t>هذا التوجه في إطار التحول الرقمي الذي يهدف إلى تطوير البيئة التعليمية وجعلها أكثر مرونة وتفاعلًا، بما يتوافق مع متطلبات العصر الرقمي.</w:t>
      </w:r>
      <w:r w:rsidRPr="00991EEB">
        <w:rPr>
          <w:rStyle w:val="a4"/>
          <w:rFonts w:ascii="Sakkal Majalla" w:hAnsi="Sakkal Majalla" w:cs="Sakkal Majalla"/>
          <w:sz w:val="32"/>
          <w:szCs w:val="32"/>
          <w:rtl/>
          <w:lang w:bidi="ar-EG"/>
        </w:rPr>
        <w:footnoteReference w:id="193"/>
      </w:r>
    </w:p>
    <w:p w14:paraId="5CF99B5D"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تستخدم تطبيقات الذكاء الاصطناعي في تصميم أنظمة تعليم تكيفية (</w:t>
      </w:r>
      <w:r w:rsidRPr="00991EEB">
        <w:rPr>
          <w:rFonts w:ascii="Sakkal Majalla" w:hAnsi="Sakkal Majalla" w:cs="Sakkal Majalla"/>
          <w:sz w:val="32"/>
          <w:szCs w:val="32"/>
          <w:lang w:bidi="ar-EG"/>
        </w:rPr>
        <w:t>Adaptive Learning Systems</w:t>
      </w:r>
      <w:r w:rsidRPr="00991EEB">
        <w:rPr>
          <w:rFonts w:ascii="Sakkal Majalla" w:hAnsi="Sakkal Majalla" w:cs="Sakkal Majalla"/>
          <w:sz w:val="32"/>
          <w:szCs w:val="32"/>
          <w:rtl/>
          <w:lang w:bidi="ar-EG"/>
        </w:rPr>
        <w:t>)، تقوم بتحليل أداء الطالب وسلوكه التعليمي، ومن ثم تقديم محتوى مخصص يتناسب مع مستوى فهمه وسرعة استيعابه وتسهم هذه الأنظمة في معالجة الفروق الفردية بين المتعلمين، وتقديم مسارات تعليمية مخصصة تعزز من فعالية التعلم، بدلًا من الاعتماد على نموذج تعليمي موحد للجميع غير أن هذا الاستخدام يعتمد على جمع وتحليل بيانات تعليمية حساسة، مما يستدعي الالتزام بضوابط حماية بيانات الطلاب وخصوصيتهم</w:t>
      </w:r>
      <w:r w:rsidRPr="00991EEB">
        <w:rPr>
          <w:rStyle w:val="a4"/>
          <w:rFonts w:ascii="Sakkal Majalla" w:hAnsi="Sakkal Majalla" w:cs="Sakkal Majalla"/>
          <w:sz w:val="32"/>
          <w:szCs w:val="32"/>
          <w:rtl/>
          <w:lang w:bidi="ar-EG"/>
        </w:rPr>
        <w:footnoteReference w:id="194"/>
      </w:r>
      <w:r w:rsidRPr="00991EEB">
        <w:rPr>
          <w:rFonts w:ascii="Sakkal Majalla" w:hAnsi="Sakkal Majalla" w:cs="Sakkal Majalla"/>
          <w:sz w:val="32"/>
          <w:szCs w:val="32"/>
          <w:rtl/>
          <w:lang w:bidi="ar-EG"/>
        </w:rPr>
        <w:t>.</w:t>
      </w:r>
    </w:p>
    <w:p w14:paraId="6ECA27E9"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كما يُستخدم الذكاء الاصطناعي في تقويم الأداء وتصحيح الاختبارات بصورة آلية، لا سيما في الأسئلة الموضوعية أو في تحليل النصوص المكتوبة باستخدام تقنيات معالجة اللغة الطبيعية ويؤدي ذلك إلى تسريع عملية التصحيح وتقليل العبء الإداري على المعلمين، فضلًا عن توفير تحليلات تفصيلية حول نقاط القوة والضعف لدى الطلاب ومع ذلك، فإن الاعتماد الكامل على التقييم الآلي قد يثير تساؤلات حول دقة الحكم في بعض الحالات، خاصة في التقييمات التي تتطلب تقديرًا إنسانيًا للسياق أو للإبداع.</w:t>
      </w:r>
    </w:p>
    <w:p w14:paraId="5C6A006A"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ويمتد دور الذكاء الاصطناعي إلى دعم الإدارة التعليمية، من خلال تحليل البيانات الأكاديمية والتنبؤ بمعدلات التسرب أو التعثر الدراسي، وتقديم توصيات مبكرة للتدخل كما يمكن </w:t>
      </w:r>
      <w:r w:rsidRPr="00991EEB">
        <w:rPr>
          <w:rFonts w:ascii="Sakkal Majalla" w:hAnsi="Sakkal Majalla" w:cs="Sakkal Majalla"/>
          <w:sz w:val="32"/>
          <w:szCs w:val="32"/>
          <w:rtl/>
          <w:lang w:bidi="ar-EG"/>
        </w:rPr>
        <w:lastRenderedPageBreak/>
        <w:t>استخدامه في إدارة الجداول الدراسية، وتوزيع الموارد، وتحسين التخطيط المؤسسي وتسهم هذه التطبيقات في رفع كفاءة المؤسسات التعليمية، إلا أن دقة التنبؤات تعتمد على جودة البيانات المدخلة، مما يستلزم مراجعة مستمرة للأنظمة وتحديثها</w:t>
      </w:r>
      <w:r w:rsidRPr="00991EEB">
        <w:rPr>
          <w:rStyle w:val="a4"/>
          <w:rFonts w:ascii="Sakkal Majalla" w:hAnsi="Sakkal Majalla" w:cs="Sakkal Majalla"/>
          <w:sz w:val="32"/>
          <w:szCs w:val="32"/>
          <w:rtl/>
          <w:lang w:bidi="ar-EG"/>
        </w:rPr>
        <w:footnoteReference w:id="195"/>
      </w:r>
      <w:r w:rsidRPr="00991EEB">
        <w:rPr>
          <w:rFonts w:ascii="Sakkal Majalla" w:hAnsi="Sakkal Majalla" w:cs="Sakkal Majalla"/>
          <w:sz w:val="32"/>
          <w:szCs w:val="32"/>
          <w:rtl/>
          <w:lang w:bidi="ar-EG"/>
        </w:rPr>
        <w:t>.</w:t>
      </w:r>
    </w:p>
    <w:p w14:paraId="699EDC90"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كذلك تستخدم تطبيقات الذكاء الاصطناعي في إنشاء محتوى تعليمي تفاعلي، وتطوير منصات تعليمية رقمية تعتمد على المحاكاة والواقع الافتراضي، بما يعزز من تجربة التعلم ويجعلها أكثر جاذبية غير أن استخدام أدوات توليد المحتوى قد يثير تحديات تتعلق بالملكية الفكرية، ودقة المعلومات المقدمة، ومسؤولية الجهة التعليمية عن المحتوى الذي يتم إنشاؤه أو عرضه عبر أنظمة ذكية.</w:t>
      </w:r>
    </w:p>
    <w:p w14:paraId="0E807C66" w14:textId="77777777" w:rsidR="00991EEB" w:rsidRPr="00991EEB" w:rsidRDefault="00991EEB" w:rsidP="00991EEB">
      <w:pPr>
        <w:bidi/>
        <w:spacing w:line="360" w:lineRule="auto"/>
        <w:jc w:val="medium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سادسًا: تطبيقات الذكاء الاصطناعي في قطاع التجارة الإلكترونية والخدمات الرقمية :</w:t>
      </w:r>
    </w:p>
    <w:p w14:paraId="723100BC"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يعد قطاع التجارة الإلكترونية والخدمات الرقمية من أكثر المجالات استفادة من تقنيات الذكاء الاصطناعي، نظرًا لاعتماده المكثف على تحليل سلوك المستخدمين وإدارة المعاملات بصورة آنية وقد أسهمت الأنظمة الذكية في إعادة تشكيل تجربة المستهلك، وتحسين كفاءة العمليات التشغيلية، وتعزيز القدرة التنافسية للمنصات الرقمية، من خلال توظيف البيانات الضخمة في فهم تفضيلات العملاء وتوقع احتياجاتهم</w:t>
      </w:r>
      <w:r w:rsidRPr="00991EEB">
        <w:rPr>
          <w:rStyle w:val="a4"/>
          <w:rFonts w:ascii="Sakkal Majalla" w:hAnsi="Sakkal Majalla" w:cs="Sakkal Majalla"/>
          <w:sz w:val="32"/>
          <w:szCs w:val="32"/>
          <w:rtl/>
          <w:lang w:bidi="ar-EG"/>
        </w:rPr>
        <w:footnoteReference w:id="196"/>
      </w:r>
      <w:r w:rsidRPr="00991EEB">
        <w:rPr>
          <w:rFonts w:ascii="Sakkal Majalla" w:hAnsi="Sakkal Majalla" w:cs="Sakkal Majalla"/>
          <w:sz w:val="32"/>
          <w:szCs w:val="32"/>
          <w:rtl/>
          <w:lang w:bidi="ar-EG"/>
        </w:rPr>
        <w:t>.</w:t>
      </w:r>
    </w:p>
    <w:p w14:paraId="5CF62887"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تستخدم أنظمة التوصية (</w:t>
      </w:r>
      <w:r w:rsidRPr="00991EEB">
        <w:rPr>
          <w:rFonts w:ascii="Sakkal Majalla" w:hAnsi="Sakkal Majalla" w:cs="Sakkal Majalla"/>
          <w:sz w:val="32"/>
          <w:szCs w:val="32"/>
          <w:lang w:bidi="ar-EG"/>
        </w:rPr>
        <w:t>Recommendation Systems</w:t>
      </w:r>
      <w:r w:rsidRPr="00991EEB">
        <w:rPr>
          <w:rFonts w:ascii="Sakkal Majalla" w:hAnsi="Sakkal Majalla" w:cs="Sakkal Majalla"/>
          <w:sz w:val="32"/>
          <w:szCs w:val="32"/>
          <w:rtl/>
          <w:lang w:bidi="ar-EG"/>
        </w:rPr>
        <w:t>) بصورة واسعة في المتاجر الإلكترونية، حيث تقوم بتحليل تاريخ التصفح والشراء لتقديم اقتراحات مخصصة للمنتجات أو الخدمات ويسهم ذلك في رفع معدلات البيع وتحسين تجربة المستخدم، غير أن هذا الاستخدام يعتمد على جمع وتحليل بيانات شخصية بصورة مستمرة، مما يثير تساؤلات قانونية تتعلق بمدى مشروعية المعالجة، وشفافية سياسات الخصوصية، وحدود الموافقة المستنيرة من قبل المستهلك</w:t>
      </w:r>
      <w:r w:rsidRPr="00991EEB">
        <w:rPr>
          <w:rStyle w:val="a4"/>
          <w:rFonts w:ascii="Sakkal Majalla" w:hAnsi="Sakkal Majalla" w:cs="Sakkal Majalla"/>
          <w:sz w:val="32"/>
          <w:szCs w:val="32"/>
          <w:rtl/>
          <w:lang w:bidi="ar-EG"/>
        </w:rPr>
        <w:footnoteReference w:id="197"/>
      </w:r>
      <w:r w:rsidRPr="00991EEB">
        <w:rPr>
          <w:rFonts w:ascii="Sakkal Majalla" w:hAnsi="Sakkal Majalla" w:cs="Sakkal Majalla"/>
          <w:sz w:val="32"/>
          <w:szCs w:val="32"/>
          <w:rtl/>
          <w:lang w:bidi="ar-EG"/>
        </w:rPr>
        <w:t>.</w:t>
      </w:r>
    </w:p>
    <w:p w14:paraId="6A7DA32C"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كما يستخدم الذكاء الاصطناعي في تحليل سلوك المستهلكين وتخصيص العروض التسويقية، بل وفي تحديد الأسعار بصورة ديناميكية وفقًا لعوامل متعددة مثل الطلب والموقع الجغرافي وتاريخ الشراء ورغم ما يحققه هذا الأسلوب من كفاءة تجارية، إلا أنه قد يؤدي إلى ممارسات تمييزية في التسعير أو إلى استغلال بيانات المستهلك بطرق قد تمس مبدأ العدالة التعاقدية وحماية المستهلك</w:t>
      </w:r>
      <w:r w:rsidRPr="00991EEB">
        <w:rPr>
          <w:rStyle w:val="a4"/>
          <w:rFonts w:ascii="Sakkal Majalla" w:hAnsi="Sakkal Majalla" w:cs="Sakkal Majalla"/>
          <w:sz w:val="32"/>
          <w:szCs w:val="32"/>
          <w:rtl/>
          <w:lang w:bidi="ar-EG"/>
        </w:rPr>
        <w:footnoteReference w:id="198"/>
      </w:r>
      <w:r w:rsidRPr="00991EEB">
        <w:rPr>
          <w:rFonts w:ascii="Sakkal Majalla" w:hAnsi="Sakkal Majalla" w:cs="Sakkal Majalla"/>
          <w:sz w:val="32"/>
          <w:szCs w:val="32"/>
          <w:rtl/>
          <w:lang w:bidi="ar-EG"/>
        </w:rPr>
        <w:t>.</w:t>
      </w:r>
    </w:p>
    <w:p w14:paraId="70E9D0E8"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ويمتد دور الذكاء الاصطناعي إلى إدارة العمليات اللوجستية، مثل التنبؤ بالطلب، وتحسين إدارة المخزون، وتحديد أفضل مسارات الشحن والتوزيع. ويسهم ذلك في تقليل التكاليف وتسريع التسليم وتحسين مستوى الخدمة إلا أن أي خلل في الأنظمة الذكية قد يؤدي إلى تأخير الشحنات أو إلغاء الطلبات أو خسائر مالية، مما يثير مسألة تحديد المسؤولية بين المنصة والبائع ومزود الخدمة التقنية.</w:t>
      </w:r>
    </w:p>
    <w:p w14:paraId="55005322"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كذلك تستخدم تقنيات معالجة اللغة الطبيعية في دعم خدمة العملاء عبر المساعدات الافتراضية والردود الآلية، بما يتيح التفاعل الفوري مع المستهلكين ومعالجة الشكاوى والاستفسارات غير أن الخطأ في تقديم المعلومات أو سوء فهم الطلب قد يترتب عليه التزام قانوني، خاصة إذا أدى إلى إبرام عقد أو الامتناع عن تنفيذ التزام نتيجة توجيه غير دقيق</w:t>
      </w:r>
      <w:r w:rsidRPr="00991EEB">
        <w:rPr>
          <w:rStyle w:val="a4"/>
          <w:rFonts w:ascii="Sakkal Majalla" w:hAnsi="Sakkal Majalla" w:cs="Sakkal Majalla"/>
          <w:sz w:val="32"/>
          <w:szCs w:val="32"/>
          <w:rtl/>
          <w:lang w:bidi="ar-EG"/>
        </w:rPr>
        <w:footnoteReference w:id="199"/>
      </w:r>
      <w:r w:rsidRPr="00991EEB">
        <w:rPr>
          <w:rFonts w:ascii="Sakkal Majalla" w:hAnsi="Sakkal Majalla" w:cs="Sakkal Majalla"/>
          <w:sz w:val="32"/>
          <w:szCs w:val="32"/>
          <w:rtl/>
          <w:lang w:bidi="ar-EG"/>
        </w:rPr>
        <w:t>.</w:t>
      </w:r>
    </w:p>
    <w:p w14:paraId="08822D20"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ومن التطبيقات الحديثة كذلك استخدام الذكاء الاصطناعي في توليد المحتوى التسويقي والصور والإعلانات الرقمية، وهو ما يثير تحديات متعلقة بحقوق الملكية الفكرية، ومسؤولية المنصة عن المحتوى المنشور، ومدى التحقق من صحته وعدم تضليله للجمهور.</w:t>
      </w:r>
    </w:p>
    <w:p w14:paraId="0509DC13"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فإن تطبيقات الذكاء الاصطناعي في قطاع التجارة الإلكترونية والخدمات الرقمية تُعد ركيزة أساسية في تعزيز الاقتصاد الرقمي وتحسين تجربة المستهلك، إلا أنها في الوقت ذاته تفرض ضرورة وجود إطار قانوني يضمن حماية البيانات الشخصية، ومنع الممارسات التمييزية، وضبط مسؤولية الأطراف عند وقوع ضرر ناتج عن خطأ أو قصور في النظام الذكي</w:t>
      </w:r>
      <w:r w:rsidRPr="00991EEB">
        <w:rPr>
          <w:rStyle w:val="a4"/>
          <w:rFonts w:ascii="Sakkal Majalla" w:hAnsi="Sakkal Majalla" w:cs="Sakkal Majalla"/>
          <w:sz w:val="32"/>
          <w:szCs w:val="32"/>
          <w:rtl/>
          <w:lang w:bidi="ar-EG"/>
        </w:rPr>
        <w:footnoteReference w:id="200"/>
      </w:r>
    </w:p>
    <w:p w14:paraId="664C8843" w14:textId="77777777" w:rsidR="00991EEB" w:rsidRPr="00991EEB" w:rsidRDefault="00991EEB" w:rsidP="00991EEB">
      <w:p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و يتضح مما سبق أن تطبيقات الذكاء الاصطناعي في القطاعات المختلفة لم تعد مجرد أدوات تقنية مساندة، بل أصبحت عنصرًا بنيويًا في إدارة الخدمات العامة، والعمليات المالية، والرعاية الصحية، والأمن، والتعليم، والتجارة الرقمية وقد أسهم هذا التوسع في رفع كفاءة الأداء وتحسين جودة الخدمات وتعزيز القدرة التنافسية، إلا أنه في المقابل وسّع نطاق التأثير القانوني للأنظمة </w:t>
      </w:r>
      <w:r w:rsidRPr="00991EEB">
        <w:rPr>
          <w:rFonts w:ascii="Sakkal Majalla" w:hAnsi="Sakkal Majalla" w:cs="Sakkal Majalla"/>
          <w:sz w:val="32"/>
          <w:szCs w:val="32"/>
          <w:rtl/>
          <w:lang w:bidi="ar-EG"/>
        </w:rPr>
        <w:lastRenderedPageBreak/>
        <w:t>الذكية، نظرًا لما قد يترتب على قراراتها أو توصياتها من آثار تمس الحقوق والمراكز القانونية للأفراد.</w:t>
      </w:r>
    </w:p>
    <w:p w14:paraId="2114577F"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ومن ثم فإن اتساع مجالات الاستخدام يقتضي مقاربة قانونية متوازنة تراعي خصوصية كل قطاع، وتحكم بضوابط الشفافية، وحماية البيانات، وقابلية المراجعة، وتحديد المسؤولية عند وقوع الضرر فكلما زادت درجة الاعتماد على الأنظمة الذكية في اتخاذ القرار أو دعمه، ازدادت الحاجة إلى إطار تنظيمي واضح يضمن عدم تحول التطور التقني إلى مصدر لمخاطر غير منضبطة، وبما يحقق التوازن بين دعم الابتكار وصون الحقوق</w:t>
      </w:r>
      <w:r w:rsidRPr="00991EEB">
        <w:rPr>
          <w:rStyle w:val="a4"/>
          <w:rFonts w:ascii="Sakkal Majalla" w:hAnsi="Sakkal Majalla" w:cs="Sakkal Majalla"/>
          <w:sz w:val="32"/>
          <w:szCs w:val="32"/>
          <w:rtl/>
          <w:lang w:bidi="ar-EG"/>
        </w:rPr>
        <w:footnoteReference w:id="201"/>
      </w:r>
      <w:r w:rsidRPr="00991EEB">
        <w:rPr>
          <w:rFonts w:ascii="Sakkal Majalla" w:hAnsi="Sakkal Majalla" w:cs="Sakkal Majalla"/>
          <w:sz w:val="32"/>
          <w:szCs w:val="32"/>
          <w:rtl/>
          <w:lang w:bidi="ar-EG"/>
        </w:rPr>
        <w:t>.</w:t>
      </w:r>
    </w:p>
    <w:p w14:paraId="246D5EDB" w14:textId="77777777" w:rsidR="00991EEB" w:rsidRPr="00991EEB" w:rsidRDefault="00991EEB" w:rsidP="00991EEB">
      <w:pPr>
        <w:spacing w:line="360" w:lineRule="auto"/>
        <w:rPr>
          <w:rFonts w:ascii="Sakkal Majalla" w:hAnsi="Sakkal Majalla" w:cs="Sakkal Majalla"/>
          <w:sz w:val="32"/>
          <w:szCs w:val="32"/>
          <w:rtl/>
          <w:lang w:bidi="ar-EG"/>
        </w:rPr>
      </w:pPr>
      <w:r w:rsidRPr="00991EEB">
        <w:rPr>
          <w:rFonts w:ascii="Sakkal Majalla" w:hAnsi="Sakkal Majalla" w:cs="Sakkal Majalla"/>
          <w:sz w:val="32"/>
          <w:szCs w:val="32"/>
          <w:rtl/>
          <w:lang w:bidi="ar-EG"/>
        </w:rPr>
        <w:br w:type="page"/>
      </w:r>
    </w:p>
    <w:p w14:paraId="12DCC87C"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 xml:space="preserve">المصادر و المراجع : </w:t>
      </w:r>
    </w:p>
    <w:p w14:paraId="3B03F71E"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فارس، محمد السيد (2024) نحو مفهوم جديد للذكاء الاصطناعي ومحاولة تنظيمه القانوني: دراسة مقارنة. مجلة التشريع والقانون، 43</w:t>
      </w:r>
    </w:p>
    <w:p w14:paraId="222C0AF9"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هاشمي، رشيدة، وملاني، عبدالوهاب (2024) الإطار المفاهيمي للذكاء الاصطناعي ، مجلة التراث، 14(2)</w:t>
      </w:r>
    </w:p>
    <w:p w14:paraId="0EADBA77"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غازي، خديجة (2024) الطبيعة القانونية للذكاء الاصطناعي. مجلة التراث، 14(2)</w:t>
      </w:r>
    </w:p>
    <w:p w14:paraId="39D73010"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أبو نصار، ريا جمال (2025) إشكالية تحديد الطبيعة القانونية لأنظمة الذكاء الاصطناعي ، مجلة المنارة للبحوث والدراسات: سلسلة العلوم السياسية والقانون، 42(3)</w:t>
      </w:r>
    </w:p>
    <w:p w14:paraId="0F5B9E92"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أحمد، غادة حلمي (2025) المسؤولية الجنائية لتقنيات الذكاء الاصطناعي. المجلة الجنائية القومية، 68(2)</w:t>
      </w:r>
    </w:p>
    <w:p w14:paraId="48DF08D3"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تحفة، فايق عوضين محمد (2022) استخدامات تقنيات الذكاء الاصطناعي بين المشروعية وعدم المشروعية: الجزء الثاني: المسؤولية الجنائية عن جرائم تقنيات الذكاء الاصطناعي ، المجلة الجنائية القومية، 65(2)</w:t>
      </w:r>
    </w:p>
    <w:p w14:paraId="2F6272ED"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w:t>
      </w:r>
    </w:p>
    <w:p w14:paraId="6EDFB3A1"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w:t>
      </w:r>
    </w:p>
    <w:p w14:paraId="16FB16E9"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فارس، محمد السيد (2024) نحو مفهوم جديد للذكاء الاصطناعي ومحاولة تنظيمه القانوني: دراسة مقارنة ،  مجلة التشريع والقانون، 43</w:t>
      </w:r>
    </w:p>
    <w:p w14:paraId="39AAA004"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رضا، أزرو محمد (2025) مدى جواز الاعتراف بالشخصية القانونية للذكاء الاصطناعي. مجلة التراث، 15(1)</w:t>
      </w:r>
    </w:p>
    <w:p w14:paraId="61C99C35"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w:t>
      </w:r>
    </w:p>
    <w:p w14:paraId="0E7A8688"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دره ، سماح أحمد محمد (2025) المسؤولية الجنائية لمبرمجي أجهزة الذكاء الاصطناعي: دراسة تحليلية ، مجلة الفكر القانوني والاقتصادي، 11(3)</w:t>
      </w:r>
    </w:p>
    <w:p w14:paraId="0D87CAC1"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جاد المولى، محمود عبدالغني فريد (2021) الاتجاهات الحديثة في المسؤولية الجنائية للكيانات التي تعمل بتقنيات الذكاء الاصطناعي. مجلة البحوث القانونية والاقتصادية، 53</w:t>
      </w:r>
    </w:p>
    <w:p w14:paraId="2D79FC32"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العيدان، شيخة بنت حمد سعد (2025) المسؤولية الجنائية عن جرائم الذكاء الاصطناعي ، مجلة جامعة الطائف للعلوم الشرعية والقانونية، 13</w:t>
      </w:r>
    </w:p>
    <w:p w14:paraId="3BCCD8D7"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الطائي، سميرة حسين محيسن، وعبدالحسن، إيمان حسين (2025) الطبيعة القانونية للذكاء الاصطناعي. مجلة الكوفة للعلوم القانونية والسياسية، 18(1)</w:t>
      </w:r>
    </w:p>
    <w:p w14:paraId="3CA77F4E"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غطاشة، أحمد (2025) التحديات القانونية والأخلاقية للذكاء الاصطناعي ،  أفكار، 438</w:t>
      </w:r>
    </w:p>
    <w:p w14:paraId="00CBACF4"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الملاح، نورهان محمود (2025) الخبرة التقليدية والذكية في الإثبات التحكيمي: دراسة تحليلية للتحديات القانونية والأخلاقية ، مجلة التشريع والقانون، 45</w:t>
      </w:r>
    </w:p>
    <w:p w14:paraId="20B6C969"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محفوظ، أسماء عبدالسلام (2025) الإشكاليات القانونية للذكاء الاصطناعي ، مجلة المنتدى الأكاديمي للعلوم الإنسانية، 9(1)</w:t>
      </w:r>
    </w:p>
    <w:p w14:paraId="1F59808A"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عبدالله، شيماء عبدالرضي (2025) إشكالية المساءلة الجنائية لجرائم الروبوتات الذكية في ضوء تطور تقنيات الذكاء الاصطناعي ، مجلة كلية الشريعة والقانون بطنطا، 40(2)</w:t>
      </w:r>
    </w:p>
    <w:p w14:paraId="47A4E05F"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 xml:space="preserve">عبدالعزيز، هبة تيسير علي (2024) الآثار القانونية المترتبة على الاعتراف بالشخصية القانونية للذكاء الاصطناعي (رسالة ماجستير، جامعة فيلادلفيا) </w:t>
      </w:r>
    </w:p>
    <w:p w14:paraId="1B40817B"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الحسبان، عودة عبدالكريم،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w:t>
      </w:r>
    </w:p>
    <w:p w14:paraId="14B40921"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الكلابي، حسين عبدالله عبدالرضا، وصدخان ، كاظم حمدان (2023) الشخصية القانونية لكيانات الذكاء الاصطناعي بين القبول والرفض ، مجلة كلية القانون للعلوم القانونية والسياسية، 12(46)</w:t>
      </w:r>
    </w:p>
    <w:p w14:paraId="59CEE85D"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آل سعود، نواف بدر فهد (2025) المسؤولية المدنية الناشئة عن أضرار أنظمة الذكاء الاصطناعي: دراسة تحليلية مقارنة بين النظام السعودي والتشريعات المقارنة ، مجلة التشريع والقانون، 45</w:t>
      </w:r>
    </w:p>
    <w:p w14:paraId="71B52C85"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w:t>
      </w:r>
    </w:p>
    <w:p w14:paraId="4E79EA5E"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بوكراري، عبد المجيد، ومسعود، داود (2024) الأنظمة الذكية مفهوم أوسع لتطبيقات الذكاء الاصطناعي في مجال التعليم. مجلة الباحث، 2(6)، 703–723</w:t>
      </w:r>
    </w:p>
    <w:p w14:paraId="36210253"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الخولي، أحمد فتحي (2021 ) المسؤولية المدنية الناتجة عن الاستخدام غير المشروع لتطبيقات الذكاء الاصطناعي: الديب فيك نموذجًا. مجلة البحوث الفقهية والقانونية، (36)</w:t>
      </w:r>
    </w:p>
    <w:p w14:paraId="2B62EC64"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 xml:space="preserve">عبد الهادي، زين (2000) الذكاء الاصطناعي والنظم الخبيرة في المكتبات: مدخل تجريبي للنظم الخبيرة في مجال المكتبات (الطبعة الأولى). المكتبة الأكاديمية. </w:t>
      </w:r>
    </w:p>
    <w:p w14:paraId="0D1381B0"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عفيفي، جهاد (2015) الذكاء الاصطناعي والأنظمة الخبيرة (الطبعة الأولى). أمجد للنشر والتوزيع </w:t>
      </w:r>
    </w:p>
    <w:p w14:paraId="4062E9BF"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سلامة، صفاء، وأبو قورة، خليل (2014) تحديات عصر الروبوتات وأخلاقياتها (الطبعة الأولى) مركز الإمارات للدراسات والبحوث الاستراتيجية </w:t>
      </w:r>
    </w:p>
    <w:p w14:paraId="2DAE0FB1"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محمد، عبد الرزاق وهيب سيد أحمد (2020) المسؤولية المدنية عن أضرار الذكاء الاصطناعي: دراسة تحليلية. مجلة جيل الأبحاث القانونية المعمقة، (43) </w:t>
      </w:r>
    </w:p>
    <w:p w14:paraId="099CC1D6"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حسني، محمود نجيب (1982) شرح قانون العقوبات: القسم العام. دار النهضة العربية، ص 670.</w:t>
      </w:r>
    </w:p>
    <w:p w14:paraId="5DC4DB9F"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سرور، أحمد فتحي (1989) الوسيط في قانون العقوبات ، دار النهضة العربية</w:t>
      </w:r>
    </w:p>
    <w:p w14:paraId="642A5B65"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سرور، أحمد فتحي (2002) القانون الجنائي الدستوري ، دار الشروق</w:t>
      </w:r>
    </w:p>
    <w:p w14:paraId="48011C77"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وزير، عبد العظيم (2009) النظرية العامة للجريمة ، دار النهضة العربية</w:t>
      </w:r>
    </w:p>
    <w:p w14:paraId="6DADD4D9"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راشد، حامد (2017) النظرية العامة للجريمة ، دار أبو المجد للطباعة</w:t>
      </w:r>
    </w:p>
    <w:p w14:paraId="40CB7DF2"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شمس الدين، أشرف توفيق. (2012). شرح قانون الإجراءات الجنائية: مرحلة ما قبل المحاكمة. جامعة بنها</w:t>
      </w:r>
    </w:p>
    <w:p w14:paraId="59AB8328"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دهشان، يحيى إبراهيم  (2020) المسؤولية الجنائية عن جرائم الذكاء الاصطناعي. مجلة الشريعة والقانون – كلية القانون، جامعة الإمارات العربية المتحدة، 34(82)</w:t>
      </w:r>
    </w:p>
    <w:p w14:paraId="23D371FF"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عميش، رحاب علي (2021( المسؤولية الجنائية عن جرائم الذكاء الاصطناعي. مجلة البحوث القانونية والاقتصادية – كلية الحقوق، جامعة المنصورة، عدد خاص</w:t>
      </w:r>
    </w:p>
    <w:p w14:paraId="01C8FCA9"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دهشان، أحمد إبراهيم (2019) العملات الافتراضية: إشكالياتها وآثارها على الاقتصاد المحلي والعالمي. في المؤتمر الدولي الخامس عشر لكلية الشريعة والقانون، جامعة الشارقة</w:t>
      </w:r>
    </w:p>
    <w:p w14:paraId="16919BA4"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دهشان، يحيى إبراهيم. (2019، 30 يونيو). المسؤولية الجنائية عن جرائم الذكاء الاصطناعي. مجلة الشريعة والقانون، جامعة الإمارات</w:t>
      </w:r>
    </w:p>
    <w:p w14:paraId="6B0C978D"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الحجيلي، محمد عمر (2024) النظام القانوني لحقوق الملكية الفكرية في مجال الذكاء الاصطناعي. مجلة جامعة الأبار للعلوم القانونية والسياسية </w:t>
      </w:r>
    </w:p>
    <w:p w14:paraId="5D1EFD2C"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حقاص، صونية (2011) حماية الملكية الفكرية الأدبية والفنية في البيئة الرقمية في ظل التشريع الجزائري (رسالة ماجستير). جامعة منتوري، قسنطينة، الجزائر</w:t>
      </w:r>
    </w:p>
    <w:p w14:paraId="08E3720E"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حسين، محمد عبد الظاهر (2001). الاتجاهات الحديثة في حماية برامج الكبيوتر، دار النهضة العربية، </w:t>
      </w:r>
    </w:p>
    <w:p w14:paraId="189B3A3C"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العبد، رضا محمود (2023) الشخصية القانونية الافتراضية نحو الاعتراف بالشخصية القانونية للروبوتات المزودة بالذكاء الاصطناعي. مجلة القانون والتكنولوجيا – الجامعة البريطانية في مصر ، ص 235</w:t>
      </w:r>
    </w:p>
    <w:p w14:paraId="1615DDA6"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p w14:paraId="5FE4F894"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الخطيب، محمد عرفان (2018( المركز القانوني للإنسان الآلة (</w:t>
      </w:r>
      <w:r w:rsidRPr="00991EEB">
        <w:rPr>
          <w:rFonts w:ascii="Sakkal Majalla" w:hAnsi="Sakkal Majalla" w:cs="Sakkal Majalla"/>
          <w:sz w:val="32"/>
          <w:szCs w:val="32"/>
          <w:lang w:bidi="ar-EG"/>
        </w:rPr>
        <w:t>Robots</w:t>
      </w:r>
      <w:r w:rsidRPr="00991EEB">
        <w:rPr>
          <w:rFonts w:ascii="Sakkal Majalla" w:hAnsi="Sakkal Majalla" w:cs="Sakkal Majalla"/>
          <w:sz w:val="32"/>
          <w:szCs w:val="32"/>
          <w:rtl/>
          <w:lang w:bidi="ar-EG"/>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p>
    <w:p w14:paraId="6E212658"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عبد اللطيف، محمد محمد (2021 ) المسؤولية عن الذكاء الاصطناعي بين القانون الخاص والقانون العام. بحث مقدم إلى مؤتمر الجوانب القانونية والاقتصادية للذكاء الاصطناعي وتكنولوجيا المعلومات، كلية الحقوق، جامعة المنصورة </w:t>
      </w:r>
    </w:p>
    <w:p w14:paraId="08C90358"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القوصي، همام (2019)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w:t>
      </w:r>
    </w:p>
    <w:p w14:paraId="229206BC"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السحلي، 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w:t>
      </w:r>
    </w:p>
    <w:p w14:paraId="571923E0"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بطيخ،  مها رمضان محمد (2021) المسؤولية المدنية عن أضرار الذكاء الاصطناعي: دراسة تحليلية مقارنة. المجلة القانونية، كلية الحقوق، جامعة عين شمس</w:t>
      </w:r>
    </w:p>
    <w:p w14:paraId="7A823072"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مجبوب، نوال (2022) إشكالات المسؤولية القانونية عن تطبيقات نظم الذكاء الاصطناعي. المركز الجامعي مغنية، الجزائر: المجموعة العلمية للنشر والتوزيع</w:t>
      </w:r>
    </w:p>
    <w:p w14:paraId="6F899114"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جمعة، نعمان محمد خليل (1979) دروس في المدخل للعلوم القانونية. دار النهضة العربية،</w:t>
      </w:r>
    </w:p>
    <w:p w14:paraId="0B8F9C49"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منصور، محمد حسين (2007).نظرية الحق ،  دار الجامعة الجديدة</w:t>
      </w:r>
    </w:p>
    <w:p w14:paraId="1F6B6547"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أبو زيد رضوان(1970) مفهوم الشخصية المعنوية بين الحقيقة والخيال، مجلة العلوم القانونية والاقتصادية، كلية الحقوق جامعة عين شمس، مجلد 12، العدد 1</w:t>
      </w:r>
    </w:p>
    <w:p w14:paraId="76191694"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الجمال، مصطفى محمد، والجمال، عبد الحميد محمد. (1989). النظرية العامة للقانون. دار الجامعة</w:t>
      </w:r>
    </w:p>
    <w:p w14:paraId="3B84180A"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كيرة، حسن. (1971). المدخل إلى القانون (الطبعة الخامسة). منشأة المعارف</w:t>
      </w:r>
    </w:p>
    <w:p w14:paraId="559AFD3D"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سلطان، أنور. (2005) المبادئ القانونية العامة ، دار الجامعة الجديدة للنشر</w:t>
      </w:r>
    </w:p>
    <w:p w14:paraId="35F2038C"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لطفي، خالد حسن أحمد (2021) الذكاء الاصطناعي وحمايته من الناحية المدنية والجنائية (الطبعة الأولى). دار الفكر الجامعي</w:t>
      </w:r>
    </w:p>
    <w:p w14:paraId="207EEB67"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محمد، محمد شاكر محمود (2022) دور الذكاء الاصطناعي في تطوير قواعد المسؤولية المدنية: دراسة تحليلية. مجلة كلية القانون للعلوم القانونية والسياسية – جامعة كركوك، (42)</w:t>
      </w:r>
    </w:p>
    <w:p w14:paraId="40198438"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الفلاوري، عمار كريم، والمشهدي، علي عبد الجبار رحيم. (2022). المسؤولية المدنية عن تقنية الذكاء الاصطناعي المعقد: دراسة مقارنة. دار المعرفة للنشر والتوزيع</w:t>
      </w:r>
    </w:p>
    <w:p w14:paraId="2DF21BDB" w14:textId="77777777" w:rsidR="00991EEB" w:rsidRPr="00991EEB" w:rsidRDefault="00991EEB" w:rsidP="00991EEB">
      <w:pPr>
        <w:pStyle w:val="a5"/>
        <w:numPr>
          <w:ilvl w:val="0"/>
          <w:numId w:val="40"/>
        </w:num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فريدة ، بن عثمان (2020) فريدة الذكاء الاصطناعي: مقاربة قانونية. مجلة دفاتر السياسة والقانون، كلية الحقوق والعلوم السياسية، جامعة ورقلة</w:t>
      </w:r>
    </w:p>
    <w:p w14:paraId="3C236D49" w14:textId="77777777" w:rsidR="00991EEB" w:rsidRPr="00991EEB" w:rsidRDefault="00991EEB" w:rsidP="00991EEB">
      <w:pPr>
        <w:bidi/>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المراجع الاجنبية : </w:t>
      </w:r>
    </w:p>
    <w:p w14:paraId="3624635C"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t xml:space="preserve">J. GASNAULT, « Les </w:t>
      </w:r>
      <w:proofErr w:type="spellStart"/>
      <w:r w:rsidRPr="00991EEB">
        <w:rPr>
          <w:rFonts w:ascii="Sakkal Majalla" w:hAnsi="Sakkal Majalla" w:cs="Sakkal Majalla"/>
          <w:sz w:val="32"/>
          <w:szCs w:val="32"/>
          <w:lang w:bidi="ar-EG"/>
        </w:rPr>
        <w:t>problèmes</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juridiques</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suscités</w:t>
      </w:r>
      <w:proofErr w:type="spellEnd"/>
      <w:r w:rsidRPr="00991EEB">
        <w:rPr>
          <w:rFonts w:ascii="Sakkal Majalla" w:hAnsi="Sakkal Majalla" w:cs="Sakkal Majalla"/>
          <w:sz w:val="32"/>
          <w:szCs w:val="32"/>
          <w:lang w:bidi="ar-EG"/>
        </w:rPr>
        <w:t xml:space="preserve"> par les </w:t>
      </w:r>
      <w:proofErr w:type="spellStart"/>
      <w:r w:rsidRPr="00991EEB">
        <w:rPr>
          <w:rFonts w:ascii="Sakkal Majalla" w:hAnsi="Sakkal Majalla" w:cs="Sakkal Majalla"/>
          <w:sz w:val="32"/>
          <w:szCs w:val="32"/>
          <w:lang w:bidi="ar-EG"/>
        </w:rPr>
        <w:t>systèmes</w:t>
      </w:r>
      <w:proofErr w:type="spellEnd"/>
      <w:r w:rsidRPr="00991EEB">
        <w:rPr>
          <w:rFonts w:ascii="Sakkal Majalla" w:hAnsi="Sakkal Majalla" w:cs="Sakkal Majalla"/>
          <w:sz w:val="32"/>
          <w:szCs w:val="32"/>
          <w:lang w:bidi="ar-EG"/>
        </w:rPr>
        <w:t xml:space="preserve"> experts </w:t>
      </w:r>
      <w:proofErr w:type="spellStart"/>
      <w:r w:rsidRPr="00991EEB">
        <w:rPr>
          <w:rFonts w:ascii="Sakkal Majalla" w:hAnsi="Sakkal Majalla" w:cs="Sakkal Majalla"/>
          <w:sz w:val="32"/>
          <w:szCs w:val="32"/>
          <w:lang w:bidi="ar-EG"/>
        </w:rPr>
        <w:t>ou</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d'aide</w:t>
      </w:r>
      <w:proofErr w:type="spellEnd"/>
      <w:r w:rsidRPr="00991EEB">
        <w:rPr>
          <w:rFonts w:ascii="Sakkal Majalla" w:hAnsi="Sakkal Majalla" w:cs="Sakkal Majalla"/>
          <w:sz w:val="32"/>
          <w:szCs w:val="32"/>
          <w:lang w:bidi="ar-EG"/>
        </w:rPr>
        <w:t xml:space="preserve"> à la </w:t>
      </w:r>
      <w:proofErr w:type="spellStart"/>
      <w:r w:rsidRPr="00991EEB">
        <w:rPr>
          <w:rFonts w:ascii="Sakkal Majalla" w:hAnsi="Sakkal Majalla" w:cs="Sakkal Majalla"/>
          <w:sz w:val="32"/>
          <w:szCs w:val="32"/>
          <w:lang w:bidi="ar-EG"/>
        </w:rPr>
        <w:t>décision</w:t>
      </w:r>
      <w:proofErr w:type="spellEnd"/>
      <w:r w:rsidRPr="00991EEB">
        <w:rPr>
          <w:rFonts w:ascii="Sakkal Majalla" w:hAnsi="Sakkal Majalla" w:cs="Sakkal Majalla"/>
          <w:sz w:val="32"/>
          <w:szCs w:val="32"/>
          <w:lang w:bidi="ar-EG"/>
        </w:rPr>
        <w:t xml:space="preserve"> », in </w:t>
      </w:r>
      <w:proofErr w:type="spellStart"/>
      <w:r w:rsidRPr="00991EEB">
        <w:rPr>
          <w:rFonts w:ascii="Sakkal Majalla" w:hAnsi="Sakkal Majalla" w:cs="Sakkal Majalla"/>
          <w:sz w:val="32"/>
          <w:szCs w:val="32"/>
          <w:lang w:bidi="ar-EG"/>
        </w:rPr>
        <w:t>Systèmes</w:t>
      </w:r>
      <w:proofErr w:type="spellEnd"/>
      <w:r w:rsidRPr="00991EEB">
        <w:rPr>
          <w:rFonts w:ascii="Sakkal Majalla" w:hAnsi="Sakkal Majalla" w:cs="Sakkal Majalla"/>
          <w:sz w:val="32"/>
          <w:szCs w:val="32"/>
          <w:lang w:bidi="ar-EG"/>
        </w:rPr>
        <w:t xml:space="preserve"> experts et le droit, M. Schauss (dir.), E. Story Scientia, 1988 p. </w:t>
      </w:r>
    </w:p>
    <w:p w14:paraId="2D049218"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lastRenderedPageBreak/>
        <w:t xml:space="preserve">GAGNÉ, « La protection </w:t>
      </w:r>
      <w:proofErr w:type="spellStart"/>
      <w:r w:rsidRPr="00991EEB">
        <w:rPr>
          <w:rFonts w:ascii="Sakkal Majalla" w:hAnsi="Sakkal Majalla" w:cs="Sakkal Majalla"/>
          <w:sz w:val="32"/>
          <w:szCs w:val="32"/>
          <w:lang w:bidi="ar-EG"/>
        </w:rPr>
        <w:t>juridique</w:t>
      </w:r>
      <w:proofErr w:type="spellEnd"/>
      <w:r w:rsidRPr="00991EEB">
        <w:rPr>
          <w:rFonts w:ascii="Sakkal Majalla" w:hAnsi="Sakkal Majalla" w:cs="Sakkal Majalla"/>
          <w:sz w:val="32"/>
          <w:szCs w:val="32"/>
          <w:lang w:bidi="ar-EG"/>
        </w:rPr>
        <w:t xml:space="preserve"> de la </w:t>
      </w:r>
      <w:proofErr w:type="spellStart"/>
      <w:r w:rsidRPr="00991EEB">
        <w:rPr>
          <w:rFonts w:ascii="Sakkal Majalla" w:hAnsi="Sakkal Majalla" w:cs="Sakkal Majalla"/>
          <w:sz w:val="32"/>
          <w:szCs w:val="32"/>
          <w:lang w:bidi="ar-EG"/>
        </w:rPr>
        <w:t>réalité</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virtuelle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ou</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l'imbroglio</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juridique</w:t>
      </w:r>
      <w:proofErr w:type="spellEnd"/>
      <w:r w:rsidRPr="00991EEB">
        <w:rPr>
          <w:rFonts w:ascii="Sakkal Majalla" w:hAnsi="Sakkal Majalla" w:cs="Sakkal Majalla"/>
          <w:sz w:val="32"/>
          <w:szCs w:val="32"/>
          <w:lang w:bidi="ar-EG"/>
        </w:rPr>
        <w:t xml:space="preserve"> dans </w:t>
      </w:r>
      <w:proofErr w:type="spellStart"/>
      <w:r w:rsidRPr="00991EEB">
        <w:rPr>
          <w:rFonts w:ascii="Sakkal Majalla" w:hAnsi="Sakkal Majalla" w:cs="Sakkal Majalla"/>
          <w:sz w:val="32"/>
          <w:szCs w:val="32"/>
          <w:lang w:bidi="ar-EG"/>
        </w:rPr>
        <w:t>l'univers</w:t>
      </w:r>
      <w:proofErr w:type="spellEnd"/>
      <w:r w:rsidRPr="00991EEB">
        <w:rPr>
          <w:rFonts w:ascii="Sakkal Majalla" w:hAnsi="Sakkal Majalla" w:cs="Sakkal Majalla"/>
          <w:sz w:val="32"/>
          <w:szCs w:val="32"/>
          <w:lang w:bidi="ar-EG"/>
        </w:rPr>
        <w:t xml:space="preserve"> de </w:t>
      </w:r>
      <w:proofErr w:type="spellStart"/>
      <w:r w:rsidRPr="00991EEB">
        <w:rPr>
          <w:rFonts w:ascii="Sakkal Majalla" w:hAnsi="Sakkal Majalla" w:cs="Sakkal Majalla"/>
          <w:sz w:val="32"/>
          <w:szCs w:val="32"/>
          <w:lang w:bidi="ar-EG"/>
        </w:rPr>
        <w:t>l'électro</w:t>
      </w:r>
      <w:proofErr w:type="spellEnd"/>
      <w:r w:rsidRPr="00991EEB">
        <w:rPr>
          <w:rFonts w:ascii="Sakkal Majalla" w:hAnsi="Sakkal Majalla" w:cs="Sakkal Majalla"/>
          <w:sz w:val="32"/>
          <w:szCs w:val="32"/>
          <w:lang w:bidi="ar-EG"/>
        </w:rPr>
        <w:t xml:space="preserve">-bohème », Cah. propr. </w:t>
      </w:r>
      <w:proofErr w:type="spellStart"/>
      <w:r w:rsidRPr="00991EEB">
        <w:rPr>
          <w:rFonts w:ascii="Sakkal Majalla" w:hAnsi="Sakkal Majalla" w:cs="Sakkal Majalla"/>
          <w:sz w:val="32"/>
          <w:szCs w:val="32"/>
          <w:lang w:bidi="ar-EG"/>
        </w:rPr>
        <w:t>intell</w:t>
      </w:r>
      <w:proofErr w:type="spellEnd"/>
      <w:r w:rsidRPr="00991EEB">
        <w:rPr>
          <w:rFonts w:ascii="Sakkal Majalla" w:hAnsi="Sakkal Majalla" w:cs="Sakkal Majalla"/>
          <w:sz w:val="32"/>
          <w:szCs w:val="32"/>
          <w:lang w:bidi="ar-EG"/>
        </w:rPr>
        <w:t>. 1994, vol. 7, no 2, p. 181</w:t>
      </w:r>
      <w:r w:rsidRPr="00991EEB">
        <w:rPr>
          <w:rFonts w:ascii="Sakkal Majalla" w:hAnsi="Sakkal Majalla" w:cs="Sakkal Majalla"/>
          <w:sz w:val="32"/>
          <w:szCs w:val="32"/>
          <w:rtl/>
          <w:lang w:bidi="ar-EG"/>
        </w:rPr>
        <w:t>.</w:t>
      </w:r>
    </w:p>
    <w:p w14:paraId="23657C1C"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t xml:space="preserve">La </w:t>
      </w:r>
      <w:proofErr w:type="spellStart"/>
      <w:r w:rsidRPr="00991EEB">
        <w:rPr>
          <w:rFonts w:ascii="Sakkal Majalla" w:hAnsi="Sakkal Majalla" w:cs="Sakkal Majalla"/>
          <w:sz w:val="32"/>
          <w:szCs w:val="32"/>
          <w:lang w:bidi="ar-EG"/>
        </w:rPr>
        <w:t>cybersécurité</w:t>
      </w:r>
      <w:proofErr w:type="spellEnd"/>
      <w:r w:rsidRPr="00991EEB">
        <w:rPr>
          <w:rFonts w:ascii="Sakkal Majalla" w:hAnsi="Sakkal Majalla" w:cs="Sakkal Majalla"/>
          <w:sz w:val="32"/>
          <w:szCs w:val="32"/>
          <w:lang w:bidi="ar-EG"/>
        </w:rPr>
        <w:t xml:space="preserve"> est </w:t>
      </w:r>
      <w:proofErr w:type="spellStart"/>
      <w:r w:rsidRPr="00991EEB">
        <w:rPr>
          <w:rFonts w:ascii="Sakkal Majalla" w:hAnsi="Sakkal Majalla" w:cs="Sakkal Majalla"/>
          <w:sz w:val="32"/>
          <w:szCs w:val="32"/>
          <w:lang w:bidi="ar-EG"/>
        </w:rPr>
        <w:t>l'ensemble</w:t>
      </w:r>
      <w:proofErr w:type="spellEnd"/>
      <w:r w:rsidRPr="00991EEB">
        <w:rPr>
          <w:rFonts w:ascii="Sakkal Majalla" w:hAnsi="Sakkal Majalla" w:cs="Sakkal Majalla"/>
          <w:sz w:val="32"/>
          <w:szCs w:val="32"/>
          <w:lang w:bidi="ar-EG"/>
        </w:rPr>
        <w:t xml:space="preserve"> des moyens </w:t>
      </w:r>
      <w:proofErr w:type="spellStart"/>
      <w:r w:rsidRPr="00991EEB">
        <w:rPr>
          <w:rFonts w:ascii="Sakkal Majalla" w:hAnsi="Sakkal Majalla" w:cs="Sakkal Majalla"/>
          <w:sz w:val="32"/>
          <w:szCs w:val="32"/>
          <w:lang w:bidi="ar-EG"/>
        </w:rPr>
        <w:t>utilisés</w:t>
      </w:r>
      <w:proofErr w:type="spellEnd"/>
      <w:r w:rsidRPr="00991EEB">
        <w:rPr>
          <w:rFonts w:ascii="Sakkal Majalla" w:hAnsi="Sakkal Majalla" w:cs="Sakkal Majalla"/>
          <w:sz w:val="32"/>
          <w:szCs w:val="32"/>
          <w:lang w:bidi="ar-EG"/>
        </w:rPr>
        <w:t xml:space="preserve"> pour assurer la </w:t>
      </w:r>
      <w:proofErr w:type="spellStart"/>
      <w:r w:rsidRPr="00991EEB">
        <w:rPr>
          <w:rFonts w:ascii="Sakkal Majalla" w:hAnsi="Sakkal Majalla" w:cs="Sakkal Majalla"/>
          <w:sz w:val="32"/>
          <w:szCs w:val="32"/>
          <w:lang w:bidi="ar-EG"/>
        </w:rPr>
        <w:t>sécurité</w:t>
      </w:r>
      <w:proofErr w:type="spellEnd"/>
      <w:r w:rsidRPr="00991EEB">
        <w:rPr>
          <w:rFonts w:ascii="Sakkal Majalla" w:hAnsi="Sakkal Majalla" w:cs="Sakkal Majalla"/>
          <w:sz w:val="32"/>
          <w:szCs w:val="32"/>
          <w:lang w:bidi="ar-EG"/>
        </w:rPr>
        <w:t xml:space="preserve"> des </w:t>
      </w:r>
      <w:proofErr w:type="spellStart"/>
      <w:r w:rsidRPr="00991EEB">
        <w:rPr>
          <w:rFonts w:ascii="Sakkal Majalla" w:hAnsi="Sakkal Majalla" w:cs="Sakkal Majalla"/>
          <w:sz w:val="32"/>
          <w:szCs w:val="32"/>
          <w:lang w:bidi="ar-EG"/>
        </w:rPr>
        <w:t>systèmes</w:t>
      </w:r>
      <w:proofErr w:type="spellEnd"/>
      <w:r w:rsidRPr="00991EEB">
        <w:rPr>
          <w:rFonts w:ascii="Sakkal Majalla" w:hAnsi="Sakkal Majalla" w:cs="Sakkal Majalla"/>
          <w:sz w:val="32"/>
          <w:szCs w:val="32"/>
          <w:lang w:bidi="ar-EG"/>
        </w:rPr>
        <w:t xml:space="preserve"> et des données </w:t>
      </w:r>
      <w:proofErr w:type="spellStart"/>
      <w:r w:rsidRPr="00991EEB">
        <w:rPr>
          <w:rFonts w:ascii="Sakkal Majalla" w:hAnsi="Sakkal Majalla" w:cs="Sakkal Majalla"/>
          <w:sz w:val="32"/>
          <w:szCs w:val="32"/>
          <w:lang w:bidi="ar-EG"/>
        </w:rPr>
        <w:t>informatiques</w:t>
      </w:r>
      <w:proofErr w:type="spellEnd"/>
      <w:r w:rsidRPr="00991EEB">
        <w:rPr>
          <w:rFonts w:ascii="Sakkal Majalla" w:hAnsi="Sakkal Majalla" w:cs="Sakkal Majalla"/>
          <w:sz w:val="32"/>
          <w:szCs w:val="32"/>
          <w:lang w:bidi="ar-EG"/>
        </w:rPr>
        <w:t xml:space="preserve"> d'un État, </w:t>
      </w:r>
      <w:proofErr w:type="spellStart"/>
      <w:r w:rsidRPr="00991EEB">
        <w:rPr>
          <w:rFonts w:ascii="Sakkal Majalla" w:hAnsi="Sakkal Majalla" w:cs="Sakkal Majalla"/>
          <w:sz w:val="32"/>
          <w:szCs w:val="32"/>
          <w:lang w:bidi="ar-EG"/>
        </w:rPr>
        <w:t>d'une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entreprise</w:t>
      </w:r>
      <w:proofErr w:type="spellEnd"/>
      <w:r w:rsidRPr="00991EEB">
        <w:rPr>
          <w:rFonts w:ascii="Sakkal Majalla" w:hAnsi="Sakkal Majalla" w:cs="Sakkal Majalla"/>
          <w:sz w:val="32"/>
          <w:szCs w:val="32"/>
          <w:lang w:bidi="ar-EG"/>
        </w:rPr>
        <w:t xml:space="preserve">, etc.», L. HERCE, </w:t>
      </w:r>
      <w:proofErr w:type="spellStart"/>
      <w:r w:rsidRPr="00991EEB">
        <w:rPr>
          <w:rFonts w:ascii="Sakkal Majalla" w:hAnsi="Sakkal Majalla" w:cs="Sakkal Majalla"/>
          <w:sz w:val="32"/>
          <w:szCs w:val="32"/>
          <w:lang w:bidi="ar-EG"/>
        </w:rPr>
        <w:t>Comprenez</w:t>
      </w:r>
      <w:proofErr w:type="spellEnd"/>
      <w:r w:rsidRPr="00991EEB">
        <w:rPr>
          <w:rFonts w:ascii="Sakkal Majalla" w:hAnsi="Sakkal Majalla" w:cs="Sakkal Majalla"/>
          <w:sz w:val="32"/>
          <w:szCs w:val="32"/>
          <w:lang w:bidi="ar-EG"/>
        </w:rPr>
        <w:t xml:space="preserve"> la notion de </w:t>
      </w:r>
      <w:proofErr w:type="spellStart"/>
      <w:r w:rsidRPr="00991EEB">
        <w:rPr>
          <w:rFonts w:ascii="Sakkal Majalla" w:hAnsi="Sakkal Majalla" w:cs="Sakkal Majalla"/>
          <w:sz w:val="32"/>
          <w:szCs w:val="32"/>
          <w:lang w:bidi="ar-EG"/>
        </w:rPr>
        <w:t>cybersécurité</w:t>
      </w:r>
      <w:proofErr w:type="spellEnd"/>
      <w:r w:rsidRPr="00991EEB">
        <w:rPr>
          <w:rFonts w:ascii="Sakkal Majalla" w:hAnsi="Sakkal Majalla" w:cs="Sakkal Majalla"/>
          <w:sz w:val="32"/>
          <w:szCs w:val="32"/>
          <w:lang w:bidi="ar-EG"/>
        </w:rPr>
        <w:t xml:space="preserve"> pour (</w:t>
      </w:r>
      <w:proofErr w:type="spellStart"/>
      <w:r w:rsidRPr="00991EEB">
        <w:rPr>
          <w:rFonts w:ascii="Sakkal Majalla" w:hAnsi="Sakkal Majalla" w:cs="Sakkal Majalla"/>
          <w:sz w:val="32"/>
          <w:szCs w:val="32"/>
          <w:lang w:bidi="ar-EG"/>
        </w:rPr>
        <w:t>mieux</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protéger</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votre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entreprise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Appvizer</w:t>
      </w:r>
      <w:proofErr w:type="spellEnd"/>
      <w:r w:rsidRPr="00991EEB">
        <w:rPr>
          <w:rFonts w:ascii="Sakkal Majalla" w:hAnsi="Sakkal Majalla" w:cs="Sakkal Majalla"/>
          <w:sz w:val="32"/>
          <w:szCs w:val="32"/>
          <w:lang w:bidi="ar-EG"/>
        </w:rPr>
        <w:t xml:space="preserve">, Mis à jour le 17 </w:t>
      </w:r>
      <w:proofErr w:type="spellStart"/>
      <w:r w:rsidRPr="00991EEB">
        <w:rPr>
          <w:rFonts w:ascii="Sakkal Majalla" w:hAnsi="Sakkal Majalla" w:cs="Sakkal Majalla"/>
          <w:sz w:val="32"/>
          <w:szCs w:val="32"/>
          <w:lang w:bidi="ar-EG"/>
        </w:rPr>
        <w:t>novembre</w:t>
      </w:r>
      <w:proofErr w:type="spellEnd"/>
      <w:r w:rsidRPr="00991EEB">
        <w:rPr>
          <w:rFonts w:ascii="Sakkal Majalla" w:hAnsi="Sakkal Majalla" w:cs="Sakkal Majalla"/>
          <w:sz w:val="32"/>
          <w:szCs w:val="32"/>
          <w:lang w:bidi="ar-EG"/>
        </w:rPr>
        <w:t xml:space="preserve"> 2020, </w:t>
      </w:r>
      <w:proofErr w:type="spellStart"/>
      <w:r w:rsidRPr="00991EEB">
        <w:rPr>
          <w:rFonts w:ascii="Sakkal Majalla" w:hAnsi="Sakkal Majalla" w:cs="Sakkal Majalla"/>
          <w:sz w:val="32"/>
          <w:szCs w:val="32"/>
          <w:lang w:bidi="ar-EG"/>
        </w:rPr>
        <w:t>publié</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initialement</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en</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août</w:t>
      </w:r>
      <w:proofErr w:type="spellEnd"/>
      <w:r w:rsidRPr="00991EEB">
        <w:rPr>
          <w:rFonts w:ascii="Sakkal Majalla" w:hAnsi="Sakkal Majalla" w:cs="Sakkal Majalla"/>
          <w:sz w:val="32"/>
          <w:szCs w:val="32"/>
          <w:lang w:bidi="ar-EG"/>
        </w:rPr>
        <w:t xml:space="preserve"> 2020, </w:t>
      </w:r>
    </w:p>
    <w:p w14:paraId="07570C67"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t xml:space="preserve">L. MAZEAU, Intelligence </w:t>
      </w:r>
      <w:proofErr w:type="spellStart"/>
      <w:r w:rsidRPr="00991EEB">
        <w:rPr>
          <w:rFonts w:ascii="Sakkal Majalla" w:hAnsi="Sakkal Majalla" w:cs="Sakkal Majalla"/>
          <w:sz w:val="32"/>
          <w:szCs w:val="32"/>
          <w:lang w:bidi="ar-EG"/>
        </w:rPr>
        <w:t>artificielle</w:t>
      </w:r>
      <w:proofErr w:type="spellEnd"/>
      <w:r w:rsidRPr="00991EEB">
        <w:rPr>
          <w:rFonts w:ascii="Sakkal Majalla" w:hAnsi="Sakkal Majalla" w:cs="Sakkal Majalla"/>
          <w:sz w:val="32"/>
          <w:szCs w:val="32"/>
          <w:lang w:bidi="ar-EG"/>
        </w:rPr>
        <w:t xml:space="preserve"> et </w:t>
      </w:r>
      <w:proofErr w:type="spellStart"/>
      <w:r w:rsidRPr="00991EEB">
        <w:rPr>
          <w:rFonts w:ascii="Sakkal Majalla" w:hAnsi="Sakkal Majalla" w:cs="Sakkal Majalla"/>
          <w:sz w:val="32"/>
          <w:szCs w:val="32"/>
          <w:lang w:bidi="ar-EG"/>
        </w:rPr>
        <w:t>responsabilité</w:t>
      </w:r>
      <w:proofErr w:type="spellEnd"/>
      <w:r w:rsidRPr="00991EEB">
        <w:rPr>
          <w:rFonts w:ascii="Sakkal Majalla" w:hAnsi="Sakkal Majalla" w:cs="Sakkal Majalla"/>
          <w:sz w:val="32"/>
          <w:szCs w:val="32"/>
          <w:lang w:bidi="ar-EG"/>
        </w:rPr>
        <w:t xml:space="preserve"> civile: le </w:t>
      </w:r>
      <w:proofErr w:type="spellStart"/>
      <w:r w:rsidRPr="00991EEB">
        <w:rPr>
          <w:rFonts w:ascii="Sakkal Majalla" w:hAnsi="Sakkal Majalla" w:cs="Sakkal Majalla"/>
          <w:sz w:val="32"/>
          <w:szCs w:val="32"/>
          <w:lang w:bidi="ar-EG"/>
        </w:rPr>
        <w:t>cas</w:t>
      </w:r>
      <w:proofErr w:type="spellEnd"/>
      <w:r w:rsidRPr="00991EEB">
        <w:rPr>
          <w:rFonts w:ascii="Sakkal Majalla" w:hAnsi="Sakkal Majalla" w:cs="Sakkal Majalla"/>
          <w:sz w:val="32"/>
          <w:szCs w:val="32"/>
          <w:lang w:bidi="ar-EG"/>
        </w:rPr>
        <w:t xml:space="preserve"> de </w:t>
      </w:r>
      <w:proofErr w:type="spellStart"/>
      <w:r w:rsidRPr="00991EEB">
        <w:rPr>
          <w:rFonts w:ascii="Sakkal Majalla" w:hAnsi="Sakkal Majalla" w:cs="Sakkal Majalla"/>
          <w:sz w:val="32"/>
          <w:szCs w:val="32"/>
          <w:lang w:bidi="ar-EG"/>
        </w:rPr>
        <w:t>logiciels</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d'aide</w:t>
      </w:r>
      <w:proofErr w:type="spellEnd"/>
      <w:r w:rsidRPr="00991EEB">
        <w:rPr>
          <w:rFonts w:ascii="Sakkal Majalla" w:hAnsi="Sakkal Majalla" w:cs="Sakkal Majalla"/>
          <w:sz w:val="32"/>
          <w:szCs w:val="32"/>
          <w:lang w:bidi="ar-EG"/>
        </w:rPr>
        <w:t xml:space="preserve"> à la </w:t>
      </w:r>
      <w:proofErr w:type="spellStart"/>
      <w:r w:rsidRPr="00991EEB">
        <w:rPr>
          <w:rFonts w:ascii="Sakkal Majalla" w:hAnsi="Sakkal Majalla" w:cs="Sakkal Majalla"/>
          <w:sz w:val="32"/>
          <w:szCs w:val="32"/>
          <w:lang w:bidi="ar-EG"/>
        </w:rPr>
        <w:t>décision</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en</w:t>
      </w:r>
      <w:proofErr w:type="spellEnd"/>
      <w:r w:rsidRPr="00991EEB">
        <w:rPr>
          <w:rFonts w:ascii="Sakkal Majalla" w:hAnsi="Sakkal Majalla" w:cs="Sakkal Majalla"/>
          <w:sz w:val="32"/>
          <w:szCs w:val="32"/>
          <w:lang w:bidi="ar-EG"/>
        </w:rPr>
        <w:t xml:space="preserve"> matière </w:t>
      </w:r>
      <w:proofErr w:type="spellStart"/>
      <w:r w:rsidRPr="00991EEB">
        <w:rPr>
          <w:rFonts w:ascii="Sakkal Majalla" w:hAnsi="Sakkal Majalla" w:cs="Sakkal Majalla"/>
          <w:sz w:val="32"/>
          <w:szCs w:val="32"/>
          <w:lang w:bidi="ar-EG"/>
        </w:rPr>
        <w:t>médicale</w:t>
      </w:r>
      <w:proofErr w:type="spellEnd"/>
      <w:r w:rsidRPr="00991EEB">
        <w:rPr>
          <w:rFonts w:ascii="Sakkal Majalla" w:hAnsi="Sakkal Majalla" w:cs="Sakkal Majalla"/>
          <w:sz w:val="32"/>
          <w:szCs w:val="32"/>
          <w:lang w:bidi="ar-EG"/>
        </w:rPr>
        <w:t xml:space="preserve">, Rév. pratique de la prospective de </w:t>
      </w:r>
      <w:proofErr w:type="spellStart"/>
      <w:r w:rsidRPr="00991EEB">
        <w:rPr>
          <w:rFonts w:ascii="Sakkal Majalla" w:hAnsi="Sakkal Majalla" w:cs="Sakkal Majalla"/>
          <w:sz w:val="32"/>
          <w:szCs w:val="32"/>
          <w:lang w:bidi="ar-EG"/>
        </w:rPr>
        <w:t>l'innovation</w:t>
      </w:r>
      <w:proofErr w:type="spellEnd"/>
      <w:r w:rsidRPr="00991EEB">
        <w:rPr>
          <w:rFonts w:ascii="Sakkal Majalla" w:hAnsi="Sakkal Majalla" w:cs="Sakkal Majalla"/>
          <w:sz w:val="32"/>
          <w:szCs w:val="32"/>
          <w:lang w:bidi="ar-EG"/>
        </w:rPr>
        <w:t>, p. 47.</w:t>
      </w:r>
    </w:p>
    <w:p w14:paraId="318370CF"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t xml:space="preserve">MENDOZA, « Le droit </w:t>
      </w:r>
      <w:proofErr w:type="spellStart"/>
      <w:r w:rsidRPr="00991EEB">
        <w:rPr>
          <w:rFonts w:ascii="Sakkal Majalla" w:hAnsi="Sakkal Majalla" w:cs="Sakkal Majalla"/>
          <w:sz w:val="32"/>
          <w:szCs w:val="32"/>
          <w:lang w:bidi="ar-EG"/>
        </w:rPr>
        <w:t>confronté</w:t>
      </w:r>
      <w:proofErr w:type="spellEnd"/>
      <w:r w:rsidRPr="00991EEB">
        <w:rPr>
          <w:rFonts w:ascii="Sakkal Majalla" w:hAnsi="Sakkal Majalla" w:cs="Sakkal Majalla"/>
          <w:sz w:val="32"/>
          <w:szCs w:val="32"/>
          <w:lang w:bidi="ar-EG"/>
        </w:rPr>
        <w:t xml:space="preserve"> à </w:t>
      </w:r>
      <w:proofErr w:type="spellStart"/>
      <w:r w:rsidRPr="00991EEB">
        <w:rPr>
          <w:rFonts w:ascii="Sakkal Majalla" w:hAnsi="Sakkal Majalla" w:cs="Sakkal Majalla"/>
          <w:sz w:val="32"/>
          <w:szCs w:val="32"/>
          <w:lang w:bidi="ar-EG"/>
        </w:rPr>
        <w:t>l'intelligence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artificielle</w:t>
      </w:r>
      <w:proofErr w:type="spellEnd"/>
      <w:r w:rsidRPr="00991EEB">
        <w:rPr>
          <w:rFonts w:ascii="Sakkal Majalla" w:hAnsi="Sakkal Majalla" w:cs="Sakkal Majalla"/>
          <w:sz w:val="32"/>
          <w:szCs w:val="32"/>
          <w:lang w:bidi="ar-EG"/>
        </w:rPr>
        <w:t xml:space="preserve"> des robots: vers </w:t>
      </w:r>
      <w:proofErr w:type="spellStart"/>
      <w:r w:rsidRPr="00991EEB">
        <w:rPr>
          <w:rFonts w:ascii="Sakkal Majalla" w:hAnsi="Sakkal Majalla" w:cs="Sakkal Majalla"/>
          <w:sz w:val="32"/>
          <w:szCs w:val="32"/>
          <w:lang w:bidi="ar-EG"/>
        </w:rPr>
        <w:t>l'émergence</w:t>
      </w:r>
      <w:proofErr w:type="spellEnd"/>
      <w:r w:rsidRPr="00991EEB">
        <w:rPr>
          <w:rFonts w:ascii="Sakkal Majalla" w:hAnsi="Sakkal Majalla" w:cs="Sakkal Majalla"/>
          <w:sz w:val="32"/>
          <w:szCs w:val="32"/>
          <w:lang w:bidi="ar-EG"/>
        </w:rPr>
        <w:t xml:space="preserve"> de nouveaux concepts </w:t>
      </w:r>
      <w:proofErr w:type="spellStart"/>
      <w:r w:rsidRPr="00991EEB">
        <w:rPr>
          <w:rFonts w:ascii="Sakkal Majalla" w:hAnsi="Sakkal Majalla" w:cs="Sakkal Majalla"/>
          <w:sz w:val="32"/>
          <w:szCs w:val="32"/>
          <w:lang w:bidi="ar-EG"/>
        </w:rPr>
        <w:t>juridiques</w:t>
      </w:r>
      <w:proofErr w:type="spellEnd"/>
      <w:r w:rsidRPr="00991EEB">
        <w:rPr>
          <w:rFonts w:ascii="Sakkal Majalla" w:hAnsi="Sakkal Majalla" w:cs="Sakkal Majalla"/>
          <w:sz w:val="32"/>
          <w:szCs w:val="32"/>
          <w:lang w:bidi="ar-EG"/>
        </w:rPr>
        <w:t>? », p. 447.</w:t>
      </w:r>
    </w:p>
    <w:p w14:paraId="1A8B812E"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t xml:space="preserve">Pouget, Jonathan. (2019). La </w:t>
      </w:r>
      <w:proofErr w:type="spellStart"/>
      <w:r w:rsidRPr="00991EEB">
        <w:rPr>
          <w:rFonts w:ascii="Sakkal Majalla" w:hAnsi="Sakkal Majalla" w:cs="Sakkal Majalla"/>
          <w:sz w:val="32"/>
          <w:szCs w:val="32"/>
          <w:lang w:bidi="ar-EG"/>
        </w:rPr>
        <w:t>réparation</w:t>
      </w:r>
      <w:proofErr w:type="spellEnd"/>
      <w:r w:rsidRPr="00991EEB">
        <w:rPr>
          <w:rFonts w:ascii="Sakkal Majalla" w:hAnsi="Sakkal Majalla" w:cs="Sakkal Majalla"/>
          <w:sz w:val="32"/>
          <w:szCs w:val="32"/>
          <w:lang w:bidi="ar-EG"/>
        </w:rPr>
        <w:t xml:space="preserve"> du </w:t>
      </w:r>
      <w:proofErr w:type="spellStart"/>
      <w:r w:rsidRPr="00991EEB">
        <w:rPr>
          <w:rFonts w:ascii="Sakkal Majalla" w:hAnsi="Sakkal Majalla" w:cs="Sakkal Majalla"/>
          <w:sz w:val="32"/>
          <w:szCs w:val="32"/>
          <w:lang w:bidi="ar-EG"/>
        </w:rPr>
        <w:t>dommage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impliquant</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une</w:t>
      </w:r>
      <w:proofErr w:type="spellEnd"/>
      <w:r w:rsidRPr="00991EEB">
        <w:rPr>
          <w:rFonts w:ascii="Sakkal Majalla" w:hAnsi="Sakkal Majalla" w:cs="Sakkal Majalla"/>
          <w:sz w:val="32"/>
          <w:szCs w:val="32"/>
          <w:lang w:bidi="ar-EG"/>
        </w:rPr>
        <w:t xml:space="preserve"> intelligence </w:t>
      </w:r>
      <w:proofErr w:type="spellStart"/>
      <w:r w:rsidRPr="00991EEB">
        <w:rPr>
          <w:rFonts w:ascii="Sakkal Majalla" w:hAnsi="Sakkal Majalla" w:cs="Sakkal Majalla"/>
          <w:sz w:val="32"/>
          <w:szCs w:val="32"/>
          <w:lang w:bidi="ar-EG"/>
        </w:rPr>
        <w:t>artificielle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Thèse</w:t>
      </w:r>
      <w:proofErr w:type="spellEnd"/>
      <w:r w:rsidRPr="00991EEB">
        <w:rPr>
          <w:rFonts w:ascii="Sakkal Majalla" w:hAnsi="Sakkal Majalla" w:cs="Sakkal Majalla"/>
          <w:sz w:val="32"/>
          <w:szCs w:val="32"/>
          <w:lang w:bidi="ar-EG"/>
        </w:rPr>
        <w:t xml:space="preserve"> de </w:t>
      </w:r>
      <w:proofErr w:type="spellStart"/>
      <w:r w:rsidRPr="00991EEB">
        <w:rPr>
          <w:rFonts w:ascii="Sakkal Majalla" w:hAnsi="Sakkal Majalla" w:cs="Sakkal Majalla"/>
          <w:sz w:val="32"/>
          <w:szCs w:val="32"/>
          <w:lang w:bidi="ar-EG"/>
        </w:rPr>
        <w:t>doctorat</w:t>
      </w:r>
      <w:proofErr w:type="spellEnd"/>
      <w:r w:rsidRPr="00991EEB">
        <w:rPr>
          <w:rFonts w:ascii="Sakkal Majalla" w:hAnsi="Sakkal Majalla" w:cs="Sakkal Majalla"/>
          <w:sz w:val="32"/>
          <w:szCs w:val="32"/>
          <w:lang w:bidi="ar-EG"/>
        </w:rPr>
        <w:t xml:space="preserve">, sous la direction de Marc Bruschi). Université </w:t>
      </w:r>
      <w:proofErr w:type="spellStart"/>
      <w:r w:rsidRPr="00991EEB">
        <w:rPr>
          <w:rFonts w:ascii="Sakkal Majalla" w:hAnsi="Sakkal Majalla" w:cs="Sakkal Majalla"/>
          <w:sz w:val="32"/>
          <w:szCs w:val="32"/>
          <w:lang w:bidi="ar-EG"/>
        </w:rPr>
        <w:t>d’Aix</w:t>
      </w:r>
      <w:proofErr w:type="spellEnd"/>
      <w:r w:rsidRPr="00991EEB">
        <w:rPr>
          <w:rFonts w:ascii="Sakkal Majalla" w:hAnsi="Sakkal Majalla" w:cs="Sakkal Majalla"/>
          <w:sz w:val="32"/>
          <w:szCs w:val="32"/>
          <w:lang w:bidi="ar-EG"/>
        </w:rPr>
        <w:t xml:space="preserve">-Marseille, </w:t>
      </w:r>
    </w:p>
    <w:p w14:paraId="74E77C3A"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proofErr w:type="spellStart"/>
      <w:r w:rsidRPr="00991EEB">
        <w:rPr>
          <w:rFonts w:ascii="Sakkal Majalla" w:hAnsi="Sakkal Majalla" w:cs="Sakkal Majalla"/>
          <w:sz w:val="32"/>
          <w:szCs w:val="32"/>
          <w:lang w:bidi="ar-EG"/>
        </w:rPr>
        <w:t>Tisseron</w:t>
      </w:r>
      <w:proofErr w:type="spellEnd"/>
      <w:r w:rsidRPr="00991EEB">
        <w:rPr>
          <w:rFonts w:ascii="Sakkal Majalla" w:hAnsi="Sakkal Majalla" w:cs="Sakkal Majalla"/>
          <w:sz w:val="32"/>
          <w:szCs w:val="32"/>
          <w:lang w:bidi="ar-EG"/>
        </w:rPr>
        <w:t xml:space="preserve">, Serge. (2015). Le jour </w:t>
      </w:r>
      <w:proofErr w:type="spellStart"/>
      <w:r w:rsidRPr="00991EEB">
        <w:rPr>
          <w:rFonts w:ascii="Sakkal Majalla" w:hAnsi="Sakkal Majalla" w:cs="Sakkal Majalla"/>
          <w:sz w:val="32"/>
          <w:szCs w:val="32"/>
          <w:lang w:bidi="ar-EG"/>
        </w:rPr>
        <w:t>où</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mon</w:t>
      </w:r>
      <w:proofErr w:type="spellEnd"/>
      <w:r w:rsidRPr="00991EEB">
        <w:rPr>
          <w:rFonts w:ascii="Sakkal Majalla" w:hAnsi="Sakkal Majalla" w:cs="Sakkal Majalla"/>
          <w:sz w:val="32"/>
          <w:szCs w:val="32"/>
          <w:lang w:bidi="ar-EG"/>
        </w:rPr>
        <w:t xml:space="preserve"> robot </w:t>
      </w:r>
      <w:proofErr w:type="spellStart"/>
      <w:r w:rsidRPr="00991EEB">
        <w:rPr>
          <w:rFonts w:ascii="Sakkal Majalla" w:hAnsi="Sakkal Majalla" w:cs="Sakkal Majalla"/>
          <w:sz w:val="32"/>
          <w:szCs w:val="32"/>
          <w:lang w:bidi="ar-EG"/>
        </w:rPr>
        <w:t>m’aimera</w:t>
      </w:r>
      <w:proofErr w:type="spellEnd"/>
      <w:r w:rsidRPr="00991EEB">
        <w:rPr>
          <w:rFonts w:ascii="Sakkal Majalla" w:hAnsi="Sakkal Majalla" w:cs="Sakkal Majalla"/>
          <w:sz w:val="32"/>
          <w:szCs w:val="32"/>
          <w:lang w:bidi="ar-EG"/>
        </w:rPr>
        <w:t xml:space="preserve">: Vers </w:t>
      </w:r>
      <w:proofErr w:type="spellStart"/>
      <w:r w:rsidRPr="00991EEB">
        <w:rPr>
          <w:rFonts w:ascii="Sakkal Majalla" w:hAnsi="Sakkal Majalla" w:cs="Sakkal Majalla"/>
          <w:sz w:val="32"/>
          <w:szCs w:val="32"/>
          <w:lang w:bidi="ar-EG"/>
        </w:rPr>
        <w:t>l’empathie</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artificielle</w:t>
      </w:r>
      <w:proofErr w:type="spellEnd"/>
      <w:r w:rsidRPr="00991EEB">
        <w:rPr>
          <w:rFonts w:ascii="Sakkal Majalla" w:hAnsi="Sakkal Majalla" w:cs="Sakkal Majalla"/>
          <w:sz w:val="32"/>
          <w:szCs w:val="32"/>
          <w:lang w:bidi="ar-EG"/>
        </w:rPr>
        <w:t>. Albin Michel, p</w:t>
      </w:r>
    </w:p>
    <w:p w14:paraId="6F95B7F3"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proofErr w:type="spellStart"/>
      <w:r w:rsidRPr="00991EEB">
        <w:rPr>
          <w:rFonts w:ascii="Sakkal Majalla" w:hAnsi="Sakkal Majalla" w:cs="Sakkal Majalla"/>
          <w:sz w:val="32"/>
          <w:szCs w:val="32"/>
          <w:lang w:bidi="ar-EG"/>
        </w:rPr>
        <w:t>Tisseron</w:t>
      </w:r>
      <w:proofErr w:type="spellEnd"/>
      <w:r w:rsidRPr="00991EEB">
        <w:rPr>
          <w:rFonts w:ascii="Sakkal Majalla" w:hAnsi="Sakkal Majalla" w:cs="Sakkal Majalla"/>
          <w:sz w:val="32"/>
          <w:szCs w:val="32"/>
          <w:lang w:bidi="ar-EG"/>
        </w:rPr>
        <w:t xml:space="preserve">, Serge, &amp; </w:t>
      </w:r>
      <w:proofErr w:type="spellStart"/>
      <w:r w:rsidRPr="00991EEB">
        <w:rPr>
          <w:rFonts w:ascii="Sakkal Majalla" w:hAnsi="Sakkal Majalla" w:cs="Sakkal Majalla"/>
          <w:sz w:val="32"/>
          <w:szCs w:val="32"/>
          <w:lang w:bidi="ar-EG"/>
        </w:rPr>
        <w:t>Tordo</w:t>
      </w:r>
      <w:proofErr w:type="spellEnd"/>
      <w:r w:rsidRPr="00991EEB">
        <w:rPr>
          <w:rFonts w:ascii="Sakkal Majalla" w:hAnsi="Sakkal Majalla" w:cs="Sakkal Majalla"/>
          <w:sz w:val="32"/>
          <w:szCs w:val="32"/>
          <w:lang w:bidi="ar-EG"/>
        </w:rPr>
        <w:t xml:space="preserve">, Frédéric. (2018). Robots: De nouveaux </w:t>
      </w:r>
      <w:proofErr w:type="spellStart"/>
      <w:r w:rsidRPr="00991EEB">
        <w:rPr>
          <w:rFonts w:ascii="Sakkal Majalla" w:hAnsi="Sakkal Majalla" w:cs="Sakkal Majalla"/>
          <w:sz w:val="32"/>
          <w:szCs w:val="32"/>
          <w:lang w:bidi="ar-EG"/>
        </w:rPr>
        <w:t>partenaires</w:t>
      </w:r>
      <w:proofErr w:type="spellEnd"/>
      <w:r w:rsidRPr="00991EEB">
        <w:rPr>
          <w:rFonts w:ascii="Sakkal Majalla" w:hAnsi="Sakkal Majalla" w:cs="Sakkal Majalla"/>
          <w:sz w:val="32"/>
          <w:szCs w:val="32"/>
          <w:lang w:bidi="ar-EG"/>
        </w:rPr>
        <w:t xml:space="preserve"> de </w:t>
      </w:r>
      <w:proofErr w:type="spellStart"/>
      <w:r w:rsidRPr="00991EEB">
        <w:rPr>
          <w:rFonts w:ascii="Sakkal Majalla" w:hAnsi="Sakkal Majalla" w:cs="Sakkal Majalla"/>
          <w:sz w:val="32"/>
          <w:szCs w:val="32"/>
          <w:lang w:bidi="ar-EG"/>
        </w:rPr>
        <w:t>soins</w:t>
      </w:r>
      <w:proofErr w:type="spellEnd"/>
      <w:r w:rsidRPr="00991EEB">
        <w:rPr>
          <w:rFonts w:ascii="Sakkal Majalla" w:hAnsi="Sakkal Majalla" w:cs="Sakkal Majalla"/>
          <w:sz w:val="32"/>
          <w:szCs w:val="32"/>
          <w:lang w:bidi="ar-EG"/>
        </w:rPr>
        <w:t xml:space="preserve"> </w:t>
      </w:r>
      <w:proofErr w:type="spellStart"/>
      <w:r w:rsidRPr="00991EEB">
        <w:rPr>
          <w:rFonts w:ascii="Sakkal Majalla" w:hAnsi="Sakkal Majalla" w:cs="Sakkal Majalla"/>
          <w:sz w:val="32"/>
          <w:szCs w:val="32"/>
          <w:lang w:bidi="ar-EG"/>
        </w:rPr>
        <w:t>psychiques</w:t>
      </w:r>
      <w:proofErr w:type="spellEnd"/>
      <w:r w:rsidRPr="00991EEB">
        <w:rPr>
          <w:rFonts w:ascii="Sakkal Majalla" w:hAnsi="Sakkal Majalla" w:cs="Sakkal Majalla"/>
          <w:sz w:val="32"/>
          <w:szCs w:val="32"/>
          <w:lang w:bidi="ar-EG"/>
        </w:rPr>
        <w:t xml:space="preserve">. Éditions </w:t>
      </w:r>
      <w:proofErr w:type="spellStart"/>
      <w:r w:rsidRPr="00991EEB">
        <w:rPr>
          <w:rFonts w:ascii="Sakkal Majalla" w:hAnsi="Sakkal Majalla" w:cs="Sakkal Majalla"/>
          <w:sz w:val="32"/>
          <w:szCs w:val="32"/>
          <w:lang w:bidi="ar-EG"/>
        </w:rPr>
        <w:t>érès</w:t>
      </w:r>
      <w:proofErr w:type="spellEnd"/>
      <w:r w:rsidRPr="00991EEB">
        <w:rPr>
          <w:rFonts w:ascii="Sakkal Majalla" w:hAnsi="Sakkal Majalla" w:cs="Sakkal Majalla"/>
          <w:sz w:val="32"/>
          <w:szCs w:val="32"/>
          <w:lang w:bidi="ar-EG"/>
        </w:rPr>
        <w:t xml:space="preserve">, </w:t>
      </w:r>
    </w:p>
    <w:p w14:paraId="5DBEE148"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lastRenderedPageBreak/>
        <w:t xml:space="preserve">Franziska Boehm, Paulina Pesch, Institute Bitcoin: A First Legal Analysis – with reference to German and US-American law –, Telecommunication-, and Media Law, Leonardo-Campus </w:t>
      </w:r>
    </w:p>
    <w:p w14:paraId="7ED578AB"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lang w:bidi="ar-EG"/>
        </w:rPr>
      </w:pPr>
      <w:r w:rsidRPr="00991EEB">
        <w:rPr>
          <w:rFonts w:ascii="Sakkal Majalla" w:hAnsi="Sakkal Majalla" w:cs="Sakkal Majalla"/>
          <w:sz w:val="32"/>
          <w:szCs w:val="32"/>
          <w:lang w:bidi="ar-EG"/>
        </w:rPr>
        <w:t>Hallevy, Gabriel. (2015). Liability for Crimes Involving Artificial Intelligence Systems. Springer International Publishing.</w:t>
      </w:r>
    </w:p>
    <w:p w14:paraId="5E833F71" w14:textId="77777777" w:rsidR="00991EEB" w:rsidRPr="00991EEB" w:rsidRDefault="00991EEB" w:rsidP="00991EEB">
      <w:pPr>
        <w:pStyle w:val="a5"/>
        <w:numPr>
          <w:ilvl w:val="0"/>
          <w:numId w:val="39"/>
        </w:numPr>
        <w:spacing w:line="360" w:lineRule="auto"/>
        <w:jc w:val="mediumKashida"/>
        <w:rPr>
          <w:rFonts w:ascii="Sakkal Majalla" w:hAnsi="Sakkal Majalla" w:cs="Sakkal Majalla"/>
          <w:sz w:val="32"/>
          <w:szCs w:val="32"/>
          <w:rtl/>
          <w:lang w:bidi="ar-EG"/>
        </w:rPr>
      </w:pPr>
      <w:r w:rsidRPr="00991EEB">
        <w:rPr>
          <w:rFonts w:ascii="Sakkal Majalla" w:hAnsi="Sakkal Majalla" w:cs="Sakkal Majalla"/>
          <w:sz w:val="32"/>
          <w:szCs w:val="32"/>
          <w:lang w:bidi="ar-EG"/>
        </w:rPr>
        <w:t xml:space="preserve">Simmler, Monika, &amp; </w:t>
      </w:r>
      <w:proofErr w:type="spellStart"/>
      <w:r w:rsidRPr="00991EEB">
        <w:rPr>
          <w:rFonts w:ascii="Sakkal Majalla" w:hAnsi="Sakkal Majalla" w:cs="Sakkal Majalla"/>
          <w:sz w:val="32"/>
          <w:szCs w:val="32"/>
          <w:lang w:bidi="ar-EG"/>
        </w:rPr>
        <w:t>Markwalder</w:t>
      </w:r>
      <w:proofErr w:type="spellEnd"/>
      <w:r w:rsidRPr="00991EEB">
        <w:rPr>
          <w:rFonts w:ascii="Sakkal Majalla" w:hAnsi="Sakkal Majalla" w:cs="Sakkal Majalla"/>
          <w:sz w:val="32"/>
          <w:szCs w:val="32"/>
          <w:lang w:bidi="ar-EG"/>
        </w:rPr>
        <w:t xml:space="preserve">, Nora. (2019). Guilty robots: Rethinking the nature of culpability and legal personhood in an age of artificial intelligence. Criminal Law Forum, </w:t>
      </w:r>
    </w:p>
    <w:p w14:paraId="6C25ADB0" w14:textId="77777777" w:rsidR="00991EEB" w:rsidRPr="00991EEB" w:rsidRDefault="00991EEB" w:rsidP="00991EEB">
      <w:pPr>
        <w:spacing w:line="360" w:lineRule="auto"/>
        <w:jc w:val="mediumKashida"/>
        <w:rPr>
          <w:rFonts w:ascii="Sakkal Majalla" w:hAnsi="Sakkal Majalla" w:cs="Sakkal Majalla"/>
          <w:sz w:val="32"/>
          <w:szCs w:val="32"/>
          <w:rtl/>
          <w:lang w:bidi="ar-EG"/>
        </w:rPr>
      </w:pPr>
    </w:p>
    <w:p w14:paraId="228892A1" w14:textId="77777777" w:rsidR="00991EEB" w:rsidRPr="00991EEB" w:rsidRDefault="00991EEB" w:rsidP="00704859">
      <w:pPr>
        <w:bidi/>
        <w:spacing w:line="360" w:lineRule="auto"/>
        <w:jc w:val="lowKashida"/>
        <w:rPr>
          <w:rFonts w:ascii="Sakkal Majalla" w:hAnsi="Sakkal Majalla" w:cs="Sakkal Majalla"/>
          <w:b/>
          <w:bCs/>
          <w:sz w:val="32"/>
          <w:szCs w:val="32"/>
          <w:rtl/>
          <w:lang w:bidi="ar-EG"/>
        </w:rPr>
      </w:pPr>
    </w:p>
    <w:p w14:paraId="2C754E67" w14:textId="59DD86C8" w:rsidR="00855EBB" w:rsidRPr="00991EEB" w:rsidRDefault="00855EBB" w:rsidP="00991EEB">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قائمة المراجع:</w:t>
      </w:r>
    </w:p>
    <w:p w14:paraId="2B4D84E2" w14:textId="77777777" w:rsidR="00C3224C" w:rsidRPr="00991EEB" w:rsidRDefault="00C3224C" w:rsidP="000C185A">
      <w:pPr>
        <w:pStyle w:val="a3"/>
        <w:numPr>
          <w:ilvl w:val="0"/>
          <w:numId w:val="2"/>
        </w:num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rPr>
        <w:t>التونسي، آيات بنت أحمد،</w:t>
      </w:r>
      <w:r w:rsidR="000C185A" w:rsidRPr="00991EEB">
        <w:rPr>
          <w:rFonts w:ascii="Sakkal Majalla" w:hAnsi="Sakkal Majalla" w:cs="Sakkal Majalla"/>
          <w:sz w:val="32"/>
          <w:szCs w:val="32"/>
          <w:rtl/>
        </w:rPr>
        <w:t xml:space="preserve"> (2024)،</w:t>
      </w:r>
      <w:r w:rsidRPr="00991EEB">
        <w:rPr>
          <w:rFonts w:ascii="Sakkal Majalla" w:hAnsi="Sakkal Majalla" w:cs="Sakkal Majalla"/>
          <w:sz w:val="32"/>
          <w:szCs w:val="32"/>
          <w:rtl/>
        </w:rPr>
        <w:t xml:space="preserve"> "القواعد والإجراءات المنظمة لاستخدامات الذكاء الاصطناعي بالمملكة العربية السعودية وآثارها القانونية (دراسة تحليلية مقارنة)"، المجلة العربية للنشر العلمي، مج (7)، ع (73)</w:t>
      </w:r>
      <w:r w:rsidR="000C185A" w:rsidRPr="00991EEB">
        <w:rPr>
          <w:rFonts w:ascii="Sakkal Majalla" w:hAnsi="Sakkal Majalla" w:cs="Sakkal Majalla"/>
          <w:sz w:val="32"/>
          <w:szCs w:val="32"/>
          <w:rtl/>
        </w:rPr>
        <w:t>.</w:t>
      </w:r>
    </w:p>
    <w:p w14:paraId="57EFA62C" w14:textId="77777777" w:rsidR="00C3224C" w:rsidRPr="00991EEB" w:rsidRDefault="00C3224C" w:rsidP="000C185A">
      <w:pPr>
        <w:pStyle w:val="a3"/>
        <w:numPr>
          <w:ilvl w:val="0"/>
          <w:numId w:val="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rPr>
        <w:t>داغر، سارة محمد،</w:t>
      </w:r>
      <w:r w:rsidR="000C185A" w:rsidRPr="00991EEB">
        <w:rPr>
          <w:rFonts w:ascii="Sakkal Majalla" w:hAnsi="Sakkal Majalla" w:cs="Sakkal Majalla"/>
          <w:sz w:val="32"/>
          <w:szCs w:val="32"/>
          <w:rtl/>
        </w:rPr>
        <w:t xml:space="preserve"> (2023)،</w:t>
      </w:r>
      <w:r w:rsidRPr="00991EEB">
        <w:rPr>
          <w:rFonts w:ascii="Sakkal Majalla" w:hAnsi="Sakkal Majalla" w:cs="Sakkal Majalla"/>
          <w:sz w:val="32"/>
          <w:szCs w:val="32"/>
          <w:rtl/>
        </w:rPr>
        <w:t xml:space="preserve"> "المسؤولية المدنية عن اضرار الروبوت: دراسة مقارنة"، جامعة ميسان، كلية القانون قسم القانون الخاص</w:t>
      </w:r>
      <w:r w:rsidR="000C185A" w:rsidRPr="00991EEB">
        <w:rPr>
          <w:rFonts w:ascii="Sakkal Majalla" w:hAnsi="Sakkal Majalla" w:cs="Sakkal Majalla"/>
          <w:sz w:val="32"/>
          <w:szCs w:val="32"/>
          <w:rtl/>
        </w:rPr>
        <w:t>.</w:t>
      </w:r>
    </w:p>
    <w:p w14:paraId="1FC6B82F" w14:textId="77777777" w:rsidR="00C3224C" w:rsidRPr="00991EEB" w:rsidRDefault="00C3224C" w:rsidP="00020435">
      <w:pPr>
        <w:pStyle w:val="a5"/>
        <w:numPr>
          <w:ilvl w:val="0"/>
          <w:numId w:val="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علي، مصطفي راتب حسن، (2025)، "</w:t>
      </w:r>
      <w:r w:rsidRPr="00991EEB">
        <w:rPr>
          <w:rFonts w:ascii="Sakkal Majalla" w:hAnsi="Sakkal Majalla" w:cs="Sakkal Majalla"/>
          <w:rtl/>
        </w:rPr>
        <w:t xml:space="preserve"> </w:t>
      </w:r>
      <w:r w:rsidRPr="00991EEB">
        <w:rPr>
          <w:rFonts w:ascii="Sakkal Majalla" w:hAnsi="Sakkal Majalla" w:cs="Sakkal Majalla"/>
          <w:sz w:val="32"/>
          <w:szCs w:val="32"/>
          <w:rtl/>
          <w:lang w:bidi="ar-EG"/>
        </w:rPr>
        <w:t>المسئولية المدنية الناتجة عن أضرار الروبوت الطبي وآثارها"، مجلة البحوث الفقهية والقانونية، ع (48).</w:t>
      </w:r>
    </w:p>
    <w:p w14:paraId="2594A084" w14:textId="77777777" w:rsidR="00C3224C" w:rsidRPr="00991EEB" w:rsidRDefault="00C3224C" w:rsidP="00717ACF">
      <w:pPr>
        <w:pStyle w:val="a5"/>
        <w:numPr>
          <w:ilvl w:val="0"/>
          <w:numId w:val="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كريم، سلام عبد الله، (2022)، "التنظيم القانوني للذكاء الاصطناعي (( دراسة مقارنة ))"، جامعة كربلاء، كلية القانون.</w:t>
      </w:r>
    </w:p>
    <w:p w14:paraId="51DEBFB2" w14:textId="77777777" w:rsidR="00C3224C" w:rsidRPr="00991EEB" w:rsidRDefault="00C3224C" w:rsidP="00717ACF">
      <w:pPr>
        <w:pStyle w:val="a5"/>
        <w:numPr>
          <w:ilvl w:val="0"/>
          <w:numId w:val="2"/>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المالكي، خالد بن عبد الرحيم بن جابر، (2024)، "المسؤولية المدنية عن فعل الذكاء الاصطناعي في النظام السعودي دراسة تحليلية تأصيلية"، مجلة البحوث الفقهية والقانونية، مج (47)، ع (47)، 1765-1826.</w:t>
      </w:r>
    </w:p>
    <w:p w14:paraId="696CDE09" w14:textId="77777777" w:rsidR="00C3224C" w:rsidRPr="00991EEB" w:rsidRDefault="00C3224C" w:rsidP="00C3224C">
      <w:pPr>
        <w:pStyle w:val="a3"/>
        <w:numPr>
          <w:ilvl w:val="0"/>
          <w:numId w:val="2"/>
        </w:num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rPr>
        <w:t>المعيبد، عمر إبراهيم،</w:t>
      </w:r>
      <w:r w:rsidR="000C185A" w:rsidRPr="00991EEB">
        <w:rPr>
          <w:rFonts w:ascii="Sakkal Majalla" w:hAnsi="Sakkal Majalla" w:cs="Sakkal Majalla"/>
          <w:sz w:val="32"/>
          <w:szCs w:val="32"/>
          <w:rtl/>
        </w:rPr>
        <w:t xml:space="preserve"> (2023)،</w:t>
      </w:r>
      <w:r w:rsidRPr="00991EEB">
        <w:rPr>
          <w:rFonts w:ascii="Sakkal Majalla" w:hAnsi="Sakkal Majalla" w:cs="Sakkal Majalla"/>
          <w:sz w:val="32"/>
          <w:szCs w:val="32"/>
          <w:rtl/>
        </w:rPr>
        <w:t xml:space="preserve"> "المسؤوليَّة الجزائيَّة الناجمة عن استخدام تقنيات الذكاء الاصطناعي في النظام السعودي: دراسة تحليلية مقارنة"، المجلة العربية للدراسات الأمنية،</w:t>
      </w:r>
      <w:r w:rsidR="000C185A" w:rsidRPr="00991EEB">
        <w:rPr>
          <w:rFonts w:ascii="Sakkal Majalla" w:hAnsi="Sakkal Majalla" w:cs="Sakkal Majalla"/>
          <w:sz w:val="32"/>
          <w:szCs w:val="32"/>
          <w:rtl/>
        </w:rPr>
        <w:t>مج (40)، ع (2).</w:t>
      </w:r>
    </w:p>
    <w:sectPr w:rsidR="00C3224C" w:rsidRPr="00991EEB" w:rsidSect="0030278D">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E28B3" w14:textId="77777777" w:rsidR="007823DC" w:rsidRDefault="007823DC" w:rsidP="00325053">
      <w:pPr>
        <w:spacing w:after="0" w:line="240" w:lineRule="auto"/>
      </w:pPr>
      <w:r>
        <w:separator/>
      </w:r>
    </w:p>
  </w:endnote>
  <w:endnote w:type="continuationSeparator" w:id="0">
    <w:p w14:paraId="2E7365FA" w14:textId="77777777" w:rsidR="007823DC" w:rsidRDefault="007823DC" w:rsidP="00325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960789"/>
      <w:docPartObj>
        <w:docPartGallery w:val="Page Numbers (Bottom of Page)"/>
        <w:docPartUnique/>
      </w:docPartObj>
    </w:sdtPr>
    <w:sdtEndPr>
      <w:rPr>
        <w:noProof/>
      </w:rPr>
    </w:sdtEndPr>
    <w:sdtContent>
      <w:p w14:paraId="4B29FCC3" w14:textId="77777777" w:rsidR="0030278D" w:rsidRDefault="0030278D">
        <w:pPr>
          <w:pStyle w:val="a7"/>
          <w:jc w:val="center"/>
        </w:pPr>
        <w:r>
          <w:fldChar w:fldCharType="begin"/>
        </w:r>
        <w:r>
          <w:instrText xml:space="preserve"> PAGE   \* MERGEFORMAT </w:instrText>
        </w:r>
        <w:r>
          <w:fldChar w:fldCharType="separate"/>
        </w:r>
        <w:r w:rsidR="009964D7">
          <w:rPr>
            <w:noProof/>
          </w:rPr>
          <w:t>15</w:t>
        </w:r>
        <w:r>
          <w:rPr>
            <w:noProof/>
          </w:rPr>
          <w:fldChar w:fldCharType="end"/>
        </w:r>
      </w:p>
    </w:sdtContent>
  </w:sdt>
  <w:p w14:paraId="24D2A3C7" w14:textId="77777777" w:rsidR="0030278D" w:rsidRDefault="0030278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07438" w14:textId="77777777" w:rsidR="007823DC" w:rsidRDefault="007823DC" w:rsidP="00325053">
      <w:pPr>
        <w:spacing w:after="0" w:line="240" w:lineRule="auto"/>
      </w:pPr>
      <w:r>
        <w:separator/>
      </w:r>
    </w:p>
  </w:footnote>
  <w:footnote w:type="continuationSeparator" w:id="0">
    <w:p w14:paraId="7D2D9D31" w14:textId="77777777" w:rsidR="007823DC" w:rsidRDefault="007823DC" w:rsidP="00325053">
      <w:pPr>
        <w:spacing w:after="0" w:line="240" w:lineRule="auto"/>
      </w:pPr>
      <w:r>
        <w:continuationSeparator/>
      </w:r>
    </w:p>
  </w:footnote>
  <w:footnote w:id="1">
    <w:p w14:paraId="6BF192C9" w14:textId="77777777" w:rsidR="00325053" w:rsidRPr="00473704" w:rsidRDefault="00325053" w:rsidP="007A0F08">
      <w:pPr>
        <w:pStyle w:val="a3"/>
        <w:bidi/>
        <w:jc w:val="lowKashida"/>
        <w:rPr>
          <w:rFonts w:ascii="Sakkal Majalla" w:hAnsi="Sakkal Majalla" w:cs="Sakkal Majalla"/>
          <w:sz w:val="24"/>
          <w:szCs w:val="24"/>
          <w:rtl/>
          <w:lang w:bidi="ar-EG"/>
        </w:rPr>
      </w:pPr>
      <w:r w:rsidRPr="00473704">
        <w:rPr>
          <w:rStyle w:val="a4"/>
          <w:rFonts w:ascii="Sakkal Majalla" w:hAnsi="Sakkal Majalla" w:cs="Sakkal Majalla"/>
          <w:sz w:val="24"/>
          <w:szCs w:val="24"/>
        </w:rPr>
        <w:footnoteRef/>
      </w:r>
      <w:r w:rsidRPr="00473704">
        <w:rPr>
          <w:rFonts w:ascii="Sakkal Majalla" w:hAnsi="Sakkal Majalla" w:cs="Sakkal Majalla"/>
          <w:sz w:val="24"/>
          <w:szCs w:val="24"/>
        </w:rPr>
        <w:t xml:space="preserve"> </w:t>
      </w:r>
      <w:r w:rsidR="0064325E">
        <w:rPr>
          <w:rFonts w:ascii="Sakkal Majalla" w:hAnsi="Sakkal Majalla" w:cs="Sakkal Majalla"/>
          <w:sz w:val="24"/>
          <w:szCs w:val="24"/>
          <w:rtl/>
        </w:rPr>
        <w:t>المعيبد</w:t>
      </w:r>
      <w:r w:rsidR="0064325E">
        <w:rPr>
          <w:rFonts w:ascii="Sakkal Majalla" w:hAnsi="Sakkal Majalla" w:cs="Sakkal Majalla" w:hint="cs"/>
          <w:sz w:val="24"/>
          <w:szCs w:val="24"/>
          <w:rtl/>
        </w:rPr>
        <w:t xml:space="preserve">، </w:t>
      </w:r>
      <w:r w:rsidR="0064325E">
        <w:rPr>
          <w:rFonts w:ascii="Sakkal Majalla" w:hAnsi="Sakkal Majalla" w:cs="Sakkal Majalla"/>
          <w:sz w:val="24"/>
          <w:szCs w:val="24"/>
          <w:rtl/>
        </w:rPr>
        <w:t>عمر إبراهيم</w:t>
      </w:r>
      <w:r w:rsidR="0064325E">
        <w:rPr>
          <w:rFonts w:ascii="Sakkal Majalla" w:hAnsi="Sakkal Majalla" w:cs="Sakkal Majalla" w:hint="cs"/>
          <w:sz w:val="24"/>
          <w:szCs w:val="24"/>
          <w:rtl/>
        </w:rPr>
        <w:t>،</w:t>
      </w:r>
      <w:r w:rsidR="0064325E" w:rsidRPr="0064325E">
        <w:rPr>
          <w:rFonts w:ascii="Sakkal Majalla" w:hAnsi="Sakkal Majalla" w:cs="Sakkal Majalla"/>
          <w:sz w:val="24"/>
          <w:szCs w:val="24"/>
          <w:rtl/>
        </w:rPr>
        <w:t xml:space="preserve"> "المسؤوليَّة الجزائيَّة الناجمة عن استخدام تقنيات الذكاء الاصطناعي في النظام </w:t>
      </w:r>
      <w:r w:rsidR="0064325E">
        <w:rPr>
          <w:rFonts w:ascii="Sakkal Majalla" w:hAnsi="Sakkal Majalla" w:cs="Sakkal Majalla"/>
          <w:sz w:val="24"/>
          <w:szCs w:val="24"/>
          <w:rtl/>
        </w:rPr>
        <w:t>السعودي: دراسة تحليلية مقارنة</w:t>
      </w:r>
      <w:r w:rsidR="0064325E">
        <w:rPr>
          <w:rFonts w:ascii="Sakkal Majalla" w:hAnsi="Sakkal Majalla" w:cs="Sakkal Majalla" w:hint="cs"/>
          <w:sz w:val="24"/>
          <w:szCs w:val="24"/>
          <w:rtl/>
        </w:rPr>
        <w:t xml:space="preserve">"، </w:t>
      </w:r>
      <w:r w:rsidR="0064325E" w:rsidRPr="0064325E">
        <w:rPr>
          <w:rFonts w:ascii="Sakkal Majalla" w:hAnsi="Sakkal Majalla" w:cs="Sakkal Majalla"/>
          <w:sz w:val="24"/>
          <w:szCs w:val="24"/>
          <w:rtl/>
        </w:rPr>
        <w:t>المجلة العربية للدراسات الأمنية</w:t>
      </w:r>
      <w:r w:rsidR="0064325E">
        <w:rPr>
          <w:rFonts w:ascii="Sakkal Majalla" w:hAnsi="Sakkal Majalla" w:cs="Sakkal Majalla" w:hint="cs"/>
          <w:sz w:val="24"/>
          <w:szCs w:val="24"/>
          <w:rtl/>
        </w:rPr>
        <w:t xml:space="preserve">،مج (40)، ع (2)، </w:t>
      </w:r>
      <w:r w:rsidR="0064325E">
        <w:rPr>
          <w:rFonts w:ascii="Sakkal Majalla" w:hAnsi="Sakkal Majalla" w:cs="Sakkal Majalla"/>
          <w:sz w:val="24"/>
          <w:szCs w:val="24"/>
          <w:rtl/>
        </w:rPr>
        <w:t>(2023)</w:t>
      </w:r>
      <w:r w:rsidR="0064325E">
        <w:rPr>
          <w:rFonts w:ascii="Sakkal Majalla" w:hAnsi="Sakkal Majalla" w:cs="Sakkal Majalla" w:hint="cs"/>
          <w:sz w:val="24"/>
          <w:szCs w:val="24"/>
          <w:rtl/>
        </w:rPr>
        <w:t xml:space="preserve">، ص </w:t>
      </w:r>
      <w:r w:rsidR="007A0F08">
        <w:rPr>
          <w:rFonts w:ascii="Sakkal Majalla" w:hAnsi="Sakkal Majalla" w:cs="Sakkal Majalla" w:hint="cs"/>
          <w:sz w:val="24"/>
          <w:szCs w:val="24"/>
          <w:rtl/>
        </w:rPr>
        <w:t>144.</w:t>
      </w:r>
    </w:p>
  </w:footnote>
  <w:footnote w:id="2">
    <w:p w14:paraId="2D9911D8" w14:textId="77777777" w:rsidR="005A124C" w:rsidRPr="00473704" w:rsidRDefault="005A124C" w:rsidP="00855EBB">
      <w:pPr>
        <w:pStyle w:val="a3"/>
        <w:bidi/>
        <w:jc w:val="lowKashida"/>
        <w:rPr>
          <w:rFonts w:ascii="Sakkal Majalla" w:hAnsi="Sakkal Majalla" w:cs="Sakkal Majalla"/>
          <w:sz w:val="24"/>
          <w:szCs w:val="24"/>
          <w:rtl/>
          <w:lang w:bidi="ar-EG"/>
        </w:rPr>
      </w:pPr>
      <w:r w:rsidRPr="00473704">
        <w:rPr>
          <w:rStyle w:val="a4"/>
          <w:rFonts w:ascii="Sakkal Majalla" w:hAnsi="Sakkal Majalla" w:cs="Sakkal Majalla"/>
          <w:sz w:val="24"/>
          <w:szCs w:val="24"/>
        </w:rPr>
        <w:footnoteRef/>
      </w:r>
      <w:r w:rsidR="009E5C0E">
        <w:rPr>
          <w:rFonts w:ascii="Sakkal Majalla" w:hAnsi="Sakkal Majalla" w:cs="Sakkal Majalla" w:hint="cs"/>
          <w:sz w:val="24"/>
          <w:szCs w:val="24"/>
          <w:rtl/>
        </w:rPr>
        <w:t xml:space="preserve">  </w:t>
      </w:r>
      <w:r w:rsidR="009E5C0E" w:rsidRPr="009E5C0E">
        <w:rPr>
          <w:rFonts w:ascii="Sakkal Majalla" w:hAnsi="Sakkal Majalla" w:cs="Sakkal Majalla"/>
          <w:sz w:val="24"/>
          <w:szCs w:val="24"/>
          <w:rtl/>
        </w:rPr>
        <w:t>المالكي</w:t>
      </w:r>
      <w:r w:rsidR="009E5C0E">
        <w:rPr>
          <w:rFonts w:ascii="Sakkal Majalla" w:hAnsi="Sakkal Majalla" w:cs="Sakkal Majalla" w:hint="cs"/>
          <w:sz w:val="24"/>
          <w:szCs w:val="24"/>
          <w:rtl/>
        </w:rPr>
        <w:t xml:space="preserve">، </w:t>
      </w:r>
      <w:r w:rsidR="009E5C0E">
        <w:rPr>
          <w:rFonts w:ascii="Sakkal Majalla" w:hAnsi="Sakkal Majalla" w:cs="Sakkal Majalla"/>
          <w:sz w:val="24"/>
          <w:szCs w:val="24"/>
          <w:rtl/>
        </w:rPr>
        <w:t>خالد بن عبد الرحيم بن جابر</w:t>
      </w:r>
      <w:r w:rsidR="009E5C0E">
        <w:rPr>
          <w:rFonts w:ascii="Sakkal Majalla" w:hAnsi="Sakkal Majalla" w:cs="Sakkal Majalla" w:hint="cs"/>
          <w:sz w:val="24"/>
          <w:szCs w:val="24"/>
          <w:rtl/>
        </w:rPr>
        <w:t>، "</w:t>
      </w:r>
      <w:r w:rsidR="009E5C0E" w:rsidRPr="009E5C0E">
        <w:rPr>
          <w:rFonts w:ascii="Sakkal Majalla" w:hAnsi="Sakkal Majalla" w:cs="Sakkal Majalla"/>
          <w:sz w:val="24"/>
          <w:szCs w:val="24"/>
          <w:rtl/>
        </w:rPr>
        <w:t>المسؤولية المدنية عن فعل الذكاء الاصطناعي في النظام السعودي دراسة تحليلية تأصيلية</w:t>
      </w:r>
      <w:r w:rsidR="009E5C0E">
        <w:rPr>
          <w:rFonts w:ascii="Sakkal Majalla" w:hAnsi="Sakkal Majalla" w:cs="Sakkal Majalla" w:hint="cs"/>
          <w:sz w:val="24"/>
          <w:szCs w:val="24"/>
          <w:rtl/>
        </w:rPr>
        <w:t xml:space="preserve">"، </w:t>
      </w:r>
      <w:r w:rsidR="009E5C0E" w:rsidRPr="009E5C0E">
        <w:rPr>
          <w:rFonts w:ascii="Sakkal Majalla" w:hAnsi="Sakkal Majalla" w:cs="Sakkal Majalla"/>
          <w:sz w:val="24"/>
          <w:szCs w:val="24"/>
          <w:rtl/>
        </w:rPr>
        <w:t>مجلة البحوث الفقهية والقانونية</w:t>
      </w:r>
      <w:r w:rsidR="009E5C0E">
        <w:rPr>
          <w:rFonts w:ascii="Sakkal Majalla" w:hAnsi="Sakkal Majalla" w:cs="Sakkal Majalla" w:hint="cs"/>
          <w:sz w:val="24"/>
          <w:szCs w:val="24"/>
          <w:rtl/>
        </w:rPr>
        <w:t>،</w:t>
      </w:r>
      <w:r w:rsidR="009E5C0E" w:rsidRPr="009E5C0E">
        <w:rPr>
          <w:rFonts w:ascii="Sakkal Majalla" w:hAnsi="Sakkal Majalla" w:cs="Sakkal Majalla"/>
          <w:sz w:val="24"/>
          <w:szCs w:val="24"/>
          <w:rtl/>
        </w:rPr>
        <w:t xml:space="preserve"> </w:t>
      </w:r>
      <w:r w:rsidR="009E5C0E">
        <w:rPr>
          <w:rFonts w:ascii="Sakkal Majalla" w:hAnsi="Sakkal Majalla" w:cs="Sakkal Majalla" w:hint="cs"/>
          <w:sz w:val="24"/>
          <w:szCs w:val="24"/>
          <w:rtl/>
        </w:rPr>
        <w:t xml:space="preserve">مج (47)، ع (47)، </w:t>
      </w:r>
      <w:r w:rsidR="00855EBB">
        <w:rPr>
          <w:rFonts w:ascii="Sakkal Majalla" w:hAnsi="Sakkal Majalla" w:cs="Sakkal Majalla"/>
          <w:sz w:val="24"/>
          <w:szCs w:val="24"/>
          <w:rtl/>
        </w:rPr>
        <w:t>(2024)</w:t>
      </w:r>
      <w:r w:rsidR="00855EBB">
        <w:rPr>
          <w:rFonts w:ascii="Sakkal Majalla" w:hAnsi="Sakkal Majalla" w:cs="Sakkal Majalla" w:hint="cs"/>
          <w:sz w:val="24"/>
          <w:szCs w:val="24"/>
          <w:rtl/>
        </w:rPr>
        <w:t>، ص 1771.</w:t>
      </w:r>
    </w:p>
  </w:footnote>
  <w:footnote w:id="3">
    <w:p w14:paraId="644E69CD" w14:textId="77777777" w:rsidR="007A0F08" w:rsidRPr="007A0F08" w:rsidRDefault="007A0F08" w:rsidP="000C185A">
      <w:pPr>
        <w:pStyle w:val="a3"/>
        <w:bidi/>
        <w:jc w:val="lowKashida"/>
        <w:rPr>
          <w:rFonts w:ascii="Sakkal Majalla" w:hAnsi="Sakkal Majalla" w:cs="Sakkal Majalla"/>
          <w:sz w:val="24"/>
          <w:szCs w:val="24"/>
          <w:rtl/>
          <w:lang w:bidi="ar-EG"/>
        </w:rPr>
      </w:pPr>
      <w:r w:rsidRPr="007A0F08">
        <w:rPr>
          <w:rStyle w:val="a4"/>
          <w:rFonts w:ascii="Sakkal Majalla" w:hAnsi="Sakkal Majalla" w:cs="Sakkal Majalla"/>
          <w:sz w:val="24"/>
          <w:szCs w:val="24"/>
        </w:rPr>
        <w:footnoteRef/>
      </w:r>
      <w:r w:rsidRPr="007A0F08">
        <w:rPr>
          <w:rFonts w:ascii="Sakkal Majalla" w:hAnsi="Sakkal Majalla" w:cs="Sakkal Majalla"/>
          <w:sz w:val="24"/>
          <w:szCs w:val="24"/>
        </w:rPr>
        <w:t xml:space="preserve"> </w:t>
      </w:r>
      <w:r w:rsidR="00855EBB" w:rsidRPr="00855EBB">
        <w:rPr>
          <w:rFonts w:ascii="Sakkal Majalla" w:hAnsi="Sakkal Majalla" w:cs="Sakkal Majalla"/>
          <w:sz w:val="24"/>
          <w:szCs w:val="24"/>
          <w:rtl/>
        </w:rPr>
        <w:t>التونسي</w:t>
      </w:r>
      <w:r w:rsidR="00855EBB">
        <w:rPr>
          <w:rFonts w:ascii="Sakkal Majalla" w:hAnsi="Sakkal Majalla" w:cs="Sakkal Majalla" w:hint="cs"/>
          <w:sz w:val="24"/>
          <w:szCs w:val="24"/>
          <w:rtl/>
        </w:rPr>
        <w:t xml:space="preserve">، </w:t>
      </w:r>
      <w:r w:rsidR="00855EBB">
        <w:rPr>
          <w:rFonts w:ascii="Sakkal Majalla" w:hAnsi="Sakkal Majalla" w:cs="Sakkal Majalla"/>
          <w:sz w:val="24"/>
          <w:szCs w:val="24"/>
          <w:rtl/>
        </w:rPr>
        <w:t>آيات بنت أحمد</w:t>
      </w:r>
      <w:r w:rsidR="00855EBB">
        <w:rPr>
          <w:rFonts w:ascii="Sakkal Majalla" w:hAnsi="Sakkal Majalla" w:cs="Sakkal Majalla" w:hint="cs"/>
          <w:sz w:val="24"/>
          <w:szCs w:val="24"/>
          <w:rtl/>
        </w:rPr>
        <w:t xml:space="preserve">، </w:t>
      </w:r>
      <w:r w:rsidR="00855EBB" w:rsidRPr="00855EBB">
        <w:rPr>
          <w:rFonts w:ascii="Sakkal Majalla" w:hAnsi="Sakkal Majalla" w:cs="Sakkal Majalla"/>
          <w:sz w:val="24"/>
          <w:szCs w:val="24"/>
          <w:rtl/>
        </w:rPr>
        <w:t>"القواعد والإجراءات المنظمة لاستخدامات الذكاء الاصطناعي بالمملكة العربية السعودية وآثارها القانونية</w:t>
      </w:r>
      <w:r w:rsidR="00855EBB">
        <w:rPr>
          <w:rFonts w:ascii="Sakkal Majalla" w:hAnsi="Sakkal Majalla" w:cs="Sakkal Majalla" w:hint="cs"/>
          <w:sz w:val="24"/>
          <w:szCs w:val="24"/>
          <w:rtl/>
        </w:rPr>
        <w:t xml:space="preserve"> </w:t>
      </w:r>
      <w:r w:rsidR="00855EBB" w:rsidRPr="00855EBB">
        <w:rPr>
          <w:rFonts w:ascii="Sakkal Majalla" w:hAnsi="Sakkal Majalla" w:cs="Sakkal Majalla"/>
          <w:sz w:val="24"/>
          <w:szCs w:val="24"/>
          <w:rtl/>
        </w:rPr>
        <w:t>(دراسة تحليلية مقارنة)</w:t>
      </w:r>
      <w:r w:rsidR="00855EBB">
        <w:rPr>
          <w:rFonts w:ascii="Sakkal Majalla" w:hAnsi="Sakkal Majalla" w:cs="Sakkal Majalla" w:hint="cs"/>
          <w:sz w:val="24"/>
          <w:szCs w:val="24"/>
          <w:rtl/>
        </w:rPr>
        <w:t xml:space="preserve">"، </w:t>
      </w:r>
      <w:r w:rsidR="00855EBB" w:rsidRPr="00855EBB">
        <w:rPr>
          <w:rFonts w:ascii="Sakkal Majalla" w:hAnsi="Sakkal Majalla" w:cs="Sakkal Majalla"/>
          <w:sz w:val="24"/>
          <w:szCs w:val="24"/>
          <w:rtl/>
        </w:rPr>
        <w:t xml:space="preserve">المجلة </w:t>
      </w:r>
      <w:r w:rsidR="00855EBB">
        <w:rPr>
          <w:rFonts w:ascii="Sakkal Majalla" w:hAnsi="Sakkal Majalla" w:cs="Sakkal Majalla" w:hint="cs"/>
          <w:sz w:val="24"/>
          <w:szCs w:val="24"/>
          <w:rtl/>
        </w:rPr>
        <w:t>العربية</w:t>
      </w:r>
      <w:r w:rsidR="00855EBB" w:rsidRPr="00855EBB">
        <w:rPr>
          <w:rFonts w:ascii="Sakkal Majalla" w:hAnsi="Sakkal Majalla" w:cs="Sakkal Majalla"/>
          <w:sz w:val="24"/>
          <w:szCs w:val="24"/>
          <w:rtl/>
        </w:rPr>
        <w:t xml:space="preserve"> </w:t>
      </w:r>
      <w:r w:rsidR="00855EBB">
        <w:rPr>
          <w:rFonts w:ascii="Sakkal Majalla" w:hAnsi="Sakkal Majalla" w:cs="Sakkal Majalla" w:hint="cs"/>
          <w:sz w:val="24"/>
          <w:szCs w:val="24"/>
          <w:rtl/>
        </w:rPr>
        <w:t>للنشر</w:t>
      </w:r>
      <w:r w:rsidR="00855EBB" w:rsidRPr="00855EBB">
        <w:rPr>
          <w:rFonts w:ascii="Sakkal Majalla" w:hAnsi="Sakkal Majalla" w:cs="Sakkal Majalla"/>
          <w:sz w:val="24"/>
          <w:szCs w:val="24"/>
          <w:rtl/>
        </w:rPr>
        <w:t xml:space="preserve"> العلمي</w:t>
      </w:r>
      <w:r w:rsidR="00855EBB">
        <w:rPr>
          <w:rFonts w:ascii="Sakkal Majalla" w:hAnsi="Sakkal Majalla" w:cs="Sakkal Majalla" w:hint="cs"/>
          <w:sz w:val="24"/>
          <w:szCs w:val="24"/>
          <w:rtl/>
        </w:rPr>
        <w:t>، مج (7)، ع (73)، (2024)، ص 370.</w:t>
      </w:r>
    </w:p>
  </w:footnote>
  <w:footnote w:id="4">
    <w:p w14:paraId="2F3DD19D" w14:textId="77777777" w:rsidR="005A124C" w:rsidRPr="009E5C0E" w:rsidRDefault="005A124C" w:rsidP="009E5C0E">
      <w:pPr>
        <w:pStyle w:val="a3"/>
        <w:bidi/>
        <w:jc w:val="lowKashida"/>
        <w:rPr>
          <w:rFonts w:ascii="Sakkal Majalla" w:hAnsi="Sakkal Majalla" w:cs="Sakkal Majalla"/>
          <w:sz w:val="24"/>
          <w:szCs w:val="24"/>
          <w:rtl/>
          <w:lang w:bidi="ar-EG"/>
        </w:rPr>
      </w:pPr>
      <w:r w:rsidRPr="009E5C0E">
        <w:rPr>
          <w:rStyle w:val="a4"/>
          <w:rFonts w:ascii="Sakkal Majalla" w:hAnsi="Sakkal Majalla" w:cs="Sakkal Majalla"/>
          <w:sz w:val="24"/>
          <w:szCs w:val="24"/>
        </w:rPr>
        <w:footnoteRef/>
      </w:r>
      <w:r w:rsidRPr="009E5C0E">
        <w:rPr>
          <w:rFonts w:ascii="Sakkal Majalla" w:hAnsi="Sakkal Majalla" w:cs="Sakkal Majalla"/>
          <w:sz w:val="24"/>
          <w:szCs w:val="24"/>
        </w:rPr>
        <w:t xml:space="preserve"> </w:t>
      </w:r>
      <w:r w:rsidR="009E5C0E" w:rsidRPr="009E5C0E">
        <w:rPr>
          <w:rFonts w:ascii="Sakkal Majalla" w:hAnsi="Sakkal Majalla" w:cs="Sakkal Majalla"/>
          <w:sz w:val="24"/>
          <w:szCs w:val="24"/>
          <w:rtl/>
        </w:rPr>
        <w:t>داغر</w:t>
      </w:r>
      <w:r w:rsidR="009E5C0E">
        <w:rPr>
          <w:rFonts w:ascii="Sakkal Majalla" w:hAnsi="Sakkal Majalla" w:cs="Sakkal Majalla" w:hint="cs"/>
          <w:sz w:val="24"/>
          <w:szCs w:val="24"/>
          <w:rtl/>
        </w:rPr>
        <w:t xml:space="preserve">، </w:t>
      </w:r>
      <w:r w:rsidR="009E5C0E">
        <w:rPr>
          <w:rFonts w:ascii="Sakkal Majalla" w:hAnsi="Sakkal Majalla" w:cs="Sakkal Majalla"/>
          <w:sz w:val="24"/>
          <w:szCs w:val="24"/>
          <w:rtl/>
        </w:rPr>
        <w:t>سارة محمد</w:t>
      </w:r>
      <w:r w:rsidR="009E5C0E">
        <w:rPr>
          <w:rFonts w:ascii="Sakkal Majalla" w:hAnsi="Sakkal Majalla" w:cs="Sakkal Majalla" w:hint="cs"/>
          <w:sz w:val="24"/>
          <w:szCs w:val="24"/>
          <w:rtl/>
        </w:rPr>
        <w:t>، "</w:t>
      </w:r>
      <w:r w:rsidR="009E5C0E" w:rsidRPr="009E5C0E">
        <w:rPr>
          <w:rFonts w:ascii="Sakkal Majalla" w:hAnsi="Sakkal Majalla" w:cs="Sakkal Majalla"/>
          <w:sz w:val="24"/>
          <w:szCs w:val="24"/>
          <w:rtl/>
        </w:rPr>
        <w:t>المسؤولية المدنية عن اضرار الروبوت</w:t>
      </w:r>
      <w:r w:rsidR="009E5C0E">
        <w:rPr>
          <w:rFonts w:ascii="Sakkal Majalla" w:hAnsi="Sakkal Majalla" w:cs="Sakkal Majalla" w:hint="cs"/>
          <w:sz w:val="24"/>
          <w:szCs w:val="24"/>
          <w:rtl/>
        </w:rPr>
        <w:t xml:space="preserve">: </w:t>
      </w:r>
      <w:r w:rsidR="009E5C0E" w:rsidRPr="009E5C0E">
        <w:rPr>
          <w:rFonts w:ascii="Sakkal Majalla" w:hAnsi="Sakkal Majalla" w:cs="Sakkal Majalla"/>
          <w:sz w:val="24"/>
          <w:szCs w:val="24"/>
          <w:rtl/>
        </w:rPr>
        <w:t>درا</w:t>
      </w:r>
      <w:r w:rsidR="009E5C0E">
        <w:rPr>
          <w:rFonts w:ascii="Sakkal Majalla" w:hAnsi="Sakkal Majalla" w:cs="Sakkal Majalla"/>
          <w:sz w:val="24"/>
          <w:szCs w:val="24"/>
          <w:rtl/>
        </w:rPr>
        <w:t>سة مقارنة</w:t>
      </w:r>
      <w:r w:rsidR="009E5C0E">
        <w:rPr>
          <w:rFonts w:ascii="Sakkal Majalla" w:hAnsi="Sakkal Majalla" w:cs="Sakkal Majalla" w:hint="cs"/>
          <w:sz w:val="24"/>
          <w:szCs w:val="24"/>
          <w:rtl/>
        </w:rPr>
        <w:t xml:space="preserve">"، </w:t>
      </w:r>
      <w:r w:rsidR="009E5C0E" w:rsidRPr="009E5C0E">
        <w:rPr>
          <w:rFonts w:ascii="Sakkal Majalla" w:hAnsi="Sakkal Majalla" w:cs="Sakkal Majalla"/>
          <w:sz w:val="24"/>
          <w:szCs w:val="24"/>
          <w:rtl/>
        </w:rPr>
        <w:t>جامعة ميسان</w:t>
      </w:r>
      <w:r w:rsidR="009E5C0E">
        <w:rPr>
          <w:rFonts w:ascii="Sakkal Majalla" w:hAnsi="Sakkal Majalla" w:cs="Sakkal Majalla" w:hint="cs"/>
          <w:sz w:val="24"/>
          <w:szCs w:val="24"/>
          <w:rtl/>
        </w:rPr>
        <w:t xml:space="preserve">، </w:t>
      </w:r>
      <w:r w:rsidR="009E5C0E" w:rsidRPr="009E5C0E">
        <w:rPr>
          <w:rFonts w:ascii="Sakkal Majalla" w:hAnsi="Sakkal Majalla" w:cs="Sakkal Majalla"/>
          <w:sz w:val="24"/>
          <w:szCs w:val="24"/>
          <w:rtl/>
        </w:rPr>
        <w:t>كلية القانون قسم القانون الخاص</w:t>
      </w:r>
      <w:r w:rsidR="009E5C0E">
        <w:rPr>
          <w:rFonts w:ascii="Sakkal Majalla" w:hAnsi="Sakkal Majalla" w:cs="Sakkal Majalla" w:hint="cs"/>
          <w:sz w:val="24"/>
          <w:szCs w:val="24"/>
          <w:rtl/>
        </w:rPr>
        <w:t>، (2023)، ص 24.</w:t>
      </w:r>
    </w:p>
  </w:footnote>
  <w:footnote w:id="5">
    <w:p w14:paraId="7C851865"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تحفة، فايق عوضين محمد (2022) استخدامات تقنيات الذكاء الاصطناعي بين المشروعية وعدم المشروعية: الجزء الثاني: المسؤولية الجنائية عن جرائم تقنيات الذكاء الاصطناعي ، المجلة الجنائية القومية، 65(2)، ص 32</w:t>
      </w:r>
    </w:p>
  </w:footnote>
  <w:footnote w:id="6">
    <w:p w14:paraId="1905C46B"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الحسبان، عودة عبدالكريم،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 ص330</w:t>
      </w:r>
    </w:p>
  </w:footnote>
  <w:footnote w:id="7">
    <w:p w14:paraId="0D4CFBBD"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الطائي، سميرة حسين محيسن، وعبدالحسن، إيمان حسين (2025) الطبيعة القانونية للذكاء الاصطناعي. مجلة الكوفة للعلوم القانونية والسياسية، 18(1)، ص230</w:t>
      </w:r>
    </w:p>
  </w:footnote>
  <w:footnote w:id="8">
    <w:p w14:paraId="5D624458"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أبو نصار، ريا جمال (2025) إشكالية تحديد الطبيعة القانونية لأنظمة الذكاء الاصطناعي ، مجلة المنارة للبحوث والدراسات: سلسلة العلوم السياسية والقانون، 42(3)، 252</w:t>
      </w:r>
    </w:p>
  </w:footnote>
  <w:footnote w:id="9">
    <w:p w14:paraId="1DE4D723"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الحسبان، عودة عبدالكريم، والعيادة، حمزة علي سليمان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ص332</w:t>
      </w:r>
    </w:p>
  </w:footnote>
  <w:footnote w:id="10">
    <w:p w14:paraId="6F1E1428"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فارس، محمد السيد (2024) نحو مفهوم جديد للذكاء الاصطناعي ومحاولة تنظيمه القانوني: دراسة مقارنة ،  مجلة التشريع والقانون، 43، ص 1858</w:t>
      </w:r>
    </w:p>
  </w:footnote>
  <w:footnote w:id="11">
    <w:p w14:paraId="6FF8367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آل سعود، نواف بدر فهد (2025) المسؤولية المدنية الناشئة عن أضرار أنظمة الذكاء الاصطناعي: دراسة تحليلية مقارنة بين النظام السعودي والتشريعات المقارنة ، مجلة التشريع والقانون، 45، ص1202</w:t>
      </w:r>
    </w:p>
  </w:footnote>
  <w:footnote w:id="12">
    <w:p w14:paraId="204D8D4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أبو نصار، ريا جمال (2025) إشكالية تحديد الطبيعة القانونية لأنظمة الذكاء الاصطناعي ، مجلة المنارة للبحوث والدراسات: سلسلة العلوم السياسية والقانون، 42(3)، </w:t>
      </w:r>
      <w:r w:rsidRPr="00DF47A5">
        <w:rPr>
          <w:rFonts w:ascii="Traditional Arabic" w:hAnsi="Traditional Arabic" w:cs="Traditional Arabic"/>
          <w:sz w:val="24"/>
          <w:szCs w:val="24"/>
          <w:rtl/>
          <w:lang w:bidi="ar-EG"/>
        </w:rPr>
        <w:t>ص 252</w:t>
      </w:r>
    </w:p>
  </w:footnote>
  <w:footnote w:id="13">
    <w:p w14:paraId="5A30C85C"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 ص 110</w:t>
      </w:r>
    </w:p>
  </w:footnote>
  <w:footnote w:id="14">
    <w:p w14:paraId="1C8351C8"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عبدالله، شيماء عبدالرضي (2025) إشكالية المساءلة الجنائية لجرائم الروبوتات الذكية في ضوء تطور تقنيات الذكاء الاصطناعي ، مجلة كلية الشريعة والقانون بطنطا، 40(2)، 920</w:t>
      </w:r>
    </w:p>
  </w:footnote>
  <w:footnote w:id="15">
    <w:p w14:paraId="74E52FC2"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محفوظ، أسماء عبدالسلام (2025) الإشكاليات القانونية للذكاء الاصطناعي ، مجلة المنتدى الأكاديمي للعلوم الإنسانية، 9(1)، ص 735</w:t>
      </w:r>
    </w:p>
  </w:footnote>
  <w:footnote w:id="16">
    <w:p w14:paraId="176617F8"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جاد المولى، محمود عبدالغني فريد (2021) الاتجاهات الحديثة في المسؤولية الجنائية للكيانات التي تعمل بتقنيات الذكاء الاصطناعي. مجلة البحوث القانونية والاقتصادية، 53، ص550</w:t>
      </w:r>
    </w:p>
  </w:footnote>
  <w:footnote w:id="17">
    <w:p w14:paraId="42B24D8D"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فارس، محمد السيد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1892</w:t>
      </w:r>
    </w:p>
  </w:footnote>
  <w:footnote w:id="18">
    <w:p w14:paraId="4D55E680"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الطائي، سميرة حسين محيسن، وعبدالحسن، إيمان حسين (2025) مرجع سابق ،  ص232</w:t>
      </w:r>
    </w:p>
  </w:footnote>
  <w:footnote w:id="19">
    <w:p w14:paraId="737892E4"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دره ، سماح أحمد محمد (2025) المسؤولية الجنائية لمبرمجي أجهزة الذكاء الاصطناعي: دراسة تحليلية ، مجلة الفكر القانوني والاقتصادي، 11(3)، ص 23</w:t>
      </w:r>
    </w:p>
  </w:footnote>
  <w:footnote w:id="20">
    <w:p w14:paraId="73A81F39"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21">
    <w:p w14:paraId="13C2CB37"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أبو نصار، ريا جمال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tl/>
          <w:lang w:bidi="ar-EG"/>
        </w:rPr>
        <w:t>ص 256</w:t>
      </w:r>
    </w:p>
  </w:footnote>
  <w:footnote w:id="22">
    <w:p w14:paraId="32FABA0C"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رضا، أزرو محمد (2025) مدى جواز الاعتراف بالشخصية القانونية للذكاء الاصطناعي. مجلة التراث، 15(1)، ص 54</w:t>
      </w:r>
    </w:p>
  </w:footnote>
  <w:footnote w:id="23">
    <w:p w14:paraId="57C0399F"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24">
    <w:p w14:paraId="046F6BBF"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الطائي، سميرة حسين محيسن، وعبدالحسن، إيمان حسين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ص238</w:t>
      </w:r>
    </w:p>
  </w:footnote>
  <w:footnote w:id="25">
    <w:p w14:paraId="41852FD7"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فارس، محمد السيد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1895</w:t>
      </w:r>
    </w:p>
  </w:footnote>
  <w:footnote w:id="26">
    <w:p w14:paraId="2D892073"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أحمد، غادة حلمي (2025) المسؤولية الجنائية لتقنيات الذكاء الاصطناعي. المجلة الجنائية القومية، 68(2)، ص 112</w:t>
      </w:r>
    </w:p>
  </w:footnote>
  <w:footnote w:id="27">
    <w:p w14:paraId="00AEB15A"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عبدالله، شيماء عبدالرضي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925</w:t>
      </w:r>
    </w:p>
  </w:footnote>
  <w:footnote w:id="28">
    <w:p w14:paraId="48D66771" w14:textId="77777777" w:rsidR="00991EEB" w:rsidRPr="00DF47A5" w:rsidRDefault="00991EEB" w:rsidP="00991EEB">
      <w:pPr>
        <w:bidi/>
        <w:spacing w:after="0" w:line="240" w:lineRule="auto"/>
        <w:jc w:val="mediumKashida"/>
        <w:rPr>
          <w:rFonts w:ascii="Traditional Arabic" w:hAnsi="Traditional Arabic" w:cs="Traditional Arabic"/>
          <w:rtl/>
          <w:lang w:bidi="ar-EG"/>
        </w:rPr>
      </w:pPr>
      <w:r w:rsidRPr="00DF47A5">
        <w:rPr>
          <w:rStyle w:val="a4"/>
          <w:rFonts w:ascii="Traditional Arabic" w:hAnsi="Traditional Arabic" w:cs="Traditional Arabic"/>
          <w:highlight w:val="yellow"/>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 ص301</w:t>
      </w:r>
    </w:p>
  </w:footnote>
  <w:footnote w:id="29">
    <w:p w14:paraId="644B3829"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عمار، عادل محمود أحمد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115</w:t>
      </w:r>
    </w:p>
  </w:footnote>
  <w:footnote w:id="30">
    <w:p w14:paraId="34B66798"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فارس، محمد السيد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w:t>
      </w:r>
      <w:r w:rsidRPr="00DF47A5">
        <w:rPr>
          <w:rFonts w:ascii="Traditional Arabic" w:hAnsi="Traditional Arabic" w:cs="Traditional Arabic"/>
          <w:sz w:val="24"/>
          <w:szCs w:val="24"/>
          <w:rtl/>
          <w:lang w:bidi="ar-EG"/>
        </w:rPr>
        <w:t xml:space="preserve"> ،ص 1901</w:t>
      </w:r>
    </w:p>
  </w:footnote>
  <w:footnote w:id="31">
    <w:p w14:paraId="54B0FEDF"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دره ، سماح أحمد محمد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26</w:t>
      </w:r>
    </w:p>
  </w:footnote>
  <w:footnote w:id="32">
    <w:p w14:paraId="252E83E2"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بو نصار، ريا جمال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tl/>
          <w:lang w:bidi="ar-EG"/>
        </w:rPr>
        <w:t>ص 262</w:t>
      </w:r>
    </w:p>
  </w:footnote>
  <w:footnote w:id="33">
    <w:p w14:paraId="04864AE6" w14:textId="77777777" w:rsidR="00991EEB" w:rsidRPr="00DF47A5" w:rsidRDefault="00991EEB" w:rsidP="00991EEB">
      <w:pPr>
        <w:bidi/>
        <w:spacing w:after="0" w:line="240" w:lineRule="auto"/>
        <w:jc w:val="mediumKashida"/>
        <w:rPr>
          <w:rFonts w:ascii="Traditional Arabic" w:hAnsi="Traditional Arabic" w:cs="Traditional Arabic"/>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بوكراري، عبد المجيد، ومسعود، داود (2024) الأنظمة الذكية مفهوم أوسع لتطبيقات الذكاء الاصطناعي في مجال التعليم ، مجلة الباحث، 2(6)، ص710</w:t>
      </w:r>
    </w:p>
  </w:footnote>
  <w:footnote w:id="34">
    <w:p w14:paraId="2EF40C35"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أحمد، غادة حلمي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w:t>
      </w:r>
      <w:r w:rsidRPr="00DF47A5">
        <w:rPr>
          <w:rFonts w:ascii="Traditional Arabic" w:hAnsi="Traditional Arabic" w:cs="Traditional Arabic"/>
          <w:sz w:val="24"/>
          <w:szCs w:val="24"/>
          <w:rtl/>
          <w:lang w:bidi="ar-EG"/>
        </w:rPr>
        <w:t>118</w:t>
      </w:r>
    </w:p>
  </w:footnote>
  <w:footnote w:id="35">
    <w:p w14:paraId="63851F00"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الطائي، سميرة حسين محيسن، وعبدالحسن، إيمان حسين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ص239</w:t>
      </w:r>
    </w:p>
  </w:footnote>
  <w:footnote w:id="36">
    <w:p w14:paraId="0503235D"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عبدالعزيز، هبة تيسير علي (2024) الآثار القانونية المترتبة على الاعتراف بالشخصية القانونية للذكاء الاصطناعي (رسالة ماجستير، جامعة فيلادلفيا) ، ص  38</w:t>
      </w:r>
    </w:p>
  </w:footnote>
  <w:footnote w:id="37">
    <w:p w14:paraId="64704A86" w14:textId="77777777" w:rsidR="00991EEB" w:rsidRPr="00DF47A5" w:rsidRDefault="00991EEB" w:rsidP="00991EEB">
      <w:pPr>
        <w:pStyle w:val="a3"/>
        <w:bidi/>
        <w:rPr>
          <w:rFonts w:ascii="Traditional Arabic" w:hAnsi="Traditional Arabic" w:cs="Traditional Arabic"/>
          <w:sz w:val="24"/>
          <w:szCs w:val="24"/>
          <w:rtl/>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فارس، محمد السيد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1898</w:t>
      </w:r>
    </w:p>
  </w:footnote>
  <w:footnote w:id="38">
    <w:p w14:paraId="42E7E92C"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GAGNÉ, « La protection </w:t>
      </w:r>
      <w:proofErr w:type="spellStart"/>
      <w:r w:rsidRPr="00DF47A5">
        <w:rPr>
          <w:rFonts w:ascii="Traditional Arabic" w:hAnsi="Traditional Arabic" w:cs="Traditional Arabic"/>
          <w:sz w:val="24"/>
          <w:szCs w:val="24"/>
        </w:rPr>
        <w:t>juridique</w:t>
      </w:r>
      <w:proofErr w:type="spellEnd"/>
      <w:r w:rsidRPr="00DF47A5">
        <w:rPr>
          <w:rFonts w:ascii="Traditional Arabic" w:hAnsi="Traditional Arabic" w:cs="Traditional Arabic"/>
          <w:sz w:val="24"/>
          <w:szCs w:val="24"/>
        </w:rPr>
        <w:t xml:space="preserve"> de la </w:t>
      </w:r>
      <w:proofErr w:type="spellStart"/>
      <w:r w:rsidRPr="00DF47A5">
        <w:rPr>
          <w:rFonts w:ascii="Traditional Arabic" w:hAnsi="Traditional Arabic" w:cs="Traditional Arabic"/>
          <w:sz w:val="24"/>
          <w:szCs w:val="24"/>
        </w:rPr>
        <w:t>réalité</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virtuelle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l'imbroglio</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w:t>
      </w:r>
      <w:proofErr w:type="spellEnd"/>
      <w:r w:rsidRPr="00DF47A5">
        <w:rPr>
          <w:rFonts w:ascii="Traditional Arabic" w:hAnsi="Traditional Arabic" w:cs="Traditional Arabic"/>
          <w:sz w:val="24"/>
          <w:szCs w:val="24"/>
        </w:rPr>
        <w:t xml:space="preserve"> dans </w:t>
      </w:r>
      <w:proofErr w:type="spellStart"/>
      <w:r w:rsidRPr="00DF47A5">
        <w:rPr>
          <w:rFonts w:ascii="Traditional Arabic" w:hAnsi="Traditional Arabic" w:cs="Traditional Arabic"/>
          <w:sz w:val="24"/>
          <w:szCs w:val="24"/>
        </w:rPr>
        <w:t>l'univers</w:t>
      </w:r>
      <w:proofErr w:type="spellEnd"/>
      <w:r w:rsidRPr="00DF47A5">
        <w:rPr>
          <w:rFonts w:ascii="Traditional Arabic" w:hAnsi="Traditional Arabic" w:cs="Traditional Arabic"/>
          <w:sz w:val="24"/>
          <w:szCs w:val="24"/>
        </w:rPr>
        <w:t xml:space="preserve"> de </w:t>
      </w:r>
      <w:proofErr w:type="spellStart"/>
      <w:r w:rsidRPr="00DF47A5">
        <w:rPr>
          <w:rFonts w:ascii="Traditional Arabic" w:hAnsi="Traditional Arabic" w:cs="Traditional Arabic"/>
          <w:sz w:val="24"/>
          <w:szCs w:val="24"/>
        </w:rPr>
        <w:t>l'électro</w:t>
      </w:r>
      <w:proofErr w:type="spellEnd"/>
      <w:r w:rsidRPr="00DF47A5">
        <w:rPr>
          <w:rFonts w:ascii="Traditional Arabic" w:hAnsi="Traditional Arabic" w:cs="Traditional Arabic"/>
          <w:sz w:val="24"/>
          <w:szCs w:val="24"/>
        </w:rPr>
        <w:t xml:space="preserve">-bohème », Cah. propr. </w:t>
      </w:r>
      <w:proofErr w:type="spellStart"/>
      <w:r w:rsidRPr="00DF47A5">
        <w:rPr>
          <w:rFonts w:ascii="Traditional Arabic" w:hAnsi="Traditional Arabic" w:cs="Traditional Arabic"/>
          <w:sz w:val="24"/>
          <w:szCs w:val="24"/>
        </w:rPr>
        <w:t>intell</w:t>
      </w:r>
      <w:proofErr w:type="spellEnd"/>
      <w:r w:rsidRPr="00DF47A5">
        <w:rPr>
          <w:rFonts w:ascii="Traditional Arabic" w:hAnsi="Traditional Arabic" w:cs="Traditional Arabic"/>
          <w:sz w:val="24"/>
          <w:szCs w:val="24"/>
        </w:rPr>
        <w:t>. 1994, vol. 7, no 2, p. 181</w:t>
      </w:r>
      <w:r w:rsidRPr="00DF47A5">
        <w:rPr>
          <w:rFonts w:ascii="Traditional Arabic" w:hAnsi="Traditional Arabic" w:cs="Traditional Arabic"/>
          <w:sz w:val="24"/>
          <w:szCs w:val="24"/>
          <w:rtl/>
        </w:rPr>
        <w:t>.</w:t>
      </w:r>
    </w:p>
  </w:footnote>
  <w:footnote w:id="39">
    <w:p w14:paraId="55E90570" w14:textId="77777777" w:rsidR="00991EEB" w:rsidRPr="00DF47A5" w:rsidRDefault="00991EEB" w:rsidP="00991EEB">
      <w:pPr>
        <w:bidi/>
        <w:spacing w:after="0" w:line="240" w:lineRule="auto"/>
        <w:jc w:val="mediumKashida"/>
        <w:rPr>
          <w:rFonts w:ascii="Traditional Arabic" w:hAnsi="Traditional Arabic" w:cs="Traditional Arabic"/>
          <w:rtl/>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عبد الهادي، زين (2000) الذكاء الاصطناعي والنظم الخبيرة في المكتبات: مدخل تجريبي للنظم الخبيرة في مجال المكتبات (الطبعة الأولى). المكتبة الأكاديمية. ، ص 19</w:t>
      </w:r>
    </w:p>
  </w:footnote>
  <w:footnote w:id="40">
    <w:p w14:paraId="67828C53"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تحفة، فايق عوضين محمد (2022) مرجع سابق ، ص 42</w:t>
      </w:r>
    </w:p>
  </w:footnote>
  <w:footnote w:id="41">
    <w:p w14:paraId="164E48E9"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غازي، خديجة (2024) الطبيعة القانونية للذكاء الاصطناعي. مجلة التراث، 14(2)،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ص 75</w:t>
      </w:r>
    </w:p>
  </w:footnote>
  <w:footnote w:id="42">
    <w:p w14:paraId="544FD6AE"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دره ، سماح أحمد محمد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29</w:t>
      </w:r>
    </w:p>
  </w:footnote>
  <w:footnote w:id="43">
    <w:p w14:paraId="15EBA85B"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تحفة، فايق عوضين محمد (2022)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235</w:t>
      </w:r>
    </w:p>
  </w:footnote>
  <w:footnote w:id="44">
    <w:p w14:paraId="0CA6680E" w14:textId="77777777" w:rsidR="00991EEB" w:rsidRPr="00DF47A5" w:rsidRDefault="00991EEB" w:rsidP="00991EEB">
      <w:pPr>
        <w:bidi/>
        <w:spacing w:after="0" w:line="240" w:lineRule="auto"/>
        <w:jc w:val="mediumKashida"/>
        <w:rPr>
          <w:rFonts w:ascii="Traditional Arabic" w:hAnsi="Traditional Arabic" w:cs="Traditional Arabic"/>
          <w:rtl/>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عفيفي، جهاد (2015) الذكاء الاصطناعي والأنظمة الخبيرة (الطبعة الأولى). أمجد للنشر والتوزيع ، ص 75</w:t>
      </w:r>
    </w:p>
  </w:footnote>
  <w:footnote w:id="45">
    <w:p w14:paraId="66F28F04" w14:textId="77777777" w:rsidR="00991EEB" w:rsidRPr="00DF47A5" w:rsidRDefault="00991EEB" w:rsidP="00991EEB">
      <w:pPr>
        <w:bidi/>
        <w:spacing w:after="0" w:line="240" w:lineRule="auto"/>
        <w:jc w:val="mediumKashida"/>
        <w:rPr>
          <w:rFonts w:ascii="Traditional Arabic" w:hAnsi="Traditional Arabic" w:cs="Traditional Arabic"/>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الخولي، أحمد فتحي (2021 ) المسؤولية المدنية الناتجة عن الاستخدام غير المشروع لتطبيقات الذكاء الاصطناعي: الديب فيك نموذجًا. مجلة البحوث الفقهية والقانونية، (36) ، ص3</w:t>
      </w:r>
    </w:p>
  </w:footnote>
  <w:footnote w:id="46">
    <w:p w14:paraId="0265738F"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tl/>
        </w:rPr>
        <w:t>ا</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بو نصار، ريا جمال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tl/>
          <w:lang w:bidi="ar-EG"/>
        </w:rPr>
        <w:t>ص 262</w:t>
      </w:r>
    </w:p>
  </w:footnote>
  <w:footnote w:id="47">
    <w:p w14:paraId="090EE608" w14:textId="77777777" w:rsidR="00991EEB" w:rsidRPr="00DF47A5" w:rsidRDefault="00991EEB" w:rsidP="00991EEB">
      <w:pPr>
        <w:bidi/>
        <w:spacing w:after="0" w:line="240" w:lineRule="auto"/>
        <w:jc w:val="mediumKashida"/>
        <w:rPr>
          <w:rFonts w:ascii="Traditional Arabic" w:hAnsi="Traditional Arabic" w:cs="Traditional Arabic"/>
          <w:rtl/>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سلامة، صفاء، وأبو قورة، خليل (2014) تحديات عصر الروبوتات وأخلاقياتها (الطبعة الأولى) مركز الإمارات للدراسات والبحوث الاستراتيجية ، ص40</w:t>
      </w:r>
    </w:p>
  </w:footnote>
  <w:footnote w:id="48">
    <w:p w14:paraId="1B9B736A"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هاشمي، رشيدة، وملاني، عبدالوهاب (2024) الإطار المفاهيمي للذكاء الاصطناعي ، مجلة التراث، 14(2)، ص 49 </w:t>
      </w:r>
    </w:p>
  </w:footnote>
  <w:footnote w:id="49">
    <w:p w14:paraId="35A75DF3"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دره ، سماح أحمد محمد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32</w:t>
      </w:r>
    </w:p>
  </w:footnote>
  <w:footnote w:id="50">
    <w:p w14:paraId="70CC038F"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غازي، خديجة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 xml:space="preserve">ص 79 </w:t>
      </w:r>
    </w:p>
  </w:footnote>
  <w:footnote w:id="51">
    <w:p w14:paraId="5DB18A05"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أحمد، غادة حلمي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،122</w:t>
      </w:r>
    </w:p>
  </w:footnote>
  <w:footnote w:id="52">
    <w:p w14:paraId="7F08D26E"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J. GASNAULT, « Les </w:t>
      </w:r>
      <w:proofErr w:type="spellStart"/>
      <w:r w:rsidRPr="00DF47A5">
        <w:rPr>
          <w:rFonts w:ascii="Traditional Arabic" w:hAnsi="Traditional Arabic" w:cs="Traditional Arabic"/>
          <w:sz w:val="24"/>
          <w:szCs w:val="24"/>
        </w:rPr>
        <w:t>problèmes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suscités</w:t>
      </w:r>
      <w:proofErr w:type="spellEnd"/>
      <w:r w:rsidRPr="00DF47A5">
        <w:rPr>
          <w:rFonts w:ascii="Traditional Arabic" w:hAnsi="Traditional Arabic" w:cs="Traditional Arabic"/>
          <w:sz w:val="24"/>
          <w:szCs w:val="24"/>
        </w:rPr>
        <w:t xml:space="preserve"> par les </w:t>
      </w:r>
      <w:proofErr w:type="spellStart"/>
      <w:r w:rsidRPr="00DF47A5">
        <w:rPr>
          <w:rFonts w:ascii="Traditional Arabic" w:hAnsi="Traditional Arabic" w:cs="Traditional Arabic"/>
          <w:sz w:val="24"/>
          <w:szCs w:val="24"/>
        </w:rPr>
        <w:t>systèmes</w:t>
      </w:r>
      <w:proofErr w:type="spellEnd"/>
      <w:r w:rsidRPr="00DF47A5">
        <w:rPr>
          <w:rFonts w:ascii="Traditional Arabic" w:hAnsi="Traditional Arabic" w:cs="Traditional Arabic"/>
          <w:sz w:val="24"/>
          <w:szCs w:val="24"/>
        </w:rPr>
        <w:t xml:space="preserve"> experts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d'aide</w:t>
      </w:r>
      <w:proofErr w:type="spellEnd"/>
      <w:r w:rsidRPr="00DF47A5">
        <w:rPr>
          <w:rFonts w:ascii="Traditional Arabic" w:hAnsi="Traditional Arabic" w:cs="Traditional Arabic"/>
          <w:sz w:val="24"/>
          <w:szCs w:val="24"/>
        </w:rPr>
        <w:t xml:space="preserve"> à la </w:t>
      </w:r>
      <w:proofErr w:type="spellStart"/>
      <w:r w:rsidRPr="00DF47A5">
        <w:rPr>
          <w:rFonts w:ascii="Traditional Arabic" w:hAnsi="Traditional Arabic" w:cs="Traditional Arabic"/>
          <w:sz w:val="24"/>
          <w:szCs w:val="24"/>
        </w:rPr>
        <w:t>décision</w:t>
      </w:r>
      <w:proofErr w:type="spellEnd"/>
      <w:r w:rsidRPr="00DF47A5">
        <w:rPr>
          <w:rFonts w:ascii="Traditional Arabic" w:hAnsi="Traditional Arabic" w:cs="Traditional Arabic"/>
          <w:sz w:val="24"/>
          <w:szCs w:val="24"/>
        </w:rPr>
        <w:t xml:space="preserve"> », in </w:t>
      </w:r>
      <w:proofErr w:type="spellStart"/>
      <w:r w:rsidRPr="00DF47A5">
        <w:rPr>
          <w:rFonts w:ascii="Traditional Arabic" w:hAnsi="Traditional Arabic" w:cs="Traditional Arabic"/>
          <w:sz w:val="24"/>
          <w:szCs w:val="24"/>
        </w:rPr>
        <w:t>Systèmes</w:t>
      </w:r>
      <w:proofErr w:type="spellEnd"/>
      <w:r w:rsidRPr="00DF47A5">
        <w:rPr>
          <w:rFonts w:ascii="Traditional Arabic" w:hAnsi="Traditional Arabic" w:cs="Traditional Arabic"/>
          <w:sz w:val="24"/>
          <w:szCs w:val="24"/>
        </w:rPr>
        <w:t xml:space="preserve"> experts et le droit, M. Schauss (dir.), E. Story Scientia, 1988 p. 145 et s.</w:t>
      </w:r>
    </w:p>
  </w:footnote>
  <w:footnote w:id="53">
    <w:p w14:paraId="107DC664"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بو نصار، ريا جمال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tl/>
          <w:lang w:bidi="ar-EG"/>
        </w:rPr>
        <w:t>ص 271</w:t>
      </w:r>
    </w:p>
  </w:footnote>
  <w:footnote w:id="54">
    <w:p w14:paraId="4430AAB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عبدالعزيز، هبة تيسير علي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42</w:t>
      </w:r>
    </w:p>
  </w:footnote>
  <w:footnote w:id="55">
    <w:p w14:paraId="1A112344"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G. HAAS et S. ASTIER, Les </w:t>
      </w:r>
      <w:proofErr w:type="spellStart"/>
      <w:r w:rsidRPr="00DF47A5">
        <w:rPr>
          <w:rFonts w:ascii="Traditional Arabic" w:hAnsi="Traditional Arabic" w:cs="Traditional Arabic"/>
          <w:sz w:val="24"/>
          <w:szCs w:val="24"/>
        </w:rPr>
        <w:t>biais</w:t>
      </w:r>
      <w:proofErr w:type="spellEnd"/>
      <w:r w:rsidRPr="00DF47A5">
        <w:rPr>
          <w:rFonts w:ascii="Traditional Arabic" w:hAnsi="Traditional Arabic" w:cs="Traditional Arabic"/>
          <w:sz w:val="24"/>
          <w:szCs w:val="24"/>
        </w:rPr>
        <w:t xml:space="preserve"> de </w:t>
      </w:r>
      <w:proofErr w:type="spellStart"/>
      <w:r w:rsidRPr="00DF47A5">
        <w:rPr>
          <w:rFonts w:ascii="Traditional Arabic" w:hAnsi="Traditional Arabic" w:cs="Traditional Arabic"/>
          <w:sz w:val="24"/>
          <w:szCs w:val="24"/>
        </w:rPr>
        <w:t>l'intelligence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quels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enjeux</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juridiques</w:t>
      </w:r>
      <w:proofErr w:type="spellEnd"/>
      <w:r w:rsidRPr="00DF47A5">
        <w:rPr>
          <w:rFonts w:ascii="Traditional Arabic" w:hAnsi="Traditional Arabic" w:cs="Traditional Arabic"/>
          <w:sz w:val="24"/>
          <w:szCs w:val="24"/>
        </w:rPr>
        <w:t xml:space="preserve"> ?, </w:t>
      </w:r>
      <w:proofErr w:type="spellStart"/>
      <w:r w:rsidRPr="00DF47A5">
        <w:rPr>
          <w:rFonts w:ascii="Traditional Arabic" w:hAnsi="Traditional Arabic" w:cs="Traditional Arabic"/>
          <w:sz w:val="24"/>
          <w:szCs w:val="24"/>
        </w:rPr>
        <w:t>Dalloz</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rép</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juill</w:t>
      </w:r>
      <w:proofErr w:type="spellEnd"/>
      <w:r w:rsidRPr="00DF47A5">
        <w:rPr>
          <w:rFonts w:ascii="Traditional Arabic" w:hAnsi="Traditional Arabic" w:cs="Traditional Arabic"/>
          <w:sz w:val="24"/>
          <w:szCs w:val="24"/>
        </w:rPr>
        <w:t>. 2019, n° 2 et s.</w:t>
      </w:r>
    </w:p>
  </w:footnote>
  <w:footnote w:id="56">
    <w:p w14:paraId="1E82AED0"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دره ، سماح أحمد محمد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35</w:t>
      </w:r>
    </w:p>
  </w:footnote>
  <w:footnote w:id="57">
    <w:p w14:paraId="1679238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الطائي، سميرة حسين محيسن، وعبدالحسن، إيمان حسين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ص241</w:t>
      </w:r>
    </w:p>
  </w:footnote>
  <w:footnote w:id="58">
    <w:p w14:paraId="4053B958"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E. SADIN, </w:t>
      </w:r>
      <w:proofErr w:type="spellStart"/>
      <w:r w:rsidRPr="00DF47A5">
        <w:rPr>
          <w:rFonts w:ascii="Traditional Arabic" w:hAnsi="Traditional Arabic" w:cs="Traditional Arabic"/>
          <w:sz w:val="24"/>
          <w:szCs w:val="24"/>
        </w:rPr>
        <w:t>L’intelligence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l’enjeu</w:t>
      </w:r>
      <w:proofErr w:type="spellEnd"/>
      <w:r w:rsidRPr="00DF47A5">
        <w:rPr>
          <w:rFonts w:ascii="Traditional Arabic" w:hAnsi="Traditional Arabic" w:cs="Traditional Arabic"/>
          <w:sz w:val="24"/>
          <w:szCs w:val="24"/>
        </w:rPr>
        <w:t xml:space="preserve"> du siècle. </w:t>
      </w:r>
      <w:proofErr w:type="spellStart"/>
      <w:r w:rsidRPr="00DF47A5">
        <w:rPr>
          <w:rFonts w:ascii="Traditional Arabic" w:hAnsi="Traditional Arabic" w:cs="Traditional Arabic"/>
          <w:sz w:val="24"/>
          <w:szCs w:val="24"/>
        </w:rPr>
        <w:t>Anatomie</w:t>
      </w:r>
      <w:proofErr w:type="spellEnd"/>
      <w:r w:rsidRPr="00DF47A5">
        <w:rPr>
          <w:rFonts w:ascii="Traditional Arabic" w:hAnsi="Traditional Arabic" w:cs="Traditional Arabic"/>
          <w:sz w:val="24"/>
          <w:szCs w:val="24"/>
        </w:rPr>
        <w:t xml:space="preserve"> d’un </w:t>
      </w:r>
      <w:proofErr w:type="spellStart"/>
      <w:r w:rsidRPr="00DF47A5">
        <w:rPr>
          <w:rFonts w:ascii="Traditional Arabic" w:hAnsi="Traditional Arabic" w:cs="Traditional Arabic"/>
          <w:sz w:val="24"/>
          <w:szCs w:val="24"/>
        </w:rPr>
        <w:t>antihumanisme</w:t>
      </w:r>
      <w:proofErr w:type="spellEnd"/>
      <w:r w:rsidRPr="00DF47A5">
        <w:rPr>
          <w:rFonts w:ascii="Traditional Arabic" w:hAnsi="Traditional Arabic" w:cs="Traditional Arabic"/>
          <w:sz w:val="24"/>
          <w:szCs w:val="24"/>
        </w:rPr>
        <w:t xml:space="preserve"> radical, </w:t>
      </w:r>
      <w:proofErr w:type="spellStart"/>
      <w:r w:rsidRPr="00DF47A5">
        <w:rPr>
          <w:rFonts w:ascii="Traditional Arabic" w:hAnsi="Traditional Arabic" w:cs="Traditional Arabic"/>
          <w:sz w:val="24"/>
          <w:szCs w:val="24"/>
        </w:rPr>
        <w:t>L’Échappée</w:t>
      </w:r>
      <w:proofErr w:type="spellEnd"/>
      <w:r w:rsidRPr="00DF47A5">
        <w:rPr>
          <w:rFonts w:ascii="Traditional Arabic" w:hAnsi="Traditional Arabic" w:cs="Traditional Arabic"/>
          <w:sz w:val="24"/>
          <w:szCs w:val="24"/>
        </w:rPr>
        <w:t>, 2018, n° 8</w:t>
      </w:r>
      <w:r w:rsidRPr="00DF47A5">
        <w:rPr>
          <w:rFonts w:ascii="Traditional Arabic" w:hAnsi="Traditional Arabic" w:cs="Traditional Arabic"/>
          <w:sz w:val="24"/>
          <w:szCs w:val="24"/>
          <w:rtl/>
        </w:rPr>
        <w:t>.</w:t>
      </w:r>
    </w:p>
  </w:footnote>
  <w:footnote w:id="59">
    <w:p w14:paraId="66FA489F"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تحفة، فايق عوضين محمد (2022) مرجع سابق ، ص48 </w:t>
      </w:r>
    </w:p>
  </w:footnote>
  <w:footnote w:id="60">
    <w:p w14:paraId="2AC0EBEE"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جاد المولى، محمود عبدالغني فريد (2021) الاتجاهات الحديثة في المسؤولية الجنائية للكيانات التي تعمل بتقنيات الذكاء الاصطناعي. مجلة البحوث القانونية والاقتصادية، 53، ص 550</w:t>
      </w:r>
    </w:p>
  </w:footnote>
  <w:footnote w:id="61">
    <w:p w14:paraId="4627E014"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أحمد، غادة حلمي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w:t>
      </w:r>
      <w:r w:rsidRPr="00DF47A5">
        <w:rPr>
          <w:rFonts w:ascii="Traditional Arabic" w:hAnsi="Traditional Arabic" w:cs="Traditional Arabic"/>
          <w:sz w:val="24"/>
          <w:szCs w:val="24"/>
          <w:rtl/>
          <w:lang w:bidi="ar-EG"/>
        </w:rPr>
        <w:t>123</w:t>
      </w:r>
    </w:p>
  </w:footnote>
  <w:footnote w:id="62">
    <w:p w14:paraId="02CC3836"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الأمن السيبراني هو مصطلح عام يطلق على حماية الأنظمة والبيانات والمعلومات الإلكترونية أو الرقمية الخاصة بالدولة، أو بإحدى مؤسساتها العامة والخاصة. انظر لمزيد من البيان:</w:t>
      </w:r>
    </w:p>
    <w:p w14:paraId="6F951408" w14:textId="77777777" w:rsidR="00991EEB" w:rsidRPr="00DF47A5" w:rsidRDefault="00991EEB" w:rsidP="00991EEB">
      <w:pPr>
        <w:pStyle w:val="a3"/>
        <w:rPr>
          <w:rFonts w:ascii="Traditional Arabic" w:hAnsi="Traditional Arabic" w:cs="Traditional Arabic"/>
          <w:sz w:val="24"/>
          <w:szCs w:val="24"/>
          <w:rtl/>
          <w:lang w:bidi="ar-EG"/>
        </w:rPr>
      </w:pPr>
      <w:r w:rsidRPr="00DF47A5">
        <w:rPr>
          <w:rFonts w:ascii="Traditional Arabic" w:hAnsi="Traditional Arabic" w:cs="Traditional Arabic"/>
          <w:sz w:val="24"/>
          <w:szCs w:val="24"/>
        </w:rPr>
        <w:t xml:space="preserve">La </w:t>
      </w:r>
      <w:proofErr w:type="spellStart"/>
      <w:r w:rsidRPr="00DF47A5">
        <w:rPr>
          <w:rFonts w:ascii="Traditional Arabic" w:hAnsi="Traditional Arabic" w:cs="Traditional Arabic"/>
          <w:sz w:val="24"/>
          <w:szCs w:val="24"/>
        </w:rPr>
        <w:t>cybersécurité</w:t>
      </w:r>
      <w:proofErr w:type="spellEnd"/>
      <w:r w:rsidRPr="00DF47A5">
        <w:rPr>
          <w:rFonts w:ascii="Traditional Arabic" w:hAnsi="Traditional Arabic" w:cs="Traditional Arabic"/>
          <w:sz w:val="24"/>
          <w:szCs w:val="24"/>
        </w:rPr>
        <w:t xml:space="preserve"> est </w:t>
      </w:r>
      <w:proofErr w:type="spellStart"/>
      <w:r w:rsidRPr="00DF47A5">
        <w:rPr>
          <w:rFonts w:ascii="Traditional Arabic" w:hAnsi="Traditional Arabic" w:cs="Traditional Arabic"/>
          <w:sz w:val="24"/>
          <w:szCs w:val="24"/>
        </w:rPr>
        <w:t>l'ensemble</w:t>
      </w:r>
      <w:proofErr w:type="spellEnd"/>
      <w:r w:rsidRPr="00DF47A5">
        <w:rPr>
          <w:rFonts w:ascii="Traditional Arabic" w:hAnsi="Traditional Arabic" w:cs="Traditional Arabic"/>
          <w:sz w:val="24"/>
          <w:szCs w:val="24"/>
        </w:rPr>
        <w:t xml:space="preserve"> des moyens </w:t>
      </w:r>
      <w:proofErr w:type="spellStart"/>
      <w:r w:rsidRPr="00DF47A5">
        <w:rPr>
          <w:rFonts w:ascii="Traditional Arabic" w:hAnsi="Traditional Arabic" w:cs="Traditional Arabic"/>
          <w:sz w:val="24"/>
          <w:szCs w:val="24"/>
        </w:rPr>
        <w:t>utilisés</w:t>
      </w:r>
      <w:proofErr w:type="spellEnd"/>
      <w:r w:rsidRPr="00DF47A5">
        <w:rPr>
          <w:rFonts w:ascii="Traditional Arabic" w:hAnsi="Traditional Arabic" w:cs="Traditional Arabic"/>
          <w:sz w:val="24"/>
          <w:szCs w:val="24"/>
        </w:rPr>
        <w:t xml:space="preserve"> pour assurer la </w:t>
      </w:r>
      <w:proofErr w:type="spellStart"/>
      <w:r w:rsidRPr="00DF47A5">
        <w:rPr>
          <w:rFonts w:ascii="Traditional Arabic" w:hAnsi="Traditional Arabic" w:cs="Traditional Arabic"/>
          <w:sz w:val="24"/>
          <w:szCs w:val="24"/>
        </w:rPr>
        <w:t>sécurité</w:t>
      </w:r>
      <w:proofErr w:type="spellEnd"/>
      <w:r w:rsidRPr="00DF47A5">
        <w:rPr>
          <w:rFonts w:ascii="Traditional Arabic" w:hAnsi="Traditional Arabic" w:cs="Traditional Arabic"/>
          <w:sz w:val="24"/>
          <w:szCs w:val="24"/>
        </w:rPr>
        <w:t xml:space="preserve"> des </w:t>
      </w:r>
      <w:proofErr w:type="spellStart"/>
      <w:r w:rsidRPr="00DF47A5">
        <w:rPr>
          <w:rFonts w:ascii="Traditional Arabic" w:hAnsi="Traditional Arabic" w:cs="Traditional Arabic"/>
          <w:sz w:val="24"/>
          <w:szCs w:val="24"/>
        </w:rPr>
        <w:t>systèmes</w:t>
      </w:r>
      <w:proofErr w:type="spellEnd"/>
      <w:r w:rsidRPr="00DF47A5">
        <w:rPr>
          <w:rFonts w:ascii="Traditional Arabic" w:hAnsi="Traditional Arabic" w:cs="Traditional Arabic"/>
          <w:sz w:val="24"/>
          <w:szCs w:val="24"/>
        </w:rPr>
        <w:t xml:space="preserve"> et des données </w:t>
      </w:r>
      <w:proofErr w:type="spellStart"/>
      <w:r w:rsidRPr="00DF47A5">
        <w:rPr>
          <w:rFonts w:ascii="Traditional Arabic" w:hAnsi="Traditional Arabic" w:cs="Traditional Arabic"/>
          <w:sz w:val="24"/>
          <w:szCs w:val="24"/>
        </w:rPr>
        <w:t>informatiques</w:t>
      </w:r>
      <w:proofErr w:type="spellEnd"/>
      <w:r w:rsidRPr="00DF47A5">
        <w:rPr>
          <w:rFonts w:ascii="Traditional Arabic" w:hAnsi="Traditional Arabic" w:cs="Traditional Arabic"/>
          <w:sz w:val="24"/>
          <w:szCs w:val="24"/>
        </w:rPr>
        <w:t xml:space="preserve"> d'un État, </w:t>
      </w:r>
      <w:proofErr w:type="spellStart"/>
      <w:r w:rsidRPr="00DF47A5">
        <w:rPr>
          <w:rFonts w:ascii="Traditional Arabic" w:hAnsi="Traditional Arabic" w:cs="Traditional Arabic"/>
          <w:sz w:val="24"/>
          <w:szCs w:val="24"/>
        </w:rPr>
        <w:t>d'une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entreprise</w:t>
      </w:r>
      <w:proofErr w:type="spellEnd"/>
      <w:r w:rsidRPr="00DF47A5">
        <w:rPr>
          <w:rFonts w:ascii="Traditional Arabic" w:hAnsi="Traditional Arabic" w:cs="Traditional Arabic"/>
          <w:sz w:val="24"/>
          <w:szCs w:val="24"/>
        </w:rPr>
        <w:t xml:space="preserve">, etc.», L. HERCE, </w:t>
      </w:r>
      <w:proofErr w:type="spellStart"/>
      <w:r w:rsidRPr="00DF47A5">
        <w:rPr>
          <w:rFonts w:ascii="Traditional Arabic" w:hAnsi="Traditional Arabic" w:cs="Traditional Arabic"/>
          <w:sz w:val="24"/>
          <w:szCs w:val="24"/>
        </w:rPr>
        <w:t>Comprenez</w:t>
      </w:r>
      <w:proofErr w:type="spellEnd"/>
      <w:r w:rsidRPr="00DF47A5">
        <w:rPr>
          <w:rFonts w:ascii="Traditional Arabic" w:hAnsi="Traditional Arabic" w:cs="Traditional Arabic"/>
          <w:sz w:val="24"/>
          <w:szCs w:val="24"/>
        </w:rPr>
        <w:t xml:space="preserve"> la notion de </w:t>
      </w:r>
      <w:proofErr w:type="spellStart"/>
      <w:r w:rsidRPr="00DF47A5">
        <w:rPr>
          <w:rFonts w:ascii="Traditional Arabic" w:hAnsi="Traditional Arabic" w:cs="Traditional Arabic"/>
          <w:sz w:val="24"/>
          <w:szCs w:val="24"/>
        </w:rPr>
        <w:t>cybersécurité</w:t>
      </w:r>
      <w:proofErr w:type="spellEnd"/>
      <w:r w:rsidRPr="00DF47A5">
        <w:rPr>
          <w:rFonts w:ascii="Traditional Arabic" w:hAnsi="Traditional Arabic" w:cs="Traditional Arabic"/>
          <w:sz w:val="24"/>
          <w:szCs w:val="24"/>
        </w:rPr>
        <w:t xml:space="preserve"> pour (</w:t>
      </w:r>
      <w:proofErr w:type="spellStart"/>
      <w:r w:rsidRPr="00DF47A5">
        <w:rPr>
          <w:rFonts w:ascii="Traditional Arabic" w:hAnsi="Traditional Arabic" w:cs="Traditional Arabic"/>
          <w:sz w:val="24"/>
          <w:szCs w:val="24"/>
        </w:rPr>
        <w:t>mieux</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protéger</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votre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entreprise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Appvizer</w:t>
      </w:r>
      <w:proofErr w:type="spellEnd"/>
      <w:r w:rsidRPr="00DF47A5">
        <w:rPr>
          <w:rFonts w:ascii="Traditional Arabic" w:hAnsi="Traditional Arabic" w:cs="Traditional Arabic"/>
          <w:sz w:val="24"/>
          <w:szCs w:val="24"/>
        </w:rPr>
        <w:t xml:space="preserve">, Mis à jour le 17 </w:t>
      </w:r>
      <w:proofErr w:type="spellStart"/>
      <w:r w:rsidRPr="00DF47A5">
        <w:rPr>
          <w:rFonts w:ascii="Traditional Arabic" w:hAnsi="Traditional Arabic" w:cs="Traditional Arabic"/>
          <w:sz w:val="24"/>
          <w:szCs w:val="24"/>
        </w:rPr>
        <w:t>novembre</w:t>
      </w:r>
      <w:proofErr w:type="spellEnd"/>
      <w:r w:rsidRPr="00DF47A5">
        <w:rPr>
          <w:rFonts w:ascii="Traditional Arabic" w:hAnsi="Traditional Arabic" w:cs="Traditional Arabic"/>
          <w:sz w:val="24"/>
          <w:szCs w:val="24"/>
        </w:rPr>
        <w:t xml:space="preserve"> 2020, </w:t>
      </w:r>
      <w:proofErr w:type="spellStart"/>
      <w:r w:rsidRPr="00DF47A5">
        <w:rPr>
          <w:rFonts w:ascii="Traditional Arabic" w:hAnsi="Traditional Arabic" w:cs="Traditional Arabic"/>
          <w:sz w:val="24"/>
          <w:szCs w:val="24"/>
        </w:rPr>
        <w:t>publié</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initialement</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en</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août</w:t>
      </w:r>
      <w:proofErr w:type="spellEnd"/>
      <w:r w:rsidRPr="00DF47A5">
        <w:rPr>
          <w:rFonts w:ascii="Traditional Arabic" w:hAnsi="Traditional Arabic" w:cs="Traditional Arabic"/>
          <w:sz w:val="24"/>
          <w:szCs w:val="24"/>
        </w:rPr>
        <w:t xml:space="preserve"> 2020, n° 5</w:t>
      </w:r>
      <w:r w:rsidRPr="00DF47A5">
        <w:rPr>
          <w:rFonts w:ascii="Traditional Arabic" w:hAnsi="Traditional Arabic" w:cs="Traditional Arabic"/>
          <w:sz w:val="24"/>
          <w:szCs w:val="24"/>
          <w:rtl/>
        </w:rPr>
        <w:t>.</w:t>
      </w:r>
    </w:p>
  </w:footnote>
  <w:footnote w:id="63">
    <w:p w14:paraId="452E5B63"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دره ، سماح أحمد محمد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52</w:t>
      </w:r>
    </w:p>
  </w:footnote>
  <w:footnote w:id="64">
    <w:p w14:paraId="1E74C5B3"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غازي، خديجة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ص 82</w:t>
      </w:r>
    </w:p>
  </w:footnote>
  <w:footnote w:id="65">
    <w:p w14:paraId="00D12A9D"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هاشمي، رشيدة، وملاني، عبدالوهاب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ص 52 </w:t>
      </w:r>
    </w:p>
  </w:footnote>
  <w:footnote w:id="66">
    <w:p w14:paraId="735C808E"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عمار، عادل محمود أحمد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120</w:t>
      </w:r>
    </w:p>
  </w:footnote>
  <w:footnote w:id="67">
    <w:p w14:paraId="3EBCB848"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هاشمي، رشيدة، وملاني، عبدالوهاب (2024) الإطار المفاهيمي للذكاء الاصطناعي ، مجلة التراث، 14(2)، ص 49</w:t>
      </w:r>
    </w:p>
  </w:footnote>
  <w:footnote w:id="68">
    <w:p w14:paraId="68F6685D"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A. MENDOZA, « Le droit </w:t>
      </w:r>
      <w:proofErr w:type="spellStart"/>
      <w:r w:rsidRPr="00DF47A5">
        <w:rPr>
          <w:rFonts w:ascii="Traditional Arabic" w:hAnsi="Traditional Arabic" w:cs="Traditional Arabic"/>
          <w:sz w:val="24"/>
          <w:szCs w:val="24"/>
        </w:rPr>
        <w:t>confronté</w:t>
      </w:r>
      <w:proofErr w:type="spellEnd"/>
      <w:r w:rsidRPr="00DF47A5">
        <w:rPr>
          <w:rFonts w:ascii="Traditional Arabic" w:hAnsi="Traditional Arabic" w:cs="Traditional Arabic"/>
          <w:sz w:val="24"/>
          <w:szCs w:val="24"/>
        </w:rPr>
        <w:t xml:space="preserve"> à </w:t>
      </w:r>
      <w:proofErr w:type="spellStart"/>
      <w:r w:rsidRPr="00DF47A5">
        <w:rPr>
          <w:rFonts w:ascii="Traditional Arabic" w:hAnsi="Traditional Arabic" w:cs="Traditional Arabic"/>
          <w:sz w:val="24"/>
          <w:szCs w:val="24"/>
        </w:rPr>
        <w:t>l'intelligence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xml:space="preserve"> des robots: vers </w:t>
      </w:r>
      <w:proofErr w:type="spellStart"/>
      <w:r w:rsidRPr="00DF47A5">
        <w:rPr>
          <w:rFonts w:ascii="Traditional Arabic" w:hAnsi="Traditional Arabic" w:cs="Traditional Arabic"/>
          <w:sz w:val="24"/>
          <w:szCs w:val="24"/>
        </w:rPr>
        <w:t>l'émergence</w:t>
      </w:r>
      <w:proofErr w:type="spellEnd"/>
      <w:r w:rsidRPr="00DF47A5">
        <w:rPr>
          <w:rFonts w:ascii="Traditional Arabic" w:hAnsi="Traditional Arabic" w:cs="Traditional Arabic"/>
          <w:sz w:val="24"/>
          <w:szCs w:val="24"/>
        </w:rPr>
        <w:t xml:space="preserve"> de nouveaux concepts </w:t>
      </w:r>
      <w:proofErr w:type="spellStart"/>
      <w:r w:rsidRPr="00DF47A5">
        <w:rPr>
          <w:rFonts w:ascii="Traditional Arabic" w:hAnsi="Traditional Arabic" w:cs="Traditional Arabic"/>
          <w:sz w:val="24"/>
          <w:szCs w:val="24"/>
        </w:rPr>
        <w:t>juridiques</w:t>
      </w:r>
      <w:proofErr w:type="spellEnd"/>
      <w:r w:rsidRPr="00DF47A5">
        <w:rPr>
          <w:rFonts w:ascii="Traditional Arabic" w:hAnsi="Traditional Arabic" w:cs="Traditional Arabic"/>
          <w:sz w:val="24"/>
          <w:szCs w:val="24"/>
        </w:rPr>
        <w:t>? », p. 447.</w:t>
      </w:r>
    </w:p>
  </w:footnote>
  <w:footnote w:id="69">
    <w:p w14:paraId="500E993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عبدالعزيز، هبة تيسير علي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45</w:t>
      </w:r>
    </w:p>
  </w:footnote>
  <w:footnote w:id="70">
    <w:p w14:paraId="5B17CBBC"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جاد المولى، محمود عبدالغني فريد (2021) مرجع سابق ،  ص 553</w:t>
      </w:r>
    </w:p>
  </w:footnote>
  <w:footnote w:id="71">
    <w:p w14:paraId="3AEFCA75"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غازي، خديجة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ص 82</w:t>
      </w:r>
    </w:p>
  </w:footnote>
  <w:footnote w:id="72">
    <w:p w14:paraId="1C36B835"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L. MAZEAU, Intelligence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xml:space="preserve"> et </w:t>
      </w:r>
      <w:proofErr w:type="spellStart"/>
      <w:r w:rsidRPr="00DF47A5">
        <w:rPr>
          <w:rFonts w:ascii="Traditional Arabic" w:hAnsi="Traditional Arabic" w:cs="Traditional Arabic"/>
          <w:sz w:val="24"/>
          <w:szCs w:val="24"/>
        </w:rPr>
        <w:t>responsabilité</w:t>
      </w:r>
      <w:proofErr w:type="spellEnd"/>
      <w:r w:rsidRPr="00DF47A5">
        <w:rPr>
          <w:rFonts w:ascii="Traditional Arabic" w:hAnsi="Traditional Arabic" w:cs="Traditional Arabic"/>
          <w:sz w:val="24"/>
          <w:szCs w:val="24"/>
        </w:rPr>
        <w:t xml:space="preserve"> civile: le </w:t>
      </w:r>
      <w:proofErr w:type="spellStart"/>
      <w:r w:rsidRPr="00DF47A5">
        <w:rPr>
          <w:rFonts w:ascii="Traditional Arabic" w:hAnsi="Traditional Arabic" w:cs="Traditional Arabic"/>
          <w:sz w:val="24"/>
          <w:szCs w:val="24"/>
        </w:rPr>
        <w:t>cas</w:t>
      </w:r>
      <w:proofErr w:type="spellEnd"/>
      <w:r w:rsidRPr="00DF47A5">
        <w:rPr>
          <w:rFonts w:ascii="Traditional Arabic" w:hAnsi="Traditional Arabic" w:cs="Traditional Arabic"/>
          <w:sz w:val="24"/>
          <w:szCs w:val="24"/>
        </w:rPr>
        <w:t xml:space="preserve"> de </w:t>
      </w:r>
      <w:proofErr w:type="spellStart"/>
      <w:r w:rsidRPr="00DF47A5">
        <w:rPr>
          <w:rFonts w:ascii="Traditional Arabic" w:hAnsi="Traditional Arabic" w:cs="Traditional Arabic"/>
          <w:sz w:val="24"/>
          <w:szCs w:val="24"/>
        </w:rPr>
        <w:t>logiciels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d'aide</w:t>
      </w:r>
      <w:proofErr w:type="spellEnd"/>
      <w:r w:rsidRPr="00DF47A5">
        <w:rPr>
          <w:rFonts w:ascii="Traditional Arabic" w:hAnsi="Traditional Arabic" w:cs="Traditional Arabic"/>
          <w:sz w:val="24"/>
          <w:szCs w:val="24"/>
        </w:rPr>
        <w:t xml:space="preserve"> à la </w:t>
      </w:r>
      <w:proofErr w:type="spellStart"/>
      <w:r w:rsidRPr="00DF47A5">
        <w:rPr>
          <w:rFonts w:ascii="Traditional Arabic" w:hAnsi="Traditional Arabic" w:cs="Traditional Arabic"/>
          <w:sz w:val="24"/>
          <w:szCs w:val="24"/>
        </w:rPr>
        <w:t>décision</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en</w:t>
      </w:r>
      <w:proofErr w:type="spellEnd"/>
      <w:r w:rsidRPr="00DF47A5">
        <w:rPr>
          <w:rFonts w:ascii="Traditional Arabic" w:hAnsi="Traditional Arabic" w:cs="Traditional Arabic"/>
          <w:sz w:val="24"/>
          <w:szCs w:val="24"/>
        </w:rPr>
        <w:t xml:space="preserve"> matière </w:t>
      </w:r>
      <w:proofErr w:type="spellStart"/>
      <w:r w:rsidRPr="00DF47A5">
        <w:rPr>
          <w:rFonts w:ascii="Traditional Arabic" w:hAnsi="Traditional Arabic" w:cs="Traditional Arabic"/>
          <w:sz w:val="24"/>
          <w:szCs w:val="24"/>
        </w:rPr>
        <w:t>médicale</w:t>
      </w:r>
      <w:proofErr w:type="spellEnd"/>
      <w:r w:rsidRPr="00DF47A5">
        <w:rPr>
          <w:rFonts w:ascii="Traditional Arabic" w:hAnsi="Traditional Arabic" w:cs="Traditional Arabic"/>
          <w:sz w:val="24"/>
          <w:szCs w:val="24"/>
        </w:rPr>
        <w:t xml:space="preserve">, Rév. pratique de la prospective de </w:t>
      </w:r>
      <w:proofErr w:type="spellStart"/>
      <w:r w:rsidRPr="00DF47A5">
        <w:rPr>
          <w:rFonts w:ascii="Traditional Arabic" w:hAnsi="Traditional Arabic" w:cs="Traditional Arabic"/>
          <w:sz w:val="24"/>
          <w:szCs w:val="24"/>
        </w:rPr>
        <w:t>l'innovation</w:t>
      </w:r>
      <w:proofErr w:type="spellEnd"/>
      <w:r w:rsidRPr="00DF47A5">
        <w:rPr>
          <w:rFonts w:ascii="Traditional Arabic" w:hAnsi="Traditional Arabic" w:cs="Traditional Arabic"/>
          <w:sz w:val="24"/>
          <w:szCs w:val="24"/>
        </w:rPr>
        <w:t>, p. 47</w:t>
      </w:r>
      <w:r w:rsidRPr="00DF47A5">
        <w:rPr>
          <w:rFonts w:ascii="Traditional Arabic" w:hAnsi="Traditional Arabic" w:cs="Traditional Arabic"/>
          <w:sz w:val="24"/>
          <w:szCs w:val="24"/>
          <w:rtl/>
        </w:rPr>
        <w:t>.</w:t>
      </w:r>
    </w:p>
  </w:footnote>
  <w:footnote w:id="73">
    <w:p w14:paraId="7A458A97"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أحمد، غادة حلمي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w:t>
      </w:r>
      <w:r w:rsidRPr="00DF47A5">
        <w:rPr>
          <w:rFonts w:ascii="Traditional Arabic" w:hAnsi="Traditional Arabic" w:cs="Traditional Arabic"/>
          <w:sz w:val="24"/>
          <w:szCs w:val="24"/>
          <w:rtl/>
          <w:lang w:bidi="ar-EG"/>
        </w:rPr>
        <w:t>125</w:t>
      </w:r>
    </w:p>
  </w:footnote>
  <w:footnote w:id="74">
    <w:p w14:paraId="58E2ABAE"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عبدالعزيز، هبة تيسير علي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52</w:t>
      </w:r>
    </w:p>
  </w:footnote>
  <w:footnote w:id="75">
    <w:p w14:paraId="0AE1108D"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هاشمي، رشيدة، وملاني، عبدالوهاب (2024) مرجع سابق ،  ص 52</w:t>
      </w:r>
    </w:p>
  </w:footnote>
  <w:footnote w:id="76">
    <w:p w14:paraId="774498A2" w14:textId="77777777" w:rsidR="00991EEB" w:rsidRPr="00DF47A5" w:rsidRDefault="00991EEB" w:rsidP="00991EEB">
      <w:pPr>
        <w:bidi/>
        <w:spacing w:after="0" w:line="240" w:lineRule="auto"/>
        <w:jc w:val="mediumKashida"/>
        <w:rPr>
          <w:rFonts w:ascii="Traditional Arabic" w:hAnsi="Traditional Arabic" w:cs="Traditional Arabic"/>
          <w:rtl/>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محمد، عبد الرزاق وهيب سيد أحمد (2020) المسؤولية المدنية عن أضرار الذكاء الاصطناعي: دراسة تحليلية. مجلة جيل الأبحاث القانونية المعمقة، (43) ، ص11</w:t>
      </w:r>
    </w:p>
  </w:footnote>
  <w:footnote w:id="77">
    <w:p w14:paraId="1DA06D86"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دره ، سماح أحمد محمد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38</w:t>
      </w:r>
    </w:p>
  </w:footnote>
  <w:footnote w:id="78">
    <w:p w14:paraId="2E966C19"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عمار، عادل محمود أحمد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126</w:t>
      </w:r>
    </w:p>
  </w:footnote>
  <w:footnote w:id="79">
    <w:p w14:paraId="5BBDBA52" w14:textId="77777777" w:rsidR="00991EEB" w:rsidRPr="00DF47A5" w:rsidRDefault="00991EEB" w:rsidP="00991EEB">
      <w:pPr>
        <w:bidi/>
        <w:spacing w:after="0" w:line="240" w:lineRule="auto"/>
        <w:jc w:val="mediumKashida"/>
        <w:rPr>
          <w:rFonts w:ascii="Traditional Arabic" w:hAnsi="Traditional Arabic" w:cs="Traditional Arabic"/>
          <w:rtl/>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 xml:space="preserve">الخولي، أحمد فتحي (2021 ) </w:t>
      </w:r>
      <w:r w:rsidRPr="00DF47A5">
        <w:rPr>
          <w:rFonts w:ascii="Traditional Arabic" w:hAnsi="Traditional Arabic" w:cs="Traditional Arabic"/>
          <w:b/>
          <w:bCs/>
          <w:u w:val="single"/>
          <w:rtl/>
          <w:lang w:bidi="ar-EG"/>
        </w:rPr>
        <w:t>مرجع سابق</w:t>
      </w:r>
      <w:r w:rsidRPr="00DF47A5">
        <w:rPr>
          <w:rFonts w:ascii="Traditional Arabic" w:hAnsi="Traditional Arabic" w:cs="Traditional Arabic"/>
          <w:rtl/>
          <w:lang w:bidi="ar-EG"/>
        </w:rPr>
        <w:t xml:space="preserve">  ، ص11</w:t>
      </w:r>
    </w:p>
  </w:footnote>
  <w:footnote w:id="80">
    <w:p w14:paraId="18A1C152"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A. BENSAMOUN et P. LATREILLE, La </w:t>
      </w:r>
      <w:proofErr w:type="spellStart"/>
      <w:r w:rsidRPr="00DF47A5">
        <w:rPr>
          <w:rFonts w:ascii="Traditional Arabic" w:hAnsi="Traditional Arabic" w:cs="Traditional Arabic"/>
          <w:sz w:val="24"/>
          <w:szCs w:val="24"/>
        </w:rPr>
        <w:t>réception</w:t>
      </w:r>
      <w:proofErr w:type="spellEnd"/>
      <w:r w:rsidRPr="00DF47A5">
        <w:rPr>
          <w:rFonts w:ascii="Traditional Arabic" w:hAnsi="Traditional Arabic" w:cs="Traditional Arabic"/>
          <w:sz w:val="24"/>
          <w:szCs w:val="24"/>
        </w:rPr>
        <w:t xml:space="preserve"> des </w:t>
      </w:r>
      <w:proofErr w:type="spellStart"/>
      <w:r w:rsidRPr="00DF47A5">
        <w:rPr>
          <w:rFonts w:ascii="Traditional Arabic" w:hAnsi="Traditional Arabic" w:cs="Traditional Arabic"/>
          <w:sz w:val="24"/>
          <w:szCs w:val="24"/>
        </w:rPr>
        <w:t>dispositifs</w:t>
      </w:r>
      <w:proofErr w:type="spellEnd"/>
      <w:r w:rsidRPr="00DF47A5">
        <w:rPr>
          <w:rFonts w:ascii="Traditional Arabic" w:hAnsi="Traditional Arabic" w:cs="Traditional Arabic"/>
          <w:sz w:val="24"/>
          <w:szCs w:val="24"/>
        </w:rPr>
        <w:t xml:space="preserve"> de protection et </w:t>
      </w:r>
      <w:proofErr w:type="spellStart"/>
      <w:r w:rsidRPr="00DF47A5">
        <w:rPr>
          <w:rFonts w:ascii="Traditional Arabic" w:hAnsi="Traditional Arabic" w:cs="Traditional Arabic"/>
          <w:sz w:val="24"/>
          <w:szCs w:val="24"/>
        </w:rPr>
        <w:t>d'information</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relecture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d'une</w:t>
      </w:r>
      <w:proofErr w:type="spellEnd"/>
      <w:r w:rsidRPr="00DF47A5">
        <w:rPr>
          <w:rFonts w:ascii="Traditional Arabic" w:hAnsi="Traditional Arabic" w:cs="Traditional Arabic"/>
          <w:sz w:val="24"/>
          <w:szCs w:val="24"/>
        </w:rPr>
        <w:t xml:space="preserve"> histoire </w:t>
      </w:r>
      <w:proofErr w:type="spellStart"/>
      <w:r w:rsidRPr="00DF47A5">
        <w:rPr>
          <w:rFonts w:ascii="Traditional Arabic" w:hAnsi="Traditional Arabic" w:cs="Traditional Arabic"/>
          <w:sz w:val="24"/>
          <w:szCs w:val="24"/>
        </w:rPr>
        <w:t>singulière</w:t>
      </w:r>
      <w:proofErr w:type="spellEnd"/>
      <w:r w:rsidRPr="00DF47A5">
        <w:rPr>
          <w:rFonts w:ascii="Traditional Arabic" w:hAnsi="Traditional Arabic" w:cs="Traditional Arabic"/>
          <w:sz w:val="24"/>
          <w:szCs w:val="24"/>
        </w:rPr>
        <w:t xml:space="preserve">, in Droit, sciences et techniques, </w:t>
      </w:r>
      <w:proofErr w:type="spellStart"/>
      <w:r w:rsidRPr="00DF47A5">
        <w:rPr>
          <w:rFonts w:ascii="Traditional Arabic" w:hAnsi="Traditional Arabic" w:cs="Traditional Arabic"/>
          <w:sz w:val="24"/>
          <w:szCs w:val="24"/>
        </w:rPr>
        <w:t>quelles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responsabilités</w:t>
      </w:r>
      <w:proofErr w:type="spellEnd"/>
      <w:r w:rsidRPr="00DF47A5">
        <w:rPr>
          <w:rFonts w:ascii="Traditional Arabic" w:hAnsi="Traditional Arabic" w:cs="Traditional Arabic"/>
          <w:sz w:val="24"/>
          <w:szCs w:val="24"/>
        </w:rPr>
        <w:t xml:space="preserve"> ?, LexisNexis, 2011, p. 217.</w:t>
      </w:r>
    </w:p>
  </w:footnote>
  <w:footnote w:id="81">
    <w:p w14:paraId="10821EFD"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تحفة، فايق عوضين محمد (2022)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48</w:t>
      </w:r>
    </w:p>
  </w:footnote>
  <w:footnote w:id="82">
    <w:p w14:paraId="6AEB8C3A"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S. METTILE et N. GUYOT, Le moment est </w:t>
      </w:r>
      <w:proofErr w:type="spellStart"/>
      <w:r w:rsidRPr="00DF47A5">
        <w:rPr>
          <w:rFonts w:ascii="Traditional Arabic" w:hAnsi="Traditional Arabic" w:cs="Traditional Arabic"/>
          <w:sz w:val="24"/>
          <w:szCs w:val="24"/>
        </w:rPr>
        <w:t>venu</w:t>
      </w:r>
      <w:proofErr w:type="spellEnd"/>
      <w:r w:rsidRPr="00DF47A5">
        <w:rPr>
          <w:rFonts w:ascii="Traditional Arabic" w:hAnsi="Traditional Arabic" w:cs="Traditional Arabic"/>
          <w:sz w:val="24"/>
          <w:szCs w:val="24"/>
        </w:rPr>
        <w:t xml:space="preserve"> de </w:t>
      </w:r>
      <w:proofErr w:type="spellStart"/>
      <w:r w:rsidRPr="00DF47A5">
        <w:rPr>
          <w:rFonts w:ascii="Traditional Arabic" w:hAnsi="Traditional Arabic" w:cs="Traditional Arabic"/>
          <w:sz w:val="24"/>
          <w:szCs w:val="24"/>
        </w:rPr>
        <w:t>reconnaît</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w:t>
      </w:r>
      <w:proofErr w:type="spellEnd"/>
      <w:r w:rsidRPr="00DF47A5">
        <w:rPr>
          <w:rFonts w:ascii="Traditional Arabic" w:hAnsi="Traditional Arabic" w:cs="Traditional Arabic"/>
          <w:sz w:val="24"/>
          <w:szCs w:val="24"/>
        </w:rPr>
        <w:t xml:space="preserve"> aux robots, revue Plaidoyer, 2015, n° 3.</w:t>
      </w:r>
    </w:p>
  </w:footnote>
  <w:footnote w:id="83">
    <w:p w14:paraId="696F6F60"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غازي، خديجة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ص 85</w:t>
      </w:r>
    </w:p>
  </w:footnote>
  <w:footnote w:id="84">
    <w:p w14:paraId="73109BB3"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جاد المولى، محمود عبدالغني فريد (2021)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556</w:t>
      </w:r>
    </w:p>
  </w:footnote>
  <w:footnote w:id="85">
    <w:p w14:paraId="5F321C75"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هاشمي، رشيدة، وملاني، عبدالوهاب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51</w:t>
      </w:r>
    </w:p>
  </w:footnote>
  <w:footnote w:id="86">
    <w:p w14:paraId="207AAD37"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Y. POULLET, « Le droit de </w:t>
      </w:r>
      <w:proofErr w:type="spellStart"/>
      <w:r w:rsidRPr="00DF47A5">
        <w:rPr>
          <w:rFonts w:ascii="Traditional Arabic" w:hAnsi="Traditional Arabic" w:cs="Traditional Arabic"/>
          <w:sz w:val="24"/>
          <w:szCs w:val="24"/>
        </w:rPr>
        <w:t>l'informatique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existe</w:t>
      </w:r>
      <w:proofErr w:type="spellEnd"/>
      <w:r w:rsidRPr="00DF47A5">
        <w:rPr>
          <w:rFonts w:ascii="Traditional Arabic" w:hAnsi="Traditional Arabic" w:cs="Traditional Arabic"/>
          <w:sz w:val="24"/>
          <w:szCs w:val="24"/>
        </w:rPr>
        <w:t xml:space="preserve">-t-il ? », </w:t>
      </w:r>
      <w:proofErr w:type="spellStart"/>
      <w:r w:rsidRPr="00DF47A5">
        <w:rPr>
          <w:rFonts w:ascii="Traditional Arabic" w:hAnsi="Traditional Arabic" w:cs="Traditional Arabic"/>
          <w:sz w:val="24"/>
          <w:szCs w:val="24"/>
        </w:rPr>
        <w:t>Actes</w:t>
      </w:r>
      <w:proofErr w:type="spellEnd"/>
      <w:r w:rsidRPr="00DF47A5">
        <w:rPr>
          <w:rFonts w:ascii="Traditional Arabic" w:hAnsi="Traditional Arabic" w:cs="Traditional Arabic"/>
          <w:sz w:val="24"/>
          <w:szCs w:val="24"/>
        </w:rPr>
        <w:t xml:space="preserve"> du colloque Droit de </w:t>
      </w:r>
      <w:proofErr w:type="spellStart"/>
      <w:r w:rsidRPr="00DF47A5">
        <w:rPr>
          <w:rFonts w:ascii="Traditional Arabic" w:hAnsi="Traditional Arabic" w:cs="Traditional Arabic"/>
          <w:sz w:val="24"/>
          <w:szCs w:val="24"/>
        </w:rPr>
        <w:t>l'informatique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enjeux</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nouvelles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responsabilités</w:t>
      </w:r>
      <w:proofErr w:type="spellEnd"/>
      <w:r w:rsidRPr="00DF47A5">
        <w:rPr>
          <w:rFonts w:ascii="Traditional Arabic" w:hAnsi="Traditional Arabic" w:cs="Traditional Arabic"/>
          <w:sz w:val="24"/>
          <w:szCs w:val="24"/>
        </w:rPr>
        <w:t xml:space="preserve">, Ed. du Jeune </w:t>
      </w:r>
      <w:proofErr w:type="spellStart"/>
      <w:r w:rsidRPr="00DF47A5">
        <w:rPr>
          <w:rFonts w:ascii="Traditional Arabic" w:hAnsi="Traditional Arabic" w:cs="Traditional Arabic"/>
          <w:sz w:val="24"/>
          <w:szCs w:val="24"/>
        </w:rPr>
        <w:t>barreau</w:t>
      </w:r>
      <w:proofErr w:type="spellEnd"/>
      <w:r w:rsidRPr="00DF47A5">
        <w:rPr>
          <w:rFonts w:ascii="Traditional Arabic" w:hAnsi="Traditional Arabic" w:cs="Traditional Arabic"/>
          <w:sz w:val="24"/>
          <w:szCs w:val="24"/>
        </w:rPr>
        <w:t xml:space="preserve"> de Bruxelles, 1992, p. 239.</w:t>
      </w:r>
    </w:p>
  </w:footnote>
  <w:footnote w:id="87">
    <w:p w14:paraId="1D53E25C"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L. MAZEAU, Intelligence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xml:space="preserve"> et </w:t>
      </w:r>
      <w:proofErr w:type="spellStart"/>
      <w:r w:rsidRPr="00DF47A5">
        <w:rPr>
          <w:rFonts w:ascii="Traditional Arabic" w:hAnsi="Traditional Arabic" w:cs="Traditional Arabic"/>
          <w:sz w:val="24"/>
          <w:szCs w:val="24"/>
        </w:rPr>
        <w:t>responsabilité</w:t>
      </w:r>
      <w:proofErr w:type="spellEnd"/>
      <w:r w:rsidRPr="00DF47A5">
        <w:rPr>
          <w:rFonts w:ascii="Traditional Arabic" w:hAnsi="Traditional Arabic" w:cs="Traditional Arabic"/>
          <w:sz w:val="24"/>
          <w:szCs w:val="24"/>
        </w:rPr>
        <w:t xml:space="preserve"> civile: le </w:t>
      </w:r>
      <w:proofErr w:type="spellStart"/>
      <w:r w:rsidRPr="00DF47A5">
        <w:rPr>
          <w:rFonts w:ascii="Traditional Arabic" w:hAnsi="Traditional Arabic" w:cs="Traditional Arabic"/>
          <w:sz w:val="24"/>
          <w:szCs w:val="24"/>
        </w:rPr>
        <w:t>cas</w:t>
      </w:r>
      <w:proofErr w:type="spellEnd"/>
      <w:r w:rsidRPr="00DF47A5">
        <w:rPr>
          <w:rFonts w:ascii="Traditional Arabic" w:hAnsi="Traditional Arabic" w:cs="Traditional Arabic"/>
          <w:sz w:val="24"/>
          <w:szCs w:val="24"/>
        </w:rPr>
        <w:t xml:space="preserve"> de </w:t>
      </w:r>
      <w:proofErr w:type="spellStart"/>
      <w:r w:rsidRPr="00DF47A5">
        <w:rPr>
          <w:rFonts w:ascii="Traditional Arabic" w:hAnsi="Traditional Arabic" w:cs="Traditional Arabic"/>
          <w:sz w:val="24"/>
          <w:szCs w:val="24"/>
        </w:rPr>
        <w:t>logiciels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d'aide</w:t>
      </w:r>
      <w:proofErr w:type="spellEnd"/>
      <w:r w:rsidRPr="00DF47A5">
        <w:rPr>
          <w:rFonts w:ascii="Traditional Arabic" w:hAnsi="Traditional Arabic" w:cs="Traditional Arabic"/>
          <w:sz w:val="24"/>
          <w:szCs w:val="24"/>
        </w:rPr>
        <w:t xml:space="preserve"> à la </w:t>
      </w:r>
      <w:proofErr w:type="spellStart"/>
      <w:r w:rsidRPr="00DF47A5">
        <w:rPr>
          <w:rFonts w:ascii="Traditional Arabic" w:hAnsi="Traditional Arabic" w:cs="Traditional Arabic"/>
          <w:sz w:val="24"/>
          <w:szCs w:val="24"/>
        </w:rPr>
        <w:t>décision</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en</w:t>
      </w:r>
      <w:proofErr w:type="spellEnd"/>
      <w:r w:rsidRPr="00DF47A5">
        <w:rPr>
          <w:rFonts w:ascii="Traditional Arabic" w:hAnsi="Traditional Arabic" w:cs="Traditional Arabic"/>
          <w:sz w:val="24"/>
          <w:szCs w:val="24"/>
        </w:rPr>
        <w:t xml:space="preserve"> matière </w:t>
      </w:r>
      <w:proofErr w:type="spellStart"/>
      <w:r w:rsidRPr="00DF47A5">
        <w:rPr>
          <w:rFonts w:ascii="Traditional Arabic" w:hAnsi="Traditional Arabic" w:cs="Traditional Arabic"/>
          <w:sz w:val="24"/>
          <w:szCs w:val="24"/>
        </w:rPr>
        <w:t>médicale</w:t>
      </w:r>
      <w:proofErr w:type="spellEnd"/>
      <w:r w:rsidRPr="00DF47A5">
        <w:rPr>
          <w:rFonts w:ascii="Traditional Arabic" w:hAnsi="Traditional Arabic" w:cs="Traditional Arabic"/>
          <w:sz w:val="24"/>
          <w:szCs w:val="24"/>
        </w:rPr>
        <w:t xml:space="preserve">, Rév. pratique de la prospective de </w:t>
      </w:r>
      <w:proofErr w:type="spellStart"/>
      <w:r w:rsidRPr="00DF47A5">
        <w:rPr>
          <w:rFonts w:ascii="Traditional Arabic" w:hAnsi="Traditional Arabic" w:cs="Traditional Arabic"/>
          <w:sz w:val="24"/>
          <w:szCs w:val="24"/>
        </w:rPr>
        <w:t>l'innovation</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préc</w:t>
      </w:r>
      <w:proofErr w:type="spellEnd"/>
      <w:r w:rsidRPr="00DF47A5">
        <w:rPr>
          <w:rFonts w:ascii="Traditional Arabic" w:hAnsi="Traditional Arabic" w:cs="Traditional Arabic"/>
          <w:sz w:val="24"/>
          <w:szCs w:val="24"/>
        </w:rPr>
        <w:t>., p. 52.</w:t>
      </w:r>
    </w:p>
  </w:footnote>
  <w:footnote w:id="88">
    <w:p w14:paraId="361FB2EC"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عبدالعزيز، هبة تيسير علي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55</w:t>
      </w:r>
    </w:p>
  </w:footnote>
  <w:footnote w:id="89">
    <w:p w14:paraId="791FD6DB"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هاشمي، رشيدة، وملاني، عبدالوهاب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53</w:t>
      </w:r>
    </w:p>
  </w:footnote>
  <w:footnote w:id="90">
    <w:p w14:paraId="5582889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دره ، سماح أحمد محمد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w:t>
      </w:r>
    </w:p>
  </w:footnote>
  <w:footnote w:id="91">
    <w:p w14:paraId="0BBE0A0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عمار، عادل محمود أحمد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128</w:t>
      </w:r>
    </w:p>
  </w:footnote>
  <w:footnote w:id="92">
    <w:p w14:paraId="14928E59" w14:textId="77777777" w:rsidR="00991EEB" w:rsidRPr="00DF47A5" w:rsidRDefault="00991EEB" w:rsidP="00991EEB">
      <w:pPr>
        <w:pStyle w:val="a3"/>
        <w:bidi/>
        <w:rPr>
          <w:rFonts w:ascii="Traditional Arabic" w:hAnsi="Traditional Arabic" w:cs="Traditional Arabic"/>
          <w:sz w:val="24"/>
          <w:szCs w:val="24"/>
          <w:rtl/>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 xml:space="preserve">سلامة، صفاء، وأبو قورة، خليل (2014) </w:t>
      </w:r>
      <w:r w:rsidRPr="00DF47A5">
        <w:rPr>
          <w:rFonts w:ascii="Traditional Arabic" w:hAnsi="Traditional Arabic" w:cs="Traditional Arabic"/>
          <w:b/>
          <w:bCs/>
          <w:sz w:val="24"/>
          <w:szCs w:val="24"/>
          <w:u w:val="single"/>
          <w:rtl/>
          <w:lang w:bidi="ar-EG"/>
        </w:rPr>
        <w:t>مرجع سابق</w:t>
      </w:r>
      <w:r w:rsidRPr="00DF47A5">
        <w:rPr>
          <w:rFonts w:ascii="Traditional Arabic" w:hAnsi="Traditional Arabic" w:cs="Traditional Arabic"/>
          <w:sz w:val="24"/>
          <w:szCs w:val="24"/>
          <w:rtl/>
          <w:lang w:bidi="ar-EG"/>
        </w:rPr>
        <w:t xml:space="preserve"> ، ص46</w:t>
      </w:r>
    </w:p>
  </w:footnote>
  <w:footnote w:id="93">
    <w:p w14:paraId="556BB8D5"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حسني، محمود نجيب (1982) شرح قانون العقوبات: القسم العام. دار النهضة العربية، ص 670.</w:t>
      </w:r>
    </w:p>
  </w:footnote>
  <w:footnote w:id="94">
    <w:p w14:paraId="209EAEAE"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سرور، أحمد فتحي. (1989). الوسيط في قانون العقوبات. دار النهضة العربية، ص 85.</w:t>
      </w:r>
    </w:p>
  </w:footnote>
  <w:footnote w:id="95">
    <w:p w14:paraId="02A000E3"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فارس، محمد السيد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w:t>
      </w:r>
      <w:r w:rsidRPr="00DF47A5">
        <w:rPr>
          <w:rFonts w:ascii="Traditional Arabic" w:hAnsi="Traditional Arabic" w:cs="Traditional Arabic"/>
          <w:sz w:val="24"/>
          <w:szCs w:val="24"/>
          <w:rtl/>
          <w:lang w:bidi="ar-EG"/>
        </w:rPr>
        <w:t xml:space="preserve"> ،ص 1910</w:t>
      </w:r>
    </w:p>
  </w:footnote>
  <w:footnote w:id="96">
    <w:p w14:paraId="4F4EB65E"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راشد، حامد (2017) النظرية العامة للجريمة ، دار أبو المجد للطباعة، ص 15.</w:t>
      </w:r>
    </w:p>
  </w:footnote>
  <w:footnote w:id="97">
    <w:p w14:paraId="19B70CF2"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وزير، عبد العظيم (2009) النظرية العامة للجريمة ، دار النهضة العربية، ص 188.</w:t>
      </w:r>
    </w:p>
  </w:footnote>
  <w:footnote w:id="98">
    <w:p w14:paraId="1E784D66"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الطائي، سميرة حسين محيسن، وعبدالحسن، إيمان حسين (2025)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ص2</w:t>
      </w:r>
      <w:r w:rsidRPr="00DF47A5">
        <w:rPr>
          <w:rFonts w:ascii="Traditional Arabic" w:hAnsi="Traditional Arabic" w:cs="Traditional Arabic"/>
          <w:sz w:val="24"/>
          <w:szCs w:val="24"/>
          <w:rtl/>
          <w:lang w:bidi="ar-EG"/>
        </w:rPr>
        <w:t>49</w:t>
      </w:r>
    </w:p>
  </w:footnote>
  <w:footnote w:id="99">
    <w:p w14:paraId="083DFF5A"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E. SADIN, </w:t>
      </w:r>
      <w:proofErr w:type="spellStart"/>
      <w:r w:rsidRPr="00DF47A5">
        <w:rPr>
          <w:rFonts w:ascii="Traditional Arabic" w:hAnsi="Traditional Arabic" w:cs="Traditional Arabic"/>
          <w:sz w:val="24"/>
          <w:szCs w:val="24"/>
        </w:rPr>
        <w:t>L’intelligence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l’enjeu</w:t>
      </w:r>
      <w:proofErr w:type="spellEnd"/>
      <w:r w:rsidRPr="00DF47A5">
        <w:rPr>
          <w:rFonts w:ascii="Traditional Arabic" w:hAnsi="Traditional Arabic" w:cs="Traditional Arabic"/>
          <w:sz w:val="24"/>
          <w:szCs w:val="24"/>
        </w:rPr>
        <w:t xml:space="preserve"> du siècle. </w:t>
      </w:r>
      <w:proofErr w:type="spellStart"/>
      <w:r w:rsidRPr="00DF47A5">
        <w:rPr>
          <w:rFonts w:ascii="Traditional Arabic" w:hAnsi="Traditional Arabic" w:cs="Traditional Arabic"/>
          <w:sz w:val="24"/>
          <w:szCs w:val="24"/>
        </w:rPr>
        <w:t>Anatomie</w:t>
      </w:r>
      <w:proofErr w:type="spellEnd"/>
      <w:r w:rsidRPr="00DF47A5">
        <w:rPr>
          <w:rFonts w:ascii="Traditional Arabic" w:hAnsi="Traditional Arabic" w:cs="Traditional Arabic"/>
          <w:sz w:val="24"/>
          <w:szCs w:val="24"/>
        </w:rPr>
        <w:t xml:space="preserve"> d’un </w:t>
      </w:r>
      <w:proofErr w:type="spellStart"/>
      <w:r w:rsidRPr="00DF47A5">
        <w:rPr>
          <w:rFonts w:ascii="Traditional Arabic" w:hAnsi="Traditional Arabic" w:cs="Traditional Arabic"/>
          <w:sz w:val="24"/>
          <w:szCs w:val="24"/>
        </w:rPr>
        <w:t>antihumanisme</w:t>
      </w:r>
      <w:proofErr w:type="spellEnd"/>
      <w:r w:rsidRPr="00DF47A5">
        <w:rPr>
          <w:rFonts w:ascii="Traditional Arabic" w:hAnsi="Traditional Arabic" w:cs="Traditional Arabic"/>
          <w:sz w:val="24"/>
          <w:szCs w:val="24"/>
        </w:rPr>
        <w:t xml:space="preserve"> radical, </w:t>
      </w:r>
      <w:proofErr w:type="spellStart"/>
      <w:r w:rsidRPr="00DF47A5">
        <w:rPr>
          <w:rFonts w:ascii="Traditional Arabic" w:hAnsi="Traditional Arabic" w:cs="Traditional Arabic"/>
          <w:sz w:val="24"/>
          <w:szCs w:val="24"/>
        </w:rPr>
        <w:t>préc</w:t>
      </w:r>
      <w:proofErr w:type="spellEnd"/>
      <w:r w:rsidRPr="00DF47A5">
        <w:rPr>
          <w:rFonts w:ascii="Traditional Arabic" w:hAnsi="Traditional Arabic" w:cs="Traditional Arabic"/>
          <w:sz w:val="24"/>
          <w:szCs w:val="24"/>
        </w:rPr>
        <w:t>., p. 13.</w:t>
      </w:r>
    </w:p>
  </w:footnote>
  <w:footnote w:id="100">
    <w:p w14:paraId="4D79C323"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شمس الدين، أشرف توفيق. (2012) شرح قانون الإجراءات الجنائية: مرحلة ما قبل المحاكمة. جامعة بنها، ص 43.</w:t>
      </w:r>
    </w:p>
  </w:footnote>
  <w:footnote w:id="101">
    <w:p w14:paraId="533FEC55"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دهشان، يحيى إبراهيم</w:t>
      </w:r>
      <w:r w:rsidRPr="00DF47A5">
        <w:rPr>
          <w:rFonts w:ascii="Traditional Arabic" w:hAnsi="Traditional Arabic" w:cs="Traditional Arabic"/>
        </w:rPr>
        <w:t xml:space="preserve"> </w:t>
      </w:r>
      <w:r w:rsidRPr="00DF47A5">
        <w:rPr>
          <w:rFonts w:ascii="Traditional Arabic" w:hAnsi="Traditional Arabic" w:cs="Traditional Arabic"/>
          <w:rtl/>
        </w:rPr>
        <w:t xml:space="preserve"> (2020</w:t>
      </w:r>
      <w:r w:rsidRPr="00DF47A5">
        <w:rPr>
          <w:rFonts w:ascii="Traditional Arabic" w:hAnsi="Traditional Arabic" w:cs="Traditional Arabic"/>
        </w:rPr>
        <w:t>(</w:t>
      </w:r>
      <w:r w:rsidRPr="00DF47A5">
        <w:rPr>
          <w:rFonts w:ascii="Traditional Arabic" w:hAnsi="Traditional Arabic" w:cs="Traditional Arabic"/>
          <w:rtl/>
        </w:rPr>
        <w:t xml:space="preserve"> المسؤولية الجنائية عن جرائم الذكاء الاصطناعي ، مجلة الشريعة والقانون – كلية القانون، جامعة الإمارات العربية المتحدة، 34(82)،</w:t>
      </w:r>
      <w:r w:rsidRPr="00DF47A5">
        <w:rPr>
          <w:rFonts w:ascii="Traditional Arabic" w:hAnsi="Traditional Arabic" w:cs="Traditional Arabic"/>
          <w:rtl/>
          <w:lang w:bidi="ar-EG"/>
        </w:rPr>
        <w:t>ص</w:t>
      </w:r>
      <w:r w:rsidRPr="00DF47A5">
        <w:rPr>
          <w:rFonts w:ascii="Traditional Arabic" w:hAnsi="Traditional Arabic" w:cs="Traditional Arabic"/>
          <w:rtl/>
        </w:rPr>
        <w:t xml:space="preserve"> 100</w:t>
      </w:r>
    </w:p>
  </w:footnote>
  <w:footnote w:id="102">
    <w:p w14:paraId="565A51D1" w14:textId="77777777" w:rsidR="00991EEB" w:rsidRPr="00DF47A5" w:rsidRDefault="00991EEB" w:rsidP="00991EEB">
      <w:pPr>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Hallevy, Gabriel. (2015). Liability for Crimes Involving Artificial Intelligence Systems. Springer International Publishing . p7</w:t>
      </w:r>
    </w:p>
  </w:footnote>
  <w:footnote w:id="103">
    <w:p w14:paraId="6201B011"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دهشان، يحيى إبراهيم (2019</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w:t>
      </w:r>
      <w:r w:rsidRPr="00DF47A5">
        <w:rPr>
          <w:rFonts w:ascii="Traditional Arabic" w:hAnsi="Traditional Arabic" w:cs="Traditional Arabic"/>
          <w:sz w:val="24"/>
          <w:szCs w:val="24"/>
          <w:rtl/>
        </w:rPr>
        <w:t xml:space="preserve"> المسؤولية الجنائية عن جرائم الذكاء الاصطناعي. مجلة الشريعة والقانون، جامعة الإمارات، ص 106.</w:t>
      </w:r>
    </w:p>
  </w:footnote>
  <w:footnote w:id="104">
    <w:p w14:paraId="75CC60A7"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الح</w:t>
      </w:r>
      <w:r w:rsidRPr="00DF47A5">
        <w:rPr>
          <w:rFonts w:ascii="Traditional Arabic" w:hAnsi="Traditional Arabic" w:cs="Traditional Arabic"/>
          <w:rtl/>
          <w:lang w:bidi="ar-EG"/>
        </w:rPr>
        <w:t>جي</w:t>
      </w:r>
      <w:r w:rsidRPr="00DF47A5">
        <w:rPr>
          <w:rFonts w:ascii="Traditional Arabic" w:hAnsi="Traditional Arabic" w:cs="Traditional Arabic"/>
          <w:rtl/>
        </w:rPr>
        <w:t>لي، محمد عمر (2024) النظام القانوني لحقوق الملكية الفكرية في مجال الذكاء الاصطناعي. مجلة جامعة الأبار للعلوم القانونية والسياسية ،ص 389</w:t>
      </w:r>
    </w:p>
  </w:footnote>
  <w:footnote w:id="105">
    <w:p w14:paraId="3CA4D6C3" w14:textId="77777777" w:rsidR="00991EEB" w:rsidRPr="00DF47A5" w:rsidRDefault="00991EEB" w:rsidP="00991EEB">
      <w:pPr>
        <w:bidi/>
        <w:spacing w:after="0" w:line="240" w:lineRule="auto"/>
        <w:rPr>
          <w:rFonts w:ascii="Traditional Arabic" w:hAnsi="Traditional Arabic" w:cs="Traditional Arabic"/>
          <w:rtl/>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عميش، رحاب علي (2021</w:t>
      </w:r>
      <w:r w:rsidRPr="00DF47A5">
        <w:rPr>
          <w:rFonts w:ascii="Traditional Arabic" w:hAnsi="Traditional Arabic" w:cs="Traditional Arabic"/>
        </w:rPr>
        <w:t xml:space="preserve">( </w:t>
      </w:r>
      <w:r w:rsidRPr="00DF47A5">
        <w:rPr>
          <w:rFonts w:ascii="Traditional Arabic" w:hAnsi="Traditional Arabic" w:cs="Traditional Arabic"/>
          <w:rtl/>
        </w:rPr>
        <w:t>المسؤولية الجنائية عن جرائم الذكاء الاصطناعي. مجلة البحوث القانونية والاقتصادية – كلية الحقوق، جامعة المنصورة، عدد خاص، 7</w:t>
      </w:r>
      <w:r w:rsidRPr="00DF47A5">
        <w:rPr>
          <w:rFonts w:ascii="Traditional Arabic" w:hAnsi="Traditional Arabic" w:cs="Traditional Arabic"/>
          <w:rtl/>
          <w:lang w:bidi="ar-EG"/>
        </w:rPr>
        <w:t>27</w:t>
      </w:r>
    </w:p>
  </w:footnote>
  <w:footnote w:id="106">
    <w:p w14:paraId="1ACFC67E"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J. GASNAULT, « Les </w:t>
      </w:r>
      <w:proofErr w:type="spellStart"/>
      <w:r w:rsidRPr="00DF47A5">
        <w:rPr>
          <w:rFonts w:ascii="Traditional Arabic" w:hAnsi="Traditional Arabic" w:cs="Traditional Arabic"/>
          <w:sz w:val="24"/>
          <w:szCs w:val="24"/>
        </w:rPr>
        <w:t>problèmes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suscités</w:t>
      </w:r>
      <w:proofErr w:type="spellEnd"/>
      <w:r w:rsidRPr="00DF47A5">
        <w:rPr>
          <w:rFonts w:ascii="Traditional Arabic" w:hAnsi="Traditional Arabic" w:cs="Traditional Arabic"/>
          <w:sz w:val="24"/>
          <w:szCs w:val="24"/>
        </w:rPr>
        <w:t xml:space="preserve"> par les </w:t>
      </w:r>
      <w:proofErr w:type="spellStart"/>
      <w:r w:rsidRPr="00DF47A5">
        <w:rPr>
          <w:rFonts w:ascii="Traditional Arabic" w:hAnsi="Traditional Arabic" w:cs="Traditional Arabic"/>
          <w:sz w:val="24"/>
          <w:szCs w:val="24"/>
        </w:rPr>
        <w:t>systèmes</w:t>
      </w:r>
      <w:proofErr w:type="spellEnd"/>
      <w:r w:rsidRPr="00DF47A5">
        <w:rPr>
          <w:rFonts w:ascii="Traditional Arabic" w:hAnsi="Traditional Arabic" w:cs="Traditional Arabic"/>
          <w:sz w:val="24"/>
          <w:szCs w:val="24"/>
        </w:rPr>
        <w:t xml:space="preserve"> experts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d'aide</w:t>
      </w:r>
      <w:proofErr w:type="spellEnd"/>
      <w:r w:rsidRPr="00DF47A5">
        <w:rPr>
          <w:rFonts w:ascii="Traditional Arabic" w:hAnsi="Traditional Arabic" w:cs="Traditional Arabic"/>
          <w:sz w:val="24"/>
          <w:szCs w:val="24"/>
        </w:rPr>
        <w:t xml:space="preserve"> à la </w:t>
      </w:r>
      <w:proofErr w:type="spellStart"/>
      <w:r w:rsidRPr="00DF47A5">
        <w:rPr>
          <w:rFonts w:ascii="Traditional Arabic" w:hAnsi="Traditional Arabic" w:cs="Traditional Arabic"/>
          <w:sz w:val="24"/>
          <w:szCs w:val="24"/>
        </w:rPr>
        <w:t>décision</w:t>
      </w:r>
      <w:proofErr w:type="spellEnd"/>
      <w:r w:rsidRPr="00DF47A5">
        <w:rPr>
          <w:rFonts w:ascii="Traditional Arabic" w:hAnsi="Traditional Arabic" w:cs="Traditional Arabic"/>
          <w:sz w:val="24"/>
          <w:szCs w:val="24"/>
        </w:rPr>
        <w:t xml:space="preserve"> », op. cit., p. 155.</w:t>
      </w:r>
    </w:p>
  </w:footnote>
  <w:footnote w:id="107">
    <w:p w14:paraId="2FFE8679" w14:textId="77777777" w:rsidR="00991EEB" w:rsidRPr="00DF47A5" w:rsidRDefault="00991EEB" w:rsidP="00991EEB">
      <w:pPr>
        <w:bidi/>
        <w:spacing w:after="0" w:line="240" w:lineRule="auto"/>
        <w:rPr>
          <w:rFonts w:ascii="Traditional Arabic" w:hAnsi="Traditional Arabic" w:cs="Traditional Arabic"/>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لطفي، خالد حسن أحمد (2021) الذكاء الاصطناعي وحمايته من الناحية المدنية والجنائية (الطبعة الأولى). دار الفكر الجامعي، ص 100.</w:t>
      </w:r>
    </w:p>
  </w:footnote>
  <w:footnote w:id="108">
    <w:p w14:paraId="52799A5C"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عميش، رحاب علي (2021)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728</w:t>
      </w:r>
    </w:p>
  </w:footnote>
  <w:footnote w:id="109">
    <w:p w14:paraId="1E23A36D"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 xml:space="preserve">دهشان، أحمد إبراهيم (2019) العملات الافتراضية: إشكالياتها وآثارها على الاقتصاد المحلي والعالمي. في </w:t>
      </w:r>
      <w:r w:rsidRPr="00DF47A5">
        <w:rPr>
          <w:rFonts w:ascii="Traditional Arabic" w:hAnsi="Traditional Arabic" w:cs="Traditional Arabic"/>
          <w:i/>
          <w:iCs/>
          <w:rtl/>
        </w:rPr>
        <w:t>المؤتمر الدولي الخامس عشر لكلية الشريعة والقانون</w:t>
      </w:r>
      <w:r w:rsidRPr="00DF47A5">
        <w:rPr>
          <w:rFonts w:ascii="Traditional Arabic" w:hAnsi="Traditional Arabic" w:cs="Traditional Arabic"/>
          <w:rtl/>
        </w:rPr>
        <w:t>، جامعة الشارقة، ص 24</w:t>
      </w:r>
      <w:r w:rsidRPr="00DF47A5">
        <w:rPr>
          <w:rFonts w:ascii="Traditional Arabic" w:hAnsi="Traditional Arabic" w:cs="Traditional Arabic"/>
        </w:rPr>
        <w:t>.</w:t>
      </w:r>
    </w:p>
  </w:footnote>
  <w:footnote w:id="110">
    <w:p w14:paraId="58414491"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w:t>
      </w:r>
      <w:r w:rsidRPr="00DF47A5">
        <w:rPr>
          <w:rFonts w:ascii="Traditional Arabic" w:hAnsi="Traditional Arabic" w:cs="Traditional Arabic"/>
          <w:sz w:val="24"/>
          <w:szCs w:val="24"/>
          <w:rtl/>
          <w:lang w:bidi="ar-EG"/>
        </w:rPr>
        <w:t>جي</w:t>
      </w:r>
      <w:r w:rsidRPr="00DF47A5">
        <w:rPr>
          <w:rFonts w:ascii="Traditional Arabic" w:hAnsi="Traditional Arabic" w:cs="Traditional Arabic"/>
          <w:sz w:val="24"/>
          <w:szCs w:val="24"/>
          <w:rtl/>
        </w:rPr>
        <w:t xml:space="preserve">لي، محمد عمر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،ص 392</w:t>
      </w:r>
    </w:p>
  </w:footnote>
  <w:footnote w:id="111">
    <w:p w14:paraId="5AF062D0"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Hallevy, Gabriel (2015), Liability for Crimes Involving Artificial Intelligence Systems, op. </w:t>
      </w:r>
      <w:proofErr w:type="spellStart"/>
      <w:r w:rsidRPr="00DF47A5">
        <w:rPr>
          <w:rFonts w:ascii="Traditional Arabic" w:hAnsi="Traditional Arabic" w:cs="Traditional Arabic"/>
          <w:sz w:val="24"/>
          <w:szCs w:val="24"/>
        </w:rPr>
        <w:t>cit</w:t>
      </w:r>
      <w:proofErr w:type="spellEnd"/>
      <w:r w:rsidRPr="00DF47A5">
        <w:rPr>
          <w:rFonts w:ascii="Traditional Arabic" w:hAnsi="Traditional Arabic" w:cs="Traditional Arabic"/>
          <w:sz w:val="24"/>
          <w:szCs w:val="24"/>
        </w:rPr>
        <w:t>.,p. 13.</w:t>
      </w:r>
    </w:p>
  </w:footnote>
  <w:footnote w:id="112">
    <w:p w14:paraId="530BB43B" w14:textId="77777777" w:rsidR="00991EEB" w:rsidRPr="00DF47A5" w:rsidRDefault="00991EEB" w:rsidP="00991EEB">
      <w:pPr>
        <w:pStyle w:val="a3"/>
        <w:rPr>
          <w:rFonts w:ascii="Traditional Arabic" w:hAnsi="Traditional Arabic" w:cs="Traditional Arabic"/>
          <w:sz w:val="24"/>
          <w:szCs w:val="24"/>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J. GASNAULT, « Les </w:t>
      </w:r>
      <w:proofErr w:type="spellStart"/>
      <w:r w:rsidRPr="00DF47A5">
        <w:rPr>
          <w:rFonts w:ascii="Traditional Arabic" w:hAnsi="Traditional Arabic" w:cs="Traditional Arabic"/>
          <w:sz w:val="24"/>
          <w:szCs w:val="24"/>
        </w:rPr>
        <w:t>problèmes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suscités</w:t>
      </w:r>
      <w:proofErr w:type="spellEnd"/>
      <w:r w:rsidRPr="00DF47A5">
        <w:rPr>
          <w:rFonts w:ascii="Traditional Arabic" w:hAnsi="Traditional Arabic" w:cs="Traditional Arabic"/>
          <w:sz w:val="24"/>
          <w:szCs w:val="24"/>
        </w:rPr>
        <w:t xml:space="preserve"> par les </w:t>
      </w:r>
      <w:proofErr w:type="spellStart"/>
      <w:r w:rsidRPr="00DF47A5">
        <w:rPr>
          <w:rFonts w:ascii="Traditional Arabic" w:hAnsi="Traditional Arabic" w:cs="Traditional Arabic"/>
          <w:sz w:val="24"/>
          <w:szCs w:val="24"/>
        </w:rPr>
        <w:t>systèmes</w:t>
      </w:r>
      <w:proofErr w:type="spellEnd"/>
      <w:r w:rsidRPr="00DF47A5">
        <w:rPr>
          <w:rFonts w:ascii="Traditional Arabic" w:hAnsi="Traditional Arabic" w:cs="Traditional Arabic"/>
          <w:sz w:val="24"/>
          <w:szCs w:val="24"/>
        </w:rPr>
        <w:t xml:space="preserve"> experts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d'aide</w:t>
      </w:r>
      <w:proofErr w:type="spellEnd"/>
      <w:r w:rsidRPr="00DF47A5">
        <w:rPr>
          <w:rFonts w:ascii="Traditional Arabic" w:hAnsi="Traditional Arabic" w:cs="Traditional Arabic"/>
          <w:sz w:val="24"/>
          <w:szCs w:val="24"/>
        </w:rPr>
        <w:t xml:space="preserve"> à la </w:t>
      </w:r>
      <w:proofErr w:type="spellStart"/>
      <w:r w:rsidRPr="00DF47A5">
        <w:rPr>
          <w:rFonts w:ascii="Traditional Arabic" w:hAnsi="Traditional Arabic" w:cs="Traditional Arabic"/>
          <w:sz w:val="24"/>
          <w:szCs w:val="24"/>
        </w:rPr>
        <w:t>décision</w:t>
      </w:r>
      <w:proofErr w:type="spellEnd"/>
      <w:r w:rsidRPr="00DF47A5">
        <w:rPr>
          <w:rFonts w:ascii="Traditional Arabic" w:hAnsi="Traditional Arabic" w:cs="Traditional Arabic"/>
          <w:sz w:val="24"/>
          <w:szCs w:val="24"/>
        </w:rPr>
        <w:t xml:space="preserve"> », op. cit., p. 158</w:t>
      </w:r>
    </w:p>
  </w:footnote>
  <w:footnote w:id="113">
    <w:p w14:paraId="030E2024"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محمد، محمد شاكر محمود (2022) دور الذكاء الاصطناعي في تطوير قواعد المسؤولية المدنية: دراسة تحليلية. مجلة كلية القانون للعلوم القانونية والسياسية – جامعة كركوك، (42)، ص 628</w:t>
      </w:r>
    </w:p>
  </w:footnote>
  <w:footnote w:id="114">
    <w:p w14:paraId="4FF3BD59"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شمس الدين، أشرف توفيق. (2012)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4</w:t>
      </w:r>
      <w:r w:rsidRPr="00DF47A5">
        <w:rPr>
          <w:rFonts w:ascii="Traditional Arabic" w:hAnsi="Traditional Arabic" w:cs="Traditional Arabic"/>
          <w:sz w:val="24"/>
          <w:szCs w:val="24"/>
          <w:rtl/>
          <w:lang w:bidi="ar-EG"/>
        </w:rPr>
        <w:t>8</w:t>
      </w:r>
    </w:p>
  </w:footnote>
  <w:footnote w:id="115">
    <w:p w14:paraId="54B3E8FB" w14:textId="77777777" w:rsidR="00991EEB" w:rsidRPr="00DF47A5" w:rsidRDefault="00991EEB" w:rsidP="00991EEB">
      <w:pPr>
        <w:bidi/>
        <w:spacing w:after="0" w:line="240" w:lineRule="auto"/>
        <w:rPr>
          <w:rFonts w:ascii="Traditional Arabic" w:hAnsi="Traditional Arabic" w:cs="Traditional Arabic"/>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الفلاوري، عمار كريم، والمشهدي، علي عبد الجبار رحيم. (2022). المسؤولية المدنية عن تقنية الذكاء الاصطناعي المعقد: دراسة مقارنة. دار المعرفة للنشر والتوزيع، ص 28.</w:t>
      </w:r>
    </w:p>
  </w:footnote>
  <w:footnote w:id="116">
    <w:p w14:paraId="14FDDA60"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p>
  </w:footnote>
  <w:footnote w:id="117">
    <w:p w14:paraId="69AF4BA5"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دهشان، يحيى إبراهيم</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 (2020</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ص110</w:t>
      </w:r>
    </w:p>
  </w:footnote>
  <w:footnote w:id="118">
    <w:p w14:paraId="04F5F0AE"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فريدة ، بن عثمان (2020) فريدة الذكاء الاصطناعي: مقاربة قانونية. مجلة دفاتر السياسة والقانون، كلية الحقوق والعلوم السياسية، جامعة ورقلة، ص 159.</w:t>
      </w:r>
    </w:p>
  </w:footnote>
  <w:footnote w:id="119">
    <w:p w14:paraId="6A1F00BA"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سلطان، أنور. (2005) المبادئ القانونية العامة ، دار الجامعة الجديدة للنشر، ص 300.</w:t>
      </w:r>
    </w:p>
  </w:footnote>
  <w:footnote w:id="120">
    <w:p w14:paraId="426BBE48"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 xml:space="preserve">دهشان، أحمد إبراهيم (2019) </w:t>
      </w:r>
      <w:r w:rsidRPr="00DF47A5">
        <w:rPr>
          <w:rFonts w:ascii="Traditional Arabic" w:hAnsi="Traditional Arabic" w:cs="Traditional Arabic"/>
          <w:b/>
          <w:bCs/>
          <w:u w:val="single"/>
          <w:rtl/>
        </w:rPr>
        <w:t>مرجع سابق</w:t>
      </w:r>
      <w:r w:rsidRPr="00DF47A5">
        <w:rPr>
          <w:rFonts w:ascii="Traditional Arabic" w:hAnsi="Traditional Arabic" w:cs="Traditional Arabic"/>
          <w:rtl/>
        </w:rPr>
        <w:t xml:space="preserve"> ، ص 32</w:t>
      </w:r>
    </w:p>
  </w:footnote>
  <w:footnote w:id="121">
    <w:p w14:paraId="3A6F9A69"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عميش، رحاب علي (2021 </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7</w:t>
      </w:r>
      <w:r w:rsidRPr="00DF47A5">
        <w:rPr>
          <w:rFonts w:ascii="Traditional Arabic" w:hAnsi="Traditional Arabic" w:cs="Traditional Arabic"/>
          <w:sz w:val="24"/>
          <w:szCs w:val="24"/>
          <w:rtl/>
          <w:lang w:bidi="ar-EG"/>
        </w:rPr>
        <w:t>32</w:t>
      </w:r>
    </w:p>
  </w:footnote>
  <w:footnote w:id="122">
    <w:p w14:paraId="66838835"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w:t>
      </w:r>
      <w:r w:rsidRPr="00DF47A5">
        <w:rPr>
          <w:rFonts w:ascii="Traditional Arabic" w:hAnsi="Traditional Arabic" w:cs="Traditional Arabic"/>
          <w:sz w:val="24"/>
          <w:szCs w:val="24"/>
          <w:rtl/>
          <w:lang w:bidi="ar-EG"/>
        </w:rPr>
        <w:t>جي</w:t>
      </w:r>
      <w:r w:rsidRPr="00DF47A5">
        <w:rPr>
          <w:rFonts w:ascii="Traditional Arabic" w:hAnsi="Traditional Arabic" w:cs="Traditional Arabic"/>
          <w:sz w:val="24"/>
          <w:szCs w:val="24"/>
          <w:rtl/>
        </w:rPr>
        <w:t>لي، محمد عمر (2024) مرجع سابق  ،ص 395</w:t>
      </w:r>
    </w:p>
  </w:footnote>
  <w:footnote w:id="123">
    <w:p w14:paraId="5F0D3FD4" w14:textId="77777777" w:rsidR="00991EEB" w:rsidRPr="00DF47A5" w:rsidRDefault="00991EEB" w:rsidP="00991EEB">
      <w:pPr>
        <w:pStyle w:val="a3"/>
        <w:rPr>
          <w:rFonts w:ascii="Traditional Arabic" w:hAnsi="Traditional Arabic" w:cs="Traditional Arabic"/>
          <w:sz w:val="24"/>
          <w:szCs w:val="24"/>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Hallevy, Gabriel (2015), Liability for Crimes Involving Artificial Intelligence Systems, op. cit.</w:t>
      </w:r>
      <w:r w:rsidRPr="00DF47A5">
        <w:rPr>
          <w:rFonts w:ascii="Traditional Arabic" w:hAnsi="Traditional Arabic" w:cs="Traditional Arabic"/>
          <w:sz w:val="24"/>
          <w:szCs w:val="24"/>
          <w:rtl/>
        </w:rPr>
        <w:t xml:space="preserve"> </w:t>
      </w:r>
      <w:r w:rsidRPr="00DF47A5">
        <w:rPr>
          <w:rFonts w:ascii="Traditional Arabic" w:hAnsi="Traditional Arabic" w:cs="Traditional Arabic"/>
          <w:sz w:val="24"/>
          <w:szCs w:val="24"/>
        </w:rPr>
        <w:t>p. 16</w:t>
      </w:r>
    </w:p>
  </w:footnote>
  <w:footnote w:id="124">
    <w:p w14:paraId="1A569B68"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القوصي، همام (2019</w:t>
      </w:r>
      <w:r w:rsidRPr="00DF47A5">
        <w:rPr>
          <w:rFonts w:ascii="Traditional Arabic" w:hAnsi="Traditional Arabic" w:cs="Traditional Arabic"/>
          <w:rtl/>
          <w:lang w:bidi="ar-EG"/>
        </w:rPr>
        <w:t>)</w:t>
      </w:r>
      <w:r w:rsidRPr="00DF47A5">
        <w:rPr>
          <w:rFonts w:ascii="Traditional Arabic" w:hAnsi="Traditional Arabic" w:cs="Traditional Arabic"/>
          <w:rtl/>
        </w:rPr>
        <w:t xml:space="preserve">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 ص 20.</w:t>
      </w:r>
    </w:p>
  </w:footnote>
  <w:footnote w:id="125">
    <w:p w14:paraId="0794B422"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محمد، محمد شاكر محمود (2022)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632</w:t>
      </w:r>
    </w:p>
  </w:footnote>
  <w:footnote w:id="126">
    <w:p w14:paraId="6ECF3D89"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J. GASNAULT, « Les </w:t>
      </w:r>
      <w:proofErr w:type="spellStart"/>
      <w:r w:rsidRPr="00DF47A5">
        <w:rPr>
          <w:rFonts w:ascii="Traditional Arabic" w:hAnsi="Traditional Arabic" w:cs="Traditional Arabic"/>
          <w:sz w:val="24"/>
          <w:szCs w:val="24"/>
        </w:rPr>
        <w:t>problèmes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suscités</w:t>
      </w:r>
      <w:proofErr w:type="spellEnd"/>
      <w:r w:rsidRPr="00DF47A5">
        <w:rPr>
          <w:rFonts w:ascii="Traditional Arabic" w:hAnsi="Traditional Arabic" w:cs="Traditional Arabic"/>
          <w:sz w:val="24"/>
          <w:szCs w:val="24"/>
        </w:rPr>
        <w:t xml:space="preserve"> par les </w:t>
      </w:r>
      <w:proofErr w:type="spellStart"/>
      <w:r w:rsidRPr="00DF47A5">
        <w:rPr>
          <w:rFonts w:ascii="Traditional Arabic" w:hAnsi="Traditional Arabic" w:cs="Traditional Arabic"/>
          <w:sz w:val="24"/>
          <w:szCs w:val="24"/>
        </w:rPr>
        <w:t>systèmes</w:t>
      </w:r>
      <w:proofErr w:type="spellEnd"/>
      <w:r w:rsidRPr="00DF47A5">
        <w:rPr>
          <w:rFonts w:ascii="Traditional Arabic" w:hAnsi="Traditional Arabic" w:cs="Traditional Arabic"/>
          <w:sz w:val="24"/>
          <w:szCs w:val="24"/>
        </w:rPr>
        <w:t xml:space="preserve"> experts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d'aide</w:t>
      </w:r>
      <w:proofErr w:type="spellEnd"/>
      <w:r w:rsidRPr="00DF47A5">
        <w:rPr>
          <w:rFonts w:ascii="Traditional Arabic" w:hAnsi="Traditional Arabic" w:cs="Traditional Arabic"/>
          <w:sz w:val="24"/>
          <w:szCs w:val="24"/>
        </w:rPr>
        <w:t xml:space="preserve"> à la </w:t>
      </w:r>
      <w:proofErr w:type="spellStart"/>
      <w:r w:rsidRPr="00DF47A5">
        <w:rPr>
          <w:rFonts w:ascii="Traditional Arabic" w:hAnsi="Traditional Arabic" w:cs="Traditional Arabic"/>
          <w:sz w:val="24"/>
          <w:szCs w:val="24"/>
        </w:rPr>
        <w:t>décision</w:t>
      </w:r>
      <w:proofErr w:type="spellEnd"/>
      <w:r w:rsidRPr="00DF47A5">
        <w:rPr>
          <w:rFonts w:ascii="Traditional Arabic" w:hAnsi="Traditional Arabic" w:cs="Traditional Arabic"/>
          <w:sz w:val="24"/>
          <w:szCs w:val="24"/>
        </w:rPr>
        <w:t xml:space="preserve"> », op. cit., p. 160</w:t>
      </w:r>
    </w:p>
  </w:footnote>
  <w:footnote w:id="127">
    <w:p w14:paraId="1F78B206"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شمس الدين، أشرف توفيق. (2012)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52</w:t>
      </w:r>
    </w:p>
  </w:footnote>
  <w:footnote w:id="128">
    <w:p w14:paraId="74525064" w14:textId="77777777" w:rsidR="00991EEB" w:rsidRPr="00DF47A5" w:rsidRDefault="00991EEB" w:rsidP="00991EEB">
      <w:pPr>
        <w:bidi/>
        <w:spacing w:after="0" w:line="240" w:lineRule="auto"/>
        <w:rPr>
          <w:rFonts w:ascii="Traditional Arabic" w:hAnsi="Traditional Arabic" w:cs="Traditional Arabic"/>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الخطيب، محمد عرفان (2018</w:t>
      </w:r>
      <w:r w:rsidRPr="00DF47A5">
        <w:rPr>
          <w:rFonts w:ascii="Traditional Arabic" w:hAnsi="Traditional Arabic" w:cs="Traditional Arabic"/>
        </w:rPr>
        <w:t>(</w:t>
      </w:r>
      <w:r w:rsidRPr="00DF47A5">
        <w:rPr>
          <w:rFonts w:ascii="Traditional Arabic" w:hAnsi="Traditional Arabic" w:cs="Traditional Arabic"/>
          <w:rtl/>
        </w:rPr>
        <w:t xml:space="preserve"> المركز القانوني للإنسان الآلة (</w:t>
      </w:r>
      <w:r w:rsidRPr="00DF47A5">
        <w:rPr>
          <w:rFonts w:ascii="Traditional Arabic" w:hAnsi="Traditional Arabic" w:cs="Traditional Arabic"/>
        </w:rPr>
        <w:t>Robots</w:t>
      </w:r>
      <w:r w:rsidRPr="00DF47A5">
        <w:rPr>
          <w:rFonts w:ascii="Traditional Arabic" w:hAnsi="Traditional Arabic" w:cs="Traditional Arabic"/>
          <w:rtl/>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r w:rsidRPr="00DF47A5">
        <w:rPr>
          <w:rFonts w:ascii="Traditional Arabic" w:hAnsi="Traditional Arabic" w:cs="Traditional Arabic"/>
        </w:rPr>
        <w:t xml:space="preserve"> </w:t>
      </w:r>
      <w:r w:rsidRPr="00DF47A5">
        <w:rPr>
          <w:rFonts w:ascii="Traditional Arabic" w:hAnsi="Traditional Arabic" w:cs="Traditional Arabic"/>
          <w:rtl/>
          <w:lang w:bidi="ar-EG"/>
        </w:rPr>
        <w:t>، ص122</w:t>
      </w:r>
    </w:p>
  </w:footnote>
  <w:footnote w:id="129">
    <w:p w14:paraId="14E2FFB8"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كيرة، حسن (197</w:t>
      </w:r>
      <w:r w:rsidRPr="00DF47A5">
        <w:rPr>
          <w:rFonts w:ascii="Traditional Arabic" w:hAnsi="Traditional Arabic" w:cs="Traditional Arabic"/>
          <w:rtl/>
          <w:lang w:bidi="ar-EG"/>
        </w:rPr>
        <w:t>1</w:t>
      </w:r>
      <w:r w:rsidRPr="00DF47A5">
        <w:rPr>
          <w:rFonts w:ascii="Traditional Arabic" w:hAnsi="Traditional Arabic" w:cs="Traditional Arabic"/>
          <w:rtl/>
        </w:rPr>
        <w:t>) المدخل إلى القانون (الطبعة الخامسة). منشأة المعارف، ص 514.</w:t>
      </w:r>
    </w:p>
  </w:footnote>
  <w:footnote w:id="130">
    <w:p w14:paraId="63790531"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السحلي، 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 ص 113</w:t>
      </w:r>
    </w:p>
  </w:footnote>
  <w:footnote w:id="131">
    <w:p w14:paraId="34C9105A"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دهشان، يحيى إبراهيم</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 (2020</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ص118</w:t>
      </w:r>
    </w:p>
  </w:footnote>
  <w:footnote w:id="132">
    <w:p w14:paraId="20852796"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دهشان، أحمد إبراهيم (2019)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38</w:t>
      </w:r>
    </w:p>
  </w:footnote>
  <w:footnote w:id="133">
    <w:p w14:paraId="2F4C65A2"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بطيخ،  مها رمضان محمد (2021) المسؤولية المدنية عن أضرار الذكاء الاصطناعي: دراسة تحليلية مقارنة. المجلة القانونية، كلية الحقوق، جامعة عين شمس، ص 1550</w:t>
      </w:r>
    </w:p>
  </w:footnote>
  <w:footnote w:id="134">
    <w:p w14:paraId="20E3BDE9"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w:t>
      </w:r>
      <w:r w:rsidRPr="00DF47A5">
        <w:rPr>
          <w:rFonts w:ascii="Traditional Arabic" w:hAnsi="Traditional Arabic" w:cs="Traditional Arabic"/>
          <w:sz w:val="24"/>
          <w:szCs w:val="24"/>
          <w:rtl/>
          <w:lang w:bidi="ar-EG"/>
        </w:rPr>
        <w:t>جي</w:t>
      </w:r>
      <w:r w:rsidRPr="00DF47A5">
        <w:rPr>
          <w:rFonts w:ascii="Traditional Arabic" w:hAnsi="Traditional Arabic" w:cs="Traditional Arabic"/>
          <w:sz w:val="24"/>
          <w:szCs w:val="24"/>
          <w:rtl/>
        </w:rPr>
        <w:t>لي، محمد عمر (2024) مرجع سابق  ،ص 398</w:t>
      </w:r>
    </w:p>
  </w:footnote>
  <w:footnote w:id="135">
    <w:p w14:paraId="5BF9671D"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Hallevy, Gabriel (2015), Liability for Crimes Involving Artificial Intelligence Systems, op. cit., p. 17</w:t>
      </w:r>
    </w:p>
  </w:footnote>
  <w:footnote w:id="136">
    <w:p w14:paraId="09F5AAB7"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عميش، رحاب علي (2021 </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،ص  7</w:t>
      </w:r>
      <w:r w:rsidRPr="00DF47A5">
        <w:rPr>
          <w:rFonts w:ascii="Traditional Arabic" w:hAnsi="Traditional Arabic" w:cs="Traditional Arabic"/>
          <w:sz w:val="24"/>
          <w:szCs w:val="24"/>
          <w:rtl/>
          <w:lang w:bidi="ar-EG"/>
        </w:rPr>
        <w:t>38</w:t>
      </w:r>
    </w:p>
  </w:footnote>
  <w:footnote w:id="137">
    <w:p w14:paraId="30A2E687"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J. GASNAULT, « Les </w:t>
      </w:r>
      <w:proofErr w:type="spellStart"/>
      <w:r w:rsidRPr="00DF47A5">
        <w:rPr>
          <w:rFonts w:ascii="Traditional Arabic" w:hAnsi="Traditional Arabic" w:cs="Traditional Arabic"/>
          <w:sz w:val="24"/>
          <w:szCs w:val="24"/>
        </w:rPr>
        <w:t>problèmes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juridiques</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suscités</w:t>
      </w:r>
      <w:proofErr w:type="spellEnd"/>
      <w:r w:rsidRPr="00DF47A5">
        <w:rPr>
          <w:rFonts w:ascii="Traditional Arabic" w:hAnsi="Traditional Arabic" w:cs="Traditional Arabic"/>
          <w:sz w:val="24"/>
          <w:szCs w:val="24"/>
        </w:rPr>
        <w:t xml:space="preserve"> par les </w:t>
      </w:r>
      <w:proofErr w:type="spellStart"/>
      <w:r w:rsidRPr="00DF47A5">
        <w:rPr>
          <w:rFonts w:ascii="Traditional Arabic" w:hAnsi="Traditional Arabic" w:cs="Traditional Arabic"/>
          <w:sz w:val="24"/>
          <w:szCs w:val="24"/>
        </w:rPr>
        <w:t>systèmes</w:t>
      </w:r>
      <w:proofErr w:type="spellEnd"/>
      <w:r w:rsidRPr="00DF47A5">
        <w:rPr>
          <w:rFonts w:ascii="Traditional Arabic" w:hAnsi="Traditional Arabic" w:cs="Traditional Arabic"/>
          <w:sz w:val="24"/>
          <w:szCs w:val="24"/>
        </w:rPr>
        <w:t xml:space="preserve"> experts </w:t>
      </w:r>
      <w:proofErr w:type="spellStart"/>
      <w:r w:rsidRPr="00DF47A5">
        <w:rPr>
          <w:rFonts w:ascii="Traditional Arabic" w:hAnsi="Traditional Arabic" w:cs="Traditional Arabic"/>
          <w:sz w:val="24"/>
          <w:szCs w:val="24"/>
        </w:rPr>
        <w:t>ou</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d'aide</w:t>
      </w:r>
      <w:proofErr w:type="spellEnd"/>
      <w:r w:rsidRPr="00DF47A5">
        <w:rPr>
          <w:rFonts w:ascii="Traditional Arabic" w:hAnsi="Traditional Arabic" w:cs="Traditional Arabic"/>
          <w:sz w:val="24"/>
          <w:szCs w:val="24"/>
        </w:rPr>
        <w:t xml:space="preserve"> à la </w:t>
      </w:r>
      <w:proofErr w:type="spellStart"/>
      <w:r w:rsidRPr="00DF47A5">
        <w:rPr>
          <w:rFonts w:ascii="Traditional Arabic" w:hAnsi="Traditional Arabic" w:cs="Traditional Arabic"/>
          <w:sz w:val="24"/>
          <w:szCs w:val="24"/>
        </w:rPr>
        <w:t>décision</w:t>
      </w:r>
      <w:proofErr w:type="spellEnd"/>
      <w:r w:rsidRPr="00DF47A5">
        <w:rPr>
          <w:rFonts w:ascii="Traditional Arabic" w:hAnsi="Traditional Arabic" w:cs="Traditional Arabic"/>
          <w:sz w:val="24"/>
          <w:szCs w:val="24"/>
        </w:rPr>
        <w:t xml:space="preserve"> », op. cit., p. 162</w:t>
      </w:r>
    </w:p>
  </w:footnote>
  <w:footnote w:id="138">
    <w:p w14:paraId="74729DC9"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أبو زيد رضوان(1970) مفهوم الشخصية المعنوية بين الحقيقة والخيال، مجلة العلوم القانونية والاقتصادية، كلية الحقوق جامعة عين شمس، مجلد 12، العدد 1، ص 168</w:t>
      </w:r>
    </w:p>
  </w:footnote>
  <w:footnote w:id="139">
    <w:p w14:paraId="6C1C1291" w14:textId="77777777" w:rsidR="00991EEB" w:rsidRPr="00DF47A5" w:rsidRDefault="00991EEB" w:rsidP="00991EEB">
      <w:pPr>
        <w:bidi/>
        <w:spacing w:after="0" w:line="240" w:lineRule="auto"/>
        <w:rPr>
          <w:rFonts w:ascii="Traditional Arabic" w:hAnsi="Traditional Arabic" w:cs="Traditional Arabic"/>
          <w:rtl/>
          <w:lang w:bidi="ar-EG"/>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lang w:bidi="ar-EG"/>
        </w:rPr>
        <w:t xml:space="preserve">الفلاوري، عمار كريم، والمشهدي، علي عبد الجبار رحيم. (2022) </w:t>
      </w:r>
      <w:r w:rsidRPr="00DF47A5">
        <w:rPr>
          <w:rFonts w:ascii="Traditional Arabic" w:hAnsi="Traditional Arabic" w:cs="Traditional Arabic"/>
          <w:b/>
          <w:bCs/>
          <w:u w:val="single"/>
          <w:rtl/>
          <w:lang w:bidi="ar-EG"/>
        </w:rPr>
        <w:t>مرجع سابق</w:t>
      </w:r>
      <w:r w:rsidRPr="00DF47A5">
        <w:rPr>
          <w:rFonts w:ascii="Traditional Arabic" w:hAnsi="Traditional Arabic" w:cs="Traditional Arabic"/>
          <w:rtl/>
          <w:lang w:bidi="ar-EG"/>
        </w:rPr>
        <w:t>، ص 32</w:t>
      </w:r>
    </w:p>
  </w:footnote>
  <w:footnote w:id="140">
    <w:p w14:paraId="0C0129E8"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العبد، رضا محمود (2023) الشخصية القانونية الافتراضية نحو الاعتراف بالشخصية القانونية للروبوتات المزودة بالذكاء الاصطناعي. مجلة القانون والتكنولوجيا – الجامعة البريطانية في مصر ، ص 235</w:t>
      </w:r>
    </w:p>
  </w:footnote>
  <w:footnote w:id="141">
    <w:p w14:paraId="23B16C0B"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footnote>
  <w:footnote w:id="142">
    <w:p w14:paraId="688AB5C4"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الخطيب، محمد عرفان (2018</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المركز القانوني للإنسان الآلة (</w:t>
      </w:r>
      <w:r w:rsidRPr="00DF47A5">
        <w:rPr>
          <w:rFonts w:ascii="Traditional Arabic" w:hAnsi="Traditional Arabic" w:cs="Traditional Arabic"/>
          <w:sz w:val="24"/>
          <w:szCs w:val="24"/>
        </w:rPr>
        <w:t>Robots</w:t>
      </w:r>
      <w:r w:rsidRPr="00DF47A5">
        <w:rPr>
          <w:rFonts w:ascii="Traditional Arabic" w:hAnsi="Traditional Arabic" w:cs="Traditional Arabic"/>
          <w:sz w:val="24"/>
          <w:szCs w:val="24"/>
          <w:rtl/>
        </w:rPr>
        <w:t xml:space="preserve">): مرجع سابق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 ص125</w:t>
      </w:r>
    </w:p>
  </w:footnote>
  <w:footnote w:id="143">
    <w:p w14:paraId="2C6BFCE4"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الجمال، مصطفى محمد، والجمال، عبد الحميد محمد</w:t>
      </w:r>
      <w:r w:rsidRPr="00DF47A5">
        <w:rPr>
          <w:rFonts w:ascii="Traditional Arabic" w:hAnsi="Traditional Arabic" w:cs="Traditional Arabic"/>
        </w:rPr>
        <w:t xml:space="preserve"> </w:t>
      </w:r>
      <w:r w:rsidRPr="00DF47A5">
        <w:rPr>
          <w:rFonts w:ascii="Traditional Arabic" w:hAnsi="Traditional Arabic" w:cs="Traditional Arabic"/>
          <w:rtl/>
        </w:rPr>
        <w:t>(1989) النظرية العامة للقانون. دار الجامعة، ص 419.</w:t>
      </w:r>
    </w:p>
  </w:footnote>
  <w:footnote w:id="144">
    <w:p w14:paraId="45D184C1"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 xml:space="preserve">بطيخ،  مها رمضان محمد (2021) </w:t>
      </w:r>
      <w:r w:rsidRPr="00DF47A5">
        <w:rPr>
          <w:rFonts w:ascii="Traditional Arabic" w:hAnsi="Traditional Arabic" w:cs="Traditional Arabic"/>
          <w:b/>
          <w:bCs/>
          <w:u w:val="single"/>
          <w:rtl/>
        </w:rPr>
        <w:t>مرجع سابق</w:t>
      </w:r>
      <w:r w:rsidRPr="00DF47A5">
        <w:rPr>
          <w:rFonts w:ascii="Traditional Arabic" w:hAnsi="Traditional Arabic" w:cs="Traditional Arabic"/>
          <w:rtl/>
        </w:rPr>
        <w:t>، ص 1558</w:t>
      </w:r>
    </w:p>
  </w:footnote>
  <w:footnote w:id="145">
    <w:p w14:paraId="11DEB65C"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العبد، رضا محمود (2023)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238</w:t>
      </w:r>
    </w:p>
  </w:footnote>
  <w:footnote w:id="146">
    <w:p w14:paraId="28069D86"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دهشان، أحمد إبراهيم (2019)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38</w:t>
      </w:r>
    </w:p>
  </w:footnote>
  <w:footnote w:id="147">
    <w:p w14:paraId="20D5D6B4"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سرور، أحمد فتحي (2002) القانون الجنائي الدستوري ، دار الشروق، ص 197.</w:t>
      </w:r>
    </w:p>
  </w:footnote>
  <w:footnote w:id="148">
    <w:p w14:paraId="469A73A2"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عميش، رحاب علي (2021 </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،ص  7</w:t>
      </w:r>
      <w:r w:rsidRPr="00DF47A5">
        <w:rPr>
          <w:rFonts w:ascii="Traditional Arabic" w:hAnsi="Traditional Arabic" w:cs="Traditional Arabic"/>
          <w:sz w:val="24"/>
          <w:szCs w:val="24"/>
          <w:rtl/>
          <w:lang w:bidi="ar-EG"/>
        </w:rPr>
        <w:t>42</w:t>
      </w:r>
    </w:p>
  </w:footnote>
  <w:footnote w:id="149">
    <w:p w14:paraId="2E52E931"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مجبوب، نوال</w:t>
      </w:r>
      <w:r w:rsidRPr="00DF47A5">
        <w:rPr>
          <w:rFonts w:ascii="Traditional Arabic" w:hAnsi="Traditional Arabic" w:cs="Traditional Arabic"/>
        </w:rPr>
        <w:t xml:space="preserve"> </w:t>
      </w:r>
      <w:r w:rsidRPr="00DF47A5">
        <w:rPr>
          <w:rFonts w:ascii="Traditional Arabic" w:hAnsi="Traditional Arabic" w:cs="Traditional Arabic"/>
          <w:rtl/>
        </w:rPr>
        <w:t>(2022) إشكالات المسؤولية القانونية عن تطبيقات نظم الذكاء الاصطناعي. المركز الجامعي مغنية، الجزائر: المجموعة العلمية للنشر والتوزيع، ص 66 وما بعدها.</w:t>
      </w:r>
    </w:p>
  </w:footnote>
  <w:footnote w:id="150">
    <w:p w14:paraId="3DC8C063"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w:t>
      </w:r>
      <w:r w:rsidRPr="00DF47A5">
        <w:rPr>
          <w:rFonts w:ascii="Traditional Arabic" w:hAnsi="Traditional Arabic" w:cs="Traditional Arabic"/>
          <w:sz w:val="24"/>
          <w:szCs w:val="24"/>
          <w:rtl/>
          <w:lang w:bidi="ar-EG"/>
        </w:rPr>
        <w:t>جي</w:t>
      </w:r>
      <w:r w:rsidRPr="00DF47A5">
        <w:rPr>
          <w:rFonts w:ascii="Traditional Arabic" w:hAnsi="Traditional Arabic" w:cs="Traditional Arabic"/>
          <w:sz w:val="24"/>
          <w:szCs w:val="24"/>
          <w:rtl/>
        </w:rPr>
        <w:t xml:space="preserve">لي، محمد عمر (2024)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،ص 401</w:t>
      </w:r>
    </w:p>
  </w:footnote>
  <w:footnote w:id="151">
    <w:p w14:paraId="598969A9"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حسين، محمد عبد الظاهر (2001). الاتجاهات الحديثة في حماية برامج الكبيوتر، دار النهضة العربية، ص 102</w:t>
      </w:r>
    </w:p>
  </w:footnote>
  <w:footnote w:id="152">
    <w:p w14:paraId="07A74E1E"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Hallevy, Gabriel (2015), Liability for Crimes Involving Artificial Intelligence Systems, op. cit., p. 18</w:t>
      </w:r>
    </w:p>
  </w:footnote>
  <w:footnote w:id="153">
    <w:p w14:paraId="386C8095"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العبد، رضا محمود (2023)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242</w:t>
      </w:r>
    </w:p>
  </w:footnote>
  <w:footnote w:id="154">
    <w:p w14:paraId="358DA9FF" w14:textId="77777777" w:rsidR="00991EEB" w:rsidRPr="00DF47A5" w:rsidRDefault="00991EEB" w:rsidP="00991EEB">
      <w:pPr>
        <w:pStyle w:val="a3"/>
        <w:rPr>
          <w:rFonts w:ascii="Traditional Arabic" w:hAnsi="Traditional Arabic" w:cs="Traditional Arabic"/>
          <w:sz w:val="24"/>
          <w:szCs w:val="24"/>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Yavar </w:t>
      </w:r>
      <w:proofErr w:type="spellStart"/>
      <w:r w:rsidRPr="00DF47A5">
        <w:rPr>
          <w:rFonts w:ascii="Traditional Arabic" w:hAnsi="Traditional Arabic" w:cs="Traditional Arabic"/>
          <w:sz w:val="24"/>
          <w:szCs w:val="24"/>
        </w:rPr>
        <w:t>Bathae</w:t>
      </w:r>
      <w:proofErr w:type="spellEnd"/>
      <w:r w:rsidRPr="00DF47A5">
        <w:rPr>
          <w:rFonts w:ascii="Traditional Arabic" w:hAnsi="Traditional Arabic" w:cs="Traditional Arabic"/>
          <w:sz w:val="24"/>
          <w:szCs w:val="24"/>
        </w:rPr>
        <w:t xml:space="preserve"> – Harvard – THE ARTIFICIAL INTELLIGENCE BLACK BOX AND THE FAILURE OF INTENT AND CAUSATION – Journal of Law &amp; Technology, Volume 31, Number 2, Spring 2018, p. 908</w:t>
      </w:r>
    </w:p>
  </w:footnote>
  <w:footnote w:id="155">
    <w:p w14:paraId="16BF7B9F" w14:textId="77777777" w:rsidR="00991EEB" w:rsidRPr="00DF47A5" w:rsidRDefault="00991EEB" w:rsidP="00991EEB">
      <w:pPr>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Pouget, Jonathan. (2019). La </w:t>
      </w:r>
      <w:proofErr w:type="spellStart"/>
      <w:r w:rsidRPr="00DF47A5">
        <w:rPr>
          <w:rFonts w:ascii="Traditional Arabic" w:hAnsi="Traditional Arabic" w:cs="Traditional Arabic"/>
        </w:rPr>
        <w:t>réparation</w:t>
      </w:r>
      <w:proofErr w:type="spellEnd"/>
      <w:r w:rsidRPr="00DF47A5">
        <w:rPr>
          <w:rFonts w:ascii="Traditional Arabic" w:hAnsi="Traditional Arabic" w:cs="Traditional Arabic"/>
        </w:rPr>
        <w:t xml:space="preserve"> du </w:t>
      </w:r>
      <w:proofErr w:type="spellStart"/>
      <w:r w:rsidRPr="00DF47A5">
        <w:rPr>
          <w:rFonts w:ascii="Traditional Arabic" w:hAnsi="Traditional Arabic" w:cs="Traditional Arabic"/>
        </w:rPr>
        <w:t>dommage</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impliquant</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une</w:t>
      </w:r>
      <w:proofErr w:type="spellEnd"/>
      <w:r w:rsidRPr="00DF47A5">
        <w:rPr>
          <w:rFonts w:ascii="Traditional Arabic" w:hAnsi="Traditional Arabic" w:cs="Traditional Arabic"/>
        </w:rPr>
        <w:t xml:space="preserve"> intelligence </w:t>
      </w:r>
      <w:proofErr w:type="spellStart"/>
      <w:r w:rsidRPr="00DF47A5">
        <w:rPr>
          <w:rFonts w:ascii="Traditional Arabic" w:hAnsi="Traditional Arabic" w:cs="Traditional Arabic"/>
        </w:rPr>
        <w:t>artificielle</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Thèse</w:t>
      </w:r>
      <w:proofErr w:type="spellEnd"/>
      <w:r w:rsidRPr="00DF47A5">
        <w:rPr>
          <w:rFonts w:ascii="Traditional Arabic" w:hAnsi="Traditional Arabic" w:cs="Traditional Arabic"/>
        </w:rPr>
        <w:t xml:space="preserve"> de </w:t>
      </w:r>
      <w:proofErr w:type="spellStart"/>
      <w:r w:rsidRPr="00DF47A5">
        <w:rPr>
          <w:rFonts w:ascii="Traditional Arabic" w:hAnsi="Traditional Arabic" w:cs="Traditional Arabic"/>
        </w:rPr>
        <w:t>doctorat</w:t>
      </w:r>
      <w:proofErr w:type="spellEnd"/>
      <w:r w:rsidRPr="00DF47A5">
        <w:rPr>
          <w:rFonts w:ascii="Traditional Arabic" w:hAnsi="Traditional Arabic" w:cs="Traditional Arabic"/>
        </w:rPr>
        <w:t xml:space="preserve">, sous la direction de Marc Bruschi). Université </w:t>
      </w:r>
      <w:proofErr w:type="spellStart"/>
      <w:r w:rsidRPr="00DF47A5">
        <w:rPr>
          <w:rFonts w:ascii="Traditional Arabic" w:hAnsi="Traditional Arabic" w:cs="Traditional Arabic"/>
        </w:rPr>
        <w:t>d’Aix</w:t>
      </w:r>
      <w:proofErr w:type="spellEnd"/>
      <w:r w:rsidRPr="00DF47A5">
        <w:rPr>
          <w:rFonts w:ascii="Traditional Arabic" w:hAnsi="Traditional Arabic" w:cs="Traditional Arabic"/>
        </w:rPr>
        <w:t>-Marseille, p. 7</w:t>
      </w:r>
      <w:r w:rsidRPr="00DF47A5">
        <w:rPr>
          <w:rFonts w:ascii="Traditional Arabic" w:hAnsi="Traditional Arabic" w:cs="Traditional Arabic"/>
          <w:rtl/>
        </w:rPr>
        <w:t>.</w:t>
      </w:r>
    </w:p>
  </w:footnote>
  <w:footnote w:id="156">
    <w:p w14:paraId="4AF65063"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بطيخ،  مها رمضان محمد (2021) مرجع سابق ، ص 1560</w:t>
      </w:r>
    </w:p>
  </w:footnote>
  <w:footnote w:id="157">
    <w:p w14:paraId="6676C6B2"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الخطيب، محمد عرفان (2018</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المركز القانوني للإنسان الآلة (</w:t>
      </w:r>
      <w:r w:rsidRPr="00DF47A5">
        <w:rPr>
          <w:rFonts w:ascii="Traditional Arabic" w:hAnsi="Traditional Arabic" w:cs="Traditional Arabic"/>
          <w:sz w:val="24"/>
          <w:szCs w:val="24"/>
        </w:rPr>
        <w:t>Robots</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 ص128</w:t>
      </w:r>
    </w:p>
  </w:footnote>
  <w:footnote w:id="158">
    <w:p w14:paraId="75B1879B"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حسين، محمد عبد الظاهر (2001)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108</w:t>
      </w:r>
    </w:p>
  </w:footnote>
  <w:footnote w:id="159">
    <w:p w14:paraId="36AC498F"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مجبوب، نوال</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(2022)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w:t>
      </w:r>
      <w:r w:rsidRPr="00DF47A5">
        <w:rPr>
          <w:rFonts w:ascii="Traditional Arabic" w:hAnsi="Traditional Arabic" w:cs="Traditional Arabic"/>
          <w:sz w:val="24"/>
          <w:szCs w:val="24"/>
          <w:rtl/>
          <w:lang w:bidi="ar-EG"/>
        </w:rPr>
        <w:t>72</w:t>
      </w:r>
    </w:p>
  </w:footnote>
  <w:footnote w:id="160">
    <w:p w14:paraId="0A8EBD5B"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Hallevy, Gabriel (2015), Liability for Crimes Involving Artificial Intelligence Systems, op. cit., p. 18</w:t>
      </w:r>
    </w:p>
  </w:footnote>
  <w:footnote w:id="161">
    <w:p w14:paraId="21030DB3"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دهشان، أحمد إبراهيم (2019)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42</w:t>
      </w:r>
    </w:p>
  </w:footnote>
  <w:footnote w:id="162">
    <w:p w14:paraId="0D314401"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العبد، رضا محمود (2023)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245</w:t>
      </w:r>
    </w:p>
  </w:footnote>
  <w:footnote w:id="163">
    <w:p w14:paraId="360A81C7"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عميش، رحاب علي (2021 </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،ص  7</w:t>
      </w:r>
      <w:r w:rsidRPr="00DF47A5">
        <w:rPr>
          <w:rFonts w:ascii="Traditional Arabic" w:hAnsi="Traditional Arabic" w:cs="Traditional Arabic"/>
          <w:sz w:val="24"/>
          <w:szCs w:val="24"/>
          <w:rtl/>
          <w:lang w:bidi="ar-EG"/>
        </w:rPr>
        <w:t>48</w:t>
      </w:r>
    </w:p>
  </w:footnote>
  <w:footnote w:id="164">
    <w:p w14:paraId="4C217799"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Yavar </w:t>
      </w:r>
      <w:proofErr w:type="spellStart"/>
      <w:r w:rsidRPr="00DF47A5">
        <w:rPr>
          <w:rFonts w:ascii="Traditional Arabic" w:hAnsi="Traditional Arabic" w:cs="Traditional Arabic"/>
          <w:sz w:val="24"/>
          <w:szCs w:val="24"/>
        </w:rPr>
        <w:t>Bathae</w:t>
      </w:r>
      <w:proofErr w:type="spellEnd"/>
      <w:r w:rsidRPr="00DF47A5">
        <w:rPr>
          <w:rFonts w:ascii="Traditional Arabic" w:hAnsi="Traditional Arabic" w:cs="Traditional Arabic"/>
          <w:sz w:val="24"/>
          <w:szCs w:val="24"/>
        </w:rPr>
        <w:t>, The Artificial Intelligence Black Box and the Failure of Intent and Causation, op. cit., p. 913.</w:t>
      </w:r>
    </w:p>
  </w:footnote>
  <w:footnote w:id="165">
    <w:p w14:paraId="3AF60D49"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سرور، أحمد فتحي (2002)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201</w:t>
      </w:r>
    </w:p>
  </w:footnote>
  <w:footnote w:id="166">
    <w:p w14:paraId="0C688828"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بطيخ،  مها رمضان محمد (2021)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1563</w:t>
      </w:r>
    </w:p>
  </w:footnote>
  <w:footnote w:id="167">
    <w:p w14:paraId="213C29D2"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w:t>
      </w:r>
      <w:r w:rsidRPr="00DF47A5">
        <w:rPr>
          <w:rFonts w:ascii="Traditional Arabic" w:hAnsi="Traditional Arabic" w:cs="Traditional Arabic"/>
          <w:sz w:val="24"/>
          <w:szCs w:val="24"/>
          <w:rtl/>
          <w:lang w:bidi="ar-EG"/>
        </w:rPr>
        <w:t>جي</w:t>
      </w:r>
      <w:r w:rsidRPr="00DF47A5">
        <w:rPr>
          <w:rFonts w:ascii="Traditional Arabic" w:hAnsi="Traditional Arabic" w:cs="Traditional Arabic"/>
          <w:sz w:val="24"/>
          <w:szCs w:val="24"/>
          <w:rtl/>
        </w:rPr>
        <w:t xml:space="preserve">لي، محمد عمر (2024) </w:t>
      </w:r>
      <w:r w:rsidRPr="00DF47A5">
        <w:rPr>
          <w:rFonts w:ascii="Traditional Arabic" w:hAnsi="Traditional Arabic" w:cs="Traditional Arabic"/>
          <w:sz w:val="24"/>
          <w:szCs w:val="24"/>
          <w:u w:val="single"/>
          <w:rtl/>
        </w:rPr>
        <w:t>مرجع سابق</w:t>
      </w:r>
      <w:r w:rsidRPr="00DF47A5">
        <w:rPr>
          <w:rFonts w:ascii="Traditional Arabic" w:hAnsi="Traditional Arabic" w:cs="Traditional Arabic"/>
          <w:sz w:val="24"/>
          <w:szCs w:val="24"/>
          <w:rtl/>
        </w:rPr>
        <w:t xml:space="preserve">  ،ص 408</w:t>
      </w:r>
    </w:p>
  </w:footnote>
  <w:footnote w:id="168">
    <w:p w14:paraId="1C1D151D"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Franziska Boehm, Paulina Pesch, Institute Bitcoin: A First Legal Analysis – with reference to German and US-American law –, Telecommunication-, and Media Law, Leonardo-Campus 9 - 48149 P5.</w:t>
      </w:r>
    </w:p>
  </w:footnote>
  <w:footnote w:id="169">
    <w:p w14:paraId="22BFB960"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الخطيب، محمد عرفان (2018</w:t>
      </w:r>
      <w:r w:rsidRPr="00DF47A5">
        <w:rPr>
          <w:rFonts w:ascii="Traditional Arabic" w:hAnsi="Traditional Arabic" w:cs="Traditional Arabic"/>
          <w:sz w:val="24"/>
          <w:szCs w:val="24"/>
        </w:rPr>
        <w:t>(</w:t>
      </w:r>
      <w:r w:rsidRPr="00DF47A5">
        <w:rPr>
          <w:rFonts w:ascii="Traditional Arabic" w:hAnsi="Traditional Arabic" w:cs="Traditional Arabic"/>
          <w:sz w:val="24"/>
          <w:szCs w:val="24"/>
          <w:rtl/>
        </w:rPr>
        <w:t xml:space="preserve"> المركز القانوني للإنسان الآلة (</w:t>
      </w:r>
      <w:r w:rsidRPr="00DF47A5">
        <w:rPr>
          <w:rFonts w:ascii="Traditional Arabic" w:hAnsi="Traditional Arabic" w:cs="Traditional Arabic"/>
          <w:sz w:val="24"/>
          <w:szCs w:val="24"/>
        </w:rPr>
        <w:t>Robots</w:t>
      </w:r>
      <w:r w:rsidRPr="00DF47A5">
        <w:rPr>
          <w:rFonts w:ascii="Traditional Arabic" w:hAnsi="Traditional Arabic" w:cs="Traditional Arabic"/>
          <w:sz w:val="24"/>
          <w:szCs w:val="24"/>
          <w:rtl/>
        </w:rPr>
        <w:t xml:space="preserve">):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lang w:bidi="ar-EG"/>
        </w:rPr>
        <w:t>، ص129</w:t>
      </w:r>
    </w:p>
  </w:footnote>
  <w:footnote w:id="170">
    <w:p w14:paraId="3037686D"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حسين، محمد عبد الظاهر (2001)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110</w:t>
      </w:r>
    </w:p>
  </w:footnote>
  <w:footnote w:id="171">
    <w:p w14:paraId="58ADDB30"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العبد، رضا محمود (2023) </w:t>
      </w:r>
      <w:r w:rsidRPr="00DF47A5">
        <w:rPr>
          <w:rFonts w:ascii="Traditional Arabic" w:hAnsi="Traditional Arabic" w:cs="Traditional Arabic"/>
          <w:b/>
          <w:bCs/>
          <w:sz w:val="24"/>
          <w:szCs w:val="24"/>
          <w:rtl/>
        </w:rPr>
        <w:t>مرجع سابق</w:t>
      </w:r>
      <w:r w:rsidRPr="00DF47A5">
        <w:rPr>
          <w:rFonts w:ascii="Traditional Arabic" w:hAnsi="Traditional Arabic" w:cs="Traditional Arabic"/>
          <w:sz w:val="24"/>
          <w:szCs w:val="24"/>
          <w:rtl/>
        </w:rPr>
        <w:t xml:space="preserve"> ، ص 245</w:t>
      </w:r>
    </w:p>
  </w:footnote>
  <w:footnote w:id="172">
    <w:p w14:paraId="20BEA61E" w14:textId="77777777" w:rsidR="00991EEB" w:rsidRPr="00DF47A5" w:rsidRDefault="00991EEB" w:rsidP="00991EEB">
      <w:pPr>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Simmler, Monika, &amp; </w:t>
      </w:r>
      <w:proofErr w:type="spellStart"/>
      <w:r w:rsidRPr="00DF47A5">
        <w:rPr>
          <w:rFonts w:ascii="Traditional Arabic" w:hAnsi="Traditional Arabic" w:cs="Traditional Arabic"/>
        </w:rPr>
        <w:t>Markwalder</w:t>
      </w:r>
      <w:proofErr w:type="spellEnd"/>
      <w:r w:rsidRPr="00DF47A5">
        <w:rPr>
          <w:rFonts w:ascii="Traditional Arabic" w:hAnsi="Traditional Arabic" w:cs="Traditional Arabic"/>
        </w:rPr>
        <w:t>, Nora. (2019). Guilty robots: Rethinking the nature of culpability and legal personhood in an age of artificial intelligence. Criminal Law Forum, 30, p.18</w:t>
      </w:r>
    </w:p>
  </w:footnote>
  <w:footnote w:id="173">
    <w:p w14:paraId="4CF79308"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عبد اللطيف، محمد محمد (2021 ) المسؤولية عن الذكاء الاصطناعي بين القانون الخاص والقانون العام. بحث مقدم إلى مؤتمر الجوانب القانونية والاقتصادية للذكاء الاصطناعي وتكنولوجيا المعلومات، كلية الحقوق، جامعة المنصورة ، ص7</w:t>
      </w:r>
    </w:p>
  </w:footnote>
  <w:footnote w:id="174">
    <w:p w14:paraId="50D07458" w14:textId="77777777" w:rsidR="00991EEB" w:rsidRPr="00DF47A5" w:rsidRDefault="00991EEB" w:rsidP="00991EEB">
      <w:pPr>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proofErr w:type="spellStart"/>
      <w:r w:rsidRPr="00DF47A5">
        <w:rPr>
          <w:rFonts w:ascii="Traditional Arabic" w:hAnsi="Traditional Arabic" w:cs="Traditional Arabic"/>
        </w:rPr>
        <w:t>Tisseron</w:t>
      </w:r>
      <w:proofErr w:type="spellEnd"/>
      <w:r w:rsidRPr="00DF47A5">
        <w:rPr>
          <w:rFonts w:ascii="Traditional Arabic" w:hAnsi="Traditional Arabic" w:cs="Traditional Arabic"/>
        </w:rPr>
        <w:t xml:space="preserve">, Serge. (2015). Le jour </w:t>
      </w:r>
      <w:proofErr w:type="spellStart"/>
      <w:r w:rsidRPr="00DF47A5">
        <w:rPr>
          <w:rFonts w:ascii="Traditional Arabic" w:hAnsi="Traditional Arabic" w:cs="Traditional Arabic"/>
        </w:rPr>
        <w:t>où</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mon</w:t>
      </w:r>
      <w:proofErr w:type="spellEnd"/>
      <w:r w:rsidRPr="00DF47A5">
        <w:rPr>
          <w:rFonts w:ascii="Traditional Arabic" w:hAnsi="Traditional Arabic" w:cs="Traditional Arabic"/>
        </w:rPr>
        <w:t xml:space="preserve"> robot </w:t>
      </w:r>
      <w:proofErr w:type="spellStart"/>
      <w:r w:rsidRPr="00DF47A5">
        <w:rPr>
          <w:rFonts w:ascii="Traditional Arabic" w:hAnsi="Traditional Arabic" w:cs="Traditional Arabic"/>
        </w:rPr>
        <w:t>m’aimera</w:t>
      </w:r>
      <w:proofErr w:type="spellEnd"/>
      <w:r w:rsidRPr="00DF47A5">
        <w:rPr>
          <w:rFonts w:ascii="Traditional Arabic" w:hAnsi="Traditional Arabic" w:cs="Traditional Arabic"/>
        </w:rPr>
        <w:t xml:space="preserve">: Vers </w:t>
      </w:r>
      <w:proofErr w:type="spellStart"/>
      <w:r w:rsidRPr="00DF47A5">
        <w:rPr>
          <w:rFonts w:ascii="Traditional Arabic" w:hAnsi="Traditional Arabic" w:cs="Traditional Arabic"/>
        </w:rPr>
        <w:t>l’empathie</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artificielle</w:t>
      </w:r>
      <w:proofErr w:type="spellEnd"/>
      <w:r w:rsidRPr="00DF47A5">
        <w:rPr>
          <w:rFonts w:ascii="Traditional Arabic" w:hAnsi="Traditional Arabic" w:cs="Traditional Arabic"/>
        </w:rPr>
        <w:t>. Albin Michel, p. 15</w:t>
      </w:r>
      <w:r w:rsidRPr="00DF47A5">
        <w:rPr>
          <w:rFonts w:ascii="Traditional Arabic" w:hAnsi="Traditional Arabic" w:cs="Traditional Arabic"/>
          <w:rtl/>
        </w:rPr>
        <w:t>.</w:t>
      </w:r>
    </w:p>
  </w:footnote>
  <w:footnote w:id="175">
    <w:p w14:paraId="680C3706"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Yavar </w:t>
      </w:r>
      <w:proofErr w:type="spellStart"/>
      <w:r w:rsidRPr="00DF47A5">
        <w:rPr>
          <w:rFonts w:ascii="Traditional Arabic" w:hAnsi="Traditional Arabic" w:cs="Traditional Arabic"/>
          <w:sz w:val="24"/>
          <w:szCs w:val="24"/>
        </w:rPr>
        <w:t>Bathae</w:t>
      </w:r>
      <w:proofErr w:type="spellEnd"/>
      <w:r w:rsidRPr="00DF47A5">
        <w:rPr>
          <w:rFonts w:ascii="Traditional Arabic" w:hAnsi="Traditional Arabic" w:cs="Traditional Arabic"/>
          <w:sz w:val="24"/>
          <w:szCs w:val="24"/>
        </w:rPr>
        <w:t>, The Artificial Intelligence Black Box and the Failure of Intent and Causation, op. cit., p. 920</w:t>
      </w:r>
    </w:p>
  </w:footnote>
  <w:footnote w:id="176">
    <w:p w14:paraId="37A7BFF7"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مجبوب، نوال</w:t>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(2022)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w:t>
      </w:r>
      <w:r w:rsidRPr="00DF47A5">
        <w:rPr>
          <w:rFonts w:ascii="Traditional Arabic" w:hAnsi="Traditional Arabic" w:cs="Traditional Arabic"/>
          <w:sz w:val="24"/>
          <w:szCs w:val="24"/>
          <w:rtl/>
          <w:lang w:bidi="ar-EG"/>
        </w:rPr>
        <w:t>75</w:t>
      </w:r>
    </w:p>
  </w:footnote>
  <w:footnote w:id="177">
    <w:p w14:paraId="397C37F4"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جمعة، نعمان محمد خليل (1979) دروس في المدخل للعلوم القانونية. دار النهضة العربية، ص 503.</w:t>
      </w:r>
    </w:p>
  </w:footnote>
  <w:footnote w:id="178">
    <w:p w14:paraId="6D7B6195"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w:t>
      </w:r>
      <w:r w:rsidRPr="00DF47A5">
        <w:rPr>
          <w:rFonts w:ascii="Traditional Arabic" w:hAnsi="Traditional Arabic" w:cs="Traditional Arabic"/>
          <w:sz w:val="24"/>
          <w:szCs w:val="24"/>
          <w:rtl/>
          <w:lang w:bidi="ar-EG"/>
        </w:rPr>
        <w:t>جي</w:t>
      </w:r>
      <w:r w:rsidRPr="00DF47A5">
        <w:rPr>
          <w:rFonts w:ascii="Traditional Arabic" w:hAnsi="Traditional Arabic" w:cs="Traditional Arabic"/>
          <w:sz w:val="24"/>
          <w:szCs w:val="24"/>
          <w:rtl/>
        </w:rPr>
        <w:t>لي، محمد عمر (2024) مرجع سابق  ،ص 407</w:t>
      </w:r>
    </w:p>
  </w:footnote>
  <w:footnote w:id="179">
    <w:p w14:paraId="315B7815"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Hallevy, Gabriel (2015), Liability for Crimes Involving Artificial Intelligence Systems, op. cit., p. 138</w:t>
      </w:r>
    </w:p>
  </w:footnote>
  <w:footnote w:id="180">
    <w:p w14:paraId="1D1A8749" w14:textId="77777777" w:rsidR="00991EEB" w:rsidRPr="00DF47A5" w:rsidRDefault="00991EEB" w:rsidP="00991EEB">
      <w:pPr>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proofErr w:type="spellStart"/>
      <w:r w:rsidRPr="00DF47A5">
        <w:rPr>
          <w:rFonts w:ascii="Traditional Arabic" w:hAnsi="Traditional Arabic" w:cs="Traditional Arabic"/>
        </w:rPr>
        <w:t>Tisseron</w:t>
      </w:r>
      <w:proofErr w:type="spellEnd"/>
      <w:r w:rsidRPr="00DF47A5">
        <w:rPr>
          <w:rFonts w:ascii="Traditional Arabic" w:hAnsi="Traditional Arabic" w:cs="Traditional Arabic"/>
        </w:rPr>
        <w:t xml:space="preserve">, Serge (2015), Le jour </w:t>
      </w:r>
      <w:proofErr w:type="spellStart"/>
      <w:r w:rsidRPr="00DF47A5">
        <w:rPr>
          <w:rFonts w:ascii="Traditional Arabic" w:hAnsi="Traditional Arabic" w:cs="Traditional Arabic"/>
        </w:rPr>
        <w:t>où</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mon</w:t>
      </w:r>
      <w:proofErr w:type="spellEnd"/>
      <w:r w:rsidRPr="00DF47A5">
        <w:rPr>
          <w:rFonts w:ascii="Traditional Arabic" w:hAnsi="Traditional Arabic" w:cs="Traditional Arabic"/>
        </w:rPr>
        <w:t xml:space="preserve"> robot </w:t>
      </w:r>
      <w:proofErr w:type="spellStart"/>
      <w:r w:rsidRPr="00DF47A5">
        <w:rPr>
          <w:rFonts w:ascii="Traditional Arabic" w:hAnsi="Traditional Arabic" w:cs="Traditional Arabic"/>
        </w:rPr>
        <w:t>m’aimera</w:t>
      </w:r>
      <w:proofErr w:type="spellEnd"/>
      <w:r w:rsidRPr="00DF47A5">
        <w:rPr>
          <w:rFonts w:ascii="Traditional Arabic" w:hAnsi="Traditional Arabic" w:cs="Traditional Arabic"/>
        </w:rPr>
        <w:t xml:space="preserve">: Vers </w:t>
      </w:r>
      <w:proofErr w:type="spellStart"/>
      <w:r w:rsidRPr="00DF47A5">
        <w:rPr>
          <w:rFonts w:ascii="Traditional Arabic" w:hAnsi="Traditional Arabic" w:cs="Traditional Arabic"/>
        </w:rPr>
        <w:t>l’empathie</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artificielle</w:t>
      </w:r>
      <w:proofErr w:type="spellEnd"/>
      <w:r w:rsidRPr="00DF47A5">
        <w:rPr>
          <w:rFonts w:ascii="Traditional Arabic" w:hAnsi="Traditional Arabic" w:cs="Traditional Arabic"/>
        </w:rPr>
        <w:t>, op. cit., p. 22.</w:t>
      </w:r>
      <w:r w:rsidRPr="00DF47A5">
        <w:rPr>
          <w:rFonts w:ascii="Traditional Arabic" w:hAnsi="Traditional Arabic" w:cs="Traditional Arabic"/>
          <w:rtl/>
        </w:rPr>
        <w:t>.</w:t>
      </w:r>
    </w:p>
  </w:footnote>
  <w:footnote w:id="181">
    <w:p w14:paraId="1DC4C434"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حسين، محمد عبد الظاهر (2001)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111</w:t>
      </w:r>
    </w:p>
  </w:footnote>
  <w:footnote w:id="182">
    <w:p w14:paraId="20A7B9B6"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عبد اللطيف، محمد محمد (2021 )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ص10</w:t>
      </w:r>
    </w:p>
  </w:footnote>
  <w:footnote w:id="183">
    <w:p w14:paraId="5D8C4525" w14:textId="77777777" w:rsidR="00991EEB" w:rsidRPr="00DF47A5" w:rsidRDefault="00991EEB" w:rsidP="00991EEB">
      <w:pPr>
        <w:pStyle w:val="a3"/>
        <w:rPr>
          <w:rFonts w:ascii="Traditional Arabic" w:hAnsi="Traditional Arabic" w:cs="Traditional Arabic"/>
          <w:sz w:val="24"/>
          <w:szCs w:val="24"/>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Franziska Boehm, Paulina Pesch, Institute Bitcoin: A First Legal Analysis – with reference to German and US-American law –, Telecommunication-, and Media Law, Leonardo-Campus 9 - 48149 P13</w:t>
      </w:r>
    </w:p>
  </w:footnote>
  <w:footnote w:id="184">
    <w:p w14:paraId="694587F6" w14:textId="77777777" w:rsidR="00991EEB" w:rsidRPr="00DF47A5" w:rsidRDefault="00991EEB" w:rsidP="00991EEB">
      <w:pPr>
        <w:bidi/>
        <w:spacing w:after="0" w:line="240" w:lineRule="auto"/>
        <w:rPr>
          <w:rFonts w:ascii="Traditional Arabic" w:hAnsi="Traditional Arabic" w:cs="Traditional Arabic"/>
          <w:rtl/>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حقاص، صونية (2011) حماية الملكية الفكرية الأدبية والفنية في البيئة الرقمية في ظل التشريع الجزائري (رسالة ماجستير) جامعة منتوري، قسنطينة، الجزائر، ص 37.</w:t>
      </w:r>
    </w:p>
  </w:footnote>
  <w:footnote w:id="185">
    <w:p w14:paraId="2B7DDB4F"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حسين، محمد عبد الظاهر (2001) مرجع سابق ، ص 111</w:t>
      </w:r>
    </w:p>
  </w:footnote>
  <w:footnote w:id="186">
    <w:p w14:paraId="1653319B"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Simmler, Monika, &amp; </w:t>
      </w:r>
      <w:proofErr w:type="spellStart"/>
      <w:r w:rsidRPr="00DF47A5">
        <w:rPr>
          <w:rFonts w:ascii="Traditional Arabic" w:hAnsi="Traditional Arabic" w:cs="Traditional Arabic"/>
          <w:sz w:val="24"/>
          <w:szCs w:val="24"/>
        </w:rPr>
        <w:t>Markwalder</w:t>
      </w:r>
      <w:proofErr w:type="spellEnd"/>
      <w:r w:rsidRPr="00DF47A5">
        <w:rPr>
          <w:rFonts w:ascii="Traditional Arabic" w:hAnsi="Traditional Arabic" w:cs="Traditional Arabic"/>
          <w:sz w:val="24"/>
          <w:szCs w:val="24"/>
        </w:rPr>
        <w:t>, Nora (2019), Guilty Robots: Rethinking the Nature of Culpability and Legal Personhood in an Age of Artificial Intelligence, op. cit., p. 22</w:t>
      </w:r>
    </w:p>
  </w:footnote>
  <w:footnote w:id="187">
    <w:p w14:paraId="10A2BADD" w14:textId="77777777" w:rsidR="00991EEB" w:rsidRPr="00DF47A5" w:rsidRDefault="00991EEB" w:rsidP="00991EEB">
      <w:pPr>
        <w:pStyle w:val="a3"/>
        <w:bidi/>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جمعة، نعمان محمد خليل (1979) مرجع سابق ،  ص 5</w:t>
      </w:r>
      <w:r w:rsidRPr="00DF47A5">
        <w:rPr>
          <w:rFonts w:ascii="Traditional Arabic" w:hAnsi="Traditional Arabic" w:cs="Traditional Arabic"/>
          <w:sz w:val="24"/>
          <w:szCs w:val="24"/>
          <w:rtl/>
          <w:lang w:bidi="ar-EG"/>
        </w:rPr>
        <w:t>07</w:t>
      </w:r>
    </w:p>
  </w:footnote>
  <w:footnote w:id="188">
    <w:p w14:paraId="4DE76290"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Yavar </w:t>
      </w:r>
      <w:proofErr w:type="spellStart"/>
      <w:r w:rsidRPr="00DF47A5">
        <w:rPr>
          <w:rFonts w:ascii="Traditional Arabic" w:hAnsi="Traditional Arabic" w:cs="Traditional Arabic"/>
          <w:sz w:val="24"/>
          <w:szCs w:val="24"/>
        </w:rPr>
        <w:t>Bathae</w:t>
      </w:r>
      <w:proofErr w:type="spellEnd"/>
      <w:r w:rsidRPr="00DF47A5">
        <w:rPr>
          <w:rFonts w:ascii="Traditional Arabic" w:hAnsi="Traditional Arabic" w:cs="Traditional Arabic"/>
          <w:sz w:val="24"/>
          <w:szCs w:val="24"/>
        </w:rPr>
        <w:t>, The Artificial Intelligence Black Box and the Failure of Intent and Causation, op. cit., p. 920</w:t>
      </w:r>
    </w:p>
  </w:footnote>
  <w:footnote w:id="189">
    <w:p w14:paraId="40BD0395" w14:textId="77777777" w:rsidR="00991EEB" w:rsidRPr="00DF47A5" w:rsidRDefault="00991EEB" w:rsidP="00991EEB">
      <w:pPr>
        <w:bidi/>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w:t>
      </w:r>
      <w:r w:rsidRPr="00DF47A5">
        <w:rPr>
          <w:rFonts w:ascii="Traditional Arabic" w:hAnsi="Traditional Arabic" w:cs="Traditional Arabic"/>
          <w:rtl/>
        </w:rPr>
        <w:t>منصور، محمد حسين (2007).نظرية الحق ،  دار الجامعة الجديدة، ص 438.</w:t>
      </w:r>
    </w:p>
  </w:footnote>
  <w:footnote w:id="190">
    <w:p w14:paraId="2E3F39BB"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Tisseron</w:t>
      </w:r>
      <w:proofErr w:type="spellEnd"/>
      <w:r w:rsidRPr="00DF47A5">
        <w:rPr>
          <w:rFonts w:ascii="Traditional Arabic" w:hAnsi="Traditional Arabic" w:cs="Traditional Arabic"/>
          <w:sz w:val="24"/>
          <w:szCs w:val="24"/>
        </w:rPr>
        <w:t xml:space="preserve">, Serge (2015), Le jour </w:t>
      </w:r>
      <w:proofErr w:type="spellStart"/>
      <w:r w:rsidRPr="00DF47A5">
        <w:rPr>
          <w:rFonts w:ascii="Traditional Arabic" w:hAnsi="Traditional Arabic" w:cs="Traditional Arabic"/>
          <w:sz w:val="24"/>
          <w:szCs w:val="24"/>
        </w:rPr>
        <w:t>où</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mon</w:t>
      </w:r>
      <w:proofErr w:type="spellEnd"/>
      <w:r w:rsidRPr="00DF47A5">
        <w:rPr>
          <w:rFonts w:ascii="Traditional Arabic" w:hAnsi="Traditional Arabic" w:cs="Traditional Arabic"/>
          <w:sz w:val="24"/>
          <w:szCs w:val="24"/>
        </w:rPr>
        <w:t xml:space="preserve"> robot </w:t>
      </w:r>
      <w:proofErr w:type="spellStart"/>
      <w:r w:rsidRPr="00DF47A5">
        <w:rPr>
          <w:rFonts w:ascii="Traditional Arabic" w:hAnsi="Traditional Arabic" w:cs="Traditional Arabic"/>
          <w:sz w:val="24"/>
          <w:szCs w:val="24"/>
        </w:rPr>
        <w:t>m’aimera</w:t>
      </w:r>
      <w:proofErr w:type="spellEnd"/>
      <w:r w:rsidRPr="00DF47A5">
        <w:rPr>
          <w:rFonts w:ascii="Traditional Arabic" w:hAnsi="Traditional Arabic" w:cs="Traditional Arabic"/>
          <w:sz w:val="24"/>
          <w:szCs w:val="24"/>
        </w:rPr>
        <w:t xml:space="preserve">: Vers </w:t>
      </w:r>
      <w:proofErr w:type="spellStart"/>
      <w:r w:rsidRPr="00DF47A5">
        <w:rPr>
          <w:rFonts w:ascii="Traditional Arabic" w:hAnsi="Traditional Arabic" w:cs="Traditional Arabic"/>
          <w:sz w:val="24"/>
          <w:szCs w:val="24"/>
        </w:rPr>
        <w:t>l’empathie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op. cit., p. 25</w:t>
      </w:r>
    </w:p>
  </w:footnote>
  <w:footnote w:id="191">
    <w:p w14:paraId="4A96832A"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الح</w:t>
      </w:r>
      <w:r w:rsidRPr="00DF47A5">
        <w:rPr>
          <w:rFonts w:ascii="Traditional Arabic" w:hAnsi="Traditional Arabic" w:cs="Traditional Arabic"/>
          <w:sz w:val="24"/>
          <w:szCs w:val="24"/>
          <w:rtl/>
          <w:lang w:bidi="ar-EG"/>
        </w:rPr>
        <w:t>جي</w:t>
      </w:r>
      <w:r w:rsidRPr="00DF47A5">
        <w:rPr>
          <w:rFonts w:ascii="Traditional Arabic" w:hAnsi="Traditional Arabic" w:cs="Traditional Arabic"/>
          <w:sz w:val="24"/>
          <w:szCs w:val="24"/>
          <w:rtl/>
        </w:rPr>
        <w:t>لي، محمد عمر (2024) مرجع سابق  ،ص 409</w:t>
      </w:r>
    </w:p>
  </w:footnote>
  <w:footnote w:id="192">
    <w:p w14:paraId="0B32BFFF"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Yavar </w:t>
      </w:r>
      <w:proofErr w:type="spellStart"/>
      <w:r w:rsidRPr="00DF47A5">
        <w:rPr>
          <w:rFonts w:ascii="Traditional Arabic" w:hAnsi="Traditional Arabic" w:cs="Traditional Arabic"/>
          <w:sz w:val="24"/>
          <w:szCs w:val="24"/>
        </w:rPr>
        <w:t>Bathae</w:t>
      </w:r>
      <w:proofErr w:type="spellEnd"/>
      <w:r w:rsidRPr="00DF47A5">
        <w:rPr>
          <w:rFonts w:ascii="Traditional Arabic" w:hAnsi="Traditional Arabic" w:cs="Traditional Arabic"/>
          <w:sz w:val="24"/>
          <w:szCs w:val="24"/>
        </w:rPr>
        <w:t>, The Artificial Intelligence Black Box and the Failure of Intent and Causation, op. cit., p. 922</w:t>
      </w:r>
    </w:p>
  </w:footnote>
  <w:footnote w:id="193">
    <w:p w14:paraId="34FC5608" w14:textId="77777777" w:rsidR="00991EEB" w:rsidRPr="00DF47A5" w:rsidRDefault="00991EEB" w:rsidP="00991EEB">
      <w:pPr>
        <w:spacing w:after="0" w:line="240" w:lineRule="auto"/>
        <w:rPr>
          <w:rFonts w:ascii="Traditional Arabic" w:hAnsi="Traditional Arabic" w:cs="Traditional Arabic"/>
        </w:rPr>
      </w:pPr>
      <w:r w:rsidRPr="00DF47A5">
        <w:rPr>
          <w:rStyle w:val="a4"/>
          <w:rFonts w:ascii="Traditional Arabic" w:hAnsi="Traditional Arabic" w:cs="Traditional Arabic"/>
        </w:rPr>
        <w:footnoteRef/>
      </w:r>
      <w:r w:rsidRPr="00DF47A5">
        <w:rPr>
          <w:rFonts w:ascii="Traditional Arabic" w:hAnsi="Traditional Arabic" w:cs="Traditional Arabic"/>
        </w:rPr>
        <w:t xml:space="preserve"> Pouget, Jonathan. (2019). La </w:t>
      </w:r>
      <w:proofErr w:type="spellStart"/>
      <w:r w:rsidRPr="00DF47A5">
        <w:rPr>
          <w:rFonts w:ascii="Traditional Arabic" w:hAnsi="Traditional Arabic" w:cs="Traditional Arabic"/>
        </w:rPr>
        <w:t>réparation</w:t>
      </w:r>
      <w:proofErr w:type="spellEnd"/>
      <w:r w:rsidRPr="00DF47A5">
        <w:rPr>
          <w:rFonts w:ascii="Traditional Arabic" w:hAnsi="Traditional Arabic" w:cs="Traditional Arabic"/>
        </w:rPr>
        <w:t xml:space="preserve"> du </w:t>
      </w:r>
      <w:proofErr w:type="spellStart"/>
      <w:r w:rsidRPr="00DF47A5">
        <w:rPr>
          <w:rFonts w:ascii="Traditional Arabic" w:hAnsi="Traditional Arabic" w:cs="Traditional Arabic"/>
        </w:rPr>
        <w:t>dommage</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impliquant</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une</w:t>
      </w:r>
      <w:proofErr w:type="spellEnd"/>
      <w:r w:rsidRPr="00DF47A5">
        <w:rPr>
          <w:rFonts w:ascii="Traditional Arabic" w:hAnsi="Traditional Arabic" w:cs="Traditional Arabic"/>
        </w:rPr>
        <w:t xml:space="preserve"> intelligence </w:t>
      </w:r>
      <w:proofErr w:type="spellStart"/>
      <w:r w:rsidRPr="00DF47A5">
        <w:rPr>
          <w:rFonts w:ascii="Traditional Arabic" w:hAnsi="Traditional Arabic" w:cs="Traditional Arabic"/>
        </w:rPr>
        <w:t>artificielle</w:t>
      </w:r>
      <w:proofErr w:type="spellEnd"/>
      <w:r w:rsidRPr="00DF47A5">
        <w:rPr>
          <w:rFonts w:ascii="Traditional Arabic" w:hAnsi="Traditional Arabic" w:cs="Traditional Arabic"/>
        </w:rPr>
        <w:t xml:space="preserve"> (</w:t>
      </w:r>
      <w:proofErr w:type="spellStart"/>
      <w:r w:rsidRPr="00DF47A5">
        <w:rPr>
          <w:rFonts w:ascii="Traditional Arabic" w:hAnsi="Traditional Arabic" w:cs="Traditional Arabic"/>
        </w:rPr>
        <w:t>Thèse</w:t>
      </w:r>
      <w:proofErr w:type="spellEnd"/>
      <w:r w:rsidRPr="00DF47A5">
        <w:rPr>
          <w:rFonts w:ascii="Traditional Arabic" w:hAnsi="Traditional Arabic" w:cs="Traditional Arabic"/>
        </w:rPr>
        <w:t xml:space="preserve"> de </w:t>
      </w:r>
      <w:proofErr w:type="spellStart"/>
      <w:r w:rsidRPr="00DF47A5">
        <w:rPr>
          <w:rFonts w:ascii="Traditional Arabic" w:hAnsi="Traditional Arabic" w:cs="Traditional Arabic"/>
        </w:rPr>
        <w:t>doctorat</w:t>
      </w:r>
      <w:proofErr w:type="spellEnd"/>
      <w:r w:rsidRPr="00DF47A5">
        <w:rPr>
          <w:rFonts w:ascii="Traditional Arabic" w:hAnsi="Traditional Arabic" w:cs="Traditional Arabic"/>
        </w:rPr>
        <w:t xml:space="preserve">, sous la direction de Marc Bruschi). Université </w:t>
      </w:r>
      <w:proofErr w:type="spellStart"/>
      <w:r w:rsidRPr="00DF47A5">
        <w:rPr>
          <w:rFonts w:ascii="Traditional Arabic" w:hAnsi="Traditional Arabic" w:cs="Traditional Arabic"/>
        </w:rPr>
        <w:t>d’Aix</w:t>
      </w:r>
      <w:proofErr w:type="spellEnd"/>
      <w:r w:rsidRPr="00DF47A5">
        <w:rPr>
          <w:rFonts w:ascii="Traditional Arabic" w:hAnsi="Traditional Arabic" w:cs="Traditional Arabic"/>
        </w:rPr>
        <w:t>-Marseille, p. 7</w:t>
      </w:r>
      <w:r w:rsidRPr="00DF47A5">
        <w:rPr>
          <w:rFonts w:ascii="Traditional Arabic" w:hAnsi="Traditional Arabic" w:cs="Traditional Arabic"/>
          <w:rtl/>
        </w:rPr>
        <w:t>.</w:t>
      </w:r>
    </w:p>
  </w:footnote>
  <w:footnote w:id="194">
    <w:p w14:paraId="4F7D33D1"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حسين، محمد عبد الظاهر (2001) مرجع سابق ، ص 115</w:t>
      </w:r>
    </w:p>
  </w:footnote>
  <w:footnote w:id="195">
    <w:p w14:paraId="1139BAA3" w14:textId="77777777" w:rsidR="00991EEB" w:rsidRPr="00DF47A5" w:rsidRDefault="00991EEB" w:rsidP="00991EEB">
      <w:pPr>
        <w:pStyle w:val="a3"/>
        <w:rPr>
          <w:rFonts w:ascii="Traditional Arabic" w:hAnsi="Traditional Arabic" w:cs="Traditional Arabic"/>
          <w:sz w:val="24"/>
          <w:szCs w:val="24"/>
          <w:rtl/>
          <w:lang w:bidi="ar-EG"/>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Franziska Boehm, Paulina Pesch, Institute Bitcoin: A First Legal Analysis – with reference to German and US-American law –, Telecommunication-, and Media Law, Leonardo-Campus 9 - 48149 P19</w:t>
      </w:r>
    </w:p>
  </w:footnote>
  <w:footnote w:id="196">
    <w:p w14:paraId="6EB9AD4B"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حقاص، صونية (2011)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 41</w:t>
      </w:r>
    </w:p>
  </w:footnote>
  <w:footnote w:id="197">
    <w:p w14:paraId="643A0B48"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 xml:space="preserve">عبد اللطيف، محمد محمد (2021 ) </w:t>
      </w:r>
      <w:r w:rsidRPr="00DF47A5">
        <w:rPr>
          <w:rFonts w:ascii="Traditional Arabic" w:hAnsi="Traditional Arabic" w:cs="Traditional Arabic"/>
          <w:b/>
          <w:bCs/>
          <w:sz w:val="24"/>
          <w:szCs w:val="24"/>
          <w:u w:val="single"/>
          <w:rtl/>
        </w:rPr>
        <w:t>مرجع سابق</w:t>
      </w:r>
      <w:r w:rsidRPr="00DF47A5">
        <w:rPr>
          <w:rFonts w:ascii="Traditional Arabic" w:hAnsi="Traditional Arabic" w:cs="Traditional Arabic"/>
          <w:sz w:val="24"/>
          <w:szCs w:val="24"/>
          <w:rtl/>
        </w:rPr>
        <w:t xml:space="preserve">  ، ص12</w:t>
      </w:r>
    </w:p>
  </w:footnote>
  <w:footnote w:id="198">
    <w:p w14:paraId="21CFBEDF"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Tisseron</w:t>
      </w:r>
      <w:proofErr w:type="spellEnd"/>
      <w:r w:rsidRPr="00DF47A5">
        <w:rPr>
          <w:rFonts w:ascii="Traditional Arabic" w:hAnsi="Traditional Arabic" w:cs="Traditional Arabic"/>
          <w:sz w:val="24"/>
          <w:szCs w:val="24"/>
        </w:rPr>
        <w:t xml:space="preserve">, Serge (2015), Le jour </w:t>
      </w:r>
      <w:proofErr w:type="spellStart"/>
      <w:r w:rsidRPr="00DF47A5">
        <w:rPr>
          <w:rFonts w:ascii="Traditional Arabic" w:hAnsi="Traditional Arabic" w:cs="Traditional Arabic"/>
          <w:sz w:val="24"/>
          <w:szCs w:val="24"/>
        </w:rPr>
        <w:t>où</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mon</w:t>
      </w:r>
      <w:proofErr w:type="spellEnd"/>
      <w:r w:rsidRPr="00DF47A5">
        <w:rPr>
          <w:rFonts w:ascii="Traditional Arabic" w:hAnsi="Traditional Arabic" w:cs="Traditional Arabic"/>
          <w:sz w:val="24"/>
          <w:szCs w:val="24"/>
        </w:rPr>
        <w:t xml:space="preserve"> robot </w:t>
      </w:r>
      <w:proofErr w:type="spellStart"/>
      <w:r w:rsidRPr="00DF47A5">
        <w:rPr>
          <w:rFonts w:ascii="Traditional Arabic" w:hAnsi="Traditional Arabic" w:cs="Traditional Arabic"/>
          <w:sz w:val="24"/>
          <w:szCs w:val="24"/>
        </w:rPr>
        <w:t>m’aimera</w:t>
      </w:r>
      <w:proofErr w:type="spellEnd"/>
      <w:r w:rsidRPr="00DF47A5">
        <w:rPr>
          <w:rFonts w:ascii="Traditional Arabic" w:hAnsi="Traditional Arabic" w:cs="Traditional Arabic"/>
          <w:sz w:val="24"/>
          <w:szCs w:val="24"/>
        </w:rPr>
        <w:t xml:space="preserve">: Vers </w:t>
      </w:r>
      <w:proofErr w:type="spellStart"/>
      <w:r w:rsidRPr="00DF47A5">
        <w:rPr>
          <w:rFonts w:ascii="Traditional Arabic" w:hAnsi="Traditional Arabic" w:cs="Traditional Arabic"/>
          <w:sz w:val="24"/>
          <w:szCs w:val="24"/>
        </w:rPr>
        <w:t>l’empathie</w:t>
      </w:r>
      <w:proofErr w:type="spellEnd"/>
      <w:r w:rsidRPr="00DF47A5">
        <w:rPr>
          <w:rFonts w:ascii="Traditional Arabic" w:hAnsi="Traditional Arabic" w:cs="Traditional Arabic"/>
          <w:sz w:val="24"/>
          <w:szCs w:val="24"/>
        </w:rPr>
        <w:t xml:space="preserve"> </w:t>
      </w:r>
      <w:proofErr w:type="spellStart"/>
      <w:r w:rsidRPr="00DF47A5">
        <w:rPr>
          <w:rFonts w:ascii="Traditional Arabic" w:hAnsi="Traditional Arabic" w:cs="Traditional Arabic"/>
          <w:sz w:val="24"/>
          <w:szCs w:val="24"/>
        </w:rPr>
        <w:t>artificielle</w:t>
      </w:r>
      <w:proofErr w:type="spellEnd"/>
      <w:r w:rsidRPr="00DF47A5">
        <w:rPr>
          <w:rFonts w:ascii="Traditional Arabic" w:hAnsi="Traditional Arabic" w:cs="Traditional Arabic"/>
          <w:sz w:val="24"/>
          <w:szCs w:val="24"/>
        </w:rPr>
        <w:t>, op. cit., p. 25</w:t>
      </w:r>
    </w:p>
  </w:footnote>
  <w:footnote w:id="199">
    <w:p w14:paraId="39DA3233" w14:textId="77777777" w:rsidR="00991EEB" w:rsidRPr="00DF47A5" w:rsidRDefault="00991EEB" w:rsidP="00991EEB">
      <w:pPr>
        <w:pStyle w:val="a3"/>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Simmler, Monika, &amp; </w:t>
      </w:r>
      <w:proofErr w:type="spellStart"/>
      <w:r w:rsidRPr="00DF47A5">
        <w:rPr>
          <w:rFonts w:ascii="Traditional Arabic" w:hAnsi="Traditional Arabic" w:cs="Traditional Arabic"/>
          <w:sz w:val="24"/>
          <w:szCs w:val="24"/>
        </w:rPr>
        <w:t>Markwalder</w:t>
      </w:r>
      <w:proofErr w:type="spellEnd"/>
      <w:r w:rsidRPr="00DF47A5">
        <w:rPr>
          <w:rFonts w:ascii="Traditional Arabic" w:hAnsi="Traditional Arabic" w:cs="Traditional Arabic"/>
          <w:sz w:val="24"/>
          <w:szCs w:val="24"/>
        </w:rPr>
        <w:t>, Nora (2019), Guilty Robots: Rethinking the Nature of Culpability and Legal Personhood in an Age of Artificial Intelligence, op. cit., p. 23</w:t>
      </w:r>
    </w:p>
  </w:footnote>
  <w:footnote w:id="200">
    <w:p w14:paraId="02C4A96B"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منصور، محمد حسين (2007).نظرية الحق ،  دار الجامعة الجديدة، ص 441</w:t>
      </w:r>
    </w:p>
  </w:footnote>
  <w:footnote w:id="201">
    <w:p w14:paraId="4DA42E02" w14:textId="77777777" w:rsidR="00991EEB" w:rsidRPr="00DF47A5" w:rsidRDefault="00991EEB" w:rsidP="00991EEB">
      <w:pPr>
        <w:pStyle w:val="a3"/>
        <w:bidi/>
        <w:rPr>
          <w:rFonts w:ascii="Traditional Arabic" w:hAnsi="Traditional Arabic" w:cs="Traditional Arabic"/>
          <w:sz w:val="24"/>
          <w:szCs w:val="24"/>
        </w:rPr>
      </w:pPr>
      <w:r w:rsidRPr="00DF47A5">
        <w:rPr>
          <w:rStyle w:val="a4"/>
          <w:rFonts w:ascii="Traditional Arabic" w:hAnsi="Traditional Arabic" w:cs="Traditional Arabic"/>
          <w:sz w:val="24"/>
          <w:szCs w:val="24"/>
        </w:rPr>
        <w:footnoteRef/>
      </w:r>
      <w:r w:rsidRPr="00DF47A5">
        <w:rPr>
          <w:rFonts w:ascii="Traditional Arabic" w:hAnsi="Traditional Arabic" w:cs="Traditional Arabic"/>
          <w:sz w:val="24"/>
          <w:szCs w:val="24"/>
        </w:rPr>
        <w:t xml:space="preserve"> </w:t>
      </w:r>
      <w:r w:rsidRPr="00DF47A5">
        <w:rPr>
          <w:rFonts w:ascii="Traditional Arabic" w:hAnsi="Traditional Arabic" w:cs="Traditional Arabic"/>
          <w:sz w:val="24"/>
          <w:szCs w:val="24"/>
          <w:rtl/>
        </w:rPr>
        <w:t>حقاص، صونية (2011) مرجع سابق ، ص 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563"/>
    <w:multiLevelType w:val="hybridMultilevel"/>
    <w:tmpl w:val="671286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3D07A2"/>
    <w:multiLevelType w:val="hybridMultilevel"/>
    <w:tmpl w:val="E89EA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85C2E"/>
    <w:multiLevelType w:val="hybridMultilevel"/>
    <w:tmpl w:val="3594C5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70080"/>
    <w:multiLevelType w:val="multilevel"/>
    <w:tmpl w:val="C072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719EE"/>
    <w:multiLevelType w:val="hybridMultilevel"/>
    <w:tmpl w:val="C5169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A113B2"/>
    <w:multiLevelType w:val="hybridMultilevel"/>
    <w:tmpl w:val="7A3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AD4F17"/>
    <w:multiLevelType w:val="hybridMultilevel"/>
    <w:tmpl w:val="F3E4F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D64600"/>
    <w:multiLevelType w:val="hybridMultilevel"/>
    <w:tmpl w:val="D2488B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A00747"/>
    <w:multiLevelType w:val="hybridMultilevel"/>
    <w:tmpl w:val="EC5C3DDC"/>
    <w:lvl w:ilvl="0" w:tplc="2878F470">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0E5049FF"/>
    <w:multiLevelType w:val="multilevel"/>
    <w:tmpl w:val="FB58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551BBD"/>
    <w:multiLevelType w:val="hybridMultilevel"/>
    <w:tmpl w:val="A0AA43C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843031F"/>
    <w:multiLevelType w:val="multilevel"/>
    <w:tmpl w:val="B770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824063"/>
    <w:multiLevelType w:val="hybridMultilevel"/>
    <w:tmpl w:val="BDCA8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3D09C9"/>
    <w:multiLevelType w:val="hybridMultilevel"/>
    <w:tmpl w:val="4DF08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603F22"/>
    <w:multiLevelType w:val="multilevel"/>
    <w:tmpl w:val="7E08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D1296A"/>
    <w:multiLevelType w:val="multilevel"/>
    <w:tmpl w:val="09D8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95368F"/>
    <w:multiLevelType w:val="hybridMultilevel"/>
    <w:tmpl w:val="B7F4B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230B1F"/>
    <w:multiLevelType w:val="hybridMultilevel"/>
    <w:tmpl w:val="CCC41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6550B6"/>
    <w:multiLevelType w:val="hybridMultilevel"/>
    <w:tmpl w:val="85EC51A0"/>
    <w:lvl w:ilvl="0" w:tplc="407054D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B633B09"/>
    <w:multiLevelType w:val="hybridMultilevel"/>
    <w:tmpl w:val="1CBCD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1C2C69"/>
    <w:multiLevelType w:val="multilevel"/>
    <w:tmpl w:val="C1DC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0D74B0"/>
    <w:multiLevelType w:val="hybridMultilevel"/>
    <w:tmpl w:val="8BD01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7B0A1B"/>
    <w:multiLevelType w:val="multilevel"/>
    <w:tmpl w:val="DBAE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AC121A"/>
    <w:multiLevelType w:val="hybridMultilevel"/>
    <w:tmpl w:val="3CA2A2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5215605"/>
    <w:multiLevelType w:val="hybridMultilevel"/>
    <w:tmpl w:val="F842BB92"/>
    <w:lvl w:ilvl="0" w:tplc="E14CDDA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64C11FA"/>
    <w:multiLevelType w:val="hybridMultilevel"/>
    <w:tmpl w:val="9BCC47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795B9E"/>
    <w:multiLevelType w:val="multilevel"/>
    <w:tmpl w:val="F14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364185"/>
    <w:multiLevelType w:val="hybridMultilevel"/>
    <w:tmpl w:val="7D3E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070AD2"/>
    <w:multiLevelType w:val="hybridMultilevel"/>
    <w:tmpl w:val="ADB81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E90BEC"/>
    <w:multiLevelType w:val="multilevel"/>
    <w:tmpl w:val="1396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8737FC"/>
    <w:multiLevelType w:val="hybridMultilevel"/>
    <w:tmpl w:val="FA3A2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0502CB"/>
    <w:multiLevelType w:val="multilevel"/>
    <w:tmpl w:val="B9F6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A03EB8"/>
    <w:multiLevelType w:val="hybridMultilevel"/>
    <w:tmpl w:val="1EB0A8CA"/>
    <w:lvl w:ilvl="0" w:tplc="5B369CAC">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B5224CA"/>
    <w:multiLevelType w:val="hybridMultilevel"/>
    <w:tmpl w:val="E36E8588"/>
    <w:lvl w:ilvl="0" w:tplc="0409000F">
      <w:start w:val="1"/>
      <w:numFmt w:val="decimal"/>
      <w:lvlText w:val="%1."/>
      <w:lvlJc w:val="left"/>
      <w:pPr>
        <w:ind w:left="360" w:hanging="360"/>
      </w:pPr>
    </w:lvl>
    <w:lvl w:ilvl="1" w:tplc="37FADD38">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E7615A4"/>
    <w:multiLevelType w:val="multilevel"/>
    <w:tmpl w:val="D170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DC0B0F"/>
    <w:multiLevelType w:val="hybridMultilevel"/>
    <w:tmpl w:val="01BA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E928B7"/>
    <w:multiLevelType w:val="hybridMultilevel"/>
    <w:tmpl w:val="3B7EA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9E184F"/>
    <w:multiLevelType w:val="multilevel"/>
    <w:tmpl w:val="98D0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3B41FB"/>
    <w:multiLevelType w:val="hybridMultilevel"/>
    <w:tmpl w:val="D73CC588"/>
    <w:lvl w:ilvl="0" w:tplc="79C885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106E57"/>
    <w:multiLevelType w:val="hybridMultilevel"/>
    <w:tmpl w:val="8A0C7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438445">
    <w:abstractNumId w:val="38"/>
  </w:num>
  <w:num w:numId="2" w16cid:durableId="2032998145">
    <w:abstractNumId w:val="28"/>
  </w:num>
  <w:num w:numId="3" w16cid:durableId="948661699">
    <w:abstractNumId w:val="7"/>
  </w:num>
  <w:num w:numId="4" w16cid:durableId="1242981260">
    <w:abstractNumId w:val="27"/>
  </w:num>
  <w:num w:numId="5" w16cid:durableId="34474371">
    <w:abstractNumId w:val="17"/>
  </w:num>
  <w:num w:numId="6" w16cid:durableId="1118178627">
    <w:abstractNumId w:val="30"/>
  </w:num>
  <w:num w:numId="7" w16cid:durableId="1572034797">
    <w:abstractNumId w:val="11"/>
  </w:num>
  <w:num w:numId="8" w16cid:durableId="940262161">
    <w:abstractNumId w:val="15"/>
  </w:num>
  <w:num w:numId="9" w16cid:durableId="482549895">
    <w:abstractNumId w:val="32"/>
  </w:num>
  <w:num w:numId="10" w16cid:durableId="1066297813">
    <w:abstractNumId w:val="37"/>
  </w:num>
  <w:num w:numId="11" w16cid:durableId="963198974">
    <w:abstractNumId w:val="26"/>
  </w:num>
  <w:num w:numId="12" w16cid:durableId="385034288">
    <w:abstractNumId w:val="36"/>
  </w:num>
  <w:num w:numId="13" w16cid:durableId="1594583553">
    <w:abstractNumId w:val="1"/>
  </w:num>
  <w:num w:numId="14" w16cid:durableId="53352858">
    <w:abstractNumId w:val="35"/>
  </w:num>
  <w:num w:numId="15" w16cid:durableId="1773016859">
    <w:abstractNumId w:val="12"/>
  </w:num>
  <w:num w:numId="16" w16cid:durableId="1342855186">
    <w:abstractNumId w:val="14"/>
  </w:num>
  <w:num w:numId="17" w16cid:durableId="564612754">
    <w:abstractNumId w:val="34"/>
  </w:num>
  <w:num w:numId="18" w16cid:durableId="1388912290">
    <w:abstractNumId w:val="21"/>
  </w:num>
  <w:num w:numId="19" w16cid:durableId="1450858880">
    <w:abstractNumId w:val="13"/>
  </w:num>
  <w:num w:numId="20" w16cid:durableId="700397192">
    <w:abstractNumId w:val="29"/>
  </w:num>
  <w:num w:numId="21" w16cid:durableId="382024421">
    <w:abstractNumId w:val="3"/>
  </w:num>
  <w:num w:numId="22" w16cid:durableId="1532232184">
    <w:abstractNumId w:val="4"/>
  </w:num>
  <w:num w:numId="23" w16cid:durableId="1603294311">
    <w:abstractNumId w:val="6"/>
  </w:num>
  <w:num w:numId="24" w16cid:durableId="2078743531">
    <w:abstractNumId w:val="22"/>
  </w:num>
  <w:num w:numId="25" w16cid:durableId="164445048">
    <w:abstractNumId w:val="31"/>
  </w:num>
  <w:num w:numId="26" w16cid:durableId="1053501636">
    <w:abstractNumId w:val="39"/>
  </w:num>
  <w:num w:numId="27" w16cid:durableId="1083381015">
    <w:abstractNumId w:val="5"/>
  </w:num>
  <w:num w:numId="28" w16cid:durableId="1960214225">
    <w:abstractNumId w:val="9"/>
  </w:num>
  <w:num w:numId="29" w16cid:durableId="2118598758">
    <w:abstractNumId w:val="20"/>
  </w:num>
  <w:num w:numId="30" w16cid:durableId="829322530">
    <w:abstractNumId w:val="16"/>
  </w:num>
  <w:num w:numId="31" w16cid:durableId="113525217">
    <w:abstractNumId w:val="19"/>
  </w:num>
  <w:num w:numId="32" w16cid:durableId="1235123532">
    <w:abstractNumId w:val="8"/>
  </w:num>
  <w:num w:numId="33" w16cid:durableId="433592008">
    <w:abstractNumId w:val="23"/>
  </w:num>
  <w:num w:numId="34" w16cid:durableId="1895238100">
    <w:abstractNumId w:val="25"/>
  </w:num>
  <w:num w:numId="35" w16cid:durableId="356201284">
    <w:abstractNumId w:val="0"/>
  </w:num>
  <w:num w:numId="36" w16cid:durableId="11347970">
    <w:abstractNumId w:val="2"/>
  </w:num>
  <w:num w:numId="37" w16cid:durableId="1158227866">
    <w:abstractNumId w:val="24"/>
  </w:num>
  <w:num w:numId="38" w16cid:durableId="576479018">
    <w:abstractNumId w:val="18"/>
  </w:num>
  <w:num w:numId="39" w16cid:durableId="1766656559">
    <w:abstractNumId w:val="33"/>
  </w:num>
  <w:num w:numId="40" w16cid:durableId="21083048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E93"/>
    <w:rsid w:val="00020435"/>
    <w:rsid w:val="0004770A"/>
    <w:rsid w:val="00054509"/>
    <w:rsid w:val="0008326B"/>
    <w:rsid w:val="00095002"/>
    <w:rsid w:val="000B1E9F"/>
    <w:rsid w:val="000C185A"/>
    <w:rsid w:val="000F35BE"/>
    <w:rsid w:val="00102FD3"/>
    <w:rsid w:val="001A3D1C"/>
    <w:rsid w:val="001C41A0"/>
    <w:rsid w:val="001C6501"/>
    <w:rsid w:val="002507A3"/>
    <w:rsid w:val="002571F6"/>
    <w:rsid w:val="00292EFF"/>
    <w:rsid w:val="002A2982"/>
    <w:rsid w:val="0030278D"/>
    <w:rsid w:val="00317F46"/>
    <w:rsid w:val="00325053"/>
    <w:rsid w:val="00381C9A"/>
    <w:rsid w:val="00390C64"/>
    <w:rsid w:val="003B1E23"/>
    <w:rsid w:val="003C31AE"/>
    <w:rsid w:val="0044625A"/>
    <w:rsid w:val="004636EC"/>
    <w:rsid w:val="00467A02"/>
    <w:rsid w:val="00473704"/>
    <w:rsid w:val="00502554"/>
    <w:rsid w:val="0051186D"/>
    <w:rsid w:val="005A124C"/>
    <w:rsid w:val="005D173D"/>
    <w:rsid w:val="005F094D"/>
    <w:rsid w:val="00620962"/>
    <w:rsid w:val="006316D9"/>
    <w:rsid w:val="006327E1"/>
    <w:rsid w:val="00632C5F"/>
    <w:rsid w:val="0064325E"/>
    <w:rsid w:val="00682833"/>
    <w:rsid w:val="006A105B"/>
    <w:rsid w:val="006B0A6B"/>
    <w:rsid w:val="006D5A87"/>
    <w:rsid w:val="00704859"/>
    <w:rsid w:val="00707D23"/>
    <w:rsid w:val="0071623A"/>
    <w:rsid w:val="00717ACF"/>
    <w:rsid w:val="007823DC"/>
    <w:rsid w:val="007A0F08"/>
    <w:rsid w:val="007D3005"/>
    <w:rsid w:val="007F3D0D"/>
    <w:rsid w:val="008169EA"/>
    <w:rsid w:val="008226BF"/>
    <w:rsid w:val="008532BE"/>
    <w:rsid w:val="00855EBB"/>
    <w:rsid w:val="008A1DE5"/>
    <w:rsid w:val="008F60BD"/>
    <w:rsid w:val="00905B71"/>
    <w:rsid w:val="0093226F"/>
    <w:rsid w:val="00971C35"/>
    <w:rsid w:val="00991EEB"/>
    <w:rsid w:val="009964D7"/>
    <w:rsid w:val="009E5665"/>
    <w:rsid w:val="009E5C0E"/>
    <w:rsid w:val="00A44CC1"/>
    <w:rsid w:val="00A55BBE"/>
    <w:rsid w:val="00A61A9B"/>
    <w:rsid w:val="00A64A50"/>
    <w:rsid w:val="00A70E93"/>
    <w:rsid w:val="00A80993"/>
    <w:rsid w:val="00AA7750"/>
    <w:rsid w:val="00AC7C00"/>
    <w:rsid w:val="00B64E0C"/>
    <w:rsid w:val="00C01764"/>
    <w:rsid w:val="00C32203"/>
    <w:rsid w:val="00C3224C"/>
    <w:rsid w:val="00C33934"/>
    <w:rsid w:val="00C879FD"/>
    <w:rsid w:val="00CC12CC"/>
    <w:rsid w:val="00D55023"/>
    <w:rsid w:val="00DA2961"/>
    <w:rsid w:val="00DB1C86"/>
    <w:rsid w:val="00E06B7D"/>
    <w:rsid w:val="00EA3441"/>
    <w:rsid w:val="00EC0FEC"/>
    <w:rsid w:val="00F23411"/>
    <w:rsid w:val="00F75C92"/>
    <w:rsid w:val="00FC77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DE979"/>
  <w15:chartTrackingRefBased/>
  <w15:docId w15:val="{AB02DD55-F294-4EDC-A767-D7BF5D6B3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325053"/>
    <w:pPr>
      <w:spacing w:after="0" w:line="240" w:lineRule="auto"/>
    </w:pPr>
    <w:rPr>
      <w:sz w:val="20"/>
      <w:szCs w:val="20"/>
    </w:rPr>
  </w:style>
  <w:style w:type="character" w:customStyle="1" w:styleId="Char">
    <w:name w:val="نص حاشية سفلية Char"/>
    <w:basedOn w:val="a0"/>
    <w:link w:val="a3"/>
    <w:uiPriority w:val="99"/>
    <w:rsid w:val="00325053"/>
    <w:rPr>
      <w:sz w:val="20"/>
      <w:szCs w:val="20"/>
    </w:rPr>
  </w:style>
  <w:style w:type="character" w:styleId="a4">
    <w:name w:val="footnote reference"/>
    <w:basedOn w:val="a0"/>
    <w:uiPriority w:val="99"/>
    <w:semiHidden/>
    <w:unhideWhenUsed/>
    <w:rsid w:val="00325053"/>
    <w:rPr>
      <w:vertAlign w:val="superscript"/>
    </w:rPr>
  </w:style>
  <w:style w:type="paragraph" w:styleId="a5">
    <w:name w:val="List Paragraph"/>
    <w:basedOn w:val="a"/>
    <w:uiPriority w:val="34"/>
    <w:qFormat/>
    <w:rsid w:val="00855EBB"/>
    <w:pPr>
      <w:ind w:left="720"/>
      <w:contextualSpacing/>
    </w:pPr>
  </w:style>
  <w:style w:type="paragraph" w:styleId="a6">
    <w:name w:val="header"/>
    <w:basedOn w:val="a"/>
    <w:link w:val="Char0"/>
    <w:uiPriority w:val="99"/>
    <w:unhideWhenUsed/>
    <w:rsid w:val="0030278D"/>
    <w:pPr>
      <w:tabs>
        <w:tab w:val="center" w:pos="4680"/>
        <w:tab w:val="right" w:pos="9360"/>
      </w:tabs>
      <w:spacing w:after="0" w:line="240" w:lineRule="auto"/>
    </w:pPr>
  </w:style>
  <w:style w:type="character" w:customStyle="1" w:styleId="Char0">
    <w:name w:val="رأس الصفحة Char"/>
    <w:basedOn w:val="a0"/>
    <w:link w:val="a6"/>
    <w:uiPriority w:val="99"/>
    <w:rsid w:val="0030278D"/>
  </w:style>
  <w:style w:type="paragraph" w:styleId="a7">
    <w:name w:val="footer"/>
    <w:basedOn w:val="a"/>
    <w:link w:val="Char1"/>
    <w:uiPriority w:val="99"/>
    <w:unhideWhenUsed/>
    <w:rsid w:val="0030278D"/>
    <w:pPr>
      <w:tabs>
        <w:tab w:val="center" w:pos="4680"/>
        <w:tab w:val="right" w:pos="9360"/>
      </w:tabs>
      <w:spacing w:after="0" w:line="240" w:lineRule="auto"/>
    </w:pPr>
  </w:style>
  <w:style w:type="character" w:customStyle="1" w:styleId="Char1">
    <w:name w:val="تذييل الصفحة Char"/>
    <w:basedOn w:val="a0"/>
    <w:link w:val="a7"/>
    <w:uiPriority w:val="99"/>
    <w:rsid w:val="00302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314738">
      <w:bodyDiv w:val="1"/>
      <w:marLeft w:val="0"/>
      <w:marRight w:val="0"/>
      <w:marTop w:val="0"/>
      <w:marBottom w:val="0"/>
      <w:divBdr>
        <w:top w:val="none" w:sz="0" w:space="0" w:color="auto"/>
        <w:left w:val="none" w:sz="0" w:space="0" w:color="auto"/>
        <w:bottom w:val="none" w:sz="0" w:space="0" w:color="auto"/>
        <w:right w:val="none" w:sz="0" w:space="0" w:color="auto"/>
      </w:divBdr>
    </w:div>
    <w:div w:id="379744722">
      <w:bodyDiv w:val="1"/>
      <w:marLeft w:val="0"/>
      <w:marRight w:val="0"/>
      <w:marTop w:val="0"/>
      <w:marBottom w:val="0"/>
      <w:divBdr>
        <w:top w:val="none" w:sz="0" w:space="0" w:color="auto"/>
        <w:left w:val="none" w:sz="0" w:space="0" w:color="auto"/>
        <w:bottom w:val="none" w:sz="0" w:space="0" w:color="auto"/>
        <w:right w:val="none" w:sz="0" w:space="0" w:color="auto"/>
      </w:divBdr>
    </w:div>
    <w:div w:id="614751592">
      <w:bodyDiv w:val="1"/>
      <w:marLeft w:val="0"/>
      <w:marRight w:val="0"/>
      <w:marTop w:val="0"/>
      <w:marBottom w:val="0"/>
      <w:divBdr>
        <w:top w:val="none" w:sz="0" w:space="0" w:color="auto"/>
        <w:left w:val="none" w:sz="0" w:space="0" w:color="auto"/>
        <w:bottom w:val="none" w:sz="0" w:space="0" w:color="auto"/>
        <w:right w:val="none" w:sz="0" w:space="0" w:color="auto"/>
      </w:divBdr>
    </w:div>
    <w:div w:id="668364653">
      <w:bodyDiv w:val="1"/>
      <w:marLeft w:val="0"/>
      <w:marRight w:val="0"/>
      <w:marTop w:val="0"/>
      <w:marBottom w:val="0"/>
      <w:divBdr>
        <w:top w:val="none" w:sz="0" w:space="0" w:color="auto"/>
        <w:left w:val="none" w:sz="0" w:space="0" w:color="auto"/>
        <w:bottom w:val="none" w:sz="0" w:space="0" w:color="auto"/>
        <w:right w:val="none" w:sz="0" w:space="0" w:color="auto"/>
      </w:divBdr>
    </w:div>
    <w:div w:id="965430162">
      <w:bodyDiv w:val="1"/>
      <w:marLeft w:val="0"/>
      <w:marRight w:val="0"/>
      <w:marTop w:val="0"/>
      <w:marBottom w:val="0"/>
      <w:divBdr>
        <w:top w:val="none" w:sz="0" w:space="0" w:color="auto"/>
        <w:left w:val="none" w:sz="0" w:space="0" w:color="auto"/>
        <w:bottom w:val="none" w:sz="0" w:space="0" w:color="auto"/>
        <w:right w:val="none" w:sz="0" w:space="0" w:color="auto"/>
      </w:divBdr>
    </w:div>
    <w:div w:id="1777141393">
      <w:bodyDiv w:val="1"/>
      <w:marLeft w:val="0"/>
      <w:marRight w:val="0"/>
      <w:marTop w:val="0"/>
      <w:marBottom w:val="0"/>
      <w:divBdr>
        <w:top w:val="none" w:sz="0" w:space="0" w:color="auto"/>
        <w:left w:val="none" w:sz="0" w:space="0" w:color="auto"/>
        <w:bottom w:val="none" w:sz="0" w:space="0" w:color="auto"/>
        <w:right w:val="none" w:sz="0" w:space="0" w:color="auto"/>
      </w:divBdr>
    </w:div>
    <w:div w:id="214010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E7711-E5FD-423E-85DD-063C58545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114</Pages>
  <Words>19457</Words>
  <Characters>110907</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Badr Abdullah</cp:lastModifiedBy>
  <cp:revision>2</cp:revision>
  <cp:lastPrinted>2025-11-16T12:52:00Z</cp:lastPrinted>
  <dcterms:created xsi:type="dcterms:W3CDTF">2026-03-04T20:14:00Z</dcterms:created>
  <dcterms:modified xsi:type="dcterms:W3CDTF">2026-03-04T21:19:00Z</dcterms:modified>
</cp:coreProperties>
</file>