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992E00" w14:textId="77777777" w:rsidR="00E43232" w:rsidRPr="00E43232" w:rsidRDefault="00E43232" w:rsidP="00E43232">
      <w:pPr>
        <w:spacing w:line="259" w:lineRule="auto"/>
        <w:jc w:val="center"/>
        <w:rPr>
          <w:rFonts w:ascii="Sakkal Majalla" w:eastAsiaTheme="minorHAnsi" w:hAnsi="Sakkal Majalla" w:cs="Sakkal Majalla"/>
          <w:b/>
          <w:bCs/>
          <w:color w:val="0070C0"/>
          <w:sz w:val="36"/>
          <w:szCs w:val="36"/>
          <w:u w:val="single"/>
          <w:rtl/>
        </w:rPr>
      </w:pPr>
      <w:r w:rsidRPr="00E43232">
        <w:rPr>
          <w:rFonts w:ascii="Sakkal Majalla" w:eastAsiaTheme="minorHAnsi" w:hAnsi="Sakkal Majalla" w:cs="Sakkal Majalla" w:hint="cs"/>
          <w:b/>
          <w:bCs/>
          <w:color w:val="0070C0"/>
          <w:sz w:val="36"/>
          <w:szCs w:val="36"/>
          <w:u w:val="single"/>
          <w:rtl/>
        </w:rPr>
        <w:t xml:space="preserve">الإطار النظري </w:t>
      </w:r>
    </w:p>
    <w:p w14:paraId="0C866C67" w14:textId="77777777" w:rsidR="00E43232" w:rsidRPr="00E43232" w:rsidRDefault="00E43232" w:rsidP="00E43232">
      <w:p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يمثل الإطار النظري الأساس العلمي الذي تستند إليه الدراسة في تحليل العلاقة بين الحوكمة والرقابة الداخلية ودورها في إدارة المخاطر. ويستعرض هذا الإطار المفاهيم والمبادئ والنماذج العلمية المرتبطة بموضوع البحث، بما يساعد على بناء تفسير واضح للعلاقات بين المتغيرات.</w:t>
      </w:r>
    </w:p>
    <w:p w14:paraId="1BF959F3" w14:textId="77777777" w:rsidR="00E43232" w:rsidRPr="00E43232" w:rsidRDefault="00E43232" w:rsidP="00E43232">
      <w:pPr>
        <w:bidi w:val="0"/>
        <w:spacing w:before="100" w:beforeAutospacing="1" w:after="100" w:afterAutospacing="1" w:line="240" w:lineRule="auto"/>
        <w:jc w:val="right"/>
        <w:outlineLvl w:val="0"/>
        <w:rPr>
          <w:rFonts w:ascii="Times New Roman" w:eastAsia="Times New Roman" w:hAnsi="Times New Roman" w:cs="Times New Roman"/>
          <w:kern w:val="36"/>
          <w:sz w:val="28"/>
          <w:szCs w:val="28"/>
          <w14:ligatures w14:val="none"/>
        </w:rPr>
      </w:pPr>
      <w:r w:rsidRPr="00E43232">
        <w:rPr>
          <w:rFonts w:eastAsiaTheme="minorHAnsi"/>
          <w:noProof/>
          <w:sz w:val="22"/>
          <w:szCs w:val="22"/>
          <w:rtl/>
        </w:rPr>
        <w:drawing>
          <wp:anchor distT="0" distB="0" distL="114300" distR="114300" simplePos="0" relativeHeight="251660288" behindDoc="1" locked="0" layoutInCell="1" allowOverlap="1" wp14:anchorId="3FDE31D7" wp14:editId="4A2AD26E">
            <wp:simplePos x="0" y="0"/>
            <wp:positionH relativeFrom="column">
              <wp:posOffset>-295275</wp:posOffset>
            </wp:positionH>
            <wp:positionV relativeFrom="paragraph">
              <wp:posOffset>8255</wp:posOffset>
            </wp:positionV>
            <wp:extent cx="5276850" cy="323850"/>
            <wp:effectExtent l="0" t="0" r="0" b="0"/>
            <wp:wrapNone/>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2768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3232">
        <w:rPr>
          <w:rFonts w:ascii="Times New Roman" w:eastAsia="Times New Roman" w:hAnsi="Times New Roman" w:cs="Times New Roman"/>
          <w:kern w:val="36"/>
          <w:sz w:val="28"/>
          <w:szCs w:val="28"/>
          <w:rtl/>
          <w14:ligatures w14:val="none"/>
        </w:rPr>
        <w:t>أ</w:t>
      </w:r>
      <w:r w:rsidRPr="00E43232">
        <w:rPr>
          <w:rFonts w:ascii="Times New Roman" w:eastAsia="Times New Roman" w:hAnsi="Times New Roman" w:cs="Times New Roman"/>
          <w:b/>
          <w:bCs/>
          <w:kern w:val="36"/>
          <w:sz w:val="32"/>
          <w:szCs w:val="32"/>
          <w:rtl/>
          <w14:ligatures w14:val="none"/>
        </w:rPr>
        <w:t>ولًا: الحوكمة</w:t>
      </w:r>
      <w:r w:rsidRPr="00E43232">
        <w:rPr>
          <w:rFonts w:ascii="Times New Roman" w:eastAsia="Times New Roman" w:hAnsi="Times New Roman" w:cs="Times New Roman" w:hint="cs"/>
          <w:b/>
          <w:bCs/>
          <w:kern w:val="36"/>
          <w:sz w:val="32"/>
          <w:szCs w:val="32"/>
          <w:rtl/>
          <w14:ligatures w14:val="none"/>
        </w:rPr>
        <w:t xml:space="preserve"> (                                )</w:t>
      </w:r>
      <w:r w:rsidRPr="00E43232">
        <w:rPr>
          <w:rFonts w:ascii="Times New Roman" w:eastAsia="Times New Roman" w:hAnsi="Times New Roman" w:cs="Times New Roman" w:hint="cs"/>
          <w:b/>
          <w:bCs/>
          <w:kern w:val="36"/>
          <w:sz w:val="28"/>
          <w:szCs w:val="28"/>
          <w:rtl/>
          <w14:ligatures w14:val="none"/>
        </w:rPr>
        <w:t>:</w:t>
      </w:r>
    </w:p>
    <w:p w14:paraId="47FC9166" w14:textId="77777777" w:rsidR="00E43232" w:rsidRPr="00E43232" w:rsidRDefault="00E43232" w:rsidP="00E43232">
      <w:pPr>
        <w:bidi w:val="0"/>
        <w:spacing w:before="100" w:beforeAutospacing="1" w:after="100" w:afterAutospacing="1" w:line="240" w:lineRule="auto"/>
        <w:jc w:val="right"/>
        <w:outlineLvl w:val="1"/>
        <w:rPr>
          <w:rFonts w:ascii="Times New Roman" w:eastAsia="Times New Roman" w:hAnsi="Times New Roman" w:cs="Times New Roman"/>
          <w:kern w:val="0"/>
          <w:sz w:val="28"/>
          <w:szCs w:val="28"/>
          <w14:ligatures w14:val="none"/>
        </w:rPr>
      </w:pPr>
      <w:r w:rsidRPr="00E43232">
        <w:rPr>
          <w:rFonts w:ascii="Times New Roman" w:eastAsia="Times New Roman" w:hAnsi="Times New Roman" w:cs="Times New Roman"/>
          <w:kern w:val="0"/>
          <w:sz w:val="28"/>
          <w:szCs w:val="28"/>
          <w:rtl/>
          <w14:ligatures w14:val="none"/>
        </w:rPr>
        <w:t>1. مفهوم الحوكمة</w:t>
      </w:r>
    </w:p>
    <w:p w14:paraId="3F62D2E4" w14:textId="77777777" w:rsidR="00E43232" w:rsidRPr="00E43232" w:rsidRDefault="00E43232" w:rsidP="00E43232">
      <w:p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تُعرّف الحوكمة بأنها مجموعة من القواعد والإجراءات والهياكل التنظيمية التي تهدف إلى تنظيم العلاقات بين الإدارة وأصحاب المصلحة، وتعزيز الشفافية والمساءلة، وضمان حماية الموارد، وتحقيق الاستدامة المؤسسية. وتعمل الحوكمة كمظلة تحكم طريقة اتخاذ القرارات، وتحدد معايير السلوك الإداري وتوزيع الصلاحيات والمسؤوليات داخل المؤسسة.</w:t>
      </w:r>
    </w:p>
    <w:p w14:paraId="4D4150B1" w14:textId="77777777" w:rsidR="00E43232" w:rsidRPr="00E43232" w:rsidRDefault="00E43232" w:rsidP="00E43232">
      <w:pPr>
        <w:bidi w:val="0"/>
        <w:spacing w:before="100" w:beforeAutospacing="1" w:after="100" w:afterAutospacing="1" w:line="240" w:lineRule="auto"/>
        <w:jc w:val="right"/>
        <w:outlineLvl w:val="1"/>
        <w:rPr>
          <w:rFonts w:ascii="Times New Roman" w:eastAsia="Times New Roman" w:hAnsi="Times New Roman" w:cs="Times New Roman"/>
          <w:kern w:val="0"/>
          <w:sz w:val="28"/>
          <w:szCs w:val="28"/>
          <w14:ligatures w14:val="none"/>
        </w:rPr>
      </w:pPr>
      <w:r w:rsidRPr="00E43232">
        <w:rPr>
          <w:rFonts w:ascii="Times New Roman" w:eastAsia="Times New Roman" w:hAnsi="Times New Roman" w:cs="Times New Roman"/>
          <w:kern w:val="0"/>
          <w:sz w:val="28"/>
          <w:szCs w:val="28"/>
          <w:rtl/>
          <w14:ligatures w14:val="none"/>
        </w:rPr>
        <w:t>2. أهداف الحوكمة</w:t>
      </w:r>
    </w:p>
    <w:p w14:paraId="5DC1644D" w14:textId="77777777" w:rsidR="00E43232" w:rsidRPr="00E43232" w:rsidRDefault="00E43232" w:rsidP="00E43232">
      <w:p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تهدف الحوكمة إلى تحقيق مجموعة من الأهداف أبرزها: تحسين جودة القرارات، تعزيز الشفافية في العمليات المالية والإدارية، حماية حقوق المساهمين وأصحاب المصلحة، مكافحة الفساد الإداري، ضمان الالتزام بالقوانين واللوائح، تقليل تضارب المصالح، وتحسين الأداء المؤسسي العام.</w:t>
      </w:r>
    </w:p>
    <w:p w14:paraId="5F31BB2F" w14:textId="77777777" w:rsidR="00E43232" w:rsidRPr="00E43232" w:rsidRDefault="00E43232" w:rsidP="00E43232">
      <w:pPr>
        <w:bidi w:val="0"/>
        <w:spacing w:before="100" w:beforeAutospacing="1" w:after="100" w:afterAutospacing="1" w:line="240" w:lineRule="auto"/>
        <w:jc w:val="right"/>
        <w:outlineLvl w:val="1"/>
        <w:rPr>
          <w:rFonts w:ascii="Times New Roman" w:eastAsia="Times New Roman" w:hAnsi="Times New Roman" w:cs="Times New Roman"/>
          <w:kern w:val="0"/>
          <w:sz w:val="28"/>
          <w:szCs w:val="28"/>
          <w14:ligatures w14:val="none"/>
        </w:rPr>
      </w:pPr>
      <w:r w:rsidRPr="00E43232">
        <w:rPr>
          <w:rFonts w:ascii="Times New Roman" w:eastAsia="Times New Roman" w:hAnsi="Times New Roman" w:cs="Times New Roman"/>
          <w:kern w:val="0"/>
          <w:sz w:val="28"/>
          <w:szCs w:val="28"/>
          <w:rtl/>
          <w14:ligatures w14:val="none"/>
        </w:rPr>
        <w:t>3. مبادئ الحوكمة الأساسية</w:t>
      </w:r>
    </w:p>
    <w:p w14:paraId="11E6D26B" w14:textId="77777777" w:rsidR="00E43232" w:rsidRPr="00E43232" w:rsidRDefault="00E43232" w:rsidP="00E43232">
      <w:pPr>
        <w:spacing w:before="100" w:beforeAutospacing="1" w:after="100" w:afterAutospacing="1" w:line="240" w:lineRule="auto"/>
        <w:rPr>
          <w:rFonts w:ascii="Times New Roman" w:hAnsi="Times New Roman" w:cs="Times New Roman"/>
          <w:kern w:val="0"/>
          <w:sz w:val="28"/>
          <w:szCs w:val="28"/>
          <w14:ligatures w14:val="none"/>
        </w:rPr>
      </w:pPr>
      <w:r w:rsidRPr="00E43232">
        <w:rPr>
          <w:rFonts w:ascii="Times New Roman" w:hAnsi="Times New Roman" w:cs="Times New Roman"/>
          <w:kern w:val="0"/>
          <w:sz w:val="28"/>
          <w:szCs w:val="28"/>
          <w:rtl/>
          <w14:ligatures w14:val="none"/>
        </w:rPr>
        <w:t>تستند الحوكمة المؤسسية إلى عدد من المبادئ أهمها:</w:t>
      </w:r>
    </w:p>
    <w:p w14:paraId="5F230C44" w14:textId="77777777" w:rsidR="00E43232" w:rsidRPr="00E43232" w:rsidRDefault="00E43232" w:rsidP="00E43232">
      <w:pPr>
        <w:numPr>
          <w:ilvl w:val="0"/>
          <w:numId w:val="1"/>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الشفافية: توفير المعلومات بوضوح وفي الوقت المناسب.</w:t>
      </w:r>
    </w:p>
    <w:p w14:paraId="5E9A6BC9" w14:textId="77777777" w:rsidR="00E43232" w:rsidRPr="00E43232" w:rsidRDefault="00E43232" w:rsidP="00E43232">
      <w:pPr>
        <w:numPr>
          <w:ilvl w:val="0"/>
          <w:numId w:val="1"/>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المساءلة: تحديد المسؤوليات بوضوح ومحاسبة المقصرين.</w:t>
      </w:r>
    </w:p>
    <w:p w14:paraId="6525EB1D" w14:textId="77777777" w:rsidR="00E43232" w:rsidRPr="00E43232" w:rsidRDefault="00E43232" w:rsidP="00E43232">
      <w:pPr>
        <w:numPr>
          <w:ilvl w:val="0"/>
          <w:numId w:val="1"/>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العدالة: معاملة جميع أصحاب المصلحة دون تمييز.</w:t>
      </w:r>
    </w:p>
    <w:p w14:paraId="7AB9A35B" w14:textId="77777777" w:rsidR="00E43232" w:rsidRPr="00E43232" w:rsidRDefault="00E43232" w:rsidP="00E43232">
      <w:pPr>
        <w:numPr>
          <w:ilvl w:val="0"/>
          <w:numId w:val="1"/>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الإفصاح: توثيق البيانات المالية والإدارية ونشرها بدقة.</w:t>
      </w:r>
    </w:p>
    <w:p w14:paraId="3EBCC282" w14:textId="77777777" w:rsidR="00E43232" w:rsidRPr="00E43232" w:rsidRDefault="00E43232" w:rsidP="00E43232">
      <w:pPr>
        <w:numPr>
          <w:ilvl w:val="0"/>
          <w:numId w:val="1"/>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الاستقلالية: ضمان استقلال لجان التدقيق والمراجعة.</w:t>
      </w:r>
    </w:p>
    <w:p w14:paraId="6A7ED701" w14:textId="77777777" w:rsidR="00E43232" w:rsidRPr="00E43232" w:rsidRDefault="00E43232" w:rsidP="00E43232">
      <w:pPr>
        <w:numPr>
          <w:ilvl w:val="0"/>
          <w:numId w:val="1"/>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الكفاءة: تحقيق استخدام أمثل للموارد وتحسين الأداء.</w:t>
      </w:r>
    </w:p>
    <w:p w14:paraId="1F0B4324" w14:textId="77777777" w:rsidR="00E43232" w:rsidRPr="00E43232" w:rsidRDefault="00E43232" w:rsidP="00E43232">
      <w:pPr>
        <w:bidi w:val="0"/>
        <w:spacing w:before="100" w:beforeAutospacing="1" w:after="100" w:afterAutospacing="1" w:line="240" w:lineRule="auto"/>
        <w:jc w:val="right"/>
        <w:outlineLvl w:val="1"/>
        <w:rPr>
          <w:rFonts w:ascii="Times New Roman" w:eastAsia="Times New Roman" w:hAnsi="Times New Roman" w:cs="Times New Roman"/>
          <w:kern w:val="0"/>
          <w:sz w:val="28"/>
          <w:szCs w:val="28"/>
          <w14:ligatures w14:val="none"/>
        </w:rPr>
      </w:pPr>
      <w:r w:rsidRPr="00E43232">
        <w:rPr>
          <w:rFonts w:ascii="Times New Roman" w:eastAsia="Times New Roman" w:hAnsi="Times New Roman" w:cs="Times New Roman"/>
          <w:kern w:val="0"/>
          <w:sz w:val="28"/>
          <w:szCs w:val="28"/>
          <w:rtl/>
          <w14:ligatures w14:val="none"/>
        </w:rPr>
        <w:t>4. نماذج الحوكمة المؤسسية</w:t>
      </w:r>
    </w:p>
    <w:p w14:paraId="0E1B86A3" w14:textId="77777777" w:rsidR="00E43232" w:rsidRPr="00E43232" w:rsidRDefault="00E43232" w:rsidP="00E43232">
      <w:pPr>
        <w:spacing w:before="100" w:beforeAutospacing="1" w:after="100" w:afterAutospacing="1" w:line="240" w:lineRule="auto"/>
        <w:rPr>
          <w:rFonts w:ascii="Times New Roman" w:hAnsi="Times New Roman" w:cs="Times New Roman"/>
          <w:kern w:val="0"/>
          <w:sz w:val="28"/>
          <w:szCs w:val="28"/>
          <w14:ligatures w14:val="none"/>
        </w:rPr>
      </w:pPr>
      <w:r w:rsidRPr="00E43232">
        <w:rPr>
          <w:rFonts w:ascii="Times New Roman" w:hAnsi="Times New Roman" w:cs="Times New Roman"/>
          <w:kern w:val="0"/>
          <w:sz w:val="28"/>
          <w:szCs w:val="28"/>
          <w:rtl/>
          <w14:ligatures w14:val="none"/>
        </w:rPr>
        <w:t>من أبرز النماذج المعروفة عالميًا:</w:t>
      </w:r>
    </w:p>
    <w:p w14:paraId="5108C46D" w14:textId="77777777" w:rsidR="00E43232" w:rsidRPr="00E43232" w:rsidRDefault="00E43232" w:rsidP="00E43232">
      <w:pPr>
        <w:numPr>
          <w:ilvl w:val="0"/>
          <w:numId w:val="2"/>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نموذج الوكالة (</w:t>
      </w:r>
      <w:r w:rsidRPr="00E43232">
        <w:rPr>
          <w:rFonts w:ascii="Times New Roman" w:hAnsi="Times New Roman" w:cs="Times New Roman"/>
          <w:kern w:val="0"/>
          <w:sz w:val="28"/>
          <w:szCs w:val="28"/>
          <w14:ligatures w14:val="none"/>
        </w:rPr>
        <w:t>Agency Theory</w:t>
      </w:r>
      <w:r w:rsidRPr="00E43232">
        <w:rPr>
          <w:rFonts w:ascii="Times New Roman" w:hAnsi="Times New Roman" w:cs="Times New Roman"/>
          <w:kern w:val="0"/>
          <w:sz w:val="28"/>
          <w:szCs w:val="28"/>
          <w:rtl/>
          <w14:ligatures w14:val="none"/>
        </w:rPr>
        <w:t>): يؤكد على تقليل تضارب المصالح بين الإدارة والمالكين.</w:t>
      </w:r>
    </w:p>
    <w:p w14:paraId="58645FB0" w14:textId="77777777" w:rsidR="00E43232" w:rsidRPr="00E43232" w:rsidRDefault="00E43232" w:rsidP="00E43232">
      <w:pPr>
        <w:numPr>
          <w:ilvl w:val="0"/>
          <w:numId w:val="2"/>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نموذج أصحاب المصلحة (</w:t>
      </w:r>
      <w:r w:rsidRPr="00E43232">
        <w:rPr>
          <w:rFonts w:ascii="Times New Roman" w:hAnsi="Times New Roman" w:cs="Times New Roman"/>
          <w:kern w:val="0"/>
          <w:sz w:val="28"/>
          <w:szCs w:val="28"/>
          <w14:ligatures w14:val="none"/>
        </w:rPr>
        <w:t>Stakeholder Theory</w:t>
      </w:r>
      <w:r w:rsidRPr="00E43232">
        <w:rPr>
          <w:rFonts w:ascii="Times New Roman" w:hAnsi="Times New Roman" w:cs="Times New Roman"/>
          <w:kern w:val="0"/>
          <w:sz w:val="28"/>
          <w:szCs w:val="28"/>
          <w:rtl/>
          <w14:ligatures w14:val="none"/>
        </w:rPr>
        <w:t>): يركز على تلبية مصالح مختلف الأطراف المرتبطة بالمؤسسة.</w:t>
      </w:r>
    </w:p>
    <w:p w14:paraId="1DB7D7D4" w14:textId="77777777" w:rsidR="00E43232" w:rsidRPr="00E43232" w:rsidRDefault="00E43232" w:rsidP="00E43232">
      <w:pPr>
        <w:numPr>
          <w:ilvl w:val="0"/>
          <w:numId w:val="2"/>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نموذج حوكمة الشركات الألماني والياباني: يعتمد على مشاركة واسعة للمساهمين والجهات الرقابية.</w:t>
      </w:r>
    </w:p>
    <w:p w14:paraId="30DFA148" w14:textId="77777777" w:rsidR="00E43232" w:rsidRPr="00E43232" w:rsidRDefault="00E43232" w:rsidP="00E43232">
      <w:pPr>
        <w:bidi w:val="0"/>
        <w:spacing w:before="100" w:beforeAutospacing="1" w:after="100" w:afterAutospacing="1" w:line="240" w:lineRule="auto"/>
        <w:jc w:val="right"/>
        <w:outlineLvl w:val="1"/>
        <w:rPr>
          <w:rFonts w:ascii="Times New Roman" w:eastAsia="Times New Roman" w:hAnsi="Times New Roman" w:cs="Times New Roman"/>
          <w:kern w:val="0"/>
          <w:sz w:val="28"/>
          <w:szCs w:val="28"/>
          <w14:ligatures w14:val="none"/>
        </w:rPr>
      </w:pPr>
      <w:r w:rsidRPr="00E43232">
        <w:rPr>
          <w:rFonts w:ascii="Times New Roman" w:eastAsia="Times New Roman" w:hAnsi="Times New Roman" w:cs="Times New Roman"/>
          <w:kern w:val="0"/>
          <w:sz w:val="28"/>
          <w:szCs w:val="28"/>
          <w:rtl/>
          <w14:ligatures w14:val="none"/>
        </w:rPr>
        <w:t>5. الحوكمة كعامل داعم للرقابة الداخلية</w:t>
      </w:r>
    </w:p>
    <w:p w14:paraId="0E3B02A7" w14:textId="77777777" w:rsidR="00E43232" w:rsidRPr="00E43232" w:rsidRDefault="00E43232" w:rsidP="00E43232">
      <w:pPr>
        <w:spacing w:before="100" w:beforeAutospacing="1" w:after="100" w:afterAutospacing="1" w:line="240" w:lineRule="auto"/>
        <w:rPr>
          <w:rFonts w:ascii="Times New Roman" w:hAnsi="Times New Roman" w:cs="Times New Roman"/>
          <w:kern w:val="0"/>
          <w:sz w:val="28"/>
          <w:szCs w:val="28"/>
          <w14:ligatures w14:val="none"/>
        </w:rPr>
      </w:pPr>
      <w:r w:rsidRPr="00E43232">
        <w:rPr>
          <w:rFonts w:ascii="Times New Roman" w:hAnsi="Times New Roman" w:cs="Times New Roman"/>
          <w:kern w:val="0"/>
          <w:sz w:val="28"/>
          <w:szCs w:val="28"/>
          <w:rtl/>
          <w14:ligatures w14:val="none"/>
        </w:rPr>
        <w:t>تؤثر الحوكمة مباشرةً في جودة الرقابة الداخلية من خلال:</w:t>
      </w:r>
    </w:p>
    <w:p w14:paraId="08E17CB0" w14:textId="77777777" w:rsidR="00E43232" w:rsidRPr="00E43232" w:rsidRDefault="00E43232" w:rsidP="00E43232">
      <w:pPr>
        <w:numPr>
          <w:ilvl w:val="0"/>
          <w:numId w:val="3"/>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تقوية دور لجان المراجعة.</w:t>
      </w:r>
    </w:p>
    <w:p w14:paraId="4D79325F" w14:textId="77777777" w:rsidR="00E43232" w:rsidRPr="00E43232" w:rsidRDefault="00E43232" w:rsidP="00E43232">
      <w:pPr>
        <w:numPr>
          <w:ilvl w:val="0"/>
          <w:numId w:val="3"/>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تحديد الصلاحيات والمسؤوليات.</w:t>
      </w:r>
    </w:p>
    <w:p w14:paraId="3D8E3676" w14:textId="77777777" w:rsidR="00E43232" w:rsidRPr="00E43232" w:rsidRDefault="00E43232" w:rsidP="00E43232">
      <w:pPr>
        <w:numPr>
          <w:ilvl w:val="0"/>
          <w:numId w:val="3"/>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تعزيز الشفافية والإفصاح.</w:t>
      </w:r>
    </w:p>
    <w:p w14:paraId="13CC1F71" w14:textId="77777777" w:rsidR="00E43232" w:rsidRPr="00E43232" w:rsidRDefault="00E43232" w:rsidP="00E43232">
      <w:pPr>
        <w:numPr>
          <w:ilvl w:val="0"/>
          <w:numId w:val="3"/>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وضع هياكل تنظيمية تقلل فرص الفساد الإداري.</w:t>
      </w:r>
    </w:p>
    <w:p w14:paraId="18DEEBF9" w14:textId="77777777" w:rsidR="00E43232" w:rsidRPr="00E43232" w:rsidRDefault="00E43232" w:rsidP="00E43232">
      <w:pPr>
        <w:numPr>
          <w:ilvl w:val="0"/>
          <w:numId w:val="3"/>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eastAsiaTheme="minorHAnsi" w:hint="cs"/>
          <w:noProof/>
          <w:sz w:val="22"/>
          <w:szCs w:val="22"/>
          <w:rtl/>
        </w:rPr>
        <w:drawing>
          <wp:anchor distT="0" distB="0" distL="114300" distR="114300" simplePos="0" relativeHeight="251659264" behindDoc="1" locked="0" layoutInCell="1" allowOverlap="1" wp14:anchorId="67D7B12E" wp14:editId="58B52F24">
            <wp:simplePos x="0" y="0"/>
            <wp:positionH relativeFrom="column">
              <wp:posOffset>-742950</wp:posOffset>
            </wp:positionH>
            <wp:positionV relativeFrom="paragraph">
              <wp:posOffset>393700</wp:posOffset>
            </wp:positionV>
            <wp:extent cx="5276850" cy="323850"/>
            <wp:effectExtent l="0" t="0" r="0" b="0"/>
            <wp:wrapNone/>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768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3232">
        <w:rPr>
          <w:rFonts w:ascii="Times New Roman" w:hAnsi="Times New Roman" w:cs="Times New Roman"/>
          <w:kern w:val="0"/>
          <w:sz w:val="28"/>
          <w:szCs w:val="28"/>
          <w:rtl/>
          <w14:ligatures w14:val="none"/>
        </w:rPr>
        <w:t>تمكين وحدات التدقيق الداخلي من ممارسة عملها باستقلالية.</w:t>
      </w:r>
    </w:p>
    <w:p w14:paraId="3B0F7298" w14:textId="77777777" w:rsidR="00E43232" w:rsidRPr="00E43232" w:rsidRDefault="00E43232" w:rsidP="00E43232">
      <w:pPr>
        <w:bidi w:val="0"/>
        <w:spacing w:before="100" w:beforeAutospacing="1" w:after="100" w:afterAutospacing="1" w:line="240" w:lineRule="auto"/>
        <w:jc w:val="right"/>
        <w:outlineLvl w:val="0"/>
        <w:rPr>
          <w:rFonts w:ascii="Times New Roman" w:hAnsi="Times New Roman" w:cs="Times New Roman"/>
          <w:b/>
          <w:bCs/>
          <w:kern w:val="36"/>
          <w:sz w:val="28"/>
          <w:szCs w:val="28"/>
          <w14:ligatures w14:val="none"/>
        </w:rPr>
      </w:pPr>
      <w:r w:rsidRPr="00E43232">
        <w:rPr>
          <w:rFonts w:ascii="Times New Roman" w:eastAsia="Times New Roman" w:hAnsi="Times New Roman" w:cs="Times New Roman"/>
          <w:b/>
          <w:bCs/>
          <w:kern w:val="36"/>
          <w:sz w:val="32"/>
          <w:szCs w:val="32"/>
          <w:rtl/>
          <w14:ligatures w14:val="none"/>
        </w:rPr>
        <w:t>ثانيًا: الرقابة الداخلية</w:t>
      </w:r>
      <w:r w:rsidRPr="00E43232">
        <w:rPr>
          <w:rFonts w:ascii="Times New Roman" w:eastAsia="Times New Roman" w:hAnsi="Times New Roman" w:cs="Times New Roman" w:hint="cs"/>
          <w:kern w:val="36"/>
          <w:sz w:val="32"/>
          <w:szCs w:val="32"/>
          <w:rtl/>
          <w14:ligatures w14:val="none"/>
        </w:rPr>
        <w:t>(</w:t>
      </w:r>
      <w:r w:rsidRPr="00E43232">
        <w:rPr>
          <w:rFonts w:ascii="Times New Roman" w:eastAsia="Times New Roman" w:hAnsi="Times New Roman" w:cs="Times New Roman"/>
          <w:b/>
          <w:bCs/>
          <w:kern w:val="36"/>
          <w:sz w:val="32"/>
          <w:szCs w:val="32"/>
          <w:rtl/>
          <w14:ligatures w14:val="none"/>
        </w:rPr>
        <w:t xml:space="preserve"> </w:t>
      </w:r>
      <w:r w:rsidRPr="00E43232">
        <w:rPr>
          <w:rFonts w:ascii="Times New Roman" w:eastAsia="Times New Roman" w:hAnsi="Times New Roman" w:cs="Times New Roman" w:hint="cs"/>
          <w:b/>
          <w:bCs/>
          <w:kern w:val="36"/>
          <w:sz w:val="32"/>
          <w:szCs w:val="32"/>
          <w:rtl/>
          <w14:ligatures w14:val="none"/>
        </w:rPr>
        <w:t xml:space="preserve">                       ):                                 </w:t>
      </w:r>
    </w:p>
    <w:p w14:paraId="5AAC0177" w14:textId="77777777" w:rsidR="00E43232" w:rsidRPr="00E43232" w:rsidRDefault="00E43232" w:rsidP="00E43232">
      <w:pPr>
        <w:bidi w:val="0"/>
        <w:spacing w:before="100" w:beforeAutospacing="1" w:after="100" w:afterAutospacing="1" w:line="240" w:lineRule="auto"/>
        <w:jc w:val="right"/>
        <w:outlineLvl w:val="1"/>
        <w:rPr>
          <w:rFonts w:ascii="Times New Roman" w:eastAsia="Times New Roman" w:hAnsi="Times New Roman" w:cs="Times New Roman"/>
          <w:kern w:val="0"/>
          <w:sz w:val="28"/>
          <w:szCs w:val="28"/>
          <w14:ligatures w14:val="none"/>
        </w:rPr>
      </w:pPr>
      <w:r w:rsidRPr="00E43232">
        <w:rPr>
          <w:rFonts w:ascii="Times New Roman" w:eastAsia="Times New Roman" w:hAnsi="Times New Roman" w:cs="Times New Roman"/>
          <w:kern w:val="0"/>
          <w:sz w:val="28"/>
          <w:szCs w:val="28"/>
          <w:rtl/>
          <w14:ligatures w14:val="none"/>
        </w:rPr>
        <w:t>1. مفهوم الرقابة الداخلية</w:t>
      </w:r>
    </w:p>
    <w:p w14:paraId="13C120AE" w14:textId="77777777" w:rsidR="00E43232" w:rsidRPr="00E43232" w:rsidRDefault="00E43232" w:rsidP="00E43232">
      <w:p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الرقابة الداخلية هي مجموعة من السياسات والإجراءات التي تهدف إلى حماية أصول المؤسسة وضمان دقة المعلومات وتحقيق الالتزام باللوائح وتعزيز الكفاءة التشغيلية. وتُعد الرقابة الداخلية خط الدفاع الأول ضد الأخطاء والانحرافات.</w:t>
      </w:r>
    </w:p>
    <w:p w14:paraId="730F5CA5" w14:textId="77777777" w:rsidR="00E43232" w:rsidRPr="00E43232" w:rsidRDefault="00E43232" w:rsidP="00E43232">
      <w:pPr>
        <w:bidi w:val="0"/>
        <w:spacing w:before="100" w:beforeAutospacing="1" w:after="100" w:afterAutospacing="1" w:line="240" w:lineRule="auto"/>
        <w:jc w:val="right"/>
        <w:outlineLvl w:val="1"/>
        <w:rPr>
          <w:rFonts w:ascii="Times New Roman" w:eastAsia="Times New Roman" w:hAnsi="Times New Roman" w:cs="Times New Roman"/>
          <w:kern w:val="0"/>
          <w:sz w:val="28"/>
          <w:szCs w:val="28"/>
          <w14:ligatures w14:val="none"/>
        </w:rPr>
      </w:pPr>
      <w:r w:rsidRPr="00E43232">
        <w:rPr>
          <w:rFonts w:ascii="Times New Roman" w:eastAsia="Times New Roman" w:hAnsi="Times New Roman" w:cs="Times New Roman"/>
          <w:kern w:val="0"/>
          <w:sz w:val="28"/>
          <w:szCs w:val="28"/>
          <w:rtl/>
          <w14:ligatures w14:val="none"/>
        </w:rPr>
        <w:t>2. أهداف الرقابة الداخلية</w:t>
      </w:r>
    </w:p>
    <w:p w14:paraId="2F6210F1" w14:textId="77777777" w:rsidR="00E43232" w:rsidRPr="00E43232" w:rsidRDefault="00E43232" w:rsidP="00E43232">
      <w:pPr>
        <w:spacing w:before="100" w:beforeAutospacing="1" w:after="100" w:afterAutospacing="1" w:line="240" w:lineRule="auto"/>
        <w:rPr>
          <w:rFonts w:ascii="Times New Roman" w:hAnsi="Times New Roman" w:cs="Times New Roman"/>
          <w:kern w:val="0"/>
          <w:sz w:val="28"/>
          <w:szCs w:val="28"/>
          <w14:ligatures w14:val="none"/>
        </w:rPr>
      </w:pPr>
      <w:r w:rsidRPr="00E43232">
        <w:rPr>
          <w:rFonts w:ascii="Times New Roman" w:hAnsi="Times New Roman" w:cs="Times New Roman"/>
          <w:kern w:val="0"/>
          <w:sz w:val="28"/>
          <w:szCs w:val="28"/>
          <w:rtl/>
          <w14:ligatures w14:val="none"/>
        </w:rPr>
        <w:t>تهدف الرقابة الداخلية إلى:</w:t>
      </w:r>
    </w:p>
    <w:p w14:paraId="6030AFB6" w14:textId="77777777" w:rsidR="00E43232" w:rsidRPr="00E43232" w:rsidRDefault="00E43232" w:rsidP="00E43232">
      <w:pPr>
        <w:numPr>
          <w:ilvl w:val="0"/>
          <w:numId w:val="4"/>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حماية الأصول من الضياع أو سوء الاستخدام.</w:t>
      </w:r>
    </w:p>
    <w:p w14:paraId="46D1C1DE" w14:textId="77777777" w:rsidR="00E43232" w:rsidRPr="00E43232" w:rsidRDefault="00E43232" w:rsidP="00E43232">
      <w:pPr>
        <w:numPr>
          <w:ilvl w:val="0"/>
          <w:numId w:val="4"/>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ضمان موثوقية البيانات المحاسبية والمالية.</w:t>
      </w:r>
    </w:p>
    <w:p w14:paraId="780738F0" w14:textId="77777777" w:rsidR="00E43232" w:rsidRPr="00E43232" w:rsidRDefault="00E43232" w:rsidP="00E43232">
      <w:pPr>
        <w:numPr>
          <w:ilvl w:val="0"/>
          <w:numId w:val="4"/>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تعزيز الالتزام بالسياسات والأنظمة.</w:t>
      </w:r>
    </w:p>
    <w:p w14:paraId="4820407B" w14:textId="77777777" w:rsidR="00E43232" w:rsidRPr="00E43232" w:rsidRDefault="00E43232" w:rsidP="00E43232">
      <w:pPr>
        <w:numPr>
          <w:ilvl w:val="0"/>
          <w:numId w:val="4"/>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رفع كفاءة العمليات الإدارية.</w:t>
      </w:r>
    </w:p>
    <w:p w14:paraId="18567ABD" w14:textId="77777777" w:rsidR="00E43232" w:rsidRPr="00E43232" w:rsidRDefault="00E43232" w:rsidP="00E43232">
      <w:pPr>
        <w:numPr>
          <w:ilvl w:val="0"/>
          <w:numId w:val="4"/>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eastAsiaTheme="minorHAnsi"/>
          <w:noProof/>
          <w:sz w:val="22"/>
          <w:szCs w:val="22"/>
          <w:rtl/>
        </w:rPr>
        <w:drawing>
          <wp:anchor distT="0" distB="0" distL="114300" distR="114300" simplePos="0" relativeHeight="251662336" behindDoc="1" locked="0" layoutInCell="1" allowOverlap="1" wp14:anchorId="39DE5477" wp14:editId="215B31A6">
            <wp:simplePos x="0" y="0"/>
            <wp:positionH relativeFrom="column">
              <wp:posOffset>-1847543</wp:posOffset>
            </wp:positionH>
            <wp:positionV relativeFrom="paragraph">
              <wp:posOffset>394379</wp:posOffset>
            </wp:positionV>
            <wp:extent cx="5276215" cy="325755"/>
            <wp:effectExtent l="0" t="0" r="635" b="0"/>
            <wp:wrapNone/>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6215" cy="3257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3232">
        <w:rPr>
          <w:rFonts w:ascii="Times New Roman" w:hAnsi="Times New Roman" w:cs="Times New Roman"/>
          <w:kern w:val="0"/>
          <w:sz w:val="28"/>
          <w:szCs w:val="28"/>
          <w:rtl/>
          <w14:ligatures w14:val="none"/>
        </w:rPr>
        <w:t>الحد من المخاطر التشغيلية.</w:t>
      </w:r>
    </w:p>
    <w:p w14:paraId="48AF6626" w14:textId="77777777" w:rsidR="00E43232" w:rsidRPr="00E43232" w:rsidRDefault="00E43232" w:rsidP="00E43232">
      <w:pPr>
        <w:bidi w:val="0"/>
        <w:spacing w:before="100" w:beforeAutospacing="1" w:after="100" w:afterAutospacing="1" w:line="240" w:lineRule="auto"/>
        <w:jc w:val="right"/>
        <w:outlineLvl w:val="1"/>
        <w:rPr>
          <w:rFonts w:ascii="Times New Roman" w:eastAsia="Times New Roman" w:hAnsi="Times New Roman" w:cs="Times New Roman"/>
          <w:kern w:val="0"/>
          <w:sz w:val="28"/>
          <w:szCs w:val="28"/>
          <w:rtl/>
          <w14:ligatures w14:val="none"/>
        </w:rPr>
      </w:pPr>
      <w:r w:rsidRPr="00E43232">
        <w:rPr>
          <w:rFonts w:ascii="Times New Roman" w:eastAsia="Times New Roman" w:hAnsi="Times New Roman" w:cs="Times New Roman"/>
          <w:kern w:val="0"/>
          <w:sz w:val="28"/>
          <w:szCs w:val="28"/>
          <w:rtl/>
          <w14:ligatures w14:val="none"/>
        </w:rPr>
        <w:t xml:space="preserve">3. مكونات نظام الرقابة الداخلية (وفق نموذج </w:t>
      </w:r>
      <w:r w:rsidRPr="00E43232">
        <w:rPr>
          <w:rFonts w:ascii="Times New Roman" w:eastAsia="Times New Roman" w:hAnsi="Times New Roman" w:cs="Times New Roman" w:hint="cs"/>
          <w:kern w:val="0"/>
          <w:sz w:val="28"/>
          <w:szCs w:val="28"/>
          <w:rtl/>
          <w14:ligatures w14:val="none"/>
        </w:rPr>
        <w:t xml:space="preserve">            )</w:t>
      </w:r>
    </w:p>
    <w:p w14:paraId="0BEE9035" w14:textId="77777777" w:rsidR="00E43232" w:rsidRPr="00E43232" w:rsidRDefault="00E43232" w:rsidP="00E43232">
      <w:pPr>
        <w:spacing w:before="100" w:beforeAutospacing="1" w:after="100" w:afterAutospacing="1" w:line="240" w:lineRule="auto"/>
        <w:rPr>
          <w:rFonts w:ascii="Times New Roman" w:hAnsi="Times New Roman" w:cs="Times New Roman"/>
          <w:kern w:val="0"/>
          <w:sz w:val="28"/>
          <w:szCs w:val="28"/>
          <w14:ligatures w14:val="none"/>
        </w:rPr>
      </w:pPr>
      <w:r w:rsidRPr="00E43232">
        <w:rPr>
          <w:rFonts w:ascii="Times New Roman" w:hAnsi="Times New Roman" w:cs="Times New Roman"/>
          <w:kern w:val="0"/>
          <w:sz w:val="28"/>
          <w:szCs w:val="28"/>
          <w:rtl/>
          <w14:ligatures w14:val="none"/>
        </w:rPr>
        <w:t>يشمل نظام الرقابة الداخلية خمسة مكونات رئيسية:</w:t>
      </w:r>
    </w:p>
    <w:p w14:paraId="5A1EF0E8" w14:textId="77777777" w:rsidR="00E43232" w:rsidRPr="00E43232" w:rsidRDefault="00E43232" w:rsidP="00E43232">
      <w:pPr>
        <w:numPr>
          <w:ilvl w:val="0"/>
          <w:numId w:val="5"/>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بيئة الرقابة: تتضمن ثقافة الالتزام والسلوك الأخلاقي.</w:t>
      </w:r>
    </w:p>
    <w:p w14:paraId="700CE233" w14:textId="77777777" w:rsidR="00E43232" w:rsidRPr="00E43232" w:rsidRDefault="00E43232" w:rsidP="00E43232">
      <w:pPr>
        <w:numPr>
          <w:ilvl w:val="0"/>
          <w:numId w:val="5"/>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تقييم المخاطر: تحديد المخاطر وتحليلها وتقدير أثرها.</w:t>
      </w:r>
    </w:p>
    <w:p w14:paraId="394EAA46" w14:textId="77777777" w:rsidR="00E43232" w:rsidRPr="00E43232" w:rsidRDefault="00E43232" w:rsidP="00E43232">
      <w:pPr>
        <w:numPr>
          <w:ilvl w:val="0"/>
          <w:numId w:val="5"/>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الأنشطة الرقابية: السياسات والإجراءات الوقائية والعلاجية.</w:t>
      </w:r>
    </w:p>
    <w:p w14:paraId="19E720EA" w14:textId="77777777" w:rsidR="00E43232" w:rsidRPr="00E43232" w:rsidRDefault="00E43232" w:rsidP="00E43232">
      <w:pPr>
        <w:numPr>
          <w:ilvl w:val="0"/>
          <w:numId w:val="5"/>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نظم المعلومات والاتصال: توفر تدفقًا دقيقًا للمعلومات.</w:t>
      </w:r>
    </w:p>
    <w:p w14:paraId="52E6708C" w14:textId="77777777" w:rsidR="00E43232" w:rsidRPr="00E43232" w:rsidRDefault="00E43232" w:rsidP="00E43232">
      <w:pPr>
        <w:numPr>
          <w:ilvl w:val="0"/>
          <w:numId w:val="5"/>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المتابعة والمراجعة: مراقبة الأداء والتأكد من فاعلية الرقابة.</w:t>
      </w:r>
    </w:p>
    <w:p w14:paraId="6D7885E5" w14:textId="77777777" w:rsidR="00E43232" w:rsidRPr="00E43232" w:rsidRDefault="00E43232" w:rsidP="00E43232">
      <w:pPr>
        <w:bidi w:val="0"/>
        <w:spacing w:before="100" w:beforeAutospacing="1" w:after="100" w:afterAutospacing="1" w:line="240" w:lineRule="auto"/>
        <w:jc w:val="right"/>
        <w:outlineLvl w:val="1"/>
        <w:rPr>
          <w:rFonts w:ascii="Times New Roman" w:eastAsia="Times New Roman" w:hAnsi="Times New Roman" w:cs="Times New Roman"/>
          <w:kern w:val="0"/>
          <w:sz w:val="28"/>
          <w:szCs w:val="28"/>
          <w14:ligatures w14:val="none"/>
        </w:rPr>
      </w:pPr>
      <w:r w:rsidRPr="00E43232">
        <w:rPr>
          <w:rFonts w:ascii="Times New Roman" w:eastAsia="Times New Roman" w:hAnsi="Times New Roman" w:cs="Times New Roman"/>
          <w:kern w:val="0"/>
          <w:sz w:val="28"/>
          <w:szCs w:val="28"/>
          <w:rtl/>
          <w14:ligatures w14:val="none"/>
        </w:rPr>
        <w:t>4. أهمية الرقابة الداخلية</w:t>
      </w:r>
    </w:p>
    <w:p w14:paraId="43B596A1" w14:textId="77777777" w:rsidR="00E43232" w:rsidRPr="00E43232" w:rsidRDefault="00E43232" w:rsidP="00E43232">
      <w:p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تسهم الرقابة الداخلية في رفع جودة القرارات الإدارية، وتحسين كفاءة العمليات، وتعزيز ثقة أصحاب المصلحة، وتقليل فرص الاحتيال أو الأخطاء، وتوفير معلومات دقيقة وموثوقة.</w:t>
      </w:r>
    </w:p>
    <w:p w14:paraId="286082AB" w14:textId="77777777" w:rsidR="00E43232" w:rsidRPr="00E43232" w:rsidRDefault="00E43232" w:rsidP="00E43232">
      <w:pPr>
        <w:bidi w:val="0"/>
        <w:spacing w:before="100" w:beforeAutospacing="1" w:after="100" w:afterAutospacing="1" w:line="240" w:lineRule="auto"/>
        <w:jc w:val="right"/>
        <w:outlineLvl w:val="1"/>
        <w:rPr>
          <w:rFonts w:ascii="Times New Roman" w:eastAsia="Times New Roman" w:hAnsi="Times New Roman" w:cs="Times New Roman"/>
          <w:kern w:val="0"/>
          <w:sz w:val="28"/>
          <w:szCs w:val="28"/>
          <w14:ligatures w14:val="none"/>
        </w:rPr>
      </w:pPr>
      <w:r w:rsidRPr="00E43232">
        <w:rPr>
          <w:rFonts w:ascii="Times New Roman" w:eastAsia="Times New Roman" w:hAnsi="Times New Roman" w:cs="Times New Roman"/>
          <w:kern w:val="0"/>
          <w:sz w:val="28"/>
          <w:szCs w:val="28"/>
          <w:rtl/>
          <w14:ligatures w14:val="none"/>
        </w:rPr>
        <w:t>5. دور الرقابة الداخلية في دعم الحوكمة</w:t>
      </w:r>
    </w:p>
    <w:p w14:paraId="1981AE58" w14:textId="77777777" w:rsidR="00E43232" w:rsidRPr="00E43232" w:rsidRDefault="00E43232" w:rsidP="00E43232">
      <w:pPr>
        <w:spacing w:before="100" w:beforeAutospacing="1" w:after="100" w:afterAutospacing="1" w:line="240" w:lineRule="auto"/>
        <w:rPr>
          <w:rFonts w:ascii="Times New Roman" w:hAnsi="Times New Roman" w:cs="Times New Roman"/>
          <w:kern w:val="0"/>
          <w:sz w:val="28"/>
          <w:szCs w:val="28"/>
          <w14:ligatures w14:val="none"/>
        </w:rPr>
      </w:pPr>
      <w:r w:rsidRPr="00E43232">
        <w:rPr>
          <w:rFonts w:ascii="Times New Roman" w:hAnsi="Times New Roman" w:cs="Times New Roman"/>
          <w:kern w:val="0"/>
          <w:sz w:val="28"/>
          <w:szCs w:val="28"/>
          <w:rtl/>
          <w14:ligatures w14:val="none"/>
        </w:rPr>
        <w:t>تعد الرقابة الداخلية أداة تنفيذية لمبادئ الحوكمة، إذ تعمل على:</w:t>
      </w:r>
    </w:p>
    <w:p w14:paraId="1F0A1FBE" w14:textId="77777777" w:rsidR="00E43232" w:rsidRPr="00E43232" w:rsidRDefault="00E43232" w:rsidP="00E43232">
      <w:pPr>
        <w:numPr>
          <w:ilvl w:val="0"/>
          <w:numId w:val="6"/>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تطبيق سياسات الحوكمة ميدانيًا.</w:t>
      </w:r>
    </w:p>
    <w:p w14:paraId="62707139" w14:textId="77777777" w:rsidR="00E43232" w:rsidRPr="00E43232" w:rsidRDefault="00E43232" w:rsidP="00E43232">
      <w:pPr>
        <w:numPr>
          <w:ilvl w:val="0"/>
          <w:numId w:val="6"/>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مراقبة أداء الإدارات.</w:t>
      </w:r>
    </w:p>
    <w:p w14:paraId="0EB47033" w14:textId="77777777" w:rsidR="00E43232" w:rsidRPr="00E43232" w:rsidRDefault="00E43232" w:rsidP="00E43232">
      <w:pPr>
        <w:numPr>
          <w:ilvl w:val="0"/>
          <w:numId w:val="6"/>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كشف الانحرافات وتحليل أسبابها.</w:t>
      </w:r>
    </w:p>
    <w:p w14:paraId="3B411BDC" w14:textId="77777777" w:rsidR="00E43232" w:rsidRPr="00E43232" w:rsidRDefault="00E43232" w:rsidP="00E43232">
      <w:pPr>
        <w:numPr>
          <w:ilvl w:val="0"/>
          <w:numId w:val="6"/>
        </w:numPr>
        <w:spacing w:before="100" w:beforeAutospacing="1" w:after="100" w:afterAutospacing="1" w:line="240" w:lineRule="auto"/>
        <w:rPr>
          <w:rFonts w:ascii="Times New Roman" w:hAnsi="Times New Roman" w:cs="Times New Roman"/>
          <w:kern w:val="0"/>
          <w:sz w:val="28"/>
          <w:szCs w:val="28"/>
          <w14:ligatures w14:val="none"/>
        </w:rPr>
      </w:pPr>
      <w:r w:rsidRPr="00E43232">
        <w:rPr>
          <w:rFonts w:ascii="Times New Roman" w:hAnsi="Times New Roman" w:cs="Times New Roman"/>
          <w:kern w:val="0"/>
          <w:sz w:val="28"/>
          <w:szCs w:val="28"/>
          <w:rtl/>
          <w14:ligatures w14:val="none"/>
        </w:rPr>
        <w:t>تعزيز المساءلة والإفصاح.</w:t>
      </w:r>
    </w:p>
    <w:p w14:paraId="4BD69DC3" w14:textId="77777777" w:rsidR="00E43232" w:rsidRPr="00E43232" w:rsidRDefault="00E43232" w:rsidP="00E43232">
      <w:pPr>
        <w:spacing w:before="100" w:beforeAutospacing="1" w:after="100" w:afterAutospacing="1" w:line="240" w:lineRule="auto"/>
        <w:ind w:left="720"/>
        <w:rPr>
          <w:rFonts w:ascii="Times New Roman" w:hAnsi="Times New Roman" w:cs="Times New Roman"/>
          <w:kern w:val="0"/>
          <w:sz w:val="28"/>
          <w:szCs w:val="28"/>
          <w:rtl/>
          <w14:ligatures w14:val="none"/>
        </w:rPr>
      </w:pPr>
    </w:p>
    <w:p w14:paraId="036F2FB0" w14:textId="77777777" w:rsidR="00E43232" w:rsidRPr="00E43232" w:rsidRDefault="00E43232" w:rsidP="00E43232">
      <w:pPr>
        <w:bidi w:val="0"/>
        <w:spacing w:before="100" w:beforeAutospacing="1" w:after="100" w:afterAutospacing="1" w:line="240" w:lineRule="auto"/>
        <w:jc w:val="right"/>
        <w:outlineLvl w:val="0"/>
        <w:rPr>
          <w:rFonts w:ascii="Times New Roman" w:eastAsia="Times New Roman" w:hAnsi="Times New Roman" w:cs="Times New Roman"/>
          <w:b/>
          <w:bCs/>
          <w:kern w:val="36"/>
          <w:sz w:val="32"/>
          <w:szCs w:val="32"/>
          <w14:ligatures w14:val="none"/>
        </w:rPr>
      </w:pPr>
      <w:r w:rsidRPr="00E43232">
        <w:rPr>
          <w:rFonts w:ascii="Times New Roman" w:eastAsia="Times New Roman" w:hAnsi="Times New Roman" w:cs="Times New Roman"/>
          <w:b/>
          <w:bCs/>
          <w:noProof/>
          <w:kern w:val="36"/>
          <w:sz w:val="32"/>
          <w:szCs w:val="32"/>
          <w:rtl/>
          <w14:ligatures w14:val="none"/>
        </w:rPr>
        <w:drawing>
          <wp:anchor distT="0" distB="0" distL="114300" distR="114300" simplePos="0" relativeHeight="251661312" behindDoc="1" locked="0" layoutInCell="1" allowOverlap="1" wp14:anchorId="428C6DAB" wp14:editId="20581416">
            <wp:simplePos x="0" y="0"/>
            <wp:positionH relativeFrom="column">
              <wp:posOffset>-629635</wp:posOffset>
            </wp:positionH>
            <wp:positionV relativeFrom="paragraph">
              <wp:posOffset>40969</wp:posOffset>
            </wp:positionV>
            <wp:extent cx="5276850" cy="323850"/>
            <wp:effectExtent l="0" t="0" r="0" b="0"/>
            <wp:wrapNone/>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68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3232">
        <w:rPr>
          <w:rFonts w:ascii="Times New Roman" w:eastAsia="Times New Roman" w:hAnsi="Times New Roman" w:cs="Times New Roman"/>
          <w:b/>
          <w:bCs/>
          <w:kern w:val="36"/>
          <w:sz w:val="32"/>
          <w:szCs w:val="32"/>
          <w:rtl/>
          <w14:ligatures w14:val="none"/>
        </w:rPr>
        <w:t>ثالثًا: إدارة المخاطر(</w:t>
      </w:r>
      <w:r w:rsidRPr="00E43232">
        <w:rPr>
          <w:rFonts w:ascii="Times New Roman" w:eastAsia="Times New Roman" w:hAnsi="Times New Roman" w:cs="Times New Roman" w:hint="cs"/>
          <w:b/>
          <w:bCs/>
          <w:kern w:val="36"/>
          <w:sz w:val="32"/>
          <w:szCs w:val="32"/>
          <w:rtl/>
          <w14:ligatures w14:val="none"/>
        </w:rPr>
        <w:t xml:space="preserve">                          ):</w:t>
      </w:r>
      <w:r w:rsidRPr="00E43232">
        <w:rPr>
          <w:rFonts w:ascii="Times New Roman" w:eastAsia="Times New Roman" w:hAnsi="Times New Roman" w:cs="Times New Roman"/>
          <w:b/>
          <w:bCs/>
          <w:kern w:val="36"/>
          <w:sz w:val="32"/>
          <w:szCs w:val="32"/>
          <w14:ligatures w14:val="none"/>
        </w:rPr>
        <w:t xml:space="preserve"> </w:t>
      </w:r>
    </w:p>
    <w:p w14:paraId="5B85315A" w14:textId="77777777" w:rsidR="00E43232" w:rsidRPr="00E43232" w:rsidRDefault="00E43232" w:rsidP="00E43232">
      <w:pPr>
        <w:bidi w:val="0"/>
        <w:spacing w:before="100" w:beforeAutospacing="1" w:after="100" w:afterAutospacing="1" w:line="240" w:lineRule="auto"/>
        <w:jc w:val="right"/>
        <w:outlineLvl w:val="1"/>
        <w:rPr>
          <w:rFonts w:ascii="Times New Roman" w:eastAsia="Times New Roman" w:hAnsi="Times New Roman" w:cs="Times New Roman"/>
          <w:kern w:val="0"/>
          <w:sz w:val="28"/>
          <w:szCs w:val="28"/>
          <w14:ligatures w14:val="none"/>
        </w:rPr>
      </w:pPr>
      <w:r w:rsidRPr="00E43232">
        <w:rPr>
          <w:rFonts w:ascii="Times New Roman" w:eastAsia="Times New Roman" w:hAnsi="Times New Roman" w:cs="Times New Roman"/>
          <w:kern w:val="0"/>
          <w:sz w:val="28"/>
          <w:szCs w:val="28"/>
          <w:rtl/>
          <w14:ligatures w14:val="none"/>
        </w:rPr>
        <w:t>1. مفهوم إدارة المخاطر</w:t>
      </w:r>
    </w:p>
    <w:p w14:paraId="1FC32F4D" w14:textId="77777777" w:rsidR="00E43232" w:rsidRPr="00E43232" w:rsidRDefault="00E43232" w:rsidP="00E43232">
      <w:p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إدارة المخاطر هي عملية منظمة تهدف إلى تحديد المخاطر المحتملة وتقييمها ومراقبتها واتخاذ قرارات للتعامل معها، سواء بالتقليل أو التجنب أو التحويل أو القبول. وتعد من أهم ممارسات الإدارة الحديثة لضمان استدامة المؤسسة.</w:t>
      </w:r>
    </w:p>
    <w:p w14:paraId="1DFA5C24" w14:textId="77777777" w:rsidR="00E43232" w:rsidRPr="00E43232" w:rsidRDefault="00E43232" w:rsidP="00E43232">
      <w:pPr>
        <w:bidi w:val="0"/>
        <w:spacing w:before="100" w:beforeAutospacing="1" w:after="100" w:afterAutospacing="1" w:line="240" w:lineRule="auto"/>
        <w:jc w:val="right"/>
        <w:outlineLvl w:val="1"/>
        <w:rPr>
          <w:rFonts w:ascii="Times New Roman" w:eastAsia="Times New Roman" w:hAnsi="Times New Roman" w:cs="Times New Roman"/>
          <w:kern w:val="0"/>
          <w:sz w:val="28"/>
          <w:szCs w:val="28"/>
          <w14:ligatures w14:val="none"/>
        </w:rPr>
      </w:pPr>
      <w:r w:rsidRPr="00E43232">
        <w:rPr>
          <w:rFonts w:ascii="Times New Roman" w:eastAsia="Times New Roman" w:hAnsi="Times New Roman" w:cs="Times New Roman"/>
          <w:kern w:val="0"/>
          <w:sz w:val="28"/>
          <w:szCs w:val="28"/>
          <w:rtl/>
          <w14:ligatures w14:val="none"/>
        </w:rPr>
        <w:t>2. أهداف إدارة المخاطر</w:t>
      </w:r>
    </w:p>
    <w:p w14:paraId="28AD8947" w14:textId="77777777" w:rsidR="00E43232" w:rsidRPr="00E43232" w:rsidRDefault="00E43232" w:rsidP="00E43232">
      <w:pPr>
        <w:spacing w:before="100" w:beforeAutospacing="1" w:after="100" w:afterAutospacing="1" w:line="240" w:lineRule="auto"/>
        <w:rPr>
          <w:rFonts w:ascii="Times New Roman" w:hAnsi="Times New Roman" w:cs="Times New Roman"/>
          <w:kern w:val="0"/>
          <w:sz w:val="28"/>
          <w:szCs w:val="28"/>
          <w14:ligatures w14:val="none"/>
        </w:rPr>
      </w:pPr>
      <w:r w:rsidRPr="00E43232">
        <w:rPr>
          <w:rFonts w:ascii="Times New Roman" w:hAnsi="Times New Roman" w:cs="Times New Roman"/>
          <w:kern w:val="0"/>
          <w:sz w:val="28"/>
          <w:szCs w:val="28"/>
          <w:rtl/>
          <w14:ligatures w14:val="none"/>
        </w:rPr>
        <w:t>تهدف إدارة المخاطر إلى:</w:t>
      </w:r>
    </w:p>
    <w:p w14:paraId="2478251D" w14:textId="77777777" w:rsidR="00E43232" w:rsidRPr="00E43232" w:rsidRDefault="00E43232" w:rsidP="00E43232">
      <w:pPr>
        <w:numPr>
          <w:ilvl w:val="0"/>
          <w:numId w:val="7"/>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حماية المؤسسة من التهديدات.</w:t>
      </w:r>
    </w:p>
    <w:p w14:paraId="3034857B" w14:textId="77777777" w:rsidR="00E43232" w:rsidRPr="00E43232" w:rsidRDefault="00E43232" w:rsidP="00E43232">
      <w:pPr>
        <w:numPr>
          <w:ilvl w:val="0"/>
          <w:numId w:val="7"/>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توقع المشكلات قبل وقوعها.</w:t>
      </w:r>
    </w:p>
    <w:p w14:paraId="69F17F25" w14:textId="77777777" w:rsidR="00E43232" w:rsidRPr="00E43232" w:rsidRDefault="00E43232" w:rsidP="00E43232">
      <w:pPr>
        <w:numPr>
          <w:ilvl w:val="0"/>
          <w:numId w:val="7"/>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تقليل أثر المخاطر المالية والتشغيلية.</w:t>
      </w:r>
    </w:p>
    <w:p w14:paraId="70A7A8DF" w14:textId="77777777" w:rsidR="00E43232" w:rsidRPr="00E43232" w:rsidRDefault="00E43232" w:rsidP="00E43232">
      <w:pPr>
        <w:numPr>
          <w:ilvl w:val="0"/>
          <w:numId w:val="7"/>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تحسين القرارات الاستراتيجية.</w:t>
      </w:r>
    </w:p>
    <w:p w14:paraId="6B066B92" w14:textId="77777777" w:rsidR="00E43232" w:rsidRPr="00E43232" w:rsidRDefault="00E43232" w:rsidP="00E43232">
      <w:pPr>
        <w:numPr>
          <w:ilvl w:val="0"/>
          <w:numId w:val="7"/>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دعم الاستقرار المؤسسي.</w:t>
      </w:r>
    </w:p>
    <w:p w14:paraId="7059A3EA" w14:textId="77777777" w:rsidR="00E43232" w:rsidRPr="00E43232" w:rsidRDefault="00E43232" w:rsidP="00E43232">
      <w:pPr>
        <w:bidi w:val="0"/>
        <w:spacing w:before="100" w:beforeAutospacing="1" w:after="100" w:afterAutospacing="1" w:line="240" w:lineRule="auto"/>
        <w:jc w:val="right"/>
        <w:outlineLvl w:val="1"/>
        <w:rPr>
          <w:rFonts w:ascii="Times New Roman" w:eastAsia="Times New Roman" w:hAnsi="Times New Roman" w:cs="Times New Roman"/>
          <w:kern w:val="0"/>
          <w:sz w:val="28"/>
          <w:szCs w:val="28"/>
          <w14:ligatures w14:val="none"/>
        </w:rPr>
      </w:pPr>
      <w:r w:rsidRPr="00E43232">
        <w:rPr>
          <w:rFonts w:ascii="Times New Roman" w:eastAsia="Times New Roman" w:hAnsi="Times New Roman" w:cs="Times New Roman"/>
          <w:kern w:val="0"/>
          <w:sz w:val="28"/>
          <w:szCs w:val="28"/>
          <w:rtl/>
          <w14:ligatures w14:val="none"/>
        </w:rPr>
        <w:t>3. خطوات إدارة المخاطر</w:t>
      </w:r>
    </w:p>
    <w:p w14:paraId="39F24D28" w14:textId="77777777" w:rsidR="00E43232" w:rsidRPr="00E43232" w:rsidRDefault="00E43232" w:rsidP="00E43232">
      <w:pPr>
        <w:spacing w:before="100" w:beforeAutospacing="1" w:after="100" w:afterAutospacing="1" w:line="240" w:lineRule="auto"/>
        <w:rPr>
          <w:rFonts w:ascii="Times New Roman" w:hAnsi="Times New Roman" w:cs="Times New Roman"/>
          <w:kern w:val="0"/>
          <w:sz w:val="28"/>
          <w:szCs w:val="28"/>
          <w14:ligatures w14:val="none"/>
        </w:rPr>
      </w:pPr>
      <w:r w:rsidRPr="00E43232">
        <w:rPr>
          <w:rFonts w:ascii="Times New Roman" w:hAnsi="Times New Roman" w:cs="Times New Roman"/>
          <w:kern w:val="0"/>
          <w:sz w:val="28"/>
          <w:szCs w:val="28"/>
          <w:rtl/>
          <w14:ligatures w14:val="none"/>
        </w:rPr>
        <w:t>تشمل عملية إدارة المخاطر ما يلي:</w:t>
      </w:r>
    </w:p>
    <w:p w14:paraId="1F86C8D5" w14:textId="77777777" w:rsidR="00E43232" w:rsidRPr="00E43232" w:rsidRDefault="00E43232" w:rsidP="00E43232">
      <w:pPr>
        <w:numPr>
          <w:ilvl w:val="0"/>
          <w:numId w:val="8"/>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تحديد المخاطر: التعرف على مصادر التهديد المحتملة.</w:t>
      </w:r>
    </w:p>
    <w:p w14:paraId="10D349EE" w14:textId="77777777" w:rsidR="00E43232" w:rsidRPr="00E43232" w:rsidRDefault="00E43232" w:rsidP="00E43232">
      <w:pPr>
        <w:numPr>
          <w:ilvl w:val="0"/>
          <w:numId w:val="8"/>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تحليل المخاطر: تقييم احتمالية الحدوث وشدة الأثر.</w:t>
      </w:r>
    </w:p>
    <w:p w14:paraId="14C7EBEE" w14:textId="77777777" w:rsidR="00E43232" w:rsidRPr="00E43232" w:rsidRDefault="00E43232" w:rsidP="00E43232">
      <w:pPr>
        <w:numPr>
          <w:ilvl w:val="0"/>
          <w:numId w:val="8"/>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تقييم المخاطر: ترتيب المخاطر حسب الأولوية.</w:t>
      </w:r>
    </w:p>
    <w:p w14:paraId="54B2D357" w14:textId="77777777" w:rsidR="00E43232" w:rsidRPr="00E43232" w:rsidRDefault="00E43232" w:rsidP="00E43232">
      <w:pPr>
        <w:numPr>
          <w:ilvl w:val="0"/>
          <w:numId w:val="8"/>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معالجة المخاطر: اختيار أسلوب التعامل المناسب.</w:t>
      </w:r>
    </w:p>
    <w:p w14:paraId="6B628E30" w14:textId="77777777" w:rsidR="00E43232" w:rsidRPr="00E43232" w:rsidRDefault="00E43232" w:rsidP="00E43232">
      <w:pPr>
        <w:numPr>
          <w:ilvl w:val="0"/>
          <w:numId w:val="8"/>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المراقبة: متابعة تطبيق الإجراءات.</w:t>
      </w:r>
    </w:p>
    <w:p w14:paraId="3EF5C29F" w14:textId="77777777" w:rsidR="00E43232" w:rsidRPr="00E43232" w:rsidRDefault="00E43232" w:rsidP="00E43232">
      <w:pPr>
        <w:bidi w:val="0"/>
        <w:spacing w:before="100" w:beforeAutospacing="1" w:after="100" w:afterAutospacing="1" w:line="240" w:lineRule="auto"/>
        <w:jc w:val="right"/>
        <w:outlineLvl w:val="1"/>
        <w:rPr>
          <w:rFonts w:ascii="Times New Roman" w:eastAsia="Times New Roman" w:hAnsi="Times New Roman" w:cs="Times New Roman"/>
          <w:kern w:val="0"/>
          <w:sz w:val="28"/>
          <w:szCs w:val="28"/>
          <w14:ligatures w14:val="none"/>
        </w:rPr>
      </w:pPr>
      <w:r w:rsidRPr="00E43232">
        <w:rPr>
          <w:rFonts w:ascii="Times New Roman" w:eastAsia="Times New Roman" w:hAnsi="Times New Roman" w:cs="Times New Roman"/>
          <w:kern w:val="0"/>
          <w:sz w:val="28"/>
          <w:szCs w:val="28"/>
          <w:rtl/>
          <w14:ligatures w14:val="none"/>
        </w:rPr>
        <w:t>4. العلاقة بين إدارة المخاطر والرقابة الداخلية</w:t>
      </w:r>
    </w:p>
    <w:p w14:paraId="753818E9" w14:textId="77777777" w:rsidR="00E43232" w:rsidRPr="00E43232" w:rsidRDefault="00E43232" w:rsidP="00E43232">
      <w:pPr>
        <w:spacing w:before="100" w:beforeAutospacing="1" w:after="100" w:afterAutospacing="1" w:line="240" w:lineRule="auto"/>
        <w:rPr>
          <w:rFonts w:ascii="Times New Roman" w:hAnsi="Times New Roman" w:cs="Times New Roman"/>
          <w:kern w:val="0"/>
          <w:sz w:val="28"/>
          <w:szCs w:val="28"/>
          <w14:ligatures w14:val="none"/>
        </w:rPr>
      </w:pPr>
      <w:r w:rsidRPr="00E43232">
        <w:rPr>
          <w:rFonts w:ascii="Times New Roman" w:hAnsi="Times New Roman" w:cs="Times New Roman"/>
          <w:kern w:val="0"/>
          <w:sz w:val="28"/>
          <w:szCs w:val="28"/>
          <w:rtl/>
          <w14:ligatures w14:val="none"/>
        </w:rPr>
        <w:t>تعمل الرقابة الداخلية كمصدر أساسي لمعلومات المخاطر، فهي تساعد على:</w:t>
      </w:r>
    </w:p>
    <w:p w14:paraId="0420A9F8" w14:textId="77777777" w:rsidR="00E43232" w:rsidRPr="00E43232" w:rsidRDefault="00E43232" w:rsidP="00E43232">
      <w:pPr>
        <w:numPr>
          <w:ilvl w:val="0"/>
          <w:numId w:val="9"/>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كشف الانحرافات.</w:t>
      </w:r>
    </w:p>
    <w:p w14:paraId="74254437" w14:textId="77777777" w:rsidR="00E43232" w:rsidRPr="00E43232" w:rsidRDefault="00E43232" w:rsidP="00E43232">
      <w:pPr>
        <w:numPr>
          <w:ilvl w:val="0"/>
          <w:numId w:val="9"/>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توفير تقارير تحليلية دقيقة.</w:t>
      </w:r>
    </w:p>
    <w:p w14:paraId="54B6E9DD" w14:textId="77777777" w:rsidR="00E43232" w:rsidRPr="00E43232" w:rsidRDefault="00E43232" w:rsidP="00E43232">
      <w:pPr>
        <w:numPr>
          <w:ilvl w:val="0"/>
          <w:numId w:val="9"/>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متابعة الإجراءات المتخذة تجاه المخاطر.</w:t>
      </w:r>
    </w:p>
    <w:p w14:paraId="0836B51B" w14:textId="77777777" w:rsidR="00E43232" w:rsidRPr="00E43232" w:rsidRDefault="00E43232" w:rsidP="00E43232">
      <w:pPr>
        <w:numPr>
          <w:ilvl w:val="0"/>
          <w:numId w:val="9"/>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خلق بيئة عمل آمنة.</w:t>
      </w:r>
    </w:p>
    <w:p w14:paraId="35CE7CEA" w14:textId="77777777" w:rsidR="00E43232" w:rsidRPr="00E43232" w:rsidRDefault="00E43232" w:rsidP="00E43232">
      <w:pPr>
        <w:bidi w:val="0"/>
        <w:spacing w:before="100" w:beforeAutospacing="1" w:after="100" w:afterAutospacing="1" w:line="240" w:lineRule="auto"/>
        <w:jc w:val="right"/>
        <w:outlineLvl w:val="1"/>
        <w:rPr>
          <w:rFonts w:ascii="Times New Roman" w:eastAsia="Times New Roman" w:hAnsi="Times New Roman" w:cs="Times New Roman"/>
          <w:kern w:val="0"/>
          <w:sz w:val="28"/>
          <w:szCs w:val="28"/>
          <w14:ligatures w14:val="none"/>
        </w:rPr>
      </w:pPr>
      <w:r w:rsidRPr="00E43232">
        <w:rPr>
          <w:rFonts w:ascii="Times New Roman" w:eastAsia="Times New Roman" w:hAnsi="Times New Roman" w:cs="Times New Roman"/>
          <w:kern w:val="0"/>
          <w:sz w:val="28"/>
          <w:szCs w:val="28"/>
          <w:rtl/>
          <w14:ligatures w14:val="none"/>
        </w:rPr>
        <w:t>5. إدارة المخاطر والحوكمة</w:t>
      </w:r>
    </w:p>
    <w:p w14:paraId="4D9AE803" w14:textId="77777777" w:rsidR="00E43232" w:rsidRPr="00E43232" w:rsidRDefault="00E43232" w:rsidP="00E43232">
      <w:pPr>
        <w:spacing w:before="100" w:beforeAutospacing="1" w:after="100" w:afterAutospacing="1" w:line="240" w:lineRule="auto"/>
        <w:rPr>
          <w:rFonts w:ascii="Times New Roman" w:hAnsi="Times New Roman" w:cs="Times New Roman"/>
          <w:kern w:val="0"/>
          <w:sz w:val="28"/>
          <w:szCs w:val="28"/>
          <w14:ligatures w14:val="none"/>
        </w:rPr>
      </w:pPr>
      <w:r w:rsidRPr="00E43232">
        <w:rPr>
          <w:rFonts w:ascii="Times New Roman" w:hAnsi="Times New Roman" w:cs="Times New Roman"/>
          <w:kern w:val="0"/>
          <w:sz w:val="28"/>
          <w:szCs w:val="28"/>
          <w:rtl/>
          <w14:ligatures w14:val="none"/>
        </w:rPr>
        <w:t>تلعب الحوكمة دورًا مهمًا في رفع كفاءة إدارة المخاطر من خلال:</w:t>
      </w:r>
    </w:p>
    <w:p w14:paraId="4AC38E1C" w14:textId="77777777" w:rsidR="00E43232" w:rsidRPr="00E43232" w:rsidRDefault="00E43232" w:rsidP="00E43232">
      <w:pPr>
        <w:numPr>
          <w:ilvl w:val="0"/>
          <w:numId w:val="10"/>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توفير إطار تنظيمي واضح للتعامل مع المخاطر.</w:t>
      </w:r>
    </w:p>
    <w:p w14:paraId="4B2FABE7" w14:textId="77777777" w:rsidR="00E43232" w:rsidRPr="00E43232" w:rsidRDefault="00E43232" w:rsidP="00E43232">
      <w:pPr>
        <w:numPr>
          <w:ilvl w:val="0"/>
          <w:numId w:val="10"/>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ضمان وجود سياسات ومعايير دقيقة.</w:t>
      </w:r>
    </w:p>
    <w:p w14:paraId="7EE28DB0" w14:textId="77777777" w:rsidR="00E43232" w:rsidRPr="00E43232" w:rsidRDefault="00E43232" w:rsidP="00E43232">
      <w:pPr>
        <w:numPr>
          <w:ilvl w:val="0"/>
          <w:numId w:val="10"/>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تعزيز دور لجان المخاطر والمراجعة.</w:t>
      </w:r>
    </w:p>
    <w:p w14:paraId="546291CC" w14:textId="77777777" w:rsidR="00E43232" w:rsidRPr="00E43232" w:rsidRDefault="00E43232" w:rsidP="00E43232">
      <w:pPr>
        <w:numPr>
          <w:ilvl w:val="0"/>
          <w:numId w:val="10"/>
        </w:numPr>
        <w:spacing w:before="100" w:beforeAutospacing="1" w:after="100" w:afterAutospacing="1" w:line="240" w:lineRule="auto"/>
        <w:rPr>
          <w:rFonts w:ascii="Times New Roman" w:hAnsi="Times New Roman" w:cs="Times New Roman"/>
          <w:kern w:val="0"/>
          <w:sz w:val="28"/>
          <w:szCs w:val="28"/>
          <w14:ligatures w14:val="none"/>
        </w:rPr>
      </w:pPr>
      <w:r w:rsidRPr="00E43232">
        <w:rPr>
          <w:rFonts w:ascii="Times New Roman" w:hAnsi="Times New Roman" w:cs="Times New Roman"/>
          <w:kern w:val="0"/>
          <w:sz w:val="28"/>
          <w:szCs w:val="28"/>
          <w:rtl/>
          <w14:ligatures w14:val="none"/>
        </w:rPr>
        <w:t>رفع مستوى الإفصاح والشفافية.</w:t>
      </w:r>
    </w:p>
    <w:p w14:paraId="6480187F" w14:textId="77777777" w:rsidR="00E43232" w:rsidRPr="00E43232" w:rsidRDefault="00E43232" w:rsidP="00E43232">
      <w:pPr>
        <w:spacing w:before="100" w:beforeAutospacing="1" w:after="100" w:afterAutospacing="1" w:line="240" w:lineRule="auto"/>
        <w:rPr>
          <w:rFonts w:ascii="Times New Roman" w:hAnsi="Times New Roman" w:cs="Times New Roman"/>
          <w:kern w:val="0"/>
          <w:sz w:val="28"/>
          <w:szCs w:val="28"/>
          <w:rtl/>
          <w14:ligatures w14:val="none"/>
        </w:rPr>
      </w:pPr>
    </w:p>
    <w:p w14:paraId="2138B4BA" w14:textId="77777777" w:rsidR="00E43232" w:rsidRPr="00E43232" w:rsidRDefault="00E43232" w:rsidP="00E43232">
      <w:pPr>
        <w:bidi w:val="0"/>
        <w:spacing w:before="100" w:beforeAutospacing="1" w:after="100" w:afterAutospacing="1" w:line="240" w:lineRule="auto"/>
        <w:jc w:val="right"/>
        <w:outlineLvl w:val="0"/>
        <w:rPr>
          <w:rFonts w:ascii="Times New Roman" w:hAnsi="Times New Roman" w:cs="Times New Roman"/>
          <w:b/>
          <w:bCs/>
          <w:kern w:val="36"/>
          <w:sz w:val="28"/>
          <w:szCs w:val="28"/>
          <w14:ligatures w14:val="none"/>
        </w:rPr>
      </w:pPr>
      <w:r w:rsidRPr="00E43232">
        <w:rPr>
          <w:rFonts w:ascii="Times New Roman" w:eastAsia="Times New Roman" w:hAnsi="Times New Roman" w:cs="Times New Roman"/>
          <w:b/>
          <w:bCs/>
          <w:kern w:val="36"/>
          <w:sz w:val="28"/>
          <w:szCs w:val="28"/>
          <w:rtl/>
          <w14:ligatures w14:val="none"/>
        </w:rPr>
        <w:t>رابعًا: العلاقة التكاملية بين الحوكمة والرقابة الداخلية وإدارة المخاطر</w:t>
      </w:r>
    </w:p>
    <w:p w14:paraId="177A0F53" w14:textId="77777777" w:rsidR="00E43232" w:rsidRPr="00E43232" w:rsidRDefault="00E43232" w:rsidP="00E43232">
      <w:pPr>
        <w:spacing w:before="100" w:beforeAutospacing="1" w:after="100" w:afterAutospacing="1" w:line="240" w:lineRule="auto"/>
        <w:rPr>
          <w:rFonts w:ascii="Times New Roman" w:hAnsi="Times New Roman" w:cs="Times New Roman"/>
          <w:kern w:val="0"/>
          <w:sz w:val="28"/>
          <w:szCs w:val="28"/>
          <w14:ligatures w14:val="none"/>
        </w:rPr>
      </w:pPr>
      <w:r w:rsidRPr="00E43232">
        <w:rPr>
          <w:rFonts w:ascii="Times New Roman" w:hAnsi="Times New Roman" w:cs="Times New Roman"/>
          <w:kern w:val="0"/>
          <w:sz w:val="28"/>
          <w:szCs w:val="28"/>
          <w:rtl/>
          <w14:ligatures w14:val="none"/>
        </w:rPr>
        <w:t>تشير الأدبيات إلى وجود علاقة تكاملية قوية بين الأنظمة الثلاثة:</w:t>
      </w:r>
    </w:p>
    <w:p w14:paraId="40AAAF21" w14:textId="77777777" w:rsidR="00E43232" w:rsidRPr="00E43232" w:rsidRDefault="00E43232" w:rsidP="00E43232">
      <w:pPr>
        <w:numPr>
          <w:ilvl w:val="0"/>
          <w:numId w:val="11"/>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الحوكمة: تحدد الإطار العام والسياسات.</w:t>
      </w:r>
    </w:p>
    <w:p w14:paraId="6F0D65DE" w14:textId="77777777" w:rsidR="00E43232" w:rsidRPr="00E43232" w:rsidRDefault="00E43232" w:rsidP="00E43232">
      <w:pPr>
        <w:numPr>
          <w:ilvl w:val="0"/>
          <w:numId w:val="11"/>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الرقابة الداخلية: تطبق تلك السياسات وتكتشف الانحرافات.</w:t>
      </w:r>
    </w:p>
    <w:p w14:paraId="7009F087" w14:textId="77777777" w:rsidR="00E43232" w:rsidRPr="00E43232" w:rsidRDefault="00E43232" w:rsidP="00E43232">
      <w:pPr>
        <w:numPr>
          <w:ilvl w:val="0"/>
          <w:numId w:val="11"/>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إدارة المخاطر: تحلل وتقيّم التهديدات المحتملة وتقدم حلولًا استباقية.</w:t>
      </w:r>
    </w:p>
    <w:p w14:paraId="485D670D" w14:textId="77777777" w:rsidR="00E43232" w:rsidRPr="00E43232" w:rsidRDefault="00E43232" w:rsidP="00E43232">
      <w:pPr>
        <w:spacing w:before="100" w:beforeAutospacing="1" w:after="100" w:afterAutospacing="1" w:line="240" w:lineRule="auto"/>
        <w:rPr>
          <w:rFonts w:ascii="Times New Roman" w:hAnsi="Times New Roman" w:cs="Times New Roman"/>
          <w:kern w:val="0"/>
          <w:sz w:val="28"/>
          <w:szCs w:val="28"/>
          <w14:ligatures w14:val="none"/>
        </w:rPr>
      </w:pPr>
      <w:r w:rsidRPr="00E43232">
        <w:rPr>
          <w:rFonts w:ascii="Times New Roman" w:hAnsi="Times New Roman" w:cs="Times New Roman"/>
          <w:kern w:val="0"/>
          <w:sz w:val="28"/>
          <w:szCs w:val="28"/>
          <w:rtl/>
          <w14:ligatures w14:val="none"/>
        </w:rPr>
        <w:t>ويؤدي التكامل بينها إلى:</w:t>
      </w:r>
    </w:p>
    <w:p w14:paraId="424728E0" w14:textId="77777777" w:rsidR="00E43232" w:rsidRPr="00E43232" w:rsidRDefault="00E43232" w:rsidP="00E43232">
      <w:pPr>
        <w:numPr>
          <w:ilvl w:val="0"/>
          <w:numId w:val="12"/>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تحسين الأداء الإداري والمالي.</w:t>
      </w:r>
    </w:p>
    <w:p w14:paraId="3EF7FA55" w14:textId="77777777" w:rsidR="00E43232" w:rsidRPr="00E43232" w:rsidRDefault="00E43232" w:rsidP="00E43232">
      <w:pPr>
        <w:numPr>
          <w:ilvl w:val="0"/>
          <w:numId w:val="12"/>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رفع جودة المعلومات.</w:t>
      </w:r>
    </w:p>
    <w:p w14:paraId="4A4B6A5E" w14:textId="77777777" w:rsidR="00E43232" w:rsidRPr="00E43232" w:rsidRDefault="00E43232" w:rsidP="00E43232">
      <w:pPr>
        <w:numPr>
          <w:ilvl w:val="0"/>
          <w:numId w:val="12"/>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تعزيز الشفافية والمساءلة.</w:t>
      </w:r>
    </w:p>
    <w:p w14:paraId="4A3C69AC" w14:textId="77777777" w:rsidR="00E43232" w:rsidRPr="00E43232" w:rsidRDefault="00E43232" w:rsidP="00E43232">
      <w:pPr>
        <w:numPr>
          <w:ilvl w:val="0"/>
          <w:numId w:val="12"/>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الحد من الأخطاء والانحرافات.</w:t>
      </w:r>
    </w:p>
    <w:p w14:paraId="0AAEB6F1" w14:textId="77777777" w:rsidR="00E43232" w:rsidRPr="00E43232" w:rsidRDefault="00E43232" w:rsidP="00E43232">
      <w:pPr>
        <w:numPr>
          <w:ilvl w:val="0"/>
          <w:numId w:val="12"/>
        </w:numPr>
        <w:spacing w:before="100" w:beforeAutospacing="1" w:after="100" w:afterAutospacing="1" w:line="240" w:lineRule="auto"/>
        <w:rPr>
          <w:rFonts w:ascii="Times New Roman" w:hAnsi="Times New Roman" w:cs="Times New Roman"/>
          <w:kern w:val="0"/>
          <w:sz w:val="28"/>
          <w:szCs w:val="28"/>
          <w14:ligatures w14:val="none"/>
        </w:rPr>
      </w:pPr>
      <w:r w:rsidRPr="00E43232">
        <w:rPr>
          <w:rFonts w:ascii="Times New Roman" w:hAnsi="Times New Roman" w:cs="Times New Roman"/>
          <w:kern w:val="0"/>
          <w:sz w:val="28"/>
          <w:szCs w:val="28"/>
          <w:rtl/>
          <w14:ligatures w14:val="none"/>
        </w:rPr>
        <w:t>تحسين القدرة على التخطيط للمستقبل</w:t>
      </w:r>
      <w:r w:rsidRPr="00E43232">
        <w:rPr>
          <w:rFonts w:ascii="Times New Roman" w:hAnsi="Times New Roman" w:cs="Times New Roman"/>
          <w:kern w:val="0"/>
          <w:sz w:val="28"/>
          <w:szCs w:val="28"/>
          <w14:ligatures w14:val="none"/>
        </w:rPr>
        <w:t>.</w:t>
      </w:r>
    </w:p>
    <w:p w14:paraId="6BACEBA7" w14:textId="77777777" w:rsidR="00E43232" w:rsidRPr="00E43232" w:rsidRDefault="00E43232" w:rsidP="00E43232">
      <w:pPr>
        <w:spacing w:before="100" w:beforeAutospacing="1" w:after="100" w:afterAutospacing="1" w:line="240" w:lineRule="auto"/>
        <w:ind w:left="720"/>
        <w:rPr>
          <w:rFonts w:ascii="Times New Roman" w:hAnsi="Times New Roman" w:cs="Times New Roman"/>
          <w:kern w:val="0"/>
          <w:sz w:val="28"/>
          <w:szCs w:val="28"/>
          <w:rtl/>
          <w14:ligatures w14:val="none"/>
        </w:rPr>
      </w:pPr>
    </w:p>
    <w:p w14:paraId="63D95708" w14:textId="77777777" w:rsidR="00E43232" w:rsidRPr="00E43232" w:rsidRDefault="00E43232" w:rsidP="00E43232">
      <w:pPr>
        <w:spacing w:line="259" w:lineRule="auto"/>
        <w:rPr>
          <w:rFonts w:ascii="Sakkal Majalla" w:eastAsiaTheme="minorHAnsi" w:hAnsi="Sakkal Majalla" w:cs="Sakkal Majalla"/>
          <w:sz w:val="28"/>
          <w:szCs w:val="28"/>
          <w:u w:val="single"/>
          <w:rtl/>
        </w:rPr>
      </w:pPr>
    </w:p>
    <w:p w14:paraId="23ECC75E" w14:textId="77777777" w:rsidR="00E43232" w:rsidRPr="00E43232" w:rsidRDefault="00E43232" w:rsidP="00E43232">
      <w:pPr>
        <w:spacing w:line="259" w:lineRule="auto"/>
        <w:rPr>
          <w:rFonts w:ascii="Sakkal Majalla" w:eastAsiaTheme="minorHAnsi" w:hAnsi="Sakkal Majalla" w:cs="Sakkal Majalla"/>
          <w:sz w:val="28"/>
          <w:szCs w:val="28"/>
          <w:u w:val="single"/>
          <w:rtl/>
        </w:rPr>
      </w:pPr>
    </w:p>
    <w:p w14:paraId="4DA9257C" w14:textId="77777777" w:rsidR="00E43232" w:rsidRPr="00E43232" w:rsidRDefault="00E43232" w:rsidP="00E43232">
      <w:pPr>
        <w:spacing w:line="259" w:lineRule="auto"/>
        <w:rPr>
          <w:rFonts w:ascii="Sakkal Majalla" w:eastAsiaTheme="minorHAnsi" w:hAnsi="Sakkal Majalla" w:cs="Sakkal Majalla"/>
          <w:sz w:val="28"/>
          <w:szCs w:val="28"/>
          <w:u w:val="single"/>
          <w:rtl/>
        </w:rPr>
      </w:pPr>
    </w:p>
    <w:p w14:paraId="6D0FD2B2" w14:textId="77777777" w:rsidR="00E43232" w:rsidRPr="00E43232" w:rsidRDefault="00E43232" w:rsidP="00E43232">
      <w:pPr>
        <w:spacing w:line="259" w:lineRule="auto"/>
        <w:rPr>
          <w:rFonts w:ascii="Sakkal Majalla" w:eastAsiaTheme="minorHAnsi" w:hAnsi="Sakkal Majalla" w:cs="Sakkal Majalla"/>
          <w:sz w:val="28"/>
          <w:szCs w:val="28"/>
          <w:u w:val="single"/>
          <w:rtl/>
        </w:rPr>
      </w:pPr>
    </w:p>
    <w:p w14:paraId="1312EFE7" w14:textId="77777777" w:rsidR="00E43232" w:rsidRPr="00E43232" w:rsidRDefault="00E43232" w:rsidP="00E43232">
      <w:pPr>
        <w:spacing w:line="259" w:lineRule="auto"/>
        <w:rPr>
          <w:rFonts w:ascii="Sakkal Majalla" w:eastAsiaTheme="minorHAnsi" w:hAnsi="Sakkal Majalla" w:cs="Sakkal Majalla"/>
          <w:sz w:val="28"/>
          <w:szCs w:val="28"/>
          <w:u w:val="single"/>
          <w:rtl/>
        </w:rPr>
      </w:pPr>
    </w:p>
    <w:p w14:paraId="588A2059" w14:textId="77777777" w:rsidR="00E43232" w:rsidRPr="00E43232" w:rsidRDefault="00E43232" w:rsidP="00E43232">
      <w:pPr>
        <w:spacing w:line="259" w:lineRule="auto"/>
        <w:rPr>
          <w:rFonts w:ascii="Sakkal Majalla" w:eastAsiaTheme="minorHAnsi" w:hAnsi="Sakkal Majalla" w:cs="Sakkal Majalla"/>
          <w:sz w:val="28"/>
          <w:szCs w:val="28"/>
          <w:u w:val="single"/>
          <w:rtl/>
        </w:rPr>
      </w:pPr>
    </w:p>
    <w:p w14:paraId="4607CF59" w14:textId="77777777" w:rsidR="00E43232" w:rsidRPr="00E43232" w:rsidRDefault="00E43232" w:rsidP="00E43232">
      <w:pPr>
        <w:spacing w:line="259" w:lineRule="auto"/>
        <w:rPr>
          <w:rFonts w:ascii="Sakkal Majalla" w:eastAsiaTheme="minorHAnsi" w:hAnsi="Sakkal Majalla" w:cs="Sakkal Majalla"/>
          <w:sz w:val="28"/>
          <w:szCs w:val="28"/>
          <w:u w:val="single"/>
          <w:rtl/>
        </w:rPr>
      </w:pPr>
    </w:p>
    <w:p w14:paraId="34AA5B14" w14:textId="77777777" w:rsidR="00E43232" w:rsidRPr="00E43232" w:rsidRDefault="00E43232" w:rsidP="00E43232">
      <w:pPr>
        <w:spacing w:line="259" w:lineRule="auto"/>
        <w:rPr>
          <w:rFonts w:ascii="Sakkal Majalla" w:eastAsiaTheme="minorHAnsi" w:hAnsi="Sakkal Majalla" w:cs="Sakkal Majalla"/>
          <w:sz w:val="28"/>
          <w:szCs w:val="28"/>
          <w:u w:val="single"/>
          <w:rtl/>
        </w:rPr>
      </w:pPr>
    </w:p>
    <w:p w14:paraId="0674EEA1" w14:textId="77777777" w:rsidR="00E43232" w:rsidRPr="00E43232" w:rsidRDefault="00E43232" w:rsidP="00E43232">
      <w:pPr>
        <w:spacing w:line="259" w:lineRule="auto"/>
        <w:rPr>
          <w:rFonts w:ascii="Sakkal Majalla" w:eastAsiaTheme="minorHAnsi" w:hAnsi="Sakkal Majalla" w:cs="Sakkal Majalla"/>
          <w:sz w:val="28"/>
          <w:szCs w:val="28"/>
          <w:u w:val="single"/>
          <w:rtl/>
        </w:rPr>
      </w:pPr>
    </w:p>
    <w:p w14:paraId="4EF33A3A" w14:textId="77777777" w:rsidR="00E43232" w:rsidRPr="00E43232" w:rsidRDefault="00E43232" w:rsidP="00E43232">
      <w:pPr>
        <w:spacing w:line="259" w:lineRule="auto"/>
        <w:rPr>
          <w:rFonts w:ascii="Sakkal Majalla" w:eastAsiaTheme="minorHAnsi" w:hAnsi="Sakkal Majalla" w:cs="Sakkal Majalla"/>
          <w:sz w:val="28"/>
          <w:szCs w:val="28"/>
          <w:u w:val="single"/>
          <w:rtl/>
        </w:rPr>
      </w:pPr>
    </w:p>
    <w:p w14:paraId="640DB58F" w14:textId="77777777" w:rsidR="00E43232" w:rsidRPr="00E43232" w:rsidRDefault="00E43232" w:rsidP="00E43232">
      <w:pPr>
        <w:spacing w:line="259" w:lineRule="auto"/>
        <w:rPr>
          <w:rFonts w:ascii="Sakkal Majalla" w:eastAsiaTheme="minorHAnsi" w:hAnsi="Sakkal Majalla" w:cs="Sakkal Majalla"/>
          <w:sz w:val="28"/>
          <w:szCs w:val="28"/>
          <w:u w:val="single"/>
          <w:rtl/>
        </w:rPr>
      </w:pPr>
    </w:p>
    <w:p w14:paraId="7CFB1DC4" w14:textId="77777777" w:rsidR="00E43232" w:rsidRPr="00E43232" w:rsidRDefault="00E43232" w:rsidP="00E43232">
      <w:pPr>
        <w:spacing w:line="259" w:lineRule="auto"/>
        <w:rPr>
          <w:rFonts w:ascii="Sakkal Majalla" w:eastAsiaTheme="minorHAnsi" w:hAnsi="Sakkal Majalla" w:cs="Sakkal Majalla"/>
          <w:sz w:val="28"/>
          <w:szCs w:val="28"/>
          <w:u w:val="single"/>
          <w:rtl/>
        </w:rPr>
      </w:pPr>
    </w:p>
    <w:p w14:paraId="48B1DAD8" w14:textId="77777777" w:rsidR="00E43232" w:rsidRPr="00E43232" w:rsidRDefault="00E43232" w:rsidP="00E43232">
      <w:pPr>
        <w:spacing w:line="259" w:lineRule="auto"/>
        <w:rPr>
          <w:rFonts w:ascii="Sakkal Majalla" w:eastAsiaTheme="minorHAnsi" w:hAnsi="Sakkal Majalla" w:cs="Sakkal Majalla"/>
          <w:sz w:val="28"/>
          <w:szCs w:val="28"/>
          <w:u w:val="single"/>
          <w:rtl/>
        </w:rPr>
      </w:pPr>
    </w:p>
    <w:p w14:paraId="6A2566DC" w14:textId="77777777" w:rsidR="00E43232" w:rsidRPr="00E43232" w:rsidRDefault="00E43232" w:rsidP="00E43232">
      <w:pPr>
        <w:spacing w:line="259" w:lineRule="auto"/>
        <w:rPr>
          <w:rFonts w:ascii="Sakkal Majalla" w:eastAsiaTheme="minorHAnsi" w:hAnsi="Sakkal Majalla" w:cs="Sakkal Majalla"/>
          <w:b/>
          <w:bCs/>
          <w:sz w:val="28"/>
          <w:szCs w:val="28"/>
          <w:u w:val="single"/>
          <w:rtl/>
        </w:rPr>
      </w:pPr>
    </w:p>
    <w:p w14:paraId="37E7F052" w14:textId="77777777" w:rsidR="00E43232" w:rsidRPr="00E43232" w:rsidRDefault="00E43232" w:rsidP="00E43232">
      <w:pPr>
        <w:spacing w:line="259" w:lineRule="auto"/>
        <w:rPr>
          <w:rFonts w:ascii="Sakkal Majalla" w:eastAsiaTheme="minorHAnsi" w:hAnsi="Sakkal Majalla" w:cs="Sakkal Majalla"/>
          <w:b/>
          <w:bCs/>
          <w:sz w:val="28"/>
          <w:szCs w:val="28"/>
          <w:u w:val="single"/>
          <w:rtl/>
        </w:rPr>
      </w:pPr>
    </w:p>
    <w:p w14:paraId="57FB50EE" w14:textId="77777777" w:rsidR="00E43232" w:rsidRPr="00E43232" w:rsidRDefault="00E43232" w:rsidP="00E43232">
      <w:pPr>
        <w:spacing w:line="259" w:lineRule="auto"/>
        <w:rPr>
          <w:rFonts w:ascii="Sakkal Majalla" w:eastAsiaTheme="minorHAnsi" w:hAnsi="Sakkal Majalla" w:cs="Sakkal Majalla"/>
          <w:b/>
          <w:bCs/>
          <w:sz w:val="28"/>
          <w:szCs w:val="28"/>
          <w:u w:val="single"/>
          <w:rtl/>
        </w:rPr>
      </w:pPr>
    </w:p>
    <w:p w14:paraId="5F5C9DD0" w14:textId="77777777" w:rsidR="00E43232" w:rsidRPr="00E43232" w:rsidRDefault="00E43232" w:rsidP="00E43232">
      <w:pPr>
        <w:spacing w:line="259" w:lineRule="auto"/>
        <w:jc w:val="center"/>
        <w:rPr>
          <w:rFonts w:ascii="Sakkal Majalla" w:eastAsiaTheme="minorHAnsi" w:hAnsi="Sakkal Majalla" w:cs="Sakkal Majalla"/>
          <w:b/>
          <w:bCs/>
          <w:color w:val="0070C0"/>
          <w:sz w:val="36"/>
          <w:szCs w:val="36"/>
          <w:u w:val="single"/>
          <w:rtl/>
        </w:rPr>
      </w:pPr>
      <w:r w:rsidRPr="00E43232">
        <w:rPr>
          <w:rFonts w:ascii="Sakkal Majalla" w:eastAsiaTheme="minorHAnsi" w:hAnsi="Sakkal Majalla" w:cs="Sakkal Majalla" w:hint="cs"/>
          <w:b/>
          <w:bCs/>
          <w:color w:val="0070C0"/>
          <w:sz w:val="36"/>
          <w:szCs w:val="36"/>
          <w:u w:val="single"/>
          <w:rtl/>
        </w:rPr>
        <w:t>الفصل الرابع: منهجية الدراسة</w:t>
      </w:r>
    </w:p>
    <w:p w14:paraId="7F1F2F37" w14:textId="77777777" w:rsidR="00E43232" w:rsidRPr="00E43232" w:rsidRDefault="00E43232" w:rsidP="00E43232">
      <w:pPr>
        <w:spacing w:line="259" w:lineRule="auto"/>
        <w:rPr>
          <w:rFonts w:ascii="Sakkal Majalla" w:eastAsiaTheme="minorHAnsi" w:hAnsi="Sakkal Majalla" w:cs="Sakkal Majalla"/>
          <w:b/>
          <w:bCs/>
          <w:sz w:val="32"/>
          <w:szCs w:val="32"/>
          <w:u w:val="single"/>
          <w:rtl/>
        </w:rPr>
      </w:pPr>
      <w:r w:rsidRPr="00E43232">
        <w:rPr>
          <w:rFonts w:ascii="Sakkal Majalla" w:eastAsiaTheme="minorHAnsi" w:hAnsi="Sakkal Majalla" w:cs="Sakkal Majalla" w:hint="cs"/>
          <w:b/>
          <w:bCs/>
          <w:sz w:val="32"/>
          <w:szCs w:val="32"/>
          <w:u w:val="single"/>
          <w:rtl/>
        </w:rPr>
        <w:t>3</w:t>
      </w:r>
      <w:r w:rsidRPr="00E43232">
        <w:rPr>
          <w:rFonts w:ascii="Sakkal Majalla" w:eastAsiaTheme="minorHAnsi" w:hAnsi="Sakkal Majalla" w:cs="Sakkal Majalla"/>
          <w:b/>
          <w:bCs/>
          <w:sz w:val="32"/>
          <w:szCs w:val="32"/>
          <w:u w:val="single"/>
          <w:rtl/>
        </w:rPr>
        <w:t>-</w:t>
      </w:r>
      <w:r w:rsidRPr="00E43232">
        <w:rPr>
          <w:rFonts w:ascii="Sakkal Majalla" w:eastAsiaTheme="minorHAnsi" w:hAnsi="Sakkal Majalla" w:cs="Sakkal Majalla" w:hint="cs"/>
          <w:b/>
          <w:bCs/>
          <w:sz w:val="32"/>
          <w:szCs w:val="32"/>
          <w:u w:val="single"/>
          <w:rtl/>
        </w:rPr>
        <w:t>1مقدمة</w:t>
      </w:r>
      <w:r w:rsidRPr="00E43232">
        <w:rPr>
          <w:rFonts w:ascii="Sakkal Majalla" w:eastAsiaTheme="minorHAnsi" w:hAnsi="Sakkal Majalla" w:cs="Sakkal Majalla"/>
          <w:b/>
          <w:bCs/>
          <w:sz w:val="32"/>
          <w:szCs w:val="32"/>
          <w:u w:val="single"/>
          <w:rtl/>
        </w:rPr>
        <w:t>.</w:t>
      </w:r>
    </w:p>
    <w:p w14:paraId="6A635E71" w14:textId="77777777" w:rsidR="00E43232" w:rsidRPr="00E43232" w:rsidRDefault="00E43232" w:rsidP="00E43232">
      <w:p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يُعد هذا الفصل الأساس المنهجي الذي تقوم عليه الدراسة، إذ يوضح الأسلوب الذي اتبعه الباحث في جمع البيانات وتحليلها، وتحديد مجتمع البحث وعينته وأدواته العلمية. كما يتناول الحدود الزمانية والمكانية والبشرية التي تحدد إطار الدراسة. وتساعد المنهجية الدقيقة في الوصول إلى نتائج علمية موثوقة تسهم في الإجابة عن تساؤلات البحث والتحقق من فروضه المتعلقة بأثر تطبيق الحوكمة في تعزيز الرقابة الداخلية ودورها في إدارة المخاطر داخل المؤسسات</w:t>
      </w:r>
      <w:r w:rsidRPr="00E43232">
        <w:rPr>
          <w:rFonts w:ascii="Times New Roman" w:hAnsi="Times New Roman" w:cs="Times New Roman" w:hint="cs"/>
          <w:kern w:val="0"/>
          <w:sz w:val="28"/>
          <w:szCs w:val="28"/>
          <w:rtl/>
          <w14:ligatures w14:val="none"/>
        </w:rPr>
        <w:t>.</w:t>
      </w:r>
    </w:p>
    <w:p w14:paraId="012B12DC" w14:textId="77777777" w:rsidR="00E43232" w:rsidRPr="00E43232" w:rsidRDefault="00E43232" w:rsidP="00E43232">
      <w:pPr>
        <w:spacing w:line="259" w:lineRule="auto"/>
        <w:rPr>
          <w:rFonts w:ascii="Sakkal Majalla" w:eastAsiaTheme="minorHAnsi" w:hAnsi="Sakkal Majalla" w:cs="Sakkal Majalla"/>
          <w:sz w:val="28"/>
          <w:szCs w:val="28"/>
          <w:u w:val="single"/>
          <w:rtl/>
        </w:rPr>
      </w:pPr>
      <w:r w:rsidRPr="00E43232">
        <w:rPr>
          <w:rFonts w:ascii="Sakkal Majalla" w:eastAsiaTheme="minorHAnsi" w:hAnsi="Sakkal Majalla" w:cs="Sakkal Majalla"/>
          <w:sz w:val="28"/>
          <w:szCs w:val="28"/>
          <w:u w:val="single"/>
          <w:rtl/>
        </w:rPr>
        <w:t>-المنهجية وطرق البحث.</w:t>
      </w:r>
    </w:p>
    <w:p w14:paraId="6C7F346C" w14:textId="77777777" w:rsidR="00E43232" w:rsidRPr="00E43232" w:rsidRDefault="00E43232" w:rsidP="00E43232">
      <w:pPr>
        <w:spacing w:before="100" w:beforeAutospacing="1" w:after="100" w:afterAutospacing="1" w:line="240" w:lineRule="auto"/>
        <w:rPr>
          <w:rFonts w:ascii="Times New Roman" w:hAnsi="Times New Roman" w:cs="Times New Roman"/>
          <w:kern w:val="0"/>
          <w:sz w:val="28"/>
          <w:szCs w:val="28"/>
          <w14:ligatures w14:val="none"/>
        </w:rPr>
      </w:pPr>
      <w:r w:rsidRPr="00E43232">
        <w:rPr>
          <w:rFonts w:ascii="Times New Roman" w:hAnsi="Times New Roman" w:cs="Times New Roman"/>
          <w:kern w:val="0"/>
          <w:sz w:val="28"/>
          <w:szCs w:val="28"/>
          <w:rtl/>
          <w14:ligatures w14:val="none"/>
        </w:rPr>
        <w:t>اعتمدت الدراسة على المنهج الوصفي التحليلي لملاءمته لطبيعة الموضوع. إذ يتضمن هذا المنهج وصف الظاهرة كما هي في الواقع، ومن ثم تحليل العلاقات بين المتغيرات وفق أساليب علمية. وقد استخدمت الاستبانة كأداة أساسية لجمع البيانات من مجتمع الدراسة، لكونها من أكثر الأدوات دقة وملاءمة للدراسات الإدارية.</w:t>
      </w:r>
    </w:p>
    <w:p w14:paraId="670AFD68" w14:textId="77777777" w:rsidR="00E43232" w:rsidRPr="00E43232" w:rsidRDefault="00E43232" w:rsidP="00E43232">
      <w:pPr>
        <w:spacing w:before="100" w:beforeAutospacing="1" w:after="100" w:afterAutospacing="1" w:line="240" w:lineRule="auto"/>
        <w:rPr>
          <w:rFonts w:ascii="Times New Roman" w:hAnsi="Times New Roman" w:cs="Times New Roman"/>
          <w:kern w:val="0"/>
          <w:sz w:val="28"/>
          <w:szCs w:val="28"/>
          <w14:ligatures w14:val="none"/>
        </w:rPr>
      </w:pPr>
      <w:r w:rsidRPr="00E43232">
        <w:rPr>
          <w:rFonts w:ascii="Times New Roman" w:hAnsi="Times New Roman" w:cs="Times New Roman"/>
          <w:kern w:val="0"/>
          <w:sz w:val="28"/>
          <w:szCs w:val="28"/>
          <w:rtl/>
          <w14:ligatures w14:val="none"/>
        </w:rPr>
        <w:t>كما استخدمت الدراسة أدوات التحليل الإحصائي المناسبة مثل:</w:t>
      </w:r>
    </w:p>
    <w:p w14:paraId="2BA872D9" w14:textId="77777777" w:rsidR="00E43232" w:rsidRPr="00E43232" w:rsidRDefault="00E43232" w:rsidP="00E43232">
      <w:pPr>
        <w:numPr>
          <w:ilvl w:val="0"/>
          <w:numId w:val="13"/>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التكرارات والنسب المئوية.</w:t>
      </w:r>
    </w:p>
    <w:p w14:paraId="784AB02B" w14:textId="77777777" w:rsidR="00E43232" w:rsidRPr="00E43232" w:rsidRDefault="00E43232" w:rsidP="00E43232">
      <w:pPr>
        <w:numPr>
          <w:ilvl w:val="0"/>
          <w:numId w:val="13"/>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المتوسطات الحسابية والانحراف المعياري.</w:t>
      </w:r>
    </w:p>
    <w:p w14:paraId="64554A72" w14:textId="77777777" w:rsidR="00E43232" w:rsidRPr="00E43232" w:rsidRDefault="00E43232" w:rsidP="00E43232">
      <w:pPr>
        <w:numPr>
          <w:ilvl w:val="0"/>
          <w:numId w:val="13"/>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اختبار (</w:t>
      </w:r>
      <w:r w:rsidRPr="00E43232">
        <w:rPr>
          <w:rFonts w:ascii="Times New Roman" w:hAnsi="Times New Roman" w:cs="Times New Roman"/>
          <w:kern w:val="0"/>
          <w:sz w:val="28"/>
          <w:szCs w:val="28"/>
          <w14:ligatures w14:val="none"/>
        </w:rPr>
        <w:t>T-Test</w:t>
      </w:r>
      <w:r w:rsidRPr="00E43232">
        <w:rPr>
          <w:rFonts w:ascii="Times New Roman" w:hAnsi="Times New Roman" w:cs="Times New Roman"/>
          <w:kern w:val="0"/>
          <w:sz w:val="28"/>
          <w:szCs w:val="28"/>
          <w:rtl/>
          <w14:ligatures w14:val="none"/>
        </w:rPr>
        <w:t>) واختبار (</w:t>
      </w:r>
      <w:r w:rsidRPr="00E43232">
        <w:rPr>
          <w:rFonts w:ascii="Times New Roman" w:hAnsi="Times New Roman" w:cs="Times New Roman"/>
          <w:kern w:val="0"/>
          <w:sz w:val="28"/>
          <w:szCs w:val="28"/>
          <w14:ligatures w14:val="none"/>
        </w:rPr>
        <w:t>ANOVA</w:t>
      </w:r>
      <w:r w:rsidRPr="00E43232">
        <w:rPr>
          <w:rFonts w:ascii="Times New Roman" w:hAnsi="Times New Roman" w:cs="Times New Roman"/>
          <w:kern w:val="0"/>
          <w:sz w:val="28"/>
          <w:szCs w:val="28"/>
          <w:rtl/>
          <w14:ligatures w14:val="none"/>
        </w:rPr>
        <w:t>) عند الحاجة.</w:t>
      </w:r>
    </w:p>
    <w:p w14:paraId="3715D5C0" w14:textId="77777777" w:rsidR="00E43232" w:rsidRPr="00E43232" w:rsidRDefault="00E43232" w:rsidP="00E43232">
      <w:pPr>
        <w:numPr>
          <w:ilvl w:val="0"/>
          <w:numId w:val="13"/>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معامل الارتباط بيرسون لقياس قوة العلاقة بين المتغيرات.</w:t>
      </w:r>
    </w:p>
    <w:p w14:paraId="5BB5F486" w14:textId="77777777" w:rsidR="00E43232" w:rsidRPr="00E43232" w:rsidRDefault="00E43232" w:rsidP="00E43232">
      <w:pPr>
        <w:numPr>
          <w:ilvl w:val="0"/>
          <w:numId w:val="13"/>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تحليل الانحدار البسيط والمتعدد لاختبار أثر الحوكمة في الرقابة الداخلية وإدارة المخاطر.</w:t>
      </w:r>
    </w:p>
    <w:p w14:paraId="6E72A759" w14:textId="77777777" w:rsidR="00E43232" w:rsidRPr="00E43232" w:rsidRDefault="00E43232" w:rsidP="00E43232">
      <w:pPr>
        <w:bidi w:val="0"/>
        <w:spacing w:before="100" w:beforeAutospacing="1" w:after="100" w:afterAutospacing="1" w:line="240" w:lineRule="auto"/>
        <w:rPr>
          <w:rFonts w:ascii="Times New Roman" w:hAnsi="Times New Roman" w:cs="Times New Roman"/>
          <w:kern w:val="0"/>
          <w:sz w:val="28"/>
          <w:szCs w:val="28"/>
          <w:rtl/>
          <w14:ligatures w14:val="none"/>
        </w:rPr>
      </w:pPr>
    </w:p>
    <w:p w14:paraId="3F8AE609" w14:textId="77777777" w:rsidR="00E43232" w:rsidRPr="00E43232" w:rsidRDefault="00E43232" w:rsidP="00E43232">
      <w:p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هذه الأساليب تعطي قدرة على تحليل البيانات بشكل دقيق واستخلاص النتائج العلمية.</w:t>
      </w:r>
    </w:p>
    <w:p w14:paraId="4EA7C5E7" w14:textId="77777777" w:rsidR="00E43232" w:rsidRPr="00E43232" w:rsidRDefault="00E43232" w:rsidP="00E43232">
      <w:pPr>
        <w:bidi w:val="0"/>
        <w:spacing w:before="100" w:beforeAutospacing="1" w:after="100" w:afterAutospacing="1" w:line="240" w:lineRule="auto"/>
        <w:jc w:val="right"/>
        <w:outlineLvl w:val="1"/>
        <w:rPr>
          <w:rFonts w:ascii="Times New Roman" w:hAnsi="Times New Roman" w:cs="Times New Roman"/>
          <w:kern w:val="0"/>
          <w:sz w:val="28"/>
          <w:szCs w:val="28"/>
          <w14:ligatures w14:val="none"/>
        </w:rPr>
      </w:pPr>
      <w:r w:rsidRPr="00E43232">
        <w:rPr>
          <w:rFonts w:ascii="Times New Roman" w:eastAsia="Times New Roman" w:hAnsi="Times New Roman" w:cs="Times New Roman"/>
          <w:kern w:val="0"/>
          <w:sz w:val="28"/>
          <w:szCs w:val="28"/>
          <w:rtl/>
          <w14:ligatures w14:val="none"/>
        </w:rPr>
        <w:t>3. مجتمع البحث</w:t>
      </w:r>
    </w:p>
    <w:p w14:paraId="15601892" w14:textId="77777777" w:rsidR="00E43232" w:rsidRPr="00E43232" w:rsidRDefault="00E43232" w:rsidP="00E43232">
      <w:pPr>
        <w:spacing w:before="100" w:beforeAutospacing="1" w:after="100" w:afterAutospacing="1" w:line="240" w:lineRule="auto"/>
        <w:rPr>
          <w:rFonts w:ascii="Times New Roman" w:hAnsi="Times New Roman" w:cs="Times New Roman"/>
          <w:kern w:val="0"/>
          <w:sz w:val="28"/>
          <w:szCs w:val="28"/>
          <w14:ligatures w14:val="none"/>
        </w:rPr>
      </w:pPr>
      <w:r w:rsidRPr="00E43232">
        <w:rPr>
          <w:rFonts w:ascii="Times New Roman" w:hAnsi="Times New Roman" w:cs="Times New Roman"/>
          <w:kern w:val="0"/>
          <w:sz w:val="28"/>
          <w:szCs w:val="28"/>
          <w:rtl/>
          <w14:ligatures w14:val="none"/>
        </w:rPr>
        <w:t>يمثل مجتمع البحث جميع العاملين في الإدارات المتعلقة بموضوع الدراسة، وتشمل:</w:t>
      </w:r>
    </w:p>
    <w:p w14:paraId="229B50DD" w14:textId="77777777" w:rsidR="00E43232" w:rsidRPr="00E43232" w:rsidRDefault="00E43232" w:rsidP="00E43232">
      <w:pPr>
        <w:numPr>
          <w:ilvl w:val="0"/>
          <w:numId w:val="14"/>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وحدات الرقابة الداخلية</w:t>
      </w:r>
    </w:p>
    <w:p w14:paraId="3B79EE20" w14:textId="77777777" w:rsidR="00E43232" w:rsidRPr="00E43232" w:rsidRDefault="00E43232" w:rsidP="00E43232">
      <w:pPr>
        <w:numPr>
          <w:ilvl w:val="0"/>
          <w:numId w:val="14"/>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إدارات الحوكمة</w:t>
      </w:r>
    </w:p>
    <w:p w14:paraId="4FB1122C" w14:textId="77777777" w:rsidR="00E43232" w:rsidRPr="00E43232" w:rsidRDefault="00E43232" w:rsidP="00E43232">
      <w:pPr>
        <w:numPr>
          <w:ilvl w:val="0"/>
          <w:numId w:val="14"/>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إدارات إدارة المخاطر</w:t>
      </w:r>
    </w:p>
    <w:p w14:paraId="571305F0" w14:textId="77777777" w:rsidR="00E43232" w:rsidRPr="00E43232" w:rsidRDefault="00E43232" w:rsidP="00E43232">
      <w:pPr>
        <w:numPr>
          <w:ilvl w:val="0"/>
          <w:numId w:val="14"/>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الإدارات المالية</w:t>
      </w:r>
    </w:p>
    <w:p w14:paraId="0FD7ADDE" w14:textId="77777777" w:rsidR="00E43232" w:rsidRPr="00E43232" w:rsidRDefault="00E43232" w:rsidP="00E43232">
      <w:pPr>
        <w:numPr>
          <w:ilvl w:val="0"/>
          <w:numId w:val="14"/>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المراجعة الداخلية</w:t>
      </w:r>
    </w:p>
    <w:p w14:paraId="6035E3C8" w14:textId="77777777" w:rsidR="00E43232" w:rsidRPr="00E43232" w:rsidRDefault="00E43232" w:rsidP="00E43232">
      <w:pPr>
        <w:numPr>
          <w:ilvl w:val="0"/>
          <w:numId w:val="14"/>
        </w:num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الإدارات التشغيلية ذات العلاقة</w:t>
      </w:r>
    </w:p>
    <w:p w14:paraId="0E704A19" w14:textId="77777777" w:rsidR="00E43232" w:rsidRPr="00E43232" w:rsidRDefault="00E43232" w:rsidP="00E43232">
      <w:p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وقد تم اختيار عينة الدراسة باستخدام أسلوب العينة العشوائية أو الطبقية وفق حجم المؤسسة، بحيث تشمل الموظفين الذين لديهم ارتباط مباشر بالحوكمة أو الرقابة أو المخاطر. يهدف هذا الاختيار إلى ضمان تمثيل حقيقي لآراء العاملين داخل المؤسسة.</w:t>
      </w:r>
    </w:p>
    <w:p w14:paraId="04D75DC7" w14:textId="77777777" w:rsidR="00E43232" w:rsidRPr="00E43232" w:rsidRDefault="00E43232" w:rsidP="00E43232">
      <w:pPr>
        <w:spacing w:before="100" w:beforeAutospacing="1" w:after="100" w:afterAutospacing="1" w:line="240" w:lineRule="auto"/>
        <w:rPr>
          <w:rFonts w:ascii="Times New Roman" w:hAnsi="Times New Roman" w:cs="Times New Roman"/>
          <w:kern w:val="0"/>
          <w:sz w:val="28"/>
          <w:szCs w:val="28"/>
          <w:rtl/>
          <w14:ligatures w14:val="none"/>
        </w:rPr>
      </w:pPr>
    </w:p>
    <w:p w14:paraId="553553B7" w14:textId="77777777" w:rsidR="00E43232" w:rsidRPr="00E43232" w:rsidRDefault="00E43232" w:rsidP="00E43232">
      <w:pPr>
        <w:bidi w:val="0"/>
        <w:spacing w:before="100" w:beforeAutospacing="1" w:after="100" w:afterAutospacing="1" w:line="240" w:lineRule="auto"/>
        <w:jc w:val="right"/>
        <w:outlineLvl w:val="1"/>
        <w:rPr>
          <w:rFonts w:ascii="Times New Roman" w:hAnsi="Times New Roman" w:cs="Times New Roman"/>
          <w:kern w:val="0"/>
          <w:sz w:val="28"/>
          <w:szCs w:val="28"/>
          <w14:ligatures w14:val="none"/>
        </w:rPr>
      </w:pPr>
      <w:r w:rsidRPr="00E43232">
        <w:rPr>
          <w:rFonts w:ascii="Times New Roman" w:eastAsia="Times New Roman" w:hAnsi="Times New Roman" w:cs="Times New Roman"/>
          <w:kern w:val="0"/>
          <w:sz w:val="28"/>
          <w:szCs w:val="28"/>
          <w:rtl/>
          <w14:ligatures w14:val="none"/>
        </w:rPr>
        <w:t>4. حدود البحث</w:t>
      </w:r>
      <w:r w:rsidRPr="00E43232">
        <w:rPr>
          <w:rFonts w:ascii="Times New Roman" w:eastAsia="Times New Roman" w:hAnsi="Times New Roman" w:cs="Times New Roman" w:hint="cs"/>
          <w:kern w:val="0"/>
          <w:sz w:val="28"/>
          <w:szCs w:val="28"/>
          <w:rtl/>
          <w14:ligatures w14:val="none"/>
        </w:rPr>
        <w:t>:</w:t>
      </w:r>
    </w:p>
    <w:p w14:paraId="79D964B3" w14:textId="77777777" w:rsidR="00E43232" w:rsidRPr="00E43232" w:rsidRDefault="00E43232" w:rsidP="00E43232">
      <w:pPr>
        <w:bidi w:val="0"/>
        <w:spacing w:before="100" w:beforeAutospacing="1" w:after="100" w:afterAutospacing="1" w:line="240" w:lineRule="auto"/>
        <w:jc w:val="right"/>
        <w:outlineLvl w:val="2"/>
        <w:rPr>
          <w:rFonts w:ascii="Times New Roman" w:eastAsia="Times New Roman" w:hAnsi="Times New Roman" w:cs="Times New Roman"/>
          <w:kern w:val="0"/>
          <w:sz w:val="28"/>
          <w:szCs w:val="28"/>
          <w14:ligatures w14:val="none"/>
        </w:rPr>
      </w:pPr>
      <w:r w:rsidRPr="00E43232">
        <w:rPr>
          <w:rFonts w:ascii="Times New Roman" w:eastAsia="Times New Roman" w:hAnsi="Times New Roman" w:cs="Times New Roman"/>
          <w:kern w:val="0"/>
          <w:sz w:val="28"/>
          <w:szCs w:val="28"/>
          <w:rtl/>
          <w14:ligatures w14:val="none"/>
        </w:rPr>
        <w:t>أ. الحدود الموضوعية</w:t>
      </w:r>
      <w:r w:rsidRPr="00E43232">
        <w:rPr>
          <w:rFonts w:ascii="Times New Roman" w:eastAsia="Times New Roman" w:hAnsi="Times New Roman" w:cs="Times New Roman" w:hint="cs"/>
          <w:kern w:val="0"/>
          <w:sz w:val="28"/>
          <w:szCs w:val="28"/>
          <w:rtl/>
          <w14:ligatures w14:val="none"/>
        </w:rPr>
        <w:t>:</w:t>
      </w:r>
    </w:p>
    <w:p w14:paraId="23F92356" w14:textId="77777777" w:rsidR="00E43232" w:rsidRPr="00E43232" w:rsidRDefault="00E43232" w:rsidP="00E43232">
      <w:pPr>
        <w:spacing w:before="100" w:beforeAutospacing="1" w:after="100" w:afterAutospacing="1" w:line="240" w:lineRule="auto"/>
        <w:rPr>
          <w:rFonts w:ascii="Times New Roman" w:hAnsi="Times New Roman" w:cs="Times New Roman"/>
          <w:kern w:val="0"/>
          <w:sz w:val="28"/>
          <w:szCs w:val="28"/>
          <w14:ligatures w14:val="none"/>
        </w:rPr>
      </w:pPr>
      <w:r w:rsidRPr="00E43232">
        <w:rPr>
          <w:rFonts w:ascii="Times New Roman" w:hAnsi="Times New Roman" w:cs="Times New Roman"/>
          <w:kern w:val="0"/>
          <w:sz w:val="28"/>
          <w:szCs w:val="28"/>
          <w:rtl/>
          <w14:ligatures w14:val="none"/>
        </w:rPr>
        <w:t>ركزت الدراسة على موضوع:</w:t>
      </w:r>
    </w:p>
    <w:p w14:paraId="27CD5AE8" w14:textId="77777777" w:rsidR="00E43232" w:rsidRPr="00E43232" w:rsidRDefault="00E43232" w:rsidP="00E43232">
      <w:p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أثر تطبيق الحوكمة في تعزيز الرقابة الداخلية ودورها في دعم إدارة المخاطر داخل المؤسسات.</w:t>
      </w:r>
    </w:p>
    <w:p w14:paraId="0C2546C2" w14:textId="77777777" w:rsidR="00E43232" w:rsidRPr="00E43232" w:rsidRDefault="00E43232" w:rsidP="00E43232">
      <w:pPr>
        <w:bidi w:val="0"/>
        <w:spacing w:before="100" w:beforeAutospacing="1" w:after="100" w:afterAutospacing="1" w:line="240" w:lineRule="auto"/>
        <w:jc w:val="right"/>
        <w:outlineLvl w:val="2"/>
        <w:rPr>
          <w:rFonts w:ascii="Times New Roman" w:eastAsia="Times New Roman" w:hAnsi="Times New Roman" w:cs="Times New Roman"/>
          <w:kern w:val="0"/>
          <w:sz w:val="28"/>
          <w:szCs w:val="28"/>
          <w14:ligatures w14:val="none"/>
        </w:rPr>
      </w:pPr>
      <w:r w:rsidRPr="00E43232">
        <w:rPr>
          <w:rFonts w:ascii="Times New Roman" w:eastAsia="Times New Roman" w:hAnsi="Times New Roman" w:cs="Times New Roman"/>
          <w:kern w:val="0"/>
          <w:sz w:val="28"/>
          <w:szCs w:val="28"/>
          <w:rtl/>
          <w14:ligatures w14:val="none"/>
        </w:rPr>
        <w:t>ب. الحدود الزمانية</w:t>
      </w:r>
      <w:r w:rsidRPr="00E43232">
        <w:rPr>
          <w:rFonts w:ascii="Times New Roman" w:eastAsia="Times New Roman" w:hAnsi="Times New Roman" w:cs="Times New Roman" w:hint="cs"/>
          <w:kern w:val="0"/>
          <w:sz w:val="28"/>
          <w:szCs w:val="28"/>
          <w:rtl/>
          <w14:ligatures w14:val="none"/>
        </w:rPr>
        <w:t>:</w:t>
      </w:r>
    </w:p>
    <w:p w14:paraId="0D18371A" w14:textId="77777777" w:rsidR="00E43232" w:rsidRPr="00E43232" w:rsidRDefault="00E43232" w:rsidP="00E43232">
      <w:p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تم تنفيذ الدراسة خلال العام الذي تم فيه جمع البيانات، مما يجعل النتائج مرتبطة بالفترة الزمنية التي أجريت فيها.</w:t>
      </w:r>
    </w:p>
    <w:p w14:paraId="7506A3E1" w14:textId="77777777" w:rsidR="00E43232" w:rsidRPr="00E43232" w:rsidRDefault="00E43232" w:rsidP="00E43232">
      <w:pPr>
        <w:bidi w:val="0"/>
        <w:spacing w:before="100" w:beforeAutospacing="1" w:after="100" w:afterAutospacing="1" w:line="240" w:lineRule="auto"/>
        <w:jc w:val="right"/>
        <w:outlineLvl w:val="2"/>
        <w:rPr>
          <w:rFonts w:ascii="Times New Roman" w:eastAsia="Times New Roman" w:hAnsi="Times New Roman" w:cs="Times New Roman"/>
          <w:kern w:val="0"/>
          <w:sz w:val="28"/>
          <w:szCs w:val="28"/>
          <w14:ligatures w14:val="none"/>
        </w:rPr>
      </w:pPr>
      <w:r w:rsidRPr="00E43232">
        <w:rPr>
          <w:rFonts w:ascii="Times New Roman" w:eastAsia="Times New Roman" w:hAnsi="Times New Roman" w:cs="Times New Roman"/>
          <w:kern w:val="0"/>
          <w:sz w:val="28"/>
          <w:szCs w:val="28"/>
          <w:rtl/>
          <w14:ligatures w14:val="none"/>
        </w:rPr>
        <w:t>ج. الحدود المكانية</w:t>
      </w:r>
      <w:r w:rsidRPr="00E43232">
        <w:rPr>
          <w:rFonts w:ascii="Times New Roman" w:eastAsia="Times New Roman" w:hAnsi="Times New Roman" w:cs="Times New Roman" w:hint="cs"/>
          <w:kern w:val="0"/>
          <w:sz w:val="28"/>
          <w:szCs w:val="28"/>
          <w:rtl/>
          <w14:ligatures w14:val="none"/>
        </w:rPr>
        <w:t>:</w:t>
      </w:r>
    </w:p>
    <w:p w14:paraId="1AC9DADD" w14:textId="77777777" w:rsidR="00E43232" w:rsidRPr="00E43232" w:rsidRDefault="00E43232" w:rsidP="00E43232">
      <w:pPr>
        <w:spacing w:before="100" w:beforeAutospacing="1" w:after="100" w:afterAutospacing="1" w:line="240" w:lineRule="auto"/>
        <w:rPr>
          <w:rFonts w:ascii="Times New Roman" w:hAnsi="Times New Roman" w:cs="Times New Roman"/>
          <w:kern w:val="0"/>
          <w:sz w:val="28"/>
          <w:szCs w:val="28"/>
          <w:rtl/>
          <w14:ligatures w14:val="none"/>
        </w:rPr>
      </w:pPr>
      <w:r w:rsidRPr="00E43232">
        <w:rPr>
          <w:rFonts w:ascii="Times New Roman" w:hAnsi="Times New Roman" w:cs="Times New Roman"/>
          <w:kern w:val="0"/>
          <w:sz w:val="28"/>
          <w:szCs w:val="28"/>
          <w:rtl/>
          <w14:ligatures w14:val="none"/>
        </w:rPr>
        <w:t>اقتصرت الدراسة على المؤسسات التي طُبقت عليها الاستبانة، سواء جهات حكومية أو خاصة ضمن نطاق الباحث.</w:t>
      </w:r>
    </w:p>
    <w:p w14:paraId="4CDE07F5" w14:textId="77777777" w:rsidR="00E43232" w:rsidRPr="00E43232" w:rsidRDefault="00E43232" w:rsidP="00E43232">
      <w:pPr>
        <w:bidi w:val="0"/>
        <w:spacing w:before="100" w:beforeAutospacing="1" w:after="100" w:afterAutospacing="1" w:line="240" w:lineRule="auto"/>
        <w:jc w:val="right"/>
        <w:outlineLvl w:val="2"/>
        <w:rPr>
          <w:rFonts w:ascii="Times New Roman" w:eastAsia="Times New Roman" w:hAnsi="Times New Roman" w:cs="Times New Roman"/>
          <w:kern w:val="0"/>
          <w:sz w:val="28"/>
          <w:szCs w:val="28"/>
          <w14:ligatures w14:val="none"/>
        </w:rPr>
      </w:pPr>
      <w:r w:rsidRPr="00E43232">
        <w:rPr>
          <w:rFonts w:ascii="Times New Roman" w:eastAsia="Times New Roman" w:hAnsi="Times New Roman" w:cs="Times New Roman"/>
          <w:kern w:val="0"/>
          <w:sz w:val="28"/>
          <w:szCs w:val="28"/>
          <w:rtl/>
          <w14:ligatures w14:val="none"/>
        </w:rPr>
        <w:t>د. الحدود البشرية</w:t>
      </w:r>
      <w:r w:rsidRPr="00E43232">
        <w:rPr>
          <w:rFonts w:ascii="Times New Roman" w:eastAsia="Times New Roman" w:hAnsi="Times New Roman" w:cs="Times New Roman" w:hint="cs"/>
          <w:kern w:val="0"/>
          <w:sz w:val="28"/>
          <w:szCs w:val="28"/>
          <w:rtl/>
          <w14:ligatures w14:val="none"/>
        </w:rPr>
        <w:t>:</w:t>
      </w:r>
    </w:p>
    <w:p w14:paraId="7CE41A44" w14:textId="77777777" w:rsidR="00E43232" w:rsidRPr="00E43232" w:rsidRDefault="00E43232" w:rsidP="00E43232">
      <w:pPr>
        <w:spacing w:before="100" w:beforeAutospacing="1" w:after="100" w:afterAutospacing="1" w:line="240" w:lineRule="auto"/>
        <w:rPr>
          <w:rFonts w:ascii="Times New Roman" w:hAnsi="Times New Roman" w:cs="Times New Roman"/>
          <w:kern w:val="0"/>
          <w:sz w:val="28"/>
          <w:szCs w:val="28"/>
          <w14:ligatures w14:val="none"/>
        </w:rPr>
      </w:pPr>
      <w:r w:rsidRPr="00E43232">
        <w:rPr>
          <w:rFonts w:ascii="Times New Roman" w:hAnsi="Times New Roman" w:cs="Times New Roman"/>
          <w:kern w:val="0"/>
          <w:sz w:val="28"/>
          <w:szCs w:val="28"/>
          <w:rtl/>
          <w14:ligatures w14:val="none"/>
        </w:rPr>
        <w:t>شملت موظفي الإدارات المرتبطة بموضوع الدراسة: الحوكمة، الرقابة الداخلية، إدارة المخاطر، المالية، والتدقيق الداخلي</w:t>
      </w:r>
    </w:p>
    <w:p w14:paraId="55D0A1DB" w14:textId="77777777" w:rsidR="00E43232" w:rsidRPr="00E43232" w:rsidRDefault="00E43232" w:rsidP="00E43232">
      <w:pPr>
        <w:spacing w:line="259" w:lineRule="auto"/>
        <w:rPr>
          <w:rFonts w:ascii="Sakkal Majalla" w:eastAsiaTheme="minorHAnsi" w:hAnsi="Sakkal Majalla" w:cs="Sakkal Majalla"/>
          <w:b/>
          <w:bCs/>
          <w:sz w:val="28"/>
          <w:szCs w:val="28"/>
          <w:u w:val="single"/>
          <w:rtl/>
        </w:rPr>
      </w:pPr>
    </w:p>
    <w:p w14:paraId="6310F2D9" w14:textId="77777777" w:rsidR="00E43232" w:rsidRDefault="00E43232"/>
    <w:sectPr w:rsidR="00E43232" w:rsidSect="00E4765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76D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B025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3766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F612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5208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032B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3760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CB69E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001430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2DB3A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4514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1D12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6726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6D00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624734">
    <w:abstractNumId w:val="6"/>
  </w:num>
  <w:num w:numId="2" w16cid:durableId="619457872">
    <w:abstractNumId w:val="12"/>
  </w:num>
  <w:num w:numId="3" w16cid:durableId="634795594">
    <w:abstractNumId w:val="10"/>
  </w:num>
  <w:num w:numId="4" w16cid:durableId="675690267">
    <w:abstractNumId w:val="2"/>
  </w:num>
  <w:num w:numId="5" w16cid:durableId="1445225073">
    <w:abstractNumId w:val="8"/>
  </w:num>
  <w:num w:numId="6" w16cid:durableId="711924229">
    <w:abstractNumId w:val="1"/>
  </w:num>
  <w:num w:numId="7" w16cid:durableId="1882788354">
    <w:abstractNumId w:val="9"/>
  </w:num>
  <w:num w:numId="8" w16cid:durableId="435951798">
    <w:abstractNumId w:val="7"/>
  </w:num>
  <w:num w:numId="9" w16cid:durableId="1309361356">
    <w:abstractNumId w:val="0"/>
  </w:num>
  <w:num w:numId="10" w16cid:durableId="1192498092">
    <w:abstractNumId w:val="4"/>
  </w:num>
  <w:num w:numId="11" w16cid:durableId="1947154954">
    <w:abstractNumId w:val="11"/>
  </w:num>
  <w:num w:numId="12" w16cid:durableId="968164005">
    <w:abstractNumId w:val="13"/>
  </w:num>
  <w:num w:numId="13" w16cid:durableId="764959315">
    <w:abstractNumId w:val="3"/>
  </w:num>
  <w:num w:numId="14" w16cid:durableId="5963268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4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232"/>
    <w:rsid w:val="00645F4B"/>
    <w:rsid w:val="008A520D"/>
    <w:rsid w:val="00E43232"/>
    <w:rsid w:val="00E476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096AD99E"/>
  <w15:chartTrackingRefBased/>
  <w15:docId w15:val="{AEB5AFCA-7AA0-AA44-B397-3BC73EE2D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432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E432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E4323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E4323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E4323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4323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4323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4323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4323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4323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E4323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E4323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E4323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E43232"/>
    <w:rPr>
      <w:rFonts w:eastAsiaTheme="majorEastAsia" w:cstheme="majorBidi"/>
      <w:color w:val="2F5496" w:themeColor="accent1" w:themeShade="BF"/>
    </w:rPr>
  </w:style>
  <w:style w:type="character" w:customStyle="1" w:styleId="6Char">
    <w:name w:val="عنوان 6 Char"/>
    <w:basedOn w:val="a0"/>
    <w:link w:val="6"/>
    <w:uiPriority w:val="9"/>
    <w:semiHidden/>
    <w:rsid w:val="00E43232"/>
    <w:rPr>
      <w:rFonts w:eastAsiaTheme="majorEastAsia" w:cstheme="majorBidi"/>
      <w:i/>
      <w:iCs/>
      <w:color w:val="595959" w:themeColor="text1" w:themeTint="A6"/>
    </w:rPr>
  </w:style>
  <w:style w:type="character" w:customStyle="1" w:styleId="7Char">
    <w:name w:val="عنوان 7 Char"/>
    <w:basedOn w:val="a0"/>
    <w:link w:val="7"/>
    <w:uiPriority w:val="9"/>
    <w:semiHidden/>
    <w:rsid w:val="00E43232"/>
    <w:rPr>
      <w:rFonts w:eastAsiaTheme="majorEastAsia" w:cstheme="majorBidi"/>
      <w:color w:val="595959" w:themeColor="text1" w:themeTint="A6"/>
    </w:rPr>
  </w:style>
  <w:style w:type="character" w:customStyle="1" w:styleId="8Char">
    <w:name w:val="عنوان 8 Char"/>
    <w:basedOn w:val="a0"/>
    <w:link w:val="8"/>
    <w:uiPriority w:val="9"/>
    <w:semiHidden/>
    <w:rsid w:val="00E43232"/>
    <w:rPr>
      <w:rFonts w:eastAsiaTheme="majorEastAsia" w:cstheme="majorBidi"/>
      <w:i/>
      <w:iCs/>
      <w:color w:val="272727" w:themeColor="text1" w:themeTint="D8"/>
    </w:rPr>
  </w:style>
  <w:style w:type="character" w:customStyle="1" w:styleId="9Char">
    <w:name w:val="عنوان 9 Char"/>
    <w:basedOn w:val="a0"/>
    <w:link w:val="9"/>
    <w:uiPriority w:val="9"/>
    <w:semiHidden/>
    <w:rsid w:val="00E43232"/>
    <w:rPr>
      <w:rFonts w:eastAsiaTheme="majorEastAsia" w:cstheme="majorBidi"/>
      <w:color w:val="272727" w:themeColor="text1" w:themeTint="D8"/>
    </w:rPr>
  </w:style>
  <w:style w:type="paragraph" w:styleId="a3">
    <w:name w:val="Title"/>
    <w:basedOn w:val="a"/>
    <w:next w:val="a"/>
    <w:link w:val="Char"/>
    <w:uiPriority w:val="10"/>
    <w:qFormat/>
    <w:rsid w:val="00E432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4323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4323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4323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43232"/>
    <w:pPr>
      <w:spacing w:before="160"/>
      <w:jc w:val="center"/>
    </w:pPr>
    <w:rPr>
      <w:i/>
      <w:iCs/>
      <w:color w:val="404040" w:themeColor="text1" w:themeTint="BF"/>
    </w:rPr>
  </w:style>
  <w:style w:type="character" w:customStyle="1" w:styleId="Char1">
    <w:name w:val="اقتباس Char"/>
    <w:basedOn w:val="a0"/>
    <w:link w:val="a5"/>
    <w:uiPriority w:val="29"/>
    <w:rsid w:val="00E43232"/>
    <w:rPr>
      <w:i/>
      <w:iCs/>
      <w:color w:val="404040" w:themeColor="text1" w:themeTint="BF"/>
    </w:rPr>
  </w:style>
  <w:style w:type="paragraph" w:styleId="a6">
    <w:name w:val="List Paragraph"/>
    <w:basedOn w:val="a"/>
    <w:uiPriority w:val="34"/>
    <w:qFormat/>
    <w:rsid w:val="00E43232"/>
    <w:pPr>
      <w:ind w:left="720"/>
      <w:contextualSpacing/>
    </w:pPr>
  </w:style>
  <w:style w:type="character" w:styleId="a7">
    <w:name w:val="Intense Emphasis"/>
    <w:basedOn w:val="a0"/>
    <w:uiPriority w:val="21"/>
    <w:qFormat/>
    <w:rsid w:val="00E43232"/>
    <w:rPr>
      <w:i/>
      <w:iCs/>
      <w:color w:val="2F5496" w:themeColor="accent1" w:themeShade="BF"/>
    </w:rPr>
  </w:style>
  <w:style w:type="paragraph" w:styleId="a8">
    <w:name w:val="Intense Quote"/>
    <w:basedOn w:val="a"/>
    <w:next w:val="a"/>
    <w:link w:val="Char2"/>
    <w:uiPriority w:val="30"/>
    <w:qFormat/>
    <w:rsid w:val="00E432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E43232"/>
    <w:rPr>
      <w:i/>
      <w:iCs/>
      <w:color w:val="2F5496" w:themeColor="accent1" w:themeShade="BF"/>
    </w:rPr>
  </w:style>
  <w:style w:type="character" w:styleId="a9">
    <w:name w:val="Intense Reference"/>
    <w:basedOn w:val="a0"/>
    <w:uiPriority w:val="32"/>
    <w:qFormat/>
    <w:rsid w:val="00E43232"/>
    <w:rPr>
      <w:b/>
      <w:bCs/>
      <w:smallCaps/>
      <w:color w:val="2F5496" w:themeColor="accent1" w:themeShade="BF"/>
      <w:spacing w:val="5"/>
    </w:rPr>
  </w:style>
  <w:style w:type="paragraph" w:customStyle="1" w:styleId="p1">
    <w:name w:val="p1"/>
    <w:basedOn w:val="a"/>
    <w:rsid w:val="00E43232"/>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a0"/>
    <w:rsid w:val="00E432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1057</Words>
  <Characters>6027</Characters>
  <Application>Microsoft Office Word</Application>
  <DocSecurity>0</DocSecurity>
  <Lines>50</Lines>
  <Paragraphs>14</Paragraphs>
  <ScaleCrop>false</ScaleCrop>
  <Company/>
  <LinksUpToDate>false</LinksUpToDate>
  <CharactersWithSpaces>7070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fawaz20x20@gmail.com</dc:creator>
  <cp:keywords/>
  <dc:description/>
  <cp:lastModifiedBy>fawaz20x20@gmail.com</cp:lastModifiedBy>
  <cp:revision>2</cp:revision>
  <dcterms:created xsi:type="dcterms:W3CDTF">2025-12-05T15:01:00Z</dcterms:created>
  <dcterms:modified xsi:type="dcterms:W3CDTF">2025-12-05T15:01:00Z</dcterms:modified>
</cp:coreProperties>
</file>