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368" w:rsidRPr="007A6368" w:rsidRDefault="007A6368" w:rsidP="007A6368">
      <w:pPr>
        <w:bidi/>
        <w:spacing w:after="160" w:line="259" w:lineRule="auto"/>
        <w:rPr>
          <w:rFonts w:ascii="Simplified Arabic" w:eastAsia="Calibri" w:hAnsi="Simplified Arabic" w:cs="Simplified Arabic"/>
          <w:b/>
          <w:bCs/>
          <w:kern w:val="2"/>
          <w:sz w:val="24"/>
          <w:szCs w:val="24"/>
          <w:lang w:bidi="ar-EG"/>
          <w14:ligatures w14:val="standardContextual"/>
        </w:rPr>
      </w:pPr>
      <w:r w:rsidRPr="007A6368">
        <w:rPr>
          <w:rFonts w:ascii="Simplified Arabic" w:eastAsia="Calibri" w:hAnsi="Simplified Arabic" w:cs="Simplified Arabic"/>
          <w:b/>
          <w:bCs/>
          <w:kern w:val="2"/>
          <w:sz w:val="24"/>
          <w:szCs w:val="24"/>
          <w:rtl/>
          <w:lang w:bidi="ar-EG"/>
          <w14:ligatures w14:val="standardContextual"/>
        </w:rPr>
        <w:t xml:space="preserve">جامعة ميدأوشن </w:t>
      </w:r>
    </w:p>
    <w:p w:rsidR="007A6368" w:rsidRPr="007A6368" w:rsidRDefault="007A6368" w:rsidP="007A6368">
      <w:pPr>
        <w:bidi/>
        <w:spacing w:after="160" w:line="259" w:lineRule="auto"/>
        <w:rPr>
          <w:rFonts w:ascii="Simplified Arabic" w:eastAsia="Calibri" w:hAnsi="Simplified Arabic" w:cs="Simplified Arabic"/>
          <w:b/>
          <w:bCs/>
          <w:kern w:val="2"/>
          <w:sz w:val="24"/>
          <w:szCs w:val="24"/>
          <w:rtl/>
          <w:lang w:bidi="ar-EG"/>
          <w14:ligatures w14:val="standardContextual"/>
        </w:rPr>
      </w:pPr>
      <w:r w:rsidRPr="007A6368">
        <w:rPr>
          <w:rFonts w:ascii="Simplified Arabic" w:eastAsia="Calibri" w:hAnsi="Simplified Arabic" w:cs="Simplified Arabic"/>
          <w:b/>
          <w:bCs/>
          <w:noProof/>
          <w:kern w:val="2"/>
          <w:sz w:val="24"/>
          <w:szCs w:val="24"/>
          <w14:ligatures w14:val="standardContextual"/>
        </w:rPr>
        <w:drawing>
          <wp:anchor distT="0" distB="0" distL="114300" distR="114300" simplePos="0" relativeHeight="251659264" behindDoc="0" locked="0" layoutInCell="1" allowOverlap="1" wp14:anchorId="640AE308" wp14:editId="10B49E59">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A6368">
        <w:rPr>
          <w:rFonts w:ascii="Simplified Arabic" w:eastAsia="Calibri" w:hAnsi="Simplified Arabic" w:cs="Simplified Arabic"/>
          <w:b/>
          <w:bCs/>
          <w:kern w:val="2"/>
          <w:sz w:val="24"/>
          <w:szCs w:val="24"/>
          <w:lang w:bidi="ar-EG"/>
          <w14:ligatures w14:val="standardContextual"/>
        </w:rPr>
        <w:t xml:space="preserve">    </w:t>
      </w:r>
      <w:r w:rsidRPr="007A6368">
        <w:rPr>
          <w:rFonts w:ascii="Simplified Arabic" w:eastAsia="Calibri" w:hAnsi="Simplified Arabic" w:cs="Simplified Arabic"/>
          <w:b/>
          <w:bCs/>
          <w:kern w:val="2"/>
          <w:sz w:val="24"/>
          <w:szCs w:val="24"/>
          <w:rtl/>
          <w:lang w:bidi="ar-EG"/>
          <w14:ligatures w14:val="standardContextual"/>
        </w:rPr>
        <w:t xml:space="preserve">كلية الإدارة </w:t>
      </w:r>
    </w:p>
    <w:p w:rsidR="007A6368" w:rsidRPr="007A6368" w:rsidRDefault="007A6368" w:rsidP="007A6368">
      <w:pPr>
        <w:bidi/>
        <w:spacing w:after="160" w:line="259" w:lineRule="auto"/>
        <w:rPr>
          <w:rFonts w:ascii="Simplified Arabic" w:eastAsia="Calibri" w:hAnsi="Simplified Arabic" w:cs="Simplified Arabic"/>
          <w:kern w:val="2"/>
          <w:sz w:val="24"/>
          <w:szCs w:val="24"/>
          <w:rtl/>
          <w:lang w:bidi="ar-EG"/>
          <w14:ligatures w14:val="standardContextual"/>
        </w:rPr>
      </w:pPr>
      <w:r w:rsidRPr="007A6368">
        <w:rPr>
          <w:rFonts w:ascii="Simplified Arabic" w:eastAsia="Calibri" w:hAnsi="Simplified Arabic" w:cs="Simplified Arabic"/>
          <w:b/>
          <w:bCs/>
          <w:kern w:val="2"/>
          <w:sz w:val="24"/>
          <w:szCs w:val="24"/>
          <w:rtl/>
          <w:lang w:bidi="ar-EG"/>
          <w14:ligatures w14:val="standardContextual"/>
        </w:rPr>
        <w:t>قسم / الموارد البشرية</w:t>
      </w:r>
    </w:p>
    <w:p w:rsidR="007A6368" w:rsidRPr="007A6368" w:rsidRDefault="007A6368" w:rsidP="007A6368">
      <w:pPr>
        <w:bidi/>
        <w:spacing w:after="160" w:line="259" w:lineRule="auto"/>
        <w:rPr>
          <w:rFonts w:ascii="Simplified Arabic" w:eastAsia="Calibri" w:hAnsi="Simplified Arabic" w:cs="Simplified Arabic"/>
          <w:kern w:val="2"/>
          <w:sz w:val="28"/>
          <w:szCs w:val="28"/>
          <w:rtl/>
          <w:lang w:bidi="ar-EG"/>
          <w14:ligatures w14:val="standardContextual"/>
        </w:rPr>
      </w:pPr>
    </w:p>
    <w:p w:rsidR="007A6368" w:rsidRPr="007A6368" w:rsidRDefault="007A6368" w:rsidP="007A6368">
      <w:pPr>
        <w:bidi/>
        <w:spacing w:after="160" w:line="259" w:lineRule="auto"/>
        <w:rPr>
          <w:rFonts w:ascii="Simplified Arabic" w:eastAsia="Calibri" w:hAnsi="Simplified Arabic" w:cs="Simplified Arabic"/>
          <w:kern w:val="2"/>
          <w:sz w:val="28"/>
          <w:szCs w:val="28"/>
          <w:rtl/>
          <w:lang w:bidi="ar-EG"/>
          <w14:ligatures w14:val="standardContextual"/>
        </w:rPr>
      </w:pPr>
    </w:p>
    <w:p w:rsidR="007A6368" w:rsidRPr="007A6368" w:rsidRDefault="007A6368" w:rsidP="007A6368">
      <w:pPr>
        <w:bidi/>
        <w:spacing w:after="160" w:line="259" w:lineRule="auto"/>
        <w:jc w:val="center"/>
        <w:rPr>
          <w:rFonts w:ascii="Simplified Arabic" w:eastAsia="Calibri" w:hAnsi="Simplified Arabic" w:cs="Simplified Arabic"/>
          <w:kern w:val="2"/>
          <w:sz w:val="32"/>
          <w:szCs w:val="32"/>
          <w:rtl/>
          <w:lang w:bidi="ar-EG"/>
          <w14:ligatures w14:val="standardContextual"/>
        </w:rPr>
      </w:pPr>
      <w:r w:rsidRPr="007A6368">
        <w:rPr>
          <w:rFonts w:ascii="Simplified Arabic" w:eastAsia="Calibri" w:hAnsi="Simplified Arabic" w:cs="Simplified Arabic"/>
          <w:b/>
          <w:bCs/>
          <w:kern w:val="2"/>
          <w:sz w:val="32"/>
          <w:szCs w:val="32"/>
          <w:rtl/>
          <w:lang w:bidi="ar-EG"/>
          <w14:ligatures w14:val="standardContextual"/>
        </w:rPr>
        <w:t>أثر ممارسات إدارة المواهب في الاحتفاظ بالكفاءات البشرية في الشركات الصناعية بالمملكة العربية السعودية</w:t>
      </w:r>
    </w:p>
    <w:p w:rsidR="007A6368" w:rsidRPr="007A6368" w:rsidRDefault="007A6368" w:rsidP="007A6368">
      <w:pPr>
        <w:bidi/>
        <w:spacing w:after="160" w:line="259" w:lineRule="auto"/>
        <w:jc w:val="center"/>
        <w:rPr>
          <w:rFonts w:ascii="Simplified Arabic" w:eastAsia="Calibri" w:hAnsi="Simplified Arabic" w:cs="Simplified Arabic"/>
          <w:kern w:val="2"/>
          <w:sz w:val="32"/>
          <w:szCs w:val="32"/>
          <w:rtl/>
          <w:lang w:bidi="ar-EG"/>
          <w14:ligatures w14:val="standardContextual"/>
        </w:rPr>
      </w:pPr>
    </w:p>
    <w:p w:rsidR="007A6368" w:rsidRPr="007A6368" w:rsidRDefault="007A6368" w:rsidP="007A6368">
      <w:pPr>
        <w:bidi/>
        <w:spacing w:after="160" w:line="259" w:lineRule="auto"/>
        <w:jc w:val="center"/>
        <w:rPr>
          <w:rFonts w:ascii="Simplified Arabic" w:eastAsia="Calibri" w:hAnsi="Simplified Arabic" w:cs="Simplified Arabic"/>
          <w:b/>
          <w:bCs/>
          <w:kern w:val="2"/>
          <w:sz w:val="28"/>
          <w:szCs w:val="28"/>
          <w:rtl/>
          <w:lang w:bidi="ar-EG"/>
          <w14:ligatures w14:val="standardContextual"/>
        </w:rPr>
      </w:pPr>
      <w:r w:rsidRPr="007A6368">
        <w:rPr>
          <w:rFonts w:ascii="Simplified Arabic" w:eastAsia="Calibri" w:hAnsi="Simplified Arabic" w:cs="Simplified Arabic"/>
          <w:b/>
          <w:bCs/>
          <w:kern w:val="2"/>
          <w:sz w:val="28"/>
          <w:szCs w:val="28"/>
          <w:rtl/>
          <w:lang w:bidi="ar-EG"/>
          <w14:ligatures w14:val="standardContextual"/>
        </w:rPr>
        <w:t>إعداد الطالب</w:t>
      </w:r>
    </w:p>
    <w:p w:rsidR="007A6368" w:rsidRPr="007A6368" w:rsidRDefault="007A6368" w:rsidP="007A6368">
      <w:pPr>
        <w:bidi/>
        <w:spacing w:after="160" w:line="259" w:lineRule="auto"/>
        <w:jc w:val="center"/>
        <w:rPr>
          <w:rFonts w:ascii="Simplified Arabic" w:eastAsia="Calibri" w:hAnsi="Simplified Arabic" w:cs="Simplified Arabic"/>
          <w:b/>
          <w:bCs/>
          <w:kern w:val="2"/>
          <w:sz w:val="28"/>
          <w:szCs w:val="28"/>
          <w:rtl/>
          <w:lang w:bidi="ar-EG"/>
          <w14:ligatures w14:val="standardContextual"/>
        </w:rPr>
      </w:pPr>
      <w:r w:rsidRPr="007A6368">
        <w:rPr>
          <w:rFonts w:ascii="Simplified Arabic" w:eastAsia="Calibri" w:hAnsi="Simplified Arabic" w:cs="Simplified Arabic"/>
          <w:b/>
          <w:bCs/>
          <w:kern w:val="2"/>
          <w:sz w:val="28"/>
          <w:szCs w:val="28"/>
          <w:rtl/>
          <w:lang w:bidi="ar-EG"/>
          <w14:ligatures w14:val="standardContextual"/>
        </w:rPr>
        <w:t>سليمان خالد باعوض</w:t>
      </w:r>
    </w:p>
    <w:p w:rsidR="007A6368" w:rsidRPr="007A6368" w:rsidRDefault="007A6368" w:rsidP="007A6368">
      <w:pPr>
        <w:bidi/>
        <w:spacing w:after="160" w:line="259" w:lineRule="auto"/>
        <w:jc w:val="center"/>
        <w:rPr>
          <w:rFonts w:ascii="Simplified Arabic" w:eastAsia="Calibri" w:hAnsi="Simplified Arabic" w:cs="Simplified Arabic"/>
          <w:b/>
          <w:bCs/>
          <w:kern w:val="2"/>
          <w:sz w:val="28"/>
          <w:szCs w:val="28"/>
          <w:rtl/>
          <w:lang w:bidi="ar-EG"/>
          <w14:ligatures w14:val="standardContextual"/>
        </w:rPr>
      </w:pPr>
    </w:p>
    <w:p w:rsidR="007A6368" w:rsidRPr="007A6368" w:rsidRDefault="007A6368" w:rsidP="007A6368">
      <w:pPr>
        <w:bidi/>
        <w:spacing w:after="160" w:line="259" w:lineRule="auto"/>
        <w:jc w:val="center"/>
        <w:rPr>
          <w:rFonts w:ascii="Simplified Arabic" w:eastAsia="Calibri" w:hAnsi="Simplified Arabic" w:cs="Simplified Arabic"/>
          <w:b/>
          <w:bCs/>
          <w:kern w:val="2"/>
          <w:sz w:val="28"/>
          <w:szCs w:val="28"/>
          <w:rtl/>
          <w:lang w:bidi="ar-EG"/>
          <w14:ligatures w14:val="standardContextual"/>
        </w:rPr>
      </w:pPr>
    </w:p>
    <w:p w:rsidR="007A6368" w:rsidRPr="007A6368" w:rsidRDefault="007A6368" w:rsidP="007A6368">
      <w:pPr>
        <w:bidi/>
        <w:spacing w:after="160" w:line="259" w:lineRule="auto"/>
        <w:jc w:val="center"/>
        <w:rPr>
          <w:rFonts w:ascii="Simplified Arabic" w:eastAsia="Calibri" w:hAnsi="Simplified Arabic" w:cs="Simplified Arabic"/>
          <w:b/>
          <w:bCs/>
          <w:kern w:val="2"/>
          <w:sz w:val="28"/>
          <w:szCs w:val="28"/>
          <w:rtl/>
          <w:lang w:bidi="ar-EG"/>
          <w14:ligatures w14:val="standardContextual"/>
        </w:rPr>
      </w:pPr>
      <w:r w:rsidRPr="007A6368">
        <w:rPr>
          <w:rFonts w:ascii="Simplified Arabic" w:eastAsia="Calibri" w:hAnsi="Simplified Arabic" w:cs="Simplified Arabic"/>
          <w:b/>
          <w:bCs/>
          <w:kern w:val="2"/>
          <w:sz w:val="28"/>
          <w:szCs w:val="28"/>
          <w:rtl/>
          <w:lang w:bidi="ar-EG"/>
          <w14:ligatures w14:val="standardContextual"/>
        </w:rPr>
        <w:t>إشراف</w:t>
      </w:r>
    </w:p>
    <w:p w:rsidR="007A6368" w:rsidRPr="007A6368" w:rsidRDefault="007A6368" w:rsidP="007A6368">
      <w:pPr>
        <w:bidi/>
        <w:spacing w:after="160" w:line="259" w:lineRule="auto"/>
        <w:jc w:val="center"/>
        <w:rPr>
          <w:rFonts w:ascii="Simplified Arabic" w:eastAsia="Calibri" w:hAnsi="Simplified Arabic" w:cs="Simplified Arabic"/>
          <w:b/>
          <w:bCs/>
          <w:kern w:val="2"/>
          <w:sz w:val="28"/>
          <w:szCs w:val="28"/>
          <w:rtl/>
          <w:lang w:bidi="ar-EG"/>
          <w14:ligatures w14:val="standardContextual"/>
        </w:rPr>
      </w:pPr>
      <w:r w:rsidRPr="007A6368">
        <w:rPr>
          <w:rFonts w:ascii="Simplified Arabic" w:eastAsia="Calibri" w:hAnsi="Simplified Arabic" w:cs="Simplified Arabic"/>
          <w:b/>
          <w:bCs/>
          <w:kern w:val="2"/>
          <w:sz w:val="28"/>
          <w:szCs w:val="28"/>
          <w:rtl/>
          <w:lang w:bidi="ar-EG"/>
          <w14:ligatures w14:val="standardContextual"/>
        </w:rPr>
        <w:t>د.</w:t>
      </w:r>
      <w:r w:rsidRPr="007A6368">
        <w:rPr>
          <w:rFonts w:ascii="Simplified Arabic" w:eastAsia="Calibri" w:hAnsi="Simplified Arabic" w:cs="Simplified Arabic" w:hint="cs"/>
          <w:b/>
          <w:bCs/>
          <w:kern w:val="2"/>
          <w:sz w:val="28"/>
          <w:szCs w:val="28"/>
          <w:rtl/>
          <w:lang w:bidi="ar-EG"/>
          <w14:ligatures w14:val="standardContextual"/>
        </w:rPr>
        <w:t xml:space="preserve"> </w:t>
      </w:r>
      <w:r w:rsidRPr="007A6368">
        <w:rPr>
          <w:rFonts w:ascii="Simplified Arabic" w:eastAsia="Calibri" w:hAnsi="Simplified Arabic" w:cs="Simplified Arabic"/>
          <w:b/>
          <w:bCs/>
          <w:kern w:val="2"/>
          <w:sz w:val="28"/>
          <w:szCs w:val="28"/>
          <w:rtl/>
          <w:lang w:bidi="ar-EG"/>
          <w14:ligatures w14:val="standardContextual"/>
        </w:rPr>
        <w:t>آلاء أحمد</w:t>
      </w:r>
    </w:p>
    <w:p w:rsidR="007A6368" w:rsidRPr="007A6368" w:rsidRDefault="007A6368" w:rsidP="007A6368">
      <w:pPr>
        <w:bidi/>
        <w:spacing w:after="160" w:line="259" w:lineRule="auto"/>
        <w:jc w:val="center"/>
        <w:rPr>
          <w:rFonts w:ascii="Simplified Arabic" w:eastAsia="Calibri" w:hAnsi="Simplified Arabic" w:cs="Simplified Arabic"/>
          <w:b/>
          <w:bCs/>
          <w:kern w:val="2"/>
          <w:sz w:val="28"/>
          <w:szCs w:val="28"/>
          <w:rtl/>
          <w:lang w:bidi="ar-EG"/>
          <w14:ligatures w14:val="standardContextual"/>
        </w:rPr>
      </w:pPr>
    </w:p>
    <w:p w:rsidR="007A6368" w:rsidRPr="007A6368" w:rsidRDefault="007A6368" w:rsidP="007A6368">
      <w:pPr>
        <w:bidi/>
        <w:spacing w:after="160" w:line="259" w:lineRule="auto"/>
        <w:jc w:val="center"/>
        <w:rPr>
          <w:rFonts w:ascii="Simplified Arabic" w:eastAsia="Calibri" w:hAnsi="Simplified Arabic" w:cs="Simplified Arabic"/>
          <w:b/>
          <w:bCs/>
          <w:kern w:val="2"/>
          <w:sz w:val="28"/>
          <w:szCs w:val="28"/>
          <w:rtl/>
          <w:lang w:bidi="ar-EG"/>
          <w14:ligatures w14:val="standardContextual"/>
        </w:rPr>
      </w:pPr>
    </w:p>
    <w:p w:rsidR="007A6368" w:rsidRPr="007A6368" w:rsidRDefault="007A6368" w:rsidP="007A6368">
      <w:pPr>
        <w:bidi/>
        <w:spacing w:after="160" w:line="259" w:lineRule="auto"/>
        <w:jc w:val="center"/>
        <w:rPr>
          <w:rFonts w:ascii="Simplified Arabic" w:eastAsia="Calibri" w:hAnsi="Simplified Arabic" w:cs="Simplified Arabic"/>
          <w:b/>
          <w:bCs/>
          <w:kern w:val="2"/>
          <w:sz w:val="28"/>
          <w:szCs w:val="28"/>
          <w:rtl/>
          <w:lang w:bidi="ar-EG"/>
          <w14:ligatures w14:val="standardContextual"/>
        </w:rPr>
      </w:pPr>
    </w:p>
    <w:p w:rsidR="007A6368" w:rsidRPr="007A6368" w:rsidRDefault="007A6368" w:rsidP="007A6368">
      <w:pPr>
        <w:bidi/>
        <w:spacing w:after="160" w:line="259" w:lineRule="auto"/>
        <w:jc w:val="center"/>
        <w:rPr>
          <w:rFonts w:ascii="Simplified Arabic" w:eastAsia="Calibri" w:hAnsi="Simplified Arabic" w:cs="Simplified Arabic"/>
          <w:b/>
          <w:bCs/>
          <w:kern w:val="2"/>
          <w:sz w:val="28"/>
          <w:szCs w:val="28"/>
          <w:rtl/>
          <w:lang w:bidi="ar-EG"/>
          <w14:ligatures w14:val="standardContextual"/>
        </w:rPr>
      </w:pPr>
    </w:p>
    <w:p w:rsidR="007A6368" w:rsidRPr="007A6368" w:rsidRDefault="007A6368" w:rsidP="007A6368">
      <w:pPr>
        <w:bidi/>
        <w:spacing w:after="160" w:line="259" w:lineRule="auto"/>
        <w:jc w:val="center"/>
        <w:rPr>
          <w:rFonts w:ascii="Simplified Arabic" w:eastAsia="Calibri" w:hAnsi="Simplified Arabic" w:cs="Simplified Arabic"/>
          <w:b/>
          <w:bCs/>
          <w:kern w:val="2"/>
          <w:sz w:val="28"/>
          <w:szCs w:val="28"/>
          <w:rtl/>
          <w:lang w:bidi="ar-EG"/>
          <w14:ligatures w14:val="standardContextual"/>
        </w:rPr>
      </w:pPr>
      <w:r w:rsidRPr="007A6368">
        <w:rPr>
          <w:rFonts w:ascii="Simplified Arabic" w:eastAsia="Calibri" w:hAnsi="Simplified Arabic" w:cs="Simplified Arabic"/>
          <w:b/>
          <w:bCs/>
          <w:kern w:val="2"/>
          <w:sz w:val="28"/>
          <w:szCs w:val="28"/>
          <w:rtl/>
          <w:lang w:bidi="ar-EG"/>
          <w14:ligatures w14:val="standardContextual"/>
        </w:rPr>
        <w:t>العام الدراسي:</w:t>
      </w:r>
    </w:p>
    <w:p w:rsidR="007A6368" w:rsidRPr="007A6368" w:rsidRDefault="007A6368" w:rsidP="007A6368">
      <w:pPr>
        <w:bidi/>
        <w:spacing w:after="160" w:line="259" w:lineRule="auto"/>
        <w:jc w:val="center"/>
        <w:rPr>
          <w:rFonts w:ascii="Simplified Arabic" w:eastAsia="Calibri" w:hAnsi="Simplified Arabic" w:cs="Simplified Arabic"/>
          <w:b/>
          <w:bCs/>
          <w:kern w:val="2"/>
          <w:sz w:val="28"/>
          <w:szCs w:val="28"/>
          <w:rtl/>
          <w:lang w:bidi="ar-EG"/>
          <w14:ligatures w14:val="standardContextual"/>
        </w:rPr>
      </w:pPr>
      <w:r w:rsidRPr="007A6368">
        <w:rPr>
          <w:rFonts w:ascii="Simplified Arabic" w:eastAsia="Calibri" w:hAnsi="Simplified Arabic" w:cs="Simplified Arabic" w:hint="cs"/>
          <w:b/>
          <w:bCs/>
          <w:kern w:val="2"/>
          <w:sz w:val="28"/>
          <w:szCs w:val="28"/>
          <w:rtl/>
          <w:lang w:bidi="ar-EG"/>
          <w14:ligatures w14:val="standardContextual"/>
        </w:rPr>
        <w:t>1448ه/ 2026م</w:t>
      </w:r>
    </w:p>
    <w:p w:rsidR="007A6368" w:rsidRPr="007A6368" w:rsidRDefault="007A6368" w:rsidP="007A6368">
      <w:pPr>
        <w:keepNext/>
        <w:keepLines/>
        <w:bidi/>
        <w:spacing w:before="480" w:after="0" w:line="259" w:lineRule="auto"/>
        <w:jc w:val="center"/>
        <w:outlineLvl w:val="0"/>
        <w:rPr>
          <w:rFonts w:ascii="Calibri Light" w:eastAsia="Times New Roman" w:hAnsi="Calibri Light" w:cs="Simplified Arabic"/>
          <w:b/>
          <w:bCs/>
          <w:kern w:val="2"/>
          <w:sz w:val="36"/>
          <w:szCs w:val="40"/>
          <w:rtl/>
          <w14:ligatures w14:val="standardContextual"/>
        </w:rPr>
      </w:pPr>
      <w:bookmarkStart w:id="0" w:name="_Toc234589719"/>
      <w:bookmarkStart w:id="1" w:name="_Toc234591211"/>
      <w:r w:rsidRPr="007A6368">
        <w:rPr>
          <w:rFonts w:ascii="Calibri Light" w:eastAsia="Times New Roman" w:hAnsi="Calibri Light" w:cs="Simplified Arabic" w:hint="cs"/>
          <w:b/>
          <w:bCs/>
          <w:kern w:val="2"/>
          <w:sz w:val="36"/>
          <w:szCs w:val="40"/>
          <w:rtl/>
          <w14:ligatures w14:val="standardContextual"/>
        </w:rPr>
        <w:lastRenderedPageBreak/>
        <w:t>الفصل الأول: الإطار العام للدراسة</w:t>
      </w:r>
      <w:bookmarkEnd w:id="0"/>
      <w:bookmarkEnd w:id="1"/>
    </w:p>
    <w:p w:rsidR="007A6368" w:rsidRPr="007A6368" w:rsidRDefault="007A6368" w:rsidP="007A6368">
      <w:pPr>
        <w:keepNext/>
        <w:keepLines/>
        <w:bidi/>
        <w:spacing w:before="480" w:after="0" w:line="259" w:lineRule="auto"/>
        <w:outlineLvl w:val="0"/>
        <w:rPr>
          <w:rFonts w:ascii="Calibri Light" w:eastAsia="Times New Roman" w:hAnsi="Calibri Light" w:cs="Simplified Arabic"/>
          <w:b/>
          <w:bCs/>
          <w:kern w:val="2"/>
          <w:sz w:val="32"/>
          <w:szCs w:val="36"/>
          <w:rtl/>
          <w14:ligatures w14:val="standardContextual"/>
        </w:rPr>
      </w:pPr>
      <w:bookmarkStart w:id="2" w:name="_Toc234589720"/>
      <w:bookmarkStart w:id="3" w:name="_Toc234591212"/>
      <w:r w:rsidRPr="007A6368">
        <w:rPr>
          <w:rFonts w:ascii="Calibri Light" w:eastAsia="Times New Roman" w:hAnsi="Calibri Light" w:cs="Simplified Arabic" w:hint="cs"/>
          <w:b/>
          <w:bCs/>
          <w:kern w:val="2"/>
          <w:sz w:val="32"/>
          <w:szCs w:val="36"/>
          <w:rtl/>
          <w14:ligatures w14:val="standardContextual"/>
        </w:rPr>
        <w:t>المقدمة</w:t>
      </w:r>
      <w:bookmarkEnd w:id="2"/>
      <w:bookmarkEnd w:id="3"/>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 xml:space="preserve">         تشهد المنظمات المعاصرة تحولات متسارعة في بيئة الأعمال نتيجة التطور التكنولوجي والمنافسة العالمية المتزايدة، الأمر الذي جعل المورد البشري يمثل العنصر الأكثر أهمية في تحقيق التميز والاستدامة التنظيمية. وفي هذا السياق، برز مفهوم إدارة المواهب كأحد المداخل الحديثة في إدارة الموارد البشرية، حيث يركز على استقطاب الكفاءات المتميزة، وتطويرها، وتحفيزها، بما يضمن تحقيق الأداء العالي والمحافظة على الميزة التنافسية للمنظمات ( الشهري، 2022).</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 xml:space="preserve">         وتُعتبر مسألة الاحتفاظ بالكفاءات البش</w:t>
      </w:r>
      <w:bookmarkStart w:id="4" w:name="_GoBack"/>
      <w:bookmarkEnd w:id="4"/>
      <w:r w:rsidRPr="007A6368">
        <w:rPr>
          <w:rFonts w:ascii="Simplified Arabic" w:eastAsia="Calibri" w:hAnsi="Simplified Arabic" w:cs="Simplified Arabic"/>
          <w:kern w:val="2"/>
          <w:sz w:val="28"/>
          <w:szCs w:val="28"/>
          <w:rtl/>
          <w14:ligatures w14:val="standardContextual"/>
        </w:rPr>
        <w:t>رية من أبرز التحديات التي تواجه المنظمات في العصر الحالي، خاصة في ظل تزايد فرص العمل وتنوعها، وارتفاع مستوى طموحات العاملين. إذ لم يعد جذب الكفاءات كافيًا، بل أصبح من الضروري تبني ممارسات إدارية فعّالة تضمن استمراريتها داخل المنظمة، لما لذلك من أثر مباشر على استقرار الأداء المؤسسي وتقليل تكاليف دوران العمل، ومن هنا، تبرز أهمية ممارسات إدارة المواهب كأداة استراتيجية تسهم في تعزيز ارتباط العاملين بمنظماتهم وزيادة مستويات الرضا والالتزام الوظيفي لديهم ( الشرفات، 2023).</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 xml:space="preserve">         وعلى الصعيدين العالمي والمحلي، حظي موضوع إدارة المواهب والاحتفاظ بالكفاءات باهتمام متزايد من قبل الباحثين وصناع القرار، نظرًا لدورهما الحيوي في دعم القدرة التنافسية للمنظمات، خاصة في القطاعات الصناعية التي تعتمد بشكل كبير على الخبرات الفنية والمهارات المتخصصة، وفي المملكة العربية السعودية، يتزايد الاهتمام بهذا المجال في ظل التوجهات التنموية الحديثة ورؤية المملكة 2030، التي تؤكد على تنمية رأس المال البشري ورفع كفاءة سوق العمل. ومع ذلك، لا تزال هناك حاجة إلى مزيد من الدراسات التطبيقية التي تبحث في طبيعة العلاقة بين ممارسات إدارة المواهب والاحتفاظ بالكفاءات في البيئة الصناعية السعودية ( سليخ، 2021).</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 xml:space="preserve">        وتكمن الفجوة البحثية في محدودية الدراسات التي تناولت بشكل مباشر أثر ممارسات إدارة المواهب على الاحتفاظ بالكفاءات البشرية في الشركات الصناعية بالمملكة العربية السعودية، خاصة مع اختلاف طبيعة هذا القطاع والتحديات التي يواجهها مقارنة بغيره من القطاعات. الأمر الذي </w:t>
      </w:r>
      <w:r w:rsidRPr="007A6368">
        <w:rPr>
          <w:rFonts w:ascii="Simplified Arabic" w:eastAsia="Calibri" w:hAnsi="Simplified Arabic" w:cs="Simplified Arabic"/>
          <w:kern w:val="2"/>
          <w:sz w:val="28"/>
          <w:szCs w:val="28"/>
          <w:rtl/>
          <w14:ligatures w14:val="standardContextual"/>
        </w:rPr>
        <w:lastRenderedPageBreak/>
        <w:t>يستدعي إجراء دراسات ميدانية تسهم في تقديم فهم أعمق لهذه العلاقة، وتوفير نتائج عملية يمكن الاستفادة منها في تحسين سياسات إدارة الموارد البشرية ( الرايقي، 2024).</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 xml:space="preserve">          وانطلاقًا مما سبق، يهدف هذا البحث إلى دراسة أثر ممارسات إدارة المواهب على الاحتفاظ بالكفاءات البشرية في الشركات الصناعية بالمملكة العربية السعودية، من خلال تحليل العلاقة بين متغيرات الدراسة، وقياس تأثير ممارسات إدارة المواهب المختلفة على قدرة المنظمات في الاحتفاظ بكفاءاتها. كما يتضمن البحث عرضًا للإطار النظري المرتبط بموضوع الدراسة، ومراجعة للدراسات السابقة، بالإضافة إلى الدراسة الميدانية وتحليل نتائجها، وصولًا إلى تقديم مجموعة من التوصيات التي تسهم في دعم متخذي القرار في هذا المجال.</w:t>
      </w:r>
    </w:p>
    <w:p w:rsidR="007A6368" w:rsidRPr="007A6368" w:rsidRDefault="007A6368" w:rsidP="007A6368">
      <w:pPr>
        <w:keepNext/>
        <w:keepLines/>
        <w:bidi/>
        <w:spacing w:before="480" w:after="0" w:line="259" w:lineRule="auto"/>
        <w:outlineLvl w:val="0"/>
        <w:rPr>
          <w:rFonts w:ascii="Calibri Light" w:eastAsia="Times New Roman" w:hAnsi="Calibri Light" w:cs="Simplified Arabic"/>
          <w:b/>
          <w:bCs/>
          <w:kern w:val="2"/>
          <w:sz w:val="32"/>
          <w:szCs w:val="36"/>
          <w:rtl/>
          <w14:ligatures w14:val="standardContextual"/>
        </w:rPr>
      </w:pPr>
      <w:bookmarkStart w:id="5" w:name="_Toc234589721"/>
      <w:bookmarkStart w:id="6" w:name="_Toc234591213"/>
      <w:r w:rsidRPr="007A6368">
        <w:rPr>
          <w:rFonts w:ascii="Calibri Light" w:eastAsia="Times New Roman" w:hAnsi="Calibri Light" w:cs="Simplified Arabic"/>
          <w:b/>
          <w:bCs/>
          <w:kern w:val="2"/>
          <w:sz w:val="32"/>
          <w:szCs w:val="36"/>
          <w:rtl/>
          <w14:ligatures w14:val="standardContextual"/>
        </w:rPr>
        <w:t>مشكلة الدراسة</w:t>
      </w:r>
      <w:bookmarkEnd w:id="5"/>
      <w:bookmarkEnd w:id="6"/>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 xml:space="preserve">        في ظل التغيرات المتسارعة التي تشهدها بيئة الأعمال العالمية، أصبحت المنظمات، وخاصة الصناعية منها، تواجه تحديات متزايدة في إدارة مواردها البشرية بكفاءة، وعلى رأسها القدرة على الاحتفاظ بالكفاءات البشرية، فعلى الرغم من الجهود التي تبذلها الشركات في استقطاب المواهب، إلا أن معدلات دوران العمل لا تزال تمثل تحديًا حقيقيًا، مما يؤثر سلبًا على استقرار الأداء والإنتاجية ويزيد من التكاليف التشغيلية المرتبطة بإحلال وتدريب العاملين الجدد( الخطيب، 2019).</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 xml:space="preserve">         وفي هذا الإطار، تشير العديد من التقارير الدولية، مثل تقارير </w:t>
      </w:r>
      <w:r w:rsidRPr="007A6368">
        <w:rPr>
          <w:rFonts w:ascii="Simplified Arabic" w:eastAsia="Calibri" w:hAnsi="Simplified Arabic" w:cs="Simplified Arabic"/>
          <w:kern w:val="2"/>
          <w:sz w:val="28"/>
          <w:szCs w:val="28"/>
          <w14:ligatures w14:val="standardContextual"/>
        </w:rPr>
        <w:t>Deloitte</w:t>
      </w:r>
      <w:r w:rsidRPr="007A6368">
        <w:rPr>
          <w:rFonts w:ascii="Simplified Arabic" w:eastAsia="Calibri" w:hAnsi="Simplified Arabic" w:cs="Simplified Arabic"/>
          <w:kern w:val="2"/>
          <w:sz w:val="28"/>
          <w:szCs w:val="28"/>
          <w:rtl/>
          <w14:ligatures w14:val="standardContextual"/>
        </w:rPr>
        <w:t xml:space="preserve"> و</w:t>
      </w:r>
      <w:r w:rsidRPr="007A6368">
        <w:rPr>
          <w:rFonts w:ascii="Simplified Arabic" w:eastAsia="Calibri" w:hAnsi="Simplified Arabic" w:cs="Simplified Arabic"/>
          <w:kern w:val="2"/>
          <w:sz w:val="28"/>
          <w:szCs w:val="28"/>
          <w14:ligatures w14:val="standardContextual"/>
        </w:rPr>
        <w:t>PwC</w:t>
      </w:r>
      <w:r w:rsidRPr="007A6368">
        <w:rPr>
          <w:rFonts w:ascii="Simplified Arabic" w:eastAsia="Calibri" w:hAnsi="Simplified Arabic" w:cs="Simplified Arabic"/>
          <w:kern w:val="2"/>
          <w:sz w:val="28"/>
          <w:szCs w:val="28"/>
          <w:rtl/>
          <w14:ligatures w14:val="standardContextual"/>
        </w:rPr>
        <w:t>، إلى أن ضعف ممارسات إدارة المواهب يعد من أبرز الأسباب التي تؤدي إلى فقدان الكفاءات داخل المنظمات، حيث أظهرت نتائج هذه التقارير أن نسبة كبيرة من العاملين يتركون وظائفهم نتيجة لغياب فرص التطوير، وضعف الحوافز، وعدم وضوح المسار الوظيفي. كما تؤكد العديد من  الدراسات الحديثة في مجال إدارة الموارد البشرية وجود علاقة وثيقة بين فعالية ممارسات إدارة المواهب ومستوى الاحتفاظ بالموظفين المتميزين( الحمزة، 2023).</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 xml:space="preserve">        وعلى الصعيد المحلي، وفي ظل توجهات رؤية المملكة 2030 التي تركز على تنمية رأس المال البشري وتعزيز كفاءة سوق العمل، تواجه الشركات الصناعية في المملكة العربية السعودية تحديات ملحوظة في الحفاظ على الكفاءات، خاصة في ظل المنافسة المتزايدة على استقطاب الموارد البشرية المؤهلة، ورغم تبني العديد من هذه الشركات لمفاهيم إدارة المواهب، إلا أن التطبيق العملي </w:t>
      </w:r>
      <w:r w:rsidRPr="007A6368">
        <w:rPr>
          <w:rFonts w:ascii="Simplified Arabic" w:eastAsia="Calibri" w:hAnsi="Simplified Arabic" w:cs="Simplified Arabic"/>
          <w:kern w:val="2"/>
          <w:sz w:val="28"/>
          <w:szCs w:val="28"/>
          <w:rtl/>
          <w14:ligatures w14:val="standardContextual"/>
        </w:rPr>
        <w:lastRenderedPageBreak/>
        <w:t>لممارساتها لا يزال يواجه بعض القصور، مما ينعكس على ضعف القدرة على الاحتفاظ بالكفاءات البشرية( جورج، 2024).</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 xml:space="preserve">        ومن هنا، تتجلى الفجوة البحثية في وجود تباين بين الواقع الحالي، الذي يشير إلى استمرار مشكلة تسرب الكفاءات وضعف استقرارها الوظيفي، وبين المأمول، المتمثل في بناء بيئة تنظيمية قادرة على جذب الكفاءات والاحتفاظ بها من خلال ممارسات فعالة لإدارة المواهب، كما يلاحظ محدودية الدراسات التطبيقية التي تناولت بشكل مباشر أثر ممارسات إدارة المواهب على الاحتفاظ بالكفاءات في الشركات الصناعية بالمملكة العربية السعودية، الأمر الذي يستدعي المزيد من البحث والتحليل في هذا المجال.</w:t>
      </w:r>
    </w:p>
    <w:p w:rsidR="007A6368" w:rsidRPr="007A6368" w:rsidRDefault="007A6368" w:rsidP="007A6368">
      <w:pPr>
        <w:keepNext/>
        <w:keepLines/>
        <w:bidi/>
        <w:spacing w:before="480" w:after="0" w:line="259" w:lineRule="auto"/>
        <w:outlineLvl w:val="0"/>
        <w:rPr>
          <w:rFonts w:ascii="Calibri Light" w:eastAsia="Times New Roman" w:hAnsi="Calibri Light" w:cs="Simplified Arabic"/>
          <w:b/>
          <w:bCs/>
          <w:kern w:val="2"/>
          <w:sz w:val="32"/>
          <w:szCs w:val="36"/>
          <w:rtl/>
          <w14:ligatures w14:val="standardContextual"/>
        </w:rPr>
      </w:pPr>
      <w:bookmarkStart w:id="7" w:name="_Toc234589722"/>
      <w:bookmarkStart w:id="8" w:name="_Toc234591214"/>
      <w:r w:rsidRPr="007A6368">
        <w:rPr>
          <w:rFonts w:ascii="Calibri Light" w:eastAsia="Times New Roman" w:hAnsi="Calibri Light" w:cs="Simplified Arabic"/>
          <w:b/>
          <w:bCs/>
          <w:kern w:val="2"/>
          <w:sz w:val="32"/>
          <w:szCs w:val="36"/>
          <w:rtl/>
          <w14:ligatures w14:val="standardContextual"/>
        </w:rPr>
        <w:t>أهمية الدراسة</w:t>
      </w:r>
      <w:bookmarkEnd w:id="7"/>
      <w:bookmarkEnd w:id="8"/>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أولًا: الأهمية العلمية</w:t>
      </w:r>
    </w:p>
    <w:p w:rsidR="007A6368" w:rsidRPr="007A6368" w:rsidRDefault="007A6368" w:rsidP="007A6368">
      <w:pPr>
        <w:numPr>
          <w:ilvl w:val="0"/>
          <w:numId w:val="1"/>
        </w:numPr>
        <w:bidi/>
        <w:spacing w:after="160" w:line="240" w:lineRule="auto"/>
        <w:contextualSpacing/>
        <w:jc w:val="both"/>
        <w:rPr>
          <w:rFonts w:ascii="Simplified Arabic" w:eastAsia="Calibri" w:hAnsi="Simplified Arabic" w:cs="Simplified Arabic"/>
          <w:kern w:val="2"/>
          <w:sz w:val="28"/>
          <w:szCs w:val="28"/>
          <w14:ligatures w14:val="standardContextual"/>
        </w:rPr>
      </w:pPr>
      <w:r w:rsidRPr="007A6368">
        <w:rPr>
          <w:rFonts w:ascii="Simplified Arabic" w:eastAsia="Calibri" w:hAnsi="Simplified Arabic" w:cs="Simplified Arabic"/>
          <w:kern w:val="2"/>
          <w:sz w:val="28"/>
          <w:szCs w:val="28"/>
          <w:rtl/>
          <w14:ligatures w14:val="standardContextual"/>
        </w:rPr>
        <w:t>تنبع الأهمية العلمية لهذه الدراسة من كونها تسهم في إثراء المعرفة النظرية في مجال إدارة الموارد البشرية، وبشكل أكثر تحديدًا في موضوع ممارسات إدارة المواهب وعلاقتها بالاحتفاظ بالكفاءات البشرية، والذي يُعد من الموضوعات الحديثة نسبيًا التي حظيت باهتمام متزايد في الأدبيات الإدارية المعاصرة.</w:t>
      </w:r>
    </w:p>
    <w:p w:rsidR="007A6368" w:rsidRPr="007A6368" w:rsidRDefault="007A6368" w:rsidP="007A6368">
      <w:pPr>
        <w:numPr>
          <w:ilvl w:val="0"/>
          <w:numId w:val="1"/>
        </w:numPr>
        <w:bidi/>
        <w:spacing w:after="160" w:line="240" w:lineRule="auto"/>
        <w:contextualSpacing/>
        <w:jc w:val="both"/>
        <w:rPr>
          <w:rFonts w:ascii="Simplified Arabic" w:eastAsia="Calibri" w:hAnsi="Simplified Arabic" w:cs="Simplified Arabic"/>
          <w:kern w:val="2"/>
          <w:sz w:val="28"/>
          <w:szCs w:val="28"/>
          <w14:ligatures w14:val="standardContextual"/>
        </w:rPr>
      </w:pPr>
      <w:r w:rsidRPr="007A6368">
        <w:rPr>
          <w:rFonts w:ascii="Simplified Arabic" w:eastAsia="Calibri" w:hAnsi="Simplified Arabic" w:cs="Simplified Arabic"/>
          <w:kern w:val="2"/>
          <w:sz w:val="28"/>
          <w:szCs w:val="28"/>
          <w:rtl/>
          <w14:ligatures w14:val="standardContextual"/>
        </w:rPr>
        <w:t>تسعى الدراسة إلى سد فجوة بحثية تتمثل في محدودية الدراسات التطبيقية التي تناولت أثر ممارسات إدارة المواهب على الاحتفاظ بالكفاءات البشرية في الشركات الصناعية بالمملكة العربية السعودية، خاصة في ظل خصوصية هذا القطاع والتحديات التي يواجهها، مما يجعل هذه الدراسة إضافة علمية يمكن أن تُبنى عليها دراسات مستقبلية.</w:t>
      </w:r>
    </w:p>
    <w:p w:rsidR="007A6368" w:rsidRPr="007A6368" w:rsidRDefault="007A6368" w:rsidP="007A6368">
      <w:pPr>
        <w:numPr>
          <w:ilvl w:val="0"/>
          <w:numId w:val="1"/>
        </w:numPr>
        <w:bidi/>
        <w:spacing w:after="160" w:line="240" w:lineRule="auto"/>
        <w:contextualSpacing/>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تسهم الدراسة في تقديم إطار نظري متكامل يجمع بين مفهومي إدارة المواهب والاحتفاظ بالكفاءات البشرية، من خلال تحليل أبعادهما المختلفة، وتوضيح طبيعة العلاقة بينهما، بما يساعد الباحثين على فهم هذا المجال بشكل أعمق ومنهجي.</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ثانيًا: الأهمية التطبيقية</w:t>
      </w:r>
    </w:p>
    <w:p w:rsidR="007A6368" w:rsidRPr="007A6368" w:rsidRDefault="007A6368" w:rsidP="007A6368">
      <w:pPr>
        <w:numPr>
          <w:ilvl w:val="0"/>
          <w:numId w:val="2"/>
        </w:numPr>
        <w:bidi/>
        <w:spacing w:after="160" w:line="240" w:lineRule="auto"/>
        <w:contextualSpacing/>
        <w:jc w:val="both"/>
        <w:rPr>
          <w:rFonts w:ascii="Simplified Arabic" w:eastAsia="Calibri" w:hAnsi="Simplified Arabic" w:cs="Simplified Arabic"/>
          <w:kern w:val="2"/>
          <w:sz w:val="28"/>
          <w:szCs w:val="28"/>
          <w14:ligatures w14:val="standardContextual"/>
        </w:rPr>
      </w:pPr>
      <w:r w:rsidRPr="007A6368">
        <w:rPr>
          <w:rFonts w:ascii="Simplified Arabic" w:eastAsia="Calibri" w:hAnsi="Simplified Arabic" w:cs="Simplified Arabic"/>
          <w:kern w:val="2"/>
          <w:sz w:val="28"/>
          <w:szCs w:val="28"/>
          <w:rtl/>
          <w14:ligatures w14:val="standardContextual"/>
        </w:rPr>
        <w:t>إمكانية الاستفادة من نتائجها في تقديم توصيات عملية للشركات الصناعية بالمملكة العربية السعودية، بما يساعدها على تحسين ممارسات إدارة المواهب لديها، وتعزيز قدرتها على الاحتفاظ بالكفاءات البشرية، بما ينعكس إيجابيًا على مستوى الأداء والإنتاجية.</w:t>
      </w:r>
    </w:p>
    <w:p w:rsidR="007A6368" w:rsidRPr="007A6368" w:rsidRDefault="007A6368" w:rsidP="007A6368">
      <w:pPr>
        <w:numPr>
          <w:ilvl w:val="0"/>
          <w:numId w:val="2"/>
        </w:numPr>
        <w:bidi/>
        <w:spacing w:after="160" w:line="240" w:lineRule="auto"/>
        <w:contextualSpacing/>
        <w:jc w:val="both"/>
        <w:rPr>
          <w:rFonts w:ascii="Simplified Arabic" w:eastAsia="Calibri" w:hAnsi="Simplified Arabic" w:cs="Simplified Arabic"/>
          <w:kern w:val="2"/>
          <w:sz w:val="28"/>
          <w:szCs w:val="28"/>
          <w14:ligatures w14:val="standardContextual"/>
        </w:rPr>
      </w:pPr>
      <w:r w:rsidRPr="007A6368">
        <w:rPr>
          <w:rFonts w:ascii="Simplified Arabic" w:eastAsia="Calibri" w:hAnsi="Simplified Arabic" w:cs="Simplified Arabic"/>
          <w:kern w:val="2"/>
          <w:sz w:val="28"/>
          <w:szCs w:val="28"/>
          <w:rtl/>
          <w14:ligatures w14:val="standardContextual"/>
        </w:rPr>
        <w:lastRenderedPageBreak/>
        <w:t>يمكن أن تسهم نتائج الدراسة في دعم صانعي السياسات ومتخذي القرار في مجال الموارد البشرية، من خلال تزويدهم بمؤشرات علمية حول أهمية تبني ممارسات فعالة لإدارة المواهب، وضرورة تطوير بيئات العمل بما يتوافق مع متطلبات الكفاءات البشرية.</w:t>
      </w:r>
    </w:p>
    <w:p w:rsidR="007A6368" w:rsidRPr="007A6368" w:rsidRDefault="007A6368" w:rsidP="007A6368">
      <w:pPr>
        <w:numPr>
          <w:ilvl w:val="0"/>
          <w:numId w:val="2"/>
        </w:numPr>
        <w:bidi/>
        <w:spacing w:after="160" w:line="240" w:lineRule="auto"/>
        <w:contextualSpacing/>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تساعد الدراسة في تطوير أدوات قياس وتقييم ممارسات إدارة المواهب ومستوى الاحتفاظ بالكفاءات البشرية داخل المنظمات، من خلال تصميم استبيان يمكن استخدامه في دراسات لاحقة أو في تقييم الأداء الداخلي للمؤسسات.</w:t>
      </w:r>
    </w:p>
    <w:p w:rsidR="007A6368" w:rsidRPr="007A6368" w:rsidRDefault="007A6368" w:rsidP="007A6368">
      <w:pPr>
        <w:keepNext/>
        <w:keepLines/>
        <w:bidi/>
        <w:spacing w:before="480" w:after="0" w:line="259" w:lineRule="auto"/>
        <w:outlineLvl w:val="0"/>
        <w:rPr>
          <w:rFonts w:ascii="Calibri Light" w:eastAsia="Times New Roman" w:hAnsi="Calibri Light" w:cs="Simplified Arabic"/>
          <w:b/>
          <w:bCs/>
          <w:kern w:val="2"/>
          <w:sz w:val="32"/>
          <w:szCs w:val="36"/>
          <w:rtl/>
          <w14:ligatures w14:val="standardContextual"/>
        </w:rPr>
      </w:pPr>
      <w:bookmarkStart w:id="9" w:name="_Toc234589723"/>
      <w:bookmarkStart w:id="10" w:name="_Toc234591215"/>
      <w:r w:rsidRPr="007A6368">
        <w:rPr>
          <w:rFonts w:ascii="Calibri Light" w:eastAsia="Times New Roman" w:hAnsi="Calibri Light" w:cs="Simplified Arabic"/>
          <w:b/>
          <w:bCs/>
          <w:kern w:val="2"/>
          <w:sz w:val="32"/>
          <w:szCs w:val="36"/>
          <w:rtl/>
          <w14:ligatures w14:val="standardContextual"/>
        </w:rPr>
        <w:t>أهداف الدراسة</w:t>
      </w:r>
      <w:bookmarkEnd w:id="9"/>
      <w:bookmarkEnd w:id="10"/>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 xml:space="preserve">         يتمثل الهدف الرئيسي لهذه الدراسة في معرفة و تحليل أثر ممارسات إدارة المواهب على الاحتفاظ بالكفاءات البشرية في الشركات الصناعية بالمملكة العربية السعودية، ويتفرع منه عدة أهداف فرعية علىى النحو التالي:</w:t>
      </w:r>
    </w:p>
    <w:p w:rsidR="007A6368" w:rsidRPr="007A6368" w:rsidRDefault="007A6368" w:rsidP="007A6368">
      <w:pPr>
        <w:numPr>
          <w:ilvl w:val="0"/>
          <w:numId w:val="3"/>
        </w:numPr>
        <w:bidi/>
        <w:spacing w:after="160" w:line="240" w:lineRule="auto"/>
        <w:contextualSpacing/>
        <w:jc w:val="both"/>
        <w:rPr>
          <w:rFonts w:ascii="Simplified Arabic" w:eastAsia="Calibri" w:hAnsi="Simplified Arabic" w:cs="Simplified Arabic"/>
          <w:kern w:val="2"/>
          <w:sz w:val="28"/>
          <w:szCs w:val="28"/>
          <w14:ligatures w14:val="standardContextual"/>
        </w:rPr>
      </w:pPr>
      <w:r w:rsidRPr="007A6368">
        <w:rPr>
          <w:rFonts w:ascii="Simplified Arabic" w:eastAsia="Calibri" w:hAnsi="Simplified Arabic" w:cs="Simplified Arabic"/>
          <w:kern w:val="2"/>
          <w:sz w:val="28"/>
          <w:szCs w:val="28"/>
          <w:rtl/>
          <w14:ligatures w14:val="standardContextual"/>
        </w:rPr>
        <w:t>تحديد مستوى تطبيق ممارسات إدارة المواهب (مثل: الاستقطاب، التطوير، التحفيز، وتخطيط التعاقب الوظيفي) في الشركات الصناعية بالمملكة العربية السعودية.</w:t>
      </w:r>
    </w:p>
    <w:p w:rsidR="007A6368" w:rsidRPr="007A6368" w:rsidRDefault="007A6368" w:rsidP="007A6368">
      <w:pPr>
        <w:numPr>
          <w:ilvl w:val="0"/>
          <w:numId w:val="3"/>
        </w:numPr>
        <w:bidi/>
        <w:spacing w:after="160" w:line="240" w:lineRule="auto"/>
        <w:contextualSpacing/>
        <w:jc w:val="both"/>
        <w:rPr>
          <w:rFonts w:ascii="Simplified Arabic" w:eastAsia="Calibri" w:hAnsi="Simplified Arabic" w:cs="Simplified Arabic"/>
          <w:kern w:val="2"/>
          <w:sz w:val="28"/>
          <w:szCs w:val="28"/>
          <w14:ligatures w14:val="standardContextual"/>
        </w:rPr>
      </w:pPr>
      <w:r w:rsidRPr="007A6368">
        <w:rPr>
          <w:rFonts w:ascii="Simplified Arabic" w:eastAsia="Calibri" w:hAnsi="Simplified Arabic" w:cs="Simplified Arabic"/>
          <w:kern w:val="2"/>
          <w:sz w:val="28"/>
          <w:szCs w:val="28"/>
          <w:rtl/>
          <w14:ligatures w14:val="standardContextual"/>
        </w:rPr>
        <w:t>قياس مستوى الاحتفاظ بالكفاءات البشرية داخل الشركات الصناعية محل الدراسة.</w:t>
      </w:r>
    </w:p>
    <w:p w:rsidR="007A6368" w:rsidRPr="007A6368" w:rsidRDefault="007A6368" w:rsidP="007A6368">
      <w:pPr>
        <w:numPr>
          <w:ilvl w:val="0"/>
          <w:numId w:val="3"/>
        </w:numPr>
        <w:bidi/>
        <w:spacing w:after="160" w:line="240" w:lineRule="auto"/>
        <w:contextualSpacing/>
        <w:jc w:val="both"/>
        <w:rPr>
          <w:rFonts w:ascii="Simplified Arabic" w:eastAsia="Calibri" w:hAnsi="Simplified Arabic" w:cs="Simplified Arabic"/>
          <w:kern w:val="2"/>
          <w:sz w:val="28"/>
          <w:szCs w:val="28"/>
          <w14:ligatures w14:val="standardContextual"/>
        </w:rPr>
      </w:pPr>
      <w:r w:rsidRPr="007A6368">
        <w:rPr>
          <w:rFonts w:ascii="Simplified Arabic" w:eastAsia="Calibri" w:hAnsi="Simplified Arabic" w:cs="Simplified Arabic"/>
          <w:kern w:val="2"/>
          <w:sz w:val="28"/>
          <w:szCs w:val="28"/>
          <w:rtl/>
          <w14:ligatures w14:val="standardContextual"/>
        </w:rPr>
        <w:t>تحليل طبيعة العلاقة بين ممارسات إدارة المواهب والاحتفاظ بالكفاءات البشرية.</w:t>
      </w:r>
    </w:p>
    <w:p w:rsidR="007A6368" w:rsidRPr="007A6368" w:rsidRDefault="007A6368" w:rsidP="007A6368">
      <w:pPr>
        <w:numPr>
          <w:ilvl w:val="0"/>
          <w:numId w:val="3"/>
        </w:numPr>
        <w:bidi/>
        <w:spacing w:after="160" w:line="240" w:lineRule="auto"/>
        <w:contextualSpacing/>
        <w:jc w:val="both"/>
        <w:rPr>
          <w:rFonts w:ascii="Simplified Arabic" w:eastAsia="Calibri" w:hAnsi="Simplified Arabic" w:cs="Simplified Arabic"/>
          <w:kern w:val="2"/>
          <w:sz w:val="28"/>
          <w:szCs w:val="28"/>
          <w14:ligatures w14:val="standardContextual"/>
        </w:rPr>
      </w:pPr>
      <w:r w:rsidRPr="007A6368">
        <w:rPr>
          <w:rFonts w:ascii="Simplified Arabic" w:eastAsia="Calibri" w:hAnsi="Simplified Arabic" w:cs="Simplified Arabic"/>
          <w:kern w:val="2"/>
          <w:sz w:val="28"/>
          <w:szCs w:val="28"/>
          <w:rtl/>
          <w14:ligatures w14:val="standardContextual"/>
        </w:rPr>
        <w:t>قياس أثر كل بُعد من أبعاد ممارسات إدارة المواهب (الاستقطاب، التطوير، التحفيز، التعاقب الوظيفي) على الاحتفاظ بالكفاءات البشرية.</w:t>
      </w:r>
    </w:p>
    <w:p w:rsidR="007A6368" w:rsidRPr="007A6368" w:rsidRDefault="007A6368" w:rsidP="007A6368">
      <w:pPr>
        <w:numPr>
          <w:ilvl w:val="0"/>
          <w:numId w:val="3"/>
        </w:numPr>
        <w:bidi/>
        <w:spacing w:after="160" w:line="240" w:lineRule="auto"/>
        <w:contextualSpacing/>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تقديم مجموعة من التوصيات العملية التي تسهم في تعزيز ممارسات إدارة المواهب بما يدعم الاحتفاظ بالكفاءات البشرية في الشركات الصناعية.</w:t>
      </w:r>
    </w:p>
    <w:p w:rsidR="007A6368" w:rsidRPr="007A6368" w:rsidRDefault="007A6368" w:rsidP="007A6368">
      <w:pPr>
        <w:keepNext/>
        <w:keepLines/>
        <w:bidi/>
        <w:spacing w:before="480" w:after="0" w:line="240" w:lineRule="auto"/>
        <w:jc w:val="both"/>
        <w:outlineLvl w:val="0"/>
        <w:rPr>
          <w:rFonts w:ascii="Calibri Light" w:eastAsia="Times New Roman" w:hAnsi="Calibri Light" w:cs="Simplified Arabic"/>
          <w:b/>
          <w:bCs/>
          <w:kern w:val="2"/>
          <w:sz w:val="32"/>
          <w:szCs w:val="36"/>
          <w:rtl/>
          <w14:ligatures w14:val="standardContextual"/>
        </w:rPr>
      </w:pPr>
      <w:bookmarkStart w:id="11" w:name="_Toc234589724"/>
      <w:bookmarkStart w:id="12" w:name="_Toc234591216"/>
      <w:r w:rsidRPr="007A6368">
        <w:rPr>
          <w:rFonts w:ascii="Calibri Light" w:eastAsia="Times New Roman" w:hAnsi="Calibri Light" w:cs="Simplified Arabic"/>
          <w:b/>
          <w:bCs/>
          <w:kern w:val="2"/>
          <w:sz w:val="32"/>
          <w:szCs w:val="36"/>
          <w:rtl/>
          <w14:ligatures w14:val="standardContextual"/>
        </w:rPr>
        <w:t>تساؤلات الدراسة</w:t>
      </w:r>
      <w:bookmarkEnd w:id="11"/>
      <w:bookmarkEnd w:id="12"/>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يمكن صياغة مشكلة الدراسة في التساؤل الرئيس التالي:</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ما أثر ممارسات إدارة المواهب على الاحتفاظ بالكفاءات البشرية في الشركات الصناعية بالمملكة العربية السعودية؟ ويتفرع عن هذا التساؤل الرئيسي عدد من التساؤلات الفرعية، منها ما يلي:</w:t>
      </w:r>
    </w:p>
    <w:p w:rsidR="007A6368" w:rsidRPr="007A6368" w:rsidRDefault="007A6368" w:rsidP="007A6368">
      <w:pPr>
        <w:numPr>
          <w:ilvl w:val="0"/>
          <w:numId w:val="4"/>
        </w:numPr>
        <w:bidi/>
        <w:spacing w:after="160" w:line="240" w:lineRule="auto"/>
        <w:contextualSpacing/>
        <w:jc w:val="both"/>
        <w:rPr>
          <w:rFonts w:ascii="Simplified Arabic" w:eastAsia="Calibri" w:hAnsi="Simplified Arabic" w:cs="Simplified Arabic"/>
          <w:kern w:val="2"/>
          <w:sz w:val="28"/>
          <w:szCs w:val="28"/>
          <w14:ligatures w14:val="standardContextual"/>
        </w:rPr>
      </w:pPr>
      <w:r w:rsidRPr="007A6368">
        <w:rPr>
          <w:rFonts w:ascii="Simplified Arabic" w:eastAsia="Calibri" w:hAnsi="Simplified Arabic" w:cs="Simplified Arabic"/>
          <w:kern w:val="2"/>
          <w:sz w:val="28"/>
          <w:szCs w:val="28"/>
          <w:rtl/>
          <w14:ligatures w14:val="standardContextual"/>
        </w:rPr>
        <w:t>ما مستوى تطبيق ممارسات إدارة المواهب في الشركات الصناعية بالمملكة العربية السعودية؟</w:t>
      </w:r>
    </w:p>
    <w:p w:rsidR="007A6368" w:rsidRPr="007A6368" w:rsidRDefault="007A6368" w:rsidP="007A6368">
      <w:pPr>
        <w:numPr>
          <w:ilvl w:val="0"/>
          <w:numId w:val="4"/>
        </w:numPr>
        <w:bidi/>
        <w:spacing w:after="160" w:line="240" w:lineRule="auto"/>
        <w:contextualSpacing/>
        <w:jc w:val="both"/>
        <w:rPr>
          <w:rFonts w:ascii="Simplified Arabic" w:eastAsia="Calibri" w:hAnsi="Simplified Arabic" w:cs="Simplified Arabic"/>
          <w:kern w:val="2"/>
          <w:sz w:val="28"/>
          <w:szCs w:val="28"/>
          <w14:ligatures w14:val="standardContextual"/>
        </w:rPr>
      </w:pPr>
      <w:r w:rsidRPr="007A6368">
        <w:rPr>
          <w:rFonts w:ascii="Simplified Arabic" w:eastAsia="Calibri" w:hAnsi="Simplified Arabic" w:cs="Simplified Arabic"/>
          <w:kern w:val="2"/>
          <w:sz w:val="28"/>
          <w:szCs w:val="28"/>
          <w:rtl/>
          <w14:ligatures w14:val="standardContextual"/>
        </w:rPr>
        <w:lastRenderedPageBreak/>
        <w:t>ما مستوى الاحتفاظ بالكفاءات البشرية في هذه الشركات؟</w:t>
      </w:r>
    </w:p>
    <w:p w:rsidR="007A6368" w:rsidRPr="007A6368" w:rsidRDefault="007A6368" w:rsidP="007A6368">
      <w:pPr>
        <w:numPr>
          <w:ilvl w:val="0"/>
          <w:numId w:val="4"/>
        </w:numPr>
        <w:bidi/>
        <w:spacing w:after="160" w:line="240" w:lineRule="auto"/>
        <w:contextualSpacing/>
        <w:jc w:val="both"/>
        <w:rPr>
          <w:rFonts w:ascii="Simplified Arabic" w:eastAsia="Calibri" w:hAnsi="Simplified Arabic" w:cs="Simplified Arabic"/>
          <w:kern w:val="2"/>
          <w:sz w:val="28"/>
          <w:szCs w:val="28"/>
          <w14:ligatures w14:val="standardContextual"/>
        </w:rPr>
      </w:pPr>
      <w:r w:rsidRPr="007A6368">
        <w:rPr>
          <w:rFonts w:ascii="Simplified Arabic" w:eastAsia="Calibri" w:hAnsi="Simplified Arabic" w:cs="Simplified Arabic"/>
          <w:kern w:val="2"/>
          <w:sz w:val="28"/>
          <w:szCs w:val="28"/>
          <w:rtl/>
          <w14:ligatures w14:val="standardContextual"/>
        </w:rPr>
        <w:t>هل توجد علاقة ذات دلالة إحصائية بين ممارسات إدارة المواهب والاحتفاظ بالكفاءات البشرية؟</w:t>
      </w:r>
    </w:p>
    <w:p w:rsidR="007A6368" w:rsidRPr="007A6368" w:rsidRDefault="007A6368" w:rsidP="007A6368">
      <w:pPr>
        <w:numPr>
          <w:ilvl w:val="0"/>
          <w:numId w:val="4"/>
        </w:numPr>
        <w:bidi/>
        <w:spacing w:after="160" w:line="240" w:lineRule="auto"/>
        <w:contextualSpacing/>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ما أثر كل من (استقطاب المواهب، تطويرها، تحفيزها) على الاحتفاظ بالكفاءات البشرية؟</w:t>
      </w:r>
    </w:p>
    <w:p w:rsidR="007A6368" w:rsidRPr="007A6368" w:rsidRDefault="007A6368" w:rsidP="007A6368">
      <w:pPr>
        <w:keepNext/>
        <w:keepLines/>
        <w:bidi/>
        <w:spacing w:before="480" w:after="0" w:line="240" w:lineRule="auto"/>
        <w:jc w:val="both"/>
        <w:outlineLvl w:val="0"/>
        <w:rPr>
          <w:rFonts w:ascii="Calibri Light" w:eastAsia="Times New Roman" w:hAnsi="Calibri Light" w:cs="Simplified Arabic"/>
          <w:b/>
          <w:bCs/>
          <w:kern w:val="2"/>
          <w:sz w:val="32"/>
          <w:szCs w:val="36"/>
          <w:rtl/>
          <w14:ligatures w14:val="standardContextual"/>
        </w:rPr>
      </w:pPr>
      <w:bookmarkStart w:id="13" w:name="_Toc234589725"/>
      <w:bookmarkStart w:id="14" w:name="_Toc234591217"/>
      <w:r w:rsidRPr="007A6368">
        <w:rPr>
          <w:rFonts w:ascii="Calibri Light" w:eastAsia="Times New Roman" w:hAnsi="Calibri Light" w:cs="Simplified Arabic"/>
          <w:b/>
          <w:bCs/>
          <w:kern w:val="2"/>
          <w:sz w:val="32"/>
          <w:szCs w:val="36"/>
          <w:rtl/>
          <w14:ligatures w14:val="standardContextual"/>
        </w:rPr>
        <w:t>فروض الدراسة</w:t>
      </w:r>
      <w:bookmarkEnd w:id="13"/>
      <w:bookmarkEnd w:id="14"/>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 xml:space="preserve"> تتمثل الفرضية الرئيسية للدراسة فيما يلي:</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الفرضية الصفرية (</w:t>
      </w:r>
      <w:r w:rsidRPr="007A6368">
        <w:rPr>
          <w:rFonts w:ascii="Simplified Arabic" w:eastAsia="Calibri" w:hAnsi="Simplified Arabic" w:cs="Simplified Arabic"/>
          <w:kern w:val="2"/>
          <w:sz w:val="28"/>
          <w:szCs w:val="28"/>
          <w14:ligatures w14:val="standardContextual"/>
        </w:rPr>
        <w:t>H0</w:t>
      </w:r>
      <w:r w:rsidRPr="007A6368">
        <w:rPr>
          <w:rFonts w:ascii="Simplified Arabic" w:eastAsia="Calibri" w:hAnsi="Simplified Arabic" w:cs="Simplified Arabic"/>
          <w:kern w:val="2"/>
          <w:sz w:val="28"/>
          <w:szCs w:val="28"/>
          <w:rtl/>
          <w14:ligatures w14:val="standardContextual"/>
        </w:rPr>
        <w:t xml:space="preserve"> ): لا يوجد أثر ذو دلالة إحصائية لممارسات إدارة المواهب على الاحتفاظ بالكفاءات البشرية في الشركات الصناعية بالمملكة العربية السعودية.</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الفرضية البديلة(</w:t>
      </w:r>
      <w:r w:rsidRPr="007A6368">
        <w:rPr>
          <w:rFonts w:ascii="Simplified Arabic" w:eastAsia="Calibri" w:hAnsi="Simplified Arabic" w:cs="Simplified Arabic"/>
          <w:kern w:val="2"/>
          <w:sz w:val="28"/>
          <w:szCs w:val="28"/>
          <w14:ligatures w14:val="standardContextual"/>
        </w:rPr>
        <w:t>H1</w:t>
      </w:r>
      <w:r w:rsidRPr="007A6368">
        <w:rPr>
          <w:rFonts w:ascii="Simplified Arabic" w:eastAsia="Calibri" w:hAnsi="Simplified Arabic" w:cs="Simplified Arabic"/>
          <w:kern w:val="2"/>
          <w:sz w:val="28"/>
          <w:szCs w:val="28"/>
          <w:rtl/>
          <w14:ligatures w14:val="standardContextual"/>
        </w:rPr>
        <w:t xml:space="preserve"> ): يوجد أثر ذو دلالة إحصائية لممارسات إدارة المواهب على الاحتفاظ بالكفاءات البشرية في الشركات الصناعية بالمملكة العربية السعودية.</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ويتفرع منها عدة فرضيات فرعية على النحو التالي:</w:t>
      </w:r>
    </w:p>
    <w:p w:rsidR="007A6368" w:rsidRPr="007A6368" w:rsidRDefault="007A6368" w:rsidP="007A6368">
      <w:pPr>
        <w:numPr>
          <w:ilvl w:val="0"/>
          <w:numId w:val="5"/>
        </w:numPr>
        <w:bidi/>
        <w:spacing w:after="160" w:line="240" w:lineRule="auto"/>
        <w:contextualSpacing/>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الفرضية الفرعية الأولي</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 xml:space="preserve"> (</w:t>
      </w:r>
      <w:r w:rsidRPr="007A6368">
        <w:rPr>
          <w:rFonts w:ascii="Simplified Arabic" w:eastAsia="Calibri" w:hAnsi="Simplified Arabic" w:cs="Simplified Arabic"/>
          <w:kern w:val="2"/>
          <w:sz w:val="28"/>
          <w:szCs w:val="28"/>
          <w14:ligatures w14:val="standardContextual"/>
        </w:rPr>
        <w:t>H0-1</w:t>
      </w:r>
      <w:r w:rsidRPr="007A6368">
        <w:rPr>
          <w:rFonts w:ascii="Simplified Arabic" w:eastAsia="Calibri" w:hAnsi="Simplified Arabic" w:cs="Simplified Arabic"/>
          <w:kern w:val="2"/>
          <w:sz w:val="28"/>
          <w:szCs w:val="28"/>
          <w:rtl/>
          <w14:ligatures w14:val="standardContextual"/>
        </w:rPr>
        <w:t>):  لا يوجد أثر ذو دلالة إحصائية لاستقطاب المواهب على الاحتفاظ بالكفاءات البشرية</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w:t>
      </w:r>
      <w:r w:rsidRPr="007A6368">
        <w:rPr>
          <w:rFonts w:ascii="Simplified Arabic" w:eastAsia="Calibri" w:hAnsi="Simplified Arabic" w:cs="Simplified Arabic"/>
          <w:kern w:val="2"/>
          <w:sz w:val="28"/>
          <w:szCs w:val="28"/>
          <w14:ligatures w14:val="standardContextual"/>
        </w:rPr>
        <w:t>H1-1</w:t>
      </w:r>
      <w:r w:rsidRPr="007A6368">
        <w:rPr>
          <w:rFonts w:ascii="Simplified Arabic" w:eastAsia="Calibri" w:hAnsi="Simplified Arabic" w:cs="Simplified Arabic"/>
          <w:kern w:val="2"/>
          <w:sz w:val="28"/>
          <w:szCs w:val="28"/>
          <w:rtl/>
          <w14:ligatures w14:val="standardContextual"/>
        </w:rPr>
        <w:t xml:space="preserve"> ): يوجد أثر ذو دلالة إحصائية لاستقطاب المواهب على الاحتفاظ بالكفاءات البشرية.</w:t>
      </w:r>
    </w:p>
    <w:p w:rsidR="007A6368" w:rsidRPr="007A6368" w:rsidRDefault="007A6368" w:rsidP="007A6368">
      <w:pPr>
        <w:numPr>
          <w:ilvl w:val="0"/>
          <w:numId w:val="5"/>
        </w:numPr>
        <w:bidi/>
        <w:spacing w:after="160" w:line="240" w:lineRule="auto"/>
        <w:contextualSpacing/>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الفرضية الفرعية الثانية</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w:t>
      </w:r>
      <w:r w:rsidRPr="007A6368">
        <w:rPr>
          <w:rFonts w:ascii="Simplified Arabic" w:eastAsia="Calibri" w:hAnsi="Simplified Arabic" w:cs="Simplified Arabic"/>
          <w:kern w:val="2"/>
          <w:sz w:val="28"/>
          <w:szCs w:val="28"/>
          <w14:ligatures w14:val="standardContextual"/>
        </w:rPr>
        <w:t>H0-2</w:t>
      </w:r>
      <w:r w:rsidRPr="007A6368">
        <w:rPr>
          <w:rFonts w:ascii="Simplified Arabic" w:eastAsia="Calibri" w:hAnsi="Simplified Arabic" w:cs="Simplified Arabic"/>
          <w:kern w:val="2"/>
          <w:sz w:val="28"/>
          <w:szCs w:val="28"/>
          <w:rtl/>
          <w14:ligatures w14:val="standardContextual"/>
        </w:rPr>
        <w:t xml:space="preserve"> ): لا يوجد أثر ذو دلالة إحصائية لتطوير وتنمية المواهب على الاحتفاظ بالكفاءات البشرية.</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w:t>
      </w:r>
      <w:r w:rsidRPr="007A6368">
        <w:rPr>
          <w:rFonts w:ascii="Simplified Arabic" w:eastAsia="Calibri" w:hAnsi="Simplified Arabic" w:cs="Simplified Arabic"/>
          <w:kern w:val="2"/>
          <w:sz w:val="28"/>
          <w:szCs w:val="28"/>
          <w14:ligatures w14:val="standardContextual"/>
        </w:rPr>
        <w:t>H1-2</w:t>
      </w:r>
      <w:r w:rsidRPr="007A6368">
        <w:rPr>
          <w:rFonts w:ascii="Simplified Arabic" w:eastAsia="Calibri" w:hAnsi="Simplified Arabic" w:cs="Simplified Arabic"/>
          <w:kern w:val="2"/>
          <w:sz w:val="28"/>
          <w:szCs w:val="28"/>
          <w:rtl/>
          <w14:ligatures w14:val="standardContextual"/>
        </w:rPr>
        <w:t xml:space="preserve">) </w:t>
      </w: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يوجد أثر ذو دلالة إحصائية لتطوير وتنمية المواهب على الاحتفاظ بالكفاءات البشرية.</w:t>
      </w:r>
    </w:p>
    <w:p w:rsidR="007A6368" w:rsidRPr="007A6368" w:rsidRDefault="007A6368" w:rsidP="007A6368">
      <w:pPr>
        <w:numPr>
          <w:ilvl w:val="0"/>
          <w:numId w:val="5"/>
        </w:numPr>
        <w:bidi/>
        <w:spacing w:after="160" w:line="240" w:lineRule="auto"/>
        <w:contextualSpacing/>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 xml:space="preserve">الفرضية الفرعية الثالثة: </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w:t>
      </w:r>
      <w:r w:rsidRPr="007A6368">
        <w:rPr>
          <w:rFonts w:ascii="Simplified Arabic" w:eastAsia="Calibri" w:hAnsi="Simplified Arabic" w:cs="Simplified Arabic"/>
          <w:kern w:val="2"/>
          <w:sz w:val="28"/>
          <w:szCs w:val="28"/>
          <w14:ligatures w14:val="standardContextual"/>
        </w:rPr>
        <w:t>H0-3</w:t>
      </w:r>
      <w:r w:rsidRPr="007A6368">
        <w:rPr>
          <w:rFonts w:ascii="Simplified Arabic" w:eastAsia="Calibri" w:hAnsi="Simplified Arabic" w:cs="Simplified Arabic"/>
          <w:kern w:val="2"/>
          <w:sz w:val="28"/>
          <w:szCs w:val="28"/>
          <w:rtl/>
          <w14:ligatures w14:val="standardContextual"/>
        </w:rPr>
        <w:t>): لا يوجد أثر ذو دلالة إحصائية لتحفيز المواهب على الاحتفاظ بالكفاءات البشرية.</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w:t>
      </w:r>
      <w:r w:rsidRPr="007A6368">
        <w:rPr>
          <w:rFonts w:ascii="Simplified Arabic" w:eastAsia="Calibri" w:hAnsi="Simplified Arabic" w:cs="Simplified Arabic"/>
          <w:kern w:val="2"/>
          <w:sz w:val="28"/>
          <w:szCs w:val="28"/>
          <w14:ligatures w14:val="standardContextual"/>
        </w:rPr>
        <w:t>H1-3</w:t>
      </w:r>
      <w:r w:rsidRPr="007A6368">
        <w:rPr>
          <w:rFonts w:ascii="Simplified Arabic" w:eastAsia="Calibri" w:hAnsi="Simplified Arabic" w:cs="Simplified Arabic"/>
          <w:kern w:val="2"/>
          <w:sz w:val="28"/>
          <w:szCs w:val="28"/>
          <w:rtl/>
          <w14:ligatures w14:val="standardContextual"/>
        </w:rPr>
        <w:t xml:space="preserve"> ): يوجد أثر ذو دلالة إحصائية لتحفيز المواهب على الاحتفاظ بالكفاءات البشرية.</w:t>
      </w:r>
    </w:p>
    <w:p w:rsidR="007A6368" w:rsidRPr="007A6368" w:rsidRDefault="007A6368" w:rsidP="007A6368">
      <w:pPr>
        <w:keepNext/>
        <w:keepLines/>
        <w:bidi/>
        <w:spacing w:before="480" w:after="0" w:line="259" w:lineRule="auto"/>
        <w:outlineLvl w:val="0"/>
        <w:rPr>
          <w:rFonts w:ascii="Calibri Light" w:eastAsia="Times New Roman" w:hAnsi="Calibri Light" w:cs="Simplified Arabic"/>
          <w:b/>
          <w:bCs/>
          <w:kern w:val="2"/>
          <w:sz w:val="32"/>
          <w:szCs w:val="36"/>
          <w:rtl/>
          <w14:ligatures w14:val="standardContextual"/>
        </w:rPr>
      </w:pPr>
      <w:bookmarkStart w:id="15" w:name="_Toc234589726"/>
      <w:bookmarkStart w:id="16" w:name="_Toc234591218"/>
      <w:r w:rsidRPr="007A6368">
        <w:rPr>
          <w:rFonts w:ascii="Calibri Light" w:eastAsia="Times New Roman" w:hAnsi="Calibri Light" w:cs="Simplified Arabic" w:hint="cs"/>
          <w:b/>
          <w:bCs/>
          <w:kern w:val="2"/>
          <w:sz w:val="32"/>
          <w:szCs w:val="36"/>
          <w:rtl/>
          <w14:ligatures w14:val="standardContextual"/>
        </w:rPr>
        <w:lastRenderedPageBreak/>
        <w:t>مصطلحات الدراسة</w:t>
      </w:r>
      <w:bookmarkEnd w:id="15"/>
      <w:bookmarkEnd w:id="16"/>
    </w:p>
    <w:p w:rsidR="007A6368" w:rsidRPr="007A6368" w:rsidRDefault="007A6368" w:rsidP="007A6368">
      <w:pPr>
        <w:bidi/>
        <w:spacing w:after="160" w:line="259" w:lineRule="auto"/>
        <w:rPr>
          <w:rFonts w:ascii="Simplified Arabic" w:eastAsia="Calibri" w:hAnsi="Simplified Arabic" w:cs="Simplified Arabic"/>
          <w:b/>
          <w:bCs/>
          <w:kern w:val="2"/>
          <w:sz w:val="28"/>
          <w:szCs w:val="28"/>
          <w:rtl/>
          <w14:ligatures w14:val="standardContextual"/>
        </w:rPr>
      </w:pPr>
      <w:r w:rsidRPr="007A6368">
        <w:rPr>
          <w:rFonts w:ascii="Simplified Arabic" w:eastAsia="Calibri" w:hAnsi="Simplified Arabic" w:cs="Simplified Arabic"/>
          <w:b/>
          <w:bCs/>
          <w:kern w:val="2"/>
          <w:sz w:val="28"/>
          <w:szCs w:val="28"/>
          <w:rtl/>
          <w14:ligatures w14:val="standardContextual"/>
        </w:rPr>
        <w:t xml:space="preserve">ممارسات إدارة المواهب </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تشير ممارسات إدارة المواهب إلى مجموعة السياسات والأنشطة والاستراتيجيات التي تتبناها المنظمة لاستقطاب الأفراد ذوي الكفاءات والقدرات المتميزة، وتطويرهم، وتحفيزهم، بما يضمن الاستفادة المثلى من إمكاناتهم وتحقيق الأهداف الاستراتيجية للمنظمة، وتعزيز قدرتها التنافسية واستدامة أدائها</w:t>
      </w:r>
      <w:r w:rsidRPr="007A6368">
        <w:rPr>
          <w:rFonts w:ascii="Simplified Arabic" w:eastAsia="Calibri" w:hAnsi="Simplified Arabic" w:cs="Simplified Arabic" w:hint="cs"/>
          <w:kern w:val="2"/>
          <w:sz w:val="28"/>
          <w:szCs w:val="28"/>
          <w:rtl/>
          <w14:ligatures w14:val="standardContextual"/>
        </w:rPr>
        <w:t xml:space="preserve"> ( جورج، 2024)</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و</w:t>
      </w:r>
      <w:r w:rsidRPr="007A6368">
        <w:rPr>
          <w:rFonts w:ascii="Simplified Arabic" w:eastAsia="Calibri" w:hAnsi="Simplified Arabic" w:cs="Simplified Arabic"/>
          <w:kern w:val="2"/>
          <w:sz w:val="28"/>
          <w:szCs w:val="28"/>
          <w:rtl/>
          <w14:ligatures w14:val="standardContextual"/>
        </w:rPr>
        <w:t>تُعرف ممارسات إدارة المواهب في هذه الدراسة بأنها الدرجة التي تطبق بها الشركات الصناعية في المملكة العربية السعودية الممارسات المتعلقة باستقطاب المواهب، وتطوير وتنمية المواهب، وتحفيز المواهب، كما يدركها أفراد عينة الدراسة، ويتم قياسها من خلال استجاباتهم على فقرات الاستبانة المخصصة لذلك.</w:t>
      </w:r>
    </w:p>
    <w:p w:rsidR="007A6368" w:rsidRPr="007A6368" w:rsidRDefault="007A6368" w:rsidP="007A6368">
      <w:pPr>
        <w:bidi/>
        <w:spacing w:after="160" w:line="259" w:lineRule="auto"/>
        <w:rPr>
          <w:rFonts w:ascii="Simplified Arabic" w:eastAsia="Calibri" w:hAnsi="Simplified Arabic" w:cs="Simplified Arabic"/>
          <w:b/>
          <w:bCs/>
          <w:kern w:val="2"/>
          <w:sz w:val="28"/>
          <w:szCs w:val="28"/>
          <w:rtl/>
          <w14:ligatures w14:val="standardContextual"/>
        </w:rPr>
      </w:pPr>
      <w:r w:rsidRPr="007A6368">
        <w:rPr>
          <w:rFonts w:ascii="Simplified Arabic" w:eastAsia="Calibri" w:hAnsi="Simplified Arabic" w:cs="Simplified Arabic"/>
          <w:b/>
          <w:bCs/>
          <w:kern w:val="2"/>
          <w:sz w:val="28"/>
          <w:szCs w:val="28"/>
          <w:rtl/>
          <w14:ligatures w14:val="standardContextual"/>
        </w:rPr>
        <w:t xml:space="preserve">استقطاب المواهب </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يقصد باستقطاب المواهب العمليات والإجراءات التي تقوم بها المنظمة لاجتذاب الأفراد ذوي المهارات والخبرات والكفاءات المتميزة، واختيارهم وتعيينهم بما يتوافق مع احتياجاتها الحالية والمستقبلية</w:t>
      </w:r>
      <w:r w:rsidRPr="007A6368">
        <w:rPr>
          <w:rFonts w:ascii="Simplified Arabic" w:eastAsia="Calibri" w:hAnsi="Simplified Arabic" w:cs="Simplified Arabic" w:hint="cs"/>
          <w:kern w:val="2"/>
          <w:sz w:val="28"/>
          <w:szCs w:val="28"/>
          <w:rtl/>
          <w14:ligatures w14:val="standardContextual"/>
        </w:rPr>
        <w:t>( الدليمي والزعبي، 2022)</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و</w:t>
      </w:r>
      <w:r w:rsidRPr="007A6368">
        <w:rPr>
          <w:rFonts w:ascii="Simplified Arabic" w:eastAsia="Calibri" w:hAnsi="Simplified Arabic" w:cs="Simplified Arabic"/>
          <w:kern w:val="2"/>
          <w:sz w:val="28"/>
          <w:szCs w:val="28"/>
          <w:rtl/>
          <w14:ligatures w14:val="standardContextual"/>
        </w:rPr>
        <w:t>يقاس استقطاب المواهب من خلال مستوى تطبيق الشركة للسياسات والإجراءات الخاصة بجذب الكفاءات البشرية المتميزة واختيارها وتعيينها، وذلك وفق استجابات أفراد عينة الدراسة على فقرات هذا البعد في الاستبانة.</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p>
    <w:p w:rsidR="007A6368" w:rsidRPr="007A6368" w:rsidRDefault="007A6368" w:rsidP="007A6368">
      <w:pPr>
        <w:bidi/>
        <w:spacing w:after="160" w:line="259" w:lineRule="auto"/>
        <w:rPr>
          <w:rFonts w:ascii="Simplified Arabic" w:eastAsia="Calibri" w:hAnsi="Simplified Arabic" w:cs="Simplified Arabic"/>
          <w:b/>
          <w:bCs/>
          <w:kern w:val="2"/>
          <w:sz w:val="28"/>
          <w:szCs w:val="28"/>
          <w:rtl/>
          <w14:ligatures w14:val="standardContextual"/>
        </w:rPr>
      </w:pPr>
      <w:r w:rsidRPr="007A6368">
        <w:rPr>
          <w:rFonts w:ascii="Simplified Arabic" w:eastAsia="Calibri" w:hAnsi="Simplified Arabic" w:cs="Simplified Arabic"/>
          <w:b/>
          <w:bCs/>
          <w:kern w:val="2"/>
          <w:sz w:val="28"/>
          <w:szCs w:val="28"/>
          <w:rtl/>
          <w14:ligatures w14:val="standardContextual"/>
        </w:rPr>
        <w:t xml:space="preserve">تطوير وتنمية المواهب </w:t>
      </w:r>
    </w:p>
    <w:p w:rsidR="007A6368" w:rsidRPr="007A6368" w:rsidRDefault="007A6368" w:rsidP="007A6368">
      <w:pPr>
        <w:bidi/>
        <w:spacing w:after="160" w:line="240" w:lineRule="auto"/>
        <w:jc w:val="both"/>
        <w:rPr>
          <w:rFonts w:ascii="Simplified Arabic" w:eastAsia="Calibri" w:hAnsi="Simplified Arabic" w:cs="Simplified Arabic"/>
          <w:b/>
          <w:bCs/>
          <w:kern w:val="2"/>
          <w:sz w:val="28"/>
          <w:szCs w:val="28"/>
          <w:rtl/>
          <w14:ligatures w14:val="standardContextual"/>
        </w:rPr>
      </w:pPr>
      <w:r w:rsidRPr="007A6368">
        <w:rPr>
          <w:rFonts w:ascii="Simplified Arabic" w:eastAsia="Calibri" w:hAnsi="Simplified Arabic" w:cs="Simplified Arabic" w:hint="cs"/>
          <w:b/>
          <w:b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يشير تطوير وتنمية المواهب إلى الأنشطة والبرامج التي تهدف إلى تنمية معارف العاملين ومهاراتهم وقدراتهم، من خلال التدريب والتطوير المستمر، وإعدادهم لتحمل مسؤوليات مستقبلية بما يحقق أهداف المنظمة</w:t>
      </w:r>
      <w:r w:rsidRPr="007A6368">
        <w:rPr>
          <w:rFonts w:ascii="Simplified Arabic" w:eastAsia="Calibri" w:hAnsi="Simplified Arabic" w:cs="Simplified Arabic" w:hint="cs"/>
          <w:kern w:val="2"/>
          <w:sz w:val="28"/>
          <w:szCs w:val="28"/>
          <w:rtl/>
          <w14:ligatures w14:val="standardContextual"/>
        </w:rPr>
        <w:t xml:space="preserve"> ( السليحات والصوالحة، 2022)</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lastRenderedPageBreak/>
        <w:t xml:space="preserve">       و</w:t>
      </w:r>
      <w:r w:rsidRPr="007A6368">
        <w:rPr>
          <w:rFonts w:ascii="Simplified Arabic" w:eastAsia="Calibri" w:hAnsi="Simplified Arabic" w:cs="Simplified Arabic"/>
          <w:kern w:val="2"/>
          <w:sz w:val="28"/>
          <w:szCs w:val="28"/>
          <w:rtl/>
          <w14:ligatures w14:val="standardContextual"/>
        </w:rPr>
        <w:t>يقاس تطوير وتنمية المواهب من خلال درجة اهتمام الشركة بتوفير برامج التدريب والتطوير، والتعلم المستمر، والتخطيط للمسار الوظيفي، وتنمية المهارات القيادية للعاملين، وفقًا لاستجابات أفراد عينة الدراسة.</w:t>
      </w:r>
    </w:p>
    <w:p w:rsidR="007A6368" w:rsidRPr="007A6368" w:rsidRDefault="007A6368" w:rsidP="007A6368">
      <w:pPr>
        <w:bidi/>
        <w:spacing w:after="160" w:line="259" w:lineRule="auto"/>
        <w:rPr>
          <w:rFonts w:ascii="Simplified Arabic" w:eastAsia="Calibri" w:hAnsi="Simplified Arabic" w:cs="Simplified Arabic"/>
          <w:b/>
          <w:bCs/>
          <w:kern w:val="2"/>
          <w:sz w:val="28"/>
          <w:szCs w:val="28"/>
          <w:rtl/>
          <w14:ligatures w14:val="standardContextual"/>
        </w:rPr>
      </w:pPr>
      <w:r w:rsidRPr="007A6368">
        <w:rPr>
          <w:rFonts w:ascii="Simplified Arabic" w:eastAsia="Calibri" w:hAnsi="Simplified Arabic" w:cs="Simplified Arabic"/>
          <w:b/>
          <w:bCs/>
          <w:kern w:val="2"/>
          <w:sz w:val="28"/>
          <w:szCs w:val="28"/>
          <w:rtl/>
          <w14:ligatures w14:val="standardContextual"/>
        </w:rPr>
        <w:t xml:space="preserve">تحفيز المواهب </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يقصد بتحفيز المواهب مجموعة الحوافز المادية والمعنوية، ونظم المكافآت والتقدير، والبيئة التنظيمية الداعمة التي تشجع العاملين الموهوبين على تحقيق أداء متميز والاستمرار في المنظمة</w:t>
      </w:r>
      <w:r w:rsidRPr="007A6368">
        <w:rPr>
          <w:rFonts w:ascii="Simplified Arabic" w:eastAsia="Calibri" w:hAnsi="Simplified Arabic" w:cs="Simplified Arabic" w:hint="cs"/>
          <w:kern w:val="2"/>
          <w:sz w:val="28"/>
          <w:szCs w:val="28"/>
          <w:rtl/>
          <w14:ligatures w14:val="standardContextual"/>
        </w:rPr>
        <w:t xml:space="preserve"> ( الشهري، 2022)</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و</w:t>
      </w:r>
      <w:r w:rsidRPr="007A6368">
        <w:rPr>
          <w:rFonts w:ascii="Simplified Arabic" w:eastAsia="Calibri" w:hAnsi="Simplified Arabic" w:cs="Simplified Arabic"/>
          <w:kern w:val="2"/>
          <w:sz w:val="28"/>
          <w:szCs w:val="28"/>
          <w:rtl/>
          <w14:ligatures w14:val="standardContextual"/>
        </w:rPr>
        <w:t>يقاس تحفيز المواهب من خلال درجة تطبيق الشركة لبرامج الحوافز والمكافآت والتقدير، وتوفير بيئة عمل مشجعة ومحفزة للعاملين الموهوبين، كما يدركها أفراد عينة الدراسة من خلال فقرات الاستبانة.</w:t>
      </w:r>
    </w:p>
    <w:p w:rsidR="007A6368" w:rsidRPr="007A6368" w:rsidRDefault="007A6368" w:rsidP="007A6368">
      <w:pPr>
        <w:bidi/>
        <w:spacing w:after="160" w:line="259" w:lineRule="auto"/>
        <w:rPr>
          <w:rFonts w:ascii="Simplified Arabic" w:eastAsia="Calibri" w:hAnsi="Simplified Arabic" w:cs="Simplified Arabic"/>
          <w:b/>
          <w:bCs/>
          <w:kern w:val="2"/>
          <w:sz w:val="28"/>
          <w:szCs w:val="28"/>
          <w:rtl/>
          <w14:ligatures w14:val="standardContextual"/>
        </w:rPr>
      </w:pPr>
      <w:r w:rsidRPr="007A6368">
        <w:rPr>
          <w:rFonts w:ascii="Simplified Arabic" w:eastAsia="Calibri" w:hAnsi="Simplified Arabic" w:cs="Simplified Arabic"/>
          <w:b/>
          <w:bCs/>
          <w:kern w:val="2"/>
          <w:sz w:val="28"/>
          <w:szCs w:val="28"/>
          <w:rtl/>
          <w14:ligatures w14:val="standardContextual"/>
        </w:rPr>
        <w:t xml:space="preserve">الاحتفاظ بالكفاءات البشرية </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يشير الاحتفاظ بالكفاءات البشرية إلى قدرة المنظمة على المحافظة على العاملين ذوي الكفاءة والخبرة والحد من معدل دورانهم الوظيفي، من خلال توفير بيئة عمل جاذبة، وفرص للنمو المهني، ونظم عادلة للحوافز والتقدير، بما يسهم في تحقيق الاستقرار التنظيمي واستدامة الأداء</w:t>
      </w:r>
      <w:r w:rsidRPr="007A6368">
        <w:rPr>
          <w:rFonts w:ascii="Simplified Arabic" w:eastAsia="Calibri" w:hAnsi="Simplified Arabic" w:cs="Simplified Arabic" w:hint="cs"/>
          <w:kern w:val="2"/>
          <w:sz w:val="28"/>
          <w:szCs w:val="28"/>
          <w:rtl/>
          <w14:ligatures w14:val="standardContextual"/>
        </w:rPr>
        <w:t xml:space="preserve"> ( سليطين والعباس، 2022)</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و</w:t>
      </w:r>
      <w:r w:rsidRPr="007A6368">
        <w:rPr>
          <w:rFonts w:ascii="Simplified Arabic" w:eastAsia="Calibri" w:hAnsi="Simplified Arabic" w:cs="Simplified Arabic"/>
          <w:kern w:val="2"/>
          <w:sz w:val="28"/>
          <w:szCs w:val="28"/>
          <w:rtl/>
          <w14:ligatures w14:val="standardContextual"/>
        </w:rPr>
        <w:t>يُعرف الاحتفاظ بالكفاءات البشرية في هذه الدراسة بأنه الدرجة التي تنجح بها الشركات الصناعية في المملكة العربية السعودية في الحفاظ على العاملين ذوي الكفاءة وتشجيعهم على الاستمرار في العمل، ويتم قياسه من خلال استجابات أفراد عينة الدراسة على فقرات الاستبانة المخصصة لهذا المتغير.</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p>
    <w:p w:rsidR="007A6368" w:rsidRPr="007A6368" w:rsidRDefault="007A6368" w:rsidP="007A6368">
      <w:pPr>
        <w:keepNext/>
        <w:keepLines/>
        <w:bidi/>
        <w:spacing w:before="480" w:after="0" w:line="259" w:lineRule="auto"/>
        <w:outlineLvl w:val="0"/>
        <w:rPr>
          <w:rFonts w:ascii="Calibri Light" w:eastAsia="Times New Roman" w:hAnsi="Calibri Light" w:cs="Simplified Arabic"/>
          <w:b/>
          <w:bCs/>
          <w:kern w:val="2"/>
          <w:sz w:val="32"/>
          <w:szCs w:val="36"/>
          <w:rtl/>
          <w14:ligatures w14:val="standardContextual"/>
        </w:rPr>
      </w:pPr>
      <w:bookmarkStart w:id="17" w:name="_Toc234589727"/>
      <w:bookmarkStart w:id="18" w:name="_Toc234591219"/>
      <w:r w:rsidRPr="007A6368">
        <w:rPr>
          <w:rFonts w:ascii="Calibri Light" w:eastAsia="Times New Roman" w:hAnsi="Calibri Light" w:cs="Simplified Arabic"/>
          <w:b/>
          <w:bCs/>
          <w:kern w:val="2"/>
          <w:sz w:val="32"/>
          <w:szCs w:val="36"/>
          <w:rtl/>
          <w14:ligatures w14:val="standardContextual"/>
        </w:rPr>
        <w:t>حدود الدراسة</w:t>
      </w:r>
      <w:bookmarkEnd w:id="17"/>
      <w:bookmarkEnd w:id="18"/>
    </w:p>
    <w:p w:rsidR="007A6368" w:rsidRPr="007A6368" w:rsidRDefault="007A6368" w:rsidP="007A6368">
      <w:pPr>
        <w:bidi/>
        <w:spacing w:after="160" w:line="240" w:lineRule="auto"/>
        <w:jc w:val="both"/>
        <w:rPr>
          <w:rFonts w:ascii="Simplified Arabic" w:eastAsia="Calibri" w:hAnsi="Simplified Arabic" w:cs="Simplified Arabic"/>
          <w:b/>
          <w:bCs/>
          <w:kern w:val="2"/>
          <w:sz w:val="28"/>
          <w:szCs w:val="28"/>
          <w:rtl/>
          <w14:ligatures w14:val="standardContextual"/>
        </w:rPr>
      </w:pPr>
      <w:r w:rsidRPr="007A6368">
        <w:rPr>
          <w:rFonts w:ascii="Simplified Arabic" w:eastAsia="Calibri" w:hAnsi="Simplified Arabic" w:cs="Simplified Arabic"/>
          <w:b/>
          <w:bCs/>
          <w:kern w:val="2"/>
          <w:sz w:val="28"/>
          <w:szCs w:val="28"/>
          <w:rtl/>
          <w14:ligatures w14:val="standardContextual"/>
        </w:rPr>
        <w:t>أولًا: المجال البشري</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lastRenderedPageBreak/>
        <w:t xml:space="preserve">        يتمثل المجال البشري للدراسة في مجتمع الشركات الصناعية في المملكة العربية السعودية، حيث تركز الدراسة على العاملين في هذه الشركات باعتبارهم الفئة المعنية بتطبيق ممارسات إدارة المواهب والاحتفاظ بالكفاءات البشرية.</w:t>
      </w:r>
    </w:p>
    <w:p w:rsidR="007A6368" w:rsidRPr="007A6368" w:rsidRDefault="007A6368" w:rsidP="007A6368">
      <w:pPr>
        <w:bidi/>
        <w:spacing w:after="160" w:line="240" w:lineRule="auto"/>
        <w:jc w:val="both"/>
        <w:rPr>
          <w:rFonts w:ascii="Simplified Arabic" w:eastAsia="Calibri" w:hAnsi="Simplified Arabic" w:cs="Simplified Arabic"/>
          <w:b/>
          <w:bCs/>
          <w:kern w:val="2"/>
          <w:sz w:val="28"/>
          <w:szCs w:val="28"/>
          <w:rtl/>
          <w14:ligatures w14:val="standardContextual"/>
        </w:rPr>
      </w:pPr>
      <w:r w:rsidRPr="007A6368">
        <w:rPr>
          <w:rFonts w:ascii="Simplified Arabic" w:eastAsia="Calibri" w:hAnsi="Simplified Arabic" w:cs="Simplified Arabic"/>
          <w:b/>
          <w:bCs/>
          <w:kern w:val="2"/>
          <w:sz w:val="28"/>
          <w:szCs w:val="28"/>
          <w:rtl/>
          <w14:ligatures w14:val="standardContextual"/>
        </w:rPr>
        <w:t>ثانيًا: المجال المكاني</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 xml:space="preserve">           تقتصر الدراسة على المملكة العربية السعودية، مع التركيز على الشركات الصناعية في المدن الرئيسية (الرياض، جدة، الدمام)، نظرًا لأهميتها الاقتصادية وتركز الأنشطة الصناعية بها.</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p>
    <w:p w:rsidR="007A6368" w:rsidRPr="007A6368" w:rsidRDefault="007A6368" w:rsidP="007A6368">
      <w:pPr>
        <w:bidi/>
        <w:spacing w:after="160" w:line="240" w:lineRule="auto"/>
        <w:jc w:val="both"/>
        <w:rPr>
          <w:rFonts w:ascii="Simplified Arabic" w:eastAsia="Calibri" w:hAnsi="Simplified Arabic" w:cs="Simplified Arabic"/>
          <w:b/>
          <w:bCs/>
          <w:kern w:val="2"/>
          <w:sz w:val="28"/>
          <w:szCs w:val="28"/>
          <w:rtl/>
          <w14:ligatures w14:val="standardContextual"/>
        </w:rPr>
      </w:pPr>
      <w:r w:rsidRPr="007A6368">
        <w:rPr>
          <w:rFonts w:ascii="Simplified Arabic" w:eastAsia="Calibri" w:hAnsi="Simplified Arabic" w:cs="Simplified Arabic"/>
          <w:b/>
          <w:bCs/>
          <w:kern w:val="2"/>
          <w:sz w:val="28"/>
          <w:szCs w:val="28"/>
          <w:rtl/>
          <w14:ligatures w14:val="standardContextual"/>
        </w:rPr>
        <w:t>ثالثًا: المجال الزمني</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 xml:space="preserve">تتمثل الحدود الزمنية للدراسة في الفترة من مارس إلى </w:t>
      </w:r>
      <w:r w:rsidRPr="007A6368">
        <w:rPr>
          <w:rFonts w:ascii="Simplified Arabic" w:eastAsia="Calibri" w:hAnsi="Simplified Arabic" w:cs="Simplified Arabic" w:hint="cs"/>
          <w:kern w:val="2"/>
          <w:sz w:val="28"/>
          <w:szCs w:val="28"/>
          <w:rtl/>
          <w14:ligatures w14:val="standardContextual"/>
        </w:rPr>
        <w:t>يوليو</w:t>
      </w:r>
      <w:r w:rsidRPr="007A6368">
        <w:rPr>
          <w:rFonts w:ascii="Simplified Arabic" w:eastAsia="Calibri" w:hAnsi="Simplified Arabic" w:cs="Simplified Arabic"/>
          <w:kern w:val="2"/>
          <w:sz w:val="28"/>
          <w:szCs w:val="28"/>
          <w:rtl/>
          <w14:ligatures w14:val="standardContextual"/>
        </w:rPr>
        <w:t xml:space="preserve"> 2026م، وتشمل الإعداد النظري، وجمع البيانات، وتحليل النتائج، واستخلاص التوصيات.</w:t>
      </w:r>
    </w:p>
    <w:p w:rsidR="007A6368" w:rsidRPr="007A6368" w:rsidRDefault="007A6368" w:rsidP="007A6368">
      <w:pPr>
        <w:bidi/>
        <w:spacing w:after="160" w:line="259" w:lineRule="auto"/>
        <w:rPr>
          <w:rFonts w:ascii="Simplified Arabic" w:eastAsia="Calibri" w:hAnsi="Simplified Arabic" w:cs="Simplified Arabic"/>
          <w:kern w:val="2"/>
          <w:sz w:val="28"/>
          <w:szCs w:val="28"/>
          <w:u w:val="single"/>
          <w:rtl/>
          <w14:ligatures w14:val="standardContextual"/>
        </w:rPr>
      </w:pPr>
    </w:p>
    <w:p w:rsidR="007A6368" w:rsidRPr="007A6368" w:rsidRDefault="007A6368" w:rsidP="007A6368">
      <w:pPr>
        <w:bidi/>
        <w:spacing w:after="160" w:line="259" w:lineRule="auto"/>
        <w:rPr>
          <w:rFonts w:ascii="Simplified Arabic" w:eastAsia="Calibri" w:hAnsi="Simplified Arabic" w:cs="Simplified Arabic"/>
          <w:kern w:val="2"/>
          <w:sz w:val="28"/>
          <w:szCs w:val="28"/>
          <w:rtl/>
          <w14:ligatures w14:val="standardContextual"/>
        </w:rPr>
      </w:pPr>
    </w:p>
    <w:p w:rsidR="007A6368" w:rsidRPr="007A6368" w:rsidRDefault="007A6368" w:rsidP="007A6368">
      <w:pPr>
        <w:bidi/>
        <w:spacing w:after="160" w:line="259" w:lineRule="auto"/>
        <w:rPr>
          <w:rFonts w:ascii="Simplified Arabic" w:eastAsia="Calibri" w:hAnsi="Simplified Arabic" w:cs="Simplified Arabic"/>
          <w:kern w:val="2"/>
          <w:sz w:val="28"/>
          <w:szCs w:val="28"/>
          <w:rtl/>
          <w14:ligatures w14:val="standardContextual"/>
        </w:rPr>
      </w:pPr>
    </w:p>
    <w:p w:rsidR="007A6368" w:rsidRPr="007A6368" w:rsidRDefault="007A6368" w:rsidP="007A6368">
      <w:pPr>
        <w:bidi/>
        <w:spacing w:after="160" w:line="259" w:lineRule="auto"/>
        <w:rPr>
          <w:rFonts w:ascii="Simplified Arabic" w:eastAsia="Calibri" w:hAnsi="Simplified Arabic" w:cs="Simplified Arabic"/>
          <w:kern w:val="2"/>
          <w:sz w:val="28"/>
          <w:szCs w:val="28"/>
          <w:rtl/>
          <w14:ligatures w14:val="standardContextual"/>
        </w:rPr>
      </w:pPr>
    </w:p>
    <w:p w:rsidR="007A6368" w:rsidRPr="007A6368" w:rsidRDefault="007A6368" w:rsidP="007A6368">
      <w:pPr>
        <w:bidi/>
        <w:spacing w:after="160" w:line="259" w:lineRule="auto"/>
        <w:rPr>
          <w:rFonts w:ascii="Simplified Arabic" w:eastAsia="Calibri" w:hAnsi="Simplified Arabic" w:cs="Simplified Arabic"/>
          <w:kern w:val="2"/>
          <w:sz w:val="28"/>
          <w:szCs w:val="28"/>
          <w:rtl/>
          <w14:ligatures w14:val="standardContextual"/>
        </w:rPr>
      </w:pPr>
    </w:p>
    <w:p w:rsidR="007A6368" w:rsidRPr="007A6368" w:rsidRDefault="007A6368" w:rsidP="007A6368">
      <w:pPr>
        <w:bidi/>
        <w:spacing w:after="160" w:line="259" w:lineRule="auto"/>
        <w:rPr>
          <w:rFonts w:ascii="Simplified Arabic" w:eastAsia="Calibri" w:hAnsi="Simplified Arabic" w:cs="Simplified Arabic"/>
          <w:kern w:val="2"/>
          <w:sz w:val="28"/>
          <w:szCs w:val="28"/>
          <w:rtl/>
          <w14:ligatures w14:val="standardContextual"/>
        </w:rPr>
      </w:pPr>
    </w:p>
    <w:p w:rsidR="007A6368" w:rsidRPr="007A6368" w:rsidRDefault="007A6368" w:rsidP="007A6368">
      <w:pPr>
        <w:keepNext/>
        <w:keepLines/>
        <w:bidi/>
        <w:spacing w:before="480" w:after="0" w:line="259" w:lineRule="auto"/>
        <w:jc w:val="center"/>
        <w:outlineLvl w:val="0"/>
        <w:rPr>
          <w:rFonts w:ascii="Simplified Arabic" w:eastAsia="Times New Roman" w:hAnsi="Simplified Arabic" w:cs="Simplified Arabic"/>
          <w:b/>
          <w:bCs/>
          <w:kern w:val="2"/>
          <w:sz w:val="36"/>
          <w:szCs w:val="36"/>
          <w:rtl/>
          <w14:ligatures w14:val="standardContextual"/>
        </w:rPr>
      </w:pPr>
      <w:bookmarkStart w:id="19" w:name="_Toc234589728"/>
      <w:bookmarkStart w:id="20" w:name="_Toc234591220"/>
      <w:r w:rsidRPr="007A6368">
        <w:rPr>
          <w:rFonts w:ascii="Calibri Light" w:eastAsia="Times New Roman" w:hAnsi="Calibri Light" w:cs="Simplified Arabic" w:hint="cs"/>
          <w:b/>
          <w:bCs/>
          <w:kern w:val="2"/>
          <w:sz w:val="36"/>
          <w:szCs w:val="40"/>
          <w:rtl/>
          <w14:ligatures w14:val="standardContextual"/>
        </w:rPr>
        <w:t>الفصل الثاني: الإطار النظري والدراسات السابقة</w:t>
      </w:r>
      <w:bookmarkEnd w:id="19"/>
      <w:bookmarkEnd w:id="20"/>
    </w:p>
    <w:p w:rsidR="007A6368" w:rsidRPr="007A6368" w:rsidRDefault="007A6368" w:rsidP="007A6368">
      <w:pPr>
        <w:keepNext/>
        <w:keepLines/>
        <w:bidi/>
        <w:spacing w:before="480" w:after="0" w:line="259" w:lineRule="auto"/>
        <w:jc w:val="both"/>
        <w:outlineLvl w:val="0"/>
        <w:rPr>
          <w:rFonts w:ascii="Calibri Light" w:eastAsia="Times New Roman" w:hAnsi="Calibri Light" w:cs="Simplified Arabic"/>
          <w:b/>
          <w:bCs/>
          <w:kern w:val="2"/>
          <w:sz w:val="32"/>
          <w:szCs w:val="36"/>
          <w:rtl/>
          <w14:ligatures w14:val="standardContextual"/>
        </w:rPr>
      </w:pPr>
      <w:bookmarkStart w:id="21" w:name="_Toc234589729"/>
      <w:bookmarkStart w:id="22" w:name="_Toc234591221"/>
      <w:r w:rsidRPr="007A6368">
        <w:rPr>
          <w:rFonts w:ascii="Calibri Light" w:eastAsia="Times New Roman" w:hAnsi="Calibri Light" w:cs="Simplified Arabic" w:hint="cs"/>
          <w:b/>
          <w:bCs/>
          <w:kern w:val="2"/>
          <w:sz w:val="32"/>
          <w:szCs w:val="36"/>
          <w:rtl/>
          <w14:ligatures w14:val="standardContextual"/>
        </w:rPr>
        <w:t>المقدمة</w:t>
      </w:r>
      <w:bookmarkEnd w:id="21"/>
      <w:bookmarkEnd w:id="22"/>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يعتبر</w:t>
      </w:r>
      <w:r w:rsidRPr="007A6368">
        <w:rPr>
          <w:rFonts w:ascii="Simplified Arabic" w:eastAsia="Calibri" w:hAnsi="Simplified Arabic" w:cs="Simplified Arabic"/>
          <w:kern w:val="2"/>
          <w:sz w:val="28"/>
          <w:szCs w:val="28"/>
          <w:rtl/>
          <w14:ligatures w14:val="standardContextual"/>
        </w:rPr>
        <w:t xml:space="preserve"> الإطار النظري أحد الركائز الأساسية التي تستند إليها الدراسات العلمية، إذ يسهم في بناء الأساس المفاهيمي لمتغيرات الدراسة، وتفسير العلاقات المتوقعة بينها في ضوء الأدبيات العلمية </w:t>
      </w:r>
      <w:r w:rsidRPr="007A6368">
        <w:rPr>
          <w:rFonts w:ascii="Simplified Arabic" w:eastAsia="Calibri" w:hAnsi="Simplified Arabic" w:cs="Simplified Arabic"/>
          <w:kern w:val="2"/>
          <w:sz w:val="28"/>
          <w:szCs w:val="28"/>
          <w:rtl/>
          <w14:ligatures w14:val="standardContextual"/>
        </w:rPr>
        <w:lastRenderedPageBreak/>
        <w:t>والدراسات السابقة. وتبرز أهمية هذا الفصل في تقديم عرض علمي متكامل لموضوع ممارسات إدارة المواهب بوصفها أحد المداخل الإدارية الحديثة التي تهدف إلى استقطاب الكفاءات البشرية المتميزة، وتنميتها، وتحفيزها بما يضمن تعظيم مساهمتها في تحقيق الأهداف الاستراتيجية للمنظمات، ولا سيما في ظل التغيرات المتسارعة التي تشهدها بيئة الأعمال والمنافسة المتزايدة على استقطاب الموارد البشرية الموهوبة والاحتفاظ بها.</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كما يسلط الفصل الضوء على مفهوم الاحتفاظ بالكفاءات البشرية باعتباره أحد أهم مؤشرات نجاح إدارة الموارد البشرية، لما يمثله من دور محوري في المحافظة على رأس المال البشري وتقليل معدلات دوران العمل، بما ينعكس إيجابًا على استقرار المنظمة ورفع إنتاجيتها وتعزيز قدرتها التنافسية.</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وانطلاقًا من ذلك، ينقسم هذا الفصل إلى مبحثين رئيسين؛ يتناول المبحث الأول الإطار النظري للدراسة، من خلال عرض المفاهيم الأساسية المتعلقة بممارسات إدارة المواهب وأبعادها، والاحتفاظ بالكفاءات البشرية، والعلاقة بينهما، بينما يستعرض المبحث الثاني الدراسات السابقة العربية والأجنبية ذات الصلة بموضوع الدراسة، مع تحليل نتائجها وبيان أوجه الاتفاق والاختلاف بينها وبين الدراسة الحالية، وصولًا إلى تحديد الفجوة البحثية التي تسعى الدراسة إلى معالجتها.</w:t>
      </w:r>
    </w:p>
    <w:p w:rsidR="007A6368" w:rsidRPr="007A6368" w:rsidRDefault="007A6368" w:rsidP="007A6368">
      <w:pPr>
        <w:keepNext/>
        <w:keepLines/>
        <w:bidi/>
        <w:spacing w:before="480" w:after="0" w:line="259" w:lineRule="auto"/>
        <w:jc w:val="both"/>
        <w:outlineLvl w:val="0"/>
        <w:rPr>
          <w:rFonts w:ascii="Calibri Light" w:eastAsia="Times New Roman" w:hAnsi="Calibri Light" w:cs="Simplified Arabic"/>
          <w:b/>
          <w:bCs/>
          <w:kern w:val="2"/>
          <w:sz w:val="32"/>
          <w:szCs w:val="36"/>
          <w:rtl/>
          <w14:ligatures w14:val="standardContextual"/>
        </w:rPr>
      </w:pPr>
      <w:bookmarkStart w:id="23" w:name="_Toc234589730"/>
      <w:bookmarkStart w:id="24" w:name="_Toc234591222"/>
      <w:r w:rsidRPr="007A6368">
        <w:rPr>
          <w:rFonts w:ascii="Calibri Light" w:eastAsia="Times New Roman" w:hAnsi="Calibri Light" w:cs="Simplified Arabic" w:hint="cs"/>
          <w:b/>
          <w:bCs/>
          <w:kern w:val="2"/>
          <w:sz w:val="32"/>
          <w:szCs w:val="36"/>
          <w:rtl/>
          <w14:ligatures w14:val="standardContextual"/>
        </w:rPr>
        <w:t>المبحث الأول: الإطار النظري للدراسة</w:t>
      </w:r>
      <w:bookmarkEnd w:id="23"/>
      <w:bookmarkEnd w:id="24"/>
    </w:p>
    <w:p w:rsidR="007A6368" w:rsidRPr="007A6368" w:rsidRDefault="007A6368" w:rsidP="007A6368">
      <w:pPr>
        <w:keepNext/>
        <w:keepLines/>
        <w:bidi/>
        <w:spacing w:before="480" w:after="0" w:line="259" w:lineRule="auto"/>
        <w:jc w:val="both"/>
        <w:outlineLvl w:val="0"/>
        <w:rPr>
          <w:rFonts w:ascii="Calibri Light" w:eastAsia="Times New Roman" w:hAnsi="Calibri Light" w:cs="Simplified Arabic"/>
          <w:b/>
          <w:bCs/>
          <w:kern w:val="2"/>
          <w:sz w:val="28"/>
          <w:szCs w:val="32"/>
          <w:rtl/>
          <w14:ligatures w14:val="standardContextual"/>
        </w:rPr>
      </w:pPr>
      <w:bookmarkStart w:id="25" w:name="_Toc234589731"/>
      <w:bookmarkStart w:id="26" w:name="_Toc234591223"/>
      <w:r w:rsidRPr="007A6368">
        <w:rPr>
          <w:rFonts w:ascii="Calibri Light" w:eastAsia="Times New Roman" w:hAnsi="Calibri Light" w:cs="Simplified Arabic" w:hint="cs"/>
          <w:b/>
          <w:bCs/>
          <w:kern w:val="2"/>
          <w:sz w:val="28"/>
          <w:szCs w:val="32"/>
          <w:rtl/>
          <w14:ligatures w14:val="standardContextual"/>
        </w:rPr>
        <w:t>المطلب الأول: ممارسات إدارة المواهب</w:t>
      </w:r>
      <w:bookmarkEnd w:id="25"/>
      <w:bookmarkEnd w:id="26"/>
    </w:p>
    <w:p w:rsidR="007A6368" w:rsidRPr="007A6368" w:rsidRDefault="007A6368" w:rsidP="007A6368">
      <w:pPr>
        <w:bidi/>
        <w:spacing w:after="160" w:line="240" w:lineRule="auto"/>
        <w:jc w:val="both"/>
        <w:rPr>
          <w:rFonts w:ascii="Simplified Arabic" w:eastAsia="Calibri" w:hAnsi="Simplified Arabic" w:cs="Simplified Arabic"/>
          <w:b/>
          <w:bCs/>
          <w:kern w:val="2"/>
          <w:sz w:val="28"/>
          <w:szCs w:val="28"/>
          <w:rtl/>
          <w14:ligatures w14:val="standardContextual"/>
        </w:rPr>
      </w:pPr>
      <w:r w:rsidRPr="007A6368">
        <w:rPr>
          <w:rFonts w:ascii="Simplified Arabic" w:eastAsia="Calibri" w:hAnsi="Simplified Arabic" w:cs="Simplified Arabic" w:hint="cs"/>
          <w:b/>
          <w:bCs/>
          <w:kern w:val="2"/>
          <w:sz w:val="28"/>
          <w:szCs w:val="28"/>
          <w:rtl/>
          <w14:ligatures w14:val="standardContextual"/>
        </w:rPr>
        <w:t>أولاً: مفهوم إدارة المواهب</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 xml:space="preserve">شهد مفهوم إدارة المواهب اهتمامًا متزايدًا خلال العقود الأخيرة، نتيجة إدراك المنظمات أن العنصر البشري أصبح يمثل المصدر الرئيس لتحقيق الميزة التنافسية المستدامة، وأن امتلاك الكفاءات المتميزة والمحافظة عليها يعد من أهم عوامل النجاح المؤسسي. وفي ظل التحولات الاقتصادية والتكنولوجية المتسارعة، لم تعد إدارة الموارد البشرية تقتصر على تنفيذ الوظائف التقليدية، بل تطورت لتشمل إدارة المواهب باعتبارها مدخلًا استراتيجيًا يركز على استقطاب الأفراد ذوي الإمكانات العالية، وتنمية قدراتهم، وتحفيزهم، والاحتفاظ بهم بما يحقق أهداف المنظمة الحالية والمستقبلية (الرايقي، 2024؛ </w:t>
      </w:r>
      <w:r w:rsidRPr="007A6368">
        <w:rPr>
          <w:rFonts w:ascii="Simplified Arabic" w:eastAsia="Calibri" w:hAnsi="Simplified Arabic" w:cs="Simplified Arabic"/>
          <w:kern w:val="2"/>
          <w:sz w:val="28"/>
          <w:szCs w:val="28"/>
          <w14:ligatures w14:val="standardContextual"/>
        </w:rPr>
        <w:t>Groenewald et al., 2024</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lastRenderedPageBreak/>
        <w:t xml:space="preserve">        </w:t>
      </w:r>
      <w:r w:rsidRPr="007A6368">
        <w:rPr>
          <w:rFonts w:ascii="Simplified Arabic" w:eastAsia="Calibri" w:hAnsi="Simplified Arabic" w:cs="Simplified Arabic"/>
          <w:kern w:val="2"/>
          <w:sz w:val="28"/>
          <w:szCs w:val="28"/>
          <w:rtl/>
          <w14:ligatures w14:val="standardContextual"/>
        </w:rPr>
        <w:t xml:space="preserve">وتعرف إدارة المواهب بأنها مجموعة من السياسات والممارسات المتكاملة التي تهدف إلى جذب الأفراد ذوي الكفاءات والقدرات المتميزة، واختيارهم، وتطويرهم، وتحفيزهم، وإعدادهم لتولي المناصب الحالية والمستقبلية، بما يضمن تحقيق الأداء المتميز وتعزيز القدرة التنافسية للمنظمة (طنطاوي، عوض، والهنداوي، 2021؛ </w:t>
      </w:r>
      <w:proofErr w:type="spellStart"/>
      <w:r w:rsidRPr="007A6368">
        <w:rPr>
          <w:rFonts w:ascii="Simplified Arabic" w:eastAsia="Calibri" w:hAnsi="Simplified Arabic" w:cs="Simplified Arabic"/>
          <w:kern w:val="2"/>
          <w:sz w:val="28"/>
          <w:szCs w:val="28"/>
          <w14:ligatures w14:val="standardContextual"/>
        </w:rPr>
        <w:t>Yildiz</w:t>
      </w:r>
      <w:proofErr w:type="spellEnd"/>
      <w:r w:rsidRPr="007A6368">
        <w:rPr>
          <w:rFonts w:ascii="Simplified Arabic" w:eastAsia="Calibri" w:hAnsi="Simplified Arabic" w:cs="Simplified Arabic"/>
          <w:kern w:val="2"/>
          <w:sz w:val="28"/>
          <w:szCs w:val="28"/>
          <w14:ligatures w14:val="standardContextual"/>
        </w:rPr>
        <w:t xml:space="preserve"> &amp; </w:t>
      </w:r>
      <w:proofErr w:type="spellStart"/>
      <w:r w:rsidRPr="007A6368">
        <w:rPr>
          <w:rFonts w:ascii="Simplified Arabic" w:eastAsia="Calibri" w:hAnsi="Simplified Arabic" w:cs="Simplified Arabic"/>
          <w:kern w:val="2"/>
          <w:sz w:val="28"/>
          <w:szCs w:val="28"/>
          <w14:ligatures w14:val="standardContextual"/>
        </w:rPr>
        <w:t>Esmer</w:t>
      </w:r>
      <w:proofErr w:type="spellEnd"/>
      <w:r w:rsidRPr="007A6368">
        <w:rPr>
          <w:rFonts w:ascii="Simplified Arabic" w:eastAsia="Calibri" w:hAnsi="Simplified Arabic" w:cs="Simplified Arabic"/>
          <w:kern w:val="2"/>
          <w:sz w:val="28"/>
          <w:szCs w:val="28"/>
          <w14:ligatures w14:val="standardContextual"/>
        </w:rPr>
        <w:t>, 2023</w:t>
      </w:r>
      <w:r w:rsidRPr="007A6368">
        <w:rPr>
          <w:rFonts w:ascii="Simplified Arabic" w:eastAsia="Calibri" w:hAnsi="Simplified Arabic" w:cs="Simplified Arabic"/>
          <w:kern w:val="2"/>
          <w:sz w:val="28"/>
          <w:szCs w:val="28"/>
          <w:rtl/>
          <w14:ligatures w14:val="standardContextual"/>
        </w:rPr>
        <w:t xml:space="preserve">). كما ينظر إليها على أنها عملية استراتيجية مستمرة تعمل على مواءمة احتياجات المنظمة المستقبلية مع قدرات العاملين، من خلال التخطيط الفعال للقوى العاملة، وإدارة المسارات الوظيفية، وتوفير بيئة عمل داعمة للنمو والابتكار (الشهري، 2022؛ </w:t>
      </w:r>
      <w:proofErr w:type="spellStart"/>
      <w:r w:rsidRPr="007A6368">
        <w:rPr>
          <w:rFonts w:ascii="Simplified Arabic" w:eastAsia="Calibri" w:hAnsi="Simplified Arabic" w:cs="Simplified Arabic"/>
          <w:kern w:val="2"/>
          <w:sz w:val="28"/>
          <w:szCs w:val="28"/>
          <w14:ligatures w14:val="standardContextual"/>
        </w:rPr>
        <w:t>Mogrovejo</w:t>
      </w:r>
      <w:proofErr w:type="spellEnd"/>
      <w:r w:rsidRPr="007A6368">
        <w:rPr>
          <w:rFonts w:ascii="Simplified Arabic" w:eastAsia="Calibri" w:hAnsi="Simplified Arabic" w:cs="Simplified Arabic"/>
          <w:kern w:val="2"/>
          <w:sz w:val="28"/>
          <w:szCs w:val="28"/>
          <w14:ligatures w14:val="standardContextual"/>
        </w:rPr>
        <w:t xml:space="preserve"> et al., 2025</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 xml:space="preserve">ويرى عدد من الباحثين أن إدارة المواهب لا تقتصر على استقطاب الموظفين ذوي الأداء المرتفع، وإنما تشمل بناء منظومة متكاملة تبدأ بتحديد احتياجات المنظمة من المواهب، مرورًا باستقطابها وتطويرها وتحفيزها، وانتهاءً بالاحتفاظ بها والاستفادة القصوى من إمكاناتها في تحقيق الأهداف الاستراتيجية. ومن هذا المنطلق، أصبحت إدارة المواهب إحدى الأدوات الرئيسة التي تعتمد عليها المنظمات في مواجهة التحديات التنافسية، وتعزيز الابتكار، وتحسين الأداء المؤسسي، وتحقيق الاستدامة التنظيمية (الدليمي والزعبي، 2022؛ </w:t>
      </w:r>
      <w:proofErr w:type="spellStart"/>
      <w:r w:rsidRPr="007A6368">
        <w:rPr>
          <w:rFonts w:ascii="Simplified Arabic" w:eastAsia="Calibri" w:hAnsi="Simplified Arabic" w:cs="Simplified Arabic"/>
          <w:kern w:val="2"/>
          <w:sz w:val="28"/>
          <w:szCs w:val="28"/>
          <w14:ligatures w14:val="standardContextual"/>
        </w:rPr>
        <w:t>Karuppiah</w:t>
      </w:r>
      <w:proofErr w:type="spellEnd"/>
      <w:r w:rsidRPr="007A6368">
        <w:rPr>
          <w:rFonts w:ascii="Simplified Arabic" w:eastAsia="Calibri" w:hAnsi="Simplified Arabic" w:cs="Simplified Arabic"/>
          <w:kern w:val="2"/>
          <w:sz w:val="28"/>
          <w:szCs w:val="28"/>
          <w14:ligatures w14:val="standardContextual"/>
        </w:rPr>
        <w:t xml:space="preserve"> et al., 2025</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وفي الشركات الصناعية بالمملكة العربية السعودية، تكتسب إدارة المواهب أهمية متزايدة في ظل التوسع الصناعي الذي تشهده المملكة، ومتطلبات التطور التقني والتحول الاقتصادي، حيث تسعى هذه الشركات إلى استقطاب الكفاءات المؤهلة، وتنمية قدراتها، والمحافظة عليها بما يضمن استمرارية الأداء وتحقيق مستهدفات التنمية، وهو ما يجعل ممارسات إدارة المواهب أحد المرتكزات الأساسية لتعزيز التنافسية وتحقيق النمو المستدام (جورج، 2024؛ العدوان والهناندة، 2024).</w:t>
      </w:r>
    </w:p>
    <w:p w:rsidR="007A6368" w:rsidRPr="007A6368" w:rsidRDefault="007A6368" w:rsidP="007A6368">
      <w:pPr>
        <w:bidi/>
        <w:spacing w:after="160" w:line="240" w:lineRule="auto"/>
        <w:jc w:val="both"/>
        <w:rPr>
          <w:rFonts w:ascii="Simplified Arabic" w:eastAsia="Calibri" w:hAnsi="Simplified Arabic" w:cs="Simplified Arabic"/>
          <w:b/>
          <w:bCs/>
          <w:kern w:val="2"/>
          <w:sz w:val="28"/>
          <w:szCs w:val="28"/>
          <w:rtl/>
          <w14:ligatures w14:val="standardContextual"/>
        </w:rPr>
      </w:pPr>
      <w:r w:rsidRPr="007A6368">
        <w:rPr>
          <w:rFonts w:ascii="Simplified Arabic" w:eastAsia="Calibri" w:hAnsi="Simplified Arabic" w:cs="Simplified Arabic" w:hint="cs"/>
          <w:b/>
          <w:bCs/>
          <w:kern w:val="2"/>
          <w:sz w:val="28"/>
          <w:szCs w:val="28"/>
          <w:rtl/>
          <w14:ligatures w14:val="standardContextual"/>
        </w:rPr>
        <w:t>ثانياً: أهمية إدارة المواهب</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 xml:space="preserve">تُعد إدارة المواهب من أهم الممارسات الإدارية الحديثة التي تعتمد عليها المنظمات لتحقيق التميز المؤسسي، حيث تسهم في استقطاب الكفاءات البشرية القادرة على الابتكار، وتنمية قدراتها، والمحافظة عليها بما يضمن استدامة الأداء وتحقيق الأهداف الاستراتيجية. وفي ظل بيئة الأعمال المعاصرة التي تتسم بالمنافسة الشديدة والتغيرات المتسارعة، أصبحت إدارة المواهب عنصرًا أساسيًا في بناء رأس مال بشري يمتلك المهارات والمعارف اللازمة لمواجهة التحديات وتحقيق النمو المستدام (الرايقي، 2024؛ </w:t>
      </w:r>
      <w:r w:rsidRPr="007A6368">
        <w:rPr>
          <w:rFonts w:ascii="Simplified Arabic" w:eastAsia="Calibri" w:hAnsi="Simplified Arabic" w:cs="Simplified Arabic"/>
          <w:kern w:val="2"/>
          <w:sz w:val="28"/>
          <w:szCs w:val="28"/>
          <w14:ligatures w14:val="standardContextual"/>
        </w:rPr>
        <w:t>Groenewald et al., 2024</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lastRenderedPageBreak/>
        <w:t xml:space="preserve">        </w:t>
      </w:r>
      <w:r w:rsidRPr="007A6368">
        <w:rPr>
          <w:rFonts w:ascii="Simplified Arabic" w:eastAsia="Calibri" w:hAnsi="Simplified Arabic" w:cs="Simplified Arabic"/>
          <w:kern w:val="2"/>
          <w:sz w:val="28"/>
          <w:szCs w:val="28"/>
          <w:rtl/>
          <w14:ligatures w14:val="standardContextual"/>
        </w:rPr>
        <w:t xml:space="preserve">وتبرز أهمية إدارة المواهب في قدرتها على مواءمة احتياجات المنظمة مع إمكانات العاملين، من خلال التخطيط الفعال للقوى العاملة، وتحديد أصحاب القدرات المتميزة، وتوفير بيئة عمل تساعدهم على التطور المهني والوظيفي. كما تسهم في رفع مستويات الرضا الوظيفي والالتزام التنظيمي، وتعزيز الإبداع والابتكار، الأمر الذي ينعكس إيجابًا على جودة الأداء والإنتاجية والميزة التنافسية للمنظمة (طنطاوي، عوض، والهنداوي، 2021؛ قريشي، لعرافي، وعبدالكريم، 2022؛ </w:t>
      </w:r>
      <w:proofErr w:type="spellStart"/>
      <w:r w:rsidRPr="007A6368">
        <w:rPr>
          <w:rFonts w:ascii="Simplified Arabic" w:eastAsia="Calibri" w:hAnsi="Simplified Arabic" w:cs="Simplified Arabic"/>
          <w:kern w:val="2"/>
          <w:sz w:val="28"/>
          <w:szCs w:val="28"/>
          <w14:ligatures w14:val="standardContextual"/>
        </w:rPr>
        <w:t>Mogrovejo</w:t>
      </w:r>
      <w:proofErr w:type="spellEnd"/>
      <w:r w:rsidRPr="007A6368">
        <w:rPr>
          <w:rFonts w:ascii="Simplified Arabic" w:eastAsia="Calibri" w:hAnsi="Simplified Arabic" w:cs="Simplified Arabic"/>
          <w:kern w:val="2"/>
          <w:sz w:val="28"/>
          <w:szCs w:val="28"/>
          <w14:ligatures w14:val="standardContextual"/>
        </w:rPr>
        <w:t xml:space="preserve"> et al., 2025</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وتساعد ممارسات إدارة المواهب كذلك في تقليل معدلات دوران العاملين، وخفض تكاليف الاستقطاب والتوظيف، والمحافظة على الخبرات التنظيمية، وذلك من خلال توفير فرص عادلة للتطوير، ونظم فعالة للتحفيز، ومسارات واضحة للتقدم الوظيفي، وهو ما يعزز قدرة المنظمة على الاحتفاظ بالعاملين ذوي الكفاءة والخبرة (</w:t>
      </w:r>
      <w:r w:rsidRPr="007A6368">
        <w:rPr>
          <w:rFonts w:ascii="Simplified Arabic" w:eastAsia="Calibri" w:hAnsi="Simplified Arabic" w:cs="Simplified Arabic"/>
          <w:kern w:val="2"/>
          <w:sz w:val="28"/>
          <w:szCs w:val="28"/>
          <w14:ligatures w14:val="standardContextual"/>
        </w:rPr>
        <w:t>Kumar, 2022</w:t>
      </w:r>
      <w:r w:rsidRPr="007A6368">
        <w:rPr>
          <w:rFonts w:ascii="Simplified Arabic" w:eastAsia="Calibri" w:hAnsi="Simplified Arabic" w:cs="Simplified Arabic"/>
          <w:kern w:val="2"/>
          <w:sz w:val="28"/>
          <w:szCs w:val="28"/>
          <w:rtl/>
          <w14:ligatures w14:val="standardContextual"/>
        </w:rPr>
        <w:t xml:space="preserve">؛ </w:t>
      </w:r>
      <w:proofErr w:type="spellStart"/>
      <w:r w:rsidRPr="007A6368">
        <w:rPr>
          <w:rFonts w:ascii="Simplified Arabic" w:eastAsia="Calibri" w:hAnsi="Simplified Arabic" w:cs="Simplified Arabic"/>
          <w:kern w:val="2"/>
          <w:sz w:val="28"/>
          <w:szCs w:val="28"/>
          <w14:ligatures w14:val="standardContextual"/>
        </w:rPr>
        <w:t>Urme</w:t>
      </w:r>
      <w:proofErr w:type="spellEnd"/>
      <w:r w:rsidRPr="007A6368">
        <w:rPr>
          <w:rFonts w:ascii="Simplified Arabic" w:eastAsia="Calibri" w:hAnsi="Simplified Arabic" w:cs="Simplified Arabic"/>
          <w:kern w:val="2"/>
          <w:sz w:val="28"/>
          <w:szCs w:val="28"/>
          <w14:ligatures w14:val="standardContextual"/>
        </w:rPr>
        <w:t>, 2023</w:t>
      </w:r>
      <w:r w:rsidRPr="007A6368">
        <w:rPr>
          <w:rFonts w:ascii="Simplified Arabic" w:eastAsia="Calibri" w:hAnsi="Simplified Arabic" w:cs="Simplified Arabic"/>
          <w:kern w:val="2"/>
          <w:sz w:val="28"/>
          <w:szCs w:val="28"/>
          <w:rtl/>
          <w14:ligatures w14:val="standardContextual"/>
        </w:rPr>
        <w:t xml:space="preserve">؛ </w:t>
      </w:r>
      <w:proofErr w:type="spellStart"/>
      <w:r w:rsidRPr="007A6368">
        <w:rPr>
          <w:rFonts w:ascii="Simplified Arabic" w:eastAsia="Calibri" w:hAnsi="Simplified Arabic" w:cs="Simplified Arabic"/>
          <w:kern w:val="2"/>
          <w:sz w:val="28"/>
          <w:szCs w:val="28"/>
          <w14:ligatures w14:val="standardContextual"/>
        </w:rPr>
        <w:t>Porkodi</w:t>
      </w:r>
      <w:proofErr w:type="spellEnd"/>
      <w:r w:rsidRPr="007A6368">
        <w:rPr>
          <w:rFonts w:ascii="Simplified Arabic" w:eastAsia="Calibri" w:hAnsi="Simplified Arabic" w:cs="Simplified Arabic"/>
          <w:kern w:val="2"/>
          <w:sz w:val="28"/>
          <w:szCs w:val="28"/>
          <w14:ligatures w14:val="standardContextual"/>
        </w:rPr>
        <w:t xml:space="preserve"> et al., 2025</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وفي الشركات الصناعية بالمملكة العربية السعودية، تزداد أهمية إدارة المواهب في ظل التوسع الصناعي والتحول نحو الاقتصاد القائم على المعرفة، حيث أصبحت الكفاءات البشرية المؤهلة تمثل أحد أهم مقومات النجاح وتحقيق مستهدفات التنمية. ومن ثم، فإن الاستثمار في ممارسات إدارة المواهب يسهم في رفع كفاءة العمليات الصناعية، وتعزيز الابتكار، وتحسين القدرة التنافسية، ودعم استدامة الشركات في مواجهة المتغيرات المحلية والعالمية (جورج، 2024؛ عسيري، 2025).</w:t>
      </w:r>
    </w:p>
    <w:p w:rsidR="007A6368" w:rsidRPr="007A6368" w:rsidRDefault="007A6368" w:rsidP="007A6368">
      <w:pPr>
        <w:bidi/>
        <w:spacing w:after="160" w:line="259" w:lineRule="auto"/>
        <w:jc w:val="both"/>
        <w:rPr>
          <w:rFonts w:ascii="Simplified Arabic" w:eastAsia="Calibri" w:hAnsi="Simplified Arabic" w:cs="Simplified Arabic"/>
          <w:b/>
          <w:bCs/>
          <w:kern w:val="2"/>
          <w:sz w:val="28"/>
          <w:szCs w:val="28"/>
          <w:rtl/>
          <w14:ligatures w14:val="standardContextual"/>
        </w:rPr>
      </w:pPr>
      <w:r w:rsidRPr="007A6368">
        <w:rPr>
          <w:rFonts w:ascii="Simplified Arabic" w:eastAsia="Calibri" w:hAnsi="Simplified Arabic" w:cs="Simplified Arabic" w:hint="cs"/>
          <w:b/>
          <w:bCs/>
          <w:kern w:val="2"/>
          <w:sz w:val="28"/>
          <w:szCs w:val="28"/>
          <w:rtl/>
          <w14:ligatures w14:val="standardContextual"/>
        </w:rPr>
        <w:t>ثالثاً: أهداف إدارة المواهب</w:t>
      </w:r>
    </w:p>
    <w:p w:rsidR="007A6368" w:rsidRPr="007A6368" w:rsidRDefault="007A6368" w:rsidP="007A6368">
      <w:pPr>
        <w:bidi/>
        <w:spacing w:after="160" w:line="259"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تهدف إدارة المواهب إلى بناء قوة عاملة تمتلك المهارات والقدرات التي تمكّن المنظمة من تحقيق أهدافها الاستراتيجية والمحافظة على قدرتها التنافسية في بيئة أعمال تتسم بالتغير المستمر. ولا يقتصر دورها على استقطاب الأفراد المتميزين، وإنما يمتد إلى تطوير إمكاناتهم، وتحفيزهم، وإعدادهم لشغل الوظائف القيادية والمستقبلية، بما يضمن استدامة الأداء المؤسسي وتحقيق النمو طويل الأجل (</w:t>
      </w:r>
      <w:proofErr w:type="spellStart"/>
      <w:r w:rsidRPr="007A6368">
        <w:rPr>
          <w:rFonts w:ascii="Simplified Arabic" w:eastAsia="Calibri" w:hAnsi="Simplified Arabic" w:cs="Simplified Arabic"/>
          <w:kern w:val="2"/>
          <w:sz w:val="28"/>
          <w:szCs w:val="28"/>
          <w14:ligatures w14:val="standardContextual"/>
        </w:rPr>
        <w:t>Yildiz</w:t>
      </w:r>
      <w:proofErr w:type="spellEnd"/>
      <w:r w:rsidRPr="007A6368">
        <w:rPr>
          <w:rFonts w:ascii="Simplified Arabic" w:eastAsia="Calibri" w:hAnsi="Simplified Arabic" w:cs="Simplified Arabic"/>
          <w:kern w:val="2"/>
          <w:sz w:val="28"/>
          <w:szCs w:val="28"/>
          <w14:ligatures w14:val="standardContextual"/>
        </w:rPr>
        <w:t xml:space="preserve"> &amp; </w:t>
      </w:r>
      <w:proofErr w:type="spellStart"/>
      <w:r w:rsidRPr="007A6368">
        <w:rPr>
          <w:rFonts w:ascii="Simplified Arabic" w:eastAsia="Calibri" w:hAnsi="Simplified Arabic" w:cs="Simplified Arabic"/>
          <w:kern w:val="2"/>
          <w:sz w:val="28"/>
          <w:szCs w:val="28"/>
          <w14:ligatures w14:val="standardContextual"/>
        </w:rPr>
        <w:t>Esmer</w:t>
      </w:r>
      <w:proofErr w:type="spellEnd"/>
      <w:r w:rsidRPr="007A6368">
        <w:rPr>
          <w:rFonts w:ascii="Simplified Arabic" w:eastAsia="Calibri" w:hAnsi="Simplified Arabic" w:cs="Simplified Arabic"/>
          <w:kern w:val="2"/>
          <w:sz w:val="28"/>
          <w:szCs w:val="28"/>
          <w14:ligatures w14:val="standardContextual"/>
        </w:rPr>
        <w:t>, 2023</w:t>
      </w:r>
      <w:r w:rsidRPr="007A6368">
        <w:rPr>
          <w:rFonts w:ascii="Simplified Arabic" w:eastAsia="Calibri" w:hAnsi="Simplified Arabic" w:cs="Simplified Arabic"/>
          <w:kern w:val="2"/>
          <w:sz w:val="28"/>
          <w:szCs w:val="28"/>
          <w:rtl/>
          <w14:ligatures w14:val="standardContextual"/>
        </w:rPr>
        <w:t xml:space="preserve">؛ </w:t>
      </w:r>
      <w:r w:rsidRPr="007A6368">
        <w:rPr>
          <w:rFonts w:ascii="Simplified Arabic" w:eastAsia="Calibri" w:hAnsi="Simplified Arabic" w:cs="Simplified Arabic"/>
          <w:kern w:val="2"/>
          <w:sz w:val="28"/>
          <w:szCs w:val="28"/>
          <w14:ligatures w14:val="standardContextual"/>
        </w:rPr>
        <w:t>Groenewald et al., 2024</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59"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 xml:space="preserve">ومن أبرز أهداف إدارة المواهب استقطاب الكفاءات البشرية المناسبة لاحتياجات المنظمة، وتوفير بيئة عمل داعمة تساعد على تنمية قدراتهم العلمية والعملية، بما يرفع مستوى الأداء </w:t>
      </w:r>
      <w:r w:rsidRPr="007A6368">
        <w:rPr>
          <w:rFonts w:ascii="Simplified Arabic" w:eastAsia="Calibri" w:hAnsi="Simplified Arabic" w:cs="Simplified Arabic"/>
          <w:kern w:val="2"/>
          <w:sz w:val="28"/>
          <w:szCs w:val="28"/>
          <w:rtl/>
          <w14:ligatures w14:val="standardContextual"/>
        </w:rPr>
        <w:lastRenderedPageBreak/>
        <w:t xml:space="preserve">والإنتاجية. كما تهدف إلى تعزيز الالتزام التنظيمي، وتنمية الإبداع والابتكار، وتوفير مسارات وظيفية واضحة للعاملين، الأمر الذي يسهم في زيادة رضاهم الوظيفي، وتقليل معدلات دوران العمل، والمحافظة على الخبرات المتراكمة داخل المنظمة (الشهري، 2022؛ السليحات والصوالحة، 2022؛ </w:t>
      </w:r>
      <w:r w:rsidRPr="007A6368">
        <w:rPr>
          <w:rFonts w:ascii="Simplified Arabic" w:eastAsia="Calibri" w:hAnsi="Simplified Arabic" w:cs="Simplified Arabic"/>
          <w:kern w:val="2"/>
          <w:sz w:val="28"/>
          <w:szCs w:val="28"/>
          <w14:ligatures w14:val="standardContextual"/>
        </w:rPr>
        <w:t>Kumar, 2022</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59" w:lineRule="auto"/>
        <w:jc w:val="both"/>
        <w:rPr>
          <w:rFonts w:ascii="Simplified Arabic" w:eastAsia="Calibri" w:hAnsi="Simplified Arabic" w:cs="Simplified Arabic"/>
          <w:kern w:val="2"/>
          <w:sz w:val="28"/>
          <w:szCs w:val="28"/>
          <w:rtl/>
          <w14:ligatures w14:val="standardContextual"/>
        </w:rPr>
      </w:pPr>
    </w:p>
    <w:p w:rsidR="007A6368" w:rsidRPr="007A6368" w:rsidRDefault="007A6368" w:rsidP="007A6368">
      <w:pPr>
        <w:bidi/>
        <w:spacing w:after="160" w:line="259"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 xml:space="preserve">كما تسعى إدارة المواهب إلى تحقيق المواءمة بين الأهداف الفردية للعاملين والأهداف الاستراتيجية للمنظمة، من خلال تطبيق سياسات عادلة في الاختيار والتطوير والتحفيز، بما يضمن تحقيق الاستفادة المثلى من رأس المال البشري. وفي هذا السياق، تؤكد الأدبيات أن نجاح المنظمات في إدارة المواهب يسهم في رفع كفاءة الأداء، وتعزيز القدرة على التكيف مع المتغيرات، ودعم الابتكار المؤسسي، وهو ما يجعلها أحد المداخل الحديثة لتحقيق التميز والاستدامة التنظيمية (الدليمي والزعبي، 2022؛ العدوان والهناندة، 2024؛ </w:t>
      </w:r>
      <w:proofErr w:type="spellStart"/>
      <w:r w:rsidRPr="007A6368">
        <w:rPr>
          <w:rFonts w:ascii="Simplified Arabic" w:eastAsia="Calibri" w:hAnsi="Simplified Arabic" w:cs="Simplified Arabic"/>
          <w:kern w:val="2"/>
          <w:sz w:val="28"/>
          <w:szCs w:val="28"/>
          <w14:ligatures w14:val="standardContextual"/>
        </w:rPr>
        <w:t>Manimaran</w:t>
      </w:r>
      <w:proofErr w:type="spellEnd"/>
      <w:r w:rsidRPr="007A6368">
        <w:rPr>
          <w:rFonts w:ascii="Simplified Arabic" w:eastAsia="Calibri" w:hAnsi="Simplified Arabic" w:cs="Simplified Arabic"/>
          <w:kern w:val="2"/>
          <w:sz w:val="28"/>
          <w:szCs w:val="28"/>
          <w14:ligatures w14:val="standardContextual"/>
        </w:rPr>
        <w:t xml:space="preserve"> et al., 2025</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59" w:lineRule="auto"/>
        <w:jc w:val="both"/>
        <w:rPr>
          <w:rFonts w:ascii="Simplified Arabic" w:eastAsia="Calibri" w:hAnsi="Simplified Arabic" w:cs="Simplified Arabic"/>
          <w:b/>
          <w:bCs/>
          <w:kern w:val="2"/>
          <w:sz w:val="28"/>
          <w:szCs w:val="28"/>
          <w:rtl/>
          <w14:ligatures w14:val="standardContextual"/>
        </w:rPr>
      </w:pPr>
      <w:r w:rsidRPr="007A6368">
        <w:rPr>
          <w:rFonts w:ascii="Simplified Arabic" w:eastAsia="Calibri" w:hAnsi="Simplified Arabic" w:cs="Simplified Arabic" w:hint="cs"/>
          <w:b/>
          <w:bCs/>
          <w:kern w:val="2"/>
          <w:sz w:val="28"/>
          <w:szCs w:val="28"/>
          <w:rtl/>
          <w14:ligatures w14:val="standardContextual"/>
        </w:rPr>
        <w:t>رابعاً: أبعاد ممارسات إدارة المواهب</w:t>
      </w:r>
    </w:p>
    <w:p w:rsidR="007A6368" w:rsidRPr="007A6368" w:rsidRDefault="007A6368" w:rsidP="007A6368">
      <w:pPr>
        <w:numPr>
          <w:ilvl w:val="0"/>
          <w:numId w:val="6"/>
        </w:numPr>
        <w:bidi/>
        <w:spacing w:after="160" w:line="259" w:lineRule="auto"/>
        <w:contextualSpacing/>
        <w:jc w:val="both"/>
        <w:rPr>
          <w:rFonts w:ascii="Simplified Arabic" w:eastAsia="Calibri" w:hAnsi="Simplified Arabic" w:cs="Simplified Arabic"/>
          <w:b/>
          <w:bCs/>
          <w:kern w:val="2"/>
          <w:sz w:val="28"/>
          <w:szCs w:val="28"/>
          <w14:ligatures w14:val="standardContextual"/>
        </w:rPr>
      </w:pPr>
      <w:r w:rsidRPr="007A6368">
        <w:rPr>
          <w:rFonts w:ascii="Simplified Arabic" w:eastAsia="Calibri" w:hAnsi="Simplified Arabic" w:cs="Simplified Arabic" w:hint="cs"/>
          <w:b/>
          <w:bCs/>
          <w:kern w:val="2"/>
          <w:sz w:val="28"/>
          <w:szCs w:val="28"/>
          <w:rtl/>
          <w14:ligatures w14:val="standardContextual"/>
        </w:rPr>
        <w:t>استقطاب المواهب</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يعتبر</w:t>
      </w:r>
      <w:r w:rsidRPr="007A6368">
        <w:rPr>
          <w:rFonts w:ascii="Simplified Arabic" w:eastAsia="Calibri" w:hAnsi="Simplified Arabic" w:cs="Simplified Arabic"/>
          <w:kern w:val="2"/>
          <w:sz w:val="28"/>
          <w:szCs w:val="28"/>
          <w:rtl/>
          <w14:ligatures w14:val="standardContextual"/>
        </w:rPr>
        <w:t xml:space="preserve"> استقطاب المواهب أولى المراحل الرئيسة في إدارة المواهب، إذ يركز على جذب الأفراد ذوي المهارات والخبرات والقدرات المتميزة بما يتوافق مع الاحتياجات الحالية والمستقبلية للمنظمة. وتزداد أهمية هذه المرحلة في ظل المنافسة المتزايدة بين المنظمات على استقطاب الكفاءات القادرة على تحقيق الابتكار ورفع مستويات الأداء، مما يجعلها أحد العوامل المؤثرة في نجاح المنظمة واستدامتها (</w:t>
      </w:r>
      <w:proofErr w:type="spellStart"/>
      <w:r w:rsidRPr="007A6368">
        <w:rPr>
          <w:rFonts w:ascii="Simplified Arabic" w:eastAsia="Calibri" w:hAnsi="Simplified Arabic" w:cs="Simplified Arabic"/>
          <w:kern w:val="2"/>
          <w:sz w:val="28"/>
          <w:szCs w:val="28"/>
          <w14:ligatures w14:val="standardContextual"/>
        </w:rPr>
        <w:t>Dwiputrianti</w:t>
      </w:r>
      <w:proofErr w:type="spellEnd"/>
      <w:r w:rsidRPr="007A6368">
        <w:rPr>
          <w:rFonts w:ascii="Simplified Arabic" w:eastAsia="Calibri" w:hAnsi="Simplified Arabic" w:cs="Simplified Arabic"/>
          <w:kern w:val="2"/>
          <w:sz w:val="28"/>
          <w:szCs w:val="28"/>
          <w14:ligatures w14:val="standardContextual"/>
        </w:rPr>
        <w:t xml:space="preserve"> et al., </w:t>
      </w:r>
      <w:proofErr w:type="gramStart"/>
      <w:r w:rsidRPr="007A6368">
        <w:rPr>
          <w:rFonts w:ascii="Simplified Arabic" w:eastAsia="Calibri" w:hAnsi="Simplified Arabic" w:cs="Simplified Arabic"/>
          <w:kern w:val="2"/>
          <w:sz w:val="28"/>
          <w:szCs w:val="28"/>
          <w14:ligatures w14:val="standardContextual"/>
        </w:rPr>
        <w:t>2023</w:t>
      </w:r>
      <w:r w:rsidRPr="007A6368">
        <w:rPr>
          <w:rFonts w:ascii="Simplified Arabic" w:eastAsia="Calibri" w:hAnsi="Simplified Arabic" w:cs="Simplified Arabic"/>
          <w:kern w:val="2"/>
          <w:sz w:val="28"/>
          <w:szCs w:val="28"/>
          <w:rtl/>
          <w14:ligatures w14:val="standardContextual"/>
        </w:rPr>
        <w:t xml:space="preserve">؛ </w:t>
      </w:r>
      <w:proofErr w:type="spellStart"/>
      <w:r w:rsidRPr="007A6368">
        <w:rPr>
          <w:rFonts w:ascii="Simplified Arabic" w:eastAsia="Calibri" w:hAnsi="Simplified Arabic" w:cs="Simplified Arabic"/>
          <w:kern w:val="2"/>
          <w:sz w:val="28"/>
          <w:szCs w:val="28"/>
          <w14:ligatures w14:val="standardContextual"/>
        </w:rPr>
        <w:t>Shafiee</w:t>
      </w:r>
      <w:proofErr w:type="spellEnd"/>
      <w:r w:rsidRPr="007A6368">
        <w:rPr>
          <w:rFonts w:ascii="Simplified Arabic" w:eastAsia="Calibri" w:hAnsi="Simplified Arabic" w:cs="Simplified Arabic"/>
          <w:kern w:val="2"/>
          <w:sz w:val="28"/>
          <w:szCs w:val="28"/>
          <w14:ligatures w14:val="standardContextual"/>
        </w:rPr>
        <w:t xml:space="preserve"> &amp; </w:t>
      </w:r>
      <w:proofErr w:type="spellStart"/>
      <w:r w:rsidRPr="007A6368">
        <w:rPr>
          <w:rFonts w:ascii="Simplified Arabic" w:eastAsia="Calibri" w:hAnsi="Simplified Arabic" w:cs="Simplified Arabic"/>
          <w:kern w:val="2"/>
          <w:sz w:val="28"/>
          <w:szCs w:val="28"/>
          <w14:ligatures w14:val="standardContextual"/>
        </w:rPr>
        <w:t>Goodarzi</w:t>
      </w:r>
      <w:proofErr w:type="spellEnd"/>
      <w:r w:rsidRPr="007A6368">
        <w:rPr>
          <w:rFonts w:ascii="Simplified Arabic" w:eastAsia="Calibri" w:hAnsi="Simplified Arabic" w:cs="Simplified Arabic"/>
          <w:kern w:val="2"/>
          <w:sz w:val="28"/>
          <w:szCs w:val="28"/>
          <w14:ligatures w14:val="standardContextual"/>
        </w:rPr>
        <w:t>, 2026</w:t>
      </w:r>
      <w:r w:rsidRPr="007A6368">
        <w:rPr>
          <w:rFonts w:ascii="Simplified Arabic" w:eastAsia="Calibri" w:hAnsi="Simplified Arabic" w:cs="Simplified Arabic"/>
          <w:kern w:val="2"/>
          <w:sz w:val="28"/>
          <w:szCs w:val="28"/>
          <w:rtl/>
          <w14:ligatures w14:val="standardContextual"/>
        </w:rPr>
        <w:t>).</w:t>
      </w:r>
      <w:proofErr w:type="gramEnd"/>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ويعتمد نجاح استقطاب المواهب على تبني المنظمة سياسات واضحة للتوظيف، واستخدام أساليب حديثة في الإعلان عن الوظائف، والاختيار المبني على الكفاءة والجدارة، إضافة إلى بناء صورة ذهنية إيجابية للمنظمة باعتبارها بيئة عمل جاذبة للمواهب. كما يسهم تطبيق معايير عادلة وشفافة في التوظيف في جذب الكفاءات المناسبة وتقليل مخاطر الاختيار غير الملائم، بما ينعكس إيجابًا على جودة رأس المال البشري (العتوم وعبابنة، 2023؛ جورج، 2024).</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lastRenderedPageBreak/>
        <w:t xml:space="preserve">        </w:t>
      </w:r>
      <w:r w:rsidRPr="007A6368">
        <w:rPr>
          <w:rFonts w:ascii="Simplified Arabic" w:eastAsia="Calibri" w:hAnsi="Simplified Arabic" w:cs="Simplified Arabic"/>
          <w:kern w:val="2"/>
          <w:sz w:val="28"/>
          <w:szCs w:val="28"/>
          <w:rtl/>
          <w14:ligatures w14:val="standardContextual"/>
        </w:rPr>
        <w:t>وتشير الدراسات إلى أن المنظمات التي تنجح في استقطاب المواهب تكون أكثر قدرة على الاحتفاظ بالعاملين مستقبلاً، لأن اختيار الأفراد الذين تتوافق قيمهم ومهاراتهم مع ثقافة المنظمة يسهم في رفع مستوى الرضا الوظيفي والالتزام التنظيمي، ويقلل من معدلات ترك العمل. كما أن توفير حزم تنافسية من المزايا وفرص التطور الوظيفي يعزز قدرة المنظمة على جذب الكفاءات المتميزة والمحافظة عليها في المدى الطويل (</w:t>
      </w:r>
      <w:proofErr w:type="spellStart"/>
      <w:r w:rsidRPr="007A6368">
        <w:rPr>
          <w:rFonts w:ascii="Simplified Arabic" w:eastAsia="Calibri" w:hAnsi="Simplified Arabic" w:cs="Simplified Arabic"/>
          <w:kern w:val="2"/>
          <w:sz w:val="28"/>
          <w:szCs w:val="28"/>
          <w14:ligatures w14:val="standardContextual"/>
        </w:rPr>
        <w:t>Achmada</w:t>
      </w:r>
      <w:proofErr w:type="spellEnd"/>
      <w:r w:rsidRPr="007A6368">
        <w:rPr>
          <w:rFonts w:ascii="Simplified Arabic" w:eastAsia="Calibri" w:hAnsi="Simplified Arabic" w:cs="Simplified Arabic"/>
          <w:kern w:val="2"/>
          <w:sz w:val="28"/>
          <w:szCs w:val="28"/>
          <w14:ligatures w14:val="standardContextual"/>
        </w:rPr>
        <w:t xml:space="preserve"> &amp; </w:t>
      </w:r>
      <w:proofErr w:type="spellStart"/>
      <w:r w:rsidRPr="007A6368">
        <w:rPr>
          <w:rFonts w:ascii="Simplified Arabic" w:eastAsia="Calibri" w:hAnsi="Simplified Arabic" w:cs="Simplified Arabic"/>
          <w:kern w:val="2"/>
          <w:sz w:val="28"/>
          <w:szCs w:val="28"/>
          <w14:ligatures w14:val="standardContextual"/>
        </w:rPr>
        <w:t>Soetjipto</w:t>
      </w:r>
      <w:proofErr w:type="spellEnd"/>
      <w:r w:rsidRPr="007A6368">
        <w:rPr>
          <w:rFonts w:ascii="Simplified Arabic" w:eastAsia="Calibri" w:hAnsi="Simplified Arabic" w:cs="Simplified Arabic"/>
          <w:kern w:val="2"/>
          <w:sz w:val="28"/>
          <w:szCs w:val="28"/>
          <w14:ligatures w14:val="standardContextual"/>
        </w:rPr>
        <w:t>, 2022</w:t>
      </w:r>
      <w:r w:rsidRPr="007A6368">
        <w:rPr>
          <w:rFonts w:ascii="Simplified Arabic" w:eastAsia="Calibri" w:hAnsi="Simplified Arabic" w:cs="Simplified Arabic"/>
          <w:kern w:val="2"/>
          <w:sz w:val="28"/>
          <w:szCs w:val="28"/>
          <w:rtl/>
          <w14:ligatures w14:val="standardContextual"/>
        </w:rPr>
        <w:t xml:space="preserve">؛ </w:t>
      </w:r>
      <w:proofErr w:type="spellStart"/>
      <w:r w:rsidRPr="007A6368">
        <w:rPr>
          <w:rFonts w:ascii="Simplified Arabic" w:eastAsia="Calibri" w:hAnsi="Simplified Arabic" w:cs="Simplified Arabic"/>
          <w:kern w:val="2"/>
          <w:sz w:val="28"/>
          <w:szCs w:val="28"/>
          <w14:ligatures w14:val="standardContextual"/>
        </w:rPr>
        <w:t>Porkodi</w:t>
      </w:r>
      <w:proofErr w:type="spellEnd"/>
      <w:r w:rsidRPr="007A6368">
        <w:rPr>
          <w:rFonts w:ascii="Simplified Arabic" w:eastAsia="Calibri" w:hAnsi="Simplified Arabic" w:cs="Simplified Arabic"/>
          <w:kern w:val="2"/>
          <w:sz w:val="28"/>
          <w:szCs w:val="28"/>
          <w14:ligatures w14:val="standardContextual"/>
        </w:rPr>
        <w:t xml:space="preserve"> et al., 2025</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وفي الشركات الصناعية بالمملكة العربية السعودية، يمثل استقطاب المواهب أحد المتطلبات الأساسية لمواجهة التوسع الصناعي والتطور التقني، حيث تحتاج هذه الشركات إلى استقطاب كوادر مؤهلة تمتلك المهارات الفنية والإدارية اللازمة لدعم الإنتاج وتحقيق الكفاءة التشغيلية، الأمر الذي يجعل هذا البعد من أكثر ممارسات إدارة المواهب تأثيرًا في تحقيق أهداف المنظمة وتعزيز قدرتها التنافسية.</w:t>
      </w:r>
    </w:p>
    <w:p w:rsidR="007A6368" w:rsidRPr="007A6368" w:rsidRDefault="007A6368" w:rsidP="007A6368">
      <w:pPr>
        <w:bidi/>
        <w:spacing w:after="160" w:line="259" w:lineRule="auto"/>
        <w:jc w:val="both"/>
        <w:rPr>
          <w:rFonts w:ascii="Simplified Arabic" w:eastAsia="Calibri" w:hAnsi="Simplified Arabic" w:cs="Simplified Arabic"/>
          <w:kern w:val="2"/>
          <w:sz w:val="28"/>
          <w:szCs w:val="28"/>
          <w:rtl/>
          <w14:ligatures w14:val="standardContextual"/>
        </w:rPr>
      </w:pPr>
    </w:p>
    <w:p w:rsidR="007A6368" w:rsidRPr="007A6368" w:rsidRDefault="007A6368" w:rsidP="007A6368">
      <w:pPr>
        <w:numPr>
          <w:ilvl w:val="0"/>
          <w:numId w:val="6"/>
        </w:numPr>
        <w:bidi/>
        <w:spacing w:after="160" w:line="259" w:lineRule="auto"/>
        <w:contextualSpacing/>
        <w:jc w:val="both"/>
        <w:rPr>
          <w:rFonts w:ascii="Simplified Arabic" w:eastAsia="Calibri" w:hAnsi="Simplified Arabic" w:cs="Simplified Arabic"/>
          <w:b/>
          <w:bCs/>
          <w:kern w:val="2"/>
          <w:sz w:val="28"/>
          <w:szCs w:val="28"/>
          <w:rtl/>
          <w14:ligatures w14:val="standardContextual"/>
        </w:rPr>
      </w:pPr>
      <w:r w:rsidRPr="007A6368">
        <w:rPr>
          <w:rFonts w:ascii="Simplified Arabic" w:eastAsia="Calibri" w:hAnsi="Simplified Arabic" w:cs="Simplified Arabic" w:hint="cs"/>
          <w:b/>
          <w:bCs/>
          <w:kern w:val="2"/>
          <w:sz w:val="28"/>
          <w:szCs w:val="28"/>
          <w:rtl/>
          <w14:ligatures w14:val="standardContextual"/>
        </w:rPr>
        <w:t>تطوير وتنمية المواهب</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يمثل تطوير وتنمية المواهب أحد المحاور الأساسية في ممارسات إدارة المواهب، إذ يركز على تنمية معارف العاملين ومهاراتهم وقدراتهم بما يمكنهم من أداء مهامهم بكفاءة أعلى، وإعدادهم لتحمل المسؤوليات المستقبلية. ولا يقتصر هذا البعد على التدريب التقليدي، بل يشمل التخطيط للمسار الوظيفي، والتوجيه والإرشاد المهني، والتعلم المستمر، وتطوير القيادات، بما يضمن تحقيق التوافق بين احتياجات المنظمة وتطلعات العاملين (</w:t>
      </w:r>
      <w:proofErr w:type="spellStart"/>
      <w:r w:rsidRPr="007A6368">
        <w:rPr>
          <w:rFonts w:ascii="Simplified Arabic" w:eastAsia="Calibri" w:hAnsi="Simplified Arabic" w:cs="Simplified Arabic"/>
          <w:kern w:val="2"/>
          <w:sz w:val="28"/>
          <w:szCs w:val="28"/>
          <w14:ligatures w14:val="standardContextual"/>
        </w:rPr>
        <w:t>Yildiz</w:t>
      </w:r>
      <w:proofErr w:type="spellEnd"/>
      <w:r w:rsidRPr="007A6368">
        <w:rPr>
          <w:rFonts w:ascii="Simplified Arabic" w:eastAsia="Calibri" w:hAnsi="Simplified Arabic" w:cs="Simplified Arabic"/>
          <w:kern w:val="2"/>
          <w:sz w:val="28"/>
          <w:szCs w:val="28"/>
          <w14:ligatures w14:val="standardContextual"/>
        </w:rPr>
        <w:t xml:space="preserve"> &amp; </w:t>
      </w:r>
      <w:proofErr w:type="spellStart"/>
      <w:r w:rsidRPr="007A6368">
        <w:rPr>
          <w:rFonts w:ascii="Simplified Arabic" w:eastAsia="Calibri" w:hAnsi="Simplified Arabic" w:cs="Simplified Arabic"/>
          <w:kern w:val="2"/>
          <w:sz w:val="28"/>
          <w:szCs w:val="28"/>
          <w14:ligatures w14:val="standardContextual"/>
        </w:rPr>
        <w:t>Esmer</w:t>
      </w:r>
      <w:proofErr w:type="spellEnd"/>
      <w:r w:rsidRPr="007A6368">
        <w:rPr>
          <w:rFonts w:ascii="Simplified Arabic" w:eastAsia="Calibri" w:hAnsi="Simplified Arabic" w:cs="Simplified Arabic"/>
          <w:kern w:val="2"/>
          <w:sz w:val="28"/>
          <w:szCs w:val="28"/>
          <w14:ligatures w14:val="standardContextual"/>
        </w:rPr>
        <w:t>, 2023</w:t>
      </w:r>
      <w:r w:rsidRPr="007A6368">
        <w:rPr>
          <w:rFonts w:ascii="Simplified Arabic" w:eastAsia="Calibri" w:hAnsi="Simplified Arabic" w:cs="Simplified Arabic"/>
          <w:kern w:val="2"/>
          <w:sz w:val="28"/>
          <w:szCs w:val="28"/>
          <w:rtl/>
          <w14:ligatures w14:val="standardContextual"/>
        </w:rPr>
        <w:t xml:space="preserve">؛ </w:t>
      </w:r>
      <w:r w:rsidRPr="007A6368">
        <w:rPr>
          <w:rFonts w:ascii="Simplified Arabic" w:eastAsia="Calibri" w:hAnsi="Simplified Arabic" w:cs="Simplified Arabic"/>
          <w:kern w:val="2"/>
          <w:sz w:val="28"/>
          <w:szCs w:val="28"/>
          <w14:ligatures w14:val="standardContextual"/>
        </w:rPr>
        <w:t>Groenewald et al., 2024</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وتسعى المنظمات من خلال برامج تطوير المواهب إلى رفع مستوى الكفاءة والإنتاجية، وتعزيز القدرة على الابتكار والتكيف مع المتغيرات، فضلاً عن إعداد صف ثانٍ من القيادات القادرة على استمرارية العمل وتحقيق الأهداف الاستراتيجية. كما تسهم هذه البرامج في تعزيز ثقة العاملين بمنظماتهم وزيادة شعورهم بالتقدير، الأمر الذي ينعكس إيجابًا على مستويات الرضا الوظيفي والالتزام التنظيمي (الشهري، 2022؛ سليخ، 2021).</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 xml:space="preserve">وتشير الأدبيات إلى أن الاستثمار في تطوير المواهب يعد استثمارًا في رأس المال البشري، حيث يؤدي إلى تحسين جودة الأداء، وتقليل فجوات المهارات، وزيادة قدرة العاملين على مواجهة </w:t>
      </w:r>
      <w:r w:rsidRPr="007A6368">
        <w:rPr>
          <w:rFonts w:ascii="Simplified Arabic" w:eastAsia="Calibri" w:hAnsi="Simplified Arabic" w:cs="Simplified Arabic"/>
          <w:kern w:val="2"/>
          <w:sz w:val="28"/>
          <w:szCs w:val="28"/>
          <w:rtl/>
          <w14:ligatures w14:val="standardContextual"/>
        </w:rPr>
        <w:lastRenderedPageBreak/>
        <w:t xml:space="preserve">التحديات المهنية والتكنولوجية. كما أن المنظمات التي توفر فرصًا مستمرة للتعلم والتطوير تكون أكثر قدرة على الاحتفاظ بالعاملين ذوي الكفاءة مقارنة بالمنظمات التي تهمل تنمية مواردها البشرية (الدليمي والزعبي، 2022؛ </w:t>
      </w:r>
      <w:proofErr w:type="spellStart"/>
      <w:r w:rsidRPr="007A6368">
        <w:rPr>
          <w:rFonts w:ascii="Simplified Arabic" w:eastAsia="Calibri" w:hAnsi="Simplified Arabic" w:cs="Simplified Arabic"/>
          <w:kern w:val="2"/>
          <w:sz w:val="28"/>
          <w:szCs w:val="28"/>
          <w14:ligatures w14:val="standardContextual"/>
        </w:rPr>
        <w:t>Mogrovejo</w:t>
      </w:r>
      <w:proofErr w:type="spellEnd"/>
      <w:r w:rsidRPr="007A6368">
        <w:rPr>
          <w:rFonts w:ascii="Simplified Arabic" w:eastAsia="Calibri" w:hAnsi="Simplified Arabic" w:cs="Simplified Arabic"/>
          <w:kern w:val="2"/>
          <w:sz w:val="28"/>
          <w:szCs w:val="28"/>
          <w14:ligatures w14:val="standardContextual"/>
        </w:rPr>
        <w:t xml:space="preserve"> et al., </w:t>
      </w:r>
      <w:proofErr w:type="gramStart"/>
      <w:r w:rsidRPr="007A6368">
        <w:rPr>
          <w:rFonts w:ascii="Simplified Arabic" w:eastAsia="Calibri" w:hAnsi="Simplified Arabic" w:cs="Simplified Arabic"/>
          <w:kern w:val="2"/>
          <w:sz w:val="28"/>
          <w:szCs w:val="28"/>
          <w14:ligatures w14:val="standardContextual"/>
        </w:rPr>
        <w:t>2025</w:t>
      </w:r>
      <w:r w:rsidRPr="007A6368">
        <w:rPr>
          <w:rFonts w:ascii="Simplified Arabic" w:eastAsia="Calibri" w:hAnsi="Simplified Arabic" w:cs="Simplified Arabic"/>
          <w:kern w:val="2"/>
          <w:sz w:val="28"/>
          <w:szCs w:val="28"/>
          <w:rtl/>
          <w14:ligatures w14:val="standardContextual"/>
        </w:rPr>
        <w:t xml:space="preserve">؛ </w:t>
      </w:r>
      <w:proofErr w:type="spellStart"/>
      <w:r w:rsidRPr="007A6368">
        <w:rPr>
          <w:rFonts w:ascii="Simplified Arabic" w:eastAsia="Calibri" w:hAnsi="Simplified Arabic" w:cs="Simplified Arabic"/>
          <w:kern w:val="2"/>
          <w:sz w:val="28"/>
          <w:szCs w:val="28"/>
          <w14:ligatures w14:val="standardContextual"/>
        </w:rPr>
        <w:t>Manimaran</w:t>
      </w:r>
      <w:proofErr w:type="spellEnd"/>
      <w:r w:rsidRPr="007A6368">
        <w:rPr>
          <w:rFonts w:ascii="Simplified Arabic" w:eastAsia="Calibri" w:hAnsi="Simplified Arabic" w:cs="Simplified Arabic"/>
          <w:kern w:val="2"/>
          <w:sz w:val="28"/>
          <w:szCs w:val="28"/>
          <w14:ligatures w14:val="standardContextual"/>
        </w:rPr>
        <w:t xml:space="preserve"> et al., 2025</w:t>
      </w:r>
      <w:r w:rsidRPr="007A6368">
        <w:rPr>
          <w:rFonts w:ascii="Simplified Arabic" w:eastAsia="Calibri" w:hAnsi="Simplified Arabic" w:cs="Simplified Arabic"/>
          <w:kern w:val="2"/>
          <w:sz w:val="28"/>
          <w:szCs w:val="28"/>
          <w:rtl/>
          <w14:ligatures w14:val="standardContextual"/>
        </w:rPr>
        <w:t>).</w:t>
      </w:r>
      <w:proofErr w:type="gramEnd"/>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وفي الشركات الصناعية بالمملكة العربية السعودية، تكتسب تنمية المواهب أهمية خاصة في ظل التطور الصناعي والتحول نحو التقنيات الحديثة، حيث تتطلب بيئة العمل الصناعية كوادر تمتلك مهارات متجددة وقدرة على التعامل مع التكنولوجيا المتقدمة. لذلك، فإن تبني برامج تدريبية وتطويرية مستمرة يسهم في رفع كفاءة العاملين، وتحسين جودة العمليات الإنتاجية، ودعم القدرة التنافسية للشركات على المدى الطويل.</w:t>
      </w:r>
    </w:p>
    <w:p w:rsidR="007A6368" w:rsidRPr="007A6368" w:rsidRDefault="007A6368" w:rsidP="007A6368">
      <w:pPr>
        <w:numPr>
          <w:ilvl w:val="0"/>
          <w:numId w:val="6"/>
        </w:numPr>
        <w:bidi/>
        <w:spacing w:after="160" w:line="240" w:lineRule="auto"/>
        <w:contextualSpacing/>
        <w:jc w:val="both"/>
        <w:rPr>
          <w:rFonts w:ascii="Simplified Arabic" w:eastAsia="Calibri" w:hAnsi="Simplified Arabic" w:cs="Simplified Arabic"/>
          <w:b/>
          <w:bCs/>
          <w:kern w:val="2"/>
          <w:sz w:val="28"/>
          <w:szCs w:val="28"/>
          <w14:ligatures w14:val="standardContextual"/>
        </w:rPr>
      </w:pPr>
      <w:r w:rsidRPr="007A6368">
        <w:rPr>
          <w:rFonts w:ascii="Simplified Arabic" w:eastAsia="Calibri" w:hAnsi="Simplified Arabic" w:cs="Simplified Arabic" w:hint="cs"/>
          <w:b/>
          <w:bCs/>
          <w:kern w:val="2"/>
          <w:sz w:val="28"/>
          <w:szCs w:val="28"/>
          <w:rtl/>
          <w14:ligatures w14:val="standardContextual"/>
        </w:rPr>
        <w:t>تحفيز المواهب</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يعتبر</w:t>
      </w:r>
      <w:r w:rsidRPr="007A6368">
        <w:rPr>
          <w:rFonts w:ascii="Simplified Arabic" w:eastAsia="Calibri" w:hAnsi="Simplified Arabic" w:cs="Simplified Arabic"/>
          <w:kern w:val="2"/>
          <w:sz w:val="28"/>
          <w:szCs w:val="28"/>
          <w:rtl/>
          <w14:ligatures w14:val="standardContextual"/>
        </w:rPr>
        <w:t xml:space="preserve"> تحفيز المواهب أحد الأبعاد الرئيسة لإدارة المواهب، ويقصد به مجموعة السياسات والممارسات التي تتبناها المنظمة لإشباع احتياجات العاملين الموهوبين، وتشجيعهم على تقديم أفضل ما لديهم، والمحافظة على مستويات عالية من الأداء والالتزام. ولا يقتصر التحفيز على الحوافز المالية، بل يشمل أيضًا الحوافز المعنوية، وفرص الترقية، والتقدير، والمشاركة في اتخاذ القرار، وتوفير بيئة عمل داعمة للإبداع والابتكار (الرايقي، 2024؛ </w:t>
      </w:r>
      <w:proofErr w:type="spellStart"/>
      <w:r w:rsidRPr="007A6368">
        <w:rPr>
          <w:rFonts w:ascii="Simplified Arabic" w:eastAsia="Calibri" w:hAnsi="Simplified Arabic" w:cs="Simplified Arabic"/>
          <w:kern w:val="2"/>
          <w:sz w:val="28"/>
          <w:szCs w:val="28"/>
          <w14:ligatures w14:val="standardContextual"/>
        </w:rPr>
        <w:t>Yildiz</w:t>
      </w:r>
      <w:proofErr w:type="spellEnd"/>
      <w:r w:rsidRPr="007A6368">
        <w:rPr>
          <w:rFonts w:ascii="Simplified Arabic" w:eastAsia="Calibri" w:hAnsi="Simplified Arabic" w:cs="Simplified Arabic"/>
          <w:kern w:val="2"/>
          <w:sz w:val="28"/>
          <w:szCs w:val="28"/>
          <w14:ligatures w14:val="standardContextual"/>
        </w:rPr>
        <w:t xml:space="preserve"> &amp; </w:t>
      </w:r>
      <w:proofErr w:type="spellStart"/>
      <w:r w:rsidRPr="007A6368">
        <w:rPr>
          <w:rFonts w:ascii="Simplified Arabic" w:eastAsia="Calibri" w:hAnsi="Simplified Arabic" w:cs="Simplified Arabic"/>
          <w:kern w:val="2"/>
          <w:sz w:val="28"/>
          <w:szCs w:val="28"/>
          <w14:ligatures w14:val="standardContextual"/>
        </w:rPr>
        <w:t>Esmer</w:t>
      </w:r>
      <w:proofErr w:type="spellEnd"/>
      <w:r w:rsidRPr="007A6368">
        <w:rPr>
          <w:rFonts w:ascii="Simplified Arabic" w:eastAsia="Calibri" w:hAnsi="Simplified Arabic" w:cs="Simplified Arabic"/>
          <w:kern w:val="2"/>
          <w:sz w:val="28"/>
          <w:szCs w:val="28"/>
          <w14:ligatures w14:val="standardContextual"/>
        </w:rPr>
        <w:t>, 2023</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 xml:space="preserve">وتؤكد الأدبيات أن العاملين ذوي الكفاءة يميلون إلى الاستمرار في المنظمات التي توفر لهم بيئة عمل عادلة ومحفزة، يشعرون فيها بالتقدير والثقة وإتاحة الفرصة للنمو المهني. ولذلك، فإن نظم الحوافز الفعالة تسهم في رفع الرضا الوظيفي، وتعزيز الالتزام التنظيمي، وتحسين الأداء الفردي والجماعي، إضافة إلى الحد من معدلات دوران العمل (فول وطه، 2016؛ </w:t>
      </w:r>
      <w:proofErr w:type="spellStart"/>
      <w:r w:rsidRPr="007A6368">
        <w:rPr>
          <w:rFonts w:ascii="Simplified Arabic" w:eastAsia="Calibri" w:hAnsi="Simplified Arabic" w:cs="Simplified Arabic"/>
          <w:kern w:val="2"/>
          <w:sz w:val="28"/>
          <w:szCs w:val="28"/>
          <w14:ligatures w14:val="standardContextual"/>
        </w:rPr>
        <w:t>Achmada</w:t>
      </w:r>
      <w:proofErr w:type="spellEnd"/>
      <w:r w:rsidRPr="007A6368">
        <w:rPr>
          <w:rFonts w:ascii="Simplified Arabic" w:eastAsia="Calibri" w:hAnsi="Simplified Arabic" w:cs="Simplified Arabic"/>
          <w:kern w:val="2"/>
          <w:sz w:val="28"/>
          <w:szCs w:val="28"/>
          <w14:ligatures w14:val="standardContextual"/>
        </w:rPr>
        <w:t xml:space="preserve"> &amp; </w:t>
      </w:r>
      <w:proofErr w:type="spellStart"/>
      <w:r w:rsidRPr="007A6368">
        <w:rPr>
          <w:rFonts w:ascii="Simplified Arabic" w:eastAsia="Calibri" w:hAnsi="Simplified Arabic" w:cs="Simplified Arabic"/>
          <w:kern w:val="2"/>
          <w:sz w:val="28"/>
          <w:szCs w:val="28"/>
          <w14:ligatures w14:val="standardContextual"/>
        </w:rPr>
        <w:t>Soetjipto</w:t>
      </w:r>
      <w:proofErr w:type="spellEnd"/>
      <w:r w:rsidRPr="007A6368">
        <w:rPr>
          <w:rFonts w:ascii="Simplified Arabic" w:eastAsia="Calibri" w:hAnsi="Simplified Arabic" w:cs="Simplified Arabic"/>
          <w:kern w:val="2"/>
          <w:sz w:val="28"/>
          <w:szCs w:val="28"/>
          <w14:ligatures w14:val="standardContextual"/>
        </w:rPr>
        <w:t>, 2022</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كما يعد التحفيز من أهم العوامل المؤثرة في الاحتفاظ بالكفاءات البشرية، إذ تشير الدراسات إلى أن توفير حزم متوازنة من المكافآت المادية والمعنوية، وربطها بالأداء والإنجاز، يسهم في تعزيز ولاء العاملين واستمرارهم داخل المنظمة، ويشجعهم على بذل مزيد من الجهد لتحقيق أهدافها. كما أن الاهتمام بالتوازن بين الحياة المهنية والشخصية، وتوفير بيئة عمل إيجابية، يعدان من العوامل الحديثة التي تدعم نجاح برامج تحفيز المواهب (</w:t>
      </w:r>
      <w:r w:rsidRPr="007A6368">
        <w:rPr>
          <w:rFonts w:ascii="Simplified Arabic" w:eastAsia="Calibri" w:hAnsi="Simplified Arabic" w:cs="Simplified Arabic"/>
          <w:kern w:val="2"/>
          <w:sz w:val="28"/>
          <w:szCs w:val="28"/>
          <w14:ligatures w14:val="standardContextual"/>
        </w:rPr>
        <w:t>Kumar, 2022</w:t>
      </w:r>
      <w:r w:rsidRPr="007A6368">
        <w:rPr>
          <w:rFonts w:ascii="Simplified Arabic" w:eastAsia="Calibri" w:hAnsi="Simplified Arabic" w:cs="Simplified Arabic"/>
          <w:kern w:val="2"/>
          <w:sz w:val="28"/>
          <w:szCs w:val="28"/>
          <w:rtl/>
          <w14:ligatures w14:val="standardContextual"/>
        </w:rPr>
        <w:t xml:space="preserve">؛ </w:t>
      </w:r>
      <w:proofErr w:type="spellStart"/>
      <w:r w:rsidRPr="007A6368">
        <w:rPr>
          <w:rFonts w:ascii="Simplified Arabic" w:eastAsia="Calibri" w:hAnsi="Simplified Arabic" w:cs="Simplified Arabic"/>
          <w:kern w:val="2"/>
          <w:sz w:val="28"/>
          <w:szCs w:val="28"/>
          <w14:ligatures w14:val="standardContextual"/>
        </w:rPr>
        <w:t>Urme</w:t>
      </w:r>
      <w:proofErr w:type="spellEnd"/>
      <w:r w:rsidRPr="007A6368">
        <w:rPr>
          <w:rFonts w:ascii="Simplified Arabic" w:eastAsia="Calibri" w:hAnsi="Simplified Arabic" w:cs="Simplified Arabic"/>
          <w:kern w:val="2"/>
          <w:sz w:val="28"/>
          <w:szCs w:val="28"/>
          <w14:ligatures w14:val="standardContextual"/>
        </w:rPr>
        <w:t>, 2023</w:t>
      </w:r>
      <w:r w:rsidRPr="007A6368">
        <w:rPr>
          <w:rFonts w:ascii="Simplified Arabic" w:eastAsia="Calibri" w:hAnsi="Simplified Arabic" w:cs="Simplified Arabic"/>
          <w:kern w:val="2"/>
          <w:sz w:val="28"/>
          <w:szCs w:val="28"/>
          <w:rtl/>
          <w14:ligatures w14:val="standardContextual"/>
        </w:rPr>
        <w:t xml:space="preserve">؛ </w:t>
      </w:r>
      <w:proofErr w:type="spellStart"/>
      <w:r w:rsidRPr="007A6368">
        <w:rPr>
          <w:rFonts w:ascii="Simplified Arabic" w:eastAsia="Calibri" w:hAnsi="Simplified Arabic" w:cs="Simplified Arabic"/>
          <w:kern w:val="2"/>
          <w:sz w:val="28"/>
          <w:szCs w:val="28"/>
          <w14:ligatures w14:val="standardContextual"/>
        </w:rPr>
        <w:t>Porkodi</w:t>
      </w:r>
      <w:proofErr w:type="spellEnd"/>
      <w:r w:rsidRPr="007A6368">
        <w:rPr>
          <w:rFonts w:ascii="Simplified Arabic" w:eastAsia="Calibri" w:hAnsi="Simplified Arabic" w:cs="Simplified Arabic"/>
          <w:kern w:val="2"/>
          <w:sz w:val="28"/>
          <w:szCs w:val="28"/>
          <w14:ligatures w14:val="standardContextual"/>
        </w:rPr>
        <w:t xml:space="preserve"> et al., 2025</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14:ligatures w14:val="standardContextual"/>
        </w:rPr>
      </w:pPr>
      <w:r w:rsidRPr="007A6368">
        <w:rPr>
          <w:rFonts w:ascii="Simplified Arabic" w:eastAsia="Calibri" w:hAnsi="Simplified Arabic" w:cs="Simplified Arabic" w:hint="cs"/>
          <w:kern w:val="2"/>
          <w:sz w:val="28"/>
          <w:szCs w:val="28"/>
          <w:rtl/>
          <w14:ligatures w14:val="standardContextual"/>
        </w:rPr>
        <w:lastRenderedPageBreak/>
        <w:t xml:space="preserve">      </w:t>
      </w:r>
      <w:r w:rsidRPr="007A6368">
        <w:rPr>
          <w:rFonts w:ascii="Simplified Arabic" w:eastAsia="Calibri" w:hAnsi="Simplified Arabic" w:cs="Simplified Arabic"/>
          <w:kern w:val="2"/>
          <w:sz w:val="28"/>
          <w:szCs w:val="28"/>
          <w:rtl/>
          <w14:ligatures w14:val="standardContextual"/>
        </w:rPr>
        <w:t>وبالنسبة للشركات الصناعية بالمملكة العربية السعودية، فإن تحفيز المواهب يمثل ضرورة استراتيجية في ظل المنافسة على الكفاءات والخبرات المتخصصة، حيث يسهم تطبيق نظم حوافز عادلة وبرامج تقدير فعالة في زيادة استقرار القوى العاملة، والمحافظة على الخبرات المتراكمة، وتحقيق مستويات أعلى من الإنتاجية والجودة، بما يدعم استدامة الأداء المؤسسي وتحقيق الأهداف الاستراتيجية للشركات.</w:t>
      </w:r>
    </w:p>
    <w:p w:rsidR="007A6368" w:rsidRPr="007A6368" w:rsidRDefault="007A6368" w:rsidP="007A6368">
      <w:pPr>
        <w:keepNext/>
        <w:keepLines/>
        <w:bidi/>
        <w:spacing w:before="480" w:after="0" w:line="259" w:lineRule="auto"/>
        <w:jc w:val="both"/>
        <w:outlineLvl w:val="0"/>
        <w:rPr>
          <w:rFonts w:ascii="Calibri Light" w:eastAsia="Times New Roman" w:hAnsi="Calibri Light" w:cs="Simplified Arabic"/>
          <w:b/>
          <w:bCs/>
          <w:kern w:val="2"/>
          <w:sz w:val="28"/>
          <w:szCs w:val="32"/>
          <w:rtl/>
          <w14:ligatures w14:val="standardContextual"/>
        </w:rPr>
      </w:pPr>
      <w:bookmarkStart w:id="27" w:name="_Toc234589732"/>
      <w:bookmarkStart w:id="28" w:name="_Toc234591224"/>
      <w:r w:rsidRPr="007A6368">
        <w:rPr>
          <w:rFonts w:ascii="Calibri Light" w:eastAsia="Times New Roman" w:hAnsi="Calibri Light" w:cs="Simplified Arabic" w:hint="cs"/>
          <w:b/>
          <w:bCs/>
          <w:kern w:val="2"/>
          <w:sz w:val="28"/>
          <w:szCs w:val="32"/>
          <w:rtl/>
          <w14:ligatures w14:val="standardContextual"/>
        </w:rPr>
        <w:t>المطلب الثاني: الاحتفاظ بالكفاءات البشرية</w:t>
      </w:r>
      <w:bookmarkEnd w:id="27"/>
      <w:bookmarkEnd w:id="28"/>
    </w:p>
    <w:p w:rsidR="007A6368" w:rsidRPr="007A6368" w:rsidRDefault="007A6368" w:rsidP="007A6368">
      <w:pPr>
        <w:tabs>
          <w:tab w:val="left" w:pos="1961"/>
        </w:tabs>
        <w:bidi/>
        <w:spacing w:after="160" w:line="240" w:lineRule="auto"/>
        <w:jc w:val="both"/>
        <w:rPr>
          <w:rFonts w:ascii="Simplified Arabic" w:eastAsia="Calibri" w:hAnsi="Simplified Arabic" w:cs="Simplified Arabic"/>
          <w:b/>
          <w:bCs/>
          <w:kern w:val="2"/>
          <w:sz w:val="28"/>
          <w:szCs w:val="28"/>
          <w:rtl/>
          <w14:ligatures w14:val="standardContextual"/>
        </w:rPr>
      </w:pPr>
      <w:r w:rsidRPr="007A6368">
        <w:rPr>
          <w:rFonts w:ascii="Simplified Arabic" w:eastAsia="Calibri" w:hAnsi="Simplified Arabic" w:cs="Simplified Arabic"/>
          <w:b/>
          <w:bCs/>
          <w:kern w:val="2"/>
          <w:sz w:val="28"/>
          <w:szCs w:val="28"/>
          <w:rtl/>
          <w14:ligatures w14:val="standardContextual"/>
        </w:rPr>
        <w:t>أولًا: مفهوم الاحتفاظ بالكفاءات البشرية</w:t>
      </w:r>
    </w:p>
    <w:p w:rsidR="007A6368" w:rsidRPr="007A6368" w:rsidRDefault="007A6368" w:rsidP="007A6368">
      <w:pPr>
        <w:tabs>
          <w:tab w:val="left" w:pos="1961"/>
        </w:tabs>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 xml:space="preserve">أصبح الاحتفاظ بالكفاءات البشرية من أبرز القضايا التي تحظى باهتمام المنظمات المعاصرة، نظرًا لما تمثله الكفاءات من قيمة استراتيجية تسهم في تحقيق الميزة التنافسية واستدامة الأداء. فنجاح المنظمات لم يعد يعتمد فقط على قدرتها على استقطاب العاملين الأكفاء، وإنما على قدرتها على المحافظة عليهم وتوفير بيئة عمل تشجعهم على الاستمرار والعطاء، خاصة في ظل التنافس المتزايد على استقطاب الموارد البشرية المتميزة (الحمزة، 2023؛ </w:t>
      </w:r>
      <w:r w:rsidRPr="007A6368">
        <w:rPr>
          <w:rFonts w:ascii="Simplified Arabic" w:eastAsia="Calibri" w:hAnsi="Simplified Arabic" w:cs="Simplified Arabic"/>
          <w:kern w:val="2"/>
          <w:sz w:val="28"/>
          <w:szCs w:val="28"/>
          <w14:ligatures w14:val="standardContextual"/>
        </w:rPr>
        <w:t>Kumar, 2022</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tabs>
          <w:tab w:val="left" w:pos="1961"/>
        </w:tabs>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 xml:space="preserve">ويُعرف الاحتفاظ بالكفاءات البشرية بأنه مجموعة السياسات والممارسات التي تتبناها المنظمة بهدف المحافظة على العاملين ذوي الكفاءة والحد من معدل دورانهم الوظيفي، من خلال توفير بيئة عمل جاذبة، وفرص للنمو والتطوير، ونظم عادلة للحوافز والمكافآت، بما يحقق الرضا الوظيفي والالتزام التنظيمي ويشجع العاملين على الاستمرار في العمل داخل المنظمة (الرويلي، 2019؛ </w:t>
      </w:r>
      <w:proofErr w:type="spellStart"/>
      <w:r w:rsidRPr="007A6368">
        <w:rPr>
          <w:rFonts w:ascii="Simplified Arabic" w:eastAsia="Calibri" w:hAnsi="Simplified Arabic" w:cs="Simplified Arabic"/>
          <w:kern w:val="2"/>
          <w:sz w:val="28"/>
          <w:szCs w:val="28"/>
          <w14:ligatures w14:val="standardContextual"/>
        </w:rPr>
        <w:t>Urme</w:t>
      </w:r>
      <w:proofErr w:type="spellEnd"/>
      <w:r w:rsidRPr="007A6368">
        <w:rPr>
          <w:rFonts w:ascii="Simplified Arabic" w:eastAsia="Calibri" w:hAnsi="Simplified Arabic" w:cs="Simplified Arabic"/>
          <w:kern w:val="2"/>
          <w:sz w:val="28"/>
          <w:szCs w:val="28"/>
          <w14:ligatures w14:val="standardContextual"/>
        </w:rPr>
        <w:t>, 2023</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tabs>
          <w:tab w:val="left" w:pos="1961"/>
        </w:tabs>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 xml:space="preserve">كما يُنظر إلى الاحتفاظ بالكفاءات البشرية بوصفه عملية استراتيجية تهدف إلى المحافظة على رأس المال البشري المتميز، والاستفادة من خبراته ومعارفه المتراكمة، بما يسهم في تحسين الأداء المؤسسي، وتقليل التكاليف المرتبطة بالاستقطاب والتوظيف والتدريب، وتعزيز استقرار المنظمة على المدى الطويل (الخطيب وعبدالحليم، 2019؛ </w:t>
      </w:r>
      <w:r w:rsidRPr="007A6368">
        <w:rPr>
          <w:rFonts w:ascii="Simplified Arabic" w:eastAsia="Calibri" w:hAnsi="Simplified Arabic" w:cs="Simplified Arabic"/>
          <w:kern w:val="2"/>
          <w:sz w:val="28"/>
          <w:szCs w:val="28"/>
          <w14:ligatures w14:val="standardContextual"/>
        </w:rPr>
        <w:t>Menezes et al., 2025</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tabs>
          <w:tab w:val="left" w:pos="1961"/>
        </w:tabs>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 xml:space="preserve">وفي الشركات الصناعية بالمملكة العربية السعودية، تبرز أهمية الاحتفاظ بالكفاءات البشرية في ظل التوسع الصناعي والتطور التقني، حيث يعتمد نجاح العمليات الإنتاجية على توافر كوادر تمتلك الخبرة والمهارة والقدرة على التعامل مع التقنيات الحديثة. ومن ثم، فإن المحافظة على هذه </w:t>
      </w:r>
      <w:r w:rsidRPr="007A6368">
        <w:rPr>
          <w:rFonts w:ascii="Simplified Arabic" w:eastAsia="Calibri" w:hAnsi="Simplified Arabic" w:cs="Simplified Arabic"/>
          <w:kern w:val="2"/>
          <w:sz w:val="28"/>
          <w:szCs w:val="28"/>
          <w:rtl/>
          <w14:ligatures w14:val="standardContextual"/>
        </w:rPr>
        <w:lastRenderedPageBreak/>
        <w:t>الكفاءات تمثل أحد العوامل الرئيسة لضمان استمرارية الإنتاج، وتحقيق الجودة، وتعزيز القدرة التنافسية للشركات الصناعية.</w:t>
      </w:r>
    </w:p>
    <w:p w:rsidR="007A6368" w:rsidRPr="007A6368" w:rsidRDefault="007A6368" w:rsidP="007A6368">
      <w:pPr>
        <w:tabs>
          <w:tab w:val="left" w:pos="1961"/>
        </w:tabs>
        <w:bidi/>
        <w:spacing w:after="160" w:line="240" w:lineRule="auto"/>
        <w:jc w:val="both"/>
        <w:rPr>
          <w:rFonts w:ascii="Simplified Arabic" w:eastAsia="Calibri" w:hAnsi="Simplified Arabic" w:cs="Simplified Arabic"/>
          <w:b/>
          <w:bCs/>
          <w:kern w:val="2"/>
          <w:sz w:val="28"/>
          <w:szCs w:val="28"/>
          <w:rtl/>
          <w14:ligatures w14:val="standardContextual"/>
        </w:rPr>
      </w:pPr>
      <w:r w:rsidRPr="007A6368">
        <w:rPr>
          <w:rFonts w:ascii="Simplified Arabic" w:eastAsia="Calibri" w:hAnsi="Simplified Arabic" w:cs="Simplified Arabic"/>
          <w:b/>
          <w:bCs/>
          <w:kern w:val="2"/>
          <w:sz w:val="28"/>
          <w:szCs w:val="28"/>
          <w:rtl/>
          <w14:ligatures w14:val="standardContextual"/>
        </w:rPr>
        <w:t>ثانيًا: أهمية الاحتفاظ بالكفاءات البشرية</w:t>
      </w:r>
    </w:p>
    <w:p w:rsidR="007A6368" w:rsidRPr="007A6368" w:rsidRDefault="007A6368" w:rsidP="007A6368">
      <w:pPr>
        <w:tabs>
          <w:tab w:val="left" w:pos="1961"/>
        </w:tabs>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 xml:space="preserve">يمثل الاحتفاظ بالكفاءات البشرية أحد المؤشرات الرئيسة لنجاح إدارة الموارد البشرية، لما له من دور في تحقيق الاستقرار الوظيفي والمحافظة على الخبرات المتراكمة داخل المنظمة. فاستمرار العاملين ذوي الكفاءة يسهم في تعزيز الإنتاجية، وتحسين جودة الأداء، وتقليل الآثار السلبية الناتجة عن ارتفاع معدلات دوران العمل، مثل فقدان المعرفة التنظيمية وارتفاع تكاليف الاستقطاب والتدريب (نبوي، فتحي، وعبية، 2022؛ </w:t>
      </w:r>
      <w:proofErr w:type="spellStart"/>
      <w:r w:rsidRPr="007A6368">
        <w:rPr>
          <w:rFonts w:ascii="Simplified Arabic" w:eastAsia="Calibri" w:hAnsi="Simplified Arabic" w:cs="Simplified Arabic"/>
          <w:kern w:val="2"/>
          <w:sz w:val="28"/>
          <w:szCs w:val="28"/>
          <w14:ligatures w14:val="standardContextual"/>
        </w:rPr>
        <w:t>Porkodi</w:t>
      </w:r>
      <w:proofErr w:type="spellEnd"/>
      <w:r w:rsidRPr="007A6368">
        <w:rPr>
          <w:rFonts w:ascii="Simplified Arabic" w:eastAsia="Calibri" w:hAnsi="Simplified Arabic" w:cs="Simplified Arabic"/>
          <w:kern w:val="2"/>
          <w:sz w:val="28"/>
          <w:szCs w:val="28"/>
          <w14:ligatures w14:val="standardContextual"/>
        </w:rPr>
        <w:t xml:space="preserve"> et al., 2025</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tabs>
          <w:tab w:val="left" w:pos="1961"/>
        </w:tabs>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 xml:space="preserve">وتتجلى أهمية الاحتفاظ بالكفاءات في دعم استمرارية الأعمال وتحقيق الأهداف الاستراتيجية، حيث إن المحافظة على العاملين المتميزين تمكن المنظمة من بناء فرق عمل مستقرة، وتعزيز الابتكار، ورفع مستوى رضا العملاء، إضافة إلى تحسين القدرة على مواجهة التحديات والتغيرات في بيئة الأعمال. كما يسهم الاحتفاظ بالكفاءات في بناء ثقافة تنظيمية إيجابية تعزز الانتماء والولاء المؤسسي، وتزيد من التزام العاملين بأهداف المنظمة (الحمزة، 2023؛ </w:t>
      </w:r>
      <w:proofErr w:type="spellStart"/>
      <w:r w:rsidRPr="007A6368">
        <w:rPr>
          <w:rFonts w:ascii="Simplified Arabic" w:eastAsia="Calibri" w:hAnsi="Simplified Arabic" w:cs="Simplified Arabic"/>
          <w:kern w:val="2"/>
          <w:sz w:val="28"/>
          <w:szCs w:val="28"/>
          <w14:ligatures w14:val="standardContextual"/>
        </w:rPr>
        <w:t>Barkhuizen</w:t>
      </w:r>
      <w:proofErr w:type="spellEnd"/>
      <w:r w:rsidRPr="007A6368">
        <w:rPr>
          <w:rFonts w:ascii="Simplified Arabic" w:eastAsia="Calibri" w:hAnsi="Simplified Arabic" w:cs="Simplified Arabic"/>
          <w:kern w:val="2"/>
          <w:sz w:val="28"/>
          <w:szCs w:val="28"/>
          <w14:ligatures w14:val="standardContextual"/>
        </w:rPr>
        <w:t xml:space="preserve"> &amp; </w:t>
      </w:r>
      <w:proofErr w:type="spellStart"/>
      <w:r w:rsidRPr="007A6368">
        <w:rPr>
          <w:rFonts w:ascii="Simplified Arabic" w:eastAsia="Calibri" w:hAnsi="Simplified Arabic" w:cs="Simplified Arabic"/>
          <w:kern w:val="2"/>
          <w:sz w:val="28"/>
          <w:szCs w:val="28"/>
          <w14:ligatures w14:val="standardContextual"/>
        </w:rPr>
        <w:t>Masale</w:t>
      </w:r>
      <w:proofErr w:type="spellEnd"/>
      <w:r w:rsidRPr="007A6368">
        <w:rPr>
          <w:rFonts w:ascii="Simplified Arabic" w:eastAsia="Calibri" w:hAnsi="Simplified Arabic" w:cs="Simplified Arabic"/>
          <w:kern w:val="2"/>
          <w:sz w:val="28"/>
          <w:szCs w:val="28"/>
          <w14:ligatures w14:val="standardContextual"/>
        </w:rPr>
        <w:t>, 2022</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tabs>
          <w:tab w:val="left" w:pos="1961"/>
        </w:tabs>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 xml:space="preserve">وتؤكد الدراسات أن المنظمات التي تنجح في الاحتفاظ بالكفاءات تحقق مستويات أعلى من الأداء المؤسسي مقارنة بالمنظمات التي تعاني من ارتفاع معدلات ترك العمل، إذ يؤدي الاستقرار الوظيفي إلى تحسين جودة القرارات، وزيادة التعاون بين العاملين، ورفع كفاءة العمليات التشغيلية، بما يعزز القدرة التنافسية للمنظمة واستدامة نجاحها (نوفل ورضوان، 2026؛ </w:t>
      </w:r>
      <w:proofErr w:type="spellStart"/>
      <w:r w:rsidRPr="007A6368">
        <w:rPr>
          <w:rFonts w:ascii="Simplified Arabic" w:eastAsia="Calibri" w:hAnsi="Simplified Arabic" w:cs="Simplified Arabic"/>
          <w:kern w:val="2"/>
          <w:sz w:val="28"/>
          <w:szCs w:val="28"/>
          <w14:ligatures w14:val="standardContextual"/>
        </w:rPr>
        <w:t>Karuppiah</w:t>
      </w:r>
      <w:proofErr w:type="spellEnd"/>
      <w:r w:rsidRPr="007A6368">
        <w:rPr>
          <w:rFonts w:ascii="Simplified Arabic" w:eastAsia="Calibri" w:hAnsi="Simplified Arabic" w:cs="Simplified Arabic"/>
          <w:kern w:val="2"/>
          <w:sz w:val="28"/>
          <w:szCs w:val="28"/>
          <w14:ligatures w14:val="standardContextual"/>
        </w:rPr>
        <w:t xml:space="preserve"> et al., 2025</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tabs>
          <w:tab w:val="left" w:pos="1961"/>
        </w:tabs>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وفي القطاع الصناعي السعودي، تزداد أهمية الاحتفاظ بالكفاءات البشرية في ظل الحاجة إلى كوادر تمتلك مهارات تخصصية وخبرات فنية متقدمة، الأمر الذي يجعل المحافظة على هذه الكفاءات استثمارًا استراتيجيًا يسهم في دعم الإنتاج، وتحقيق مستهدفات التنمية الصناعية، وتعزيز تنافسية الشركات محليًا ودوليًا.</w:t>
      </w:r>
    </w:p>
    <w:p w:rsidR="007A6368" w:rsidRPr="007A6368" w:rsidRDefault="007A6368" w:rsidP="007A6368">
      <w:pPr>
        <w:tabs>
          <w:tab w:val="left" w:pos="1961"/>
        </w:tabs>
        <w:bidi/>
        <w:spacing w:after="160" w:line="240" w:lineRule="auto"/>
        <w:jc w:val="both"/>
        <w:rPr>
          <w:rFonts w:ascii="Simplified Arabic" w:eastAsia="Calibri" w:hAnsi="Simplified Arabic" w:cs="Simplified Arabic"/>
          <w:b/>
          <w:bCs/>
          <w:kern w:val="2"/>
          <w:sz w:val="28"/>
          <w:szCs w:val="28"/>
          <w:rtl/>
          <w14:ligatures w14:val="standardContextual"/>
        </w:rPr>
      </w:pPr>
      <w:r w:rsidRPr="007A6368">
        <w:rPr>
          <w:rFonts w:ascii="Simplified Arabic" w:eastAsia="Calibri" w:hAnsi="Simplified Arabic" w:cs="Simplified Arabic"/>
          <w:b/>
          <w:bCs/>
          <w:kern w:val="2"/>
          <w:sz w:val="28"/>
          <w:szCs w:val="28"/>
          <w:rtl/>
          <w14:ligatures w14:val="standardContextual"/>
        </w:rPr>
        <w:t>ثالثًا: أهداف الاحتفاظ بالكفاءات البشرية</w:t>
      </w:r>
    </w:p>
    <w:p w:rsidR="007A6368" w:rsidRPr="007A6368" w:rsidRDefault="007A6368" w:rsidP="007A6368">
      <w:pPr>
        <w:tabs>
          <w:tab w:val="left" w:pos="1961"/>
        </w:tabs>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lastRenderedPageBreak/>
        <w:t xml:space="preserve">       </w:t>
      </w:r>
      <w:r w:rsidRPr="007A6368">
        <w:rPr>
          <w:rFonts w:ascii="Simplified Arabic" w:eastAsia="Calibri" w:hAnsi="Simplified Arabic" w:cs="Simplified Arabic"/>
          <w:kern w:val="2"/>
          <w:sz w:val="28"/>
          <w:szCs w:val="28"/>
          <w:rtl/>
          <w14:ligatures w14:val="standardContextual"/>
        </w:rPr>
        <w:t xml:space="preserve">تسعى المنظمات من خلال تبني سياسات الاحتفاظ بالكفاءات البشرية إلى تحقيق مجموعة من الأهداف الاستراتيجية التي تسهم في دعم استقرارها وتعزيز قدرتها التنافسية. ويأتي في مقدمة هذه الأهداف المحافظة على العاملين ذوي الخبرة والمهارات المتميزة، والحد من معدلات دوران العمل، بما يضمن استمرارية الأعمال وعدم فقدان المعارف والخبرات التنظيمية التي يصعب تعويضها في وقت قصير (الخطيب وعبدالحليم، 2019؛ </w:t>
      </w:r>
      <w:r w:rsidRPr="007A6368">
        <w:rPr>
          <w:rFonts w:ascii="Simplified Arabic" w:eastAsia="Calibri" w:hAnsi="Simplified Arabic" w:cs="Simplified Arabic"/>
          <w:kern w:val="2"/>
          <w:sz w:val="28"/>
          <w:szCs w:val="28"/>
          <w14:ligatures w14:val="standardContextual"/>
        </w:rPr>
        <w:t>Kumar, 2022</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tabs>
          <w:tab w:val="left" w:pos="1961"/>
        </w:tabs>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كما يهدف الاحتفاظ بالكفاءات إلى تعزيز الرضا الوظيفي والالتزام التنظيمي من خلال توفير بيئة عمل جاذبة، وفرص عادلة للتطور المهني، ونظم فعالة للحوافز والمكافآت، بما يشجع العاملين على الاستمرار في المنظمة وبذل المزيد من الجهد لتحقيق أهدافها. ويسهم ذلك في رفع مستويات الإنتاجية، وتحسين جودة الأداء، وتعزيز روح المبادرة والابتكار بين العاملين (الحمزة، 2023؛ نبوي، فتحي، وعبية، 2022).</w:t>
      </w:r>
    </w:p>
    <w:p w:rsidR="007A6368" w:rsidRPr="007A6368" w:rsidRDefault="007A6368" w:rsidP="007A6368">
      <w:pPr>
        <w:tabs>
          <w:tab w:val="left" w:pos="1961"/>
        </w:tabs>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ومن الأهداف المهمة أيضًا خفض التكاليف المرتبطة باستقطاب العاملين الجدد وتعيينهم وتدريبهم، والمحافظة على استقرار فرق العمل، بما ينعكس إيجابًا على جودة الخدمات والمنتجات التي تقدمها المنظمة. كما يساعد الاحتفاظ بالكفاءات على إعداد قيادات مستقبلية قادرة على مواصلة تحقيق الأهداف الاستراتيجية وضمان استدامة الأداء المؤسسي (</w:t>
      </w:r>
      <w:proofErr w:type="spellStart"/>
      <w:r w:rsidRPr="007A6368">
        <w:rPr>
          <w:rFonts w:ascii="Simplified Arabic" w:eastAsia="Calibri" w:hAnsi="Simplified Arabic" w:cs="Simplified Arabic"/>
          <w:kern w:val="2"/>
          <w:sz w:val="28"/>
          <w:szCs w:val="28"/>
          <w14:ligatures w14:val="standardContextual"/>
        </w:rPr>
        <w:t>Barkhuizen</w:t>
      </w:r>
      <w:proofErr w:type="spellEnd"/>
      <w:r w:rsidRPr="007A6368">
        <w:rPr>
          <w:rFonts w:ascii="Simplified Arabic" w:eastAsia="Calibri" w:hAnsi="Simplified Arabic" w:cs="Simplified Arabic"/>
          <w:kern w:val="2"/>
          <w:sz w:val="28"/>
          <w:szCs w:val="28"/>
          <w14:ligatures w14:val="standardContextual"/>
        </w:rPr>
        <w:t xml:space="preserve"> &amp; </w:t>
      </w:r>
      <w:proofErr w:type="spellStart"/>
      <w:r w:rsidRPr="007A6368">
        <w:rPr>
          <w:rFonts w:ascii="Simplified Arabic" w:eastAsia="Calibri" w:hAnsi="Simplified Arabic" w:cs="Simplified Arabic"/>
          <w:kern w:val="2"/>
          <w:sz w:val="28"/>
          <w:szCs w:val="28"/>
          <w14:ligatures w14:val="standardContextual"/>
        </w:rPr>
        <w:t>Masale</w:t>
      </w:r>
      <w:proofErr w:type="spellEnd"/>
      <w:r w:rsidRPr="007A6368">
        <w:rPr>
          <w:rFonts w:ascii="Simplified Arabic" w:eastAsia="Calibri" w:hAnsi="Simplified Arabic" w:cs="Simplified Arabic"/>
          <w:kern w:val="2"/>
          <w:sz w:val="28"/>
          <w:szCs w:val="28"/>
          <w14:ligatures w14:val="standardContextual"/>
        </w:rPr>
        <w:t>, 2022</w:t>
      </w:r>
      <w:r w:rsidRPr="007A6368">
        <w:rPr>
          <w:rFonts w:ascii="Simplified Arabic" w:eastAsia="Calibri" w:hAnsi="Simplified Arabic" w:cs="Simplified Arabic"/>
          <w:kern w:val="2"/>
          <w:sz w:val="28"/>
          <w:szCs w:val="28"/>
          <w:rtl/>
          <w14:ligatures w14:val="standardContextual"/>
        </w:rPr>
        <w:t xml:space="preserve">؛ </w:t>
      </w:r>
      <w:r w:rsidRPr="007A6368">
        <w:rPr>
          <w:rFonts w:ascii="Simplified Arabic" w:eastAsia="Calibri" w:hAnsi="Simplified Arabic" w:cs="Simplified Arabic"/>
          <w:kern w:val="2"/>
          <w:sz w:val="28"/>
          <w:szCs w:val="28"/>
          <w14:ligatures w14:val="standardContextual"/>
        </w:rPr>
        <w:t>Menezes et al., 2025</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tabs>
          <w:tab w:val="left" w:pos="1961"/>
        </w:tabs>
        <w:bidi/>
        <w:spacing w:after="160" w:line="240" w:lineRule="auto"/>
        <w:jc w:val="both"/>
        <w:rPr>
          <w:rFonts w:ascii="Simplified Arabic" w:eastAsia="Calibri" w:hAnsi="Simplified Arabic" w:cs="Simplified Arabic"/>
          <w:b/>
          <w:bCs/>
          <w:kern w:val="2"/>
          <w:sz w:val="28"/>
          <w:szCs w:val="28"/>
          <w:rtl/>
          <w14:ligatures w14:val="standardContextual"/>
        </w:rPr>
      </w:pPr>
      <w:r w:rsidRPr="007A6368">
        <w:rPr>
          <w:rFonts w:ascii="Simplified Arabic" w:eastAsia="Calibri" w:hAnsi="Simplified Arabic" w:cs="Simplified Arabic"/>
          <w:b/>
          <w:bCs/>
          <w:kern w:val="2"/>
          <w:sz w:val="28"/>
          <w:szCs w:val="28"/>
          <w:rtl/>
          <w14:ligatures w14:val="standardContextual"/>
        </w:rPr>
        <w:t>رابعًا: استراتيجيات الاحتفاظ بالكفاءات البشرية</w:t>
      </w:r>
    </w:p>
    <w:p w:rsidR="007A6368" w:rsidRPr="007A6368" w:rsidRDefault="007A6368" w:rsidP="007A6368">
      <w:pPr>
        <w:tabs>
          <w:tab w:val="left" w:pos="1961"/>
        </w:tabs>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 xml:space="preserve">تعتمد المنظمات على مجموعة من الاستراتيجيات التي تهدف إلى المحافظة على الكفاءات البشرية، وتوفير بيئة عمل تشجعهم على الاستمرار والعطاء. وتعد بيئة العمل الإيجابية، والعدالة التنظيمية، وتوفير فرص النمو المهني، من أهم الاستراتيجيات التي أثبتت الدراسات فاعليتها في زيادة معدلات الاحتفاظ بالعاملين المتميزين (الحمزة، 2023؛ </w:t>
      </w:r>
      <w:proofErr w:type="spellStart"/>
      <w:r w:rsidRPr="007A6368">
        <w:rPr>
          <w:rFonts w:ascii="Simplified Arabic" w:eastAsia="Calibri" w:hAnsi="Simplified Arabic" w:cs="Simplified Arabic"/>
          <w:kern w:val="2"/>
          <w:sz w:val="28"/>
          <w:szCs w:val="28"/>
          <w14:ligatures w14:val="standardContextual"/>
        </w:rPr>
        <w:t>Porkodi</w:t>
      </w:r>
      <w:proofErr w:type="spellEnd"/>
      <w:r w:rsidRPr="007A6368">
        <w:rPr>
          <w:rFonts w:ascii="Simplified Arabic" w:eastAsia="Calibri" w:hAnsi="Simplified Arabic" w:cs="Simplified Arabic"/>
          <w:kern w:val="2"/>
          <w:sz w:val="28"/>
          <w:szCs w:val="28"/>
          <w14:ligatures w14:val="standardContextual"/>
        </w:rPr>
        <w:t xml:space="preserve"> et al., 2025</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tabs>
          <w:tab w:val="left" w:pos="1961"/>
        </w:tabs>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 xml:space="preserve">وتشمل استراتيجيات الاحتفاظ بالكفاءات أيضًا تصميم نظم عادلة للأجور والحوافز، وربط المكافآت بالأداء، وتطبيق سياسات واضحة للترقيات والتقدم الوظيفي، فضلًا عن توفير برامج تدريب وتطوير مستمرة تساعد العاملين على تنمية مهاراتهم ومواكبة التطورات المهنية. كما تسهم القيادة الداعمة، والمشاركة في اتخاذ القرار، والاهتمام بالتوازن بين الحياة العملية والشخصية في تعزيز شعور العاملين بالانتماء والالتزام تجاه المنظمة (الرويلي، 2019؛ </w:t>
      </w:r>
      <w:proofErr w:type="spellStart"/>
      <w:r w:rsidRPr="007A6368">
        <w:rPr>
          <w:rFonts w:ascii="Simplified Arabic" w:eastAsia="Calibri" w:hAnsi="Simplified Arabic" w:cs="Simplified Arabic"/>
          <w:kern w:val="2"/>
          <w:sz w:val="28"/>
          <w:szCs w:val="28"/>
          <w14:ligatures w14:val="standardContextual"/>
        </w:rPr>
        <w:t>Urme</w:t>
      </w:r>
      <w:proofErr w:type="spellEnd"/>
      <w:r w:rsidRPr="007A6368">
        <w:rPr>
          <w:rFonts w:ascii="Simplified Arabic" w:eastAsia="Calibri" w:hAnsi="Simplified Arabic" w:cs="Simplified Arabic"/>
          <w:kern w:val="2"/>
          <w:sz w:val="28"/>
          <w:szCs w:val="28"/>
          <w14:ligatures w14:val="standardContextual"/>
        </w:rPr>
        <w:t>, 2023</w:t>
      </w:r>
      <w:r w:rsidRPr="007A6368">
        <w:rPr>
          <w:rFonts w:ascii="Simplified Arabic" w:eastAsia="Calibri" w:hAnsi="Simplified Arabic" w:cs="Simplified Arabic"/>
          <w:kern w:val="2"/>
          <w:sz w:val="28"/>
          <w:szCs w:val="28"/>
          <w:rtl/>
          <w14:ligatures w14:val="standardContextual"/>
        </w:rPr>
        <w:t xml:space="preserve">؛ </w:t>
      </w:r>
      <w:proofErr w:type="spellStart"/>
      <w:r w:rsidRPr="007A6368">
        <w:rPr>
          <w:rFonts w:ascii="Simplified Arabic" w:eastAsia="Calibri" w:hAnsi="Simplified Arabic" w:cs="Simplified Arabic"/>
          <w:kern w:val="2"/>
          <w:sz w:val="28"/>
          <w:szCs w:val="28"/>
          <w14:ligatures w14:val="standardContextual"/>
        </w:rPr>
        <w:t>Karuppiah</w:t>
      </w:r>
      <w:proofErr w:type="spellEnd"/>
      <w:r w:rsidRPr="007A6368">
        <w:rPr>
          <w:rFonts w:ascii="Simplified Arabic" w:eastAsia="Calibri" w:hAnsi="Simplified Arabic" w:cs="Simplified Arabic"/>
          <w:kern w:val="2"/>
          <w:sz w:val="28"/>
          <w:szCs w:val="28"/>
          <w14:ligatures w14:val="standardContextual"/>
        </w:rPr>
        <w:t xml:space="preserve"> et al., 2025</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tabs>
          <w:tab w:val="left" w:pos="1961"/>
        </w:tabs>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lastRenderedPageBreak/>
        <w:t xml:space="preserve">      </w:t>
      </w:r>
      <w:r w:rsidRPr="007A6368">
        <w:rPr>
          <w:rFonts w:ascii="Simplified Arabic" w:eastAsia="Calibri" w:hAnsi="Simplified Arabic" w:cs="Simplified Arabic"/>
          <w:kern w:val="2"/>
          <w:sz w:val="28"/>
          <w:szCs w:val="28"/>
          <w:rtl/>
          <w14:ligatures w14:val="standardContextual"/>
        </w:rPr>
        <w:t>وتؤكد الأدبيات الحديثة أن نجاح استراتيجيات الاحتفاظ بالكفاءات يعتمد على تكاملها مع ممارسات إدارة المواهب، إذ إن استقطاب العاملين المتميزين دون توفير بيئة عمل محفزة أو فرص للتطوير والترقي قد يؤدي إلى فقدانهم لصالح منظمات أخرى. لذلك، أصبحت المنظمات تتجه نحو تبني استراتيجيات شاملة تجمع بين الاستقطاب والتطوير والتحفيز والاحتفاظ، باعتبارها منظومة متكاملة لإدارة رأس المال البشري (</w:t>
      </w:r>
      <w:proofErr w:type="spellStart"/>
      <w:r w:rsidRPr="007A6368">
        <w:rPr>
          <w:rFonts w:ascii="Simplified Arabic" w:eastAsia="Calibri" w:hAnsi="Simplified Arabic" w:cs="Simplified Arabic"/>
          <w:kern w:val="2"/>
          <w:sz w:val="28"/>
          <w:szCs w:val="28"/>
          <w14:ligatures w14:val="standardContextual"/>
        </w:rPr>
        <w:t>Achmada</w:t>
      </w:r>
      <w:proofErr w:type="spellEnd"/>
      <w:r w:rsidRPr="007A6368">
        <w:rPr>
          <w:rFonts w:ascii="Simplified Arabic" w:eastAsia="Calibri" w:hAnsi="Simplified Arabic" w:cs="Simplified Arabic"/>
          <w:kern w:val="2"/>
          <w:sz w:val="28"/>
          <w:szCs w:val="28"/>
          <w14:ligatures w14:val="standardContextual"/>
        </w:rPr>
        <w:t xml:space="preserve"> &amp; </w:t>
      </w:r>
      <w:proofErr w:type="spellStart"/>
      <w:r w:rsidRPr="007A6368">
        <w:rPr>
          <w:rFonts w:ascii="Simplified Arabic" w:eastAsia="Calibri" w:hAnsi="Simplified Arabic" w:cs="Simplified Arabic"/>
          <w:kern w:val="2"/>
          <w:sz w:val="28"/>
          <w:szCs w:val="28"/>
          <w14:ligatures w14:val="standardContextual"/>
        </w:rPr>
        <w:t>Soetjipto</w:t>
      </w:r>
      <w:proofErr w:type="spellEnd"/>
      <w:r w:rsidRPr="007A6368">
        <w:rPr>
          <w:rFonts w:ascii="Simplified Arabic" w:eastAsia="Calibri" w:hAnsi="Simplified Arabic" w:cs="Simplified Arabic"/>
          <w:kern w:val="2"/>
          <w:sz w:val="28"/>
          <w:szCs w:val="28"/>
          <w14:ligatures w14:val="standardContextual"/>
        </w:rPr>
        <w:t>, 2022</w:t>
      </w:r>
      <w:r w:rsidRPr="007A6368">
        <w:rPr>
          <w:rFonts w:ascii="Simplified Arabic" w:eastAsia="Calibri" w:hAnsi="Simplified Arabic" w:cs="Simplified Arabic"/>
          <w:kern w:val="2"/>
          <w:sz w:val="28"/>
          <w:szCs w:val="28"/>
          <w:rtl/>
          <w14:ligatures w14:val="standardContextual"/>
        </w:rPr>
        <w:t xml:space="preserve">؛ </w:t>
      </w:r>
      <w:r w:rsidRPr="007A6368">
        <w:rPr>
          <w:rFonts w:ascii="Simplified Arabic" w:eastAsia="Calibri" w:hAnsi="Simplified Arabic" w:cs="Simplified Arabic"/>
          <w:kern w:val="2"/>
          <w:sz w:val="28"/>
          <w:szCs w:val="28"/>
          <w14:ligatures w14:val="standardContextual"/>
        </w:rPr>
        <w:t>Menezes et al., 2025</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tabs>
          <w:tab w:val="left" w:pos="1961"/>
        </w:tabs>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rtl/>
          <w14:ligatures w14:val="standardContextual"/>
        </w:rPr>
        <w:tab/>
      </w:r>
    </w:p>
    <w:p w:rsidR="007A6368" w:rsidRPr="007A6368" w:rsidRDefault="007A6368" w:rsidP="007A6368">
      <w:pPr>
        <w:bidi/>
        <w:spacing w:after="160" w:line="240" w:lineRule="auto"/>
        <w:jc w:val="both"/>
        <w:rPr>
          <w:rFonts w:ascii="Simplified Arabic" w:eastAsia="Calibri" w:hAnsi="Simplified Arabic" w:cs="Simplified Arabic"/>
          <w:b/>
          <w:bCs/>
          <w:kern w:val="2"/>
          <w:sz w:val="28"/>
          <w:szCs w:val="28"/>
          <w:rtl/>
          <w14:ligatures w14:val="standardContextual"/>
        </w:rPr>
      </w:pPr>
      <w:r w:rsidRPr="007A6368">
        <w:rPr>
          <w:rFonts w:ascii="Simplified Arabic" w:eastAsia="Calibri" w:hAnsi="Simplified Arabic" w:cs="Simplified Arabic"/>
          <w:b/>
          <w:bCs/>
          <w:kern w:val="2"/>
          <w:sz w:val="28"/>
          <w:szCs w:val="28"/>
          <w:rtl/>
          <w14:ligatures w14:val="standardContextual"/>
        </w:rPr>
        <w:t>خامسًا: العوامل المؤثرة في الاحتفاظ بالكفاءات البشرية</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يتأثر الاحتفاظ بالكفاءات البشرية بعدد من العوامل التنظيمية والإدارية والشخصية التي تحدد رغبة العاملين في الاستمرار داخل المنظمة. ومن أبرز هذه العوامل بيئة العمل، ونمط القيادة، والرضا الوظيفي، والعدالة في نظم الأجور والحوافز، وفرص التطور المهني، إضافة إلى الثقافة التنظيمية التي تعزز الثقة والتعاون والانتماء بين العاملين (الحمزة، 2023؛ نبوي، فتحي، وعبية، 2022).</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 xml:space="preserve">كما تؤثر ممارسات إدارة المواهب بصورة مباشرة في قدرة المنظمة على الاحتفاظ بكفاءاتها، حيث يسهم الاستقطاب الفعال في اختيار الأفراد الأكثر توافقًا مع ثقافة المنظمة، بينما يؤدي الاستثمار في التدريب والتطوير إلى رفع مستويات الرضا والالتزام، في حين يسهم التحفيز المادي والمعنوي في تعزيز الولاء التنظيمي وتقليل الرغبة في ترك العمل. لذلك، فإن نجاح المنظمة في تطبيق هذه الممارسات بصورة متكاملة يعد أحد أهم العوامل المؤثرة في استقرار القوى العاملة والمحافظة على الكفاءات البشرية (السليحات والصوالحة، 2022؛ العتوم وعبابنة، 2023؛ </w:t>
      </w:r>
      <w:r w:rsidRPr="007A6368">
        <w:rPr>
          <w:rFonts w:ascii="Simplified Arabic" w:eastAsia="Calibri" w:hAnsi="Simplified Arabic" w:cs="Simplified Arabic"/>
          <w:kern w:val="2"/>
          <w:sz w:val="28"/>
          <w:szCs w:val="28"/>
          <w14:ligatures w14:val="standardContextual"/>
        </w:rPr>
        <w:t>Kumar, 2022</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lang w:bidi="ar-EG"/>
          <w14:ligatures w14:val="standardContextual"/>
        </w:rPr>
        <w:t xml:space="preserve">        </w:t>
      </w:r>
      <w:r w:rsidRPr="007A6368">
        <w:rPr>
          <w:rFonts w:ascii="Simplified Arabic" w:eastAsia="Calibri" w:hAnsi="Simplified Arabic" w:cs="Simplified Arabic"/>
          <w:kern w:val="2"/>
          <w:sz w:val="28"/>
          <w:szCs w:val="28"/>
          <w:rtl/>
          <w14:ligatures w14:val="standardContextual"/>
        </w:rPr>
        <w:t>وفي المقابل، فإن ضعف فرص الترقية، وعدم العدالة في الحوافز، وغياب التقدير، وضعف برامج التطوير المهني، تمثل من أبرز الأسباب التي تدفع العاملين ذوي الكفاءة إلى البحث عن فرص عمل بديلة، الأمر الذي ينعكس سلبًا على الأداء المؤسسي ويؤدي إلى فقدان المنظمة لخبراتها المتراكمة (</w:t>
      </w:r>
      <w:proofErr w:type="spellStart"/>
      <w:r w:rsidRPr="007A6368">
        <w:rPr>
          <w:rFonts w:ascii="Simplified Arabic" w:eastAsia="Calibri" w:hAnsi="Simplified Arabic" w:cs="Simplified Arabic"/>
          <w:kern w:val="2"/>
          <w:sz w:val="28"/>
          <w:szCs w:val="28"/>
          <w14:ligatures w14:val="standardContextual"/>
        </w:rPr>
        <w:t>Barkhuizen</w:t>
      </w:r>
      <w:proofErr w:type="spellEnd"/>
      <w:r w:rsidRPr="007A6368">
        <w:rPr>
          <w:rFonts w:ascii="Simplified Arabic" w:eastAsia="Calibri" w:hAnsi="Simplified Arabic" w:cs="Simplified Arabic"/>
          <w:kern w:val="2"/>
          <w:sz w:val="28"/>
          <w:szCs w:val="28"/>
          <w14:ligatures w14:val="standardContextual"/>
        </w:rPr>
        <w:t xml:space="preserve"> &amp; </w:t>
      </w:r>
      <w:proofErr w:type="spellStart"/>
      <w:r w:rsidRPr="007A6368">
        <w:rPr>
          <w:rFonts w:ascii="Simplified Arabic" w:eastAsia="Calibri" w:hAnsi="Simplified Arabic" w:cs="Simplified Arabic"/>
          <w:kern w:val="2"/>
          <w:sz w:val="28"/>
          <w:szCs w:val="28"/>
          <w14:ligatures w14:val="standardContextual"/>
        </w:rPr>
        <w:t>Masale</w:t>
      </w:r>
      <w:proofErr w:type="spellEnd"/>
      <w:r w:rsidRPr="007A6368">
        <w:rPr>
          <w:rFonts w:ascii="Simplified Arabic" w:eastAsia="Calibri" w:hAnsi="Simplified Arabic" w:cs="Simplified Arabic"/>
          <w:kern w:val="2"/>
          <w:sz w:val="28"/>
          <w:szCs w:val="28"/>
          <w14:ligatures w14:val="standardContextual"/>
        </w:rPr>
        <w:t>, 2022</w:t>
      </w:r>
      <w:r w:rsidRPr="007A6368">
        <w:rPr>
          <w:rFonts w:ascii="Simplified Arabic" w:eastAsia="Calibri" w:hAnsi="Simplified Arabic" w:cs="Simplified Arabic"/>
          <w:kern w:val="2"/>
          <w:sz w:val="28"/>
          <w:szCs w:val="28"/>
          <w:rtl/>
          <w14:ligatures w14:val="standardContextual"/>
        </w:rPr>
        <w:t xml:space="preserve">؛ </w:t>
      </w:r>
      <w:proofErr w:type="spellStart"/>
      <w:r w:rsidRPr="007A6368">
        <w:rPr>
          <w:rFonts w:ascii="Simplified Arabic" w:eastAsia="Calibri" w:hAnsi="Simplified Arabic" w:cs="Simplified Arabic"/>
          <w:kern w:val="2"/>
          <w:sz w:val="28"/>
          <w:szCs w:val="28"/>
          <w14:ligatures w14:val="standardContextual"/>
        </w:rPr>
        <w:t>Urme</w:t>
      </w:r>
      <w:proofErr w:type="spellEnd"/>
      <w:r w:rsidRPr="007A6368">
        <w:rPr>
          <w:rFonts w:ascii="Simplified Arabic" w:eastAsia="Calibri" w:hAnsi="Simplified Arabic" w:cs="Simplified Arabic"/>
          <w:kern w:val="2"/>
          <w:sz w:val="28"/>
          <w:szCs w:val="28"/>
          <w14:ligatures w14:val="standardContextual"/>
        </w:rPr>
        <w:t>, 2023</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59" w:lineRule="auto"/>
        <w:jc w:val="both"/>
        <w:rPr>
          <w:rFonts w:ascii="Simplified Arabic" w:eastAsia="Calibri" w:hAnsi="Simplified Arabic" w:cs="Simplified Arabic"/>
          <w:b/>
          <w:bCs/>
          <w:kern w:val="2"/>
          <w:sz w:val="28"/>
          <w:szCs w:val="28"/>
          <w:rtl/>
          <w14:ligatures w14:val="standardContextual"/>
        </w:rPr>
      </w:pPr>
      <w:r w:rsidRPr="007A6368">
        <w:rPr>
          <w:rFonts w:ascii="Simplified Arabic" w:eastAsia="Calibri" w:hAnsi="Simplified Arabic" w:cs="Simplified Arabic"/>
          <w:b/>
          <w:bCs/>
          <w:kern w:val="2"/>
          <w:sz w:val="28"/>
          <w:szCs w:val="28"/>
          <w:rtl/>
          <w14:ligatures w14:val="standardContextual"/>
        </w:rPr>
        <w:t>سادسًا: العلاقة بين ممارسات إدارة المواهب والاحتفاظ بالكفاءات البشرية</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hint="cs"/>
          <w:kern w:val="2"/>
          <w:sz w:val="28"/>
          <w:szCs w:val="28"/>
          <w:rtl/>
          <w14:ligatures w14:val="standardContextual"/>
        </w:rPr>
        <w:lastRenderedPageBreak/>
        <w:t xml:space="preserve">      </w:t>
      </w:r>
      <w:r w:rsidRPr="007A6368">
        <w:rPr>
          <w:rFonts w:ascii="Simplified Arabic" w:eastAsia="Calibri" w:hAnsi="Simplified Arabic" w:cs="Simplified Arabic"/>
          <w:kern w:val="2"/>
          <w:sz w:val="28"/>
          <w:szCs w:val="28"/>
          <w:rtl/>
          <w14:ligatures w14:val="standardContextual"/>
        </w:rPr>
        <w:t>تمثل ممارسات إدارة المواهب أحد أهم المداخل الإدارية الحديثة التي تعتمد عليها المنظمات لتعزيز قدرتها على الاحتفاظ بالكفاءات البشرية، إذ لم يعد الاهتمام ينصب على استقطاب الكفاءات فحسب، وإنما امتد ليشمل تنميتها وتحفيزها والمحافظة عليها باعتبارها موردًا استراتيجيًا يسهم في تحقيق الميزة التنافسية واستدامة الأداء. وتشير الأدبيات إلى أن نجاح المنظمات في إدارة المواهب ينعكس بصورة مباشرة على زيادة معدلات الاحتفاظ بالعاملين المتميزين، من خلال توفير بيئة عمل جاذبة، وفرص مستمرة للتطوير، ونظم عادلة للتحفيز والتقدير (</w:t>
      </w:r>
      <w:proofErr w:type="spellStart"/>
      <w:r w:rsidRPr="007A6368">
        <w:rPr>
          <w:rFonts w:ascii="Simplified Arabic" w:eastAsia="Calibri" w:hAnsi="Simplified Arabic" w:cs="Simplified Arabic"/>
          <w:kern w:val="2"/>
          <w:sz w:val="28"/>
          <w:szCs w:val="28"/>
          <w14:ligatures w14:val="standardContextual"/>
        </w:rPr>
        <w:t>Yildiz</w:t>
      </w:r>
      <w:proofErr w:type="spellEnd"/>
      <w:r w:rsidRPr="007A6368">
        <w:rPr>
          <w:rFonts w:ascii="Simplified Arabic" w:eastAsia="Calibri" w:hAnsi="Simplified Arabic" w:cs="Simplified Arabic"/>
          <w:kern w:val="2"/>
          <w:sz w:val="28"/>
          <w:szCs w:val="28"/>
          <w14:ligatures w14:val="standardContextual"/>
        </w:rPr>
        <w:t xml:space="preserve"> &amp; </w:t>
      </w:r>
      <w:proofErr w:type="spellStart"/>
      <w:r w:rsidRPr="007A6368">
        <w:rPr>
          <w:rFonts w:ascii="Simplified Arabic" w:eastAsia="Calibri" w:hAnsi="Simplified Arabic" w:cs="Simplified Arabic"/>
          <w:kern w:val="2"/>
          <w:sz w:val="28"/>
          <w:szCs w:val="28"/>
          <w14:ligatures w14:val="standardContextual"/>
        </w:rPr>
        <w:t>Esmer</w:t>
      </w:r>
      <w:proofErr w:type="spellEnd"/>
      <w:r w:rsidRPr="007A6368">
        <w:rPr>
          <w:rFonts w:ascii="Simplified Arabic" w:eastAsia="Calibri" w:hAnsi="Simplified Arabic" w:cs="Simplified Arabic"/>
          <w:kern w:val="2"/>
          <w:sz w:val="28"/>
          <w:szCs w:val="28"/>
          <w14:ligatures w14:val="standardContextual"/>
        </w:rPr>
        <w:t>, 2023</w:t>
      </w:r>
      <w:r w:rsidRPr="007A6368">
        <w:rPr>
          <w:rFonts w:ascii="Simplified Arabic" w:eastAsia="Calibri" w:hAnsi="Simplified Arabic" w:cs="Simplified Arabic"/>
          <w:kern w:val="2"/>
          <w:sz w:val="28"/>
          <w:szCs w:val="28"/>
          <w:rtl/>
          <w14:ligatures w14:val="standardContextual"/>
        </w:rPr>
        <w:t xml:space="preserve">؛ </w:t>
      </w:r>
      <w:r w:rsidRPr="007A6368">
        <w:rPr>
          <w:rFonts w:ascii="Simplified Arabic" w:eastAsia="Calibri" w:hAnsi="Simplified Arabic" w:cs="Simplified Arabic"/>
          <w:kern w:val="2"/>
          <w:sz w:val="28"/>
          <w:szCs w:val="28"/>
          <w14:ligatures w14:val="standardContextual"/>
        </w:rPr>
        <w:t>Groenewald et al., 2024</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 xml:space="preserve">ويعد استقطاب المواهب الخطوة الأولى في بناء رأس مال بشري قادر على تحقيق أهداف المنظمة، حيث يسهم تطبيق أساليب حديثة في الاستقطاب والاختيار في جذب الأفراد الذين تتوافق مهاراتهم وقيمهم مع ثقافة المنظمة، مما يزيد من فرص اندماجهم واستمرارهم فيها. كما أن الاختيار الدقيق للكفاءات يقلل من احتمالات ترك العمل، ويعزز الاستقرار الوظيفي على المدى الطويل (العتوم وعبابنة، 2023؛ </w:t>
      </w:r>
      <w:proofErr w:type="spellStart"/>
      <w:r w:rsidRPr="007A6368">
        <w:rPr>
          <w:rFonts w:ascii="Simplified Arabic" w:eastAsia="Calibri" w:hAnsi="Simplified Arabic" w:cs="Simplified Arabic"/>
          <w:kern w:val="2"/>
          <w:sz w:val="28"/>
          <w:szCs w:val="28"/>
          <w14:ligatures w14:val="standardContextual"/>
        </w:rPr>
        <w:t>Dwiputrianti</w:t>
      </w:r>
      <w:proofErr w:type="spellEnd"/>
      <w:r w:rsidRPr="007A6368">
        <w:rPr>
          <w:rFonts w:ascii="Simplified Arabic" w:eastAsia="Calibri" w:hAnsi="Simplified Arabic" w:cs="Simplified Arabic"/>
          <w:kern w:val="2"/>
          <w:sz w:val="28"/>
          <w:szCs w:val="28"/>
          <w14:ligatures w14:val="standardContextual"/>
        </w:rPr>
        <w:t xml:space="preserve"> et al., 2023</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59" w:lineRule="auto"/>
        <w:jc w:val="both"/>
        <w:rPr>
          <w:rFonts w:ascii="Simplified Arabic" w:eastAsia="Calibri" w:hAnsi="Simplified Arabic" w:cs="Simplified Arabic"/>
          <w:kern w:val="2"/>
          <w:sz w:val="28"/>
          <w:szCs w:val="28"/>
          <w:rtl/>
          <w14:ligatures w14:val="standardContextual"/>
        </w:rPr>
      </w:pP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 xml:space="preserve">أما تطوير وتنمية المواهب فيمثل أحد أهم العوامل المؤثرة في الاحتفاظ بالكفاءات البشرية، إذ يشعر العاملون بدرجة أكبر من الرضا والانتماء عندما توفر لهم المنظمة فرصًا للتدريب والتطوير المستمر، وإعدادهم للمناصب المستقبلية، وتنمية مهاراتهم بما يتوافق مع متطلبات العمل. وقد أكدت العديد من الدراسات أن الاستثمار في تنمية المواهب يسهم في تعزيز الالتزام التنظيمي وتقليل الرغبة في ترك العمل، لما يوفره من شعور بالتقدير والاهتمام بمستقبل العاملين المهني (الدليمي والزعبي، 2022؛ سليخ، 2021؛ </w:t>
      </w:r>
      <w:proofErr w:type="spellStart"/>
      <w:r w:rsidRPr="007A6368">
        <w:rPr>
          <w:rFonts w:ascii="Simplified Arabic" w:eastAsia="Calibri" w:hAnsi="Simplified Arabic" w:cs="Simplified Arabic"/>
          <w:kern w:val="2"/>
          <w:sz w:val="28"/>
          <w:szCs w:val="28"/>
          <w14:ligatures w14:val="standardContextual"/>
        </w:rPr>
        <w:t>Manimaran</w:t>
      </w:r>
      <w:proofErr w:type="spellEnd"/>
      <w:r w:rsidRPr="007A6368">
        <w:rPr>
          <w:rFonts w:ascii="Simplified Arabic" w:eastAsia="Calibri" w:hAnsi="Simplified Arabic" w:cs="Simplified Arabic"/>
          <w:kern w:val="2"/>
          <w:sz w:val="28"/>
          <w:szCs w:val="28"/>
          <w14:ligatures w14:val="standardContextual"/>
        </w:rPr>
        <w:t xml:space="preserve"> et al., 2025</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hint="cs"/>
          <w:kern w:val="2"/>
          <w:sz w:val="28"/>
          <w:szCs w:val="28"/>
          <w:rtl/>
          <w14:ligatures w14:val="standardContextual"/>
        </w:rPr>
        <w:t xml:space="preserve">       </w:t>
      </w:r>
      <w:r w:rsidRPr="007A6368">
        <w:rPr>
          <w:rFonts w:ascii="Simplified Arabic" w:eastAsia="Calibri" w:hAnsi="Simplified Arabic" w:cs="Simplified Arabic"/>
          <w:kern w:val="2"/>
          <w:sz w:val="28"/>
          <w:szCs w:val="28"/>
          <w:rtl/>
          <w14:ligatures w14:val="standardContextual"/>
        </w:rPr>
        <w:t xml:space="preserve">كما يُعد تحفيز المواهب من أكثر الممارسات تأثيرًا في الاحتفاظ بالكفاءات، حيث تسهم الحوافز المادية والمعنوية، والاعتراف بالإنجازات، وإتاحة فرص المشاركة في اتخاذ القرار، في رفع مستويات الرضا الوظيفي والولاء التنظيمي. وتشير الأدبيات إلى أن العاملين المتميزين يميلون إلى الاستمرار في المنظمات التي توفر لهم بيئة عمل داعمة، ونظمًا عادلة للمكافآت والترقيات، وتمنحهم فرصًا للنمو وتحقيق الذات، وهو ما يقلل من معدلات دوران العمل ويعزز استقرار القوى العاملة (فول وطه، 2016؛ </w:t>
      </w:r>
      <w:r w:rsidRPr="007A6368">
        <w:rPr>
          <w:rFonts w:ascii="Simplified Arabic" w:eastAsia="Calibri" w:hAnsi="Simplified Arabic" w:cs="Simplified Arabic"/>
          <w:kern w:val="2"/>
          <w:sz w:val="28"/>
          <w:szCs w:val="28"/>
          <w14:ligatures w14:val="standardContextual"/>
        </w:rPr>
        <w:t>Kumar, 2022</w:t>
      </w:r>
      <w:r w:rsidRPr="007A6368">
        <w:rPr>
          <w:rFonts w:ascii="Simplified Arabic" w:eastAsia="Calibri" w:hAnsi="Simplified Arabic" w:cs="Simplified Arabic"/>
          <w:kern w:val="2"/>
          <w:sz w:val="28"/>
          <w:szCs w:val="28"/>
          <w:rtl/>
          <w14:ligatures w14:val="standardContextual"/>
        </w:rPr>
        <w:t xml:space="preserve">؛ </w:t>
      </w:r>
      <w:proofErr w:type="spellStart"/>
      <w:r w:rsidRPr="007A6368">
        <w:rPr>
          <w:rFonts w:ascii="Simplified Arabic" w:eastAsia="Calibri" w:hAnsi="Simplified Arabic" w:cs="Simplified Arabic"/>
          <w:kern w:val="2"/>
          <w:sz w:val="28"/>
          <w:szCs w:val="28"/>
          <w14:ligatures w14:val="standardContextual"/>
        </w:rPr>
        <w:t>Achmada</w:t>
      </w:r>
      <w:proofErr w:type="spellEnd"/>
      <w:r w:rsidRPr="007A6368">
        <w:rPr>
          <w:rFonts w:ascii="Simplified Arabic" w:eastAsia="Calibri" w:hAnsi="Simplified Arabic" w:cs="Simplified Arabic"/>
          <w:kern w:val="2"/>
          <w:sz w:val="28"/>
          <w:szCs w:val="28"/>
          <w14:ligatures w14:val="standardContextual"/>
        </w:rPr>
        <w:t xml:space="preserve"> &amp; </w:t>
      </w:r>
      <w:proofErr w:type="spellStart"/>
      <w:r w:rsidRPr="007A6368">
        <w:rPr>
          <w:rFonts w:ascii="Simplified Arabic" w:eastAsia="Calibri" w:hAnsi="Simplified Arabic" w:cs="Simplified Arabic"/>
          <w:kern w:val="2"/>
          <w:sz w:val="28"/>
          <w:szCs w:val="28"/>
          <w14:ligatures w14:val="standardContextual"/>
        </w:rPr>
        <w:t>Soetjipto</w:t>
      </w:r>
      <w:proofErr w:type="spellEnd"/>
      <w:r w:rsidRPr="007A6368">
        <w:rPr>
          <w:rFonts w:ascii="Simplified Arabic" w:eastAsia="Calibri" w:hAnsi="Simplified Arabic" w:cs="Simplified Arabic"/>
          <w:kern w:val="2"/>
          <w:sz w:val="28"/>
          <w:szCs w:val="28"/>
          <w14:ligatures w14:val="standardContextual"/>
        </w:rPr>
        <w:t>, 2022</w:t>
      </w:r>
      <w:r w:rsidRPr="007A6368">
        <w:rPr>
          <w:rFonts w:ascii="Simplified Arabic" w:eastAsia="Calibri" w:hAnsi="Simplified Arabic" w:cs="Simplified Arabic"/>
          <w:kern w:val="2"/>
          <w:sz w:val="28"/>
          <w:szCs w:val="28"/>
          <w:rtl/>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14:ligatures w14:val="standardContextual"/>
        </w:rPr>
      </w:pPr>
      <w:r w:rsidRPr="007A6368">
        <w:rPr>
          <w:rFonts w:ascii="Simplified Arabic" w:eastAsia="Calibri" w:hAnsi="Simplified Arabic" w:cs="Simplified Arabic"/>
          <w:kern w:val="2"/>
          <w:sz w:val="28"/>
          <w:szCs w:val="28"/>
          <w14:ligatures w14:val="standardContextual"/>
        </w:rPr>
        <w:lastRenderedPageBreak/>
        <w:t xml:space="preserve">      </w:t>
      </w:r>
      <w:r w:rsidRPr="007A6368">
        <w:rPr>
          <w:rFonts w:ascii="Simplified Arabic" w:eastAsia="Calibri" w:hAnsi="Simplified Arabic" w:cs="Simplified Arabic"/>
          <w:kern w:val="2"/>
          <w:sz w:val="28"/>
          <w:szCs w:val="28"/>
          <w:rtl/>
          <w14:ligatures w14:val="standardContextual"/>
        </w:rPr>
        <w:t xml:space="preserve">وقد أكدت العديد من الدراسات التطبيقية وجود علاقة إيجابية بين ممارسات إدارة المواهب والاحتفاظ بالكفاءات البشرية، حيث توصلت دراسة </w:t>
      </w:r>
      <w:r w:rsidRPr="007A6368">
        <w:rPr>
          <w:rFonts w:ascii="Simplified Arabic" w:eastAsia="Calibri" w:hAnsi="Simplified Arabic" w:cs="Simplified Arabic" w:hint="cs"/>
          <w:kern w:val="2"/>
          <w:sz w:val="28"/>
          <w:szCs w:val="28"/>
          <w:rtl/>
          <w:lang w:bidi="ar-EG"/>
          <w14:ligatures w14:val="standardContextual"/>
        </w:rPr>
        <w:t>(</w:t>
      </w:r>
      <w:r w:rsidRPr="007A6368">
        <w:rPr>
          <w:rFonts w:ascii="Simplified Arabic" w:eastAsia="Calibri" w:hAnsi="Simplified Arabic" w:cs="Simplified Arabic"/>
          <w:kern w:val="2"/>
          <w:sz w:val="28"/>
          <w:szCs w:val="28"/>
          <w14:ligatures w14:val="standardContextual"/>
        </w:rPr>
        <w:t>Kumar (2022</w:t>
      </w:r>
      <w:r w:rsidRPr="007A6368">
        <w:rPr>
          <w:rFonts w:ascii="Simplified Arabic" w:eastAsia="Calibri" w:hAnsi="Simplified Arabic" w:cs="Simplified Arabic"/>
          <w:kern w:val="2"/>
          <w:sz w:val="28"/>
          <w:szCs w:val="28"/>
          <w:rtl/>
          <w14:ligatures w14:val="standardContextual"/>
        </w:rPr>
        <w:t xml:space="preserve"> إلى أن ممارسات إدارة المواهب تؤثر بصورة مباشرة في خفض معدل دوران العاملين وزيادة نواياهم للاستمرار في المنظمة. كما أوضحت دراسة </w:t>
      </w:r>
      <w:proofErr w:type="spellStart"/>
      <w:r w:rsidRPr="007A6368">
        <w:rPr>
          <w:rFonts w:ascii="Simplified Arabic" w:eastAsia="Calibri" w:hAnsi="Simplified Arabic" w:cs="Simplified Arabic"/>
          <w:kern w:val="2"/>
          <w:sz w:val="28"/>
          <w:szCs w:val="28"/>
          <w14:ligatures w14:val="standardContextual"/>
        </w:rPr>
        <w:t>Urme</w:t>
      </w:r>
      <w:proofErr w:type="spellEnd"/>
      <w:r w:rsidRPr="007A6368">
        <w:rPr>
          <w:rFonts w:ascii="Simplified Arabic" w:eastAsia="Calibri" w:hAnsi="Simplified Arabic" w:cs="Simplified Arabic"/>
          <w:kern w:val="2"/>
          <w:sz w:val="28"/>
          <w:szCs w:val="28"/>
          <w14:ligatures w14:val="standardContextual"/>
        </w:rPr>
        <w:t xml:space="preserve"> (2023)</w:t>
      </w:r>
      <w:r w:rsidRPr="007A6368">
        <w:rPr>
          <w:rFonts w:ascii="Simplified Arabic" w:eastAsia="Calibri" w:hAnsi="Simplified Arabic" w:cs="Simplified Arabic"/>
          <w:kern w:val="2"/>
          <w:sz w:val="28"/>
          <w:szCs w:val="28"/>
          <w:rtl/>
          <w14:ligatures w14:val="standardContextual"/>
        </w:rPr>
        <w:t xml:space="preserve"> أن استراتيجيات إدارة المواهب تمثل عاملًا رئيسًا في تعزيز الاحتفاظ بالعاملين، بينما بينت دراسة </w:t>
      </w:r>
      <w:r w:rsidRPr="007A6368">
        <w:rPr>
          <w:rFonts w:ascii="Simplified Arabic" w:eastAsia="Calibri" w:hAnsi="Simplified Arabic" w:cs="Simplified Arabic"/>
          <w:kern w:val="2"/>
          <w:sz w:val="28"/>
          <w:szCs w:val="28"/>
          <w14:ligatures w14:val="standardContextual"/>
        </w:rPr>
        <w:t xml:space="preserve">Menezes et al. </w:t>
      </w:r>
      <w:proofErr w:type="gramStart"/>
      <w:r w:rsidRPr="007A6368">
        <w:rPr>
          <w:rFonts w:ascii="Simplified Arabic" w:eastAsia="Calibri" w:hAnsi="Simplified Arabic" w:cs="Simplified Arabic"/>
          <w:kern w:val="2"/>
          <w:sz w:val="28"/>
          <w:szCs w:val="28"/>
          <w14:ligatures w14:val="standardContextual"/>
        </w:rPr>
        <w:t>(2025)</w:t>
      </w:r>
      <w:r w:rsidRPr="007A6368">
        <w:rPr>
          <w:rFonts w:ascii="Simplified Arabic" w:eastAsia="Calibri" w:hAnsi="Simplified Arabic" w:cs="Simplified Arabic"/>
          <w:kern w:val="2"/>
          <w:sz w:val="28"/>
          <w:szCs w:val="28"/>
          <w:rtl/>
          <w14:ligatures w14:val="standardContextual"/>
        </w:rPr>
        <w:t xml:space="preserve"> أن إدارة المواهب تؤثر في الاحتفاظ بالكفاءات من خلال تعزيز التمكين النفسي للعاملين.</w:t>
      </w:r>
      <w:proofErr w:type="gramEnd"/>
      <w:r w:rsidRPr="007A6368">
        <w:rPr>
          <w:rFonts w:ascii="Simplified Arabic" w:eastAsia="Calibri" w:hAnsi="Simplified Arabic" w:cs="Simplified Arabic"/>
          <w:kern w:val="2"/>
          <w:sz w:val="28"/>
          <w:szCs w:val="28"/>
          <w:rtl/>
          <w14:ligatures w14:val="standardContextual"/>
        </w:rPr>
        <w:t xml:space="preserve"> وعلى المستوى العربي، توصلت دراسة السليحات والصوالحة (2022) إلى أن تطبيق ممارسات إدارة المواهب يسهم في تحسين الأداء المؤسسي والتميز التنظيمي، كما أكدت دراسة العسيري (2025) أهمية استقطاب الكفاءات القيادية والمحافظة عليها في دعم استقرار المؤسسات ورفع كفاءة أدائها.</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14:ligatures w14:val="standardContextual"/>
        </w:rPr>
      </w:pPr>
      <w:r w:rsidRPr="007A6368">
        <w:rPr>
          <w:rFonts w:ascii="Simplified Arabic" w:eastAsia="Calibri" w:hAnsi="Simplified Arabic" w:cs="Simplified Arabic"/>
          <w:kern w:val="2"/>
          <w:sz w:val="28"/>
          <w:szCs w:val="28"/>
          <w14:ligatures w14:val="standardContextual"/>
        </w:rPr>
        <w:t xml:space="preserve">       </w:t>
      </w:r>
      <w:r w:rsidRPr="007A6368">
        <w:rPr>
          <w:rFonts w:ascii="Simplified Arabic" w:eastAsia="Calibri" w:hAnsi="Simplified Arabic" w:cs="Simplified Arabic"/>
          <w:kern w:val="2"/>
          <w:sz w:val="28"/>
          <w:szCs w:val="28"/>
          <w:rtl/>
          <w14:ligatures w14:val="standardContextual"/>
        </w:rPr>
        <w:t>وانطلاقًا مما سبق، يمكن القول إن ممارسات إدارة المواهب بأبعادها المختلفة (استقطاب المواهب، وتطوير وتنمية المواهب، وتحفيز المواهب) تشكل منظومة متكاملة تسهم في تعزيز قدرة المنظمات على الاحتفاظ بالكفاءات البشرية، من خلال توفير بيئة عمل جاذبة، وفرص للتطور المهني، ونظم فعالة للتحفيز والتقدير. وفي ضوء ذلك، تنطلق الدراسة الحالية من افتراض أن تحسين مستوى تطبيق ممارسات إدارة المواهب في الشركات الصناعية بالمملكة العربية السعودية من شأنه أن يسهم في تعزيز قدرتها على الاحتفاظ بالكفاءات البشرية، وهو ما تسعى الدراسة إلى اختباره ميدانيًا.</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14:ligatures w14:val="standardContextual"/>
        </w:rPr>
      </w:pPr>
    </w:p>
    <w:p w:rsidR="007A6368" w:rsidRPr="007A6368" w:rsidRDefault="007A6368" w:rsidP="007A6368">
      <w:pPr>
        <w:keepNext/>
        <w:keepLines/>
        <w:bidi/>
        <w:spacing w:before="480" w:after="0" w:line="259" w:lineRule="auto"/>
        <w:jc w:val="both"/>
        <w:outlineLvl w:val="0"/>
        <w:rPr>
          <w:rFonts w:ascii="Calibri Light" w:eastAsia="Times New Roman" w:hAnsi="Calibri Light" w:cs="Simplified Arabic"/>
          <w:b/>
          <w:bCs/>
          <w:kern w:val="2"/>
          <w:sz w:val="28"/>
          <w:szCs w:val="32"/>
          <w:rtl/>
          <w:lang w:bidi="ar-EG"/>
          <w14:ligatures w14:val="standardContextual"/>
        </w:rPr>
      </w:pPr>
      <w:bookmarkStart w:id="29" w:name="_Toc234589733"/>
      <w:bookmarkStart w:id="30" w:name="_Toc234591225"/>
      <w:r w:rsidRPr="007A6368">
        <w:rPr>
          <w:rFonts w:ascii="Calibri Light" w:eastAsia="Times New Roman" w:hAnsi="Calibri Light" w:cs="Simplified Arabic" w:hint="cs"/>
          <w:b/>
          <w:bCs/>
          <w:kern w:val="2"/>
          <w:sz w:val="28"/>
          <w:szCs w:val="32"/>
          <w:rtl/>
          <w:lang w:bidi="ar-EG"/>
          <w14:ligatures w14:val="standardContextual"/>
        </w:rPr>
        <w:t>المطلب الثالث: النظريات المفسرة للعلاقة بين ممارسات إدارة المواهب والاحتفاظ بالكفاءات البشرية</w:t>
      </w:r>
      <w:bookmarkEnd w:id="29"/>
      <w:bookmarkEnd w:id="30"/>
    </w:p>
    <w:p w:rsidR="007A6368" w:rsidRPr="007A6368" w:rsidRDefault="007A6368" w:rsidP="007A6368">
      <w:pPr>
        <w:bidi/>
        <w:spacing w:after="160" w:line="259" w:lineRule="auto"/>
        <w:jc w:val="both"/>
        <w:rPr>
          <w:rFonts w:ascii="Simplified Arabic" w:eastAsia="Calibri" w:hAnsi="Simplified Arabic" w:cs="Simplified Arabic"/>
          <w:b/>
          <w:bCs/>
          <w:kern w:val="2"/>
          <w:sz w:val="28"/>
          <w:szCs w:val="28"/>
          <w:rtl/>
          <w:lang w:bidi="ar-EG"/>
          <w14:ligatures w14:val="standardContextual"/>
        </w:rPr>
      </w:pPr>
      <w:r w:rsidRPr="007A6368">
        <w:rPr>
          <w:rFonts w:ascii="Simplified Arabic" w:eastAsia="Calibri" w:hAnsi="Simplified Arabic" w:cs="Simplified Arabic"/>
          <w:b/>
          <w:bCs/>
          <w:kern w:val="2"/>
          <w:sz w:val="28"/>
          <w:szCs w:val="28"/>
          <w:rtl/>
          <w:lang w:bidi="ar-EG"/>
          <w14:ligatures w14:val="standardContextual"/>
        </w:rPr>
        <w:t xml:space="preserve">أولًا: نظرية رأس المال البشري </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lang w:bidi="ar-EG"/>
          <w14:ligatures w14:val="standardContextual"/>
        </w:rPr>
        <w:t xml:space="preserve">      </w:t>
      </w:r>
      <w:r w:rsidRPr="007A6368">
        <w:rPr>
          <w:rFonts w:ascii="Simplified Arabic" w:eastAsia="Calibri" w:hAnsi="Simplified Arabic" w:cs="Simplified Arabic"/>
          <w:kern w:val="2"/>
          <w:sz w:val="28"/>
          <w:szCs w:val="28"/>
          <w:rtl/>
          <w:lang w:bidi="ar-EG"/>
          <w14:ligatures w14:val="standardContextual"/>
        </w:rPr>
        <w:t xml:space="preserve">تعد نظرية رأس المال البشري من أبرز النظريات التي فسرت أهمية الاستثمار في الموارد البشرية، وقد ارتبطت بأعمال كل من </w:t>
      </w:r>
      <w:r w:rsidRPr="007A6368">
        <w:rPr>
          <w:rFonts w:ascii="Simplified Arabic" w:eastAsia="Calibri" w:hAnsi="Simplified Arabic" w:cs="Simplified Arabic"/>
          <w:kern w:val="2"/>
          <w:sz w:val="28"/>
          <w:szCs w:val="28"/>
          <w:lang w:bidi="ar-EG"/>
          <w14:ligatures w14:val="standardContextual"/>
        </w:rPr>
        <w:t>Schultz (1961)</w:t>
      </w:r>
      <w:r w:rsidRPr="007A6368">
        <w:rPr>
          <w:rFonts w:ascii="Simplified Arabic" w:eastAsia="Calibri" w:hAnsi="Simplified Arabic" w:cs="Simplified Arabic"/>
          <w:kern w:val="2"/>
          <w:sz w:val="28"/>
          <w:szCs w:val="28"/>
          <w:rtl/>
          <w:lang w:bidi="ar-EG"/>
          <w14:ligatures w14:val="standardContextual"/>
        </w:rPr>
        <w:t xml:space="preserve"> و</w:t>
      </w:r>
      <w:r w:rsidRPr="007A6368">
        <w:rPr>
          <w:rFonts w:ascii="Simplified Arabic" w:eastAsia="Calibri" w:hAnsi="Simplified Arabic" w:cs="Simplified Arabic" w:hint="cs"/>
          <w:kern w:val="2"/>
          <w:sz w:val="28"/>
          <w:szCs w:val="28"/>
          <w:rtl/>
          <w:lang w:bidi="ar-EG"/>
          <w14:ligatures w14:val="standardContextual"/>
        </w:rPr>
        <w:t>(</w:t>
      </w:r>
      <w:r w:rsidRPr="007A6368">
        <w:rPr>
          <w:rFonts w:ascii="Simplified Arabic" w:eastAsia="Calibri" w:hAnsi="Simplified Arabic" w:cs="Simplified Arabic"/>
          <w:kern w:val="2"/>
          <w:sz w:val="28"/>
          <w:szCs w:val="28"/>
          <w:lang w:bidi="ar-EG"/>
          <w14:ligatures w14:val="standardContextual"/>
        </w:rPr>
        <w:t>Becker (1964</w:t>
      </w:r>
      <w:r w:rsidRPr="007A6368">
        <w:rPr>
          <w:rFonts w:ascii="Simplified Arabic" w:eastAsia="Calibri" w:hAnsi="Simplified Arabic" w:cs="Simplified Arabic"/>
          <w:kern w:val="2"/>
          <w:sz w:val="28"/>
          <w:szCs w:val="28"/>
          <w:rtl/>
          <w:lang w:bidi="ar-EG"/>
          <w14:ligatures w14:val="standardContextual"/>
        </w:rPr>
        <w:t>، حيث تنطلق من أن العاملين يمثلون رأس مال استراتيجيًا للمنظمة، وأن الاستثمار في تعليمهم وتدريبهم وتنمية مهاراتهم يحقق عوائد اقتصادية وتنظيمية طويلة الأجل، تتمثل في تحسين الإنتاجية ورفع كفاءة الأداء وتعزيز القدرة التنافسية للمنظمة.</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lang w:bidi="ar-EG"/>
          <w14:ligatures w14:val="standardContextual"/>
        </w:rPr>
        <w:lastRenderedPageBreak/>
        <w:t xml:space="preserve">       </w:t>
      </w:r>
      <w:r w:rsidRPr="007A6368">
        <w:rPr>
          <w:rFonts w:ascii="Simplified Arabic" w:eastAsia="Calibri" w:hAnsi="Simplified Arabic" w:cs="Simplified Arabic"/>
          <w:kern w:val="2"/>
          <w:sz w:val="28"/>
          <w:szCs w:val="28"/>
          <w:rtl/>
          <w:lang w:bidi="ar-EG"/>
          <w14:ligatures w14:val="standardContextual"/>
        </w:rPr>
        <w:t>وتفترض هذه النظرية أن المعرفة والمهارات والخبرات التي يمتلكها العاملون تمثل أصولًا يصعب تقليدها، ومن ثم فإن المحافظة عليها وتنميتها يعدان من أهم عوامل نجاح المنظمات واستدامتها. لذلك، تحرص المنظمات على تطبيق ممارسات إدارة المواهب التي تشمل استقطاب الكفاءات المناسبة، وتطويرها، وتحفيزها، بما يضمن الاستفادة القصوى من رأس المال البشري والمحافظة عليه (</w:t>
      </w:r>
      <w:r w:rsidRPr="007A6368">
        <w:rPr>
          <w:rFonts w:ascii="Simplified Arabic" w:eastAsia="Calibri" w:hAnsi="Simplified Arabic" w:cs="Simplified Arabic"/>
          <w:kern w:val="2"/>
          <w:sz w:val="28"/>
          <w:szCs w:val="28"/>
          <w:lang w:bidi="ar-EG"/>
          <w14:ligatures w14:val="standardContextual"/>
        </w:rPr>
        <w:t xml:space="preserve">Groenewald et al., </w:t>
      </w:r>
      <w:proofErr w:type="gramStart"/>
      <w:r w:rsidRPr="007A6368">
        <w:rPr>
          <w:rFonts w:ascii="Simplified Arabic" w:eastAsia="Calibri" w:hAnsi="Simplified Arabic" w:cs="Simplified Arabic"/>
          <w:kern w:val="2"/>
          <w:sz w:val="28"/>
          <w:szCs w:val="28"/>
          <w:lang w:bidi="ar-EG"/>
          <w14:ligatures w14:val="standardContextual"/>
        </w:rPr>
        <w:t>2024</w:t>
      </w:r>
      <w:r w:rsidRPr="007A6368">
        <w:rPr>
          <w:rFonts w:ascii="Simplified Arabic" w:eastAsia="Calibri" w:hAnsi="Simplified Arabic" w:cs="Simplified Arabic"/>
          <w:kern w:val="2"/>
          <w:sz w:val="28"/>
          <w:szCs w:val="28"/>
          <w:rtl/>
          <w:lang w:bidi="ar-EG"/>
          <w14:ligatures w14:val="standardContextual"/>
        </w:rPr>
        <w:t xml:space="preserve">؛ </w:t>
      </w:r>
      <w:proofErr w:type="spellStart"/>
      <w:r w:rsidRPr="007A6368">
        <w:rPr>
          <w:rFonts w:ascii="Simplified Arabic" w:eastAsia="Calibri" w:hAnsi="Simplified Arabic" w:cs="Simplified Arabic"/>
          <w:kern w:val="2"/>
          <w:sz w:val="28"/>
          <w:szCs w:val="28"/>
          <w:lang w:bidi="ar-EG"/>
          <w14:ligatures w14:val="standardContextual"/>
        </w:rPr>
        <w:t>Yildiz</w:t>
      </w:r>
      <w:proofErr w:type="spellEnd"/>
      <w:r w:rsidRPr="007A6368">
        <w:rPr>
          <w:rFonts w:ascii="Simplified Arabic" w:eastAsia="Calibri" w:hAnsi="Simplified Arabic" w:cs="Simplified Arabic"/>
          <w:kern w:val="2"/>
          <w:sz w:val="28"/>
          <w:szCs w:val="28"/>
          <w:lang w:bidi="ar-EG"/>
          <w14:ligatures w14:val="standardContextual"/>
        </w:rPr>
        <w:t xml:space="preserve"> &amp; </w:t>
      </w:r>
      <w:proofErr w:type="spellStart"/>
      <w:r w:rsidRPr="007A6368">
        <w:rPr>
          <w:rFonts w:ascii="Simplified Arabic" w:eastAsia="Calibri" w:hAnsi="Simplified Arabic" w:cs="Simplified Arabic"/>
          <w:kern w:val="2"/>
          <w:sz w:val="28"/>
          <w:szCs w:val="28"/>
          <w:lang w:bidi="ar-EG"/>
          <w14:ligatures w14:val="standardContextual"/>
        </w:rPr>
        <w:t>Esmer</w:t>
      </w:r>
      <w:proofErr w:type="spellEnd"/>
      <w:r w:rsidRPr="007A6368">
        <w:rPr>
          <w:rFonts w:ascii="Simplified Arabic" w:eastAsia="Calibri" w:hAnsi="Simplified Arabic" w:cs="Simplified Arabic"/>
          <w:kern w:val="2"/>
          <w:sz w:val="28"/>
          <w:szCs w:val="28"/>
          <w:lang w:bidi="ar-EG"/>
          <w14:ligatures w14:val="standardContextual"/>
        </w:rPr>
        <w:t>, 2023</w:t>
      </w:r>
      <w:r w:rsidRPr="007A6368">
        <w:rPr>
          <w:rFonts w:ascii="Simplified Arabic" w:eastAsia="Calibri" w:hAnsi="Simplified Arabic" w:cs="Simplified Arabic"/>
          <w:kern w:val="2"/>
          <w:sz w:val="28"/>
          <w:szCs w:val="28"/>
          <w:rtl/>
          <w:lang w:bidi="ar-EG"/>
          <w14:ligatures w14:val="standardContextual"/>
        </w:rPr>
        <w:t>).</w:t>
      </w:r>
      <w:proofErr w:type="gramEnd"/>
    </w:p>
    <w:p w:rsidR="007A6368" w:rsidRPr="007A6368" w:rsidRDefault="007A6368" w:rsidP="007A6368">
      <w:pPr>
        <w:bidi/>
        <w:spacing w:after="160" w:line="240" w:lineRule="auto"/>
        <w:jc w:val="both"/>
        <w:rPr>
          <w:rFonts w:ascii="Simplified Arabic" w:eastAsia="Calibri" w:hAnsi="Simplified Arabic" w:cs="Simplified Arabic"/>
          <w:kern w:val="2"/>
          <w:sz w:val="28"/>
          <w:szCs w:val="28"/>
          <w:lang w:bidi="ar-EG"/>
          <w14:ligatures w14:val="standardContextual"/>
        </w:rPr>
      </w:pPr>
      <w:r w:rsidRPr="007A6368">
        <w:rPr>
          <w:rFonts w:ascii="Simplified Arabic" w:eastAsia="Calibri" w:hAnsi="Simplified Arabic" w:cs="Simplified Arabic"/>
          <w:kern w:val="2"/>
          <w:sz w:val="28"/>
          <w:szCs w:val="28"/>
          <w:lang w:bidi="ar-EG"/>
          <w14:ligatures w14:val="standardContextual"/>
        </w:rPr>
        <w:t xml:space="preserve">      </w:t>
      </w:r>
      <w:r w:rsidRPr="007A6368">
        <w:rPr>
          <w:rFonts w:ascii="Simplified Arabic" w:eastAsia="Calibri" w:hAnsi="Simplified Arabic" w:cs="Simplified Arabic"/>
          <w:kern w:val="2"/>
          <w:sz w:val="28"/>
          <w:szCs w:val="28"/>
          <w:rtl/>
          <w:lang w:bidi="ar-EG"/>
          <w14:ligatures w14:val="standardContextual"/>
        </w:rPr>
        <w:t>وتنسجم هذه النظرية مع الدراسة الحالية، إذ تنظر إلى ممارسات إدارة المواهب باعتبارها استثمارًا في رأس المال البشري داخل الشركات الصناعية بالمملكة العربية السعودية، حيث يسهم استقطاب الكفاءات، وتنمية قدراتها، وتحفيزها في تعزيز رغبتها في الاستمرار داخل المنظمة، الأمر الذي يؤدي إلى رفع مستويات الاحتفاظ بالكفاءات البشرية وتحقيق الأداء التنظيمي المستدام.</w:t>
      </w:r>
    </w:p>
    <w:p w:rsidR="007A6368" w:rsidRPr="007A6368" w:rsidRDefault="007A6368" w:rsidP="007A6368">
      <w:pPr>
        <w:bidi/>
        <w:spacing w:after="160" w:line="240" w:lineRule="auto"/>
        <w:jc w:val="both"/>
        <w:rPr>
          <w:rFonts w:ascii="Simplified Arabic" w:eastAsia="Calibri" w:hAnsi="Simplified Arabic" w:cs="Simplified Arabic"/>
          <w:b/>
          <w:bCs/>
          <w:kern w:val="2"/>
          <w:sz w:val="28"/>
          <w:szCs w:val="28"/>
          <w:rtl/>
          <w:lang w:bidi="ar-EG"/>
          <w14:ligatures w14:val="standardContextual"/>
        </w:rPr>
      </w:pPr>
      <w:r w:rsidRPr="007A6368">
        <w:rPr>
          <w:rFonts w:ascii="Simplified Arabic" w:eastAsia="Calibri" w:hAnsi="Simplified Arabic" w:cs="Simplified Arabic"/>
          <w:b/>
          <w:bCs/>
          <w:kern w:val="2"/>
          <w:sz w:val="28"/>
          <w:szCs w:val="28"/>
          <w:rtl/>
          <w:lang w:bidi="ar-EG"/>
          <w14:ligatures w14:val="standardContextual"/>
        </w:rPr>
        <w:t xml:space="preserve">ثانيًا: نظرية التبادل الاجتماعي </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lang w:bidi="ar-EG"/>
          <w14:ligatures w14:val="standardContextual"/>
        </w:rPr>
        <w:t xml:space="preserve">      </w:t>
      </w:r>
      <w:r w:rsidRPr="007A6368">
        <w:rPr>
          <w:rFonts w:ascii="Simplified Arabic" w:eastAsia="Calibri" w:hAnsi="Simplified Arabic" w:cs="Simplified Arabic"/>
          <w:kern w:val="2"/>
          <w:sz w:val="28"/>
          <w:szCs w:val="28"/>
          <w:rtl/>
          <w:lang w:bidi="ar-EG"/>
          <w14:ligatures w14:val="standardContextual"/>
        </w:rPr>
        <w:t xml:space="preserve">تعد نظرية التبادل الاجتماعي، التي قدمها </w:t>
      </w:r>
      <w:proofErr w:type="spellStart"/>
      <w:r w:rsidRPr="007A6368">
        <w:rPr>
          <w:rFonts w:ascii="Simplified Arabic" w:eastAsia="Calibri" w:hAnsi="Simplified Arabic" w:cs="Simplified Arabic"/>
          <w:kern w:val="2"/>
          <w:sz w:val="28"/>
          <w:szCs w:val="28"/>
          <w:lang w:bidi="ar-EG"/>
          <w14:ligatures w14:val="standardContextual"/>
        </w:rPr>
        <w:t>Blau</w:t>
      </w:r>
      <w:proofErr w:type="spellEnd"/>
      <w:r w:rsidRPr="007A6368">
        <w:rPr>
          <w:rFonts w:ascii="Simplified Arabic" w:eastAsia="Calibri" w:hAnsi="Simplified Arabic" w:cs="Simplified Arabic"/>
          <w:kern w:val="2"/>
          <w:sz w:val="28"/>
          <w:szCs w:val="28"/>
          <w:lang w:bidi="ar-EG"/>
          <w14:ligatures w14:val="standardContextual"/>
        </w:rPr>
        <w:t xml:space="preserve"> (1964)</w:t>
      </w:r>
      <w:r w:rsidRPr="007A6368">
        <w:rPr>
          <w:rFonts w:ascii="Simplified Arabic" w:eastAsia="Calibri" w:hAnsi="Simplified Arabic" w:cs="Simplified Arabic"/>
          <w:kern w:val="2"/>
          <w:sz w:val="28"/>
          <w:szCs w:val="28"/>
          <w:rtl/>
          <w:lang w:bidi="ar-EG"/>
          <w14:ligatures w14:val="standardContextual"/>
        </w:rPr>
        <w:t>، من أكثر النظريات استخدامًا في تفسير العلاقات بين العاملين والمنظمات. وترى النظرية أن العلاقة بين الطرفين تقوم على مبدأ التبادل المتبادل؛ فكلما قدمت المنظمة للعاملين الدعم والتقدير وفرص التطور والعدالة في المعاملة، شعر العاملون بالالتزام تجاه المنظمة، وأصبحوا أكثر رغبة في الاستمرار والعمل بفاعلية لتحقيق أهدافها.</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lang w:bidi="ar-EG"/>
          <w14:ligatures w14:val="standardContextual"/>
        </w:rPr>
        <w:t xml:space="preserve">      </w:t>
      </w:r>
      <w:r w:rsidRPr="007A6368">
        <w:rPr>
          <w:rFonts w:ascii="Simplified Arabic" w:eastAsia="Calibri" w:hAnsi="Simplified Arabic" w:cs="Simplified Arabic"/>
          <w:kern w:val="2"/>
          <w:sz w:val="28"/>
          <w:szCs w:val="28"/>
          <w:rtl/>
          <w:lang w:bidi="ar-EG"/>
          <w14:ligatures w14:val="standardContextual"/>
        </w:rPr>
        <w:t>وفي ضوء هذه النظرية، تمثل ممارسات إدارة المواهب وسيلة لبناء علاقة إيجابية بين المنظمة والعاملين، إذ إن توفير فرص التدريب والتطوير، وتقديم الحوافز المناسبة، والاهتمام بالتقدم الوظيفي، يعزز شعور العاملين بالتقدير والثقة، ويزيد من مستويات الرضا الوظيفي والولاء التنظيمي، مما ينعكس على انخفاض معدلات ترك العمل وارتفاع معدلات الاحتفاظ بالكفاءات البشرية (</w:t>
      </w:r>
      <w:proofErr w:type="spellStart"/>
      <w:r w:rsidRPr="007A6368">
        <w:rPr>
          <w:rFonts w:ascii="Simplified Arabic" w:eastAsia="Calibri" w:hAnsi="Simplified Arabic" w:cs="Simplified Arabic"/>
          <w:kern w:val="2"/>
          <w:sz w:val="28"/>
          <w:szCs w:val="28"/>
          <w:lang w:bidi="ar-EG"/>
          <w14:ligatures w14:val="standardContextual"/>
        </w:rPr>
        <w:t>Barkhuizen</w:t>
      </w:r>
      <w:proofErr w:type="spellEnd"/>
      <w:r w:rsidRPr="007A6368">
        <w:rPr>
          <w:rFonts w:ascii="Simplified Arabic" w:eastAsia="Calibri" w:hAnsi="Simplified Arabic" w:cs="Simplified Arabic"/>
          <w:kern w:val="2"/>
          <w:sz w:val="28"/>
          <w:szCs w:val="28"/>
          <w:lang w:bidi="ar-EG"/>
          <w14:ligatures w14:val="standardContextual"/>
        </w:rPr>
        <w:t xml:space="preserve"> &amp; </w:t>
      </w:r>
      <w:proofErr w:type="spellStart"/>
      <w:r w:rsidRPr="007A6368">
        <w:rPr>
          <w:rFonts w:ascii="Simplified Arabic" w:eastAsia="Calibri" w:hAnsi="Simplified Arabic" w:cs="Simplified Arabic"/>
          <w:kern w:val="2"/>
          <w:sz w:val="28"/>
          <w:szCs w:val="28"/>
          <w:lang w:bidi="ar-EG"/>
          <w14:ligatures w14:val="standardContextual"/>
        </w:rPr>
        <w:t>Masale</w:t>
      </w:r>
      <w:proofErr w:type="spellEnd"/>
      <w:r w:rsidRPr="007A6368">
        <w:rPr>
          <w:rFonts w:ascii="Simplified Arabic" w:eastAsia="Calibri" w:hAnsi="Simplified Arabic" w:cs="Simplified Arabic"/>
          <w:kern w:val="2"/>
          <w:sz w:val="28"/>
          <w:szCs w:val="28"/>
          <w:lang w:bidi="ar-EG"/>
          <w14:ligatures w14:val="standardContextual"/>
        </w:rPr>
        <w:t>, 2022</w:t>
      </w:r>
      <w:r w:rsidRPr="007A6368">
        <w:rPr>
          <w:rFonts w:ascii="Simplified Arabic" w:eastAsia="Calibri" w:hAnsi="Simplified Arabic" w:cs="Simplified Arabic"/>
          <w:kern w:val="2"/>
          <w:sz w:val="28"/>
          <w:szCs w:val="28"/>
          <w:rtl/>
          <w:lang w:bidi="ar-EG"/>
          <w14:ligatures w14:val="standardContextual"/>
        </w:rPr>
        <w:t xml:space="preserve">؛ </w:t>
      </w:r>
      <w:r w:rsidRPr="007A6368">
        <w:rPr>
          <w:rFonts w:ascii="Simplified Arabic" w:eastAsia="Calibri" w:hAnsi="Simplified Arabic" w:cs="Simplified Arabic"/>
          <w:kern w:val="2"/>
          <w:sz w:val="28"/>
          <w:szCs w:val="28"/>
          <w:lang w:bidi="ar-EG"/>
          <w14:ligatures w14:val="standardContextual"/>
        </w:rPr>
        <w:t>Menezes et al., 2025</w:t>
      </w:r>
      <w:r w:rsidRPr="007A6368">
        <w:rPr>
          <w:rFonts w:ascii="Simplified Arabic" w:eastAsia="Calibri" w:hAnsi="Simplified Arabic" w:cs="Simplified Arabic"/>
          <w:kern w:val="2"/>
          <w:sz w:val="28"/>
          <w:szCs w:val="28"/>
          <w:rtl/>
          <w:lang w:bidi="ar-EG"/>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lang w:bidi="ar-EG"/>
          <w14:ligatures w14:val="standardContextual"/>
        </w:rPr>
        <w:t xml:space="preserve">       </w:t>
      </w:r>
      <w:r w:rsidRPr="007A6368">
        <w:rPr>
          <w:rFonts w:ascii="Simplified Arabic" w:eastAsia="Calibri" w:hAnsi="Simplified Arabic" w:cs="Simplified Arabic"/>
          <w:kern w:val="2"/>
          <w:sz w:val="28"/>
          <w:szCs w:val="28"/>
          <w:rtl/>
          <w:lang w:bidi="ar-EG"/>
          <w14:ligatures w14:val="standardContextual"/>
        </w:rPr>
        <w:t xml:space="preserve">وتؤكد العديد من الدراسات الحديثة أن المنظمات التي تطبق ممارسات فعالة لإدارة المواهب تحقق مستويات أعلى من الاحتفاظ بالعاملين، لأن الموظفين يقابلون ما يحصلون عليه من دعم واهتمام بمزيد من الالتزام والاستمرار في العمل، وهو ما يتفق مع نتائج دراسات </w:t>
      </w:r>
      <w:r w:rsidRPr="007A6368">
        <w:rPr>
          <w:rFonts w:ascii="Simplified Arabic" w:eastAsia="Calibri" w:hAnsi="Simplified Arabic" w:cs="Simplified Arabic" w:hint="cs"/>
          <w:kern w:val="2"/>
          <w:sz w:val="28"/>
          <w:szCs w:val="28"/>
          <w:rtl/>
          <w:lang w:bidi="ar-EG"/>
          <w14:ligatures w14:val="standardContextual"/>
        </w:rPr>
        <w:t>(</w:t>
      </w:r>
      <w:r w:rsidRPr="007A6368">
        <w:rPr>
          <w:rFonts w:ascii="Simplified Arabic" w:eastAsia="Calibri" w:hAnsi="Simplified Arabic" w:cs="Simplified Arabic"/>
          <w:kern w:val="2"/>
          <w:sz w:val="28"/>
          <w:szCs w:val="28"/>
          <w:lang w:bidi="ar-EG"/>
          <w14:ligatures w14:val="standardContextual"/>
        </w:rPr>
        <w:t xml:space="preserve">Kumar </w:t>
      </w:r>
      <w:r w:rsidRPr="007A6368">
        <w:rPr>
          <w:rFonts w:ascii="Simplified Arabic" w:eastAsia="Calibri" w:hAnsi="Simplified Arabic" w:cs="Simplified Arabic"/>
          <w:kern w:val="2"/>
          <w:sz w:val="28"/>
          <w:szCs w:val="28"/>
          <w:lang w:bidi="ar-EG"/>
          <w14:ligatures w14:val="standardContextual"/>
        </w:rPr>
        <w:lastRenderedPageBreak/>
        <w:t>(2022</w:t>
      </w:r>
      <w:r w:rsidRPr="007A6368">
        <w:rPr>
          <w:rFonts w:ascii="Simplified Arabic" w:eastAsia="Calibri" w:hAnsi="Simplified Arabic" w:cs="Simplified Arabic"/>
          <w:kern w:val="2"/>
          <w:sz w:val="28"/>
          <w:szCs w:val="28"/>
          <w:rtl/>
          <w:lang w:bidi="ar-EG"/>
          <w14:ligatures w14:val="standardContextual"/>
        </w:rPr>
        <w:t>و</w:t>
      </w:r>
      <w:proofErr w:type="spellStart"/>
      <w:r w:rsidRPr="007A6368">
        <w:rPr>
          <w:rFonts w:ascii="Simplified Arabic" w:eastAsia="Calibri" w:hAnsi="Simplified Arabic" w:cs="Simplified Arabic"/>
          <w:kern w:val="2"/>
          <w:sz w:val="28"/>
          <w:szCs w:val="28"/>
          <w:lang w:bidi="ar-EG"/>
          <w14:ligatures w14:val="standardContextual"/>
        </w:rPr>
        <w:t>Urme</w:t>
      </w:r>
      <w:proofErr w:type="spellEnd"/>
      <w:r w:rsidRPr="007A6368">
        <w:rPr>
          <w:rFonts w:ascii="Simplified Arabic" w:eastAsia="Calibri" w:hAnsi="Simplified Arabic" w:cs="Simplified Arabic"/>
          <w:kern w:val="2"/>
          <w:sz w:val="28"/>
          <w:szCs w:val="28"/>
          <w:lang w:bidi="ar-EG"/>
          <w14:ligatures w14:val="standardContextual"/>
        </w:rPr>
        <w:t xml:space="preserve"> (2023) </w:t>
      </w:r>
      <w:r w:rsidRPr="007A6368">
        <w:rPr>
          <w:rFonts w:ascii="Simplified Arabic" w:eastAsia="Calibri" w:hAnsi="Simplified Arabic" w:cs="Simplified Arabic"/>
          <w:kern w:val="2"/>
          <w:sz w:val="28"/>
          <w:szCs w:val="28"/>
          <w:rtl/>
          <w:lang w:bidi="ar-EG"/>
          <w14:ligatures w14:val="standardContextual"/>
        </w:rPr>
        <w:t>التي أوضحت أن ممارسات إدارة المواهب تؤثر إيجابيًا في الاحتفاظ بالعاملين والحد من دوران العمل.</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lang w:bidi="ar-EG"/>
          <w14:ligatures w14:val="standardContextual"/>
        </w:rPr>
        <w:t xml:space="preserve">        </w:t>
      </w:r>
      <w:r w:rsidRPr="007A6368">
        <w:rPr>
          <w:rFonts w:ascii="Simplified Arabic" w:eastAsia="Calibri" w:hAnsi="Simplified Arabic" w:cs="Simplified Arabic"/>
          <w:kern w:val="2"/>
          <w:sz w:val="28"/>
          <w:szCs w:val="28"/>
          <w:rtl/>
          <w:lang w:bidi="ar-EG"/>
          <w14:ligatures w14:val="standardContextual"/>
        </w:rPr>
        <w:t>وتستند الدراسة الحالية إلى هذه النظرية في تفسير العلاقة بين ممارسات إدارة المواهب والاحتفاظ بالكفاءات البشرية، إذ يُتوقع أن يسهم اهتمام الشركات الصناعية بالمملكة العربية السعودية باستقطاب المواهب، وتطويرها، وتحفيزها في تعزيز التزام العاملين، وزيادة رغبتهم في الاستمرار داخل المنظمة، بما يؤدي إلى ارتفاع مستوى الاحتفاظ بالكفاءات البشرية.</w:t>
      </w:r>
    </w:p>
    <w:p w:rsidR="007A6368" w:rsidRPr="007A6368" w:rsidRDefault="007A6368" w:rsidP="007A6368">
      <w:pPr>
        <w:keepNext/>
        <w:keepLines/>
        <w:bidi/>
        <w:spacing w:before="480" w:after="0" w:line="259" w:lineRule="auto"/>
        <w:jc w:val="both"/>
        <w:outlineLvl w:val="0"/>
        <w:rPr>
          <w:rFonts w:ascii="Calibri Light" w:eastAsia="Times New Roman" w:hAnsi="Calibri Light" w:cs="Simplified Arabic"/>
          <w:b/>
          <w:bCs/>
          <w:kern w:val="2"/>
          <w:sz w:val="32"/>
          <w:szCs w:val="36"/>
          <w:rtl/>
          <w:lang w:bidi="ar-EG"/>
          <w14:ligatures w14:val="standardContextual"/>
        </w:rPr>
      </w:pPr>
      <w:bookmarkStart w:id="31" w:name="_Toc234589734"/>
      <w:bookmarkStart w:id="32" w:name="_Toc234591226"/>
      <w:r w:rsidRPr="007A6368">
        <w:rPr>
          <w:rFonts w:ascii="Calibri Light" w:eastAsia="Times New Roman" w:hAnsi="Calibri Light" w:cs="Simplified Arabic" w:hint="cs"/>
          <w:b/>
          <w:bCs/>
          <w:kern w:val="2"/>
          <w:sz w:val="32"/>
          <w:szCs w:val="36"/>
          <w:rtl/>
          <w:lang w:bidi="ar-EG"/>
          <w14:ligatures w14:val="standardContextual"/>
        </w:rPr>
        <w:t>المبحث الثاني: الدراسات السابقة</w:t>
      </w:r>
      <w:bookmarkEnd w:id="31"/>
      <w:bookmarkEnd w:id="32"/>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 xml:space="preserve">       يعتبر استعراض الدراسات السابقة من الركائز الأساسية في البحث العلمي، حيث يسهم في بناء أساس معرفي متين لموضوع الدراسة، من خلال التعرف على الجهود البحثية التي تناولت موضوع إدارة المواهب والاحتفاظ بالكفاءات البشرية، وتحليل ما توصلت إليه من نتائج، بما يساعد في تحديد موقع الدراسة الحالية ضمن هذا الحقل المعرفي.</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 xml:space="preserve">        وقد شهدت الأدبيات الإدارية في السنوات الأخيرة اهتمامًا متزايدًا بمفهوم إدارة المواهب باعتباره أحد المداخل الاستراتيجية الحديثة في إدارة الموارد البشرية، لما له من دور في استقطاب الكفاءات المتميزة وتنميتها وتحفيزها، بما يسهم في تحقيق الأداء التنظيمي المتميز. كما برزت قضية الاحتفاظ بالكفاءات البشرية كأحد التحديات الرئيسية التي تواجه المنظمات، في ظل المنافسة المتزايدة على الموارد البشرية المؤهلة.</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 xml:space="preserve">       وفي هذا السياق، تناولت العديد من الدراسات العربية والأجنبية موضوع إدارة المواهب من زوايا متعددة، حيث ركزت بعض الدراسات على أثرها في تحقيق التميز المؤسسي أو تعزيز الإبداع، بينما اهتمت دراسات أخرى بتحليل العوامل المؤثرة في الاحتفاظ بالكفاءات، مثل بيئة العمل والرضا الوظيفي. كما سعت بعض الدراسات إلى الربط بين إدارة المواهب والاحتفاظ بالكفاءات، مع إدخال متغيرات وسيطة لتفسير طبيعة العلاقة بينهما.</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 xml:space="preserve">        وانطلاقًا من ذلك، سيتم في هذا الجزء عرض وتحليل مجموعة من الدراسات السابقة العربية والأجنبية ذات الصلة بموضوع الدراسة، وذلك وفق تصنيف موضوعي يشمل: دراسات تناولت إدارة المواهب، وأخرى تناولت الاحتفاظ بالكفاءات، وثالثة ركزت على العلاقة بينهما، مع تقديم تحليل نقدي لكل دراسة، وصولًا إلى تحديد الفجوة البحثية التي تسعى الدراسة الحالية إلى معالجتها.</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p>
    <w:p w:rsidR="007A6368" w:rsidRPr="007A6368" w:rsidRDefault="007A6368" w:rsidP="007A6368">
      <w:pPr>
        <w:keepNext/>
        <w:keepLines/>
        <w:bidi/>
        <w:spacing w:before="480" w:after="0" w:line="259" w:lineRule="auto"/>
        <w:jc w:val="both"/>
        <w:outlineLvl w:val="0"/>
        <w:rPr>
          <w:rFonts w:ascii="Calibri Light" w:eastAsia="Times New Roman" w:hAnsi="Calibri Light" w:cs="Simplified Arabic"/>
          <w:b/>
          <w:bCs/>
          <w:kern w:val="2"/>
          <w:sz w:val="28"/>
          <w:szCs w:val="32"/>
          <w:rtl/>
          <w:lang w:bidi="ar-EG"/>
          <w14:ligatures w14:val="standardContextual"/>
        </w:rPr>
      </w:pPr>
      <w:bookmarkStart w:id="33" w:name="_Toc234589735"/>
      <w:bookmarkStart w:id="34" w:name="_Toc234591227"/>
      <w:r w:rsidRPr="007A6368">
        <w:rPr>
          <w:rFonts w:ascii="Calibri Light" w:eastAsia="Times New Roman" w:hAnsi="Calibri Light" w:cs="Simplified Arabic"/>
          <w:b/>
          <w:bCs/>
          <w:kern w:val="2"/>
          <w:sz w:val="28"/>
          <w:szCs w:val="32"/>
          <w:rtl/>
          <w:lang w:bidi="ar-EG"/>
          <w14:ligatures w14:val="standardContextual"/>
        </w:rPr>
        <w:t>أولًا: دراسات تناولت إدارة المواهب</w:t>
      </w:r>
      <w:bookmarkEnd w:id="33"/>
      <w:bookmarkEnd w:id="34"/>
    </w:p>
    <w:p w:rsidR="007A6368" w:rsidRPr="007A6368" w:rsidRDefault="007A6368" w:rsidP="007A6368">
      <w:pPr>
        <w:numPr>
          <w:ilvl w:val="0"/>
          <w:numId w:val="7"/>
        </w:numPr>
        <w:bidi/>
        <w:spacing w:after="160" w:line="240" w:lineRule="auto"/>
        <w:contextualSpacing/>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دراسة (الدليمي والزعبي، 2022)</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hint="cs"/>
          <w:kern w:val="2"/>
          <w:sz w:val="28"/>
          <w:szCs w:val="28"/>
          <w:rtl/>
          <w:lang w:bidi="ar-EG"/>
          <w14:ligatures w14:val="standardContextual"/>
        </w:rPr>
        <w:t xml:space="preserve">     </w:t>
      </w:r>
      <w:r w:rsidRPr="007A6368">
        <w:rPr>
          <w:rFonts w:ascii="Simplified Arabic" w:eastAsia="Calibri" w:hAnsi="Simplified Arabic" w:cs="Simplified Arabic"/>
          <w:kern w:val="2"/>
          <w:sz w:val="28"/>
          <w:szCs w:val="28"/>
          <w:rtl/>
          <w:lang w:bidi="ar-EG"/>
          <w14:ligatures w14:val="standardContextual"/>
        </w:rPr>
        <w:t>هدفت الدراسة إلى تحليل أثر استراتيجيات إدارة المواهب في تنمية الإبداع لدى موظفي شركة أورانج للاتصالات في الأردن، واعتمدت على المنهج الكمي باستخدام الاستبيان على عينة من الموظفين. وتوصلت الدراسة إلى وجود أثر إيجابي ذو دلالة إحصائية لإدارة المواهب على تعزيز الإبداع التنظيمي</w:t>
      </w:r>
      <w:r w:rsidRPr="007A6368">
        <w:rPr>
          <w:rFonts w:ascii="Simplified Arabic" w:eastAsia="Calibri" w:hAnsi="Simplified Arabic" w:cs="Simplified Arabic" w:hint="cs"/>
          <w:kern w:val="2"/>
          <w:sz w:val="28"/>
          <w:szCs w:val="28"/>
          <w:rtl/>
          <w:lang w:bidi="ar-EG"/>
          <w14:ligatures w14:val="standardContextual"/>
        </w:rPr>
        <w:t xml:space="preserve">، </w:t>
      </w:r>
      <w:r w:rsidRPr="007A6368">
        <w:rPr>
          <w:rFonts w:ascii="Simplified Arabic" w:eastAsia="Calibri" w:hAnsi="Simplified Arabic" w:cs="Simplified Arabic"/>
          <w:kern w:val="2"/>
          <w:sz w:val="28"/>
          <w:szCs w:val="28"/>
          <w:rtl/>
          <w:lang w:bidi="ar-EG"/>
          <w14:ligatures w14:val="standardContextual"/>
        </w:rPr>
        <w:t>ورغم قوة النتائج، إلا أن الدراسة ركزت على متغير الإبداع دون التطرق إلى الاحتفاظ بالكفاءات، وهو ما يمثل جانبًا مهمًا تسعى الدراسة الحالية إلى معالجته من خلال الربط بين إدارة المواهب واستقرار الكفاءات البشرية.</w:t>
      </w:r>
    </w:p>
    <w:p w:rsidR="007A6368" w:rsidRPr="007A6368" w:rsidRDefault="007A6368" w:rsidP="007A6368">
      <w:pPr>
        <w:numPr>
          <w:ilvl w:val="0"/>
          <w:numId w:val="7"/>
        </w:numPr>
        <w:bidi/>
        <w:spacing w:after="160" w:line="240" w:lineRule="auto"/>
        <w:contextualSpacing/>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دراسة (السليحات والصوالحة، 2022)</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hint="cs"/>
          <w:kern w:val="2"/>
          <w:sz w:val="28"/>
          <w:szCs w:val="28"/>
          <w:rtl/>
          <w:lang w:bidi="ar-EG"/>
          <w14:ligatures w14:val="standardContextual"/>
        </w:rPr>
        <w:t xml:space="preserve">        </w:t>
      </w:r>
      <w:r w:rsidRPr="007A6368">
        <w:rPr>
          <w:rFonts w:ascii="Simplified Arabic" w:eastAsia="Calibri" w:hAnsi="Simplified Arabic" w:cs="Simplified Arabic"/>
          <w:kern w:val="2"/>
          <w:sz w:val="28"/>
          <w:szCs w:val="28"/>
          <w:rtl/>
          <w:lang w:bidi="ar-EG"/>
          <w14:ligatures w14:val="standardContextual"/>
        </w:rPr>
        <w:t>استهدفت هذه الدراسة التعرف على أثر إدارة المواهب في تحقيق التميز المنظمي في المستشفيات الخاصة في عمان، مع اختبار الدور الوسيط للتوجه الابتكاري، وذلك باستخدام المنهج الكمي. وأظهرت النتائج وجود علاقة إيجابية بين إدارة المواهب والتميز المنظمي، إلا أن الدراسة ركزت على التميز المؤسسي كمتغير تابع، ولم تبحث في الاحتفاظ بالكفاءات، مما يبرز فجوة بحثية تتعلق بمدى تأثير هذه الممارسات على بقاء الموظفين داخل المنظمة.</w:t>
      </w:r>
    </w:p>
    <w:p w:rsidR="007A6368" w:rsidRPr="007A6368" w:rsidRDefault="007A6368" w:rsidP="007A6368">
      <w:pPr>
        <w:numPr>
          <w:ilvl w:val="0"/>
          <w:numId w:val="7"/>
        </w:numPr>
        <w:bidi/>
        <w:spacing w:after="160" w:line="240" w:lineRule="auto"/>
        <w:contextualSpacing/>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دراسة (سليخ، 2021)</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hint="cs"/>
          <w:kern w:val="2"/>
          <w:sz w:val="28"/>
          <w:szCs w:val="28"/>
          <w:rtl/>
          <w:lang w:bidi="ar-EG"/>
          <w14:ligatures w14:val="standardContextual"/>
        </w:rPr>
        <w:t xml:space="preserve">      </w:t>
      </w:r>
      <w:r w:rsidRPr="007A6368">
        <w:rPr>
          <w:rFonts w:ascii="Simplified Arabic" w:eastAsia="Calibri" w:hAnsi="Simplified Arabic" w:cs="Simplified Arabic"/>
          <w:kern w:val="2"/>
          <w:sz w:val="28"/>
          <w:szCs w:val="28"/>
          <w:rtl/>
          <w:lang w:bidi="ar-EG"/>
          <w14:ligatures w14:val="standardContextual"/>
        </w:rPr>
        <w:t>هدفت الدراسة إلى قياس أثر إدارة المواهب على التعلم والنمو والعمليات الداخلية في مؤسسة صناعية، باستخدام استبيان كأداة رئيسية. وأكدت النتائج أن إدارة المواهب تسهم بشكل فعال في تحسين الأداء الداخلي، ورغم أهمية السياق الصناعي المشابه للدراسة الحالية، إلا أن الدراسة لم تتناول مسألة الاحتفاظ بالكفاءات البشرية، مما يدعم الحاجة لدراسة العلاقة بين المتغيرين معًا.</w:t>
      </w:r>
    </w:p>
    <w:p w:rsidR="007A6368" w:rsidRPr="007A6368" w:rsidRDefault="007A6368" w:rsidP="007A6368">
      <w:pPr>
        <w:numPr>
          <w:ilvl w:val="0"/>
          <w:numId w:val="7"/>
        </w:numPr>
        <w:bidi/>
        <w:spacing w:after="160" w:line="240" w:lineRule="auto"/>
        <w:contextualSpacing/>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دراسة (الشهري، 2022)</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hint="cs"/>
          <w:kern w:val="2"/>
          <w:sz w:val="28"/>
          <w:szCs w:val="28"/>
          <w:rtl/>
          <w:lang w:bidi="ar-EG"/>
          <w14:ligatures w14:val="standardContextual"/>
        </w:rPr>
        <w:t xml:space="preserve">      </w:t>
      </w:r>
      <w:r w:rsidRPr="007A6368">
        <w:rPr>
          <w:rFonts w:ascii="Simplified Arabic" w:eastAsia="Calibri" w:hAnsi="Simplified Arabic" w:cs="Simplified Arabic"/>
          <w:kern w:val="2"/>
          <w:sz w:val="28"/>
          <w:szCs w:val="28"/>
          <w:rtl/>
          <w:lang w:bidi="ar-EG"/>
          <w14:ligatures w14:val="standardContextual"/>
        </w:rPr>
        <w:t xml:space="preserve">تناولت الدراسة دور إدارة المواهب في تعزيز الأداء الإبداعي في وزارة الخارجية بجدة، باستخدام المنهج الوصفي التحليلي. وأظهرت النتائج وجود تأثير إيجابي لإدارة المواهب على الأداء الإبداعي، إلا أن تركيز الدراسة على القطاع الحكومي وعلى متغير الإبداع يحد من تعميم نتائجها </w:t>
      </w:r>
      <w:r w:rsidRPr="007A6368">
        <w:rPr>
          <w:rFonts w:ascii="Simplified Arabic" w:eastAsia="Calibri" w:hAnsi="Simplified Arabic" w:cs="Simplified Arabic"/>
          <w:kern w:val="2"/>
          <w:sz w:val="28"/>
          <w:szCs w:val="28"/>
          <w:rtl/>
          <w:lang w:bidi="ar-EG"/>
          <w14:ligatures w14:val="standardContextual"/>
        </w:rPr>
        <w:lastRenderedPageBreak/>
        <w:t>على القطاع الصناعي أو على موضوع الاحتفاظ بالكفاءات، وهو ما تسعى الدراسة الحالية إلى معالجته.</w:t>
      </w:r>
    </w:p>
    <w:p w:rsidR="007A6368" w:rsidRPr="007A6368" w:rsidRDefault="007A6368" w:rsidP="007A6368">
      <w:pPr>
        <w:numPr>
          <w:ilvl w:val="0"/>
          <w:numId w:val="7"/>
        </w:numPr>
        <w:bidi/>
        <w:spacing w:after="160" w:line="240" w:lineRule="auto"/>
        <w:contextualSpacing/>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دراسة (</w:t>
      </w:r>
      <w:proofErr w:type="spellStart"/>
      <w:r w:rsidRPr="007A6368">
        <w:rPr>
          <w:rFonts w:ascii="Simplified Arabic" w:eastAsia="Calibri" w:hAnsi="Simplified Arabic" w:cs="Simplified Arabic"/>
          <w:kern w:val="2"/>
          <w:sz w:val="28"/>
          <w:szCs w:val="28"/>
          <w:lang w:bidi="ar-EG"/>
          <w14:ligatures w14:val="standardContextual"/>
        </w:rPr>
        <w:t>Yildiz</w:t>
      </w:r>
      <w:proofErr w:type="spellEnd"/>
      <w:r w:rsidRPr="007A6368">
        <w:rPr>
          <w:rFonts w:ascii="Simplified Arabic" w:eastAsia="Calibri" w:hAnsi="Simplified Arabic" w:cs="Simplified Arabic"/>
          <w:kern w:val="2"/>
          <w:sz w:val="28"/>
          <w:szCs w:val="28"/>
          <w:lang w:bidi="ar-EG"/>
          <w14:ligatures w14:val="standardContextual"/>
        </w:rPr>
        <w:t xml:space="preserve"> &amp; </w:t>
      </w:r>
      <w:proofErr w:type="spellStart"/>
      <w:r w:rsidRPr="007A6368">
        <w:rPr>
          <w:rFonts w:ascii="Simplified Arabic" w:eastAsia="Calibri" w:hAnsi="Simplified Arabic" w:cs="Simplified Arabic"/>
          <w:kern w:val="2"/>
          <w:sz w:val="28"/>
          <w:szCs w:val="28"/>
          <w:lang w:bidi="ar-EG"/>
          <w14:ligatures w14:val="standardContextual"/>
        </w:rPr>
        <w:t>Esmer</w:t>
      </w:r>
      <w:proofErr w:type="spellEnd"/>
      <w:r w:rsidRPr="007A6368">
        <w:rPr>
          <w:rFonts w:ascii="Simplified Arabic" w:eastAsia="Calibri" w:hAnsi="Simplified Arabic" w:cs="Simplified Arabic"/>
          <w:kern w:val="2"/>
          <w:sz w:val="28"/>
          <w:szCs w:val="28"/>
          <w:lang w:bidi="ar-EG"/>
          <w14:ligatures w14:val="standardContextual"/>
        </w:rPr>
        <w:t>, 2023</w:t>
      </w:r>
      <w:r w:rsidRPr="007A6368">
        <w:rPr>
          <w:rFonts w:ascii="Simplified Arabic" w:eastAsia="Calibri" w:hAnsi="Simplified Arabic" w:cs="Simplified Arabic"/>
          <w:kern w:val="2"/>
          <w:sz w:val="28"/>
          <w:szCs w:val="28"/>
          <w:rtl/>
          <w:lang w:bidi="ar-EG"/>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hint="cs"/>
          <w:kern w:val="2"/>
          <w:sz w:val="28"/>
          <w:szCs w:val="28"/>
          <w:rtl/>
          <w:lang w:bidi="ar-EG"/>
          <w14:ligatures w14:val="standardContextual"/>
        </w:rPr>
        <w:t xml:space="preserve">      </w:t>
      </w:r>
      <w:r w:rsidRPr="007A6368">
        <w:rPr>
          <w:rFonts w:ascii="Simplified Arabic" w:eastAsia="Calibri" w:hAnsi="Simplified Arabic" w:cs="Simplified Arabic"/>
          <w:kern w:val="2"/>
          <w:sz w:val="28"/>
          <w:szCs w:val="28"/>
          <w:rtl/>
          <w:lang w:bidi="ar-EG"/>
          <w14:ligatures w14:val="standardContextual"/>
        </w:rPr>
        <w:t>هدفت الدراسة إلى تقديم مراجعة منهجية لاستراتيجيات ووظائف إدارة المواهب، من خلال تحليل عدد كبير من الدراسات السابقة. واعتمدت على المنهج التحليلي القائم على المراجعة الأدبية. وتوصلت إلى أن إدارة المواهب تمثل إطارًا استراتيجيًا متكاملًا يشمل الاستقطاب، التطوير، والاحتفاظ بالموظفين، ورغم شمولية الدراسة، إلا أنها ذات طبيعة نظرية ولم تقدم تحليلًا ميدانيًا تطبيقيًا، مما يبرز الحاجة إلى دراسات تطبيقية مثل الدراسة الحالية.</w:t>
      </w:r>
    </w:p>
    <w:p w:rsidR="007A6368" w:rsidRPr="007A6368" w:rsidRDefault="007A6368" w:rsidP="007A6368">
      <w:pPr>
        <w:numPr>
          <w:ilvl w:val="0"/>
          <w:numId w:val="7"/>
        </w:numPr>
        <w:bidi/>
        <w:spacing w:after="160" w:line="240" w:lineRule="auto"/>
        <w:contextualSpacing/>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دراسة (</w:t>
      </w:r>
      <w:r w:rsidRPr="007A6368">
        <w:rPr>
          <w:rFonts w:ascii="Simplified Arabic" w:eastAsia="Calibri" w:hAnsi="Simplified Arabic" w:cs="Simplified Arabic"/>
          <w:kern w:val="2"/>
          <w:sz w:val="28"/>
          <w:szCs w:val="28"/>
          <w:lang w:bidi="ar-EG"/>
          <w14:ligatures w14:val="standardContextual"/>
        </w:rPr>
        <w:t>Groenewald et al., 2024</w:t>
      </w:r>
      <w:r w:rsidRPr="007A6368">
        <w:rPr>
          <w:rFonts w:ascii="Simplified Arabic" w:eastAsia="Calibri" w:hAnsi="Simplified Arabic" w:cs="Simplified Arabic"/>
          <w:kern w:val="2"/>
          <w:sz w:val="28"/>
          <w:szCs w:val="28"/>
          <w:rtl/>
          <w:lang w:bidi="ar-EG"/>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hint="cs"/>
          <w:kern w:val="2"/>
          <w:sz w:val="28"/>
          <w:szCs w:val="28"/>
          <w:rtl/>
          <w:lang w:bidi="ar-EG"/>
          <w14:ligatures w14:val="standardContextual"/>
        </w:rPr>
        <w:t xml:space="preserve">       </w:t>
      </w:r>
      <w:r w:rsidRPr="007A6368">
        <w:rPr>
          <w:rFonts w:ascii="Simplified Arabic" w:eastAsia="Calibri" w:hAnsi="Simplified Arabic" w:cs="Simplified Arabic"/>
          <w:kern w:val="2"/>
          <w:sz w:val="28"/>
          <w:szCs w:val="28"/>
          <w:rtl/>
          <w:lang w:bidi="ar-EG"/>
          <w14:ligatures w14:val="standardContextual"/>
        </w:rPr>
        <w:t>استهدفت هذه الدراسة تحليل تطور إدارة المواهب في القرن الحادي والعشرين، مع التركيز على الابتكار في الممارسات التنظيمية، باستخدام منهج مراجعة شاملة. وأكدت النتائج أن إدارة المواهب أصبحت عنصرًا أساسيًا في تحقيق الاستدامة التنظيمية، إلا أن الدراسة ركزت على الاتجاهات العامة ولم تختبر العلاقة بين إدارة المواهب والاحتفاظ بالكفاءات بشكل مباشر، وهو ما تعالجه الدراسة الحالية.</w:t>
      </w:r>
    </w:p>
    <w:p w:rsidR="007A6368" w:rsidRPr="007A6368" w:rsidRDefault="007A6368" w:rsidP="007A6368">
      <w:pPr>
        <w:keepNext/>
        <w:keepLines/>
        <w:bidi/>
        <w:spacing w:before="480" w:after="0" w:line="259" w:lineRule="auto"/>
        <w:jc w:val="both"/>
        <w:outlineLvl w:val="0"/>
        <w:rPr>
          <w:rFonts w:ascii="Calibri Light" w:eastAsia="Times New Roman" w:hAnsi="Calibri Light" w:cs="Simplified Arabic"/>
          <w:b/>
          <w:bCs/>
          <w:kern w:val="2"/>
          <w:sz w:val="28"/>
          <w:szCs w:val="32"/>
          <w:rtl/>
          <w:lang w:bidi="ar-EG"/>
          <w14:ligatures w14:val="standardContextual"/>
        </w:rPr>
      </w:pPr>
      <w:bookmarkStart w:id="35" w:name="_Toc234589736"/>
      <w:bookmarkStart w:id="36" w:name="_Toc234591228"/>
      <w:r w:rsidRPr="007A6368">
        <w:rPr>
          <w:rFonts w:ascii="Calibri Light" w:eastAsia="Times New Roman" w:hAnsi="Calibri Light" w:cs="Simplified Arabic"/>
          <w:b/>
          <w:bCs/>
          <w:kern w:val="2"/>
          <w:sz w:val="28"/>
          <w:szCs w:val="32"/>
          <w:rtl/>
          <w:lang w:bidi="ar-EG"/>
          <w14:ligatures w14:val="standardContextual"/>
        </w:rPr>
        <w:t>ثانيًا: راسات تناولت الاحتفاظ بالكفاءات</w:t>
      </w:r>
      <w:bookmarkEnd w:id="35"/>
      <w:bookmarkEnd w:id="36"/>
    </w:p>
    <w:p w:rsidR="007A6368" w:rsidRPr="007A6368" w:rsidRDefault="007A6368" w:rsidP="007A6368">
      <w:pPr>
        <w:numPr>
          <w:ilvl w:val="0"/>
          <w:numId w:val="7"/>
        </w:numPr>
        <w:bidi/>
        <w:spacing w:after="160" w:line="240" w:lineRule="auto"/>
        <w:contextualSpacing/>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دراسة (الحمزة، 2023)</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hint="cs"/>
          <w:kern w:val="2"/>
          <w:sz w:val="28"/>
          <w:szCs w:val="28"/>
          <w:rtl/>
          <w:lang w:bidi="ar-EG"/>
          <w14:ligatures w14:val="standardContextual"/>
        </w:rPr>
        <w:t xml:space="preserve">     </w:t>
      </w:r>
      <w:r w:rsidRPr="007A6368">
        <w:rPr>
          <w:rFonts w:ascii="Simplified Arabic" w:eastAsia="Calibri" w:hAnsi="Simplified Arabic" w:cs="Simplified Arabic"/>
          <w:kern w:val="2"/>
          <w:sz w:val="28"/>
          <w:szCs w:val="28"/>
          <w:rtl/>
          <w:lang w:bidi="ar-EG"/>
          <w14:ligatures w14:val="standardContextual"/>
        </w:rPr>
        <w:t>هدفت الدراسة إلى تحليل دور بيئة العمل الداخلية في الاحتفاظ بالكفاءات الصحية، باستخدام استبيان على عينة من العاملين في مستشفى. وأظهرت النتائج وجود تأثير إيجابي لبيئة العمل على الاحتفاظ بالكفاءات، ورغم أهمية النتائج، إلا أن الدراسة ركزت على بيئة العمل فقط دون دمجها مع ممارسات إدارة المواهب، مما يشير إلى فجوة في فهم العوامل الاستراتيجية الأشمل المؤثرة في الاحتفاظ بالكفاءات.</w:t>
      </w:r>
    </w:p>
    <w:p w:rsidR="007A6368" w:rsidRPr="007A6368" w:rsidRDefault="007A6368" w:rsidP="007A6368">
      <w:pPr>
        <w:numPr>
          <w:ilvl w:val="0"/>
          <w:numId w:val="7"/>
        </w:numPr>
        <w:bidi/>
        <w:spacing w:after="160" w:line="240" w:lineRule="auto"/>
        <w:contextualSpacing/>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دراسة (الرويلي، 2019)</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hint="cs"/>
          <w:kern w:val="2"/>
          <w:sz w:val="28"/>
          <w:szCs w:val="28"/>
          <w:rtl/>
          <w:lang w:bidi="ar-EG"/>
          <w14:ligatures w14:val="standardContextual"/>
        </w:rPr>
        <w:t xml:space="preserve">      </w:t>
      </w:r>
      <w:r w:rsidRPr="007A6368">
        <w:rPr>
          <w:rFonts w:ascii="Simplified Arabic" w:eastAsia="Calibri" w:hAnsi="Simplified Arabic" w:cs="Simplified Arabic"/>
          <w:kern w:val="2"/>
          <w:sz w:val="28"/>
          <w:szCs w:val="28"/>
          <w:rtl/>
          <w:lang w:bidi="ar-EG"/>
          <w14:ligatures w14:val="standardContextual"/>
        </w:rPr>
        <w:t xml:space="preserve">استهدفت الدراسة التعرف على أثر بيئة العمل الداخلية على الاحتفاظ بالكفاءات في مستشفى طريف العام، باستخدام المنهج الكمي. وأكدت النتائج وجود علاقة إيجابية بين بيئة العمل والاحتفاظ </w:t>
      </w:r>
      <w:r w:rsidRPr="007A6368">
        <w:rPr>
          <w:rFonts w:ascii="Simplified Arabic" w:eastAsia="Calibri" w:hAnsi="Simplified Arabic" w:cs="Simplified Arabic"/>
          <w:kern w:val="2"/>
          <w:sz w:val="28"/>
          <w:szCs w:val="28"/>
          <w:rtl/>
          <w:lang w:bidi="ar-EG"/>
          <w14:ligatures w14:val="standardContextual"/>
        </w:rPr>
        <w:lastRenderedPageBreak/>
        <w:t>بالكفاءات، إلا أن الدراسة اقتصرت على قطاع صحي ومؤسسة واحدة، مما يقلل من إمكانية تعميم النتائج، ويبرز الحاجة لدراسة أوسع في قطاعات مختلفة مثل القطاع الصناعي.</w:t>
      </w:r>
    </w:p>
    <w:p w:rsidR="007A6368" w:rsidRPr="007A6368" w:rsidRDefault="007A6368" w:rsidP="007A6368">
      <w:pPr>
        <w:numPr>
          <w:ilvl w:val="0"/>
          <w:numId w:val="7"/>
        </w:numPr>
        <w:bidi/>
        <w:spacing w:after="160" w:line="240" w:lineRule="auto"/>
        <w:contextualSpacing/>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دراسة (</w:t>
      </w:r>
      <w:proofErr w:type="spellStart"/>
      <w:r w:rsidRPr="007A6368">
        <w:rPr>
          <w:rFonts w:ascii="Simplified Arabic" w:eastAsia="Calibri" w:hAnsi="Simplified Arabic" w:cs="Simplified Arabic"/>
          <w:kern w:val="2"/>
          <w:sz w:val="28"/>
          <w:szCs w:val="28"/>
          <w:lang w:bidi="ar-EG"/>
          <w14:ligatures w14:val="standardContextual"/>
        </w:rPr>
        <w:t>Karuppiah</w:t>
      </w:r>
      <w:proofErr w:type="spellEnd"/>
      <w:r w:rsidRPr="007A6368">
        <w:rPr>
          <w:rFonts w:ascii="Simplified Arabic" w:eastAsia="Calibri" w:hAnsi="Simplified Arabic" w:cs="Simplified Arabic"/>
          <w:kern w:val="2"/>
          <w:sz w:val="28"/>
          <w:szCs w:val="28"/>
          <w:lang w:bidi="ar-EG"/>
          <w14:ligatures w14:val="standardContextual"/>
        </w:rPr>
        <w:t xml:space="preserve"> et al., 2025</w:t>
      </w:r>
      <w:r w:rsidRPr="007A6368">
        <w:rPr>
          <w:rFonts w:ascii="Simplified Arabic" w:eastAsia="Calibri" w:hAnsi="Simplified Arabic" w:cs="Simplified Arabic"/>
          <w:kern w:val="2"/>
          <w:sz w:val="28"/>
          <w:szCs w:val="28"/>
          <w:rtl/>
          <w:lang w:bidi="ar-EG"/>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hint="cs"/>
          <w:kern w:val="2"/>
          <w:sz w:val="28"/>
          <w:szCs w:val="28"/>
          <w:rtl/>
          <w:lang w:bidi="ar-EG"/>
          <w14:ligatures w14:val="standardContextual"/>
        </w:rPr>
        <w:t xml:space="preserve">      </w:t>
      </w:r>
      <w:r w:rsidRPr="007A6368">
        <w:rPr>
          <w:rFonts w:ascii="Simplified Arabic" w:eastAsia="Calibri" w:hAnsi="Simplified Arabic" w:cs="Simplified Arabic"/>
          <w:kern w:val="2"/>
          <w:sz w:val="28"/>
          <w:szCs w:val="28"/>
          <w:rtl/>
          <w:lang w:bidi="ar-EG"/>
          <w14:ligatures w14:val="standardContextual"/>
        </w:rPr>
        <w:t>هدفت الدراسة إلى استخدام نماذج تحليلية تنبؤية لفهم سلوك الاحتفاظ بالموظفين، من خلال تطبيق تقنيات الذكاء الاصطناعي على بيانات القوى العاملة. وأظهرت النتائج أن التحليل التنبؤي يمكن أن يسهم في تقليل معدلات دوران العمل، ورغم تطور المنهج المستخدم، إلا أن الدراسة ركزت على الأدوات التقنية دون التعمق في دور ممارسات إدارة المواهب، مما يمثل فجوة تعالجها الدراسة الحالية.</w:t>
      </w:r>
    </w:p>
    <w:p w:rsidR="007A6368" w:rsidRPr="007A6368" w:rsidRDefault="007A6368" w:rsidP="007A6368">
      <w:pPr>
        <w:numPr>
          <w:ilvl w:val="0"/>
          <w:numId w:val="7"/>
        </w:numPr>
        <w:bidi/>
        <w:spacing w:after="160" w:line="240" w:lineRule="auto"/>
        <w:contextualSpacing/>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دراسة (</w:t>
      </w:r>
      <w:proofErr w:type="spellStart"/>
      <w:r w:rsidRPr="007A6368">
        <w:rPr>
          <w:rFonts w:ascii="Simplified Arabic" w:eastAsia="Calibri" w:hAnsi="Simplified Arabic" w:cs="Simplified Arabic"/>
          <w:kern w:val="2"/>
          <w:sz w:val="28"/>
          <w:szCs w:val="28"/>
          <w:lang w:bidi="ar-EG"/>
          <w14:ligatures w14:val="standardContextual"/>
        </w:rPr>
        <w:t>Porkodi</w:t>
      </w:r>
      <w:proofErr w:type="spellEnd"/>
      <w:r w:rsidRPr="007A6368">
        <w:rPr>
          <w:rFonts w:ascii="Simplified Arabic" w:eastAsia="Calibri" w:hAnsi="Simplified Arabic" w:cs="Simplified Arabic"/>
          <w:kern w:val="2"/>
          <w:sz w:val="28"/>
          <w:szCs w:val="28"/>
          <w:lang w:bidi="ar-EG"/>
          <w14:ligatures w14:val="standardContextual"/>
        </w:rPr>
        <w:t xml:space="preserve"> et al., 2025</w:t>
      </w:r>
      <w:r w:rsidRPr="007A6368">
        <w:rPr>
          <w:rFonts w:ascii="Simplified Arabic" w:eastAsia="Calibri" w:hAnsi="Simplified Arabic" w:cs="Simplified Arabic"/>
          <w:kern w:val="2"/>
          <w:sz w:val="28"/>
          <w:szCs w:val="28"/>
          <w:rtl/>
          <w:lang w:bidi="ar-EG"/>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hint="cs"/>
          <w:kern w:val="2"/>
          <w:sz w:val="28"/>
          <w:szCs w:val="28"/>
          <w:rtl/>
          <w:lang w:bidi="ar-EG"/>
          <w14:ligatures w14:val="standardContextual"/>
        </w:rPr>
        <w:t xml:space="preserve">        </w:t>
      </w:r>
      <w:r w:rsidRPr="007A6368">
        <w:rPr>
          <w:rFonts w:ascii="Simplified Arabic" w:eastAsia="Calibri" w:hAnsi="Simplified Arabic" w:cs="Simplified Arabic"/>
          <w:kern w:val="2"/>
          <w:sz w:val="28"/>
          <w:szCs w:val="28"/>
          <w:rtl/>
          <w:lang w:bidi="ar-EG"/>
          <w14:ligatures w14:val="standardContextual"/>
        </w:rPr>
        <w:t>استهدفت تحليل استراتيجيات الاحتفاظ بالمواهب من خلال تحليل تلوي (</w:t>
      </w:r>
      <w:r w:rsidRPr="007A6368">
        <w:rPr>
          <w:rFonts w:ascii="Simplified Arabic" w:eastAsia="Calibri" w:hAnsi="Simplified Arabic" w:cs="Simplified Arabic"/>
          <w:kern w:val="2"/>
          <w:sz w:val="28"/>
          <w:szCs w:val="28"/>
          <w:lang w:bidi="ar-EG"/>
          <w14:ligatures w14:val="standardContextual"/>
        </w:rPr>
        <w:t>Meta-analysis</w:t>
      </w:r>
      <w:r w:rsidRPr="007A6368">
        <w:rPr>
          <w:rFonts w:ascii="Simplified Arabic" w:eastAsia="Calibri" w:hAnsi="Simplified Arabic" w:cs="Simplified Arabic"/>
          <w:kern w:val="2"/>
          <w:sz w:val="28"/>
          <w:szCs w:val="28"/>
          <w:rtl/>
          <w:lang w:bidi="ar-EG"/>
          <w14:ligatures w14:val="standardContextual"/>
        </w:rPr>
        <w:t>)، وخلصت إلى أن بيئة العمل والتحفيز والتطوير الوظيفي من أهم العوامل المؤثرة في الاحتفاظ بالكفاءات، إلا أن الدراسة اعتمدت على تجميع نتائج دراسات سابقة دون اختبارها ميدانيًا في سياق محدد، مما يبرز أهمية الدراسات التطبيقية مثل البحث الحالي.</w:t>
      </w:r>
    </w:p>
    <w:p w:rsidR="007A6368" w:rsidRPr="007A6368" w:rsidRDefault="007A6368" w:rsidP="007A6368">
      <w:pPr>
        <w:keepNext/>
        <w:keepLines/>
        <w:bidi/>
        <w:spacing w:before="480" w:after="0" w:line="259" w:lineRule="auto"/>
        <w:jc w:val="both"/>
        <w:outlineLvl w:val="0"/>
        <w:rPr>
          <w:rFonts w:ascii="Calibri Light" w:eastAsia="Times New Roman" w:hAnsi="Calibri Light" w:cs="Simplified Arabic"/>
          <w:b/>
          <w:bCs/>
          <w:kern w:val="2"/>
          <w:sz w:val="28"/>
          <w:szCs w:val="32"/>
          <w:rtl/>
          <w:lang w:bidi="ar-EG"/>
          <w14:ligatures w14:val="standardContextual"/>
        </w:rPr>
      </w:pPr>
      <w:bookmarkStart w:id="37" w:name="_Toc234589737"/>
      <w:bookmarkStart w:id="38" w:name="_Toc234591229"/>
      <w:r w:rsidRPr="007A6368">
        <w:rPr>
          <w:rFonts w:ascii="Calibri Light" w:eastAsia="Times New Roman" w:hAnsi="Calibri Light" w:cs="Simplified Arabic"/>
          <w:b/>
          <w:bCs/>
          <w:kern w:val="2"/>
          <w:sz w:val="28"/>
          <w:szCs w:val="32"/>
          <w:rtl/>
          <w:lang w:bidi="ar-EG"/>
          <w14:ligatures w14:val="standardContextual"/>
        </w:rPr>
        <w:t>ثالثًا: دراسات تناولت العلاقة بين إدارة المواهب والاحتفاظ بالكفاءات</w:t>
      </w:r>
      <w:bookmarkEnd w:id="37"/>
      <w:bookmarkEnd w:id="38"/>
    </w:p>
    <w:p w:rsidR="007A6368" w:rsidRPr="007A6368" w:rsidRDefault="007A6368" w:rsidP="007A6368">
      <w:pPr>
        <w:numPr>
          <w:ilvl w:val="0"/>
          <w:numId w:val="7"/>
        </w:numPr>
        <w:bidi/>
        <w:spacing w:after="160" w:line="240" w:lineRule="auto"/>
        <w:contextualSpacing/>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دراسة (العتوم وعبابنة، 2023)</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hint="cs"/>
          <w:kern w:val="2"/>
          <w:sz w:val="28"/>
          <w:szCs w:val="28"/>
          <w:rtl/>
          <w:lang w:bidi="ar-EG"/>
          <w14:ligatures w14:val="standardContextual"/>
        </w:rPr>
        <w:t xml:space="preserve">       </w:t>
      </w:r>
      <w:r w:rsidRPr="007A6368">
        <w:rPr>
          <w:rFonts w:ascii="Simplified Arabic" w:eastAsia="Calibri" w:hAnsi="Simplified Arabic" w:cs="Simplified Arabic"/>
          <w:kern w:val="2"/>
          <w:sz w:val="28"/>
          <w:szCs w:val="28"/>
          <w:rtl/>
          <w:lang w:bidi="ar-EG"/>
          <w14:ligatures w14:val="standardContextual"/>
        </w:rPr>
        <w:t>هدفت إلى دراسة أثر ممارسات الاستقطاب والاختيار على الاحتفاظ بالموظفين في المستشفيات الخاصة الأردنية، باستخدام المنهج الكمي. وأظهرت النتائج وجود تأثير إيجابي لهذه الممارسات على الاحتفاظ بالموظفين، إلا أن الدراسة ركزت على بعد واحد فقط من إدارة المواهب (الاستقطاب)، دون تناول بقية الأبعاد مثل التطوير والتحفيز، وهو ما تسعى الدراسة الحالية إلى معالجته من خلال نموذج أكثر شمولًا.</w:t>
      </w:r>
    </w:p>
    <w:p w:rsidR="007A6368" w:rsidRPr="007A6368" w:rsidRDefault="007A6368" w:rsidP="007A6368">
      <w:pPr>
        <w:numPr>
          <w:ilvl w:val="0"/>
          <w:numId w:val="7"/>
        </w:numPr>
        <w:bidi/>
        <w:spacing w:after="160" w:line="240" w:lineRule="auto"/>
        <w:contextualSpacing/>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دراسة (رشيد والنجار، 2016)</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hint="cs"/>
          <w:kern w:val="2"/>
          <w:sz w:val="28"/>
          <w:szCs w:val="28"/>
          <w:rtl/>
          <w:lang w:bidi="ar-EG"/>
          <w14:ligatures w14:val="standardContextual"/>
        </w:rPr>
        <w:t xml:space="preserve">      </w:t>
      </w:r>
      <w:r w:rsidRPr="007A6368">
        <w:rPr>
          <w:rFonts w:ascii="Simplified Arabic" w:eastAsia="Calibri" w:hAnsi="Simplified Arabic" w:cs="Simplified Arabic"/>
          <w:kern w:val="2"/>
          <w:sz w:val="28"/>
          <w:szCs w:val="28"/>
          <w:rtl/>
          <w:lang w:bidi="ar-EG"/>
          <w14:ligatures w14:val="standardContextual"/>
        </w:rPr>
        <w:t xml:space="preserve">هدفت إلى تحليل أثر استراتيجية إدارة المواهب على الكفاءات التنظيمية في الجمارك الأردنية، مع دراسة الدور المعدل للتدريب، باستخدام منهج تحليلي. وأظهرت النتائج أن إدارة المواهب تؤثر بشكل إيجابي على الكفاءات التنظيمية، ورغم شمول الدراسة، إلا أنها لم تركز بشكل مباشر على </w:t>
      </w:r>
      <w:r w:rsidRPr="007A6368">
        <w:rPr>
          <w:rFonts w:ascii="Simplified Arabic" w:eastAsia="Calibri" w:hAnsi="Simplified Arabic" w:cs="Simplified Arabic"/>
          <w:kern w:val="2"/>
          <w:sz w:val="28"/>
          <w:szCs w:val="28"/>
          <w:rtl/>
          <w:lang w:bidi="ar-EG"/>
          <w14:ligatures w14:val="standardContextual"/>
        </w:rPr>
        <w:lastRenderedPageBreak/>
        <w:t>الاحتفاظ بالكفاءات البشرية كمتغير مستقل، مما يبرز الحاجة لدراسة العلاقة بشكل مباشر كما في البحث الحالي.</w:t>
      </w:r>
    </w:p>
    <w:p w:rsidR="007A6368" w:rsidRPr="007A6368" w:rsidRDefault="007A6368" w:rsidP="007A6368">
      <w:pPr>
        <w:numPr>
          <w:ilvl w:val="0"/>
          <w:numId w:val="7"/>
        </w:numPr>
        <w:bidi/>
        <w:spacing w:after="160" w:line="240" w:lineRule="auto"/>
        <w:contextualSpacing/>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دراسة (</w:t>
      </w:r>
      <w:r w:rsidRPr="007A6368">
        <w:rPr>
          <w:rFonts w:ascii="Simplified Arabic" w:eastAsia="Calibri" w:hAnsi="Simplified Arabic" w:cs="Simplified Arabic"/>
          <w:kern w:val="2"/>
          <w:sz w:val="28"/>
          <w:szCs w:val="28"/>
          <w:lang w:bidi="ar-EG"/>
          <w14:ligatures w14:val="standardContextual"/>
        </w:rPr>
        <w:t>Kumar, 2022</w:t>
      </w:r>
      <w:r w:rsidRPr="007A6368">
        <w:rPr>
          <w:rFonts w:ascii="Simplified Arabic" w:eastAsia="Calibri" w:hAnsi="Simplified Arabic" w:cs="Simplified Arabic"/>
          <w:kern w:val="2"/>
          <w:sz w:val="28"/>
          <w:szCs w:val="28"/>
          <w:rtl/>
          <w:lang w:bidi="ar-EG"/>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hint="cs"/>
          <w:kern w:val="2"/>
          <w:sz w:val="28"/>
          <w:szCs w:val="28"/>
          <w:rtl/>
          <w:lang w:bidi="ar-EG"/>
          <w14:ligatures w14:val="standardContextual"/>
        </w:rPr>
        <w:t xml:space="preserve">       </w:t>
      </w:r>
      <w:r w:rsidRPr="007A6368">
        <w:rPr>
          <w:rFonts w:ascii="Simplified Arabic" w:eastAsia="Calibri" w:hAnsi="Simplified Arabic" w:cs="Simplified Arabic"/>
          <w:kern w:val="2"/>
          <w:sz w:val="28"/>
          <w:szCs w:val="28"/>
          <w:rtl/>
          <w:lang w:bidi="ar-EG"/>
          <w14:ligatures w14:val="standardContextual"/>
        </w:rPr>
        <w:t>هدفت إلى تحليل أثر ممارسات إدارة المواهب على تقليل معدل دوران العمل وزيادة نية البقاء لدى الموظفين، باستخدام المنهج الكمي. وأظهرت النتائج وجود تأثير إيجابي قوي لممارسات إدارة المواهب على الاحتفاظ بالموظفين، ورغم قوة النتائج، إلا أن الدراسة لم تركز على تحليل الأبعاد التفصيلية لكل ممارسة بشكل منفصل، وهو ما تسعى الدراسة الحالية إلى معالجته.</w:t>
      </w:r>
    </w:p>
    <w:p w:rsidR="007A6368" w:rsidRPr="007A6368" w:rsidRDefault="007A6368" w:rsidP="007A6368">
      <w:pPr>
        <w:numPr>
          <w:ilvl w:val="0"/>
          <w:numId w:val="7"/>
        </w:numPr>
        <w:bidi/>
        <w:spacing w:after="160" w:line="240" w:lineRule="auto"/>
        <w:contextualSpacing/>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دراسة (</w:t>
      </w:r>
      <w:proofErr w:type="spellStart"/>
      <w:r w:rsidRPr="007A6368">
        <w:rPr>
          <w:rFonts w:ascii="Simplified Arabic" w:eastAsia="Calibri" w:hAnsi="Simplified Arabic" w:cs="Simplified Arabic"/>
          <w:kern w:val="2"/>
          <w:sz w:val="28"/>
          <w:szCs w:val="28"/>
          <w:lang w:bidi="ar-EG"/>
          <w14:ligatures w14:val="standardContextual"/>
        </w:rPr>
        <w:t>Achmada</w:t>
      </w:r>
      <w:proofErr w:type="spellEnd"/>
      <w:r w:rsidRPr="007A6368">
        <w:rPr>
          <w:rFonts w:ascii="Simplified Arabic" w:eastAsia="Calibri" w:hAnsi="Simplified Arabic" w:cs="Simplified Arabic"/>
          <w:kern w:val="2"/>
          <w:sz w:val="28"/>
          <w:szCs w:val="28"/>
          <w:lang w:bidi="ar-EG"/>
          <w14:ligatures w14:val="standardContextual"/>
        </w:rPr>
        <w:t xml:space="preserve"> &amp; </w:t>
      </w:r>
      <w:proofErr w:type="spellStart"/>
      <w:r w:rsidRPr="007A6368">
        <w:rPr>
          <w:rFonts w:ascii="Simplified Arabic" w:eastAsia="Calibri" w:hAnsi="Simplified Arabic" w:cs="Simplified Arabic"/>
          <w:kern w:val="2"/>
          <w:sz w:val="28"/>
          <w:szCs w:val="28"/>
          <w:lang w:bidi="ar-EG"/>
          <w14:ligatures w14:val="standardContextual"/>
        </w:rPr>
        <w:t>Soetjipto</w:t>
      </w:r>
      <w:proofErr w:type="spellEnd"/>
      <w:r w:rsidRPr="007A6368">
        <w:rPr>
          <w:rFonts w:ascii="Simplified Arabic" w:eastAsia="Calibri" w:hAnsi="Simplified Arabic" w:cs="Simplified Arabic"/>
          <w:kern w:val="2"/>
          <w:sz w:val="28"/>
          <w:szCs w:val="28"/>
          <w:lang w:bidi="ar-EG"/>
          <w14:ligatures w14:val="standardContextual"/>
        </w:rPr>
        <w:t>, 2022</w:t>
      </w:r>
      <w:r w:rsidRPr="007A6368">
        <w:rPr>
          <w:rFonts w:ascii="Simplified Arabic" w:eastAsia="Calibri" w:hAnsi="Simplified Arabic" w:cs="Simplified Arabic"/>
          <w:kern w:val="2"/>
          <w:sz w:val="28"/>
          <w:szCs w:val="28"/>
          <w:rtl/>
          <w:lang w:bidi="ar-EG"/>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hint="cs"/>
          <w:kern w:val="2"/>
          <w:sz w:val="28"/>
          <w:szCs w:val="28"/>
          <w:rtl/>
          <w:lang w:bidi="ar-EG"/>
          <w14:ligatures w14:val="standardContextual"/>
        </w:rPr>
        <w:t xml:space="preserve">      </w:t>
      </w:r>
      <w:r w:rsidRPr="007A6368">
        <w:rPr>
          <w:rFonts w:ascii="Simplified Arabic" w:eastAsia="Calibri" w:hAnsi="Simplified Arabic" w:cs="Simplified Arabic"/>
          <w:kern w:val="2"/>
          <w:sz w:val="28"/>
          <w:szCs w:val="28"/>
          <w:rtl/>
          <w:lang w:bidi="ar-EG"/>
          <w14:ligatures w14:val="standardContextual"/>
        </w:rPr>
        <w:t>استهدفت دراسة تأثير إدارة المواهب على الارتباط الوظيفي والاحتفاظ بالموظفين، باستخدام استبيان كأداة رئيسية. وأظهرت النتائج أن إدارة المواهب تؤثر بشكل غير مباشر على الاحتفاظ بالكفاءات من خلال تعزيز الارتباط الوظيفي، إلا أن الدراسة ركزت على متغير وسيط واحد فقط، مما يحد من شمولية التحليل مقارنة بالدراسة الحالية.</w:t>
      </w:r>
    </w:p>
    <w:p w:rsidR="007A6368" w:rsidRPr="007A6368" w:rsidRDefault="007A6368" w:rsidP="007A6368">
      <w:pPr>
        <w:numPr>
          <w:ilvl w:val="0"/>
          <w:numId w:val="7"/>
        </w:numPr>
        <w:bidi/>
        <w:spacing w:after="160" w:line="240" w:lineRule="auto"/>
        <w:contextualSpacing/>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دراسة (</w:t>
      </w:r>
      <w:r w:rsidRPr="007A6368">
        <w:rPr>
          <w:rFonts w:ascii="Simplified Arabic" w:eastAsia="Calibri" w:hAnsi="Simplified Arabic" w:cs="Simplified Arabic"/>
          <w:kern w:val="2"/>
          <w:sz w:val="28"/>
          <w:szCs w:val="28"/>
          <w:lang w:bidi="ar-EG"/>
          <w14:ligatures w14:val="standardContextual"/>
        </w:rPr>
        <w:t>Menezes et al., 2025</w:t>
      </w:r>
      <w:r w:rsidRPr="007A6368">
        <w:rPr>
          <w:rFonts w:ascii="Simplified Arabic" w:eastAsia="Calibri" w:hAnsi="Simplified Arabic" w:cs="Simplified Arabic"/>
          <w:kern w:val="2"/>
          <w:sz w:val="28"/>
          <w:szCs w:val="28"/>
          <w:rtl/>
          <w:lang w:bidi="ar-EG"/>
          <w14:ligatures w14:val="standardContextual"/>
        </w:rPr>
        <w:t>)</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hint="cs"/>
          <w:kern w:val="2"/>
          <w:sz w:val="28"/>
          <w:szCs w:val="28"/>
          <w:rtl/>
          <w:lang w:bidi="ar-EG"/>
          <w14:ligatures w14:val="standardContextual"/>
        </w:rPr>
        <w:t xml:space="preserve">     </w:t>
      </w:r>
      <w:r w:rsidRPr="007A6368">
        <w:rPr>
          <w:rFonts w:ascii="Simplified Arabic" w:eastAsia="Calibri" w:hAnsi="Simplified Arabic" w:cs="Simplified Arabic"/>
          <w:kern w:val="2"/>
          <w:sz w:val="28"/>
          <w:szCs w:val="28"/>
          <w:rtl/>
          <w:lang w:bidi="ar-EG"/>
          <w14:ligatures w14:val="standardContextual"/>
        </w:rPr>
        <w:t>هدفت</w:t>
      </w:r>
      <w:r w:rsidRPr="007A6368">
        <w:rPr>
          <w:rFonts w:ascii="Simplified Arabic" w:eastAsia="Calibri" w:hAnsi="Simplified Arabic" w:cs="Simplified Arabic" w:hint="cs"/>
          <w:kern w:val="2"/>
          <w:sz w:val="28"/>
          <w:szCs w:val="28"/>
          <w:rtl/>
          <w:lang w:bidi="ar-EG"/>
          <w14:ligatures w14:val="standardContextual"/>
        </w:rPr>
        <w:t xml:space="preserve"> الدراسة</w:t>
      </w:r>
      <w:r w:rsidRPr="007A6368">
        <w:rPr>
          <w:rFonts w:ascii="Simplified Arabic" w:eastAsia="Calibri" w:hAnsi="Simplified Arabic" w:cs="Simplified Arabic"/>
          <w:kern w:val="2"/>
          <w:sz w:val="28"/>
          <w:szCs w:val="28"/>
          <w:rtl/>
          <w:lang w:bidi="ar-EG"/>
          <w14:ligatures w14:val="standardContextual"/>
        </w:rPr>
        <w:t xml:space="preserve"> إلى تحليل دور إدارة المواهب في تعزيز الاحتفاظ بالموظفين مع دراسة التمكين النفسي كمتغير وسيط، باستخدام المنهج الكمي. وأظهرت النتائج أن التمكين النفسي يعزز العلاقة بين إدارة المواهب والاحتفاظ بالكفاءات، ورغم تقدم النموذج التحليلي، إلا أن الدراسة لم تُطبق في القطاع الصناعي، مما يحد من إمكانية تعميم نتائجها على بيئة الدراسة الحالية.</w:t>
      </w:r>
    </w:p>
    <w:p w:rsidR="007A6368" w:rsidRPr="007A6368" w:rsidRDefault="007A6368" w:rsidP="007A6368">
      <w:pPr>
        <w:numPr>
          <w:ilvl w:val="0"/>
          <w:numId w:val="7"/>
        </w:numPr>
        <w:bidi/>
        <w:spacing w:after="160" w:line="240" w:lineRule="auto"/>
        <w:contextualSpacing/>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دراسة (</w:t>
      </w:r>
      <w:proofErr w:type="spellStart"/>
      <w:r w:rsidRPr="007A6368">
        <w:rPr>
          <w:rFonts w:ascii="Simplified Arabic" w:eastAsia="Calibri" w:hAnsi="Simplified Arabic" w:cs="Simplified Arabic"/>
          <w:kern w:val="2"/>
          <w:sz w:val="28"/>
          <w:szCs w:val="28"/>
          <w:lang w:bidi="ar-EG"/>
          <w14:ligatures w14:val="standardContextual"/>
        </w:rPr>
        <w:t>Manimaran</w:t>
      </w:r>
      <w:proofErr w:type="spellEnd"/>
      <w:r w:rsidRPr="007A6368">
        <w:rPr>
          <w:rFonts w:ascii="Simplified Arabic" w:eastAsia="Calibri" w:hAnsi="Simplified Arabic" w:cs="Simplified Arabic"/>
          <w:kern w:val="2"/>
          <w:sz w:val="28"/>
          <w:szCs w:val="28"/>
          <w:lang w:bidi="ar-EG"/>
          <w14:ligatures w14:val="standardContextual"/>
        </w:rPr>
        <w:t xml:space="preserve"> et al., 2025</w:t>
      </w:r>
      <w:r w:rsidRPr="007A6368">
        <w:rPr>
          <w:rFonts w:ascii="Simplified Arabic" w:eastAsia="Calibri" w:hAnsi="Simplified Arabic" w:cs="Simplified Arabic"/>
          <w:kern w:val="2"/>
          <w:sz w:val="28"/>
          <w:szCs w:val="28"/>
          <w:rtl/>
          <w:lang w:bidi="ar-EG"/>
          <w14:ligatures w14:val="standardContextual"/>
        </w:rPr>
        <w:t>)</w:t>
      </w:r>
    </w:p>
    <w:p w:rsidR="007A6368" w:rsidRPr="007A6368" w:rsidRDefault="007A6368" w:rsidP="007A6368">
      <w:pPr>
        <w:bidi/>
        <w:spacing w:after="160" w:line="240" w:lineRule="auto"/>
        <w:ind w:left="720"/>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استهدفت</w:t>
      </w:r>
      <w:r w:rsidRPr="007A6368">
        <w:rPr>
          <w:rFonts w:ascii="Simplified Arabic" w:eastAsia="Calibri" w:hAnsi="Simplified Arabic" w:cs="Simplified Arabic" w:hint="cs"/>
          <w:kern w:val="2"/>
          <w:sz w:val="28"/>
          <w:szCs w:val="28"/>
          <w:rtl/>
          <w:lang w:bidi="ar-EG"/>
          <w14:ligatures w14:val="standardContextual"/>
        </w:rPr>
        <w:t xml:space="preserve"> الدراسة</w:t>
      </w:r>
      <w:r w:rsidRPr="007A6368">
        <w:rPr>
          <w:rFonts w:ascii="Simplified Arabic" w:eastAsia="Calibri" w:hAnsi="Simplified Arabic" w:cs="Simplified Arabic"/>
          <w:kern w:val="2"/>
          <w:sz w:val="28"/>
          <w:szCs w:val="28"/>
          <w:rtl/>
          <w:lang w:bidi="ar-EG"/>
          <w14:ligatures w14:val="standardContextual"/>
        </w:rPr>
        <w:t xml:space="preserve"> تحليل العلاقة بين إدارة المواهب والرضا الوظيفي والأداء والسلوك التنظيمي في القطاع الصناعي في الهند. وأظهرت النتائج وجود علاقة إيجابية بين إدارة المواهب والرضا الوظيفي، والذي بدوره يؤثر على بقاء الموظفين، ورغم أهمية الدراسة لكونها في قطاع صناعي، إلا أنها لم تركز بشكل مباشر على الاحتفاظ بالكفاءات كمتغير مستقل، مما يبرز فجوة بحثية تعالجها الدراسة الحالية.</w:t>
      </w:r>
    </w:p>
    <w:p w:rsidR="007A6368" w:rsidRPr="007A6368" w:rsidRDefault="007A6368" w:rsidP="007A6368">
      <w:pPr>
        <w:bidi/>
        <w:spacing w:after="160" w:line="259" w:lineRule="auto"/>
        <w:jc w:val="both"/>
        <w:rPr>
          <w:rFonts w:ascii="Simplified Arabic" w:eastAsia="Calibri" w:hAnsi="Simplified Arabic" w:cs="Simplified Arabic"/>
          <w:b/>
          <w:bCs/>
          <w:kern w:val="2"/>
          <w:sz w:val="28"/>
          <w:szCs w:val="28"/>
          <w:rtl/>
          <w:lang w:bidi="ar-EG"/>
          <w14:ligatures w14:val="standardContextual"/>
        </w:rPr>
      </w:pPr>
      <w:r w:rsidRPr="007A6368">
        <w:rPr>
          <w:rFonts w:ascii="Simplified Arabic" w:eastAsia="Calibri" w:hAnsi="Simplified Arabic" w:cs="Simplified Arabic"/>
          <w:b/>
          <w:bCs/>
          <w:kern w:val="2"/>
          <w:sz w:val="28"/>
          <w:szCs w:val="28"/>
          <w:rtl/>
          <w:lang w:bidi="ar-EG"/>
          <w14:ligatures w14:val="standardContextual"/>
        </w:rPr>
        <w:t>التعليق على الدراسات السابقة وتحديد الفجوة</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lastRenderedPageBreak/>
        <w:t xml:space="preserve">           يتضح من خلال استعراض الدراسات السابقة العربية والأجنبية وجود اهتمام متزايد بموضوع إدارة المواهب والاحتفاظ بالكفاءات البشرية، حيث أكدت معظم الدراسات على الدور الحيوي لممارسات إدارة المواهب في تحسين الأداء التنظيمي وتعزيز الإبداع والتميز المؤسسي، كما أظهرت العديد من الدراسات وجود تأثير إيجابي لهذه الممارسات على تقليل معدل دوران العمل وزيادة استقرار الموظفين داخل المنظمات.</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 xml:space="preserve">        كما كشفت بعض الدراسات عن أهمية المتغيرات الوسيطة، مثل الرضا الوظيفي، والالتزام التنظيمي، والتمكين النفسي، في تفسير العلاقة بين إدارة المواهب والاحتفاظ بالكفاءات، وهو ما يعكس تعقيد هذه العلاقة وتعدد أبعادها.</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 xml:space="preserve">        وعلى الرغم من هذا الاتفاق العام، إلا أن هناك تباينًا في نتائج الدراسات من حيث قوة العلاقة وطبيعتها، ويرجع ذلك إلى اختلاف البيئات التطبيقية، وتنوع القطاعات التي أُجريت فيها الدراسات (خدمية، تعليمية، صحية)، بالإضافة إلى اختلاف الأدوات والمنهجيات المستخدمة.</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 xml:space="preserve">       كما يلاحظ أن العديد من الدراسات، سواء العربية أو الأجنبية، ركزت على متغيرات وسيطة أو نتائج تنظيمية أخرى مثل الإبداع أو التميز المؤسسي، دون التركيز المباشر على الاحتفاظ بالكفاءات البشرية كمتغير تابع رئيسي، في حين اقتصرت بعض الدراسات الأخرى على تناول بعد واحد فقط من ممارسات إدارة المواهب، مثل الاستقطاب أو التحفيز، دون تقديم نموذج متكامل يشمل جميع الأبعاد.</w:t>
      </w:r>
    </w:p>
    <w:p w:rsidR="007A6368" w:rsidRPr="007A6368" w:rsidRDefault="007A6368" w:rsidP="007A6368">
      <w:pPr>
        <w:bidi/>
        <w:spacing w:after="160" w:line="240" w:lineRule="auto"/>
        <w:jc w:val="both"/>
        <w:rPr>
          <w:rFonts w:ascii="Simplified Arabic" w:eastAsia="Calibri" w:hAnsi="Simplified Arabic" w:cs="Simplified Arabic"/>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 xml:space="preserve">       إضافة إلى ذلك، تبيّن وجود قصور في الدراسات التطبيقية التي تناولت العلاقة بشكل مباشر في القطاع الصناعي، خاصة في البيئة العربية، وبشكل أكثر تحديدًا في المملكة العربية السعودية، حيث تركزت معظم الدراسات في قطاعات أخرى أو في بيئات دولية مختلفة.</w:t>
      </w:r>
    </w:p>
    <w:p w:rsidR="007A6368" w:rsidRPr="007A6368" w:rsidRDefault="007A6368" w:rsidP="007A6368">
      <w:pPr>
        <w:bidi/>
        <w:spacing w:after="160" w:line="259" w:lineRule="auto"/>
        <w:jc w:val="both"/>
        <w:rPr>
          <w:rFonts w:ascii="Simplified Arabic" w:eastAsia="Calibri" w:hAnsi="Simplified Arabic" w:cs="Simplified Arabic" w:hint="cs"/>
          <w:b/>
          <w:bCs/>
          <w:kern w:val="2"/>
          <w:sz w:val="28"/>
          <w:szCs w:val="28"/>
          <w:rtl/>
          <w:lang w:bidi="ar-EG"/>
          <w14:ligatures w14:val="standardContextual"/>
        </w:rPr>
      </w:pPr>
      <w:r w:rsidRPr="007A6368">
        <w:rPr>
          <w:rFonts w:ascii="Simplified Arabic" w:eastAsia="Calibri" w:hAnsi="Simplified Arabic" w:cs="Simplified Arabic"/>
          <w:kern w:val="2"/>
          <w:sz w:val="28"/>
          <w:szCs w:val="28"/>
          <w:rtl/>
          <w:lang w:bidi="ar-EG"/>
          <w14:ligatures w14:val="standardContextual"/>
        </w:rPr>
        <w:t xml:space="preserve">       وانطلاقًا من ذلك، تتحدد الفجوة البحثية في الحاجة إلى دراسة تطبيقية شاملة تبحث في أثر ممارسات إدارة المواهب بأبعادها المختلفة (الاستقطاب، التطوير، التحفيز) على الاحتفاظ بالكفاءات البشرية، وذلك في سياق الشركات الصناعية بالمملكة العربية السعودية، بما يسهم في تقديم نتائج علمية وتطبيقية تدعم متخذي القرار في</w:t>
      </w:r>
      <w:r>
        <w:rPr>
          <w:rFonts w:ascii="Simplified Arabic" w:eastAsia="Calibri" w:hAnsi="Simplified Arabic" w:cs="Simplified Arabic"/>
          <w:kern w:val="2"/>
          <w:sz w:val="28"/>
          <w:szCs w:val="28"/>
          <w:lang w:bidi="ar-EG"/>
          <w14:ligatures w14:val="standardContextual"/>
        </w:rPr>
        <w:t xml:space="preserve"> </w:t>
      </w:r>
      <w:r>
        <w:rPr>
          <w:rFonts w:ascii="Simplified Arabic" w:eastAsia="Calibri" w:hAnsi="Simplified Arabic" w:cs="Simplified Arabic" w:hint="cs"/>
          <w:kern w:val="2"/>
          <w:sz w:val="28"/>
          <w:szCs w:val="28"/>
          <w:rtl/>
          <w:lang w:bidi="ar-EG"/>
          <w14:ligatures w14:val="standardContextual"/>
        </w:rPr>
        <w:t>هذا المجال.</w:t>
      </w:r>
    </w:p>
    <w:p w:rsidR="007A6368" w:rsidRPr="007A6368" w:rsidRDefault="007A6368" w:rsidP="007A6368">
      <w:pPr>
        <w:bidi/>
        <w:spacing w:after="160" w:line="259" w:lineRule="auto"/>
        <w:jc w:val="center"/>
        <w:rPr>
          <w:rFonts w:ascii="Simplified Arabic" w:eastAsia="Calibri" w:hAnsi="Simplified Arabic" w:cs="Simplified Arabic"/>
          <w:b/>
          <w:bCs/>
          <w:kern w:val="2"/>
          <w:sz w:val="28"/>
          <w:szCs w:val="28"/>
          <w:rtl/>
          <w:lang w:bidi="ar-EG"/>
          <w14:ligatures w14:val="standardContextual"/>
        </w:rPr>
      </w:pPr>
    </w:p>
    <w:p w:rsidR="003A799E" w:rsidRDefault="00504AB6" w:rsidP="007A6368">
      <w:pPr>
        <w:bidi/>
      </w:pPr>
    </w:p>
    <w:sectPr w:rsidR="003A799E">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AB6" w:rsidRDefault="00504AB6" w:rsidP="007A6368">
      <w:pPr>
        <w:spacing w:after="0" w:line="240" w:lineRule="auto"/>
      </w:pPr>
      <w:r>
        <w:separator/>
      </w:r>
    </w:p>
  </w:endnote>
  <w:endnote w:type="continuationSeparator" w:id="0">
    <w:p w:rsidR="00504AB6" w:rsidRDefault="00504AB6" w:rsidP="007A63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00"/>
    <w:family w:val="roman"/>
    <w:pitch w:val="variable"/>
    <w:sig w:usb0="00002003" w:usb1="00000000" w:usb2="00000000" w:usb3="00000000" w:csb0="0000004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1529302"/>
      <w:docPartObj>
        <w:docPartGallery w:val="Page Numbers (Bottom of Page)"/>
        <w:docPartUnique/>
      </w:docPartObj>
    </w:sdtPr>
    <w:sdtEndPr>
      <w:rPr>
        <w:noProof/>
      </w:rPr>
    </w:sdtEndPr>
    <w:sdtContent>
      <w:p w:rsidR="007A6368" w:rsidRDefault="007A6368">
        <w:pPr>
          <w:pStyle w:val="Footer"/>
          <w:jc w:val="center"/>
        </w:pPr>
        <w:r>
          <w:fldChar w:fldCharType="begin"/>
        </w:r>
        <w:r>
          <w:instrText xml:space="preserve"> PAGE   \* MERGEFORMAT </w:instrText>
        </w:r>
        <w:r>
          <w:fldChar w:fldCharType="separate"/>
        </w:r>
        <w:r w:rsidR="00212626">
          <w:rPr>
            <w:noProof/>
          </w:rPr>
          <w:t>1</w:t>
        </w:r>
        <w:r>
          <w:rPr>
            <w:noProof/>
          </w:rPr>
          <w:fldChar w:fldCharType="end"/>
        </w:r>
      </w:p>
    </w:sdtContent>
  </w:sdt>
  <w:p w:rsidR="007A6368" w:rsidRDefault="007A63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AB6" w:rsidRDefault="00504AB6" w:rsidP="007A6368">
      <w:pPr>
        <w:spacing w:after="0" w:line="240" w:lineRule="auto"/>
      </w:pPr>
      <w:r>
        <w:separator/>
      </w:r>
    </w:p>
  </w:footnote>
  <w:footnote w:type="continuationSeparator" w:id="0">
    <w:p w:rsidR="00504AB6" w:rsidRDefault="00504AB6" w:rsidP="007A63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32D4F"/>
    <w:multiLevelType w:val="hybridMultilevel"/>
    <w:tmpl w:val="F78EBF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401217"/>
    <w:multiLevelType w:val="hybridMultilevel"/>
    <w:tmpl w:val="B1881A40"/>
    <w:lvl w:ilvl="0" w:tplc="6106AA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1A6348"/>
    <w:multiLevelType w:val="hybridMultilevel"/>
    <w:tmpl w:val="3F82D15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761444"/>
    <w:multiLevelType w:val="hybridMultilevel"/>
    <w:tmpl w:val="BBE6FCD6"/>
    <w:lvl w:ilvl="0" w:tplc="8AAC51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C047302"/>
    <w:multiLevelType w:val="hybridMultilevel"/>
    <w:tmpl w:val="EE6EA5A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221135"/>
    <w:multiLevelType w:val="hybridMultilevel"/>
    <w:tmpl w:val="B4F0E4AE"/>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79C66A71"/>
    <w:multiLevelType w:val="hybridMultilevel"/>
    <w:tmpl w:val="76BED9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2"/>
  </w:num>
  <w:num w:numId="4">
    <w:abstractNumId w:val="0"/>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368"/>
    <w:rsid w:val="00212626"/>
    <w:rsid w:val="00504AB6"/>
    <w:rsid w:val="007206CF"/>
    <w:rsid w:val="007A6368"/>
    <w:rsid w:val="00CB0ABA"/>
    <w:rsid w:val="00D034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6368"/>
    <w:pPr>
      <w:tabs>
        <w:tab w:val="center" w:pos="4320"/>
        <w:tab w:val="right" w:pos="8640"/>
      </w:tabs>
      <w:spacing w:after="0" w:line="240" w:lineRule="auto"/>
    </w:pPr>
  </w:style>
  <w:style w:type="character" w:customStyle="1" w:styleId="HeaderChar">
    <w:name w:val="Header Char"/>
    <w:basedOn w:val="DefaultParagraphFont"/>
    <w:link w:val="Header"/>
    <w:uiPriority w:val="99"/>
    <w:rsid w:val="007A6368"/>
  </w:style>
  <w:style w:type="paragraph" w:styleId="Footer">
    <w:name w:val="footer"/>
    <w:basedOn w:val="Normal"/>
    <w:link w:val="FooterChar"/>
    <w:uiPriority w:val="99"/>
    <w:unhideWhenUsed/>
    <w:rsid w:val="007A6368"/>
    <w:pPr>
      <w:tabs>
        <w:tab w:val="center" w:pos="4320"/>
        <w:tab w:val="right" w:pos="8640"/>
      </w:tabs>
      <w:spacing w:after="0" w:line="240" w:lineRule="auto"/>
    </w:pPr>
  </w:style>
  <w:style w:type="character" w:customStyle="1" w:styleId="FooterChar">
    <w:name w:val="Footer Char"/>
    <w:basedOn w:val="DefaultParagraphFont"/>
    <w:link w:val="Footer"/>
    <w:uiPriority w:val="99"/>
    <w:rsid w:val="007A636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6368"/>
    <w:pPr>
      <w:tabs>
        <w:tab w:val="center" w:pos="4320"/>
        <w:tab w:val="right" w:pos="8640"/>
      </w:tabs>
      <w:spacing w:after="0" w:line="240" w:lineRule="auto"/>
    </w:pPr>
  </w:style>
  <w:style w:type="character" w:customStyle="1" w:styleId="HeaderChar">
    <w:name w:val="Header Char"/>
    <w:basedOn w:val="DefaultParagraphFont"/>
    <w:link w:val="Header"/>
    <w:uiPriority w:val="99"/>
    <w:rsid w:val="007A6368"/>
  </w:style>
  <w:style w:type="paragraph" w:styleId="Footer">
    <w:name w:val="footer"/>
    <w:basedOn w:val="Normal"/>
    <w:link w:val="FooterChar"/>
    <w:uiPriority w:val="99"/>
    <w:unhideWhenUsed/>
    <w:rsid w:val="007A6368"/>
    <w:pPr>
      <w:tabs>
        <w:tab w:val="center" w:pos="4320"/>
        <w:tab w:val="right" w:pos="8640"/>
      </w:tabs>
      <w:spacing w:after="0" w:line="240" w:lineRule="auto"/>
    </w:pPr>
  </w:style>
  <w:style w:type="character" w:customStyle="1" w:styleId="FooterChar">
    <w:name w:val="Footer Char"/>
    <w:basedOn w:val="DefaultParagraphFont"/>
    <w:link w:val="Footer"/>
    <w:uiPriority w:val="99"/>
    <w:rsid w:val="007A63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28</Pages>
  <Words>6948</Words>
  <Characters>39608</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manar</dc:creator>
  <cp:lastModifiedBy>manar</cp:lastModifiedBy>
  <cp:revision>2</cp:revision>
  <cp:lastPrinted>2026-07-13T18:11:00Z</cp:lastPrinted>
  <dcterms:created xsi:type="dcterms:W3CDTF">2026-07-13T18:06:00Z</dcterms:created>
  <dcterms:modified xsi:type="dcterms:W3CDTF">2026-07-13T18:12:00Z</dcterms:modified>
</cp:coreProperties>
</file>