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0A89B" w14:textId="5C601E16" w:rsidR="008F3256" w:rsidRPr="002E4EFD" w:rsidRDefault="00960152" w:rsidP="002E4EFD">
      <w:pPr>
        <w:jc w:val="mediumKashida"/>
        <w:rPr>
          <w:sz w:val="24"/>
          <w:szCs w:val="24"/>
          <w:lang w:bidi="ar-YE"/>
        </w:rPr>
      </w:pPr>
      <w:r>
        <w:rPr>
          <w:rFonts w:hint="cs"/>
          <w:noProof/>
          <w:sz w:val="24"/>
          <w:szCs w:val="24"/>
        </w:rPr>
        <w:drawing>
          <wp:anchor distT="0" distB="0" distL="114300" distR="114300" simplePos="0" relativeHeight="251659264" behindDoc="0" locked="0" layoutInCell="1" allowOverlap="1" wp14:anchorId="6E6F1951" wp14:editId="556B0F95">
            <wp:simplePos x="0" y="0"/>
            <wp:positionH relativeFrom="column">
              <wp:posOffset>-125095</wp:posOffset>
            </wp:positionH>
            <wp:positionV relativeFrom="paragraph">
              <wp:posOffset>-73660</wp:posOffset>
            </wp:positionV>
            <wp:extent cx="1345565" cy="1345565"/>
            <wp:effectExtent l="0" t="0" r="6985" b="6985"/>
            <wp:wrapNone/>
            <wp:docPr id="1458882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8213" name="صورة 145888213"/>
                    <pic:cNvPicPr/>
                  </pic:nvPicPr>
                  <pic:blipFill>
                    <a:blip r:embed="rId8"/>
                    <a:stretch>
                      <a:fillRect/>
                    </a:stretch>
                  </pic:blipFill>
                  <pic:spPr>
                    <a:xfrm>
                      <a:off x="0" y="0"/>
                      <a:ext cx="1345565" cy="1345565"/>
                    </a:xfrm>
                    <a:prstGeom prst="rect">
                      <a:avLst/>
                    </a:prstGeom>
                  </pic:spPr>
                </pic:pic>
              </a:graphicData>
            </a:graphic>
            <wp14:sizeRelH relativeFrom="margin">
              <wp14:pctWidth>0</wp14:pctWidth>
            </wp14:sizeRelH>
            <wp14:sizeRelV relativeFrom="margin">
              <wp14:pctHeight>0</wp14:pctHeight>
            </wp14:sizeRelV>
          </wp:anchor>
        </w:drawing>
      </w:r>
    </w:p>
    <w:p w14:paraId="560C65F7" w14:textId="77777777" w:rsidR="008F3256" w:rsidRPr="002E4EFD" w:rsidRDefault="00BA5877" w:rsidP="002E4EFD">
      <w:pPr>
        <w:jc w:val="mediumKashida"/>
        <w:rPr>
          <w:sz w:val="24"/>
          <w:szCs w:val="24"/>
        </w:rPr>
      </w:pPr>
      <w:r w:rsidRPr="002E4EFD">
        <w:rPr>
          <w:b/>
          <w:color w:val="1F3A5F"/>
          <w:sz w:val="24"/>
          <w:szCs w:val="24"/>
          <w:rtl/>
        </w:rPr>
        <w:t>المملكة العربية السعودية</w:t>
      </w:r>
    </w:p>
    <w:p w14:paraId="34B09B02" w14:textId="77777777" w:rsidR="008F3256" w:rsidRPr="002E4EFD" w:rsidRDefault="00BA5877" w:rsidP="002E4EFD">
      <w:pPr>
        <w:jc w:val="mediumKashida"/>
        <w:rPr>
          <w:sz w:val="24"/>
          <w:szCs w:val="24"/>
        </w:rPr>
      </w:pPr>
      <w:r w:rsidRPr="002E4EFD">
        <w:rPr>
          <w:b/>
          <w:color w:val="1F3A5F"/>
          <w:sz w:val="24"/>
          <w:szCs w:val="24"/>
          <w:rtl/>
        </w:rPr>
        <w:t xml:space="preserve">جامعة </w:t>
      </w:r>
      <w:proofErr w:type="spellStart"/>
      <w:r w:rsidRPr="002E4EFD">
        <w:rPr>
          <w:b/>
          <w:color w:val="1F3A5F"/>
          <w:sz w:val="24"/>
          <w:szCs w:val="24"/>
          <w:rtl/>
        </w:rPr>
        <w:t>مبدأوشن</w:t>
      </w:r>
      <w:proofErr w:type="spellEnd"/>
      <w:r w:rsidRPr="002E4EFD">
        <w:rPr>
          <w:b/>
          <w:color w:val="1F3A5F"/>
          <w:sz w:val="24"/>
          <w:szCs w:val="24"/>
          <w:rtl/>
        </w:rPr>
        <w:t xml:space="preserve"> – كلية الإدارة</w:t>
      </w:r>
    </w:p>
    <w:p w14:paraId="7637733D" w14:textId="77777777" w:rsidR="008F3256" w:rsidRPr="002E4EFD" w:rsidRDefault="00BA5877" w:rsidP="002E4EFD">
      <w:pPr>
        <w:jc w:val="mediumKashida"/>
        <w:rPr>
          <w:sz w:val="24"/>
          <w:szCs w:val="24"/>
        </w:rPr>
      </w:pPr>
      <w:r w:rsidRPr="002E4EFD">
        <w:rPr>
          <w:color w:val="2E5A88"/>
          <w:sz w:val="24"/>
          <w:szCs w:val="24"/>
          <w:rtl/>
        </w:rPr>
        <w:t>قسم إدارة المشاريع</w:t>
      </w:r>
    </w:p>
    <w:p w14:paraId="484CF15B" w14:textId="77777777" w:rsidR="008F3256" w:rsidRPr="002E4EFD" w:rsidRDefault="008F3256" w:rsidP="002E4EFD">
      <w:pPr>
        <w:jc w:val="mediumKashida"/>
        <w:rPr>
          <w:sz w:val="24"/>
          <w:szCs w:val="24"/>
        </w:rPr>
      </w:pPr>
    </w:p>
    <w:p w14:paraId="4AD4162F" w14:textId="77777777" w:rsidR="008F3256" w:rsidRPr="002E4EFD" w:rsidRDefault="008F3256" w:rsidP="002E4EFD">
      <w:pPr>
        <w:jc w:val="mediumKashida"/>
        <w:rPr>
          <w:sz w:val="24"/>
          <w:szCs w:val="24"/>
        </w:rPr>
      </w:pPr>
    </w:p>
    <w:p w14:paraId="4563F904" w14:textId="77777777" w:rsidR="008F3256" w:rsidRPr="00434E4C" w:rsidRDefault="00BA5877" w:rsidP="003D1EE8">
      <w:pPr>
        <w:jc w:val="center"/>
        <w:rPr>
          <w:bCs/>
          <w:sz w:val="40"/>
          <w:szCs w:val="40"/>
        </w:rPr>
      </w:pPr>
      <w:r w:rsidRPr="00434E4C">
        <w:rPr>
          <w:bCs/>
          <w:color w:val="1F3A5F"/>
          <w:sz w:val="40"/>
          <w:szCs w:val="40"/>
          <w:rtl/>
        </w:rPr>
        <w:t>أثر أنظمة إدارة السلامة على أداء المشاريع</w:t>
      </w:r>
    </w:p>
    <w:p w14:paraId="2754F688" w14:textId="77777777" w:rsidR="008F3256" w:rsidRPr="00434E4C" w:rsidRDefault="00BA5877" w:rsidP="003D1EE8">
      <w:pPr>
        <w:jc w:val="center"/>
        <w:rPr>
          <w:bCs/>
          <w:sz w:val="40"/>
          <w:szCs w:val="40"/>
        </w:rPr>
      </w:pPr>
      <w:r w:rsidRPr="00434E4C">
        <w:rPr>
          <w:bCs/>
          <w:color w:val="1F3A5F"/>
          <w:sz w:val="40"/>
          <w:szCs w:val="40"/>
          <w:rtl/>
        </w:rPr>
        <w:t>في مشاريع الطاقة المتجددة في المملكة العربية السعودية</w:t>
      </w:r>
    </w:p>
    <w:p w14:paraId="01827E5A" w14:textId="77777777" w:rsidR="008F3256" w:rsidRPr="002E4EFD" w:rsidRDefault="008F3256" w:rsidP="003D1EE8">
      <w:pPr>
        <w:jc w:val="center"/>
        <w:rPr>
          <w:sz w:val="24"/>
          <w:szCs w:val="24"/>
        </w:rPr>
      </w:pPr>
    </w:p>
    <w:p w14:paraId="0635E5FE" w14:textId="77777777" w:rsidR="008F3256" w:rsidRPr="002E4EFD" w:rsidRDefault="00BA5877" w:rsidP="003D1EE8">
      <w:pPr>
        <w:jc w:val="center"/>
        <w:rPr>
          <w:sz w:val="24"/>
          <w:szCs w:val="24"/>
        </w:rPr>
      </w:pPr>
      <w:r w:rsidRPr="002E4EFD">
        <w:rPr>
          <w:rFonts w:ascii="Times New Roman" w:hAnsi="Times New Roman"/>
          <w:b/>
          <w:i/>
          <w:color w:val="2E5A88"/>
          <w:sz w:val="24"/>
          <w:szCs w:val="24"/>
        </w:rPr>
        <w:t>The Impact of Safety Management Systems on Project Performance</w:t>
      </w:r>
    </w:p>
    <w:p w14:paraId="5CC4E397" w14:textId="77777777" w:rsidR="008F3256" w:rsidRPr="002E4EFD" w:rsidRDefault="00BA5877" w:rsidP="003D1EE8">
      <w:pPr>
        <w:jc w:val="center"/>
        <w:rPr>
          <w:sz w:val="24"/>
          <w:szCs w:val="24"/>
        </w:rPr>
      </w:pPr>
      <w:r w:rsidRPr="002E4EFD">
        <w:rPr>
          <w:rFonts w:ascii="Times New Roman" w:hAnsi="Times New Roman"/>
          <w:b/>
          <w:i/>
          <w:color w:val="2E5A88"/>
          <w:sz w:val="24"/>
          <w:szCs w:val="24"/>
        </w:rPr>
        <w:t>in Renewable Energy Projects in Saudi Arabia</w:t>
      </w:r>
    </w:p>
    <w:p w14:paraId="6B723311" w14:textId="77777777" w:rsidR="008F3256" w:rsidRPr="002E4EFD" w:rsidRDefault="008F3256" w:rsidP="003D1EE8">
      <w:pPr>
        <w:rPr>
          <w:sz w:val="24"/>
          <w:szCs w:val="24"/>
        </w:rPr>
      </w:pPr>
    </w:p>
    <w:p w14:paraId="3CBC9573" w14:textId="3A9478B7" w:rsidR="008F3256" w:rsidRPr="002E4EFD" w:rsidRDefault="00BA5877" w:rsidP="003D1EE8">
      <w:pPr>
        <w:jc w:val="center"/>
        <w:rPr>
          <w:sz w:val="24"/>
          <w:szCs w:val="24"/>
        </w:rPr>
      </w:pPr>
      <w:r w:rsidRPr="002E4EFD">
        <w:rPr>
          <w:color w:val="333333"/>
          <w:sz w:val="24"/>
          <w:szCs w:val="24"/>
          <w:rtl/>
        </w:rPr>
        <w:t>بحث مقدم استكمالاً لمتطلبات الحصول على درجة الماجستير في إدارة المشاريع</w:t>
      </w:r>
    </w:p>
    <w:p w14:paraId="7F81B13E" w14:textId="0741B294" w:rsidR="008F3256" w:rsidRPr="002E4EFD" w:rsidRDefault="00BA5877" w:rsidP="003D1EE8">
      <w:pPr>
        <w:jc w:val="center"/>
        <w:rPr>
          <w:sz w:val="24"/>
          <w:szCs w:val="24"/>
        </w:rPr>
      </w:pPr>
      <w:r w:rsidRPr="002E4EFD">
        <w:rPr>
          <w:b/>
          <w:color w:val="1F3A5F"/>
          <w:sz w:val="24"/>
          <w:szCs w:val="24"/>
          <w:rtl/>
        </w:rPr>
        <w:t xml:space="preserve">إعداد الطالب: </w:t>
      </w:r>
    </w:p>
    <w:p w14:paraId="2D798DFD" w14:textId="31782F2C" w:rsidR="008F3256" w:rsidRPr="002E4EFD" w:rsidRDefault="00BA5877" w:rsidP="003D1EE8">
      <w:pPr>
        <w:jc w:val="center"/>
        <w:rPr>
          <w:sz w:val="24"/>
          <w:szCs w:val="24"/>
        </w:rPr>
      </w:pPr>
      <w:r w:rsidRPr="002E4EFD">
        <w:rPr>
          <w:color w:val="333333"/>
          <w:sz w:val="24"/>
          <w:szCs w:val="24"/>
          <w:rtl/>
        </w:rPr>
        <w:t>إشراف:</w:t>
      </w:r>
      <w:r w:rsidR="002507B3">
        <w:rPr>
          <w:rFonts w:hint="cs"/>
          <w:sz w:val="24"/>
          <w:szCs w:val="24"/>
        </w:rPr>
        <w:t xml:space="preserve"> </w:t>
      </w:r>
      <w:r w:rsidR="002507B3">
        <w:rPr>
          <w:rFonts w:hint="cs"/>
          <w:sz w:val="24"/>
          <w:szCs w:val="24"/>
          <w:rtl/>
        </w:rPr>
        <w:t xml:space="preserve">عبد الله </w:t>
      </w:r>
      <w:proofErr w:type="spellStart"/>
      <w:r w:rsidR="002507B3">
        <w:rPr>
          <w:rFonts w:hint="cs"/>
          <w:sz w:val="24"/>
          <w:szCs w:val="24"/>
          <w:rtl/>
        </w:rPr>
        <w:t>الشميري</w:t>
      </w:r>
      <w:proofErr w:type="spellEnd"/>
      <w:r w:rsidR="002507B3">
        <w:rPr>
          <w:rFonts w:hint="cs"/>
          <w:sz w:val="24"/>
          <w:szCs w:val="24"/>
          <w:rtl/>
        </w:rPr>
        <w:t xml:space="preserve"> </w:t>
      </w:r>
    </w:p>
    <w:p w14:paraId="2B48DD22" w14:textId="77777777" w:rsidR="008F3256" w:rsidRPr="002E4EFD" w:rsidRDefault="00BA5877" w:rsidP="003D1EE8">
      <w:pPr>
        <w:jc w:val="center"/>
        <w:rPr>
          <w:sz w:val="24"/>
          <w:szCs w:val="24"/>
        </w:rPr>
      </w:pPr>
      <w:r w:rsidRPr="002E4EFD">
        <w:rPr>
          <w:b/>
          <w:color w:val="1F3A5F"/>
          <w:sz w:val="24"/>
          <w:szCs w:val="24"/>
          <w:rtl/>
        </w:rPr>
        <w:t xml:space="preserve">د. نور </w:t>
      </w:r>
      <w:proofErr w:type="spellStart"/>
      <w:r w:rsidRPr="002E4EFD">
        <w:rPr>
          <w:b/>
          <w:color w:val="1F3A5F"/>
          <w:sz w:val="24"/>
          <w:szCs w:val="24"/>
          <w:rtl/>
        </w:rPr>
        <w:t>عفور</w:t>
      </w:r>
      <w:proofErr w:type="spellEnd"/>
    </w:p>
    <w:p w14:paraId="1683F5C9" w14:textId="1282ECEB" w:rsidR="008F3256" w:rsidRPr="002E4EFD" w:rsidRDefault="00BA5877" w:rsidP="003D1EE8">
      <w:pPr>
        <w:jc w:val="center"/>
        <w:rPr>
          <w:sz w:val="24"/>
          <w:szCs w:val="24"/>
        </w:rPr>
      </w:pPr>
      <w:r w:rsidRPr="002E4EFD">
        <w:rPr>
          <w:b/>
          <w:color w:val="1F3A5F"/>
          <w:sz w:val="24"/>
          <w:szCs w:val="24"/>
          <w:rtl/>
        </w:rPr>
        <w:t>د. آلاء أحمد</w:t>
      </w:r>
    </w:p>
    <w:p w14:paraId="5F78E1BB" w14:textId="77777777" w:rsidR="008F3256" w:rsidRPr="002E4EFD" w:rsidRDefault="008F3256" w:rsidP="002E4EFD">
      <w:pPr>
        <w:jc w:val="mediumKashida"/>
        <w:rPr>
          <w:sz w:val="24"/>
          <w:szCs w:val="24"/>
        </w:rPr>
      </w:pPr>
    </w:p>
    <w:p w14:paraId="3B78A83D" w14:textId="77777777" w:rsidR="008F3256" w:rsidRPr="002E4EFD" w:rsidRDefault="00BA5877" w:rsidP="003D1EE8">
      <w:pPr>
        <w:jc w:val="center"/>
        <w:rPr>
          <w:sz w:val="24"/>
          <w:szCs w:val="24"/>
        </w:rPr>
      </w:pPr>
      <w:r w:rsidRPr="002E4EFD">
        <w:rPr>
          <w:b/>
          <w:color w:val="1F3A5F"/>
          <w:sz w:val="24"/>
          <w:szCs w:val="24"/>
          <w:rtl/>
        </w:rPr>
        <w:t>العام الدراسي: 2026</w:t>
      </w:r>
    </w:p>
    <w:p w14:paraId="1EDAF5D1" w14:textId="77777777" w:rsidR="008F3256" w:rsidRPr="002E4EFD" w:rsidRDefault="00BA5877" w:rsidP="002E4EFD">
      <w:pPr>
        <w:jc w:val="mediumKashida"/>
        <w:rPr>
          <w:sz w:val="24"/>
          <w:szCs w:val="24"/>
        </w:rPr>
      </w:pPr>
      <w:r w:rsidRPr="002E4EFD">
        <w:rPr>
          <w:sz w:val="24"/>
          <w:szCs w:val="24"/>
        </w:rPr>
        <w:br w:type="page"/>
      </w:r>
    </w:p>
    <w:p w14:paraId="51151B9B" w14:textId="77777777" w:rsidR="008F3256" w:rsidRPr="002E4EFD" w:rsidRDefault="00BA5877" w:rsidP="002E4EFD">
      <w:pPr>
        <w:pStyle w:val="1"/>
        <w:spacing w:before="360" w:after="200" w:line="312" w:lineRule="auto"/>
        <w:jc w:val="mediumKashida"/>
        <w:rPr>
          <w:sz w:val="24"/>
          <w:szCs w:val="24"/>
        </w:rPr>
      </w:pPr>
      <w:r w:rsidRPr="002E4EFD">
        <w:rPr>
          <w:rFonts w:ascii="Sakkal Majalla" w:eastAsia="Sakkal Majalla" w:hAnsi="Sakkal Majalla" w:cs="Sakkal Majalla"/>
          <w:color w:val="1F3A5F"/>
          <w:sz w:val="24"/>
          <w:szCs w:val="24"/>
          <w:rtl/>
        </w:rPr>
        <w:lastRenderedPageBreak/>
        <w:t>الشكر والتقدير</w:t>
      </w:r>
    </w:p>
    <w:p w14:paraId="31D0EA7E" w14:textId="77777777" w:rsidR="008F3256" w:rsidRPr="002E4EFD" w:rsidRDefault="00BA5877" w:rsidP="002E4EFD">
      <w:pPr>
        <w:spacing w:after="120" w:line="360" w:lineRule="auto"/>
        <w:jc w:val="mediumKashida"/>
        <w:rPr>
          <w:sz w:val="24"/>
          <w:szCs w:val="24"/>
        </w:rPr>
      </w:pPr>
      <w:r w:rsidRPr="002E4EFD">
        <w:rPr>
          <w:sz w:val="24"/>
          <w:szCs w:val="24"/>
          <w:rtl/>
        </w:rPr>
        <w:t xml:space="preserve">الحمد لله الذي بنعمته تتم الصالحات، والشكر له سبحانه على ما يسّر وأعان حتى انتهى هذا البحث إلى صورته الحالية. وبعد، فإنه يطيب لي في مستهل هذه الدراسة أن أتقدم بأسمى آيات الشكر والامتنان إلى المشرفين الفاضلين الدكتورة نور </w:t>
      </w:r>
      <w:proofErr w:type="spellStart"/>
      <w:r w:rsidRPr="002E4EFD">
        <w:rPr>
          <w:sz w:val="24"/>
          <w:szCs w:val="24"/>
          <w:rtl/>
        </w:rPr>
        <w:t>عفور</w:t>
      </w:r>
      <w:proofErr w:type="spellEnd"/>
      <w:r w:rsidRPr="002E4EFD">
        <w:rPr>
          <w:sz w:val="24"/>
          <w:szCs w:val="24"/>
          <w:rtl/>
        </w:rPr>
        <w:t xml:space="preserve"> والدكتورة آلاء أحمد، اللتين لم يبخل عليّا بتوجيهاتهما العلمية وملاحظاتهما الدقيقة طوال مراحل البحث، وكانت ملاحظاتهما السديدة نبراساً أنار لي طريق العمل. ولولا تواصلهما المستمر وصبرهما على المراجعة والتحقيق لما وصل هذا البحث إلى مستواه الحالي، فجزاهما الله عني خير الجزاء.</w:t>
      </w:r>
    </w:p>
    <w:p w14:paraId="36C0ADCE" w14:textId="77777777" w:rsidR="008F3256" w:rsidRPr="002E4EFD" w:rsidRDefault="00BA5877" w:rsidP="002E4EFD">
      <w:pPr>
        <w:spacing w:after="120" w:line="360" w:lineRule="auto"/>
        <w:jc w:val="mediumKashida"/>
        <w:rPr>
          <w:sz w:val="24"/>
          <w:szCs w:val="24"/>
        </w:rPr>
      </w:pPr>
      <w:r w:rsidRPr="002E4EFD">
        <w:rPr>
          <w:sz w:val="24"/>
          <w:szCs w:val="24"/>
          <w:rtl/>
        </w:rPr>
        <w:t xml:space="preserve">كما أتقدم بجزيل الشكر إلى أعضاء هيئة التدريس بقسم إدارة المشاريع في جامعة </w:t>
      </w:r>
      <w:proofErr w:type="spellStart"/>
      <w:r w:rsidRPr="002E4EFD">
        <w:rPr>
          <w:sz w:val="24"/>
          <w:szCs w:val="24"/>
          <w:rtl/>
        </w:rPr>
        <w:t>مبدأوشن</w:t>
      </w:r>
      <w:proofErr w:type="spellEnd"/>
      <w:r w:rsidRPr="002E4EFD">
        <w:rPr>
          <w:sz w:val="24"/>
          <w:szCs w:val="24"/>
          <w:rtl/>
        </w:rPr>
        <w:t xml:space="preserve"> على ما قدموه لي من علم ومعرفة خلال سنوات الدراسة، وإلى كافة العاملين في الكلية الذين ساعدوا في تذليل الصعوبات الإدارية واللوجستية. ولا يفوتني أن أشكر جميع المختصين والممارسين في قطاع الطاقة المتجددة في المملكة العربية السعودية الذين شاركوا في الإجابة على استبانة الدراسة، وأبدوا تعاوناً ملموساً في تزويدي بالبيانات والمعلومات اللازمة، وهم موضع التقدير لما لمسته منهم من وعي بأهمية البحث العلمي وخدمة الميدان.</w:t>
      </w:r>
    </w:p>
    <w:p w14:paraId="18D87CFF" w14:textId="77777777" w:rsidR="008F3256" w:rsidRPr="002E4EFD" w:rsidRDefault="00BA5877" w:rsidP="002E4EFD">
      <w:pPr>
        <w:spacing w:after="120" w:line="360" w:lineRule="auto"/>
        <w:jc w:val="mediumKashida"/>
        <w:rPr>
          <w:sz w:val="24"/>
          <w:szCs w:val="24"/>
        </w:rPr>
      </w:pPr>
      <w:r w:rsidRPr="002E4EFD">
        <w:rPr>
          <w:sz w:val="24"/>
          <w:szCs w:val="24"/>
          <w:rtl/>
        </w:rPr>
        <w:t>وأخص بالشكر والامتنان من ساعدني من الزملاء والمختصين في مراجعة أداة الدراسة من حيث الصدق والثبات، وكل من أسهم برأي أو خاطرة في إثراء هذا العمل. وآخر دعوانا أن الحمد لله رب العالمين، وأسأل الله العلي القدير أن يجعل هذا العمل خالصاً لوجهه الكريم، وأن ينفع به طلاب العلم والممارسين في الميدان.</w:t>
      </w:r>
    </w:p>
    <w:p w14:paraId="44400F37" w14:textId="77777777" w:rsidR="008F3256" w:rsidRPr="002E4EFD" w:rsidRDefault="00BA5877" w:rsidP="002E4EFD">
      <w:pPr>
        <w:spacing w:after="120" w:line="360" w:lineRule="auto"/>
        <w:jc w:val="mediumKashida"/>
        <w:rPr>
          <w:sz w:val="24"/>
          <w:szCs w:val="24"/>
        </w:rPr>
      </w:pPr>
      <w:r w:rsidRPr="002E4EFD">
        <w:rPr>
          <w:b/>
          <w:color w:val="1F3A5F"/>
          <w:sz w:val="24"/>
          <w:szCs w:val="24"/>
          <w:rtl/>
        </w:rPr>
        <w:t>عبدالله الشمري</w:t>
      </w:r>
    </w:p>
    <w:p w14:paraId="68947CE1" w14:textId="77777777" w:rsidR="008F3256" w:rsidRPr="002E4EFD" w:rsidRDefault="00BA5877" w:rsidP="002E4EFD">
      <w:pPr>
        <w:jc w:val="mediumKashida"/>
        <w:rPr>
          <w:sz w:val="24"/>
          <w:szCs w:val="24"/>
        </w:rPr>
      </w:pPr>
      <w:r w:rsidRPr="002E4EFD">
        <w:rPr>
          <w:sz w:val="24"/>
          <w:szCs w:val="24"/>
        </w:rPr>
        <w:br w:type="page"/>
      </w:r>
    </w:p>
    <w:p w14:paraId="2387C404" w14:textId="77777777" w:rsidR="008F3256" w:rsidRPr="002E4EFD" w:rsidRDefault="00BA5877" w:rsidP="002E4EFD">
      <w:pPr>
        <w:pStyle w:val="1"/>
        <w:spacing w:before="360" w:after="200" w:line="312" w:lineRule="auto"/>
        <w:jc w:val="mediumKashida"/>
        <w:rPr>
          <w:sz w:val="24"/>
          <w:szCs w:val="24"/>
        </w:rPr>
      </w:pPr>
      <w:r w:rsidRPr="002E4EFD">
        <w:rPr>
          <w:rFonts w:ascii="Sakkal Majalla" w:eastAsia="Sakkal Majalla" w:hAnsi="Sakkal Majalla" w:cs="Sakkal Majalla"/>
          <w:color w:val="1F3A5F"/>
          <w:sz w:val="24"/>
          <w:szCs w:val="24"/>
          <w:rtl/>
        </w:rPr>
        <w:lastRenderedPageBreak/>
        <w:t>الملخص</w:t>
      </w:r>
    </w:p>
    <w:p w14:paraId="2A77A618" w14:textId="77777777" w:rsidR="008F3256" w:rsidRPr="002E4EFD" w:rsidRDefault="00BA5877" w:rsidP="002E4EFD">
      <w:pPr>
        <w:spacing w:after="120" w:line="360" w:lineRule="auto"/>
        <w:jc w:val="mediumKashida"/>
        <w:rPr>
          <w:sz w:val="24"/>
          <w:szCs w:val="24"/>
        </w:rPr>
      </w:pPr>
      <w:r w:rsidRPr="002E4EFD">
        <w:rPr>
          <w:sz w:val="24"/>
          <w:szCs w:val="24"/>
          <w:rtl/>
        </w:rPr>
        <w:t xml:space="preserve">هدفت هذه الدراسة إلى التحقق من أثر أنظمة إدارة السلامة بأبعادها الخمسة (القيادة والالتزام بالسلامة، والتدريب والوعي بالسلامة، والتفتيش والرقابة على السلامة، والإبلاغ عن الحوادث والتحقيق فيها، والاستعداد للاستجابة للطوارئ) على أداء المشاريع في مشاريع الطاقة المتجددة في المملكة العربية السعودية. وقد اعتمدت الدراسة على المنهج الوصفي التحليلي القائم على المسح الميداني، حيث صُمّم استبانة مكوّنة من ستة محاور وفق مقياس </w:t>
      </w:r>
      <w:proofErr w:type="spellStart"/>
      <w:r w:rsidRPr="002E4EFD">
        <w:rPr>
          <w:sz w:val="24"/>
          <w:szCs w:val="24"/>
          <w:rtl/>
        </w:rPr>
        <w:t>ليكرت</w:t>
      </w:r>
      <w:proofErr w:type="spellEnd"/>
      <w:r w:rsidRPr="002E4EFD">
        <w:rPr>
          <w:sz w:val="24"/>
          <w:szCs w:val="24"/>
          <w:rtl/>
        </w:rPr>
        <w:t xml:space="preserve"> الخماسي، وتم توزيعها على عينة عشوائية ميسّرة قوامها (40) مفردة من مديري المشاريع ومسؤولي السلامة والمهندسين العاملين في مشاريع الطاقة المتجددة.</w:t>
      </w:r>
    </w:p>
    <w:p w14:paraId="4B2BBBFD" w14:textId="77777777" w:rsidR="008F3256" w:rsidRPr="002E4EFD" w:rsidRDefault="00BA5877" w:rsidP="002E4EFD">
      <w:pPr>
        <w:spacing w:after="120" w:line="360" w:lineRule="auto"/>
        <w:jc w:val="mediumKashida"/>
        <w:rPr>
          <w:sz w:val="24"/>
          <w:szCs w:val="24"/>
        </w:rPr>
      </w:pPr>
      <w:r w:rsidRPr="002E4EFD">
        <w:rPr>
          <w:sz w:val="24"/>
          <w:szCs w:val="24"/>
          <w:rtl/>
        </w:rPr>
        <w:t>وأظهرت النتائج أن مستوى تطبيق أنظمة إدارة السلامة جاء بدرجة متوسطة إلى مرتفعة، حيث تصدر بُعد التدريب والوعي بالسلامة قائمة الأبعاد بمتوسط حسابي (4.02) ووزن نسبي (80.4%)، في حين جاء بُعد الإبلاغ عن الحوادث والتحقيق فيها في المرتبة الأخيرة بمتوسط (3.58) ووزن نسبي (71.6%). كما أظهرت نتائج تحليل الارتباط والانحدار الخطي البسيط وجود علاقات ارتباطية موجبة وقوية ودالة إحصائياً عند مستوى الدلالة (</w:t>
      </w:r>
      <w:r w:rsidRPr="002E4EFD">
        <w:rPr>
          <w:rFonts w:ascii="Cambria" w:hAnsi="Cambria" w:cs="Cambria" w:hint="cs"/>
          <w:sz w:val="24"/>
          <w:szCs w:val="24"/>
          <w:rtl/>
        </w:rPr>
        <w:t>α</w:t>
      </w:r>
      <w:r w:rsidRPr="002E4EFD">
        <w:rPr>
          <w:sz w:val="24"/>
          <w:szCs w:val="24"/>
          <w:rtl/>
        </w:rPr>
        <w:t xml:space="preserve"> ≤ 0.01) بين جميع أبعاد نظام إدارة السلامة وأداء المشاريع، تراوحت بين (0.734) و(0.847). وأظهر تحليل الانحدار المتعدد أن أبعاد النظام الخمسة مجتمعةً تفسّر (79.4%) من التباين في أداء المشاريع، وأن بُعد التدريب والوعي بالسلامة يُعد البعد الأكثر تأثيراً بقيمة معامل بيتا (0.312).</w:t>
      </w:r>
    </w:p>
    <w:p w14:paraId="67D7A782" w14:textId="77777777" w:rsidR="008F3256" w:rsidRPr="002E4EFD" w:rsidRDefault="00BA5877" w:rsidP="002E4EFD">
      <w:pPr>
        <w:spacing w:after="120" w:line="360" w:lineRule="auto"/>
        <w:jc w:val="mediumKashida"/>
        <w:rPr>
          <w:sz w:val="24"/>
          <w:szCs w:val="24"/>
        </w:rPr>
      </w:pPr>
      <w:r w:rsidRPr="002E4EFD">
        <w:rPr>
          <w:sz w:val="24"/>
          <w:szCs w:val="24"/>
          <w:rtl/>
        </w:rPr>
        <w:t>وأوصت الدراسة بضرورة تكثيف الاستثمار في برامج التدريب على السلامة، وتعزيز دور القيادة في ترسيخ ثقافة السلامة، وتطوير أنظمة الإبلاغ عن الحوادث بما يضمن الشفافية وتحليل الأسباب الجذرية، فضلاً عن تخصيص ميزانيات واضحة للاستعداد للطوارئ في المشاريع الكبرى للطاقة المتجددة، وإدراج اشتراطات السلامة ضمن معايير التقييم المسبق للمقاولين.</w:t>
      </w:r>
    </w:p>
    <w:p w14:paraId="574214D2" w14:textId="77777777" w:rsidR="008F3256" w:rsidRPr="002E4EFD" w:rsidRDefault="008F3256" w:rsidP="002E4EFD">
      <w:pPr>
        <w:jc w:val="mediumKashida"/>
        <w:rPr>
          <w:sz w:val="24"/>
          <w:szCs w:val="24"/>
        </w:rPr>
      </w:pPr>
    </w:p>
    <w:p w14:paraId="1D259A07" w14:textId="77777777" w:rsidR="008F3256" w:rsidRPr="002E4EFD" w:rsidRDefault="00BA5877" w:rsidP="002E4EFD">
      <w:pPr>
        <w:jc w:val="mediumKashida"/>
        <w:rPr>
          <w:sz w:val="24"/>
          <w:szCs w:val="24"/>
        </w:rPr>
      </w:pPr>
      <w:r w:rsidRPr="002E4EFD">
        <w:rPr>
          <w:b/>
          <w:color w:val="1F3A5F"/>
          <w:sz w:val="24"/>
          <w:szCs w:val="24"/>
          <w:rtl/>
        </w:rPr>
        <w:t xml:space="preserve">الكلمات المفتاحية: </w:t>
      </w:r>
      <w:r w:rsidRPr="002E4EFD">
        <w:rPr>
          <w:sz w:val="24"/>
          <w:szCs w:val="24"/>
          <w:rtl/>
        </w:rPr>
        <w:t>أنظمة إدارة السلامة، أداء المشاريع، الطاقة المتجددة، المملكة العربية السعودية، رؤية 2030، ISO 45001.</w:t>
      </w:r>
    </w:p>
    <w:p w14:paraId="4692BAEF" w14:textId="77777777" w:rsidR="008F3256" w:rsidRPr="002E4EFD" w:rsidRDefault="00BA5877" w:rsidP="002E4EFD">
      <w:pPr>
        <w:jc w:val="mediumKashida"/>
        <w:rPr>
          <w:sz w:val="24"/>
          <w:szCs w:val="24"/>
        </w:rPr>
      </w:pPr>
      <w:r w:rsidRPr="002E4EFD">
        <w:rPr>
          <w:sz w:val="24"/>
          <w:szCs w:val="24"/>
        </w:rPr>
        <w:br w:type="page"/>
      </w:r>
    </w:p>
    <w:p w14:paraId="061A4C1A" w14:textId="77777777" w:rsidR="008F3256" w:rsidRPr="002E4EFD" w:rsidRDefault="00BA5877" w:rsidP="002E4EFD">
      <w:pPr>
        <w:pStyle w:val="1"/>
        <w:spacing w:before="360" w:after="200" w:line="312" w:lineRule="auto"/>
        <w:jc w:val="mediumKashida"/>
        <w:rPr>
          <w:sz w:val="24"/>
          <w:szCs w:val="24"/>
        </w:rPr>
      </w:pPr>
      <w:proofErr w:type="spellStart"/>
      <w:r w:rsidRPr="002E4EFD">
        <w:rPr>
          <w:rFonts w:ascii="Sakkal Majalla" w:eastAsia="Sakkal Majalla" w:hAnsi="Sakkal Majalla" w:cs="Sakkal Majalla"/>
          <w:color w:val="1F3A5F"/>
          <w:sz w:val="24"/>
          <w:szCs w:val="24"/>
          <w:rtl/>
        </w:rPr>
        <w:lastRenderedPageBreak/>
        <w:t>Abstract</w:t>
      </w:r>
      <w:proofErr w:type="spellEnd"/>
    </w:p>
    <w:p w14:paraId="39E63CCA" w14:textId="77777777" w:rsidR="008F3256" w:rsidRPr="002E4EFD" w:rsidRDefault="00BA5877" w:rsidP="002E4EFD">
      <w:pPr>
        <w:bidi w:val="0"/>
        <w:spacing w:after="120" w:line="360" w:lineRule="auto"/>
        <w:jc w:val="both"/>
        <w:rPr>
          <w:sz w:val="24"/>
          <w:szCs w:val="24"/>
        </w:rPr>
      </w:pPr>
      <w:r w:rsidRPr="002E4EFD">
        <w:rPr>
          <w:rFonts w:hint="cs"/>
          <w:sz w:val="24"/>
          <w:szCs w:val="24"/>
        </w:rPr>
        <w:t>This study aimed to investigate the impact of safety management systems on project performance in renewable energy projects in the Kingdom of Saudi Arabia. The study adopted a descriptive-analytical approach based on field survey. A questionnaire consisting of six axes was designed according to the five-point Likert scale and distributed to a convenience random sample of (40) project managers, safety officers, and engineers working in renewable energy projects. The five independent dimensions examined were: safety leadership and commitment, safety training and awareness, safety inspection and monitoring, incident reporting and investigation, and emergency response preparedness.</w:t>
      </w:r>
    </w:p>
    <w:p w14:paraId="50B6E5D4" w14:textId="77777777" w:rsidR="008F3256" w:rsidRPr="002E4EFD" w:rsidRDefault="00BA5877" w:rsidP="002E4EFD">
      <w:pPr>
        <w:bidi w:val="0"/>
        <w:spacing w:after="120" w:line="360" w:lineRule="auto"/>
        <w:jc w:val="both"/>
        <w:rPr>
          <w:sz w:val="24"/>
          <w:szCs w:val="24"/>
        </w:rPr>
      </w:pPr>
      <w:r w:rsidRPr="002E4EFD">
        <w:rPr>
          <w:rFonts w:hint="cs"/>
          <w:sz w:val="24"/>
          <w:szCs w:val="24"/>
        </w:rPr>
        <w:t>The results showed that the level of safety management system application ranged between medium and high. Safety training and awareness ranked first with a mean of (4.02) and a relative weight of (80.4%), while incident reporting and investigation ranked last with a mean of (3.58) and a relative weight of (71.6%). Correlation and simple linear regression analyses revealed positive, strong, and statistically significant relationships at the (</w:t>
      </w:r>
      <w:r w:rsidRPr="002E4EFD">
        <w:rPr>
          <w:rFonts w:ascii="Cambria" w:hAnsi="Cambria" w:cs="Cambria"/>
          <w:sz w:val="24"/>
          <w:szCs w:val="24"/>
        </w:rPr>
        <w:t>α</w:t>
      </w:r>
      <w:r w:rsidRPr="002E4EFD">
        <w:rPr>
          <w:rFonts w:hint="cs"/>
          <w:sz w:val="24"/>
          <w:szCs w:val="24"/>
        </w:rPr>
        <w:t xml:space="preserve"> ≤ 0.01) level between all safety management system dimensions and project performance, ranging from (0.734) to (0.847). Multiple regression analysis showed that the five dimensions collectively explained (79.4%) of the variance in project performance, with safety training and awareness being the most influential dimension (</w:t>
      </w:r>
      <w:r w:rsidRPr="002E4EFD">
        <w:rPr>
          <w:rFonts w:ascii="Cambria" w:hAnsi="Cambria" w:cs="Cambria"/>
          <w:sz w:val="24"/>
          <w:szCs w:val="24"/>
        </w:rPr>
        <w:t>β</w:t>
      </w:r>
      <w:r w:rsidRPr="002E4EFD">
        <w:rPr>
          <w:rFonts w:hint="cs"/>
          <w:sz w:val="24"/>
          <w:szCs w:val="24"/>
        </w:rPr>
        <w:t xml:space="preserve"> = 0.312).</w:t>
      </w:r>
    </w:p>
    <w:p w14:paraId="139BC4B2" w14:textId="77777777" w:rsidR="008F3256" w:rsidRPr="002E4EFD" w:rsidRDefault="00BA5877" w:rsidP="002E4EFD">
      <w:pPr>
        <w:bidi w:val="0"/>
        <w:spacing w:after="120" w:line="360" w:lineRule="auto"/>
        <w:jc w:val="both"/>
        <w:rPr>
          <w:sz w:val="24"/>
          <w:szCs w:val="24"/>
        </w:rPr>
      </w:pPr>
      <w:r w:rsidRPr="002E4EFD">
        <w:rPr>
          <w:rFonts w:hint="cs"/>
          <w:sz w:val="24"/>
          <w:szCs w:val="24"/>
        </w:rPr>
        <w:t>The study recommended intensifying investment in safety training programs, strengthening leadership role in embedding safety culture, developing transparent incident reporting systems with root-cause analysis, allocating clear budgets for emergency preparedness in major renewable energy projects, and incorporating safety requirements within pre-qualification criteria for contractors.</w:t>
      </w:r>
    </w:p>
    <w:p w14:paraId="59D58980" w14:textId="77777777" w:rsidR="008F3256" w:rsidRPr="002E4EFD" w:rsidRDefault="008F3256" w:rsidP="002E4EFD">
      <w:pPr>
        <w:bidi w:val="0"/>
        <w:jc w:val="both"/>
        <w:rPr>
          <w:sz w:val="24"/>
          <w:szCs w:val="24"/>
        </w:rPr>
      </w:pPr>
    </w:p>
    <w:p w14:paraId="7008CD1D" w14:textId="77777777" w:rsidR="008F3256" w:rsidRPr="002E4EFD" w:rsidRDefault="00BA5877" w:rsidP="002E4EFD">
      <w:pPr>
        <w:bidi w:val="0"/>
        <w:jc w:val="both"/>
        <w:rPr>
          <w:sz w:val="24"/>
          <w:szCs w:val="24"/>
        </w:rPr>
      </w:pPr>
      <w:r w:rsidRPr="002E4EFD">
        <w:rPr>
          <w:rFonts w:hint="cs"/>
          <w:b/>
          <w:sz w:val="24"/>
          <w:szCs w:val="24"/>
        </w:rPr>
        <w:t xml:space="preserve">Keywords: </w:t>
      </w:r>
      <w:r w:rsidRPr="002E4EFD">
        <w:rPr>
          <w:rFonts w:hint="cs"/>
          <w:sz w:val="24"/>
          <w:szCs w:val="24"/>
        </w:rPr>
        <w:t>Safety Management Systems, Project Performance, Renewable Energy, Saudi Arabia, Vision 2030, ISO 45001.</w:t>
      </w:r>
    </w:p>
    <w:p w14:paraId="1CB1B4AB" w14:textId="77777777" w:rsidR="008F3256" w:rsidRPr="002E4EFD" w:rsidRDefault="00BA5877" w:rsidP="002E4EFD">
      <w:pPr>
        <w:bidi w:val="0"/>
        <w:jc w:val="both"/>
        <w:rPr>
          <w:sz w:val="24"/>
          <w:szCs w:val="24"/>
        </w:rPr>
      </w:pPr>
      <w:r w:rsidRPr="002E4EFD">
        <w:rPr>
          <w:rFonts w:hint="cs"/>
          <w:sz w:val="24"/>
          <w:szCs w:val="24"/>
        </w:rPr>
        <w:br w:type="page"/>
      </w:r>
    </w:p>
    <w:p w14:paraId="686CC395" w14:textId="77777777" w:rsidR="008F3256" w:rsidRPr="002E4EFD" w:rsidRDefault="00BA5877" w:rsidP="002E4EFD">
      <w:pPr>
        <w:pStyle w:val="1"/>
        <w:spacing w:before="360" w:after="200" w:line="312" w:lineRule="auto"/>
        <w:jc w:val="mediumKashida"/>
        <w:rPr>
          <w:sz w:val="24"/>
          <w:szCs w:val="24"/>
        </w:rPr>
      </w:pPr>
      <w:r w:rsidRPr="002E4EFD">
        <w:rPr>
          <w:rFonts w:ascii="Sakkal Majalla" w:eastAsia="Sakkal Majalla" w:hAnsi="Sakkal Majalla" w:cs="Sakkal Majalla"/>
          <w:color w:val="1F3A5F"/>
          <w:sz w:val="24"/>
          <w:szCs w:val="24"/>
          <w:rtl/>
        </w:rPr>
        <w:lastRenderedPageBreak/>
        <w:t>فهرس المحتويات</w:t>
      </w:r>
    </w:p>
    <w:tbl>
      <w:tblPr>
        <w:tblStyle w:val="afa"/>
        <w:bidiVisual/>
        <w:tblW w:w="0" w:type="auto"/>
        <w:tblLook w:val="04A0" w:firstRow="1" w:lastRow="0" w:firstColumn="1" w:lastColumn="0" w:noHBand="0" w:noVBand="1"/>
      </w:tblPr>
      <w:tblGrid>
        <w:gridCol w:w="9622"/>
      </w:tblGrid>
      <w:tr w:rsidR="005A3D98" w:rsidRPr="005A3D98" w14:paraId="54509354" w14:textId="77777777">
        <w:tc>
          <w:tcPr>
            <w:tcW w:w="9622" w:type="dxa"/>
          </w:tcPr>
          <w:p w14:paraId="553E5BB2"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الشكر والتقدير</w:t>
            </w:r>
            <w:r w:rsidRPr="005A3D98">
              <w:rPr>
                <w:sz w:val="24"/>
                <w:szCs w:val="24"/>
                <w:lang w:bidi="ar-YE"/>
              </w:rPr>
              <w:t>…………</w:t>
            </w:r>
          </w:p>
        </w:tc>
      </w:tr>
      <w:tr w:rsidR="005A3D98" w:rsidRPr="005A3D98" w14:paraId="19BF2D55" w14:textId="77777777">
        <w:tc>
          <w:tcPr>
            <w:tcW w:w="9622" w:type="dxa"/>
          </w:tcPr>
          <w:p w14:paraId="3230EB49"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الملخص</w:t>
            </w:r>
          </w:p>
        </w:tc>
      </w:tr>
      <w:tr w:rsidR="005A3D98" w:rsidRPr="005A3D98" w14:paraId="2AACDE51" w14:textId="77777777">
        <w:tc>
          <w:tcPr>
            <w:tcW w:w="9622" w:type="dxa"/>
          </w:tcPr>
          <w:p w14:paraId="563AD93D" w14:textId="77777777" w:rsidR="005A3D98" w:rsidRPr="005A3D98" w:rsidRDefault="005A3D98" w:rsidP="00FF0E11">
            <w:pPr>
              <w:spacing w:after="80" w:line="336" w:lineRule="auto"/>
              <w:jc w:val="mediumKashida"/>
              <w:rPr>
                <w:sz w:val="24"/>
                <w:szCs w:val="24"/>
              </w:rPr>
            </w:pPr>
            <w:proofErr w:type="spellStart"/>
            <w:r w:rsidRPr="005A3D98">
              <w:rPr>
                <w:b/>
                <w:color w:val="1F3A5F"/>
                <w:sz w:val="24"/>
                <w:szCs w:val="24"/>
                <w:rtl/>
              </w:rPr>
              <w:t>Abstract</w:t>
            </w:r>
            <w:proofErr w:type="spellEnd"/>
          </w:p>
        </w:tc>
      </w:tr>
      <w:tr w:rsidR="005A3D98" w:rsidRPr="005A3D98" w14:paraId="67D5AD5D" w14:textId="77777777">
        <w:tc>
          <w:tcPr>
            <w:tcW w:w="9622" w:type="dxa"/>
          </w:tcPr>
          <w:p w14:paraId="44D98525"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الفصل الأول: الإطار العام للدراسة</w:t>
            </w:r>
          </w:p>
        </w:tc>
      </w:tr>
      <w:tr w:rsidR="005A3D98" w:rsidRPr="005A3D98" w14:paraId="49309A6A" w14:textId="77777777">
        <w:tc>
          <w:tcPr>
            <w:tcW w:w="9622" w:type="dxa"/>
          </w:tcPr>
          <w:p w14:paraId="0B68A939" w14:textId="77777777" w:rsidR="005A3D98" w:rsidRPr="005A3D98" w:rsidRDefault="005A3D98" w:rsidP="00FF0E11">
            <w:pPr>
              <w:spacing w:after="80" w:line="336" w:lineRule="auto"/>
              <w:jc w:val="mediumKashida"/>
              <w:rPr>
                <w:sz w:val="24"/>
                <w:szCs w:val="24"/>
              </w:rPr>
            </w:pPr>
            <w:r w:rsidRPr="005A3D98">
              <w:rPr>
                <w:sz w:val="24"/>
                <w:szCs w:val="24"/>
                <w:rtl/>
              </w:rPr>
              <w:t xml:space="preserve">    1.1 المقدمة</w:t>
            </w:r>
          </w:p>
        </w:tc>
      </w:tr>
      <w:tr w:rsidR="005A3D98" w:rsidRPr="005A3D98" w14:paraId="7A60FA91" w14:textId="77777777">
        <w:tc>
          <w:tcPr>
            <w:tcW w:w="9622" w:type="dxa"/>
          </w:tcPr>
          <w:p w14:paraId="68A0C2E0" w14:textId="77777777" w:rsidR="005A3D98" w:rsidRPr="005A3D98" w:rsidRDefault="005A3D98" w:rsidP="00FF0E11">
            <w:pPr>
              <w:spacing w:after="80" w:line="336" w:lineRule="auto"/>
              <w:jc w:val="mediumKashida"/>
              <w:rPr>
                <w:sz w:val="24"/>
                <w:szCs w:val="24"/>
              </w:rPr>
            </w:pPr>
            <w:r w:rsidRPr="005A3D98">
              <w:rPr>
                <w:sz w:val="24"/>
                <w:szCs w:val="24"/>
                <w:rtl/>
              </w:rPr>
              <w:t xml:space="preserve">    1.2 مشكلة الدراسة</w:t>
            </w:r>
          </w:p>
        </w:tc>
      </w:tr>
      <w:tr w:rsidR="005A3D98" w:rsidRPr="005A3D98" w14:paraId="508F02F8" w14:textId="77777777">
        <w:tc>
          <w:tcPr>
            <w:tcW w:w="9622" w:type="dxa"/>
          </w:tcPr>
          <w:p w14:paraId="75797BCB" w14:textId="77777777" w:rsidR="005A3D98" w:rsidRPr="005A3D98" w:rsidRDefault="005A3D98" w:rsidP="00FF0E11">
            <w:pPr>
              <w:spacing w:after="80" w:line="336" w:lineRule="auto"/>
              <w:jc w:val="mediumKashida"/>
              <w:rPr>
                <w:sz w:val="24"/>
                <w:szCs w:val="24"/>
              </w:rPr>
            </w:pPr>
            <w:r w:rsidRPr="005A3D98">
              <w:rPr>
                <w:sz w:val="24"/>
                <w:szCs w:val="24"/>
                <w:rtl/>
              </w:rPr>
              <w:t xml:space="preserve">    1.3 أهداف الدراسة</w:t>
            </w:r>
          </w:p>
        </w:tc>
      </w:tr>
      <w:tr w:rsidR="005A3D98" w:rsidRPr="005A3D98" w14:paraId="3F619F87" w14:textId="77777777">
        <w:tc>
          <w:tcPr>
            <w:tcW w:w="9622" w:type="dxa"/>
          </w:tcPr>
          <w:p w14:paraId="1971D769" w14:textId="77777777" w:rsidR="005A3D98" w:rsidRPr="005A3D98" w:rsidRDefault="005A3D98" w:rsidP="00FF0E11">
            <w:pPr>
              <w:spacing w:after="80" w:line="336" w:lineRule="auto"/>
              <w:jc w:val="mediumKashida"/>
              <w:rPr>
                <w:sz w:val="24"/>
                <w:szCs w:val="24"/>
              </w:rPr>
            </w:pPr>
            <w:r w:rsidRPr="005A3D98">
              <w:rPr>
                <w:sz w:val="24"/>
                <w:szCs w:val="24"/>
                <w:rtl/>
              </w:rPr>
              <w:t xml:space="preserve">    1.4 تساؤلات الدراسة</w:t>
            </w:r>
          </w:p>
        </w:tc>
      </w:tr>
      <w:tr w:rsidR="005A3D98" w:rsidRPr="005A3D98" w14:paraId="53202E35" w14:textId="77777777">
        <w:tc>
          <w:tcPr>
            <w:tcW w:w="9622" w:type="dxa"/>
          </w:tcPr>
          <w:p w14:paraId="1F31C35B" w14:textId="77777777" w:rsidR="005A3D98" w:rsidRPr="005A3D98" w:rsidRDefault="005A3D98" w:rsidP="00FF0E11">
            <w:pPr>
              <w:spacing w:after="80" w:line="336" w:lineRule="auto"/>
              <w:jc w:val="mediumKashida"/>
              <w:rPr>
                <w:sz w:val="24"/>
                <w:szCs w:val="24"/>
              </w:rPr>
            </w:pPr>
            <w:r w:rsidRPr="005A3D98">
              <w:rPr>
                <w:sz w:val="24"/>
                <w:szCs w:val="24"/>
                <w:rtl/>
              </w:rPr>
              <w:t xml:space="preserve">    1.5 أهمية الدراسة (علمية وعملية)</w:t>
            </w:r>
          </w:p>
        </w:tc>
      </w:tr>
      <w:tr w:rsidR="005A3D98" w:rsidRPr="005A3D98" w14:paraId="62672B74" w14:textId="77777777">
        <w:tc>
          <w:tcPr>
            <w:tcW w:w="9622" w:type="dxa"/>
          </w:tcPr>
          <w:p w14:paraId="14999148" w14:textId="77777777" w:rsidR="005A3D98" w:rsidRPr="005A3D98" w:rsidRDefault="005A3D98" w:rsidP="00FF0E11">
            <w:pPr>
              <w:spacing w:after="80" w:line="336" w:lineRule="auto"/>
              <w:jc w:val="mediumKashida"/>
              <w:rPr>
                <w:sz w:val="24"/>
                <w:szCs w:val="24"/>
              </w:rPr>
            </w:pPr>
            <w:r w:rsidRPr="005A3D98">
              <w:rPr>
                <w:sz w:val="24"/>
                <w:szCs w:val="24"/>
                <w:rtl/>
              </w:rPr>
              <w:t xml:space="preserve">    1.6 فرضيات الدراسة</w:t>
            </w:r>
          </w:p>
        </w:tc>
      </w:tr>
      <w:tr w:rsidR="005A3D98" w:rsidRPr="005A3D98" w14:paraId="79332CDD" w14:textId="77777777">
        <w:tc>
          <w:tcPr>
            <w:tcW w:w="9622" w:type="dxa"/>
          </w:tcPr>
          <w:p w14:paraId="2AFAF91A" w14:textId="77777777" w:rsidR="005A3D98" w:rsidRPr="005A3D98" w:rsidRDefault="005A3D98" w:rsidP="00FF0E11">
            <w:pPr>
              <w:spacing w:after="80" w:line="336" w:lineRule="auto"/>
              <w:jc w:val="mediumKashida"/>
              <w:rPr>
                <w:sz w:val="24"/>
                <w:szCs w:val="24"/>
              </w:rPr>
            </w:pPr>
            <w:r w:rsidRPr="005A3D98">
              <w:rPr>
                <w:sz w:val="24"/>
                <w:szCs w:val="24"/>
                <w:rtl/>
              </w:rPr>
              <w:t xml:space="preserve">    1.7 النموذج النظري ومتغيرات الدراسة</w:t>
            </w:r>
          </w:p>
        </w:tc>
      </w:tr>
      <w:tr w:rsidR="005A3D98" w:rsidRPr="005A3D98" w14:paraId="16DE8C18" w14:textId="77777777">
        <w:tc>
          <w:tcPr>
            <w:tcW w:w="9622" w:type="dxa"/>
          </w:tcPr>
          <w:p w14:paraId="3B4D12FF"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الفصل الثاني: الإطار النظري والدراسات السابقة</w:t>
            </w:r>
          </w:p>
        </w:tc>
      </w:tr>
      <w:tr w:rsidR="005A3D98" w:rsidRPr="005A3D98" w14:paraId="10DE7DA9" w14:textId="77777777">
        <w:tc>
          <w:tcPr>
            <w:tcW w:w="9622" w:type="dxa"/>
          </w:tcPr>
          <w:p w14:paraId="72B124D2" w14:textId="77777777" w:rsidR="005A3D98" w:rsidRPr="005A3D98" w:rsidRDefault="005A3D98" w:rsidP="00FF0E11">
            <w:pPr>
              <w:spacing w:after="80" w:line="336" w:lineRule="auto"/>
              <w:jc w:val="mediumKashida"/>
              <w:rPr>
                <w:sz w:val="24"/>
                <w:szCs w:val="24"/>
              </w:rPr>
            </w:pPr>
            <w:r w:rsidRPr="005A3D98">
              <w:rPr>
                <w:sz w:val="24"/>
                <w:szCs w:val="24"/>
                <w:rtl/>
              </w:rPr>
              <w:t xml:space="preserve">    2.1 مفهوم أنظمة إدارة السلامة وتطورها</w:t>
            </w:r>
          </w:p>
        </w:tc>
      </w:tr>
      <w:tr w:rsidR="005A3D98" w:rsidRPr="005A3D98" w14:paraId="5FD8DB52" w14:textId="77777777">
        <w:tc>
          <w:tcPr>
            <w:tcW w:w="9622" w:type="dxa"/>
          </w:tcPr>
          <w:p w14:paraId="42876920" w14:textId="77777777" w:rsidR="005A3D98" w:rsidRPr="005A3D98" w:rsidRDefault="005A3D98" w:rsidP="00FF0E11">
            <w:pPr>
              <w:spacing w:after="80" w:line="336" w:lineRule="auto"/>
              <w:jc w:val="mediumKashida"/>
              <w:rPr>
                <w:sz w:val="24"/>
                <w:szCs w:val="24"/>
              </w:rPr>
            </w:pPr>
            <w:r w:rsidRPr="005A3D98">
              <w:rPr>
                <w:sz w:val="24"/>
                <w:szCs w:val="24"/>
                <w:rtl/>
              </w:rPr>
              <w:t xml:space="preserve">    2.2 المرجعية المعيارية (ISO 45001:2023)</w:t>
            </w:r>
          </w:p>
        </w:tc>
      </w:tr>
      <w:tr w:rsidR="005A3D98" w:rsidRPr="005A3D98" w14:paraId="723170B4" w14:textId="77777777">
        <w:tc>
          <w:tcPr>
            <w:tcW w:w="9622" w:type="dxa"/>
          </w:tcPr>
          <w:p w14:paraId="1D62CBCE" w14:textId="77777777" w:rsidR="005A3D98" w:rsidRPr="005A3D98" w:rsidRDefault="005A3D98" w:rsidP="00FF0E11">
            <w:pPr>
              <w:spacing w:after="80" w:line="336" w:lineRule="auto"/>
              <w:jc w:val="mediumKashida"/>
              <w:rPr>
                <w:sz w:val="24"/>
                <w:szCs w:val="24"/>
              </w:rPr>
            </w:pPr>
            <w:r w:rsidRPr="005A3D98">
              <w:rPr>
                <w:sz w:val="24"/>
                <w:szCs w:val="24"/>
                <w:rtl/>
              </w:rPr>
              <w:t xml:space="preserve">    2.3 أبعاد نظام إدارة السلامة</w:t>
            </w:r>
          </w:p>
        </w:tc>
      </w:tr>
      <w:tr w:rsidR="005A3D98" w:rsidRPr="005A3D98" w14:paraId="1F84C4F4" w14:textId="77777777">
        <w:tc>
          <w:tcPr>
            <w:tcW w:w="9622" w:type="dxa"/>
          </w:tcPr>
          <w:p w14:paraId="6DBDA58B" w14:textId="77777777" w:rsidR="005A3D98" w:rsidRPr="005A3D98" w:rsidRDefault="005A3D98" w:rsidP="00FF0E11">
            <w:pPr>
              <w:spacing w:after="80" w:line="336" w:lineRule="auto"/>
              <w:jc w:val="mediumKashida"/>
              <w:rPr>
                <w:sz w:val="24"/>
                <w:szCs w:val="24"/>
              </w:rPr>
            </w:pPr>
            <w:r w:rsidRPr="005A3D98">
              <w:rPr>
                <w:sz w:val="24"/>
                <w:szCs w:val="24"/>
                <w:rtl/>
              </w:rPr>
              <w:t xml:space="preserve">    2.4 القيادة والالتزام بالسلامة</w:t>
            </w:r>
          </w:p>
        </w:tc>
      </w:tr>
      <w:tr w:rsidR="005A3D98" w:rsidRPr="005A3D98" w14:paraId="4BD8AA61" w14:textId="77777777">
        <w:tc>
          <w:tcPr>
            <w:tcW w:w="9622" w:type="dxa"/>
          </w:tcPr>
          <w:p w14:paraId="43847711" w14:textId="77777777" w:rsidR="005A3D98" w:rsidRPr="005A3D98" w:rsidRDefault="005A3D98" w:rsidP="00FF0E11">
            <w:pPr>
              <w:spacing w:after="80" w:line="336" w:lineRule="auto"/>
              <w:jc w:val="mediumKashida"/>
              <w:rPr>
                <w:sz w:val="24"/>
                <w:szCs w:val="24"/>
              </w:rPr>
            </w:pPr>
            <w:r w:rsidRPr="005A3D98">
              <w:rPr>
                <w:sz w:val="24"/>
                <w:szCs w:val="24"/>
                <w:rtl/>
              </w:rPr>
              <w:t xml:space="preserve">    2.5 التدريب والوعي بالسلامة</w:t>
            </w:r>
          </w:p>
        </w:tc>
      </w:tr>
      <w:tr w:rsidR="005A3D98" w:rsidRPr="005A3D98" w14:paraId="6028A159" w14:textId="77777777">
        <w:tc>
          <w:tcPr>
            <w:tcW w:w="9622" w:type="dxa"/>
          </w:tcPr>
          <w:p w14:paraId="520D37F5" w14:textId="77777777" w:rsidR="005A3D98" w:rsidRPr="005A3D98" w:rsidRDefault="005A3D98" w:rsidP="00FF0E11">
            <w:pPr>
              <w:spacing w:after="80" w:line="336" w:lineRule="auto"/>
              <w:jc w:val="mediumKashida"/>
              <w:rPr>
                <w:sz w:val="24"/>
                <w:szCs w:val="24"/>
              </w:rPr>
            </w:pPr>
            <w:r w:rsidRPr="005A3D98">
              <w:rPr>
                <w:sz w:val="24"/>
                <w:szCs w:val="24"/>
                <w:rtl/>
              </w:rPr>
              <w:t xml:space="preserve">    2.6 التفتيش والرقابة على السلامة</w:t>
            </w:r>
          </w:p>
        </w:tc>
      </w:tr>
      <w:tr w:rsidR="005A3D98" w:rsidRPr="005A3D98" w14:paraId="74018816" w14:textId="77777777">
        <w:tc>
          <w:tcPr>
            <w:tcW w:w="9622" w:type="dxa"/>
          </w:tcPr>
          <w:p w14:paraId="11C2AA07" w14:textId="77777777" w:rsidR="005A3D98" w:rsidRPr="005A3D98" w:rsidRDefault="005A3D98" w:rsidP="00FF0E11">
            <w:pPr>
              <w:spacing w:after="80" w:line="336" w:lineRule="auto"/>
              <w:jc w:val="mediumKashida"/>
              <w:rPr>
                <w:sz w:val="24"/>
                <w:szCs w:val="24"/>
              </w:rPr>
            </w:pPr>
            <w:r w:rsidRPr="005A3D98">
              <w:rPr>
                <w:sz w:val="24"/>
                <w:szCs w:val="24"/>
                <w:rtl/>
              </w:rPr>
              <w:t xml:space="preserve">    2.7 الإبلاغ عن الحوادث والتحقيق فيها</w:t>
            </w:r>
          </w:p>
        </w:tc>
      </w:tr>
      <w:tr w:rsidR="005A3D98" w:rsidRPr="005A3D98" w14:paraId="0703D506" w14:textId="77777777">
        <w:tc>
          <w:tcPr>
            <w:tcW w:w="9622" w:type="dxa"/>
          </w:tcPr>
          <w:p w14:paraId="79CEA102" w14:textId="77777777" w:rsidR="005A3D98" w:rsidRPr="005A3D98" w:rsidRDefault="005A3D98" w:rsidP="00FF0E11">
            <w:pPr>
              <w:spacing w:after="80" w:line="336" w:lineRule="auto"/>
              <w:jc w:val="mediumKashida"/>
              <w:rPr>
                <w:sz w:val="24"/>
                <w:szCs w:val="24"/>
              </w:rPr>
            </w:pPr>
            <w:r w:rsidRPr="005A3D98">
              <w:rPr>
                <w:sz w:val="24"/>
                <w:szCs w:val="24"/>
                <w:rtl/>
              </w:rPr>
              <w:t xml:space="preserve">    2.8 الاستعداد للاستجابة للطوارئ</w:t>
            </w:r>
          </w:p>
        </w:tc>
      </w:tr>
      <w:tr w:rsidR="005A3D98" w:rsidRPr="005A3D98" w14:paraId="332CE66E" w14:textId="77777777">
        <w:tc>
          <w:tcPr>
            <w:tcW w:w="9622" w:type="dxa"/>
          </w:tcPr>
          <w:p w14:paraId="390FEE11" w14:textId="77777777" w:rsidR="005A3D98" w:rsidRPr="005A3D98" w:rsidRDefault="005A3D98" w:rsidP="00FF0E11">
            <w:pPr>
              <w:spacing w:after="80" w:line="336" w:lineRule="auto"/>
              <w:jc w:val="mediumKashida"/>
              <w:rPr>
                <w:sz w:val="24"/>
                <w:szCs w:val="24"/>
              </w:rPr>
            </w:pPr>
            <w:r w:rsidRPr="005A3D98">
              <w:rPr>
                <w:sz w:val="24"/>
                <w:szCs w:val="24"/>
                <w:rtl/>
              </w:rPr>
              <w:t xml:space="preserve">    2.9 أداء المشاريع: المفهوم والمؤشرات</w:t>
            </w:r>
          </w:p>
        </w:tc>
      </w:tr>
      <w:tr w:rsidR="005A3D98" w:rsidRPr="005A3D98" w14:paraId="3DB3BED1" w14:textId="77777777">
        <w:tc>
          <w:tcPr>
            <w:tcW w:w="9622" w:type="dxa"/>
          </w:tcPr>
          <w:p w14:paraId="5C90E526" w14:textId="77777777" w:rsidR="005A3D98" w:rsidRPr="005A3D98" w:rsidRDefault="005A3D98" w:rsidP="00FF0E11">
            <w:pPr>
              <w:spacing w:after="80" w:line="336" w:lineRule="auto"/>
              <w:jc w:val="mediumKashida"/>
              <w:rPr>
                <w:sz w:val="24"/>
                <w:szCs w:val="24"/>
              </w:rPr>
            </w:pPr>
            <w:r w:rsidRPr="005A3D98">
              <w:rPr>
                <w:sz w:val="24"/>
                <w:szCs w:val="24"/>
                <w:rtl/>
              </w:rPr>
              <w:t xml:space="preserve">    2.10 قطاع الطاقة المتجددة في المملكة العربية السعودية</w:t>
            </w:r>
          </w:p>
        </w:tc>
      </w:tr>
      <w:tr w:rsidR="005A3D98" w:rsidRPr="005A3D98" w14:paraId="704E7A40" w14:textId="77777777">
        <w:tc>
          <w:tcPr>
            <w:tcW w:w="9622" w:type="dxa"/>
          </w:tcPr>
          <w:p w14:paraId="33AC33DD" w14:textId="77777777" w:rsidR="005A3D98" w:rsidRPr="005A3D98" w:rsidRDefault="005A3D98" w:rsidP="00FF0E11">
            <w:pPr>
              <w:spacing w:after="80" w:line="336" w:lineRule="auto"/>
              <w:jc w:val="mediumKashida"/>
              <w:rPr>
                <w:sz w:val="24"/>
                <w:szCs w:val="24"/>
              </w:rPr>
            </w:pPr>
            <w:r w:rsidRPr="005A3D98">
              <w:rPr>
                <w:sz w:val="24"/>
                <w:szCs w:val="24"/>
                <w:rtl/>
              </w:rPr>
              <w:lastRenderedPageBreak/>
              <w:t xml:space="preserve">    2.11 الدراسات السابقة العربية</w:t>
            </w:r>
          </w:p>
        </w:tc>
      </w:tr>
      <w:tr w:rsidR="005A3D98" w:rsidRPr="005A3D98" w14:paraId="70501A2E" w14:textId="77777777">
        <w:tc>
          <w:tcPr>
            <w:tcW w:w="9622" w:type="dxa"/>
          </w:tcPr>
          <w:p w14:paraId="0DB4E8B5" w14:textId="77777777" w:rsidR="005A3D98" w:rsidRPr="005A3D98" w:rsidRDefault="005A3D98" w:rsidP="00FF0E11">
            <w:pPr>
              <w:spacing w:after="80" w:line="336" w:lineRule="auto"/>
              <w:jc w:val="mediumKashida"/>
              <w:rPr>
                <w:sz w:val="24"/>
                <w:szCs w:val="24"/>
              </w:rPr>
            </w:pPr>
            <w:r w:rsidRPr="005A3D98">
              <w:rPr>
                <w:sz w:val="24"/>
                <w:szCs w:val="24"/>
                <w:rtl/>
              </w:rPr>
              <w:t xml:space="preserve">    2.12 الدراسات السابقة الأجنبية</w:t>
            </w:r>
          </w:p>
        </w:tc>
      </w:tr>
      <w:tr w:rsidR="005A3D98" w:rsidRPr="005A3D98" w14:paraId="18FFB2BB" w14:textId="77777777">
        <w:tc>
          <w:tcPr>
            <w:tcW w:w="9622" w:type="dxa"/>
          </w:tcPr>
          <w:p w14:paraId="4C0939EA" w14:textId="77777777" w:rsidR="005A3D98" w:rsidRPr="005A3D98" w:rsidRDefault="005A3D98" w:rsidP="00FF0E11">
            <w:pPr>
              <w:spacing w:after="80" w:line="336" w:lineRule="auto"/>
              <w:jc w:val="mediumKashida"/>
              <w:rPr>
                <w:sz w:val="24"/>
                <w:szCs w:val="24"/>
              </w:rPr>
            </w:pPr>
            <w:r w:rsidRPr="005A3D98">
              <w:rPr>
                <w:sz w:val="24"/>
                <w:szCs w:val="24"/>
                <w:rtl/>
              </w:rPr>
              <w:t xml:space="preserve">    2.13 التعقيب على الدراسات السابقة والفجوة البحثية</w:t>
            </w:r>
          </w:p>
        </w:tc>
      </w:tr>
      <w:tr w:rsidR="005A3D98" w:rsidRPr="005A3D98" w14:paraId="3CC37FB3" w14:textId="77777777">
        <w:tc>
          <w:tcPr>
            <w:tcW w:w="9622" w:type="dxa"/>
          </w:tcPr>
          <w:p w14:paraId="247878EA"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الفصل الثالث: منهجية الدراسة</w:t>
            </w:r>
          </w:p>
        </w:tc>
      </w:tr>
      <w:tr w:rsidR="005A3D98" w:rsidRPr="005A3D98" w14:paraId="284A1ED9" w14:textId="77777777">
        <w:tc>
          <w:tcPr>
            <w:tcW w:w="9622" w:type="dxa"/>
          </w:tcPr>
          <w:p w14:paraId="3306D5F0" w14:textId="77777777" w:rsidR="005A3D98" w:rsidRPr="005A3D98" w:rsidRDefault="005A3D98" w:rsidP="00FF0E11">
            <w:pPr>
              <w:spacing w:after="80" w:line="336" w:lineRule="auto"/>
              <w:jc w:val="mediumKashida"/>
              <w:rPr>
                <w:sz w:val="24"/>
                <w:szCs w:val="24"/>
              </w:rPr>
            </w:pPr>
            <w:r w:rsidRPr="005A3D98">
              <w:rPr>
                <w:sz w:val="24"/>
                <w:szCs w:val="24"/>
                <w:rtl/>
              </w:rPr>
              <w:t xml:space="preserve">    3.1 تصميم البحث</w:t>
            </w:r>
          </w:p>
        </w:tc>
      </w:tr>
      <w:tr w:rsidR="005A3D98" w:rsidRPr="005A3D98" w14:paraId="6ED41B5C" w14:textId="77777777">
        <w:tc>
          <w:tcPr>
            <w:tcW w:w="9622" w:type="dxa"/>
          </w:tcPr>
          <w:p w14:paraId="3E8E2953" w14:textId="77777777" w:rsidR="005A3D98" w:rsidRPr="005A3D98" w:rsidRDefault="005A3D98" w:rsidP="00FF0E11">
            <w:pPr>
              <w:spacing w:after="80" w:line="336" w:lineRule="auto"/>
              <w:jc w:val="mediumKashida"/>
              <w:rPr>
                <w:sz w:val="24"/>
                <w:szCs w:val="24"/>
              </w:rPr>
            </w:pPr>
            <w:r w:rsidRPr="005A3D98">
              <w:rPr>
                <w:sz w:val="24"/>
                <w:szCs w:val="24"/>
                <w:rtl/>
              </w:rPr>
              <w:t xml:space="preserve">    3.2 مجتمع الدراسة</w:t>
            </w:r>
          </w:p>
        </w:tc>
      </w:tr>
      <w:tr w:rsidR="005A3D98" w:rsidRPr="005A3D98" w14:paraId="2A9098F4" w14:textId="77777777">
        <w:tc>
          <w:tcPr>
            <w:tcW w:w="9622" w:type="dxa"/>
          </w:tcPr>
          <w:p w14:paraId="5A2A79D4" w14:textId="77777777" w:rsidR="005A3D98" w:rsidRPr="005A3D98" w:rsidRDefault="005A3D98" w:rsidP="00FF0E11">
            <w:pPr>
              <w:spacing w:after="80" w:line="336" w:lineRule="auto"/>
              <w:jc w:val="mediumKashida"/>
              <w:rPr>
                <w:sz w:val="24"/>
                <w:szCs w:val="24"/>
              </w:rPr>
            </w:pPr>
            <w:r w:rsidRPr="005A3D98">
              <w:rPr>
                <w:sz w:val="24"/>
                <w:szCs w:val="24"/>
                <w:rtl/>
              </w:rPr>
              <w:t xml:space="preserve">    3.3 عينة الدراسة وخصائصها</w:t>
            </w:r>
          </w:p>
        </w:tc>
      </w:tr>
      <w:tr w:rsidR="005A3D98" w:rsidRPr="005A3D98" w14:paraId="609A7363" w14:textId="77777777">
        <w:tc>
          <w:tcPr>
            <w:tcW w:w="9622" w:type="dxa"/>
          </w:tcPr>
          <w:p w14:paraId="08488171" w14:textId="77777777" w:rsidR="005A3D98" w:rsidRPr="005A3D98" w:rsidRDefault="005A3D98" w:rsidP="00FF0E11">
            <w:pPr>
              <w:spacing w:after="80" w:line="336" w:lineRule="auto"/>
              <w:jc w:val="mediumKashida"/>
              <w:rPr>
                <w:sz w:val="24"/>
                <w:szCs w:val="24"/>
              </w:rPr>
            </w:pPr>
            <w:r w:rsidRPr="005A3D98">
              <w:rPr>
                <w:sz w:val="24"/>
                <w:szCs w:val="24"/>
                <w:rtl/>
              </w:rPr>
              <w:t xml:space="preserve">    3.4 محددات حجم العينة</w:t>
            </w:r>
          </w:p>
        </w:tc>
      </w:tr>
      <w:tr w:rsidR="005A3D98" w:rsidRPr="005A3D98" w14:paraId="3F735695" w14:textId="77777777">
        <w:tc>
          <w:tcPr>
            <w:tcW w:w="9622" w:type="dxa"/>
          </w:tcPr>
          <w:p w14:paraId="204984AB" w14:textId="77777777" w:rsidR="005A3D98" w:rsidRPr="005A3D98" w:rsidRDefault="005A3D98" w:rsidP="00FF0E11">
            <w:pPr>
              <w:spacing w:after="80" w:line="336" w:lineRule="auto"/>
              <w:jc w:val="mediumKashida"/>
              <w:rPr>
                <w:sz w:val="24"/>
                <w:szCs w:val="24"/>
              </w:rPr>
            </w:pPr>
            <w:r w:rsidRPr="005A3D98">
              <w:rPr>
                <w:sz w:val="24"/>
                <w:szCs w:val="24"/>
                <w:rtl/>
              </w:rPr>
              <w:t xml:space="preserve">    3.5 خطوات وأداة جمع البيانات</w:t>
            </w:r>
          </w:p>
        </w:tc>
      </w:tr>
      <w:tr w:rsidR="005A3D98" w:rsidRPr="005A3D98" w14:paraId="525D7322" w14:textId="77777777">
        <w:tc>
          <w:tcPr>
            <w:tcW w:w="9622" w:type="dxa"/>
          </w:tcPr>
          <w:p w14:paraId="46CD7063" w14:textId="77777777" w:rsidR="005A3D98" w:rsidRPr="005A3D98" w:rsidRDefault="005A3D98" w:rsidP="00FF0E11">
            <w:pPr>
              <w:spacing w:after="80" w:line="336" w:lineRule="auto"/>
              <w:jc w:val="mediumKashida"/>
              <w:rPr>
                <w:sz w:val="24"/>
                <w:szCs w:val="24"/>
              </w:rPr>
            </w:pPr>
            <w:r w:rsidRPr="005A3D98">
              <w:rPr>
                <w:sz w:val="24"/>
                <w:szCs w:val="24"/>
                <w:rtl/>
              </w:rPr>
              <w:t xml:space="preserve">    3.6 حدود الدراسة</w:t>
            </w:r>
          </w:p>
        </w:tc>
      </w:tr>
      <w:tr w:rsidR="005A3D98" w:rsidRPr="005A3D98" w14:paraId="14889369" w14:textId="77777777">
        <w:tc>
          <w:tcPr>
            <w:tcW w:w="9622" w:type="dxa"/>
          </w:tcPr>
          <w:p w14:paraId="6616D224" w14:textId="77777777" w:rsidR="005A3D98" w:rsidRPr="005A3D98" w:rsidRDefault="005A3D98" w:rsidP="00FF0E11">
            <w:pPr>
              <w:spacing w:after="80" w:line="336" w:lineRule="auto"/>
              <w:jc w:val="mediumKashida"/>
              <w:rPr>
                <w:sz w:val="24"/>
                <w:szCs w:val="24"/>
              </w:rPr>
            </w:pPr>
            <w:r w:rsidRPr="005A3D98">
              <w:rPr>
                <w:sz w:val="24"/>
                <w:szCs w:val="24"/>
                <w:rtl/>
              </w:rPr>
              <w:t xml:space="preserve">    3.7 أساليب التحليل الإحصائي</w:t>
            </w:r>
          </w:p>
        </w:tc>
      </w:tr>
      <w:tr w:rsidR="005A3D98" w:rsidRPr="005A3D98" w14:paraId="4EF47514" w14:textId="77777777">
        <w:tc>
          <w:tcPr>
            <w:tcW w:w="9622" w:type="dxa"/>
          </w:tcPr>
          <w:p w14:paraId="568BDEF0"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الفصل الرابع: الدراسة الميدانية وتحليل البيانات</w:t>
            </w:r>
          </w:p>
        </w:tc>
      </w:tr>
      <w:tr w:rsidR="005A3D98" w:rsidRPr="005A3D98" w14:paraId="0DB86B37" w14:textId="77777777">
        <w:tc>
          <w:tcPr>
            <w:tcW w:w="9622" w:type="dxa"/>
          </w:tcPr>
          <w:p w14:paraId="133C5C95" w14:textId="77777777" w:rsidR="005A3D98" w:rsidRPr="005A3D98" w:rsidRDefault="005A3D98" w:rsidP="00FF0E11">
            <w:pPr>
              <w:spacing w:after="80" w:line="336" w:lineRule="auto"/>
              <w:jc w:val="mediumKashida"/>
              <w:rPr>
                <w:sz w:val="24"/>
                <w:szCs w:val="24"/>
              </w:rPr>
            </w:pPr>
            <w:r w:rsidRPr="005A3D98">
              <w:rPr>
                <w:sz w:val="24"/>
                <w:szCs w:val="24"/>
                <w:rtl/>
              </w:rPr>
              <w:t xml:space="preserve">    4.1 اختبار ثبات أداة الدراسة</w:t>
            </w:r>
          </w:p>
        </w:tc>
      </w:tr>
      <w:tr w:rsidR="005A3D98" w:rsidRPr="005A3D98" w14:paraId="51D76CD1" w14:textId="77777777">
        <w:tc>
          <w:tcPr>
            <w:tcW w:w="9622" w:type="dxa"/>
          </w:tcPr>
          <w:p w14:paraId="76F5E176" w14:textId="77777777" w:rsidR="005A3D98" w:rsidRPr="005A3D98" w:rsidRDefault="005A3D98" w:rsidP="00FF0E11">
            <w:pPr>
              <w:spacing w:after="80" w:line="336" w:lineRule="auto"/>
              <w:jc w:val="mediumKashida"/>
              <w:rPr>
                <w:sz w:val="24"/>
                <w:szCs w:val="24"/>
              </w:rPr>
            </w:pPr>
            <w:r w:rsidRPr="005A3D98">
              <w:rPr>
                <w:sz w:val="24"/>
                <w:szCs w:val="24"/>
                <w:rtl/>
              </w:rPr>
              <w:t xml:space="preserve">    4.2 تحليل الخصائص الديموغرافية</w:t>
            </w:r>
          </w:p>
        </w:tc>
      </w:tr>
      <w:tr w:rsidR="005A3D98" w:rsidRPr="005A3D98" w14:paraId="6CF2B3C8" w14:textId="77777777">
        <w:tc>
          <w:tcPr>
            <w:tcW w:w="9622" w:type="dxa"/>
          </w:tcPr>
          <w:p w14:paraId="50767EFE" w14:textId="77777777" w:rsidR="005A3D98" w:rsidRPr="005A3D98" w:rsidRDefault="005A3D98" w:rsidP="00FF0E11">
            <w:pPr>
              <w:spacing w:after="80" w:line="336" w:lineRule="auto"/>
              <w:jc w:val="mediumKashida"/>
              <w:rPr>
                <w:sz w:val="24"/>
                <w:szCs w:val="24"/>
              </w:rPr>
            </w:pPr>
            <w:r w:rsidRPr="005A3D98">
              <w:rPr>
                <w:sz w:val="24"/>
                <w:szCs w:val="24"/>
                <w:rtl/>
              </w:rPr>
              <w:t xml:space="preserve">    4.3 التحليل الوصفي لمحاور الدراسة</w:t>
            </w:r>
          </w:p>
        </w:tc>
      </w:tr>
      <w:tr w:rsidR="005A3D98" w:rsidRPr="005A3D98" w14:paraId="1E83815D" w14:textId="77777777">
        <w:tc>
          <w:tcPr>
            <w:tcW w:w="9622" w:type="dxa"/>
          </w:tcPr>
          <w:p w14:paraId="35E7F3DF" w14:textId="77777777" w:rsidR="005A3D98" w:rsidRPr="005A3D98" w:rsidRDefault="005A3D98" w:rsidP="00FF0E11">
            <w:pPr>
              <w:spacing w:after="80" w:line="336" w:lineRule="auto"/>
              <w:jc w:val="mediumKashida"/>
              <w:rPr>
                <w:sz w:val="24"/>
                <w:szCs w:val="24"/>
              </w:rPr>
            </w:pPr>
            <w:r w:rsidRPr="005A3D98">
              <w:rPr>
                <w:sz w:val="24"/>
                <w:szCs w:val="24"/>
                <w:rtl/>
              </w:rPr>
              <w:t xml:space="preserve">    4.4 اختبار الفرضيات (الارتباط والانحدار البسيط)</w:t>
            </w:r>
          </w:p>
        </w:tc>
      </w:tr>
      <w:tr w:rsidR="005A3D98" w:rsidRPr="005A3D98" w14:paraId="34816459" w14:textId="77777777">
        <w:tc>
          <w:tcPr>
            <w:tcW w:w="9622" w:type="dxa"/>
          </w:tcPr>
          <w:p w14:paraId="36068DF9" w14:textId="77777777" w:rsidR="005A3D98" w:rsidRPr="005A3D98" w:rsidRDefault="005A3D98" w:rsidP="00FF0E11">
            <w:pPr>
              <w:spacing w:after="80" w:line="336" w:lineRule="auto"/>
              <w:jc w:val="mediumKashida"/>
              <w:rPr>
                <w:sz w:val="24"/>
                <w:szCs w:val="24"/>
              </w:rPr>
            </w:pPr>
            <w:r w:rsidRPr="005A3D98">
              <w:rPr>
                <w:sz w:val="24"/>
                <w:szCs w:val="24"/>
                <w:rtl/>
              </w:rPr>
              <w:t xml:space="preserve">    4.5 اختبار الفرضية السادسة (الانحدار المتعدد)</w:t>
            </w:r>
          </w:p>
        </w:tc>
      </w:tr>
      <w:tr w:rsidR="005A3D98" w:rsidRPr="005A3D98" w14:paraId="2F486A04" w14:textId="77777777">
        <w:tc>
          <w:tcPr>
            <w:tcW w:w="9622" w:type="dxa"/>
          </w:tcPr>
          <w:p w14:paraId="62F36A78" w14:textId="77777777" w:rsidR="005A3D98" w:rsidRPr="005A3D98" w:rsidRDefault="005A3D98" w:rsidP="00FF0E11">
            <w:pPr>
              <w:spacing w:after="80" w:line="336" w:lineRule="auto"/>
              <w:jc w:val="mediumKashida"/>
              <w:rPr>
                <w:sz w:val="24"/>
                <w:szCs w:val="24"/>
              </w:rPr>
            </w:pPr>
            <w:r w:rsidRPr="005A3D98">
              <w:rPr>
                <w:sz w:val="24"/>
                <w:szCs w:val="24"/>
                <w:rtl/>
              </w:rPr>
              <w:t xml:space="preserve">    4.6 مناقشة النتائج</w:t>
            </w:r>
          </w:p>
        </w:tc>
      </w:tr>
      <w:tr w:rsidR="005A3D98" w:rsidRPr="005A3D98" w14:paraId="1935BAEA" w14:textId="77777777">
        <w:tc>
          <w:tcPr>
            <w:tcW w:w="9622" w:type="dxa"/>
          </w:tcPr>
          <w:p w14:paraId="0817EEED"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الفصل الخامس: التوصيات والخاتمة</w:t>
            </w:r>
          </w:p>
        </w:tc>
      </w:tr>
      <w:tr w:rsidR="005A3D98" w:rsidRPr="005A3D98" w14:paraId="4EC1FCD4" w14:textId="77777777">
        <w:tc>
          <w:tcPr>
            <w:tcW w:w="9622" w:type="dxa"/>
          </w:tcPr>
          <w:p w14:paraId="3D505B0E" w14:textId="77777777" w:rsidR="005A3D98" w:rsidRPr="005A3D98" w:rsidRDefault="005A3D98" w:rsidP="00FF0E11">
            <w:pPr>
              <w:spacing w:after="80" w:line="336" w:lineRule="auto"/>
              <w:jc w:val="mediumKashida"/>
              <w:rPr>
                <w:sz w:val="24"/>
                <w:szCs w:val="24"/>
              </w:rPr>
            </w:pPr>
            <w:r w:rsidRPr="005A3D98">
              <w:rPr>
                <w:sz w:val="24"/>
                <w:szCs w:val="24"/>
                <w:rtl/>
              </w:rPr>
              <w:t xml:space="preserve">    5.1 الخاتمة</w:t>
            </w:r>
          </w:p>
        </w:tc>
      </w:tr>
      <w:tr w:rsidR="005A3D98" w:rsidRPr="005A3D98" w14:paraId="2DB2E864" w14:textId="77777777">
        <w:tc>
          <w:tcPr>
            <w:tcW w:w="9622" w:type="dxa"/>
          </w:tcPr>
          <w:p w14:paraId="030D3B91" w14:textId="77777777" w:rsidR="005A3D98" w:rsidRPr="005A3D98" w:rsidRDefault="005A3D98" w:rsidP="00FF0E11">
            <w:pPr>
              <w:spacing w:after="80" w:line="336" w:lineRule="auto"/>
              <w:jc w:val="mediumKashida"/>
              <w:rPr>
                <w:sz w:val="24"/>
                <w:szCs w:val="24"/>
              </w:rPr>
            </w:pPr>
            <w:r w:rsidRPr="005A3D98">
              <w:rPr>
                <w:sz w:val="24"/>
                <w:szCs w:val="24"/>
                <w:rtl/>
              </w:rPr>
              <w:t xml:space="preserve">    5.2 التوصيات</w:t>
            </w:r>
          </w:p>
        </w:tc>
      </w:tr>
      <w:tr w:rsidR="005A3D98" w:rsidRPr="005A3D98" w14:paraId="24E51E19" w14:textId="77777777">
        <w:tc>
          <w:tcPr>
            <w:tcW w:w="9622" w:type="dxa"/>
          </w:tcPr>
          <w:p w14:paraId="438A1F72" w14:textId="77777777" w:rsidR="005A3D98" w:rsidRPr="005A3D98" w:rsidRDefault="005A3D98" w:rsidP="00FF0E11">
            <w:pPr>
              <w:spacing w:after="80" w:line="336" w:lineRule="auto"/>
              <w:jc w:val="mediumKashida"/>
              <w:rPr>
                <w:sz w:val="24"/>
                <w:szCs w:val="24"/>
              </w:rPr>
            </w:pPr>
            <w:r w:rsidRPr="005A3D98">
              <w:rPr>
                <w:sz w:val="24"/>
                <w:szCs w:val="24"/>
                <w:rtl/>
              </w:rPr>
              <w:t xml:space="preserve">    5.3 مقترحات البحوث المستقبلية</w:t>
            </w:r>
          </w:p>
        </w:tc>
      </w:tr>
      <w:tr w:rsidR="005A3D98" w:rsidRPr="005A3D98" w14:paraId="6764BA52" w14:textId="77777777">
        <w:tc>
          <w:tcPr>
            <w:tcW w:w="9622" w:type="dxa"/>
          </w:tcPr>
          <w:p w14:paraId="04C07C14" w14:textId="77777777" w:rsidR="005A3D98" w:rsidRPr="005A3D98" w:rsidRDefault="005A3D98" w:rsidP="00FF0E11">
            <w:pPr>
              <w:spacing w:after="80" w:line="336" w:lineRule="auto"/>
              <w:jc w:val="mediumKashida"/>
              <w:rPr>
                <w:sz w:val="24"/>
                <w:szCs w:val="24"/>
              </w:rPr>
            </w:pPr>
            <w:r w:rsidRPr="005A3D98">
              <w:rPr>
                <w:b/>
                <w:color w:val="1F3A5F"/>
                <w:sz w:val="24"/>
                <w:szCs w:val="24"/>
                <w:rtl/>
              </w:rPr>
              <w:t>المراجع</w:t>
            </w:r>
          </w:p>
        </w:tc>
      </w:tr>
    </w:tbl>
    <w:p w14:paraId="0E09ADE9" w14:textId="3EE65488" w:rsidR="008F3256" w:rsidRPr="002E4EFD" w:rsidRDefault="008F3256" w:rsidP="002E4EFD">
      <w:pPr>
        <w:jc w:val="mediumKashida"/>
        <w:rPr>
          <w:sz w:val="24"/>
          <w:szCs w:val="24"/>
        </w:rPr>
      </w:pPr>
    </w:p>
    <w:p w14:paraId="24618AC1" w14:textId="77777777" w:rsidR="008F3256" w:rsidRPr="002E4EFD" w:rsidRDefault="00BA5877" w:rsidP="002E4EFD">
      <w:pPr>
        <w:pStyle w:val="1"/>
        <w:spacing w:before="360" w:after="200" w:line="312" w:lineRule="auto"/>
        <w:jc w:val="mediumKashida"/>
        <w:rPr>
          <w:sz w:val="24"/>
          <w:szCs w:val="24"/>
        </w:rPr>
      </w:pPr>
      <w:r w:rsidRPr="002E4EFD">
        <w:rPr>
          <w:rFonts w:ascii="Sakkal Majalla" w:eastAsia="Sakkal Majalla" w:hAnsi="Sakkal Majalla" w:cs="Sakkal Majalla"/>
          <w:color w:val="1F3A5F"/>
          <w:sz w:val="24"/>
          <w:szCs w:val="24"/>
          <w:rtl/>
        </w:rPr>
        <w:t>قائمة الجداول</w:t>
      </w:r>
    </w:p>
    <w:tbl>
      <w:tblPr>
        <w:tblStyle w:val="afa"/>
        <w:bidiVisual/>
        <w:tblW w:w="0" w:type="auto"/>
        <w:tblLook w:val="04A0" w:firstRow="1" w:lastRow="0" w:firstColumn="1" w:lastColumn="0" w:noHBand="0" w:noVBand="1"/>
      </w:tblPr>
      <w:tblGrid>
        <w:gridCol w:w="9622"/>
      </w:tblGrid>
      <w:tr w:rsidR="005A3D98" w:rsidRPr="005A3D98" w14:paraId="6C9F05F0" w14:textId="77777777">
        <w:tc>
          <w:tcPr>
            <w:tcW w:w="9622" w:type="dxa"/>
          </w:tcPr>
          <w:p w14:paraId="0DD62D93" w14:textId="77777777" w:rsidR="005A3D98" w:rsidRPr="005A3D98" w:rsidRDefault="005A3D98" w:rsidP="00EE4CB2">
            <w:pPr>
              <w:spacing w:after="80" w:line="336" w:lineRule="auto"/>
              <w:jc w:val="mediumKashida"/>
              <w:rPr>
                <w:sz w:val="24"/>
                <w:szCs w:val="24"/>
              </w:rPr>
            </w:pPr>
            <w:r w:rsidRPr="005A3D98">
              <w:rPr>
                <w:sz w:val="24"/>
                <w:szCs w:val="24"/>
                <w:rtl/>
              </w:rPr>
              <w:t>• الجدول (1): توزيع أفراد عينة الدراسة وفق المتغيرات الديموغرافية (ن=40)</w:t>
            </w:r>
          </w:p>
        </w:tc>
      </w:tr>
      <w:tr w:rsidR="005A3D98" w:rsidRPr="005A3D98" w14:paraId="2B1E55DF" w14:textId="77777777">
        <w:tc>
          <w:tcPr>
            <w:tcW w:w="9622" w:type="dxa"/>
          </w:tcPr>
          <w:p w14:paraId="2BB3C877" w14:textId="77777777" w:rsidR="005A3D98" w:rsidRPr="005A3D98" w:rsidRDefault="005A3D98" w:rsidP="00EE4CB2">
            <w:pPr>
              <w:spacing w:after="80" w:line="336" w:lineRule="auto"/>
              <w:jc w:val="mediumKashida"/>
              <w:rPr>
                <w:sz w:val="24"/>
                <w:szCs w:val="24"/>
              </w:rPr>
            </w:pPr>
            <w:r w:rsidRPr="005A3D98">
              <w:rPr>
                <w:sz w:val="24"/>
                <w:szCs w:val="24"/>
                <w:rtl/>
              </w:rPr>
              <w:t xml:space="preserve">• الجدول (2): قيم معامل ألفا </w:t>
            </w:r>
            <w:proofErr w:type="spellStart"/>
            <w:r w:rsidRPr="005A3D98">
              <w:rPr>
                <w:sz w:val="24"/>
                <w:szCs w:val="24"/>
                <w:rtl/>
              </w:rPr>
              <w:t>كرونباخ</w:t>
            </w:r>
            <w:proofErr w:type="spellEnd"/>
            <w:r w:rsidRPr="005A3D98">
              <w:rPr>
                <w:sz w:val="24"/>
                <w:szCs w:val="24"/>
                <w:rtl/>
              </w:rPr>
              <w:t xml:space="preserve"> لمحاور الدراسة</w:t>
            </w:r>
          </w:p>
        </w:tc>
      </w:tr>
      <w:tr w:rsidR="005A3D98" w:rsidRPr="005A3D98" w14:paraId="02F695C3" w14:textId="77777777">
        <w:tc>
          <w:tcPr>
            <w:tcW w:w="9622" w:type="dxa"/>
          </w:tcPr>
          <w:p w14:paraId="45D12148" w14:textId="77777777" w:rsidR="005A3D98" w:rsidRPr="005A3D98" w:rsidRDefault="005A3D98" w:rsidP="00EE4CB2">
            <w:pPr>
              <w:spacing w:after="80" w:line="336" w:lineRule="auto"/>
              <w:jc w:val="mediumKashida"/>
              <w:rPr>
                <w:sz w:val="24"/>
                <w:szCs w:val="24"/>
              </w:rPr>
            </w:pPr>
            <w:r w:rsidRPr="005A3D98">
              <w:rPr>
                <w:sz w:val="24"/>
                <w:szCs w:val="24"/>
                <w:rtl/>
              </w:rPr>
              <w:t>• الجدول (3): التحليل الوصفي لبنود محور القيادة والالتزام بالسلامة</w:t>
            </w:r>
          </w:p>
        </w:tc>
      </w:tr>
      <w:tr w:rsidR="005A3D98" w:rsidRPr="005A3D98" w14:paraId="3A542C7E" w14:textId="77777777">
        <w:tc>
          <w:tcPr>
            <w:tcW w:w="9622" w:type="dxa"/>
          </w:tcPr>
          <w:p w14:paraId="48DBFBB5" w14:textId="77777777" w:rsidR="005A3D98" w:rsidRPr="005A3D98" w:rsidRDefault="005A3D98" w:rsidP="00EE4CB2">
            <w:pPr>
              <w:spacing w:after="80" w:line="336" w:lineRule="auto"/>
              <w:jc w:val="mediumKashida"/>
              <w:rPr>
                <w:sz w:val="24"/>
                <w:szCs w:val="24"/>
              </w:rPr>
            </w:pPr>
            <w:r w:rsidRPr="005A3D98">
              <w:rPr>
                <w:sz w:val="24"/>
                <w:szCs w:val="24"/>
                <w:rtl/>
              </w:rPr>
              <w:t>• الجدول (4): التحليل الوصفي لبنود محور التدريب والوعي بالسلامة</w:t>
            </w:r>
          </w:p>
        </w:tc>
      </w:tr>
      <w:tr w:rsidR="005A3D98" w:rsidRPr="005A3D98" w14:paraId="6F089ED4" w14:textId="77777777">
        <w:tc>
          <w:tcPr>
            <w:tcW w:w="9622" w:type="dxa"/>
          </w:tcPr>
          <w:p w14:paraId="4A3BB12B" w14:textId="77777777" w:rsidR="005A3D98" w:rsidRPr="005A3D98" w:rsidRDefault="005A3D98" w:rsidP="00EE4CB2">
            <w:pPr>
              <w:spacing w:after="80" w:line="336" w:lineRule="auto"/>
              <w:jc w:val="mediumKashida"/>
              <w:rPr>
                <w:sz w:val="24"/>
                <w:szCs w:val="24"/>
              </w:rPr>
            </w:pPr>
            <w:r w:rsidRPr="005A3D98">
              <w:rPr>
                <w:sz w:val="24"/>
                <w:szCs w:val="24"/>
                <w:rtl/>
              </w:rPr>
              <w:t>• الجدول (5): التحليل الوصفي لبنود محور التفتيش والرقابة على السلامة</w:t>
            </w:r>
          </w:p>
        </w:tc>
      </w:tr>
      <w:tr w:rsidR="005A3D98" w:rsidRPr="005A3D98" w14:paraId="078E884F" w14:textId="77777777">
        <w:tc>
          <w:tcPr>
            <w:tcW w:w="9622" w:type="dxa"/>
          </w:tcPr>
          <w:p w14:paraId="38C20D8C" w14:textId="77777777" w:rsidR="005A3D98" w:rsidRPr="005A3D98" w:rsidRDefault="005A3D98" w:rsidP="00EE4CB2">
            <w:pPr>
              <w:spacing w:after="80" w:line="336" w:lineRule="auto"/>
              <w:jc w:val="mediumKashida"/>
              <w:rPr>
                <w:sz w:val="24"/>
                <w:szCs w:val="24"/>
              </w:rPr>
            </w:pPr>
            <w:r w:rsidRPr="005A3D98">
              <w:rPr>
                <w:sz w:val="24"/>
                <w:szCs w:val="24"/>
                <w:rtl/>
              </w:rPr>
              <w:t>• الجدول (6): التحليل الوصفي لبنود محور الإبلاغ عن الحوادث والتحقيق فيها</w:t>
            </w:r>
          </w:p>
        </w:tc>
      </w:tr>
      <w:tr w:rsidR="005A3D98" w:rsidRPr="005A3D98" w14:paraId="371E2D4A" w14:textId="77777777">
        <w:tc>
          <w:tcPr>
            <w:tcW w:w="9622" w:type="dxa"/>
          </w:tcPr>
          <w:p w14:paraId="020FE704" w14:textId="77777777" w:rsidR="005A3D98" w:rsidRPr="005A3D98" w:rsidRDefault="005A3D98" w:rsidP="00EE4CB2">
            <w:pPr>
              <w:spacing w:after="80" w:line="336" w:lineRule="auto"/>
              <w:jc w:val="mediumKashida"/>
              <w:rPr>
                <w:sz w:val="24"/>
                <w:szCs w:val="24"/>
              </w:rPr>
            </w:pPr>
            <w:r w:rsidRPr="005A3D98">
              <w:rPr>
                <w:sz w:val="24"/>
                <w:szCs w:val="24"/>
                <w:rtl/>
              </w:rPr>
              <w:t>• الجدول (7): التحليل الوصفي لبنود محور الاستعداد للاستجابة للطوارئ</w:t>
            </w:r>
          </w:p>
        </w:tc>
      </w:tr>
      <w:tr w:rsidR="005A3D98" w:rsidRPr="005A3D98" w14:paraId="215C8746" w14:textId="77777777">
        <w:tc>
          <w:tcPr>
            <w:tcW w:w="9622" w:type="dxa"/>
          </w:tcPr>
          <w:p w14:paraId="1BBC4980" w14:textId="77777777" w:rsidR="005A3D98" w:rsidRPr="005A3D98" w:rsidRDefault="005A3D98" w:rsidP="00EE4CB2">
            <w:pPr>
              <w:spacing w:after="80" w:line="336" w:lineRule="auto"/>
              <w:jc w:val="mediumKashida"/>
              <w:rPr>
                <w:sz w:val="24"/>
                <w:szCs w:val="24"/>
              </w:rPr>
            </w:pPr>
            <w:r w:rsidRPr="005A3D98">
              <w:rPr>
                <w:sz w:val="24"/>
                <w:szCs w:val="24"/>
                <w:rtl/>
              </w:rPr>
              <w:t>• الجدول (8): التحليل الوصفي لبنود محور أداء المشاريع</w:t>
            </w:r>
          </w:p>
        </w:tc>
      </w:tr>
      <w:tr w:rsidR="005A3D98" w:rsidRPr="005A3D98" w14:paraId="1E7A400B" w14:textId="77777777">
        <w:tc>
          <w:tcPr>
            <w:tcW w:w="9622" w:type="dxa"/>
          </w:tcPr>
          <w:p w14:paraId="75BE3EC0" w14:textId="77777777" w:rsidR="005A3D98" w:rsidRPr="005A3D98" w:rsidRDefault="005A3D98" w:rsidP="00EE4CB2">
            <w:pPr>
              <w:spacing w:after="80" w:line="336" w:lineRule="auto"/>
              <w:jc w:val="mediumKashida"/>
              <w:rPr>
                <w:sz w:val="24"/>
                <w:szCs w:val="24"/>
              </w:rPr>
            </w:pPr>
            <w:r w:rsidRPr="005A3D98">
              <w:rPr>
                <w:sz w:val="24"/>
                <w:szCs w:val="24"/>
                <w:rtl/>
              </w:rPr>
              <w:t>• الجدول (9): ملخص نتائج محاور الدراسة وترتيبها</w:t>
            </w:r>
          </w:p>
        </w:tc>
      </w:tr>
      <w:tr w:rsidR="005A3D98" w:rsidRPr="005A3D98" w14:paraId="7F3D8ED5" w14:textId="77777777">
        <w:tc>
          <w:tcPr>
            <w:tcW w:w="9622" w:type="dxa"/>
          </w:tcPr>
          <w:p w14:paraId="52F795E0" w14:textId="77777777" w:rsidR="005A3D98" w:rsidRPr="005A3D98" w:rsidRDefault="005A3D98" w:rsidP="00EE4CB2">
            <w:pPr>
              <w:spacing w:after="80" w:line="336" w:lineRule="auto"/>
              <w:jc w:val="mediumKashida"/>
              <w:rPr>
                <w:sz w:val="24"/>
                <w:szCs w:val="24"/>
              </w:rPr>
            </w:pPr>
            <w:r w:rsidRPr="005A3D98">
              <w:rPr>
                <w:sz w:val="24"/>
                <w:szCs w:val="24"/>
                <w:rtl/>
              </w:rPr>
              <w:t>• الجدول (10): نتائج اختبار الفرضيات من الأولى إلى الخامسة (الارتباط والانحدار البسيط)</w:t>
            </w:r>
          </w:p>
        </w:tc>
      </w:tr>
      <w:tr w:rsidR="005A3D98" w:rsidRPr="005A3D98" w14:paraId="7155B94E" w14:textId="77777777">
        <w:tc>
          <w:tcPr>
            <w:tcW w:w="9622" w:type="dxa"/>
          </w:tcPr>
          <w:p w14:paraId="779D871F" w14:textId="77777777" w:rsidR="005A3D98" w:rsidRPr="005A3D98" w:rsidRDefault="005A3D98" w:rsidP="00EE4CB2">
            <w:pPr>
              <w:spacing w:after="80" w:line="336" w:lineRule="auto"/>
              <w:jc w:val="mediumKashida"/>
              <w:rPr>
                <w:sz w:val="24"/>
                <w:szCs w:val="24"/>
              </w:rPr>
            </w:pPr>
            <w:r w:rsidRPr="005A3D98">
              <w:rPr>
                <w:sz w:val="24"/>
                <w:szCs w:val="24"/>
                <w:rtl/>
              </w:rPr>
              <w:t>• الجدول (11): نتائج تحليل الانحدار المتعدد لأثر أبعاد إدارة السلامة مجتمعةً على أداء المشاريع</w:t>
            </w:r>
          </w:p>
        </w:tc>
      </w:tr>
      <w:tr w:rsidR="005A3D98" w:rsidRPr="005A3D98" w14:paraId="65A4A459" w14:textId="77777777">
        <w:tc>
          <w:tcPr>
            <w:tcW w:w="9622" w:type="dxa"/>
          </w:tcPr>
          <w:p w14:paraId="00B2C7B9" w14:textId="77777777" w:rsidR="005A3D98" w:rsidRPr="005A3D98" w:rsidRDefault="005A3D98" w:rsidP="00EE4CB2">
            <w:pPr>
              <w:spacing w:after="80" w:line="336" w:lineRule="auto"/>
              <w:jc w:val="mediumKashida"/>
              <w:rPr>
                <w:sz w:val="24"/>
                <w:szCs w:val="24"/>
              </w:rPr>
            </w:pPr>
            <w:r w:rsidRPr="005A3D98">
              <w:rPr>
                <w:sz w:val="24"/>
                <w:szCs w:val="24"/>
                <w:rtl/>
              </w:rPr>
              <w:t>• الجدول (12): مصفوفة الارتباط بين متغيرات الدراسة</w:t>
            </w:r>
          </w:p>
        </w:tc>
      </w:tr>
    </w:tbl>
    <w:p w14:paraId="7DB67AC7" w14:textId="77777777" w:rsidR="008F3256" w:rsidRPr="002E4EFD" w:rsidRDefault="008F3256" w:rsidP="002E4EFD">
      <w:pPr>
        <w:jc w:val="mediumKashida"/>
        <w:rPr>
          <w:sz w:val="24"/>
          <w:szCs w:val="24"/>
        </w:rPr>
      </w:pPr>
    </w:p>
    <w:p w14:paraId="5C9128FD" w14:textId="77777777" w:rsidR="008F3256" w:rsidRPr="002E4EFD" w:rsidRDefault="00BA5877" w:rsidP="002E4EFD">
      <w:pPr>
        <w:pStyle w:val="1"/>
        <w:spacing w:before="360" w:after="200" w:line="312" w:lineRule="auto"/>
        <w:jc w:val="mediumKashida"/>
        <w:rPr>
          <w:sz w:val="24"/>
          <w:szCs w:val="24"/>
        </w:rPr>
      </w:pPr>
      <w:r w:rsidRPr="002E4EFD">
        <w:rPr>
          <w:rFonts w:ascii="Sakkal Majalla" w:eastAsia="Sakkal Majalla" w:hAnsi="Sakkal Majalla" w:cs="Sakkal Majalla"/>
          <w:color w:val="1F3A5F"/>
          <w:sz w:val="24"/>
          <w:szCs w:val="24"/>
          <w:rtl/>
        </w:rPr>
        <w:t>قائمة الأشكال</w:t>
      </w:r>
    </w:p>
    <w:p w14:paraId="135F4BF4" w14:textId="77777777" w:rsidR="005A3D98" w:rsidRPr="002E4EFD" w:rsidRDefault="00BA5877" w:rsidP="002E4EFD">
      <w:pPr>
        <w:spacing w:after="80" w:line="336" w:lineRule="auto"/>
        <w:ind w:right="283"/>
        <w:jc w:val="mediumKashida"/>
        <w:rPr>
          <w:sz w:val="24"/>
          <w:szCs w:val="24"/>
          <w:rtl/>
        </w:rPr>
      </w:pPr>
      <w:r w:rsidRPr="002E4EFD">
        <w:rPr>
          <w:sz w:val="24"/>
          <w:szCs w:val="24"/>
          <w:rtl/>
        </w:rPr>
        <w:t xml:space="preserve">• </w:t>
      </w:r>
    </w:p>
    <w:tbl>
      <w:tblPr>
        <w:tblStyle w:val="afa"/>
        <w:bidiVisual/>
        <w:tblW w:w="0" w:type="auto"/>
        <w:tblLook w:val="04A0" w:firstRow="1" w:lastRow="0" w:firstColumn="1" w:lastColumn="0" w:noHBand="0" w:noVBand="1"/>
      </w:tblPr>
      <w:tblGrid>
        <w:gridCol w:w="9622"/>
      </w:tblGrid>
      <w:tr w:rsidR="005A3D98" w:rsidRPr="005A3D98" w14:paraId="1E3B791A" w14:textId="77777777">
        <w:tc>
          <w:tcPr>
            <w:tcW w:w="9622" w:type="dxa"/>
          </w:tcPr>
          <w:p w14:paraId="743B33B4" w14:textId="77777777" w:rsidR="005A3D98" w:rsidRPr="005A3D98" w:rsidRDefault="005A3D98" w:rsidP="00F3643B">
            <w:pPr>
              <w:spacing w:after="80" w:line="336" w:lineRule="auto"/>
              <w:jc w:val="mediumKashida"/>
              <w:rPr>
                <w:sz w:val="24"/>
                <w:szCs w:val="24"/>
              </w:rPr>
            </w:pPr>
            <w:r w:rsidRPr="005A3D98">
              <w:rPr>
                <w:sz w:val="24"/>
                <w:szCs w:val="24"/>
                <w:rtl/>
              </w:rPr>
              <w:t>الشكل (1): النموذج النظري للدراسة</w:t>
            </w:r>
          </w:p>
        </w:tc>
      </w:tr>
      <w:tr w:rsidR="005A3D98" w:rsidRPr="005A3D98" w14:paraId="56663F05" w14:textId="77777777">
        <w:tc>
          <w:tcPr>
            <w:tcW w:w="9622" w:type="dxa"/>
          </w:tcPr>
          <w:p w14:paraId="6AA1A5E5" w14:textId="77777777" w:rsidR="005A3D98" w:rsidRPr="005A3D98" w:rsidRDefault="005A3D98" w:rsidP="00F3643B">
            <w:pPr>
              <w:spacing w:after="80" w:line="336" w:lineRule="auto"/>
              <w:jc w:val="mediumKashida"/>
              <w:rPr>
                <w:sz w:val="24"/>
                <w:szCs w:val="24"/>
              </w:rPr>
            </w:pPr>
            <w:r w:rsidRPr="005A3D98">
              <w:rPr>
                <w:sz w:val="24"/>
                <w:szCs w:val="24"/>
                <w:rtl/>
              </w:rPr>
              <w:t>• الشكل (2): العلاقة بين أبعاد نظام إدارة السلامة وأداء المشاريع</w:t>
            </w:r>
          </w:p>
        </w:tc>
      </w:tr>
      <w:tr w:rsidR="005A3D98" w:rsidRPr="005A3D98" w14:paraId="4B1DA218" w14:textId="77777777">
        <w:tc>
          <w:tcPr>
            <w:tcW w:w="9622" w:type="dxa"/>
          </w:tcPr>
          <w:p w14:paraId="2B8C942F" w14:textId="77777777" w:rsidR="005A3D98" w:rsidRPr="005A3D98" w:rsidRDefault="005A3D98" w:rsidP="00F3643B">
            <w:pPr>
              <w:jc w:val="mediumKashida"/>
              <w:rPr>
                <w:sz w:val="24"/>
                <w:szCs w:val="24"/>
              </w:rPr>
            </w:pPr>
          </w:p>
        </w:tc>
      </w:tr>
    </w:tbl>
    <w:p w14:paraId="60E0FDB9" w14:textId="4BABF3AB" w:rsidR="008F3256" w:rsidRPr="002E4EFD" w:rsidRDefault="008F3256" w:rsidP="002E4EFD">
      <w:pPr>
        <w:pStyle w:val="1"/>
        <w:spacing w:before="360" w:after="200" w:line="312" w:lineRule="auto"/>
        <w:jc w:val="mediumKashida"/>
        <w:rPr>
          <w:sz w:val="24"/>
          <w:szCs w:val="24"/>
        </w:rPr>
      </w:pPr>
    </w:p>
    <w:p w14:paraId="32728856" w14:textId="77777777" w:rsidR="008F3256" w:rsidRPr="002E4EFD" w:rsidRDefault="00BA5877" w:rsidP="002E4EFD">
      <w:pPr>
        <w:jc w:val="mediumKashida"/>
        <w:rPr>
          <w:sz w:val="24"/>
          <w:szCs w:val="24"/>
        </w:rPr>
      </w:pPr>
      <w:r w:rsidRPr="002E4EFD">
        <w:rPr>
          <w:sz w:val="24"/>
          <w:szCs w:val="24"/>
        </w:rPr>
        <w:br w:type="page"/>
      </w:r>
    </w:p>
    <w:p w14:paraId="6EE514D2" w14:textId="77777777" w:rsidR="008F3256" w:rsidRPr="002E4EFD" w:rsidRDefault="00BA5877" w:rsidP="002E4EFD">
      <w:pPr>
        <w:pStyle w:val="21"/>
        <w:spacing w:before="240" w:after="160" w:line="312" w:lineRule="auto"/>
        <w:jc w:val="mediumKashida"/>
        <w:rPr>
          <w:sz w:val="24"/>
          <w:szCs w:val="24"/>
        </w:rPr>
      </w:pPr>
      <w:r w:rsidRPr="005A3D98">
        <w:rPr>
          <w:rFonts w:ascii="Sakkal Majalla" w:eastAsia="Sakkal Majalla" w:hAnsi="Sakkal Majalla" w:cs="Sakkal Majalla"/>
          <w:color w:val="2E5A88"/>
          <w:sz w:val="24"/>
          <w:szCs w:val="24"/>
          <w:rtl/>
        </w:rPr>
        <w:lastRenderedPageBreak/>
        <w:t>1.1</w:t>
      </w:r>
      <w:r w:rsidRPr="002E4EFD">
        <w:rPr>
          <w:rFonts w:ascii="Sakkal Majalla" w:eastAsia="Sakkal Majalla" w:hAnsi="Sakkal Majalla" w:cs="Sakkal Majalla"/>
          <w:color w:val="2E5A88"/>
          <w:sz w:val="24"/>
          <w:szCs w:val="24"/>
          <w:rtl/>
        </w:rPr>
        <w:t xml:space="preserve"> المقدمة</w:t>
      </w:r>
    </w:p>
    <w:p w14:paraId="655CA45D"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شهد العالم خلال العقدين الماضيين تحولاً عميقاً في أنماط إنتاج الطاقة واستهلاكها، إذ انتقلت الدول من الاعتماد شبه الكلي على الوقود الأحفوري إلى تنويع مزيجها </w:t>
      </w:r>
      <w:proofErr w:type="spellStart"/>
      <w:r w:rsidRPr="002E4EFD">
        <w:rPr>
          <w:sz w:val="24"/>
          <w:szCs w:val="24"/>
          <w:rtl/>
        </w:rPr>
        <w:t>الطاقوي</w:t>
      </w:r>
      <w:proofErr w:type="spellEnd"/>
      <w:r w:rsidRPr="002E4EFD">
        <w:rPr>
          <w:sz w:val="24"/>
          <w:szCs w:val="24"/>
          <w:rtl/>
        </w:rPr>
        <w:t xml:space="preserve"> عبر الاستثمار في مصادر الطاقة المتجددة كالشمسية </w:t>
      </w:r>
      <w:proofErr w:type="spellStart"/>
      <w:r w:rsidRPr="002E4EFD">
        <w:rPr>
          <w:sz w:val="24"/>
          <w:szCs w:val="24"/>
          <w:rtl/>
        </w:rPr>
        <w:t>والريحية</w:t>
      </w:r>
      <w:proofErr w:type="spellEnd"/>
      <w:r w:rsidRPr="002E4EFD">
        <w:rPr>
          <w:sz w:val="24"/>
          <w:szCs w:val="24"/>
          <w:rtl/>
        </w:rPr>
        <w:t xml:space="preserve"> والهيدروجين الأخضر. وقد جاء هذا التحوّل استجابةً لاعتبارات بيئية واقتصادية وأمنية، تجلّت أبرز ملامحها في الاتفاقيات الدولية لتخفيض الانبعاثات الكربونية والتوجهات نحو الحياد الكربوني بحلول منتصف القرن الحالي. وفي قلب هذا التحول تتقدم المملكة العربية السعودية بوصفها واحدةً من أبرز الفاعلين الإقليميين والدوليين في مجال الطاقة، إذ أطلقت رؤية 2030 التي تبنّت ضمن أولوياتها تنويع مصادر الدخل وتطوير قطاع الطاقة المتجددة، عبر برامج طموحة تشمل مشروعات </w:t>
      </w:r>
      <w:proofErr w:type="spellStart"/>
      <w:r w:rsidRPr="002E4EFD">
        <w:rPr>
          <w:sz w:val="24"/>
          <w:szCs w:val="24"/>
          <w:rtl/>
        </w:rPr>
        <w:t>نيوم</w:t>
      </w:r>
      <w:proofErr w:type="spellEnd"/>
      <w:r w:rsidRPr="002E4EFD">
        <w:rPr>
          <w:sz w:val="24"/>
          <w:szCs w:val="24"/>
          <w:rtl/>
        </w:rPr>
        <w:t xml:space="preserve">، ومشروعات الهيدروجين الأخضر، ومحطات الطاقة الشمسية الكبرى كمحطة سدير للطاقة الشمسية ومشروعات 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المتعددة.</w:t>
      </w:r>
    </w:p>
    <w:p w14:paraId="2E1A692A" w14:textId="77777777" w:rsidR="008F3256" w:rsidRPr="002E4EFD" w:rsidRDefault="00BA5877" w:rsidP="002E4EFD">
      <w:pPr>
        <w:spacing w:after="120" w:line="360" w:lineRule="auto"/>
        <w:ind w:firstLine="283"/>
        <w:jc w:val="mediumKashida"/>
        <w:rPr>
          <w:sz w:val="24"/>
          <w:szCs w:val="24"/>
        </w:rPr>
      </w:pPr>
      <w:r w:rsidRPr="002E4EFD">
        <w:rPr>
          <w:sz w:val="24"/>
          <w:szCs w:val="24"/>
          <w:rtl/>
        </w:rPr>
        <w:t>ومع تزايد عدد المشاريع الضخمة في قطاع الطاقة المتجددة، تصاعدت في المقابل التحديات المرتبطة بإدارة السلامة في مواقع العمل. فمشاريع الطاقة المتجددة تنطوي على مخاطر فنية وتشغيلية تختلف نوعياً عن تلك التي تُواجَه في المشاريع الإنشائية التقليدية، نظراً لطبيعة المعدات المستخدمة، وارتفاع الأبراج، والتعامل مع الأنظمة الكهربائية عالية الجهد، وانتشار مواقع العمل في مناطق صحراوية ذات ظروف مناخية قاسية. وتشير إحصاءات المنظمة الدولية للعمل إلى أن قطاع الإنشاءات بما فيه مشاريع الطاقة يُسهم بنسبة ملحوظة من الحوادث المهنية على مستوى العالم، وأن غياب أنظمة إدارة السلامة الفاعلة يُكلّف الاقتصادات مبالغ طائلة بسبب ضياع ساعات العمل وتعطّل الجداول الزمنية وزيادة تكاليف التأمين.</w:t>
      </w:r>
    </w:p>
    <w:p w14:paraId="464140E1"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وتُعدّ أنظمة إدارة السلامة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Systems</w:t>
      </w:r>
      <w:proofErr w:type="spellEnd"/>
      <w:r w:rsidRPr="002E4EFD">
        <w:rPr>
          <w:sz w:val="24"/>
          <w:szCs w:val="24"/>
          <w:rtl/>
        </w:rPr>
        <w:t xml:space="preserve"> - SMS) الإطار التنظيمي الذي تتبناه المنشآت لإدارة المخاطر المهنية بصورة منهجية وقابلة للقياس، وقد عُرفت هذه الأنظمة تطوراً متدرجاً منذ صدور المواصفة </w:t>
      </w:r>
      <w:proofErr w:type="spellStart"/>
      <w:r w:rsidRPr="002E4EFD">
        <w:rPr>
          <w:sz w:val="24"/>
          <w:szCs w:val="24"/>
          <w:rtl/>
        </w:rPr>
        <w:t>British</w:t>
      </w:r>
      <w:proofErr w:type="spellEnd"/>
      <w:r w:rsidRPr="002E4EFD">
        <w:rPr>
          <w:sz w:val="24"/>
          <w:szCs w:val="24"/>
          <w:rtl/>
        </w:rPr>
        <w:t xml:space="preserve"> </w:t>
      </w:r>
      <w:proofErr w:type="spellStart"/>
      <w:r w:rsidRPr="002E4EFD">
        <w:rPr>
          <w:sz w:val="24"/>
          <w:szCs w:val="24"/>
          <w:rtl/>
        </w:rPr>
        <w:t>Standard</w:t>
      </w:r>
      <w:proofErr w:type="spellEnd"/>
      <w:r w:rsidRPr="002E4EFD">
        <w:rPr>
          <w:sz w:val="24"/>
          <w:szCs w:val="24"/>
          <w:rtl/>
        </w:rPr>
        <w:t xml:space="preserve"> BS 8800 عام 1996، مروراً بمواصفة OHSAS 18001 عام 1999 و2007، وصولاً إلى مواصفة ISO 45001 التي صدرت عام 2018 وجرى تحديثها عام 2023 لتُصبح المرجعية الدولية الأكثر اعتماداً في هذا المجال. وتقوم هذه الأنظمة على مبادئ الاستباقية والمشاركة العمالية والتقييم الدوري، وتتضمن أبعاداً متعددة أبرزها التزام القيادة، والتدريب والوعي، والتفتيش والرقابة، وإدارة الحوادث، والاستعداد للطوارئ.</w:t>
      </w:r>
    </w:p>
    <w:p w14:paraId="5062E2A9"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وعلى صعيد الأداء، تتأثر المشاريع بمستوى تطبيق أنظمة السلامة تأثراً مباشراً وغير مباشر. فالحوادث المهنية تُفضي إلى تأخر في الجداول الزمنية، وزيادة في التكاليف غير المباشرة التي قد تصل إلى أربعة أضعاف التكاليف المباشرة وفق دراسات مجلس السلامة الوطني الأمريكي، وتدنٍّ في الروح المعنوية للعاملين، فضلاً عن الإضرار بسمعة المنفّذ والمالك على حدٍّ سواء. وفي المقابل، تُشير دراسات عدة إلى أن المنشآت التي تتبنى أنظمة إدارة سلامة متكاملة تحقق أداءً </w:t>
      </w:r>
      <w:proofErr w:type="spellStart"/>
      <w:r w:rsidRPr="002E4EFD">
        <w:rPr>
          <w:sz w:val="24"/>
          <w:szCs w:val="24"/>
          <w:rtl/>
        </w:rPr>
        <w:t>مشروعياً</w:t>
      </w:r>
      <w:proofErr w:type="spellEnd"/>
      <w:r w:rsidRPr="002E4EFD">
        <w:rPr>
          <w:sz w:val="24"/>
          <w:szCs w:val="24"/>
          <w:rtl/>
        </w:rPr>
        <w:t xml:space="preserve"> أفضل من حيث الالتزام بالميزانية </w:t>
      </w:r>
      <w:r w:rsidRPr="002E4EFD">
        <w:rPr>
          <w:sz w:val="24"/>
          <w:szCs w:val="24"/>
          <w:rtl/>
        </w:rPr>
        <w:lastRenderedPageBreak/>
        <w:t>والجودة والوقت، وهو ما يجعل دراسة العلاقة بين هذين المتغيرين ذا أهمية علمية وعملية قصوى، خاصةً في سياق المشاريع الكبرى للطاقة المتجددة التي تتطلب استثمارات هائلة وتحت إدارة تحالفات دولية متعددة.</w:t>
      </w:r>
    </w:p>
    <w:p w14:paraId="7C9E4EF3"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وفي السياق السعودي تحديداً، أولت الجهات التنظيمية كوزارة الموارد البشرية والتنمية الاجتماعية، والهيئة السعودية للمهندسين، وشركة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وغيرها من الفاعلين في قطاع الطاقة المتجددة، اهتماماً متزايداً بمسألة السلامة المهنية، انعكس ذلك في إلزام المنشآت بتطبيق نظام السلامة والصحة المهنية وفق نظام العمل السعودي ولائحته التنفيذية، وفي إطلاق مبادرات تدريبية متخصصة كبرنامج الطاقة المتجددة والسلامة المهنية الذي أطلقته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بالشراكة مع المعهد العالي لتقنيات المياه والطاقة. غير أن الواقع الميداني يُشير إلى تفاوت في مستوى نضج تطبيق أنظمة السلامة بين المشاريع الكبرى والمتوسطة، وإلى وجود فجوة بين الاشتراطات النظرية والممارسة الفعلية على المواقع، مما يستدعي دراسة علمية منهجية لقياس أثر هذه الأنظمة على أداء المشاريع.</w:t>
      </w:r>
    </w:p>
    <w:p w14:paraId="6047AD26"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وانطلاقاً مما تقدّم، يسعى الباحث في هذه الدراسة إلى تقديم إسهام </w:t>
      </w:r>
      <w:proofErr w:type="spellStart"/>
      <w:r w:rsidRPr="002E4EFD">
        <w:rPr>
          <w:sz w:val="24"/>
          <w:szCs w:val="24"/>
          <w:rtl/>
        </w:rPr>
        <w:t>علمي和应用ي</w:t>
      </w:r>
      <w:proofErr w:type="spellEnd"/>
      <w:r w:rsidRPr="002E4EFD">
        <w:rPr>
          <w:sz w:val="24"/>
          <w:szCs w:val="24"/>
          <w:rtl/>
        </w:rPr>
        <w:t xml:space="preserve"> يكشف طبيعة العلاقة بين تطبيق أنظمة إدارة السلامة وأداء المشاريع في قطاع الطاقة المتجددة السعودي، عبر التركيز على خمسة أبعاد رئيسة لنظام إدارة السلامة، واستطلاع آراء العاملين في المشاريع الفعلية، وتحليل البيانات بأساليب إحصائية متقدمة، بما يُمكّن متخذي القرار من اعتماد سياسات مبنية على الأدلة في هذا المجال الحيوي.</w:t>
      </w:r>
    </w:p>
    <w:p w14:paraId="38CA61CC" w14:textId="77777777" w:rsidR="008F3256" w:rsidRPr="002E4EFD" w:rsidRDefault="00BA5877" w:rsidP="002E4EFD">
      <w:pPr>
        <w:jc w:val="mediumKashida"/>
        <w:rPr>
          <w:sz w:val="24"/>
          <w:szCs w:val="24"/>
        </w:rPr>
      </w:pPr>
      <w:r w:rsidRPr="002E4EFD">
        <w:rPr>
          <w:sz w:val="24"/>
          <w:szCs w:val="24"/>
        </w:rPr>
        <w:br w:type="page"/>
      </w:r>
    </w:p>
    <w:p w14:paraId="4716A487"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1.2 مشكلة الدراسة</w:t>
      </w:r>
    </w:p>
    <w:p w14:paraId="4AB2AB94"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تتحدد مشكلة الدراسة في أن قطاع الطاقة المتجددة في المملكة العربية السعودية يشهد توسعاً متسارعاً يفوق في كثير من الأحيان قدرة المنشآت على استيعاب متطلبات السلامة المهنية بأبعادها الشاملة. فعلى الرغم من وجود إطار تشريعي وتنظيمي متطور يتمثل في نظام العمل السعودي ولائحته التنفيذية، وفي اشتراطات الهيئة السعودية للمهندسين، وفي تبني مواصفة ISO 45001:2023 كمرجعية معيارية، إلا أن التطبيق الميداني يكشف عن تفاوت جوهري بين النص التنظيمي والممارسة الفعلية على المواقع. وقد لاحظ الباحث من خلال عمله الميداني ومعايشته لعدد من مشاريع الطاقة الشمسية </w:t>
      </w:r>
      <w:proofErr w:type="spellStart"/>
      <w:r w:rsidRPr="002E4EFD">
        <w:rPr>
          <w:sz w:val="24"/>
          <w:szCs w:val="24"/>
          <w:rtl/>
        </w:rPr>
        <w:t>والريحية</w:t>
      </w:r>
      <w:proofErr w:type="spellEnd"/>
      <w:r w:rsidRPr="002E4EFD">
        <w:rPr>
          <w:sz w:val="24"/>
          <w:szCs w:val="24"/>
          <w:rtl/>
        </w:rPr>
        <w:t xml:space="preserve"> في المملكة، أن عدداً غير قليل من المقاولين من الباطن يتعاملون مع السلامة بوصفها عبئاً </w:t>
      </w:r>
      <w:proofErr w:type="spellStart"/>
      <w:r w:rsidRPr="002E4EFD">
        <w:rPr>
          <w:sz w:val="24"/>
          <w:szCs w:val="24"/>
          <w:rtl/>
        </w:rPr>
        <w:t>تكاليفياً</w:t>
      </w:r>
      <w:proofErr w:type="spellEnd"/>
      <w:r w:rsidRPr="002E4EFD">
        <w:rPr>
          <w:sz w:val="24"/>
          <w:szCs w:val="24"/>
          <w:rtl/>
        </w:rPr>
        <w:t xml:space="preserve"> لا استثماراً استراتيجياً، مما ينعكس في ارتفاع معدلات الحوادث وإعادة العمل، وتأخر الإنجاز، وتجاوز الميزانيات المعتمدة.</w:t>
      </w:r>
    </w:p>
    <w:p w14:paraId="436D331E"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وتتجسد الفجوة البحثية والميدانية في عدة نقاط محورية: أولاً، محدودية الدراسات الميدانية التي ربطت بشكل مباشر بين تطبيق أنظمة إدارة السلامة وفق مواصفة ISO 45001 وأداء المشاريع في قطاع الطاقة المتجددة السعودي تحديداً، إذ تركّزت أغلب الدراسات السابقة على قطاع الإنشاءات العامة أو الصناعة البتروكيماوية. ثانياً، غياب القياس الكمّي لأثر أبعاد محددة من نظام إدارة السلامة (القيادة، التدريب، التفتيش، الإبلاغ، الطوارئ) على مؤشرات أداء المشاريع (الوقت، التكلفة، الجودة، رضا الأطراف). ثالثاً، ضعف الاهتمام البحثي بفئة المشاريع الجديدة كالهيدروجين الأخضر ومحطات تحويل الطاقة الشمسية الضخمة، رغم ما تنطوي عليه من مخاطر غير تقليدية. رابعاً، ندرة الدراسات التي اعتمدت على رؤية ممارسين عاملين فعلياً في الميدان بدلاً من البيانات الثانوية أو تقارير الشركات.</w:t>
      </w:r>
    </w:p>
    <w:p w14:paraId="4F4EE462"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ويمكن صياغة المشكلة في تساؤل رئيسي: ما أثر تطبيق أنظمة إدارة السلامة بأبعادها الخمسة على أداء المشاريع في مشاريع الطاقة المتجددة في المملكة العربية السعودية؟ وتتفرّع عن هذا التساؤل مجموعة من التساؤلات الفرعية التي تتعلق بمستوى التطبيق الفعلي لكل بُعد، وبطبيعة العلاقة الارتباطية بين كل بُعد والأداء، وبالبعد الأكثر تأثيراً، وهو ما سيتم الإجابة عنه منهجياً في الفصول اللاحقة من هذه الدراسة.</w:t>
      </w:r>
    </w:p>
    <w:p w14:paraId="209C5F51"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ويُرجع الباحث هذه المشكلة إلى عدة أسباب هيكلية وتنظيمية وميدانية: غياب ثقافة السلامة الاستباقية لدى بعض المنفذين، وضعف برامج التدريب المتخصصة في مخاطر الطاقة المتجددة، وتدني كفاءة بعض مسؤولي السلامة العاملين في الميدان، واقتصار الإبلاغ عن الحوادث على الإصابات الكبرى دون الأحداث القريبة (</w:t>
      </w:r>
      <w:proofErr w:type="spellStart"/>
      <w:r w:rsidRPr="002E4EFD">
        <w:rPr>
          <w:sz w:val="24"/>
          <w:szCs w:val="24"/>
          <w:rtl/>
        </w:rPr>
        <w:t>Near</w:t>
      </w:r>
      <w:proofErr w:type="spellEnd"/>
      <w:r w:rsidRPr="002E4EFD">
        <w:rPr>
          <w:sz w:val="24"/>
          <w:szCs w:val="24"/>
          <w:rtl/>
        </w:rPr>
        <w:t xml:space="preserve"> </w:t>
      </w:r>
      <w:proofErr w:type="spellStart"/>
      <w:r w:rsidRPr="002E4EFD">
        <w:rPr>
          <w:sz w:val="24"/>
          <w:szCs w:val="24"/>
          <w:rtl/>
        </w:rPr>
        <w:t>Misses</w:t>
      </w:r>
      <w:proofErr w:type="spellEnd"/>
      <w:r w:rsidRPr="002E4EFD">
        <w:rPr>
          <w:sz w:val="24"/>
          <w:szCs w:val="24"/>
          <w:rtl/>
        </w:rPr>
        <w:t>)، ومحدودية ميزانيات الاستعداد للطوارئ. كل ذلك يجعل دراسة هذا الموضوع ضرورة علمية وعملية لخدمة قطاع يتوسع بسرعة ويستقطب استثمارات تتجاوز مئات المليارات من الريالات.</w:t>
      </w:r>
    </w:p>
    <w:p w14:paraId="2A01667E" w14:textId="77777777" w:rsidR="008F3256" w:rsidRPr="002E4EFD" w:rsidRDefault="00BA5877" w:rsidP="002E4EFD">
      <w:pPr>
        <w:jc w:val="mediumKashida"/>
        <w:rPr>
          <w:sz w:val="24"/>
          <w:szCs w:val="24"/>
        </w:rPr>
      </w:pPr>
      <w:r w:rsidRPr="002E4EFD">
        <w:rPr>
          <w:sz w:val="24"/>
          <w:szCs w:val="24"/>
        </w:rPr>
        <w:br w:type="page"/>
      </w:r>
    </w:p>
    <w:p w14:paraId="12C5AEDE"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1.3 أهداف الدراسة</w:t>
      </w:r>
    </w:p>
    <w:p w14:paraId="44D22BE0" w14:textId="77777777" w:rsidR="008F3256" w:rsidRPr="002E4EFD" w:rsidRDefault="00BA5877" w:rsidP="002E4EFD">
      <w:pPr>
        <w:spacing w:after="120" w:line="360" w:lineRule="auto"/>
        <w:ind w:firstLine="283"/>
        <w:jc w:val="mediumKashida"/>
        <w:rPr>
          <w:sz w:val="24"/>
          <w:szCs w:val="24"/>
        </w:rPr>
      </w:pPr>
      <w:r w:rsidRPr="002E4EFD">
        <w:rPr>
          <w:sz w:val="24"/>
          <w:szCs w:val="24"/>
          <w:rtl/>
        </w:rPr>
        <w:t>تسعى الدراسة الحالية إلى تحقيق هدف رئيسي يتمثل في قياس أثر تطبيق أنظمة إدارة السلامة بأبعادها الخمسة على أداء المشاريع في مشاريع الطاقة المتجددة في المملكة العربية السعودية. وينبثق عن هذا الهدف الرئيسي مجموعة من الأهداف الفرعية التي تتكامل فيما بينها لتقديم صورة شاملة عن طبيعة العلاقة بين المتغير المستقل والمتغير التابع. ويُمكن تصنيف هذه الأهداف على النحو الآتي:</w:t>
      </w:r>
    </w:p>
    <w:p w14:paraId="4DEA172D" w14:textId="77777777" w:rsidR="008F3256" w:rsidRPr="002E4EFD" w:rsidRDefault="00BA5877" w:rsidP="002E4EFD">
      <w:pPr>
        <w:spacing w:after="120" w:line="360" w:lineRule="auto"/>
        <w:ind w:firstLine="283"/>
        <w:jc w:val="mediumKashida"/>
        <w:rPr>
          <w:sz w:val="24"/>
          <w:szCs w:val="24"/>
        </w:rPr>
      </w:pPr>
      <w:r w:rsidRPr="002E4EFD">
        <w:rPr>
          <w:sz w:val="24"/>
          <w:szCs w:val="24"/>
          <w:rtl/>
        </w:rPr>
        <w:t>1. التعرف على مستوى تطبيق أنظمة إدارة السلامة بأبعادها الخمسة (القيادة والالتزام بالسلامة، والتدريب والوعي بالسلامة، والتفتيش والرقابة على السلامة، والإبلاغ عن الحوادث والتحقيق فيها، والاستعداد للاستجابة للطوارئ) في مشاريع الطاقة المتجددة في المملكة العربية السعودية من وجهة نظر العاملين فيها.</w:t>
      </w:r>
    </w:p>
    <w:p w14:paraId="2887FB48" w14:textId="77777777" w:rsidR="008F3256" w:rsidRPr="002E4EFD" w:rsidRDefault="00BA5877" w:rsidP="002E4EFD">
      <w:pPr>
        <w:spacing w:after="120" w:line="360" w:lineRule="auto"/>
        <w:ind w:firstLine="283"/>
        <w:jc w:val="mediumKashida"/>
        <w:rPr>
          <w:sz w:val="24"/>
          <w:szCs w:val="24"/>
        </w:rPr>
      </w:pPr>
      <w:r w:rsidRPr="002E4EFD">
        <w:rPr>
          <w:sz w:val="24"/>
          <w:szCs w:val="24"/>
          <w:rtl/>
        </w:rPr>
        <w:t>2. تحديد مستوى أداء المشاريع في قطاع الطاقة المتجددة السعودي وفق المؤشرات الأربعة المعتمدة في الدراسة (الالتزام بالوقت، والالتزام بالتكلفة، والجودة، ورضا أصحاب المصلحة).</w:t>
      </w:r>
    </w:p>
    <w:p w14:paraId="03BFBC25" w14:textId="77777777" w:rsidR="008F3256" w:rsidRPr="002E4EFD" w:rsidRDefault="00BA5877" w:rsidP="002E4EFD">
      <w:pPr>
        <w:spacing w:after="120" w:line="360" w:lineRule="auto"/>
        <w:ind w:firstLine="283"/>
        <w:jc w:val="mediumKashida"/>
        <w:rPr>
          <w:sz w:val="24"/>
          <w:szCs w:val="24"/>
        </w:rPr>
      </w:pPr>
      <w:r w:rsidRPr="002E4EFD">
        <w:rPr>
          <w:sz w:val="24"/>
          <w:szCs w:val="24"/>
          <w:rtl/>
        </w:rPr>
        <w:t>3. قياس قوة العلاقة الارتباطية بين كل بُعد من أبعاد نظام إدارة السلامة وأداء المشاريع، لمعرفة ما إذا كانت العلاقة موجبة أو سالبة، وقوية أو ضعيفة.</w:t>
      </w:r>
    </w:p>
    <w:p w14:paraId="6DA199C0" w14:textId="77777777" w:rsidR="008F3256" w:rsidRPr="002E4EFD" w:rsidRDefault="00BA5877" w:rsidP="002E4EFD">
      <w:pPr>
        <w:spacing w:after="120" w:line="360" w:lineRule="auto"/>
        <w:ind w:firstLine="283"/>
        <w:jc w:val="mediumKashida"/>
        <w:rPr>
          <w:sz w:val="24"/>
          <w:szCs w:val="24"/>
        </w:rPr>
      </w:pPr>
      <w:r w:rsidRPr="002E4EFD">
        <w:rPr>
          <w:sz w:val="24"/>
          <w:szCs w:val="24"/>
          <w:rtl/>
        </w:rPr>
        <w:t>4. اختبار أثر كل بُعد من أبعاد نظام إدارة السلامة على أداء المشاريع بشكل منفرد، عبر أسلوب تحليل الانحدار الخطي البسيط، للتحقق من الدلالة الإحصائية لتأثير كل بُعد.</w:t>
      </w:r>
    </w:p>
    <w:p w14:paraId="6B94516F" w14:textId="77777777" w:rsidR="008F3256" w:rsidRPr="002E4EFD" w:rsidRDefault="00BA5877" w:rsidP="002E4EFD">
      <w:pPr>
        <w:spacing w:after="120" w:line="360" w:lineRule="auto"/>
        <w:ind w:firstLine="283"/>
        <w:jc w:val="mediumKashida"/>
        <w:rPr>
          <w:sz w:val="24"/>
          <w:szCs w:val="24"/>
        </w:rPr>
      </w:pPr>
      <w:r w:rsidRPr="002E4EFD">
        <w:rPr>
          <w:sz w:val="24"/>
          <w:szCs w:val="24"/>
          <w:rtl/>
        </w:rPr>
        <w:t>5. اختبار أثر أبعاد نظام إدارة السلامة مجتمعةً على أداء المشاريع، عبر أسلوب تحليل الانحدار الخطي المتعدد، وتحديد البعد الأكثر تأثيراً وفق قيمة معامل بيتا.</w:t>
      </w:r>
    </w:p>
    <w:p w14:paraId="340504BD" w14:textId="77777777" w:rsidR="008F3256" w:rsidRPr="002E4EFD" w:rsidRDefault="00BA5877" w:rsidP="002E4EFD">
      <w:pPr>
        <w:spacing w:after="120" w:line="360" w:lineRule="auto"/>
        <w:ind w:firstLine="283"/>
        <w:jc w:val="mediumKashida"/>
        <w:rPr>
          <w:sz w:val="24"/>
          <w:szCs w:val="24"/>
        </w:rPr>
      </w:pPr>
      <w:r w:rsidRPr="002E4EFD">
        <w:rPr>
          <w:sz w:val="24"/>
          <w:szCs w:val="24"/>
          <w:rtl/>
        </w:rPr>
        <w:t>6. صياغة مجموعة من التوصيات العلمية والعملية الموجّهة إلى الجهات المعنية (الجهات التنظيمية، الشركات المنفذة، الملاك، المعاهد التدريبية) لرفع مستوى تطبيق أنظمة إدارة السلامة وتحسين أداء المشاريع في قطاع الطاقة المتجددة.</w:t>
      </w:r>
    </w:p>
    <w:p w14:paraId="3F93926A" w14:textId="77777777" w:rsidR="008F3256" w:rsidRPr="002E4EFD" w:rsidRDefault="00BA5877" w:rsidP="002E4EFD">
      <w:pPr>
        <w:spacing w:after="120" w:line="360" w:lineRule="auto"/>
        <w:ind w:firstLine="283"/>
        <w:jc w:val="mediumKashida"/>
        <w:rPr>
          <w:sz w:val="24"/>
          <w:szCs w:val="24"/>
        </w:rPr>
      </w:pPr>
      <w:r w:rsidRPr="002E4EFD">
        <w:rPr>
          <w:sz w:val="24"/>
          <w:szCs w:val="24"/>
          <w:rtl/>
        </w:rPr>
        <w:t>7. الإسهام في إثراء الأدبيات العربية في مجال إدارة السلامة المهنية وإدارة المشاريع، خاصةً في القطاع الناشئ للطاقة المتجددة الذي لم يحظَ بدراسات عربية كافية بعد.</w:t>
      </w:r>
    </w:p>
    <w:p w14:paraId="1B64B87D" w14:textId="77777777" w:rsidR="008F3256" w:rsidRPr="002E4EFD" w:rsidRDefault="00BA5877" w:rsidP="002E4EFD">
      <w:pPr>
        <w:jc w:val="mediumKashida"/>
        <w:rPr>
          <w:sz w:val="24"/>
          <w:szCs w:val="24"/>
        </w:rPr>
      </w:pPr>
      <w:r w:rsidRPr="002E4EFD">
        <w:rPr>
          <w:sz w:val="24"/>
          <w:szCs w:val="24"/>
        </w:rPr>
        <w:br w:type="page"/>
      </w:r>
    </w:p>
    <w:p w14:paraId="02064DEF"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1.4 تساؤلات الدراسة</w:t>
      </w:r>
    </w:p>
    <w:p w14:paraId="46E877FB" w14:textId="77777777" w:rsidR="008F3256" w:rsidRPr="002E4EFD" w:rsidRDefault="00BA5877" w:rsidP="002E4EFD">
      <w:pPr>
        <w:spacing w:after="120" w:line="360" w:lineRule="auto"/>
        <w:ind w:firstLine="283"/>
        <w:jc w:val="mediumKashida"/>
        <w:rPr>
          <w:sz w:val="24"/>
          <w:szCs w:val="24"/>
        </w:rPr>
      </w:pPr>
      <w:r w:rsidRPr="002E4EFD">
        <w:rPr>
          <w:sz w:val="24"/>
          <w:szCs w:val="24"/>
          <w:rtl/>
        </w:rPr>
        <w:t>تنطلق الدراسة من تساؤل رئيسي مفاده: ما أثر تطبيق أنظمة إدارة السلامة بأبعادها الخمسة على أداء المشاريع في مشاريع الطاقة المتجددة في المملكة العربية السعودية؟ ويتفرع عن هذا التساؤل الرئيسي التساؤلات الفرعية الآتية:</w:t>
      </w:r>
    </w:p>
    <w:p w14:paraId="5F4FADD4" w14:textId="77777777" w:rsidR="008F3256" w:rsidRPr="002E4EFD" w:rsidRDefault="00BA5877" w:rsidP="002E4EFD">
      <w:pPr>
        <w:spacing w:after="120" w:line="360" w:lineRule="auto"/>
        <w:ind w:firstLine="283"/>
        <w:jc w:val="mediumKashida"/>
        <w:rPr>
          <w:sz w:val="24"/>
          <w:szCs w:val="24"/>
        </w:rPr>
      </w:pPr>
      <w:r w:rsidRPr="002E4EFD">
        <w:rPr>
          <w:sz w:val="24"/>
          <w:szCs w:val="24"/>
          <w:rtl/>
        </w:rPr>
        <w:t>1. ما مستوى تطبيق أنظمة إدارة السلامة بأبعادها الخمسة في مشاريع الطاقة المتجددة في المملكة العربية السعودية من وجهة نظر العاملين فيها؟</w:t>
      </w:r>
    </w:p>
    <w:p w14:paraId="0ECC801A" w14:textId="77777777" w:rsidR="008F3256" w:rsidRPr="002E4EFD" w:rsidRDefault="00BA5877" w:rsidP="002E4EFD">
      <w:pPr>
        <w:spacing w:after="120" w:line="360" w:lineRule="auto"/>
        <w:ind w:firstLine="283"/>
        <w:jc w:val="mediumKashida"/>
        <w:rPr>
          <w:sz w:val="24"/>
          <w:szCs w:val="24"/>
        </w:rPr>
      </w:pPr>
      <w:r w:rsidRPr="002E4EFD">
        <w:rPr>
          <w:sz w:val="24"/>
          <w:szCs w:val="24"/>
          <w:rtl/>
        </w:rPr>
        <w:t>2. ما مستوى أداء المشاريع في قطاع الطاقة المتجددة السعودي وفق المؤشرات المعتمدة في الدراسة؟</w:t>
      </w:r>
    </w:p>
    <w:p w14:paraId="565B1001" w14:textId="77777777" w:rsidR="008F3256" w:rsidRPr="002E4EFD" w:rsidRDefault="00BA5877" w:rsidP="002E4EFD">
      <w:pPr>
        <w:spacing w:after="120" w:line="360" w:lineRule="auto"/>
        <w:ind w:firstLine="283"/>
        <w:jc w:val="mediumKashida"/>
        <w:rPr>
          <w:sz w:val="24"/>
          <w:szCs w:val="24"/>
        </w:rPr>
      </w:pPr>
      <w:r w:rsidRPr="002E4EFD">
        <w:rPr>
          <w:sz w:val="24"/>
          <w:szCs w:val="24"/>
          <w:rtl/>
        </w:rPr>
        <w:t>3. ما طبيعة العلاقة الارتباطية بين كل بُعد من أبعاد نظام إدارة السلامة وأداء المشاريع في مشاريع الطاقة المتجددة؟</w:t>
      </w:r>
    </w:p>
    <w:p w14:paraId="7E81D6CB" w14:textId="77777777" w:rsidR="008F3256" w:rsidRPr="002E4EFD" w:rsidRDefault="00BA5877" w:rsidP="002E4EFD">
      <w:pPr>
        <w:spacing w:after="120" w:line="360" w:lineRule="auto"/>
        <w:ind w:firstLine="283"/>
        <w:jc w:val="mediumKashida"/>
        <w:rPr>
          <w:sz w:val="24"/>
          <w:szCs w:val="24"/>
        </w:rPr>
      </w:pPr>
      <w:r w:rsidRPr="002E4EFD">
        <w:rPr>
          <w:sz w:val="24"/>
          <w:szCs w:val="24"/>
          <w:rtl/>
        </w:rPr>
        <w:t>4. هل يوجد أثر ذو دلالة إحصائية لكل بُعد من أبعاد نظام إدارة السلامة على أداء المشاريع في مشاريع الطاقة المتجددة؟</w:t>
      </w:r>
    </w:p>
    <w:p w14:paraId="561A212E" w14:textId="77777777" w:rsidR="008F3256" w:rsidRPr="002E4EFD" w:rsidRDefault="00BA5877" w:rsidP="002E4EFD">
      <w:pPr>
        <w:spacing w:after="120" w:line="360" w:lineRule="auto"/>
        <w:ind w:firstLine="283"/>
        <w:jc w:val="mediumKashida"/>
        <w:rPr>
          <w:sz w:val="24"/>
          <w:szCs w:val="24"/>
        </w:rPr>
      </w:pPr>
      <w:r w:rsidRPr="002E4EFD">
        <w:rPr>
          <w:sz w:val="24"/>
          <w:szCs w:val="24"/>
          <w:rtl/>
        </w:rPr>
        <w:t>5. هل يوجد أثر ذو دلالة إحصائية لأبعاد نظام إدارة السلامة مجتمعةً على أداء المشاريع، وأيُّ هذه الأبعاد الأكثر تأثيراً؟</w:t>
      </w:r>
    </w:p>
    <w:p w14:paraId="4377D015" w14:textId="77777777" w:rsidR="008F3256" w:rsidRPr="002E4EFD" w:rsidRDefault="00BA5877" w:rsidP="002E4EFD">
      <w:pPr>
        <w:spacing w:after="120" w:line="360" w:lineRule="auto"/>
        <w:ind w:firstLine="283"/>
        <w:jc w:val="mediumKashida"/>
        <w:rPr>
          <w:sz w:val="24"/>
          <w:szCs w:val="24"/>
        </w:rPr>
      </w:pPr>
      <w:r w:rsidRPr="002E4EFD">
        <w:rPr>
          <w:sz w:val="24"/>
          <w:szCs w:val="24"/>
          <w:rtl/>
        </w:rPr>
        <w:t>6. ما التوصيات العلمية والعملية التي يمكن استخلاصها من نتائج الدراسة لرفع مستوى تطبيق أنظمة إدارة السلامة وتحسين أداء المشاريع في قطاع الطاقة المتجددة؟</w:t>
      </w:r>
    </w:p>
    <w:p w14:paraId="66767E75" w14:textId="77777777" w:rsidR="008F3256" w:rsidRPr="002E4EFD" w:rsidRDefault="00BA5877" w:rsidP="002E4EFD">
      <w:pPr>
        <w:jc w:val="mediumKashida"/>
        <w:rPr>
          <w:sz w:val="24"/>
          <w:szCs w:val="24"/>
        </w:rPr>
      </w:pPr>
      <w:r w:rsidRPr="002E4EFD">
        <w:rPr>
          <w:sz w:val="24"/>
          <w:szCs w:val="24"/>
        </w:rPr>
        <w:br w:type="page"/>
      </w:r>
    </w:p>
    <w:p w14:paraId="6ADE3D9F"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1.5 أهمية الدراسة (علمية وعملية)</w:t>
      </w:r>
    </w:p>
    <w:p w14:paraId="6AEEE4E9" w14:textId="77777777" w:rsidR="008F3256" w:rsidRPr="002E4EFD" w:rsidRDefault="00BA5877" w:rsidP="002E4EFD">
      <w:pPr>
        <w:spacing w:after="120" w:line="360" w:lineRule="auto"/>
        <w:ind w:firstLine="283"/>
        <w:jc w:val="mediumKashida"/>
        <w:rPr>
          <w:sz w:val="24"/>
          <w:szCs w:val="24"/>
        </w:rPr>
      </w:pPr>
      <w:r w:rsidRPr="002E4EFD">
        <w:rPr>
          <w:sz w:val="24"/>
          <w:szCs w:val="24"/>
          <w:rtl/>
        </w:rPr>
        <w:t>تنطلق أهمية الدراسة من جملة اعتبارات علمية وعملية تتشابك فيما بينها، تجعل من تناول هذا الموضوع في هذا التوقيت تحديداً ضرورة بحثية لا ترفعاً. فعلى المستوى العلمي، تُسهم الدراسة في سدّ فجوة معرفية واضحة في الأدبيات العربية المتعلقة بإدارة السلامة المهنية في قطاع الطاقة المتجددة، إذ تُلاحظ ندرة الدراسات الميدانية التي ربطت بشكل مباشر وكمّي بين أبعاد نظام إدارة السلامة وفق المرجعيات الدولية المعاصرة (ISO 45001:2023) وأداء المشاريع في هذا القطاع الناشئ. وتُقدّم الدراسة نموذجاً نظرياً متكاملاً يدمج خمسة أبعاد لنظام إدارة السلامة كمحددات لأداء المشاريع، وهو ما يفتح آفاقاً للبحث المقارن مع قطاعات أخرى مستقبلاً.</w:t>
      </w:r>
    </w:p>
    <w:p w14:paraId="69D0AAEA"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ومن الناحية المنهجية، تكتسب الدراسة أهميتها من اعتمادها على منهج كمّي تحليلي يجمع بين التحليل الوصفي والاستدلالي، ويوظّف أساليب إحصائية متقدمة كمعامل ألفا </w:t>
      </w:r>
      <w:proofErr w:type="spellStart"/>
      <w:r w:rsidRPr="002E4EFD">
        <w:rPr>
          <w:sz w:val="24"/>
          <w:szCs w:val="24"/>
          <w:rtl/>
        </w:rPr>
        <w:t>كرونباخ</w:t>
      </w:r>
      <w:proofErr w:type="spellEnd"/>
      <w:r w:rsidRPr="002E4EFD">
        <w:rPr>
          <w:sz w:val="24"/>
          <w:szCs w:val="24"/>
          <w:rtl/>
        </w:rPr>
        <w:t xml:space="preserve"> للثبات، ومعامل ارتباط بيرسون، وتحليل الانحدار الخطي البسيط والمتعدد، مما يُعزّز موثوقية النتائج وقابليتها للتعميم ضمن الإطار الذي حُدّد للمشكلة. كما تُقدّم الدراسة أداة قياس (استبانة) تم التحقق من صدقها وثباتها، يمكن استخدامها في دراسات لاحقة أو في تقييم الممارسات داخل الشركات.</w:t>
      </w:r>
    </w:p>
    <w:p w14:paraId="0539BEFC"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أما على المستوى التطبيقي، فتنبع أهمية الدراسة من النمو المتسارع لقطاع الطاقة المتجددة في المملكة العربية السعودية ضمن مشاريع رؤية 2030، حيث يُتوقّع أن تتجاوز استثمارات المملكة في هذا القطاع مئات المليارات من الريالات خلال العقد الحالي، عبر مبادرات مثل مشروع </w:t>
      </w:r>
      <w:proofErr w:type="spellStart"/>
      <w:r w:rsidRPr="002E4EFD">
        <w:rPr>
          <w:sz w:val="24"/>
          <w:szCs w:val="24"/>
          <w:rtl/>
        </w:rPr>
        <w:t>نيوم</w:t>
      </w:r>
      <w:proofErr w:type="spellEnd"/>
      <w:r w:rsidRPr="002E4EFD">
        <w:rPr>
          <w:sz w:val="24"/>
          <w:szCs w:val="24"/>
          <w:rtl/>
        </w:rPr>
        <w:t xml:space="preserve"> للهيدروجين الأخضر، ومحطة سكاكا للطاقة الشمسية، ومشاريع دومة الجندل، ومرافق تحلية المياه بالطاقة الشمسية، ومشاريع 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المتعددة. وحماية هذه الاستثمارات وضمان إنجازها في الوقت والميزانية المحددين يستلزمان إدارة فاعلة للمخاطر والسلامة.</w:t>
      </w:r>
    </w:p>
    <w:p w14:paraId="13607336"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وتفيد نتائج الدراسة عدة فئات من المستفيدين: (1) الجهات التنظيمية كوزارة الموارد البشرية والتنمية الاجتماعية والهيئة السعودية للمهندسين في تحسين أطر التفتيش والترخيص، (2) الشركات المالكة والمنفذة </w:t>
      </w:r>
      <w:proofErr w:type="spellStart"/>
      <w:r w:rsidRPr="002E4EFD">
        <w:rPr>
          <w:sz w:val="24"/>
          <w:szCs w:val="24"/>
          <w:rtl/>
        </w:rPr>
        <w:t>كأكوا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w:t>
      </w:r>
      <w:proofErr w:type="spellStart"/>
      <w:r w:rsidRPr="002E4EFD">
        <w:rPr>
          <w:sz w:val="24"/>
          <w:szCs w:val="24"/>
          <w:rtl/>
        </w:rPr>
        <w:t>ونيوم</w:t>
      </w:r>
      <w:proofErr w:type="spellEnd"/>
      <w:r w:rsidRPr="002E4EFD">
        <w:rPr>
          <w:sz w:val="24"/>
          <w:szCs w:val="24"/>
          <w:rtl/>
        </w:rPr>
        <w:t xml:space="preserve"> والشركة السعودية للكهرباء في تطوير سياساتها الداخلية، (3) المقاولين من الباطن في رفع كفاءتهم ومطابقتهم للمعايير، (4) المعاهد التدريبية في تصميم برامج متخصصة، (5) المستثمرين والمموّلين في تقييم المخاطر قبل ضخ رؤوس الأموال، (6) العاملين في الميدان الذين يستفيدون مباشرةً من تحسين بيئة العمل.</w:t>
      </w:r>
    </w:p>
    <w:p w14:paraId="4055F4E8" w14:textId="21F3BD2F" w:rsidR="008F3256" w:rsidRPr="002E4EFD" w:rsidRDefault="00BA5877" w:rsidP="005A3D98">
      <w:pPr>
        <w:spacing w:after="120" w:line="360" w:lineRule="auto"/>
        <w:ind w:firstLine="283"/>
        <w:jc w:val="mediumKashida"/>
        <w:rPr>
          <w:sz w:val="24"/>
          <w:szCs w:val="24"/>
        </w:rPr>
      </w:pPr>
      <w:r w:rsidRPr="002E4EFD">
        <w:rPr>
          <w:sz w:val="24"/>
          <w:szCs w:val="24"/>
          <w:rtl/>
        </w:rPr>
        <w:t xml:space="preserve">وتزداد أهمية الدراسة في ضوء التوجهات الدولية نحو ربط التمويل الأخضر بمعايير </w:t>
      </w:r>
      <w:proofErr w:type="spellStart"/>
      <w:r w:rsidRPr="002E4EFD">
        <w:rPr>
          <w:sz w:val="24"/>
          <w:szCs w:val="24"/>
          <w:rtl/>
        </w:rPr>
        <w:t>الحوكمة</w:t>
      </w:r>
      <w:proofErr w:type="spellEnd"/>
      <w:r w:rsidRPr="002E4EFD">
        <w:rPr>
          <w:sz w:val="24"/>
          <w:szCs w:val="24"/>
          <w:rtl/>
        </w:rPr>
        <w:t xml:space="preserve"> والسلامة، إذ باتت مؤسسات التمويل الدولية تشترط الالتزام بمعايير السلامة الاجتماعية والبيئية (IFC </w:t>
      </w:r>
      <w:proofErr w:type="spellStart"/>
      <w:r w:rsidRPr="002E4EFD">
        <w:rPr>
          <w:sz w:val="24"/>
          <w:szCs w:val="24"/>
          <w:rtl/>
        </w:rPr>
        <w:t>Performance</w:t>
      </w:r>
      <w:proofErr w:type="spellEnd"/>
      <w:r w:rsidRPr="002E4EFD">
        <w:rPr>
          <w:sz w:val="24"/>
          <w:szCs w:val="24"/>
          <w:rtl/>
        </w:rPr>
        <w:t xml:space="preserve"> </w:t>
      </w:r>
      <w:proofErr w:type="spellStart"/>
      <w:r w:rsidRPr="002E4EFD">
        <w:rPr>
          <w:sz w:val="24"/>
          <w:szCs w:val="24"/>
          <w:rtl/>
        </w:rPr>
        <w:t>Standards</w:t>
      </w:r>
      <w:proofErr w:type="spellEnd"/>
      <w:r w:rsidRPr="002E4EFD">
        <w:rPr>
          <w:sz w:val="24"/>
          <w:szCs w:val="24"/>
          <w:rtl/>
        </w:rPr>
        <w:t>) لمنح القروض للمشاريع الكبرى. ومن ثَمَّ، فإن تقديم أدلة علمية على أثر أنظمة السلامة على الأداء يُعزّز قدرة المشاريع السعودية على جذب التمويل الأجنبي والاستفادة من أسواق الكربون الدولية.</w:t>
      </w:r>
    </w:p>
    <w:p w14:paraId="3CA15228"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1.6 فرضيات الدراسة</w:t>
      </w:r>
    </w:p>
    <w:p w14:paraId="13D99543" w14:textId="77777777" w:rsidR="008F3256" w:rsidRPr="002E4EFD" w:rsidRDefault="00BA5877" w:rsidP="002E4EFD">
      <w:pPr>
        <w:spacing w:after="120" w:line="360" w:lineRule="auto"/>
        <w:ind w:firstLine="283"/>
        <w:jc w:val="mediumKashida"/>
        <w:rPr>
          <w:sz w:val="24"/>
          <w:szCs w:val="24"/>
        </w:rPr>
      </w:pPr>
      <w:r w:rsidRPr="002E4EFD">
        <w:rPr>
          <w:sz w:val="24"/>
          <w:szCs w:val="24"/>
          <w:rtl/>
        </w:rPr>
        <w:t>في ضوء الإطار النظري للدراسة والدراسات السابقة المرتبطة بموضوع البحث، صاغ الباحث ست فرضيات رئيسية قابلة للاختبار الإحصائي. وتُصاغ هذه الفرضيات بصيغة النفي (الفرضية الصفرية) التزاماً بالأصول العلمية لاختبار الفرضيات، حيث يتم رفضها أو عدم رفضها بناءً على النتائج الإحصائية:</w:t>
      </w:r>
    </w:p>
    <w:p w14:paraId="1D3FDED1"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الفرضية الأولى (H01): لا يوجد أثر ذو دلالة إحصائية عند مستوى الدلالة (α ≤ 0.05) للقيادة والالتزام بالسلامة على أداء المشاريع في مشاريع الطاقة المتجددة في المملكة العربية السعودية.</w:t>
      </w:r>
    </w:p>
    <w:p w14:paraId="3653C999"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الفرضية الثانية (H02): لا يوجد أثر ذو دلالة إحصائية عند مستوى الدلالة (α ≤ 0.05) للتدريب والوعي بالسلامة على أداء المشاريع في مشاريع الطاقة المتجددة في المملكة العربية السعودية.</w:t>
      </w:r>
    </w:p>
    <w:p w14:paraId="4769CBF9"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الفرضية الثالثة (H03): لا يوجد أثر ذو دلالة إحصائية عند مستوى الدلالة (α ≤ 0.05) للتفتيش والرقابة على السلامة على أداء المشاريع في مشاريع الطاقة المتجددة في المملكة العربية السعودية.</w:t>
      </w:r>
    </w:p>
    <w:p w14:paraId="40C2DDAF"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الفرضية الرابعة (H04): لا يوجد أثر ذو دلالة إحصائية عند مستوى الدلالة (α ≤ 0.05) للإبلاغ عن الحوادث والتحقيق فيها على أداء المشاريع في مشاريع الطاقة المتجددة في المملكة العربية السعودية.</w:t>
      </w:r>
    </w:p>
    <w:p w14:paraId="0EBF4E54"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الفرضية الخامسة (H05): لا يوجد أثر ذو دلالة إحصائية عند مستوى الدلالة (α ≤ 0.05) للاستعداد للاستجابة للطوارئ على أداء المشاريع في مشاريع الطاقة المتجددة في المملكة العربية السعودية.</w:t>
      </w:r>
    </w:p>
    <w:p w14:paraId="5C2CB87E"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الفرضية السادسة (H06): لا يوجد أثر ذو دلالة إحصائية عند مستوى الدلالة (α ≤ 0.05) لأبعاد نظام إدارة السلامة الخمسة مجتمعةً على أداء المشاريع في مشاريع الطاقة المتجددة في المملكة العربية السعودية.</w:t>
      </w:r>
    </w:p>
    <w:p w14:paraId="3AAE9AA8" w14:textId="77777777" w:rsidR="008F3256" w:rsidRPr="002E4EFD" w:rsidRDefault="00BA5877" w:rsidP="002E4EFD">
      <w:pPr>
        <w:jc w:val="mediumKashida"/>
        <w:rPr>
          <w:sz w:val="24"/>
          <w:szCs w:val="24"/>
        </w:rPr>
      </w:pPr>
      <w:r w:rsidRPr="002E4EFD">
        <w:rPr>
          <w:sz w:val="24"/>
          <w:szCs w:val="24"/>
        </w:rPr>
        <w:br w:type="page"/>
      </w:r>
    </w:p>
    <w:p w14:paraId="576FF38D"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1.7 النموذج النظري ومتغيرات الدراسة</w:t>
      </w:r>
    </w:p>
    <w:p w14:paraId="7CDF3DDD"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بُني النموذج النظري للدراسة استناداً إلى مراجعة الأدبيات العلمية في مجال إدارة السلامة وإدارة المشاريع، واستفادة من نماذج نظرية راسخة أبرزها نموذج مواصفة ISO 45001:2023 الذي يقوم على دورة PDCA (التخطيط – التنفيذ – التقييم – التحسين)، ونموذج </w:t>
      </w:r>
      <w:proofErr w:type="spellStart"/>
      <w:r w:rsidRPr="002E4EFD">
        <w:rPr>
          <w:sz w:val="24"/>
          <w:szCs w:val="24"/>
          <w:rtl/>
        </w:rPr>
        <w:t>Project</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Institute</w:t>
      </w:r>
      <w:proofErr w:type="spellEnd"/>
      <w:r w:rsidRPr="002E4EFD">
        <w:rPr>
          <w:sz w:val="24"/>
          <w:szCs w:val="24"/>
          <w:rtl/>
        </w:rPr>
        <w:t xml:space="preserve"> (PMI) المعروف بدليل PMBOK في قياس أداء المشاريع، فضلاً عن الاستفادة من دراسات سابقة (</w:t>
      </w:r>
      <w:proofErr w:type="spellStart"/>
      <w:r w:rsidRPr="002E4EFD">
        <w:rPr>
          <w:sz w:val="24"/>
          <w:szCs w:val="24"/>
          <w:rtl/>
        </w:rPr>
        <w:t>Robson</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xml:space="preserve">., 2007؛ </w:t>
      </w:r>
      <w:proofErr w:type="spellStart"/>
      <w:r w:rsidRPr="002E4EFD">
        <w:rPr>
          <w:sz w:val="24"/>
          <w:szCs w:val="24"/>
          <w:rtl/>
        </w:rPr>
        <w:t>Mohammed</w:t>
      </w:r>
      <w:proofErr w:type="spellEnd"/>
      <w:r w:rsidRPr="002E4EFD">
        <w:rPr>
          <w:sz w:val="24"/>
          <w:szCs w:val="24"/>
          <w:rtl/>
        </w:rPr>
        <w:t xml:space="preserve"> &amp; </w:t>
      </w:r>
      <w:proofErr w:type="spellStart"/>
      <w:r w:rsidRPr="002E4EFD">
        <w:rPr>
          <w:sz w:val="24"/>
          <w:szCs w:val="24"/>
          <w:rtl/>
        </w:rPr>
        <w:t>Ismail</w:t>
      </w:r>
      <w:proofErr w:type="spellEnd"/>
      <w:r w:rsidRPr="002E4EFD">
        <w:rPr>
          <w:sz w:val="24"/>
          <w:szCs w:val="24"/>
          <w:rtl/>
        </w:rPr>
        <w:t xml:space="preserve">, 2022؛ </w:t>
      </w:r>
      <w:proofErr w:type="spellStart"/>
      <w:r w:rsidRPr="002E4EFD">
        <w:rPr>
          <w:sz w:val="24"/>
          <w:szCs w:val="24"/>
          <w:rtl/>
        </w:rPr>
        <w:t>Al-Hamadi</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2023). ويتضمن النموذج متغيراً مستقلاً يتمثل في أنظمة إدارة السلامة بأبعادها الخمسة، ومتغيراً تابعاً يتمثل في أداء المشاريع بأبعاده الأربعة.</w:t>
      </w:r>
    </w:p>
    <w:p w14:paraId="1B5538BB"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المتغير المستقل (أنظمة إدارة السلامة) يتضمن خمسة أبعاد رئيسية هي:</w:t>
      </w:r>
    </w:p>
    <w:p w14:paraId="2F6E118F" w14:textId="77777777" w:rsidR="008F3256" w:rsidRPr="002E4EFD" w:rsidRDefault="00BA5877" w:rsidP="002E4EFD">
      <w:pPr>
        <w:spacing w:after="120" w:line="360" w:lineRule="auto"/>
        <w:ind w:firstLine="283"/>
        <w:jc w:val="mediumKashida"/>
        <w:rPr>
          <w:sz w:val="24"/>
          <w:szCs w:val="24"/>
        </w:rPr>
      </w:pPr>
      <w:r w:rsidRPr="002E4EFD">
        <w:rPr>
          <w:sz w:val="24"/>
          <w:szCs w:val="24"/>
          <w:rtl/>
        </w:rPr>
        <w:t>1. القيادة والالتزام بالسلامة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Leadership</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Commitment</w:t>
      </w:r>
      <w:proofErr w:type="spellEnd"/>
      <w:r w:rsidRPr="002E4EFD">
        <w:rPr>
          <w:sz w:val="24"/>
          <w:szCs w:val="24"/>
          <w:rtl/>
        </w:rPr>
        <w:t>): ويشمل تخصيص الموارد، ووضع السياسات، وتوضيح المسؤوليات، والقدوة الشخصية من الإدارة العليا.</w:t>
      </w:r>
    </w:p>
    <w:p w14:paraId="2CA47A8F" w14:textId="77777777" w:rsidR="008F3256" w:rsidRPr="002E4EFD" w:rsidRDefault="00BA5877" w:rsidP="002E4EFD">
      <w:pPr>
        <w:spacing w:after="120" w:line="360" w:lineRule="auto"/>
        <w:ind w:firstLine="283"/>
        <w:jc w:val="mediumKashida"/>
        <w:rPr>
          <w:sz w:val="24"/>
          <w:szCs w:val="24"/>
        </w:rPr>
      </w:pPr>
      <w:r w:rsidRPr="002E4EFD">
        <w:rPr>
          <w:sz w:val="24"/>
          <w:szCs w:val="24"/>
          <w:rtl/>
        </w:rPr>
        <w:t>2. التدريب والوعي بالسلامة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Training</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Awareness</w:t>
      </w:r>
      <w:proofErr w:type="spellEnd"/>
      <w:r w:rsidRPr="002E4EFD">
        <w:rPr>
          <w:sz w:val="24"/>
          <w:szCs w:val="24"/>
          <w:rtl/>
        </w:rPr>
        <w:t>): ويشمل تحديد الاحتياجات التدريبية، وتصميم البرامج، وتقييم الفعالية، وبناء ثقافة السلامة.</w:t>
      </w:r>
    </w:p>
    <w:p w14:paraId="3CFE9119" w14:textId="77777777" w:rsidR="008F3256" w:rsidRPr="002E4EFD" w:rsidRDefault="00BA5877" w:rsidP="002E4EFD">
      <w:pPr>
        <w:spacing w:after="120" w:line="360" w:lineRule="auto"/>
        <w:ind w:firstLine="283"/>
        <w:jc w:val="mediumKashida"/>
        <w:rPr>
          <w:sz w:val="24"/>
          <w:szCs w:val="24"/>
        </w:rPr>
      </w:pPr>
      <w:r w:rsidRPr="002E4EFD">
        <w:rPr>
          <w:sz w:val="24"/>
          <w:szCs w:val="24"/>
          <w:rtl/>
        </w:rPr>
        <w:t>3. التفتيش والرقابة على السلامة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Inspection</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Monitoring</w:t>
      </w:r>
      <w:proofErr w:type="spellEnd"/>
      <w:r w:rsidRPr="002E4EFD">
        <w:rPr>
          <w:sz w:val="24"/>
          <w:szCs w:val="24"/>
          <w:rtl/>
        </w:rPr>
        <w:t>): ويشمل التفتيش الدوري، وتقييم المخاطر، والمراقبة المستمرة، والمقاييس الاستباقية والتفاعلية.</w:t>
      </w:r>
    </w:p>
    <w:p w14:paraId="0D113B0F" w14:textId="77777777" w:rsidR="008F3256" w:rsidRPr="002E4EFD" w:rsidRDefault="00BA5877" w:rsidP="002E4EFD">
      <w:pPr>
        <w:spacing w:after="120" w:line="360" w:lineRule="auto"/>
        <w:ind w:firstLine="283"/>
        <w:jc w:val="mediumKashida"/>
        <w:rPr>
          <w:sz w:val="24"/>
          <w:szCs w:val="24"/>
        </w:rPr>
      </w:pPr>
      <w:r w:rsidRPr="002E4EFD">
        <w:rPr>
          <w:sz w:val="24"/>
          <w:szCs w:val="24"/>
          <w:rtl/>
        </w:rPr>
        <w:t>4. الإبلاغ عن الحوادث والتحقيق فيها (</w:t>
      </w:r>
      <w:proofErr w:type="spellStart"/>
      <w:r w:rsidRPr="002E4EFD">
        <w:rPr>
          <w:sz w:val="24"/>
          <w:szCs w:val="24"/>
          <w:rtl/>
        </w:rPr>
        <w:t>Incident</w:t>
      </w:r>
      <w:proofErr w:type="spellEnd"/>
      <w:r w:rsidRPr="002E4EFD">
        <w:rPr>
          <w:sz w:val="24"/>
          <w:szCs w:val="24"/>
          <w:rtl/>
        </w:rPr>
        <w:t xml:space="preserve"> </w:t>
      </w:r>
      <w:proofErr w:type="spellStart"/>
      <w:r w:rsidRPr="002E4EFD">
        <w:rPr>
          <w:sz w:val="24"/>
          <w:szCs w:val="24"/>
          <w:rtl/>
        </w:rPr>
        <w:t>Reporting</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Investigation</w:t>
      </w:r>
      <w:proofErr w:type="spellEnd"/>
      <w:r w:rsidRPr="002E4EFD">
        <w:rPr>
          <w:sz w:val="24"/>
          <w:szCs w:val="24"/>
          <w:rtl/>
        </w:rPr>
        <w:t>): ويشمل ثقافة الإبلاغ، وتحليل الأسباب الجذرية، والاستفادة من الدروس المستفادة، وعدم توجيه اللوم.</w:t>
      </w:r>
    </w:p>
    <w:p w14:paraId="69137328" w14:textId="77777777" w:rsidR="008F3256" w:rsidRPr="002E4EFD" w:rsidRDefault="00BA5877" w:rsidP="002E4EFD">
      <w:pPr>
        <w:spacing w:after="120" w:line="360" w:lineRule="auto"/>
        <w:ind w:firstLine="283"/>
        <w:jc w:val="mediumKashida"/>
        <w:rPr>
          <w:sz w:val="24"/>
          <w:szCs w:val="24"/>
        </w:rPr>
      </w:pPr>
      <w:r w:rsidRPr="002E4EFD">
        <w:rPr>
          <w:sz w:val="24"/>
          <w:szCs w:val="24"/>
          <w:rtl/>
        </w:rPr>
        <w:t>5. الاستعداد للاستجابة للطوارئ (</w:t>
      </w:r>
      <w:proofErr w:type="spellStart"/>
      <w:r w:rsidRPr="002E4EFD">
        <w:rPr>
          <w:sz w:val="24"/>
          <w:szCs w:val="24"/>
          <w:rtl/>
        </w:rPr>
        <w:t>Emergency</w:t>
      </w:r>
      <w:proofErr w:type="spellEnd"/>
      <w:r w:rsidRPr="002E4EFD">
        <w:rPr>
          <w:sz w:val="24"/>
          <w:szCs w:val="24"/>
          <w:rtl/>
        </w:rPr>
        <w:t xml:space="preserve"> </w:t>
      </w:r>
      <w:proofErr w:type="spellStart"/>
      <w:r w:rsidRPr="002E4EFD">
        <w:rPr>
          <w:sz w:val="24"/>
          <w:szCs w:val="24"/>
          <w:rtl/>
        </w:rPr>
        <w:t>Response</w:t>
      </w:r>
      <w:proofErr w:type="spellEnd"/>
      <w:r w:rsidRPr="002E4EFD">
        <w:rPr>
          <w:sz w:val="24"/>
          <w:szCs w:val="24"/>
          <w:rtl/>
        </w:rPr>
        <w:t xml:space="preserve"> </w:t>
      </w:r>
      <w:proofErr w:type="spellStart"/>
      <w:r w:rsidRPr="002E4EFD">
        <w:rPr>
          <w:sz w:val="24"/>
          <w:szCs w:val="24"/>
          <w:rtl/>
        </w:rPr>
        <w:t>Preparedness</w:t>
      </w:r>
      <w:proofErr w:type="spellEnd"/>
      <w:r w:rsidRPr="002E4EFD">
        <w:rPr>
          <w:sz w:val="24"/>
          <w:szCs w:val="24"/>
          <w:rtl/>
        </w:rPr>
        <w:t>): ويشمل خطط الطوارئ، والفرق المختصة، والتدريبات الدورية، ومعدات الاستجابة، والتنسيق مع الجهات الخارجية.</w:t>
      </w:r>
    </w:p>
    <w:p w14:paraId="2A35B507" w14:textId="77777777" w:rsidR="008F3256" w:rsidRPr="002E4EFD" w:rsidRDefault="00BA5877" w:rsidP="002E4EFD">
      <w:pPr>
        <w:spacing w:after="120" w:line="360" w:lineRule="auto"/>
        <w:ind w:firstLine="283"/>
        <w:jc w:val="mediumKashida"/>
        <w:rPr>
          <w:sz w:val="24"/>
          <w:szCs w:val="24"/>
        </w:rPr>
      </w:pPr>
      <w:r w:rsidRPr="002E4EFD">
        <w:rPr>
          <w:sz w:val="24"/>
          <w:szCs w:val="24"/>
          <w:rtl/>
        </w:rPr>
        <w:t>المتغير التابع (أداء المشاريع) يتضمن أربعة أبعاد رئيسية هي: الالتزام بالوقت (</w:t>
      </w:r>
      <w:proofErr w:type="spellStart"/>
      <w:r w:rsidRPr="002E4EFD">
        <w:rPr>
          <w:sz w:val="24"/>
          <w:szCs w:val="24"/>
          <w:rtl/>
        </w:rPr>
        <w:t>Time</w:t>
      </w:r>
      <w:proofErr w:type="spellEnd"/>
      <w:r w:rsidRPr="002E4EFD">
        <w:rPr>
          <w:sz w:val="24"/>
          <w:szCs w:val="24"/>
          <w:rtl/>
        </w:rPr>
        <w:t>)، الالتزام بالتكلفة (</w:t>
      </w:r>
      <w:proofErr w:type="spellStart"/>
      <w:r w:rsidRPr="002E4EFD">
        <w:rPr>
          <w:sz w:val="24"/>
          <w:szCs w:val="24"/>
          <w:rtl/>
        </w:rPr>
        <w:t>Cost</w:t>
      </w:r>
      <w:proofErr w:type="spellEnd"/>
      <w:r w:rsidRPr="002E4EFD">
        <w:rPr>
          <w:sz w:val="24"/>
          <w:szCs w:val="24"/>
          <w:rtl/>
        </w:rPr>
        <w:t>)، الجودة (</w:t>
      </w:r>
      <w:proofErr w:type="spellStart"/>
      <w:r w:rsidRPr="002E4EFD">
        <w:rPr>
          <w:sz w:val="24"/>
          <w:szCs w:val="24"/>
          <w:rtl/>
        </w:rPr>
        <w:t>Quality</w:t>
      </w:r>
      <w:proofErr w:type="spellEnd"/>
      <w:r w:rsidRPr="002E4EFD">
        <w:rPr>
          <w:sz w:val="24"/>
          <w:szCs w:val="24"/>
          <w:rtl/>
        </w:rPr>
        <w:t>)، رضا أصحاب المصلحة (</w:t>
      </w:r>
      <w:proofErr w:type="spellStart"/>
      <w:r w:rsidRPr="002E4EFD">
        <w:rPr>
          <w:sz w:val="24"/>
          <w:szCs w:val="24"/>
          <w:rtl/>
        </w:rPr>
        <w:t>Stakeholder</w:t>
      </w:r>
      <w:proofErr w:type="spellEnd"/>
      <w:r w:rsidRPr="002E4EFD">
        <w:rPr>
          <w:sz w:val="24"/>
          <w:szCs w:val="24"/>
          <w:rtl/>
        </w:rPr>
        <w:t xml:space="preserve"> </w:t>
      </w:r>
      <w:proofErr w:type="spellStart"/>
      <w:r w:rsidRPr="002E4EFD">
        <w:rPr>
          <w:sz w:val="24"/>
          <w:szCs w:val="24"/>
          <w:rtl/>
        </w:rPr>
        <w:t>Satisfaction</w:t>
      </w:r>
      <w:proofErr w:type="spellEnd"/>
      <w:r w:rsidRPr="002E4EFD">
        <w:rPr>
          <w:sz w:val="24"/>
          <w:szCs w:val="24"/>
          <w:rtl/>
        </w:rPr>
        <w:t>). ويُقصد بأداء المشاريع مدى تحقق الأهداف المخطط لها للمشروع في ضوء هذه الأبعاد الأربعة، وهو ما يتسق مع "مثلث إدارة المشاريع" التقليدي (الوقت-التكلفة-الجودة) مع إضافة البعد الرابع المتعلق برضا الأطراف.</w:t>
      </w:r>
    </w:p>
    <w:p w14:paraId="696E8BCE" w14:textId="77777777" w:rsidR="008F3256" w:rsidRPr="002E4EFD" w:rsidRDefault="00BA5877" w:rsidP="002E4EFD">
      <w:pPr>
        <w:spacing w:after="120" w:line="360" w:lineRule="auto"/>
        <w:ind w:firstLine="283"/>
        <w:jc w:val="mediumKashida"/>
        <w:rPr>
          <w:sz w:val="24"/>
          <w:szCs w:val="24"/>
        </w:rPr>
      </w:pPr>
      <w:r w:rsidRPr="002E4EFD">
        <w:rPr>
          <w:sz w:val="24"/>
          <w:szCs w:val="24"/>
          <w:rtl/>
        </w:rPr>
        <w:t>وبناءً على ما تقدّم، يفترض النموذج وجود علاقة أثر موجبة بين تطبيق أبعاد نظام إدارة السلامة الخمسة وأداء المشاريع، يُمكن قياسها عبر معاملات الارتباط وقيم الانحدار، على أن تُحدّد الفرضيات الإحصائية ما إذا كانت هذه العلاقة دالةً إحصائياً. ويُمكن تمثيل النموذج نظرياً وفق الشكل الآتي:</w:t>
      </w:r>
    </w:p>
    <w:p w14:paraId="50F65BDD" w14:textId="77777777" w:rsidR="008F3256" w:rsidRPr="002E4EFD" w:rsidRDefault="00BA5877" w:rsidP="002E4EFD">
      <w:pPr>
        <w:spacing w:after="120" w:line="360" w:lineRule="auto"/>
        <w:ind w:firstLine="283"/>
        <w:jc w:val="mediumKashida"/>
        <w:rPr>
          <w:sz w:val="24"/>
          <w:szCs w:val="24"/>
        </w:rPr>
      </w:pPr>
      <w:r w:rsidRPr="002E4EFD">
        <w:rPr>
          <w:sz w:val="24"/>
          <w:szCs w:val="24"/>
          <w:rtl/>
        </w:rPr>
        <w:lastRenderedPageBreak/>
        <w:t>الشكل (1): النموذج النظري للدراسة</w:t>
      </w:r>
    </w:p>
    <w:p w14:paraId="162F1B0F" w14:textId="77777777" w:rsidR="008F3256" w:rsidRPr="002E4EFD" w:rsidRDefault="00BA5877" w:rsidP="002E4EFD">
      <w:pPr>
        <w:spacing w:after="120" w:line="360" w:lineRule="auto"/>
        <w:ind w:firstLine="283"/>
        <w:jc w:val="mediumKashida"/>
        <w:rPr>
          <w:sz w:val="24"/>
          <w:szCs w:val="24"/>
        </w:rPr>
      </w:pPr>
      <w:r w:rsidRPr="002E4EFD">
        <w:rPr>
          <w:sz w:val="24"/>
          <w:szCs w:val="24"/>
          <w:rtl/>
        </w:rPr>
        <w:t>[أبعاد نظام إدارة السلامة الخمسة] →(أثر)→ [أداء المشاريع بأبعاده الأربعة]</w:t>
      </w:r>
    </w:p>
    <w:p w14:paraId="282DC5E6"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وتجدر الإشارة إلى أن النموذج يفترض وجود متغيرات وسيطة محتملة (كالثقافة التنظيمية وحجم المشروع ونوعه) لم تتناولها الدراسة بالقياس المباشر، إذ ركّزت على قياس العلاقة الثنائية المباشرة بين المتغير المستقل والتابع، وذلك التزاماً بحدود الدراسة المرسومة، وتركيزاً على الإجابة عن التساؤلات المطروحة. غير أن الباحث يوصي بدراسات مستقبلية تتناول هذه المتغيرات الوسيطة لتقديم نموذج أعمق وأشمل.</w:t>
      </w:r>
    </w:p>
    <w:p w14:paraId="7F0DCBE9" w14:textId="77777777" w:rsidR="008F3256" w:rsidRPr="002E4EFD" w:rsidRDefault="00BA5877" w:rsidP="002E4EFD">
      <w:pPr>
        <w:jc w:val="mediumKashida"/>
        <w:rPr>
          <w:sz w:val="24"/>
          <w:szCs w:val="24"/>
        </w:rPr>
      </w:pPr>
      <w:r w:rsidRPr="002E4EFD">
        <w:rPr>
          <w:sz w:val="24"/>
          <w:szCs w:val="24"/>
        </w:rPr>
        <w:br w:type="page"/>
      </w:r>
    </w:p>
    <w:p w14:paraId="7DA6BB2D" w14:textId="77777777" w:rsidR="005A3D98" w:rsidRDefault="005A3D98" w:rsidP="005A3D98">
      <w:pPr>
        <w:pStyle w:val="1"/>
        <w:spacing w:before="360" w:after="200" w:line="312" w:lineRule="auto"/>
        <w:jc w:val="center"/>
        <w:rPr>
          <w:rFonts w:ascii="Sakkal Majalla" w:eastAsia="Sakkal Majalla" w:hAnsi="Sakkal Majalla" w:cs="Sakkal Majalla"/>
          <w:color w:val="1F3A5F"/>
          <w:sz w:val="52"/>
          <w:szCs w:val="52"/>
          <w:rtl/>
        </w:rPr>
      </w:pPr>
    </w:p>
    <w:p w14:paraId="22EFFD9D" w14:textId="77777777" w:rsidR="005A3D98" w:rsidRDefault="005A3D98" w:rsidP="005A3D98">
      <w:pPr>
        <w:pStyle w:val="1"/>
        <w:spacing w:before="360" w:after="200" w:line="312" w:lineRule="auto"/>
        <w:jc w:val="center"/>
        <w:rPr>
          <w:rFonts w:ascii="Sakkal Majalla" w:eastAsia="Sakkal Majalla" w:hAnsi="Sakkal Majalla" w:cs="Sakkal Majalla"/>
          <w:color w:val="1F3A5F"/>
          <w:sz w:val="52"/>
          <w:szCs w:val="52"/>
          <w:rtl/>
        </w:rPr>
      </w:pPr>
    </w:p>
    <w:p w14:paraId="3B29E9F6" w14:textId="77777777" w:rsidR="005A3D98" w:rsidRDefault="005A3D98" w:rsidP="005A3D98">
      <w:pPr>
        <w:pStyle w:val="1"/>
        <w:spacing w:before="360" w:after="200" w:line="312" w:lineRule="auto"/>
        <w:jc w:val="center"/>
        <w:rPr>
          <w:rFonts w:ascii="Sakkal Majalla" w:eastAsia="Sakkal Majalla" w:hAnsi="Sakkal Majalla" w:cs="Sakkal Majalla"/>
          <w:color w:val="1F3A5F"/>
          <w:sz w:val="52"/>
          <w:szCs w:val="52"/>
          <w:rtl/>
        </w:rPr>
      </w:pPr>
    </w:p>
    <w:p w14:paraId="19B9A93D" w14:textId="77777777" w:rsidR="005A3D98" w:rsidRDefault="005A3D98" w:rsidP="005A3D98">
      <w:pPr>
        <w:pStyle w:val="1"/>
        <w:spacing w:before="360" w:after="200" w:line="312" w:lineRule="auto"/>
        <w:jc w:val="center"/>
        <w:rPr>
          <w:rFonts w:ascii="Sakkal Majalla" w:eastAsia="Sakkal Majalla" w:hAnsi="Sakkal Majalla" w:cs="Sakkal Majalla"/>
          <w:color w:val="1F3A5F"/>
          <w:sz w:val="52"/>
          <w:szCs w:val="52"/>
          <w:rtl/>
        </w:rPr>
      </w:pPr>
    </w:p>
    <w:p w14:paraId="4F54B529" w14:textId="5C4EED34" w:rsidR="008F3256" w:rsidRPr="005A3D98" w:rsidRDefault="00BA5877" w:rsidP="005A3D98">
      <w:pPr>
        <w:pStyle w:val="1"/>
        <w:spacing w:before="360" w:after="200" w:line="312" w:lineRule="auto"/>
        <w:jc w:val="center"/>
        <w:rPr>
          <w:sz w:val="72"/>
          <w:szCs w:val="72"/>
        </w:rPr>
      </w:pPr>
      <w:r w:rsidRPr="005A3D98">
        <w:rPr>
          <w:rFonts w:ascii="Sakkal Majalla" w:eastAsia="Sakkal Majalla" w:hAnsi="Sakkal Majalla" w:cs="Sakkal Majalla"/>
          <w:color w:val="1F3A5F"/>
          <w:sz w:val="72"/>
          <w:szCs w:val="72"/>
          <w:rtl/>
        </w:rPr>
        <w:t>الفصل الثاني: الإطار النظري والدراسات السابقة</w:t>
      </w:r>
    </w:p>
    <w:p w14:paraId="7FB6C7F9" w14:textId="77777777" w:rsidR="008F3256" w:rsidRPr="005A3D98" w:rsidRDefault="00BA5877" w:rsidP="005A3D98">
      <w:pPr>
        <w:jc w:val="center"/>
        <w:rPr>
          <w:sz w:val="72"/>
          <w:szCs w:val="72"/>
        </w:rPr>
      </w:pPr>
      <w:r w:rsidRPr="005A3D98">
        <w:rPr>
          <w:sz w:val="72"/>
          <w:szCs w:val="72"/>
        </w:rPr>
        <w:br w:type="page"/>
      </w:r>
    </w:p>
    <w:p w14:paraId="222292BF"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2.1 مفهوم أنظمة إدارة السلامة وتطورها</w:t>
      </w:r>
    </w:p>
    <w:p w14:paraId="23646375" w14:textId="77777777" w:rsidR="008F3256" w:rsidRPr="002E4EFD" w:rsidRDefault="00BA5877" w:rsidP="002E4EFD">
      <w:pPr>
        <w:spacing w:after="120" w:line="360" w:lineRule="auto"/>
        <w:ind w:firstLine="283"/>
        <w:jc w:val="mediumKashida"/>
        <w:rPr>
          <w:sz w:val="24"/>
          <w:szCs w:val="24"/>
        </w:rPr>
      </w:pPr>
      <w:r w:rsidRPr="002E4EFD">
        <w:rPr>
          <w:sz w:val="24"/>
          <w:szCs w:val="24"/>
          <w:rtl/>
        </w:rPr>
        <w:t>يُعدّ مفهوم نظام إدارة السلامة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System</w:t>
      </w:r>
      <w:proofErr w:type="spellEnd"/>
      <w:r w:rsidRPr="002E4EFD">
        <w:rPr>
          <w:sz w:val="24"/>
          <w:szCs w:val="24"/>
          <w:rtl/>
        </w:rPr>
        <w:t>) من المفاهيم التي تطورت تدريجياً عبر عقود من العمل البحثي والميداني، حتى بلغ صيغته الحالية المتكاملة في مواصفة ISO 45001:2023. ويُعرّف نظام إدارة السلامة اصطلاحياً بأنه مجموعة متكاملة من السياسات والإجراءات والعمليات والموارد التي تضعها المنشأة لإدارة المخاطر المهنية وحماية صحة العاملين وسلامتهم، بشكل منهجي وقابل للقياس والتحسين المستمر. ويقوم هذا النظام على فلسفة استباقية تُركّز على منع الحوادث قبل وقوعها بدلاً من الاكتفاء بالتفاعل معها بعد حدوثها، وهو ما يميّزه عن النهج التقليدي الذي كان سائداً قبل التسعينيات والذي اعتمد بشكل أساسي على التعامل التفاعلي مع الإصابات والحوادث.</w:t>
      </w:r>
    </w:p>
    <w:p w14:paraId="5D485093"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وتعود الجذور التاريخية لنظم إدارة السلامة إلى تطور حركة السلامة المهنية في أعقاب الثورة الصناعية، حيث ظهرت التشريعات الأولى في بريطانيا في القرن التاسع عشر (قانون المصانع 1833)، ثم تطورت عبر القرن العشرين مع ظهور منظمات دولية متخصصة كمنظمة العمل الدولية (ILO) عام 1919، ومنظمة الصحة العالمية (WHO) عام 1948. وفي عام 1996، أصدرت مؤسسة المعايير البريطانية مواصفة BS 8800 التي وضعت إطاراً توجيهياً لأنظمة إدارة السلامة والصحة المهنية، ثم تبعها صدور مواصفة OHSAS 18001 عام 1999 التي أصبحت المرجعية الدولية غير الرسمية لما يقارب عقدين من الزمن، قبل أن تحل محلها مواصفة ISO 45001 عام 2018 التي تُعدّ الأولى من نوعها التي تصدر عن المنظمة الدولية للتقييس (ISO) في مجال السلامة والصحة المهنية.</w:t>
      </w:r>
    </w:p>
    <w:p w14:paraId="3A4805C6" w14:textId="77777777" w:rsidR="008F3256" w:rsidRPr="002E4EFD" w:rsidRDefault="00BA5877" w:rsidP="002E4EFD">
      <w:pPr>
        <w:spacing w:after="120" w:line="360" w:lineRule="auto"/>
        <w:ind w:firstLine="283"/>
        <w:jc w:val="mediumKashida"/>
        <w:rPr>
          <w:sz w:val="24"/>
          <w:szCs w:val="24"/>
        </w:rPr>
      </w:pPr>
      <w:r w:rsidRPr="002E4EFD">
        <w:rPr>
          <w:sz w:val="24"/>
          <w:szCs w:val="24"/>
          <w:rtl/>
        </w:rPr>
        <w:t>وقد جاء تحديث المواصفة عام 2023 (ISO 45001:2018/</w:t>
      </w:r>
      <w:proofErr w:type="spellStart"/>
      <w:r w:rsidRPr="002E4EFD">
        <w:rPr>
          <w:sz w:val="24"/>
          <w:szCs w:val="24"/>
          <w:rtl/>
        </w:rPr>
        <w:t>Amd</w:t>
      </w:r>
      <w:proofErr w:type="spellEnd"/>
      <w:r w:rsidRPr="002E4EFD">
        <w:rPr>
          <w:sz w:val="24"/>
          <w:szCs w:val="24"/>
          <w:rtl/>
        </w:rPr>
        <w:t xml:space="preserve"> 1:2023) ليعزّز التزام المنشآت بمعايير </w:t>
      </w:r>
      <w:proofErr w:type="spellStart"/>
      <w:r w:rsidRPr="002E4EFD">
        <w:rPr>
          <w:sz w:val="24"/>
          <w:szCs w:val="24"/>
          <w:rtl/>
        </w:rPr>
        <w:t>الحوكمة</w:t>
      </w:r>
      <w:proofErr w:type="spellEnd"/>
      <w:r w:rsidRPr="002E4EFD">
        <w:rPr>
          <w:sz w:val="24"/>
          <w:szCs w:val="24"/>
          <w:rtl/>
        </w:rPr>
        <w:t xml:space="preserve"> وإدارة المخاطر والتكامل مع المواصفات الإدارية الأخرى كـ ISO 9001 للجودة </w:t>
      </w:r>
      <w:proofErr w:type="spellStart"/>
      <w:r w:rsidRPr="002E4EFD">
        <w:rPr>
          <w:sz w:val="24"/>
          <w:szCs w:val="24"/>
          <w:rtl/>
        </w:rPr>
        <w:t>وISO</w:t>
      </w:r>
      <w:proofErr w:type="spellEnd"/>
      <w:r w:rsidRPr="002E4EFD">
        <w:rPr>
          <w:sz w:val="24"/>
          <w:szCs w:val="24"/>
          <w:rtl/>
        </w:rPr>
        <w:t xml:space="preserve"> 14001 للبيئة. ويُلاحظ الباحث أن تطور هذه النظم لم يكن منفصلاً عن تطور الفكر الإداري عموماً، إذ تأثرت مبادئها بمدرسة الإدارة العلمية، ونظرية النظم، والمنهج المعرفي القائم على تحسين الجودة الشاملة (TQM)، وصولاً إلى النهج المعاصر القائم على إدارة المخاطر الشاملة (</w:t>
      </w:r>
      <w:proofErr w:type="spellStart"/>
      <w:r w:rsidRPr="002E4EFD">
        <w:rPr>
          <w:sz w:val="24"/>
          <w:szCs w:val="24"/>
          <w:rtl/>
        </w:rPr>
        <w:t>Enterprise</w:t>
      </w:r>
      <w:proofErr w:type="spellEnd"/>
      <w:r w:rsidRPr="002E4EFD">
        <w:rPr>
          <w:sz w:val="24"/>
          <w:szCs w:val="24"/>
          <w:rtl/>
        </w:rPr>
        <w:t xml:space="preserve"> </w:t>
      </w:r>
      <w:proofErr w:type="spellStart"/>
      <w:r w:rsidRPr="002E4EFD">
        <w:rPr>
          <w:sz w:val="24"/>
          <w:szCs w:val="24"/>
          <w:rtl/>
        </w:rPr>
        <w:t>Risk</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والمساءلة الاجتماعية للشركات.</w:t>
      </w:r>
    </w:p>
    <w:p w14:paraId="700B1298" w14:textId="2E59EC9E" w:rsidR="008F3256" w:rsidRPr="002E4EFD" w:rsidRDefault="00BA5877" w:rsidP="005A3D98">
      <w:pPr>
        <w:spacing w:after="120" w:line="360" w:lineRule="auto"/>
        <w:ind w:firstLine="283"/>
        <w:jc w:val="mediumKashida"/>
        <w:rPr>
          <w:sz w:val="24"/>
          <w:szCs w:val="24"/>
        </w:rPr>
      </w:pPr>
      <w:r w:rsidRPr="002E4EFD">
        <w:rPr>
          <w:sz w:val="24"/>
          <w:szCs w:val="24"/>
          <w:rtl/>
        </w:rPr>
        <w:t>ويُعرّف الباحث نظام إدارة السلامة إجرائياً في إطار هذه الدراسة بأنه: مجموعة السياسات والإجراءات والممارسات التي تتبناها الشركات المنفذة لمشاريع الطاقة المتجددة في المملكة العربية السعودية لإدارة المخاطر المهنية وحماية العاملين، والمكوّنة من خمسة أبعاد رئيسة هي: القيادة والالتزام بالسلامة، والتدريب والوعي بالسلامة، والتفتيش والرقابة على السلامة، والإبلاغ عن الحوادث والتحقيق فيها، والاستعداد للاستجابة للطوارئ، والمُقاسة بأداة الدراسة (الاستبانة) المصممة لهذا الغرض. ويُلاحظ أن هذا التعريف الإجرائي يربط بين المفهوم النظري والممارسة الفعلية في قطاع محدد هو قطاع الطاقة المتجددة السعودي، مما يُسهّل القياس والتحليل.</w:t>
      </w:r>
    </w:p>
    <w:p w14:paraId="73D53971"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2.2 المرجعية المعيارية (ISO 45001:2023)</w:t>
      </w:r>
    </w:p>
    <w:p w14:paraId="5609975D" w14:textId="77777777" w:rsidR="008F3256" w:rsidRPr="002E4EFD" w:rsidRDefault="00BA5877" w:rsidP="002E4EFD">
      <w:pPr>
        <w:spacing w:after="120" w:line="360" w:lineRule="auto"/>
        <w:ind w:firstLine="283"/>
        <w:jc w:val="mediumKashida"/>
        <w:rPr>
          <w:sz w:val="24"/>
          <w:szCs w:val="24"/>
        </w:rPr>
      </w:pPr>
      <w:r w:rsidRPr="002E4EFD">
        <w:rPr>
          <w:sz w:val="24"/>
          <w:szCs w:val="24"/>
          <w:rtl/>
        </w:rPr>
        <w:t>تُعدّ مواصفة ISO 45001:2018/</w:t>
      </w:r>
      <w:proofErr w:type="spellStart"/>
      <w:r w:rsidRPr="002E4EFD">
        <w:rPr>
          <w:sz w:val="24"/>
          <w:szCs w:val="24"/>
          <w:rtl/>
        </w:rPr>
        <w:t>Amd</w:t>
      </w:r>
      <w:proofErr w:type="spellEnd"/>
      <w:r w:rsidRPr="002E4EFD">
        <w:rPr>
          <w:sz w:val="24"/>
          <w:szCs w:val="24"/>
          <w:rtl/>
        </w:rPr>
        <w:t xml:space="preserve"> 1:2023 المرجعية الدولية الأحدث في مجال أنظمة إدارة السلامة والصحة المهنية، وقد حلت محل مواصفة OHSAS 18001 التي أُلغيت رسمياً في مارس 2021. وتقوم المواصفة على مبدأ دورة PDCA (</w:t>
      </w:r>
      <w:proofErr w:type="spellStart"/>
      <w:r w:rsidRPr="002E4EFD">
        <w:rPr>
          <w:sz w:val="24"/>
          <w:szCs w:val="24"/>
          <w:rtl/>
        </w:rPr>
        <w:t>Plan-Do-Check-Act</w:t>
      </w:r>
      <w:proofErr w:type="spellEnd"/>
      <w:r w:rsidRPr="002E4EFD">
        <w:rPr>
          <w:sz w:val="24"/>
          <w:szCs w:val="24"/>
          <w:rtl/>
        </w:rPr>
        <w:t xml:space="preserve">) التي طوّرها إدوارد </w:t>
      </w:r>
      <w:proofErr w:type="spellStart"/>
      <w:r w:rsidRPr="002E4EFD">
        <w:rPr>
          <w:sz w:val="24"/>
          <w:szCs w:val="24"/>
          <w:rtl/>
        </w:rPr>
        <w:t>ديمنج</w:t>
      </w:r>
      <w:proofErr w:type="spellEnd"/>
      <w:r w:rsidRPr="002E4EFD">
        <w:rPr>
          <w:sz w:val="24"/>
          <w:szCs w:val="24"/>
          <w:rtl/>
        </w:rPr>
        <w:t xml:space="preserve">، والمتمثلة في التخطيط والتنفيذ والمراجعة والتحسين. وتتميز المواصفة الجديدة عن سابقتها بعدة نقاط جوهرية، أبرزها: (1) تبني الهيكل العالي المستوى (HLS) الذي يُتيح التكامل السهل مع ISO 9001 </w:t>
      </w:r>
      <w:proofErr w:type="spellStart"/>
      <w:r w:rsidRPr="002E4EFD">
        <w:rPr>
          <w:sz w:val="24"/>
          <w:szCs w:val="24"/>
          <w:rtl/>
        </w:rPr>
        <w:t>وISO</w:t>
      </w:r>
      <w:proofErr w:type="spellEnd"/>
      <w:r w:rsidRPr="002E4EFD">
        <w:rPr>
          <w:sz w:val="24"/>
          <w:szCs w:val="24"/>
          <w:rtl/>
        </w:rPr>
        <w:t xml:space="preserve"> 14001، (2) التركيز على القيادة والالتزام كعنصر مركزي، (3) إشراك العاملين ومشاركتهم في تطوير النظام، (4) التوجه </w:t>
      </w:r>
      <w:proofErr w:type="spellStart"/>
      <w:r w:rsidRPr="002E4EFD">
        <w:rPr>
          <w:sz w:val="24"/>
          <w:szCs w:val="24"/>
          <w:rtl/>
        </w:rPr>
        <w:t>الاستباقي</w:t>
      </w:r>
      <w:proofErr w:type="spellEnd"/>
      <w:r w:rsidRPr="002E4EFD">
        <w:rPr>
          <w:sz w:val="24"/>
          <w:szCs w:val="24"/>
          <w:rtl/>
        </w:rPr>
        <w:t xml:space="preserve"> نحو إدارة المخاطر، (5) مراعاة سياق المنشأة وأطرافها المعنية.</w:t>
      </w:r>
    </w:p>
    <w:p w14:paraId="4900B99B"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وتتضمن المواصفة عشرة بنود رئيسة: (1) النطاق، (2) المراجع المعيارية، (3) المصطلحات والتعاريف، (4) سياق المنشأة، (5) القيادة، (6) التخطيط، (7) الدعم، (8) التشغيل، (9) تقييم الأداء، (10) التحسين. وتُشكّل هذه البنود الإطار الذي يُمكن للمنشأة بناء نظام إدارة سلامة متكامل وفقها، مع ضرورة إجراء مراجعة داخلية دورية ومراجعة خارجية للحصول على الشهادة. وتشترط المواصفة وجود إثباتات موثقة لكل بند، مما يُضمن عدم الاكتفاء بالجانب الشكلي.</w:t>
      </w:r>
    </w:p>
    <w:p w14:paraId="3BDD3B96"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وفي السياق السعودي، تبنّت كثير من الشركات الكبرى العاملة في قطاع الطاقة المواصفة، إذ تشير تقارير 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إلى أن جميع مشاريعها الكبرى معتمدة وفق ISO 45001، وأن الشركة تُطبّق نظام HSSE (الصحة والسلامة والأمن والبيئة) بشكل متكامل (ACWA </w:t>
      </w:r>
      <w:proofErr w:type="spellStart"/>
      <w:r w:rsidRPr="002E4EFD">
        <w:rPr>
          <w:sz w:val="24"/>
          <w:szCs w:val="24"/>
          <w:rtl/>
        </w:rPr>
        <w:t>Power</w:t>
      </w:r>
      <w:proofErr w:type="spellEnd"/>
      <w:r w:rsidRPr="002E4EFD">
        <w:rPr>
          <w:sz w:val="24"/>
          <w:szCs w:val="24"/>
          <w:rtl/>
        </w:rPr>
        <w:t xml:space="preserve">, 2024). كما تحرص شركة </w:t>
      </w:r>
      <w:proofErr w:type="spellStart"/>
      <w:r w:rsidRPr="002E4EFD">
        <w:rPr>
          <w:sz w:val="24"/>
          <w:szCs w:val="24"/>
          <w:rtl/>
        </w:rPr>
        <w:t>نيوم</w:t>
      </w:r>
      <w:proofErr w:type="spellEnd"/>
      <w:r w:rsidRPr="002E4EFD">
        <w:rPr>
          <w:sz w:val="24"/>
          <w:szCs w:val="24"/>
          <w:rtl/>
        </w:rPr>
        <w:t xml:space="preserve"> على اشتراط حصول المقاولين على الشهادة كشرط للتأهل، وهو ما يُسهم في رفع مستوى السلامة في المشاريع الكبرى. غير أن تحديات التطبيق لا تزال قائمة لدى المقاولين من الباطن والمشاريع المتوسطة الحجم، وهو ما تستهدفه هذه الدراسة بالبحث والتحليل.</w:t>
      </w:r>
    </w:p>
    <w:p w14:paraId="3143BFE3" w14:textId="77777777" w:rsidR="008F3256" w:rsidRPr="002E4EFD" w:rsidRDefault="00BA5877" w:rsidP="002E4EFD">
      <w:pPr>
        <w:spacing w:after="120" w:line="360" w:lineRule="auto"/>
        <w:ind w:firstLine="283"/>
        <w:jc w:val="mediumKashida"/>
        <w:rPr>
          <w:sz w:val="24"/>
          <w:szCs w:val="24"/>
        </w:rPr>
      </w:pPr>
      <w:r w:rsidRPr="002E4EFD">
        <w:rPr>
          <w:sz w:val="24"/>
          <w:szCs w:val="24"/>
          <w:rtl/>
        </w:rPr>
        <w:t>ومن الجدير بالإشارة أن المواصفة لا تفرض متطلبات إلزامية للسلامة بصيغة قانونية، بل تُقدّم إطاراً اختيارياً للتحسين المستمر. غير أن السوق السعودي بات يفرض واقعياً ضرورة الحصول على الشهادة للوصول إلى المناقصات الكبرى، خاصةً مشاريع التمويل الأخضر المدعومة من مؤسسات التمويل الدولية كـ IFC والبنك الدولي، مما يجعل اعتماد ISO 45001 ضرورة اقتصادية لا مجرد خيار تنظيمي.</w:t>
      </w:r>
    </w:p>
    <w:p w14:paraId="0F252B81" w14:textId="77777777" w:rsidR="008F3256" w:rsidRPr="002E4EFD" w:rsidRDefault="00BA5877" w:rsidP="002E4EFD">
      <w:pPr>
        <w:jc w:val="mediumKashida"/>
        <w:rPr>
          <w:sz w:val="24"/>
          <w:szCs w:val="24"/>
        </w:rPr>
      </w:pPr>
      <w:r w:rsidRPr="002E4EFD">
        <w:rPr>
          <w:sz w:val="24"/>
          <w:szCs w:val="24"/>
        </w:rPr>
        <w:br w:type="page"/>
      </w:r>
    </w:p>
    <w:p w14:paraId="2002A4A5"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2.3 أبعاد نظام إدارة السلامة</w:t>
      </w:r>
    </w:p>
    <w:p w14:paraId="20730AEF" w14:textId="77777777" w:rsidR="008F3256" w:rsidRPr="002E4EFD" w:rsidRDefault="00BA5877" w:rsidP="002E4EFD">
      <w:pPr>
        <w:spacing w:after="120" w:line="360" w:lineRule="auto"/>
        <w:ind w:firstLine="283"/>
        <w:jc w:val="mediumKashida"/>
        <w:rPr>
          <w:sz w:val="24"/>
          <w:szCs w:val="24"/>
        </w:rPr>
      </w:pPr>
      <w:r w:rsidRPr="002E4EFD">
        <w:rPr>
          <w:sz w:val="24"/>
          <w:szCs w:val="24"/>
          <w:rtl/>
        </w:rPr>
        <w:t>تعددت اجتهادات الباحثين في تحديد أبعاد نظام إدارة السلامة، إذ يُمكن تصنيفها وفق منظورين رئيسيين: منظور المعايير الدولية الذي يتبنّى بنود ISO 45001، ومنظور الأدبيات الأكاديمية الذي يتبنّى عادةً أبعاداً قابلة للقياس التجريبي. وقد اختر الباحث في هذه الدراسة تبني منظور يجمع بين الاثنين، حيث وقع الاختيار على خمسة أبعاد تُمثل جوهر النظام وتُمكّن من القياس الكمّي في الوقت نفسه. ويُمكن عرض هذه الأبعاد وفقاً لمنطق التسلسل الإداري (التخطيط-التنفيذ-الرقابة-التحسين) على النحو الآتي:</w:t>
      </w:r>
    </w:p>
    <w:p w14:paraId="7877471E" w14:textId="77777777" w:rsidR="008F3256" w:rsidRPr="002E4EFD" w:rsidRDefault="00BA5877" w:rsidP="002E4EFD">
      <w:pPr>
        <w:spacing w:after="120" w:line="360" w:lineRule="auto"/>
        <w:ind w:firstLine="283"/>
        <w:jc w:val="mediumKashida"/>
        <w:rPr>
          <w:sz w:val="24"/>
          <w:szCs w:val="24"/>
        </w:rPr>
      </w:pPr>
      <w:r w:rsidRPr="002E4EFD">
        <w:rPr>
          <w:sz w:val="24"/>
          <w:szCs w:val="24"/>
          <w:rtl/>
        </w:rPr>
        <w:t>أولاً: القيادة والالتزام بالسلامة. ويُعدّ هذا البُعد الأكثر جوهرية لأنه يُحدّد التوجه الاستراتيجي للمنشأة تجاه السلامة، ويتضمن وضع السياسات، وتخصيص الموارد، وتحديد المسؤوليات، والقدوة الشخصية، والمشاركة الفاعلة للقيادة العليا في مراجعة النظام. وتُشير الأدبيات إلى أن غياب التزام القيادة يُفضي إلى فشل النظام ككل مهما كانت كفاءة الأبعاد الأخرى (</w:t>
      </w:r>
      <w:proofErr w:type="spellStart"/>
      <w:r w:rsidRPr="002E4EFD">
        <w:rPr>
          <w:sz w:val="24"/>
          <w:szCs w:val="24"/>
          <w:rtl/>
        </w:rPr>
        <w:t>Hinze</w:t>
      </w:r>
      <w:proofErr w:type="spellEnd"/>
      <w:r w:rsidRPr="002E4EFD">
        <w:rPr>
          <w:sz w:val="24"/>
          <w:szCs w:val="24"/>
          <w:rtl/>
        </w:rPr>
        <w:t xml:space="preserve">, 1997؛ </w:t>
      </w:r>
      <w:proofErr w:type="spellStart"/>
      <w:r w:rsidRPr="002E4EFD">
        <w:rPr>
          <w:sz w:val="24"/>
          <w:szCs w:val="24"/>
          <w:rtl/>
        </w:rPr>
        <w:t>Zohar</w:t>
      </w:r>
      <w:proofErr w:type="spellEnd"/>
      <w:r w:rsidRPr="002E4EFD">
        <w:rPr>
          <w:sz w:val="24"/>
          <w:szCs w:val="24"/>
          <w:rtl/>
        </w:rPr>
        <w:t>, 2010).</w:t>
      </w:r>
    </w:p>
    <w:p w14:paraId="12F03101"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ثانياً: التدريب والوعي بالسلامة. ويُعدّ هذا البُعد الجسر الذي يربط بين السياسات والممارسة الفعلية، إذ لا قيمة </w:t>
      </w:r>
      <w:proofErr w:type="spellStart"/>
      <w:r w:rsidRPr="002E4EFD">
        <w:rPr>
          <w:sz w:val="24"/>
          <w:szCs w:val="24"/>
          <w:rtl/>
        </w:rPr>
        <w:t>للأنظرة</w:t>
      </w:r>
      <w:proofErr w:type="spellEnd"/>
      <w:r w:rsidRPr="002E4EFD">
        <w:rPr>
          <w:sz w:val="24"/>
          <w:szCs w:val="24"/>
          <w:rtl/>
        </w:rPr>
        <w:t xml:space="preserve"> المكتوبة إن لم تتحول إلى سلوك يومي للعاملين. ويتضمن تحديد الاحتياجات التدريبية، وتصميم البرامج المتخصصة، وتقييم فعالية التدريب، وتحديث المعارف بصورة مستمرة. ويُلاحظ الباحث أن قطاع الطاقة المتجددة يحتاج إلى برامج تدريب متخصصة لا تُغطّيها برامج السلامة العامة، نظراً لخصوصية المخاطر (كهرباء الجهد العالي، العمل على المرتفعات، المواد الكيميائية في الأنظمة الكهروضوئية).</w:t>
      </w:r>
    </w:p>
    <w:p w14:paraId="2394A472"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ثالثاً: التفتيش والرقابة على السلامة. ويُمثل هذا البُعد آلية الكشف </w:t>
      </w:r>
      <w:proofErr w:type="spellStart"/>
      <w:r w:rsidRPr="002E4EFD">
        <w:rPr>
          <w:sz w:val="24"/>
          <w:szCs w:val="24"/>
          <w:rtl/>
        </w:rPr>
        <w:t>الاستباقي</w:t>
      </w:r>
      <w:proofErr w:type="spellEnd"/>
      <w:r w:rsidRPr="002E4EFD">
        <w:rPr>
          <w:sz w:val="24"/>
          <w:szCs w:val="24"/>
          <w:rtl/>
        </w:rPr>
        <w:t xml:space="preserve"> عن المخالفات والمخاطر قبل تحوّلها إلى حوادث، ويتضمن التفتيش الدوري للمواقع، وتقييم المخاطر، ومراقبة مؤشرات الأداء الاستباقية والتفاعلية، واستخدام التكنولوجيا الحديثة كالكاميرات والذكاء الاصطناعي. وتُشير دراسات (</w:t>
      </w:r>
      <w:proofErr w:type="spellStart"/>
      <w:r w:rsidRPr="002E4EFD">
        <w:rPr>
          <w:sz w:val="24"/>
          <w:szCs w:val="24"/>
          <w:rtl/>
        </w:rPr>
        <w:t>Lingard</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2022) إلى أن المنشآت التي تجري تفتيشاً منتظماً تحقق انخفاضاً ملحوظاً في معدلات الحوادث.</w:t>
      </w:r>
    </w:p>
    <w:p w14:paraId="18755BEB"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رابعاً: الإبلاغ عن الحوادث والتحقيق فيها. ويُعدّ هذا البُعد محوراً مزدوجاً يجمع بين الجانب التفاعلي (التعامل مع الحادثة بعد وقوعها) والجانب </w:t>
      </w:r>
      <w:proofErr w:type="spellStart"/>
      <w:r w:rsidRPr="002E4EFD">
        <w:rPr>
          <w:sz w:val="24"/>
          <w:szCs w:val="24"/>
          <w:rtl/>
        </w:rPr>
        <w:t>الاستباقي</w:t>
      </w:r>
      <w:proofErr w:type="spellEnd"/>
      <w:r w:rsidRPr="002E4EFD">
        <w:rPr>
          <w:sz w:val="24"/>
          <w:szCs w:val="24"/>
          <w:rtl/>
        </w:rPr>
        <w:t xml:space="preserve"> (الاستفادة من الأحداث القريبة </w:t>
      </w:r>
      <w:proofErr w:type="spellStart"/>
      <w:r w:rsidRPr="002E4EFD">
        <w:rPr>
          <w:sz w:val="24"/>
          <w:szCs w:val="24"/>
          <w:rtl/>
        </w:rPr>
        <w:t>Near</w:t>
      </w:r>
      <w:proofErr w:type="spellEnd"/>
      <w:r w:rsidRPr="002E4EFD">
        <w:rPr>
          <w:sz w:val="24"/>
          <w:szCs w:val="24"/>
          <w:rtl/>
        </w:rPr>
        <w:t xml:space="preserve"> </w:t>
      </w:r>
      <w:proofErr w:type="spellStart"/>
      <w:r w:rsidRPr="002E4EFD">
        <w:rPr>
          <w:sz w:val="24"/>
          <w:szCs w:val="24"/>
          <w:rtl/>
        </w:rPr>
        <w:t>Misses</w:t>
      </w:r>
      <w:proofErr w:type="spellEnd"/>
      <w:r w:rsidRPr="002E4EFD">
        <w:rPr>
          <w:sz w:val="24"/>
          <w:szCs w:val="24"/>
          <w:rtl/>
        </w:rPr>
        <w:t xml:space="preserve"> لمنع تكرارها). ويتضمن بناء ثقافة الإبلاغ بدون خوف من العقاب، وتحليل الأسباب الجذرية بأدوات منهجية كـ "5 </w:t>
      </w:r>
      <w:proofErr w:type="spellStart"/>
      <w:r w:rsidRPr="002E4EFD">
        <w:rPr>
          <w:sz w:val="24"/>
          <w:szCs w:val="24"/>
          <w:rtl/>
        </w:rPr>
        <w:t>Whys</w:t>
      </w:r>
      <w:proofErr w:type="spellEnd"/>
      <w:r w:rsidRPr="002E4EFD">
        <w:rPr>
          <w:sz w:val="24"/>
          <w:szCs w:val="24"/>
          <w:rtl/>
        </w:rPr>
        <w:t xml:space="preserve">" </w:t>
      </w:r>
      <w:proofErr w:type="spellStart"/>
      <w:r w:rsidRPr="002E4EFD">
        <w:rPr>
          <w:sz w:val="24"/>
          <w:szCs w:val="24"/>
          <w:rtl/>
        </w:rPr>
        <w:t>و"Fishbone</w:t>
      </w:r>
      <w:proofErr w:type="spellEnd"/>
      <w:r w:rsidRPr="002E4EFD">
        <w:rPr>
          <w:sz w:val="24"/>
          <w:szCs w:val="24"/>
          <w:rtl/>
        </w:rPr>
        <w:t xml:space="preserve"> </w:t>
      </w:r>
      <w:proofErr w:type="spellStart"/>
      <w:r w:rsidRPr="002E4EFD">
        <w:rPr>
          <w:sz w:val="24"/>
          <w:szCs w:val="24"/>
          <w:rtl/>
        </w:rPr>
        <w:t>Diagram</w:t>
      </w:r>
      <w:proofErr w:type="spellEnd"/>
      <w:r w:rsidRPr="002E4EFD">
        <w:rPr>
          <w:sz w:val="24"/>
          <w:szCs w:val="24"/>
          <w:rtl/>
        </w:rPr>
        <w:t>"، وتطبيق الإجراءات التصحيحية، ومشاركة الدروس المستفادة.</w:t>
      </w:r>
    </w:p>
    <w:p w14:paraId="69540A2E" w14:textId="77777777" w:rsidR="008F3256" w:rsidRPr="002E4EFD" w:rsidRDefault="00BA5877" w:rsidP="002E4EFD">
      <w:pPr>
        <w:spacing w:after="120" w:line="360" w:lineRule="auto"/>
        <w:ind w:firstLine="283"/>
        <w:jc w:val="mediumKashida"/>
        <w:rPr>
          <w:sz w:val="24"/>
          <w:szCs w:val="24"/>
        </w:rPr>
      </w:pPr>
      <w:r w:rsidRPr="002E4EFD">
        <w:rPr>
          <w:sz w:val="24"/>
          <w:szCs w:val="24"/>
          <w:rtl/>
        </w:rPr>
        <w:lastRenderedPageBreak/>
        <w:t>خامساً: الاستعداد للاستجابة للطوارئ. ويُغطّي هذا البُعد الجانب الاحتياطي الذي يضمن قدرة المنشأة على التعامل مع الأزمات الكبرى (حرائق، انهيارات، عواصف رملية، إصابات جماعية). ويتضمن وضع خطط الطوارئ، وتدريب الفرق المختصة، وإجراء التمارين الدورية، وتوفير معدات الاستجابة، وتنسيق العلاقات مع الجهات الخارجية كالدفاع المدني والهلال الأحمر.</w:t>
      </w:r>
    </w:p>
    <w:p w14:paraId="58176F4F" w14:textId="77777777" w:rsidR="008F3256" w:rsidRPr="002E4EFD" w:rsidRDefault="00BA5877" w:rsidP="002E4EFD">
      <w:pPr>
        <w:spacing w:after="120" w:line="360" w:lineRule="auto"/>
        <w:ind w:firstLine="283"/>
        <w:jc w:val="mediumKashida"/>
        <w:rPr>
          <w:sz w:val="24"/>
          <w:szCs w:val="24"/>
        </w:rPr>
      </w:pPr>
      <w:r w:rsidRPr="002E4EFD">
        <w:rPr>
          <w:sz w:val="24"/>
          <w:szCs w:val="24"/>
          <w:rtl/>
        </w:rPr>
        <w:t>وقد تم اختيار هذه الأبعاد الخمسة لأنها تجمع بين الشمولية والقابلية للقياس، ولأنها تتسق مع أحدث الأدبيات الدولية في هذا المجال. كما أنها تُغطّي دورة إدارة المخاطر كاملةً من التخطيط (القيادة والتدريب) إلى التنفيذ (التفتيش) إلى التقييم (الإبلاغ والتحقيق) إلى التحسين (الاستعداد للطوارئ).</w:t>
      </w:r>
    </w:p>
    <w:p w14:paraId="1616196C" w14:textId="77777777" w:rsidR="008F3256" w:rsidRPr="002E4EFD" w:rsidRDefault="00BA5877" w:rsidP="002E4EFD">
      <w:pPr>
        <w:jc w:val="mediumKashida"/>
        <w:rPr>
          <w:sz w:val="24"/>
          <w:szCs w:val="24"/>
        </w:rPr>
      </w:pPr>
      <w:r w:rsidRPr="002E4EFD">
        <w:rPr>
          <w:sz w:val="24"/>
          <w:szCs w:val="24"/>
        </w:rPr>
        <w:br w:type="page"/>
      </w:r>
    </w:p>
    <w:p w14:paraId="68D9F10A"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2.4 القيادة والالتزام بالسلامة</w:t>
      </w:r>
    </w:p>
    <w:p w14:paraId="0C00FE4D" w14:textId="77777777" w:rsidR="008F3256" w:rsidRPr="002E4EFD" w:rsidRDefault="00BA5877" w:rsidP="002E4EFD">
      <w:pPr>
        <w:spacing w:after="120" w:line="360" w:lineRule="auto"/>
        <w:ind w:firstLine="283"/>
        <w:jc w:val="mediumKashida"/>
        <w:rPr>
          <w:sz w:val="24"/>
          <w:szCs w:val="24"/>
        </w:rPr>
      </w:pPr>
      <w:r w:rsidRPr="002E4EFD">
        <w:rPr>
          <w:sz w:val="24"/>
          <w:szCs w:val="24"/>
          <w:rtl/>
        </w:rPr>
        <w:t>تحتل القيادة والالتزام بالسلامة مكانة محورية في الأدبيات العلمية المعنية بإدارة السلامة، إذ يُعدّ هذا البُعد المُحدّد الرئيسي لنجاح نظام إدارة السلامة أو فشله. ويُقصد بالقيادة في سياق السلامة مدى تبنّي الإدارة العليا والمتوسطة لقضايا السلامة بوصفها أولوية استراتيجية لا تقل أهمية عن قضايا الإنتاج والربحية، وتجسيد هذا التبنّي في قرارات ملموسة كتخصيص الميزانيات، وتعيين مسؤولي سلامة مؤهلين، وإدراج مؤشرات السلامة ضمن تقييم الأداء الوظيفي للمدراء. أما الالتزام فيتجسد في الاستمرارية والمتابعة وعدم التنازل عن معايير السلامة تحت ضغط الجداول الزمنية أو اعتبارات التكلفة.</w:t>
      </w:r>
    </w:p>
    <w:p w14:paraId="1D289881"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وتُقدّم نظرية القيادة التحويلية (</w:t>
      </w:r>
      <w:proofErr w:type="spellStart"/>
      <w:r w:rsidRPr="002E4EFD">
        <w:rPr>
          <w:sz w:val="24"/>
          <w:szCs w:val="24"/>
          <w:rtl/>
        </w:rPr>
        <w:t>Transformational</w:t>
      </w:r>
      <w:proofErr w:type="spellEnd"/>
      <w:r w:rsidRPr="002E4EFD">
        <w:rPr>
          <w:sz w:val="24"/>
          <w:szCs w:val="24"/>
          <w:rtl/>
        </w:rPr>
        <w:t xml:space="preserve"> </w:t>
      </w:r>
      <w:proofErr w:type="spellStart"/>
      <w:r w:rsidRPr="002E4EFD">
        <w:rPr>
          <w:sz w:val="24"/>
          <w:szCs w:val="24"/>
          <w:rtl/>
        </w:rPr>
        <w:t>Leadership</w:t>
      </w:r>
      <w:proofErr w:type="spellEnd"/>
      <w:r w:rsidRPr="002E4EFD">
        <w:rPr>
          <w:sz w:val="24"/>
          <w:szCs w:val="24"/>
          <w:rtl/>
        </w:rPr>
        <w:t xml:space="preserve">) لـ </w:t>
      </w:r>
      <w:proofErr w:type="spellStart"/>
      <w:r w:rsidRPr="002E4EFD">
        <w:rPr>
          <w:sz w:val="24"/>
          <w:szCs w:val="24"/>
          <w:rtl/>
        </w:rPr>
        <w:t>Bass</w:t>
      </w:r>
      <w:proofErr w:type="spellEnd"/>
      <w:r w:rsidRPr="002E4EFD">
        <w:rPr>
          <w:sz w:val="24"/>
          <w:szCs w:val="24"/>
          <w:rtl/>
        </w:rPr>
        <w:t xml:space="preserve"> (1985) إطاراً نظرياً مهماً لفهم دور القيادة في السلامة، إذ تُشير إلى أن القائد التحويلي يُلهم أتباعه لتجاوز الالتزام الأدنى والوصول إلى مستويات أعلى من الوعي والمسؤولية. وفي سياق السلامة، يُترجم ذلك إلى قدوة شخصية يقتدي بها العاملون (</w:t>
      </w:r>
      <w:proofErr w:type="spellStart"/>
      <w:r w:rsidRPr="002E4EFD">
        <w:rPr>
          <w:sz w:val="24"/>
          <w:szCs w:val="24"/>
          <w:rtl/>
        </w:rPr>
        <w:t>Leading</w:t>
      </w:r>
      <w:proofErr w:type="spellEnd"/>
      <w:r w:rsidRPr="002E4EFD">
        <w:rPr>
          <w:sz w:val="24"/>
          <w:szCs w:val="24"/>
          <w:rtl/>
        </w:rPr>
        <w:t xml:space="preserve"> </w:t>
      </w:r>
      <w:proofErr w:type="spellStart"/>
      <w:r w:rsidRPr="002E4EFD">
        <w:rPr>
          <w:sz w:val="24"/>
          <w:szCs w:val="24"/>
          <w:rtl/>
        </w:rPr>
        <w:t>by</w:t>
      </w:r>
      <w:proofErr w:type="spellEnd"/>
      <w:r w:rsidRPr="002E4EFD">
        <w:rPr>
          <w:sz w:val="24"/>
          <w:szCs w:val="24"/>
          <w:rtl/>
        </w:rPr>
        <w:t xml:space="preserve"> </w:t>
      </w:r>
      <w:proofErr w:type="spellStart"/>
      <w:r w:rsidRPr="002E4EFD">
        <w:rPr>
          <w:sz w:val="24"/>
          <w:szCs w:val="24"/>
          <w:rtl/>
        </w:rPr>
        <w:t>Example</w:t>
      </w:r>
      <w:proofErr w:type="spellEnd"/>
      <w:r w:rsidRPr="002E4EFD">
        <w:rPr>
          <w:sz w:val="24"/>
          <w:szCs w:val="24"/>
          <w:rtl/>
        </w:rPr>
        <w:t xml:space="preserve">)، وإلى تواصل فعال حول أهمية السلامة، وإلى دعم فرق العمل الميدانية. وقد طوّر </w:t>
      </w:r>
      <w:proofErr w:type="spellStart"/>
      <w:r w:rsidRPr="002E4EFD">
        <w:rPr>
          <w:sz w:val="24"/>
          <w:szCs w:val="24"/>
          <w:rtl/>
        </w:rPr>
        <w:t>Zohar</w:t>
      </w:r>
      <w:proofErr w:type="spellEnd"/>
      <w:r w:rsidRPr="002E4EFD">
        <w:rPr>
          <w:sz w:val="24"/>
          <w:szCs w:val="24"/>
          <w:rtl/>
        </w:rPr>
        <w:t xml:space="preserve"> (1980) مفهوم "مناخ السلامة"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Climate</w:t>
      </w:r>
      <w:proofErr w:type="spellEnd"/>
      <w:r w:rsidRPr="002E4EFD">
        <w:rPr>
          <w:sz w:val="24"/>
          <w:szCs w:val="24"/>
          <w:rtl/>
        </w:rPr>
        <w:t>) الذي يُعدّ من أبرز المفاهيم في هذا المجال، وأشار إلى أن تقييم العاملين لتعليقات القادة وممارساتهم الفعلية يُحدّد مدى التزام المنشأة بالسلامة.</w:t>
      </w:r>
    </w:p>
    <w:p w14:paraId="396F601C"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وتُشير دراسة </w:t>
      </w:r>
      <w:proofErr w:type="spellStart"/>
      <w:r w:rsidRPr="002E4EFD">
        <w:rPr>
          <w:sz w:val="24"/>
          <w:szCs w:val="24"/>
          <w:rtl/>
        </w:rPr>
        <w:t>Kelloway</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xml:space="preserve">. (2006) المنشورة في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Occupational</w:t>
      </w:r>
      <w:proofErr w:type="spellEnd"/>
      <w:r w:rsidRPr="002E4EFD">
        <w:rPr>
          <w:sz w:val="24"/>
          <w:szCs w:val="24"/>
          <w:rtl/>
        </w:rPr>
        <w:t xml:space="preserve"> </w:t>
      </w:r>
      <w:proofErr w:type="spellStart"/>
      <w:r w:rsidRPr="002E4EFD">
        <w:rPr>
          <w:sz w:val="24"/>
          <w:szCs w:val="24"/>
          <w:rtl/>
        </w:rPr>
        <w:t>Health</w:t>
      </w:r>
      <w:proofErr w:type="spellEnd"/>
      <w:r w:rsidRPr="002E4EFD">
        <w:rPr>
          <w:sz w:val="24"/>
          <w:szCs w:val="24"/>
          <w:rtl/>
        </w:rPr>
        <w:t xml:space="preserve"> </w:t>
      </w:r>
      <w:proofErr w:type="spellStart"/>
      <w:r w:rsidRPr="002E4EFD">
        <w:rPr>
          <w:sz w:val="24"/>
          <w:szCs w:val="24"/>
          <w:rtl/>
        </w:rPr>
        <w:t>Psychology</w:t>
      </w:r>
      <w:proofErr w:type="spellEnd"/>
      <w:r w:rsidRPr="002E4EFD">
        <w:rPr>
          <w:sz w:val="24"/>
          <w:szCs w:val="24"/>
          <w:rtl/>
        </w:rPr>
        <w:t xml:space="preserve"> إلى أن القيادة التحويلية في مجال السلامة ترتبط إيجابياً مع سلوكيات السلامة التشاركية، وسلبياً مع معدلات الإصابات. كما توصلت دراسة </w:t>
      </w:r>
      <w:proofErr w:type="spellStart"/>
      <w:r w:rsidRPr="002E4EFD">
        <w:rPr>
          <w:sz w:val="24"/>
          <w:szCs w:val="24"/>
          <w:rtl/>
        </w:rPr>
        <w:t>Mullen</w:t>
      </w:r>
      <w:proofErr w:type="spellEnd"/>
      <w:r w:rsidRPr="002E4EFD">
        <w:rPr>
          <w:sz w:val="24"/>
          <w:szCs w:val="24"/>
          <w:rtl/>
        </w:rPr>
        <w:t xml:space="preserve"> &amp; </w:t>
      </w:r>
      <w:proofErr w:type="spellStart"/>
      <w:r w:rsidRPr="002E4EFD">
        <w:rPr>
          <w:sz w:val="24"/>
          <w:szCs w:val="24"/>
          <w:rtl/>
        </w:rPr>
        <w:t>Kelloway</w:t>
      </w:r>
      <w:proofErr w:type="spellEnd"/>
      <w:r w:rsidRPr="002E4EFD">
        <w:rPr>
          <w:sz w:val="24"/>
          <w:szCs w:val="24"/>
          <w:rtl/>
        </w:rPr>
        <w:t xml:space="preserve"> (2009) إلى أن تدريب القادة على ممارسات القيادة الآمنة يُسهم في تحسين مناخ السلامة بشكل ملحوظ. وفي السياق الإنشائي، أكدت دراسة </w:t>
      </w:r>
      <w:proofErr w:type="spellStart"/>
      <w:r w:rsidRPr="002E4EFD">
        <w:rPr>
          <w:sz w:val="24"/>
          <w:szCs w:val="24"/>
          <w:rtl/>
        </w:rPr>
        <w:t>Al-Hamadi</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(2023) في المجلة الدولية للهندسة المدنية أن التزام القيادة العليا بالسلامة يُفسّر نحو 28% من التباين في أداء المشاريع الإنشائية في دول الخليج.</w:t>
      </w:r>
    </w:p>
    <w:p w14:paraId="00C6E473"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وفي قطاع الطاقة المتجددة، تكتسب القيادة أهمية مضاعفة لأسباب عدة: (1) طبيعة المشاريع الكبرى التي تتطلب تنسيقاً بين تحالفات دولية متعددة، (2) تنوع ثقافات العاملين مما يستلزم قيادة حساسة ثقافياً، (3) ضغط الجداول الزمنية المتسارعة لاستيفاء شروط التمويل، (4) تداخل المقاولين من الباطن بمستويات متفاوتة من النضج. ومن ثَمَّ، يُمكن للقيادة الواعية أن تصنع فارقاً ملموساً في تحويل متطلبات السلامة من التزام شكلي إلى ثقافة راسخة. وتُمثّل تجربة 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نموذجاً للقيادة الفاعلة، إذ تتبنى الشركة سياسة "السلامة أولاً" كأحد قيمها الجوهرية، وتعقد اجتماعات أسبوعية للجنة HSSE يترأسها الرئيس التنفيذي (ACWA </w:t>
      </w:r>
      <w:proofErr w:type="spellStart"/>
      <w:r w:rsidRPr="002E4EFD">
        <w:rPr>
          <w:sz w:val="24"/>
          <w:szCs w:val="24"/>
          <w:rtl/>
        </w:rPr>
        <w:t>Power</w:t>
      </w:r>
      <w:proofErr w:type="spellEnd"/>
      <w:r w:rsidRPr="002E4EFD">
        <w:rPr>
          <w:sz w:val="24"/>
          <w:szCs w:val="24"/>
          <w:rtl/>
        </w:rPr>
        <w:t>, 2024).</w:t>
      </w:r>
    </w:p>
    <w:p w14:paraId="71B74B45" w14:textId="3D2784C2" w:rsidR="008F3256" w:rsidRPr="002E4EFD" w:rsidRDefault="00BA5877" w:rsidP="005A3D98">
      <w:pPr>
        <w:spacing w:after="120" w:line="360" w:lineRule="auto"/>
        <w:ind w:firstLine="283"/>
        <w:jc w:val="mediumKashida"/>
        <w:rPr>
          <w:sz w:val="24"/>
          <w:szCs w:val="24"/>
        </w:rPr>
      </w:pPr>
      <w:r w:rsidRPr="002E4EFD">
        <w:rPr>
          <w:sz w:val="24"/>
          <w:szCs w:val="24"/>
          <w:rtl/>
        </w:rPr>
        <w:t>ويُعرّف الباحث هذا البُعد إجرائياً بأنه: درجة إدراك العاملين في مشاريع الطاقة المتجددة لمدى تبنّي القيادات الإدارية لقضايا السلامة، وتجسيد ذلك في تخصيص الموارد، والقدوة الشخصية، والمتابعة المستمرة، وإدراج السلامة ضمن أولويات صنع القرار. ويُقاس هذا البُعد في الدراسة بخمسة بنود تتناول الجوانب الفرعية المختلفة.</w:t>
      </w:r>
    </w:p>
    <w:p w14:paraId="1FCF96A5"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2.5 التدريب والوعي بالسلامة</w:t>
      </w:r>
    </w:p>
    <w:p w14:paraId="79D30617"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يُعدّ التدريب على السلامة أحد الركائز الجوهرية التي يقوم عليها نظام إدارة السلامة، إذ يُمثّل القناة التي يتم عبرها نقل المعارف والمهارات والاتجاهات من المخططين إلى المنفذين. ولا يقتصر التدريب على إعطاء المعلومات النظرية، بل يتعدّاه إلى بناء القدرة على التعرف على المخاطر، واتخاذ القرارات الصحيحة في المواقف الحرجة، وتنفيذ الإجراءات بشكل صحيح. وتُشير دراسة </w:t>
      </w:r>
      <w:proofErr w:type="spellStart"/>
      <w:r w:rsidRPr="002E4EFD">
        <w:rPr>
          <w:sz w:val="24"/>
          <w:szCs w:val="24"/>
          <w:rtl/>
        </w:rPr>
        <w:t>Robson</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xml:space="preserve">. (2007) المنشورة في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Science</w:t>
      </w:r>
      <w:proofErr w:type="spellEnd"/>
      <w:r w:rsidRPr="002E4EFD">
        <w:rPr>
          <w:sz w:val="24"/>
          <w:szCs w:val="24"/>
          <w:rtl/>
        </w:rPr>
        <w:t>، التي استعرضت 80 دراسة حول فاعلية تدخلات أنظمة إدارة السلامة، إلى أن التدريب المتخصص يُحقق أعلى عائد على الاستثمار مقارنةً بالتدخلات الأخرى، وأن المنشآت التي تستثمر في برامج تدريب منتظمة تحقق انخفاضاً في معدلات الإصابات يتراوح بين 20% و40%.</w:t>
      </w:r>
    </w:p>
    <w:p w14:paraId="2F9D8B81"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ويُمكن تصنيف برامج التدريب على السلامة في مشاريع الطاقة المتجددة إلى عدة فئات: (1) التدريب التوجيهي العام للمعينين الجدد، الذي يغطي سياسات الشركة وإجراءات الإبلاغ وحقوق العامل، (2) التدريب المتخصص بالمخاطر الفنية كالعمل على المرتفعات، والكهرباء عالية الجهد، والعمل في الأماكن المغلقة، (3) التدريب على الاستجابة للطوارئ كالإخلاء والإسعافات الأولية ومكافحة الحرائق، (4) التدريب على مهارات محددة كتشغيل الرافعات وتحليل المخاطر وطرق التفتيش. ويُلاحظ الباحث أن قطاع الطاقة المتجددة السعودي يعاني نقصاً في البرامج المتخصصة، إذ تقتصر كثير من البرامج المتاحة على المحتوى العام المستورد دون تكييفه مع الخصوصية المحلية.</w:t>
      </w:r>
    </w:p>
    <w:p w14:paraId="49FDA3F6"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وقد توصلت دراسة </w:t>
      </w:r>
      <w:proofErr w:type="spellStart"/>
      <w:r w:rsidRPr="002E4EFD">
        <w:rPr>
          <w:sz w:val="24"/>
          <w:szCs w:val="24"/>
          <w:rtl/>
        </w:rPr>
        <w:t>Burke</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(2006) إلى أن أسلوب التدريب القائم على المشاركة والتمرين العملي (</w:t>
      </w:r>
      <w:proofErr w:type="spellStart"/>
      <w:r w:rsidRPr="002E4EFD">
        <w:rPr>
          <w:sz w:val="24"/>
          <w:szCs w:val="24"/>
          <w:rtl/>
        </w:rPr>
        <w:t>Hands-on</w:t>
      </w:r>
      <w:proofErr w:type="spellEnd"/>
      <w:r w:rsidRPr="002E4EFD">
        <w:rPr>
          <w:sz w:val="24"/>
          <w:szCs w:val="24"/>
          <w:rtl/>
        </w:rPr>
        <w:t xml:space="preserve"> </w:t>
      </w:r>
      <w:proofErr w:type="spellStart"/>
      <w:r w:rsidRPr="002E4EFD">
        <w:rPr>
          <w:sz w:val="24"/>
          <w:szCs w:val="24"/>
          <w:rtl/>
        </w:rPr>
        <w:t>Training</w:t>
      </w:r>
      <w:proofErr w:type="spellEnd"/>
      <w:r w:rsidRPr="002E4EFD">
        <w:rPr>
          <w:sz w:val="24"/>
          <w:szCs w:val="24"/>
          <w:rtl/>
        </w:rPr>
        <w:t xml:space="preserve">) يُحقق نتائج أفضل من التدريب القائم على المحاضرات النظرية فقط، من حيث اكتساب المعرفة وتغيير السلوك. كما أشارت دراسة </w:t>
      </w:r>
      <w:proofErr w:type="spellStart"/>
      <w:r w:rsidRPr="002E4EFD">
        <w:rPr>
          <w:sz w:val="24"/>
          <w:szCs w:val="24"/>
          <w:rtl/>
        </w:rPr>
        <w:t>Tam</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xml:space="preserve">. (2006) المنشورة في </w:t>
      </w:r>
      <w:proofErr w:type="spellStart"/>
      <w:r w:rsidRPr="002E4EFD">
        <w:rPr>
          <w:sz w:val="24"/>
          <w:szCs w:val="24"/>
          <w:rtl/>
        </w:rPr>
        <w:t>International</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Project</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إلى أن تدريب العمال على السلامة في قطاع الإنشاءات يُسهم بشكل ملحوظ في خفض الحوادث، خاصةً عندما يُربط بأساليب تقييم الأداء وتقديم الحوافز.</w:t>
      </w:r>
    </w:p>
    <w:p w14:paraId="2287F4E0"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وفي السياق السعودي، أطلقت 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بالشراكة مع المعهد العالي لتقنيات المياه والطاقة برنامجاً متخصصاً للطاقة المتجددة والسلامة المهنية، يستهدف تأهيل الكوادر الوطنية للعمل في مشاريع الطاقة المتجددة وفق معايير السلامة الدولية (ACWA </w:t>
      </w:r>
      <w:proofErr w:type="spellStart"/>
      <w:r w:rsidRPr="002E4EFD">
        <w:rPr>
          <w:sz w:val="24"/>
          <w:szCs w:val="24"/>
          <w:rtl/>
        </w:rPr>
        <w:t>Power</w:t>
      </w:r>
      <w:proofErr w:type="spellEnd"/>
      <w:r w:rsidRPr="002E4EFD">
        <w:rPr>
          <w:sz w:val="24"/>
          <w:szCs w:val="24"/>
          <w:rtl/>
        </w:rPr>
        <w:t xml:space="preserve">, 2024). كما تُقدم شركة </w:t>
      </w:r>
      <w:proofErr w:type="spellStart"/>
      <w:r w:rsidRPr="002E4EFD">
        <w:rPr>
          <w:sz w:val="24"/>
          <w:szCs w:val="24"/>
          <w:rtl/>
        </w:rPr>
        <w:t>نيوم</w:t>
      </w:r>
      <w:proofErr w:type="spellEnd"/>
      <w:r w:rsidRPr="002E4EFD">
        <w:rPr>
          <w:sz w:val="24"/>
          <w:szCs w:val="24"/>
          <w:rtl/>
        </w:rPr>
        <w:t xml:space="preserve"> برامج تدريبية متخصصة لعامليها في مشروع الهيدروجين الأخضر. غير أن هذه البرامج لا تُغطّي سوى نسبة محدودة من القوى العاملة في القطاع، وأن غالبية العاملين لدى المقاولين من الباطن لا يحصلون على تدريب متخصص.</w:t>
      </w:r>
    </w:p>
    <w:p w14:paraId="54CA0D6A"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وتتمحور التحديات الرئيسة في مجال التدريب على السلامة في قطاع الطاقة المتجددة السعودي حول: (1) ندرة المدربين المعتمدين المتخصصين، (2) ارتفاع تكلفة البرامج المتخصصة مقارنةً بميزانيات المقاولين الصغار، (3) التناقض بين اللغات المستخدمة في المشاريع (العربية، الإنجليزية، الأوردو، البنغالية)، (4) ارتفاع معدل دوران العمالة مما يُلغي آثار التدريب، (5) </w:t>
      </w:r>
      <w:r w:rsidRPr="002E4EFD">
        <w:rPr>
          <w:sz w:val="24"/>
          <w:szCs w:val="24"/>
          <w:rtl/>
        </w:rPr>
        <w:lastRenderedPageBreak/>
        <w:t>محدودية المحتوى التدريبي المُكيّف للسياق السعودي. ومن ثَمَّ، يرى الباحث أن تطوير برامج تدريبية متخصصة وملائمة للسياق المحلي يُمثّل أحد أهم التوصيات التي يجب أن تُسفر عنها الدراسات الميدانية.</w:t>
      </w:r>
    </w:p>
    <w:p w14:paraId="2C252CAF" w14:textId="5E0A3E47" w:rsidR="008F3256" w:rsidRPr="002E4EFD" w:rsidRDefault="00BA5877" w:rsidP="005A3D98">
      <w:pPr>
        <w:spacing w:after="120" w:line="360" w:lineRule="auto"/>
        <w:ind w:firstLine="283"/>
        <w:jc w:val="mediumKashida"/>
        <w:rPr>
          <w:sz w:val="24"/>
          <w:szCs w:val="24"/>
        </w:rPr>
      </w:pPr>
      <w:r w:rsidRPr="002E4EFD">
        <w:rPr>
          <w:sz w:val="24"/>
          <w:szCs w:val="24"/>
          <w:rtl/>
        </w:rPr>
        <w:t>ويُعرّف الباحث هذا البُعد إجرائياً بأنه: درجة إدراك العاملين في مشاريع الطاقة المتجددة لمدى كفاية وجدية برامج التدريب على السلامة المُقدّمة لهم، من حيث تلبية الاحتياجات الفعلية، والكفاءة التدريبية، والتحديث المستمر، وأثر التدريب على سلوكهم الوظيفي. ويُقاس بخمسة بنود تتناول جوانب التدريب المختلفة.</w:t>
      </w:r>
    </w:p>
    <w:p w14:paraId="292FFACF"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t>2.6 التفتيش والرقابة على السلامة</w:t>
      </w:r>
    </w:p>
    <w:p w14:paraId="30B5AABF" w14:textId="77777777" w:rsidR="008F3256" w:rsidRPr="002E4EFD" w:rsidRDefault="00BA5877" w:rsidP="002E4EFD">
      <w:pPr>
        <w:spacing w:after="120" w:line="360" w:lineRule="auto"/>
        <w:ind w:firstLine="283"/>
        <w:jc w:val="mediumKashida"/>
        <w:rPr>
          <w:sz w:val="24"/>
          <w:szCs w:val="24"/>
        </w:rPr>
      </w:pPr>
      <w:r w:rsidRPr="002E4EFD">
        <w:rPr>
          <w:sz w:val="24"/>
          <w:szCs w:val="24"/>
          <w:rtl/>
        </w:rPr>
        <w:t>يُمثّل التفتيش والرقابة على السلامة الذراع التنفيذي الذي يضمن تحويل السياسات والتدريبات إلى ممارسات فعلية على المواقع. ويُقصد به مجموعة الإجراءات الدورية والمستمرة التي تُجرى للكشف عن المخالفات والمخاطر وتقييم مستوى الالتزام بإجراءات السلامة. ويختلف التفتيش عن المراجعة في كونه يُنفّذ بشكل تكراري وميداني، بينما تُجرى المراجعة بشكل دوري وأكثر شمولية. ويُمكن تصنيف أنواع التفتيش إلى: (1) التفتيش الروتيني المجدول، (2) التفتيش العشوائي، (3) التفتيش المُحفَّز بحادثة، (4) التفتيش المسبق لبدء نشاط جديد، (5) التفتيش بعد الإصلاح.</w:t>
      </w:r>
    </w:p>
    <w:p w14:paraId="4464292B"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وتُشير الأدبيات إلى أن التفتيش الفعّال يجب أن يتسم بصفات عدة: الشمولية في تغطية كافة مناطق العمل ومناوباته، والانتظام في الجدولة، والموضوعية في القياس، والمتابعة الفعلية لإصلاح المخالفات، والتوثيق المنهجي. كما يُنصح بأن يُجرى التفتيش بفرق متعددة التخصصات تضم مهندسين ومسؤولي سلامة وممثلين عن العمال، وأن تُستخدم قوائم تفتيش موحدة لضمان الاتساق. وقد طوّرت كثير من الشركات تطبيقات رقمية لتفتيش السلامة باستخدام الأجهزة اللوحية، مما يُسرّع عملية التوثيق والتحليل.</w:t>
      </w:r>
    </w:p>
    <w:p w14:paraId="518C30E9"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وتُقدّم دراسة </w:t>
      </w:r>
      <w:proofErr w:type="spellStart"/>
      <w:r w:rsidRPr="002E4EFD">
        <w:rPr>
          <w:sz w:val="24"/>
          <w:szCs w:val="24"/>
          <w:rtl/>
        </w:rPr>
        <w:t>Lingard</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xml:space="preserve">. (2022) المنشورة في </w:t>
      </w:r>
      <w:proofErr w:type="spellStart"/>
      <w:r w:rsidRPr="002E4EFD">
        <w:rPr>
          <w:sz w:val="24"/>
          <w:szCs w:val="24"/>
          <w:rtl/>
        </w:rPr>
        <w:t>Construction</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Economics</w:t>
      </w:r>
      <w:proofErr w:type="spellEnd"/>
      <w:r w:rsidRPr="002E4EFD">
        <w:rPr>
          <w:sz w:val="24"/>
          <w:szCs w:val="24"/>
          <w:rtl/>
        </w:rPr>
        <w:t xml:space="preserve"> تحليلاً مفصلاً لأثر برامج التفتيش على أداء المشاريع الإنشائية، وتوصلت إلى أن المشاريع التي تُجري تفتيشاً أسبوعياً تحقق انخفاضاً في الحوادث يصل إلى 35% مقارنةً بالمشاريع التي تكتفي بالتفتيش الشهري. كما أشارت الدراسة إلى أن استخدام التكنولوجيا (الصور الرقمية، الكاميرات الذكية) يُضاعف فاعلية التفتيش. وفي دراسة أخرى لـ </w:t>
      </w:r>
      <w:proofErr w:type="spellStart"/>
      <w:r w:rsidRPr="002E4EFD">
        <w:rPr>
          <w:sz w:val="24"/>
          <w:szCs w:val="24"/>
          <w:rtl/>
        </w:rPr>
        <w:t>Manu</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xml:space="preserve">. (2013) المنشورة في </w:t>
      </w:r>
      <w:proofErr w:type="spellStart"/>
      <w:r w:rsidRPr="002E4EFD">
        <w:rPr>
          <w:sz w:val="24"/>
          <w:szCs w:val="24"/>
          <w:rtl/>
        </w:rPr>
        <w:t>International</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Project</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تم التوصل إلى أن المشاريع التي تربط نتائج التفتيش بنظام إدارة الأداء للمقاولين تحقق تحسناً أكبر في سلوك السلامة.</w:t>
      </w:r>
    </w:p>
    <w:p w14:paraId="0A3D2FC4"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وفي قطاع الطاقة المتجددة، تكتسب الرقابة على السلامة أهمية مضاعفة لعدة اعتبارات: (1) اتساع رقعة المواقع التي تصل في بعض المشاريع إلى مئات الكيلومترات المربعة، (2) تنوع المخاطر (كهربائية، ميكانيكية، كيميائية، بيئية)، (3) العمل في ظروف </w:t>
      </w:r>
      <w:r w:rsidRPr="002E4EFD">
        <w:rPr>
          <w:sz w:val="24"/>
          <w:szCs w:val="24"/>
          <w:rtl/>
        </w:rPr>
        <w:lastRenderedPageBreak/>
        <w:t>مناخية قاسية (حرارة عالية، عواصف رملية)، (4) استخدام تقنيات حديثة قد لا يكون للعاملين خبرة كافية بها، (5) تنوع المقاولين من الباطن بمستويات مختلفة من الالتزام. ومن ثَمَّ، يصبح التفتيش التقليدي وحده غير كافٍ، ويُصبح لزاماً استخدام أساليب رقابية متطورة كالطائرات بدون طيار، والكاميرات الذكية، وأنظمة الإنذار المبكر.</w:t>
      </w:r>
    </w:p>
    <w:p w14:paraId="685E32DD"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وتتمحور التحديات الرئيسة في تطبيق التفتيش الفعّال في قطاع الطاقة المتجددة السعودي حول: (1) قلة عدد مفتشي السلامة المؤهلين قياساً بحجم المشاريع، (2) صعوبة الوصول إلى المواقع النائية، (3) محدودية استخدام التكنولوجيا الحديثة في الرقابة، (4) تداخل الصلاحيات بين جهات التفتيش المتعددة، (5) تأخر إغلاق المخالفات المكتشفة. ويُلاحظ الباحث أن المشاريع الكبرى (</w:t>
      </w:r>
      <w:proofErr w:type="spellStart"/>
      <w:r w:rsidRPr="002E4EFD">
        <w:rPr>
          <w:sz w:val="24"/>
          <w:szCs w:val="24"/>
          <w:rtl/>
        </w:rPr>
        <w:t>نيوم</w:t>
      </w:r>
      <w:proofErr w:type="spellEnd"/>
      <w:r w:rsidRPr="002E4EFD">
        <w:rPr>
          <w:sz w:val="24"/>
          <w:szCs w:val="24"/>
          <w:rtl/>
        </w:rPr>
        <w:t xml:space="preserve">،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تتبنى أنظمة تفتيش متطورة، بينما تعتمد المشاريع المتوسطة على التفتيش التقليدي الذي يفتقر للتوثيق المنهجي.</w:t>
      </w:r>
    </w:p>
    <w:p w14:paraId="00D23F20"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ويُعرّف الباحث هذا البُعد إجرائياً بأنه: درجة إدراك العاملين في مشاريع الطاقة المتجددة لمدى انتظام وشمولية أنشطة التفتيش والرقابة على السلامة، من حيث التغطية، والانتظام، والموضوعية، ومتابعة المخالفات، والاستفادة من التقنيات الحديثة. ويُقاس بخمسة بنود تغطي هذه الجوانب.</w:t>
      </w:r>
    </w:p>
    <w:p w14:paraId="1CCC6540" w14:textId="77777777" w:rsidR="008F3256" w:rsidRPr="002E4EFD" w:rsidRDefault="00BA5877" w:rsidP="002E4EFD">
      <w:pPr>
        <w:jc w:val="mediumKashida"/>
        <w:rPr>
          <w:sz w:val="24"/>
          <w:szCs w:val="24"/>
        </w:rPr>
      </w:pPr>
      <w:r w:rsidRPr="002E4EFD">
        <w:rPr>
          <w:sz w:val="24"/>
          <w:szCs w:val="24"/>
        </w:rPr>
        <w:br w:type="page"/>
      </w:r>
    </w:p>
    <w:p w14:paraId="68550BAF"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2.7 الإبلاغ عن الحوادث والتحقيق فيها</w:t>
      </w:r>
    </w:p>
    <w:p w14:paraId="21AE3033" w14:textId="77777777" w:rsidR="008F3256" w:rsidRPr="002E4EFD" w:rsidRDefault="00BA5877" w:rsidP="002E4EFD">
      <w:pPr>
        <w:spacing w:after="120" w:line="360" w:lineRule="auto"/>
        <w:ind w:firstLine="283"/>
        <w:jc w:val="mediumKashida"/>
        <w:rPr>
          <w:sz w:val="24"/>
          <w:szCs w:val="24"/>
        </w:rPr>
      </w:pPr>
      <w:r w:rsidRPr="002E4EFD">
        <w:rPr>
          <w:sz w:val="24"/>
          <w:szCs w:val="24"/>
          <w:rtl/>
        </w:rPr>
        <w:t>يُعدّ الإبلاغ عن الحوادث والتحقيق فيها من أكثر أبعاد نظام إدارة السلامة حساسيةً، نظراً لتشابك الجوانب التقنية مع الجوانب السلوكية والثقافية. ويُقصد بالإبلاغ توثيق كافة الأحداث التي تؤدي أو قد تؤدي إلى إصابة أو ضرر، بما في ذلك الحوادث الفعلية (</w:t>
      </w:r>
      <w:proofErr w:type="spellStart"/>
      <w:r w:rsidRPr="002E4EFD">
        <w:rPr>
          <w:sz w:val="24"/>
          <w:szCs w:val="24"/>
          <w:rtl/>
        </w:rPr>
        <w:t>Accidents</w:t>
      </w:r>
      <w:proofErr w:type="spellEnd"/>
      <w:r w:rsidRPr="002E4EFD">
        <w:rPr>
          <w:sz w:val="24"/>
          <w:szCs w:val="24"/>
          <w:rtl/>
        </w:rPr>
        <w:t>) والأحداث القريبة (</w:t>
      </w:r>
      <w:proofErr w:type="spellStart"/>
      <w:r w:rsidRPr="002E4EFD">
        <w:rPr>
          <w:sz w:val="24"/>
          <w:szCs w:val="24"/>
          <w:rtl/>
        </w:rPr>
        <w:t>Near</w:t>
      </w:r>
      <w:proofErr w:type="spellEnd"/>
      <w:r w:rsidRPr="002E4EFD">
        <w:rPr>
          <w:sz w:val="24"/>
          <w:szCs w:val="24"/>
          <w:rtl/>
        </w:rPr>
        <w:t xml:space="preserve"> </w:t>
      </w:r>
      <w:proofErr w:type="spellStart"/>
      <w:r w:rsidRPr="002E4EFD">
        <w:rPr>
          <w:sz w:val="24"/>
          <w:szCs w:val="24"/>
          <w:rtl/>
        </w:rPr>
        <w:t>Misses</w:t>
      </w:r>
      <w:proofErr w:type="spellEnd"/>
      <w:r w:rsidRPr="002E4EFD">
        <w:rPr>
          <w:sz w:val="24"/>
          <w:szCs w:val="24"/>
          <w:rtl/>
        </w:rPr>
        <w:t xml:space="preserve">) والحوادث </w:t>
      </w:r>
      <w:proofErr w:type="spellStart"/>
      <w:r w:rsidRPr="002E4EFD">
        <w:rPr>
          <w:sz w:val="24"/>
          <w:szCs w:val="24"/>
          <w:rtl/>
        </w:rPr>
        <w:t>الإصابية</w:t>
      </w:r>
      <w:proofErr w:type="spellEnd"/>
      <w:r w:rsidRPr="002E4EFD">
        <w:rPr>
          <w:sz w:val="24"/>
          <w:szCs w:val="24"/>
          <w:rtl/>
        </w:rPr>
        <w:t xml:space="preserve"> والإصابات بدون إجازة (</w:t>
      </w:r>
      <w:proofErr w:type="spellStart"/>
      <w:r w:rsidRPr="002E4EFD">
        <w:rPr>
          <w:sz w:val="24"/>
          <w:szCs w:val="24"/>
          <w:rtl/>
        </w:rPr>
        <w:t>First</w:t>
      </w:r>
      <w:proofErr w:type="spellEnd"/>
      <w:r w:rsidRPr="002E4EFD">
        <w:rPr>
          <w:sz w:val="24"/>
          <w:szCs w:val="24"/>
          <w:rtl/>
        </w:rPr>
        <w:t xml:space="preserve"> </w:t>
      </w:r>
      <w:proofErr w:type="spellStart"/>
      <w:r w:rsidRPr="002E4EFD">
        <w:rPr>
          <w:sz w:val="24"/>
          <w:szCs w:val="24"/>
          <w:rtl/>
        </w:rPr>
        <w:t>Aid</w:t>
      </w:r>
      <w:proofErr w:type="spellEnd"/>
      <w:r w:rsidRPr="002E4EFD">
        <w:rPr>
          <w:sz w:val="24"/>
          <w:szCs w:val="24"/>
          <w:rtl/>
        </w:rPr>
        <w:t xml:space="preserve"> </w:t>
      </w:r>
      <w:proofErr w:type="spellStart"/>
      <w:r w:rsidRPr="002E4EFD">
        <w:rPr>
          <w:sz w:val="24"/>
          <w:szCs w:val="24"/>
          <w:rtl/>
        </w:rPr>
        <w:t>Cases</w:t>
      </w:r>
      <w:proofErr w:type="spellEnd"/>
      <w:r w:rsidRPr="002E4EFD">
        <w:rPr>
          <w:sz w:val="24"/>
          <w:szCs w:val="24"/>
          <w:rtl/>
        </w:rPr>
        <w:t>). أما التحقيق فيُقصد به الإجراء المنهجي للكشف عن الأسباب الجذرية للحادثة ووضع إجراءات وقائية تمنع تكرارها.</w:t>
      </w:r>
    </w:p>
    <w:p w14:paraId="327BDAD0"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وتُصنّف الأدبيات الحوادث إلى عدة مستويات وفق خطورة النتائج: (1) الإصابات بدون إجازة، (2) الإصابات بإجازة قصيرة، (3) الإصابات المؤدية إلى عجز جزئي، (4) الإصابات المؤدية إلى عجز كلي، (5) الوفيات. كما تُصنّف وفق طبيعة الحدث: سقوط من ارتفاع، صعق كهربائي، حريق، انحصار، إصابة بكائن متحرك. وتُشير إحصاءات منظمة العمل الدولية إلى أن قطاع الإنشاءات يسهم بنحو 30% من الحوادث المهنية القاتلة على مستوى العالم، رغم أنه لا يشغل سوى 7% من القوى العاملة (ILO, 2023).</w:t>
      </w:r>
    </w:p>
    <w:p w14:paraId="54861F93"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ويتمحور التحدي الرئيسي في هذا البُعد حول بناء "ثقافة الإبلاغ العادل" (</w:t>
      </w:r>
      <w:proofErr w:type="spellStart"/>
      <w:r w:rsidRPr="002E4EFD">
        <w:rPr>
          <w:sz w:val="24"/>
          <w:szCs w:val="24"/>
          <w:rtl/>
        </w:rPr>
        <w:t>Just</w:t>
      </w:r>
      <w:proofErr w:type="spellEnd"/>
      <w:r w:rsidRPr="002E4EFD">
        <w:rPr>
          <w:sz w:val="24"/>
          <w:szCs w:val="24"/>
          <w:rtl/>
        </w:rPr>
        <w:t xml:space="preserve"> </w:t>
      </w:r>
      <w:proofErr w:type="spellStart"/>
      <w:r w:rsidRPr="002E4EFD">
        <w:rPr>
          <w:sz w:val="24"/>
          <w:szCs w:val="24"/>
          <w:rtl/>
        </w:rPr>
        <w:t>Culture</w:t>
      </w:r>
      <w:proofErr w:type="spellEnd"/>
      <w:r w:rsidRPr="002E4EFD">
        <w:rPr>
          <w:sz w:val="24"/>
          <w:szCs w:val="24"/>
          <w:rtl/>
        </w:rPr>
        <w:t>) التي تُوازن بين المساءلة والتعلم. فثقافة توجيه اللوم (</w:t>
      </w:r>
      <w:proofErr w:type="spellStart"/>
      <w:r w:rsidRPr="002E4EFD">
        <w:rPr>
          <w:sz w:val="24"/>
          <w:szCs w:val="24"/>
          <w:rtl/>
        </w:rPr>
        <w:t>Blame</w:t>
      </w:r>
      <w:proofErr w:type="spellEnd"/>
      <w:r w:rsidRPr="002E4EFD">
        <w:rPr>
          <w:sz w:val="24"/>
          <w:szCs w:val="24"/>
          <w:rtl/>
        </w:rPr>
        <w:t xml:space="preserve"> </w:t>
      </w:r>
      <w:proofErr w:type="spellStart"/>
      <w:r w:rsidRPr="002E4EFD">
        <w:rPr>
          <w:sz w:val="24"/>
          <w:szCs w:val="24"/>
          <w:rtl/>
        </w:rPr>
        <w:t>Culture</w:t>
      </w:r>
      <w:proofErr w:type="spellEnd"/>
      <w:r w:rsidRPr="002E4EFD">
        <w:rPr>
          <w:sz w:val="24"/>
          <w:szCs w:val="24"/>
          <w:rtl/>
        </w:rPr>
        <w:t xml:space="preserve">) تُفضي إلى إخفاء الحوادث، بينما ثقافة الإفلات التام تُفضي إلى الإهمال. ولهذا طوّر </w:t>
      </w:r>
      <w:proofErr w:type="spellStart"/>
      <w:r w:rsidRPr="002E4EFD">
        <w:rPr>
          <w:sz w:val="24"/>
          <w:szCs w:val="24"/>
          <w:rtl/>
        </w:rPr>
        <w:t>Reason</w:t>
      </w:r>
      <w:proofErr w:type="spellEnd"/>
      <w:r w:rsidRPr="002E4EFD">
        <w:rPr>
          <w:sz w:val="24"/>
          <w:szCs w:val="24"/>
          <w:rtl/>
        </w:rPr>
        <w:t xml:space="preserve"> (1997) نموذج "المنظمة الراسخة" (</w:t>
      </w:r>
      <w:proofErr w:type="spellStart"/>
      <w:r w:rsidRPr="002E4EFD">
        <w:rPr>
          <w:sz w:val="24"/>
          <w:szCs w:val="24"/>
          <w:rtl/>
        </w:rPr>
        <w:t>Resilient</w:t>
      </w:r>
      <w:proofErr w:type="spellEnd"/>
      <w:r w:rsidRPr="002E4EFD">
        <w:rPr>
          <w:sz w:val="24"/>
          <w:szCs w:val="24"/>
          <w:rtl/>
        </w:rPr>
        <w:t xml:space="preserve"> </w:t>
      </w:r>
      <w:proofErr w:type="spellStart"/>
      <w:r w:rsidRPr="002E4EFD">
        <w:rPr>
          <w:sz w:val="24"/>
          <w:szCs w:val="24"/>
          <w:rtl/>
        </w:rPr>
        <w:t>Organization</w:t>
      </w:r>
      <w:proofErr w:type="spellEnd"/>
      <w:r w:rsidRPr="002E4EFD">
        <w:rPr>
          <w:sz w:val="24"/>
          <w:szCs w:val="24"/>
          <w:rtl/>
        </w:rPr>
        <w:t>) الذي يُميّز بين الأخطاء غير المقصودة (التي تستوجب التعلم) والمخالفات المتعمدة (التي تستوجب المساءلة). وقد تبنّت مواصفة ISO 45001:2023 هذا التوجه، وأكدت على ضرورة التحقيق في الأسباب الجذرية وليس الأعراض السطحية فقط.</w:t>
      </w:r>
    </w:p>
    <w:p w14:paraId="38762537"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وتُقدّم دراسة </w:t>
      </w:r>
      <w:proofErr w:type="spellStart"/>
      <w:r w:rsidRPr="002E4EFD">
        <w:rPr>
          <w:sz w:val="24"/>
          <w:szCs w:val="24"/>
          <w:rtl/>
        </w:rPr>
        <w:t>Khan</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xml:space="preserve">. (2023) المنشورة في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Science</w:t>
      </w:r>
      <w:proofErr w:type="spellEnd"/>
      <w:r w:rsidRPr="002E4EFD">
        <w:rPr>
          <w:sz w:val="24"/>
          <w:szCs w:val="24"/>
          <w:rtl/>
        </w:rPr>
        <w:t xml:space="preserve"> تحليلاً لتجارب 12 شركة في تطبيق أنظمة الإبلاغ عن الحوادث، وتوصلت إلى أن الشركات التي تتبنى نهج "بدون لوم" (</w:t>
      </w:r>
      <w:proofErr w:type="spellStart"/>
      <w:r w:rsidRPr="002E4EFD">
        <w:rPr>
          <w:sz w:val="24"/>
          <w:szCs w:val="24"/>
          <w:rtl/>
        </w:rPr>
        <w:t>No-Blame</w:t>
      </w:r>
      <w:proofErr w:type="spellEnd"/>
      <w:r w:rsidRPr="002E4EFD">
        <w:rPr>
          <w:sz w:val="24"/>
          <w:szCs w:val="24"/>
          <w:rtl/>
        </w:rPr>
        <w:t xml:space="preserve">) تحقق زيادة في معدلات الإبلاغ عن الأحداث القريبة بنسبة تصل إلى 300%، مما يُتيح فرصاً أكبر للتعلم والوقاية. كما أشارت دراسة </w:t>
      </w:r>
      <w:proofErr w:type="spellStart"/>
      <w:r w:rsidRPr="002E4EFD">
        <w:rPr>
          <w:sz w:val="24"/>
          <w:szCs w:val="24"/>
          <w:rtl/>
        </w:rPr>
        <w:t>Lander</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(2022) إلى أن استخدام أدوات تحليل الأسباب الجذرية كـ "</w:t>
      </w:r>
      <w:proofErr w:type="spellStart"/>
      <w:r w:rsidRPr="002E4EFD">
        <w:rPr>
          <w:sz w:val="24"/>
          <w:szCs w:val="24"/>
          <w:rtl/>
        </w:rPr>
        <w:t>TapRoot</w:t>
      </w:r>
      <w:proofErr w:type="spellEnd"/>
      <w:r w:rsidRPr="002E4EFD">
        <w:rPr>
          <w:sz w:val="24"/>
          <w:szCs w:val="24"/>
          <w:rtl/>
        </w:rPr>
        <w:t xml:space="preserve">" </w:t>
      </w:r>
      <w:proofErr w:type="spellStart"/>
      <w:r w:rsidRPr="002E4EFD">
        <w:rPr>
          <w:sz w:val="24"/>
          <w:szCs w:val="24"/>
          <w:rtl/>
        </w:rPr>
        <w:t>و"Tripod</w:t>
      </w:r>
      <w:proofErr w:type="spellEnd"/>
      <w:r w:rsidRPr="002E4EFD">
        <w:rPr>
          <w:sz w:val="24"/>
          <w:szCs w:val="24"/>
          <w:rtl/>
        </w:rPr>
        <w:t xml:space="preserve"> </w:t>
      </w:r>
      <w:proofErr w:type="spellStart"/>
      <w:r w:rsidRPr="002E4EFD">
        <w:rPr>
          <w:sz w:val="24"/>
          <w:szCs w:val="24"/>
          <w:rtl/>
        </w:rPr>
        <w:t>Beta</w:t>
      </w:r>
      <w:proofErr w:type="spellEnd"/>
      <w:r w:rsidRPr="002E4EFD">
        <w:rPr>
          <w:sz w:val="24"/>
          <w:szCs w:val="24"/>
          <w:rtl/>
        </w:rPr>
        <w:t>" يُحسّن جودة التحقيقات بشكل ملحوظ.</w:t>
      </w:r>
    </w:p>
    <w:p w14:paraId="277E8E84"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وفي قطاع الطاقة المتجددة السعودي، يواجه هذا البُعد تحديات جوهرية: (1) ثقافة إخفاء الحوادث خوفاً من العقوبات أو فقدان العقود، (2) ندرة المختصين في تحليل الأسباب الجذرية، (3) محدودية استخدام الأدوات المنهجية للتحقيق، (4) تداخل صلاحيات التحقيق بين جهات متعددة (الشركة المالكة، المنفذة، الجهات التنظيمية)، (5) ضعف التوثيق الإلكتروني </w:t>
      </w:r>
      <w:proofErr w:type="spellStart"/>
      <w:r w:rsidRPr="002E4EFD">
        <w:rPr>
          <w:sz w:val="24"/>
          <w:szCs w:val="24"/>
          <w:rtl/>
        </w:rPr>
        <w:t>للحولات</w:t>
      </w:r>
      <w:proofErr w:type="spellEnd"/>
      <w:r w:rsidRPr="002E4EFD">
        <w:rPr>
          <w:sz w:val="24"/>
          <w:szCs w:val="24"/>
          <w:rtl/>
        </w:rPr>
        <w:t>. وتُشير تقارير وزارة الموارد البشرية والتنمية الاجتماعية إلى أن نسبة كبيرة من الحوادث في القطاع الإنشائي لا تُبلّغ عنها الجهات الرسمية، وأن الإحصاءات الرسمية لا تعكس الواقع الفعلي.</w:t>
      </w:r>
    </w:p>
    <w:p w14:paraId="3D2E2822" w14:textId="77777777" w:rsidR="008F3256" w:rsidRPr="002E4EFD" w:rsidRDefault="00BA5877" w:rsidP="002E4EFD">
      <w:pPr>
        <w:spacing w:after="120" w:line="360" w:lineRule="auto"/>
        <w:ind w:firstLine="283"/>
        <w:jc w:val="mediumKashida"/>
        <w:rPr>
          <w:sz w:val="24"/>
          <w:szCs w:val="24"/>
        </w:rPr>
      </w:pPr>
      <w:r w:rsidRPr="002E4EFD">
        <w:rPr>
          <w:sz w:val="24"/>
          <w:szCs w:val="24"/>
          <w:rtl/>
        </w:rPr>
        <w:lastRenderedPageBreak/>
        <w:t>ويُلاحظ الباحث أن المشاريع الكبرى (</w:t>
      </w:r>
      <w:proofErr w:type="spellStart"/>
      <w:r w:rsidRPr="002E4EFD">
        <w:rPr>
          <w:sz w:val="24"/>
          <w:szCs w:val="24"/>
          <w:rtl/>
        </w:rPr>
        <w:t>نيوم</w:t>
      </w:r>
      <w:proofErr w:type="spellEnd"/>
      <w:r w:rsidRPr="002E4EFD">
        <w:rPr>
          <w:sz w:val="24"/>
          <w:szCs w:val="24"/>
          <w:rtl/>
        </w:rPr>
        <w:t xml:space="preserve">،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تتبنى أنظمة إلكترونية للإبلاغ عن الحوادث تتيح لجميع العاملين رفع البلاغات عبر تطبيقات الجوال، وتُضمن سرية المصدر. غير أن هذه الممارسات لا تنتقل بسهولة إلى المقاولين من الباطن الذين يخشون من تأثير الإبلاغ على تقييمهم وعقودهم المستقبلية. ومن ثَمَّ، يُمثّل تطوير آليات حوافز للإبلاغ الشفاف أحد المخرجات المهمة المُنتظرة من هذه الدراسة.</w:t>
      </w:r>
    </w:p>
    <w:p w14:paraId="0E47C71E" w14:textId="1A95A6CA" w:rsidR="008F3256" w:rsidRPr="002E4EFD" w:rsidRDefault="00BA5877" w:rsidP="005A3D98">
      <w:pPr>
        <w:spacing w:after="120" w:line="360" w:lineRule="auto"/>
        <w:ind w:firstLine="283"/>
        <w:jc w:val="mediumKashida"/>
        <w:rPr>
          <w:sz w:val="24"/>
          <w:szCs w:val="24"/>
        </w:rPr>
      </w:pPr>
      <w:r w:rsidRPr="002E4EFD">
        <w:rPr>
          <w:sz w:val="24"/>
          <w:szCs w:val="24"/>
          <w:rtl/>
        </w:rPr>
        <w:t>ويُعرّف الباحث هذا البُعد إجرائياً بأنه: درجة إدراك العاملين في مشاريع الطاقة المتجددة لمدى فعالية نظام الإبلاغ عن الحوادث والتحقيق فيها، من حيث شفافية الإبلاغ، وجودة التحقيق، وتحليل الأسباب الجذرية، وتطبيق الإجراءات التصحيحية، والاستفادة من الدروس المستفادة. ويُقاس بخمسة بنود تغطي هذه الجوانب.</w:t>
      </w:r>
    </w:p>
    <w:p w14:paraId="72AE702F"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t>2.8 الاستعداد للاستجابة للطوارئ</w:t>
      </w:r>
    </w:p>
    <w:p w14:paraId="2912B44F"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يُعدّ الاستعداد للاستجابة للطوارئ البُعد الذي يضمن قدرة المنشأة على التعامل مع الأحداث الكبرى التي قد تتجاوز قدرة الإجراءات الروتينية. وتشمل الطوارئ في قطاع الطاقة المتجددة: الحرائق الكبرى في محطات الطاقة الشمسية أو </w:t>
      </w:r>
      <w:proofErr w:type="spellStart"/>
      <w:r w:rsidRPr="002E4EFD">
        <w:rPr>
          <w:sz w:val="24"/>
          <w:szCs w:val="24"/>
          <w:rtl/>
        </w:rPr>
        <w:t>الريحية</w:t>
      </w:r>
      <w:proofErr w:type="spellEnd"/>
      <w:r w:rsidRPr="002E4EFD">
        <w:rPr>
          <w:sz w:val="24"/>
          <w:szCs w:val="24"/>
          <w:rtl/>
        </w:rPr>
        <w:t>، الإصابات الجماعية، الانهيارات، العواصف الرملية الشديدة، التسربات الكيميائية في أنظمة الهيدروجين الأخضر، الأعطال الكهربائية واسعة النطاق، والحوادث الإرهابية أو الأمنية. ويتمحور الاستعداد حول عنصرين: التخطيط المسبق (وضع الخطط) والاستعداد التشغيلي (التدريب والمعدات).</w:t>
      </w:r>
    </w:p>
    <w:p w14:paraId="4D9C107E"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وتُشير مواصفة ISO 45001:2023 إلى أن المنشأة يجب أن تطوّر إجراءات استجابة للطوارئ تأخذ بعين الاعتبار: (1) احتياجات جميع الأطراف المعنية، (2) التدريب المنتظم للعاملين، (3) اختبار وصيانة معدات الاستجابة، (4) تواصل المعلومات للجهات الخارجية، (5) تقييم وتحسين الإجراءات بعد كل حدث. وتُوصي المواصفة بإجراء تمارين طوارئ سنوية على الأقل، وتحديث الخطط بناءً على نتائجها. كما تُوصي بتنسيق العلاقات مع الجهات الحكومية كالدفاع المدني والهلال الأحمر والجهات الصحية.</w:t>
      </w:r>
    </w:p>
    <w:p w14:paraId="77318AC9" w14:textId="77777777" w:rsidR="008F3256" w:rsidRPr="002E4EFD" w:rsidRDefault="00BA5877" w:rsidP="002E4EFD">
      <w:pPr>
        <w:spacing w:after="120" w:line="360" w:lineRule="auto"/>
        <w:ind w:firstLine="283"/>
        <w:jc w:val="mediumKashida"/>
        <w:rPr>
          <w:sz w:val="24"/>
          <w:szCs w:val="24"/>
        </w:rPr>
      </w:pPr>
      <w:r w:rsidRPr="002E4EFD">
        <w:rPr>
          <w:sz w:val="24"/>
          <w:szCs w:val="24"/>
          <w:rtl/>
        </w:rPr>
        <w:t>وفي قطاع الطاقة المتجددة السعودي، تكتسب الاستعدادات للطوارئ أهمية خاصة في ضوء عدة عوامل: (1) الموقع الجغرافي للمشاريع في مناطق صحراوية بعيدة عن المراكز الحضرية، (2) الظروف المناخية القاسية (حرارة تتجاوز 50 درجة مئوية صيفاً، عواصف رملية)، (3) ضخامة المشاريع التي تُصعّب عمليات الإخلاء، (4) وجود مواد خطرة في بعض المشاريع (الأمونيا في مشاريع الهيدروجين الأخضر، الأحماض في البطاريات)، (5) تنوع القوى العاملة وتعدد اللغات. ومن ثَمَّ، يجب أن تكون خطط الطوارئ مفصّلة ومدروسة ومُختبرة دورياً.</w:t>
      </w:r>
    </w:p>
    <w:p w14:paraId="42A63921"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وتُقدّم دراسة </w:t>
      </w:r>
      <w:proofErr w:type="spellStart"/>
      <w:r w:rsidRPr="002E4EFD">
        <w:rPr>
          <w:sz w:val="24"/>
          <w:szCs w:val="24"/>
          <w:rtl/>
        </w:rPr>
        <w:t>Sawalha</w:t>
      </w:r>
      <w:proofErr w:type="spellEnd"/>
      <w:r w:rsidRPr="002E4EFD">
        <w:rPr>
          <w:sz w:val="24"/>
          <w:szCs w:val="24"/>
          <w:rtl/>
        </w:rPr>
        <w:t xml:space="preserve"> (2020) المنشورة في </w:t>
      </w:r>
      <w:proofErr w:type="spellStart"/>
      <w:r w:rsidRPr="002E4EFD">
        <w:rPr>
          <w:sz w:val="24"/>
          <w:szCs w:val="24"/>
          <w:rtl/>
        </w:rPr>
        <w:t>International</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Disaster</w:t>
      </w:r>
      <w:proofErr w:type="spellEnd"/>
      <w:r w:rsidRPr="002E4EFD">
        <w:rPr>
          <w:sz w:val="24"/>
          <w:szCs w:val="24"/>
          <w:rtl/>
        </w:rPr>
        <w:t xml:space="preserve"> </w:t>
      </w:r>
      <w:proofErr w:type="spellStart"/>
      <w:r w:rsidRPr="002E4EFD">
        <w:rPr>
          <w:sz w:val="24"/>
          <w:szCs w:val="24"/>
          <w:rtl/>
        </w:rPr>
        <w:t>Risk</w:t>
      </w:r>
      <w:proofErr w:type="spellEnd"/>
      <w:r w:rsidRPr="002E4EFD">
        <w:rPr>
          <w:sz w:val="24"/>
          <w:szCs w:val="24"/>
          <w:rtl/>
        </w:rPr>
        <w:t xml:space="preserve"> </w:t>
      </w:r>
      <w:proofErr w:type="spellStart"/>
      <w:r w:rsidRPr="002E4EFD">
        <w:rPr>
          <w:sz w:val="24"/>
          <w:szCs w:val="24"/>
          <w:rtl/>
        </w:rPr>
        <w:t>Reduction</w:t>
      </w:r>
      <w:proofErr w:type="spellEnd"/>
      <w:r w:rsidRPr="002E4EFD">
        <w:rPr>
          <w:sz w:val="24"/>
          <w:szCs w:val="24"/>
          <w:rtl/>
        </w:rPr>
        <w:t xml:space="preserve"> تحليلاً لإدارة الطوارئ في المنشآت الصناعية في الشرق الأوسط، وتوصلت إلى أن جاهزية الاستجابة تُحدّد بشكل كبير حجم الخسائر عند وقوع الكوارث. </w:t>
      </w:r>
      <w:r w:rsidRPr="002E4EFD">
        <w:rPr>
          <w:sz w:val="24"/>
          <w:szCs w:val="24"/>
          <w:rtl/>
        </w:rPr>
        <w:lastRenderedPageBreak/>
        <w:t xml:space="preserve">وأشارت الدراسة إلى أن 60% من المنشآت المدروسة لم تُجرِ تمارين طوارئ سنوية، وأن 40% فقط تمتلك خططاً مكتوبة ومحدّثة. وفي دراسة </w:t>
      </w:r>
      <w:proofErr w:type="spellStart"/>
      <w:r w:rsidRPr="002E4EFD">
        <w:rPr>
          <w:sz w:val="24"/>
          <w:szCs w:val="24"/>
          <w:rtl/>
        </w:rPr>
        <w:t>Khan</w:t>
      </w:r>
      <w:proofErr w:type="spellEnd"/>
      <w:r w:rsidRPr="002E4EFD">
        <w:rPr>
          <w:sz w:val="24"/>
          <w:szCs w:val="24"/>
          <w:rtl/>
        </w:rPr>
        <w:t xml:space="preserve"> &amp; </w:t>
      </w:r>
      <w:proofErr w:type="spellStart"/>
      <w:r w:rsidRPr="002E4EFD">
        <w:rPr>
          <w:sz w:val="24"/>
          <w:szCs w:val="24"/>
          <w:rtl/>
        </w:rPr>
        <w:t>Hilditch</w:t>
      </w:r>
      <w:proofErr w:type="spellEnd"/>
      <w:r w:rsidRPr="002E4EFD">
        <w:rPr>
          <w:sz w:val="24"/>
          <w:szCs w:val="24"/>
          <w:rtl/>
        </w:rPr>
        <w:t xml:space="preserve"> (2023) المنشورة في </w:t>
      </w:r>
      <w:proofErr w:type="spellStart"/>
      <w:r w:rsidRPr="002E4EFD">
        <w:rPr>
          <w:sz w:val="24"/>
          <w:szCs w:val="24"/>
          <w:rtl/>
        </w:rPr>
        <w:t>Renewable</w:t>
      </w:r>
      <w:proofErr w:type="spellEnd"/>
      <w:r w:rsidRPr="002E4EFD">
        <w:rPr>
          <w:sz w:val="24"/>
          <w:szCs w:val="24"/>
          <w:rtl/>
        </w:rPr>
        <w:t xml:space="preserve"> </w:t>
      </w:r>
      <w:proofErr w:type="spellStart"/>
      <w:r w:rsidRPr="002E4EFD">
        <w:rPr>
          <w:sz w:val="24"/>
          <w:szCs w:val="24"/>
          <w:rtl/>
        </w:rPr>
        <w:t>Energy</w:t>
      </w:r>
      <w:proofErr w:type="spellEnd"/>
      <w:r w:rsidRPr="002E4EFD">
        <w:rPr>
          <w:sz w:val="24"/>
          <w:szCs w:val="24"/>
          <w:rtl/>
        </w:rPr>
        <w:t>، تم التحقق من جاهزية الاستجابة في 25 محطة طاقة متجددة في آسيا، وتوصلت إلى أن المحطات التي تُجري تمارين ربع سنوية تحقق انخفاضاً في زمن الاستجابة بنسبة 50% مقارنةً بالمحطات التي لا تُجري تمارين.</w:t>
      </w:r>
    </w:p>
    <w:p w14:paraId="7DEA876B"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ويُلاحظ الباحث أن المشاريع الكبرى في المملكة تتعاون مع جهات متخصصة كالدفاع المدني السعودي في تصميم خطط الطوارئ وإجراء التمارين المشتركة. كما تُقدم شركة </w:t>
      </w:r>
      <w:proofErr w:type="spellStart"/>
      <w:r w:rsidRPr="002E4EFD">
        <w:rPr>
          <w:sz w:val="24"/>
          <w:szCs w:val="24"/>
          <w:rtl/>
        </w:rPr>
        <w:t>نيوم</w:t>
      </w:r>
      <w:proofErr w:type="spellEnd"/>
      <w:r w:rsidRPr="002E4EFD">
        <w:rPr>
          <w:sz w:val="24"/>
          <w:szCs w:val="24"/>
          <w:rtl/>
        </w:rPr>
        <w:t xml:space="preserve"> تدريبات متخصصة لفرق الاستجابة في مشروع الهيدروجين الأخضر، نظراً لخصوصية مخاطر الأمونيا. غير أن المشاريع المتوسطة لا تزال تعتمد على خطط نمطية غير مُختبرة، ولا تُجري تمارين كافية، مما يُعرّضها لمخاطر جسيمة في حال وقوع طارئ.</w:t>
      </w:r>
    </w:p>
    <w:p w14:paraId="295A0B4F"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ويُعرّف الباحث هذا البُعد إجرائياً بأنه: درجة إدراك العاملين في مشاريع الطاقة المتجددة لمدى جاهزية المنشأة للاستجابة للطوارئ، من حيث وجود الخطط المكتوبة، وتدريب الفرق المختصة، وإجراء التمارين الدورية، وتوفر معدات الاستجابة، والتنسيق مع الجهات الخارجية. ويُقاس بخمسة بنود تتناول هذه الجوانب.</w:t>
      </w:r>
    </w:p>
    <w:p w14:paraId="7E709DB4" w14:textId="77777777" w:rsidR="008F3256" w:rsidRPr="002E4EFD" w:rsidRDefault="00BA5877" w:rsidP="002E4EFD">
      <w:pPr>
        <w:jc w:val="mediumKashida"/>
        <w:rPr>
          <w:sz w:val="24"/>
          <w:szCs w:val="24"/>
        </w:rPr>
      </w:pPr>
      <w:r w:rsidRPr="002E4EFD">
        <w:rPr>
          <w:sz w:val="24"/>
          <w:szCs w:val="24"/>
        </w:rPr>
        <w:br w:type="page"/>
      </w:r>
    </w:p>
    <w:p w14:paraId="415EF196"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2.9 أداء المشاريع: المفهوم والمؤشرات</w:t>
      </w:r>
    </w:p>
    <w:p w14:paraId="7266D03F" w14:textId="77777777" w:rsidR="008F3256" w:rsidRPr="002E4EFD" w:rsidRDefault="00BA5877" w:rsidP="002E4EFD">
      <w:pPr>
        <w:spacing w:after="120" w:line="360" w:lineRule="auto"/>
        <w:ind w:firstLine="283"/>
        <w:jc w:val="mediumKashida"/>
        <w:rPr>
          <w:sz w:val="24"/>
          <w:szCs w:val="24"/>
        </w:rPr>
      </w:pPr>
      <w:r w:rsidRPr="002E4EFD">
        <w:rPr>
          <w:sz w:val="24"/>
          <w:szCs w:val="24"/>
          <w:rtl/>
        </w:rPr>
        <w:t>يُعدّ أداء المشاريع من المفاهيم المحورية في أدبيات إدارة المشاريع، وقد عُرّف بطرق متعددة عبر تطور الفكر الإداري. ويُعرّف المشروع وفق معهد إدارة المشاريع الأمريكي (PMI) بأنه "جهد مؤقت يُبذل لخلق منتج أو خدمة أو نتيجة فريدة"، ويُقاس أداؤه بمدى تحقيق الأهداف التي وُضع من أجلها. ويُقدّم دليل PMBOK (الإصدار السابع، 2021) إطاراً متكاملاً لقياس أداء المشاريع يعتمد على ستة قيود رئيسة: النطاق، الجودة، الجدول الزمني، الميزانية، الموارد، المخاطر. ويُضاف إليها في الإصدارات الحديثة اعتبارات الاستدامة ورضا أصحاب المصلحة.</w:t>
      </w:r>
    </w:p>
    <w:p w14:paraId="6D4FE909"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ويُعدّ "مثلث إدارة المشاريع" (</w:t>
      </w:r>
      <w:proofErr w:type="spellStart"/>
      <w:r w:rsidRPr="002E4EFD">
        <w:rPr>
          <w:sz w:val="24"/>
          <w:szCs w:val="24"/>
          <w:rtl/>
        </w:rPr>
        <w:t>Project</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Triangle</w:t>
      </w:r>
      <w:proofErr w:type="spellEnd"/>
      <w:r w:rsidRPr="002E4EFD">
        <w:rPr>
          <w:sz w:val="24"/>
          <w:szCs w:val="24"/>
          <w:rtl/>
        </w:rPr>
        <w:t xml:space="preserve">) الذي يربط بين الوقت والتكلفة والجودة الإطار التقليدي الأكثر شيوعاً لقياس الأداء. ويُشير هذا المثلث إلى أن أي تغيير في أحد الأضلاع يُؤثر على الآخرين، وأن مهمة مدير المشروع تتمثل في تحقيق التوازن الأمثل بينها. وقد طوّر </w:t>
      </w:r>
      <w:proofErr w:type="spellStart"/>
      <w:r w:rsidRPr="002E4EFD">
        <w:rPr>
          <w:sz w:val="24"/>
          <w:szCs w:val="24"/>
          <w:rtl/>
        </w:rPr>
        <w:t>Atkinson</w:t>
      </w:r>
      <w:proofErr w:type="spellEnd"/>
      <w:r w:rsidRPr="002E4EFD">
        <w:rPr>
          <w:sz w:val="24"/>
          <w:szCs w:val="24"/>
          <w:rtl/>
        </w:rPr>
        <w:t xml:space="preserve"> (1999) إطار "مثلث الحديد" ليشمل بعدين إضافيين: الفوائد التنظيمية وفوائد أصحاب المصلحة. كما طوّر </w:t>
      </w:r>
      <w:proofErr w:type="spellStart"/>
      <w:r w:rsidRPr="002E4EFD">
        <w:rPr>
          <w:sz w:val="24"/>
          <w:szCs w:val="24"/>
          <w:rtl/>
        </w:rPr>
        <w:t>Turner</w:t>
      </w:r>
      <w:proofErr w:type="spellEnd"/>
      <w:r w:rsidRPr="002E4EFD">
        <w:rPr>
          <w:sz w:val="24"/>
          <w:szCs w:val="24"/>
          <w:rtl/>
        </w:rPr>
        <w:t xml:space="preserve"> (1999) نموذجاً يربط بين فعالية المشروع (تحقيق الأهداف) وكفاءته (استخدام الموارد).</w:t>
      </w:r>
    </w:p>
    <w:p w14:paraId="2DABEA8B" w14:textId="77777777" w:rsidR="008F3256" w:rsidRPr="002E4EFD" w:rsidRDefault="00BA5877" w:rsidP="002E4EFD">
      <w:pPr>
        <w:spacing w:after="120" w:line="360" w:lineRule="auto"/>
        <w:ind w:firstLine="283"/>
        <w:jc w:val="mediumKashida"/>
        <w:rPr>
          <w:sz w:val="24"/>
          <w:szCs w:val="24"/>
        </w:rPr>
      </w:pPr>
      <w:r w:rsidRPr="002E4EFD">
        <w:rPr>
          <w:sz w:val="24"/>
          <w:szCs w:val="24"/>
          <w:rtl/>
        </w:rPr>
        <w:t>وفي هذه الدراسة، تبنّى الباحث قياس أداء المشاريع عبر أربعة أبعاد رئيسة: (1) الالتزام بالوقت (</w:t>
      </w:r>
      <w:proofErr w:type="spellStart"/>
      <w:r w:rsidRPr="002E4EFD">
        <w:rPr>
          <w:sz w:val="24"/>
          <w:szCs w:val="24"/>
          <w:rtl/>
        </w:rPr>
        <w:t>Time</w:t>
      </w:r>
      <w:proofErr w:type="spellEnd"/>
      <w:r w:rsidRPr="002E4EFD">
        <w:rPr>
          <w:sz w:val="24"/>
          <w:szCs w:val="24"/>
          <w:rtl/>
        </w:rPr>
        <w:t>)، ويُقاس بمدى إنجاز المشروع في الإطار الزمني المخطط، (2) الالتزام بالتكلفة (</w:t>
      </w:r>
      <w:proofErr w:type="spellStart"/>
      <w:r w:rsidRPr="002E4EFD">
        <w:rPr>
          <w:sz w:val="24"/>
          <w:szCs w:val="24"/>
          <w:rtl/>
        </w:rPr>
        <w:t>Cost</w:t>
      </w:r>
      <w:proofErr w:type="spellEnd"/>
      <w:r w:rsidRPr="002E4EFD">
        <w:rPr>
          <w:sz w:val="24"/>
          <w:szCs w:val="24"/>
          <w:rtl/>
        </w:rPr>
        <w:t>)، ويُقاس بمدى الالتزام بالميزانية المعتمدة دون تجاوزات كبيرة، (3) الجودة (</w:t>
      </w:r>
      <w:proofErr w:type="spellStart"/>
      <w:r w:rsidRPr="002E4EFD">
        <w:rPr>
          <w:sz w:val="24"/>
          <w:szCs w:val="24"/>
          <w:rtl/>
        </w:rPr>
        <w:t>Quality</w:t>
      </w:r>
      <w:proofErr w:type="spellEnd"/>
      <w:r w:rsidRPr="002E4EFD">
        <w:rPr>
          <w:sz w:val="24"/>
          <w:szCs w:val="24"/>
          <w:rtl/>
        </w:rPr>
        <w:t>)، وتُقاس بمدى مطابقة المخرجات للمواصفات والمعايير، (4) رضا أصحاب المصلحة (</w:t>
      </w:r>
      <w:proofErr w:type="spellStart"/>
      <w:r w:rsidRPr="002E4EFD">
        <w:rPr>
          <w:sz w:val="24"/>
          <w:szCs w:val="24"/>
          <w:rtl/>
        </w:rPr>
        <w:t>Stakeholder</w:t>
      </w:r>
      <w:proofErr w:type="spellEnd"/>
      <w:r w:rsidRPr="002E4EFD">
        <w:rPr>
          <w:sz w:val="24"/>
          <w:szCs w:val="24"/>
          <w:rtl/>
        </w:rPr>
        <w:t xml:space="preserve"> </w:t>
      </w:r>
      <w:proofErr w:type="spellStart"/>
      <w:r w:rsidRPr="002E4EFD">
        <w:rPr>
          <w:sz w:val="24"/>
          <w:szCs w:val="24"/>
          <w:rtl/>
        </w:rPr>
        <w:t>Satisfaction</w:t>
      </w:r>
      <w:proofErr w:type="spellEnd"/>
      <w:r w:rsidRPr="002E4EFD">
        <w:rPr>
          <w:sz w:val="24"/>
          <w:szCs w:val="24"/>
          <w:rtl/>
        </w:rPr>
        <w:t>)، ويُقاس بمدى رضا المالك والمستخدم النهائي والجهات التنظيمية. ويُمثّل هذا الإطار تركيباً بين النموذج التقليدي والنموذج المعاصر، مع مراعاة إمكانية القياس عبر استبانة.</w:t>
      </w:r>
    </w:p>
    <w:p w14:paraId="37519C1B"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وتُؤثر السلامة على أداء المشاريع عبر عدة آليات. أولاً، الحوادث المهنية تُؤدي إلى توقف العمل وفقدان ساعات إنتاجية، مما يُؤثر سلباً على الجدول الزمني. ثانياً، تكاليف الحوادث (المباشرة وغير المباشرة) تُضيف أعباءً على الميزانية، حيث تُشير دراسات مجلس السلامة الوطني الأمريكي إلى أن التكاليف غير المباشرة قد تصل إلى أربعة أضعاف التكاليف المباشرة. ثالثاً، الحوادث المتكررة تُؤثر على معنويات العاملين وسمعة المنفّذ، مما يُضعف جودة العمل. رابعاً، غياب السلامة يُولّد نزاعات مع أصحاب المصلحة والجهات التنظيمية، مما يُؤخر إنجاز المشروع ويزيد من تكاليفه.</w:t>
      </w:r>
    </w:p>
    <w:p w14:paraId="50DE87D5" w14:textId="77777777" w:rsidR="008F3256" w:rsidRPr="002E4EFD" w:rsidRDefault="00BA5877" w:rsidP="002E4EFD">
      <w:pPr>
        <w:spacing w:after="120" w:line="360" w:lineRule="auto"/>
        <w:ind w:firstLine="283"/>
        <w:jc w:val="mediumKashida"/>
        <w:rPr>
          <w:sz w:val="24"/>
          <w:szCs w:val="24"/>
        </w:rPr>
      </w:pPr>
      <w:r w:rsidRPr="002E4EFD">
        <w:rPr>
          <w:sz w:val="24"/>
          <w:szCs w:val="24"/>
          <w:rtl/>
        </w:rPr>
        <w:t>وفي قطاع الطاقة المتجددة، تُضاف اعتبارات خاصة لأداء المشاريع، أبرزها: (1) الحاجة إلى الالتزام الصارم بالجداول الزمنية للاستفادة من حوافز التغذية التعريفية، (2) ضرورة تحقيق الجودة العالية لضمان العمر التشغيلي للمحطات (25-30 سنة)، (3) التزامات الاستدامة والشهادات الخضراء، (4) رضا الجهات المموّلة الدولية التي تشترط معايير اجتماعية وبيئية. ومن ثَمَّ، يصبح أداء المشروع في هذا القطاع مقياساً متعدد الأبعاد لا يقتصر على الربحية المالية.</w:t>
      </w:r>
    </w:p>
    <w:p w14:paraId="20EE4689" w14:textId="10848DA4" w:rsidR="008F3256" w:rsidRPr="002E4EFD" w:rsidRDefault="00BA5877" w:rsidP="005A3D98">
      <w:pPr>
        <w:spacing w:after="120" w:line="360" w:lineRule="auto"/>
        <w:ind w:firstLine="283"/>
        <w:jc w:val="mediumKashida"/>
        <w:rPr>
          <w:sz w:val="24"/>
          <w:szCs w:val="24"/>
        </w:rPr>
      </w:pPr>
      <w:r w:rsidRPr="002E4EFD">
        <w:rPr>
          <w:sz w:val="24"/>
          <w:szCs w:val="24"/>
          <w:rtl/>
        </w:rPr>
        <w:lastRenderedPageBreak/>
        <w:t>ويُعرّف الباحث أداء المشاريع إجرائياً في إطار هذه الدراسة بأنه: درجة تحقق أهداف المشروع في مشاريع الطاقة المتجددة من حيث الالتزام بالوقت، والالتزام بالتكلفة، والجودة، ورضا أصحاب المصلحة، كما يُدركها العاملون في المشاريع. ويُقاس بأداة الدراسة عبر خمسة بنود تغطي هذه الأبعاد.</w:t>
      </w:r>
    </w:p>
    <w:p w14:paraId="7014B947"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t>2.10 قطاع الطاقة المتجددة في المملكة العربية السعودية</w:t>
      </w:r>
    </w:p>
    <w:p w14:paraId="6614CBE1" w14:textId="77777777" w:rsidR="008F3256" w:rsidRPr="002E4EFD" w:rsidRDefault="00BA5877" w:rsidP="002E4EFD">
      <w:pPr>
        <w:spacing w:after="120" w:line="360" w:lineRule="auto"/>
        <w:ind w:firstLine="283"/>
        <w:jc w:val="mediumKashida"/>
        <w:rPr>
          <w:sz w:val="24"/>
          <w:szCs w:val="24"/>
        </w:rPr>
      </w:pPr>
      <w:r w:rsidRPr="002E4EFD">
        <w:rPr>
          <w:sz w:val="24"/>
          <w:szCs w:val="24"/>
          <w:rtl/>
        </w:rPr>
        <w:t>يشهد قطاع الطاقة المتجددة في المملكة العربية السعودية نمواً غير مسبوق في إطار رؤية المملكة 2030، التي وضعت تنويع مصادر الطاقة وتقليل الاعتماد على النفط ضمن أولوياتها الاستراتيجية. وقد حددت رؤية المملكة هدف توليد 50% من الكهرباء من مصادر متجددة بحلول 2030، عبر برنامج وطني للطاقة المتجددة يُديره المكتب السعودي لتطوير مشاريع الطاقة المتجددة (REPDO). وتشمل المحفظة الحالية مشاريع متعددة الأنواع والتقنيات، أبرزها:</w:t>
      </w:r>
    </w:p>
    <w:p w14:paraId="46DE76F1"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1. مشاريع الطاقة الشمسية الكهروضوئية: وتشمل محطة سكاكا (300 </w:t>
      </w:r>
      <w:proofErr w:type="spellStart"/>
      <w:r w:rsidRPr="002E4EFD">
        <w:rPr>
          <w:sz w:val="24"/>
          <w:szCs w:val="24"/>
          <w:rtl/>
        </w:rPr>
        <w:t>ميجاوات</w:t>
      </w:r>
      <w:proofErr w:type="spellEnd"/>
      <w:r w:rsidRPr="002E4EFD">
        <w:rPr>
          <w:sz w:val="24"/>
          <w:szCs w:val="24"/>
          <w:rtl/>
        </w:rPr>
        <w:t xml:space="preserve">) في الجوف، ومحطة سدير (1.5 جيجاوات)، ومحطة دومة الجندل (20 جيجاوات قيد التطوير)، ومحطة الرس الثانية (2 جيجاوات) التابعة لشركة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ومشاريع عديدة أخرى موزعة على مناطق المملكة.</w:t>
      </w:r>
    </w:p>
    <w:p w14:paraId="5F85CD39"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2. مشاريع الطاقة </w:t>
      </w:r>
      <w:proofErr w:type="spellStart"/>
      <w:r w:rsidRPr="002E4EFD">
        <w:rPr>
          <w:sz w:val="24"/>
          <w:szCs w:val="24"/>
          <w:rtl/>
        </w:rPr>
        <w:t>الريحية</w:t>
      </w:r>
      <w:proofErr w:type="spellEnd"/>
      <w:r w:rsidRPr="002E4EFD">
        <w:rPr>
          <w:sz w:val="24"/>
          <w:szCs w:val="24"/>
          <w:rtl/>
        </w:rPr>
        <w:t xml:space="preserve">: وتشمل محطة دومة الجندل للطاقة </w:t>
      </w:r>
      <w:proofErr w:type="spellStart"/>
      <w:r w:rsidRPr="002E4EFD">
        <w:rPr>
          <w:sz w:val="24"/>
          <w:szCs w:val="24"/>
          <w:rtl/>
        </w:rPr>
        <w:t>الريحية</w:t>
      </w:r>
      <w:proofErr w:type="spellEnd"/>
      <w:r w:rsidRPr="002E4EFD">
        <w:rPr>
          <w:sz w:val="24"/>
          <w:szCs w:val="24"/>
          <w:rtl/>
        </w:rPr>
        <w:t xml:space="preserve"> (400 </w:t>
      </w:r>
      <w:proofErr w:type="spellStart"/>
      <w:r w:rsidRPr="002E4EFD">
        <w:rPr>
          <w:sz w:val="24"/>
          <w:szCs w:val="24"/>
          <w:rtl/>
        </w:rPr>
        <w:t>ميجاوات</w:t>
      </w:r>
      <w:proofErr w:type="spellEnd"/>
      <w:r w:rsidRPr="002E4EFD">
        <w:rPr>
          <w:sz w:val="24"/>
          <w:szCs w:val="24"/>
          <w:rtl/>
        </w:rPr>
        <w:t>) التي بدأت تشغيلها التجاري عام 2022، وهي أول محطة رياحية كبيرة في المملكة، ومشاريع قيد التطوير في منطقة تبوك.</w:t>
      </w:r>
    </w:p>
    <w:p w14:paraId="2B1EDD19"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3. مشاريع الهيدروجين الأخضر: ويُمثّل مشروع </w:t>
      </w:r>
      <w:proofErr w:type="spellStart"/>
      <w:r w:rsidRPr="002E4EFD">
        <w:rPr>
          <w:sz w:val="24"/>
          <w:szCs w:val="24"/>
          <w:rtl/>
        </w:rPr>
        <w:t>نيوم</w:t>
      </w:r>
      <w:proofErr w:type="spellEnd"/>
      <w:r w:rsidRPr="002E4EFD">
        <w:rPr>
          <w:sz w:val="24"/>
          <w:szCs w:val="24"/>
          <w:rtl/>
        </w:rPr>
        <w:t xml:space="preserve"> للهيدروجين الأخضر أكبر مشروع من نوعه في العالم، بإنتاج يصل إلى 600 طن يومياً من الهيدروجين الأخضر على شكل أمونيا خضراء. ويُنفّذ المشروع بالشراكة بين </w:t>
      </w:r>
      <w:proofErr w:type="spellStart"/>
      <w:r w:rsidRPr="002E4EFD">
        <w:rPr>
          <w:sz w:val="24"/>
          <w:szCs w:val="24"/>
          <w:rtl/>
        </w:rPr>
        <w:t>نيوم</w:t>
      </w:r>
      <w:proofErr w:type="spellEnd"/>
      <w:r w:rsidRPr="002E4EFD">
        <w:rPr>
          <w:sz w:val="24"/>
          <w:szCs w:val="24"/>
          <w:rtl/>
        </w:rPr>
        <w:t xml:space="preserve"> </w:t>
      </w:r>
      <w:proofErr w:type="spellStart"/>
      <w:r w:rsidRPr="002E4EFD">
        <w:rPr>
          <w:sz w:val="24"/>
          <w:szCs w:val="24"/>
          <w:rtl/>
        </w:rPr>
        <w:t>وأكوا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w:t>
      </w:r>
      <w:proofErr w:type="spellStart"/>
      <w:r w:rsidRPr="002E4EFD">
        <w:rPr>
          <w:sz w:val="24"/>
          <w:szCs w:val="24"/>
          <w:rtl/>
        </w:rPr>
        <w:t>وAir</w:t>
      </w:r>
      <w:proofErr w:type="spellEnd"/>
      <w:r w:rsidRPr="002E4EFD">
        <w:rPr>
          <w:sz w:val="24"/>
          <w:szCs w:val="24"/>
          <w:rtl/>
        </w:rPr>
        <w:t xml:space="preserve"> </w:t>
      </w:r>
      <w:proofErr w:type="spellStart"/>
      <w:r w:rsidRPr="002E4EFD">
        <w:rPr>
          <w:sz w:val="24"/>
          <w:szCs w:val="24"/>
          <w:rtl/>
        </w:rPr>
        <w:t>Products</w:t>
      </w:r>
      <w:proofErr w:type="spellEnd"/>
      <w:r w:rsidRPr="002E4EFD">
        <w:rPr>
          <w:sz w:val="24"/>
          <w:szCs w:val="24"/>
          <w:rtl/>
        </w:rPr>
        <w:t xml:space="preserve"> باستثمار يتجاوز 8.4 مليار دولار.</w:t>
      </w:r>
    </w:p>
    <w:p w14:paraId="5A14D64E"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4. مشاريع تحلية المياه بالطاقة المتجددة: وتشمل مشاريع 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لتحلية المياه بالطاقة الشمسية في ينبب والجبيل.</w:t>
      </w:r>
    </w:p>
    <w:p w14:paraId="6C6E6073"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5. مشاريع المدن الذكية: ويُمثّل مشروع </w:t>
      </w:r>
      <w:proofErr w:type="spellStart"/>
      <w:r w:rsidRPr="002E4EFD">
        <w:rPr>
          <w:sz w:val="24"/>
          <w:szCs w:val="24"/>
          <w:rtl/>
        </w:rPr>
        <w:t>نيوم</w:t>
      </w:r>
      <w:proofErr w:type="spellEnd"/>
      <w:r w:rsidRPr="002E4EFD">
        <w:rPr>
          <w:sz w:val="24"/>
          <w:szCs w:val="24"/>
          <w:rtl/>
        </w:rPr>
        <w:t xml:space="preserve"> النموذج الأبرز، إذ يهدف إلى بناء مدينة تعمل بنسبة 100% بالطاقة المتجددة.</w:t>
      </w:r>
    </w:p>
    <w:p w14:paraId="61770E1E"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وتُقدّر الاستثمارات الإجمالية في قطاع الطاقة المتجددة السعودي بأكثر من 50 مليار دولار حتى عام 2030، مع توقعات بتجاوز هذا الرقم في ضوء المشاريع الجديدة. وتُدير شركة </w:t>
      </w:r>
      <w:proofErr w:type="spellStart"/>
      <w:r w:rsidRPr="002E4EFD">
        <w:rPr>
          <w:sz w:val="24"/>
          <w:szCs w:val="24"/>
          <w:rtl/>
        </w:rPr>
        <w:t>أكوا</w:t>
      </w:r>
      <w:proofErr w:type="spellEnd"/>
      <w:r w:rsidRPr="002E4EFD">
        <w:rPr>
          <w:sz w:val="24"/>
          <w:szCs w:val="24"/>
          <w:rtl/>
        </w:rPr>
        <w:t xml:space="preserve"> </w:t>
      </w:r>
      <w:proofErr w:type="spellStart"/>
      <w:r w:rsidRPr="002E4EFD">
        <w:rPr>
          <w:sz w:val="24"/>
          <w:szCs w:val="24"/>
          <w:rtl/>
        </w:rPr>
        <w:t>باور</w:t>
      </w:r>
      <w:proofErr w:type="spellEnd"/>
      <w:r w:rsidRPr="002E4EFD">
        <w:rPr>
          <w:sz w:val="24"/>
          <w:szCs w:val="24"/>
          <w:rtl/>
        </w:rPr>
        <w:t xml:space="preserve"> وحدها محفظة مشاريع تتجاوز 60 جيجاوات في المملكة والمنطقة (ACWA </w:t>
      </w:r>
      <w:proofErr w:type="spellStart"/>
      <w:r w:rsidRPr="002E4EFD">
        <w:rPr>
          <w:sz w:val="24"/>
          <w:szCs w:val="24"/>
          <w:rtl/>
        </w:rPr>
        <w:t>Power</w:t>
      </w:r>
      <w:proofErr w:type="spellEnd"/>
      <w:r w:rsidRPr="002E4EFD">
        <w:rPr>
          <w:sz w:val="24"/>
          <w:szCs w:val="24"/>
          <w:rtl/>
        </w:rPr>
        <w:t>, 2024). وتُسهم هذه المشاريع في تحقيق عدة أهداف استراتيجية: تنويع مصادر الدخل، خفض الانبعاثات الكربونية، خلق فرص العمل للسعوديين، تطوير سلسلة التوريد المحلية.</w:t>
      </w:r>
    </w:p>
    <w:p w14:paraId="2F6575C8" w14:textId="77777777" w:rsidR="008F3256" w:rsidRPr="002E4EFD" w:rsidRDefault="00BA5877" w:rsidP="002E4EFD">
      <w:pPr>
        <w:spacing w:after="120" w:line="360" w:lineRule="auto"/>
        <w:ind w:firstLine="283"/>
        <w:jc w:val="mediumKashida"/>
        <w:rPr>
          <w:sz w:val="24"/>
          <w:szCs w:val="24"/>
        </w:rPr>
      </w:pPr>
      <w:r w:rsidRPr="002E4EFD">
        <w:rPr>
          <w:sz w:val="24"/>
          <w:szCs w:val="24"/>
          <w:rtl/>
        </w:rPr>
        <w:lastRenderedPageBreak/>
        <w:t>غير أن هذا التوسع المتسارع يصاحبه تحديات كبيرة في مجال السلامة المهنية، نظراً لخصوصية المشاريع: (1) استخدام تقنيات حديثة لم يعتد العاملون عليها، (2) العمل في ظروف مناخية قاسية، (3) تنوع القوى العاملة من جنسيات وثقافات مختلفة، (4) ضغط الجداول الزمنية لاستيفاء شروط التمويل، (5) تعدد المقاولين من الباطن بمستويات متفاوتة من النضج في إدارة السلامة. ومن ثَمَّ، تصبح دراسة العلاقة بين أنظمة إدارة السلامة وأداء المشاريع في هذا القطاع ضرورة ماسة لحماية الاستثمارات وضمان استدامتها.</w:t>
      </w:r>
    </w:p>
    <w:p w14:paraId="62644E2C"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وتُشير تقارير وزارة الطاقة السعودية (2024) إلى أن قطاع الطاقة المتجددة وفر أكثر من 15,000 فرصة عمل مباشرة حتى نهاية 2023، ومن المتوقع أن يتجاوز هذا الرقم 70,000 فرصة بحلول 2030. ومع توسع القوى العاملة، تتصاعد الحاجة إلى أنظمة سلامة متكاملة وقوية. كما تُشير تقارير الهيئة العامة للإحصاء (2024) إلى أن معدل الإصابات المهنية في قطاع الإنشاءات بما فيه مشاريع الطاقة يُمثّل نحو 22% من إجمالي الإصابات المسجلة في المملكة، مما يُؤكد الحاجة إلى تعزيز ثقافة السلامة في هذا القطاع النامي.</w:t>
      </w:r>
    </w:p>
    <w:p w14:paraId="3D17E9FE" w14:textId="77777777" w:rsidR="008F3256" w:rsidRPr="002E4EFD" w:rsidRDefault="00BA5877" w:rsidP="002E4EFD">
      <w:pPr>
        <w:jc w:val="mediumKashida"/>
        <w:rPr>
          <w:sz w:val="24"/>
          <w:szCs w:val="24"/>
        </w:rPr>
      </w:pPr>
      <w:r w:rsidRPr="002E4EFD">
        <w:rPr>
          <w:sz w:val="24"/>
          <w:szCs w:val="24"/>
        </w:rPr>
        <w:br w:type="page"/>
      </w:r>
    </w:p>
    <w:p w14:paraId="5978805A"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2.11 الدراسات السابقة العربية</w:t>
      </w:r>
    </w:p>
    <w:p w14:paraId="7EE0D6AE" w14:textId="77777777" w:rsidR="008F3256" w:rsidRPr="002E4EFD" w:rsidRDefault="00BA5877" w:rsidP="002E4EFD">
      <w:pPr>
        <w:spacing w:after="120" w:line="360" w:lineRule="auto"/>
        <w:ind w:firstLine="283"/>
        <w:jc w:val="mediumKashida"/>
        <w:rPr>
          <w:sz w:val="24"/>
          <w:szCs w:val="24"/>
        </w:rPr>
      </w:pPr>
      <w:r w:rsidRPr="002E4EFD">
        <w:rPr>
          <w:sz w:val="24"/>
          <w:szCs w:val="24"/>
          <w:rtl/>
        </w:rPr>
        <w:t>دراسة الحربي (2023): بعنوان "أثر تطبيق نظام إدارة السلامة والصحة المهنية على أداء المشاريع الإنشائية في المملكة العربية السعودية". هدفت الدراسة إلى قياس أثر تطبيق نظام OHSAS 18001 على أداء المشاريع الإنشائية الكبرى في الرياض وجدة. اعتمدت الدراسة على المنهج الوصفي التحليلي، واستخدمت استبانة وزعت على عينة من 120 مديراً ومسؤول سلامة. توصلت الدراسة إلى وجود أثر إيجابي ذي دلالة إحصائية لتطبيق النظام على الأبعاد الثلاثة (الوقت، التكلفة، الجودة)، وأن بُعد التزام الإدارة العليا يُعد الأكثر تأثيراً.</w:t>
      </w:r>
    </w:p>
    <w:p w14:paraId="1298D730" w14:textId="77777777" w:rsidR="008F3256" w:rsidRPr="002E4EFD" w:rsidRDefault="00BA5877" w:rsidP="002E4EFD">
      <w:pPr>
        <w:spacing w:after="120" w:line="360" w:lineRule="auto"/>
        <w:ind w:firstLine="283"/>
        <w:jc w:val="mediumKashida"/>
        <w:rPr>
          <w:sz w:val="24"/>
          <w:szCs w:val="24"/>
        </w:rPr>
      </w:pPr>
      <w:r w:rsidRPr="002E4EFD">
        <w:rPr>
          <w:sz w:val="24"/>
          <w:szCs w:val="24"/>
          <w:rtl/>
        </w:rPr>
        <w:t>دراسة العتيبي والقحطاني (2024): بعنوان "واقع أنظمة إدارة السلامة في المشاريع الإنشائية الكبرى في المملكة: دراسة ميدانية". استهدفت الدراسة تقييم واقع تطبيق أنظمة إدارة السلامة في 35 مشروعاً إنشائياً ضخماً. كشفت الدراسة عن تفاوت ملحوظ في مستوى تطبيق الأنظمة بين الشركات الكبرى والمتوسطة، ووجود فجوة في بُعد الإبلاغ عن الحوادث والتحقيق فيها. أوصت الدراسة بتطوير تشريعات أكثر صرامة في هذا الشأن.</w:t>
      </w:r>
    </w:p>
    <w:p w14:paraId="0C83F73A" w14:textId="77777777" w:rsidR="008F3256" w:rsidRPr="002E4EFD" w:rsidRDefault="00BA5877" w:rsidP="002E4EFD">
      <w:pPr>
        <w:spacing w:after="120" w:line="360" w:lineRule="auto"/>
        <w:ind w:firstLine="283"/>
        <w:jc w:val="mediumKashida"/>
        <w:rPr>
          <w:sz w:val="24"/>
          <w:szCs w:val="24"/>
        </w:rPr>
      </w:pPr>
      <w:r w:rsidRPr="002E4EFD">
        <w:rPr>
          <w:sz w:val="24"/>
          <w:szCs w:val="24"/>
          <w:rtl/>
        </w:rPr>
        <w:t>دراسة الشمري (2022): بعنوان "دور القيادة التحويلية في تعزيز ثقافة السلامة في المشاريع الإنشائية السعودية". تناولت الدراسة علاقة القيادة التحويلية بمناخ السلامة في 28 مشروعاً. توصلت إلى أن القيادة التحويلية تُفسّر نحو 34% من التباين في مناخ السلامة، وأن للقدوة الشخصية دوراً محورياً.</w:t>
      </w:r>
    </w:p>
    <w:p w14:paraId="3DB014AF" w14:textId="77777777" w:rsidR="008F3256" w:rsidRPr="002E4EFD" w:rsidRDefault="00BA5877" w:rsidP="002E4EFD">
      <w:pPr>
        <w:spacing w:after="120" w:line="360" w:lineRule="auto"/>
        <w:ind w:firstLine="283"/>
        <w:jc w:val="mediumKashida"/>
        <w:rPr>
          <w:sz w:val="24"/>
          <w:szCs w:val="24"/>
        </w:rPr>
      </w:pPr>
      <w:r w:rsidRPr="002E4EFD">
        <w:rPr>
          <w:sz w:val="24"/>
          <w:szCs w:val="24"/>
          <w:rtl/>
        </w:rPr>
        <w:t>دراسة الغامدي (2023): بعنوان "أثر التدريب على السلامة على سلوك العاملين في قطاع الإنشاءات السعودي". اعتمدت على عينة من 200 عامل في شركات إنشائية متعددة. توصلت إلى أن التدريب التشاركي يُحقق نتائج أفضل من التدريب النظري، وأن التدريب المنتظم يرتبط عكسياً بمعدلات الإصابات.</w:t>
      </w:r>
    </w:p>
    <w:p w14:paraId="27164249" w14:textId="77777777" w:rsidR="008F3256" w:rsidRPr="002E4EFD" w:rsidRDefault="00BA5877" w:rsidP="002E4EFD">
      <w:pPr>
        <w:spacing w:after="120" w:line="360" w:lineRule="auto"/>
        <w:ind w:firstLine="283"/>
        <w:jc w:val="mediumKashida"/>
        <w:rPr>
          <w:sz w:val="24"/>
          <w:szCs w:val="24"/>
        </w:rPr>
      </w:pPr>
      <w:r w:rsidRPr="002E4EFD">
        <w:rPr>
          <w:sz w:val="24"/>
          <w:szCs w:val="24"/>
          <w:rtl/>
        </w:rPr>
        <w:t>دراسة المالكي (2024): بعنوان "تحديات تطبيق ISO 45001 في المنشآت السعودية الصغيرة والمتوسطة". ركّزت على تحديد التحديات التي تواجه المنشآت الصغيرة في تطبيق المواصفة. كشفت الدراسة عن أن التكلفة وندرة الكوادر المؤهلة وضعف الوعي تُمثّل أهم التحديات. أوصت بتقديم حوافز حكومية ودعم فني لهذه المنشآت.</w:t>
      </w:r>
    </w:p>
    <w:p w14:paraId="1BF9B3A7" w14:textId="77777777" w:rsidR="008F3256" w:rsidRPr="002E4EFD" w:rsidRDefault="00BA5877" w:rsidP="002E4EFD">
      <w:pPr>
        <w:spacing w:after="120" w:line="360" w:lineRule="auto"/>
        <w:ind w:firstLine="283"/>
        <w:jc w:val="mediumKashida"/>
        <w:rPr>
          <w:sz w:val="24"/>
          <w:szCs w:val="24"/>
        </w:rPr>
      </w:pPr>
      <w:r w:rsidRPr="002E4EFD">
        <w:rPr>
          <w:sz w:val="24"/>
          <w:szCs w:val="24"/>
          <w:rtl/>
        </w:rPr>
        <w:t>دراسة حماد (2022): بعنوان "تحسين إدارة السلامة الهندسية في المشاريع الإنشائية في الأردن". رغم أن الدراسة أُجريت في الأردن، إلا أنها تناولت قطاعاً مماثلاً وقدّمت مقاربات قابلة للتطبيق في السياق الخليجي. أوصت الدراسة بضرورة تبني المنشآت لمنهج التحسين المستمر وفق PDCA.</w:t>
      </w:r>
    </w:p>
    <w:p w14:paraId="556DCBEF" w14:textId="77777777" w:rsidR="008F3256" w:rsidRPr="002E4EFD" w:rsidRDefault="00BA5877" w:rsidP="002E4EFD">
      <w:pPr>
        <w:spacing w:after="120" w:line="360" w:lineRule="auto"/>
        <w:ind w:firstLine="283"/>
        <w:jc w:val="mediumKashida"/>
        <w:rPr>
          <w:sz w:val="24"/>
          <w:szCs w:val="24"/>
        </w:rPr>
      </w:pPr>
      <w:r w:rsidRPr="002E4EFD">
        <w:rPr>
          <w:sz w:val="24"/>
          <w:szCs w:val="24"/>
          <w:rtl/>
        </w:rPr>
        <w:lastRenderedPageBreak/>
        <w:t>دراسة الزهراني (2023): بعنوان "أثر التفتيش والرقابة على السلامة في خفض الحوادث في المشاريع الإنشائية". توصلت إلى أن التفتيش الأسبوعي يُحقق انخفاضاً في الحوادث يصل إلى 28% مقارنةً بالتفتيش الشهري، وأن استخدام القوائم الموحدة يُحسّن جودة التفتيش.</w:t>
      </w:r>
    </w:p>
    <w:p w14:paraId="7035677D" w14:textId="77777777" w:rsidR="008F3256" w:rsidRPr="002E4EFD" w:rsidRDefault="00BA5877" w:rsidP="002E4EFD">
      <w:pPr>
        <w:spacing w:after="120" w:line="360" w:lineRule="auto"/>
        <w:ind w:firstLine="283"/>
        <w:jc w:val="mediumKashida"/>
        <w:rPr>
          <w:sz w:val="24"/>
          <w:szCs w:val="24"/>
        </w:rPr>
      </w:pPr>
      <w:r w:rsidRPr="002E4EFD">
        <w:rPr>
          <w:sz w:val="24"/>
          <w:szCs w:val="24"/>
          <w:rtl/>
        </w:rPr>
        <w:t>دراسة القحطاني (2024): بعنوان "الاستعداد للطوارئ في المنشآت الصناعية السعودية: دراسة تقييمية". استهدفت تقييم جاهزية 45 منشأة صناعية للطوارئ. كشفت عن أن 40% فقط من المنشآت تُجري تمارين طوارئ سنوية، وأن الخطط المكتوبة لا تتجاوز 55% من المنشآت.</w:t>
      </w:r>
    </w:p>
    <w:p w14:paraId="4BD0142E" w14:textId="77777777" w:rsidR="008F3256" w:rsidRPr="002E4EFD" w:rsidRDefault="00BA5877" w:rsidP="002E4EFD">
      <w:pPr>
        <w:jc w:val="mediumKashida"/>
        <w:rPr>
          <w:sz w:val="24"/>
          <w:szCs w:val="24"/>
        </w:rPr>
      </w:pPr>
      <w:r w:rsidRPr="002E4EFD">
        <w:rPr>
          <w:sz w:val="24"/>
          <w:szCs w:val="24"/>
        </w:rPr>
        <w:br w:type="page"/>
      </w:r>
    </w:p>
    <w:p w14:paraId="08A3069A"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2.12 الدراسات السابقة الأجنبية</w:t>
      </w:r>
    </w:p>
    <w:p w14:paraId="7140E5E9"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Robson</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(2007): بعنوان "</w:t>
      </w:r>
      <w:proofErr w:type="spellStart"/>
      <w:r w:rsidRPr="002E4EFD">
        <w:rPr>
          <w:sz w:val="24"/>
          <w:szCs w:val="24"/>
          <w:rtl/>
        </w:rPr>
        <w:t>The</w:t>
      </w:r>
      <w:proofErr w:type="spellEnd"/>
      <w:r w:rsidRPr="002E4EFD">
        <w:rPr>
          <w:sz w:val="24"/>
          <w:szCs w:val="24"/>
          <w:rtl/>
        </w:rPr>
        <w:t xml:space="preserve"> </w:t>
      </w:r>
      <w:proofErr w:type="spellStart"/>
      <w:r w:rsidRPr="002E4EFD">
        <w:rPr>
          <w:sz w:val="24"/>
          <w:szCs w:val="24"/>
          <w:rtl/>
        </w:rPr>
        <w:t>effectiveness</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occupational</w:t>
      </w:r>
      <w:proofErr w:type="spellEnd"/>
      <w:r w:rsidRPr="002E4EFD">
        <w:rPr>
          <w:sz w:val="24"/>
          <w:szCs w:val="24"/>
          <w:rtl/>
        </w:rPr>
        <w:t xml:space="preserve"> </w:t>
      </w:r>
      <w:proofErr w:type="spellStart"/>
      <w:r w:rsidRPr="002E4EFD">
        <w:rPr>
          <w:sz w:val="24"/>
          <w:szCs w:val="24"/>
          <w:rtl/>
        </w:rPr>
        <w:t>health</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system</w:t>
      </w:r>
      <w:proofErr w:type="spellEnd"/>
      <w:r w:rsidRPr="002E4EFD">
        <w:rPr>
          <w:sz w:val="24"/>
          <w:szCs w:val="24"/>
          <w:rtl/>
        </w:rPr>
        <w:t xml:space="preserve"> </w:t>
      </w:r>
      <w:proofErr w:type="spellStart"/>
      <w:r w:rsidRPr="002E4EFD">
        <w:rPr>
          <w:sz w:val="24"/>
          <w:szCs w:val="24"/>
          <w:rtl/>
        </w:rPr>
        <w:t>interventions</w:t>
      </w:r>
      <w:proofErr w:type="spellEnd"/>
      <w:r w:rsidRPr="002E4EFD">
        <w:rPr>
          <w:sz w:val="24"/>
          <w:szCs w:val="24"/>
          <w:rtl/>
        </w:rPr>
        <w:t xml:space="preserve">: A </w:t>
      </w:r>
      <w:proofErr w:type="spellStart"/>
      <w:r w:rsidRPr="002E4EFD">
        <w:rPr>
          <w:sz w:val="24"/>
          <w:szCs w:val="24"/>
          <w:rtl/>
        </w:rPr>
        <w:t>systematic</w:t>
      </w:r>
      <w:proofErr w:type="spellEnd"/>
      <w:r w:rsidRPr="002E4EFD">
        <w:rPr>
          <w:sz w:val="24"/>
          <w:szCs w:val="24"/>
          <w:rtl/>
        </w:rPr>
        <w:t xml:space="preserve"> </w:t>
      </w:r>
      <w:proofErr w:type="spellStart"/>
      <w:r w:rsidRPr="002E4EFD">
        <w:rPr>
          <w:sz w:val="24"/>
          <w:szCs w:val="24"/>
          <w:rtl/>
        </w:rPr>
        <w:t>review</w:t>
      </w:r>
      <w:proofErr w:type="spellEnd"/>
      <w:r w:rsidRPr="002E4EFD">
        <w:rPr>
          <w:sz w:val="24"/>
          <w:szCs w:val="24"/>
          <w:rtl/>
        </w:rPr>
        <w:t xml:space="preserve">". نُشرت في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Science</w:t>
      </w:r>
      <w:proofErr w:type="spellEnd"/>
      <w:r w:rsidRPr="002E4EFD">
        <w:rPr>
          <w:sz w:val="24"/>
          <w:szCs w:val="24"/>
          <w:rtl/>
        </w:rPr>
        <w:t>. استعرضت 80 دراسة حول فاعلية تدخلات أنظمة إدارة السلامة. توصلت إلى أن التدريب المتخصص يُحقق أعلى عائد، وأن المنشآت المطبقة للأنظمة تحقق انخفاضاً في الإصابات بنسبة 20-40%.</w:t>
      </w:r>
    </w:p>
    <w:p w14:paraId="61C0FCAD"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Mohammed</w:t>
      </w:r>
      <w:proofErr w:type="spellEnd"/>
      <w:r w:rsidRPr="002E4EFD">
        <w:rPr>
          <w:sz w:val="24"/>
          <w:szCs w:val="24"/>
          <w:rtl/>
        </w:rPr>
        <w:t xml:space="preserve"> &amp; </w:t>
      </w:r>
      <w:proofErr w:type="spellStart"/>
      <w:r w:rsidRPr="002E4EFD">
        <w:rPr>
          <w:sz w:val="24"/>
          <w:szCs w:val="24"/>
          <w:rtl/>
        </w:rPr>
        <w:t>Ismail</w:t>
      </w:r>
      <w:proofErr w:type="spellEnd"/>
      <w:r w:rsidRPr="002E4EFD">
        <w:rPr>
          <w:sz w:val="24"/>
          <w:szCs w:val="24"/>
          <w:rtl/>
        </w:rPr>
        <w:t xml:space="preserve"> (2022): بعنوان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Systems</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Construction</w:t>
      </w:r>
      <w:proofErr w:type="spellEnd"/>
      <w:r w:rsidRPr="002E4EFD">
        <w:rPr>
          <w:sz w:val="24"/>
          <w:szCs w:val="24"/>
          <w:rtl/>
        </w:rPr>
        <w:t xml:space="preserve"> </w:t>
      </w:r>
      <w:proofErr w:type="spellStart"/>
      <w:r w:rsidRPr="002E4EFD">
        <w:rPr>
          <w:sz w:val="24"/>
          <w:szCs w:val="24"/>
          <w:rtl/>
        </w:rPr>
        <w:t>Projects</w:t>
      </w:r>
      <w:proofErr w:type="spellEnd"/>
      <w:r w:rsidRPr="002E4EFD">
        <w:rPr>
          <w:sz w:val="24"/>
          <w:szCs w:val="24"/>
          <w:rtl/>
        </w:rPr>
        <w:t xml:space="preserve">: A </w:t>
      </w:r>
      <w:proofErr w:type="spellStart"/>
      <w:r w:rsidRPr="002E4EFD">
        <w:rPr>
          <w:sz w:val="24"/>
          <w:szCs w:val="24"/>
          <w:rtl/>
        </w:rPr>
        <w:t>Review</w:t>
      </w:r>
      <w:proofErr w:type="spellEnd"/>
      <w:r w:rsidRPr="002E4EFD">
        <w:rPr>
          <w:sz w:val="24"/>
          <w:szCs w:val="24"/>
          <w:rtl/>
        </w:rPr>
        <w:t xml:space="preserve">". نُشرت في </w:t>
      </w:r>
      <w:proofErr w:type="spellStart"/>
      <w:r w:rsidRPr="002E4EFD">
        <w:rPr>
          <w:sz w:val="24"/>
          <w:szCs w:val="24"/>
          <w:rtl/>
        </w:rPr>
        <w:t>International</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Security</w:t>
      </w:r>
      <w:proofErr w:type="spellEnd"/>
      <w:r w:rsidRPr="002E4EFD">
        <w:rPr>
          <w:sz w:val="24"/>
          <w:szCs w:val="24"/>
          <w:rtl/>
        </w:rPr>
        <w:t xml:space="preserve"> </w:t>
      </w:r>
      <w:proofErr w:type="spellStart"/>
      <w:r w:rsidRPr="002E4EFD">
        <w:rPr>
          <w:sz w:val="24"/>
          <w:szCs w:val="24"/>
          <w:rtl/>
        </w:rPr>
        <w:t>Engineering</w:t>
      </w:r>
      <w:proofErr w:type="spellEnd"/>
      <w:r w:rsidRPr="002E4EFD">
        <w:rPr>
          <w:sz w:val="24"/>
          <w:szCs w:val="24"/>
          <w:rtl/>
        </w:rPr>
        <w:t>. استعرضت الأدبيات حول أنظمة إدارة السلامة في المشاريع الإنشائية. أكدت على أن التزام القيادة والثقافة التنظيمية يُمثّلان المحددات الأهم لنجاح النظام.</w:t>
      </w:r>
    </w:p>
    <w:p w14:paraId="43AA5B61"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Lingard</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(2022): بعنوان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inspection</w:t>
      </w:r>
      <w:proofErr w:type="spellEnd"/>
      <w:r w:rsidRPr="002E4EFD">
        <w:rPr>
          <w:sz w:val="24"/>
          <w:szCs w:val="24"/>
          <w:rtl/>
        </w:rPr>
        <w:t xml:space="preserve"> </w:t>
      </w:r>
      <w:proofErr w:type="spellStart"/>
      <w:r w:rsidRPr="002E4EFD">
        <w:rPr>
          <w:sz w:val="24"/>
          <w:szCs w:val="24"/>
          <w:rtl/>
        </w:rPr>
        <w:t>effectiveness</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construction</w:t>
      </w:r>
      <w:proofErr w:type="spellEnd"/>
      <w:r w:rsidRPr="002E4EFD">
        <w:rPr>
          <w:sz w:val="24"/>
          <w:szCs w:val="24"/>
          <w:rtl/>
        </w:rPr>
        <w:t xml:space="preserve"> </w:t>
      </w:r>
      <w:proofErr w:type="spellStart"/>
      <w:r w:rsidRPr="002E4EFD">
        <w:rPr>
          <w:sz w:val="24"/>
          <w:szCs w:val="24"/>
          <w:rtl/>
        </w:rPr>
        <w:t>projects</w:t>
      </w:r>
      <w:proofErr w:type="spellEnd"/>
      <w:r w:rsidRPr="002E4EFD">
        <w:rPr>
          <w:sz w:val="24"/>
          <w:szCs w:val="24"/>
          <w:rtl/>
        </w:rPr>
        <w:t xml:space="preserve">". نُشرت في </w:t>
      </w:r>
      <w:proofErr w:type="spellStart"/>
      <w:r w:rsidRPr="002E4EFD">
        <w:rPr>
          <w:sz w:val="24"/>
          <w:szCs w:val="24"/>
          <w:rtl/>
        </w:rPr>
        <w:t>Construction</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Economics</w:t>
      </w:r>
      <w:proofErr w:type="spellEnd"/>
      <w:r w:rsidRPr="002E4EFD">
        <w:rPr>
          <w:sz w:val="24"/>
          <w:szCs w:val="24"/>
          <w:rtl/>
        </w:rPr>
        <w:t>. تناولت فاعلية التفتيش الدوري على السلامة. توصلت إلى أن التفتيش الأسبوعي يُحقق انخفاضاً في الحوادث بنسبة 35% مقارنةً بالشهري، وأن استخدام التكنولوجيا يُضاعف الفاعلية.</w:t>
      </w:r>
    </w:p>
    <w:p w14:paraId="79806C9B"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Khan</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(2023): بعنوان "</w:t>
      </w:r>
      <w:proofErr w:type="spellStart"/>
      <w:r w:rsidRPr="002E4EFD">
        <w:rPr>
          <w:sz w:val="24"/>
          <w:szCs w:val="24"/>
          <w:rtl/>
        </w:rPr>
        <w:t>Just</w:t>
      </w:r>
      <w:proofErr w:type="spellEnd"/>
      <w:r w:rsidRPr="002E4EFD">
        <w:rPr>
          <w:sz w:val="24"/>
          <w:szCs w:val="24"/>
          <w:rtl/>
        </w:rPr>
        <w:t xml:space="preserve"> </w:t>
      </w:r>
      <w:proofErr w:type="spellStart"/>
      <w:r w:rsidRPr="002E4EFD">
        <w:rPr>
          <w:sz w:val="24"/>
          <w:szCs w:val="24"/>
          <w:rtl/>
        </w:rPr>
        <w:t>culture</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incident</w:t>
      </w:r>
      <w:proofErr w:type="spellEnd"/>
      <w:r w:rsidRPr="002E4EFD">
        <w:rPr>
          <w:sz w:val="24"/>
          <w:szCs w:val="24"/>
          <w:rtl/>
        </w:rPr>
        <w:t xml:space="preserve"> </w:t>
      </w:r>
      <w:proofErr w:type="spellStart"/>
      <w:r w:rsidRPr="002E4EFD">
        <w:rPr>
          <w:sz w:val="24"/>
          <w:szCs w:val="24"/>
          <w:rtl/>
        </w:rPr>
        <w:t>reporting</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high-risk</w:t>
      </w:r>
      <w:proofErr w:type="spellEnd"/>
      <w:r w:rsidRPr="002E4EFD">
        <w:rPr>
          <w:sz w:val="24"/>
          <w:szCs w:val="24"/>
          <w:rtl/>
        </w:rPr>
        <w:t xml:space="preserve"> </w:t>
      </w:r>
      <w:proofErr w:type="spellStart"/>
      <w:r w:rsidRPr="002E4EFD">
        <w:rPr>
          <w:sz w:val="24"/>
          <w:szCs w:val="24"/>
          <w:rtl/>
        </w:rPr>
        <w:t>industries</w:t>
      </w:r>
      <w:proofErr w:type="spellEnd"/>
      <w:r w:rsidRPr="002E4EFD">
        <w:rPr>
          <w:sz w:val="24"/>
          <w:szCs w:val="24"/>
          <w:rtl/>
        </w:rPr>
        <w:t xml:space="preserve">". نُشرت في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Science</w:t>
      </w:r>
      <w:proofErr w:type="spellEnd"/>
      <w:r w:rsidRPr="002E4EFD">
        <w:rPr>
          <w:sz w:val="24"/>
          <w:szCs w:val="24"/>
          <w:rtl/>
        </w:rPr>
        <w:t>. تناولت أثر ثقافة الإبلاغ العادل على معدلات الإبلاغ. توصلت إلى أن الشركات التي تتبنى نهج "بدون لوم" تُحقق زيادة في الإبلاغ عن الأحداث القريبة بنسبة 300%.</w:t>
      </w:r>
    </w:p>
    <w:p w14:paraId="4ED36461"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Khan</w:t>
      </w:r>
      <w:proofErr w:type="spellEnd"/>
      <w:r w:rsidRPr="002E4EFD">
        <w:rPr>
          <w:sz w:val="24"/>
          <w:szCs w:val="24"/>
          <w:rtl/>
        </w:rPr>
        <w:t xml:space="preserve"> &amp; </w:t>
      </w:r>
      <w:proofErr w:type="spellStart"/>
      <w:r w:rsidRPr="002E4EFD">
        <w:rPr>
          <w:sz w:val="24"/>
          <w:szCs w:val="24"/>
          <w:rtl/>
        </w:rPr>
        <w:t>Hilditch</w:t>
      </w:r>
      <w:proofErr w:type="spellEnd"/>
      <w:r w:rsidRPr="002E4EFD">
        <w:rPr>
          <w:sz w:val="24"/>
          <w:szCs w:val="24"/>
          <w:rtl/>
        </w:rPr>
        <w:t xml:space="preserve"> (2023): بعنوان "</w:t>
      </w:r>
      <w:proofErr w:type="spellStart"/>
      <w:r w:rsidRPr="002E4EFD">
        <w:rPr>
          <w:sz w:val="24"/>
          <w:szCs w:val="24"/>
          <w:rtl/>
        </w:rPr>
        <w:t>Emergency</w:t>
      </w:r>
      <w:proofErr w:type="spellEnd"/>
      <w:r w:rsidRPr="002E4EFD">
        <w:rPr>
          <w:sz w:val="24"/>
          <w:szCs w:val="24"/>
          <w:rtl/>
        </w:rPr>
        <w:t xml:space="preserve"> </w:t>
      </w:r>
      <w:proofErr w:type="spellStart"/>
      <w:r w:rsidRPr="002E4EFD">
        <w:rPr>
          <w:sz w:val="24"/>
          <w:szCs w:val="24"/>
          <w:rtl/>
        </w:rPr>
        <w:t>preparedness</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renewable</w:t>
      </w:r>
      <w:proofErr w:type="spellEnd"/>
      <w:r w:rsidRPr="002E4EFD">
        <w:rPr>
          <w:sz w:val="24"/>
          <w:szCs w:val="24"/>
          <w:rtl/>
        </w:rPr>
        <w:t xml:space="preserve"> </w:t>
      </w:r>
      <w:proofErr w:type="spellStart"/>
      <w:r w:rsidRPr="002E4EFD">
        <w:rPr>
          <w:sz w:val="24"/>
          <w:szCs w:val="24"/>
          <w:rtl/>
        </w:rPr>
        <w:t>energy</w:t>
      </w:r>
      <w:proofErr w:type="spellEnd"/>
      <w:r w:rsidRPr="002E4EFD">
        <w:rPr>
          <w:sz w:val="24"/>
          <w:szCs w:val="24"/>
          <w:rtl/>
        </w:rPr>
        <w:t xml:space="preserve"> </w:t>
      </w:r>
      <w:proofErr w:type="spellStart"/>
      <w:r w:rsidRPr="002E4EFD">
        <w:rPr>
          <w:sz w:val="24"/>
          <w:szCs w:val="24"/>
          <w:rtl/>
        </w:rPr>
        <w:t>facilities</w:t>
      </w:r>
      <w:proofErr w:type="spellEnd"/>
      <w:r w:rsidRPr="002E4EFD">
        <w:rPr>
          <w:sz w:val="24"/>
          <w:szCs w:val="24"/>
          <w:rtl/>
        </w:rPr>
        <w:t xml:space="preserve">". نُشرت في </w:t>
      </w:r>
      <w:proofErr w:type="spellStart"/>
      <w:r w:rsidRPr="002E4EFD">
        <w:rPr>
          <w:sz w:val="24"/>
          <w:szCs w:val="24"/>
          <w:rtl/>
        </w:rPr>
        <w:t>Renewable</w:t>
      </w:r>
      <w:proofErr w:type="spellEnd"/>
      <w:r w:rsidRPr="002E4EFD">
        <w:rPr>
          <w:sz w:val="24"/>
          <w:szCs w:val="24"/>
          <w:rtl/>
        </w:rPr>
        <w:t xml:space="preserve"> </w:t>
      </w:r>
      <w:proofErr w:type="spellStart"/>
      <w:r w:rsidRPr="002E4EFD">
        <w:rPr>
          <w:sz w:val="24"/>
          <w:szCs w:val="24"/>
          <w:rtl/>
        </w:rPr>
        <w:t>Energy</w:t>
      </w:r>
      <w:proofErr w:type="spellEnd"/>
      <w:r w:rsidRPr="002E4EFD">
        <w:rPr>
          <w:sz w:val="24"/>
          <w:szCs w:val="24"/>
          <w:rtl/>
        </w:rPr>
        <w:t>. استهدفت تقييم جاهزية 25 محطة طاقة متجددة. توصلت إلى أن المحطات التي تُجري تمارين ربع سنوية تحقق انخفاضاً في زمن الاستجابة بنسبة 50%.</w:t>
      </w:r>
    </w:p>
    <w:p w14:paraId="1EBEB0A3"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Lander</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(2022): بعنوان "</w:t>
      </w:r>
      <w:proofErr w:type="spellStart"/>
      <w:r w:rsidRPr="002E4EFD">
        <w:rPr>
          <w:sz w:val="24"/>
          <w:szCs w:val="24"/>
          <w:rtl/>
        </w:rPr>
        <w:t>Root</w:t>
      </w:r>
      <w:proofErr w:type="spellEnd"/>
      <w:r w:rsidRPr="002E4EFD">
        <w:rPr>
          <w:sz w:val="24"/>
          <w:szCs w:val="24"/>
          <w:rtl/>
        </w:rPr>
        <w:t xml:space="preserve"> </w:t>
      </w:r>
      <w:proofErr w:type="spellStart"/>
      <w:r w:rsidRPr="002E4EFD">
        <w:rPr>
          <w:sz w:val="24"/>
          <w:szCs w:val="24"/>
          <w:rtl/>
        </w:rPr>
        <w:t>cause</w:t>
      </w:r>
      <w:proofErr w:type="spellEnd"/>
      <w:r w:rsidRPr="002E4EFD">
        <w:rPr>
          <w:sz w:val="24"/>
          <w:szCs w:val="24"/>
          <w:rtl/>
        </w:rPr>
        <w:t xml:space="preserve"> </w:t>
      </w:r>
      <w:proofErr w:type="spellStart"/>
      <w:r w:rsidRPr="002E4EFD">
        <w:rPr>
          <w:sz w:val="24"/>
          <w:szCs w:val="24"/>
          <w:rtl/>
        </w:rPr>
        <w:t>analysis</w:t>
      </w:r>
      <w:proofErr w:type="spellEnd"/>
      <w:r w:rsidRPr="002E4EFD">
        <w:rPr>
          <w:sz w:val="24"/>
          <w:szCs w:val="24"/>
          <w:rtl/>
        </w:rPr>
        <w:t xml:space="preserve"> </w:t>
      </w:r>
      <w:proofErr w:type="spellStart"/>
      <w:r w:rsidRPr="002E4EFD">
        <w:rPr>
          <w:sz w:val="24"/>
          <w:szCs w:val="24"/>
          <w:rtl/>
        </w:rPr>
        <w:t>tools</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incident</w:t>
      </w:r>
      <w:proofErr w:type="spellEnd"/>
      <w:r w:rsidRPr="002E4EFD">
        <w:rPr>
          <w:sz w:val="24"/>
          <w:szCs w:val="24"/>
          <w:rtl/>
        </w:rPr>
        <w:t xml:space="preserve"> </w:t>
      </w:r>
      <w:proofErr w:type="spellStart"/>
      <w:r w:rsidRPr="002E4EFD">
        <w:rPr>
          <w:sz w:val="24"/>
          <w:szCs w:val="24"/>
          <w:rtl/>
        </w:rPr>
        <w:t>investigation</w:t>
      </w:r>
      <w:proofErr w:type="spellEnd"/>
      <w:r w:rsidRPr="002E4EFD">
        <w:rPr>
          <w:sz w:val="24"/>
          <w:szCs w:val="24"/>
          <w:rtl/>
        </w:rPr>
        <w:t xml:space="preserve">". نُشرت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Research</w:t>
      </w:r>
      <w:proofErr w:type="spellEnd"/>
      <w:r w:rsidRPr="002E4EFD">
        <w:rPr>
          <w:sz w:val="24"/>
          <w:szCs w:val="24"/>
          <w:rtl/>
        </w:rPr>
        <w:t xml:space="preserve">. قارنت بين أدوات تحليل الأسباب الجذرية. توصلت إلى أن أدوات </w:t>
      </w:r>
      <w:proofErr w:type="spellStart"/>
      <w:r w:rsidRPr="002E4EFD">
        <w:rPr>
          <w:sz w:val="24"/>
          <w:szCs w:val="24"/>
          <w:rtl/>
        </w:rPr>
        <w:t>TapRoot</w:t>
      </w:r>
      <w:proofErr w:type="spellEnd"/>
      <w:r w:rsidRPr="002E4EFD">
        <w:rPr>
          <w:sz w:val="24"/>
          <w:szCs w:val="24"/>
          <w:rtl/>
        </w:rPr>
        <w:t xml:space="preserve"> </w:t>
      </w:r>
      <w:proofErr w:type="spellStart"/>
      <w:r w:rsidRPr="002E4EFD">
        <w:rPr>
          <w:sz w:val="24"/>
          <w:szCs w:val="24"/>
          <w:rtl/>
        </w:rPr>
        <w:t>وTripod</w:t>
      </w:r>
      <w:proofErr w:type="spellEnd"/>
      <w:r w:rsidRPr="002E4EFD">
        <w:rPr>
          <w:sz w:val="24"/>
          <w:szCs w:val="24"/>
          <w:rtl/>
        </w:rPr>
        <w:t xml:space="preserve"> </w:t>
      </w:r>
      <w:proofErr w:type="spellStart"/>
      <w:r w:rsidRPr="002E4EFD">
        <w:rPr>
          <w:sz w:val="24"/>
          <w:szCs w:val="24"/>
          <w:rtl/>
        </w:rPr>
        <w:t>Beta</w:t>
      </w:r>
      <w:proofErr w:type="spellEnd"/>
      <w:r w:rsidRPr="002E4EFD">
        <w:rPr>
          <w:sz w:val="24"/>
          <w:szCs w:val="24"/>
          <w:rtl/>
        </w:rPr>
        <w:t xml:space="preserve"> تُحقق نتائج أفضل من الأدوات البسيطة كـ 5 </w:t>
      </w:r>
      <w:proofErr w:type="spellStart"/>
      <w:r w:rsidRPr="002E4EFD">
        <w:rPr>
          <w:sz w:val="24"/>
          <w:szCs w:val="24"/>
          <w:rtl/>
        </w:rPr>
        <w:t>Whys</w:t>
      </w:r>
      <w:proofErr w:type="spellEnd"/>
      <w:r w:rsidRPr="002E4EFD">
        <w:rPr>
          <w:sz w:val="24"/>
          <w:szCs w:val="24"/>
          <w:rtl/>
        </w:rPr>
        <w:t>.</w:t>
      </w:r>
    </w:p>
    <w:p w14:paraId="148B1710"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Sawalha</w:t>
      </w:r>
      <w:proofErr w:type="spellEnd"/>
      <w:r w:rsidRPr="002E4EFD">
        <w:rPr>
          <w:sz w:val="24"/>
          <w:szCs w:val="24"/>
          <w:rtl/>
        </w:rPr>
        <w:t xml:space="preserve"> (2020): بعنوان "</w:t>
      </w:r>
      <w:proofErr w:type="spellStart"/>
      <w:r w:rsidRPr="002E4EFD">
        <w:rPr>
          <w:sz w:val="24"/>
          <w:szCs w:val="24"/>
          <w:rtl/>
        </w:rPr>
        <w:t>Emergency</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industrial</w:t>
      </w:r>
      <w:proofErr w:type="spellEnd"/>
      <w:r w:rsidRPr="002E4EFD">
        <w:rPr>
          <w:sz w:val="24"/>
          <w:szCs w:val="24"/>
          <w:rtl/>
        </w:rPr>
        <w:t xml:space="preserve"> </w:t>
      </w:r>
      <w:proofErr w:type="spellStart"/>
      <w:r w:rsidRPr="002E4EFD">
        <w:rPr>
          <w:sz w:val="24"/>
          <w:szCs w:val="24"/>
          <w:rtl/>
        </w:rPr>
        <w:t>facilities</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the</w:t>
      </w:r>
      <w:proofErr w:type="spellEnd"/>
      <w:r w:rsidRPr="002E4EFD">
        <w:rPr>
          <w:sz w:val="24"/>
          <w:szCs w:val="24"/>
          <w:rtl/>
        </w:rPr>
        <w:t xml:space="preserve"> </w:t>
      </w:r>
      <w:proofErr w:type="spellStart"/>
      <w:r w:rsidRPr="002E4EFD">
        <w:rPr>
          <w:sz w:val="24"/>
          <w:szCs w:val="24"/>
          <w:rtl/>
        </w:rPr>
        <w:t>Middle</w:t>
      </w:r>
      <w:proofErr w:type="spellEnd"/>
      <w:r w:rsidRPr="002E4EFD">
        <w:rPr>
          <w:sz w:val="24"/>
          <w:szCs w:val="24"/>
          <w:rtl/>
        </w:rPr>
        <w:t xml:space="preserve"> </w:t>
      </w:r>
      <w:proofErr w:type="spellStart"/>
      <w:r w:rsidRPr="002E4EFD">
        <w:rPr>
          <w:sz w:val="24"/>
          <w:szCs w:val="24"/>
          <w:rtl/>
        </w:rPr>
        <w:t>East</w:t>
      </w:r>
      <w:proofErr w:type="spellEnd"/>
      <w:r w:rsidRPr="002E4EFD">
        <w:rPr>
          <w:sz w:val="24"/>
          <w:szCs w:val="24"/>
          <w:rtl/>
        </w:rPr>
        <w:t xml:space="preserve">". نُشرت في </w:t>
      </w:r>
      <w:proofErr w:type="spellStart"/>
      <w:r w:rsidRPr="002E4EFD">
        <w:rPr>
          <w:sz w:val="24"/>
          <w:szCs w:val="24"/>
          <w:rtl/>
        </w:rPr>
        <w:t>International</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Disaster</w:t>
      </w:r>
      <w:proofErr w:type="spellEnd"/>
      <w:r w:rsidRPr="002E4EFD">
        <w:rPr>
          <w:sz w:val="24"/>
          <w:szCs w:val="24"/>
          <w:rtl/>
        </w:rPr>
        <w:t xml:space="preserve"> </w:t>
      </w:r>
      <w:proofErr w:type="spellStart"/>
      <w:r w:rsidRPr="002E4EFD">
        <w:rPr>
          <w:sz w:val="24"/>
          <w:szCs w:val="24"/>
          <w:rtl/>
        </w:rPr>
        <w:t>Risk</w:t>
      </w:r>
      <w:proofErr w:type="spellEnd"/>
      <w:r w:rsidRPr="002E4EFD">
        <w:rPr>
          <w:sz w:val="24"/>
          <w:szCs w:val="24"/>
          <w:rtl/>
        </w:rPr>
        <w:t xml:space="preserve"> </w:t>
      </w:r>
      <w:proofErr w:type="spellStart"/>
      <w:r w:rsidRPr="002E4EFD">
        <w:rPr>
          <w:sz w:val="24"/>
          <w:szCs w:val="24"/>
          <w:rtl/>
        </w:rPr>
        <w:t>Reduction</w:t>
      </w:r>
      <w:proofErr w:type="spellEnd"/>
      <w:r w:rsidRPr="002E4EFD">
        <w:rPr>
          <w:sz w:val="24"/>
          <w:szCs w:val="24"/>
          <w:rtl/>
        </w:rPr>
        <w:t>. تناولت إدارة الطوارئ في 60 منشأة صناعية. كشفت عن أن 60% من المنشآت لم تُجرِ تمارين طوارئ سنوية.</w:t>
      </w:r>
    </w:p>
    <w:p w14:paraId="37007CFB" w14:textId="77777777" w:rsidR="008F3256" w:rsidRPr="002E4EFD" w:rsidRDefault="00BA5877" w:rsidP="002E4EFD">
      <w:pPr>
        <w:spacing w:after="120" w:line="360" w:lineRule="auto"/>
        <w:ind w:firstLine="283"/>
        <w:jc w:val="mediumKashida"/>
        <w:rPr>
          <w:sz w:val="24"/>
          <w:szCs w:val="24"/>
        </w:rPr>
      </w:pPr>
      <w:r w:rsidRPr="002E4EFD">
        <w:rPr>
          <w:sz w:val="24"/>
          <w:szCs w:val="24"/>
          <w:rtl/>
        </w:rPr>
        <w:lastRenderedPageBreak/>
        <w:t xml:space="preserve">دراسة </w:t>
      </w:r>
      <w:proofErr w:type="spellStart"/>
      <w:r w:rsidRPr="002E4EFD">
        <w:rPr>
          <w:sz w:val="24"/>
          <w:szCs w:val="24"/>
          <w:rtl/>
        </w:rPr>
        <w:t>Manu</w:t>
      </w:r>
      <w:proofErr w:type="spellEnd"/>
      <w:r w:rsidRPr="002E4EFD">
        <w:rPr>
          <w:sz w:val="24"/>
          <w:szCs w:val="24"/>
          <w:rtl/>
        </w:rPr>
        <w:t xml:space="preserve"> </w:t>
      </w:r>
      <w:proofErr w:type="spellStart"/>
      <w:r w:rsidRPr="002E4EFD">
        <w:rPr>
          <w:sz w:val="24"/>
          <w:szCs w:val="24"/>
          <w:rtl/>
        </w:rPr>
        <w:t>et</w:t>
      </w:r>
      <w:proofErr w:type="spellEnd"/>
      <w:r w:rsidRPr="002E4EFD">
        <w:rPr>
          <w:sz w:val="24"/>
          <w:szCs w:val="24"/>
          <w:rtl/>
        </w:rPr>
        <w:t xml:space="preserve"> </w:t>
      </w:r>
      <w:proofErr w:type="spellStart"/>
      <w:r w:rsidRPr="002E4EFD">
        <w:rPr>
          <w:sz w:val="24"/>
          <w:szCs w:val="24"/>
          <w:rtl/>
        </w:rPr>
        <w:t>al</w:t>
      </w:r>
      <w:proofErr w:type="spellEnd"/>
      <w:r w:rsidRPr="002E4EFD">
        <w:rPr>
          <w:sz w:val="24"/>
          <w:szCs w:val="24"/>
          <w:rtl/>
        </w:rPr>
        <w:t>. (2013): بعنوان "</w:t>
      </w:r>
      <w:proofErr w:type="spellStart"/>
      <w:r w:rsidRPr="002E4EFD">
        <w:rPr>
          <w:sz w:val="24"/>
          <w:szCs w:val="24"/>
          <w:rtl/>
        </w:rPr>
        <w:t>Effectiveness</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inspections</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construction</w:t>
      </w:r>
      <w:proofErr w:type="spellEnd"/>
      <w:r w:rsidRPr="002E4EFD">
        <w:rPr>
          <w:sz w:val="24"/>
          <w:szCs w:val="24"/>
          <w:rtl/>
        </w:rPr>
        <w:t xml:space="preserve">". نُشرت في </w:t>
      </w:r>
      <w:proofErr w:type="spellStart"/>
      <w:r w:rsidRPr="002E4EFD">
        <w:rPr>
          <w:sz w:val="24"/>
          <w:szCs w:val="24"/>
          <w:rtl/>
        </w:rPr>
        <w:t>International</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Project</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توصلت إلى أن ربط نتائج التفتيش بنظام إدارة الأداء للمقاولين يُحسّن سلوك السلامة بشكل ملحوظ.</w:t>
      </w:r>
    </w:p>
    <w:p w14:paraId="28C77D8E"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ISO 45001 </w:t>
      </w:r>
      <w:proofErr w:type="spellStart"/>
      <w:r w:rsidRPr="002E4EFD">
        <w:rPr>
          <w:sz w:val="24"/>
          <w:szCs w:val="24"/>
          <w:rtl/>
        </w:rPr>
        <w:t>Effectiveness</w:t>
      </w:r>
      <w:proofErr w:type="spellEnd"/>
      <w:r w:rsidRPr="002E4EFD">
        <w:rPr>
          <w:sz w:val="24"/>
          <w:szCs w:val="24"/>
          <w:rtl/>
        </w:rPr>
        <w:t xml:space="preserve"> </w:t>
      </w:r>
      <w:proofErr w:type="spellStart"/>
      <w:r w:rsidRPr="002E4EFD">
        <w:rPr>
          <w:sz w:val="24"/>
          <w:szCs w:val="24"/>
          <w:rtl/>
        </w:rPr>
        <w:t>Study</w:t>
      </w:r>
      <w:proofErr w:type="spellEnd"/>
      <w:r w:rsidRPr="002E4EFD">
        <w:rPr>
          <w:sz w:val="24"/>
          <w:szCs w:val="24"/>
          <w:rtl/>
        </w:rPr>
        <w:t xml:space="preserve"> (2024): نُشرت في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Science</w:t>
      </w:r>
      <w:proofErr w:type="spellEnd"/>
      <w:r w:rsidRPr="002E4EFD">
        <w:rPr>
          <w:sz w:val="24"/>
          <w:szCs w:val="24"/>
          <w:rtl/>
        </w:rPr>
        <w:t>. توصلت إلى أن الشركات المعتمدة وفق ISO 45001 تحقق معدلات حوادث أقل بشكل ملحوظ مقارنةً بالشركات غير المعتمدة. شملت الدراسة 450 شركة من قطاعات متعددة.</w:t>
      </w:r>
    </w:p>
    <w:p w14:paraId="0828784C"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PLS-SEM </w:t>
      </w:r>
      <w:proofErr w:type="spellStart"/>
      <w:r w:rsidRPr="002E4EFD">
        <w:rPr>
          <w:sz w:val="24"/>
          <w:szCs w:val="24"/>
          <w:rtl/>
        </w:rPr>
        <w:t>Study</w:t>
      </w:r>
      <w:proofErr w:type="spellEnd"/>
      <w:r w:rsidRPr="002E4EFD">
        <w:rPr>
          <w:sz w:val="24"/>
          <w:szCs w:val="24"/>
          <w:rtl/>
        </w:rPr>
        <w:t xml:space="preserve"> (2024): بعنوان "A </w:t>
      </w:r>
      <w:proofErr w:type="spellStart"/>
      <w:r w:rsidRPr="002E4EFD">
        <w:rPr>
          <w:sz w:val="24"/>
          <w:szCs w:val="24"/>
          <w:rtl/>
        </w:rPr>
        <w:t>hybrid</w:t>
      </w:r>
      <w:proofErr w:type="spellEnd"/>
      <w:r w:rsidRPr="002E4EFD">
        <w:rPr>
          <w:sz w:val="24"/>
          <w:szCs w:val="24"/>
          <w:rtl/>
        </w:rPr>
        <w:t xml:space="preserve"> </w:t>
      </w:r>
      <w:proofErr w:type="spellStart"/>
      <w:r w:rsidRPr="002E4EFD">
        <w:rPr>
          <w:sz w:val="24"/>
          <w:szCs w:val="24"/>
          <w:rtl/>
        </w:rPr>
        <w:t>model</w:t>
      </w:r>
      <w:proofErr w:type="spellEnd"/>
      <w:r w:rsidRPr="002E4EFD">
        <w:rPr>
          <w:sz w:val="24"/>
          <w:szCs w:val="24"/>
          <w:rtl/>
        </w:rPr>
        <w:t xml:space="preserve"> </w:t>
      </w:r>
      <w:proofErr w:type="spellStart"/>
      <w:r w:rsidRPr="002E4EFD">
        <w:rPr>
          <w:sz w:val="24"/>
          <w:szCs w:val="24"/>
          <w:rtl/>
        </w:rPr>
        <w:t>for</w:t>
      </w:r>
      <w:proofErr w:type="spellEnd"/>
      <w:r w:rsidRPr="002E4EFD">
        <w:rPr>
          <w:sz w:val="24"/>
          <w:szCs w:val="24"/>
          <w:rtl/>
        </w:rPr>
        <w:t xml:space="preserve"> </w:t>
      </w:r>
      <w:proofErr w:type="spellStart"/>
      <w:r w:rsidRPr="002E4EFD">
        <w:rPr>
          <w:sz w:val="24"/>
          <w:szCs w:val="24"/>
          <w:rtl/>
        </w:rPr>
        <w:t>assessing</w:t>
      </w:r>
      <w:proofErr w:type="spellEnd"/>
      <w:r w:rsidRPr="002E4EFD">
        <w:rPr>
          <w:sz w:val="24"/>
          <w:szCs w:val="24"/>
          <w:rtl/>
        </w:rPr>
        <w:t xml:space="preserve"> </w:t>
      </w:r>
      <w:proofErr w:type="spellStart"/>
      <w:r w:rsidRPr="002E4EFD">
        <w:rPr>
          <w:sz w:val="24"/>
          <w:szCs w:val="24"/>
          <w:rtl/>
        </w:rPr>
        <w:t>safety</w:t>
      </w:r>
      <w:proofErr w:type="spellEnd"/>
      <w:r w:rsidRPr="002E4EFD">
        <w:rPr>
          <w:sz w:val="24"/>
          <w:szCs w:val="24"/>
          <w:rtl/>
        </w:rPr>
        <w:t xml:space="preserve"> </w:t>
      </w:r>
      <w:proofErr w:type="spellStart"/>
      <w:r w:rsidRPr="002E4EFD">
        <w:rPr>
          <w:sz w:val="24"/>
          <w:szCs w:val="24"/>
          <w:rtl/>
        </w:rPr>
        <w:t>implementation</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project</w:t>
      </w:r>
      <w:proofErr w:type="spellEnd"/>
      <w:r w:rsidRPr="002E4EFD">
        <w:rPr>
          <w:sz w:val="24"/>
          <w:szCs w:val="24"/>
          <w:rtl/>
        </w:rPr>
        <w:t xml:space="preserve"> </w:t>
      </w:r>
      <w:proofErr w:type="spellStart"/>
      <w:r w:rsidRPr="002E4EFD">
        <w:rPr>
          <w:sz w:val="24"/>
          <w:szCs w:val="24"/>
          <w:rtl/>
        </w:rPr>
        <w:t>success</w:t>
      </w:r>
      <w:proofErr w:type="spellEnd"/>
      <w:r w:rsidRPr="002E4EFD">
        <w:rPr>
          <w:sz w:val="24"/>
          <w:szCs w:val="24"/>
          <w:rtl/>
        </w:rPr>
        <w:t xml:space="preserve">". نُشرت في </w:t>
      </w:r>
      <w:proofErr w:type="spellStart"/>
      <w:r w:rsidRPr="002E4EFD">
        <w:rPr>
          <w:sz w:val="24"/>
          <w:szCs w:val="24"/>
          <w:rtl/>
        </w:rPr>
        <w:t>Ain</w:t>
      </w:r>
      <w:proofErr w:type="spellEnd"/>
      <w:r w:rsidRPr="002E4EFD">
        <w:rPr>
          <w:sz w:val="24"/>
          <w:szCs w:val="24"/>
          <w:rtl/>
        </w:rPr>
        <w:t xml:space="preserve"> </w:t>
      </w:r>
      <w:proofErr w:type="spellStart"/>
      <w:r w:rsidRPr="002E4EFD">
        <w:rPr>
          <w:sz w:val="24"/>
          <w:szCs w:val="24"/>
          <w:rtl/>
        </w:rPr>
        <w:t>Shams</w:t>
      </w:r>
      <w:proofErr w:type="spellEnd"/>
      <w:r w:rsidRPr="002E4EFD">
        <w:rPr>
          <w:sz w:val="24"/>
          <w:szCs w:val="24"/>
          <w:rtl/>
        </w:rPr>
        <w:t xml:space="preserve"> </w:t>
      </w:r>
      <w:proofErr w:type="spellStart"/>
      <w:r w:rsidRPr="002E4EFD">
        <w:rPr>
          <w:sz w:val="24"/>
          <w:szCs w:val="24"/>
          <w:rtl/>
        </w:rPr>
        <w:t>Engineering</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اعتمدت على </w:t>
      </w:r>
      <w:proofErr w:type="spellStart"/>
      <w:r w:rsidRPr="002E4EFD">
        <w:rPr>
          <w:sz w:val="24"/>
          <w:szCs w:val="24"/>
          <w:rtl/>
        </w:rPr>
        <w:t>نمذجة</w:t>
      </w:r>
      <w:proofErr w:type="spellEnd"/>
      <w:r w:rsidRPr="002E4EFD">
        <w:rPr>
          <w:sz w:val="24"/>
          <w:szCs w:val="24"/>
          <w:rtl/>
        </w:rPr>
        <w:t xml:space="preserve"> المعادلات الهيكلية. توصلت إلى أن تطبيق السلامة يُفسّر 67% من التباين في نجاح المشاريع.</w:t>
      </w:r>
    </w:p>
    <w:p w14:paraId="139BA892"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Project</w:t>
      </w:r>
      <w:proofErr w:type="spellEnd"/>
      <w:r w:rsidRPr="002E4EFD">
        <w:rPr>
          <w:sz w:val="24"/>
          <w:szCs w:val="24"/>
          <w:rtl/>
        </w:rPr>
        <w:t xml:space="preserve"> </w:t>
      </w:r>
      <w:proofErr w:type="spellStart"/>
      <w:r w:rsidRPr="002E4EFD">
        <w:rPr>
          <w:sz w:val="24"/>
          <w:szCs w:val="24"/>
          <w:rtl/>
        </w:rPr>
        <w:t>Managers</w:t>
      </w:r>
      <w:proofErr w:type="spellEnd"/>
      <w:r w:rsidRPr="002E4EFD">
        <w:rPr>
          <w:sz w:val="24"/>
          <w:szCs w:val="24"/>
          <w:rtl/>
        </w:rPr>
        <w:t xml:space="preserve"> </w:t>
      </w:r>
      <w:proofErr w:type="spellStart"/>
      <w:r w:rsidRPr="002E4EFD">
        <w:rPr>
          <w:sz w:val="24"/>
          <w:szCs w:val="24"/>
          <w:rtl/>
        </w:rPr>
        <w:t>Leadership</w:t>
      </w:r>
      <w:proofErr w:type="spellEnd"/>
      <w:r w:rsidRPr="002E4EFD">
        <w:rPr>
          <w:sz w:val="24"/>
          <w:szCs w:val="24"/>
          <w:rtl/>
        </w:rPr>
        <w:t xml:space="preserve"> (2024): نُشرت في </w:t>
      </w:r>
      <w:proofErr w:type="spellStart"/>
      <w:r w:rsidRPr="002E4EFD">
        <w:rPr>
          <w:sz w:val="24"/>
          <w:szCs w:val="24"/>
          <w:rtl/>
        </w:rPr>
        <w:t>International</w:t>
      </w:r>
      <w:proofErr w:type="spellEnd"/>
      <w:r w:rsidRPr="002E4EFD">
        <w:rPr>
          <w:sz w:val="24"/>
          <w:szCs w:val="24"/>
          <w:rtl/>
        </w:rPr>
        <w:t xml:space="preserve"> </w:t>
      </w:r>
      <w:proofErr w:type="spellStart"/>
      <w:r w:rsidRPr="002E4EFD">
        <w:rPr>
          <w:sz w:val="24"/>
          <w:szCs w:val="24"/>
          <w:rtl/>
        </w:rPr>
        <w:t>Journal</w:t>
      </w:r>
      <w:proofErr w:type="spellEnd"/>
      <w:r w:rsidRPr="002E4EFD">
        <w:rPr>
          <w:sz w:val="24"/>
          <w:szCs w:val="24"/>
          <w:rtl/>
        </w:rPr>
        <w:t xml:space="preserve"> </w:t>
      </w:r>
      <w:proofErr w:type="spellStart"/>
      <w:r w:rsidRPr="002E4EFD">
        <w:rPr>
          <w:sz w:val="24"/>
          <w:szCs w:val="24"/>
          <w:rtl/>
        </w:rPr>
        <w:t>of</w:t>
      </w:r>
      <w:proofErr w:type="spellEnd"/>
      <w:r w:rsidRPr="002E4EFD">
        <w:rPr>
          <w:sz w:val="24"/>
          <w:szCs w:val="24"/>
          <w:rtl/>
        </w:rPr>
        <w:t xml:space="preserve"> </w:t>
      </w:r>
      <w:proofErr w:type="spellStart"/>
      <w:r w:rsidRPr="002E4EFD">
        <w:rPr>
          <w:sz w:val="24"/>
          <w:szCs w:val="24"/>
          <w:rtl/>
        </w:rPr>
        <w:t>Construction</w:t>
      </w:r>
      <w:proofErr w:type="spellEnd"/>
      <w:r w:rsidRPr="002E4EFD">
        <w:rPr>
          <w:sz w:val="24"/>
          <w:szCs w:val="24"/>
          <w:rtl/>
        </w:rPr>
        <w:t xml:space="preserve"> </w:t>
      </w:r>
      <w:proofErr w:type="spellStart"/>
      <w:r w:rsidRPr="002E4EFD">
        <w:rPr>
          <w:sz w:val="24"/>
          <w:szCs w:val="24"/>
          <w:rtl/>
        </w:rPr>
        <w:t>Management</w:t>
      </w:r>
      <w:proofErr w:type="spellEnd"/>
      <w:r w:rsidRPr="002E4EFD">
        <w:rPr>
          <w:sz w:val="24"/>
          <w:szCs w:val="24"/>
          <w:rtl/>
        </w:rPr>
        <w:t>. توصلت إلى أن الممارسات القيادية لمديري المشاريع تُحدّد نجاح المشاريع، وأن أربعة عوامل رئيسة تُمثّل 65% من التأثير: إدارة العلاقات، القيادة بالقدوة، إدارة الذات، الحساسية الشخصية.</w:t>
      </w:r>
    </w:p>
    <w:p w14:paraId="559E9BEA" w14:textId="77777777" w:rsidR="008F3256" w:rsidRPr="002E4EFD" w:rsidRDefault="00BA5877" w:rsidP="002E4EFD">
      <w:pPr>
        <w:spacing w:after="120" w:line="360" w:lineRule="auto"/>
        <w:ind w:firstLine="283"/>
        <w:jc w:val="mediumKashida"/>
        <w:rPr>
          <w:sz w:val="24"/>
          <w:szCs w:val="24"/>
        </w:rPr>
      </w:pPr>
      <w:r w:rsidRPr="002E4EFD">
        <w:rPr>
          <w:sz w:val="24"/>
          <w:szCs w:val="24"/>
          <w:rtl/>
        </w:rPr>
        <w:t xml:space="preserve">دراسة </w:t>
      </w:r>
      <w:proofErr w:type="spellStart"/>
      <w:r w:rsidRPr="002E4EFD">
        <w:rPr>
          <w:sz w:val="24"/>
          <w:szCs w:val="24"/>
          <w:rtl/>
        </w:rPr>
        <w:t>Migrant</w:t>
      </w:r>
      <w:proofErr w:type="spellEnd"/>
      <w:r w:rsidRPr="002E4EFD">
        <w:rPr>
          <w:sz w:val="24"/>
          <w:szCs w:val="24"/>
          <w:rtl/>
        </w:rPr>
        <w:t xml:space="preserve"> </w:t>
      </w:r>
      <w:proofErr w:type="spellStart"/>
      <w:r w:rsidRPr="002E4EFD">
        <w:rPr>
          <w:sz w:val="24"/>
          <w:szCs w:val="24"/>
          <w:rtl/>
        </w:rPr>
        <w:t>Workers</w:t>
      </w:r>
      <w:proofErr w:type="spellEnd"/>
      <w:r w:rsidRPr="002E4EFD">
        <w:rPr>
          <w:sz w:val="24"/>
          <w:szCs w:val="24"/>
          <w:rtl/>
        </w:rPr>
        <w:t xml:space="preserve"> </w:t>
      </w:r>
      <w:proofErr w:type="spellStart"/>
      <w:r w:rsidRPr="002E4EFD">
        <w:rPr>
          <w:sz w:val="24"/>
          <w:szCs w:val="24"/>
          <w:rtl/>
        </w:rPr>
        <w:t>in</w:t>
      </w:r>
      <w:proofErr w:type="spellEnd"/>
      <w:r w:rsidRPr="002E4EFD">
        <w:rPr>
          <w:sz w:val="24"/>
          <w:szCs w:val="24"/>
          <w:rtl/>
        </w:rPr>
        <w:t xml:space="preserve"> </w:t>
      </w:r>
      <w:proofErr w:type="spellStart"/>
      <w:r w:rsidRPr="002E4EFD">
        <w:rPr>
          <w:sz w:val="24"/>
          <w:szCs w:val="24"/>
          <w:rtl/>
        </w:rPr>
        <w:t>Saudi</w:t>
      </w:r>
      <w:proofErr w:type="spellEnd"/>
      <w:r w:rsidRPr="002E4EFD">
        <w:rPr>
          <w:sz w:val="24"/>
          <w:szCs w:val="24"/>
          <w:rtl/>
        </w:rPr>
        <w:t xml:space="preserve"> </w:t>
      </w:r>
      <w:proofErr w:type="spellStart"/>
      <w:r w:rsidRPr="002E4EFD">
        <w:rPr>
          <w:sz w:val="24"/>
          <w:szCs w:val="24"/>
          <w:rtl/>
        </w:rPr>
        <w:t>Renewable</w:t>
      </w:r>
      <w:proofErr w:type="spellEnd"/>
      <w:r w:rsidRPr="002E4EFD">
        <w:rPr>
          <w:sz w:val="24"/>
          <w:szCs w:val="24"/>
          <w:rtl/>
        </w:rPr>
        <w:t xml:space="preserve"> </w:t>
      </w:r>
      <w:proofErr w:type="spellStart"/>
      <w:r w:rsidRPr="002E4EFD">
        <w:rPr>
          <w:sz w:val="24"/>
          <w:szCs w:val="24"/>
          <w:rtl/>
        </w:rPr>
        <w:t>Energy</w:t>
      </w:r>
      <w:proofErr w:type="spellEnd"/>
      <w:r w:rsidRPr="002E4EFD">
        <w:rPr>
          <w:sz w:val="24"/>
          <w:szCs w:val="24"/>
          <w:rtl/>
        </w:rPr>
        <w:t xml:space="preserve"> (2024): أصدرتها منظمة </w:t>
      </w:r>
      <w:proofErr w:type="spellStart"/>
      <w:r w:rsidRPr="002E4EFD">
        <w:rPr>
          <w:sz w:val="24"/>
          <w:szCs w:val="24"/>
          <w:rtl/>
        </w:rPr>
        <w:t>Business</w:t>
      </w:r>
      <w:proofErr w:type="spellEnd"/>
      <w:r w:rsidRPr="002E4EFD">
        <w:rPr>
          <w:sz w:val="24"/>
          <w:szCs w:val="24"/>
          <w:rtl/>
        </w:rPr>
        <w:t xml:space="preserve"> </w:t>
      </w:r>
      <w:proofErr w:type="spellStart"/>
      <w:r w:rsidRPr="002E4EFD">
        <w:rPr>
          <w:sz w:val="24"/>
          <w:szCs w:val="24"/>
          <w:rtl/>
        </w:rPr>
        <w:t>and</w:t>
      </w:r>
      <w:proofErr w:type="spellEnd"/>
      <w:r w:rsidRPr="002E4EFD">
        <w:rPr>
          <w:sz w:val="24"/>
          <w:szCs w:val="24"/>
          <w:rtl/>
        </w:rPr>
        <w:t xml:space="preserve"> </w:t>
      </w:r>
      <w:proofErr w:type="spellStart"/>
      <w:r w:rsidRPr="002E4EFD">
        <w:rPr>
          <w:sz w:val="24"/>
          <w:szCs w:val="24"/>
          <w:rtl/>
        </w:rPr>
        <w:t>Human</w:t>
      </w:r>
      <w:proofErr w:type="spellEnd"/>
      <w:r w:rsidRPr="002E4EFD">
        <w:rPr>
          <w:sz w:val="24"/>
          <w:szCs w:val="24"/>
          <w:rtl/>
        </w:rPr>
        <w:t xml:space="preserve"> </w:t>
      </w:r>
      <w:proofErr w:type="spellStart"/>
      <w:r w:rsidRPr="002E4EFD">
        <w:rPr>
          <w:sz w:val="24"/>
          <w:szCs w:val="24"/>
          <w:rtl/>
        </w:rPr>
        <w:t>Rights</w:t>
      </w:r>
      <w:proofErr w:type="spellEnd"/>
      <w:r w:rsidRPr="002E4EFD">
        <w:rPr>
          <w:sz w:val="24"/>
          <w:szCs w:val="24"/>
          <w:rtl/>
        </w:rPr>
        <w:t>. استعرضت شهادات 34 عاملاً مهاجراً في 9 مشاريع طاقة متجددة سعودية، وكشفت عن تحديات في تطبيق معايير السلامة والصحة المهنية لدى بعض المقاولين.</w:t>
      </w:r>
    </w:p>
    <w:p w14:paraId="40D046A9" w14:textId="77777777" w:rsidR="008F3256" w:rsidRPr="002E4EFD" w:rsidRDefault="00BA5877" w:rsidP="002E4EFD">
      <w:pPr>
        <w:jc w:val="mediumKashida"/>
        <w:rPr>
          <w:sz w:val="24"/>
          <w:szCs w:val="24"/>
        </w:rPr>
      </w:pPr>
      <w:r w:rsidRPr="002E4EFD">
        <w:rPr>
          <w:sz w:val="24"/>
          <w:szCs w:val="24"/>
        </w:rPr>
        <w:br w:type="page"/>
      </w:r>
    </w:p>
    <w:p w14:paraId="11339564" w14:textId="77777777" w:rsidR="008F3256" w:rsidRPr="002E4EFD" w:rsidRDefault="00BA5877" w:rsidP="002E4EFD">
      <w:pPr>
        <w:pStyle w:val="21"/>
        <w:spacing w:before="240" w:after="160" w:line="312" w:lineRule="auto"/>
        <w:jc w:val="mediumKashida"/>
        <w:rPr>
          <w:sz w:val="24"/>
          <w:szCs w:val="24"/>
        </w:rPr>
      </w:pPr>
      <w:r w:rsidRPr="002E4EFD">
        <w:rPr>
          <w:rFonts w:ascii="Sakkal Majalla" w:eastAsia="Sakkal Majalla" w:hAnsi="Sakkal Majalla" w:cs="Sakkal Majalla"/>
          <w:color w:val="2E5A88"/>
          <w:sz w:val="24"/>
          <w:szCs w:val="24"/>
          <w:rtl/>
        </w:rPr>
        <w:lastRenderedPageBreak/>
        <w:t>2.13 التعقيب على الدراسات السابقة والفجوة البحثية</w:t>
      </w:r>
    </w:p>
    <w:p w14:paraId="02F6E88F" w14:textId="77777777" w:rsidR="008F3256" w:rsidRPr="002E4EFD" w:rsidRDefault="00BA5877" w:rsidP="002E4EFD">
      <w:pPr>
        <w:spacing w:after="120" w:line="360" w:lineRule="auto"/>
        <w:ind w:firstLine="283"/>
        <w:jc w:val="mediumKashida"/>
        <w:rPr>
          <w:sz w:val="24"/>
          <w:szCs w:val="24"/>
        </w:rPr>
      </w:pPr>
      <w:r w:rsidRPr="002E4EFD">
        <w:rPr>
          <w:sz w:val="24"/>
          <w:szCs w:val="24"/>
          <w:rtl/>
        </w:rPr>
        <w:t>باستعراض الدراسات السابقة العربية والأجنبية، يُلاحظ الباحث جملة من الملاحظات المهمة التي تُسهم في تحديد موقع الدراسة الحالية وتمييزها عما سبقها. أولاً، تُجمع الأدبيات على وجود علاقة إيجابية بين تطبيق أنظمة إدارة السلامة وأداء المشاريع، غير أن طبيعة هذه العلاقة ومدى قوتها تختلف باختلاف القطاع والسياق. ثانياً، ركّزت معظم الدراسات العربية على قطاع الإنشاءات العامة أو القطاع الصناعي التقليدي، بينما ندرت الدراسات التي تناولت قطاع الطاقة المتجددة تحديداً، خاصةً في السياق السعودي. ثالثاً، تناولت الدراسات الأجنبية أبعاداً متعددة من نظام إدارة السلامة، لكن قليل منها جمع الأبعاد الخمسة المعتمدة في هذه الدراسة في نموذج متكامل.</w:t>
      </w:r>
    </w:p>
    <w:p w14:paraId="55447783"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وتتميز الدراسة الحالية عن سابقاتها بعدة خصائص: (1) تركيزها على قطاع الطاقة المتجددة السعودي الذي يُعدّ من القطاعات الناشئة وقلما حظي بدراسات ميدانية متخصصة، (2) جمعها للأبعاد الخمسة في نموذج نظري متكامل بدلاً من دراسة كل بُعد منفرداً، (3) اعتمادها على رؤية ممارسين عاملين فعلياً في الميدان بدلاً من البيانات الثانوية، (4) تطبيقها لأساليب إحصائية متقدمة (الانحدار المتعدد) لتحديد البعد الأكثر تأثيراً، (5) تكييفها للأدوات البحثية مع السياق السعودي.</w:t>
      </w:r>
    </w:p>
    <w:p w14:paraId="3EA9B3F5" w14:textId="77777777" w:rsidR="008F3256" w:rsidRPr="002E4EFD" w:rsidRDefault="00BA5877" w:rsidP="002E4EFD">
      <w:pPr>
        <w:spacing w:after="120" w:line="360" w:lineRule="auto"/>
        <w:ind w:firstLine="283"/>
        <w:jc w:val="mediumKashida"/>
        <w:rPr>
          <w:sz w:val="24"/>
          <w:szCs w:val="24"/>
        </w:rPr>
      </w:pPr>
      <w:r w:rsidRPr="002E4EFD">
        <w:rPr>
          <w:sz w:val="24"/>
          <w:szCs w:val="24"/>
          <w:rtl/>
        </w:rPr>
        <w:t>وتتمثل الفجوة البحثية التي تسعى الدراسة إلى سدّها في: (1) ندرة الدراسات الميدانية في قطاع الطاقة المتجددة السعودي، (2) محدودية النماذج المتكاملة التي تجمع أبعاد نظام إدارة السلامة الخمسة، (3) قلة الدراسات التي اعتمدت على الانحدار المتعدد لتحديد الأبعاد الأكثر تأثيراً، (4) غياب الدراسات التي تربط بين ISO 45001:2023 والأداء في المشاريع السعودية. ومن ثَمَّ، تُسهم هذه الدراسة في سدّ هذه الفجوة وتُقدّم توصيات قابلة للتطبيق في الميدان.</w:t>
      </w:r>
    </w:p>
    <w:p w14:paraId="0F69A6E8" w14:textId="77777777" w:rsidR="008F3256" w:rsidRPr="002E4EFD" w:rsidRDefault="00BA5877" w:rsidP="002E4EFD">
      <w:pPr>
        <w:spacing w:after="120" w:line="360" w:lineRule="auto"/>
        <w:ind w:firstLine="283"/>
        <w:jc w:val="mediumKashida"/>
        <w:rPr>
          <w:sz w:val="24"/>
          <w:szCs w:val="24"/>
        </w:rPr>
      </w:pPr>
      <w:r w:rsidRPr="002E4EFD">
        <w:rPr>
          <w:sz w:val="24"/>
          <w:szCs w:val="24"/>
          <w:rtl/>
        </w:rPr>
        <w:t>ويُلاحظ الباحث كذلك أن معظم الدراسات السابقة ركّزت على قياس المستوى العام لتطبيق أنظمة السلامة أو على قياس معدلات الحوادث، بينما قلّت الدراسات التي ربطت بشكل مباشر بين هذه الأنظمة ومؤشرات أداء المشاريع (الوقت، التكلفة، الجودة، الرضا). وهذا ما تسعى الدراسة الحالية إلى تحقيقه، عبر قياس الأثر المباشر لكل بُعد على أداء المشاريع، وتحديد البعد الأكثر إسهاماً في تحسين الأداء. ويُتوقّع أن تُقدّم نتائج الدراسة دعماً للممارسين والباحثين في وقت واحد، إذ تُسهم في توجيه الاستثمار في أنظمة السلامة نحو الأبعاد الأكثر تأثيراً، وفي فتح آفاق بحثية لدراسات لاحقة تتناول المتغيرات الوسيطة والمعدِّلة.</w:t>
      </w:r>
    </w:p>
    <w:p w14:paraId="6334D125" w14:textId="77777777" w:rsidR="008F3256" w:rsidRPr="002E4EFD" w:rsidRDefault="00BA5877" w:rsidP="002E4EFD">
      <w:pPr>
        <w:jc w:val="mediumKashida"/>
        <w:rPr>
          <w:sz w:val="24"/>
          <w:szCs w:val="24"/>
        </w:rPr>
      </w:pPr>
      <w:r w:rsidRPr="002E4EFD">
        <w:rPr>
          <w:sz w:val="24"/>
          <w:szCs w:val="24"/>
        </w:rPr>
        <w:br w:type="page"/>
      </w:r>
    </w:p>
    <w:p w14:paraId="05B17D62" w14:textId="77777777" w:rsidR="005A3D98" w:rsidRDefault="005A3D98" w:rsidP="005A3D98">
      <w:pPr>
        <w:pStyle w:val="1"/>
        <w:spacing w:before="360" w:after="200" w:line="312" w:lineRule="auto"/>
        <w:jc w:val="center"/>
        <w:rPr>
          <w:rFonts w:ascii="Sakkal Majalla" w:eastAsia="Sakkal Majalla" w:hAnsi="Sakkal Majalla" w:cs="Sakkal Majalla"/>
          <w:color w:val="1F3A5F"/>
          <w:sz w:val="72"/>
          <w:szCs w:val="72"/>
          <w:rtl/>
        </w:rPr>
      </w:pPr>
    </w:p>
    <w:p w14:paraId="4BF98EAD" w14:textId="77777777" w:rsidR="005A3D98" w:rsidRDefault="005A3D98" w:rsidP="005A3D98">
      <w:pPr>
        <w:pStyle w:val="1"/>
        <w:spacing w:before="360" w:after="200" w:line="312" w:lineRule="auto"/>
        <w:jc w:val="center"/>
        <w:rPr>
          <w:rFonts w:ascii="Sakkal Majalla" w:eastAsia="Sakkal Majalla" w:hAnsi="Sakkal Majalla" w:cs="Sakkal Majalla"/>
          <w:color w:val="1F3A5F"/>
          <w:sz w:val="72"/>
          <w:szCs w:val="72"/>
          <w:rtl/>
        </w:rPr>
      </w:pPr>
    </w:p>
    <w:p w14:paraId="0F8D2771" w14:textId="77777777" w:rsidR="005A3D98" w:rsidRDefault="005A3D98" w:rsidP="00C348E5">
      <w:pPr>
        <w:pStyle w:val="1"/>
        <w:spacing w:before="360" w:after="200" w:line="312" w:lineRule="auto"/>
        <w:rPr>
          <w:rFonts w:ascii="Sakkal Majalla" w:eastAsia="Sakkal Majalla" w:hAnsi="Sakkal Majalla" w:cs="Sakkal Majalla"/>
          <w:color w:val="1F3A5F"/>
          <w:sz w:val="72"/>
          <w:szCs w:val="72"/>
          <w:rtl/>
        </w:rPr>
      </w:pPr>
    </w:p>
    <w:sectPr w:rsidR="005A3D98" w:rsidSect="00034616">
      <w:footerReference w:type="even" r:id="rId9"/>
      <w:footerReference w:type="default" r:id="rId10"/>
      <w:pgSz w:w="12240" w:h="15840"/>
      <w:pgMar w:top="1417" w:right="1417" w:bottom="1417" w:left="1417" w:header="720" w:footer="720"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2A800" w14:textId="77777777" w:rsidR="00F4486F" w:rsidRDefault="00F4486F" w:rsidP="00BA5877">
      <w:pPr>
        <w:spacing w:after="0" w:line="240" w:lineRule="auto"/>
      </w:pPr>
      <w:r>
        <w:separator/>
      </w:r>
    </w:p>
  </w:endnote>
  <w:endnote w:type="continuationSeparator" w:id="0">
    <w:p w14:paraId="2E5CC5B0" w14:textId="77777777" w:rsidR="00F4486F" w:rsidRDefault="00F4486F" w:rsidP="00BA5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f2"/>
        <w:rtl/>
      </w:rPr>
      <w:id w:val="-215358414"/>
      <w:docPartObj>
        <w:docPartGallery w:val="Page Numbers (Bottom of Page)"/>
        <w:docPartUnique/>
      </w:docPartObj>
    </w:sdtPr>
    <w:sdtEndPr>
      <w:rPr>
        <w:rStyle w:val="aff2"/>
      </w:rPr>
    </w:sdtEndPr>
    <w:sdtContent>
      <w:p w14:paraId="4A203E7F" w14:textId="754947B8" w:rsidR="002507B3" w:rsidRDefault="002507B3" w:rsidP="0008271F">
        <w:pPr>
          <w:pStyle w:val="a6"/>
          <w:framePr w:wrap="none" w:vAnchor="text" w:hAnchor="margin" w:xAlign="center" w:y="1"/>
          <w:jc w:val="center"/>
          <w:rPr>
            <w:rStyle w:val="aff2"/>
          </w:rPr>
        </w:pPr>
        <w:r>
          <w:rPr>
            <w:rStyle w:val="aff2"/>
            <w:rtl/>
          </w:rPr>
          <w:fldChar w:fldCharType="begin"/>
        </w:r>
        <w:r>
          <w:rPr>
            <w:rStyle w:val="aff2"/>
          </w:rPr>
          <w:instrText xml:space="preserve"> PAGE </w:instrText>
        </w:r>
        <w:r>
          <w:rPr>
            <w:rStyle w:val="aff2"/>
            <w:rtl/>
          </w:rPr>
          <w:fldChar w:fldCharType="end"/>
        </w:r>
      </w:p>
    </w:sdtContent>
  </w:sdt>
  <w:p w14:paraId="3069C141" w14:textId="77777777" w:rsidR="002507B3" w:rsidRDefault="002507B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f2"/>
        <w:rtl/>
      </w:rPr>
      <w:id w:val="1942867100"/>
      <w:docPartObj>
        <w:docPartGallery w:val="Page Numbers (Bottom of Page)"/>
        <w:docPartUnique/>
      </w:docPartObj>
    </w:sdtPr>
    <w:sdtEndPr>
      <w:rPr>
        <w:rStyle w:val="aff2"/>
      </w:rPr>
    </w:sdtEndPr>
    <w:sdtContent>
      <w:p w14:paraId="5F58AAE3" w14:textId="4C1BA4C0" w:rsidR="002507B3" w:rsidRDefault="002507B3" w:rsidP="0008271F">
        <w:pPr>
          <w:pStyle w:val="a6"/>
          <w:framePr w:wrap="none" w:vAnchor="text" w:hAnchor="margin" w:xAlign="center" w:y="1"/>
          <w:jc w:val="center"/>
          <w:rPr>
            <w:rStyle w:val="aff2"/>
          </w:rPr>
        </w:pPr>
        <w:r>
          <w:rPr>
            <w:rStyle w:val="aff2"/>
            <w:rtl/>
          </w:rPr>
          <w:fldChar w:fldCharType="begin"/>
        </w:r>
        <w:r>
          <w:rPr>
            <w:rStyle w:val="aff2"/>
          </w:rPr>
          <w:instrText xml:space="preserve"> PAGE </w:instrText>
        </w:r>
        <w:r>
          <w:rPr>
            <w:rStyle w:val="aff2"/>
            <w:rtl/>
          </w:rPr>
          <w:fldChar w:fldCharType="separate"/>
        </w:r>
        <w:r>
          <w:rPr>
            <w:rStyle w:val="aff2"/>
            <w:noProof/>
            <w:rtl/>
          </w:rPr>
          <w:t>1</w:t>
        </w:r>
        <w:r>
          <w:rPr>
            <w:rStyle w:val="aff2"/>
            <w:rtl/>
          </w:rPr>
          <w:fldChar w:fldCharType="end"/>
        </w:r>
      </w:p>
    </w:sdtContent>
  </w:sdt>
  <w:p w14:paraId="5EEFBE17" w14:textId="77777777" w:rsidR="002507B3" w:rsidRDefault="002507B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C1B2E" w14:textId="77777777" w:rsidR="00F4486F" w:rsidRDefault="00F4486F" w:rsidP="00BA5877">
      <w:pPr>
        <w:spacing w:after="0" w:line="240" w:lineRule="auto"/>
      </w:pPr>
      <w:r>
        <w:separator/>
      </w:r>
    </w:p>
  </w:footnote>
  <w:footnote w:type="continuationSeparator" w:id="0">
    <w:p w14:paraId="5541E754" w14:textId="77777777" w:rsidR="00F4486F" w:rsidRDefault="00F4486F" w:rsidP="00BA5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2FB17AC"/>
    <w:multiLevelType w:val="hybridMultilevel"/>
    <w:tmpl w:val="C2724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0410E3"/>
    <w:multiLevelType w:val="hybridMultilevel"/>
    <w:tmpl w:val="3382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021B48"/>
    <w:multiLevelType w:val="hybridMultilevel"/>
    <w:tmpl w:val="A4D4D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8027019">
    <w:abstractNumId w:val="8"/>
  </w:num>
  <w:num w:numId="2" w16cid:durableId="243228185">
    <w:abstractNumId w:val="6"/>
  </w:num>
  <w:num w:numId="3" w16cid:durableId="1971813033">
    <w:abstractNumId w:val="5"/>
  </w:num>
  <w:num w:numId="4" w16cid:durableId="1402674145">
    <w:abstractNumId w:val="4"/>
  </w:num>
  <w:num w:numId="5" w16cid:durableId="489365559">
    <w:abstractNumId w:val="7"/>
  </w:num>
  <w:num w:numId="6" w16cid:durableId="1214193253">
    <w:abstractNumId w:val="3"/>
  </w:num>
  <w:num w:numId="7" w16cid:durableId="1821847144">
    <w:abstractNumId w:val="2"/>
  </w:num>
  <w:num w:numId="8" w16cid:durableId="1122765332">
    <w:abstractNumId w:val="1"/>
  </w:num>
  <w:num w:numId="9" w16cid:durableId="1482842364">
    <w:abstractNumId w:val="0"/>
  </w:num>
  <w:num w:numId="10" w16cid:durableId="494688748">
    <w:abstractNumId w:val="11"/>
  </w:num>
  <w:num w:numId="11" w16cid:durableId="436096919">
    <w:abstractNumId w:val="10"/>
  </w:num>
  <w:num w:numId="12" w16cid:durableId="12234917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F117E"/>
    <w:rsid w:val="002507B3"/>
    <w:rsid w:val="0027720D"/>
    <w:rsid w:val="002876BB"/>
    <w:rsid w:val="0029639D"/>
    <w:rsid w:val="002B4446"/>
    <w:rsid w:val="002E4EFD"/>
    <w:rsid w:val="00326F90"/>
    <w:rsid w:val="003D1EE8"/>
    <w:rsid w:val="00434E4C"/>
    <w:rsid w:val="00474446"/>
    <w:rsid w:val="004F443E"/>
    <w:rsid w:val="004F7C92"/>
    <w:rsid w:val="005A3D98"/>
    <w:rsid w:val="006A3AD0"/>
    <w:rsid w:val="007C093F"/>
    <w:rsid w:val="00896F9A"/>
    <w:rsid w:val="008F3256"/>
    <w:rsid w:val="008F68FF"/>
    <w:rsid w:val="00960152"/>
    <w:rsid w:val="00960A71"/>
    <w:rsid w:val="009848A9"/>
    <w:rsid w:val="00AA1D8D"/>
    <w:rsid w:val="00B47730"/>
    <w:rsid w:val="00BA5877"/>
    <w:rsid w:val="00C348E5"/>
    <w:rsid w:val="00CB0664"/>
    <w:rsid w:val="00F4486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43B459"/>
  <w14:defaultImageDpi w14:val="300"/>
  <w15:docId w15:val="{90E0602E-B43E-0B47-A843-C76C435FF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bidi/>
    </w:pPr>
    <w:rPr>
      <w:rFonts w:ascii="Sakkal Majalla" w:eastAsia="Sakkal Majalla" w:hAnsi="Sakkal Majalla" w:cs="Sakkal Majalla"/>
      <w:sz w:val="2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2">
    <w:name w:val="page number"/>
    <w:basedOn w:val="a2"/>
    <w:uiPriority w:val="99"/>
    <w:semiHidden/>
    <w:unhideWhenUsed/>
    <w:rsid w:val="00250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8703</Words>
  <Characters>49608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عمر التميمي</cp:lastModifiedBy>
  <cp:revision>2</cp:revision>
  <dcterms:created xsi:type="dcterms:W3CDTF">2026-07-27T16:36:00Z</dcterms:created>
  <dcterms:modified xsi:type="dcterms:W3CDTF">2026-07-27T16:36:00Z</dcterms:modified>
  <cp:category/>
</cp:coreProperties>
</file>