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4D7" w:rsidRPr="00CF0F53" w:rsidRDefault="00C944D7" w:rsidP="00C944D7">
      <w:pPr>
        <w:bidi/>
        <w:rPr>
          <w:rFonts w:asciiTheme="majorBidi" w:hAnsiTheme="majorBidi" w:cstheme="majorBidi"/>
          <w:sz w:val="24"/>
          <w:szCs w:val="24"/>
        </w:rPr>
      </w:pPr>
      <w:r w:rsidRPr="00CF0F53">
        <w:rPr>
          <w:rFonts w:asciiTheme="majorBidi" w:hAnsiTheme="majorBidi" w:cstheme="majorBidi"/>
          <w:b/>
          <w:bCs/>
          <w:sz w:val="24"/>
          <w:szCs w:val="24"/>
          <w:rtl/>
        </w:rPr>
        <w:t>السادة أعضاء اللجنة،</w:t>
      </w:r>
    </w:p>
    <w:p w:rsidR="00C944D7" w:rsidRPr="00CF0F53" w:rsidRDefault="00C944D7" w:rsidP="00C944D7">
      <w:pPr>
        <w:shd w:val="clear" w:color="auto" w:fill="FFFFFF"/>
        <w:bidi/>
        <w:spacing w:before="100" w:beforeAutospacing="1" w:after="240" w:line="510" w:lineRule="atLeast"/>
        <w:ind w:left="720" w:firstLine="720"/>
        <w:outlineLvl w:val="0"/>
        <w:rPr>
          <w:rFonts w:asciiTheme="majorBidi" w:eastAsia="Times New Roman" w:hAnsiTheme="majorBidi" w:cstheme="majorBidi"/>
          <w:b/>
          <w:bCs/>
          <w:color w:val="0F1115"/>
          <w:kern w:val="36"/>
          <w:sz w:val="40"/>
          <w:szCs w:val="40"/>
        </w:rPr>
      </w:pPr>
      <w:r w:rsidRPr="00CF0F53">
        <w:rPr>
          <w:rFonts w:asciiTheme="majorBidi" w:hAnsiTheme="majorBidi" w:cstheme="majorBidi"/>
          <w:b/>
          <w:bCs/>
          <w:sz w:val="24"/>
          <w:szCs w:val="24"/>
          <w:rtl/>
        </w:rPr>
        <w:t>تحية طيبة وبعد،</w:t>
      </w:r>
    </w:p>
    <w:p w:rsidR="00C944D7" w:rsidRPr="003132A1" w:rsidRDefault="00C944D7" w:rsidP="003132A1">
      <w:pPr>
        <w:bidi/>
        <w:spacing w:before="480" w:after="240" w:line="480" w:lineRule="atLeast"/>
        <w:outlineLvl w:val="1"/>
        <w:rPr>
          <w:rFonts w:asciiTheme="majorBidi" w:hAnsiTheme="majorBidi" w:cstheme="majorBidi"/>
          <w:b/>
          <w:bCs/>
          <w:sz w:val="24"/>
          <w:szCs w:val="24"/>
        </w:rPr>
      </w:pPr>
      <w:bookmarkStart w:id="0" w:name="_GoBack"/>
      <w:r w:rsidRPr="003132A1">
        <w:rPr>
          <w:rFonts w:asciiTheme="majorBidi" w:hAnsiTheme="majorBidi" w:cstheme="majorBidi"/>
          <w:b/>
          <w:bCs/>
          <w:sz w:val="24"/>
          <w:szCs w:val="24"/>
          <w:rtl/>
        </w:rPr>
        <w:t>ملخص التقييم العام</w:t>
      </w:r>
      <w:r w:rsidRPr="003132A1">
        <w:rPr>
          <w:rFonts w:asciiTheme="majorBidi" w:hAnsiTheme="majorBidi" w:cstheme="majorBidi"/>
          <w:b/>
          <w:bCs/>
          <w:sz w:val="24"/>
          <w:szCs w:val="24"/>
        </w:rPr>
        <w:t xml:space="preserve"> : </w:t>
      </w:r>
      <w:r w:rsidR="003132A1" w:rsidRPr="003132A1">
        <w:rPr>
          <w:rFonts w:asciiTheme="majorBidi" w:hAnsiTheme="majorBidi" w:cstheme="majorBidi"/>
          <w:b/>
          <w:bCs/>
          <w:sz w:val="24"/>
          <w:szCs w:val="24"/>
          <w:rtl/>
        </w:rPr>
        <w:t>ثر القيادة التحويلية على السلامة التشغيلية في شركات الطيران بالدول النامية: الدور الوسيط لثقافة السلامة والعوامل البشرية – دراسة تطبيقية: دولة بنغلاديش نموذجًا</w:t>
      </w:r>
    </w:p>
    <w:bookmarkEnd w:id="0"/>
    <w:p w:rsidR="004307C4" w:rsidRDefault="004307C4" w:rsidP="00C944D7">
      <w:pPr>
        <w:bidi/>
        <w:spacing w:before="480" w:after="240" w:line="450" w:lineRule="atLeast"/>
        <w:outlineLvl w:val="2"/>
        <w:rPr>
          <w:rFonts w:asciiTheme="majorBidi" w:eastAsia="Times New Roman" w:hAnsiTheme="majorBidi" w:cstheme="majorBidi"/>
          <w:color w:val="0F1115"/>
          <w:sz w:val="28"/>
          <w:szCs w:val="28"/>
          <w:rtl/>
        </w:rPr>
      </w:pPr>
      <w:r w:rsidRPr="00B93700">
        <w:rPr>
          <w:rFonts w:asciiTheme="majorBidi" w:hAnsiTheme="majorBidi" w:cstheme="majorBidi" w:hint="cs"/>
          <w:b/>
          <w:bCs/>
          <w:color w:val="FF0000"/>
          <w:sz w:val="28"/>
          <w:szCs w:val="28"/>
          <w:rtl/>
        </w:rPr>
        <w:t xml:space="preserve">يرجي عند اتام التعديل تظليل الجزء الذي تم تعديلة حتي يتسني التدقيق ، فيما يلي مرفق </w:t>
      </w:r>
      <w:r w:rsidRPr="00B93700">
        <w:rPr>
          <w:rFonts w:asciiTheme="majorBidi" w:hAnsiTheme="majorBidi" w:cstheme="majorBidi"/>
          <w:b/>
          <w:bCs/>
          <w:color w:val="FF0000"/>
          <w:sz w:val="28"/>
          <w:szCs w:val="28"/>
          <w:rtl/>
        </w:rPr>
        <w:t>جدول التقييم والتعديلات المطلوبة</w:t>
      </w:r>
    </w:p>
    <w:p w:rsidR="00C944D7" w:rsidRPr="00CF0F53" w:rsidRDefault="00C944D7" w:rsidP="003132A1">
      <w:pPr>
        <w:bidi/>
        <w:spacing w:before="480" w:after="240" w:line="450" w:lineRule="atLeast"/>
        <w:outlineLvl w:val="2"/>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 xml:space="preserve">تميز خطة البحث المقدمة </w:t>
      </w:r>
      <w:r w:rsidRPr="003132A1">
        <w:rPr>
          <w:rFonts w:asciiTheme="majorBidi" w:eastAsia="Times New Roman" w:hAnsiTheme="majorBidi" w:cstheme="majorBidi"/>
          <w:color w:val="0F1115"/>
          <w:sz w:val="28"/>
          <w:szCs w:val="28"/>
          <w:highlight w:val="yellow"/>
          <w:rtl/>
        </w:rPr>
        <w:t>من الباحث (</w:t>
      </w:r>
      <w:r w:rsidR="003132A1" w:rsidRPr="003132A1">
        <w:rPr>
          <w:rStyle w:val="Strong"/>
          <w:rFonts w:ascii="inter" w:hAnsi="inter"/>
          <w:color w:val="0F1115"/>
          <w:sz w:val="23"/>
          <w:szCs w:val="23"/>
          <w:highlight w:val="yellow"/>
          <w:shd w:val="clear" w:color="auto" w:fill="FFFFFF"/>
          <w:rtl/>
        </w:rPr>
        <w:t>سعد محمد الدوسري</w:t>
      </w:r>
      <w:r w:rsidRPr="00CF0F53">
        <w:rPr>
          <w:rFonts w:asciiTheme="majorBidi" w:eastAsia="Times New Roman" w:hAnsiTheme="majorBidi" w:cstheme="majorBidi"/>
          <w:color w:val="0F1115"/>
          <w:sz w:val="28"/>
          <w:szCs w:val="28"/>
          <w:rtl/>
        </w:rPr>
        <w:t>) لقد تم تنفيذ غالبية التعديلات المطلوبة من قبل لجنة المراجعة بشكل جيد، حيث اختصر العنوان، وأعيدت هيكلة المقدمة، ودُمجت الأسئلة المتشابهة، وأُضيفت تبريرات أكثر وضوحاً. كما تم تحسين النموذج المفاهيمي، وتمويل الدراسات السابقة. ومع ذلك، لا تزال هناك بعض النقاط التي تحتاج إلى تحسين دقيق وزيادة في العمق، خاصة فيما يتعلق بالمنهجية والمصادر والربط النظري</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480" w:after="240" w:line="450" w:lineRule="atLeast"/>
        <w:outlineLvl w:val="2"/>
        <w:rPr>
          <w:rFonts w:asciiTheme="majorBidi" w:eastAsia="Times New Roman" w:hAnsiTheme="majorBidi" w:cstheme="majorBidi"/>
          <w:b/>
          <w:bCs/>
          <w:color w:val="0F1115"/>
          <w:sz w:val="32"/>
          <w:szCs w:val="32"/>
        </w:rPr>
      </w:pPr>
      <w:r w:rsidRPr="00CF0F53">
        <w:rPr>
          <w:rFonts w:asciiTheme="majorBidi" w:eastAsia="Times New Roman" w:hAnsiTheme="majorBidi" w:cstheme="majorBidi"/>
          <w:b/>
          <w:bCs/>
          <w:color w:val="0F1115"/>
          <w:sz w:val="32"/>
          <w:szCs w:val="32"/>
          <w:rtl/>
        </w:rPr>
        <w:t>ملاحظات تفصيلية لكل محور</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1. </w:t>
      </w:r>
      <w:r w:rsidRPr="00CF0F53">
        <w:rPr>
          <w:rFonts w:asciiTheme="majorBidi" w:eastAsia="Times New Roman" w:hAnsiTheme="majorBidi" w:cstheme="majorBidi"/>
          <w:b/>
          <w:bCs/>
          <w:color w:val="0F1115"/>
          <w:sz w:val="28"/>
          <w:szCs w:val="28"/>
          <w:rtl/>
        </w:rPr>
        <w:t>العنوان</w:t>
      </w:r>
    </w:p>
    <w:p w:rsidR="00C944D7" w:rsidRPr="00CF0F53" w:rsidRDefault="00C944D7" w:rsidP="00C944D7">
      <w:p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لا يزال العنوان يكرر لفظ "شركات الطيران" في العنوان العربي، يمكن إعادة صياغة ليكون أكثر إيجازاً مثل</w:t>
      </w:r>
      <w:r w:rsidRPr="00CF0F53">
        <w:rPr>
          <w:rFonts w:asciiTheme="majorBidi" w:eastAsia="Times New Roman" w:hAnsiTheme="majorBidi" w:cstheme="majorBidi"/>
          <w:color w:val="0F1115"/>
          <w:sz w:val="28"/>
          <w:szCs w:val="28"/>
        </w:rPr>
        <w:t>:</w:t>
      </w:r>
      <w:r w:rsidRPr="00CF0F53">
        <w:rPr>
          <w:rFonts w:asciiTheme="majorBidi" w:eastAsia="Times New Roman" w:hAnsiTheme="majorBidi" w:cstheme="majorBidi"/>
          <w:color w:val="0F1115"/>
          <w:sz w:val="28"/>
          <w:szCs w:val="28"/>
        </w:rPr>
        <w:br/>
      </w:r>
      <w:r w:rsidRPr="00CF0F53">
        <w:rPr>
          <w:rFonts w:asciiTheme="majorBidi" w:eastAsia="Times New Roman" w:hAnsiTheme="majorBidi" w:cstheme="majorBidi"/>
          <w:b/>
          <w:bCs/>
          <w:color w:val="0F1115"/>
          <w:sz w:val="28"/>
          <w:szCs w:val="28"/>
        </w:rPr>
        <w:t>"</w:t>
      </w:r>
      <w:r w:rsidRPr="00CF0F53">
        <w:rPr>
          <w:rFonts w:asciiTheme="majorBidi" w:eastAsia="Times New Roman" w:hAnsiTheme="majorBidi" w:cstheme="majorBidi"/>
          <w:b/>
          <w:bCs/>
          <w:color w:val="0F1115"/>
          <w:sz w:val="28"/>
          <w:szCs w:val="28"/>
          <w:rtl/>
        </w:rPr>
        <w:t>أثر القيادة التحويلية في السلامة التشغيلية بشركات الطيران البنجلاديشية: الدور الوسيط لثقافة السلامة والعوامل البشرية</w:t>
      </w:r>
      <w:r w:rsidRPr="00CF0F53">
        <w:rPr>
          <w:rFonts w:asciiTheme="majorBidi" w:eastAsia="Times New Roman" w:hAnsiTheme="majorBidi" w:cstheme="majorBidi"/>
          <w:b/>
          <w:bCs/>
          <w:color w:val="0F1115"/>
          <w:sz w:val="28"/>
          <w:szCs w:val="28"/>
        </w:rPr>
        <w:t>"</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2. </w:t>
      </w:r>
      <w:r w:rsidRPr="00CF0F53">
        <w:rPr>
          <w:rFonts w:asciiTheme="majorBidi" w:eastAsia="Times New Roman" w:hAnsiTheme="majorBidi" w:cstheme="majorBidi"/>
          <w:b/>
          <w:bCs/>
          <w:color w:val="0F1115"/>
          <w:sz w:val="28"/>
          <w:szCs w:val="28"/>
          <w:rtl/>
        </w:rPr>
        <w:t>المقدمة</w:t>
      </w:r>
    </w:p>
    <w:p w:rsidR="00C944D7" w:rsidRPr="00CF0F53" w:rsidRDefault="00C944D7" w:rsidP="00C944D7">
      <w:pPr>
        <w:numPr>
          <w:ilvl w:val="0"/>
          <w:numId w:val="2"/>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يُفضل إضافة </w:t>
      </w:r>
      <w:r w:rsidRPr="00CF0F53">
        <w:rPr>
          <w:rFonts w:asciiTheme="majorBidi" w:eastAsia="Times New Roman" w:hAnsiTheme="majorBidi" w:cstheme="majorBidi"/>
          <w:b/>
          <w:bCs/>
          <w:color w:val="0F1115"/>
          <w:sz w:val="28"/>
          <w:szCs w:val="28"/>
          <w:rtl/>
        </w:rPr>
        <w:t>فقرة مستقلة</w:t>
      </w:r>
      <w:r w:rsidRPr="00CF0F53">
        <w:rPr>
          <w:rFonts w:asciiTheme="majorBidi" w:eastAsia="Times New Roman" w:hAnsiTheme="majorBidi" w:cstheme="majorBidi"/>
          <w:color w:val="0F1115"/>
          <w:sz w:val="28"/>
          <w:szCs w:val="28"/>
          <w:rtl/>
        </w:rPr>
        <w:t> لتوضيح السياق العالمي لتطور السلامة التشغيلية، ثم الانتقال إلى الدول النامية وبنجلاديش، لتعزيز التأطير النظري</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2"/>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بعض الفقرات طويلة جداً، ويُفضل تقسيمها فقرات قصيرة لتحسين القراءة</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lastRenderedPageBreak/>
        <w:t xml:space="preserve">3. </w:t>
      </w:r>
      <w:r w:rsidRPr="00CF0F53">
        <w:rPr>
          <w:rFonts w:asciiTheme="majorBidi" w:eastAsia="Times New Roman" w:hAnsiTheme="majorBidi" w:cstheme="majorBidi"/>
          <w:b/>
          <w:bCs/>
          <w:color w:val="0F1115"/>
          <w:sz w:val="28"/>
          <w:szCs w:val="28"/>
          <w:rtl/>
        </w:rPr>
        <w:t>مشكلة الدراسة وتساؤلاتها</w:t>
      </w:r>
    </w:p>
    <w:p w:rsidR="00C944D7" w:rsidRPr="00CF0F53" w:rsidRDefault="00C944D7" w:rsidP="00C944D7">
      <w:pPr>
        <w:numPr>
          <w:ilvl w:val="0"/>
          <w:numId w:val="3"/>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دمج الأسئلة المتشابهة وتقليل عددها إلى 5 أسئلة</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3"/>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السؤال الرابع "هل توجد علاقة ذات دلالة إحصائية..."، يُفضل إعادة صياغته ليكون أكثر تحديداً وقابلاً للاختبار، مثل</w:t>
      </w:r>
      <w:r w:rsidRPr="00CF0F53">
        <w:rPr>
          <w:rFonts w:asciiTheme="majorBidi" w:eastAsia="Times New Roman" w:hAnsiTheme="majorBidi" w:cstheme="majorBidi"/>
          <w:color w:val="0F1115"/>
          <w:sz w:val="28"/>
          <w:szCs w:val="28"/>
        </w:rPr>
        <w:t>:</w:t>
      </w:r>
      <w:r w:rsidRPr="00CF0F53">
        <w:rPr>
          <w:rFonts w:asciiTheme="majorBidi" w:eastAsia="Times New Roman" w:hAnsiTheme="majorBidi" w:cstheme="majorBidi"/>
          <w:color w:val="0F1115"/>
          <w:sz w:val="28"/>
          <w:szCs w:val="28"/>
        </w:rPr>
        <w:br/>
      </w:r>
      <w:r w:rsidRPr="00CF0F53">
        <w:rPr>
          <w:rFonts w:asciiTheme="majorBidi" w:eastAsia="Times New Roman" w:hAnsiTheme="majorBidi" w:cstheme="majorBidi"/>
          <w:i/>
          <w:iCs/>
          <w:color w:val="0F1115"/>
          <w:sz w:val="28"/>
          <w:szCs w:val="28"/>
        </w:rPr>
        <w:t>"</w:t>
      </w:r>
      <w:r w:rsidRPr="00CF0F53">
        <w:rPr>
          <w:rFonts w:asciiTheme="majorBidi" w:eastAsia="Times New Roman" w:hAnsiTheme="majorBidi" w:cstheme="majorBidi"/>
          <w:i/>
          <w:iCs/>
          <w:color w:val="0F1115"/>
          <w:sz w:val="28"/>
          <w:szCs w:val="28"/>
          <w:rtl/>
        </w:rPr>
        <w:t>هل توجد علاقة تأثير مباشر وغير مباشر بين القيادة التحويلية والسلامة التشغيلية في شركات الطيران البنجلاديشية؟</w:t>
      </w:r>
      <w:r w:rsidRPr="00CF0F53">
        <w:rPr>
          <w:rFonts w:asciiTheme="majorBidi" w:eastAsia="Times New Roman" w:hAnsiTheme="majorBidi" w:cstheme="majorBidi"/>
          <w:i/>
          <w:iCs/>
          <w:color w:val="0F1115"/>
          <w:sz w:val="28"/>
          <w:szCs w:val="28"/>
        </w:rPr>
        <w:t>"</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4. </w:t>
      </w:r>
      <w:r w:rsidRPr="00CF0F53">
        <w:rPr>
          <w:rFonts w:asciiTheme="majorBidi" w:eastAsia="Times New Roman" w:hAnsiTheme="majorBidi" w:cstheme="majorBidi"/>
          <w:b/>
          <w:bCs/>
          <w:color w:val="0F1115"/>
          <w:sz w:val="28"/>
          <w:szCs w:val="28"/>
          <w:rtl/>
        </w:rPr>
        <w:t>أهداف الدراسة</w:t>
      </w:r>
    </w:p>
    <w:p w:rsidR="00C944D7" w:rsidRPr="00CF0F53" w:rsidRDefault="00C944D7" w:rsidP="00C944D7">
      <w:pPr>
        <w:numPr>
          <w:ilvl w:val="0"/>
          <w:numId w:val="4"/>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دمج الهدفين الثاني والخامس</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4"/>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يمكن إعادة ترتيب الأهداف من الأكثر عمومية (اختبار النموذج ككل) إلى الأكثر خصوصية (اختبار الأثر المباشر لكل متغير)</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5. </w:t>
      </w:r>
      <w:r w:rsidRPr="00CF0F53">
        <w:rPr>
          <w:rFonts w:asciiTheme="majorBidi" w:eastAsia="Times New Roman" w:hAnsiTheme="majorBidi" w:cstheme="majorBidi"/>
          <w:b/>
          <w:bCs/>
          <w:color w:val="0F1115"/>
          <w:sz w:val="28"/>
          <w:szCs w:val="28"/>
          <w:rtl/>
        </w:rPr>
        <w:t>فرضيات الدراسة</w:t>
      </w:r>
    </w:p>
    <w:p w:rsidR="00C944D7" w:rsidRPr="00CF0F53" w:rsidRDefault="00C944D7" w:rsidP="00C944D7">
      <w:pPr>
        <w:numPr>
          <w:ilvl w:val="0"/>
          <w:numId w:val="5"/>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إضافة الفرضيتين الفرعيتين</w:t>
      </w:r>
      <w:r w:rsidRPr="00CF0F53">
        <w:rPr>
          <w:rFonts w:asciiTheme="majorBidi" w:eastAsia="Times New Roman" w:hAnsiTheme="majorBidi" w:cstheme="majorBidi"/>
          <w:color w:val="0F1115"/>
          <w:sz w:val="28"/>
          <w:szCs w:val="28"/>
        </w:rPr>
        <w:t xml:space="preserve"> (H5 </w:t>
      </w:r>
      <w:r w:rsidRPr="00CF0F53">
        <w:rPr>
          <w:rFonts w:asciiTheme="majorBidi" w:eastAsia="Times New Roman" w:hAnsiTheme="majorBidi" w:cstheme="majorBidi"/>
          <w:color w:val="0F1115"/>
          <w:sz w:val="28"/>
          <w:szCs w:val="28"/>
          <w:rtl/>
        </w:rPr>
        <w:t>و</w:t>
      </w:r>
      <w:r w:rsidRPr="00CF0F53">
        <w:rPr>
          <w:rFonts w:asciiTheme="majorBidi" w:eastAsia="Times New Roman" w:hAnsiTheme="majorBidi" w:cstheme="majorBidi"/>
          <w:color w:val="0F1115"/>
          <w:sz w:val="28"/>
          <w:szCs w:val="28"/>
        </w:rPr>
        <w:t xml:space="preserve"> H6) </w:t>
      </w:r>
      <w:r w:rsidRPr="00CF0F53">
        <w:rPr>
          <w:rFonts w:asciiTheme="majorBidi" w:eastAsia="Times New Roman" w:hAnsiTheme="majorBidi" w:cstheme="majorBidi"/>
          <w:color w:val="0F1115"/>
          <w:sz w:val="28"/>
          <w:szCs w:val="28"/>
          <w:rtl/>
        </w:rPr>
        <w:t>المتعلقتين بالعوامل البشرية</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5"/>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تصحيح الفرضية الرابعة لتشمل العوامل البشرية</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5"/>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الفرعية</w:t>
      </w:r>
      <w:r w:rsidRPr="00CF0F53">
        <w:rPr>
          <w:rFonts w:asciiTheme="majorBidi" w:eastAsia="Times New Roman" w:hAnsiTheme="majorBidi" w:cstheme="majorBidi"/>
          <w:color w:val="0F1115"/>
          <w:sz w:val="28"/>
          <w:szCs w:val="28"/>
        </w:rPr>
        <w:t xml:space="preserve"> H5 </w:t>
      </w:r>
      <w:r w:rsidRPr="00CF0F53">
        <w:rPr>
          <w:rFonts w:asciiTheme="majorBidi" w:eastAsia="Times New Roman" w:hAnsiTheme="majorBidi" w:cstheme="majorBidi"/>
          <w:color w:val="0F1115"/>
          <w:sz w:val="28"/>
          <w:szCs w:val="28"/>
          <w:rtl/>
        </w:rPr>
        <w:t>و</w:t>
      </w:r>
      <w:r w:rsidRPr="00CF0F53">
        <w:rPr>
          <w:rFonts w:asciiTheme="majorBidi" w:eastAsia="Times New Roman" w:hAnsiTheme="majorBidi" w:cstheme="majorBidi"/>
          <w:color w:val="0F1115"/>
          <w:sz w:val="28"/>
          <w:szCs w:val="28"/>
        </w:rPr>
        <w:t xml:space="preserve"> H6 </w:t>
      </w:r>
      <w:r w:rsidRPr="00CF0F53">
        <w:rPr>
          <w:rFonts w:asciiTheme="majorBidi" w:eastAsia="Times New Roman" w:hAnsiTheme="majorBidi" w:cstheme="majorBidi"/>
          <w:color w:val="0F1115"/>
          <w:sz w:val="28"/>
          <w:szCs w:val="28"/>
          <w:rtl/>
        </w:rPr>
        <w:t>لم يتم إدراجهما ضمن قائمة الفرضيات في النص بعد الفرضيات الرئيسية، مع أن النموذج يحتويهما. يجب إدراجهما في القائمة المتسلسلة</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5"/>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ملاحظة: الفرعية</w:t>
      </w:r>
      <w:r w:rsidRPr="00CF0F53">
        <w:rPr>
          <w:rFonts w:asciiTheme="majorBidi" w:eastAsia="Times New Roman" w:hAnsiTheme="majorBidi" w:cstheme="majorBidi"/>
          <w:color w:val="0F1115"/>
          <w:sz w:val="28"/>
          <w:szCs w:val="28"/>
        </w:rPr>
        <w:t xml:space="preserve"> H05 </w:t>
      </w:r>
      <w:r w:rsidRPr="00CF0F53">
        <w:rPr>
          <w:rFonts w:asciiTheme="majorBidi" w:eastAsia="Times New Roman" w:hAnsiTheme="majorBidi" w:cstheme="majorBidi"/>
          <w:color w:val="0F1115"/>
          <w:sz w:val="28"/>
          <w:szCs w:val="28"/>
          <w:rtl/>
        </w:rPr>
        <w:t>و</w:t>
      </w:r>
      <w:r w:rsidRPr="00CF0F53">
        <w:rPr>
          <w:rFonts w:asciiTheme="majorBidi" w:eastAsia="Times New Roman" w:hAnsiTheme="majorBidi" w:cstheme="majorBidi"/>
          <w:color w:val="0F1115"/>
          <w:sz w:val="28"/>
          <w:szCs w:val="28"/>
        </w:rPr>
        <w:t xml:space="preserve"> H06 </w:t>
      </w:r>
      <w:r w:rsidRPr="00CF0F53">
        <w:rPr>
          <w:rFonts w:asciiTheme="majorBidi" w:eastAsia="Times New Roman" w:hAnsiTheme="majorBidi" w:cstheme="majorBidi"/>
          <w:color w:val="0F1115"/>
          <w:sz w:val="28"/>
          <w:szCs w:val="28"/>
          <w:rtl/>
        </w:rPr>
        <w:t>غير مرقمة بشكل متسلسل بعد</w:t>
      </w:r>
      <w:r w:rsidRPr="00CF0F53">
        <w:rPr>
          <w:rFonts w:asciiTheme="majorBidi" w:eastAsia="Times New Roman" w:hAnsiTheme="majorBidi" w:cstheme="majorBidi"/>
          <w:color w:val="0F1115"/>
          <w:sz w:val="28"/>
          <w:szCs w:val="28"/>
        </w:rPr>
        <w:t xml:space="preserve"> H04 </w:t>
      </w:r>
      <w:r w:rsidRPr="00CF0F53">
        <w:rPr>
          <w:rFonts w:asciiTheme="majorBidi" w:eastAsia="Times New Roman" w:hAnsiTheme="majorBidi" w:cstheme="majorBidi"/>
          <w:color w:val="0F1115"/>
          <w:sz w:val="28"/>
          <w:szCs w:val="28"/>
          <w:rtl/>
        </w:rPr>
        <w:t>مباشرة، مما قد يسبب التباساً. الأفضل ترقيمها</w:t>
      </w:r>
      <w:r w:rsidRPr="00CF0F53">
        <w:rPr>
          <w:rFonts w:asciiTheme="majorBidi" w:eastAsia="Times New Roman" w:hAnsiTheme="majorBidi" w:cstheme="majorBidi"/>
          <w:color w:val="0F1115"/>
          <w:sz w:val="28"/>
          <w:szCs w:val="28"/>
        </w:rPr>
        <w:t xml:space="preserve"> H5, H6.</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6. </w:t>
      </w:r>
      <w:r w:rsidRPr="00CF0F53">
        <w:rPr>
          <w:rFonts w:asciiTheme="majorBidi" w:eastAsia="Times New Roman" w:hAnsiTheme="majorBidi" w:cstheme="majorBidi"/>
          <w:b/>
          <w:bCs/>
          <w:color w:val="0F1115"/>
          <w:sz w:val="28"/>
          <w:szCs w:val="28"/>
          <w:rtl/>
        </w:rPr>
        <w:t>نموذج الدراسة (الإطار المفاهيمي)</w:t>
      </w:r>
    </w:p>
    <w:p w:rsidR="00C944D7" w:rsidRPr="00CF0F53" w:rsidRDefault="00C944D7" w:rsidP="00407B40">
      <w:pPr>
        <w:numPr>
          <w:ilvl w:val="0"/>
          <w:numId w:val="6"/>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 xml:space="preserve">النموذج </w:t>
      </w:r>
      <w:r w:rsidR="00407B40" w:rsidRPr="00CF0F53">
        <w:rPr>
          <w:rFonts w:asciiTheme="majorBidi" w:eastAsia="Times New Roman" w:hAnsiTheme="majorBidi" w:cstheme="majorBidi"/>
          <w:color w:val="0F1115"/>
          <w:sz w:val="28"/>
          <w:szCs w:val="28"/>
          <w:rtl/>
          <w:lang w:bidi="ar-EG"/>
        </w:rPr>
        <w:t>غير قبول</w:t>
      </w:r>
      <w:r w:rsidR="00407B40" w:rsidRPr="00CF0F53">
        <w:rPr>
          <w:rFonts w:asciiTheme="majorBidi" w:eastAsia="Times New Roman" w:hAnsiTheme="majorBidi" w:cstheme="majorBidi"/>
          <w:color w:val="0F1115"/>
          <w:sz w:val="28"/>
          <w:szCs w:val="28"/>
          <w:rtl/>
        </w:rPr>
        <w:t xml:space="preserve"> </w:t>
      </w:r>
      <w:r w:rsidR="00407B40" w:rsidRPr="00CF0F53">
        <w:rPr>
          <w:rFonts w:asciiTheme="majorBidi" w:eastAsia="Times New Roman" w:hAnsiTheme="majorBidi" w:cstheme="majorBidi"/>
          <w:color w:val="0F1115"/>
          <w:sz w:val="28"/>
          <w:szCs w:val="28"/>
        </w:rPr>
        <w:t>–</w:t>
      </w:r>
      <w:r w:rsidR="00407B40" w:rsidRPr="00CF0F53">
        <w:rPr>
          <w:rFonts w:asciiTheme="majorBidi" w:eastAsia="Times New Roman" w:hAnsiTheme="majorBidi" w:cstheme="majorBidi"/>
          <w:color w:val="0F1115"/>
          <w:sz w:val="28"/>
          <w:szCs w:val="28"/>
          <w:rtl/>
          <w:lang w:bidi="ar-EG"/>
        </w:rPr>
        <w:t>يجب تعديلة</w:t>
      </w:r>
    </w:p>
    <w:p w:rsidR="00C944D7" w:rsidRPr="00CF0F53" w:rsidRDefault="00407B40" w:rsidP="00407B40">
      <w:p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hAnsiTheme="majorBidi" w:cstheme="majorBidi"/>
          <w:noProof/>
          <w:sz w:val="24"/>
          <w:szCs w:val="24"/>
        </w:rPr>
        <w:drawing>
          <wp:inline distT="0" distB="0" distL="0" distR="0">
            <wp:extent cx="3923936" cy="2160273"/>
            <wp:effectExtent l="0" t="0" r="635" b="0"/>
            <wp:docPr id="1" name="Picture 1"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g.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25682" cy="2161234"/>
                    </a:xfrm>
                    <a:prstGeom prst="rect">
                      <a:avLst/>
                    </a:prstGeom>
                    <a:noFill/>
                    <a:ln>
                      <a:noFill/>
                    </a:ln>
                  </pic:spPr>
                </pic:pic>
              </a:graphicData>
            </a:graphic>
          </wp:inline>
        </w:drawing>
      </w:r>
    </w:p>
    <w:p w:rsidR="00C944D7" w:rsidRPr="00CF0F53" w:rsidRDefault="00C944D7" w:rsidP="00C944D7">
      <w:pPr>
        <w:numPr>
          <w:ilvl w:val="0"/>
          <w:numId w:val="6"/>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النموذج يوضح 5 مسارات رئيسية بشكل جيد، لكن يُفضل أن يظهر النموذج </w:t>
      </w:r>
      <w:r w:rsidRPr="00CF0F53">
        <w:rPr>
          <w:rFonts w:asciiTheme="majorBidi" w:eastAsia="Times New Roman" w:hAnsiTheme="majorBidi" w:cstheme="majorBidi"/>
          <w:b/>
          <w:bCs/>
          <w:color w:val="0F1115"/>
          <w:sz w:val="28"/>
          <w:szCs w:val="28"/>
          <w:rtl/>
        </w:rPr>
        <w:t>التأثير غير المباشر (الوسيط)</w:t>
      </w:r>
      <w:r w:rsidRPr="00CF0F53">
        <w:rPr>
          <w:rFonts w:asciiTheme="majorBidi" w:eastAsia="Times New Roman" w:hAnsiTheme="majorBidi" w:cstheme="majorBidi"/>
          <w:color w:val="0F1115"/>
          <w:sz w:val="28"/>
          <w:szCs w:val="28"/>
          <w:rtl/>
        </w:rPr>
        <w:t> بوضوح، عبر خطوط متقطعة أو مسارات ملونة، لتمييزه عن التأثير المباشر</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7. </w:t>
      </w:r>
      <w:r w:rsidRPr="00CF0F53">
        <w:rPr>
          <w:rFonts w:asciiTheme="majorBidi" w:eastAsia="Times New Roman" w:hAnsiTheme="majorBidi" w:cstheme="majorBidi"/>
          <w:b/>
          <w:bCs/>
          <w:color w:val="0F1115"/>
          <w:sz w:val="28"/>
          <w:szCs w:val="28"/>
          <w:rtl/>
        </w:rPr>
        <w:t>الحدود المكانية والبشرية</w:t>
      </w:r>
    </w:p>
    <w:p w:rsidR="00C944D7" w:rsidRPr="00CF0F53" w:rsidRDefault="00C944D7" w:rsidP="00C944D7">
      <w:pPr>
        <w:numPr>
          <w:ilvl w:val="0"/>
          <w:numId w:val="7"/>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تبرير اختيار بنجلاديش بإحصائيات محدثة (عدد المسافرين، عدد الشركات)</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7"/>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تحديد الفئات الوظيفية بدقة (طيارون، أطقم، سلامة وجودة، إداريون)</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7"/>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لم يتم ذكر </w:t>
      </w:r>
      <w:r w:rsidRPr="00CF0F53">
        <w:rPr>
          <w:rFonts w:asciiTheme="majorBidi" w:eastAsia="Times New Roman" w:hAnsiTheme="majorBidi" w:cstheme="majorBidi"/>
          <w:b/>
          <w:bCs/>
          <w:color w:val="0F1115"/>
          <w:sz w:val="28"/>
          <w:szCs w:val="28"/>
          <w:rtl/>
        </w:rPr>
        <w:t>عدد الشركات الأربع</w:t>
      </w:r>
      <w:r w:rsidRPr="00CF0F53">
        <w:rPr>
          <w:rFonts w:asciiTheme="majorBidi" w:eastAsia="Times New Roman" w:hAnsiTheme="majorBidi" w:cstheme="majorBidi"/>
          <w:color w:val="0F1115"/>
          <w:sz w:val="28"/>
          <w:szCs w:val="28"/>
          <w:rtl/>
        </w:rPr>
        <w:t> بالاسم في النص (بيمان بنجلاديش، يو إس بنجلا، نوفو إير، إير أسترا) مع الإشارة إلى أن الدراسة تشملها جميعاً، يُفضل إدراج ذلك صراحة</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8. </w:t>
      </w:r>
      <w:r w:rsidRPr="00CF0F53">
        <w:rPr>
          <w:rFonts w:asciiTheme="majorBidi" w:eastAsia="Times New Roman" w:hAnsiTheme="majorBidi" w:cstheme="majorBidi"/>
          <w:b/>
          <w:bCs/>
          <w:color w:val="0F1115"/>
          <w:sz w:val="28"/>
          <w:szCs w:val="28"/>
          <w:rtl/>
        </w:rPr>
        <w:t>المنهجية وعينة الدراسة</w:t>
      </w:r>
    </w:p>
    <w:p w:rsidR="00C944D7" w:rsidRPr="00CF0F53" w:rsidRDefault="00C944D7" w:rsidP="00C944D7">
      <w:pPr>
        <w:numPr>
          <w:ilvl w:val="0"/>
          <w:numId w:val="8"/>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تحديد المنهج الكمي وتبريره بشكل أفضل</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8"/>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الإشارة إلى معادلة كوجران لتحديد حجم العينة</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8"/>
        </w:numPr>
        <w:bidi/>
        <w:spacing w:before="100" w:beforeAutospacing="1" w:after="12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يجب تحديد </w:t>
      </w:r>
      <w:r w:rsidRPr="00CF0F53">
        <w:rPr>
          <w:rFonts w:asciiTheme="majorBidi" w:eastAsia="Times New Roman" w:hAnsiTheme="majorBidi" w:cstheme="majorBidi"/>
          <w:b/>
          <w:bCs/>
          <w:color w:val="0F1115"/>
          <w:sz w:val="28"/>
          <w:szCs w:val="28"/>
          <w:rtl/>
        </w:rPr>
        <w:t>القيم الرقمية لمعادلة كوجران</w:t>
      </w:r>
      <w:r w:rsidRPr="00CF0F53">
        <w:rPr>
          <w:rFonts w:asciiTheme="majorBidi" w:eastAsia="Times New Roman" w:hAnsiTheme="majorBidi" w:cstheme="majorBidi"/>
          <w:color w:val="0F1115"/>
          <w:sz w:val="28"/>
          <w:szCs w:val="28"/>
          <w:rtl/>
        </w:rPr>
        <w:t> (مستوى ثقة 95%، هامش خطأ 5%) بوضوح، وذكر التوزيع الطبقي مع نسب كل فئة، على سبيل المثال</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100" w:beforeAutospacing="1" w:after="100" w:afterAutospacing="1" w:line="420" w:lineRule="atLeast"/>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Pr>
        <w:t>"</w:t>
      </w:r>
      <w:r w:rsidRPr="00CF0F53">
        <w:rPr>
          <w:rFonts w:asciiTheme="majorBidi" w:eastAsia="Times New Roman" w:hAnsiTheme="majorBidi" w:cstheme="majorBidi"/>
          <w:color w:val="0F1115"/>
          <w:sz w:val="28"/>
          <w:szCs w:val="28"/>
          <w:rtl/>
        </w:rPr>
        <w:t>سيتم توزيع العينة بنسبة 30% طيارين، 25% أطقم مقصورة، 25% سلامة وجودة، 20% إداريين</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9. </w:t>
      </w:r>
      <w:r w:rsidRPr="00CF0F53">
        <w:rPr>
          <w:rFonts w:asciiTheme="majorBidi" w:eastAsia="Times New Roman" w:hAnsiTheme="majorBidi" w:cstheme="majorBidi"/>
          <w:b/>
          <w:bCs/>
          <w:color w:val="0F1115"/>
          <w:sz w:val="28"/>
          <w:szCs w:val="28"/>
          <w:rtl/>
        </w:rPr>
        <w:t>أداة جمع البيانات (الاستبانة)</w:t>
      </w:r>
    </w:p>
    <w:p w:rsidR="00C944D7" w:rsidRPr="00CF0F53" w:rsidRDefault="00C944D7" w:rsidP="00C944D7">
      <w:pPr>
        <w:numPr>
          <w:ilvl w:val="0"/>
          <w:numId w:val="9"/>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إعداد جدول يوضح محاور الاستبانة ومصادرها</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9"/>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تحديد مقياس ليكرت الخماسي</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9"/>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يُفضل إضافة عمود في الجدول يوضح </w:t>
      </w:r>
      <w:r w:rsidRPr="00CF0F53">
        <w:rPr>
          <w:rFonts w:asciiTheme="majorBidi" w:eastAsia="Times New Roman" w:hAnsiTheme="majorBidi" w:cstheme="majorBidi"/>
          <w:b/>
          <w:bCs/>
          <w:color w:val="0F1115"/>
          <w:sz w:val="28"/>
          <w:szCs w:val="28"/>
          <w:rtl/>
        </w:rPr>
        <w:t>عدد الفقرات لكل بعد</w:t>
      </w:r>
      <w:r w:rsidRPr="00CF0F53">
        <w:rPr>
          <w:rFonts w:asciiTheme="majorBidi" w:eastAsia="Times New Roman" w:hAnsiTheme="majorBidi" w:cstheme="majorBidi"/>
          <w:color w:val="0F1115"/>
          <w:sz w:val="28"/>
          <w:szCs w:val="28"/>
          <w:rtl/>
        </w:rPr>
        <w:t>، وليس فقط عدد الفقرات الإجمالي لكل متغير</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9"/>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يجب توثيق المراجع التي تم اعتمادها في بناء كل مقياس (مثل</w:t>
      </w:r>
      <w:r w:rsidRPr="00CF0F53">
        <w:rPr>
          <w:rFonts w:asciiTheme="majorBidi" w:eastAsia="Times New Roman" w:hAnsiTheme="majorBidi" w:cstheme="majorBidi"/>
          <w:color w:val="0F1115"/>
          <w:sz w:val="28"/>
          <w:szCs w:val="28"/>
        </w:rPr>
        <w:t xml:space="preserve"> Bass &amp; </w:t>
      </w:r>
      <w:proofErr w:type="spellStart"/>
      <w:r w:rsidRPr="00CF0F53">
        <w:rPr>
          <w:rFonts w:asciiTheme="majorBidi" w:eastAsia="Times New Roman" w:hAnsiTheme="majorBidi" w:cstheme="majorBidi"/>
          <w:color w:val="0F1115"/>
          <w:sz w:val="28"/>
          <w:szCs w:val="28"/>
        </w:rPr>
        <w:t>Avolio</w:t>
      </w:r>
      <w:proofErr w:type="spellEnd"/>
      <w:r w:rsidRPr="00CF0F53">
        <w:rPr>
          <w:rFonts w:asciiTheme="majorBidi" w:eastAsia="Times New Roman" w:hAnsiTheme="majorBidi" w:cstheme="majorBidi"/>
          <w:color w:val="0F1115"/>
          <w:sz w:val="28"/>
          <w:szCs w:val="28"/>
        </w:rPr>
        <w:t xml:space="preserve">, 1995 </w:t>
      </w:r>
      <w:r w:rsidRPr="00CF0F53">
        <w:rPr>
          <w:rFonts w:asciiTheme="majorBidi" w:eastAsia="Times New Roman" w:hAnsiTheme="majorBidi" w:cstheme="majorBidi"/>
          <w:color w:val="0F1115"/>
          <w:sz w:val="28"/>
          <w:szCs w:val="28"/>
          <w:rtl/>
        </w:rPr>
        <w:t>لقيادة التحويلية) مع ذكر </w:t>
      </w:r>
      <w:r w:rsidRPr="00CF0F53">
        <w:rPr>
          <w:rFonts w:asciiTheme="majorBidi" w:eastAsia="Times New Roman" w:hAnsiTheme="majorBidi" w:cstheme="majorBidi"/>
          <w:b/>
          <w:bCs/>
          <w:color w:val="0F1115"/>
          <w:sz w:val="28"/>
          <w:szCs w:val="28"/>
          <w:rtl/>
        </w:rPr>
        <w:t>المصادر الأصلية</w:t>
      </w:r>
      <w:r w:rsidRPr="00CF0F53">
        <w:rPr>
          <w:rFonts w:asciiTheme="majorBidi" w:eastAsia="Times New Roman" w:hAnsiTheme="majorBidi" w:cstheme="majorBidi"/>
          <w:color w:val="0F1115"/>
          <w:sz w:val="28"/>
          <w:szCs w:val="28"/>
          <w:rtl/>
        </w:rPr>
        <w:t> في قائمة المراجع</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10. </w:t>
      </w:r>
      <w:r w:rsidRPr="00CF0F53">
        <w:rPr>
          <w:rFonts w:asciiTheme="majorBidi" w:eastAsia="Times New Roman" w:hAnsiTheme="majorBidi" w:cstheme="majorBidi"/>
          <w:b/>
          <w:bCs/>
          <w:color w:val="0F1115"/>
          <w:sz w:val="28"/>
          <w:szCs w:val="28"/>
          <w:rtl/>
        </w:rPr>
        <w:t>الصدق والثبات</w:t>
      </w:r>
    </w:p>
    <w:p w:rsidR="00C944D7" w:rsidRPr="00CF0F53" w:rsidRDefault="00C944D7" w:rsidP="00C944D7">
      <w:pPr>
        <w:numPr>
          <w:ilvl w:val="0"/>
          <w:numId w:val="10"/>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ذكر الصدق الظاهري والثبات</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10"/>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يجب إضافة فقرة توضح إجراءات </w:t>
      </w:r>
      <w:r w:rsidRPr="00CF0F53">
        <w:rPr>
          <w:rFonts w:asciiTheme="majorBidi" w:eastAsia="Times New Roman" w:hAnsiTheme="majorBidi" w:cstheme="majorBidi"/>
          <w:b/>
          <w:bCs/>
          <w:color w:val="0F1115"/>
          <w:sz w:val="28"/>
          <w:szCs w:val="28"/>
          <w:rtl/>
        </w:rPr>
        <w:t>الصدق البنائي (التحليل العاملي الاستكشافي)</w:t>
      </w:r>
      <w:r w:rsidRPr="00CF0F53">
        <w:rPr>
          <w:rFonts w:asciiTheme="majorBidi" w:eastAsia="Times New Roman" w:hAnsiTheme="majorBidi" w:cstheme="majorBidi"/>
          <w:color w:val="0F1115"/>
          <w:sz w:val="28"/>
          <w:szCs w:val="28"/>
          <w:rtl/>
        </w:rPr>
        <w:t> و</w:t>
      </w:r>
      <w:r w:rsidRPr="00CF0F53">
        <w:rPr>
          <w:rFonts w:asciiTheme="majorBidi" w:eastAsia="Times New Roman" w:hAnsiTheme="majorBidi" w:cstheme="majorBidi"/>
          <w:b/>
          <w:bCs/>
          <w:color w:val="0F1115"/>
          <w:sz w:val="28"/>
          <w:szCs w:val="28"/>
          <w:rtl/>
        </w:rPr>
        <w:t>الصدق المحكي</w:t>
      </w:r>
      <w:r w:rsidRPr="00CF0F53">
        <w:rPr>
          <w:rFonts w:asciiTheme="majorBidi" w:eastAsia="Times New Roman" w:hAnsiTheme="majorBidi" w:cstheme="majorBidi"/>
          <w:color w:val="0F1115"/>
          <w:sz w:val="28"/>
          <w:szCs w:val="28"/>
          <w:rtl/>
        </w:rPr>
        <w:t>، حتى وإن كانت ستُطبق لاحقاً، يُذكر ذلك في خطة البحث كإجراء مقترح</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11. </w:t>
      </w:r>
      <w:r w:rsidRPr="00CF0F53">
        <w:rPr>
          <w:rFonts w:asciiTheme="majorBidi" w:eastAsia="Times New Roman" w:hAnsiTheme="majorBidi" w:cstheme="majorBidi"/>
          <w:b/>
          <w:bCs/>
          <w:color w:val="0F1115"/>
          <w:sz w:val="28"/>
          <w:szCs w:val="28"/>
          <w:rtl/>
        </w:rPr>
        <w:t>المعالجات الإحصائية المقترحة</w:t>
      </w:r>
    </w:p>
    <w:p w:rsidR="00C944D7" w:rsidRPr="00CF0F53" w:rsidRDefault="00C944D7" w:rsidP="00C944D7">
      <w:pPr>
        <w:numPr>
          <w:ilvl w:val="0"/>
          <w:numId w:val="11"/>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طُلب في تقرير المراجعة ذكر برامج إحصائية إضافية مثل</w:t>
      </w:r>
      <w:r w:rsidRPr="00CF0F53">
        <w:rPr>
          <w:rFonts w:asciiTheme="majorBidi" w:eastAsia="Times New Roman" w:hAnsiTheme="majorBidi" w:cstheme="majorBidi"/>
          <w:color w:val="0F1115"/>
          <w:sz w:val="28"/>
          <w:szCs w:val="28"/>
        </w:rPr>
        <w:t xml:space="preserve"> </w:t>
      </w:r>
      <w:proofErr w:type="spellStart"/>
      <w:r w:rsidRPr="00CF0F53">
        <w:rPr>
          <w:rFonts w:asciiTheme="majorBidi" w:eastAsia="Times New Roman" w:hAnsiTheme="majorBidi" w:cstheme="majorBidi"/>
          <w:color w:val="0F1115"/>
          <w:sz w:val="28"/>
          <w:szCs w:val="28"/>
        </w:rPr>
        <w:t>WarpPLS</w:t>
      </w:r>
      <w:proofErr w:type="spellEnd"/>
      <w:r w:rsidRPr="00CF0F53">
        <w:rPr>
          <w:rFonts w:asciiTheme="majorBidi" w:eastAsia="Times New Roman" w:hAnsiTheme="majorBidi" w:cstheme="majorBidi"/>
          <w:color w:val="0F1115"/>
          <w:sz w:val="28"/>
          <w:szCs w:val="28"/>
          <w:rtl/>
        </w:rPr>
        <w:t>، يمكن إضافتها كخيار بديل، مع توضيح أنه سيتم استخدام</w:t>
      </w:r>
      <w:r w:rsidRPr="00CF0F53">
        <w:rPr>
          <w:rFonts w:asciiTheme="majorBidi" w:eastAsia="Times New Roman" w:hAnsiTheme="majorBidi" w:cstheme="majorBidi"/>
          <w:color w:val="0F1115"/>
          <w:sz w:val="28"/>
          <w:szCs w:val="28"/>
        </w:rPr>
        <w:t xml:space="preserve"> AMOS </w:t>
      </w:r>
      <w:r w:rsidRPr="00CF0F53">
        <w:rPr>
          <w:rFonts w:asciiTheme="majorBidi" w:eastAsia="Times New Roman" w:hAnsiTheme="majorBidi" w:cstheme="majorBidi"/>
          <w:color w:val="0F1115"/>
          <w:sz w:val="28"/>
          <w:szCs w:val="28"/>
          <w:rtl/>
        </w:rPr>
        <w:t>بشكل رئيسي</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11"/>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يُفضل إضافة فقرة حول </w:t>
      </w:r>
      <w:r w:rsidRPr="00CF0F53">
        <w:rPr>
          <w:rFonts w:asciiTheme="majorBidi" w:eastAsia="Times New Roman" w:hAnsiTheme="majorBidi" w:cstheme="majorBidi"/>
          <w:b/>
          <w:bCs/>
          <w:color w:val="0F1115"/>
          <w:sz w:val="28"/>
          <w:szCs w:val="28"/>
          <w:rtl/>
        </w:rPr>
        <w:t>اختبار التوزيع الطبيعي للبيانات</w:t>
      </w:r>
      <w:r w:rsidRPr="00CF0F53">
        <w:rPr>
          <w:rFonts w:asciiTheme="majorBidi" w:eastAsia="Times New Roman" w:hAnsiTheme="majorBidi" w:cstheme="majorBidi"/>
          <w:color w:val="0F1115"/>
          <w:sz w:val="28"/>
          <w:szCs w:val="28"/>
          <w:rtl/>
        </w:rPr>
        <w:t> </w:t>
      </w:r>
      <w:r w:rsidRPr="00CF0F53">
        <w:rPr>
          <w:rFonts w:asciiTheme="majorBidi" w:eastAsia="Times New Roman" w:hAnsiTheme="majorBidi" w:cstheme="majorBidi"/>
          <w:color w:val="0F1115"/>
          <w:sz w:val="28"/>
          <w:szCs w:val="28"/>
        </w:rPr>
        <w:t>(</w:t>
      </w:r>
      <w:r w:rsidRPr="00CF0F53">
        <w:rPr>
          <w:rFonts w:asciiTheme="majorBidi" w:eastAsia="Times New Roman" w:hAnsiTheme="majorBidi" w:cstheme="majorBidi"/>
          <w:color w:val="0F1115"/>
          <w:sz w:val="28"/>
          <w:szCs w:val="28"/>
          <w:rtl/>
        </w:rPr>
        <w:t>مثل اختبار</w:t>
      </w:r>
      <w:r w:rsidRPr="00CF0F53">
        <w:rPr>
          <w:rFonts w:asciiTheme="majorBidi" w:eastAsia="Times New Roman" w:hAnsiTheme="majorBidi" w:cstheme="majorBidi"/>
          <w:color w:val="0F1115"/>
          <w:sz w:val="28"/>
          <w:szCs w:val="28"/>
        </w:rPr>
        <w:t xml:space="preserve"> Kolmogorov-Smirnov) </w:t>
      </w:r>
      <w:r w:rsidRPr="00CF0F53">
        <w:rPr>
          <w:rFonts w:asciiTheme="majorBidi" w:eastAsia="Times New Roman" w:hAnsiTheme="majorBidi" w:cstheme="majorBidi"/>
          <w:color w:val="0F1115"/>
          <w:sz w:val="28"/>
          <w:szCs w:val="28"/>
          <w:rtl/>
        </w:rPr>
        <w:t>قبل تطبيق</w:t>
      </w:r>
      <w:r w:rsidRPr="00CF0F53">
        <w:rPr>
          <w:rFonts w:asciiTheme="majorBidi" w:eastAsia="Times New Roman" w:hAnsiTheme="majorBidi" w:cstheme="majorBidi"/>
          <w:color w:val="0F1115"/>
          <w:sz w:val="28"/>
          <w:szCs w:val="28"/>
        </w:rPr>
        <w:t xml:space="preserve"> SEM.</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12. </w:t>
      </w:r>
      <w:r w:rsidRPr="00CF0F53">
        <w:rPr>
          <w:rFonts w:asciiTheme="majorBidi" w:eastAsia="Times New Roman" w:hAnsiTheme="majorBidi" w:cstheme="majorBidi"/>
          <w:b/>
          <w:bCs/>
          <w:color w:val="0F1115"/>
          <w:sz w:val="28"/>
          <w:szCs w:val="28"/>
          <w:rtl/>
        </w:rPr>
        <w:t>الدراسات السابقة</w:t>
      </w:r>
    </w:p>
    <w:p w:rsidR="00C944D7" w:rsidRPr="00CF0F53" w:rsidRDefault="00C944D7" w:rsidP="00C944D7">
      <w:pPr>
        <w:numPr>
          <w:ilvl w:val="0"/>
          <w:numId w:val="12"/>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إعادة صياغتها بتوثيق داخل النص (اسم العائلة، السنة)</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12"/>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التعليق على كل دراسة من حيث التشابه والاختلاف</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12"/>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color w:val="0F1115"/>
          <w:sz w:val="28"/>
          <w:szCs w:val="28"/>
          <w:rtl/>
        </w:rPr>
        <w:t>تم الوصول إلى الفجوة البحثية بشكل تدريجي</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12"/>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يجب إضافة </w:t>
      </w:r>
      <w:r w:rsidRPr="00CF0F53">
        <w:rPr>
          <w:rFonts w:asciiTheme="majorBidi" w:eastAsia="Times New Roman" w:hAnsiTheme="majorBidi" w:cstheme="majorBidi"/>
          <w:b/>
          <w:bCs/>
          <w:color w:val="0F1115"/>
          <w:sz w:val="28"/>
          <w:szCs w:val="28"/>
          <w:rtl/>
        </w:rPr>
        <w:t>جدول تلخيصي</w:t>
      </w:r>
      <w:r w:rsidRPr="00CF0F53">
        <w:rPr>
          <w:rFonts w:asciiTheme="majorBidi" w:eastAsia="Times New Roman" w:hAnsiTheme="majorBidi" w:cstheme="majorBidi"/>
          <w:color w:val="0F1115"/>
          <w:sz w:val="28"/>
          <w:szCs w:val="28"/>
          <w:rtl/>
        </w:rPr>
        <w:t> للدراسات السابقة يُظهر (الكاتب، السنة، المتغيرات، المنهج، النتائج الرئيسية، والفجوة التي تعالجها الدراسة الحالية)، لتعزيز العرض</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240" w:after="120" w:line="420" w:lineRule="atLeast"/>
        <w:outlineLvl w:val="3"/>
        <w:rPr>
          <w:rFonts w:asciiTheme="majorBidi" w:eastAsia="Times New Roman" w:hAnsiTheme="majorBidi" w:cstheme="majorBidi"/>
          <w:b/>
          <w:bCs/>
          <w:color w:val="0F1115"/>
          <w:sz w:val="28"/>
          <w:szCs w:val="28"/>
        </w:rPr>
      </w:pPr>
      <w:r w:rsidRPr="00CF0F53">
        <w:rPr>
          <w:rFonts w:asciiTheme="majorBidi" w:eastAsia="Times New Roman" w:hAnsiTheme="majorBidi" w:cstheme="majorBidi"/>
          <w:b/>
          <w:bCs/>
          <w:color w:val="0F1115"/>
          <w:sz w:val="28"/>
          <w:szCs w:val="28"/>
        </w:rPr>
        <w:t xml:space="preserve">13. </w:t>
      </w:r>
      <w:r w:rsidRPr="00CF0F53">
        <w:rPr>
          <w:rFonts w:asciiTheme="majorBidi" w:eastAsia="Times New Roman" w:hAnsiTheme="majorBidi" w:cstheme="majorBidi"/>
          <w:b/>
          <w:bCs/>
          <w:color w:val="0F1115"/>
          <w:sz w:val="28"/>
          <w:szCs w:val="28"/>
          <w:rtl/>
        </w:rPr>
        <w:t>الخطة الزمنية (مخطط جانت)</w:t>
      </w:r>
    </w:p>
    <w:p w:rsidR="00C944D7" w:rsidRPr="00CF0F53" w:rsidRDefault="00C944D7" w:rsidP="00C944D7">
      <w:pPr>
        <w:numPr>
          <w:ilvl w:val="0"/>
          <w:numId w:val="13"/>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ملاحظة إثرائية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يُفضل ذكر </w:t>
      </w:r>
      <w:r w:rsidRPr="00CF0F53">
        <w:rPr>
          <w:rFonts w:asciiTheme="majorBidi" w:eastAsia="Times New Roman" w:hAnsiTheme="majorBidi" w:cstheme="majorBidi"/>
          <w:b/>
          <w:bCs/>
          <w:color w:val="0F1115"/>
          <w:sz w:val="28"/>
          <w:szCs w:val="28"/>
          <w:rtl/>
        </w:rPr>
        <w:t>المدة الزمنية (بالأسابيع أو الأشهر)</w:t>
      </w:r>
      <w:r w:rsidRPr="00CF0F53">
        <w:rPr>
          <w:rFonts w:asciiTheme="majorBidi" w:eastAsia="Times New Roman" w:hAnsiTheme="majorBidi" w:cstheme="majorBidi"/>
          <w:color w:val="0F1115"/>
          <w:sz w:val="28"/>
          <w:szCs w:val="28"/>
          <w:rtl/>
        </w:rPr>
        <w:t> لكل مرحلة بجانب المخطط، لتوضيح الجدول الزمني بشكل أدق</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480" w:after="240" w:line="450" w:lineRule="atLeast"/>
        <w:outlineLvl w:val="2"/>
        <w:rPr>
          <w:rFonts w:asciiTheme="majorBidi" w:eastAsia="Times New Roman" w:hAnsiTheme="majorBidi" w:cstheme="majorBidi"/>
          <w:b/>
          <w:bCs/>
          <w:color w:val="0F1115"/>
          <w:sz w:val="32"/>
          <w:szCs w:val="32"/>
        </w:rPr>
      </w:pPr>
      <w:r w:rsidRPr="00CF0F53">
        <w:rPr>
          <w:rFonts w:asciiTheme="majorBidi" w:eastAsia="Times New Roman" w:hAnsiTheme="majorBidi" w:cstheme="majorBidi"/>
          <w:b/>
          <w:bCs/>
          <w:color w:val="0F1115"/>
          <w:sz w:val="32"/>
          <w:szCs w:val="32"/>
          <w:rtl/>
        </w:rPr>
        <w:t>نقاط إثرائية عامة</w:t>
      </w:r>
    </w:p>
    <w:p w:rsidR="00C944D7" w:rsidRPr="00CF0F53" w:rsidRDefault="00C944D7" w:rsidP="00C944D7">
      <w:pPr>
        <w:numPr>
          <w:ilvl w:val="0"/>
          <w:numId w:val="15"/>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الربط بين ثقافة السلامة والعوامل البشرية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على الرغم من أن النموذج يتضمنهما كمتغيرين وسيطين منفصلين، إلا أنه في المقدمة والمشكلة تم التطرق إليهما معاً في كثير من الأحيان. يُفضل توضيح </w:t>
      </w:r>
      <w:r w:rsidRPr="00CF0F53">
        <w:rPr>
          <w:rFonts w:asciiTheme="majorBidi" w:eastAsia="Times New Roman" w:hAnsiTheme="majorBidi" w:cstheme="majorBidi"/>
          <w:b/>
          <w:bCs/>
          <w:color w:val="0F1115"/>
          <w:sz w:val="28"/>
          <w:szCs w:val="28"/>
          <w:rtl/>
        </w:rPr>
        <w:t>التمايز النظري</w:t>
      </w:r>
      <w:r w:rsidRPr="00CF0F53">
        <w:rPr>
          <w:rFonts w:asciiTheme="majorBidi" w:eastAsia="Times New Roman" w:hAnsiTheme="majorBidi" w:cstheme="majorBidi"/>
          <w:color w:val="0F1115"/>
          <w:sz w:val="28"/>
          <w:szCs w:val="28"/>
          <w:rtl/>
        </w:rPr>
        <w:t> بينهما (ثقافة السلامة كقيم تنظيمية جماعية، والعوامل البشرية كخصائص فردية ومهاراتية) مع بيان كيف يتكاملان في النموذج</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15"/>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الصياغة اللغوية</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توجد بعض الأخطاء الإملائية البسيطة (مثل: "نموذجًا" بدلاً من "نموذجاً" في بعض المواضع)، يُنصح بإجراء مراجعة لغوية شاملة</w:t>
      </w:r>
      <w:r w:rsidRPr="00CF0F53">
        <w:rPr>
          <w:rFonts w:asciiTheme="majorBidi" w:eastAsia="Times New Roman" w:hAnsiTheme="majorBidi" w:cstheme="majorBidi"/>
          <w:color w:val="0F1115"/>
          <w:sz w:val="28"/>
          <w:szCs w:val="28"/>
        </w:rPr>
        <w:t>.</w:t>
      </w:r>
    </w:p>
    <w:p w:rsidR="00C944D7" w:rsidRPr="00CF0F53" w:rsidRDefault="00C944D7" w:rsidP="00C944D7">
      <w:pPr>
        <w:numPr>
          <w:ilvl w:val="0"/>
          <w:numId w:val="15"/>
        </w:numPr>
        <w:bidi/>
        <w:spacing w:before="100" w:beforeAutospacing="1" w:after="0" w:line="420" w:lineRule="atLeast"/>
        <w:ind w:left="660"/>
        <w:rPr>
          <w:rFonts w:asciiTheme="majorBidi" w:eastAsia="Times New Roman" w:hAnsiTheme="majorBidi" w:cstheme="majorBidi"/>
          <w:color w:val="0F1115"/>
          <w:sz w:val="28"/>
          <w:szCs w:val="28"/>
        </w:rPr>
      </w:pPr>
      <w:r w:rsidRPr="00CF0F53">
        <w:rPr>
          <w:rFonts w:asciiTheme="majorBidi" w:eastAsia="Times New Roman" w:hAnsiTheme="majorBidi" w:cstheme="majorBidi"/>
          <w:b/>
          <w:bCs/>
          <w:color w:val="0F1115"/>
          <w:sz w:val="28"/>
          <w:szCs w:val="28"/>
          <w:rtl/>
        </w:rPr>
        <w:t>التسلسل المنطقي</w:t>
      </w:r>
      <w:r w:rsidRPr="00CF0F53">
        <w:rPr>
          <w:rFonts w:asciiTheme="majorBidi" w:eastAsia="Times New Roman" w:hAnsiTheme="majorBidi" w:cstheme="majorBidi"/>
          <w:color w:val="0F1115"/>
          <w:sz w:val="28"/>
          <w:szCs w:val="28"/>
        </w:rPr>
        <w:t xml:space="preserve">: </w:t>
      </w:r>
      <w:r w:rsidRPr="00CF0F53">
        <w:rPr>
          <w:rFonts w:asciiTheme="majorBidi" w:eastAsia="Times New Roman" w:hAnsiTheme="majorBidi" w:cstheme="majorBidi"/>
          <w:color w:val="0F1115"/>
          <w:sz w:val="28"/>
          <w:szCs w:val="28"/>
          <w:rtl/>
        </w:rPr>
        <w:t>في المقدمة، بعد الحديث عن القيادة التحويلية، تم الانتقال مباشرة لثقافة السلامة والعوامل البشرية، ثم الدول النامية، ثم بنجلاديش. هذا التسلسل جيد، لكن يُفضل إضافة </w:t>
      </w:r>
      <w:r w:rsidRPr="00CF0F53">
        <w:rPr>
          <w:rFonts w:asciiTheme="majorBidi" w:eastAsia="Times New Roman" w:hAnsiTheme="majorBidi" w:cstheme="majorBidi"/>
          <w:b/>
          <w:bCs/>
          <w:color w:val="0F1115"/>
          <w:sz w:val="28"/>
          <w:szCs w:val="28"/>
          <w:rtl/>
        </w:rPr>
        <w:t>فقرة انتقالية</w:t>
      </w:r>
      <w:r w:rsidRPr="00CF0F53">
        <w:rPr>
          <w:rFonts w:asciiTheme="majorBidi" w:eastAsia="Times New Roman" w:hAnsiTheme="majorBidi" w:cstheme="majorBidi"/>
          <w:color w:val="0F1115"/>
          <w:sz w:val="28"/>
          <w:szCs w:val="28"/>
          <w:rtl/>
        </w:rPr>
        <w:t> تربط بين القيادة التحويلية والسلامة التشغيلية من جهة، وبين ثقافة السلامة والعوامل البشرية من جهة أخرى، لتوضيح سبب اختيارها كمتغيرات وسيطة</w:t>
      </w:r>
      <w:r w:rsidRPr="00CF0F53">
        <w:rPr>
          <w:rFonts w:asciiTheme="majorBidi" w:eastAsia="Times New Roman" w:hAnsiTheme="majorBidi" w:cstheme="majorBidi"/>
          <w:color w:val="0F1115"/>
          <w:sz w:val="28"/>
          <w:szCs w:val="28"/>
        </w:rPr>
        <w:t>.</w:t>
      </w:r>
    </w:p>
    <w:p w:rsidR="00C944D7" w:rsidRPr="00CF0F53" w:rsidRDefault="00C944D7" w:rsidP="00C944D7">
      <w:pPr>
        <w:bidi/>
        <w:spacing w:before="480" w:after="480" w:line="420" w:lineRule="atLeast"/>
        <w:rPr>
          <w:rFonts w:asciiTheme="majorBidi" w:eastAsia="Times New Roman" w:hAnsiTheme="majorBidi" w:cstheme="majorBidi"/>
          <w:color w:val="0F1115"/>
          <w:sz w:val="28"/>
          <w:szCs w:val="28"/>
        </w:rPr>
      </w:pPr>
    </w:p>
    <w:sectPr w:rsidR="00C944D7" w:rsidRPr="00CF0F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ter">
    <w:altName w:val="Cambria"/>
    <w:charset w:val="00"/>
    <w:family w:val="auto"/>
    <w:pitch w:val="default"/>
    <w:sig w:usb0="E00002FF" w:usb1="1200A1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6A4C"/>
    <w:multiLevelType w:val="multilevel"/>
    <w:tmpl w:val="0D86531A"/>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535307"/>
    <w:multiLevelType w:val="multilevel"/>
    <w:tmpl w:val="E84081FC"/>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87D10"/>
    <w:multiLevelType w:val="multilevel"/>
    <w:tmpl w:val="3D08CBAA"/>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6C50CA"/>
    <w:multiLevelType w:val="multilevel"/>
    <w:tmpl w:val="1E669690"/>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060E6A"/>
    <w:multiLevelType w:val="multilevel"/>
    <w:tmpl w:val="3244A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D72962"/>
    <w:multiLevelType w:val="multilevel"/>
    <w:tmpl w:val="3F08732A"/>
    <w:lvl w:ilvl="0">
      <w:start w:val="7"/>
      <w:numFmt w:val="bullet"/>
      <w:lvlText w:val="-"/>
      <w:lvlJc w:val="left"/>
      <w:pPr>
        <w:tabs>
          <w:tab w:val="num" w:pos="810"/>
        </w:tabs>
        <w:ind w:left="810" w:hanging="360"/>
      </w:pPr>
      <w:rPr>
        <w:rFonts w:ascii="Arial" w:eastAsia="Times New Roman" w:hAnsi="Arial" w:cs="Arial" w:hint="default"/>
        <w:sz w:val="20"/>
      </w:rPr>
    </w:lvl>
    <w:lvl w:ilvl="1" w:tentative="1">
      <w:start w:val="1"/>
      <w:numFmt w:val="bullet"/>
      <w:lvlText w:val="o"/>
      <w:lvlJc w:val="left"/>
      <w:pPr>
        <w:tabs>
          <w:tab w:val="num" w:pos="1530"/>
        </w:tabs>
        <w:ind w:left="1530" w:hanging="360"/>
      </w:pPr>
      <w:rPr>
        <w:rFonts w:ascii="Courier New" w:hAnsi="Courier New"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6" w15:restartNumberingAfterBreak="0">
    <w:nsid w:val="363B35A3"/>
    <w:multiLevelType w:val="multilevel"/>
    <w:tmpl w:val="E3FE0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11767E"/>
    <w:multiLevelType w:val="multilevel"/>
    <w:tmpl w:val="488C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5B1F83"/>
    <w:multiLevelType w:val="multilevel"/>
    <w:tmpl w:val="2504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2222FB"/>
    <w:multiLevelType w:val="multilevel"/>
    <w:tmpl w:val="3B70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C639FC"/>
    <w:multiLevelType w:val="multilevel"/>
    <w:tmpl w:val="82F80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8B31EB"/>
    <w:multiLevelType w:val="multilevel"/>
    <w:tmpl w:val="4314CF9E"/>
    <w:lvl w:ilvl="0">
      <w:start w:val="7"/>
      <w:numFmt w:val="bullet"/>
      <w:lvlText w:val="-"/>
      <w:lvlJc w:val="left"/>
      <w:pPr>
        <w:tabs>
          <w:tab w:val="num" w:pos="720"/>
        </w:tabs>
        <w:ind w:left="720" w:hanging="360"/>
      </w:pPr>
      <w:rPr>
        <w:rFonts w:ascii="Arial" w:eastAsia="Times New Roman"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FF6DE6"/>
    <w:multiLevelType w:val="multilevel"/>
    <w:tmpl w:val="AD9C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F6745A"/>
    <w:multiLevelType w:val="multilevel"/>
    <w:tmpl w:val="D8B2A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FF7F0C"/>
    <w:multiLevelType w:val="multilevel"/>
    <w:tmpl w:val="A7E0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14"/>
  </w:num>
  <w:num w:numId="4">
    <w:abstractNumId w:val="4"/>
  </w:num>
  <w:num w:numId="5">
    <w:abstractNumId w:val="9"/>
  </w:num>
  <w:num w:numId="6">
    <w:abstractNumId w:val="7"/>
  </w:num>
  <w:num w:numId="7">
    <w:abstractNumId w:val="1"/>
  </w:num>
  <w:num w:numId="8">
    <w:abstractNumId w:val="3"/>
  </w:num>
  <w:num w:numId="9">
    <w:abstractNumId w:val="2"/>
  </w:num>
  <w:num w:numId="10">
    <w:abstractNumId w:val="5"/>
  </w:num>
  <w:num w:numId="11">
    <w:abstractNumId w:val="0"/>
  </w:num>
  <w:num w:numId="12">
    <w:abstractNumId w:val="11"/>
  </w:num>
  <w:num w:numId="13">
    <w:abstractNumId w:val="8"/>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sjQxMzczMTcwNjIyMDVQ0lEKTi0uzszPAykwrAUAmDMhHSwAAAA="/>
  </w:docVars>
  <w:rsids>
    <w:rsidRoot w:val="00145288"/>
    <w:rsid w:val="00145288"/>
    <w:rsid w:val="003132A1"/>
    <w:rsid w:val="00407B40"/>
    <w:rsid w:val="004307C4"/>
    <w:rsid w:val="005A039C"/>
    <w:rsid w:val="00C944D7"/>
    <w:rsid w:val="00CF0F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565223-F3CE-49A7-BC2E-36316021C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944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944D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944D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944D7"/>
    <w:rPr>
      <w:rFonts w:ascii="Times New Roman" w:eastAsia="Times New Roman" w:hAnsi="Times New Roman" w:cs="Times New Roman"/>
      <w:b/>
      <w:bCs/>
      <w:sz w:val="24"/>
      <w:szCs w:val="24"/>
    </w:rPr>
  </w:style>
  <w:style w:type="character" w:styleId="Strong">
    <w:name w:val="Strong"/>
    <w:basedOn w:val="DefaultParagraphFont"/>
    <w:uiPriority w:val="22"/>
    <w:qFormat/>
    <w:rsid w:val="00C944D7"/>
    <w:rPr>
      <w:b/>
      <w:bCs/>
    </w:rPr>
  </w:style>
  <w:style w:type="paragraph" w:customStyle="1" w:styleId="ds-markdown-paragraph">
    <w:name w:val="ds-markdown-paragraph"/>
    <w:basedOn w:val="Normal"/>
    <w:rsid w:val="00C944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944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139441">
      <w:bodyDiv w:val="1"/>
      <w:marLeft w:val="0"/>
      <w:marRight w:val="0"/>
      <w:marTop w:val="0"/>
      <w:marBottom w:val="0"/>
      <w:divBdr>
        <w:top w:val="none" w:sz="0" w:space="0" w:color="auto"/>
        <w:left w:val="none" w:sz="0" w:space="0" w:color="auto"/>
        <w:bottom w:val="none" w:sz="0" w:space="0" w:color="auto"/>
        <w:right w:val="none" w:sz="0" w:space="0" w:color="auto"/>
      </w:divBdr>
      <w:divsChild>
        <w:div w:id="1066952295">
          <w:marLeft w:val="0"/>
          <w:marRight w:val="0"/>
          <w:marTop w:val="0"/>
          <w:marBottom w:val="0"/>
          <w:divBdr>
            <w:top w:val="none" w:sz="0" w:space="0" w:color="auto"/>
            <w:left w:val="none" w:sz="0" w:space="0" w:color="auto"/>
            <w:bottom w:val="none" w:sz="0" w:space="0" w:color="auto"/>
            <w:right w:val="none" w:sz="0" w:space="0" w:color="auto"/>
          </w:divBdr>
          <w:divsChild>
            <w:div w:id="1939216667">
              <w:marLeft w:val="0"/>
              <w:marRight w:val="0"/>
              <w:marTop w:val="0"/>
              <w:marBottom w:val="0"/>
              <w:divBdr>
                <w:top w:val="none" w:sz="0" w:space="0" w:color="auto"/>
                <w:left w:val="none" w:sz="0" w:space="0" w:color="auto"/>
                <w:bottom w:val="none" w:sz="0" w:space="0" w:color="auto"/>
                <w:right w:val="none" w:sz="0" w:space="0" w:color="auto"/>
              </w:divBdr>
              <w:divsChild>
                <w:div w:id="587230242">
                  <w:marLeft w:val="0"/>
                  <w:marRight w:val="0"/>
                  <w:marTop w:val="0"/>
                  <w:marBottom w:val="0"/>
                  <w:divBdr>
                    <w:top w:val="none" w:sz="0" w:space="0" w:color="auto"/>
                    <w:left w:val="none" w:sz="0" w:space="0" w:color="auto"/>
                    <w:bottom w:val="none" w:sz="0" w:space="0" w:color="auto"/>
                    <w:right w:val="none" w:sz="0" w:space="0" w:color="auto"/>
                  </w:divBdr>
                  <w:divsChild>
                    <w:div w:id="303966569">
                      <w:marLeft w:val="0"/>
                      <w:marRight w:val="0"/>
                      <w:marTop w:val="0"/>
                      <w:marBottom w:val="0"/>
                      <w:divBdr>
                        <w:top w:val="none" w:sz="0" w:space="0" w:color="auto"/>
                        <w:left w:val="none" w:sz="0" w:space="0" w:color="auto"/>
                        <w:bottom w:val="none" w:sz="0" w:space="0" w:color="auto"/>
                        <w:right w:val="none" w:sz="0" w:space="0" w:color="auto"/>
                      </w:divBdr>
                      <w:divsChild>
                        <w:div w:id="2031487324">
                          <w:marLeft w:val="0"/>
                          <w:marRight w:val="0"/>
                          <w:marTop w:val="0"/>
                          <w:marBottom w:val="0"/>
                          <w:divBdr>
                            <w:top w:val="none" w:sz="0" w:space="0" w:color="auto"/>
                            <w:left w:val="none" w:sz="0" w:space="0" w:color="auto"/>
                            <w:bottom w:val="none" w:sz="0" w:space="0" w:color="auto"/>
                            <w:right w:val="none" w:sz="0" w:space="0" w:color="auto"/>
                          </w:divBdr>
                          <w:divsChild>
                            <w:div w:id="1728409090">
                              <w:marLeft w:val="0"/>
                              <w:marRight w:val="0"/>
                              <w:marTop w:val="0"/>
                              <w:marBottom w:val="0"/>
                              <w:divBdr>
                                <w:top w:val="none" w:sz="0" w:space="0" w:color="auto"/>
                                <w:left w:val="none" w:sz="0" w:space="0" w:color="auto"/>
                                <w:bottom w:val="none" w:sz="0" w:space="0" w:color="auto"/>
                                <w:right w:val="none" w:sz="0" w:space="0" w:color="auto"/>
                              </w:divBdr>
                              <w:divsChild>
                                <w:div w:id="340425983">
                                  <w:marLeft w:val="660"/>
                                  <w:marRight w:val="660"/>
                                  <w:marTop w:val="0"/>
                                  <w:marBottom w:val="0"/>
                                  <w:divBdr>
                                    <w:top w:val="none" w:sz="0" w:space="0" w:color="auto"/>
                                    <w:left w:val="none" w:sz="0" w:space="0" w:color="auto"/>
                                    <w:bottom w:val="none" w:sz="0" w:space="0" w:color="auto"/>
                                    <w:right w:val="none" w:sz="0" w:space="0" w:color="auto"/>
                                  </w:divBdr>
                                  <w:divsChild>
                                    <w:div w:id="1176118101">
                                      <w:marLeft w:val="0"/>
                                      <w:marRight w:val="0"/>
                                      <w:marTop w:val="0"/>
                                      <w:marBottom w:val="0"/>
                                      <w:divBdr>
                                        <w:top w:val="none" w:sz="0" w:space="0" w:color="auto"/>
                                        <w:left w:val="none" w:sz="0" w:space="0" w:color="auto"/>
                                        <w:bottom w:val="none" w:sz="0" w:space="0" w:color="auto"/>
                                        <w:right w:val="none" w:sz="0" w:space="0" w:color="auto"/>
                                      </w:divBdr>
                                      <w:divsChild>
                                        <w:div w:id="225916863">
                                          <w:marLeft w:val="0"/>
                                          <w:marRight w:val="0"/>
                                          <w:marTop w:val="0"/>
                                          <w:marBottom w:val="0"/>
                                          <w:divBdr>
                                            <w:top w:val="none" w:sz="0" w:space="0" w:color="auto"/>
                                            <w:left w:val="none" w:sz="0" w:space="0" w:color="auto"/>
                                            <w:bottom w:val="none" w:sz="0" w:space="0" w:color="auto"/>
                                            <w:right w:val="none" w:sz="0" w:space="0" w:color="auto"/>
                                          </w:divBdr>
                                          <w:divsChild>
                                            <w:div w:id="240725582">
                                              <w:marLeft w:val="0"/>
                                              <w:marRight w:val="0"/>
                                              <w:marTop w:val="0"/>
                                              <w:marBottom w:val="0"/>
                                              <w:divBdr>
                                                <w:top w:val="none" w:sz="0" w:space="0" w:color="auto"/>
                                                <w:left w:val="none" w:sz="0" w:space="0" w:color="auto"/>
                                                <w:bottom w:val="none" w:sz="0" w:space="0" w:color="auto"/>
                                                <w:right w:val="none" w:sz="0" w:space="0" w:color="auto"/>
                                              </w:divBdr>
                                              <w:divsChild>
                                                <w:div w:id="242179506">
                                                  <w:marLeft w:val="0"/>
                                                  <w:marRight w:val="0"/>
                                                  <w:marTop w:val="0"/>
                                                  <w:marBottom w:val="0"/>
                                                  <w:divBdr>
                                                    <w:top w:val="none" w:sz="0" w:space="0" w:color="auto"/>
                                                    <w:left w:val="none" w:sz="0" w:space="0" w:color="auto"/>
                                                    <w:bottom w:val="none" w:sz="0" w:space="0" w:color="auto"/>
                                                    <w:right w:val="none" w:sz="0" w:space="0" w:color="auto"/>
                                                  </w:divBdr>
                                                  <w:divsChild>
                                                    <w:div w:id="1471943642">
                                                      <w:blockQuote w:val="1"/>
                                                      <w:marLeft w:val="0"/>
                                                      <w:marRight w:val="0"/>
                                                      <w:marTop w:val="240"/>
                                                      <w:marBottom w:val="0"/>
                                                      <w:divBdr>
                                                        <w:top w:val="none" w:sz="0" w:space="0" w:color="auto"/>
                                                        <w:left w:val="single" w:sz="6" w:space="11" w:color="ADB2B8"/>
                                                        <w:bottom w:val="none" w:sz="0" w:space="0" w:color="auto"/>
                                                        <w:right w:val="none" w:sz="0" w:space="0" w:color="auto"/>
                                                      </w:divBdr>
                                                    </w:div>
                                                    <w:div w:id="201387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455102">
                                  <w:marLeft w:val="480"/>
                                  <w:marRight w:val="480"/>
                                  <w:marTop w:val="100"/>
                                  <w:marBottom w:val="0"/>
                                  <w:divBdr>
                                    <w:top w:val="none" w:sz="0" w:space="0" w:color="auto"/>
                                    <w:left w:val="none" w:sz="0" w:space="0" w:color="auto"/>
                                    <w:bottom w:val="none" w:sz="0" w:space="0" w:color="auto"/>
                                    <w:right w:val="none" w:sz="0" w:space="0" w:color="auto"/>
                                  </w:divBdr>
                                  <w:divsChild>
                                    <w:div w:id="1171797115">
                                      <w:marLeft w:val="0"/>
                                      <w:marRight w:val="0"/>
                                      <w:marTop w:val="0"/>
                                      <w:marBottom w:val="0"/>
                                      <w:divBdr>
                                        <w:top w:val="none" w:sz="0" w:space="0" w:color="auto"/>
                                        <w:left w:val="none" w:sz="0" w:space="0" w:color="auto"/>
                                        <w:bottom w:val="none" w:sz="0" w:space="0" w:color="auto"/>
                                        <w:right w:val="none" w:sz="0" w:space="0" w:color="auto"/>
                                      </w:divBdr>
                                      <w:divsChild>
                                        <w:div w:id="156698052">
                                          <w:marLeft w:val="0"/>
                                          <w:marRight w:val="0"/>
                                          <w:marTop w:val="0"/>
                                          <w:marBottom w:val="0"/>
                                          <w:divBdr>
                                            <w:top w:val="none" w:sz="0" w:space="0" w:color="auto"/>
                                            <w:left w:val="none" w:sz="0" w:space="0" w:color="auto"/>
                                            <w:bottom w:val="none" w:sz="0" w:space="0" w:color="auto"/>
                                            <w:right w:val="none" w:sz="0" w:space="0" w:color="auto"/>
                                          </w:divBdr>
                                          <w:divsChild>
                                            <w:div w:id="1277981487">
                                              <w:marLeft w:val="0"/>
                                              <w:marRight w:val="0"/>
                                              <w:marTop w:val="60"/>
                                              <w:marBottom w:val="0"/>
                                              <w:divBdr>
                                                <w:top w:val="none" w:sz="0" w:space="0" w:color="auto"/>
                                                <w:left w:val="none" w:sz="0" w:space="0" w:color="auto"/>
                                                <w:bottom w:val="none" w:sz="0" w:space="0" w:color="auto"/>
                                                <w:right w:val="none" w:sz="0" w:space="0" w:color="auto"/>
                                              </w:divBdr>
                                              <w:divsChild>
                                                <w:div w:id="155859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57064-F3E1-490E-8233-E0FCAC91D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775</Words>
  <Characters>4421</Characters>
  <Application>Microsoft Office Word</Application>
  <DocSecurity>0</DocSecurity>
  <Lines>36</Lines>
  <Paragraphs>10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تحية طيبة وبعد،</vt:lpstr>
      <vt:lpstr>    ملخص التقييم العام : أثر نضج ممارسات الحوكمة البيئية والاجتماعية والمؤسسية على ا</vt:lpstr>
      <vt:lpstr>        تميز خطة البحث المقدمة من الباحث (غصن بن سعود السبيعي) لقد تم تنفيذ غالبية التعد</vt:lpstr>
      <vt:lpstr>        ملاحظات تفصيلية لكل محور</vt:lpstr>
      <vt:lpstr>        نقاط إثرائية عامة</vt:lpstr>
    </vt:vector>
  </TitlesOfParts>
  <Company/>
  <LinksUpToDate>false</LinksUpToDate>
  <CharactersWithSpaces>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6</cp:revision>
  <dcterms:created xsi:type="dcterms:W3CDTF">2026-07-25T15:59:00Z</dcterms:created>
  <dcterms:modified xsi:type="dcterms:W3CDTF">2026-07-28T14:16:00Z</dcterms:modified>
</cp:coreProperties>
</file>