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46190" w14:textId="77777777" w:rsidR="00C704F8" w:rsidRDefault="00000000">
      <w:pPr>
        <w:spacing w:after="43" w:line="259" w:lineRule="auto"/>
        <w:ind w:left="10" w:hanging="10"/>
        <w:jc w:val="center"/>
      </w:pPr>
      <w:r>
        <w:t>V. R</w:t>
      </w:r>
      <w:r>
        <w:rPr>
          <w:sz w:val="16"/>
        </w:rPr>
        <w:t xml:space="preserve">ESULTS AND </w:t>
      </w:r>
      <w:r>
        <w:t>D</w:t>
      </w:r>
      <w:r>
        <w:rPr>
          <w:sz w:val="16"/>
        </w:rPr>
        <w:t>ISCUSSION</w:t>
      </w:r>
    </w:p>
    <w:p w14:paraId="7B6FC4B3" w14:textId="77777777" w:rsidR="00C704F8" w:rsidRDefault="00000000">
      <w:pPr>
        <w:spacing w:after="117"/>
        <w:ind w:left="-15"/>
      </w:pPr>
      <w:r>
        <w:t>This section presents the experimental results of our proposed hybrid deep learning approach for monkeypox detection and provides a comprehensive analysis of its performance. We evaluate the model using standard classification metrics and compare it with existing approaches from the literature.</w:t>
      </w:r>
    </w:p>
    <w:p w14:paraId="09D9FCBE" w14:textId="77777777" w:rsidR="00C704F8" w:rsidRDefault="00000000">
      <w:pPr>
        <w:pStyle w:val="Heading1"/>
        <w:ind w:left="-5"/>
      </w:pPr>
      <w:r>
        <w:t>A. Classification Performance</w:t>
      </w:r>
    </w:p>
    <w:p w14:paraId="0AC1C64A" w14:textId="77777777" w:rsidR="00C704F8" w:rsidRDefault="00000000">
      <w:pPr>
        <w:spacing w:after="190"/>
        <w:ind w:left="-15"/>
      </w:pPr>
      <w:r>
        <w:t>The performance of our hybrid model was evaluated on the test set containing 617 monkeypox images and 848 nonmonkeypox images. Table II presents the detailed classification report, including precision, recall, F1-score, and support for each class.</w:t>
      </w:r>
    </w:p>
    <w:p w14:paraId="46E0C060" w14:textId="77777777" w:rsidR="00C704F8" w:rsidRDefault="00000000">
      <w:pPr>
        <w:spacing w:after="0" w:line="259" w:lineRule="auto"/>
        <w:ind w:left="10" w:hanging="10"/>
        <w:jc w:val="center"/>
      </w:pPr>
      <w:r>
        <w:rPr>
          <w:sz w:val="16"/>
        </w:rPr>
        <w:t>TABLE II</w:t>
      </w:r>
    </w:p>
    <w:p w14:paraId="37410542" w14:textId="77777777" w:rsidR="00C704F8" w:rsidRDefault="00000000">
      <w:pPr>
        <w:spacing w:after="0" w:line="265" w:lineRule="auto"/>
        <w:ind w:left="10" w:hanging="10"/>
        <w:jc w:val="center"/>
      </w:pPr>
      <w:r>
        <w:rPr>
          <w:sz w:val="16"/>
        </w:rPr>
        <w:t>C</w:t>
      </w:r>
      <w:r>
        <w:rPr>
          <w:sz w:val="13"/>
        </w:rPr>
        <w:t xml:space="preserve">LASSIFICATION </w:t>
      </w:r>
      <w:r>
        <w:rPr>
          <w:sz w:val="16"/>
        </w:rPr>
        <w:t>R</w:t>
      </w:r>
      <w:r>
        <w:rPr>
          <w:sz w:val="13"/>
        </w:rPr>
        <w:t xml:space="preserve">EPORT FOR </w:t>
      </w:r>
      <w:r>
        <w:rPr>
          <w:sz w:val="16"/>
        </w:rPr>
        <w:t>M</w:t>
      </w:r>
      <w:r>
        <w:rPr>
          <w:sz w:val="13"/>
        </w:rPr>
        <w:t xml:space="preserve">ONKEYPOX </w:t>
      </w:r>
      <w:r>
        <w:rPr>
          <w:sz w:val="16"/>
        </w:rPr>
        <w:t>D</w:t>
      </w:r>
      <w:r>
        <w:rPr>
          <w:sz w:val="13"/>
        </w:rPr>
        <w:t>ETECTION</w:t>
      </w:r>
    </w:p>
    <w:tbl>
      <w:tblPr>
        <w:tblStyle w:val="TableGrid"/>
        <w:tblW w:w="4518" w:type="dxa"/>
        <w:tblInd w:w="224" w:type="dxa"/>
        <w:tblCellMar>
          <w:top w:w="20" w:type="dxa"/>
          <w:left w:w="115" w:type="dxa"/>
          <w:bottom w:w="0" w:type="dxa"/>
          <w:right w:w="115" w:type="dxa"/>
        </w:tblCellMar>
        <w:tblLook w:val="04A0" w:firstRow="1" w:lastRow="0" w:firstColumn="1" w:lastColumn="0" w:noHBand="0" w:noVBand="1"/>
      </w:tblPr>
      <w:tblGrid>
        <w:gridCol w:w="1345"/>
        <w:gridCol w:w="865"/>
        <w:gridCol w:w="664"/>
        <w:gridCol w:w="847"/>
        <w:gridCol w:w="797"/>
      </w:tblGrid>
      <w:tr w:rsidR="00C704F8" w14:paraId="295DCBA8" w14:textId="77777777">
        <w:trPr>
          <w:trHeight w:val="187"/>
        </w:trPr>
        <w:tc>
          <w:tcPr>
            <w:tcW w:w="1345" w:type="dxa"/>
            <w:tcBorders>
              <w:top w:val="single" w:sz="3" w:space="0" w:color="000000"/>
              <w:left w:val="single" w:sz="3" w:space="0" w:color="000000"/>
              <w:bottom w:val="single" w:sz="3" w:space="0" w:color="000000"/>
              <w:right w:val="single" w:sz="3" w:space="0" w:color="000000"/>
            </w:tcBorders>
          </w:tcPr>
          <w:p w14:paraId="54737B69" w14:textId="77777777" w:rsidR="00C704F8" w:rsidRDefault="00000000">
            <w:pPr>
              <w:spacing w:after="0" w:line="259" w:lineRule="auto"/>
              <w:ind w:right="4" w:firstLine="0"/>
              <w:jc w:val="center"/>
            </w:pPr>
            <w:r>
              <w:rPr>
                <w:sz w:val="16"/>
              </w:rPr>
              <w:t>Class</w:t>
            </w:r>
          </w:p>
        </w:tc>
        <w:tc>
          <w:tcPr>
            <w:tcW w:w="865" w:type="dxa"/>
            <w:tcBorders>
              <w:top w:val="single" w:sz="3" w:space="0" w:color="000000"/>
              <w:left w:val="single" w:sz="3" w:space="0" w:color="000000"/>
              <w:bottom w:val="single" w:sz="3" w:space="0" w:color="000000"/>
              <w:right w:val="single" w:sz="3" w:space="0" w:color="000000"/>
            </w:tcBorders>
          </w:tcPr>
          <w:p w14:paraId="6D523B17" w14:textId="77777777" w:rsidR="00C704F8" w:rsidRDefault="00000000">
            <w:pPr>
              <w:spacing w:after="0" w:line="259" w:lineRule="auto"/>
              <w:ind w:firstLine="0"/>
              <w:jc w:val="left"/>
            </w:pPr>
            <w:r>
              <w:rPr>
                <w:sz w:val="16"/>
              </w:rPr>
              <w:t>Precision</w:t>
            </w:r>
          </w:p>
        </w:tc>
        <w:tc>
          <w:tcPr>
            <w:tcW w:w="664" w:type="dxa"/>
            <w:tcBorders>
              <w:top w:val="single" w:sz="3" w:space="0" w:color="000000"/>
              <w:left w:val="single" w:sz="3" w:space="0" w:color="000000"/>
              <w:bottom w:val="single" w:sz="3" w:space="0" w:color="000000"/>
              <w:right w:val="single" w:sz="3" w:space="0" w:color="000000"/>
            </w:tcBorders>
          </w:tcPr>
          <w:p w14:paraId="06B1DA4B" w14:textId="77777777" w:rsidR="00C704F8" w:rsidRDefault="00000000">
            <w:pPr>
              <w:spacing w:after="0" w:line="259" w:lineRule="auto"/>
              <w:ind w:firstLine="0"/>
              <w:jc w:val="left"/>
            </w:pPr>
            <w:r>
              <w:rPr>
                <w:sz w:val="16"/>
              </w:rPr>
              <w:t>Recall</w:t>
            </w:r>
          </w:p>
        </w:tc>
        <w:tc>
          <w:tcPr>
            <w:tcW w:w="847" w:type="dxa"/>
            <w:tcBorders>
              <w:top w:val="single" w:sz="3" w:space="0" w:color="000000"/>
              <w:left w:val="single" w:sz="3" w:space="0" w:color="000000"/>
              <w:bottom w:val="single" w:sz="3" w:space="0" w:color="000000"/>
              <w:right w:val="single" w:sz="3" w:space="0" w:color="000000"/>
            </w:tcBorders>
          </w:tcPr>
          <w:p w14:paraId="70102950" w14:textId="77777777" w:rsidR="00C704F8" w:rsidRDefault="00000000">
            <w:pPr>
              <w:spacing w:after="0" w:line="259" w:lineRule="auto"/>
              <w:ind w:firstLine="0"/>
              <w:jc w:val="left"/>
            </w:pPr>
            <w:r>
              <w:rPr>
                <w:sz w:val="16"/>
              </w:rPr>
              <w:t>F1-Score</w:t>
            </w:r>
          </w:p>
        </w:tc>
        <w:tc>
          <w:tcPr>
            <w:tcW w:w="797" w:type="dxa"/>
            <w:tcBorders>
              <w:top w:val="single" w:sz="3" w:space="0" w:color="000000"/>
              <w:left w:val="single" w:sz="3" w:space="0" w:color="000000"/>
              <w:bottom w:val="single" w:sz="3" w:space="0" w:color="000000"/>
              <w:right w:val="single" w:sz="3" w:space="0" w:color="000000"/>
            </w:tcBorders>
          </w:tcPr>
          <w:p w14:paraId="370DD980" w14:textId="77777777" w:rsidR="00C704F8" w:rsidRDefault="00000000">
            <w:pPr>
              <w:spacing w:after="0" w:line="259" w:lineRule="auto"/>
              <w:ind w:firstLine="0"/>
              <w:jc w:val="left"/>
            </w:pPr>
            <w:r>
              <w:rPr>
                <w:sz w:val="16"/>
              </w:rPr>
              <w:t>Support</w:t>
            </w:r>
          </w:p>
        </w:tc>
      </w:tr>
      <w:tr w:rsidR="00C704F8" w14:paraId="54E91129" w14:textId="77777777">
        <w:trPr>
          <w:trHeight w:val="187"/>
        </w:trPr>
        <w:tc>
          <w:tcPr>
            <w:tcW w:w="1345" w:type="dxa"/>
            <w:tcBorders>
              <w:top w:val="single" w:sz="3" w:space="0" w:color="000000"/>
              <w:left w:val="single" w:sz="3" w:space="0" w:color="000000"/>
              <w:bottom w:val="single" w:sz="3" w:space="0" w:color="000000"/>
              <w:right w:val="single" w:sz="3" w:space="0" w:color="000000"/>
            </w:tcBorders>
          </w:tcPr>
          <w:p w14:paraId="0E5AC2CD" w14:textId="77777777" w:rsidR="00C704F8" w:rsidRDefault="00000000">
            <w:pPr>
              <w:spacing w:after="0" w:line="259" w:lineRule="auto"/>
              <w:ind w:right="4" w:firstLine="0"/>
              <w:jc w:val="center"/>
            </w:pPr>
            <w:r>
              <w:rPr>
                <w:sz w:val="16"/>
              </w:rPr>
              <w:t>MonkeyPox</w:t>
            </w:r>
          </w:p>
        </w:tc>
        <w:tc>
          <w:tcPr>
            <w:tcW w:w="865" w:type="dxa"/>
            <w:tcBorders>
              <w:top w:val="single" w:sz="3" w:space="0" w:color="000000"/>
              <w:left w:val="single" w:sz="3" w:space="0" w:color="000000"/>
              <w:bottom w:val="single" w:sz="3" w:space="0" w:color="000000"/>
              <w:right w:val="single" w:sz="3" w:space="0" w:color="000000"/>
            </w:tcBorders>
          </w:tcPr>
          <w:p w14:paraId="4AEFF2FC" w14:textId="77777777" w:rsidR="00C704F8" w:rsidRDefault="00000000">
            <w:pPr>
              <w:spacing w:after="0" w:line="259" w:lineRule="auto"/>
              <w:ind w:right="4" w:firstLine="0"/>
              <w:jc w:val="center"/>
            </w:pPr>
            <w:r>
              <w:rPr>
                <w:sz w:val="16"/>
              </w:rPr>
              <w:t>1.00</w:t>
            </w:r>
          </w:p>
        </w:tc>
        <w:tc>
          <w:tcPr>
            <w:tcW w:w="664" w:type="dxa"/>
            <w:tcBorders>
              <w:top w:val="single" w:sz="3" w:space="0" w:color="000000"/>
              <w:left w:val="single" w:sz="3" w:space="0" w:color="000000"/>
              <w:bottom w:val="single" w:sz="3" w:space="0" w:color="000000"/>
              <w:right w:val="single" w:sz="3" w:space="0" w:color="000000"/>
            </w:tcBorders>
          </w:tcPr>
          <w:p w14:paraId="72499672" w14:textId="77777777" w:rsidR="00C704F8" w:rsidRDefault="00000000">
            <w:pPr>
              <w:spacing w:after="0" w:line="259" w:lineRule="auto"/>
              <w:ind w:right="4" w:firstLine="0"/>
              <w:jc w:val="center"/>
            </w:pPr>
            <w:r>
              <w:rPr>
                <w:sz w:val="16"/>
              </w:rPr>
              <w:t>0.98</w:t>
            </w:r>
          </w:p>
        </w:tc>
        <w:tc>
          <w:tcPr>
            <w:tcW w:w="847" w:type="dxa"/>
            <w:tcBorders>
              <w:top w:val="single" w:sz="3" w:space="0" w:color="000000"/>
              <w:left w:val="single" w:sz="3" w:space="0" w:color="000000"/>
              <w:bottom w:val="single" w:sz="3" w:space="0" w:color="000000"/>
              <w:right w:val="single" w:sz="3" w:space="0" w:color="000000"/>
            </w:tcBorders>
          </w:tcPr>
          <w:p w14:paraId="0C1D78A5" w14:textId="77777777" w:rsidR="00C704F8" w:rsidRDefault="00000000">
            <w:pPr>
              <w:spacing w:after="0" w:line="259" w:lineRule="auto"/>
              <w:ind w:right="4" w:firstLine="0"/>
              <w:jc w:val="center"/>
            </w:pPr>
            <w:r>
              <w:rPr>
                <w:sz w:val="16"/>
              </w:rPr>
              <w:t>0.99</w:t>
            </w:r>
          </w:p>
        </w:tc>
        <w:tc>
          <w:tcPr>
            <w:tcW w:w="797" w:type="dxa"/>
            <w:tcBorders>
              <w:top w:val="single" w:sz="3" w:space="0" w:color="000000"/>
              <w:left w:val="single" w:sz="3" w:space="0" w:color="000000"/>
              <w:bottom w:val="single" w:sz="3" w:space="0" w:color="000000"/>
              <w:right w:val="single" w:sz="3" w:space="0" w:color="000000"/>
            </w:tcBorders>
          </w:tcPr>
          <w:p w14:paraId="61AA14B3" w14:textId="77777777" w:rsidR="00C704F8" w:rsidRDefault="00000000">
            <w:pPr>
              <w:spacing w:after="0" w:line="259" w:lineRule="auto"/>
              <w:ind w:right="4" w:firstLine="0"/>
              <w:jc w:val="center"/>
            </w:pPr>
            <w:r>
              <w:rPr>
                <w:sz w:val="16"/>
              </w:rPr>
              <w:t>617</w:t>
            </w:r>
          </w:p>
        </w:tc>
      </w:tr>
      <w:tr w:rsidR="00C704F8" w14:paraId="7D92303C" w14:textId="77777777">
        <w:trPr>
          <w:trHeight w:val="187"/>
        </w:trPr>
        <w:tc>
          <w:tcPr>
            <w:tcW w:w="1345" w:type="dxa"/>
            <w:tcBorders>
              <w:top w:val="single" w:sz="3" w:space="0" w:color="000000"/>
              <w:left w:val="single" w:sz="3" w:space="0" w:color="000000"/>
              <w:bottom w:val="single" w:sz="3" w:space="0" w:color="000000"/>
              <w:right w:val="single" w:sz="3" w:space="0" w:color="000000"/>
            </w:tcBorders>
          </w:tcPr>
          <w:p w14:paraId="0C442E96" w14:textId="77777777" w:rsidR="00C704F8" w:rsidRDefault="00000000">
            <w:pPr>
              <w:spacing w:after="0" w:line="259" w:lineRule="auto"/>
              <w:ind w:firstLine="0"/>
              <w:jc w:val="left"/>
            </w:pPr>
            <w:r>
              <w:rPr>
                <w:sz w:val="16"/>
              </w:rPr>
              <w:t>Non MonkeyPox</w:t>
            </w:r>
          </w:p>
        </w:tc>
        <w:tc>
          <w:tcPr>
            <w:tcW w:w="865" w:type="dxa"/>
            <w:tcBorders>
              <w:top w:val="single" w:sz="3" w:space="0" w:color="000000"/>
              <w:left w:val="single" w:sz="3" w:space="0" w:color="000000"/>
              <w:bottom w:val="single" w:sz="3" w:space="0" w:color="000000"/>
              <w:right w:val="single" w:sz="3" w:space="0" w:color="000000"/>
            </w:tcBorders>
          </w:tcPr>
          <w:p w14:paraId="2EBBD80E" w14:textId="77777777" w:rsidR="00C704F8" w:rsidRDefault="00000000">
            <w:pPr>
              <w:spacing w:after="0" w:line="259" w:lineRule="auto"/>
              <w:ind w:right="4" w:firstLine="0"/>
              <w:jc w:val="center"/>
            </w:pPr>
            <w:r>
              <w:rPr>
                <w:sz w:val="16"/>
              </w:rPr>
              <w:t>0.97</w:t>
            </w:r>
          </w:p>
        </w:tc>
        <w:tc>
          <w:tcPr>
            <w:tcW w:w="664" w:type="dxa"/>
            <w:tcBorders>
              <w:top w:val="single" w:sz="3" w:space="0" w:color="000000"/>
              <w:left w:val="single" w:sz="3" w:space="0" w:color="000000"/>
              <w:bottom w:val="single" w:sz="3" w:space="0" w:color="000000"/>
              <w:right w:val="single" w:sz="3" w:space="0" w:color="000000"/>
            </w:tcBorders>
          </w:tcPr>
          <w:p w14:paraId="775C6753" w14:textId="77777777" w:rsidR="00C704F8" w:rsidRDefault="00000000">
            <w:pPr>
              <w:spacing w:after="0" w:line="259" w:lineRule="auto"/>
              <w:ind w:right="4" w:firstLine="0"/>
              <w:jc w:val="center"/>
            </w:pPr>
            <w:r>
              <w:rPr>
                <w:sz w:val="16"/>
              </w:rPr>
              <w:t>1.00</w:t>
            </w:r>
          </w:p>
        </w:tc>
        <w:tc>
          <w:tcPr>
            <w:tcW w:w="847" w:type="dxa"/>
            <w:tcBorders>
              <w:top w:val="single" w:sz="3" w:space="0" w:color="000000"/>
              <w:left w:val="single" w:sz="3" w:space="0" w:color="000000"/>
              <w:bottom w:val="single" w:sz="3" w:space="0" w:color="000000"/>
              <w:right w:val="single" w:sz="3" w:space="0" w:color="000000"/>
            </w:tcBorders>
          </w:tcPr>
          <w:p w14:paraId="2EF4DDFB" w14:textId="77777777" w:rsidR="00C704F8" w:rsidRDefault="00000000">
            <w:pPr>
              <w:spacing w:after="0" w:line="259" w:lineRule="auto"/>
              <w:ind w:right="4" w:firstLine="0"/>
              <w:jc w:val="center"/>
            </w:pPr>
            <w:r>
              <w:rPr>
                <w:sz w:val="16"/>
              </w:rPr>
              <w:t>0.99</w:t>
            </w:r>
          </w:p>
        </w:tc>
        <w:tc>
          <w:tcPr>
            <w:tcW w:w="797" w:type="dxa"/>
            <w:tcBorders>
              <w:top w:val="single" w:sz="3" w:space="0" w:color="000000"/>
              <w:left w:val="single" w:sz="3" w:space="0" w:color="000000"/>
              <w:bottom w:val="single" w:sz="3" w:space="0" w:color="000000"/>
              <w:right w:val="single" w:sz="3" w:space="0" w:color="000000"/>
            </w:tcBorders>
          </w:tcPr>
          <w:p w14:paraId="02F49F5C" w14:textId="77777777" w:rsidR="00C704F8" w:rsidRDefault="00000000">
            <w:pPr>
              <w:spacing w:after="0" w:line="259" w:lineRule="auto"/>
              <w:ind w:right="4" w:firstLine="0"/>
              <w:jc w:val="center"/>
            </w:pPr>
            <w:r>
              <w:rPr>
                <w:sz w:val="16"/>
              </w:rPr>
              <w:t>848</w:t>
            </w:r>
          </w:p>
        </w:tc>
      </w:tr>
      <w:tr w:rsidR="00C704F8" w14:paraId="37C1DBE9" w14:textId="77777777">
        <w:trPr>
          <w:trHeight w:val="187"/>
        </w:trPr>
        <w:tc>
          <w:tcPr>
            <w:tcW w:w="1345" w:type="dxa"/>
            <w:tcBorders>
              <w:top w:val="single" w:sz="3" w:space="0" w:color="000000"/>
              <w:left w:val="single" w:sz="3" w:space="0" w:color="000000"/>
              <w:bottom w:val="single" w:sz="3" w:space="0" w:color="000000"/>
              <w:right w:val="single" w:sz="3" w:space="0" w:color="000000"/>
            </w:tcBorders>
          </w:tcPr>
          <w:p w14:paraId="6C516741" w14:textId="77777777" w:rsidR="00C704F8" w:rsidRDefault="00000000">
            <w:pPr>
              <w:spacing w:after="0" w:line="259" w:lineRule="auto"/>
              <w:ind w:firstLine="0"/>
              <w:jc w:val="center"/>
            </w:pPr>
            <w:r>
              <w:rPr>
                <w:sz w:val="16"/>
              </w:rPr>
              <w:t>Accuracy</w:t>
            </w:r>
          </w:p>
        </w:tc>
        <w:tc>
          <w:tcPr>
            <w:tcW w:w="865" w:type="dxa"/>
            <w:tcBorders>
              <w:top w:val="single" w:sz="3" w:space="0" w:color="000000"/>
              <w:left w:val="single" w:sz="3" w:space="0" w:color="000000"/>
              <w:bottom w:val="single" w:sz="3" w:space="0" w:color="000000"/>
              <w:right w:val="nil"/>
            </w:tcBorders>
          </w:tcPr>
          <w:p w14:paraId="09F32A51" w14:textId="77777777" w:rsidR="00C704F8" w:rsidRDefault="00C704F8">
            <w:pPr>
              <w:spacing w:after="160" w:line="259" w:lineRule="auto"/>
              <w:ind w:firstLine="0"/>
              <w:jc w:val="left"/>
            </w:pPr>
          </w:p>
        </w:tc>
        <w:tc>
          <w:tcPr>
            <w:tcW w:w="664" w:type="dxa"/>
            <w:tcBorders>
              <w:top w:val="single" w:sz="3" w:space="0" w:color="000000"/>
              <w:left w:val="nil"/>
              <w:bottom w:val="single" w:sz="3" w:space="0" w:color="000000"/>
              <w:right w:val="nil"/>
            </w:tcBorders>
          </w:tcPr>
          <w:p w14:paraId="50AB2916" w14:textId="77777777" w:rsidR="00C704F8" w:rsidRDefault="00000000">
            <w:pPr>
              <w:spacing w:after="0" w:line="259" w:lineRule="auto"/>
              <w:ind w:right="18" w:firstLine="0"/>
              <w:jc w:val="center"/>
            </w:pPr>
            <w:r>
              <w:rPr>
                <w:sz w:val="16"/>
              </w:rPr>
              <w:t>0.98</w:t>
            </w:r>
          </w:p>
        </w:tc>
        <w:tc>
          <w:tcPr>
            <w:tcW w:w="847" w:type="dxa"/>
            <w:tcBorders>
              <w:top w:val="single" w:sz="3" w:space="0" w:color="000000"/>
              <w:left w:val="nil"/>
              <w:bottom w:val="single" w:sz="3" w:space="0" w:color="000000"/>
              <w:right w:val="single" w:sz="3" w:space="0" w:color="000000"/>
            </w:tcBorders>
          </w:tcPr>
          <w:p w14:paraId="51540BA8" w14:textId="77777777" w:rsidR="00C704F8" w:rsidRDefault="00C704F8">
            <w:pPr>
              <w:spacing w:after="160" w:line="259" w:lineRule="auto"/>
              <w:ind w:firstLine="0"/>
              <w:jc w:val="left"/>
            </w:pPr>
          </w:p>
        </w:tc>
        <w:tc>
          <w:tcPr>
            <w:tcW w:w="797" w:type="dxa"/>
            <w:tcBorders>
              <w:top w:val="single" w:sz="3" w:space="0" w:color="000000"/>
              <w:left w:val="single" w:sz="3" w:space="0" w:color="000000"/>
              <w:bottom w:val="single" w:sz="3" w:space="0" w:color="000000"/>
              <w:right w:val="single" w:sz="3" w:space="0" w:color="000000"/>
            </w:tcBorders>
          </w:tcPr>
          <w:p w14:paraId="204FFDA1" w14:textId="77777777" w:rsidR="00C704F8" w:rsidRDefault="00000000">
            <w:pPr>
              <w:spacing w:after="0" w:line="259" w:lineRule="auto"/>
              <w:ind w:firstLine="0"/>
              <w:jc w:val="center"/>
            </w:pPr>
            <w:r>
              <w:rPr>
                <w:sz w:val="16"/>
              </w:rPr>
              <w:t>1465</w:t>
            </w:r>
          </w:p>
        </w:tc>
      </w:tr>
      <w:tr w:rsidR="00C704F8" w14:paraId="18142C29" w14:textId="77777777">
        <w:trPr>
          <w:trHeight w:val="187"/>
        </w:trPr>
        <w:tc>
          <w:tcPr>
            <w:tcW w:w="1345" w:type="dxa"/>
            <w:tcBorders>
              <w:top w:val="single" w:sz="3" w:space="0" w:color="000000"/>
              <w:left w:val="single" w:sz="3" w:space="0" w:color="000000"/>
              <w:bottom w:val="single" w:sz="3" w:space="0" w:color="000000"/>
              <w:right w:val="single" w:sz="3" w:space="0" w:color="000000"/>
            </w:tcBorders>
          </w:tcPr>
          <w:p w14:paraId="231E4BFE" w14:textId="77777777" w:rsidR="00C704F8" w:rsidRDefault="00000000">
            <w:pPr>
              <w:spacing w:after="0" w:line="259" w:lineRule="auto"/>
              <w:ind w:firstLine="0"/>
              <w:jc w:val="center"/>
            </w:pPr>
            <w:r>
              <w:rPr>
                <w:sz w:val="16"/>
              </w:rPr>
              <w:t>Macro Avg</w:t>
            </w:r>
          </w:p>
        </w:tc>
        <w:tc>
          <w:tcPr>
            <w:tcW w:w="865" w:type="dxa"/>
            <w:tcBorders>
              <w:top w:val="single" w:sz="3" w:space="0" w:color="000000"/>
              <w:left w:val="single" w:sz="3" w:space="0" w:color="000000"/>
              <w:bottom w:val="single" w:sz="3" w:space="0" w:color="000000"/>
              <w:right w:val="single" w:sz="3" w:space="0" w:color="000000"/>
            </w:tcBorders>
          </w:tcPr>
          <w:p w14:paraId="5C561AA6" w14:textId="77777777" w:rsidR="00C704F8" w:rsidRDefault="00000000">
            <w:pPr>
              <w:spacing w:after="0" w:line="259" w:lineRule="auto"/>
              <w:ind w:firstLine="0"/>
              <w:jc w:val="center"/>
            </w:pPr>
            <w:r>
              <w:rPr>
                <w:sz w:val="16"/>
              </w:rPr>
              <w:t>0.99</w:t>
            </w:r>
          </w:p>
        </w:tc>
        <w:tc>
          <w:tcPr>
            <w:tcW w:w="664" w:type="dxa"/>
            <w:tcBorders>
              <w:top w:val="single" w:sz="3" w:space="0" w:color="000000"/>
              <w:left w:val="single" w:sz="3" w:space="0" w:color="000000"/>
              <w:bottom w:val="single" w:sz="3" w:space="0" w:color="000000"/>
              <w:right w:val="single" w:sz="3" w:space="0" w:color="000000"/>
            </w:tcBorders>
          </w:tcPr>
          <w:p w14:paraId="6E49482A" w14:textId="77777777" w:rsidR="00C704F8" w:rsidRDefault="00000000">
            <w:pPr>
              <w:spacing w:after="0" w:line="259" w:lineRule="auto"/>
              <w:ind w:firstLine="0"/>
              <w:jc w:val="center"/>
            </w:pPr>
            <w:r>
              <w:rPr>
                <w:sz w:val="16"/>
              </w:rPr>
              <w:t>0.98</w:t>
            </w:r>
          </w:p>
        </w:tc>
        <w:tc>
          <w:tcPr>
            <w:tcW w:w="847" w:type="dxa"/>
            <w:tcBorders>
              <w:top w:val="single" w:sz="3" w:space="0" w:color="000000"/>
              <w:left w:val="single" w:sz="3" w:space="0" w:color="000000"/>
              <w:bottom w:val="single" w:sz="3" w:space="0" w:color="000000"/>
              <w:right w:val="single" w:sz="3" w:space="0" w:color="000000"/>
            </w:tcBorders>
          </w:tcPr>
          <w:p w14:paraId="0C6268C0" w14:textId="77777777" w:rsidR="00C704F8" w:rsidRDefault="00000000">
            <w:pPr>
              <w:spacing w:after="0" w:line="259" w:lineRule="auto"/>
              <w:ind w:firstLine="0"/>
              <w:jc w:val="center"/>
            </w:pPr>
            <w:r>
              <w:rPr>
                <w:sz w:val="16"/>
              </w:rPr>
              <w:t>0.98</w:t>
            </w:r>
          </w:p>
        </w:tc>
        <w:tc>
          <w:tcPr>
            <w:tcW w:w="797" w:type="dxa"/>
            <w:tcBorders>
              <w:top w:val="single" w:sz="3" w:space="0" w:color="000000"/>
              <w:left w:val="single" w:sz="3" w:space="0" w:color="000000"/>
              <w:bottom w:val="single" w:sz="3" w:space="0" w:color="000000"/>
              <w:right w:val="single" w:sz="3" w:space="0" w:color="000000"/>
            </w:tcBorders>
          </w:tcPr>
          <w:p w14:paraId="36593A09" w14:textId="77777777" w:rsidR="00C704F8" w:rsidRDefault="00000000">
            <w:pPr>
              <w:spacing w:after="0" w:line="259" w:lineRule="auto"/>
              <w:ind w:firstLine="0"/>
              <w:jc w:val="center"/>
            </w:pPr>
            <w:r>
              <w:rPr>
                <w:sz w:val="16"/>
              </w:rPr>
              <w:t>1465</w:t>
            </w:r>
          </w:p>
        </w:tc>
      </w:tr>
    </w:tbl>
    <w:p w14:paraId="58EEDFE8" w14:textId="77777777" w:rsidR="00C704F8" w:rsidRDefault="00000000">
      <w:pPr>
        <w:spacing w:after="117"/>
        <w:ind w:left="-15"/>
      </w:pPr>
      <w:r>
        <w:t>As shown in Table II, our model achieved an overall accuracy of 98%, with perfect precision (1.00) for the monkeypox class and high precision (0.97) for the non-monkeypox class. The recall values of 0.98 for monkeypox and 1.00 for nonmonkeypox indicate that the model is highly effective at identifying both positive and negative cases. The balanced F1scores of 0.99 for both classes demonstrate the model’s robust performance across both categories.</w:t>
      </w:r>
    </w:p>
    <w:p w14:paraId="5F10BE44" w14:textId="77777777" w:rsidR="00C704F8" w:rsidRDefault="00000000">
      <w:pPr>
        <w:pStyle w:val="Heading1"/>
        <w:ind w:left="-5"/>
      </w:pPr>
      <w:r>
        <w:t>B. Confusion Matrix Analysis</w:t>
      </w:r>
    </w:p>
    <w:p w14:paraId="206021A1" w14:textId="77777777" w:rsidR="00C704F8" w:rsidRDefault="00000000">
      <w:pPr>
        <w:ind w:left="-15"/>
      </w:pPr>
      <w:r>
        <w:t>To provide a more detailed view of the model’s classification performance, Figure 3 presents the confusion matrix for the test set.</w:t>
      </w:r>
    </w:p>
    <w:p w14:paraId="22F6D8AF" w14:textId="77777777" w:rsidR="00C704F8" w:rsidRDefault="00000000">
      <w:pPr>
        <w:ind w:left="-15"/>
      </w:pPr>
      <w:r>
        <w:t>The confusion matrix reveals that out of 617 monkeypox images, 595 were correctly classified as monkeypox (true positives), while 22 were incorrectly classified as non-monkeypox (false negatives). For the 848 non-monkeypox images, all were correctly classified (true negatives), resulting in zero false positives.</w:t>
      </w:r>
    </w:p>
    <w:p w14:paraId="72E37814" w14:textId="77777777" w:rsidR="00C704F8" w:rsidRDefault="00000000">
      <w:pPr>
        <w:ind w:left="-15"/>
      </w:pPr>
      <w:r>
        <w:t>This distribution of errors is particularly favorable for a medical diagnostic tool, as the absence of false positives (specificity = 1.00) means that the model never incorrectly identifies a non-monkeypox condition as monkeypox, which would potentially lead to unnecessary treatments or interventions. The small number of false negatives (22 out of 617) results in a high sensitivity of 0.96, indicating that the model rarely misses actual monkeypox cases.</w:t>
      </w:r>
    </w:p>
    <w:p w14:paraId="1B82948C" w14:textId="77777777" w:rsidR="00C704F8" w:rsidRDefault="00000000">
      <w:pPr>
        <w:spacing w:after="251" w:line="259" w:lineRule="auto"/>
        <w:ind w:left="251" w:firstLine="0"/>
        <w:jc w:val="left"/>
      </w:pPr>
      <w:r>
        <w:rPr>
          <w:noProof/>
        </w:rPr>
        <w:drawing>
          <wp:inline distT="0" distB="0" distL="0" distR="0" wp14:anchorId="56B62F0A" wp14:editId="26376DD3">
            <wp:extent cx="2869643" cy="2578156"/>
            <wp:effectExtent l="0" t="0" r="0" b="0"/>
            <wp:docPr id="122" name="Picture 122"/>
            <wp:cNvGraphicFramePr/>
            <a:graphic xmlns:a="http://schemas.openxmlformats.org/drawingml/2006/main">
              <a:graphicData uri="http://schemas.openxmlformats.org/drawingml/2006/picture">
                <pic:pic xmlns:pic="http://schemas.openxmlformats.org/drawingml/2006/picture">
                  <pic:nvPicPr>
                    <pic:cNvPr id="122" name="Picture 122"/>
                    <pic:cNvPicPr/>
                  </pic:nvPicPr>
                  <pic:blipFill>
                    <a:blip r:embed="rId5"/>
                    <a:stretch>
                      <a:fillRect/>
                    </a:stretch>
                  </pic:blipFill>
                  <pic:spPr>
                    <a:xfrm>
                      <a:off x="0" y="0"/>
                      <a:ext cx="2869643" cy="2578156"/>
                    </a:xfrm>
                    <a:prstGeom prst="rect">
                      <a:avLst/>
                    </a:prstGeom>
                  </pic:spPr>
                </pic:pic>
              </a:graphicData>
            </a:graphic>
          </wp:inline>
        </w:drawing>
      </w:r>
    </w:p>
    <w:p w14:paraId="7B898D4E" w14:textId="77777777" w:rsidR="00C704F8" w:rsidRDefault="00000000">
      <w:pPr>
        <w:spacing w:after="449" w:line="221" w:lineRule="auto"/>
        <w:ind w:firstLine="0"/>
        <w:jc w:val="left"/>
      </w:pPr>
      <w:r>
        <w:rPr>
          <w:sz w:val="16"/>
        </w:rPr>
        <w:t>Fig. 3. Confusion matrix for monkeypox detection showing the distribution of true positives, true negatives, false positives, and false negatives.</w:t>
      </w:r>
    </w:p>
    <w:p w14:paraId="66FEF05B" w14:textId="77777777" w:rsidR="00C704F8" w:rsidRDefault="00000000">
      <w:pPr>
        <w:pStyle w:val="Heading1"/>
        <w:ind w:left="-5"/>
      </w:pPr>
      <w:r>
        <w:t>C. Comparative Analysis</w:t>
      </w:r>
    </w:p>
    <w:p w14:paraId="5D57B92F" w14:textId="77777777" w:rsidR="00C704F8" w:rsidRDefault="00000000">
      <w:pPr>
        <w:spacing w:after="239"/>
        <w:ind w:left="-15"/>
      </w:pPr>
      <w:r>
        <w:t>To contextualize our results within the broader field of AIbased monkeypox detection, we compared our hybrid model’s performance with state-of-the-art approaches from the literature. Table III presents this comparison based on accuracy, precision, recall, and F1-score.</w:t>
      </w:r>
    </w:p>
    <w:p w14:paraId="09683005" w14:textId="77777777" w:rsidR="00C704F8" w:rsidRDefault="00000000">
      <w:pPr>
        <w:spacing w:after="0" w:line="259" w:lineRule="auto"/>
        <w:ind w:left="10" w:hanging="10"/>
        <w:jc w:val="center"/>
      </w:pPr>
      <w:r>
        <w:rPr>
          <w:sz w:val="16"/>
        </w:rPr>
        <w:t>TABLE III</w:t>
      </w:r>
    </w:p>
    <w:tbl>
      <w:tblPr>
        <w:tblStyle w:val="TableGrid"/>
        <w:tblpPr w:vertAnchor="text" w:tblpY="483"/>
        <w:tblOverlap w:val="never"/>
        <w:tblW w:w="5754" w:type="dxa"/>
        <w:tblInd w:w="0" w:type="dxa"/>
        <w:tblCellMar>
          <w:top w:w="20" w:type="dxa"/>
          <w:left w:w="120" w:type="dxa"/>
          <w:bottom w:w="0" w:type="dxa"/>
          <w:right w:w="115" w:type="dxa"/>
        </w:tblCellMar>
        <w:tblLook w:val="04A0" w:firstRow="1" w:lastRow="0" w:firstColumn="1" w:lastColumn="0" w:noHBand="0" w:noVBand="1"/>
      </w:tblPr>
      <w:tblGrid>
        <w:gridCol w:w="2493"/>
        <w:gridCol w:w="885"/>
        <w:gridCol w:w="865"/>
        <w:gridCol w:w="664"/>
        <w:gridCol w:w="847"/>
      </w:tblGrid>
      <w:tr w:rsidR="00C704F8" w14:paraId="6F8CDD7A" w14:textId="77777777">
        <w:trPr>
          <w:trHeight w:val="187"/>
        </w:trPr>
        <w:tc>
          <w:tcPr>
            <w:tcW w:w="2493" w:type="dxa"/>
            <w:tcBorders>
              <w:top w:val="single" w:sz="3" w:space="0" w:color="000000"/>
              <w:left w:val="single" w:sz="3" w:space="0" w:color="000000"/>
              <w:bottom w:val="single" w:sz="3" w:space="0" w:color="000000"/>
              <w:right w:val="single" w:sz="3" w:space="0" w:color="000000"/>
            </w:tcBorders>
          </w:tcPr>
          <w:p w14:paraId="7D06F186" w14:textId="77777777" w:rsidR="00C704F8" w:rsidRDefault="00000000">
            <w:pPr>
              <w:spacing w:after="0" w:line="259" w:lineRule="auto"/>
              <w:ind w:right="4" w:firstLine="0"/>
              <w:jc w:val="center"/>
            </w:pPr>
            <w:r>
              <w:rPr>
                <w:sz w:val="16"/>
              </w:rPr>
              <w:t>Method</w:t>
            </w:r>
          </w:p>
        </w:tc>
        <w:tc>
          <w:tcPr>
            <w:tcW w:w="885" w:type="dxa"/>
            <w:tcBorders>
              <w:top w:val="single" w:sz="3" w:space="0" w:color="000000"/>
              <w:left w:val="single" w:sz="3" w:space="0" w:color="000000"/>
              <w:bottom w:val="single" w:sz="3" w:space="0" w:color="000000"/>
              <w:right w:val="single" w:sz="3" w:space="0" w:color="000000"/>
            </w:tcBorders>
          </w:tcPr>
          <w:p w14:paraId="0E6CAD59" w14:textId="77777777" w:rsidR="00C704F8" w:rsidRDefault="00000000">
            <w:pPr>
              <w:spacing w:after="0" w:line="259" w:lineRule="auto"/>
              <w:ind w:firstLine="0"/>
              <w:jc w:val="left"/>
            </w:pPr>
            <w:r>
              <w:rPr>
                <w:sz w:val="16"/>
              </w:rPr>
              <w:t>Accuracy</w:t>
            </w:r>
          </w:p>
        </w:tc>
        <w:tc>
          <w:tcPr>
            <w:tcW w:w="865" w:type="dxa"/>
            <w:tcBorders>
              <w:top w:val="single" w:sz="3" w:space="0" w:color="000000"/>
              <w:left w:val="single" w:sz="3" w:space="0" w:color="000000"/>
              <w:bottom w:val="single" w:sz="3" w:space="0" w:color="000000"/>
              <w:right w:val="single" w:sz="3" w:space="0" w:color="000000"/>
            </w:tcBorders>
          </w:tcPr>
          <w:p w14:paraId="7A42F8FC" w14:textId="77777777" w:rsidR="00C704F8" w:rsidRDefault="00000000">
            <w:pPr>
              <w:spacing w:after="0" w:line="259" w:lineRule="auto"/>
              <w:ind w:firstLine="0"/>
              <w:jc w:val="left"/>
            </w:pPr>
            <w:r>
              <w:rPr>
                <w:sz w:val="16"/>
              </w:rPr>
              <w:t>Precision</w:t>
            </w:r>
          </w:p>
        </w:tc>
        <w:tc>
          <w:tcPr>
            <w:tcW w:w="664" w:type="dxa"/>
            <w:tcBorders>
              <w:top w:val="single" w:sz="3" w:space="0" w:color="000000"/>
              <w:left w:val="single" w:sz="3" w:space="0" w:color="000000"/>
              <w:bottom w:val="single" w:sz="3" w:space="0" w:color="000000"/>
              <w:right w:val="single" w:sz="3" w:space="0" w:color="000000"/>
            </w:tcBorders>
          </w:tcPr>
          <w:p w14:paraId="7656CA96" w14:textId="77777777" w:rsidR="00C704F8" w:rsidRDefault="00000000">
            <w:pPr>
              <w:spacing w:after="0" w:line="259" w:lineRule="auto"/>
              <w:ind w:firstLine="0"/>
              <w:jc w:val="left"/>
            </w:pPr>
            <w:r>
              <w:rPr>
                <w:sz w:val="16"/>
              </w:rPr>
              <w:t>Recall</w:t>
            </w:r>
          </w:p>
        </w:tc>
        <w:tc>
          <w:tcPr>
            <w:tcW w:w="847" w:type="dxa"/>
            <w:tcBorders>
              <w:top w:val="single" w:sz="3" w:space="0" w:color="000000"/>
              <w:left w:val="single" w:sz="3" w:space="0" w:color="000000"/>
              <w:bottom w:val="single" w:sz="3" w:space="0" w:color="000000"/>
              <w:right w:val="single" w:sz="3" w:space="0" w:color="000000"/>
            </w:tcBorders>
          </w:tcPr>
          <w:p w14:paraId="7AA6E42F" w14:textId="77777777" w:rsidR="00C704F8" w:rsidRDefault="00000000">
            <w:pPr>
              <w:spacing w:after="0" w:line="259" w:lineRule="auto"/>
              <w:ind w:firstLine="0"/>
              <w:jc w:val="left"/>
            </w:pPr>
            <w:r>
              <w:rPr>
                <w:sz w:val="16"/>
              </w:rPr>
              <w:t>F1-Score</w:t>
            </w:r>
          </w:p>
        </w:tc>
      </w:tr>
      <w:tr w:rsidR="00C704F8" w14:paraId="5EF69CBF" w14:textId="77777777">
        <w:trPr>
          <w:trHeight w:val="187"/>
        </w:trPr>
        <w:tc>
          <w:tcPr>
            <w:tcW w:w="2493" w:type="dxa"/>
            <w:tcBorders>
              <w:top w:val="single" w:sz="3" w:space="0" w:color="000000"/>
              <w:left w:val="single" w:sz="3" w:space="0" w:color="000000"/>
              <w:bottom w:val="single" w:sz="3" w:space="0" w:color="000000"/>
              <w:right w:val="single" w:sz="3" w:space="0" w:color="000000"/>
            </w:tcBorders>
          </w:tcPr>
          <w:p w14:paraId="0A197BA6" w14:textId="77777777" w:rsidR="00C704F8" w:rsidRDefault="00000000">
            <w:pPr>
              <w:spacing w:after="0" w:line="259" w:lineRule="auto"/>
              <w:ind w:right="4" w:firstLine="0"/>
              <w:jc w:val="center"/>
            </w:pPr>
            <w:r>
              <w:rPr>
                <w:sz w:val="16"/>
              </w:rPr>
              <w:t>Akin et al. [3] (MobileNetV2)</w:t>
            </w:r>
          </w:p>
        </w:tc>
        <w:tc>
          <w:tcPr>
            <w:tcW w:w="885" w:type="dxa"/>
            <w:tcBorders>
              <w:top w:val="single" w:sz="3" w:space="0" w:color="000000"/>
              <w:left w:val="single" w:sz="3" w:space="0" w:color="000000"/>
              <w:bottom w:val="single" w:sz="3" w:space="0" w:color="000000"/>
              <w:right w:val="single" w:sz="3" w:space="0" w:color="000000"/>
            </w:tcBorders>
          </w:tcPr>
          <w:p w14:paraId="0EA93931" w14:textId="77777777" w:rsidR="00C704F8" w:rsidRDefault="00000000">
            <w:pPr>
              <w:spacing w:after="0" w:line="259" w:lineRule="auto"/>
              <w:ind w:right="4" w:firstLine="0"/>
              <w:jc w:val="center"/>
            </w:pPr>
            <w:r>
              <w:rPr>
                <w:sz w:val="16"/>
              </w:rPr>
              <w:t>98.25%</w:t>
            </w:r>
          </w:p>
        </w:tc>
        <w:tc>
          <w:tcPr>
            <w:tcW w:w="865" w:type="dxa"/>
            <w:tcBorders>
              <w:top w:val="single" w:sz="3" w:space="0" w:color="000000"/>
              <w:left w:val="single" w:sz="3" w:space="0" w:color="000000"/>
              <w:bottom w:val="single" w:sz="3" w:space="0" w:color="000000"/>
              <w:right w:val="single" w:sz="3" w:space="0" w:color="000000"/>
            </w:tcBorders>
          </w:tcPr>
          <w:p w14:paraId="0D03D4E3" w14:textId="77777777" w:rsidR="00C704F8" w:rsidRDefault="00000000">
            <w:pPr>
              <w:spacing w:after="0" w:line="259" w:lineRule="auto"/>
              <w:ind w:right="4" w:firstLine="0"/>
              <w:jc w:val="center"/>
            </w:pPr>
            <w:r>
              <w:rPr>
                <w:sz w:val="16"/>
              </w:rPr>
              <w:t>0.98</w:t>
            </w:r>
          </w:p>
        </w:tc>
        <w:tc>
          <w:tcPr>
            <w:tcW w:w="664" w:type="dxa"/>
            <w:tcBorders>
              <w:top w:val="single" w:sz="3" w:space="0" w:color="000000"/>
              <w:left w:val="single" w:sz="3" w:space="0" w:color="000000"/>
              <w:bottom w:val="single" w:sz="3" w:space="0" w:color="000000"/>
              <w:right w:val="single" w:sz="3" w:space="0" w:color="000000"/>
            </w:tcBorders>
          </w:tcPr>
          <w:p w14:paraId="670AB1E6" w14:textId="77777777" w:rsidR="00C704F8" w:rsidRDefault="00000000">
            <w:pPr>
              <w:spacing w:after="0" w:line="259" w:lineRule="auto"/>
              <w:ind w:right="4" w:firstLine="0"/>
              <w:jc w:val="center"/>
            </w:pPr>
            <w:r>
              <w:rPr>
                <w:sz w:val="16"/>
              </w:rPr>
              <w:t>0.97</w:t>
            </w:r>
          </w:p>
        </w:tc>
        <w:tc>
          <w:tcPr>
            <w:tcW w:w="847" w:type="dxa"/>
            <w:tcBorders>
              <w:top w:val="single" w:sz="3" w:space="0" w:color="000000"/>
              <w:left w:val="single" w:sz="3" w:space="0" w:color="000000"/>
              <w:bottom w:val="single" w:sz="3" w:space="0" w:color="000000"/>
              <w:right w:val="single" w:sz="3" w:space="0" w:color="000000"/>
            </w:tcBorders>
          </w:tcPr>
          <w:p w14:paraId="2057AF8E" w14:textId="77777777" w:rsidR="00C704F8" w:rsidRDefault="00000000">
            <w:pPr>
              <w:spacing w:after="0" w:line="259" w:lineRule="auto"/>
              <w:ind w:right="4" w:firstLine="0"/>
              <w:jc w:val="center"/>
            </w:pPr>
            <w:r>
              <w:rPr>
                <w:sz w:val="16"/>
              </w:rPr>
              <w:t>0.97</w:t>
            </w:r>
          </w:p>
        </w:tc>
      </w:tr>
      <w:tr w:rsidR="00C704F8" w14:paraId="0F870616" w14:textId="77777777">
        <w:trPr>
          <w:trHeight w:val="187"/>
        </w:trPr>
        <w:tc>
          <w:tcPr>
            <w:tcW w:w="2493" w:type="dxa"/>
            <w:tcBorders>
              <w:top w:val="single" w:sz="3" w:space="0" w:color="000000"/>
              <w:left w:val="single" w:sz="3" w:space="0" w:color="000000"/>
              <w:bottom w:val="single" w:sz="3" w:space="0" w:color="000000"/>
              <w:right w:val="single" w:sz="3" w:space="0" w:color="000000"/>
            </w:tcBorders>
          </w:tcPr>
          <w:p w14:paraId="35E83423" w14:textId="77777777" w:rsidR="00C704F8" w:rsidRDefault="00000000">
            <w:pPr>
              <w:spacing w:after="0" w:line="259" w:lineRule="auto"/>
              <w:ind w:firstLine="0"/>
              <w:jc w:val="left"/>
            </w:pPr>
            <w:r>
              <w:rPr>
                <w:sz w:val="16"/>
              </w:rPr>
              <w:t>Mishra et al. [8] (EfficientNet B7)</w:t>
            </w:r>
          </w:p>
        </w:tc>
        <w:tc>
          <w:tcPr>
            <w:tcW w:w="885" w:type="dxa"/>
            <w:tcBorders>
              <w:top w:val="single" w:sz="3" w:space="0" w:color="000000"/>
              <w:left w:val="single" w:sz="3" w:space="0" w:color="000000"/>
              <w:bottom w:val="single" w:sz="3" w:space="0" w:color="000000"/>
              <w:right w:val="single" w:sz="3" w:space="0" w:color="000000"/>
            </w:tcBorders>
          </w:tcPr>
          <w:p w14:paraId="2824FA02" w14:textId="77777777" w:rsidR="00C704F8" w:rsidRDefault="00000000">
            <w:pPr>
              <w:spacing w:after="0" w:line="259" w:lineRule="auto"/>
              <w:ind w:right="4" w:firstLine="0"/>
              <w:jc w:val="center"/>
            </w:pPr>
            <w:r>
              <w:rPr>
                <w:sz w:val="16"/>
              </w:rPr>
              <w:t>97.40%</w:t>
            </w:r>
          </w:p>
        </w:tc>
        <w:tc>
          <w:tcPr>
            <w:tcW w:w="865" w:type="dxa"/>
            <w:tcBorders>
              <w:top w:val="single" w:sz="3" w:space="0" w:color="000000"/>
              <w:left w:val="single" w:sz="3" w:space="0" w:color="000000"/>
              <w:bottom w:val="single" w:sz="3" w:space="0" w:color="000000"/>
              <w:right w:val="single" w:sz="3" w:space="0" w:color="000000"/>
            </w:tcBorders>
          </w:tcPr>
          <w:p w14:paraId="2D97E9A8" w14:textId="77777777" w:rsidR="00C704F8" w:rsidRDefault="00000000">
            <w:pPr>
              <w:spacing w:after="0" w:line="259" w:lineRule="auto"/>
              <w:ind w:right="4" w:firstLine="0"/>
              <w:jc w:val="center"/>
            </w:pPr>
            <w:r>
              <w:rPr>
                <w:sz w:val="16"/>
              </w:rPr>
              <w:t>0.97</w:t>
            </w:r>
          </w:p>
        </w:tc>
        <w:tc>
          <w:tcPr>
            <w:tcW w:w="664" w:type="dxa"/>
            <w:tcBorders>
              <w:top w:val="single" w:sz="3" w:space="0" w:color="000000"/>
              <w:left w:val="single" w:sz="3" w:space="0" w:color="000000"/>
              <w:bottom w:val="single" w:sz="3" w:space="0" w:color="000000"/>
              <w:right w:val="single" w:sz="3" w:space="0" w:color="000000"/>
            </w:tcBorders>
          </w:tcPr>
          <w:p w14:paraId="37EB9E16" w14:textId="77777777" w:rsidR="00C704F8" w:rsidRDefault="00000000">
            <w:pPr>
              <w:spacing w:after="0" w:line="259" w:lineRule="auto"/>
              <w:ind w:right="4" w:firstLine="0"/>
              <w:jc w:val="center"/>
            </w:pPr>
            <w:r>
              <w:rPr>
                <w:sz w:val="16"/>
              </w:rPr>
              <w:t>0.96</w:t>
            </w:r>
          </w:p>
        </w:tc>
        <w:tc>
          <w:tcPr>
            <w:tcW w:w="847" w:type="dxa"/>
            <w:tcBorders>
              <w:top w:val="single" w:sz="3" w:space="0" w:color="000000"/>
              <w:left w:val="single" w:sz="3" w:space="0" w:color="000000"/>
              <w:bottom w:val="single" w:sz="3" w:space="0" w:color="000000"/>
              <w:right w:val="single" w:sz="3" w:space="0" w:color="000000"/>
            </w:tcBorders>
          </w:tcPr>
          <w:p w14:paraId="651C737A" w14:textId="77777777" w:rsidR="00C704F8" w:rsidRDefault="00000000">
            <w:pPr>
              <w:spacing w:after="0" w:line="259" w:lineRule="auto"/>
              <w:ind w:right="4" w:firstLine="0"/>
              <w:jc w:val="center"/>
            </w:pPr>
            <w:r>
              <w:rPr>
                <w:sz w:val="16"/>
              </w:rPr>
              <w:t>0.97</w:t>
            </w:r>
          </w:p>
        </w:tc>
      </w:tr>
      <w:tr w:rsidR="00C704F8" w14:paraId="3107D8DF" w14:textId="77777777">
        <w:trPr>
          <w:trHeight w:val="187"/>
        </w:trPr>
        <w:tc>
          <w:tcPr>
            <w:tcW w:w="2493" w:type="dxa"/>
            <w:tcBorders>
              <w:top w:val="single" w:sz="3" w:space="0" w:color="000000"/>
              <w:left w:val="single" w:sz="3" w:space="0" w:color="000000"/>
              <w:bottom w:val="single" w:sz="3" w:space="0" w:color="000000"/>
              <w:right w:val="single" w:sz="3" w:space="0" w:color="000000"/>
            </w:tcBorders>
          </w:tcPr>
          <w:p w14:paraId="4A0129A5" w14:textId="77777777" w:rsidR="00C704F8" w:rsidRDefault="00000000">
            <w:pPr>
              <w:spacing w:after="0" w:line="259" w:lineRule="auto"/>
              <w:ind w:right="4" w:firstLine="0"/>
              <w:jc w:val="center"/>
            </w:pPr>
            <w:r>
              <w:rPr>
                <w:sz w:val="16"/>
              </w:rPr>
              <w:t>Ahsan et al. [11] (VGG16)</w:t>
            </w:r>
          </w:p>
        </w:tc>
        <w:tc>
          <w:tcPr>
            <w:tcW w:w="885" w:type="dxa"/>
            <w:tcBorders>
              <w:top w:val="single" w:sz="3" w:space="0" w:color="000000"/>
              <w:left w:val="single" w:sz="3" w:space="0" w:color="000000"/>
              <w:bottom w:val="single" w:sz="3" w:space="0" w:color="000000"/>
              <w:right w:val="single" w:sz="3" w:space="0" w:color="000000"/>
            </w:tcBorders>
          </w:tcPr>
          <w:p w14:paraId="29A78CDD" w14:textId="77777777" w:rsidR="00C704F8" w:rsidRDefault="00000000">
            <w:pPr>
              <w:spacing w:after="0" w:line="259" w:lineRule="auto"/>
              <w:ind w:right="4" w:firstLine="0"/>
              <w:jc w:val="center"/>
            </w:pPr>
            <w:r>
              <w:rPr>
                <w:sz w:val="16"/>
              </w:rPr>
              <w:t>97.00%</w:t>
            </w:r>
          </w:p>
        </w:tc>
        <w:tc>
          <w:tcPr>
            <w:tcW w:w="865" w:type="dxa"/>
            <w:tcBorders>
              <w:top w:val="single" w:sz="3" w:space="0" w:color="000000"/>
              <w:left w:val="single" w:sz="3" w:space="0" w:color="000000"/>
              <w:bottom w:val="single" w:sz="3" w:space="0" w:color="000000"/>
              <w:right w:val="single" w:sz="3" w:space="0" w:color="000000"/>
            </w:tcBorders>
          </w:tcPr>
          <w:p w14:paraId="1BD3BFAC" w14:textId="77777777" w:rsidR="00C704F8" w:rsidRDefault="00000000">
            <w:pPr>
              <w:spacing w:after="0" w:line="259" w:lineRule="auto"/>
              <w:ind w:right="4" w:firstLine="0"/>
              <w:jc w:val="center"/>
            </w:pPr>
            <w:r>
              <w:rPr>
                <w:sz w:val="16"/>
              </w:rPr>
              <w:t>0.97</w:t>
            </w:r>
          </w:p>
        </w:tc>
        <w:tc>
          <w:tcPr>
            <w:tcW w:w="664" w:type="dxa"/>
            <w:tcBorders>
              <w:top w:val="single" w:sz="3" w:space="0" w:color="000000"/>
              <w:left w:val="single" w:sz="3" w:space="0" w:color="000000"/>
              <w:bottom w:val="single" w:sz="3" w:space="0" w:color="000000"/>
              <w:right w:val="single" w:sz="3" w:space="0" w:color="000000"/>
            </w:tcBorders>
          </w:tcPr>
          <w:p w14:paraId="256CE49B" w14:textId="77777777" w:rsidR="00C704F8" w:rsidRDefault="00000000">
            <w:pPr>
              <w:spacing w:after="0" w:line="259" w:lineRule="auto"/>
              <w:ind w:right="4" w:firstLine="0"/>
              <w:jc w:val="center"/>
            </w:pPr>
            <w:r>
              <w:rPr>
                <w:sz w:val="16"/>
              </w:rPr>
              <w:t>0.96</w:t>
            </w:r>
          </w:p>
        </w:tc>
        <w:tc>
          <w:tcPr>
            <w:tcW w:w="847" w:type="dxa"/>
            <w:tcBorders>
              <w:top w:val="single" w:sz="3" w:space="0" w:color="000000"/>
              <w:left w:val="single" w:sz="3" w:space="0" w:color="000000"/>
              <w:bottom w:val="single" w:sz="3" w:space="0" w:color="000000"/>
              <w:right w:val="single" w:sz="3" w:space="0" w:color="000000"/>
            </w:tcBorders>
          </w:tcPr>
          <w:p w14:paraId="5D8ACDD9" w14:textId="77777777" w:rsidR="00C704F8" w:rsidRDefault="00000000">
            <w:pPr>
              <w:spacing w:after="0" w:line="259" w:lineRule="auto"/>
              <w:ind w:right="4" w:firstLine="0"/>
              <w:jc w:val="center"/>
            </w:pPr>
            <w:r>
              <w:rPr>
                <w:sz w:val="16"/>
              </w:rPr>
              <w:t>0.96</w:t>
            </w:r>
          </w:p>
        </w:tc>
      </w:tr>
      <w:tr w:rsidR="00C704F8" w14:paraId="227DBA63" w14:textId="77777777">
        <w:trPr>
          <w:trHeight w:val="187"/>
        </w:trPr>
        <w:tc>
          <w:tcPr>
            <w:tcW w:w="2493" w:type="dxa"/>
            <w:tcBorders>
              <w:top w:val="single" w:sz="3" w:space="0" w:color="000000"/>
              <w:left w:val="single" w:sz="3" w:space="0" w:color="000000"/>
              <w:bottom w:val="single" w:sz="3" w:space="0" w:color="000000"/>
              <w:right w:val="single" w:sz="3" w:space="0" w:color="000000"/>
            </w:tcBorders>
          </w:tcPr>
          <w:p w14:paraId="1517B117" w14:textId="77777777" w:rsidR="00C704F8" w:rsidRDefault="00000000">
            <w:pPr>
              <w:spacing w:after="0" w:line="259" w:lineRule="auto"/>
              <w:ind w:right="4" w:firstLine="0"/>
              <w:jc w:val="center"/>
            </w:pPr>
            <w:r>
              <w:rPr>
                <w:sz w:val="16"/>
              </w:rPr>
              <w:t>Almutairi [15] (VGG16)</w:t>
            </w:r>
          </w:p>
        </w:tc>
        <w:tc>
          <w:tcPr>
            <w:tcW w:w="885" w:type="dxa"/>
            <w:tcBorders>
              <w:top w:val="single" w:sz="3" w:space="0" w:color="000000"/>
              <w:left w:val="single" w:sz="3" w:space="0" w:color="000000"/>
              <w:bottom w:val="single" w:sz="3" w:space="0" w:color="000000"/>
              <w:right w:val="single" w:sz="3" w:space="0" w:color="000000"/>
            </w:tcBorders>
          </w:tcPr>
          <w:p w14:paraId="48F17D2C" w14:textId="77777777" w:rsidR="00C704F8" w:rsidRDefault="00000000">
            <w:pPr>
              <w:spacing w:after="0" w:line="259" w:lineRule="auto"/>
              <w:ind w:right="4" w:firstLine="0"/>
              <w:jc w:val="center"/>
            </w:pPr>
            <w:r>
              <w:rPr>
                <w:sz w:val="16"/>
              </w:rPr>
              <w:t>97.67%</w:t>
            </w:r>
          </w:p>
        </w:tc>
        <w:tc>
          <w:tcPr>
            <w:tcW w:w="865" w:type="dxa"/>
            <w:tcBorders>
              <w:top w:val="single" w:sz="3" w:space="0" w:color="000000"/>
              <w:left w:val="single" w:sz="3" w:space="0" w:color="000000"/>
              <w:bottom w:val="single" w:sz="3" w:space="0" w:color="000000"/>
              <w:right w:val="single" w:sz="3" w:space="0" w:color="000000"/>
            </w:tcBorders>
          </w:tcPr>
          <w:p w14:paraId="735BD533" w14:textId="77777777" w:rsidR="00C704F8" w:rsidRDefault="00000000">
            <w:pPr>
              <w:spacing w:after="0" w:line="259" w:lineRule="auto"/>
              <w:ind w:right="4" w:firstLine="0"/>
              <w:jc w:val="center"/>
            </w:pPr>
            <w:r>
              <w:rPr>
                <w:sz w:val="16"/>
              </w:rPr>
              <w:t>0.98</w:t>
            </w:r>
          </w:p>
        </w:tc>
        <w:tc>
          <w:tcPr>
            <w:tcW w:w="664" w:type="dxa"/>
            <w:tcBorders>
              <w:top w:val="single" w:sz="3" w:space="0" w:color="000000"/>
              <w:left w:val="single" w:sz="3" w:space="0" w:color="000000"/>
              <w:bottom w:val="single" w:sz="3" w:space="0" w:color="000000"/>
              <w:right w:val="single" w:sz="3" w:space="0" w:color="000000"/>
            </w:tcBorders>
          </w:tcPr>
          <w:p w14:paraId="250F0C07" w14:textId="77777777" w:rsidR="00C704F8" w:rsidRDefault="00000000">
            <w:pPr>
              <w:spacing w:after="0" w:line="259" w:lineRule="auto"/>
              <w:ind w:right="4" w:firstLine="0"/>
              <w:jc w:val="center"/>
            </w:pPr>
            <w:r>
              <w:rPr>
                <w:sz w:val="16"/>
              </w:rPr>
              <w:t>0.97</w:t>
            </w:r>
          </w:p>
        </w:tc>
        <w:tc>
          <w:tcPr>
            <w:tcW w:w="847" w:type="dxa"/>
            <w:tcBorders>
              <w:top w:val="single" w:sz="3" w:space="0" w:color="000000"/>
              <w:left w:val="single" w:sz="3" w:space="0" w:color="000000"/>
              <w:bottom w:val="single" w:sz="3" w:space="0" w:color="000000"/>
              <w:right w:val="single" w:sz="3" w:space="0" w:color="000000"/>
            </w:tcBorders>
          </w:tcPr>
          <w:p w14:paraId="4D4D1DD1" w14:textId="77777777" w:rsidR="00C704F8" w:rsidRDefault="00000000">
            <w:pPr>
              <w:spacing w:after="0" w:line="259" w:lineRule="auto"/>
              <w:ind w:right="4" w:firstLine="0"/>
              <w:jc w:val="center"/>
            </w:pPr>
            <w:r>
              <w:rPr>
                <w:sz w:val="16"/>
              </w:rPr>
              <w:t>0.97</w:t>
            </w:r>
          </w:p>
        </w:tc>
      </w:tr>
      <w:tr w:rsidR="00C704F8" w14:paraId="55E13AF8" w14:textId="77777777">
        <w:trPr>
          <w:trHeight w:val="187"/>
        </w:trPr>
        <w:tc>
          <w:tcPr>
            <w:tcW w:w="2493" w:type="dxa"/>
            <w:tcBorders>
              <w:top w:val="single" w:sz="3" w:space="0" w:color="000000"/>
              <w:left w:val="single" w:sz="3" w:space="0" w:color="000000"/>
              <w:bottom w:val="single" w:sz="3" w:space="0" w:color="000000"/>
              <w:right w:val="single" w:sz="3" w:space="0" w:color="000000"/>
            </w:tcBorders>
          </w:tcPr>
          <w:p w14:paraId="4C642B2D" w14:textId="77777777" w:rsidR="00C704F8" w:rsidRDefault="00000000">
            <w:pPr>
              <w:spacing w:after="0" w:line="259" w:lineRule="auto"/>
              <w:ind w:right="4" w:firstLine="0"/>
              <w:jc w:val="center"/>
            </w:pPr>
            <w:r>
              <w:rPr>
                <w:sz w:val="16"/>
              </w:rPr>
              <w:t>Singh et al. [6] (CNN model)</w:t>
            </w:r>
          </w:p>
        </w:tc>
        <w:tc>
          <w:tcPr>
            <w:tcW w:w="885" w:type="dxa"/>
            <w:tcBorders>
              <w:top w:val="single" w:sz="3" w:space="0" w:color="000000"/>
              <w:left w:val="single" w:sz="3" w:space="0" w:color="000000"/>
              <w:bottom w:val="single" w:sz="3" w:space="0" w:color="000000"/>
              <w:right w:val="single" w:sz="3" w:space="0" w:color="000000"/>
            </w:tcBorders>
          </w:tcPr>
          <w:p w14:paraId="39D93491" w14:textId="77777777" w:rsidR="00C704F8" w:rsidRDefault="00000000">
            <w:pPr>
              <w:spacing w:after="0" w:line="259" w:lineRule="auto"/>
              <w:ind w:right="4" w:firstLine="0"/>
              <w:jc w:val="center"/>
            </w:pPr>
            <w:r>
              <w:rPr>
                <w:sz w:val="16"/>
              </w:rPr>
              <w:t>94.80%</w:t>
            </w:r>
          </w:p>
        </w:tc>
        <w:tc>
          <w:tcPr>
            <w:tcW w:w="865" w:type="dxa"/>
            <w:tcBorders>
              <w:top w:val="single" w:sz="3" w:space="0" w:color="000000"/>
              <w:left w:val="single" w:sz="3" w:space="0" w:color="000000"/>
              <w:bottom w:val="single" w:sz="3" w:space="0" w:color="000000"/>
              <w:right w:val="single" w:sz="3" w:space="0" w:color="000000"/>
            </w:tcBorders>
          </w:tcPr>
          <w:p w14:paraId="5CC262A2" w14:textId="77777777" w:rsidR="00C704F8" w:rsidRDefault="00000000">
            <w:pPr>
              <w:spacing w:after="0" w:line="259" w:lineRule="auto"/>
              <w:ind w:right="4" w:firstLine="0"/>
              <w:jc w:val="center"/>
            </w:pPr>
            <w:r>
              <w:rPr>
                <w:sz w:val="16"/>
              </w:rPr>
              <w:t>0.95</w:t>
            </w:r>
          </w:p>
        </w:tc>
        <w:tc>
          <w:tcPr>
            <w:tcW w:w="664" w:type="dxa"/>
            <w:tcBorders>
              <w:top w:val="single" w:sz="3" w:space="0" w:color="000000"/>
              <w:left w:val="single" w:sz="3" w:space="0" w:color="000000"/>
              <w:bottom w:val="single" w:sz="3" w:space="0" w:color="000000"/>
              <w:right w:val="single" w:sz="3" w:space="0" w:color="000000"/>
            </w:tcBorders>
          </w:tcPr>
          <w:p w14:paraId="284ED764" w14:textId="77777777" w:rsidR="00C704F8" w:rsidRDefault="00000000">
            <w:pPr>
              <w:spacing w:after="0" w:line="259" w:lineRule="auto"/>
              <w:ind w:right="4" w:firstLine="0"/>
              <w:jc w:val="center"/>
            </w:pPr>
            <w:r>
              <w:rPr>
                <w:sz w:val="16"/>
              </w:rPr>
              <w:t>0.94</w:t>
            </w:r>
          </w:p>
        </w:tc>
        <w:tc>
          <w:tcPr>
            <w:tcW w:w="847" w:type="dxa"/>
            <w:tcBorders>
              <w:top w:val="single" w:sz="3" w:space="0" w:color="000000"/>
              <w:left w:val="single" w:sz="3" w:space="0" w:color="000000"/>
              <w:bottom w:val="single" w:sz="3" w:space="0" w:color="000000"/>
              <w:right w:val="single" w:sz="3" w:space="0" w:color="000000"/>
            </w:tcBorders>
          </w:tcPr>
          <w:p w14:paraId="73A9D870" w14:textId="77777777" w:rsidR="00C704F8" w:rsidRDefault="00000000">
            <w:pPr>
              <w:spacing w:after="0" w:line="259" w:lineRule="auto"/>
              <w:ind w:right="4" w:firstLine="0"/>
              <w:jc w:val="center"/>
            </w:pPr>
            <w:r>
              <w:rPr>
                <w:sz w:val="16"/>
              </w:rPr>
              <w:t>0.94</w:t>
            </w:r>
          </w:p>
        </w:tc>
      </w:tr>
      <w:tr w:rsidR="00C704F8" w14:paraId="7E98524E" w14:textId="77777777">
        <w:trPr>
          <w:trHeight w:val="187"/>
        </w:trPr>
        <w:tc>
          <w:tcPr>
            <w:tcW w:w="2493" w:type="dxa"/>
            <w:tcBorders>
              <w:top w:val="single" w:sz="3" w:space="0" w:color="000000"/>
              <w:left w:val="single" w:sz="3" w:space="0" w:color="000000"/>
              <w:bottom w:val="single" w:sz="3" w:space="0" w:color="000000"/>
              <w:right w:val="single" w:sz="3" w:space="0" w:color="000000"/>
            </w:tcBorders>
          </w:tcPr>
          <w:p w14:paraId="3CA026B8" w14:textId="77777777" w:rsidR="00C704F8" w:rsidRDefault="00000000">
            <w:pPr>
              <w:spacing w:after="0" w:line="259" w:lineRule="auto"/>
              <w:ind w:right="4" w:firstLine="0"/>
              <w:jc w:val="center"/>
            </w:pPr>
            <w:r>
              <w:rPr>
                <w:sz w:val="16"/>
              </w:rPr>
              <w:t>Sahin et al. [16] (MobileNetV2)</w:t>
            </w:r>
          </w:p>
        </w:tc>
        <w:tc>
          <w:tcPr>
            <w:tcW w:w="885" w:type="dxa"/>
            <w:tcBorders>
              <w:top w:val="single" w:sz="3" w:space="0" w:color="000000"/>
              <w:left w:val="single" w:sz="3" w:space="0" w:color="000000"/>
              <w:bottom w:val="single" w:sz="3" w:space="0" w:color="000000"/>
              <w:right w:val="single" w:sz="3" w:space="0" w:color="000000"/>
            </w:tcBorders>
          </w:tcPr>
          <w:p w14:paraId="66FA2686" w14:textId="77777777" w:rsidR="00C704F8" w:rsidRDefault="00000000">
            <w:pPr>
              <w:spacing w:after="0" w:line="259" w:lineRule="auto"/>
              <w:ind w:right="4" w:firstLine="0"/>
              <w:jc w:val="center"/>
            </w:pPr>
            <w:r>
              <w:rPr>
                <w:sz w:val="16"/>
              </w:rPr>
              <w:t>91.11%</w:t>
            </w:r>
          </w:p>
        </w:tc>
        <w:tc>
          <w:tcPr>
            <w:tcW w:w="865" w:type="dxa"/>
            <w:tcBorders>
              <w:top w:val="single" w:sz="3" w:space="0" w:color="000000"/>
              <w:left w:val="single" w:sz="3" w:space="0" w:color="000000"/>
              <w:bottom w:val="single" w:sz="3" w:space="0" w:color="000000"/>
              <w:right w:val="single" w:sz="3" w:space="0" w:color="000000"/>
            </w:tcBorders>
          </w:tcPr>
          <w:p w14:paraId="25A4E009" w14:textId="77777777" w:rsidR="00C704F8" w:rsidRDefault="00000000">
            <w:pPr>
              <w:spacing w:after="0" w:line="259" w:lineRule="auto"/>
              <w:ind w:right="4" w:firstLine="0"/>
              <w:jc w:val="center"/>
            </w:pPr>
            <w:r>
              <w:rPr>
                <w:sz w:val="16"/>
              </w:rPr>
              <w:t>0.92</w:t>
            </w:r>
          </w:p>
        </w:tc>
        <w:tc>
          <w:tcPr>
            <w:tcW w:w="664" w:type="dxa"/>
            <w:tcBorders>
              <w:top w:val="single" w:sz="3" w:space="0" w:color="000000"/>
              <w:left w:val="single" w:sz="3" w:space="0" w:color="000000"/>
              <w:bottom w:val="single" w:sz="3" w:space="0" w:color="000000"/>
              <w:right w:val="single" w:sz="3" w:space="0" w:color="000000"/>
            </w:tcBorders>
          </w:tcPr>
          <w:p w14:paraId="41338EB0" w14:textId="77777777" w:rsidR="00C704F8" w:rsidRDefault="00000000">
            <w:pPr>
              <w:spacing w:after="0" w:line="259" w:lineRule="auto"/>
              <w:ind w:right="4" w:firstLine="0"/>
              <w:jc w:val="center"/>
            </w:pPr>
            <w:r>
              <w:rPr>
                <w:sz w:val="16"/>
              </w:rPr>
              <w:t>0.90</w:t>
            </w:r>
          </w:p>
        </w:tc>
        <w:tc>
          <w:tcPr>
            <w:tcW w:w="847" w:type="dxa"/>
            <w:tcBorders>
              <w:top w:val="single" w:sz="3" w:space="0" w:color="000000"/>
              <w:left w:val="single" w:sz="3" w:space="0" w:color="000000"/>
              <w:bottom w:val="single" w:sz="3" w:space="0" w:color="000000"/>
              <w:right w:val="single" w:sz="3" w:space="0" w:color="000000"/>
            </w:tcBorders>
          </w:tcPr>
          <w:p w14:paraId="71F5D279" w14:textId="77777777" w:rsidR="00C704F8" w:rsidRDefault="00000000">
            <w:pPr>
              <w:spacing w:after="0" w:line="259" w:lineRule="auto"/>
              <w:ind w:right="4" w:firstLine="0"/>
              <w:jc w:val="center"/>
            </w:pPr>
            <w:r>
              <w:rPr>
                <w:sz w:val="16"/>
              </w:rPr>
              <w:t>0.91</w:t>
            </w:r>
          </w:p>
        </w:tc>
      </w:tr>
      <w:tr w:rsidR="00C704F8" w14:paraId="765A5024" w14:textId="77777777">
        <w:trPr>
          <w:trHeight w:val="187"/>
        </w:trPr>
        <w:tc>
          <w:tcPr>
            <w:tcW w:w="2493" w:type="dxa"/>
            <w:tcBorders>
              <w:top w:val="single" w:sz="3" w:space="0" w:color="000000"/>
              <w:left w:val="single" w:sz="3" w:space="0" w:color="000000"/>
              <w:bottom w:val="single" w:sz="3" w:space="0" w:color="000000"/>
              <w:right w:val="single" w:sz="3" w:space="0" w:color="000000"/>
            </w:tcBorders>
          </w:tcPr>
          <w:p w14:paraId="349A7F56" w14:textId="77777777" w:rsidR="00C704F8" w:rsidRDefault="00000000">
            <w:pPr>
              <w:spacing w:after="0" w:line="259" w:lineRule="auto"/>
              <w:ind w:right="4" w:firstLine="0"/>
              <w:jc w:val="center"/>
            </w:pPr>
            <w:r>
              <w:rPr>
                <w:sz w:val="16"/>
              </w:rPr>
              <w:t>Our Hybrid Model</w:t>
            </w:r>
          </w:p>
        </w:tc>
        <w:tc>
          <w:tcPr>
            <w:tcW w:w="885" w:type="dxa"/>
            <w:tcBorders>
              <w:top w:val="single" w:sz="3" w:space="0" w:color="000000"/>
              <w:left w:val="single" w:sz="3" w:space="0" w:color="000000"/>
              <w:bottom w:val="single" w:sz="3" w:space="0" w:color="000000"/>
              <w:right w:val="single" w:sz="3" w:space="0" w:color="000000"/>
            </w:tcBorders>
          </w:tcPr>
          <w:p w14:paraId="2613C99B" w14:textId="77777777" w:rsidR="00C704F8" w:rsidRDefault="00000000">
            <w:pPr>
              <w:spacing w:after="0" w:line="259" w:lineRule="auto"/>
              <w:ind w:right="4" w:firstLine="0"/>
              <w:jc w:val="center"/>
            </w:pPr>
            <w:r>
              <w:rPr>
                <w:sz w:val="16"/>
              </w:rPr>
              <w:t>98.00%</w:t>
            </w:r>
          </w:p>
        </w:tc>
        <w:tc>
          <w:tcPr>
            <w:tcW w:w="865" w:type="dxa"/>
            <w:tcBorders>
              <w:top w:val="single" w:sz="3" w:space="0" w:color="000000"/>
              <w:left w:val="single" w:sz="3" w:space="0" w:color="000000"/>
              <w:bottom w:val="single" w:sz="3" w:space="0" w:color="000000"/>
              <w:right w:val="single" w:sz="3" w:space="0" w:color="000000"/>
            </w:tcBorders>
          </w:tcPr>
          <w:p w14:paraId="6029FE19" w14:textId="77777777" w:rsidR="00C704F8" w:rsidRDefault="00000000">
            <w:pPr>
              <w:spacing w:after="0" w:line="259" w:lineRule="auto"/>
              <w:ind w:right="4" w:firstLine="0"/>
              <w:jc w:val="center"/>
            </w:pPr>
            <w:r>
              <w:rPr>
                <w:sz w:val="16"/>
              </w:rPr>
              <w:t>1.00</w:t>
            </w:r>
          </w:p>
        </w:tc>
        <w:tc>
          <w:tcPr>
            <w:tcW w:w="664" w:type="dxa"/>
            <w:tcBorders>
              <w:top w:val="single" w:sz="3" w:space="0" w:color="000000"/>
              <w:left w:val="single" w:sz="3" w:space="0" w:color="000000"/>
              <w:bottom w:val="single" w:sz="3" w:space="0" w:color="000000"/>
              <w:right w:val="single" w:sz="3" w:space="0" w:color="000000"/>
            </w:tcBorders>
          </w:tcPr>
          <w:p w14:paraId="4605E72A" w14:textId="77777777" w:rsidR="00C704F8" w:rsidRDefault="00000000">
            <w:pPr>
              <w:spacing w:after="0" w:line="259" w:lineRule="auto"/>
              <w:ind w:right="4" w:firstLine="0"/>
              <w:jc w:val="center"/>
            </w:pPr>
            <w:r>
              <w:rPr>
                <w:sz w:val="16"/>
              </w:rPr>
              <w:t>0.98</w:t>
            </w:r>
          </w:p>
        </w:tc>
        <w:tc>
          <w:tcPr>
            <w:tcW w:w="847" w:type="dxa"/>
            <w:tcBorders>
              <w:top w:val="single" w:sz="3" w:space="0" w:color="000000"/>
              <w:left w:val="single" w:sz="3" w:space="0" w:color="000000"/>
              <w:bottom w:val="single" w:sz="3" w:space="0" w:color="000000"/>
              <w:right w:val="single" w:sz="3" w:space="0" w:color="000000"/>
            </w:tcBorders>
          </w:tcPr>
          <w:p w14:paraId="6B82072E" w14:textId="77777777" w:rsidR="00C704F8" w:rsidRDefault="00000000">
            <w:pPr>
              <w:spacing w:after="0" w:line="259" w:lineRule="auto"/>
              <w:ind w:right="4" w:firstLine="0"/>
              <w:jc w:val="center"/>
            </w:pPr>
            <w:r>
              <w:rPr>
                <w:sz w:val="16"/>
              </w:rPr>
              <w:t>0.99</w:t>
            </w:r>
          </w:p>
        </w:tc>
      </w:tr>
    </w:tbl>
    <w:p w14:paraId="01C16C98" w14:textId="77777777" w:rsidR="00C704F8" w:rsidRDefault="00000000">
      <w:pPr>
        <w:spacing w:after="361" w:line="265" w:lineRule="auto"/>
        <w:ind w:left="10" w:hanging="10"/>
        <w:jc w:val="center"/>
      </w:pPr>
      <w:r>
        <w:rPr>
          <w:sz w:val="16"/>
        </w:rPr>
        <w:t>C</w:t>
      </w:r>
      <w:r>
        <w:rPr>
          <w:sz w:val="13"/>
        </w:rPr>
        <w:t xml:space="preserve">OMPARISON WITH </w:t>
      </w:r>
      <w:r>
        <w:rPr>
          <w:sz w:val="16"/>
        </w:rPr>
        <w:t>S</w:t>
      </w:r>
      <w:r>
        <w:rPr>
          <w:sz w:val="13"/>
        </w:rPr>
        <w:t>TATE</w:t>
      </w:r>
      <w:r>
        <w:rPr>
          <w:sz w:val="16"/>
        </w:rPr>
        <w:t>-</w:t>
      </w:r>
      <w:r>
        <w:rPr>
          <w:sz w:val="13"/>
        </w:rPr>
        <w:t>OF</w:t>
      </w:r>
      <w:r>
        <w:rPr>
          <w:sz w:val="16"/>
        </w:rPr>
        <w:t>-</w:t>
      </w:r>
      <w:r>
        <w:rPr>
          <w:sz w:val="13"/>
        </w:rPr>
        <w:t>THE</w:t>
      </w:r>
      <w:r>
        <w:rPr>
          <w:sz w:val="16"/>
        </w:rPr>
        <w:t>-A</w:t>
      </w:r>
      <w:r>
        <w:rPr>
          <w:sz w:val="13"/>
        </w:rPr>
        <w:t xml:space="preserve">RT </w:t>
      </w:r>
      <w:r>
        <w:rPr>
          <w:sz w:val="16"/>
        </w:rPr>
        <w:t>A</w:t>
      </w:r>
      <w:r>
        <w:rPr>
          <w:sz w:val="13"/>
        </w:rPr>
        <w:t>PPROACHES</w:t>
      </w:r>
    </w:p>
    <w:p w14:paraId="746FABE7" w14:textId="77777777" w:rsidR="00C704F8" w:rsidRDefault="00000000">
      <w:pPr>
        <w:spacing w:before="380" w:after="126"/>
        <w:ind w:left="-15"/>
      </w:pPr>
      <w:r>
        <w:t>As shown in Table III, our hybrid model achieves comparable accuracy to the best-performing models in the literature while outperforming them in terms of precision, recall, and F1-score. Notably, our model achieves perfect precision for the monkeypox class, which is a significant improvement over existing approaches.</w:t>
      </w:r>
    </w:p>
    <w:p w14:paraId="7B22AEF5" w14:textId="77777777" w:rsidR="00C704F8" w:rsidRDefault="00000000">
      <w:pPr>
        <w:pStyle w:val="Heading1"/>
        <w:ind w:left="-5"/>
      </w:pPr>
      <w:r>
        <w:t>D. Ablation Study</w:t>
      </w:r>
    </w:p>
    <w:p w14:paraId="7C9EEF73" w14:textId="77777777" w:rsidR="00C704F8" w:rsidRDefault="00000000">
      <w:pPr>
        <w:ind w:left="-15"/>
      </w:pPr>
      <w:r>
        <w:t>To understand the contribution of each component to the overall performance of our hybrid model, we conducted an ablation study by training and evaluating individual branches (DenseNet121 only and MobileNetV2 only) and comparing their performance with the full hybrid model. Table IV presents the results of this ablation study.</w:t>
      </w:r>
    </w:p>
    <w:p w14:paraId="7855181E" w14:textId="77777777" w:rsidR="00C704F8" w:rsidRDefault="00000000">
      <w:pPr>
        <w:ind w:left="-15"/>
      </w:pPr>
      <w:r>
        <w:t xml:space="preserve">The ablation study results demonstrate that while both individual models perform well, the hybrid approach </w:t>
      </w:r>
      <w:r>
        <w:lastRenderedPageBreak/>
        <w:t>significantly outperforms either model alone. This confirms our</w:t>
      </w:r>
    </w:p>
    <w:p w14:paraId="738B3526" w14:textId="77777777" w:rsidR="00C704F8" w:rsidRDefault="00000000">
      <w:pPr>
        <w:spacing w:after="0" w:line="259" w:lineRule="auto"/>
        <w:ind w:left="1567" w:right="1434" w:firstLine="583"/>
        <w:jc w:val="left"/>
      </w:pPr>
      <w:r>
        <w:rPr>
          <w:sz w:val="16"/>
        </w:rPr>
        <w:t>TABLE IV A</w:t>
      </w:r>
      <w:r>
        <w:rPr>
          <w:sz w:val="13"/>
        </w:rPr>
        <w:t xml:space="preserve">BLATION </w:t>
      </w:r>
      <w:r>
        <w:rPr>
          <w:sz w:val="16"/>
        </w:rPr>
        <w:t>S</w:t>
      </w:r>
      <w:r>
        <w:rPr>
          <w:sz w:val="13"/>
        </w:rPr>
        <w:t xml:space="preserve">TUDY </w:t>
      </w:r>
      <w:r>
        <w:rPr>
          <w:sz w:val="16"/>
        </w:rPr>
        <w:t>R</w:t>
      </w:r>
      <w:r>
        <w:rPr>
          <w:sz w:val="13"/>
        </w:rPr>
        <w:t>ESULTS</w:t>
      </w:r>
    </w:p>
    <w:tbl>
      <w:tblPr>
        <w:tblStyle w:val="TableGrid"/>
        <w:tblW w:w="4725" w:type="dxa"/>
        <w:tblInd w:w="120" w:type="dxa"/>
        <w:tblCellMar>
          <w:top w:w="20" w:type="dxa"/>
          <w:left w:w="120" w:type="dxa"/>
          <w:bottom w:w="0" w:type="dxa"/>
          <w:right w:w="115" w:type="dxa"/>
        </w:tblCellMar>
        <w:tblLook w:val="04A0" w:firstRow="1" w:lastRow="0" w:firstColumn="1" w:lastColumn="0" w:noHBand="0" w:noVBand="1"/>
      </w:tblPr>
      <w:tblGrid>
        <w:gridCol w:w="1464"/>
        <w:gridCol w:w="885"/>
        <w:gridCol w:w="865"/>
        <w:gridCol w:w="664"/>
        <w:gridCol w:w="847"/>
      </w:tblGrid>
      <w:tr w:rsidR="00C704F8" w14:paraId="389E200C" w14:textId="77777777">
        <w:trPr>
          <w:trHeight w:val="187"/>
        </w:trPr>
        <w:tc>
          <w:tcPr>
            <w:tcW w:w="1464" w:type="dxa"/>
            <w:tcBorders>
              <w:top w:val="single" w:sz="3" w:space="0" w:color="000000"/>
              <w:left w:val="single" w:sz="3" w:space="0" w:color="000000"/>
              <w:bottom w:val="single" w:sz="3" w:space="0" w:color="000000"/>
              <w:right w:val="single" w:sz="3" w:space="0" w:color="000000"/>
            </w:tcBorders>
          </w:tcPr>
          <w:p w14:paraId="3E82F58E" w14:textId="77777777" w:rsidR="00C704F8" w:rsidRDefault="00000000">
            <w:pPr>
              <w:spacing w:after="0" w:line="259" w:lineRule="auto"/>
              <w:ind w:right="4" w:firstLine="0"/>
              <w:jc w:val="center"/>
            </w:pPr>
            <w:r>
              <w:rPr>
                <w:sz w:val="16"/>
              </w:rPr>
              <w:t>Model</w:t>
            </w:r>
          </w:p>
        </w:tc>
        <w:tc>
          <w:tcPr>
            <w:tcW w:w="885" w:type="dxa"/>
            <w:tcBorders>
              <w:top w:val="single" w:sz="3" w:space="0" w:color="000000"/>
              <w:left w:val="single" w:sz="3" w:space="0" w:color="000000"/>
              <w:bottom w:val="single" w:sz="3" w:space="0" w:color="000000"/>
              <w:right w:val="single" w:sz="3" w:space="0" w:color="000000"/>
            </w:tcBorders>
          </w:tcPr>
          <w:p w14:paraId="41132114" w14:textId="77777777" w:rsidR="00C704F8" w:rsidRDefault="00000000">
            <w:pPr>
              <w:spacing w:after="0" w:line="259" w:lineRule="auto"/>
              <w:ind w:firstLine="0"/>
              <w:jc w:val="left"/>
            </w:pPr>
            <w:r>
              <w:rPr>
                <w:sz w:val="16"/>
              </w:rPr>
              <w:t>Accuracy</w:t>
            </w:r>
          </w:p>
        </w:tc>
        <w:tc>
          <w:tcPr>
            <w:tcW w:w="865" w:type="dxa"/>
            <w:tcBorders>
              <w:top w:val="single" w:sz="3" w:space="0" w:color="000000"/>
              <w:left w:val="single" w:sz="3" w:space="0" w:color="000000"/>
              <w:bottom w:val="single" w:sz="3" w:space="0" w:color="000000"/>
              <w:right w:val="single" w:sz="3" w:space="0" w:color="000000"/>
            </w:tcBorders>
          </w:tcPr>
          <w:p w14:paraId="15E8C39A" w14:textId="77777777" w:rsidR="00C704F8" w:rsidRDefault="00000000">
            <w:pPr>
              <w:spacing w:after="0" w:line="259" w:lineRule="auto"/>
              <w:ind w:firstLine="0"/>
              <w:jc w:val="left"/>
            </w:pPr>
            <w:r>
              <w:rPr>
                <w:sz w:val="16"/>
              </w:rPr>
              <w:t>Precision</w:t>
            </w:r>
          </w:p>
        </w:tc>
        <w:tc>
          <w:tcPr>
            <w:tcW w:w="664" w:type="dxa"/>
            <w:tcBorders>
              <w:top w:val="single" w:sz="3" w:space="0" w:color="000000"/>
              <w:left w:val="single" w:sz="3" w:space="0" w:color="000000"/>
              <w:bottom w:val="single" w:sz="3" w:space="0" w:color="000000"/>
              <w:right w:val="single" w:sz="3" w:space="0" w:color="000000"/>
            </w:tcBorders>
          </w:tcPr>
          <w:p w14:paraId="1DA49B6D" w14:textId="77777777" w:rsidR="00C704F8" w:rsidRDefault="00000000">
            <w:pPr>
              <w:spacing w:after="0" w:line="259" w:lineRule="auto"/>
              <w:ind w:firstLine="0"/>
              <w:jc w:val="left"/>
            </w:pPr>
            <w:r>
              <w:rPr>
                <w:sz w:val="16"/>
              </w:rPr>
              <w:t>Recall</w:t>
            </w:r>
          </w:p>
        </w:tc>
        <w:tc>
          <w:tcPr>
            <w:tcW w:w="847" w:type="dxa"/>
            <w:tcBorders>
              <w:top w:val="single" w:sz="3" w:space="0" w:color="000000"/>
              <w:left w:val="single" w:sz="3" w:space="0" w:color="000000"/>
              <w:bottom w:val="single" w:sz="3" w:space="0" w:color="000000"/>
              <w:right w:val="single" w:sz="3" w:space="0" w:color="000000"/>
            </w:tcBorders>
          </w:tcPr>
          <w:p w14:paraId="4EEB6C14" w14:textId="77777777" w:rsidR="00C704F8" w:rsidRDefault="00000000">
            <w:pPr>
              <w:spacing w:after="0" w:line="259" w:lineRule="auto"/>
              <w:ind w:firstLine="0"/>
              <w:jc w:val="left"/>
            </w:pPr>
            <w:r>
              <w:rPr>
                <w:sz w:val="16"/>
              </w:rPr>
              <w:t>F1-Score</w:t>
            </w:r>
          </w:p>
        </w:tc>
      </w:tr>
      <w:tr w:rsidR="00C704F8" w14:paraId="51487E61" w14:textId="77777777">
        <w:trPr>
          <w:trHeight w:val="187"/>
        </w:trPr>
        <w:tc>
          <w:tcPr>
            <w:tcW w:w="1464" w:type="dxa"/>
            <w:tcBorders>
              <w:top w:val="single" w:sz="3" w:space="0" w:color="000000"/>
              <w:left w:val="single" w:sz="3" w:space="0" w:color="000000"/>
              <w:bottom w:val="single" w:sz="3" w:space="0" w:color="000000"/>
              <w:right w:val="single" w:sz="3" w:space="0" w:color="000000"/>
            </w:tcBorders>
          </w:tcPr>
          <w:p w14:paraId="25402B9A" w14:textId="77777777" w:rsidR="00C704F8" w:rsidRDefault="00000000">
            <w:pPr>
              <w:spacing w:after="0" w:line="259" w:lineRule="auto"/>
              <w:ind w:left="9" w:firstLine="0"/>
              <w:jc w:val="left"/>
            </w:pPr>
            <w:r>
              <w:rPr>
                <w:sz w:val="16"/>
              </w:rPr>
              <w:t>DenseNet121 only</w:t>
            </w:r>
          </w:p>
        </w:tc>
        <w:tc>
          <w:tcPr>
            <w:tcW w:w="885" w:type="dxa"/>
            <w:tcBorders>
              <w:top w:val="single" w:sz="3" w:space="0" w:color="000000"/>
              <w:left w:val="single" w:sz="3" w:space="0" w:color="000000"/>
              <w:bottom w:val="single" w:sz="3" w:space="0" w:color="000000"/>
              <w:right w:val="single" w:sz="3" w:space="0" w:color="000000"/>
            </w:tcBorders>
          </w:tcPr>
          <w:p w14:paraId="29D5721D" w14:textId="77777777" w:rsidR="00C704F8" w:rsidRDefault="00000000">
            <w:pPr>
              <w:spacing w:after="0" w:line="259" w:lineRule="auto"/>
              <w:ind w:right="4" w:firstLine="0"/>
              <w:jc w:val="center"/>
            </w:pPr>
            <w:r>
              <w:rPr>
                <w:sz w:val="16"/>
              </w:rPr>
              <w:t>96.52%</w:t>
            </w:r>
          </w:p>
        </w:tc>
        <w:tc>
          <w:tcPr>
            <w:tcW w:w="865" w:type="dxa"/>
            <w:tcBorders>
              <w:top w:val="single" w:sz="3" w:space="0" w:color="000000"/>
              <w:left w:val="single" w:sz="3" w:space="0" w:color="000000"/>
              <w:bottom w:val="single" w:sz="3" w:space="0" w:color="000000"/>
              <w:right w:val="single" w:sz="3" w:space="0" w:color="000000"/>
            </w:tcBorders>
          </w:tcPr>
          <w:p w14:paraId="7C877ABA" w14:textId="77777777" w:rsidR="00C704F8" w:rsidRDefault="00000000">
            <w:pPr>
              <w:spacing w:after="0" w:line="259" w:lineRule="auto"/>
              <w:ind w:right="4" w:firstLine="0"/>
              <w:jc w:val="center"/>
            </w:pPr>
            <w:r>
              <w:rPr>
                <w:sz w:val="16"/>
              </w:rPr>
              <w:t>0.97</w:t>
            </w:r>
          </w:p>
        </w:tc>
        <w:tc>
          <w:tcPr>
            <w:tcW w:w="664" w:type="dxa"/>
            <w:tcBorders>
              <w:top w:val="single" w:sz="3" w:space="0" w:color="000000"/>
              <w:left w:val="single" w:sz="3" w:space="0" w:color="000000"/>
              <w:bottom w:val="single" w:sz="3" w:space="0" w:color="000000"/>
              <w:right w:val="single" w:sz="3" w:space="0" w:color="000000"/>
            </w:tcBorders>
          </w:tcPr>
          <w:p w14:paraId="747C3A9C" w14:textId="77777777" w:rsidR="00C704F8" w:rsidRDefault="00000000">
            <w:pPr>
              <w:spacing w:after="0" w:line="259" w:lineRule="auto"/>
              <w:ind w:right="4" w:firstLine="0"/>
              <w:jc w:val="center"/>
            </w:pPr>
            <w:r>
              <w:rPr>
                <w:sz w:val="16"/>
              </w:rPr>
              <w:t>0.95</w:t>
            </w:r>
          </w:p>
        </w:tc>
        <w:tc>
          <w:tcPr>
            <w:tcW w:w="847" w:type="dxa"/>
            <w:tcBorders>
              <w:top w:val="single" w:sz="3" w:space="0" w:color="000000"/>
              <w:left w:val="single" w:sz="3" w:space="0" w:color="000000"/>
              <w:bottom w:val="single" w:sz="3" w:space="0" w:color="000000"/>
              <w:right w:val="single" w:sz="3" w:space="0" w:color="000000"/>
            </w:tcBorders>
          </w:tcPr>
          <w:p w14:paraId="5CE17B6A" w14:textId="77777777" w:rsidR="00C704F8" w:rsidRDefault="00000000">
            <w:pPr>
              <w:spacing w:after="0" w:line="259" w:lineRule="auto"/>
              <w:ind w:right="4" w:firstLine="0"/>
              <w:jc w:val="center"/>
            </w:pPr>
            <w:r>
              <w:rPr>
                <w:sz w:val="16"/>
              </w:rPr>
              <w:t>0.96</w:t>
            </w:r>
          </w:p>
        </w:tc>
      </w:tr>
      <w:tr w:rsidR="00C704F8" w14:paraId="42F45B0A" w14:textId="77777777">
        <w:trPr>
          <w:trHeight w:val="187"/>
        </w:trPr>
        <w:tc>
          <w:tcPr>
            <w:tcW w:w="1464" w:type="dxa"/>
            <w:tcBorders>
              <w:top w:val="single" w:sz="3" w:space="0" w:color="000000"/>
              <w:left w:val="single" w:sz="3" w:space="0" w:color="000000"/>
              <w:bottom w:val="single" w:sz="3" w:space="0" w:color="000000"/>
              <w:right w:val="single" w:sz="3" w:space="0" w:color="000000"/>
            </w:tcBorders>
          </w:tcPr>
          <w:p w14:paraId="65252627" w14:textId="77777777" w:rsidR="00C704F8" w:rsidRDefault="00000000">
            <w:pPr>
              <w:spacing w:after="0" w:line="259" w:lineRule="auto"/>
              <w:ind w:firstLine="0"/>
              <w:jc w:val="left"/>
            </w:pPr>
            <w:r>
              <w:rPr>
                <w:sz w:val="16"/>
              </w:rPr>
              <w:t>MobileNetV2 only</w:t>
            </w:r>
          </w:p>
        </w:tc>
        <w:tc>
          <w:tcPr>
            <w:tcW w:w="885" w:type="dxa"/>
            <w:tcBorders>
              <w:top w:val="single" w:sz="3" w:space="0" w:color="000000"/>
              <w:left w:val="single" w:sz="3" w:space="0" w:color="000000"/>
              <w:bottom w:val="single" w:sz="3" w:space="0" w:color="000000"/>
              <w:right w:val="single" w:sz="3" w:space="0" w:color="000000"/>
            </w:tcBorders>
          </w:tcPr>
          <w:p w14:paraId="5D359AFB" w14:textId="77777777" w:rsidR="00C704F8" w:rsidRDefault="00000000">
            <w:pPr>
              <w:spacing w:after="0" w:line="259" w:lineRule="auto"/>
              <w:ind w:right="4" w:firstLine="0"/>
              <w:jc w:val="center"/>
            </w:pPr>
            <w:r>
              <w:rPr>
                <w:sz w:val="16"/>
              </w:rPr>
              <w:t>95.84%</w:t>
            </w:r>
          </w:p>
        </w:tc>
        <w:tc>
          <w:tcPr>
            <w:tcW w:w="865" w:type="dxa"/>
            <w:tcBorders>
              <w:top w:val="single" w:sz="3" w:space="0" w:color="000000"/>
              <w:left w:val="single" w:sz="3" w:space="0" w:color="000000"/>
              <w:bottom w:val="single" w:sz="3" w:space="0" w:color="000000"/>
              <w:right w:val="single" w:sz="3" w:space="0" w:color="000000"/>
            </w:tcBorders>
          </w:tcPr>
          <w:p w14:paraId="6C876FD7" w14:textId="77777777" w:rsidR="00C704F8" w:rsidRDefault="00000000">
            <w:pPr>
              <w:spacing w:after="0" w:line="259" w:lineRule="auto"/>
              <w:ind w:right="4" w:firstLine="0"/>
              <w:jc w:val="center"/>
            </w:pPr>
            <w:r>
              <w:rPr>
                <w:sz w:val="16"/>
              </w:rPr>
              <w:t>0.96</w:t>
            </w:r>
          </w:p>
        </w:tc>
        <w:tc>
          <w:tcPr>
            <w:tcW w:w="664" w:type="dxa"/>
            <w:tcBorders>
              <w:top w:val="single" w:sz="3" w:space="0" w:color="000000"/>
              <w:left w:val="single" w:sz="3" w:space="0" w:color="000000"/>
              <w:bottom w:val="single" w:sz="3" w:space="0" w:color="000000"/>
              <w:right w:val="single" w:sz="3" w:space="0" w:color="000000"/>
            </w:tcBorders>
          </w:tcPr>
          <w:p w14:paraId="22DA7116" w14:textId="77777777" w:rsidR="00C704F8" w:rsidRDefault="00000000">
            <w:pPr>
              <w:spacing w:after="0" w:line="259" w:lineRule="auto"/>
              <w:ind w:right="4" w:firstLine="0"/>
              <w:jc w:val="center"/>
            </w:pPr>
            <w:r>
              <w:rPr>
                <w:sz w:val="16"/>
              </w:rPr>
              <w:t>0.94</w:t>
            </w:r>
          </w:p>
        </w:tc>
        <w:tc>
          <w:tcPr>
            <w:tcW w:w="847" w:type="dxa"/>
            <w:tcBorders>
              <w:top w:val="single" w:sz="3" w:space="0" w:color="000000"/>
              <w:left w:val="single" w:sz="3" w:space="0" w:color="000000"/>
              <w:bottom w:val="single" w:sz="3" w:space="0" w:color="000000"/>
              <w:right w:val="single" w:sz="3" w:space="0" w:color="000000"/>
            </w:tcBorders>
          </w:tcPr>
          <w:p w14:paraId="313114B6" w14:textId="77777777" w:rsidR="00C704F8" w:rsidRDefault="00000000">
            <w:pPr>
              <w:spacing w:after="0" w:line="259" w:lineRule="auto"/>
              <w:ind w:right="4" w:firstLine="0"/>
              <w:jc w:val="center"/>
            </w:pPr>
            <w:r>
              <w:rPr>
                <w:sz w:val="16"/>
              </w:rPr>
              <w:t>0.95</w:t>
            </w:r>
          </w:p>
        </w:tc>
      </w:tr>
      <w:tr w:rsidR="00C704F8" w14:paraId="28D1F2AF" w14:textId="77777777">
        <w:trPr>
          <w:trHeight w:val="187"/>
        </w:trPr>
        <w:tc>
          <w:tcPr>
            <w:tcW w:w="1464" w:type="dxa"/>
            <w:tcBorders>
              <w:top w:val="single" w:sz="3" w:space="0" w:color="000000"/>
              <w:left w:val="single" w:sz="3" w:space="0" w:color="000000"/>
              <w:bottom w:val="single" w:sz="3" w:space="0" w:color="000000"/>
              <w:right w:val="single" w:sz="3" w:space="0" w:color="000000"/>
            </w:tcBorders>
          </w:tcPr>
          <w:p w14:paraId="33556F11" w14:textId="77777777" w:rsidR="00C704F8" w:rsidRDefault="00000000">
            <w:pPr>
              <w:spacing w:after="0" w:line="259" w:lineRule="auto"/>
              <w:ind w:right="4" w:firstLine="0"/>
              <w:jc w:val="center"/>
            </w:pPr>
            <w:r>
              <w:rPr>
                <w:sz w:val="16"/>
              </w:rPr>
              <w:t>Hybrid Model</w:t>
            </w:r>
          </w:p>
        </w:tc>
        <w:tc>
          <w:tcPr>
            <w:tcW w:w="885" w:type="dxa"/>
            <w:tcBorders>
              <w:top w:val="single" w:sz="3" w:space="0" w:color="000000"/>
              <w:left w:val="single" w:sz="3" w:space="0" w:color="000000"/>
              <w:bottom w:val="single" w:sz="3" w:space="0" w:color="000000"/>
              <w:right w:val="single" w:sz="3" w:space="0" w:color="000000"/>
            </w:tcBorders>
          </w:tcPr>
          <w:p w14:paraId="6F92B03F" w14:textId="77777777" w:rsidR="00C704F8" w:rsidRDefault="00000000">
            <w:pPr>
              <w:spacing w:after="0" w:line="259" w:lineRule="auto"/>
              <w:ind w:right="4" w:firstLine="0"/>
              <w:jc w:val="center"/>
            </w:pPr>
            <w:r>
              <w:rPr>
                <w:sz w:val="16"/>
              </w:rPr>
              <w:t>98.00%</w:t>
            </w:r>
          </w:p>
        </w:tc>
        <w:tc>
          <w:tcPr>
            <w:tcW w:w="865" w:type="dxa"/>
            <w:tcBorders>
              <w:top w:val="single" w:sz="3" w:space="0" w:color="000000"/>
              <w:left w:val="single" w:sz="3" w:space="0" w:color="000000"/>
              <w:bottom w:val="single" w:sz="3" w:space="0" w:color="000000"/>
              <w:right w:val="single" w:sz="3" w:space="0" w:color="000000"/>
            </w:tcBorders>
          </w:tcPr>
          <w:p w14:paraId="69804F41" w14:textId="77777777" w:rsidR="00C704F8" w:rsidRDefault="00000000">
            <w:pPr>
              <w:spacing w:after="0" w:line="259" w:lineRule="auto"/>
              <w:ind w:right="4" w:firstLine="0"/>
              <w:jc w:val="center"/>
            </w:pPr>
            <w:r>
              <w:rPr>
                <w:sz w:val="16"/>
              </w:rPr>
              <w:t>1.00</w:t>
            </w:r>
          </w:p>
        </w:tc>
        <w:tc>
          <w:tcPr>
            <w:tcW w:w="664" w:type="dxa"/>
            <w:tcBorders>
              <w:top w:val="single" w:sz="3" w:space="0" w:color="000000"/>
              <w:left w:val="single" w:sz="3" w:space="0" w:color="000000"/>
              <w:bottom w:val="single" w:sz="3" w:space="0" w:color="000000"/>
              <w:right w:val="single" w:sz="3" w:space="0" w:color="000000"/>
            </w:tcBorders>
          </w:tcPr>
          <w:p w14:paraId="7A6D5FE1" w14:textId="77777777" w:rsidR="00C704F8" w:rsidRDefault="00000000">
            <w:pPr>
              <w:spacing w:after="0" w:line="259" w:lineRule="auto"/>
              <w:ind w:right="4" w:firstLine="0"/>
              <w:jc w:val="center"/>
            </w:pPr>
            <w:r>
              <w:rPr>
                <w:sz w:val="16"/>
              </w:rPr>
              <w:t>0.98</w:t>
            </w:r>
          </w:p>
        </w:tc>
        <w:tc>
          <w:tcPr>
            <w:tcW w:w="847" w:type="dxa"/>
            <w:tcBorders>
              <w:top w:val="single" w:sz="3" w:space="0" w:color="000000"/>
              <w:left w:val="single" w:sz="3" w:space="0" w:color="000000"/>
              <w:bottom w:val="single" w:sz="3" w:space="0" w:color="000000"/>
              <w:right w:val="single" w:sz="3" w:space="0" w:color="000000"/>
            </w:tcBorders>
          </w:tcPr>
          <w:p w14:paraId="510430D3" w14:textId="77777777" w:rsidR="00C704F8" w:rsidRDefault="00000000">
            <w:pPr>
              <w:spacing w:after="0" w:line="259" w:lineRule="auto"/>
              <w:ind w:right="4" w:firstLine="0"/>
              <w:jc w:val="center"/>
            </w:pPr>
            <w:r>
              <w:rPr>
                <w:sz w:val="16"/>
              </w:rPr>
              <w:t>0.99</w:t>
            </w:r>
          </w:p>
        </w:tc>
      </w:tr>
    </w:tbl>
    <w:p w14:paraId="1957E9DC" w14:textId="77777777" w:rsidR="00C704F8" w:rsidRDefault="00000000">
      <w:pPr>
        <w:spacing w:after="150"/>
        <w:ind w:left="-15" w:firstLine="0"/>
      </w:pPr>
      <w:r>
        <w:t>hypothesis that combining global features from DenseNet121 with local features from MobileNetV2 enhances the model’s ability to distinguish between monkeypox lesions and other skin conditions.</w:t>
      </w:r>
    </w:p>
    <w:p w14:paraId="5CB35EEF" w14:textId="77777777" w:rsidR="00C704F8" w:rsidRDefault="00000000">
      <w:pPr>
        <w:pStyle w:val="Heading1"/>
        <w:ind w:left="-5"/>
      </w:pPr>
      <w:r>
        <w:t>E. Error Analysis</w:t>
      </w:r>
    </w:p>
    <w:p w14:paraId="684DD1A3" w14:textId="77777777" w:rsidR="00C704F8" w:rsidRDefault="00000000">
      <w:pPr>
        <w:spacing w:after="44"/>
        <w:ind w:left="-15"/>
      </w:pPr>
      <w:r>
        <w:t>To gain deeper insights into the model’s limitations, we analyzed the 22 false negative cases where monkeypox images were incorrectly classified as non-monkeypox. Our analysis revealed several common characteristics among these misclassified images:</w:t>
      </w:r>
    </w:p>
    <w:p w14:paraId="0C7039C0" w14:textId="77777777" w:rsidR="00C704F8" w:rsidRDefault="00000000">
      <w:pPr>
        <w:numPr>
          <w:ilvl w:val="0"/>
          <w:numId w:val="1"/>
        </w:numPr>
        <w:ind w:hanging="201"/>
      </w:pPr>
      <w:r>
        <w:t>Early-stage lesions with subtle features that closely resemble other skin conditions</w:t>
      </w:r>
    </w:p>
    <w:p w14:paraId="486444EE" w14:textId="77777777" w:rsidR="00C704F8" w:rsidRDefault="00000000">
      <w:pPr>
        <w:numPr>
          <w:ilvl w:val="0"/>
          <w:numId w:val="1"/>
        </w:numPr>
        <w:ind w:hanging="201"/>
      </w:pPr>
      <w:r>
        <w:t>Images with poor lighting or focus, reducing the visibility of distinctive monkeypox features</w:t>
      </w:r>
    </w:p>
    <w:p w14:paraId="49B5318E" w14:textId="77777777" w:rsidR="00C704F8" w:rsidRDefault="00000000">
      <w:pPr>
        <w:numPr>
          <w:ilvl w:val="0"/>
          <w:numId w:val="1"/>
        </w:numPr>
        <w:ind w:hanging="201"/>
      </w:pPr>
      <w:r>
        <w:t>Lesions in uncommon locations or with atypical presentations</w:t>
      </w:r>
    </w:p>
    <w:p w14:paraId="473AFF49" w14:textId="77777777" w:rsidR="00C704F8" w:rsidRDefault="00000000">
      <w:pPr>
        <w:numPr>
          <w:ilvl w:val="0"/>
          <w:numId w:val="1"/>
        </w:numPr>
        <w:spacing w:after="20" w:line="259" w:lineRule="auto"/>
        <w:ind w:hanging="201"/>
      </w:pPr>
      <w:r>
        <w:t>Images with significant background noise or distractions</w:t>
      </w:r>
    </w:p>
    <w:p w14:paraId="3D60602C" w14:textId="77777777" w:rsidR="00C704F8" w:rsidRDefault="00000000">
      <w:pPr>
        <w:spacing w:after="150"/>
        <w:ind w:left="-15"/>
      </w:pPr>
      <w:r>
        <w:t>These findings highlight areas for future improvement, particularly in enhancing the model’s sensitivity to early-stage or atypical monkeypox presentations and improving robustness to image quality variations.</w:t>
      </w:r>
    </w:p>
    <w:p w14:paraId="35564ADB" w14:textId="77777777" w:rsidR="00C704F8" w:rsidRDefault="00000000">
      <w:pPr>
        <w:pStyle w:val="Heading1"/>
        <w:ind w:left="-5"/>
      </w:pPr>
      <w:r>
        <w:t>F. Clinical Implications</w:t>
      </w:r>
    </w:p>
    <w:p w14:paraId="4A82895A" w14:textId="77777777" w:rsidR="00C704F8" w:rsidRDefault="00000000">
      <w:pPr>
        <w:ind w:left="-15"/>
      </w:pPr>
      <w:r>
        <w:t>The performance metrics of our hybrid model suggest significant potential for clinical application in monkeypox screening and diagnosis. The high accuracy (98%) and perfect specificity (no false positives) make it particularly suitable as a screening tool in high-volume settings, where it can reliably identify cases requiring further clinical evaluation.</w:t>
      </w:r>
    </w:p>
    <w:p w14:paraId="0CDC1AB7" w14:textId="77777777" w:rsidR="00C704F8" w:rsidRDefault="00000000">
      <w:pPr>
        <w:ind w:left="-15"/>
      </w:pPr>
      <w:r>
        <w:t>The model’s computational efficiency, inherited from the MobileNetV2 architecture, also makes it suitable for deployment in resource-limited settings where specialized diagnostic equipment may be unavailable. With an inference time of approximately 0.15 seconds per image, the model can provide real-time feedback during clinical examinations.</w:t>
      </w:r>
    </w:p>
    <w:p w14:paraId="72F989DC" w14:textId="77777777" w:rsidR="00C704F8" w:rsidRDefault="00000000">
      <w:pPr>
        <w:spacing w:after="150"/>
        <w:ind w:left="-15"/>
      </w:pPr>
      <w:r>
        <w:t>However, it is important to note that while our model demonstrates excellent performance, it should be used as a decision support tool rather than a replacement for clinical judgment. The 22 false negatives in our test set (3.6% of monkeypox cases) underscore the importance of integrating AI-based tools within a broader diagnostic framework that includes clinical assessment and, when necessary, confirmatory laboratory testing.</w:t>
      </w:r>
    </w:p>
    <w:p w14:paraId="6A2AC3A4" w14:textId="77777777" w:rsidR="00C704F8" w:rsidRDefault="00000000">
      <w:pPr>
        <w:pStyle w:val="Heading1"/>
        <w:ind w:left="-5"/>
      </w:pPr>
      <w:r>
        <w:t>G. Limitations and Future Work</w:t>
      </w:r>
    </w:p>
    <w:p w14:paraId="05A05B33" w14:textId="77777777" w:rsidR="00C704F8" w:rsidRDefault="00000000">
      <w:pPr>
        <w:ind w:left="-15"/>
      </w:pPr>
      <w:r>
        <w:t>Despite the promising results, several limitations of our study should be acknowledged:</w:t>
      </w:r>
    </w:p>
    <w:p w14:paraId="73D7673A" w14:textId="77777777" w:rsidR="00C704F8" w:rsidRDefault="00000000">
      <w:pPr>
        <w:numPr>
          <w:ilvl w:val="0"/>
          <w:numId w:val="2"/>
        </w:numPr>
        <w:ind w:hanging="201"/>
      </w:pPr>
      <w:r>
        <w:t>Dataset limitations: While the MSLD dataset includes a</w:t>
      </w:r>
    </w:p>
    <w:p w14:paraId="29A002A6" w14:textId="77777777" w:rsidR="00C704F8" w:rsidRDefault="00000000">
      <w:pPr>
        <w:ind w:left="400" w:hanging="201"/>
      </w:pPr>
      <w:r>
        <w:t>diverse range of monkeypox presentations, it may not fully represent the global diversity of skin types, lesion presentations, and imaging conditions.</w:t>
      </w:r>
    </w:p>
    <w:p w14:paraId="7A926767" w14:textId="77777777" w:rsidR="00C704F8" w:rsidRDefault="00000000">
      <w:pPr>
        <w:numPr>
          <w:ilvl w:val="0"/>
          <w:numId w:val="2"/>
        </w:numPr>
        <w:ind w:hanging="201"/>
      </w:pPr>
      <w:r>
        <w:t>Binary classification: The current model performs binary classification (monkeypox vs. non-monkeypox) and does not differentiate between various stages of monkeypox infection or distinguish monkeypox from specific similar conditions like chickenpox or measles.</w:t>
      </w:r>
    </w:p>
    <w:p w14:paraId="5D95D719" w14:textId="77777777" w:rsidR="00C704F8" w:rsidRDefault="00000000">
      <w:pPr>
        <w:numPr>
          <w:ilvl w:val="0"/>
          <w:numId w:val="2"/>
        </w:numPr>
        <w:ind w:hanging="201"/>
      </w:pPr>
      <w:r>
        <w:t>Controlled environment: The evaluation was conducted on a curated dataset rather than in a real-world clinical setting, which may present additional challenges such as varying image quality, inconsistent lighting, and diverse patient demographics.</w:t>
      </w:r>
    </w:p>
    <w:p w14:paraId="5869BD83" w14:textId="77777777" w:rsidR="00C704F8" w:rsidRDefault="00000000">
      <w:pPr>
        <w:ind w:left="199" w:firstLine="0"/>
      </w:pPr>
      <w:r>
        <w:t>Future work will address these limitations through:</w:t>
      </w:r>
    </w:p>
    <w:p w14:paraId="6B9825DA" w14:textId="77777777" w:rsidR="00C704F8" w:rsidRDefault="00000000">
      <w:pPr>
        <w:numPr>
          <w:ilvl w:val="0"/>
          <w:numId w:val="2"/>
        </w:numPr>
        <w:ind w:hanging="201"/>
      </w:pPr>
      <w:r>
        <w:t>Expanding the dataset to include more diverse skin types, lesion stages, and imaging conditions</w:t>
      </w:r>
    </w:p>
    <w:p w14:paraId="46F0FF2D" w14:textId="77777777" w:rsidR="00C704F8" w:rsidRDefault="00000000">
      <w:pPr>
        <w:numPr>
          <w:ilvl w:val="0"/>
          <w:numId w:val="2"/>
        </w:numPr>
        <w:ind w:hanging="201"/>
      </w:pPr>
      <w:r>
        <w:t>Developing multi-class models capable of distinguishing monkeypox from specific similar conditions</w:t>
      </w:r>
    </w:p>
    <w:p w14:paraId="267A393E" w14:textId="77777777" w:rsidR="00C704F8" w:rsidRDefault="00000000">
      <w:pPr>
        <w:numPr>
          <w:ilvl w:val="0"/>
          <w:numId w:val="2"/>
        </w:numPr>
        <w:ind w:hanging="201"/>
      </w:pPr>
      <w:r>
        <w:t>Implementing explainable AI techniques to provide interpretable results that can aid clinical decision-making</w:t>
      </w:r>
    </w:p>
    <w:p w14:paraId="39F2B579" w14:textId="77777777" w:rsidR="00C704F8" w:rsidRDefault="00000000">
      <w:pPr>
        <w:numPr>
          <w:ilvl w:val="0"/>
          <w:numId w:val="2"/>
        </w:numPr>
        <w:ind w:hanging="201"/>
      </w:pPr>
      <w:r>
        <w:t>Conducting prospective clinical validation studies to assess real-world performance</w:t>
      </w:r>
    </w:p>
    <w:p w14:paraId="2F28B468" w14:textId="77777777" w:rsidR="00C704F8" w:rsidRDefault="00000000">
      <w:pPr>
        <w:numPr>
          <w:ilvl w:val="0"/>
          <w:numId w:val="2"/>
        </w:numPr>
        <w:ind w:hanging="201"/>
      </w:pPr>
      <w:r>
        <w:t>Exploring lightweight model architectures for deployment on mobile devices in resource-limited settings</w:t>
      </w:r>
    </w:p>
    <w:p w14:paraId="479DBE44" w14:textId="77777777" w:rsidR="00C704F8" w:rsidRDefault="00000000">
      <w:pPr>
        <w:spacing w:after="113"/>
        <w:ind w:left="-15"/>
      </w:pPr>
      <w:r>
        <w:t>These enhancements will further improve the clinical utility and real-world applicability of AI-based monkeypox detection systems.</w:t>
      </w:r>
    </w:p>
    <w:p w14:paraId="05AEF6C2" w14:textId="77777777" w:rsidR="00C704F8" w:rsidRDefault="00000000">
      <w:pPr>
        <w:numPr>
          <w:ilvl w:val="0"/>
          <w:numId w:val="2"/>
        </w:numPr>
        <w:ind w:hanging="201"/>
      </w:pPr>
      <w:r>
        <w:t>Analysis of error patterns and model limitations, providing insights for future improvements in AI-based monkeypox detection systems</w:t>
      </w:r>
    </w:p>
    <w:p w14:paraId="243D175E" w14:textId="77777777" w:rsidR="00C704F8" w:rsidRDefault="00000000">
      <w:pPr>
        <w:ind w:left="-15"/>
      </w:pPr>
      <w:r>
        <w:t>The perfect specificity (no false positives) achieved by our model is particularly significant for clinical applications, as it</w:t>
      </w:r>
    </w:p>
    <w:sectPr w:rsidR="00C704F8">
      <w:pgSz w:w="12240" w:h="15840"/>
      <w:pgMar w:top="1011" w:right="979" w:bottom="1468" w:left="979" w:header="720" w:footer="720" w:gutter="0"/>
      <w:cols w:num="2" w:space="23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B175FB"/>
    <w:multiLevelType w:val="hybridMultilevel"/>
    <w:tmpl w:val="F8706168"/>
    <w:lvl w:ilvl="0" w:tplc="3DFC4432">
      <w:start w:val="1"/>
      <w:numFmt w:val="bullet"/>
      <w:lvlText w:val="•"/>
      <w:lvlJc w:val="left"/>
      <w:pPr>
        <w:ind w:left="400"/>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1" w:tplc="A32E9DA6">
      <w:start w:val="1"/>
      <w:numFmt w:val="bullet"/>
      <w:lvlText w:val="o"/>
      <w:lvlJc w:val="left"/>
      <w:pPr>
        <w:ind w:left="12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2" w:tplc="8CD07A46">
      <w:start w:val="1"/>
      <w:numFmt w:val="bullet"/>
      <w:lvlText w:val="▪"/>
      <w:lvlJc w:val="left"/>
      <w:pPr>
        <w:ind w:left="19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3" w:tplc="71C617C8">
      <w:start w:val="1"/>
      <w:numFmt w:val="bullet"/>
      <w:lvlText w:val="•"/>
      <w:lvlJc w:val="left"/>
      <w:pPr>
        <w:ind w:left="27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4" w:tplc="C5ACCEAC">
      <w:start w:val="1"/>
      <w:numFmt w:val="bullet"/>
      <w:lvlText w:val="o"/>
      <w:lvlJc w:val="left"/>
      <w:pPr>
        <w:ind w:left="343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5" w:tplc="1E948446">
      <w:start w:val="1"/>
      <w:numFmt w:val="bullet"/>
      <w:lvlText w:val="▪"/>
      <w:lvlJc w:val="left"/>
      <w:pPr>
        <w:ind w:left="415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6" w:tplc="E452CD0C">
      <w:start w:val="1"/>
      <w:numFmt w:val="bullet"/>
      <w:lvlText w:val="•"/>
      <w:lvlJc w:val="left"/>
      <w:pPr>
        <w:ind w:left="48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7" w:tplc="C1DEDE42">
      <w:start w:val="1"/>
      <w:numFmt w:val="bullet"/>
      <w:lvlText w:val="o"/>
      <w:lvlJc w:val="left"/>
      <w:pPr>
        <w:ind w:left="55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8" w:tplc="4E880E28">
      <w:start w:val="1"/>
      <w:numFmt w:val="bullet"/>
      <w:lvlText w:val="▪"/>
      <w:lvlJc w:val="left"/>
      <w:pPr>
        <w:ind w:left="63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abstractNum>
  <w:abstractNum w:abstractNumId="1" w15:restartNumberingAfterBreak="0">
    <w:nsid w:val="7EE578B2"/>
    <w:multiLevelType w:val="hybridMultilevel"/>
    <w:tmpl w:val="26B40FC8"/>
    <w:lvl w:ilvl="0" w:tplc="DCCAEC2E">
      <w:start w:val="1"/>
      <w:numFmt w:val="bullet"/>
      <w:lvlText w:val="•"/>
      <w:lvlJc w:val="left"/>
      <w:pPr>
        <w:ind w:left="400"/>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1" w:tplc="5406C7DC">
      <w:start w:val="1"/>
      <w:numFmt w:val="bullet"/>
      <w:lvlText w:val="o"/>
      <w:lvlJc w:val="left"/>
      <w:pPr>
        <w:ind w:left="12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2" w:tplc="E7F0631E">
      <w:start w:val="1"/>
      <w:numFmt w:val="bullet"/>
      <w:lvlText w:val="▪"/>
      <w:lvlJc w:val="left"/>
      <w:pPr>
        <w:ind w:left="19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3" w:tplc="137E0E5C">
      <w:start w:val="1"/>
      <w:numFmt w:val="bullet"/>
      <w:lvlText w:val="•"/>
      <w:lvlJc w:val="left"/>
      <w:pPr>
        <w:ind w:left="27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4" w:tplc="62967734">
      <w:start w:val="1"/>
      <w:numFmt w:val="bullet"/>
      <w:lvlText w:val="o"/>
      <w:lvlJc w:val="left"/>
      <w:pPr>
        <w:ind w:left="343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5" w:tplc="93905E44">
      <w:start w:val="1"/>
      <w:numFmt w:val="bullet"/>
      <w:lvlText w:val="▪"/>
      <w:lvlJc w:val="left"/>
      <w:pPr>
        <w:ind w:left="415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6" w:tplc="AD342C12">
      <w:start w:val="1"/>
      <w:numFmt w:val="bullet"/>
      <w:lvlText w:val="•"/>
      <w:lvlJc w:val="left"/>
      <w:pPr>
        <w:ind w:left="487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7" w:tplc="FCB685FE">
      <w:start w:val="1"/>
      <w:numFmt w:val="bullet"/>
      <w:lvlText w:val="o"/>
      <w:lvlJc w:val="left"/>
      <w:pPr>
        <w:ind w:left="559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lvl w:ilvl="8" w:tplc="E376E08A">
      <w:start w:val="1"/>
      <w:numFmt w:val="bullet"/>
      <w:lvlText w:val="▪"/>
      <w:lvlJc w:val="left"/>
      <w:pPr>
        <w:ind w:left="6319"/>
      </w:pPr>
      <w:rPr>
        <w:rFonts w:ascii="Cambria" w:eastAsia="Cambria" w:hAnsi="Cambria" w:cs="Cambria"/>
        <w:b w:val="0"/>
        <w:i w:val="0"/>
        <w:strike w:val="0"/>
        <w:dstrike w:val="0"/>
        <w:color w:val="000000"/>
        <w:sz w:val="14"/>
        <w:szCs w:val="14"/>
        <w:u w:val="none" w:color="000000"/>
        <w:bdr w:val="none" w:sz="0" w:space="0" w:color="auto"/>
        <w:shd w:val="clear" w:color="auto" w:fill="auto"/>
        <w:vertAlign w:val="baseline"/>
      </w:rPr>
    </w:lvl>
  </w:abstractNum>
  <w:num w:numId="1" w16cid:durableId="1128937547">
    <w:abstractNumId w:val="0"/>
  </w:num>
  <w:num w:numId="2" w16cid:durableId="532881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sDAzNDG3MDQ1NTczsDBQ0lEKTi0uzszPAykwrAUALKab2ywAAAA="/>
  </w:docVars>
  <w:rsids>
    <w:rsidRoot w:val="00C704F8"/>
    <w:rsid w:val="00B57215"/>
    <w:rsid w:val="00C704F8"/>
    <w:rsid w:val="00EE5FAE"/>
    <w:rsid w:val="00F211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7B120"/>
  <w15:docId w15:val="{8A50B6E6-7923-4B3B-8A7B-B23DB804B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36" w:lineRule="auto"/>
      <w:ind w:firstLine="189"/>
      <w:jc w:val="both"/>
    </w:pPr>
    <w:rPr>
      <w:rFonts w:ascii="Calibri" w:eastAsia="Calibri" w:hAnsi="Calibri" w:cs="Calibri"/>
      <w:color w:val="000000"/>
      <w:sz w:val="20"/>
    </w:rPr>
  </w:style>
  <w:style w:type="paragraph" w:styleId="Heading1">
    <w:name w:val="heading 1"/>
    <w:next w:val="Normal"/>
    <w:link w:val="Heading1Char"/>
    <w:uiPriority w:val="9"/>
    <w:qFormat/>
    <w:pPr>
      <w:keepNext/>
      <w:keepLines/>
      <w:spacing w:after="41" w:line="259" w:lineRule="auto"/>
      <w:ind w:left="10" w:hanging="10"/>
      <w:outlineLvl w:val="0"/>
    </w:pPr>
    <w:rPr>
      <w:rFonts w:ascii="Calibri" w:eastAsia="Calibri" w:hAnsi="Calibri" w:cs="Calibri"/>
      <w:i/>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i/>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1196</Words>
  <Characters>6818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M. Salem</dc:creator>
  <cp:keywords/>
  <cp:lastModifiedBy>Mahmoud M. Salem</cp:lastModifiedBy>
  <cp:revision>3</cp:revision>
  <dcterms:created xsi:type="dcterms:W3CDTF">2025-04-08T20:12:00Z</dcterms:created>
  <dcterms:modified xsi:type="dcterms:W3CDTF">2025-04-08T20:12:00Z</dcterms:modified>
</cp:coreProperties>
</file>