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D6B28" w14:textId="77777777" w:rsidR="0065185F" w:rsidRDefault="002B5D39">
      <w:pPr>
        <w:bidi/>
        <w:jc w:val="center"/>
      </w:pPr>
      <w:r>
        <w:rPr>
          <w:b/>
          <w:sz w:val="30"/>
        </w:rPr>
        <w:t>التقرير</w:t>
      </w:r>
      <w:r>
        <w:rPr>
          <w:b/>
          <w:sz w:val="30"/>
        </w:rPr>
        <w:t xml:space="preserve"> </w:t>
      </w:r>
      <w:r>
        <w:rPr>
          <w:b/>
          <w:sz w:val="30"/>
        </w:rPr>
        <w:t>النهائي</w:t>
      </w:r>
      <w:r>
        <w:rPr>
          <w:b/>
          <w:sz w:val="30"/>
        </w:rPr>
        <w:t xml:space="preserve"> </w:t>
      </w:r>
      <w:r>
        <w:rPr>
          <w:b/>
          <w:sz w:val="30"/>
        </w:rPr>
        <w:t>لمراجعة</w:t>
      </w:r>
      <w:r>
        <w:rPr>
          <w:b/>
          <w:sz w:val="30"/>
        </w:rPr>
        <w:t xml:space="preserve"> </w:t>
      </w:r>
      <w:r>
        <w:rPr>
          <w:b/>
          <w:sz w:val="30"/>
        </w:rPr>
        <w:t>الفصل</w:t>
      </w:r>
      <w:r>
        <w:rPr>
          <w:b/>
          <w:sz w:val="30"/>
        </w:rPr>
        <w:t xml:space="preserve"> </w:t>
      </w:r>
      <w:r>
        <w:rPr>
          <w:b/>
          <w:sz w:val="30"/>
        </w:rPr>
        <w:t>الثاني</w:t>
      </w:r>
    </w:p>
    <w:p w14:paraId="50E4A097" w14:textId="77777777" w:rsidR="0065185F" w:rsidRDefault="002B5D39">
      <w:pPr>
        <w:bidi/>
        <w:jc w:val="center"/>
      </w:pPr>
      <w:r>
        <w:rPr>
          <w:b/>
          <w:sz w:val="30"/>
        </w:rPr>
        <w:t>الإطار</w:t>
      </w:r>
      <w:r>
        <w:rPr>
          <w:b/>
          <w:sz w:val="30"/>
        </w:rPr>
        <w:t xml:space="preserve"> </w:t>
      </w:r>
      <w:r>
        <w:rPr>
          <w:b/>
          <w:sz w:val="30"/>
        </w:rPr>
        <w:t>النظري</w:t>
      </w:r>
      <w:r>
        <w:rPr>
          <w:b/>
          <w:sz w:val="30"/>
        </w:rPr>
        <w:t xml:space="preserve"> </w:t>
      </w:r>
      <w:r>
        <w:rPr>
          <w:b/>
          <w:sz w:val="30"/>
        </w:rPr>
        <w:t>والدراسات</w:t>
      </w:r>
      <w:r>
        <w:rPr>
          <w:b/>
          <w:sz w:val="30"/>
        </w:rPr>
        <w:t xml:space="preserve"> </w:t>
      </w:r>
      <w:r>
        <w:rPr>
          <w:b/>
          <w:sz w:val="30"/>
        </w:rPr>
        <w:t>السابقة</w:t>
      </w:r>
    </w:p>
    <w:tbl>
      <w:tblPr>
        <w:tblStyle w:val="TableGrid"/>
        <w:bidiVisual/>
        <w:tblW w:w="0" w:type="auto"/>
        <w:jc w:val="center"/>
        <w:tblLook w:val="04A0" w:firstRow="1" w:lastRow="0" w:firstColumn="1" w:lastColumn="0" w:noHBand="0" w:noVBand="1"/>
      </w:tblPr>
      <w:tblGrid>
        <w:gridCol w:w="4868"/>
        <w:gridCol w:w="4868"/>
      </w:tblGrid>
      <w:tr w:rsidR="00D756D0" w14:paraId="4694CAE4" w14:textId="77777777" w:rsidTr="00D756D0">
        <w:trPr>
          <w:jc w:val="center"/>
        </w:trPr>
        <w:tc>
          <w:tcPr>
            <w:tcW w:w="4873" w:type="dxa"/>
            <w:shd w:val="clear" w:color="auto" w:fill="EDEDED"/>
            <w:vAlign w:val="center"/>
          </w:tcPr>
          <w:p w14:paraId="6DF1B07F" w14:textId="7655F866" w:rsidR="00D756D0" w:rsidRDefault="00D756D0" w:rsidP="00D756D0">
            <w:pPr>
              <w:bidi/>
              <w:jc w:val="center"/>
            </w:pPr>
            <w:r w:rsidRPr="00F76C81">
              <w:rPr>
                <w:rtl/>
              </w:rPr>
              <w:t>اسم الطالب</w:t>
            </w:r>
          </w:p>
        </w:tc>
        <w:tc>
          <w:tcPr>
            <w:tcW w:w="4873" w:type="dxa"/>
            <w:vAlign w:val="center"/>
          </w:tcPr>
          <w:p w14:paraId="6C0CEAB3" w14:textId="0FD69DCB" w:rsidR="00D756D0" w:rsidRDefault="00D756D0" w:rsidP="00D756D0">
            <w:pPr>
              <w:bidi/>
              <w:jc w:val="center"/>
            </w:pPr>
            <w:r w:rsidRPr="00F76C81">
              <w:rPr>
                <w:rtl/>
              </w:rPr>
              <w:t>منى المطيري</w:t>
            </w:r>
          </w:p>
        </w:tc>
      </w:tr>
      <w:tr w:rsidR="00D756D0" w14:paraId="286FABAA" w14:textId="77777777" w:rsidTr="00D756D0">
        <w:trPr>
          <w:jc w:val="center"/>
        </w:trPr>
        <w:tc>
          <w:tcPr>
            <w:tcW w:w="4873" w:type="dxa"/>
            <w:shd w:val="clear" w:color="auto" w:fill="EDEDED"/>
            <w:vAlign w:val="center"/>
          </w:tcPr>
          <w:p w14:paraId="55385C07" w14:textId="6789E46F" w:rsidR="00D756D0" w:rsidRDefault="00D756D0" w:rsidP="00D756D0">
            <w:pPr>
              <w:bidi/>
              <w:jc w:val="center"/>
            </w:pPr>
            <w:r w:rsidRPr="00F76C81">
              <w:rPr>
                <w:rtl/>
              </w:rPr>
              <w:t>موضوع الرسالة</w:t>
            </w:r>
          </w:p>
        </w:tc>
        <w:tc>
          <w:tcPr>
            <w:tcW w:w="4873" w:type="dxa"/>
            <w:vAlign w:val="center"/>
          </w:tcPr>
          <w:p w14:paraId="6E2F5228" w14:textId="0C66EECD" w:rsidR="00D756D0" w:rsidRDefault="00D756D0" w:rsidP="00D756D0">
            <w:pPr>
              <w:bidi/>
              <w:jc w:val="center"/>
            </w:pPr>
            <w:r w:rsidRPr="00F76C81">
              <w:rPr>
                <w:rtl/>
              </w:rPr>
              <w:t>تحليل مستوى نضج التخطيط الاستراتيجي وأثره في تعزيز التكامل المؤسسي: دراسة على المنظمات التابعة لمجلس التعاون الخليجي</w:t>
            </w:r>
          </w:p>
        </w:tc>
      </w:tr>
      <w:tr w:rsidR="00D756D0" w14:paraId="26BFE27E" w14:textId="77777777" w:rsidTr="00D756D0">
        <w:trPr>
          <w:jc w:val="center"/>
        </w:trPr>
        <w:tc>
          <w:tcPr>
            <w:tcW w:w="4873" w:type="dxa"/>
            <w:shd w:val="clear" w:color="auto" w:fill="EDEDED"/>
            <w:vAlign w:val="center"/>
          </w:tcPr>
          <w:p w14:paraId="5F195838" w14:textId="38239BAA" w:rsidR="00D756D0" w:rsidRDefault="00D756D0" w:rsidP="00D756D0">
            <w:pPr>
              <w:bidi/>
              <w:jc w:val="center"/>
            </w:pPr>
            <w:r w:rsidRPr="00F76C81">
              <w:rPr>
                <w:rtl/>
              </w:rPr>
              <w:t>نوع المراجعة</w:t>
            </w:r>
          </w:p>
        </w:tc>
        <w:tc>
          <w:tcPr>
            <w:tcW w:w="4873" w:type="dxa"/>
            <w:vAlign w:val="center"/>
          </w:tcPr>
          <w:p w14:paraId="6A5A56C6" w14:textId="2C2CE917" w:rsidR="00D756D0" w:rsidRDefault="00D756D0" w:rsidP="00D756D0">
            <w:pPr>
              <w:bidi/>
              <w:jc w:val="center"/>
            </w:pPr>
            <w:r w:rsidRPr="00F76C81">
              <w:rPr>
                <w:rtl/>
              </w:rPr>
              <w:t>مقارنة بين تقرير المراجعة السابق والنسخة الحالية للفصل الثاني</w:t>
            </w:r>
          </w:p>
        </w:tc>
      </w:tr>
      <w:tr w:rsidR="00D756D0" w14:paraId="48756995" w14:textId="77777777" w:rsidTr="00D756D0">
        <w:trPr>
          <w:jc w:val="center"/>
        </w:trPr>
        <w:tc>
          <w:tcPr>
            <w:tcW w:w="4873" w:type="dxa"/>
            <w:shd w:val="clear" w:color="auto" w:fill="EDEDED"/>
            <w:vAlign w:val="center"/>
          </w:tcPr>
          <w:p w14:paraId="2A60B937" w14:textId="070919F0" w:rsidR="00D756D0" w:rsidRDefault="00D756D0" w:rsidP="00D756D0">
            <w:pPr>
              <w:bidi/>
              <w:jc w:val="center"/>
            </w:pPr>
            <w:r w:rsidRPr="00F76C81">
              <w:rPr>
                <w:rtl/>
              </w:rPr>
              <w:t>قرار المراجعة</w:t>
            </w:r>
          </w:p>
        </w:tc>
        <w:tc>
          <w:tcPr>
            <w:tcW w:w="4873" w:type="dxa"/>
            <w:vAlign w:val="center"/>
          </w:tcPr>
          <w:p w14:paraId="5BAE4AB8" w14:textId="1A9283F5" w:rsidR="00D756D0" w:rsidRDefault="00D756D0" w:rsidP="00D756D0">
            <w:pPr>
              <w:bidi/>
              <w:jc w:val="center"/>
            </w:pPr>
            <w:r w:rsidRPr="00F76C81">
              <w:rPr>
                <w:rtl/>
              </w:rPr>
              <w:t>مقبول مع تعديلات بسيطة</w:t>
            </w:r>
          </w:p>
        </w:tc>
      </w:tr>
    </w:tbl>
    <w:p w14:paraId="5B6052D1" w14:textId="77777777" w:rsidR="0065185F" w:rsidRDefault="0065185F"/>
    <w:p w14:paraId="19560607" w14:textId="77777777" w:rsidR="0065185F" w:rsidRDefault="002B5D39" w:rsidP="00D756D0">
      <w:pPr>
        <w:bidi/>
        <w:spacing w:before="120" w:after="120"/>
      </w:pPr>
      <w:r>
        <w:rPr>
          <w:b/>
          <w:sz w:val="26"/>
        </w:rPr>
        <w:t>أولًا</w:t>
      </w:r>
      <w:r>
        <w:rPr>
          <w:b/>
          <w:sz w:val="26"/>
        </w:rPr>
        <w:t xml:space="preserve">: </w:t>
      </w:r>
      <w:r>
        <w:rPr>
          <w:b/>
          <w:sz w:val="26"/>
        </w:rPr>
        <w:t>التقدير</w:t>
      </w:r>
      <w:r>
        <w:rPr>
          <w:b/>
          <w:sz w:val="26"/>
        </w:rPr>
        <w:t xml:space="preserve"> </w:t>
      </w:r>
      <w:r>
        <w:rPr>
          <w:b/>
          <w:sz w:val="26"/>
        </w:rPr>
        <w:t>العام</w:t>
      </w:r>
    </w:p>
    <w:p w14:paraId="085409F7" w14:textId="77777777" w:rsidR="00D756D0" w:rsidRDefault="00D756D0" w:rsidP="00D756D0">
      <w:pPr>
        <w:bidi/>
        <w:spacing w:before="120" w:after="120"/>
        <w:jc w:val="both"/>
        <w:rPr>
          <w:rFonts w:cs="Arial"/>
        </w:rPr>
      </w:pPr>
      <w:r w:rsidRPr="00D756D0">
        <w:rPr>
          <w:rFonts w:cs="Arial"/>
          <w:rtl/>
        </w:rPr>
        <w:t>تُظهر النسخة الحالية نضجًا أكاديميًا واضحًا مقارنة بتقرير المراجعة السابق؛ إذ أصبح البناء النظري أكثر تماسكًا، وتم توضيح الأبعاد الخمسة لمستوى نضج التخطيط الاستراتيجي بصورة جيدة، كما ظهر ضبط أفضل لتعريف التكامل المؤسسي ومصادر القياس، وتحسن الربط بين الفجوة البحثية والأسئلة والفرضيات والنموذج المفاهيمي. وبذلك فإن أغلب الملاحظات الجوهرية السابقة أُغلقت فعليًا، ولم يتبقَّ سوى عدد محدود من الملاحظات التحسينية النهائية التي لا تمس البنية الأساسية للفصل.</w:t>
      </w:r>
    </w:p>
    <w:p w14:paraId="2A91FC0C" w14:textId="77777777" w:rsidR="00D756D0" w:rsidRDefault="00D756D0" w:rsidP="00D756D0">
      <w:pPr>
        <w:bidi/>
        <w:spacing w:before="120" w:after="120"/>
        <w:jc w:val="right"/>
        <w:rPr>
          <w:rFonts w:cs="Arial"/>
          <w:b/>
        </w:rPr>
      </w:pPr>
    </w:p>
    <w:p w14:paraId="5BAFFA09" w14:textId="1B0F0726" w:rsidR="0065185F" w:rsidRDefault="002B5D39" w:rsidP="00D756D0">
      <w:pPr>
        <w:bidi/>
        <w:spacing w:before="120" w:after="120"/>
      </w:pPr>
      <w:proofErr w:type="spellStart"/>
      <w:r>
        <w:rPr>
          <w:b/>
          <w:sz w:val="26"/>
        </w:rPr>
        <w:t>ثانيًا</w:t>
      </w:r>
      <w:proofErr w:type="spellEnd"/>
      <w:r>
        <w:rPr>
          <w:b/>
          <w:sz w:val="26"/>
        </w:rPr>
        <w:t xml:space="preserve">: </w:t>
      </w:r>
      <w:proofErr w:type="spellStart"/>
      <w:r>
        <w:rPr>
          <w:b/>
          <w:sz w:val="26"/>
        </w:rPr>
        <w:t>الملاحظات</w:t>
      </w:r>
      <w:proofErr w:type="spellEnd"/>
      <w:r>
        <w:rPr>
          <w:b/>
          <w:sz w:val="26"/>
        </w:rPr>
        <w:t xml:space="preserve"> </w:t>
      </w:r>
      <w:proofErr w:type="spellStart"/>
      <w:r>
        <w:rPr>
          <w:b/>
          <w:sz w:val="26"/>
        </w:rPr>
        <w:t>الجوهرية</w:t>
      </w:r>
      <w:proofErr w:type="spellEnd"/>
      <w:r>
        <w:rPr>
          <w:b/>
          <w:sz w:val="26"/>
        </w:rPr>
        <w:t xml:space="preserve"> </w:t>
      </w:r>
      <w:proofErr w:type="spellStart"/>
      <w:r>
        <w:rPr>
          <w:b/>
          <w:sz w:val="26"/>
        </w:rPr>
        <w:t>التي</w:t>
      </w:r>
      <w:proofErr w:type="spellEnd"/>
      <w:r>
        <w:rPr>
          <w:b/>
          <w:sz w:val="26"/>
        </w:rPr>
        <w:t xml:space="preserve"> </w:t>
      </w:r>
      <w:r>
        <w:rPr>
          <w:b/>
          <w:sz w:val="26"/>
        </w:rPr>
        <w:t>ما</w:t>
      </w:r>
      <w:r>
        <w:rPr>
          <w:b/>
          <w:sz w:val="26"/>
        </w:rPr>
        <w:t xml:space="preserve"> </w:t>
      </w:r>
      <w:r>
        <w:rPr>
          <w:b/>
          <w:sz w:val="26"/>
        </w:rPr>
        <w:t>تزال</w:t>
      </w:r>
      <w:r>
        <w:rPr>
          <w:b/>
          <w:sz w:val="26"/>
        </w:rPr>
        <w:t xml:space="preserve"> </w:t>
      </w:r>
      <w:r>
        <w:rPr>
          <w:b/>
          <w:sz w:val="26"/>
        </w:rPr>
        <w:t>قائمة</w:t>
      </w:r>
    </w:p>
    <w:tbl>
      <w:tblPr>
        <w:tblStyle w:val="TableGrid"/>
        <w:bidiVisual/>
        <w:tblW w:w="9204" w:type="dxa"/>
        <w:jc w:val="center"/>
        <w:tblLook w:val="04A0" w:firstRow="1" w:lastRow="0" w:firstColumn="1" w:lastColumn="0" w:noHBand="0" w:noVBand="1"/>
      </w:tblPr>
      <w:tblGrid>
        <w:gridCol w:w="743"/>
        <w:gridCol w:w="2766"/>
        <w:gridCol w:w="5695"/>
      </w:tblGrid>
      <w:tr w:rsidR="0065185F" w14:paraId="305229FB" w14:textId="77777777" w:rsidTr="00D756D0">
        <w:trPr>
          <w:jc w:val="center"/>
        </w:trPr>
        <w:tc>
          <w:tcPr>
            <w:tcW w:w="743" w:type="dxa"/>
            <w:shd w:val="clear" w:color="auto" w:fill="D9EAF7"/>
            <w:vAlign w:val="center"/>
          </w:tcPr>
          <w:p w14:paraId="0918246F" w14:textId="77777777" w:rsidR="0065185F" w:rsidRDefault="002B5D39">
            <w:pPr>
              <w:bidi/>
              <w:jc w:val="center"/>
            </w:pPr>
            <w:r>
              <w:rPr>
                <w:b/>
                <w:sz w:val="22"/>
              </w:rPr>
              <w:t>م</w:t>
            </w:r>
          </w:p>
        </w:tc>
        <w:tc>
          <w:tcPr>
            <w:tcW w:w="2766" w:type="dxa"/>
            <w:shd w:val="clear" w:color="auto" w:fill="D9EAF7"/>
            <w:vAlign w:val="center"/>
          </w:tcPr>
          <w:p w14:paraId="7E3A5EC8" w14:textId="77777777" w:rsidR="0065185F" w:rsidRDefault="002B5D39">
            <w:pPr>
              <w:bidi/>
              <w:jc w:val="center"/>
            </w:pPr>
            <w:r>
              <w:rPr>
                <w:b/>
                <w:sz w:val="22"/>
              </w:rPr>
              <w:t>الملاحظة</w:t>
            </w:r>
            <w:r>
              <w:rPr>
                <w:b/>
                <w:sz w:val="22"/>
              </w:rPr>
              <w:t xml:space="preserve"> </w:t>
            </w:r>
            <w:r>
              <w:rPr>
                <w:b/>
                <w:sz w:val="22"/>
              </w:rPr>
              <w:t>الجوهرية</w:t>
            </w:r>
          </w:p>
        </w:tc>
        <w:tc>
          <w:tcPr>
            <w:tcW w:w="5695" w:type="dxa"/>
            <w:shd w:val="clear" w:color="auto" w:fill="D9EAF7"/>
            <w:vAlign w:val="center"/>
          </w:tcPr>
          <w:p w14:paraId="20532228" w14:textId="77777777" w:rsidR="0065185F" w:rsidRDefault="002B5D39">
            <w:pPr>
              <w:bidi/>
              <w:jc w:val="center"/>
            </w:pPr>
            <w:r>
              <w:rPr>
                <w:b/>
                <w:sz w:val="22"/>
              </w:rPr>
              <w:t>الحكم</w:t>
            </w:r>
            <w:r>
              <w:rPr>
                <w:b/>
                <w:sz w:val="22"/>
              </w:rPr>
              <w:t xml:space="preserve"> </w:t>
            </w:r>
            <w:r>
              <w:rPr>
                <w:b/>
                <w:sz w:val="22"/>
              </w:rPr>
              <w:t>المختصر</w:t>
            </w:r>
          </w:p>
        </w:tc>
      </w:tr>
      <w:tr w:rsidR="00D756D0" w14:paraId="22B56DEE" w14:textId="77777777" w:rsidTr="00D756D0">
        <w:trPr>
          <w:jc w:val="center"/>
        </w:trPr>
        <w:tc>
          <w:tcPr>
            <w:tcW w:w="743" w:type="dxa"/>
            <w:vAlign w:val="center"/>
          </w:tcPr>
          <w:p w14:paraId="5B2146AB" w14:textId="11E83EC4" w:rsidR="00D756D0" w:rsidRDefault="00D756D0" w:rsidP="00D756D0">
            <w:pPr>
              <w:bidi/>
              <w:jc w:val="center"/>
            </w:pPr>
            <w:r w:rsidRPr="0034690B">
              <w:t>1</w:t>
            </w:r>
          </w:p>
        </w:tc>
        <w:tc>
          <w:tcPr>
            <w:tcW w:w="2766" w:type="dxa"/>
            <w:vAlign w:val="center"/>
          </w:tcPr>
          <w:p w14:paraId="26A0E8B6" w14:textId="7E7C656A" w:rsidR="00D756D0" w:rsidRDefault="00D756D0" w:rsidP="00D756D0">
            <w:pPr>
              <w:bidi/>
              <w:jc w:val="center"/>
            </w:pPr>
            <w:r w:rsidRPr="0034690B">
              <w:rPr>
                <w:rtl/>
              </w:rPr>
              <w:t>منهجية مراجعة الأدبيات</w:t>
            </w:r>
          </w:p>
        </w:tc>
        <w:tc>
          <w:tcPr>
            <w:tcW w:w="5695" w:type="dxa"/>
          </w:tcPr>
          <w:p w14:paraId="060C58C0" w14:textId="3FE179B1" w:rsidR="00D756D0" w:rsidRDefault="00D756D0" w:rsidP="00D756D0">
            <w:pPr>
              <w:bidi/>
              <w:jc w:val="both"/>
            </w:pPr>
            <w:r w:rsidRPr="0034690B">
              <w:rPr>
                <w:rtl/>
              </w:rPr>
              <w:t>لا يزال الفصل بحاجة إلى فقرة صريحة ومباشرة داخل الفصل الثاني توضح نوع مراجعة الأدبيات، ومعايير اختيار الدراسات، ومنطق تنظيمها، بدل الاكتفاء بوضوح المنهجية ضمنًا من خلال بناء الفصل</w:t>
            </w:r>
            <w:r w:rsidRPr="0034690B">
              <w:t>.</w:t>
            </w:r>
          </w:p>
        </w:tc>
      </w:tr>
      <w:tr w:rsidR="00D756D0" w14:paraId="079F10D1" w14:textId="77777777" w:rsidTr="00D756D0">
        <w:trPr>
          <w:jc w:val="center"/>
        </w:trPr>
        <w:tc>
          <w:tcPr>
            <w:tcW w:w="743" w:type="dxa"/>
            <w:vAlign w:val="center"/>
          </w:tcPr>
          <w:p w14:paraId="2547156F" w14:textId="35424028" w:rsidR="00D756D0" w:rsidRDefault="00D756D0" w:rsidP="00D756D0">
            <w:pPr>
              <w:bidi/>
              <w:jc w:val="center"/>
            </w:pPr>
            <w:r w:rsidRPr="0034690B">
              <w:t>2</w:t>
            </w:r>
          </w:p>
        </w:tc>
        <w:tc>
          <w:tcPr>
            <w:tcW w:w="2766" w:type="dxa"/>
            <w:vAlign w:val="center"/>
          </w:tcPr>
          <w:p w14:paraId="330E123A" w14:textId="371CA820" w:rsidR="00D756D0" w:rsidRDefault="00D756D0" w:rsidP="00D756D0">
            <w:pPr>
              <w:bidi/>
              <w:jc w:val="center"/>
            </w:pPr>
            <w:r w:rsidRPr="0034690B">
              <w:rPr>
                <w:rtl/>
              </w:rPr>
              <w:t>تركيز الإطار النظري</w:t>
            </w:r>
          </w:p>
        </w:tc>
        <w:tc>
          <w:tcPr>
            <w:tcW w:w="5695" w:type="dxa"/>
          </w:tcPr>
          <w:p w14:paraId="3DDDF8D0" w14:textId="52403A6A" w:rsidR="00D756D0" w:rsidRDefault="00D756D0" w:rsidP="00D756D0">
            <w:pPr>
              <w:bidi/>
              <w:jc w:val="both"/>
            </w:pPr>
            <w:r w:rsidRPr="0034690B">
              <w:rPr>
                <w:rtl/>
              </w:rPr>
              <w:t>على الرغم من جودة الإطار النظري، فإن توزيع الحجة على أربع نظريات يجعل العرض أقل اقتصادًا؛ والأفضل إبراز نظريتين محوريتين تقودان التفسير، مع إبقاء بقية النظريات في موقع داعم</w:t>
            </w:r>
            <w:r w:rsidRPr="0034690B">
              <w:t>.</w:t>
            </w:r>
          </w:p>
        </w:tc>
      </w:tr>
      <w:tr w:rsidR="00D756D0" w14:paraId="0CE54AAC" w14:textId="77777777" w:rsidTr="00D756D0">
        <w:trPr>
          <w:jc w:val="center"/>
        </w:trPr>
        <w:tc>
          <w:tcPr>
            <w:tcW w:w="743" w:type="dxa"/>
            <w:vAlign w:val="center"/>
          </w:tcPr>
          <w:p w14:paraId="7C54DFD0" w14:textId="7DC05D5B" w:rsidR="00D756D0" w:rsidRDefault="00D756D0" w:rsidP="00D756D0">
            <w:pPr>
              <w:bidi/>
              <w:jc w:val="center"/>
            </w:pPr>
            <w:r w:rsidRPr="0034690B">
              <w:t>3</w:t>
            </w:r>
          </w:p>
        </w:tc>
        <w:tc>
          <w:tcPr>
            <w:tcW w:w="2766" w:type="dxa"/>
            <w:vAlign w:val="center"/>
          </w:tcPr>
          <w:p w14:paraId="5F1B301D" w14:textId="08805C81" w:rsidR="00D756D0" w:rsidRDefault="00D756D0" w:rsidP="00D756D0">
            <w:pPr>
              <w:bidi/>
              <w:jc w:val="center"/>
            </w:pPr>
            <w:r w:rsidRPr="0034690B">
              <w:rPr>
                <w:rtl/>
              </w:rPr>
              <w:t>التوليف المقارن الختامي</w:t>
            </w:r>
          </w:p>
        </w:tc>
        <w:tc>
          <w:tcPr>
            <w:tcW w:w="5695" w:type="dxa"/>
          </w:tcPr>
          <w:p w14:paraId="3111A4A0" w14:textId="4EB77BB6" w:rsidR="00D756D0" w:rsidRDefault="00D756D0" w:rsidP="00D756D0">
            <w:pPr>
              <w:bidi/>
              <w:jc w:val="both"/>
            </w:pPr>
            <w:r w:rsidRPr="0034690B">
              <w:rPr>
                <w:rtl/>
              </w:rPr>
              <w:t>يوجد توليف جيد داخل عرض الدراسات، لكن الفصل سيصبح أقوى إذا أضيفت فقرة ختامية أو مصفوفة موجزة تُظهر بصورة جامعة أوجه الاتفاق والتعارض والحدود المشتركة بين الأدبيات</w:t>
            </w:r>
            <w:r w:rsidRPr="0034690B">
              <w:t>.</w:t>
            </w:r>
          </w:p>
        </w:tc>
      </w:tr>
      <w:tr w:rsidR="00D756D0" w14:paraId="77299F12" w14:textId="77777777" w:rsidTr="00D756D0">
        <w:trPr>
          <w:jc w:val="center"/>
        </w:trPr>
        <w:tc>
          <w:tcPr>
            <w:tcW w:w="743" w:type="dxa"/>
            <w:vAlign w:val="center"/>
          </w:tcPr>
          <w:p w14:paraId="536E52F8" w14:textId="78CFA10F" w:rsidR="00D756D0" w:rsidRDefault="00D756D0" w:rsidP="00D756D0">
            <w:pPr>
              <w:bidi/>
              <w:jc w:val="center"/>
            </w:pPr>
            <w:r w:rsidRPr="0034690B">
              <w:t>4</w:t>
            </w:r>
          </w:p>
        </w:tc>
        <w:tc>
          <w:tcPr>
            <w:tcW w:w="2766" w:type="dxa"/>
            <w:vAlign w:val="center"/>
          </w:tcPr>
          <w:p w14:paraId="4A71CD8F" w14:textId="736B4CC3" w:rsidR="00D756D0" w:rsidRDefault="00D756D0" w:rsidP="00D756D0">
            <w:pPr>
              <w:bidi/>
              <w:jc w:val="center"/>
            </w:pPr>
            <w:r w:rsidRPr="0034690B">
              <w:rPr>
                <w:rtl/>
              </w:rPr>
              <w:t>الضبط اللغوي والتوثيقي</w:t>
            </w:r>
          </w:p>
        </w:tc>
        <w:tc>
          <w:tcPr>
            <w:tcW w:w="5695" w:type="dxa"/>
          </w:tcPr>
          <w:p w14:paraId="0AE7BC25" w14:textId="46670DA4" w:rsidR="00D756D0" w:rsidRDefault="00D756D0" w:rsidP="00D756D0">
            <w:pPr>
              <w:bidi/>
              <w:jc w:val="both"/>
            </w:pPr>
            <w:r w:rsidRPr="0034690B">
              <w:rPr>
                <w:rtl/>
              </w:rPr>
              <w:t>تحتاج النسخة إلى مراجعة شكلية نهائية لضبط بعض علامات الترقيم والإحالات وتوحيد الصياغات الاصطلاحية بما يضمن اتساقًا كاملًا في التوثيق والأسلوب</w:t>
            </w:r>
            <w:r w:rsidRPr="0034690B">
              <w:t>.</w:t>
            </w:r>
          </w:p>
        </w:tc>
      </w:tr>
    </w:tbl>
    <w:p w14:paraId="12C86842" w14:textId="77777777" w:rsidR="0065185F" w:rsidRDefault="0065185F"/>
    <w:p w14:paraId="2D54630D" w14:textId="77777777" w:rsidR="0065185F" w:rsidRDefault="002B5D39" w:rsidP="00D756D0">
      <w:pPr>
        <w:bidi/>
        <w:spacing w:before="120" w:after="120"/>
      </w:pPr>
      <w:r>
        <w:rPr>
          <w:b/>
          <w:sz w:val="26"/>
        </w:rPr>
        <w:t>ثالثًا</w:t>
      </w:r>
      <w:r>
        <w:rPr>
          <w:b/>
          <w:sz w:val="26"/>
        </w:rPr>
        <w:t xml:space="preserve">: </w:t>
      </w:r>
      <w:r>
        <w:rPr>
          <w:b/>
          <w:sz w:val="26"/>
        </w:rPr>
        <w:t>إرشادات</w:t>
      </w:r>
      <w:r>
        <w:rPr>
          <w:b/>
          <w:sz w:val="26"/>
        </w:rPr>
        <w:t xml:space="preserve"> </w:t>
      </w:r>
      <w:r>
        <w:rPr>
          <w:b/>
          <w:sz w:val="26"/>
        </w:rPr>
        <w:t>الإغلاق</w:t>
      </w:r>
    </w:p>
    <w:p w14:paraId="770A8E6B" w14:textId="77777777" w:rsidR="00D756D0" w:rsidRPr="00D756D0" w:rsidRDefault="002B5D39" w:rsidP="00D756D0">
      <w:pPr>
        <w:bidi/>
        <w:spacing w:after="40" w:line="264" w:lineRule="auto"/>
        <w:jc w:val="both"/>
        <w:rPr>
          <w:sz w:val="22"/>
          <w:rtl/>
        </w:rPr>
      </w:pPr>
      <w:r>
        <w:rPr>
          <w:sz w:val="22"/>
        </w:rPr>
        <w:t xml:space="preserve">• </w:t>
      </w:r>
      <w:r w:rsidR="00D756D0" w:rsidRPr="00D756D0">
        <w:rPr>
          <w:rFonts w:cs="Arial"/>
          <w:sz w:val="22"/>
          <w:rtl/>
        </w:rPr>
        <w:t>إضافة فقرة مستقلة بعنوان «منهج مراجعة الأدبيات» في بداية الفصل الثاني، تتضمن نوع المراجعة ومعايير اختيار الدراسات وتنظيمها</w:t>
      </w:r>
      <w:r w:rsidR="00D756D0" w:rsidRPr="00D756D0">
        <w:rPr>
          <w:sz w:val="22"/>
        </w:rPr>
        <w:t>.</w:t>
      </w:r>
    </w:p>
    <w:p w14:paraId="6B069867" w14:textId="77777777" w:rsidR="00D756D0" w:rsidRPr="00D756D0" w:rsidRDefault="00D756D0" w:rsidP="00D756D0">
      <w:pPr>
        <w:bidi/>
        <w:spacing w:after="40" w:line="264" w:lineRule="auto"/>
        <w:jc w:val="both"/>
        <w:rPr>
          <w:sz w:val="22"/>
          <w:rtl/>
        </w:rPr>
      </w:pPr>
      <w:r w:rsidRPr="00D756D0">
        <w:rPr>
          <w:sz w:val="22"/>
        </w:rPr>
        <w:t xml:space="preserve">• </w:t>
      </w:r>
      <w:r w:rsidRPr="00D756D0">
        <w:rPr>
          <w:rFonts w:cs="Arial"/>
          <w:sz w:val="22"/>
          <w:rtl/>
        </w:rPr>
        <w:t>تركيز العرض النظري على نظريتين محوريتين، مع إعادة تقديم بقية النظريات بوصفها أطرًا مساندة لا قائدة</w:t>
      </w:r>
      <w:r w:rsidRPr="00D756D0">
        <w:rPr>
          <w:sz w:val="22"/>
        </w:rPr>
        <w:t>.</w:t>
      </w:r>
    </w:p>
    <w:p w14:paraId="7711993B" w14:textId="77777777" w:rsidR="00D756D0" w:rsidRPr="00D756D0" w:rsidRDefault="00D756D0" w:rsidP="00D756D0">
      <w:pPr>
        <w:bidi/>
        <w:spacing w:after="40" w:line="264" w:lineRule="auto"/>
        <w:jc w:val="both"/>
        <w:rPr>
          <w:sz w:val="22"/>
          <w:rtl/>
        </w:rPr>
      </w:pPr>
      <w:r w:rsidRPr="00D756D0">
        <w:rPr>
          <w:sz w:val="22"/>
        </w:rPr>
        <w:t xml:space="preserve">• </w:t>
      </w:r>
      <w:r w:rsidRPr="00D756D0">
        <w:rPr>
          <w:rFonts w:cs="Arial"/>
          <w:sz w:val="22"/>
          <w:rtl/>
        </w:rPr>
        <w:t>إضافة خلاصة تركيبية قصيرة في نهاية محور الدراسات السابقة تُظهر بوضوح أنماط الاتفاق والتعارض والحدود</w:t>
      </w:r>
      <w:r w:rsidRPr="00D756D0">
        <w:rPr>
          <w:sz w:val="22"/>
        </w:rPr>
        <w:t>.</w:t>
      </w:r>
    </w:p>
    <w:p w14:paraId="0593DC9D" w14:textId="77777777" w:rsidR="00D756D0" w:rsidRDefault="00D756D0" w:rsidP="00D756D0">
      <w:pPr>
        <w:bidi/>
        <w:spacing w:after="40" w:line="264" w:lineRule="auto"/>
        <w:jc w:val="both"/>
        <w:rPr>
          <w:rFonts w:cs="Arial"/>
          <w:sz w:val="22"/>
        </w:rPr>
      </w:pPr>
      <w:r w:rsidRPr="00D756D0">
        <w:rPr>
          <w:rFonts w:cs="Arial"/>
          <w:sz w:val="22"/>
          <w:rtl/>
        </w:rPr>
        <w:t xml:space="preserve">• تنفيذ مراجعة نهائية للتوثيق وفق </w:t>
      </w:r>
      <w:r w:rsidRPr="00D756D0">
        <w:rPr>
          <w:sz w:val="22"/>
        </w:rPr>
        <w:t>APA</w:t>
      </w:r>
      <w:r w:rsidRPr="00D756D0">
        <w:rPr>
          <w:rFonts w:cs="Arial"/>
          <w:sz w:val="22"/>
          <w:rtl/>
        </w:rPr>
        <w:t>، مع توحيد المصطلحات والعلامات والاتساق الشكلي.</w:t>
      </w:r>
    </w:p>
    <w:p w14:paraId="08604AA2" w14:textId="77777777" w:rsidR="00D756D0" w:rsidRDefault="00D756D0" w:rsidP="00D756D0">
      <w:pPr>
        <w:bidi/>
        <w:spacing w:after="40" w:line="264" w:lineRule="auto"/>
        <w:jc w:val="right"/>
        <w:rPr>
          <w:rFonts w:cs="Arial"/>
          <w:sz w:val="22"/>
        </w:rPr>
      </w:pPr>
    </w:p>
    <w:p w14:paraId="32960EE8" w14:textId="148333A0" w:rsidR="0065185F" w:rsidRDefault="002B5D39" w:rsidP="00D756D0">
      <w:pPr>
        <w:bidi/>
        <w:spacing w:after="40" w:line="264" w:lineRule="auto"/>
      </w:pPr>
      <w:proofErr w:type="spellStart"/>
      <w:r>
        <w:rPr>
          <w:b/>
          <w:sz w:val="26"/>
        </w:rPr>
        <w:t>رابعًا</w:t>
      </w:r>
      <w:proofErr w:type="spellEnd"/>
      <w:r>
        <w:rPr>
          <w:b/>
          <w:sz w:val="26"/>
        </w:rPr>
        <w:t xml:space="preserve">: </w:t>
      </w:r>
      <w:proofErr w:type="spellStart"/>
      <w:r>
        <w:rPr>
          <w:b/>
          <w:sz w:val="26"/>
        </w:rPr>
        <w:t>الخلاصة</w:t>
      </w:r>
      <w:proofErr w:type="spellEnd"/>
      <w:r>
        <w:rPr>
          <w:b/>
          <w:sz w:val="26"/>
        </w:rPr>
        <w:t xml:space="preserve"> </w:t>
      </w:r>
      <w:proofErr w:type="spellStart"/>
      <w:r>
        <w:rPr>
          <w:b/>
          <w:sz w:val="26"/>
        </w:rPr>
        <w:t>التقويمية</w:t>
      </w:r>
      <w:proofErr w:type="spellEnd"/>
    </w:p>
    <w:p w14:paraId="41C6A1FD" w14:textId="7CB42750" w:rsidR="0065185F" w:rsidRDefault="00D756D0" w:rsidP="00D756D0">
      <w:pPr>
        <w:bidi/>
        <w:spacing w:after="100"/>
        <w:jc w:val="both"/>
      </w:pPr>
      <w:r w:rsidRPr="00D756D0">
        <w:rPr>
          <w:rFonts w:cs="Arial"/>
          <w:rtl/>
        </w:rPr>
        <w:t>استنادًا إلى المقارنة بين تقرير المراجعة السابق والنسخة الحالية، يتبين أن الفصل الثاني تحسن بدرجة كبيرة، وأن الملاحظات السابقة ذات الطابع البنيوي والعلمي قد عولجت إلى حدٍّ بعيد. وعليه، أوصي باعتماد الفصل بعد إجراء التعديلات البسيطة المشار إليها أعلاه، بوصفها تعديلات تحسين وصقل نهائي لا إعادة بناء.</w:t>
      </w:r>
    </w:p>
    <w:sectPr w:rsidR="0065185F" w:rsidSect="00034616">
      <w:pgSz w:w="12240" w:h="15840"/>
      <w:pgMar w:top="1134"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70570672">
    <w:abstractNumId w:val="8"/>
  </w:num>
  <w:num w:numId="2" w16cid:durableId="1788693558">
    <w:abstractNumId w:val="6"/>
  </w:num>
  <w:num w:numId="3" w16cid:durableId="138622216">
    <w:abstractNumId w:val="5"/>
  </w:num>
  <w:num w:numId="4" w16cid:durableId="1168709565">
    <w:abstractNumId w:val="4"/>
  </w:num>
  <w:num w:numId="5" w16cid:durableId="1206262139">
    <w:abstractNumId w:val="7"/>
  </w:num>
  <w:num w:numId="6" w16cid:durableId="1753627341">
    <w:abstractNumId w:val="3"/>
  </w:num>
  <w:num w:numId="7" w16cid:durableId="53241688">
    <w:abstractNumId w:val="2"/>
  </w:num>
  <w:num w:numId="8" w16cid:durableId="1521161004">
    <w:abstractNumId w:val="1"/>
  </w:num>
  <w:num w:numId="9" w16cid:durableId="167673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LQwNTUxNzQ1NTK1MDZQ0lEKTi0uzszPAykwrAUABSWgtywAAAA="/>
  </w:docVars>
  <w:rsids>
    <w:rsidRoot w:val="00B47730"/>
    <w:rsid w:val="00034616"/>
    <w:rsid w:val="0006063C"/>
    <w:rsid w:val="0015074B"/>
    <w:rsid w:val="0029639D"/>
    <w:rsid w:val="002B5D39"/>
    <w:rsid w:val="00326F90"/>
    <w:rsid w:val="0065185F"/>
    <w:rsid w:val="00AA1D8D"/>
    <w:rsid w:val="00B47730"/>
    <w:rsid w:val="00CB0664"/>
    <w:rsid w:val="00CE2CD1"/>
    <w:rsid w:val="00D756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5D1DA7"/>
  <w14:defaultImageDpi w14:val="300"/>
  <w15:docId w15:val="{96E5A997-9F59-4486-A2CE-CA03DF93D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362</Words>
  <Characters>2065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2026-04-05T09:40:00Z</dcterms:created>
  <dcterms:modified xsi:type="dcterms:W3CDTF">2026-04-05T09:40:00Z</dcterms:modified>
  <cp:category/>
</cp:coreProperties>
</file>