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424C1" w14:textId="77777777" w:rsidR="002441EB" w:rsidRDefault="002441EB" w:rsidP="00684E9F">
      <w:pPr>
        <w:bidi/>
        <w:jc w:val="center"/>
      </w:pPr>
    </w:p>
    <w:p w14:paraId="3BD2CD5D" w14:textId="77777777" w:rsidR="002441EB" w:rsidRDefault="002441EB" w:rsidP="00684E9F">
      <w:pPr>
        <w:bidi/>
        <w:jc w:val="center"/>
      </w:pPr>
    </w:p>
    <w:p w14:paraId="211D4D0B" w14:textId="77777777" w:rsidR="002441EB" w:rsidRDefault="00000000" w:rsidP="00684E9F">
      <w:pPr>
        <w:bidi/>
        <w:spacing w:after="200" w:line="360" w:lineRule="auto"/>
        <w:jc w:val="center"/>
      </w:pPr>
      <w:r>
        <w:rPr>
          <w:b/>
          <w:bCs/>
          <w:sz w:val="32"/>
          <w:szCs w:val="32"/>
        </w:rPr>
        <w:t>جامعة ميدأوشن</w:t>
      </w:r>
    </w:p>
    <w:p w14:paraId="7C2153D1" w14:textId="77777777" w:rsidR="002441EB" w:rsidRDefault="00000000" w:rsidP="00684E9F">
      <w:pPr>
        <w:bidi/>
        <w:spacing w:after="200" w:line="360" w:lineRule="auto"/>
        <w:jc w:val="center"/>
        <w:rPr>
          <w:b/>
          <w:bCs/>
          <w:sz w:val="26"/>
          <w:szCs w:val="26"/>
          <w:rtl w:val="0"/>
        </w:rPr>
      </w:pPr>
      <w:r>
        <w:rPr>
          <w:b/>
          <w:bCs/>
          <w:sz w:val="26"/>
          <w:szCs w:val="26"/>
        </w:rPr>
        <w:t>كلية إدارة الأعمال</w:t>
      </w:r>
    </w:p>
    <w:p w14:paraId="3C0243F7" w14:textId="3DF62B47" w:rsidR="00DD52A5" w:rsidRDefault="00DD52A5" w:rsidP="00684E9F">
      <w:pPr>
        <w:bidi/>
        <w:spacing w:after="200" w:line="360" w:lineRule="auto"/>
        <w:jc w:val="center"/>
      </w:pPr>
      <w:r>
        <w:rPr>
          <w:noProof/>
        </w:rPr>
        <w:drawing>
          <wp:inline distT="0" distB="0" distL="0" distR="0" wp14:anchorId="27E726C0" wp14:editId="69C65310">
            <wp:extent cx="2095500" cy="1085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2095500" cy="1085850"/>
                    </a:xfrm>
                    <a:prstGeom prst="rect">
                      <a:avLst/>
                    </a:prstGeom>
                  </pic:spPr>
                </pic:pic>
              </a:graphicData>
            </a:graphic>
          </wp:inline>
        </w:drawing>
      </w:r>
    </w:p>
    <w:p w14:paraId="25997B4E" w14:textId="77777777" w:rsidR="002441EB" w:rsidRDefault="00000000" w:rsidP="00684E9F">
      <w:pPr>
        <w:bidi/>
        <w:spacing w:after="600" w:line="360" w:lineRule="auto"/>
        <w:jc w:val="center"/>
      </w:pPr>
      <w:r>
        <w:t>قسم / إدارة الأعمال</w:t>
      </w:r>
    </w:p>
    <w:p w14:paraId="0C1C14EA" w14:textId="77777777" w:rsidR="002441EB" w:rsidRDefault="00000000" w:rsidP="00684E9F">
      <w:pPr>
        <w:bidi/>
        <w:spacing w:after="80" w:line="360" w:lineRule="auto"/>
        <w:jc w:val="center"/>
      </w:pPr>
      <w:r>
        <w:rPr>
          <w:b/>
          <w:bCs/>
          <w:sz w:val="30"/>
          <w:szCs w:val="30"/>
        </w:rPr>
        <w:t>دور الهيئة العامة للغذاء والدواء السعودية</w:t>
      </w:r>
    </w:p>
    <w:p w14:paraId="2C5B039D" w14:textId="77777777" w:rsidR="002441EB" w:rsidRDefault="00000000" w:rsidP="00684E9F">
      <w:pPr>
        <w:bidi/>
        <w:spacing w:after="80" w:line="360" w:lineRule="auto"/>
        <w:jc w:val="center"/>
      </w:pPr>
      <w:r>
        <w:rPr>
          <w:b/>
          <w:bCs/>
          <w:sz w:val="30"/>
          <w:szCs w:val="30"/>
        </w:rPr>
        <w:t>في إدارة المخاطر للأجهزة الطبية في السوق السعودي</w:t>
      </w:r>
    </w:p>
    <w:p w14:paraId="3AA67720" w14:textId="77777777" w:rsidR="002441EB" w:rsidRDefault="00000000" w:rsidP="00684E9F">
      <w:pPr>
        <w:bidi/>
        <w:spacing w:after="600" w:line="360" w:lineRule="auto"/>
        <w:jc w:val="center"/>
      </w:pPr>
      <w:r>
        <w:rPr>
          <w:b/>
          <w:bCs/>
          <w:color w:val="1F4E79"/>
        </w:rPr>
        <w:t>المقدمة والإطار النظري والدراسات السابقة</w:t>
      </w:r>
    </w:p>
    <w:p w14:paraId="1F34DF58" w14:textId="77777777" w:rsidR="002441EB" w:rsidRDefault="002441EB" w:rsidP="00684E9F">
      <w:pPr>
        <w:bidi/>
        <w:jc w:val="center"/>
      </w:pPr>
    </w:p>
    <w:p w14:paraId="4A68E8D8" w14:textId="77777777" w:rsidR="002441EB" w:rsidRDefault="00000000" w:rsidP="00684E9F">
      <w:pPr>
        <w:bidi/>
        <w:spacing w:after="60" w:line="360" w:lineRule="auto"/>
        <w:jc w:val="center"/>
      </w:pPr>
      <w:r>
        <w:t>إعداد الطالب:</w:t>
      </w:r>
    </w:p>
    <w:p w14:paraId="35B970F3" w14:textId="77777777" w:rsidR="002441EB" w:rsidRDefault="00000000" w:rsidP="00684E9F">
      <w:pPr>
        <w:bidi/>
        <w:spacing w:after="500" w:line="360" w:lineRule="auto"/>
        <w:jc w:val="center"/>
      </w:pPr>
      <w:r>
        <w:rPr>
          <w:b/>
          <w:bCs/>
        </w:rPr>
        <w:t>مشاري محمد الجبالي</w:t>
      </w:r>
    </w:p>
    <w:p w14:paraId="262EE2E2" w14:textId="77777777" w:rsidR="002441EB" w:rsidRDefault="00000000" w:rsidP="00684E9F">
      <w:pPr>
        <w:bidi/>
        <w:spacing w:after="60" w:line="360" w:lineRule="auto"/>
        <w:jc w:val="center"/>
      </w:pPr>
      <w:r>
        <w:t>إشراف:</w:t>
      </w:r>
    </w:p>
    <w:p w14:paraId="6FC2D250" w14:textId="77777777" w:rsidR="002441EB" w:rsidRDefault="00000000" w:rsidP="00684E9F">
      <w:pPr>
        <w:bidi/>
        <w:spacing w:after="40" w:line="360" w:lineRule="auto"/>
        <w:jc w:val="center"/>
      </w:pPr>
      <w:r>
        <w:t>د. الفيصل عبدالحميد</w:t>
      </w:r>
    </w:p>
    <w:p w14:paraId="200B3B94" w14:textId="77777777" w:rsidR="002441EB" w:rsidRDefault="00000000" w:rsidP="00684E9F">
      <w:pPr>
        <w:bidi/>
        <w:spacing w:after="600" w:line="360" w:lineRule="auto"/>
        <w:jc w:val="center"/>
      </w:pPr>
      <w:r>
        <w:t>د. فايز جراد</w:t>
      </w:r>
    </w:p>
    <w:p w14:paraId="69F9619F" w14:textId="77777777" w:rsidR="002441EB" w:rsidRDefault="00000000" w:rsidP="00684E9F">
      <w:pPr>
        <w:bidi/>
        <w:spacing w:after="200" w:line="360" w:lineRule="auto"/>
        <w:jc w:val="center"/>
      </w:pPr>
      <w:r>
        <w:t>العام الدراسي: 2026</w:t>
      </w:r>
    </w:p>
    <w:p w14:paraId="1F230E32" w14:textId="77777777" w:rsidR="002441EB" w:rsidRDefault="00000000" w:rsidP="00684E9F">
      <w:pPr>
        <w:bidi/>
        <w:jc w:val="center"/>
      </w:pPr>
      <w:r>
        <w:br w:type="page"/>
      </w:r>
    </w:p>
    <w:p w14:paraId="1EE44A31" w14:textId="77777777" w:rsidR="002441EB" w:rsidRDefault="00000000" w:rsidP="00DD52A5">
      <w:pPr>
        <w:pStyle w:val="Heading1"/>
        <w:bidi/>
        <w:spacing w:before="400" w:after="300"/>
      </w:pPr>
      <w:r>
        <w:rPr>
          <w:b/>
          <w:bCs/>
        </w:rPr>
        <w:lastRenderedPageBreak/>
        <w:t>الفصل الأول</w:t>
      </w:r>
    </w:p>
    <w:p w14:paraId="36FEEBDB" w14:textId="77777777" w:rsidR="002441EB" w:rsidRDefault="00000000" w:rsidP="00DD52A5">
      <w:pPr>
        <w:bidi/>
        <w:spacing w:after="400" w:line="360" w:lineRule="auto"/>
      </w:pPr>
      <w:r>
        <w:rPr>
          <w:b/>
          <w:bCs/>
          <w:sz w:val="28"/>
          <w:szCs w:val="28"/>
        </w:rPr>
        <w:t>المقدمة والإطار النظري للدراسة</w:t>
      </w:r>
    </w:p>
    <w:p w14:paraId="6CAAF0EB" w14:textId="77777777" w:rsidR="002441EB" w:rsidRDefault="00000000" w:rsidP="00DD52A5">
      <w:pPr>
        <w:pStyle w:val="Heading2"/>
        <w:bidi/>
        <w:spacing w:before="320" w:after="200"/>
      </w:pPr>
      <w:r>
        <w:rPr>
          <w:b/>
          <w:bCs/>
          <w:sz w:val="28"/>
          <w:szCs w:val="28"/>
        </w:rPr>
        <w:t>مقدمة</w:t>
      </w:r>
    </w:p>
    <w:p w14:paraId="74E968B2" w14:textId="77777777" w:rsidR="002441EB" w:rsidRDefault="00000000" w:rsidP="00DD52A5">
      <w:pPr>
        <w:bidi/>
        <w:spacing w:after="200" w:line="360" w:lineRule="auto"/>
      </w:pPr>
      <w:r>
        <w:t>عرف الإنسان منذ القدم سعياً حثيثاً لابتكار وسائل تقيه من الأمراض وتساعده على تشخيصها ومعالجتها، وارتبط هذا السعي دوماً بتحدٍّ جوهري يتمثل في التأكد من سلامة تلك الوسائل وموثوقيتها قبل استخدامها وأثناءه. ومن رحم هذا التحدي المتجدد نشأت أطر رقابية متخصصة تُعنى بضبط المخاطر المصاحبة للأجهزة الطبية على امتداد دورة حياتها.</w:t>
      </w:r>
    </w:p>
    <w:p w14:paraId="39626249" w14:textId="77777777" w:rsidR="002441EB" w:rsidRDefault="00000000" w:rsidP="00DD52A5">
      <w:pPr>
        <w:bidi/>
        <w:spacing w:after="200" w:line="360" w:lineRule="auto"/>
      </w:pPr>
      <w:r>
        <w:t>وتعيش المملكة العربية السعودية اليوم مرحلة توسّع لافت وغير مسبوق في قطاعها الصحي، يغذيه النمو السكاني والانفتاح الاقتصادي، وقد تسارعت وتيرة هذا التوسع بفعل ارتباط المملكة بأهداف رؤية 2030 فيما يخص جودة الحياة والرعاية الصحية، إلى جانب تنامي الاعتماد على التقنيات الطبية الحديثة في القطاعين العام والخاص. وفي ظل هذا المشهد، تصدّرت الهيئة العامة للغذاء والدواء السعودية (SFDA) موقع الجهة المرجعية المنوط بها حماية أفراد المجتمع من المخاطر المحتملة الناجمة عن استعمال الأجهزة الطبية، عبر منظومة شاملة تجمع بين الترخيص والمتابعة وضبط المخاطر في مرحلتي ما قبل التسويق وما بعده.</w:t>
      </w:r>
    </w:p>
    <w:p w14:paraId="0E615A79" w14:textId="77777777" w:rsidR="002441EB" w:rsidRDefault="00000000" w:rsidP="00DD52A5">
      <w:pPr>
        <w:bidi/>
        <w:spacing w:after="200" w:line="360" w:lineRule="auto"/>
      </w:pPr>
      <w:r>
        <w:t>وتشكّل إدارة المخاطر ركيزة أساسية لضمان سلامة الأجهزة الطبية المتداولة وفاعليتها، غير أن إغفال تطبيقها بأسلوب منهجي متكامل قد يفضي إلى نتائج معاكسة تهدد سلامة المرضى ومستخدمي هذه الأجهزة، الأمر الذي يمنح دراسة دور الهيئة في ضبط هذه المخاطر أهمية بالغة. ولأجل تكوين تصور علمي دقيق عن هذا الموضوع، يقدّم هذا الفصل - قبل الخوض في تفاصيل الدراسة التطبيقية - عرضاً نظرياً شاملاً لمفهوم المخاطر وأنواعها ومصادرها، ومفهوم إدارة المخاطر ومراحلها العامة، تمهيداً لتضييق البؤرة نحو خصوصية إدارة المخاطر في قطاع الأجهزة الطبية تحديداً.</w:t>
      </w:r>
    </w:p>
    <w:p w14:paraId="47D8802A" w14:textId="77777777" w:rsidR="002441EB" w:rsidRDefault="00000000" w:rsidP="00DD52A5">
      <w:pPr>
        <w:pStyle w:val="Heading2"/>
        <w:bidi/>
        <w:spacing w:before="320" w:after="200"/>
      </w:pPr>
      <w:r>
        <w:rPr>
          <w:b/>
          <w:bCs/>
          <w:sz w:val="28"/>
          <w:szCs w:val="28"/>
        </w:rPr>
        <w:t>مشكلة الدراسة</w:t>
      </w:r>
    </w:p>
    <w:p w14:paraId="57B9AB8A" w14:textId="77777777" w:rsidR="002441EB" w:rsidRDefault="00000000" w:rsidP="00DD52A5">
      <w:pPr>
        <w:bidi/>
        <w:spacing w:after="200" w:line="360" w:lineRule="auto"/>
      </w:pPr>
      <w:r>
        <w:t>على الرغم مما تحقق من تقدم تنظيمي واضح في المملكة العربية السعودية على صعيد تنظيم الأجهزة الطبية، فإن عملية إدارة المخاطر المرتبطة بهذه الأجهزة لا تزال تصطدم بجملة من الصعوبات، من أبرزها ضعف ثقافة الإبلاغ عن الحوادث والأعطال لدى مقدمي الرعاية الصحية والمستخدمين، وتفاوت مستوى استعداد بعض المنشآت الصحية والصناعية للالتزام بالمتطلبات الرقابية، إضافة إلى الحاجة المستمرة لتعزيز الربط الرقمي بين الجهات الصحية المعنية والهيئة.</w:t>
      </w:r>
    </w:p>
    <w:p w14:paraId="08F6B6A3" w14:textId="77777777" w:rsidR="002441EB" w:rsidRDefault="00000000" w:rsidP="00DD52A5">
      <w:pPr>
        <w:bidi/>
        <w:spacing w:after="200" w:line="360" w:lineRule="auto"/>
      </w:pPr>
      <w:r>
        <w:t>ومن هنا تنبثق مشكلة الدراسة في التساؤل الرئيس الآتي: إلى أي مدى يتسم الدور الذي تضطلع به الهيئة العامة للغذاء والدواء السعودية في إدارة مخاطر الأجهزة الطبية بالسوق السعودي بالفاعلية، وما درجة تطابقه مع الأنظمة العالمية المتقدمة؟</w:t>
      </w:r>
    </w:p>
    <w:p w14:paraId="7BC93519" w14:textId="77777777" w:rsidR="002441EB" w:rsidRDefault="00000000" w:rsidP="00DD52A5">
      <w:pPr>
        <w:pStyle w:val="Heading2"/>
        <w:bidi/>
        <w:spacing w:before="320" w:after="200"/>
      </w:pPr>
      <w:r>
        <w:rPr>
          <w:b/>
          <w:bCs/>
          <w:sz w:val="28"/>
          <w:szCs w:val="28"/>
        </w:rPr>
        <w:t>أهداف البحث</w:t>
      </w:r>
    </w:p>
    <w:p w14:paraId="7106EE86" w14:textId="77777777" w:rsidR="002441EB" w:rsidRDefault="00000000" w:rsidP="00DD52A5">
      <w:pPr>
        <w:pStyle w:val="ListParagraph"/>
        <w:numPr>
          <w:ilvl w:val="0"/>
          <w:numId w:val="1"/>
        </w:numPr>
        <w:bidi/>
        <w:spacing w:after="120" w:line="360" w:lineRule="auto"/>
      </w:pPr>
      <w:r>
        <w:t>تحليل منظومة إدارة المخاطر التي تطبّقها الهيئة العامة للغذاء والدواء السعودية بمختلف عناصرها.</w:t>
      </w:r>
    </w:p>
    <w:p w14:paraId="31F980FE" w14:textId="77777777" w:rsidR="002441EB" w:rsidRDefault="00000000" w:rsidP="00DD52A5">
      <w:pPr>
        <w:pStyle w:val="ListParagraph"/>
        <w:numPr>
          <w:ilvl w:val="0"/>
          <w:numId w:val="1"/>
        </w:numPr>
        <w:bidi/>
        <w:spacing w:after="120" w:line="360" w:lineRule="auto"/>
      </w:pPr>
      <w:r>
        <w:lastRenderedPageBreak/>
        <w:t>تقييم درجة الانسجام بين الممارسات التنظيمية للهيئة ومتطلبات معيار ISO 14971.</w:t>
      </w:r>
    </w:p>
    <w:p w14:paraId="4BD662EB" w14:textId="77777777" w:rsidR="002441EB" w:rsidRDefault="00000000" w:rsidP="00DD52A5">
      <w:pPr>
        <w:pStyle w:val="ListParagraph"/>
        <w:numPr>
          <w:ilvl w:val="0"/>
          <w:numId w:val="1"/>
        </w:numPr>
        <w:bidi/>
        <w:spacing w:after="120" w:line="360" w:lineRule="auto"/>
      </w:pPr>
      <w:r>
        <w:t>الوقوف على آليات المتابعة بعد التسويق وإجراءات السلامة التصحيحية الميدانية (FSCA) المعتمدة.</w:t>
      </w:r>
    </w:p>
    <w:p w14:paraId="7A9DB89E" w14:textId="77777777" w:rsidR="002441EB" w:rsidRDefault="00000000" w:rsidP="00DD52A5">
      <w:pPr>
        <w:pStyle w:val="ListParagraph"/>
        <w:numPr>
          <w:ilvl w:val="0"/>
          <w:numId w:val="1"/>
        </w:numPr>
        <w:bidi/>
        <w:spacing w:after="120" w:line="360" w:lineRule="auto"/>
      </w:pPr>
      <w:r>
        <w:t>عقد مقارنة بين الإطار التنظيمي السعودي ونظيريه الدوليين البارزين (الأمريكي FDA والأوروبي EU MDR).</w:t>
      </w:r>
    </w:p>
    <w:p w14:paraId="0FC09125" w14:textId="77777777" w:rsidR="002441EB" w:rsidRDefault="00000000" w:rsidP="00DD52A5">
      <w:pPr>
        <w:pStyle w:val="ListParagraph"/>
        <w:numPr>
          <w:ilvl w:val="0"/>
          <w:numId w:val="1"/>
        </w:numPr>
        <w:bidi/>
        <w:spacing w:after="120" w:line="360" w:lineRule="auto"/>
      </w:pPr>
      <w:r>
        <w:t>تحليل مؤشرات الأداء التنظيمي المعلنة رسمياً للحكم على مدى نجاعة المنظومة الرقابية الوطنية.</w:t>
      </w:r>
    </w:p>
    <w:p w14:paraId="698CE2C6" w14:textId="77777777" w:rsidR="002441EB" w:rsidRDefault="00000000" w:rsidP="00DD52A5">
      <w:pPr>
        <w:pStyle w:val="ListParagraph"/>
        <w:numPr>
          <w:ilvl w:val="0"/>
          <w:numId w:val="1"/>
        </w:numPr>
        <w:bidi/>
        <w:spacing w:after="120" w:line="360" w:lineRule="auto"/>
      </w:pPr>
      <w:r>
        <w:t>صياغة مقترحات عملية تسهم في تطوير منظومة إدارة المخاطر الوطنية الخاصة بالأجهزة الطبية.</w:t>
      </w:r>
    </w:p>
    <w:p w14:paraId="5CE4B7D2" w14:textId="77777777" w:rsidR="002441EB" w:rsidRDefault="00000000" w:rsidP="00DD52A5">
      <w:pPr>
        <w:pStyle w:val="Heading2"/>
        <w:bidi/>
        <w:spacing w:before="320" w:after="200"/>
      </w:pPr>
      <w:r>
        <w:rPr>
          <w:b/>
          <w:bCs/>
          <w:sz w:val="28"/>
          <w:szCs w:val="28"/>
        </w:rPr>
        <w:t>أسئلة البحث</w:t>
      </w:r>
    </w:p>
    <w:p w14:paraId="4D6CD0B9" w14:textId="77777777" w:rsidR="002441EB" w:rsidRDefault="00000000" w:rsidP="00DD52A5">
      <w:pPr>
        <w:pStyle w:val="ListParagraph"/>
        <w:numPr>
          <w:ilvl w:val="0"/>
          <w:numId w:val="1"/>
        </w:numPr>
        <w:bidi/>
        <w:spacing w:after="120" w:line="360" w:lineRule="auto"/>
      </w:pPr>
      <w:r>
        <w:t>على أي أطر تنظيمية تستند الهيئة العامة للغذاء والدواء السعودية في إدارة مخاطر الأجهزة الطبية؟</w:t>
      </w:r>
    </w:p>
    <w:p w14:paraId="62903673" w14:textId="77777777" w:rsidR="002441EB" w:rsidRDefault="00000000" w:rsidP="00DD52A5">
      <w:pPr>
        <w:pStyle w:val="ListParagraph"/>
        <w:numPr>
          <w:ilvl w:val="0"/>
          <w:numId w:val="1"/>
        </w:numPr>
        <w:bidi/>
        <w:spacing w:after="120" w:line="360" w:lineRule="auto"/>
      </w:pPr>
      <w:r>
        <w:t>إلى أي حد تُطبّق الهيئة متطلبات معيار ISO 14971؟</w:t>
      </w:r>
    </w:p>
    <w:p w14:paraId="5185D389" w14:textId="77777777" w:rsidR="002441EB" w:rsidRDefault="00000000" w:rsidP="00DD52A5">
      <w:pPr>
        <w:pStyle w:val="ListParagraph"/>
        <w:numPr>
          <w:ilvl w:val="0"/>
          <w:numId w:val="1"/>
        </w:numPr>
        <w:bidi/>
        <w:spacing w:after="120" w:line="360" w:lineRule="auto"/>
      </w:pPr>
      <w:r>
        <w:t>بأي آلية تُدار عملية المتابعة بعد التسويق للأجهزة الطبية في السوق السعودي؟</w:t>
      </w:r>
    </w:p>
    <w:p w14:paraId="16110EFB" w14:textId="77777777" w:rsidR="002441EB" w:rsidRDefault="00000000" w:rsidP="00DD52A5">
      <w:pPr>
        <w:pStyle w:val="ListParagraph"/>
        <w:numPr>
          <w:ilvl w:val="0"/>
          <w:numId w:val="1"/>
        </w:numPr>
        <w:bidi/>
        <w:spacing w:after="120" w:line="360" w:lineRule="auto"/>
      </w:pPr>
      <w:r>
        <w:t>ما نقاط الالتقاء والافتراق بين المنظومة الرقابية السعودية والأنظمة الدولية المقارنة؟</w:t>
      </w:r>
    </w:p>
    <w:p w14:paraId="27786F5A" w14:textId="77777777" w:rsidR="002441EB" w:rsidRDefault="00000000" w:rsidP="00DD52A5">
      <w:pPr>
        <w:pStyle w:val="ListParagraph"/>
        <w:numPr>
          <w:ilvl w:val="0"/>
          <w:numId w:val="1"/>
        </w:numPr>
        <w:bidi/>
        <w:spacing w:after="120" w:line="360" w:lineRule="auto"/>
      </w:pPr>
      <w:r>
        <w:t>ما أهم الصعوبات التي تعترض المنظومة الرقابية الحالية في إدارة مخاطر الأجهزة الطبية؟</w:t>
      </w:r>
    </w:p>
    <w:p w14:paraId="5254A410" w14:textId="77777777" w:rsidR="002441EB" w:rsidRDefault="00000000" w:rsidP="00DD52A5">
      <w:pPr>
        <w:pStyle w:val="Heading2"/>
        <w:bidi/>
        <w:spacing w:before="320" w:after="200"/>
      </w:pPr>
      <w:r>
        <w:rPr>
          <w:b/>
          <w:bCs/>
          <w:sz w:val="28"/>
          <w:szCs w:val="28"/>
        </w:rPr>
        <w:t>أهمية البحث</w:t>
      </w:r>
    </w:p>
    <w:p w14:paraId="1426E7E3" w14:textId="77777777" w:rsidR="002441EB" w:rsidRDefault="00000000" w:rsidP="00DD52A5">
      <w:pPr>
        <w:pStyle w:val="Heading3"/>
        <w:bidi/>
        <w:spacing w:before="240" w:after="160"/>
      </w:pPr>
      <w:r>
        <w:rPr>
          <w:b/>
          <w:bCs/>
          <w:color w:val="1F4E79"/>
          <w:sz w:val="26"/>
          <w:szCs w:val="26"/>
        </w:rPr>
        <w:t>الأهمية العلمية</w:t>
      </w:r>
    </w:p>
    <w:p w14:paraId="339A9C6C" w14:textId="77777777" w:rsidR="002441EB" w:rsidRDefault="00000000" w:rsidP="00DD52A5">
      <w:pPr>
        <w:pStyle w:val="ListParagraph"/>
        <w:numPr>
          <w:ilvl w:val="0"/>
          <w:numId w:val="1"/>
        </w:numPr>
        <w:bidi/>
        <w:spacing w:after="120" w:line="360" w:lineRule="auto"/>
      </w:pPr>
      <w:r>
        <w:t>يضيف هذا البحث إلى رصيد المكتبة العربية في مجال تنظيم الأجهزة الطبية وإدارة مخاطرها، وهو حقل لا تزال الدراسات العربية المعمّقة فيه محدودة نسبياً بما هو متوفر في الأدبيات الغربية.</w:t>
      </w:r>
    </w:p>
    <w:p w14:paraId="4D6FB479" w14:textId="77777777" w:rsidR="002441EB" w:rsidRDefault="00000000" w:rsidP="00DD52A5">
      <w:pPr>
        <w:pStyle w:val="ListParagraph"/>
        <w:numPr>
          <w:ilvl w:val="0"/>
          <w:numId w:val="1"/>
        </w:numPr>
        <w:bidi/>
        <w:spacing w:after="120" w:line="360" w:lineRule="auto"/>
      </w:pPr>
      <w:r>
        <w:t>يوفر البحث هيكلاً تحليلياً منظماً يصلح أساساً لدراسات لاحقة تتناول أبعاداً أخرى من عمل الهيئة، كتنظيم قطاع الأدوية أو المنتجات الغذائية.</w:t>
      </w:r>
    </w:p>
    <w:p w14:paraId="516B6C9C" w14:textId="77777777" w:rsidR="002441EB" w:rsidRDefault="00000000" w:rsidP="00DD52A5">
      <w:pPr>
        <w:pStyle w:val="Heading3"/>
        <w:bidi/>
        <w:spacing w:before="240" w:after="160"/>
      </w:pPr>
      <w:r>
        <w:rPr>
          <w:b/>
          <w:bCs/>
          <w:color w:val="1F4E79"/>
          <w:sz w:val="26"/>
          <w:szCs w:val="26"/>
        </w:rPr>
        <w:t>الأهمية العملية والتنظيمية</w:t>
      </w:r>
    </w:p>
    <w:p w14:paraId="213270AB" w14:textId="77777777" w:rsidR="002441EB" w:rsidRDefault="00000000" w:rsidP="00DD52A5">
      <w:pPr>
        <w:pStyle w:val="ListParagraph"/>
        <w:numPr>
          <w:ilvl w:val="0"/>
          <w:numId w:val="1"/>
        </w:numPr>
        <w:bidi/>
        <w:spacing w:after="120" w:line="360" w:lineRule="auto"/>
      </w:pPr>
      <w:r>
        <w:t>يطرح البحث مقترحات عملية ترفع من كفاءة المنظومة الرقابية وتعزز سلامة المرضى ومستخدمي الأجهزة الطبية.</w:t>
      </w:r>
    </w:p>
    <w:p w14:paraId="27191B5A" w14:textId="77777777" w:rsidR="002441EB" w:rsidRDefault="00000000" w:rsidP="00DD52A5">
      <w:pPr>
        <w:pStyle w:val="ListParagraph"/>
        <w:numPr>
          <w:ilvl w:val="0"/>
          <w:numId w:val="1"/>
        </w:numPr>
        <w:bidi/>
        <w:spacing w:after="120" w:line="360" w:lineRule="auto"/>
      </w:pPr>
      <w:r>
        <w:t>يسند البحث عمل متخذي القرار داخل الهيئة العامة للغذاء والدواء عبر تسليط الضوء على مكامن القوة وفرص التطوير في المنظومة القائمة بأسلوب تحليلي منهجي.</w:t>
      </w:r>
    </w:p>
    <w:p w14:paraId="093B0D43" w14:textId="77777777" w:rsidR="002441EB" w:rsidRDefault="00000000" w:rsidP="00DD52A5">
      <w:pPr>
        <w:pStyle w:val="ListParagraph"/>
        <w:numPr>
          <w:ilvl w:val="0"/>
          <w:numId w:val="1"/>
        </w:numPr>
        <w:bidi/>
        <w:spacing w:after="120" w:line="360" w:lineRule="auto"/>
      </w:pPr>
      <w:r>
        <w:t>يخدم البحث الجهات المصنّعة والموزّعة للأجهزة الطبية في تعميق فهمها لمتطلبات السوق السعودي التنظيمية، بما يُيسّر التزامها ويحد من مخاطر عدم الامتثال.</w:t>
      </w:r>
    </w:p>
    <w:p w14:paraId="39787458" w14:textId="77777777" w:rsidR="002441EB" w:rsidRDefault="00000000" w:rsidP="00DD52A5">
      <w:pPr>
        <w:pStyle w:val="Heading2"/>
        <w:bidi/>
        <w:spacing w:before="320" w:after="200"/>
      </w:pPr>
      <w:r>
        <w:rPr>
          <w:b/>
          <w:bCs/>
          <w:sz w:val="28"/>
          <w:szCs w:val="28"/>
        </w:rPr>
        <w:t>حدود البحث</w:t>
      </w:r>
    </w:p>
    <w:p w14:paraId="5D1425DD" w14:textId="77777777" w:rsidR="002441EB" w:rsidRDefault="00000000" w:rsidP="00DD52A5">
      <w:pPr>
        <w:pStyle w:val="ListParagraph"/>
        <w:numPr>
          <w:ilvl w:val="0"/>
          <w:numId w:val="1"/>
        </w:numPr>
        <w:bidi/>
        <w:spacing w:after="120" w:line="360" w:lineRule="auto"/>
      </w:pPr>
      <w:r>
        <w:lastRenderedPageBreak/>
        <w:t>الحدود الموضوعية: انحصر البحث في دراسة دور الهيئة العامة للغذاء والدواء السعودية في إدارة مخاطر الأجهزة الطبية على وجه التحديد، ولم يتطرق لتنظيم الأدوية أو المنتجات الغذائية أو مستحضرات التجميل.</w:t>
      </w:r>
    </w:p>
    <w:p w14:paraId="68FD7D94" w14:textId="77777777" w:rsidR="002441EB" w:rsidRDefault="00000000" w:rsidP="00DD52A5">
      <w:pPr>
        <w:pStyle w:val="ListParagraph"/>
        <w:numPr>
          <w:ilvl w:val="0"/>
          <w:numId w:val="1"/>
        </w:numPr>
        <w:bidi/>
        <w:spacing w:after="120" w:line="360" w:lineRule="auto"/>
      </w:pPr>
      <w:r>
        <w:t>الحدود المكانية: اقتصر نطاق البحث على السوق السعودي للأجهزة الطبية، مع الاستفادة من مقارنات دولية محددة (الولايات المتحدة والاتحاد الأوروبي) لغرض التحليل المقارن فحسب.</w:t>
      </w:r>
    </w:p>
    <w:p w14:paraId="5FC77EFD" w14:textId="77777777" w:rsidR="002441EB" w:rsidRDefault="00000000" w:rsidP="00DD52A5">
      <w:pPr>
        <w:pStyle w:val="ListParagraph"/>
        <w:numPr>
          <w:ilvl w:val="0"/>
          <w:numId w:val="1"/>
        </w:numPr>
        <w:bidi/>
        <w:spacing w:after="120" w:line="360" w:lineRule="auto"/>
      </w:pPr>
      <w:r>
        <w:t>الحدود الزمنية: استند البحث إلى الأنظمة واللوائح والتقارير الرسمية النافذة والمنشورة حتى فترة إعداد الدراسة، مع التركيز على بيانات الفترة 2019-2023 حيثما توفرت.</w:t>
      </w:r>
    </w:p>
    <w:p w14:paraId="035FA327" w14:textId="77777777" w:rsidR="002441EB" w:rsidRDefault="00000000" w:rsidP="00DD52A5">
      <w:pPr>
        <w:pStyle w:val="ListParagraph"/>
        <w:numPr>
          <w:ilvl w:val="0"/>
          <w:numId w:val="1"/>
        </w:numPr>
        <w:bidi/>
        <w:spacing w:after="120" w:line="360" w:lineRule="auto"/>
      </w:pPr>
      <w:r>
        <w:t>الحدود المنهجية: اعتمد البحث على تحليل الوثائق والبيانات الثانوية المنشورة رسمياً، دون اللجوء إلى دراسة ميدانية أولية (استبانة أو مقابلات).</w:t>
      </w:r>
    </w:p>
    <w:p w14:paraId="0702D096" w14:textId="77777777" w:rsidR="002441EB" w:rsidRDefault="00000000" w:rsidP="00DD52A5">
      <w:pPr>
        <w:bidi/>
      </w:pPr>
      <w:r>
        <w:br w:type="page"/>
      </w:r>
    </w:p>
    <w:p w14:paraId="1208AD90" w14:textId="77777777" w:rsidR="002441EB" w:rsidRDefault="00000000" w:rsidP="00DD52A5">
      <w:pPr>
        <w:pStyle w:val="Heading2"/>
        <w:bidi/>
        <w:spacing w:before="320" w:after="200"/>
      </w:pPr>
      <w:r>
        <w:rPr>
          <w:b/>
          <w:bCs/>
          <w:sz w:val="28"/>
          <w:szCs w:val="28"/>
        </w:rPr>
        <w:lastRenderedPageBreak/>
        <w:t>الإطار النظري للدراسة</w:t>
      </w:r>
    </w:p>
    <w:p w14:paraId="71F72116" w14:textId="77777777" w:rsidR="002441EB" w:rsidRDefault="00000000" w:rsidP="00DD52A5">
      <w:pPr>
        <w:bidi/>
        <w:spacing w:after="200" w:line="360" w:lineRule="auto"/>
      </w:pPr>
      <w:r>
        <w:t>يستعرض هذا المبحث الخلفية النظرية العامة لمفهوم المخاطر وإدارة المخاطر بوصفها حقلاً معرفياً قائماً بذاته في علوم الإدارة، قبل الانتقال تدريجياً نحو خصوصية إدارة المخاطر في قطاع الأجهزة الطبية، بما يتيح للقارئ الإحاطة بكافة الجوانب النظرية المرتبطة بموضوع الدراسة.</w:t>
      </w:r>
    </w:p>
    <w:p w14:paraId="30BD368A" w14:textId="77777777" w:rsidR="002441EB" w:rsidRDefault="00000000" w:rsidP="00DD52A5">
      <w:pPr>
        <w:pStyle w:val="Heading3"/>
        <w:bidi/>
        <w:spacing w:before="240" w:after="160"/>
      </w:pPr>
      <w:r>
        <w:rPr>
          <w:b/>
          <w:bCs/>
          <w:color w:val="1F4E79"/>
          <w:sz w:val="26"/>
          <w:szCs w:val="26"/>
        </w:rPr>
        <w:t>أولاً: مفهوم الخطر</w:t>
      </w:r>
    </w:p>
    <w:p w14:paraId="65E21530" w14:textId="77777777" w:rsidR="002441EB" w:rsidRDefault="00000000" w:rsidP="00DD52A5">
      <w:pPr>
        <w:bidi/>
        <w:spacing w:after="200" w:line="360" w:lineRule="auto"/>
      </w:pPr>
      <w:r>
        <w:t>يُعرَّف الخطر (Risk) في أدبيات الإدارة بأنه احتمال وقوع حدث غير مؤكد قد يؤثر - سلباً أو إيجاباً - على تحقيق الأهداف المرسومة لفرد أو منظمة أو مشروع. وقد عرّفته المواصفة الدولية ISO 31000 بأنه "أثر عدم التأكد على تحقيق الأهداف"، وهو تعريف واسع يشمل الأخطار السلبية (التهديدات) والإيجابية (الفرص) على حد سواء، وإن كان الاستخدام الشائع للمصطلح - خاصة في السياقات الصحية والصناعية - ينصرف غالباً إلى الجانب السلبي المرتبط باحتمال حدوث ضرر.</w:t>
      </w:r>
    </w:p>
    <w:p w14:paraId="2D53B019" w14:textId="77777777" w:rsidR="002441EB" w:rsidRDefault="00000000" w:rsidP="00DD52A5">
      <w:pPr>
        <w:bidi/>
        <w:spacing w:after="200" w:line="360" w:lineRule="auto"/>
      </w:pPr>
      <w:r>
        <w:t>أما في سياق المنتجات والأجهزة تحديداً، فيُعرَّف الخطر بأنه محصلة تفاعل بين متغيرين أساسيين: جسامة الضرر المحتمل (Severity) واحتمالية وقوعه (Probability of Occurrence)، وهو تعريف تشغيلي يُستخدم لاحقاً كأساس لبناء مصفوفات تقييم المخاطر.</w:t>
      </w:r>
    </w:p>
    <w:p w14:paraId="7E978ADE" w14:textId="77777777" w:rsidR="002441EB" w:rsidRDefault="00000000" w:rsidP="00DD52A5">
      <w:pPr>
        <w:pStyle w:val="Heading3"/>
        <w:bidi/>
        <w:spacing w:before="240" w:after="160"/>
      </w:pPr>
      <w:r>
        <w:rPr>
          <w:b/>
          <w:bCs/>
          <w:color w:val="1F4E79"/>
          <w:sz w:val="26"/>
          <w:szCs w:val="26"/>
        </w:rPr>
        <w:t>ثانياً: أنواع المخاطر وتصنيفاتها</w:t>
      </w:r>
    </w:p>
    <w:p w14:paraId="16B7540C" w14:textId="77777777" w:rsidR="002441EB" w:rsidRDefault="00000000" w:rsidP="00DD52A5">
      <w:pPr>
        <w:bidi/>
        <w:spacing w:after="200" w:line="360" w:lineRule="auto"/>
      </w:pPr>
      <w:r>
        <w:t>تتعدد تصنيفات المخاطر بحسب الزاوية التي يُنظر منها إليها، ويمكن إجمال أبرز هذه التصنيفات فيما يأتي:</w:t>
      </w:r>
    </w:p>
    <w:p w14:paraId="12200B55" w14:textId="77777777" w:rsidR="002441EB" w:rsidRDefault="00000000" w:rsidP="00DD52A5">
      <w:pPr>
        <w:pStyle w:val="ListParagraph"/>
        <w:numPr>
          <w:ilvl w:val="0"/>
          <w:numId w:val="1"/>
        </w:numPr>
        <w:bidi/>
        <w:spacing w:after="120" w:line="360" w:lineRule="auto"/>
      </w:pPr>
      <w:r>
        <w:t>من حيث الطبيعة: وتشمل المخاطر الاستراتيجية (المرتبطة بالقرارات الكبرى واتجاه المنظمة)، والمخاطر التشغيلية (المرتبطة بالعمليات اليومية والأنظمة الداخلية)، والمخاطر المالية (المرتبطة بالسيولة والائتمان وتقلبات الأسواق)، ومخاطر الامتثال والمخاطر القانونية/التنظيمية (المرتبطة بمخالفة الأنظمة واللوائح)، ومخاطر السمعة، والمخاطر التقنية المرتبطة بسلامة المنتج وأدائه.</w:t>
      </w:r>
    </w:p>
    <w:p w14:paraId="725F6D7B" w14:textId="77777777" w:rsidR="002441EB" w:rsidRDefault="00000000" w:rsidP="00DD52A5">
      <w:pPr>
        <w:pStyle w:val="ListParagraph"/>
        <w:numPr>
          <w:ilvl w:val="0"/>
          <w:numId w:val="1"/>
        </w:numPr>
        <w:bidi/>
        <w:spacing w:after="120" w:line="360" w:lineRule="auto"/>
      </w:pPr>
      <w:r>
        <w:t>من حيث المصدر: وتُقسم إلى مخاطر داخلية تنشأ من داخل المنظمة (كضعف الإجراءات أو الخطأ البشري)، ومخاطر خارجية تفرضها بيئة العمل المحيطة (كالتغيرات التنظيمية أو المنافسة أو الكوارث).</w:t>
      </w:r>
    </w:p>
    <w:p w14:paraId="51F7EAF6" w14:textId="77777777" w:rsidR="002441EB" w:rsidRDefault="00000000" w:rsidP="00DD52A5">
      <w:pPr>
        <w:pStyle w:val="ListParagraph"/>
        <w:numPr>
          <w:ilvl w:val="0"/>
          <w:numId w:val="1"/>
        </w:numPr>
        <w:bidi/>
        <w:spacing w:after="120" w:line="360" w:lineRule="auto"/>
      </w:pPr>
      <w:r>
        <w:t>من حيث القابلية للتحكم: وتشمل مخاطر قابلة للتحكم يمكن للمنظمة التأثير في احتمال وقوعها أو حجم أثرها، ومخاطر غير قابلة للتحكم تفرض على المنظمة التكيف معها بدلاً من ضبطها.</w:t>
      </w:r>
    </w:p>
    <w:p w14:paraId="2EFDD322" w14:textId="77777777" w:rsidR="002441EB" w:rsidRDefault="00000000" w:rsidP="00DD52A5">
      <w:pPr>
        <w:pStyle w:val="ListParagraph"/>
        <w:numPr>
          <w:ilvl w:val="0"/>
          <w:numId w:val="1"/>
        </w:numPr>
        <w:bidi/>
        <w:spacing w:after="120" w:line="360" w:lineRule="auto"/>
      </w:pPr>
      <w:r>
        <w:t>من حيث الأثر الزمني: وتُقسم إلى مخاطر آنية تظهر آثارها فور وقوع الحدث، ومخاطر كامنة أو متأخرة الظهور لا تتضح نتائجها إلا بعد مرور فترة زمنية، وهي فئة بالغة الأهمية في سياق المنتجات الصحية التي قد تتأخر أعراض الضرر الناجم عنها.</w:t>
      </w:r>
    </w:p>
    <w:p w14:paraId="5A998B2D" w14:textId="77777777" w:rsidR="002441EB" w:rsidRDefault="00000000" w:rsidP="00DD52A5">
      <w:pPr>
        <w:pStyle w:val="Heading3"/>
        <w:bidi/>
        <w:spacing w:before="240" w:after="160"/>
      </w:pPr>
      <w:r>
        <w:rPr>
          <w:b/>
          <w:bCs/>
          <w:color w:val="1F4E79"/>
          <w:sz w:val="26"/>
          <w:szCs w:val="26"/>
        </w:rPr>
        <w:t>ثالثاً: تصنيف المخاطر حسب طبيعة المشروع أو المؤسسة</w:t>
      </w:r>
    </w:p>
    <w:p w14:paraId="4F7D36A8" w14:textId="77777777" w:rsidR="002441EB" w:rsidRDefault="00000000" w:rsidP="00DD52A5">
      <w:pPr>
        <w:bidi/>
        <w:spacing w:after="200" w:line="360" w:lineRule="auto"/>
      </w:pPr>
      <w:r>
        <w:t>تختلف طبيعة المخاطر السائدة باختلاف نوع النشاط أو المؤسسة، ومن أبرز الأمثلة على ذلك:</w:t>
      </w:r>
    </w:p>
    <w:p w14:paraId="11A6A7CC" w14:textId="77777777" w:rsidR="002441EB" w:rsidRDefault="00000000" w:rsidP="00DD52A5">
      <w:pPr>
        <w:pStyle w:val="ListParagraph"/>
        <w:numPr>
          <w:ilvl w:val="0"/>
          <w:numId w:val="1"/>
        </w:numPr>
        <w:bidi/>
        <w:spacing w:after="120" w:line="360" w:lineRule="auto"/>
      </w:pPr>
      <w:r>
        <w:lastRenderedPageBreak/>
        <w:t>مخاطر المشاريع الإنشائية والهندسية: وتتركز غالباً حول تجاوز الجدول الزمني أو الميزانية، ومخاطر السلامة الميدانية.</w:t>
      </w:r>
    </w:p>
    <w:p w14:paraId="417FEBA4" w14:textId="77777777" w:rsidR="002441EB" w:rsidRDefault="00000000" w:rsidP="00DD52A5">
      <w:pPr>
        <w:pStyle w:val="ListParagraph"/>
        <w:numPr>
          <w:ilvl w:val="0"/>
          <w:numId w:val="1"/>
        </w:numPr>
        <w:bidi/>
        <w:spacing w:after="120" w:line="360" w:lineRule="auto"/>
      </w:pPr>
      <w:r>
        <w:t>مخاطر المؤسسات المالية: وتتصل بمخاطر الائتمان والسيولة والسوق والمخاطر التشغيلية المصرفية.</w:t>
      </w:r>
    </w:p>
    <w:p w14:paraId="637FC4B3" w14:textId="77777777" w:rsidR="002441EB" w:rsidRDefault="00000000" w:rsidP="00DD52A5">
      <w:pPr>
        <w:pStyle w:val="ListParagraph"/>
        <w:numPr>
          <w:ilvl w:val="0"/>
          <w:numId w:val="1"/>
        </w:numPr>
        <w:bidi/>
        <w:spacing w:after="120" w:line="360" w:lineRule="auto"/>
      </w:pPr>
      <w:r>
        <w:t>مخاطر المؤسسات الصناعية والتصنيعية - وبخاصة تصنيع الأجهزة والمستلزمات الطبية: وتتصل بمخاطر التصميم والتصنيع، وجودة المواد الخام، وسلامة سلسلة الإمداد، ومطابقة المنتج النهائي للمواصفات المعتمدة.</w:t>
      </w:r>
    </w:p>
    <w:p w14:paraId="37A9E3DD" w14:textId="77777777" w:rsidR="002441EB" w:rsidRDefault="00000000" w:rsidP="00DD52A5">
      <w:pPr>
        <w:pStyle w:val="ListParagraph"/>
        <w:numPr>
          <w:ilvl w:val="0"/>
          <w:numId w:val="1"/>
        </w:numPr>
        <w:bidi/>
        <w:spacing w:after="120" w:line="360" w:lineRule="auto"/>
      </w:pPr>
      <w:r>
        <w:t>مخاطر القطاع الصحي: وتشمل مخاطر سريرية مرتبطة مباشرة بسلامة المريض، ومخاطر مرتبطة بأداء الأجهزة والمعدات الطبية المستخدمة في التشخيص والعلاج، ومخاطر تنظيمية تتصل بمدى التزام مقدمي الرعاية والمصنّعين بالأطر الرقابية النافذة، وهي الفئة التي تنتمي إليها موضوعات الدراسة الحالية.</w:t>
      </w:r>
    </w:p>
    <w:p w14:paraId="0B977127" w14:textId="77777777" w:rsidR="002441EB" w:rsidRDefault="00000000" w:rsidP="00DD52A5">
      <w:pPr>
        <w:pStyle w:val="Heading3"/>
        <w:bidi/>
        <w:spacing w:before="240" w:after="160"/>
      </w:pPr>
      <w:r>
        <w:rPr>
          <w:b/>
          <w:bCs/>
          <w:color w:val="1F4E79"/>
          <w:sz w:val="26"/>
          <w:szCs w:val="26"/>
        </w:rPr>
        <w:t>رابعاً: مصادر الخطر</w:t>
      </w:r>
    </w:p>
    <w:p w14:paraId="4BDC8CCE" w14:textId="77777777" w:rsidR="002441EB" w:rsidRDefault="00000000" w:rsidP="00DD52A5">
      <w:pPr>
        <w:bidi/>
        <w:spacing w:after="200" w:line="360" w:lineRule="auto"/>
      </w:pPr>
      <w:r>
        <w:t>يمكن ردّ مصادر الخطر - في أي منظومة إنتاجية أو خدمية - إلى مجموعة من الروافد الرئيسة:</w:t>
      </w:r>
    </w:p>
    <w:p w14:paraId="6712980B" w14:textId="77777777" w:rsidR="002441EB" w:rsidRDefault="00000000" w:rsidP="00DD52A5">
      <w:pPr>
        <w:pStyle w:val="ListParagraph"/>
        <w:numPr>
          <w:ilvl w:val="0"/>
          <w:numId w:val="1"/>
        </w:numPr>
        <w:bidi/>
        <w:spacing w:after="120" w:line="360" w:lineRule="auto"/>
      </w:pPr>
      <w:r>
        <w:t>مصادر بشرية: كالخطأ التشغيلي، وسوء الاستخدام المتوقع أو غير المتوقع من قبل المستخدم النهائي، ونقص التدريب والوعي.</w:t>
      </w:r>
    </w:p>
    <w:p w14:paraId="4F5FDCB3" w14:textId="77777777" w:rsidR="002441EB" w:rsidRDefault="00000000" w:rsidP="00DD52A5">
      <w:pPr>
        <w:pStyle w:val="ListParagraph"/>
        <w:numPr>
          <w:ilvl w:val="0"/>
          <w:numId w:val="1"/>
        </w:numPr>
        <w:bidi/>
        <w:spacing w:after="120" w:line="360" w:lineRule="auto"/>
      </w:pPr>
      <w:r>
        <w:t>مصادر تقنية وتصميمية: كعيوب التصميم الهندسي، أو الأخطاء البرمجية، أو ضعف جودة التصنيع والمواد المستخدمة.</w:t>
      </w:r>
    </w:p>
    <w:p w14:paraId="2BA29ECA" w14:textId="77777777" w:rsidR="002441EB" w:rsidRDefault="00000000" w:rsidP="00DD52A5">
      <w:pPr>
        <w:pStyle w:val="ListParagraph"/>
        <w:numPr>
          <w:ilvl w:val="0"/>
          <w:numId w:val="1"/>
        </w:numPr>
        <w:bidi/>
        <w:spacing w:after="120" w:line="360" w:lineRule="auto"/>
      </w:pPr>
      <w:r>
        <w:t>مصادر تنظيمية وقانونية: كتغيّر الأنظمة واللوائح، أو ضعف آليات الرقابة والتفتيش، أو عدم وضوح المسؤوليات القانونية.</w:t>
      </w:r>
    </w:p>
    <w:p w14:paraId="18B2641B" w14:textId="77777777" w:rsidR="002441EB" w:rsidRDefault="00000000" w:rsidP="00DD52A5">
      <w:pPr>
        <w:pStyle w:val="ListParagraph"/>
        <w:numPr>
          <w:ilvl w:val="0"/>
          <w:numId w:val="1"/>
        </w:numPr>
        <w:bidi/>
        <w:spacing w:after="120" w:line="360" w:lineRule="auto"/>
      </w:pPr>
      <w:r>
        <w:t>مصادر بيئية وسوقية: كضغوط المنافسة التجارية، واضطراب سلاسل الإمداد، والكوارث الطبيعية التي قد تؤثر على سلامة تخزين المنتجات أو نقلها.</w:t>
      </w:r>
    </w:p>
    <w:p w14:paraId="0EB7268B" w14:textId="77777777" w:rsidR="002441EB" w:rsidRDefault="00000000" w:rsidP="00DD52A5">
      <w:pPr>
        <w:pStyle w:val="ListParagraph"/>
        <w:numPr>
          <w:ilvl w:val="0"/>
          <w:numId w:val="1"/>
        </w:numPr>
        <w:bidi/>
        <w:spacing w:after="120" w:line="360" w:lineRule="auto"/>
      </w:pPr>
      <w:r>
        <w:t>مصادر معلوماتية: كضعف ثقافة الإبلاغ عن الحوادث القريبة من الوقوع (Near-Miss Events)، ونقص البيانات الموثوقة التي تُبنى عليها قرارات إدارة المخاطر.</w:t>
      </w:r>
    </w:p>
    <w:p w14:paraId="234E67F5" w14:textId="77777777" w:rsidR="002441EB" w:rsidRDefault="00000000" w:rsidP="00DD52A5">
      <w:pPr>
        <w:pStyle w:val="Heading3"/>
        <w:bidi/>
        <w:spacing w:before="240" w:after="160"/>
      </w:pPr>
      <w:r>
        <w:rPr>
          <w:b/>
          <w:bCs/>
          <w:color w:val="1F4E79"/>
          <w:sz w:val="26"/>
          <w:szCs w:val="26"/>
        </w:rPr>
        <w:t>خامساً: مفهوم إدارة المخاطر</w:t>
      </w:r>
    </w:p>
    <w:p w14:paraId="11F6E418" w14:textId="77777777" w:rsidR="002441EB" w:rsidRDefault="00000000" w:rsidP="00DD52A5">
      <w:pPr>
        <w:bidi/>
        <w:spacing w:after="200" w:line="360" w:lineRule="auto"/>
      </w:pPr>
      <w:r>
        <w:t>تُعرَّف إدارة المخاطر (Risk Management) بأنها عملية منهجية مستمرة تقوم بها المنظمات لتحديد الأخطار المحتملة وتحليلها وتقييمها، ثم اتخاذ الإجراءات المناسبة للتعامل معها بما يحقق التوازن بين الفائدة المرجوّة من النشاط أو المنتج والمخاطر المصاحبة له. وتقوم فلسفة إدارة المخاطر الحديثة - كما تعتمدها الأطر الدولية الرائدة مثل ISO 31000 وإطار COSO لإدارة المخاطر المؤسسية (Enterprise Risk Management) - على مبدأ أساسي مفاده أن المخاطر لا يمكن استئصالها بالكامل، وإنما يمكن تخفيضها إلى مستوى مقبول يُعرف بمبدأ "أدنى مستوى ممكن عملياً" (ALARP - As Low As Reasonably Practicable)، عبر موازنة مستمرة بين الفائدة المتوقعة والمخاطر المتبقية.</w:t>
      </w:r>
    </w:p>
    <w:p w14:paraId="47992823" w14:textId="77777777" w:rsidR="002441EB" w:rsidRDefault="00000000" w:rsidP="00DD52A5">
      <w:pPr>
        <w:bidi/>
        <w:spacing w:after="200" w:line="360" w:lineRule="auto"/>
      </w:pPr>
      <w:r>
        <w:lastRenderedPageBreak/>
        <w:t>وتحقق إدارة المخاطر عدداً من الوظائف الجوهرية للمنظمات، من أبرزها: حماية أصحاب المصلحة من الأضرار المحتملة، ودعم اتخاذ القرار المبني على أدلة، وتحسين كفاءة تخصيص الموارد نحو المخاطر الأعلى أولوية، وبناء الثقة المؤسسية والمجتمعية في جودة المنتجات والخدمات المقدَّمة.</w:t>
      </w:r>
    </w:p>
    <w:p w14:paraId="59A5A220" w14:textId="77777777" w:rsidR="002441EB" w:rsidRDefault="00000000" w:rsidP="00DD52A5">
      <w:pPr>
        <w:pStyle w:val="Heading3"/>
        <w:bidi/>
        <w:spacing w:before="240" w:after="160"/>
      </w:pPr>
      <w:r>
        <w:rPr>
          <w:b/>
          <w:bCs/>
          <w:color w:val="1F4E79"/>
          <w:sz w:val="26"/>
          <w:szCs w:val="26"/>
        </w:rPr>
        <w:t>سادساً: مراحل إدارة المخاطر</w:t>
      </w:r>
    </w:p>
    <w:p w14:paraId="4249968B" w14:textId="77777777" w:rsidR="002441EB" w:rsidRDefault="00000000" w:rsidP="00DD52A5">
      <w:pPr>
        <w:bidi/>
        <w:spacing w:after="200" w:line="360" w:lineRule="auto"/>
      </w:pPr>
      <w:r>
        <w:t>على الرغم من تعدد الأطر المرجعية لإدارة المخاطر، فإنها تتفق في مجملها على مراحل أساسية متسلسلة يمكن إجمالها في الآتي:</w:t>
      </w:r>
    </w:p>
    <w:p w14:paraId="1C212213" w14:textId="77777777" w:rsidR="002441EB" w:rsidRDefault="00000000" w:rsidP="00DD52A5">
      <w:pPr>
        <w:pStyle w:val="ListParagraph"/>
        <w:numPr>
          <w:ilvl w:val="0"/>
          <w:numId w:val="1"/>
        </w:numPr>
        <w:bidi/>
        <w:spacing w:after="120" w:line="360" w:lineRule="auto"/>
      </w:pPr>
      <w:r>
        <w:t>تحديد المخاطر (Risk Identification): وتعني حصر جميع مصادر الضرر الممكنة المرتبطة بالنشاط أو المنتج، سواء كانت متعلقة بالتصميم أو التصنيع أو الاستخدام أو سوء الاستخدام المتوقع.</w:t>
      </w:r>
    </w:p>
    <w:p w14:paraId="3E24E2A2" w14:textId="77777777" w:rsidR="002441EB" w:rsidRDefault="00000000" w:rsidP="00DD52A5">
      <w:pPr>
        <w:pStyle w:val="ListParagraph"/>
        <w:numPr>
          <w:ilvl w:val="0"/>
          <w:numId w:val="1"/>
        </w:numPr>
        <w:bidi/>
        <w:spacing w:after="120" w:line="360" w:lineRule="auto"/>
      </w:pPr>
      <w:r>
        <w:t>تحليل المخاطر (Risk Analysis): وتعني تقدير مستوى كل خطر محتمل بناءً على بُعدين رئيسيين هما جسامة الضرر المحتمل واحتمالية حدوثه.</w:t>
      </w:r>
    </w:p>
    <w:p w14:paraId="28172F61" w14:textId="77777777" w:rsidR="002441EB" w:rsidRDefault="00000000" w:rsidP="00DD52A5">
      <w:pPr>
        <w:pStyle w:val="ListParagraph"/>
        <w:numPr>
          <w:ilvl w:val="0"/>
          <w:numId w:val="1"/>
        </w:numPr>
        <w:bidi/>
        <w:spacing w:after="120" w:line="360" w:lineRule="auto"/>
      </w:pPr>
      <w:r>
        <w:t>تقييم المخاطر (Risk Evaluation): وتعني مقارنة مستوى الخطر المقدَّر بمعايير قبول محددة سلفاً، لتحديد ما إذا كان يتطلب تدخلاً إضافياً أم يمكن قبوله كما هو.</w:t>
      </w:r>
    </w:p>
    <w:p w14:paraId="1C815D81" w14:textId="77777777" w:rsidR="002441EB" w:rsidRDefault="00000000" w:rsidP="00DD52A5">
      <w:pPr>
        <w:pStyle w:val="ListParagraph"/>
        <w:numPr>
          <w:ilvl w:val="0"/>
          <w:numId w:val="1"/>
        </w:numPr>
        <w:bidi/>
        <w:spacing w:after="120" w:line="360" w:lineRule="auto"/>
      </w:pPr>
      <w:r>
        <w:t>معالجة/ضبط المخاطر (Risk Treatment/Control): وتعني اتخاذ إجراءات لخفض المخاطر إلى المستوى المقبول، وتتراوح هذه الإجراءات بين تجنب الخطر بالكامل، أو تخفيف أثره أو احتمالية وقوعه، أو نقله إلى طرف آخر (كالتأمين)، أو قبوله إذا كان ضمن الحدود المسموح بها.</w:t>
      </w:r>
    </w:p>
    <w:p w14:paraId="29ECD95C" w14:textId="77777777" w:rsidR="002441EB" w:rsidRDefault="00000000" w:rsidP="00DD52A5">
      <w:pPr>
        <w:pStyle w:val="ListParagraph"/>
        <w:numPr>
          <w:ilvl w:val="0"/>
          <w:numId w:val="1"/>
        </w:numPr>
        <w:bidi/>
        <w:spacing w:after="120" w:line="360" w:lineRule="auto"/>
      </w:pPr>
      <w:r>
        <w:t>المراقبة والمراجعة (Monitoring and Review): وتعني المتابعة الدورية والمستمرة لفاعلية إجراءات الضبط المطبَّقة، واكتشاف أي مخاطر جديدة لم تظهر في مراحل التقييم السابقة.</w:t>
      </w:r>
    </w:p>
    <w:p w14:paraId="7E5B5A70" w14:textId="77777777" w:rsidR="002441EB" w:rsidRDefault="00000000" w:rsidP="00DD52A5">
      <w:pPr>
        <w:pStyle w:val="ListParagraph"/>
        <w:numPr>
          <w:ilvl w:val="0"/>
          <w:numId w:val="1"/>
        </w:numPr>
        <w:bidi/>
        <w:spacing w:after="120" w:line="360" w:lineRule="auto"/>
      </w:pPr>
      <w:r>
        <w:t>التواصل والتشاور (Communication and Consultation): وهو عنصر أفقي يمتد طوال مراحل العملية جميعها، ويُقصد به إشراك أصحاب المصلحة المعنيين وتبادل المعلومات معهم بشكل مستمر لضمان فاعلية القرارات المتخذة بشأن المخاطر.</w:t>
      </w:r>
    </w:p>
    <w:p w14:paraId="11A9677D" w14:textId="77777777" w:rsidR="002441EB" w:rsidRDefault="00000000" w:rsidP="00DD52A5">
      <w:pPr>
        <w:pStyle w:val="Heading3"/>
        <w:bidi/>
        <w:spacing w:before="240" w:after="160"/>
      </w:pPr>
      <w:r>
        <w:rPr>
          <w:b/>
          <w:bCs/>
          <w:color w:val="1F4E79"/>
          <w:sz w:val="26"/>
          <w:szCs w:val="26"/>
        </w:rPr>
        <w:t>سابعاً: خصوصية إدارة المخاطر في قطاع الأجهزة الطبية</w:t>
      </w:r>
    </w:p>
    <w:p w14:paraId="2AF3CFFF" w14:textId="77777777" w:rsidR="002441EB" w:rsidRDefault="00000000" w:rsidP="00DD52A5">
      <w:pPr>
        <w:bidi/>
        <w:spacing w:after="200" w:line="360" w:lineRule="auto"/>
      </w:pPr>
      <w:r>
        <w:t>تكتسب إدارة المخاطر في قطاع الأجهزة الطبية خصوصية بالغة الأهمية، ذلك أن أثر الخطر فيها لا ينحصر في بُعد اقتصادي أو تشغيلي كما هو الحال في كثير من القطاعات الأخرى، بل يمتد ليمس مباشرة سلامة الإنسان وحياته، سواء كان مريضاً يخضع للتشخيص أو العلاج، أو ممارساً صحياً يستخدم الجهاز في أداء مهامه. ومن هنا نشأت الحاجة لمعيار دولي متخصص يوجّه عملية إدارة المخاطر لهذه الفئة من المنتجات، وهو معيار ISO 14971 "تطبيق إدارة المخاطر على الأجهزة الطبية"، الذي يترجم المراحل العامة لإدارة المخاطر - المستعرضة آنفاً - إلى ست مراحل تفصيلية متخصصة، هي: تحديد الأخطار المحتملة، وتحليل المخاطر من حيث شدة الضرر واحتمال وقوعه، وتقييم القبول أو عدم القبول، وتطبيق الضوابط لتخفيض المخاطر، وإعداد تقارير ومراجعة دورية لبقايا المخاطر (Residual Risk)، والرقابة المستمرة بعد التسويق (Post-Market Surveillance).</w:t>
      </w:r>
    </w:p>
    <w:p w14:paraId="667F3C35" w14:textId="77777777" w:rsidR="002441EB" w:rsidRDefault="00000000" w:rsidP="00DD52A5">
      <w:pPr>
        <w:bidi/>
        <w:spacing w:after="200" w:line="360" w:lineRule="auto"/>
      </w:pPr>
      <w:r>
        <w:lastRenderedPageBreak/>
        <w:t>وتُستخدم في هذا السياق مصفوفة تقييم المخاطر كأداة عملية لتصنيف كل خطر مكتشف ضمن مستوى إجمالي (منخفض جداً إلى كارثي) بناءً على تقاطع شدة الضرر المحتمل مع احتمالية وقوعه، بما يوجّه أولويات التدخل ومستوى الإجراءات الرقابية المطلوبة، سواء على مستوى الجهة المصنّعة أثناء التصميم، أو على مستوى الجهة التنظيمية أثناء المراجعة والرقابة بعد التسويق.</w:t>
      </w:r>
    </w:p>
    <w:p w14:paraId="3A359D8A" w14:textId="77777777" w:rsidR="002441EB" w:rsidRDefault="00000000" w:rsidP="00DD52A5">
      <w:pPr>
        <w:bidi/>
        <w:spacing w:after="200" w:line="360" w:lineRule="auto"/>
      </w:pPr>
      <w:r>
        <w:t>كما لا تعمل إدارة المخاطر في هذا القطاع بمعزل عن نظام إدارة الجودة الخاص بالجهة المصنّعة (Quality Management System - QMS)، بل تُعد عنصراً متكاملاً ضمنه وفق ما يقرره معيار ISO 13485 الخاص بأنظمة إدارة الجودة للأجهزة الطبية. فملف إدارة المخاطر (Risk Management File) يُعد وثيقة حية تُحدَّث باستمرار طوال دورة حياة المنتج، وترتبط مباشرة بسجلات التصميم والتطوير، وضبط التغييرات الهندسية، ومراجعات الإدارة، وتحليل بيانات ما بعد التسويق.</w:t>
      </w:r>
    </w:p>
    <w:p w14:paraId="35E97A45" w14:textId="77777777" w:rsidR="002441EB" w:rsidRDefault="00000000" w:rsidP="00DD52A5">
      <w:pPr>
        <w:pStyle w:val="Heading3"/>
        <w:bidi/>
        <w:spacing w:before="240" w:after="160"/>
      </w:pPr>
      <w:r>
        <w:rPr>
          <w:b/>
          <w:bCs/>
          <w:color w:val="1F4E79"/>
          <w:sz w:val="26"/>
          <w:szCs w:val="26"/>
        </w:rPr>
        <w:t>ثامناً: الأطر التنظيمية الرقابية وإدارة مخاطر الأجهزة الطبية</w:t>
      </w:r>
    </w:p>
    <w:p w14:paraId="59047950" w14:textId="77777777" w:rsidR="002441EB" w:rsidRDefault="00000000" w:rsidP="00DD52A5">
      <w:pPr>
        <w:bidi/>
        <w:spacing w:after="200" w:line="360" w:lineRule="auto"/>
      </w:pPr>
      <w:r>
        <w:t>لا تقتصر مسؤولية إدارة المخاطر على الجهة المصنّعة وحدها، بل تشترك معها الجهات التنظيمية الرقابية بوصفها الطرف المنوط به التحقق من التزام السوق ككل بمتطلبات السلامة، عبر منظومة تشمل - على العموم - الترخيص المسبق للتسويق (Pre-Market Approval)، والرقابة المستمرة بعد دخول المنتج السوق، وآليات الإبلاغ عن الحوادث، وإجراءات السحب والاستدعاء عند الاقتضاء. وتتباين تفصيلات هذه المنظومة من دولة إلى أخرى تبعاً للإطار القانوني والمؤسسي المعتمد، وهو ما سيكون محل تحليل تطبيقي مفصّل لاحقاً في فصول الدراسة، مع التركيز على الإطار الذي تعتمده الهيئة العامة للغذاء والدواء السعودية ومقارنته بنظيريه الأمريكي والأوروبي.</w:t>
      </w:r>
    </w:p>
    <w:p w14:paraId="1BAEE082" w14:textId="77777777" w:rsidR="002441EB" w:rsidRDefault="00000000" w:rsidP="00DD52A5">
      <w:pPr>
        <w:pStyle w:val="Heading2"/>
        <w:bidi/>
        <w:spacing w:before="320" w:after="200"/>
      </w:pPr>
      <w:r>
        <w:rPr>
          <w:b/>
          <w:bCs/>
          <w:sz w:val="28"/>
          <w:szCs w:val="28"/>
        </w:rPr>
        <w:t>خاتمة الفصل</w:t>
      </w:r>
    </w:p>
    <w:p w14:paraId="1EE7AB07" w14:textId="77777777" w:rsidR="002441EB" w:rsidRDefault="00000000" w:rsidP="00DD52A5">
      <w:pPr>
        <w:bidi/>
        <w:spacing w:after="200" w:line="360" w:lineRule="auto"/>
      </w:pPr>
      <w:r>
        <w:t>عرض هذا الفصل تمهيداً عاماً لموضوع البحث وأهميته المتنامية ضمن السياق الصحي والتنظيمي السعودي، وحدد مشكلة البحث وتساؤلاته وأهدافه وأهميته وحدوده، ثم قدّم إطاراً نظرياً شاملاً يبدأ من المفاهيم العامة للخطر وأنواعه ومصادره ومراحل إدارته، وصولاً إلى خصوصية إدارة المخاطر في قطاع الأجهزة الطبية والأطر التنظيمية الرقابية المرتبطة بها. وينتقل الفصل الثاني بعده لاستعراض الدراسات السابقة ذات الصلة بموضوع البحث، وبيان أوجه الإفادة منها وما يميز الدراسة الحالية عنها.</w:t>
      </w:r>
    </w:p>
    <w:p w14:paraId="3898F02E" w14:textId="77777777" w:rsidR="002441EB" w:rsidRDefault="00000000" w:rsidP="00DD52A5">
      <w:pPr>
        <w:bidi/>
      </w:pPr>
      <w:r>
        <w:br w:type="page"/>
      </w:r>
    </w:p>
    <w:p w14:paraId="5E42D6DF" w14:textId="77777777" w:rsidR="002441EB" w:rsidRDefault="00000000" w:rsidP="00DD52A5">
      <w:pPr>
        <w:pStyle w:val="Heading1"/>
        <w:bidi/>
        <w:spacing w:before="400" w:after="300"/>
      </w:pPr>
      <w:r>
        <w:rPr>
          <w:b/>
          <w:bCs/>
        </w:rPr>
        <w:lastRenderedPageBreak/>
        <w:t>الفصل الثاني</w:t>
      </w:r>
    </w:p>
    <w:p w14:paraId="453A11C3" w14:textId="77777777" w:rsidR="002441EB" w:rsidRDefault="00000000" w:rsidP="00DD52A5">
      <w:pPr>
        <w:bidi/>
        <w:spacing w:after="400" w:line="360" w:lineRule="auto"/>
      </w:pPr>
      <w:r>
        <w:rPr>
          <w:b/>
          <w:bCs/>
          <w:sz w:val="28"/>
          <w:szCs w:val="28"/>
        </w:rPr>
        <w:t>الدراسات السابقة</w:t>
      </w:r>
    </w:p>
    <w:p w14:paraId="5FC83D21" w14:textId="77777777" w:rsidR="002441EB" w:rsidRDefault="00000000" w:rsidP="00DD52A5">
      <w:pPr>
        <w:pStyle w:val="Heading2"/>
        <w:bidi/>
        <w:spacing w:before="320" w:after="200"/>
      </w:pPr>
      <w:r>
        <w:rPr>
          <w:b/>
          <w:bCs/>
          <w:sz w:val="28"/>
          <w:szCs w:val="28"/>
        </w:rPr>
        <w:t>مقدمة</w:t>
      </w:r>
    </w:p>
    <w:p w14:paraId="1FDE0C48" w14:textId="77777777" w:rsidR="002441EB" w:rsidRDefault="00000000" w:rsidP="00DD52A5">
      <w:pPr>
        <w:bidi/>
        <w:spacing w:after="200" w:line="360" w:lineRule="auto"/>
      </w:pPr>
      <w:r>
        <w:t>يستعرض هذا الفصل عدداً من الدراسات السابقة ذات الصلة بموضوع البحث، سواء تلك التي تناولت تطبيق معايير إدارة المخاطر في صناعة الأجهزة الطبية عالمياً، أو تلك التي تناولت الأطر التنظيمية المقارنة لتسجيل هذه الأجهزة، أو تلك التي تناولت إدراك العاملين في القطاع الصحي بالسعودية لأثر معايير الجودة والسلامة. ويهدف هذا الاستعراض إلى تكوين خلفية معرفية متكاملة عن الجهود البحثية السابقة، وتحديد موضع الدراسة الحالية منها، وبيان أوجه الإضافة العلمية التي تقدّمها.</w:t>
      </w:r>
    </w:p>
    <w:p w14:paraId="2489F236" w14:textId="77777777" w:rsidR="002441EB" w:rsidRDefault="00000000" w:rsidP="00DD52A5">
      <w:pPr>
        <w:pStyle w:val="Heading2"/>
        <w:bidi/>
        <w:spacing w:before="320" w:after="200"/>
      </w:pPr>
      <w:r>
        <w:rPr>
          <w:b/>
          <w:bCs/>
          <w:sz w:val="28"/>
          <w:szCs w:val="28"/>
        </w:rPr>
        <w:t>أولاً: دراسات تناولت تطبيق معايير إدارة مخاطر الأجهزة الطبية</w:t>
      </w:r>
    </w:p>
    <w:p w14:paraId="5B1DC31A" w14:textId="77777777" w:rsidR="002441EB" w:rsidRDefault="00000000" w:rsidP="00DD52A5">
      <w:pPr>
        <w:pStyle w:val="Heading3"/>
        <w:bidi/>
        <w:spacing w:before="240" w:after="160"/>
      </w:pPr>
      <w:r>
        <w:rPr>
          <w:b/>
          <w:bCs/>
          <w:color w:val="1F4E79"/>
          <w:sz w:val="26"/>
          <w:szCs w:val="26"/>
        </w:rPr>
        <w:t>1. دراسة تحديات تطبيق معيار ISO 14971 في صناعة الأجهزة الطبية</w:t>
      </w:r>
    </w:p>
    <w:p w14:paraId="1FD2B335" w14:textId="77777777" w:rsidR="002441EB" w:rsidRDefault="00000000" w:rsidP="00DD52A5">
      <w:pPr>
        <w:bidi/>
        <w:spacing w:after="200" w:line="360" w:lineRule="auto"/>
      </w:pPr>
      <w:r>
        <w:t>تناولت هذه الدراسة، المنشورة عام 2026 في دورية ScienceDirect، واقع تطبيق معيار ISO 14971:2019 كإطار لتحقيق التوافق التنظيمي العالمي، واعتمدت منهجاً نوعياً قائماً على مقابلات معمّقة مع اثني عشر خبيراً متخصصاً في إدارة المخاطر من إيرلندا والولايات المتحدة والمملكة المتحدة. وخلصت الدراسة إلى أن أبرز التحديات التي تواجه الشركات المصنّعة تتمثل في ضعف التغذية الراجعة للمعلومات القادمة من مراحل الإنتاج وما بعد الإنتاج، وضرورة دمج متطلبات الرقابة بعد التسويق ضمن أنظمة إدارة المخاطر بدلاً من الاكتفاء بمصادر بيانات تفاعلية.</w:t>
      </w:r>
    </w:p>
    <w:p w14:paraId="7131CE45" w14:textId="77777777" w:rsidR="002441EB" w:rsidRDefault="00000000" w:rsidP="00DD52A5">
      <w:pPr>
        <w:bidi/>
        <w:spacing w:after="200" w:line="360" w:lineRule="auto"/>
      </w:pPr>
      <w:r>
        <w:t>وتفيد هذه الدراسة البحث الحالي في بناء التصور النظري لمراحل إدارة المخاطر وفق ISO 14971، وتؤكد أهمية الرقابة بعد التسويق كحلقة محورية في المنظومة، وهو ما سيُتناول لاحقاً من زاوية الجهة الرقابية السعودية تحديداً.</w:t>
      </w:r>
    </w:p>
    <w:p w14:paraId="1EC31AFD" w14:textId="77777777" w:rsidR="002441EB" w:rsidRDefault="00000000" w:rsidP="00DD52A5">
      <w:pPr>
        <w:pStyle w:val="Heading3"/>
        <w:bidi/>
        <w:spacing w:before="240" w:after="160"/>
      </w:pPr>
      <w:r>
        <w:rPr>
          <w:b/>
          <w:bCs/>
          <w:color w:val="1F4E79"/>
          <w:sz w:val="26"/>
          <w:szCs w:val="26"/>
        </w:rPr>
        <w:t>2. دراسة نموذج شبكات بايز الهجين لتقييم مخاطر الأجهزة الطبية</w:t>
      </w:r>
    </w:p>
    <w:p w14:paraId="3DEF215E" w14:textId="77777777" w:rsidR="002441EB" w:rsidRDefault="00000000" w:rsidP="00DD52A5">
      <w:pPr>
        <w:bidi/>
        <w:spacing w:after="200" w:line="360" w:lineRule="auto"/>
      </w:pPr>
      <w:r>
        <w:t>قدّمت هذه الدراسة، المتاحة عبر منصة arXiv، نموذجاً كمياً قائماً على شبكات بايز (Bayesian Networks) لدعم عملية تقييم مخاطر الأجهزة الطبية طوال دورة حياتها، بوصف معيار ISO 14971 الإطار المرجعي الأساسي الذي تعتمده الجهات المصنّعة، مع الإشارة إلى أن المعيار لا يحدد أسلوباً كمياً بعينه لإجراء هذا التقييم، وهو ما يفتح المجال أمام أساليب تحليلية مساندة كالنموذج المقترح.</w:t>
      </w:r>
    </w:p>
    <w:p w14:paraId="19DFFB9A" w14:textId="77777777" w:rsidR="002441EB" w:rsidRDefault="00000000" w:rsidP="00DD52A5">
      <w:pPr>
        <w:bidi/>
        <w:spacing w:after="200" w:line="360" w:lineRule="auto"/>
      </w:pPr>
      <w:r>
        <w:t>وتفيد هذه الدراسة البحث الحالي في توضيح العلاقة بين شدة الضرر واحتمالية الوقوع بوصفها الأساس الكمي لمصفوفة تقييم المخاطر، مع الإشارة إلى أن الدراسة الحالية تتبنى - خلافاً لهذه الدراسة - منهجاً وصفياً تحليلياً كيفياً قائماً على الوثائق الرسمية دون اللجوء إلى النمذجة الإحصائية.</w:t>
      </w:r>
    </w:p>
    <w:p w14:paraId="40C3FE5D" w14:textId="77777777" w:rsidR="002441EB" w:rsidRDefault="00000000" w:rsidP="00DD52A5">
      <w:pPr>
        <w:pStyle w:val="Heading2"/>
        <w:bidi/>
        <w:spacing w:before="320" w:after="200"/>
      </w:pPr>
      <w:r>
        <w:rPr>
          <w:b/>
          <w:bCs/>
          <w:sz w:val="28"/>
          <w:szCs w:val="28"/>
        </w:rPr>
        <w:t>ثانياً: دراسات تناولت الأطر التنظيمية المقارنة لتسجيل الأجهزة الطبية</w:t>
      </w:r>
    </w:p>
    <w:p w14:paraId="3A021133" w14:textId="77777777" w:rsidR="002441EB" w:rsidRDefault="00000000" w:rsidP="00DD52A5">
      <w:pPr>
        <w:pStyle w:val="Heading3"/>
        <w:bidi/>
        <w:spacing w:before="240" w:after="160"/>
      </w:pPr>
      <w:r>
        <w:rPr>
          <w:b/>
          <w:bCs/>
          <w:color w:val="1F4E79"/>
          <w:sz w:val="26"/>
          <w:szCs w:val="26"/>
        </w:rPr>
        <w:t>3. دراسة المتطلبات التنظيمية لتسجيل الأجهزة الطبية في السعودية وأمريكا وأوروبا</w:t>
      </w:r>
    </w:p>
    <w:p w14:paraId="7C5A9C14" w14:textId="77777777" w:rsidR="002441EB" w:rsidRDefault="00000000" w:rsidP="00DD52A5">
      <w:pPr>
        <w:bidi/>
        <w:spacing w:after="200" w:line="360" w:lineRule="auto"/>
      </w:pPr>
      <w:r>
        <w:lastRenderedPageBreak/>
        <w:t>هدفت هذه الدراسة، المنشورة عام 2023 في المجلة الدولية للشؤون التنظيمية الدوائية (International Journal of Drug Regulatory Affairs)، إلى تقديم مراجعة شاملة للأطر القانونية التي تحكم تسجيل الأجهزة الطبية في كل من المملكة العربية السعودية والولايات المتحدة والاتحاد الأوروبي، وتناولت أنظمة تصنيف الأجهزة وإجراءات التسجيل المعتمدة لدى كل جهة، مستندة إلى منهج المراجعة الوثائقية المقارنة.</w:t>
      </w:r>
    </w:p>
    <w:p w14:paraId="3B22A134" w14:textId="77777777" w:rsidR="002441EB" w:rsidRDefault="00000000" w:rsidP="00DD52A5">
      <w:pPr>
        <w:bidi/>
        <w:spacing w:after="200" w:line="360" w:lineRule="auto"/>
      </w:pPr>
      <w:r>
        <w:t>وتُعد هذه الدراسة من أقرب الدراسات السابقة لموضوع البحث الحالي من حيث المقارنة الدولية الثلاثية بين SFDA وFDA وEU MDR، غير أنها ركّزت على إجراءات التسجيل والتصنيف بحد ذاتها، في حين يذهب البحث الحالي إلى ربط هذه المقارنة مباشرة بأبعاد إدارة المخاطر الست وفق معيار ISO 14971، وبآليات الرقابة بعد التسويق والإجراءات التصحيحية الميدانية، وهو بُعد لم تتناوله تلك الدراسة بالتفصيل.</w:t>
      </w:r>
    </w:p>
    <w:p w14:paraId="3A8F1E22" w14:textId="77777777" w:rsidR="002441EB" w:rsidRDefault="00000000" w:rsidP="00DD52A5">
      <w:pPr>
        <w:pStyle w:val="Heading3"/>
        <w:bidi/>
        <w:spacing w:before="240" w:after="160"/>
      </w:pPr>
      <w:r>
        <w:rPr>
          <w:b/>
          <w:bCs/>
          <w:color w:val="1F4E79"/>
          <w:sz w:val="26"/>
          <w:szCs w:val="26"/>
        </w:rPr>
        <w:t>4. دراسة تنظيم الأجهزة الطبية القائمة على الذكاء الاصطناعي في السعودية</w:t>
      </w:r>
    </w:p>
    <w:p w14:paraId="1F83DAD1" w14:textId="77777777" w:rsidR="002441EB" w:rsidRDefault="00000000" w:rsidP="00DD52A5">
      <w:pPr>
        <w:bidi/>
        <w:spacing w:after="200" w:line="360" w:lineRule="auto"/>
      </w:pPr>
      <w:r>
        <w:t>تناولت هذه الدراسة، المنشورة عام 2024، دليل الهيئة العامة للغذاء والدواء السعودية الخاص بالأجهزة الطبية القائمة على تقنيات الذكاء الاصطناعي وتعلّم الآلة (MDS-G010)، وحلّلت مدى ارتكازه على الممارسات الدولية الرائدة، وخلصت إلى أن الهيئة تنتهج نهجاً يجمع بين الاقتباس من ممارسات إدارة الغذاء والدواء الأمريكية (FDA) والمنتدى الدولي لمنظمي الأجهزة الطبية (IMDRF)، مع إضافة متطلبات محلية خاصة، وأشارت إلى وجود غموض نسبي في الطبيعة الإلزامية لبعض بنود الدليل.</w:t>
      </w:r>
    </w:p>
    <w:p w14:paraId="206E3CF3" w14:textId="77777777" w:rsidR="002441EB" w:rsidRDefault="00000000" w:rsidP="00DD52A5">
      <w:pPr>
        <w:bidi/>
        <w:spacing w:after="200" w:line="360" w:lineRule="auto"/>
      </w:pPr>
      <w:r>
        <w:t>وتفيد هذه الدراسة البحث الحالي في تأكيد نمط استعانة الهيئة بالمرجعيات الدولية عند بناء أطرها التنظيمية، وهو نمط سيُختبر في البحث الحالي على نطاق أوسع يشمل كامل منظومة إدارة المخاطر للأجهزة الطبية بمختلف فئاتها، لا فئة الذكاء الاصطناعي فحسب.</w:t>
      </w:r>
    </w:p>
    <w:p w14:paraId="4024F285" w14:textId="77777777" w:rsidR="002441EB" w:rsidRDefault="00000000" w:rsidP="00DD52A5">
      <w:pPr>
        <w:pStyle w:val="Heading2"/>
        <w:bidi/>
        <w:spacing w:before="320" w:after="200"/>
      </w:pPr>
      <w:r>
        <w:rPr>
          <w:b/>
          <w:bCs/>
          <w:sz w:val="28"/>
          <w:szCs w:val="28"/>
        </w:rPr>
        <w:t>ثالثاً: دراسات تناولت إدراك العاملين الصحيين لمعايير الجودة والسلامة في السياق السعودي</w:t>
      </w:r>
    </w:p>
    <w:p w14:paraId="6478B3A7" w14:textId="77777777" w:rsidR="002441EB" w:rsidRDefault="00000000" w:rsidP="00DD52A5">
      <w:pPr>
        <w:pStyle w:val="Heading3"/>
        <w:bidi/>
        <w:spacing w:before="240" w:after="160"/>
      </w:pPr>
      <w:r>
        <w:rPr>
          <w:b/>
          <w:bCs/>
          <w:color w:val="1F4E79"/>
          <w:sz w:val="26"/>
          <w:szCs w:val="26"/>
        </w:rPr>
        <w:t>5. دراسة تصورات العاملين الصحيين تجاه معايير الأيزو وسلامة المرضى في السعودية</w:t>
      </w:r>
    </w:p>
    <w:p w14:paraId="0590F79F" w14:textId="77777777" w:rsidR="002441EB" w:rsidRDefault="00000000" w:rsidP="00DD52A5">
      <w:pPr>
        <w:bidi/>
        <w:spacing w:after="200" w:line="360" w:lineRule="auto"/>
      </w:pPr>
      <w:r>
        <w:t>اعتمدت هذه الدراسة منهجاً مسحياً كمياً شمل 300 مشارك من الأطباء والمهندسين الطبيين والعاملين الصحيين في مناطق مختلفة من المملكة، بهدف قياس تصوراتهم تجاه أثر معايير الأيزو - بما فيها المعايير المتعلقة بإدارة الأجهزة الطبية - على سلامة المرضى وجودة الممارسات السريرية. وأظهرت النتائج أن نحو 80% من المشاركين يوافقون على أن معايير الأيزو تؤدي دوراً محورياً في تحسين سلامة المرضى، وأن نسبة مماثلة تقريباً تدرك أهمية هذه المعايير في ضمان دقة معايرة الأجهزة الطبية.</w:t>
      </w:r>
    </w:p>
    <w:p w14:paraId="25783C18" w14:textId="77777777" w:rsidR="002441EB" w:rsidRDefault="00000000" w:rsidP="00DD52A5">
      <w:pPr>
        <w:bidi/>
        <w:spacing w:after="200" w:line="360" w:lineRule="auto"/>
      </w:pPr>
      <w:r>
        <w:t>وتفيد هذه الدراسة البحث الحالي في تدعيم أهمية ثقافة الالتزام بالمعايير الدولية من منظور الممارسين الميدانيين أنفسهم، بينما ينطلق البحث الحالي من زاوية مغايرة تحليلية وثائقية تتناول أداء الجهة الرقابية ذاتها (الهيئة) بدلاً من قياس إدراك الأفراد العاملين في الميدان.</w:t>
      </w:r>
    </w:p>
    <w:p w14:paraId="10A63A71" w14:textId="77777777" w:rsidR="002441EB" w:rsidRDefault="00000000" w:rsidP="00DD52A5">
      <w:pPr>
        <w:pStyle w:val="Heading2"/>
        <w:bidi/>
        <w:spacing w:before="320" w:after="200"/>
      </w:pPr>
      <w:r>
        <w:rPr>
          <w:b/>
          <w:bCs/>
          <w:sz w:val="28"/>
          <w:szCs w:val="28"/>
        </w:rPr>
        <w:t>التعقيب على الدراسات السابقة وموقع الدراسة الحالية منها</w:t>
      </w:r>
    </w:p>
    <w:p w14:paraId="541CACBC" w14:textId="77777777" w:rsidR="002441EB" w:rsidRDefault="00000000" w:rsidP="00DD52A5">
      <w:pPr>
        <w:bidi/>
        <w:spacing w:after="200" w:line="360" w:lineRule="auto"/>
      </w:pPr>
      <w:r>
        <w:lastRenderedPageBreak/>
        <w:t>يتضح من استعراض الدراسات السابقة أنها تناولت موضوع إدارة مخاطر الأجهزة الطبية من زوايا متعددة: بعضها ركّز على تحديات التطبيق لدى الجهات المصنّعة عالمياً، وبعضها اعتمد أساليب كمية لتقييم المخاطر، وبعضها قدّم مقارنة تنظيمية بين الأطر الدولية من زاوية إجراءات التسجيل، وبعضها الآخر قاس إدراك الممارسين الصحيين المحليين لأثر معايير الجودة. ويوضح الجدول الآتي ملخصاً لهذه الدراسات وموضع الدراسة الحالية منها:</w:t>
      </w:r>
    </w:p>
    <w:p w14:paraId="6B1B7E2A" w14:textId="77777777" w:rsidR="002441EB" w:rsidRDefault="002441EB" w:rsidP="00DD52A5">
      <w:pPr>
        <w:bidi/>
      </w:pPr>
    </w:p>
    <w:tbl>
      <w:tblPr>
        <w:tblW w:w="10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00"/>
        <w:gridCol w:w="2600"/>
        <w:gridCol w:w="2600"/>
        <w:gridCol w:w="2300"/>
        <w:gridCol w:w="2600"/>
      </w:tblGrid>
      <w:tr w:rsidR="002441EB" w14:paraId="06C33CDA" w14:textId="77777777">
        <w:trPr>
          <w:tblHeader/>
        </w:trPr>
        <w:tc>
          <w:tcPr>
            <w:tcW w:w="500" w:type="dxa"/>
            <w:shd w:val="clear" w:color="auto" w:fill="1F4E79"/>
            <w:tcMar>
              <w:top w:w="100" w:type="dxa"/>
              <w:left w:w="100" w:type="dxa"/>
              <w:bottom w:w="100" w:type="dxa"/>
              <w:right w:w="100" w:type="dxa"/>
            </w:tcMar>
            <w:vAlign w:val="center"/>
          </w:tcPr>
          <w:p w14:paraId="18C3F13E" w14:textId="77777777" w:rsidR="002441EB" w:rsidRDefault="00000000" w:rsidP="00DD52A5">
            <w:pPr>
              <w:bidi/>
              <w:spacing w:line="300" w:lineRule="auto"/>
            </w:pPr>
            <w:r>
              <w:rPr>
                <w:b/>
                <w:bCs/>
                <w:color w:val="FFFFFF"/>
                <w:sz w:val="18"/>
                <w:szCs w:val="18"/>
              </w:rPr>
              <w:t>م</w:t>
            </w:r>
          </w:p>
        </w:tc>
        <w:tc>
          <w:tcPr>
            <w:tcW w:w="2600" w:type="dxa"/>
            <w:shd w:val="clear" w:color="auto" w:fill="1F4E79"/>
            <w:tcMar>
              <w:top w:w="100" w:type="dxa"/>
              <w:left w:w="100" w:type="dxa"/>
              <w:bottom w:w="100" w:type="dxa"/>
              <w:right w:w="100" w:type="dxa"/>
            </w:tcMar>
            <w:vAlign w:val="center"/>
          </w:tcPr>
          <w:p w14:paraId="300AA53A" w14:textId="77777777" w:rsidR="002441EB" w:rsidRDefault="00000000" w:rsidP="00DD52A5">
            <w:pPr>
              <w:bidi/>
              <w:spacing w:line="300" w:lineRule="auto"/>
            </w:pPr>
            <w:r>
              <w:rPr>
                <w:b/>
                <w:bCs/>
                <w:color w:val="FFFFFF"/>
                <w:sz w:val="18"/>
                <w:szCs w:val="18"/>
              </w:rPr>
              <w:t>الدراسة</w:t>
            </w:r>
          </w:p>
        </w:tc>
        <w:tc>
          <w:tcPr>
            <w:tcW w:w="2600" w:type="dxa"/>
            <w:shd w:val="clear" w:color="auto" w:fill="1F4E79"/>
            <w:tcMar>
              <w:top w:w="100" w:type="dxa"/>
              <w:left w:w="100" w:type="dxa"/>
              <w:bottom w:w="100" w:type="dxa"/>
              <w:right w:w="100" w:type="dxa"/>
            </w:tcMar>
            <w:vAlign w:val="center"/>
          </w:tcPr>
          <w:p w14:paraId="23716369" w14:textId="77777777" w:rsidR="002441EB" w:rsidRDefault="00000000" w:rsidP="00DD52A5">
            <w:pPr>
              <w:bidi/>
              <w:spacing w:line="300" w:lineRule="auto"/>
            </w:pPr>
            <w:r>
              <w:rPr>
                <w:b/>
                <w:bCs/>
                <w:color w:val="FFFFFF"/>
                <w:sz w:val="18"/>
                <w:szCs w:val="18"/>
              </w:rPr>
              <w:t>التركيز الرئيس</w:t>
            </w:r>
          </w:p>
        </w:tc>
        <w:tc>
          <w:tcPr>
            <w:tcW w:w="2300" w:type="dxa"/>
            <w:shd w:val="clear" w:color="auto" w:fill="1F4E79"/>
            <w:tcMar>
              <w:top w:w="100" w:type="dxa"/>
              <w:left w:w="100" w:type="dxa"/>
              <w:bottom w:w="100" w:type="dxa"/>
              <w:right w:w="100" w:type="dxa"/>
            </w:tcMar>
            <w:vAlign w:val="center"/>
          </w:tcPr>
          <w:p w14:paraId="4FFF759B" w14:textId="77777777" w:rsidR="002441EB" w:rsidRDefault="00000000" w:rsidP="00DD52A5">
            <w:pPr>
              <w:bidi/>
              <w:spacing w:line="300" w:lineRule="auto"/>
            </w:pPr>
            <w:r>
              <w:rPr>
                <w:b/>
                <w:bCs/>
                <w:color w:val="FFFFFF"/>
                <w:sz w:val="18"/>
                <w:szCs w:val="18"/>
              </w:rPr>
              <w:t>أوجه الإفادة</w:t>
            </w:r>
          </w:p>
        </w:tc>
        <w:tc>
          <w:tcPr>
            <w:tcW w:w="2600" w:type="dxa"/>
            <w:shd w:val="clear" w:color="auto" w:fill="1F4E79"/>
            <w:tcMar>
              <w:top w:w="100" w:type="dxa"/>
              <w:left w:w="100" w:type="dxa"/>
              <w:bottom w:w="100" w:type="dxa"/>
              <w:right w:w="100" w:type="dxa"/>
            </w:tcMar>
            <w:vAlign w:val="center"/>
          </w:tcPr>
          <w:p w14:paraId="164F9992" w14:textId="77777777" w:rsidR="002441EB" w:rsidRDefault="00000000" w:rsidP="00DD52A5">
            <w:pPr>
              <w:bidi/>
              <w:spacing w:line="300" w:lineRule="auto"/>
            </w:pPr>
            <w:r>
              <w:rPr>
                <w:b/>
                <w:bCs/>
                <w:color w:val="FFFFFF"/>
                <w:sz w:val="18"/>
                <w:szCs w:val="18"/>
              </w:rPr>
              <w:t>ما يميز الدراسة الحالية</w:t>
            </w:r>
          </w:p>
        </w:tc>
      </w:tr>
      <w:tr w:rsidR="002441EB" w14:paraId="0FA7D1C5" w14:textId="77777777">
        <w:tc>
          <w:tcPr>
            <w:tcW w:w="500" w:type="dxa"/>
            <w:shd w:val="clear" w:color="auto" w:fill="F2F2F2"/>
            <w:tcMar>
              <w:top w:w="100" w:type="dxa"/>
              <w:left w:w="100" w:type="dxa"/>
              <w:bottom w:w="100" w:type="dxa"/>
              <w:right w:w="100" w:type="dxa"/>
            </w:tcMar>
            <w:vAlign w:val="center"/>
          </w:tcPr>
          <w:p w14:paraId="0B021D43" w14:textId="77777777" w:rsidR="002441EB" w:rsidRDefault="00000000" w:rsidP="00DD52A5">
            <w:pPr>
              <w:bidi/>
              <w:spacing w:line="300" w:lineRule="auto"/>
            </w:pPr>
            <w:r>
              <w:rPr>
                <w:sz w:val="18"/>
                <w:szCs w:val="18"/>
              </w:rPr>
              <w:t>1</w:t>
            </w:r>
          </w:p>
        </w:tc>
        <w:tc>
          <w:tcPr>
            <w:tcW w:w="2600" w:type="dxa"/>
            <w:shd w:val="clear" w:color="auto" w:fill="F2F2F2"/>
            <w:tcMar>
              <w:top w:w="100" w:type="dxa"/>
              <w:left w:w="100" w:type="dxa"/>
              <w:bottom w:w="100" w:type="dxa"/>
              <w:right w:w="100" w:type="dxa"/>
            </w:tcMar>
            <w:vAlign w:val="center"/>
          </w:tcPr>
          <w:p w14:paraId="6B29514E" w14:textId="77777777" w:rsidR="002441EB" w:rsidRDefault="00000000" w:rsidP="00DD52A5">
            <w:pPr>
              <w:bidi/>
              <w:spacing w:line="300" w:lineRule="auto"/>
            </w:pPr>
            <w:r>
              <w:rPr>
                <w:sz w:val="18"/>
                <w:szCs w:val="18"/>
              </w:rPr>
              <w:t>دراسة تحديات تطبيق معيار ISO 14971 (ScienceDirect، 2026)</w:t>
            </w:r>
          </w:p>
        </w:tc>
        <w:tc>
          <w:tcPr>
            <w:tcW w:w="2600" w:type="dxa"/>
            <w:shd w:val="clear" w:color="auto" w:fill="F2F2F2"/>
            <w:tcMar>
              <w:top w:w="100" w:type="dxa"/>
              <w:left w:w="100" w:type="dxa"/>
              <w:bottom w:w="100" w:type="dxa"/>
              <w:right w:w="100" w:type="dxa"/>
            </w:tcMar>
            <w:vAlign w:val="center"/>
          </w:tcPr>
          <w:p w14:paraId="2B20FF7E" w14:textId="77777777" w:rsidR="002441EB" w:rsidRDefault="00000000" w:rsidP="00DD52A5">
            <w:pPr>
              <w:bidi/>
              <w:spacing w:line="300" w:lineRule="auto"/>
            </w:pPr>
            <w:r>
              <w:rPr>
                <w:sz w:val="18"/>
                <w:szCs w:val="18"/>
              </w:rPr>
              <w:t>تحديات تطبيق إدارة المخاطر لدى الشركات المصنّعة عالمياً (مقابلات نوعية مع خبراء في إيرلندا وأمريكا وبريطانيا)</w:t>
            </w:r>
          </w:p>
        </w:tc>
        <w:tc>
          <w:tcPr>
            <w:tcW w:w="2300" w:type="dxa"/>
            <w:shd w:val="clear" w:color="auto" w:fill="F2F2F2"/>
            <w:tcMar>
              <w:top w:w="100" w:type="dxa"/>
              <w:left w:w="100" w:type="dxa"/>
              <w:bottom w:w="100" w:type="dxa"/>
              <w:right w:w="100" w:type="dxa"/>
            </w:tcMar>
            <w:vAlign w:val="center"/>
          </w:tcPr>
          <w:p w14:paraId="2BF65CD1" w14:textId="77777777" w:rsidR="002441EB" w:rsidRDefault="00000000" w:rsidP="00DD52A5">
            <w:pPr>
              <w:bidi/>
              <w:spacing w:line="300" w:lineRule="auto"/>
            </w:pPr>
            <w:r>
              <w:rPr>
                <w:sz w:val="18"/>
                <w:szCs w:val="18"/>
              </w:rPr>
              <w:t>بناء الإطار النظري لمراحل إدارة المخاطر ومصفوفة التقييم</w:t>
            </w:r>
          </w:p>
        </w:tc>
        <w:tc>
          <w:tcPr>
            <w:tcW w:w="2600" w:type="dxa"/>
            <w:shd w:val="clear" w:color="auto" w:fill="F2F2F2"/>
            <w:tcMar>
              <w:top w:w="100" w:type="dxa"/>
              <w:left w:w="100" w:type="dxa"/>
              <w:bottom w:w="100" w:type="dxa"/>
              <w:right w:w="100" w:type="dxa"/>
            </w:tcMar>
            <w:vAlign w:val="center"/>
          </w:tcPr>
          <w:p w14:paraId="255381D0" w14:textId="77777777" w:rsidR="002441EB" w:rsidRDefault="00000000" w:rsidP="00DD52A5">
            <w:pPr>
              <w:bidi/>
              <w:spacing w:line="300" w:lineRule="auto"/>
            </w:pPr>
            <w:r>
              <w:rPr>
                <w:sz w:val="18"/>
                <w:szCs w:val="18"/>
              </w:rPr>
              <w:t>تنتقل الدراسة الحالية من منظور المُصنِّع إلى منظور الجهة الرقابية (SFDA) في السوق السعودي تحديداً</w:t>
            </w:r>
          </w:p>
        </w:tc>
      </w:tr>
      <w:tr w:rsidR="002441EB" w14:paraId="12B03205" w14:textId="77777777">
        <w:tc>
          <w:tcPr>
            <w:tcW w:w="500" w:type="dxa"/>
            <w:shd w:val="clear" w:color="auto" w:fill="FFFFFF"/>
            <w:tcMar>
              <w:top w:w="100" w:type="dxa"/>
              <w:left w:w="100" w:type="dxa"/>
              <w:bottom w:w="100" w:type="dxa"/>
              <w:right w:w="100" w:type="dxa"/>
            </w:tcMar>
            <w:vAlign w:val="center"/>
          </w:tcPr>
          <w:p w14:paraId="342737CD" w14:textId="77777777" w:rsidR="002441EB" w:rsidRDefault="00000000" w:rsidP="00DD52A5">
            <w:pPr>
              <w:bidi/>
              <w:spacing w:line="300" w:lineRule="auto"/>
            </w:pPr>
            <w:r>
              <w:rPr>
                <w:sz w:val="18"/>
                <w:szCs w:val="18"/>
              </w:rPr>
              <w:t>2</w:t>
            </w:r>
          </w:p>
        </w:tc>
        <w:tc>
          <w:tcPr>
            <w:tcW w:w="2600" w:type="dxa"/>
            <w:shd w:val="clear" w:color="auto" w:fill="FFFFFF"/>
            <w:tcMar>
              <w:top w:w="100" w:type="dxa"/>
              <w:left w:w="100" w:type="dxa"/>
              <w:bottom w:w="100" w:type="dxa"/>
              <w:right w:w="100" w:type="dxa"/>
            </w:tcMar>
            <w:vAlign w:val="center"/>
          </w:tcPr>
          <w:p w14:paraId="5F948704" w14:textId="77777777" w:rsidR="002441EB" w:rsidRDefault="00000000" w:rsidP="00DD52A5">
            <w:pPr>
              <w:bidi/>
              <w:spacing w:line="300" w:lineRule="auto"/>
            </w:pPr>
            <w:r>
              <w:rPr>
                <w:sz w:val="18"/>
                <w:szCs w:val="18"/>
              </w:rPr>
              <w:t>نموذج شبكات بايز الهجين لتقييم مخاطر الأجهزة الطبية (arXiv)</w:t>
            </w:r>
          </w:p>
        </w:tc>
        <w:tc>
          <w:tcPr>
            <w:tcW w:w="2600" w:type="dxa"/>
            <w:shd w:val="clear" w:color="auto" w:fill="FFFFFF"/>
            <w:tcMar>
              <w:top w:w="100" w:type="dxa"/>
              <w:left w:w="100" w:type="dxa"/>
              <w:bottom w:w="100" w:type="dxa"/>
              <w:right w:w="100" w:type="dxa"/>
            </w:tcMar>
            <w:vAlign w:val="center"/>
          </w:tcPr>
          <w:p w14:paraId="600C9299" w14:textId="77777777" w:rsidR="002441EB" w:rsidRDefault="00000000" w:rsidP="00DD52A5">
            <w:pPr>
              <w:bidi/>
              <w:spacing w:line="300" w:lineRule="auto"/>
            </w:pPr>
            <w:r>
              <w:rPr>
                <w:sz w:val="18"/>
                <w:szCs w:val="18"/>
              </w:rPr>
              <w:t>تطوير أسلوب كمي/احصائي لتقييم مخاطر الأجهزة الطبية</w:t>
            </w:r>
          </w:p>
        </w:tc>
        <w:tc>
          <w:tcPr>
            <w:tcW w:w="2300" w:type="dxa"/>
            <w:shd w:val="clear" w:color="auto" w:fill="FFFFFF"/>
            <w:tcMar>
              <w:top w:w="100" w:type="dxa"/>
              <w:left w:w="100" w:type="dxa"/>
              <w:bottom w:w="100" w:type="dxa"/>
              <w:right w:w="100" w:type="dxa"/>
            </w:tcMar>
            <w:vAlign w:val="center"/>
          </w:tcPr>
          <w:p w14:paraId="5D60D1DF" w14:textId="77777777" w:rsidR="002441EB" w:rsidRDefault="00000000" w:rsidP="00DD52A5">
            <w:pPr>
              <w:bidi/>
              <w:spacing w:line="300" w:lineRule="auto"/>
            </w:pPr>
            <w:r>
              <w:rPr>
                <w:sz w:val="18"/>
                <w:szCs w:val="18"/>
              </w:rPr>
              <w:t>الإفادة من مفهوم تصنيف الخطورة واحتمالية الوقوع</w:t>
            </w:r>
          </w:p>
        </w:tc>
        <w:tc>
          <w:tcPr>
            <w:tcW w:w="2600" w:type="dxa"/>
            <w:shd w:val="clear" w:color="auto" w:fill="FFFFFF"/>
            <w:tcMar>
              <w:top w:w="100" w:type="dxa"/>
              <w:left w:w="100" w:type="dxa"/>
              <w:bottom w:w="100" w:type="dxa"/>
              <w:right w:w="100" w:type="dxa"/>
            </w:tcMar>
            <w:vAlign w:val="center"/>
          </w:tcPr>
          <w:p w14:paraId="66602D21" w14:textId="77777777" w:rsidR="002441EB" w:rsidRDefault="00000000" w:rsidP="00DD52A5">
            <w:pPr>
              <w:bidi/>
              <w:spacing w:line="300" w:lineRule="auto"/>
            </w:pPr>
            <w:r>
              <w:rPr>
                <w:sz w:val="18"/>
                <w:szCs w:val="18"/>
              </w:rPr>
              <w:t>الدراسة الحالية وصفية تحليلية تعتمد الوثائق الرسمية، وليست نمذجة كمية</w:t>
            </w:r>
          </w:p>
        </w:tc>
      </w:tr>
      <w:tr w:rsidR="002441EB" w14:paraId="4D5AFC22" w14:textId="77777777">
        <w:tc>
          <w:tcPr>
            <w:tcW w:w="500" w:type="dxa"/>
            <w:shd w:val="clear" w:color="auto" w:fill="F2F2F2"/>
            <w:tcMar>
              <w:top w:w="100" w:type="dxa"/>
              <w:left w:w="100" w:type="dxa"/>
              <w:bottom w:w="100" w:type="dxa"/>
              <w:right w:w="100" w:type="dxa"/>
            </w:tcMar>
            <w:vAlign w:val="center"/>
          </w:tcPr>
          <w:p w14:paraId="0C7B93EE" w14:textId="77777777" w:rsidR="002441EB" w:rsidRDefault="00000000" w:rsidP="00DD52A5">
            <w:pPr>
              <w:bidi/>
              <w:spacing w:line="300" w:lineRule="auto"/>
            </w:pPr>
            <w:r>
              <w:rPr>
                <w:sz w:val="18"/>
                <w:szCs w:val="18"/>
              </w:rPr>
              <w:t>3</w:t>
            </w:r>
          </w:p>
        </w:tc>
        <w:tc>
          <w:tcPr>
            <w:tcW w:w="2600" w:type="dxa"/>
            <w:shd w:val="clear" w:color="auto" w:fill="F2F2F2"/>
            <w:tcMar>
              <w:top w:w="100" w:type="dxa"/>
              <w:left w:w="100" w:type="dxa"/>
              <w:bottom w:w="100" w:type="dxa"/>
              <w:right w:w="100" w:type="dxa"/>
            </w:tcMar>
            <w:vAlign w:val="center"/>
          </w:tcPr>
          <w:p w14:paraId="7BE6C815" w14:textId="77777777" w:rsidR="002441EB" w:rsidRDefault="00000000" w:rsidP="00DD52A5">
            <w:pPr>
              <w:bidi/>
              <w:spacing w:line="300" w:lineRule="auto"/>
            </w:pPr>
            <w:r>
              <w:rPr>
                <w:sz w:val="18"/>
                <w:szCs w:val="18"/>
              </w:rPr>
              <w:t>المتطلبات التنظيمية لتسجيل الأجهزة الطبية في السعودية وأمريكا وأوروبا (Vishal et al., 2023، IJDRA)</w:t>
            </w:r>
          </w:p>
        </w:tc>
        <w:tc>
          <w:tcPr>
            <w:tcW w:w="2600" w:type="dxa"/>
            <w:shd w:val="clear" w:color="auto" w:fill="F2F2F2"/>
            <w:tcMar>
              <w:top w:w="100" w:type="dxa"/>
              <w:left w:w="100" w:type="dxa"/>
              <w:bottom w:w="100" w:type="dxa"/>
              <w:right w:w="100" w:type="dxa"/>
            </w:tcMar>
            <w:vAlign w:val="center"/>
          </w:tcPr>
          <w:p w14:paraId="5F96B76D" w14:textId="77777777" w:rsidR="002441EB" w:rsidRDefault="00000000" w:rsidP="00DD52A5">
            <w:pPr>
              <w:bidi/>
              <w:spacing w:line="300" w:lineRule="auto"/>
            </w:pPr>
            <w:r>
              <w:rPr>
                <w:sz w:val="18"/>
                <w:szCs w:val="18"/>
              </w:rPr>
              <w:t>مقارنة إجراءات التسجيل والتصنيف بين SFDA وFDA وEU MDR</w:t>
            </w:r>
          </w:p>
        </w:tc>
        <w:tc>
          <w:tcPr>
            <w:tcW w:w="2300" w:type="dxa"/>
            <w:shd w:val="clear" w:color="auto" w:fill="F2F2F2"/>
            <w:tcMar>
              <w:top w:w="100" w:type="dxa"/>
              <w:left w:w="100" w:type="dxa"/>
              <w:bottom w:w="100" w:type="dxa"/>
              <w:right w:w="100" w:type="dxa"/>
            </w:tcMar>
            <w:vAlign w:val="center"/>
          </w:tcPr>
          <w:p w14:paraId="3407BCB8" w14:textId="77777777" w:rsidR="002441EB" w:rsidRDefault="00000000" w:rsidP="00DD52A5">
            <w:pPr>
              <w:bidi/>
              <w:spacing w:line="300" w:lineRule="auto"/>
            </w:pPr>
            <w:r>
              <w:rPr>
                <w:sz w:val="18"/>
                <w:szCs w:val="18"/>
              </w:rPr>
              <w:t>توفير أساس للمقارنة الدولية بين الأطر الثلاثة</w:t>
            </w:r>
          </w:p>
        </w:tc>
        <w:tc>
          <w:tcPr>
            <w:tcW w:w="2600" w:type="dxa"/>
            <w:shd w:val="clear" w:color="auto" w:fill="F2F2F2"/>
            <w:tcMar>
              <w:top w:w="100" w:type="dxa"/>
              <w:left w:w="100" w:type="dxa"/>
              <w:bottom w:w="100" w:type="dxa"/>
              <w:right w:w="100" w:type="dxa"/>
            </w:tcMar>
            <w:vAlign w:val="center"/>
          </w:tcPr>
          <w:p w14:paraId="27DFBCCE" w14:textId="77777777" w:rsidR="002441EB" w:rsidRDefault="00000000" w:rsidP="00DD52A5">
            <w:pPr>
              <w:bidi/>
              <w:spacing w:line="300" w:lineRule="auto"/>
            </w:pPr>
            <w:r>
              <w:rPr>
                <w:sz w:val="18"/>
                <w:szCs w:val="18"/>
              </w:rPr>
              <w:t>الدراسة الحالية تربط المقارنة التنظيمية مباشرة بأبعاد إدارة المخاطر الست وفق ISO 14971 وليس بإجراءات التسجيل فقط</w:t>
            </w:r>
          </w:p>
        </w:tc>
      </w:tr>
      <w:tr w:rsidR="002441EB" w14:paraId="28295B68" w14:textId="77777777">
        <w:tc>
          <w:tcPr>
            <w:tcW w:w="500" w:type="dxa"/>
            <w:shd w:val="clear" w:color="auto" w:fill="FFFFFF"/>
            <w:tcMar>
              <w:top w:w="100" w:type="dxa"/>
              <w:left w:w="100" w:type="dxa"/>
              <w:bottom w:w="100" w:type="dxa"/>
              <w:right w:w="100" w:type="dxa"/>
            </w:tcMar>
            <w:vAlign w:val="center"/>
          </w:tcPr>
          <w:p w14:paraId="36878143" w14:textId="77777777" w:rsidR="002441EB" w:rsidRDefault="00000000" w:rsidP="00DD52A5">
            <w:pPr>
              <w:bidi/>
              <w:spacing w:line="300" w:lineRule="auto"/>
            </w:pPr>
            <w:r>
              <w:rPr>
                <w:sz w:val="18"/>
                <w:szCs w:val="18"/>
              </w:rPr>
              <w:t>4</w:t>
            </w:r>
          </w:p>
        </w:tc>
        <w:tc>
          <w:tcPr>
            <w:tcW w:w="2600" w:type="dxa"/>
            <w:shd w:val="clear" w:color="auto" w:fill="FFFFFF"/>
            <w:tcMar>
              <w:top w:w="100" w:type="dxa"/>
              <w:left w:w="100" w:type="dxa"/>
              <w:bottom w:w="100" w:type="dxa"/>
              <w:right w:w="100" w:type="dxa"/>
            </w:tcMar>
            <w:vAlign w:val="center"/>
          </w:tcPr>
          <w:p w14:paraId="0776CA2D" w14:textId="77777777" w:rsidR="002441EB" w:rsidRDefault="00000000" w:rsidP="00DD52A5">
            <w:pPr>
              <w:bidi/>
              <w:spacing w:line="300" w:lineRule="auto"/>
            </w:pPr>
            <w:r>
              <w:rPr>
                <w:sz w:val="18"/>
                <w:szCs w:val="18"/>
              </w:rPr>
              <w:t>تنظيم الأجهزة الطبية القائمة على الذكاء الاصطناعي في السعودية (Solaiman, 2024)</w:t>
            </w:r>
          </w:p>
        </w:tc>
        <w:tc>
          <w:tcPr>
            <w:tcW w:w="2600" w:type="dxa"/>
            <w:shd w:val="clear" w:color="auto" w:fill="FFFFFF"/>
            <w:tcMar>
              <w:top w:w="100" w:type="dxa"/>
              <w:left w:w="100" w:type="dxa"/>
              <w:bottom w:w="100" w:type="dxa"/>
              <w:right w:w="100" w:type="dxa"/>
            </w:tcMar>
            <w:vAlign w:val="center"/>
          </w:tcPr>
          <w:p w14:paraId="7336C3DC" w14:textId="77777777" w:rsidR="002441EB" w:rsidRDefault="00000000" w:rsidP="00DD52A5">
            <w:pPr>
              <w:bidi/>
              <w:spacing w:line="300" w:lineRule="auto"/>
            </w:pPr>
            <w:r>
              <w:rPr>
                <w:sz w:val="18"/>
                <w:szCs w:val="18"/>
              </w:rPr>
              <w:t>تحليل قانوني لدليل الهيئة الخاص بالذكاء الاصطناعي (MDS-G010) ومقارنته بـFDA وIMDRF</w:t>
            </w:r>
          </w:p>
        </w:tc>
        <w:tc>
          <w:tcPr>
            <w:tcW w:w="2300" w:type="dxa"/>
            <w:shd w:val="clear" w:color="auto" w:fill="FFFFFF"/>
            <w:tcMar>
              <w:top w:w="100" w:type="dxa"/>
              <w:left w:w="100" w:type="dxa"/>
              <w:bottom w:w="100" w:type="dxa"/>
              <w:right w:w="100" w:type="dxa"/>
            </w:tcMar>
            <w:vAlign w:val="center"/>
          </w:tcPr>
          <w:p w14:paraId="1704D2E0" w14:textId="77777777" w:rsidR="002441EB" w:rsidRDefault="00000000" w:rsidP="00DD52A5">
            <w:pPr>
              <w:bidi/>
              <w:spacing w:line="300" w:lineRule="auto"/>
            </w:pPr>
            <w:r>
              <w:rPr>
                <w:sz w:val="18"/>
                <w:szCs w:val="18"/>
              </w:rPr>
              <w:t>فهم منهجية الهيئة في اقتباس الممارسات الدولية وتكييفها محلياً</w:t>
            </w:r>
          </w:p>
        </w:tc>
        <w:tc>
          <w:tcPr>
            <w:tcW w:w="2600" w:type="dxa"/>
            <w:shd w:val="clear" w:color="auto" w:fill="FFFFFF"/>
            <w:tcMar>
              <w:top w:w="100" w:type="dxa"/>
              <w:left w:w="100" w:type="dxa"/>
              <w:bottom w:w="100" w:type="dxa"/>
              <w:right w:w="100" w:type="dxa"/>
            </w:tcMar>
            <w:vAlign w:val="center"/>
          </w:tcPr>
          <w:p w14:paraId="2F1A89E8" w14:textId="77777777" w:rsidR="002441EB" w:rsidRDefault="00000000" w:rsidP="00DD52A5">
            <w:pPr>
              <w:bidi/>
              <w:spacing w:line="300" w:lineRule="auto"/>
            </w:pPr>
            <w:r>
              <w:rPr>
                <w:sz w:val="18"/>
                <w:szCs w:val="18"/>
              </w:rPr>
              <w:t>الدراسة الحالية أوسع نطاقاً؛ تتناول كامل منظومة إدارة المخاطر للأجهزة الطبية وليس فئة الذكاء الاصطناعي فقط</w:t>
            </w:r>
          </w:p>
        </w:tc>
      </w:tr>
      <w:tr w:rsidR="002441EB" w14:paraId="6628965D" w14:textId="77777777">
        <w:tc>
          <w:tcPr>
            <w:tcW w:w="500" w:type="dxa"/>
            <w:shd w:val="clear" w:color="auto" w:fill="F2F2F2"/>
            <w:tcMar>
              <w:top w:w="100" w:type="dxa"/>
              <w:left w:w="100" w:type="dxa"/>
              <w:bottom w:w="100" w:type="dxa"/>
              <w:right w:w="100" w:type="dxa"/>
            </w:tcMar>
            <w:vAlign w:val="center"/>
          </w:tcPr>
          <w:p w14:paraId="55A45B41" w14:textId="77777777" w:rsidR="002441EB" w:rsidRDefault="00000000" w:rsidP="00DD52A5">
            <w:pPr>
              <w:bidi/>
              <w:spacing w:line="300" w:lineRule="auto"/>
            </w:pPr>
            <w:r>
              <w:rPr>
                <w:sz w:val="18"/>
                <w:szCs w:val="18"/>
              </w:rPr>
              <w:t>5</w:t>
            </w:r>
          </w:p>
        </w:tc>
        <w:tc>
          <w:tcPr>
            <w:tcW w:w="2600" w:type="dxa"/>
            <w:shd w:val="clear" w:color="auto" w:fill="F2F2F2"/>
            <w:tcMar>
              <w:top w:w="100" w:type="dxa"/>
              <w:left w:w="100" w:type="dxa"/>
              <w:bottom w:w="100" w:type="dxa"/>
              <w:right w:w="100" w:type="dxa"/>
            </w:tcMar>
            <w:vAlign w:val="center"/>
          </w:tcPr>
          <w:p w14:paraId="1D4DA87A" w14:textId="77777777" w:rsidR="002441EB" w:rsidRDefault="00000000" w:rsidP="00DD52A5">
            <w:pPr>
              <w:bidi/>
              <w:spacing w:line="300" w:lineRule="auto"/>
            </w:pPr>
            <w:r>
              <w:rPr>
                <w:sz w:val="18"/>
                <w:szCs w:val="18"/>
              </w:rPr>
              <w:t>إدراك العاملين الصحيين لمعايير الأيزو وسلامة المرضى في السعودية (دراسة مسحية، عيّنة 300 مشارك)</w:t>
            </w:r>
          </w:p>
        </w:tc>
        <w:tc>
          <w:tcPr>
            <w:tcW w:w="2600" w:type="dxa"/>
            <w:shd w:val="clear" w:color="auto" w:fill="F2F2F2"/>
            <w:tcMar>
              <w:top w:w="100" w:type="dxa"/>
              <w:left w:w="100" w:type="dxa"/>
              <w:bottom w:w="100" w:type="dxa"/>
              <w:right w:w="100" w:type="dxa"/>
            </w:tcMar>
            <w:vAlign w:val="center"/>
          </w:tcPr>
          <w:p w14:paraId="47451E52" w14:textId="77777777" w:rsidR="002441EB" w:rsidRDefault="00000000" w:rsidP="00DD52A5">
            <w:pPr>
              <w:bidi/>
              <w:spacing w:line="300" w:lineRule="auto"/>
            </w:pPr>
            <w:r>
              <w:rPr>
                <w:sz w:val="18"/>
                <w:szCs w:val="18"/>
              </w:rPr>
              <w:t>قياس تصورات الأطباء والمهندسين الطبيين تجاه أثر معايير الأيزو على السلامة</w:t>
            </w:r>
          </w:p>
        </w:tc>
        <w:tc>
          <w:tcPr>
            <w:tcW w:w="2300" w:type="dxa"/>
            <w:shd w:val="clear" w:color="auto" w:fill="F2F2F2"/>
            <w:tcMar>
              <w:top w:w="100" w:type="dxa"/>
              <w:left w:w="100" w:type="dxa"/>
              <w:bottom w:w="100" w:type="dxa"/>
              <w:right w:w="100" w:type="dxa"/>
            </w:tcMar>
            <w:vAlign w:val="center"/>
          </w:tcPr>
          <w:p w14:paraId="41A90D00" w14:textId="77777777" w:rsidR="002441EB" w:rsidRDefault="00000000" w:rsidP="00DD52A5">
            <w:pPr>
              <w:bidi/>
              <w:spacing w:line="300" w:lineRule="auto"/>
            </w:pPr>
            <w:r>
              <w:rPr>
                <w:sz w:val="18"/>
                <w:szCs w:val="18"/>
              </w:rPr>
              <w:t>تدعيم أهمية ثقافة الالتزام بالمعايير من منظور الممارسين</w:t>
            </w:r>
          </w:p>
        </w:tc>
        <w:tc>
          <w:tcPr>
            <w:tcW w:w="2600" w:type="dxa"/>
            <w:shd w:val="clear" w:color="auto" w:fill="F2F2F2"/>
            <w:tcMar>
              <w:top w:w="100" w:type="dxa"/>
              <w:left w:w="100" w:type="dxa"/>
              <w:bottom w:w="100" w:type="dxa"/>
              <w:right w:w="100" w:type="dxa"/>
            </w:tcMar>
            <w:vAlign w:val="center"/>
          </w:tcPr>
          <w:p w14:paraId="0D649158" w14:textId="77777777" w:rsidR="002441EB" w:rsidRDefault="00000000" w:rsidP="00DD52A5">
            <w:pPr>
              <w:bidi/>
              <w:spacing w:line="300" w:lineRule="auto"/>
            </w:pPr>
            <w:r>
              <w:rPr>
                <w:sz w:val="18"/>
                <w:szCs w:val="18"/>
              </w:rPr>
              <w:t>الدراسة الحالية تحليل وثائقي لأداء الجهة الرقابية نفسها، وليست دراسة مسحية لإدراك العاملين</w:t>
            </w:r>
          </w:p>
        </w:tc>
      </w:tr>
    </w:tbl>
    <w:p w14:paraId="3E1D4CDF" w14:textId="77777777" w:rsidR="002441EB" w:rsidRDefault="002441EB" w:rsidP="00DD52A5">
      <w:pPr>
        <w:bidi/>
      </w:pPr>
    </w:p>
    <w:p w14:paraId="051ACDBF" w14:textId="77777777" w:rsidR="002441EB" w:rsidRDefault="00000000" w:rsidP="00DD52A5">
      <w:pPr>
        <w:bidi/>
        <w:spacing w:after="200" w:line="360" w:lineRule="auto"/>
      </w:pPr>
      <w:r>
        <w:t>وبناءً على ما تقدّم، تتمايز الدراسة الحالية عن الدراسات السابقة في كونها الدراسة الأكثر شمولاً - في حدود اطلاع الباحث - التي تجمع بين ثلاثة أبعاد متكاملة في آن واحد: تحليل كامل منظومة إدارة المخاطر التي تطبّقها الهيئة العامة للغذاء والدواء السعودية بأنظمتها العشرة المترابطة، وربط هذه المنظومة مباشرة بمراحل إدارة المخاطر الست وفق معيار ISO 14971 الدولي، وعقد مقارنة منهجية بين هذه المنظومة ونظيريها الأمريكي والأوروبي على مستوى الترخيص والرقابة بعد التسويق والإجراءات التصحيحية الميدانية معاً، وهو ما يسد فجوة بحثية لا تزال الدراسات العربية المتخصصة فيها محدودة نسبياً.</w:t>
      </w:r>
    </w:p>
    <w:p w14:paraId="7053DDD8" w14:textId="77777777" w:rsidR="002441EB" w:rsidRDefault="00000000" w:rsidP="00DD52A5">
      <w:pPr>
        <w:pStyle w:val="Heading2"/>
        <w:bidi/>
        <w:spacing w:before="320" w:after="200"/>
      </w:pPr>
      <w:r>
        <w:rPr>
          <w:b/>
          <w:bCs/>
          <w:sz w:val="28"/>
          <w:szCs w:val="28"/>
        </w:rPr>
        <w:t>خاتمة الفصل</w:t>
      </w:r>
    </w:p>
    <w:p w14:paraId="5C728FEB" w14:textId="77777777" w:rsidR="002441EB" w:rsidRDefault="00000000" w:rsidP="00DD52A5">
      <w:pPr>
        <w:bidi/>
        <w:spacing w:after="200" w:line="360" w:lineRule="auto"/>
      </w:pPr>
      <w:r>
        <w:t>استعرض هذا الفصل أبرز الدراسات السابقة ذات الصلة بموضوع إدارة مخاطر الأجهزة الطبية، من حيث تطبيق المعايير الدولية، والمقارنات التنظيمية بين الأطر العالمية، وإدراك العاملين الصحيين لأثر هذه المعايير في السياق السعودي، وبيّن أوجه الإفادة منها، كما وضّح أبرز ما يميز الدراسة الحالية عنها من حيث الشمول والزاوية التحليلية المعتمدة.</w:t>
      </w:r>
    </w:p>
    <w:sectPr w:rsidR="002441EB">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51B32"/>
    <w:multiLevelType w:val="hybridMultilevel"/>
    <w:tmpl w:val="E460C56C"/>
    <w:lvl w:ilvl="0" w:tplc="6BE0CAFE">
      <w:start w:val="1"/>
      <w:numFmt w:val="bullet"/>
      <w:lvlText w:val="●"/>
      <w:lvlJc w:val="left"/>
      <w:pPr>
        <w:ind w:left="720" w:hanging="360"/>
      </w:pPr>
    </w:lvl>
    <w:lvl w:ilvl="1" w:tplc="03CE6F5E">
      <w:start w:val="1"/>
      <w:numFmt w:val="bullet"/>
      <w:lvlText w:val="○"/>
      <w:lvlJc w:val="left"/>
      <w:pPr>
        <w:ind w:left="1440" w:hanging="360"/>
      </w:pPr>
    </w:lvl>
    <w:lvl w:ilvl="2" w:tplc="C75A4C0E">
      <w:start w:val="1"/>
      <w:numFmt w:val="bullet"/>
      <w:lvlText w:val="■"/>
      <w:lvlJc w:val="left"/>
      <w:pPr>
        <w:ind w:left="2160" w:hanging="360"/>
      </w:pPr>
    </w:lvl>
    <w:lvl w:ilvl="3" w:tplc="30DE1120">
      <w:start w:val="1"/>
      <w:numFmt w:val="bullet"/>
      <w:lvlText w:val="●"/>
      <w:lvlJc w:val="left"/>
      <w:pPr>
        <w:ind w:left="2880" w:hanging="360"/>
      </w:pPr>
    </w:lvl>
    <w:lvl w:ilvl="4" w:tplc="79508F6A">
      <w:start w:val="1"/>
      <w:numFmt w:val="bullet"/>
      <w:lvlText w:val="○"/>
      <w:lvlJc w:val="left"/>
      <w:pPr>
        <w:ind w:left="3600" w:hanging="360"/>
      </w:pPr>
    </w:lvl>
    <w:lvl w:ilvl="5" w:tplc="723E27FE">
      <w:start w:val="1"/>
      <w:numFmt w:val="bullet"/>
      <w:lvlText w:val="■"/>
      <w:lvlJc w:val="left"/>
      <w:pPr>
        <w:ind w:left="4320" w:hanging="360"/>
      </w:pPr>
    </w:lvl>
    <w:lvl w:ilvl="6" w:tplc="A79A2ABA">
      <w:start w:val="1"/>
      <w:numFmt w:val="bullet"/>
      <w:lvlText w:val="●"/>
      <w:lvlJc w:val="left"/>
      <w:pPr>
        <w:ind w:left="5040" w:hanging="360"/>
      </w:pPr>
    </w:lvl>
    <w:lvl w:ilvl="7" w:tplc="9C760428">
      <w:start w:val="1"/>
      <w:numFmt w:val="bullet"/>
      <w:lvlText w:val="●"/>
      <w:lvlJc w:val="left"/>
      <w:pPr>
        <w:ind w:left="5760" w:hanging="360"/>
      </w:pPr>
    </w:lvl>
    <w:lvl w:ilvl="8" w:tplc="F5F2DEA4">
      <w:start w:val="1"/>
      <w:numFmt w:val="bullet"/>
      <w:lvlText w:val="●"/>
      <w:lvlJc w:val="left"/>
      <w:pPr>
        <w:ind w:left="6480" w:hanging="360"/>
      </w:pPr>
    </w:lvl>
  </w:abstractNum>
  <w:num w:numId="1" w16cid:durableId="202081411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1EB"/>
    <w:rsid w:val="002441EB"/>
    <w:rsid w:val="005C1A27"/>
    <w:rsid w:val="00684E9F"/>
    <w:rsid w:val="00DD52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356A0"/>
  <w15:docId w15:val="{D35771D8-24DB-46CD-9903-BF454A674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rt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631ef649-45d3-4e5d-80df-d43468de9a5e}" enabled="1" method="Privileged" siteId="{771c9c47-7f24-44dc-958e-34f8713a8394}"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11</Pages>
  <Words>3116</Words>
  <Characters>17763</Characters>
  <Application>Microsoft Office Word</Application>
  <DocSecurity>0</DocSecurity>
  <Lines>148</Lines>
  <Paragraphs>41</Paragraphs>
  <ScaleCrop>false</ScaleCrop>
  <Company>Beckman Coulter</Company>
  <LinksUpToDate>false</LinksUpToDate>
  <CharactersWithSpaces>20838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Al-Jebali, Meshari</cp:lastModifiedBy>
  <cp:revision>3</cp:revision>
  <dcterms:created xsi:type="dcterms:W3CDTF">2026-08-14T19:39:00Z</dcterms:created>
  <dcterms:modified xsi:type="dcterms:W3CDTF">2026-08-14T20:22:00Z</dcterms:modified>
</cp:coreProperties>
</file>