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0453D06">
            <wp:simplePos x="0" y="0"/>
            <wp:positionH relativeFrom="margin">
              <wp:posOffset>2115185</wp:posOffset>
            </wp:positionH>
            <wp:positionV relativeFrom="margin">
              <wp:posOffset>-125095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62B67A" w14:textId="6220C38A" w:rsidR="00761E9B"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sidR="00C72033" w:rsidRPr="00C72033">
        <w:rPr>
          <w:rFonts w:ascii="Times New Roman" w:hAnsi="Times New Roman" w:cs="Traditional Arabic"/>
          <w:b/>
          <w:bCs/>
          <w:sz w:val="28"/>
          <w:szCs w:val="28"/>
          <w:rtl/>
          <w:lang w:bidi="ar-EG"/>
        </w:rPr>
        <w:t>المعلوماتية</w:t>
      </w:r>
    </w:p>
    <w:p w14:paraId="264D0C10" w14:textId="0ECC6B3E" w:rsidR="00C72033" w:rsidRPr="00C852D0" w:rsidRDefault="00C72033"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72033">
        <w:rPr>
          <w:rFonts w:ascii="Times New Roman" w:hAnsi="Times New Roman" w:cs="Traditional Arabic"/>
          <w:b/>
          <w:bCs/>
          <w:sz w:val="28"/>
          <w:szCs w:val="28"/>
          <w:rtl/>
          <w:lang w:bidi="ar-EG"/>
        </w:rPr>
        <w:t>دكتوراه تقنية معلومات</w:t>
      </w:r>
    </w:p>
    <w:p w14:paraId="7F938643" w14:textId="77777777" w:rsidR="00C72033" w:rsidRDefault="00C7203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p>
    <w:p w14:paraId="0B9A7E5D" w14:textId="6B42DFE0"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r w:rsidRPr="00644213">
        <w:rPr>
          <w:rFonts w:ascii="Times New Roman" w:hAnsi="Times New Roman" w:cs="Traditional Arabic"/>
          <w:b/>
          <w:bCs/>
          <w:noProof/>
          <w:kern w:val="0"/>
          <w:sz w:val="36"/>
          <w:szCs w:val="36"/>
          <w:rtl/>
          <w14:ligatures w14:val="none"/>
        </w:rPr>
        <w:t>تأثير الذكاء الاصطناعى  على سلسلة القيمة التشغيلية</w:t>
      </w:r>
    </w:p>
    <w:p w14:paraId="2094A275" w14:textId="77777777"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rPr>
      </w:pPr>
      <w:r w:rsidRPr="00644213">
        <w:rPr>
          <w:rFonts w:ascii="Times New Roman" w:hAnsi="Times New Roman" w:cs="Traditional Arabic"/>
          <w:b/>
          <w:bCs/>
          <w:noProof/>
          <w:kern w:val="0"/>
          <w:sz w:val="36"/>
          <w:szCs w:val="36"/>
          <w:rtl/>
          <w14:ligatures w14:val="none"/>
        </w:rPr>
        <w:t>دراسة تطبيقية على المؤسسات الحكومية الكبرى في المملكة العربية السعودية</w:t>
      </w:r>
    </w:p>
    <w:p w14:paraId="1E4EC300" w14:textId="173D2A83" w:rsidR="00761E9B" w:rsidRPr="00C852D0" w:rsidRDefault="00761E9B" w:rsidP="00644213">
      <w:pPr>
        <w:spacing w:before="100" w:beforeAutospacing="1" w:after="100" w:afterAutospacing="1" w:line="360" w:lineRule="auto"/>
        <w:ind w:left="-2"/>
        <w:jc w:val="center"/>
        <w:rPr>
          <w:rFonts w:ascii="Times New Roman" w:hAnsi="Times New Roman" w:cs="Traditional Arabic"/>
          <w:b/>
          <w:bCs/>
          <w:rtl/>
          <w:lang w:bidi="ar-EG"/>
        </w:rPr>
      </w:pPr>
      <w:r w:rsidRPr="00C852D0">
        <w:rPr>
          <w:rFonts w:ascii="Times New Roman" w:hAnsi="Times New Roman" w:cs="Traditional Arabic" w:hint="cs"/>
          <w:b/>
          <w:bCs/>
          <w:rtl/>
        </w:rPr>
        <w:t>مشروع خطة أطروحة للتسجيل لدرجة الدكتوراه</w:t>
      </w:r>
    </w:p>
    <w:p w14:paraId="4E9B99FC" w14:textId="77777777" w:rsidR="00761E9B" w:rsidRDefault="00761E9B" w:rsidP="00761E9B">
      <w:pPr>
        <w:pStyle w:val="ae"/>
        <w:bidi/>
        <w:spacing w:line="360" w:lineRule="auto"/>
        <w:ind w:left="-2"/>
        <w:jc w:val="center"/>
        <w:rPr>
          <w:rFonts w:eastAsiaTheme="minorHAnsi" w:cs="Traditional Arabic"/>
          <w:b/>
          <w:bCs/>
          <w:noProof/>
          <w:sz w:val="36"/>
          <w:szCs w:val="36"/>
          <w:rtl/>
        </w:rPr>
      </w:pPr>
    </w:p>
    <w:p w14:paraId="426F4139" w14:textId="0CB262F6" w:rsidR="00761E9B" w:rsidRDefault="00761E9B" w:rsidP="00813BCB">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r w:rsidR="00813BCB">
        <w:rPr>
          <w:rFonts w:eastAsiaTheme="minorHAnsi" w:cs="Traditional Arabic" w:hint="cs"/>
          <w:b/>
          <w:bCs/>
          <w:noProof/>
          <w:sz w:val="36"/>
          <w:szCs w:val="36"/>
          <w:rtl/>
        </w:rPr>
        <w:t>ة</w:t>
      </w:r>
      <w:r>
        <w:rPr>
          <w:rFonts w:eastAsiaTheme="minorHAnsi" w:cs="Traditional Arabic" w:hint="cs"/>
          <w:b/>
          <w:bCs/>
          <w:noProof/>
          <w:sz w:val="36"/>
          <w:szCs w:val="36"/>
          <w:rtl/>
        </w:rPr>
        <w:t>:</w:t>
      </w:r>
    </w:p>
    <w:p w14:paraId="1A89E62B" w14:textId="77777777" w:rsidR="00813BCB" w:rsidRPr="00813BCB" w:rsidRDefault="00813BCB" w:rsidP="00813BCB">
      <w:pPr>
        <w:pStyle w:val="ae"/>
        <w:bidi/>
        <w:spacing w:line="360" w:lineRule="auto"/>
        <w:ind w:left="-2"/>
        <w:jc w:val="center"/>
        <w:rPr>
          <w:rFonts w:cs="Traditional Arabic"/>
          <w:b/>
          <w:bCs/>
          <w:sz w:val="32"/>
          <w:szCs w:val="32"/>
        </w:rPr>
      </w:pPr>
      <w:r w:rsidRPr="00813BCB">
        <w:rPr>
          <w:rFonts w:cs="Traditional Arabic"/>
          <w:b/>
          <w:bCs/>
          <w:sz w:val="32"/>
          <w:szCs w:val="32"/>
          <w:rtl/>
        </w:rPr>
        <w:t>ساره عبدالمحسن السلوم</w:t>
      </w:r>
    </w:p>
    <w:p w14:paraId="62BAF1C7" w14:textId="374FBDD0" w:rsidR="00761E9B" w:rsidRDefault="00813BCB" w:rsidP="00813BCB">
      <w:pPr>
        <w:pStyle w:val="ae"/>
        <w:bidi/>
        <w:spacing w:line="360" w:lineRule="auto"/>
        <w:ind w:left="-2"/>
        <w:jc w:val="center"/>
        <w:rPr>
          <w:rFonts w:cs="Traditional Arabic"/>
          <w:b/>
          <w:bCs/>
          <w:sz w:val="32"/>
          <w:szCs w:val="32"/>
          <w:rtl/>
        </w:rPr>
      </w:pPr>
      <w:r w:rsidRPr="00813BCB">
        <w:rPr>
          <w:rFonts w:cs="Traditional Arabic"/>
          <w:b/>
          <w:bCs/>
          <w:sz w:val="32"/>
          <w:szCs w:val="32"/>
          <w:rtl/>
        </w:rPr>
        <w:t>الرقم الأكاديمي: 233002256</w:t>
      </w:r>
    </w:p>
    <w:p w14:paraId="00A8D996" w14:textId="7F5BDE1B" w:rsidR="00761E9B" w:rsidRPr="000A5590" w:rsidRDefault="00761E9B" w:rsidP="00761E9B">
      <w:pPr>
        <w:pStyle w:val="ae"/>
        <w:spacing w:line="360" w:lineRule="auto"/>
        <w:ind w:left="-2"/>
        <w:jc w:val="center"/>
        <w:rPr>
          <w:rFonts w:cs="Traditional Arabic"/>
          <w:b/>
          <w:bCs/>
          <w:rtl/>
        </w:rPr>
      </w:pPr>
      <w:r w:rsidRPr="000A5590">
        <w:rPr>
          <w:rFonts w:cs="Traditional Arabic" w:hint="cs"/>
          <w:b/>
          <w:bCs/>
          <w:rtl/>
        </w:rPr>
        <w:t>144</w:t>
      </w:r>
      <w:r w:rsidR="005D3BB8">
        <w:rPr>
          <w:rFonts w:cs="Traditional Arabic" w:hint="cs"/>
          <w:b/>
          <w:bCs/>
          <w:rtl/>
          <w:lang w:bidi="ar-EG"/>
        </w:rPr>
        <w:t>8</w:t>
      </w:r>
      <w:r w:rsidRPr="000A5590">
        <w:rPr>
          <w:rFonts w:cs="Traditional Arabic" w:hint="cs"/>
          <w:b/>
          <w:bCs/>
          <w:rtl/>
        </w:rPr>
        <w:t>هـ/ 202</w:t>
      </w:r>
      <w:r w:rsidR="005D3BB8">
        <w:rPr>
          <w:rFonts w:cs="Traditional Arabic" w:hint="cs"/>
          <w:b/>
          <w:bCs/>
          <w:rtl/>
        </w:rPr>
        <w:t>6</w:t>
      </w:r>
    </w:p>
    <w:p w14:paraId="68B00E21" w14:textId="77777777" w:rsidR="00761E9B" w:rsidRPr="000A5590" w:rsidRDefault="00761E9B" w:rsidP="00761E9B">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490EFE1C" w:rsidR="00D8772F" w:rsidRPr="00B91104" w:rsidRDefault="009B5EF9"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4824A09" wp14:editId="3E094E2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BEEDC36" w14:textId="77777777" w:rsidR="009B5EF9" w:rsidRDefault="009B5EF9" w:rsidP="00B91104">
      <w:pPr>
        <w:jc w:val="both"/>
        <w:rPr>
          <w:rFonts w:ascii="Simplified Arabic" w:hAnsi="Simplified Arabic" w:cs="Simplified Arabic"/>
          <w:sz w:val="28"/>
          <w:szCs w:val="28"/>
          <w:rtl/>
          <w:lang w:bidi="ar-EG"/>
        </w:rPr>
      </w:pPr>
    </w:p>
    <w:p w14:paraId="60893E7A" w14:textId="77777777" w:rsidR="009B5EF9" w:rsidRDefault="009B5EF9" w:rsidP="00B91104">
      <w:pPr>
        <w:jc w:val="both"/>
        <w:rPr>
          <w:rFonts w:ascii="Simplified Arabic" w:hAnsi="Simplified Arabic" w:cs="Simplified Arabic"/>
          <w:sz w:val="28"/>
          <w:szCs w:val="28"/>
          <w:rtl/>
          <w:lang w:bidi="ar-EG"/>
        </w:rPr>
      </w:pPr>
    </w:p>
    <w:p w14:paraId="79B8C7BB" w14:textId="77777777" w:rsidR="009B5EF9" w:rsidRDefault="009B5EF9" w:rsidP="00B91104">
      <w:pPr>
        <w:jc w:val="both"/>
        <w:rPr>
          <w:rFonts w:ascii="Simplified Arabic" w:hAnsi="Simplified Arabic" w:cs="Simplified Arabic"/>
          <w:sz w:val="28"/>
          <w:szCs w:val="28"/>
          <w:rtl/>
          <w:lang w:bidi="ar-EG"/>
        </w:rPr>
      </w:pPr>
    </w:p>
    <w:p w14:paraId="02A66274" w14:textId="77777777" w:rsidR="009B5EF9" w:rsidRDefault="009B5EF9" w:rsidP="00B91104">
      <w:pPr>
        <w:jc w:val="both"/>
        <w:rPr>
          <w:rFonts w:ascii="Simplified Arabic" w:hAnsi="Simplified Arabic" w:cs="Simplified Arabic"/>
          <w:sz w:val="28"/>
          <w:szCs w:val="28"/>
          <w:rtl/>
          <w:lang w:bidi="ar-EG"/>
        </w:rPr>
      </w:pPr>
    </w:p>
    <w:p w14:paraId="748EF92F" w14:textId="77777777" w:rsidR="009B5EF9" w:rsidRDefault="009B5EF9"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ad"/>
          </w:pPr>
          <w:r>
            <w:rPr>
              <w:lang w:val="ar-SA"/>
            </w:rPr>
            <w:t>المحتويات</w:t>
          </w:r>
        </w:p>
        <w:p w14:paraId="5B434FE0" w14:textId="186671C5" w:rsidR="00D439AC" w:rsidRPr="00D439AC" w:rsidRDefault="00D439AC">
          <w:pPr>
            <w:pStyle w:val="10"/>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4</w:t>
            </w:r>
            <w:r w:rsidRPr="00D439AC">
              <w:rPr>
                <w:rStyle w:val="Hyperlink"/>
                <w:noProof/>
                <w:sz w:val="28"/>
                <w:szCs w:val="28"/>
                <w:rtl/>
              </w:rPr>
              <w:fldChar w:fldCharType="end"/>
            </w:r>
          </w:hyperlink>
        </w:p>
        <w:p w14:paraId="405C1D51" w14:textId="6470A223" w:rsidR="00D439AC" w:rsidRPr="00D439AC" w:rsidRDefault="00D439AC">
          <w:pPr>
            <w:pStyle w:val="10"/>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6</w:t>
            </w:r>
            <w:r w:rsidRPr="00D439AC">
              <w:rPr>
                <w:rStyle w:val="Hyperlink"/>
                <w:noProof/>
                <w:sz w:val="28"/>
                <w:szCs w:val="28"/>
                <w:rtl/>
              </w:rPr>
              <w:fldChar w:fldCharType="end"/>
            </w:r>
          </w:hyperlink>
        </w:p>
        <w:p w14:paraId="28DD7735" w14:textId="0658D4B4" w:rsidR="00D439AC" w:rsidRPr="00D439AC" w:rsidRDefault="00D439AC">
          <w:pPr>
            <w:pStyle w:val="10"/>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8</w:t>
            </w:r>
            <w:r w:rsidRPr="00D439AC">
              <w:rPr>
                <w:rStyle w:val="Hyperlink"/>
                <w:noProof/>
                <w:sz w:val="28"/>
                <w:szCs w:val="28"/>
                <w:rtl/>
              </w:rPr>
              <w:fldChar w:fldCharType="end"/>
            </w:r>
          </w:hyperlink>
        </w:p>
        <w:p w14:paraId="5332EA5E" w14:textId="1A33B15F" w:rsidR="00D439AC" w:rsidRPr="00D439AC" w:rsidRDefault="00D439AC">
          <w:pPr>
            <w:pStyle w:val="10"/>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9</w:t>
            </w:r>
            <w:r w:rsidRPr="00D439AC">
              <w:rPr>
                <w:rStyle w:val="Hyperlink"/>
                <w:noProof/>
                <w:sz w:val="28"/>
                <w:szCs w:val="28"/>
                <w:rtl/>
              </w:rPr>
              <w:fldChar w:fldCharType="end"/>
            </w:r>
          </w:hyperlink>
        </w:p>
        <w:p w14:paraId="6356083D" w14:textId="4216E0C9" w:rsidR="00D439AC" w:rsidRPr="00D439AC" w:rsidRDefault="00D439AC">
          <w:pPr>
            <w:pStyle w:val="10"/>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10</w:t>
            </w:r>
            <w:r w:rsidRPr="00D439AC">
              <w:rPr>
                <w:rStyle w:val="Hyperlink"/>
                <w:noProof/>
                <w:sz w:val="28"/>
                <w:szCs w:val="28"/>
                <w:rtl/>
              </w:rPr>
              <w:fldChar w:fldCharType="end"/>
            </w:r>
          </w:hyperlink>
        </w:p>
        <w:p w14:paraId="7687022B" w14:textId="4091115F" w:rsidR="00D439AC" w:rsidRPr="00D439AC" w:rsidRDefault="00D439AC">
          <w:pPr>
            <w:pStyle w:val="10"/>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11</w:t>
            </w:r>
            <w:r w:rsidRPr="00D439AC">
              <w:rPr>
                <w:rStyle w:val="Hyperlink"/>
                <w:noProof/>
                <w:sz w:val="28"/>
                <w:szCs w:val="28"/>
                <w:rtl/>
              </w:rPr>
              <w:fldChar w:fldCharType="end"/>
            </w:r>
          </w:hyperlink>
        </w:p>
        <w:p w14:paraId="346B2F0C" w14:textId="7432B629" w:rsidR="00D439AC" w:rsidRPr="00D439AC" w:rsidRDefault="00D439AC">
          <w:pPr>
            <w:pStyle w:val="10"/>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13</w:t>
            </w:r>
            <w:r w:rsidRPr="00D439AC">
              <w:rPr>
                <w:rStyle w:val="Hyperlink"/>
                <w:noProof/>
                <w:sz w:val="28"/>
                <w:szCs w:val="28"/>
                <w:rtl/>
              </w:rPr>
              <w:fldChar w:fldCharType="end"/>
            </w:r>
          </w:hyperlink>
        </w:p>
        <w:p w14:paraId="0EF8A9EB" w14:textId="3C5EE286" w:rsidR="00D439AC" w:rsidRPr="00D439AC" w:rsidRDefault="00D439AC">
          <w:pPr>
            <w:pStyle w:val="10"/>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15</w:t>
            </w:r>
            <w:r w:rsidRPr="00D439AC">
              <w:rPr>
                <w:rStyle w:val="Hyperlink"/>
                <w:noProof/>
                <w:sz w:val="28"/>
                <w:szCs w:val="28"/>
                <w:rtl/>
              </w:rPr>
              <w:fldChar w:fldCharType="end"/>
            </w:r>
          </w:hyperlink>
        </w:p>
        <w:p w14:paraId="749B4594" w14:textId="6C0F391D" w:rsidR="00D439AC" w:rsidRPr="00D439AC" w:rsidRDefault="00D439AC">
          <w:pPr>
            <w:pStyle w:val="10"/>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03C93B3A" w14:textId="1D755585" w:rsidR="00D439AC" w:rsidRPr="00D439AC" w:rsidRDefault="00D439AC">
          <w:pPr>
            <w:pStyle w:val="10"/>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59F1C84E" w14:textId="7A3C925F" w:rsidR="00D439AC" w:rsidRPr="00D439AC" w:rsidRDefault="00D439AC">
          <w:pPr>
            <w:pStyle w:val="10"/>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18</w:t>
            </w:r>
            <w:r w:rsidRPr="00D439AC">
              <w:rPr>
                <w:rStyle w:val="Hyperlink"/>
                <w:noProof/>
                <w:sz w:val="28"/>
                <w:szCs w:val="28"/>
                <w:rtl/>
              </w:rPr>
              <w:fldChar w:fldCharType="end"/>
            </w:r>
          </w:hyperlink>
        </w:p>
        <w:p w14:paraId="2B9E46EF" w14:textId="1D25997A" w:rsidR="00D439AC" w:rsidRPr="00D439AC" w:rsidRDefault="00D439AC">
          <w:pPr>
            <w:pStyle w:val="10"/>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7213F632" w14:textId="5A765BCA" w:rsidR="00D439AC" w:rsidRPr="00D439AC" w:rsidRDefault="00D439AC">
          <w:pPr>
            <w:pStyle w:val="10"/>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02D8BEEC" w14:textId="302AD336" w:rsidR="00D439AC" w:rsidRPr="00D439AC" w:rsidRDefault="00D439AC">
          <w:pPr>
            <w:pStyle w:val="10"/>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20</w:t>
            </w:r>
            <w:r w:rsidRPr="00D439AC">
              <w:rPr>
                <w:rStyle w:val="Hyperlink"/>
                <w:noProof/>
                <w:sz w:val="28"/>
                <w:szCs w:val="28"/>
                <w:rtl/>
              </w:rPr>
              <w:fldChar w:fldCharType="end"/>
            </w:r>
          </w:hyperlink>
        </w:p>
        <w:p w14:paraId="502126CB" w14:textId="6A792B94" w:rsidR="00D439AC" w:rsidRPr="00D439AC" w:rsidRDefault="00D439AC">
          <w:pPr>
            <w:pStyle w:val="10"/>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21</w:t>
            </w:r>
            <w:r w:rsidRPr="00D439AC">
              <w:rPr>
                <w:rStyle w:val="Hyperlink"/>
                <w:noProof/>
                <w:sz w:val="28"/>
                <w:szCs w:val="28"/>
                <w:rtl/>
              </w:rPr>
              <w:fldChar w:fldCharType="end"/>
            </w:r>
          </w:hyperlink>
        </w:p>
        <w:p w14:paraId="22DA2965" w14:textId="4FBA7819" w:rsidR="00D439AC" w:rsidRPr="00D439AC" w:rsidRDefault="00D439AC">
          <w:pPr>
            <w:pStyle w:val="10"/>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30</w:t>
            </w:r>
            <w:r w:rsidRPr="00D439AC">
              <w:rPr>
                <w:rStyle w:val="Hyperlink"/>
                <w:noProof/>
                <w:sz w:val="28"/>
                <w:szCs w:val="28"/>
                <w:rtl/>
              </w:rPr>
              <w:fldChar w:fldCharType="end"/>
            </w:r>
          </w:hyperlink>
        </w:p>
        <w:p w14:paraId="2672C489" w14:textId="31E1A9C1" w:rsidR="00D439AC" w:rsidRDefault="00D439AC">
          <w:pPr>
            <w:pStyle w:val="10"/>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32</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413256E8" w14:textId="77777777" w:rsidR="009B5EF9" w:rsidRDefault="009B5EF9" w:rsidP="00B91104">
      <w:pPr>
        <w:jc w:val="both"/>
        <w:rPr>
          <w:rFonts w:ascii="Simplified Arabic" w:hAnsi="Simplified Arabic" w:cs="Simplified Arabic"/>
          <w:sz w:val="28"/>
          <w:szCs w:val="28"/>
          <w:rtl/>
          <w:lang w:bidi="ar-EG"/>
        </w:rPr>
      </w:pPr>
    </w:p>
    <w:p w14:paraId="102BCA91" w14:textId="77777777" w:rsidR="009B5EF9" w:rsidRDefault="009B5EF9"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1"/>
        <w:rPr>
          <w:rtl/>
        </w:rPr>
      </w:pPr>
      <w:bookmarkStart w:id="0" w:name="_Toc202053515"/>
      <w:r w:rsidRPr="00D439AC">
        <w:rPr>
          <w:rFonts w:hint="cs"/>
          <w:rtl/>
        </w:rPr>
        <w:lastRenderedPageBreak/>
        <w:t>المقدمة:</w:t>
      </w:r>
      <w:bookmarkEnd w:id="0"/>
    </w:p>
    <w:p w14:paraId="221B01D3" w14:textId="352E51BA" w:rsidR="00D23D27" w:rsidRPr="00D23D27" w:rsidRDefault="00CE3A56" w:rsidP="006349D7">
      <w:pPr>
        <w:ind w:firstLine="720"/>
        <w:jc w:val="both"/>
        <w:rPr>
          <w:rFonts w:ascii="Simplified Arabic" w:hAnsi="Simplified Arabic" w:cs="Simplified Arabic"/>
          <w:sz w:val="28"/>
          <w:szCs w:val="28"/>
        </w:rPr>
      </w:pPr>
      <w:r w:rsidRPr="00E819C0">
        <w:rPr>
          <w:rFonts w:ascii="Simplified Arabic" w:hAnsi="Simplified Arabic" w:cs="Simplified Arabic"/>
          <w:sz w:val="28"/>
          <w:szCs w:val="28"/>
          <w:rtl/>
        </w:rPr>
        <w:t xml:space="preserve"> </w:t>
      </w:r>
      <w:r w:rsidR="006349D7" w:rsidRPr="006349D7">
        <w:rPr>
          <w:rFonts w:ascii="Simplified Arabic" w:hAnsi="Simplified Arabic" w:cs="Simplified Arabic"/>
          <w:sz w:val="28"/>
          <w:szCs w:val="28"/>
          <w:rtl/>
        </w:rPr>
        <w:t>شهدت السنوات الأخيرة تطورًا غير مسبوق في قدرات تقنيات الذكاء الاصطناعي، حيث أصبحت هذه التقنيات الركيزة الأساسية في دعم التحول الرقمي وتعزيز الفاعلية التشغيلية داخل المؤسسات على اختلاف قطاعاتها</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ومع تطور قدرات الحوسبة وازدياد حجم البيانات المتدفقة، اكتسبت المؤسسات قدرة أعلى على استخدام الخوارزميات المتقدمة في تحليل الأنماط المعقدة واتخاذ قرارات أسرع وأكثر دقة</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وقد شكّل هذا التحول نقطة انطلاق نحو تبنّي نماذج تشغيل تعتمد بشكل واسع على الأنظمة الذكية القادرة على استشعار المتغيرات المحيطة والتفاعل معها بصورة ديناميكية</w:t>
      </w:r>
      <w:r w:rsidR="006349D7" w:rsidRPr="006349D7">
        <w:t xml:space="preserve"> </w:t>
      </w:r>
      <w:r w:rsidR="006349D7" w:rsidRPr="006349D7">
        <w:rPr>
          <w:rFonts w:ascii="Simplified Arabic" w:hAnsi="Simplified Arabic" w:cs="Simplified Arabic"/>
          <w:sz w:val="28"/>
          <w:szCs w:val="28"/>
        </w:rPr>
        <w:t>(Yusuf et al., 2025).</w:t>
      </w:r>
    </w:p>
    <w:p w14:paraId="7457AACE" w14:textId="3227F237"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وتبرز أهمية الذكاء الاصطناعي بشكل خاص في العمليات التشغيلية التي تتسم بتعقيدات تنظيمية أو حجم كبير من البيانات، حيث تمكّن تقنياته المتقدمة المؤسسات من أتمتة العديد من الأنشطة الروتينية، وتقليل الأخطاء البشرية، وتخفيض الوقت المستغرق في تنفيذ المهام التشغيلية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وتُعد قدرات جمع البيانات ومعالجتها، والنماذج التنبؤية القائمة على خوارزميات التعلّم الآلي، أحد أهم المحركات الرئيسة التي تسهم في تحسين كفاءة المؤسسات، إذ توفر هذه التقنيات رؤى تحليلية تساعد في فهم السلوك التشغيلي وتوقّع التحديات قبل وقوعها</w:t>
      </w:r>
      <w:r w:rsidRPr="006349D7">
        <w:t xml:space="preserve"> </w:t>
      </w:r>
      <w:r w:rsidRPr="006349D7">
        <w:rPr>
          <w:rFonts w:ascii="Simplified Arabic" w:hAnsi="Simplified Arabic" w:cs="Simplified Arabic"/>
          <w:sz w:val="28"/>
          <w:szCs w:val="28"/>
        </w:rPr>
        <w:t>(Nathany, 2022).</w:t>
      </w:r>
    </w:p>
    <w:p w14:paraId="63955135" w14:textId="30635324"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ومع انتشار الأطر الداعمة للتحوّل الرقمي، أصبحت المؤسسات الحكومية الكبرى تنظر إلى الذكاء الاصطناعي باعتباره عنصرًا استراتيجيًا يسهم في تحقيق موثوقية أعلى للعمليات، وضمان استدامة الخدمات، ورفع مستوى جودة المخرجات التشغيلية. ومن هذا المنطلق، تشهد المؤسسات الحكومية تحولات تدريجية نحو دمج الأتمتة الذكية وأنظمة دعم القرار ضمن عملياتها اليومية، بما يعزز قدرتها على إدارة مواردها بكفاءة، والاستجابة للمتغيرات التشغيلية بشكل استباقي</w:t>
      </w:r>
      <w:r w:rsidRPr="006349D7">
        <w:t xml:space="preserve"> </w:t>
      </w:r>
      <w:r w:rsidRPr="006349D7">
        <w:rPr>
          <w:rFonts w:ascii="Simplified Arabic" w:hAnsi="Simplified Arabic" w:cs="Simplified Arabic"/>
          <w:sz w:val="28"/>
          <w:szCs w:val="28"/>
        </w:rPr>
        <w:t>(Thenmozhi &amp; Krisknakumari, 2024).</w:t>
      </w:r>
    </w:p>
    <w:p w14:paraId="4B9D71B6" w14:textId="4183FEBF" w:rsidR="006349D7" w:rsidRDefault="006349D7" w:rsidP="006349D7">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349D7">
        <w:rPr>
          <w:rFonts w:ascii="Simplified Arabic" w:hAnsi="Simplified Arabic" w:cs="Simplified Arabic"/>
          <w:sz w:val="28"/>
          <w:szCs w:val="28"/>
          <w:rtl/>
        </w:rPr>
        <w:t>تُعد سلسلة القيمة التشغيلية الإطار الذي يربط بين الأنشطة الداخلية للمؤسسة من أجل إنتاج مخرجات ذات قيمة مضافة، حيث تمثل هذه السلسلة مسارًا مترابطًا من العمليات تمتد من المدخلات الأولية إلى الخدمات النهائية المقدمة للمستفيدين</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وتُبنى كفاءة المؤسسات على قدرتها في إدارة هذه السلسلة إدارة محكمة، بما يضمن خفض الهدر، وتحسين استخدام الموارد، وتعزيز الفعالية التشغيلية</w:t>
      </w:r>
      <w:r w:rsidRPr="006349D7">
        <w:rPr>
          <w:rFonts w:ascii="Simplified Arabic" w:hAnsi="Simplified Arabic" w:cs="Simplified Arabic"/>
          <w:sz w:val="28"/>
          <w:szCs w:val="28"/>
        </w:rPr>
        <w:t>.</w:t>
      </w:r>
      <w:r w:rsidRPr="006349D7">
        <w:t xml:space="preserve"> </w:t>
      </w:r>
      <w:r w:rsidRPr="006349D7">
        <w:rPr>
          <w:rFonts w:ascii="Simplified Arabic" w:hAnsi="Simplified Arabic" w:cs="Simplified Arabic"/>
          <w:sz w:val="28"/>
          <w:szCs w:val="28"/>
        </w:rPr>
        <w:t>(Naas &amp; Berass, 2024)</w:t>
      </w:r>
    </w:p>
    <w:p w14:paraId="5FDB05CD" w14:textId="7D52CB03"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lastRenderedPageBreak/>
        <w:t>وتزداد أهمية سلسلة القيمة في المؤسسات الحكومية الكبرى نظرًا لاتساع نطاق خدماتها، وتشابك عملياتها التشغيلية، وحاجتها المستمرة إلى تحسين جودة الخدمة العامة</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إذ تواجه العديد من هذه المؤسسات تحديات متعلقة بتعقيد الهياكل التنظيمية، وكثرة الأنشطة التشغيلية، وارتفاع حجم البيانات المطلوب معالجتها، مما يجعل سلسلة القيمة عنصرًا أساسيًا في فهم الأداء المؤسسي وتحسينه</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وتظهر الحاجة إلى تبني نماذج تشغيل مرنة قابلة للتطوير، قادرة على الاستجابة لمتطلبات الكفاءة والجودة في آن واحد</w:t>
      </w:r>
      <w:r w:rsidRPr="006349D7">
        <w:rPr>
          <w:rFonts w:ascii="Simplified Arabic" w:hAnsi="Simplified Arabic" w:cs="Simplified Arabic"/>
          <w:sz w:val="28"/>
          <w:szCs w:val="28"/>
        </w:rPr>
        <w:t>.</w:t>
      </w:r>
    </w:p>
    <w:p w14:paraId="4DE69CB1" w14:textId="7BD44FBA" w:rsidR="006349D7" w:rsidRPr="006349D7"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كما تُعد سلسلة القيمة التشغيلية أداة مركزية في تحليل مصادر القوة والقصور داخل المؤسسة، إذ تساعد في تحديد نقاط الاختناق، وتحديد طبيعة العمليات التي تتطلب أتمتة أو تحسينًا، وتوجيه الجهود نحو الأنشطة ذات القيمة الأعلى</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تصبح سلسلة القيمة معيارًا محوريًا تُقاس من خلاله قدرة المؤسسة على تحقيق أهدافها التشغيلية بفعالية، وضمان استمرارية تقديم خدمات عالية المستوى</w:t>
      </w:r>
      <w:r w:rsidRPr="006349D7">
        <w:t xml:space="preserve"> </w:t>
      </w:r>
      <w:r w:rsidRPr="006349D7">
        <w:rPr>
          <w:rFonts w:ascii="Simplified Arabic" w:hAnsi="Simplified Arabic" w:cs="Simplified Arabic"/>
          <w:sz w:val="28"/>
          <w:szCs w:val="28"/>
        </w:rPr>
        <w:t>(Ghadir et al., 2024).</w:t>
      </w:r>
    </w:p>
    <w:p w14:paraId="3738E79B" w14:textId="5F51ACD0" w:rsidR="006349D7" w:rsidRP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تلتقي تقنيات الذكاء الاصطناعي وسلسلة القيمة التشغيلية في نقطة مركزية تتمثل في تعزيز كفاءة الأداء وتحسين جودة العمليات عبر الاعتماد على البيانات والتحليل التنبؤي</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فالذكاء الاصطناعي، بقدراته في جمع البيانات ومعالجتها وتوقّع السلوك التشغيلي، يمكّن المؤسسات من إعادة تصميم سلسلة القيمة بطريقة أكثر ذكاءً ومرونة، مما يضمن تحسين تدفق العمليات وتوجيه القرارات التشغيلية بناءً على أدلة رقمية دقيقة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يصبح الذكاء الاصطناعي عنصرًا محفزًا لإعادة هيكلة سلسلة القيمة التشغيلية ورفع قدرتها على التكيّف مع التحديات التشغيلية والتقنية التي تواجه المؤسسات الحكومية الكبرى</w:t>
      </w:r>
      <w:r w:rsidRPr="006349D7">
        <w:t xml:space="preserve"> </w:t>
      </w:r>
      <w:r w:rsidRPr="006349D7">
        <w:rPr>
          <w:rFonts w:ascii="Simplified Arabic" w:hAnsi="Simplified Arabic" w:cs="Simplified Arabic"/>
          <w:sz w:val="28"/>
          <w:szCs w:val="28"/>
        </w:rPr>
        <w:t>(Faisal, 2025)</w:t>
      </w:r>
      <w:r>
        <w:rPr>
          <w:rFonts w:ascii="Simplified Arabic" w:hAnsi="Simplified Arabic" w:cs="Simplified Arabic" w:hint="cs"/>
          <w:sz w:val="28"/>
          <w:szCs w:val="28"/>
          <w:rtl/>
        </w:rPr>
        <w:t>.</w:t>
      </w:r>
    </w:p>
    <w:p w14:paraId="530EA46B" w14:textId="25EDD2D2" w:rsidR="00D23D27" w:rsidRPr="009B5EF9"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وفي ضوء التطور التقني المتسارع والتحديات التشغيلية المعقدة التي تشهدها المؤسسات الحكومية، تبرز الحاجة المتزايدة لفهم العلاقة بين تقنيات الذكاء الاصطناعي وسلسلة القيمة التشغيلية كمدخل لتحسين الأداء المؤسسي</w:t>
      </w:r>
      <w:r w:rsidR="00F67029">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ومن خلال دراسة تأثير الأنظمة الذكية على السلسلة التشغيلية، يمكن تطوير نماذج أكثر كفاءة واستدامة تدعم جهود التحول الرقمي، وترفع مستوى الجاهزية التشغيلية، وتعزز قدرة المؤسسات الحكومية في المملكة العربية السعودية على تحقيق أهدافها الاستراتيجية ضمن بيئة ديناميكية متغيرة</w:t>
      </w:r>
      <w:r w:rsidRPr="006349D7">
        <w:rPr>
          <w:rFonts w:ascii="Simplified Arabic" w:hAnsi="Simplified Arabic" w:cs="Simplified Arabic"/>
          <w:sz w:val="28"/>
          <w:szCs w:val="28"/>
        </w:rPr>
        <w:t>.</w:t>
      </w:r>
      <w:r w:rsidR="00D23D27" w:rsidRPr="009B5EF9">
        <w:rPr>
          <w:rFonts w:ascii="Simplified Arabic" w:hAnsi="Simplified Arabic" w:cs="Simplified Arabic"/>
          <w:sz w:val="28"/>
          <w:szCs w:val="28"/>
          <w:rtl/>
        </w:rPr>
        <w:t xml:space="preserve"> </w:t>
      </w:r>
    </w:p>
    <w:p w14:paraId="180F5BD5" w14:textId="776BFAA2" w:rsidR="00D8772F" w:rsidRPr="00B91104" w:rsidRDefault="000E0033" w:rsidP="00D439AC">
      <w:pPr>
        <w:pStyle w:val="1"/>
        <w:rPr>
          <w:rtl/>
        </w:rPr>
      </w:pPr>
      <w:bookmarkStart w:id="1" w:name="_Toc202053516"/>
      <w:r>
        <w:rPr>
          <w:rFonts w:hint="cs"/>
          <w:rtl/>
        </w:rPr>
        <w:lastRenderedPageBreak/>
        <w:t xml:space="preserve">مشكلة الدراسة </w:t>
      </w:r>
      <w:r w:rsidR="00804FE9" w:rsidRPr="00B91104">
        <w:rPr>
          <w:rtl/>
        </w:rPr>
        <w:t>:</w:t>
      </w:r>
      <w:bookmarkEnd w:id="1"/>
    </w:p>
    <w:p w14:paraId="4B1039C5" w14:textId="3888404B"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تشهد المملكة العربية السعودية تقدّمًا متسارعًا في مسار التحول الرقمي، إلا أن التقارير الرسمية تشير إلى وجود فجوة واضحة بين الإمكانات التقنية المتاحة ومستوى توظيفها الفعلي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فقد كشف برنامج التحول الوطني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أن نسبة تبنّي التقنيات المتقدمة  وعلى رأسها الذكاء الاصطناعي لم تتجاوز</w:t>
      </w:r>
      <w:r w:rsidRPr="00021FB9">
        <w:rPr>
          <w:rFonts w:ascii="Simplified Arabic" w:hAnsi="Simplified Arabic" w:cs="Simplified Arabic"/>
          <w:sz w:val="28"/>
          <w:szCs w:val="28"/>
        </w:rPr>
        <w:t xml:space="preserve">65% </w:t>
      </w:r>
      <w:r>
        <w:rPr>
          <w:rFonts w:ascii="Simplified Arabic" w:hAnsi="Simplified Arabic" w:cs="Simplified Arabic" w:hint="cs"/>
          <w:sz w:val="28"/>
          <w:szCs w:val="28"/>
          <w:rtl/>
        </w:rPr>
        <w:t xml:space="preserve"> </w:t>
      </w:r>
      <w:r w:rsidRPr="00021FB9">
        <w:rPr>
          <w:rFonts w:ascii="Simplified Arabic" w:hAnsi="Simplified Arabic" w:cs="Simplified Arabic"/>
          <w:sz w:val="28"/>
          <w:szCs w:val="28"/>
          <w:rtl/>
        </w:rPr>
        <w:t>من إجمالي الجهات الحكومية، رغم توفر البنية التحتية الرقمية اللازمة. كما أشار ديوان المحاسبة</w:t>
      </w:r>
      <w:r w:rsidRPr="00021FB9">
        <w:rPr>
          <w:rFonts w:ascii="Simplified Arabic" w:hAnsi="Simplified Arabic" w:cs="Simplified Arabic"/>
          <w:sz w:val="28"/>
          <w:szCs w:val="28"/>
        </w:rPr>
        <w:t xml:space="preserve"> (2024) </w:t>
      </w:r>
      <w:r w:rsidRPr="00021FB9">
        <w:rPr>
          <w:rFonts w:ascii="Simplified Arabic" w:hAnsi="Simplified Arabic" w:cs="Simplified Arabic"/>
          <w:sz w:val="28"/>
          <w:szCs w:val="28"/>
          <w:rtl/>
        </w:rPr>
        <w:t xml:space="preserve">إلى أن نحو </w:t>
      </w:r>
      <w:r w:rsidRPr="00021FB9">
        <w:rPr>
          <w:rFonts w:ascii="Simplified Arabic" w:hAnsi="Simplified Arabic" w:cs="Simplified Arabic"/>
          <w:sz w:val="28"/>
          <w:szCs w:val="28"/>
        </w:rPr>
        <w:t xml:space="preserve">47% </w:t>
      </w:r>
      <w:r w:rsidRPr="00021FB9">
        <w:rPr>
          <w:rFonts w:ascii="Simplified Arabic" w:hAnsi="Simplified Arabic" w:cs="Simplified Arabic"/>
          <w:sz w:val="28"/>
          <w:szCs w:val="28"/>
          <w:rtl/>
        </w:rPr>
        <w:t xml:space="preserve">من المؤسسات الحكومية ما تزال تعتمد أنظمة تشغيلية تقليدية لا تدعم التكامل الذكي أو التحليل التنبؤي، مما يؤثر بصورة مباشرة في كفاءة سلسلة القيمة التشغيلية ، </w:t>
      </w: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أظهرت تقارير الهيئة الوطنية للأمن السيبراني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أن أكثر من 52</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من الأعطال التشغيلية المسجّلة كان سببها ضعف جودة البيانات وقصور عمليات المعالجة الرقمية، وهما عنصران أساسيان لنجاح أنظمة الذكاء الاصطناعي</w:t>
      </w:r>
      <w:r w:rsidRPr="00021FB9">
        <w:rPr>
          <w:rFonts w:ascii="Simplified Arabic" w:hAnsi="Simplified Arabic" w:cs="Simplified Arabic" w:hint="cs"/>
          <w:sz w:val="28"/>
          <w:szCs w:val="28"/>
          <w:rtl/>
        </w:rPr>
        <w:t>، و</w:t>
      </w:r>
      <w:r w:rsidRPr="00021FB9">
        <w:rPr>
          <w:rFonts w:ascii="Simplified Arabic" w:hAnsi="Simplified Arabic" w:cs="Simplified Arabic"/>
          <w:sz w:val="28"/>
          <w:szCs w:val="28"/>
          <w:rtl/>
        </w:rPr>
        <w:t>هذه المؤشرات مجتمعة توضح وجود خلل جوهري بين جاهزية البنية الرقمية الحكومية وبين الاستفادة الفعلية من تقنيات الذكاء الاصطناعي في تحسين العمليات التشغيلية</w:t>
      </w:r>
      <w:r w:rsidRPr="00021FB9">
        <w:rPr>
          <w:rFonts w:ascii="Simplified Arabic" w:hAnsi="Simplified Arabic" w:cs="Simplified Arabic"/>
          <w:sz w:val="28"/>
          <w:szCs w:val="28"/>
        </w:rPr>
        <w:t>.</w:t>
      </w:r>
    </w:p>
    <w:p w14:paraId="41F49693" w14:textId="12CA2DE1"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على الرغم من وفرة الدراسات التي تناولت الذكاء الاصطناعي وعلاقته بالقيمة التشغيلية، إلا أن معظمها ركّز على القطاعات الخاصة والصناعية واللوجستية</w:t>
      </w:r>
      <w:r w:rsidRPr="00021FB9">
        <w:rPr>
          <w:rFonts w:ascii="Simplified Arabic" w:hAnsi="Simplified Arabic" w:cs="Simplified Arabic"/>
          <w:sz w:val="28"/>
          <w:szCs w:val="28"/>
        </w:rPr>
        <w:t xml:space="preserve"> (Yusuf et al., 2025; Nathany, 2022)</w:t>
      </w:r>
      <w:r w:rsidRPr="00021FB9">
        <w:rPr>
          <w:rFonts w:ascii="Simplified Arabic" w:hAnsi="Simplified Arabic" w:cs="Simplified Arabic"/>
          <w:sz w:val="28"/>
          <w:szCs w:val="28"/>
          <w:rtl/>
        </w:rPr>
        <w:t>، أو على القطاع المصرفي والمالي</w:t>
      </w:r>
      <w:r w:rsidRPr="00021FB9">
        <w:rPr>
          <w:rFonts w:ascii="Simplified Arabic" w:hAnsi="Simplified Arabic" w:cs="Simplified Arabic"/>
          <w:sz w:val="28"/>
          <w:szCs w:val="28"/>
        </w:rPr>
        <w:t xml:space="preserve"> (Pokamestov &amp; Nikitin, 2024)</w:t>
      </w:r>
      <w:r w:rsidRPr="00021FB9">
        <w:rPr>
          <w:rFonts w:ascii="Simplified Arabic" w:hAnsi="Simplified Arabic" w:cs="Simplified Arabic"/>
          <w:sz w:val="28"/>
          <w:szCs w:val="28"/>
          <w:rtl/>
        </w:rPr>
        <w:t xml:space="preserve">، بينما ظلّ القطاع الحكومي وخاصة المؤسسات الحكومية الكبرى في المملكة خارج نطاق البحث العلمي المباشر. </w:t>
      </w:r>
    </w:p>
    <w:p w14:paraId="49E13E98" w14:textId="6BF2C7F8"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كما أن الدراسات المتاحة لم تعالج أثر تقنيات الذكاء الاصطناعي ضمن إطار متكامل يضم أبعادًا محورية مثل</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جمع البيانات ومعالجتها، النماذج التنبؤية، الأتمتة الذكية، وأنظمة دعم القرار، كما لم تدرس تأثيرها على سلسلة القيمة التشغيلية يعكس كفاءة الأداء المؤسسي</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وتشير تقارير </w:t>
      </w:r>
      <w:r w:rsidRPr="00021FB9">
        <w:rPr>
          <w:rFonts w:ascii="Simplified Arabic" w:hAnsi="Simplified Arabic" w:cs="Simplified Arabic"/>
          <w:sz w:val="28"/>
          <w:szCs w:val="28"/>
        </w:rPr>
        <w:t xml:space="preserve">OECD (2023) </w:t>
      </w:r>
      <w:r w:rsidRPr="00021FB9">
        <w:rPr>
          <w:rFonts w:ascii="Simplified Arabic" w:hAnsi="Simplified Arabic" w:cs="Simplified Arabic"/>
          <w:sz w:val="28"/>
          <w:szCs w:val="28"/>
          <w:rtl/>
        </w:rPr>
        <w:t xml:space="preserve">إلى أن الحكومات التي نجحت في دمج الذكاء الاصطناعي في عملياتها التشغيلية حققت تحسنًا يتراوح بين </w:t>
      </w:r>
      <w:r w:rsidRPr="00021FB9">
        <w:rPr>
          <w:rFonts w:ascii="Simplified Arabic" w:hAnsi="Simplified Arabic" w:cs="Simplified Arabic"/>
          <w:sz w:val="28"/>
          <w:szCs w:val="28"/>
        </w:rPr>
        <w:t xml:space="preserve">20% </w:t>
      </w:r>
      <w:r w:rsidRPr="00021FB9">
        <w:rPr>
          <w:rFonts w:ascii="Simplified Arabic" w:hAnsi="Simplified Arabic" w:cs="Simplified Arabic"/>
          <w:sz w:val="28"/>
          <w:szCs w:val="28"/>
          <w:rtl/>
        </w:rPr>
        <w:t>و30</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في كفاءة الخدمات العامة، مما يؤكد الحاجة لمعالجة هذا الفراغ البحثي محليًا داخل السياق السعودي</w:t>
      </w:r>
      <w:r w:rsidRPr="00021FB9">
        <w:rPr>
          <w:rFonts w:ascii="Simplified Arabic" w:hAnsi="Simplified Arabic" w:cs="Simplified Arabic"/>
          <w:sz w:val="28"/>
          <w:szCs w:val="28"/>
        </w:rPr>
        <w:t>.</w:t>
      </w:r>
    </w:p>
    <w:p w14:paraId="1DA6496A" w14:textId="77777777"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sz w:val="28"/>
          <w:szCs w:val="28"/>
          <w:rtl/>
        </w:rPr>
        <w:t>استنادًا لما سبق، تتبلور مشكلة الدراسة في وجود فجوة واضحة بين التطور التقني الذي تشهده المملكة العربية السعودية وبين الاستفادة الفعلية من تقنيات الذكاء الاصطناعي في تحسين سلسلة القيمة التشغيلية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فبرغم توفر البنية الرقمية المتقدمة، إلا أن محدودية استخدام </w:t>
      </w:r>
      <w:r w:rsidRPr="00021FB9">
        <w:rPr>
          <w:rFonts w:ascii="Simplified Arabic" w:hAnsi="Simplified Arabic" w:cs="Simplified Arabic"/>
          <w:sz w:val="28"/>
          <w:szCs w:val="28"/>
          <w:rtl/>
        </w:rPr>
        <w:lastRenderedPageBreak/>
        <w:t xml:space="preserve">النماذج التنبؤية، وضعف تكامل البيانات، وعدم تفعيل الأتمتة الذكية على نطاق واسع، جميعها عوامل تؤدي إلى استمرار أنماط تشغيل تقليدية تتسم بالبطء وارتفاع التكاليف وتفاوت جودة الأداء. </w:t>
      </w:r>
    </w:p>
    <w:p w14:paraId="321D25E1" w14:textId="580BB84D" w:rsidR="00804FE9" w:rsidRPr="005D0A6D" w:rsidRDefault="005D0A6D" w:rsidP="00E819C0">
      <w:pPr>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وبناءا على </w:t>
      </w:r>
      <w:r w:rsidR="004D35D3" w:rsidRPr="005D0A6D">
        <w:rPr>
          <w:rFonts w:ascii="Simplified Arabic" w:hAnsi="Simplified Arabic" w:cs="Simplified Arabic"/>
          <w:sz w:val="28"/>
          <w:szCs w:val="28"/>
          <w:rtl/>
          <w:lang w:bidi="ar-EG"/>
        </w:rPr>
        <w:t>سبق يمكن صياغة مشكلة الدراسة في التساؤل الرئيس التالي:</w:t>
      </w:r>
    </w:p>
    <w:p w14:paraId="7653D77F" w14:textId="63EE5976" w:rsidR="004D35D3" w:rsidRPr="005D0A6D" w:rsidRDefault="00234EE9" w:rsidP="00234EE9">
      <w:pPr>
        <w:jc w:val="both"/>
        <w:rPr>
          <w:rFonts w:ascii="Simplified Arabic" w:hAnsi="Simplified Arabic" w:cs="Simplified Arabic"/>
          <w:sz w:val="28"/>
          <w:szCs w:val="28"/>
          <w:rtl/>
          <w:lang w:bidi="ar-EG"/>
        </w:rPr>
      </w:pPr>
      <w:r w:rsidRPr="00234EE9">
        <w:rPr>
          <w:rFonts w:ascii="Simplified Arabic" w:hAnsi="Simplified Arabic" w:cs="Simplified Arabic"/>
          <w:sz w:val="28"/>
          <w:szCs w:val="28"/>
          <w:rtl/>
        </w:rPr>
        <w:t>إلى أي مدى تُسهم تقنيات الذكاء الاصطناعي بأبعادها (جمع البيانات ومعالجتها، النماذج التنبؤية، الأتمتة الذكية، وأنظمة دعم القرار) في تحسين سلسلة القيمة التشغيلية في المؤسسات الحكومية الكبرى في المملكة العربية السعودية؟</w:t>
      </w:r>
      <w:r>
        <w:rPr>
          <w:rFonts w:ascii="Simplified Arabic" w:hAnsi="Simplified Arabic" w:cs="Simplified Arabic" w:hint="cs"/>
          <w:sz w:val="28"/>
          <w:szCs w:val="28"/>
          <w:rtl/>
        </w:rPr>
        <w:t xml:space="preserve"> </w:t>
      </w:r>
      <w:r w:rsidR="000E0033" w:rsidRPr="005D0A6D">
        <w:rPr>
          <w:rFonts w:ascii="Simplified Arabic" w:hAnsi="Simplified Arabic" w:cs="Simplified Arabic" w:hint="cs"/>
          <w:sz w:val="28"/>
          <w:szCs w:val="28"/>
          <w:rtl/>
          <w:lang w:bidi="ar-EG"/>
        </w:rPr>
        <w:t>وتتفرع منها عدة أسئلة فرعية :</w:t>
      </w:r>
    </w:p>
    <w:p w14:paraId="720AF6D3"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مستوى تطبيق تقنيات الذكاء الاصطناعي بأبعادها المختلفة داخل المؤسسات الحكومية الكبرى، وما مدى جاهزيتها التقنية والتنظيمية لاستيعاب هذه التقنيات؟</w:t>
      </w:r>
    </w:p>
    <w:p w14:paraId="29B7479D"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واقع سلسلة القيمة التشغيلية في المؤسسات الحكومية الكبرى، وما أبرز نقاط القوة والقصور في مراحلها المختلفة قبل تطبيق الذكاء الاصطناعي؟</w:t>
      </w:r>
    </w:p>
    <w:p w14:paraId="63CA9913"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طبيعة العلاقة بين قدرات جمع البيانات ومعالجتها وبين تحسين تدفق العمليات التشغيلية في سلسلة القيمة داخل المؤسسات الحكومية؟</w:t>
      </w:r>
    </w:p>
    <w:p w14:paraId="1B2C13F9"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إلى أي مدى تسهم النماذج التنبؤية في تعزيز التخطيط التشغيلي والقدرة على توقع الاحتياجات التشغيلية وتقليل التعطل في سلسلة القيمة التشغيلية؟</w:t>
      </w:r>
    </w:p>
    <w:p w14:paraId="480ED34D"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دور الأتمتة الذكية في الارتقاء بكفاءة سلسلة القيمة التشغيلية، وكيف تؤثر في سرعة وجودة إنجاز الإجراءات الحكومية؟</w:t>
      </w:r>
    </w:p>
    <w:p w14:paraId="65835DB7"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كيف تؤثر أنظمة دعم القرار على تحسين التكامل بين مراحل سلسلة القيمة التشغيلية، ورفع مستوى الاتساق والفعالية في اتخاذ القرارات؟</w:t>
      </w:r>
    </w:p>
    <w:p w14:paraId="0A07276E"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الأبعاد الأكثر تأثيرًا من بين تقنيات الذكاء الاصطناعي في تحسين سلسلة القيمة التشغيلية في المؤسسات الحكومية الكبرى؟</w:t>
      </w:r>
    </w:p>
    <w:p w14:paraId="7EC985AE" w14:textId="50D40CCD" w:rsidR="0091397D" w:rsidRPr="005D0A6D" w:rsidRDefault="00234EE9">
      <w:pPr>
        <w:numPr>
          <w:ilvl w:val="0"/>
          <w:numId w:val="3"/>
        </w:numPr>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كيف يمكن توظيف نتائج الدراسة في بناء نموذج تطبيقي متكامل لتطوير سلسلة القيمة التشغيلية اعتمادًا على تقنيات الذكاء الاصطناعي ودعم التحول الرقمي الحكومي؟</w:t>
      </w:r>
      <w:r w:rsidR="00C01A90" w:rsidRPr="005D0A6D">
        <w:rPr>
          <w:rFonts w:ascii="Simplified Arabic" w:hAnsi="Simplified Arabic" w:cs="Simplified Arabic"/>
          <w:sz w:val="28"/>
          <w:szCs w:val="28"/>
          <w:rtl/>
        </w:rPr>
        <w:t>؟</w:t>
      </w:r>
    </w:p>
    <w:p w14:paraId="552CDDD3" w14:textId="6FFA8C6D" w:rsidR="001B43EF" w:rsidRPr="00B91104" w:rsidRDefault="001B43EF" w:rsidP="00D439AC">
      <w:pPr>
        <w:pStyle w:val="1"/>
        <w:rPr>
          <w:rtl/>
        </w:rPr>
      </w:pPr>
      <w:bookmarkStart w:id="2" w:name="_Toc202053517"/>
      <w:r w:rsidRPr="00B91104">
        <w:rPr>
          <w:rtl/>
        </w:rPr>
        <w:lastRenderedPageBreak/>
        <w:t xml:space="preserve">أهمية </w:t>
      </w:r>
      <w:r w:rsidR="00D439AC">
        <w:rPr>
          <w:rtl/>
        </w:rPr>
        <w:t>الدراسة</w:t>
      </w:r>
      <w:bookmarkEnd w:id="2"/>
      <w:r w:rsidR="00D439AC">
        <w:rPr>
          <w:rtl/>
        </w:rPr>
        <w:t xml:space="preserve"> </w:t>
      </w:r>
    </w:p>
    <w:p w14:paraId="27230455" w14:textId="572695B1" w:rsidR="00F41775" w:rsidRPr="00234EE9" w:rsidRDefault="00234EE9" w:rsidP="00234EE9">
      <w:pPr>
        <w:ind w:firstLine="720"/>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تنبع أهمية هذه الدراسة من كونها تتناول أحد أكثر الموضوعات المعاصرة تأثيراً في تطوير الأداء الحكومي، وهو توظيف الذكاء الاصطناعي في تحسين سلسلة القيمة التشغيلية، وذلك في ظل التحول الرقمي الواسع الذي تشهده المملكة العربية السعودية ضمن رؤية 2030. وتتجلى أهمية الدراسة في عدة محاور رئيسة</w:t>
      </w:r>
      <w:r w:rsidRPr="00234EE9">
        <w:rPr>
          <w:rFonts w:ascii="Simplified Arabic" w:hAnsi="Simplified Arabic" w:cs="Simplified Arabic"/>
          <w:sz w:val="28"/>
          <w:szCs w:val="28"/>
        </w:rPr>
        <w:t>:</w:t>
      </w:r>
      <w:r w:rsidR="00F373DC" w:rsidRPr="00234EE9">
        <w:rPr>
          <w:rFonts w:ascii="Simplified Arabic" w:hAnsi="Simplified Arabic" w:cs="Simplified Arabic"/>
          <w:sz w:val="28"/>
          <w:szCs w:val="28"/>
        </w:rPr>
        <w:t>.</w:t>
      </w:r>
    </w:p>
    <w:p w14:paraId="0569EA6E" w14:textId="77777777" w:rsidR="00F41775" w:rsidRPr="005D0A6D" w:rsidRDefault="00F41775" w:rsidP="00F41775">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وتتمثل أهمية الدراسة فيما يلي</w:t>
      </w:r>
      <w:r w:rsidRPr="005D0A6D">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49F33531" w:rsidR="00F41775" w:rsidRPr="005D0A6D" w:rsidRDefault="00F754CF" w:rsidP="00F754CF">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تنبع الأهمية العلمية لهذه الدراسة من حداثة موضوعها وتكامل أبعاده ، هي</w:t>
      </w:r>
      <w:r w:rsidRPr="005D0A6D">
        <w:rPr>
          <w:rFonts w:ascii="Simplified Arabic" w:hAnsi="Simplified Arabic" w:cs="Simplified Arabic"/>
          <w:sz w:val="28"/>
          <w:szCs w:val="28"/>
        </w:rPr>
        <w:t>:</w:t>
      </w:r>
    </w:p>
    <w:p w14:paraId="6AD1A191"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إثراء المعرفة العلمية من خلال تقديم إطار نظري متكامل يربط بين أبعاد الذكاء الاصطناعي وسلسلة القيمة التشغيلية في المؤسسات الحكومية، وهو ربط نادر في الأدبيات العربية.</w:t>
      </w:r>
    </w:p>
    <w:p w14:paraId="5D448248"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سد فجوة بحثية تتعلق بندرة الدراسات التي تعالج سلسلة القيمة التشغيلية كمتغير تابع أحادي المحور في السياق الحكومي، خاصة في ظل التحول الرقمي المتسارع.</w:t>
      </w:r>
    </w:p>
    <w:p w14:paraId="465CBC28"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تطوير منظور جديد لفهم دور الذكاء الاصطناعي بوصفه محركاً استراتيجياً لتحسين الكفاءة التشغيلية، وليس مجرد أداة تقنية داعمة.</w:t>
      </w:r>
    </w:p>
    <w:p w14:paraId="35B08CEB"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إضافة نموذج مفاهيمي حديث يمكن أن تعتمد عليه الدراسات اللاحقة في تفسير العلاقة بين الذكاء الاصطناعي والتحولات التشغيلية في القطاع الحكومي.</w:t>
      </w:r>
    </w:p>
    <w:p w14:paraId="10810880"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تعزيز الأدبيات المتخصصة في مجالات الإدارة العامة والتحول الرقمي، من خلال تقديم تحليل شامل لأبعاد الذكاء الاصطناعي وكيفية تأثيرها في منظومات القيمة.</w:t>
      </w:r>
    </w:p>
    <w:p w14:paraId="28848E0C" w14:textId="623903EC" w:rsidR="00F41775" w:rsidRDefault="00602A7D">
      <w:pPr>
        <w:numPr>
          <w:ilvl w:val="0"/>
          <w:numId w:val="4"/>
        </w:numPr>
        <w:jc w:val="both"/>
        <w:rPr>
          <w:rFonts w:ascii="Simplified Arabic" w:hAnsi="Simplified Arabic" w:cs="Simplified Arabic"/>
          <w:sz w:val="28"/>
          <w:szCs w:val="28"/>
          <w:lang w:bidi="ar-EG"/>
        </w:rPr>
      </w:pPr>
      <w:r w:rsidRPr="00602A7D">
        <w:rPr>
          <w:rFonts w:ascii="Simplified Arabic" w:hAnsi="Simplified Arabic" w:cs="Simplified Arabic"/>
          <w:sz w:val="28"/>
          <w:szCs w:val="28"/>
          <w:rtl/>
        </w:rPr>
        <w:t>توفير أساس نظري يمكن البناء عليه في البحوث المستقبلية حول التطبيقات الحكومية للذكاء الاصطناعي، بما يسهم في تكوين تراكم معرفي متقدم.</w:t>
      </w:r>
      <w:r w:rsidR="00F41775" w:rsidRPr="00F41775">
        <w:rPr>
          <w:rFonts w:ascii="Simplified Arabic" w:hAnsi="Simplified Arabic" w:cs="Simplified Arabic"/>
          <w:sz w:val="28"/>
          <w:szCs w:val="28"/>
          <w:lang w:bidi="ar-EG"/>
        </w:rPr>
        <w:t>.</w:t>
      </w:r>
    </w:p>
    <w:p w14:paraId="79901832" w14:textId="77777777" w:rsidR="00332430" w:rsidRDefault="00332430" w:rsidP="00332430">
      <w:pPr>
        <w:jc w:val="both"/>
        <w:rPr>
          <w:rFonts w:ascii="Simplified Arabic" w:hAnsi="Simplified Arabic" w:cs="Simplified Arabic"/>
          <w:sz w:val="28"/>
          <w:szCs w:val="28"/>
          <w:rtl/>
          <w:lang w:bidi="ar-EG"/>
        </w:rPr>
      </w:pPr>
    </w:p>
    <w:p w14:paraId="37860C9F" w14:textId="77777777" w:rsidR="00332430" w:rsidRPr="00F41775" w:rsidRDefault="00332430" w:rsidP="00332430">
      <w:pPr>
        <w:jc w:val="both"/>
        <w:rPr>
          <w:rFonts w:ascii="Simplified Arabic" w:hAnsi="Simplified Arabic" w:cs="Simplified Arabic"/>
          <w:sz w:val="28"/>
          <w:szCs w:val="28"/>
          <w:lang w:bidi="ar-EG"/>
        </w:rPr>
      </w:pP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lastRenderedPageBreak/>
        <w:t>ثانيًا: الأهمية ال</w:t>
      </w:r>
      <w:r w:rsidR="00D439AC">
        <w:rPr>
          <w:rFonts w:ascii="Simplified Arabic" w:hAnsi="Simplified Arabic" w:cs="Simplified Arabic" w:hint="cs"/>
          <w:b/>
          <w:bCs/>
          <w:sz w:val="28"/>
          <w:szCs w:val="28"/>
          <w:rtl/>
          <w:lang w:bidi="ar-EG"/>
        </w:rPr>
        <w:t xml:space="preserve">عملية </w:t>
      </w:r>
    </w:p>
    <w:p w14:paraId="5261CB90" w14:textId="77777777"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تُعد الدراسة مرجعاً عملياً لصنّاع القرار الحكومي</w:t>
      </w:r>
      <w:r w:rsidRPr="00602A7D">
        <w:rPr>
          <w:rFonts w:ascii="Simplified Arabic" w:hAnsi="Simplified Arabic" w:cs="Simplified Arabic" w:hint="cs"/>
          <w:sz w:val="28"/>
          <w:szCs w:val="28"/>
          <w:rtl/>
        </w:rPr>
        <w:t xml:space="preserve"> في كيفية تصميم وتطوير سلسلة القيمة التشغيلية اعتماداً على تطبيقات الذكاء الاصطناعي الأكثر تأثيراً</w:t>
      </w:r>
      <w:r w:rsidRPr="00602A7D">
        <w:rPr>
          <w:rFonts w:ascii="Simplified Arabic" w:hAnsi="Simplified Arabic" w:cs="Simplified Arabic" w:hint="cs"/>
          <w:sz w:val="28"/>
          <w:szCs w:val="28"/>
        </w:rPr>
        <w:t>.</w:t>
      </w:r>
    </w:p>
    <w:p w14:paraId="0CCB3087" w14:textId="0237FE86"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تساعد المؤسسات الحكومية على رفع الكفاءة التشغيلية</w:t>
      </w:r>
      <w:r w:rsidRPr="00602A7D">
        <w:rPr>
          <w:rFonts w:ascii="Simplified Arabic" w:hAnsi="Simplified Arabic" w:cs="Simplified Arabic" w:hint="cs"/>
          <w:sz w:val="28"/>
          <w:szCs w:val="28"/>
          <w:rtl/>
        </w:rPr>
        <w:t xml:space="preserve"> عبر فهم نقاط الضعف في تدفق العمليات والقدرة على معالجتها تقنياً باستخدام الأتمتة، النماذج التنبؤية، ونظم دعم القرار</w:t>
      </w:r>
      <w:r w:rsidRPr="00602A7D">
        <w:rPr>
          <w:rFonts w:ascii="Simplified Arabic" w:hAnsi="Simplified Arabic" w:cs="Simplified Arabic" w:hint="cs"/>
          <w:sz w:val="28"/>
          <w:szCs w:val="28"/>
        </w:rPr>
        <w:t>.</w:t>
      </w:r>
    </w:p>
    <w:p w14:paraId="6A115D05" w14:textId="392C0697"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تسهم في تطوير خطط التحول الرقمي</w:t>
      </w:r>
      <w:r w:rsidRPr="00602A7D">
        <w:rPr>
          <w:rFonts w:ascii="Simplified Arabic" w:hAnsi="Simplified Arabic" w:cs="Simplified Arabic" w:hint="cs"/>
          <w:sz w:val="28"/>
          <w:szCs w:val="28"/>
          <w:rtl/>
        </w:rPr>
        <w:t xml:space="preserve"> من خلال تحديد مجالات الأولوية التي يجب الاستثمار فيها لتحقيق أعلى أثر تشغيلي باستخدام تقنيات الذكاء الاصطناعي</w:t>
      </w:r>
      <w:r w:rsidRPr="00602A7D">
        <w:rPr>
          <w:rFonts w:ascii="Simplified Arabic" w:hAnsi="Simplified Arabic" w:cs="Simplified Arabic" w:hint="cs"/>
          <w:sz w:val="28"/>
          <w:szCs w:val="28"/>
        </w:rPr>
        <w:t>.</w:t>
      </w:r>
    </w:p>
    <w:p w14:paraId="372A6893" w14:textId="6905934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بناء بيئة تشغيلية ذكية</w:t>
      </w:r>
      <w:r w:rsidRPr="00602A7D">
        <w:rPr>
          <w:rFonts w:ascii="Simplified Arabic" w:hAnsi="Simplified Arabic" w:cs="Simplified Arabic" w:hint="cs"/>
          <w:sz w:val="28"/>
          <w:szCs w:val="28"/>
          <w:rtl/>
        </w:rPr>
        <w:t xml:space="preserve"> يمكن من خلالها تسريع الإجراءات، تقليل الأخطاء، وتحسين جودة الخدمات المقدمة للمواطنين والمستفيدين</w:t>
      </w:r>
      <w:r w:rsidRPr="00602A7D">
        <w:rPr>
          <w:rFonts w:ascii="Simplified Arabic" w:hAnsi="Simplified Arabic" w:cs="Simplified Arabic" w:hint="cs"/>
          <w:sz w:val="28"/>
          <w:szCs w:val="28"/>
        </w:rPr>
        <w:t>.</w:t>
      </w:r>
    </w:p>
    <w:p w14:paraId="70FAAE7C" w14:textId="15EF825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تمكن المؤسسات الحكومية من تحسين إدارة الموارد</w:t>
      </w:r>
      <w:r w:rsidRPr="00602A7D">
        <w:rPr>
          <w:rFonts w:ascii="Simplified Arabic" w:hAnsi="Simplified Arabic" w:cs="Simplified Arabic" w:hint="cs"/>
          <w:sz w:val="28"/>
          <w:szCs w:val="28"/>
          <w:rtl/>
        </w:rPr>
        <w:t xml:space="preserve"> عبر تعزيز الدقة في عمليات جمع البيانات ومعالجتها، مما يؤدي إلى قرارات تشغيلية أكثر فعالية</w:t>
      </w:r>
      <w:r w:rsidRPr="00602A7D">
        <w:rPr>
          <w:rFonts w:ascii="Simplified Arabic" w:hAnsi="Simplified Arabic" w:cs="Simplified Arabic" w:hint="cs"/>
          <w:sz w:val="28"/>
          <w:szCs w:val="28"/>
        </w:rPr>
        <w:t>.</w:t>
      </w:r>
    </w:p>
    <w:p w14:paraId="5C04B824" w14:textId="2067963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توفر إطاراً قابلاً للتطبيق</w:t>
      </w:r>
      <w:r w:rsidRPr="00602A7D">
        <w:rPr>
          <w:rFonts w:ascii="Simplified Arabic" w:hAnsi="Simplified Arabic" w:cs="Simplified Arabic" w:hint="cs"/>
          <w:sz w:val="28"/>
          <w:szCs w:val="28"/>
          <w:rtl/>
        </w:rPr>
        <w:t xml:space="preserve"> على مستويات مؤسسية مختلفة، مما يساعد المؤسسات الحكومية على مواءمة أنظمتها التشغيلية مع المعايير الرقمية الحديثة</w:t>
      </w:r>
      <w:r w:rsidRPr="00602A7D">
        <w:rPr>
          <w:rFonts w:ascii="Simplified Arabic" w:hAnsi="Simplified Arabic" w:cs="Simplified Arabic" w:hint="cs"/>
          <w:sz w:val="28"/>
          <w:szCs w:val="28"/>
        </w:rPr>
        <w:t>.</w:t>
      </w:r>
    </w:p>
    <w:p w14:paraId="3C1928E7" w14:textId="40F9F985"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تعزز الاستدامة التشغيلية في القطاع الحكومي</w:t>
      </w:r>
      <w:r w:rsidRPr="00602A7D">
        <w:rPr>
          <w:rFonts w:ascii="Simplified Arabic" w:hAnsi="Simplified Arabic" w:cs="Simplified Arabic" w:hint="cs"/>
          <w:sz w:val="28"/>
          <w:szCs w:val="28"/>
          <w:rtl/>
        </w:rPr>
        <w:t xml:space="preserve"> عبر طرح أساليب علمية لتقليل الهدر وتحسين الإنتاجية بصورة مستدامة</w:t>
      </w:r>
      <w:r w:rsidRPr="00602A7D">
        <w:rPr>
          <w:rFonts w:ascii="Simplified Arabic" w:hAnsi="Simplified Arabic" w:cs="Simplified Arabic" w:hint="cs"/>
          <w:sz w:val="28"/>
          <w:szCs w:val="28"/>
        </w:rPr>
        <w:t>.</w:t>
      </w:r>
    </w:p>
    <w:p w14:paraId="2C42E802" w14:textId="50E638BC"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تحقيق أهداف رؤية المملكة 2030</w:t>
      </w:r>
      <w:r w:rsidRPr="00602A7D">
        <w:rPr>
          <w:rFonts w:ascii="Simplified Arabic" w:hAnsi="Simplified Arabic" w:cs="Simplified Arabic" w:hint="cs"/>
          <w:sz w:val="28"/>
          <w:szCs w:val="28"/>
          <w:rtl/>
        </w:rPr>
        <w:t xml:space="preserve"> في محاور الحكومة الذكية، كفاءة الإنفاق، ورفع جودة الحياة، من خلال ربط التحول التقني بالأداء التشغيلي الفعلي</w:t>
      </w:r>
      <w:r w:rsidRPr="00602A7D">
        <w:rPr>
          <w:rFonts w:ascii="Simplified Arabic" w:hAnsi="Simplified Arabic" w:cs="Simplified Arabic" w:hint="cs"/>
          <w:sz w:val="28"/>
          <w:szCs w:val="28"/>
        </w:rPr>
        <w:t>.</w:t>
      </w:r>
    </w:p>
    <w:p w14:paraId="328F39B1" w14:textId="17D3A0E4" w:rsidR="00D42274" w:rsidRPr="00B91104" w:rsidRDefault="00D42274" w:rsidP="00D439AC">
      <w:pPr>
        <w:pStyle w:val="1"/>
        <w:rPr>
          <w:rtl/>
        </w:rPr>
      </w:pPr>
      <w:bookmarkStart w:id="3" w:name="_Toc202053518"/>
      <w:r w:rsidRPr="00B91104">
        <w:rPr>
          <w:rtl/>
        </w:rPr>
        <w:t xml:space="preserve">أهداف </w:t>
      </w:r>
      <w:r w:rsidR="00D439AC">
        <w:rPr>
          <w:rtl/>
        </w:rPr>
        <w:t>الدراسة</w:t>
      </w:r>
      <w:bookmarkEnd w:id="3"/>
      <w:r w:rsidR="00D439AC">
        <w:rPr>
          <w:rtl/>
        </w:rPr>
        <w:t xml:space="preserve"> </w:t>
      </w:r>
    </w:p>
    <w:p w14:paraId="1B43BE1F" w14:textId="50528596" w:rsidR="00C01A90" w:rsidRPr="005D0A6D" w:rsidRDefault="00234EE9" w:rsidP="00234EE9">
      <w:pPr>
        <w:ind w:firstLine="720"/>
        <w:jc w:val="both"/>
        <w:rPr>
          <w:rFonts w:ascii="Simplified Arabic" w:hAnsi="Simplified Arabic" w:cs="Simplified Arabic"/>
          <w:sz w:val="28"/>
          <w:szCs w:val="28"/>
        </w:rPr>
      </w:pPr>
      <w:r w:rsidRPr="00234EE9">
        <w:rPr>
          <w:rFonts w:ascii="Simplified Arabic" w:hAnsi="Simplified Arabic" w:cs="Simplified Arabic"/>
          <w:sz w:val="28"/>
          <w:szCs w:val="28"/>
          <w:rtl/>
        </w:rPr>
        <w:t>تهدف هذه الدراسة إلى تحليل أثر الذكاء الاصطناعي بأبعاده (جمع البيانات ومعالجتها، النماذج التنبؤية، الأتمتة الذكية، أنظمة دعم القرار) على سلسلة القيمة التشغيلية بوصفها متغيرًا تابعًا أحادي المحور في المؤسسات الحكومية الكبرى في المملكة العربية السعودية</w:t>
      </w:r>
      <w:r>
        <w:rPr>
          <w:rFonts w:ascii="Simplified Arabic" w:hAnsi="Simplified Arabic" w:cs="Simplified Arabic" w:hint="cs"/>
          <w:sz w:val="28"/>
          <w:szCs w:val="28"/>
          <w:rtl/>
        </w:rPr>
        <w:t>،</w:t>
      </w:r>
      <w:r w:rsidRPr="00234EE9">
        <w:rPr>
          <w:rFonts w:ascii="Simplified Arabic" w:hAnsi="Simplified Arabic" w:cs="Simplified Arabic"/>
          <w:sz w:val="28"/>
          <w:szCs w:val="28"/>
        </w:rPr>
        <w:t xml:space="preserve"> </w:t>
      </w:r>
      <w:r w:rsidRPr="00234EE9">
        <w:rPr>
          <w:rFonts w:ascii="Simplified Arabic" w:hAnsi="Simplified Arabic" w:cs="Simplified Arabic"/>
          <w:sz w:val="28"/>
          <w:szCs w:val="28"/>
          <w:rtl/>
        </w:rPr>
        <w:t>وتسعى الدراسة إلى الكشف عن مدى قدرة تطبيقات الذكاء الاصطناعي على إحداث تحسينات جوهرية في كفاءة تدفق العمليات، وجودة المخرجات، وسرعة تقديم الخدمات الحكومية</w:t>
      </w:r>
      <w:r w:rsidR="00C01A90" w:rsidRPr="005D0A6D">
        <w:rPr>
          <w:rFonts w:ascii="Simplified Arabic" w:hAnsi="Simplified Arabic" w:cs="Simplified Arabic"/>
          <w:sz w:val="28"/>
          <w:szCs w:val="28"/>
        </w:rPr>
        <w:t>.</w:t>
      </w:r>
    </w:p>
    <w:p w14:paraId="34CABE7E" w14:textId="293137FA" w:rsidR="00C01A90" w:rsidRPr="00C01A90" w:rsidRDefault="005D0A6D" w:rsidP="00C01A90">
      <w:pPr>
        <w:ind w:firstLine="7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وتتفرع منه عدة </w:t>
      </w:r>
      <w:r w:rsidR="00C01A90" w:rsidRPr="00C01A90">
        <w:rPr>
          <w:rFonts w:ascii="Simplified Arabic" w:hAnsi="Simplified Arabic" w:cs="Simplified Arabic"/>
          <w:b/>
          <w:bCs/>
          <w:sz w:val="28"/>
          <w:szCs w:val="28"/>
          <w:rtl/>
        </w:rPr>
        <w:t xml:space="preserve">أهداف فرعية </w:t>
      </w:r>
      <w:r>
        <w:rPr>
          <w:rFonts w:ascii="Simplified Arabic" w:hAnsi="Simplified Arabic" w:cs="Simplified Arabic" w:hint="cs"/>
          <w:b/>
          <w:bCs/>
          <w:sz w:val="28"/>
          <w:szCs w:val="28"/>
          <w:rtl/>
        </w:rPr>
        <w:t>:</w:t>
      </w:r>
    </w:p>
    <w:p w14:paraId="13769847"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lastRenderedPageBreak/>
        <w:t>تحديد مستوى تبنّي وتوظيف تقنيات الذكاء الاصطناعي بأبعادها (جمع البيانات الذكي، النماذج التنبؤية، الأتمتة التشغيلية، ودعم اتخاذ القرار) داخل المراحل المختلفة لسلسلة القيمة التشغيلية في المؤسسات الحكومية الكبرى، وقياس مدى نضجها الرقمي.</w:t>
      </w:r>
    </w:p>
    <w:p w14:paraId="29D0C4B8"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تحليل آليات تحسين سلسلة القيمة التشغيلية من خلال تطبيق تقنيات الذكاء الاصطناعي، وذلك عبر دراسة تأثيره في كفاءة تدفق العمليات، ودقة إنجاز المهام، وفاعلية التنسيق بين وحدات العمل المختلفة داخل المؤسسة الحكومية.</w:t>
      </w:r>
    </w:p>
    <w:p w14:paraId="29B8B40B"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اختبار العلاقة الجوهرية بين أبعاد الذكاء الاصطناعي والتحسن المحقق في سلسلة القيمة التشغيلية، مع قياس قوة تأثير كل بُعد في رفع كفاءة الأداء التشغيلي في الجهات الحكومية.</w:t>
      </w:r>
    </w:p>
    <w:p w14:paraId="7D23C93A"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استقصاء إسهام الذكاء الاصطناعي في بناء منظومات تشغيلية استباقية قادرة على التنبؤ بالاختناقات التشغيلية قبل حدوثها، وتقليل زمن الإنجاز، وتعزيز مرونة الاستجابة التشغيلية في الخدمات الحكومية.</w:t>
      </w:r>
    </w:p>
    <w:p w14:paraId="51EB42D7" w14:textId="0012D7E3" w:rsidR="00C01A90" w:rsidRPr="000508AF" w:rsidRDefault="00234EE9">
      <w:pPr>
        <w:numPr>
          <w:ilvl w:val="0"/>
          <w:numId w:val="6"/>
        </w:numPr>
        <w:jc w:val="both"/>
        <w:rPr>
          <w:rFonts w:ascii="Simplified Arabic" w:hAnsi="Simplified Arabic" w:cs="Simplified Arabic"/>
          <w:sz w:val="28"/>
          <w:szCs w:val="28"/>
        </w:rPr>
      </w:pPr>
      <w:r w:rsidRPr="00234EE9">
        <w:rPr>
          <w:rFonts w:ascii="Simplified Arabic" w:hAnsi="Simplified Arabic" w:cs="Simplified Arabic"/>
          <w:sz w:val="28"/>
          <w:szCs w:val="28"/>
          <w:rtl/>
        </w:rPr>
        <w:t>صياغة مجموعة من التوصيات العلمية والممارسات العملية التي تعزز تكامل الذكاء الاصطناعي داخل استراتيجيات التطوير التشغيلي في القطاع الحكومي السعودي، سواء على المستوى المؤسسي أو الوطني، بما يسهم في رفع جودة الخدمات الحكومية وتحسين قيمة المخرجات.</w:t>
      </w:r>
      <w:r w:rsidR="00C01A90" w:rsidRPr="000508AF">
        <w:rPr>
          <w:rFonts w:ascii="Simplified Arabic" w:hAnsi="Simplified Arabic" w:cs="Simplified Arabic"/>
          <w:sz w:val="28"/>
          <w:szCs w:val="28"/>
        </w:rPr>
        <w:t>.</w:t>
      </w:r>
    </w:p>
    <w:p w14:paraId="62EDF9F6" w14:textId="314BFBD9" w:rsidR="00D42274" w:rsidRPr="00B91104" w:rsidRDefault="00D42274" w:rsidP="00D439AC">
      <w:pPr>
        <w:pStyle w:val="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0508AF" w:rsidRDefault="00D42274" w:rsidP="00B91104">
      <w:pPr>
        <w:jc w:val="both"/>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 xml:space="preserve">بناءً على </w:t>
      </w:r>
      <w:r w:rsidR="0095065B" w:rsidRPr="000508AF">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0508AF" w:rsidRDefault="0095065B" w:rsidP="008019E7">
      <w:pPr>
        <w:spacing w:line="360" w:lineRule="auto"/>
        <w:jc w:val="lowKashida"/>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فرضية رئيسية تتمثل في:</w:t>
      </w:r>
    </w:p>
    <w:p w14:paraId="48525CD7" w14:textId="32E50028" w:rsidR="008019E7" w:rsidRPr="000508AF" w:rsidRDefault="00F41775" w:rsidP="00234EE9">
      <w:pPr>
        <w:pStyle w:val="3"/>
        <w:spacing w:line="360" w:lineRule="auto"/>
        <w:jc w:val="lowKashida"/>
        <w:rPr>
          <w:rFonts w:ascii="Simplified Arabic" w:eastAsia="Times New Roman" w:hAnsi="Simplified Arabic" w:cs="Simplified Arabic"/>
          <w:color w:val="auto"/>
          <w:kern w:val="0"/>
          <w:rtl/>
          <w14:ligatures w14:val="none"/>
        </w:rPr>
      </w:pPr>
      <w:r w:rsidRPr="000508AF">
        <w:rPr>
          <w:rFonts w:ascii="Simplified Arabic" w:hAnsi="Simplified Arabic" w:cs="Simplified Arabic" w:hint="cs"/>
          <w:b/>
          <w:bCs/>
          <w:color w:val="auto"/>
          <w:lang w:bidi="ar-EG"/>
        </w:rPr>
        <w:t xml:space="preserve"> </w:t>
      </w:r>
      <w:r w:rsidR="008019E7" w:rsidRPr="000508AF">
        <w:rPr>
          <w:rFonts w:ascii="Simplified Arabic" w:eastAsia="Times New Roman" w:hAnsi="Simplified Arabic" w:cs="Simplified Arabic" w:hint="cs"/>
          <w:b/>
          <w:bCs/>
          <w:color w:val="auto"/>
          <w:kern w:val="0"/>
          <w:rtl/>
          <w14:ligatures w14:val="none"/>
        </w:rPr>
        <w:t>الفرضية الرئيسية الأولى (</w:t>
      </w:r>
      <w:r w:rsidR="008019E7" w:rsidRPr="000508AF">
        <w:rPr>
          <w:rFonts w:ascii="Simplified Arabic" w:eastAsia="Times New Roman" w:hAnsi="Simplified Arabic" w:cs="Simplified Arabic" w:hint="cs"/>
          <w:b/>
          <w:bCs/>
          <w:color w:val="auto"/>
          <w:kern w:val="0"/>
          <w14:ligatures w14:val="none"/>
        </w:rPr>
        <w:t>H1</w:t>
      </w:r>
      <w:r w:rsidR="008019E7" w:rsidRPr="000508AF">
        <w:rPr>
          <w:rFonts w:ascii="Simplified Arabic" w:eastAsia="Times New Roman" w:hAnsi="Simplified Arabic" w:cs="Simplified Arabic" w:hint="cs"/>
          <w:b/>
          <w:bCs/>
          <w:color w:val="auto"/>
          <w:kern w:val="0"/>
          <w:rtl/>
          <w14:ligatures w14:val="none"/>
        </w:rPr>
        <w:t>):</w:t>
      </w:r>
      <w:r w:rsidR="008019E7" w:rsidRPr="000508AF">
        <w:rPr>
          <w:rFonts w:ascii="Simplified Arabic" w:eastAsia="Times New Roman" w:hAnsi="Simplified Arabic" w:cs="Simplified Arabic" w:hint="cs"/>
          <w:color w:val="auto"/>
          <w:kern w:val="0"/>
          <w:rtl/>
          <w14:ligatures w14:val="none"/>
        </w:rPr>
        <w:t xml:space="preserve"> </w:t>
      </w:r>
      <w:r w:rsidR="00234EE9" w:rsidRPr="00234EE9">
        <w:rPr>
          <w:rFonts w:ascii="Simplified Arabic" w:eastAsia="Times New Roman" w:hAnsi="Simplified Arabic" w:cs="Simplified Arabic"/>
          <w:color w:val="auto"/>
          <w:kern w:val="0"/>
          <w:rtl/>
          <w14:ligatures w14:val="none"/>
        </w:rPr>
        <w:t>لا يوجد أثر ذو دلالة إحصائية لتقنيات الذكاء الاصطناعي بأبعادها (جمع البيانات ومعالجتها، النماذج التنبؤية، الأتمتة الذكية، أنظمة دعم القرار) على سلسلة القيمة التشغيلية في المؤسسات الحكومية الكبرى في المملكة العربية السعودية</w:t>
      </w:r>
      <w:r w:rsidR="00C01A90" w:rsidRPr="000508AF">
        <w:rPr>
          <w:rFonts w:ascii="Simplified Arabic" w:eastAsia="Times New Roman" w:hAnsi="Simplified Arabic" w:cs="Simplified Arabic"/>
          <w:color w:val="auto"/>
          <w:kern w:val="0"/>
          <w14:ligatures w14:val="none"/>
        </w:rPr>
        <w:t>.</w:t>
      </w:r>
    </w:p>
    <w:p w14:paraId="3A609550" w14:textId="77777777"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sz w:val="28"/>
          <w:szCs w:val="28"/>
          <w:rtl/>
        </w:rPr>
        <w:t>وتتفرع منه عدة فرضيات فرعية :</w:t>
      </w:r>
    </w:p>
    <w:p w14:paraId="1AC07927" w14:textId="77B9536B"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lastRenderedPageBreak/>
        <w:t>H1.1</w:t>
      </w:r>
      <w:r w:rsidRPr="00332430">
        <w:rPr>
          <w:rFonts w:ascii="Simplified Arabic" w:hAnsi="Simplified Arabic" w:cs="Simplified Arabic" w:hint="cs"/>
          <w:b/>
          <w:b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w:t>
      </w:r>
      <w:r w:rsidR="00234EE9" w:rsidRPr="00332430">
        <w:rPr>
          <w:rFonts w:ascii="Simplified Arabic" w:hAnsi="Simplified Arabic" w:cs="Simplified Arabic" w:hint="cs"/>
          <w:i/>
          <w:iCs/>
          <w:sz w:val="28"/>
          <w:szCs w:val="28"/>
          <w:rtl/>
        </w:rPr>
        <w:t>جمع البيانات ومعالجتها</w:t>
      </w:r>
      <w:r w:rsidR="00234EE9" w:rsidRPr="00332430">
        <w:rPr>
          <w:rFonts w:ascii="Simplified Arabic" w:hAnsi="Simplified Arabic" w:cs="Simplified Arabic" w:hint="cs"/>
          <w:sz w:val="28"/>
          <w:szCs w:val="28"/>
          <w:rtl/>
        </w:rPr>
        <w:t xml:space="preserve"> على سلسلة القيمة التشغيلية في المؤسسات الحكومية الكبرى</w:t>
      </w:r>
      <w:r w:rsidRPr="00332430">
        <w:rPr>
          <w:rFonts w:ascii="Simplified Arabic" w:hAnsi="Simplified Arabic" w:cs="Simplified Arabic" w:hint="cs"/>
          <w:sz w:val="28"/>
          <w:szCs w:val="28"/>
          <w:rtl/>
        </w:rPr>
        <w:t>.</w:t>
      </w:r>
    </w:p>
    <w:p w14:paraId="64F486DC" w14:textId="1932B99C"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t>H1.2</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لا يوجد أثر ذو دلالة إحصائية لبعد النماذج التنبؤية على سلسلة القيمة التشغيلية في المؤسسات الحكومية الكبرى</w:t>
      </w:r>
      <w:r w:rsidR="00234EE9" w:rsidRPr="00332430">
        <w:rPr>
          <w:rFonts w:ascii="Simplified Arabic" w:hAnsi="Simplified Arabic" w:cs="Simplified Arabic" w:hint="cs"/>
          <w:sz w:val="28"/>
          <w:szCs w:val="28"/>
        </w:rPr>
        <w:t>.</w:t>
      </w:r>
      <w:r w:rsidR="00C01A90" w:rsidRPr="00332430">
        <w:rPr>
          <w:rFonts w:ascii="Simplified Arabic" w:hAnsi="Simplified Arabic" w:cs="Simplified Arabic" w:hint="cs"/>
          <w:sz w:val="28"/>
          <w:szCs w:val="28"/>
        </w:rPr>
        <w:t>.</w:t>
      </w:r>
    </w:p>
    <w:p w14:paraId="11B6B45A" w14:textId="290247A5" w:rsidR="008019E7" w:rsidRPr="00332430" w:rsidRDefault="008019E7" w:rsidP="00332430">
      <w:pPr>
        <w:jc w:val="both"/>
        <w:rPr>
          <w:rFonts w:ascii="Simplified Arabic" w:hAnsi="Simplified Arabic" w:cs="Simplified Arabic"/>
          <w:sz w:val="28"/>
          <w:szCs w:val="28"/>
          <w:rtl/>
        </w:rPr>
      </w:pPr>
      <w:r w:rsidRPr="00332430">
        <w:rPr>
          <w:rFonts w:ascii="Simplified Arabic" w:hAnsi="Simplified Arabic" w:cs="Simplified Arabic" w:hint="cs"/>
          <w:b/>
          <w:bCs/>
          <w:sz w:val="28"/>
          <w:szCs w:val="28"/>
        </w:rPr>
        <w:t>H1.3</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لايوجد أثر ذو دلالة إحصائية لبعد الأتمتة الذكية على سلسلة القيمة التشغيلية في المؤسسات الحكومية الكبرى</w:t>
      </w:r>
      <w:r w:rsidR="00C01A90" w:rsidRPr="00332430">
        <w:rPr>
          <w:rFonts w:ascii="Simplified Arabic" w:hAnsi="Simplified Arabic" w:cs="Simplified Arabic" w:hint="cs"/>
          <w:sz w:val="28"/>
          <w:szCs w:val="28"/>
          <w:rtl/>
        </w:rPr>
        <w:t>.</w:t>
      </w:r>
    </w:p>
    <w:p w14:paraId="1EB7AAB9" w14:textId="18177FBE" w:rsidR="00C01A90" w:rsidRPr="00332430" w:rsidRDefault="00C01A90" w:rsidP="00332430">
      <w:pPr>
        <w:jc w:val="both"/>
        <w:rPr>
          <w:rFonts w:ascii="Simplified Arabic" w:hAnsi="Simplified Arabic" w:cs="Simplified Arabic"/>
          <w:sz w:val="28"/>
          <w:szCs w:val="28"/>
          <w:rtl/>
        </w:rPr>
      </w:pPr>
      <w:r w:rsidRPr="00332430">
        <w:rPr>
          <w:rFonts w:ascii="Simplified Arabic" w:hAnsi="Simplified Arabic" w:cs="Simplified Arabic" w:hint="cs"/>
          <w:b/>
          <w:bCs/>
          <w:sz w:val="28"/>
          <w:szCs w:val="28"/>
        </w:rPr>
        <w:t>H1.4</w:t>
      </w:r>
      <w:r w:rsidRPr="00332430">
        <w:rPr>
          <w:rFonts w:ascii="Simplified Arabic" w:hAnsi="Simplified Arabic" w:cs="Simplified Arabic" w:hint="cs"/>
          <w:b/>
          <w:bCs/>
          <w:sz w:val="28"/>
          <w:szCs w:val="28"/>
          <w:rtl/>
        </w:rPr>
        <w:t>:</w:t>
      </w:r>
      <w:r w:rsidR="00234EE9" w:rsidRPr="00332430">
        <w:rPr>
          <w:rFonts w:ascii="Simplified Arabic" w:hAnsi="Simplified Arabic" w:cs="Simplified Arabic" w:hint="cs"/>
          <w:sz w:val="28"/>
          <w:szCs w:val="28"/>
          <w:rtl/>
        </w:rPr>
        <w:t>لا</w:t>
      </w:r>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يوجد أثر ذو دلالة إحصائية لبعد أنظمة دعم القرار على سلسلة القيمة التشغيلية في المؤسسات الحكومية الكبرى.</w:t>
      </w:r>
    </w:p>
    <w:p w14:paraId="2C68E846" w14:textId="20111788" w:rsidR="002B5492" w:rsidRPr="002B5492" w:rsidRDefault="002B5492" w:rsidP="00D439AC">
      <w:pPr>
        <w:pStyle w:val="1"/>
        <w:rPr>
          <w:color w:val="EE0000"/>
          <w:rtl/>
        </w:rPr>
      </w:pPr>
      <w:bookmarkStart w:id="5" w:name="_Toc202053520"/>
      <w:r w:rsidRPr="002B5492">
        <w:rPr>
          <w:rFonts w:hint="cs"/>
          <w:color w:val="EE0000"/>
          <w:rtl/>
        </w:rPr>
        <w:t xml:space="preserve">النظرية المستخدمة في الدراسة </w:t>
      </w:r>
    </w:p>
    <w:p w14:paraId="455A50DE" w14:textId="77777777" w:rsidR="002B5492" w:rsidRPr="002B5492" w:rsidRDefault="002B5492" w:rsidP="002B5492">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 xml:space="preserve">ترتكز هذه الدراسة على أساس نظري متكامل وصريح يجمع بين ثلاث مقاربات نظرية رئيسية تُمكّن من تفسير أثر تقنيات الذكاء الاصطناعي في سلسلة القيمة التشغيلية داخل المؤسسات الحكومية الكبرى في المملكة العربية السعودية. </w:t>
      </w:r>
    </w:p>
    <w:p w14:paraId="3D62247D" w14:textId="0E05B0CD"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أولاً، تُوظَّف النظرية القائمة على الموارد</w:t>
      </w:r>
      <w:r w:rsidRPr="002B5492">
        <w:rPr>
          <w:rFonts w:ascii="Simplified Arabic" w:hAnsi="Simplified Arabic" w:cs="Simplified Arabic"/>
          <w:b/>
          <w:bCs/>
          <w:color w:val="EE0000"/>
          <w:sz w:val="28"/>
          <w:szCs w:val="28"/>
        </w:rPr>
        <w:t xml:space="preserve"> (Resource-Based View - RBV)</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لتأطير الذكاء الاصطناعي كمورد استراتيجي يمكن أن يُسهم في تحقيق ميزة تشغيلية مستدامة، من خلال تعظيم كفاءة العمليات وتحسين تخصيص الموارد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ووفقًا لهذه النظرية يُعد الذكاء الاصطناعي موردًا نادرًا وصعب التقليد، يوفر قدرة تكنولوجية وتنظيمية تُسهم في تحسين الأداء المؤسسي، وتدعم التحول من الاعتماد على الكفاءات التقليدية إلى استثمار رأس المال المعرفي والتقني</w:t>
      </w:r>
      <w:r w:rsidRPr="002B5492">
        <w:rPr>
          <w:rFonts w:ascii="Simplified Arabic" w:hAnsi="Simplified Arabic" w:cs="Simplified Arabic"/>
          <w:color w:val="EE0000"/>
          <w:sz w:val="28"/>
          <w:szCs w:val="28"/>
        </w:rPr>
        <w:t>.</w:t>
      </w:r>
    </w:p>
    <w:p w14:paraId="791E9B02" w14:textId="7F1C98DF"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ثانيًا، تستند الدراسة إلى إطار التكنولوجيا والتنظيم والبيئة</w:t>
      </w:r>
      <w:r w:rsidRPr="002B5492">
        <w:rPr>
          <w:rFonts w:ascii="Simplified Arabic" w:hAnsi="Simplified Arabic" w:cs="Simplified Arabic"/>
          <w:b/>
          <w:bCs/>
          <w:color w:val="EE0000"/>
          <w:sz w:val="28"/>
          <w:szCs w:val="28"/>
        </w:rPr>
        <w:t xml:space="preserve"> (Technology-Organization-Environment Framework - TOE)</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بوصفه إطارًا هيكليًا يساعد على تحليل السياقات المتعددة المؤثرة في تبني تقنيات الذكاء الاصطناعي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فالسياق التكنولوجي يشمل الأدوات والتطبيقات الذكية التي تسهم في جمع البيانات وتحليلها والأتمتة ودعم القرار؛ بينما يُعنى السياق التنظيمي بعوامل مثل الجاهزية الرقمية، والثقافة المؤسسية، والهيكل الإداري؛ في حين يتناول السياق البيئي العوامل الخارجية، كاللوائح الحكومية والضغوط العامة ومتطلبات الشفافية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تُعزَّز هذه المقاربة بإطار النظرية </w:t>
      </w:r>
      <w:r w:rsidRPr="002B5492">
        <w:rPr>
          <w:rFonts w:ascii="Simplified Arabic" w:hAnsi="Simplified Arabic" w:cs="Simplified Arabic"/>
          <w:color w:val="EE0000"/>
          <w:sz w:val="28"/>
          <w:szCs w:val="28"/>
          <w:rtl/>
        </w:rPr>
        <w:lastRenderedPageBreak/>
        <w:t>المؤسسية</w:t>
      </w:r>
      <w:r w:rsidRPr="002B5492">
        <w:rPr>
          <w:rFonts w:ascii="Simplified Arabic" w:hAnsi="Simplified Arabic" w:cs="Simplified Arabic"/>
          <w:color w:val="EE0000"/>
          <w:sz w:val="28"/>
          <w:szCs w:val="28"/>
        </w:rPr>
        <w:t xml:space="preserve"> (Institutional Theory) </w:t>
      </w:r>
      <w:r w:rsidRPr="002B5492">
        <w:rPr>
          <w:rFonts w:ascii="Simplified Arabic" w:hAnsi="Simplified Arabic" w:cs="Simplified Arabic"/>
          <w:color w:val="EE0000"/>
          <w:sz w:val="28"/>
          <w:szCs w:val="28"/>
          <w:rtl/>
        </w:rPr>
        <w:t>التي تُفسّر كيفية استجابة المؤسسات الحكومية للضغوط القسرية (كالأنظمة الحكومية)، والتقليدية (كمحاكاة الممارسات المطبقة في مؤسسات مماثلة)، والمعيارية (كمتطلبات الاعتماد المهني والمعايير الإدارية) عند تبنّي تقنيات الذكاء الاصطناعي</w:t>
      </w:r>
      <w:r w:rsidRPr="002B5492">
        <w:rPr>
          <w:rFonts w:ascii="Simplified Arabic" w:hAnsi="Simplified Arabic" w:cs="Simplified Arabic"/>
          <w:color w:val="EE0000"/>
          <w:sz w:val="28"/>
          <w:szCs w:val="28"/>
        </w:rPr>
        <w:t>.</w:t>
      </w:r>
    </w:p>
    <w:p w14:paraId="262DA67F" w14:textId="3253D1B9"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color w:val="EE0000"/>
          <w:sz w:val="28"/>
          <w:szCs w:val="28"/>
          <w:rtl/>
        </w:rPr>
        <w:t>وتتمثل المساهمة النظرية للدراسة في سعيها إلى توسيع تطبيق هذه النظريات ضمن السياق الفريد للقطاع العام السعودي، من خلال بناء نموذج تفسيري يوضح كيف يمكن للذكاء الاصطناعي أن يتحول من مورد تقني إلى أداة استراتيجية لإعادة هيكلة سلسلة القيمة التشغيلية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تسعى الدراسة إلى دمج الرؤى المستمدة من النظريات الثلاث في إطار تكاملي يوضح العلاقات المتبادلة بين الموارد التكنولوجية والعوامل التنظيمية والضغوط البيئية، بما يُسهم في إثراء الأدبيات العلمية حول التحول الرقمي الحكومي، وتطوير فهم أعمق لديناميكيات تبنّي الذكاء الاصطناعي في البيئات العامة ذات الخصوصية التنظيمية والتشريعية</w:t>
      </w:r>
      <w:r w:rsidRPr="002B5492">
        <w:rPr>
          <w:rFonts w:ascii="Simplified Arabic" w:hAnsi="Simplified Arabic" w:cs="Simplified Arabic"/>
          <w:color w:val="EE0000"/>
          <w:sz w:val="28"/>
          <w:szCs w:val="28"/>
        </w:rPr>
        <w:t>.</w:t>
      </w:r>
    </w:p>
    <w:p w14:paraId="5C939E67" w14:textId="1C3EB315" w:rsidR="00D42274" w:rsidRPr="00B04F4C" w:rsidRDefault="00D42274" w:rsidP="00D439AC">
      <w:pPr>
        <w:pStyle w:val="1"/>
        <w:rPr>
          <w:rtl/>
        </w:rPr>
      </w:pPr>
      <w:r w:rsidRPr="00B04F4C">
        <w:rPr>
          <w:rtl/>
        </w:rPr>
        <w:t>نموذج الدراسة:</w:t>
      </w:r>
      <w:bookmarkEnd w:id="5"/>
    </w:p>
    <w:p w14:paraId="185A3C9C"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يهدف هذا النموذج إلى تحليل أثر تقنيات الذكاء الاصطناعي بأبعادها المختلفة في تحسين سلسلة القيمة التشغيلية داخل المؤسسات الحكومية الكبرى في المملكة العربية السعودية، وذلك بهدف بناء إطار علمي يوضح طبيعة التأثير المباشر للتقنيات الذكية في تعزيز كفاءة وفعالية الأنشطة التشغيلية، ودعم التحول الرقمي المؤسسي، ورفع مستوى الأداء الحكومي بما يتوافق مع توجهات رؤية المملكة 2030</w:t>
      </w:r>
      <w:r w:rsidRPr="00F178E3">
        <w:rPr>
          <w:rFonts w:ascii="Simplified Arabic" w:hAnsi="Simplified Arabic" w:cs="Simplified Arabic"/>
          <w:sz w:val="28"/>
          <w:szCs w:val="28"/>
        </w:rPr>
        <w:t>.</w:t>
      </w:r>
    </w:p>
    <w:p w14:paraId="58D3E684"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ويعكس النموذج العلاقة بين المتغيرات الأساسية للدراسة على النحو الآتي</w:t>
      </w:r>
      <w:r w:rsidRPr="00F178E3">
        <w:rPr>
          <w:rFonts w:ascii="Simplified Arabic" w:hAnsi="Simplified Arabic" w:cs="Simplified Arabic"/>
          <w:sz w:val="28"/>
          <w:szCs w:val="28"/>
        </w:rPr>
        <w:t>:</w:t>
      </w:r>
    </w:p>
    <w:p w14:paraId="6AB97E56" w14:textId="6EA2BEE1" w:rsidR="00C01A90" w:rsidRPr="00C01A90" w:rsidRDefault="00C01A90" w:rsidP="00C01A90">
      <w:pPr>
        <w:jc w:val="both"/>
        <w:rPr>
          <w:rFonts w:ascii="Simplified Arabic" w:hAnsi="Simplified Arabic" w:cs="Simplified Arabic"/>
          <w:b/>
          <w:bCs/>
          <w:sz w:val="28"/>
          <w:szCs w:val="28"/>
        </w:rPr>
      </w:pPr>
      <w:r w:rsidRPr="00C01A90">
        <w:rPr>
          <w:rFonts w:ascii="Simplified Arabic" w:hAnsi="Simplified Arabic" w:cs="Simplified Arabic"/>
          <w:b/>
          <w:bCs/>
          <w:sz w:val="28"/>
          <w:szCs w:val="28"/>
          <w:rtl/>
        </w:rPr>
        <w:t>المتغير المستقل</w:t>
      </w:r>
      <w:r w:rsidRPr="00C01A90">
        <w:rPr>
          <w:rFonts w:ascii="Simplified Arabic" w:hAnsi="Simplified Arabic" w:cs="Simplified Arabic"/>
          <w:b/>
          <w:bCs/>
          <w:sz w:val="28"/>
          <w:szCs w:val="28"/>
        </w:rPr>
        <w:t>:</w:t>
      </w:r>
    </w:p>
    <w:p w14:paraId="2F81A66A" w14:textId="03F59DB7" w:rsidR="00C01A90" w:rsidRPr="00C01A90" w:rsidRDefault="00F178E3" w:rsidP="00F178E3">
      <w:pPr>
        <w:rPr>
          <w:rFonts w:ascii="Simplified Arabic" w:hAnsi="Simplified Arabic" w:cs="Simplified Arabic"/>
          <w:sz w:val="28"/>
          <w:szCs w:val="28"/>
        </w:rPr>
      </w:pPr>
      <w:r w:rsidRPr="00F178E3">
        <w:rPr>
          <w:rFonts w:ascii="Simplified Arabic" w:hAnsi="Simplified Arabic" w:cs="Simplified Arabic"/>
          <w:b/>
          <w:bCs/>
          <w:sz w:val="28"/>
          <w:szCs w:val="28"/>
          <w:rtl/>
        </w:rPr>
        <w:t>تقنيات الذكاء الاصطناعي بأبعادها</w:t>
      </w:r>
      <w:r>
        <w:rPr>
          <w:rFonts w:ascii="Simplified Arabic" w:hAnsi="Simplified Arabic" w:cs="Simplified Arabic" w:hint="cs"/>
          <w:b/>
          <w:bCs/>
          <w:sz w:val="28"/>
          <w:szCs w:val="28"/>
          <w:rtl/>
        </w:rPr>
        <w:t xml:space="preserve"> </w:t>
      </w:r>
      <w:r w:rsidRPr="00F178E3">
        <w:rPr>
          <w:rFonts w:ascii="Simplified Arabic" w:hAnsi="Simplified Arabic" w:cs="Simplified Arabic"/>
          <w:b/>
          <w:bCs/>
          <w:sz w:val="28"/>
          <w:szCs w:val="28"/>
          <w:rtl/>
        </w:rPr>
        <w:t>(جمع البيانات ومعالجتها – النماذج التنبؤية – الأتمتة الذكية – أنظمة دعم القرار)</w:t>
      </w:r>
      <w:r>
        <w:rPr>
          <w:rFonts w:ascii="Simplified Arabic" w:hAnsi="Simplified Arabic" w:cs="Simplified Arabic" w:hint="cs"/>
          <w:sz w:val="28"/>
          <w:szCs w:val="28"/>
          <w:rtl/>
        </w:rPr>
        <w:t xml:space="preserve"> </w:t>
      </w:r>
      <w:r w:rsidR="00C01A90" w:rsidRPr="00C01A90">
        <w:rPr>
          <w:rFonts w:ascii="Simplified Arabic" w:hAnsi="Simplified Arabic" w:cs="Simplified Arabic"/>
          <w:sz w:val="28"/>
          <w:szCs w:val="28"/>
          <w:rtl/>
        </w:rPr>
        <w:t>بالاعتماد على دراسات</w:t>
      </w:r>
      <w:r w:rsidRPr="00F178E3">
        <w:t xml:space="preserve"> </w:t>
      </w:r>
      <w:r w:rsidRPr="00F178E3">
        <w:rPr>
          <w:rFonts w:ascii="Simplified Arabic" w:hAnsi="Simplified Arabic" w:cs="Simplified Arabic"/>
          <w:sz w:val="28"/>
          <w:szCs w:val="28"/>
        </w:rPr>
        <w:t>(Yusuf et al., 2025) (Nathany, 2022) (Thenmozhi &amp; Krisknakumari, 2024) (Faisal, 2025) (Pokamestov &amp; Nikitin, 2024)</w:t>
      </w:r>
    </w:p>
    <w:p w14:paraId="2ED2F78E" w14:textId="74FC2595" w:rsidR="00C01A90" w:rsidRPr="00C01A90" w:rsidRDefault="00C01A90" w:rsidP="00F178E3">
      <w:pPr>
        <w:jc w:val="both"/>
        <w:rPr>
          <w:rFonts w:ascii="Simplified Arabic" w:hAnsi="Simplified Arabic" w:cs="Simplified Arabic"/>
          <w:sz w:val="28"/>
          <w:szCs w:val="28"/>
          <w:rtl/>
        </w:rPr>
      </w:pPr>
      <w:r w:rsidRPr="00C01A90">
        <w:rPr>
          <w:rFonts w:ascii="Simplified Arabic" w:hAnsi="Simplified Arabic" w:cs="Simplified Arabic"/>
          <w:b/>
          <w:bCs/>
          <w:sz w:val="28"/>
          <w:szCs w:val="28"/>
        </w:rPr>
        <w:t xml:space="preserve"> </w:t>
      </w:r>
      <w:r w:rsidRPr="00C01A90">
        <w:rPr>
          <w:rFonts w:ascii="Simplified Arabic" w:hAnsi="Simplified Arabic" w:cs="Simplified Arabic"/>
          <w:b/>
          <w:bCs/>
          <w:sz w:val="28"/>
          <w:szCs w:val="28"/>
          <w:rtl/>
        </w:rPr>
        <w:t>المتغير التابع</w:t>
      </w:r>
      <w:r w:rsidRPr="00C01A90">
        <w:rPr>
          <w:rFonts w:ascii="Simplified Arabic" w:hAnsi="Simplified Arabic" w:cs="Simplified Arabic"/>
          <w:b/>
          <w:bCs/>
          <w:sz w:val="28"/>
          <w:szCs w:val="28"/>
        </w:rPr>
        <w:t>:</w:t>
      </w:r>
      <w:r w:rsidR="00F178E3">
        <w:rPr>
          <w:rFonts w:ascii="Simplified Arabic" w:hAnsi="Simplified Arabic" w:cs="Simplified Arabic" w:hint="cs"/>
          <w:b/>
          <w:bCs/>
          <w:sz w:val="28"/>
          <w:szCs w:val="28"/>
          <w:rtl/>
        </w:rPr>
        <w:t xml:space="preserve"> </w:t>
      </w:r>
      <w:r w:rsidR="00F178E3" w:rsidRPr="00F178E3">
        <w:rPr>
          <w:rFonts w:ascii="Simplified Arabic" w:hAnsi="Simplified Arabic" w:cs="Simplified Arabic"/>
          <w:b/>
          <w:bCs/>
          <w:sz w:val="28"/>
          <w:szCs w:val="28"/>
          <w:rtl/>
        </w:rPr>
        <w:t>سلسلة القيمة التشغيلية في المؤسسات الحكومية الكبرى</w:t>
      </w:r>
      <w:r w:rsidR="00F178E3">
        <w:rPr>
          <w:rFonts w:ascii="Simplified Arabic" w:hAnsi="Simplified Arabic" w:cs="Simplified Arabic" w:hint="cs"/>
          <w:sz w:val="28"/>
          <w:szCs w:val="28"/>
          <w:rtl/>
        </w:rPr>
        <w:t xml:space="preserve"> </w:t>
      </w:r>
      <w:r w:rsidRPr="00C01A90">
        <w:rPr>
          <w:rFonts w:ascii="Simplified Arabic" w:hAnsi="Simplified Arabic" w:cs="Simplified Arabic"/>
          <w:sz w:val="28"/>
          <w:szCs w:val="28"/>
          <w:rtl/>
        </w:rPr>
        <w:t>بالاعتماد على دراسات</w:t>
      </w:r>
      <w:r w:rsidRPr="00C01A90">
        <w:rPr>
          <w:rFonts w:ascii="Simplified Arabic" w:hAnsi="Simplified Arabic" w:cs="Simplified Arabic"/>
          <w:sz w:val="28"/>
          <w:szCs w:val="28"/>
        </w:rPr>
        <w:t xml:space="preserve">: </w:t>
      </w:r>
      <w:r w:rsidR="00F178E3" w:rsidRPr="00F178E3">
        <w:rPr>
          <w:rFonts w:ascii="Simplified Arabic" w:hAnsi="Simplified Arabic" w:cs="Simplified Arabic"/>
          <w:sz w:val="28"/>
          <w:szCs w:val="28"/>
        </w:rPr>
        <w:t>(Naas &amp; Berass, 2024) (Mboyo et al., 2025) (Tyapukhin, 2023) (Ghadir et al., 2024)</w:t>
      </w:r>
    </w:p>
    <w:p w14:paraId="1A15F5B6" w14:textId="0FA56693"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lastRenderedPageBreak/>
        <w:t xml:space="preserve">الشكل رقم (1) متغيرات الدراسة </w:t>
      </w:r>
    </w:p>
    <w:p w14:paraId="577FF87E"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4F2BCC6C">
                <wp:simplePos x="0" y="0"/>
                <wp:positionH relativeFrom="column">
                  <wp:posOffset>3975735</wp:posOffset>
                </wp:positionH>
                <wp:positionV relativeFrom="paragraph">
                  <wp:posOffset>198120</wp:posOffset>
                </wp:positionV>
                <wp:extent cx="1857375" cy="485775"/>
                <wp:effectExtent l="0" t="0" r="2857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wedgeRectCallout">
                          <a:avLst/>
                        </a:prstGeom>
                        <a:ln/>
                      </wps:spPr>
                      <wps:style>
                        <a:lnRef idx="1">
                          <a:schemeClr val="accent4"/>
                        </a:lnRef>
                        <a:fillRef idx="2">
                          <a:schemeClr val="accent4"/>
                        </a:fillRef>
                        <a:effectRef idx="1">
                          <a:schemeClr val="accent4"/>
                        </a:effectRef>
                        <a:fontRef idx="minor">
                          <a:schemeClr val="dk1"/>
                        </a:fontRef>
                      </wps:style>
                      <wps:txb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A4585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مستطيل 1" o:spid="_x0000_s1026" type="#_x0000_t61"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MdVwIAAA4FAAAOAAAAZHJzL2Uyb0RvYy54bWysVN9v2jAQfp+0/8Hy+xpgdHSooUJUnSah&#10;FpVOfTaODdEcn3c2JOyv39kJoeoqbZr2ktz5fn/+ztc3TWXYQaEvweZ8eDHgTFkJRWm3Of/2dPfh&#10;ijMfhC2EAatyflSe38zev7uu3VSNYAemUMgoifXT2uV8F4KbZpmXO1UJfwFOWTJqwEoEUnGbFShq&#10;yl6ZbDQYfMpqwMIhSOU9nd62Rj5L+bVWMjxo7VVgJufUW0hfTN9N/GazazHdonC7UnZtiH/oohKl&#10;paJ9qlsRBNtj+VuqqpQIHnS4kFBloHUpVZqBphkOXk2z3gmn0iwEjnc9TP7/pZX3h7VbIcFQOz/1&#10;JMYpGo1V/FN/rElgHXuwVBOYpMPh1eXk4+SSM0m2MSkkU5rsHO3Qhy8KKhaFnNeq2KpHupGFMAb2&#10;IeElDksf2rCTeyxsbDw7t5SkcDSqNT4qzcoiNpGSJLaohUF2EHTPQkplw7jrxljyjmG6NKYPHP05&#10;sPOPoSoxqQ/+i6p9RKoMNvTBVWkB36pefB92LevW/4RAO3eEIDSbpruqDRTHFTKEltLeybuSYF4K&#10;H1YCicPEdtrL8EAfbaDOOXQSZzvAn2+dR3+iFlk5q2kncu5/7AUqzsxXS6T7PByP4xIlZXw5GZGC&#10;Ly2blxa7rxZA1zGkF8DJJEb/YE6iRqieaX3nsSqZhJVUO+cy4ElZhHZX6QGQaj5PbrQ4ToSlXTt5&#10;IkCkzlPzLNB1XAvE0ns47Y+YvqJZ6xuvxsJ8H0CXiYMR4hbXDnpausTo7oGIW/1ST17nZ2z2CwAA&#10;//8DAFBLAwQUAAYACAAAACEAZSvhft8AAAAKAQAADwAAAGRycy9kb3ducmV2LnhtbEyPwU7DMBBE&#10;70j8g7VI3KjjIJIS4lSA4ARSRYEDNyd2k6j2OrLdNPw9ywmOq3maeVtvFmfZbEIcPUoQqwyYwc7r&#10;EXsJH+/PV2tgMSnUyno0Er5NhE1zflarSvsTvpl5l3pGJRgrJWFIaao4j91gnIorPxmkbO+DU4nO&#10;0HMd1InKneV5lhXcqRFpYVCTeRxMd9gdnQR9sxWHYv7i+09domsfXp7sa5Dy8mK5vwOWzJL+YPjV&#10;J3VoyKn1R9SRWQlFXghCJVyLHBgBt2JdAGuJzMoSeFPz/y80PwAAAP//AwBQSwECLQAUAAYACAAA&#10;ACEAtoM4kv4AAADhAQAAEwAAAAAAAAAAAAAAAAAAAAAAW0NvbnRlbnRfVHlwZXNdLnhtbFBLAQIt&#10;ABQABgAIAAAAIQA4/SH/1gAAAJQBAAALAAAAAAAAAAAAAAAAAC8BAABfcmVscy8ucmVsc1BLAQIt&#10;ABQABgAIAAAAIQC3eJMdVwIAAA4FAAAOAAAAAAAAAAAAAAAAAC4CAABkcnMvZTJvRG9jLnhtbFBL&#10;AQItABQABgAIAAAAIQBlK+F+3wAAAAoBAAAPAAAAAAAAAAAAAAAAALEEAABkcnMvZG93bnJldi54&#10;bWxQSwUGAAAAAAQABADzAAAAvQUAAAAA&#10;" adj="6300,24300" fillcolor="#ffd555 [2167]" strokecolor="#ffc000 [3207]" strokeweight=".5pt">
                <v:fill color2="#ffcc31 [2615]" rotate="t" colors="0 #ffdd9c;.5 #ffd78e;1 #ffd479" focus="100%" type="gradient">
                  <o:fill v:ext="view" type="gradientUnscaled"/>
                </v:fill>
                <v:textbo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v:textbox>
              </v:shape>
            </w:pict>
          </mc:Fallback>
        </mc:AlternateContent>
      </w: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7207221D">
                <wp:simplePos x="0" y="0"/>
                <wp:positionH relativeFrom="column">
                  <wp:posOffset>51435</wp:posOffset>
                </wp:positionH>
                <wp:positionV relativeFrom="paragraph">
                  <wp:posOffset>198755</wp:posOffset>
                </wp:positionV>
                <wp:extent cx="1838325" cy="485775"/>
                <wp:effectExtent l="0" t="0" r="28575" b="1047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wedgeRoundRectCallout">
                          <a:avLst/>
                        </a:prstGeom>
                        <a:ln/>
                      </wps:spPr>
                      <wps:style>
                        <a:lnRef idx="1">
                          <a:schemeClr val="accent4"/>
                        </a:lnRef>
                        <a:fillRef idx="2">
                          <a:schemeClr val="accent4"/>
                        </a:fillRef>
                        <a:effectRef idx="1">
                          <a:schemeClr val="accent4"/>
                        </a:effectRef>
                        <a:fontRef idx="minor">
                          <a:schemeClr val="dk1"/>
                        </a:fontRef>
                      </wps:style>
                      <wps:txb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1B6F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مستطيل 2" o:spid="_x0000_s1027" type="#_x0000_t62"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3PYgIAABoFAAAOAAAAZHJzL2Uyb0RvYy54bWysVN9v2jAQfp+0/8Hy+xqgsFJEqBBVp0lV&#10;W7Wd+mwcG6I5Pu9sSNhfv7MTUtRV2jTtJTn7fn/3nedXTWXYXqEvweZ8eDbgTFkJRWk3Of/2fPNp&#10;ypkPwhbCgFU5PyjPrxYfP8xrN1Mj2IIpFDIKYv2sdjnfhuBmWeblVlXCn4FTlpQasBKBjrjJChQ1&#10;Ra9MNhoMPmc1YOEQpPKebq9bJV+k+ForGe619iowk3OqLaQvpu86frPFXMw2KNy2lF0Z4h+qqERp&#10;KWkf6loEwXZY/haqKiWCBx3OJFQZaF1KlXqgboaDN908bYVTqRcCx7seJv//wsq7/ZN7QIKhdn7m&#10;SYxdNBqr+Kf6WJPAOvRgqSYwSZfD6fn0fDThTJJuPJ1cXEwimtmrt0MfviioWBRyXqtiox5hZ4tH&#10;GstKGAO7kEAT+1sfWt+jT8xubLx7rStJ4WBUq3xUmpVFrCQFSZRRK4NsL2jYQkplw7gryViyjm66&#10;NKZ3HP3ZsbOPrirRqXf+i6y9R8oMNvTOVWkB38tefB92JevW/ohA23eEIDTrhhqPfXdjW0NxeECG&#10;0NLbO3lTEuS3wocHgcRnYj7taLinjzZQ5xw6ibMt4M/37qM90Yy0nNW0Hzn3P3YCFWfmqyUCXg7H&#10;47hQ6TCeXIzogKea9anG7qoV0FSG9Bo4mcRoH8xR1AjVC63yMmYllbCScudcBjweVqHdW3oMpFou&#10;kxktkRPh1j45eeRBZNBz8yLQdbwLxNg7OO6SmL1hW2sbJ2RhuQugy0TFiHSLazcBWsDE7u6xiBt+&#10;ek5Wr0/a4hcAAAD//wMAUEsDBBQABgAIAAAAIQBFbCUn3QAAAAgBAAAPAAAAZHJzL2Rvd25yZXYu&#10;eG1sTI/BTsMwEETvSPyDtUjcqJNWSkMap6oq9ciBBCS4ufE2cYnXUey24e9ZTnBczdPM23I7u0Fc&#10;cQrWk4J0kYBAar2x1Cl4aw5POYgQNRk9eEIF3xhgW93flbow/kaveK1jJ7iEQqEV9DGOhZSh7dHp&#10;sPAjEmcnPzkd+Zw6aSZ943I3yGWSZNJpS7zQ6xH3PbZf9cUpcJm1+13zEj5j89Geu/zdnOqDUo8P&#10;824DIuIc/2D41Wd1qNjp6C9kghgU5CmDClbpCgTHy+d1BuLIXLLOQVal/P9A9QMAAP//AwBQSwEC&#10;LQAUAAYACAAAACEAtoM4kv4AAADhAQAAEwAAAAAAAAAAAAAAAAAAAAAAW0NvbnRlbnRfVHlwZXNd&#10;LnhtbFBLAQItABQABgAIAAAAIQA4/SH/1gAAAJQBAAALAAAAAAAAAAAAAAAAAC8BAABfcmVscy8u&#10;cmVsc1BLAQItABQABgAIAAAAIQA5Ma3PYgIAABoFAAAOAAAAAAAAAAAAAAAAAC4CAABkcnMvZTJv&#10;RG9jLnhtbFBLAQItABQABgAIAAAAIQBFbCUn3QAAAAgBAAAPAAAAAAAAAAAAAAAAALwEAABkcnMv&#10;ZG93bnJldi54bWxQSwUGAAAAAAQABADzAAAAxgUAAAAA&#10;" adj="6300,24300" fillcolor="#ffd555 [2167]" strokecolor="#ffc000 [3207]" strokeweight=".5pt">
                <v:fill color2="#ffcc31 [2615]" rotate="t" colors="0 #ffdd9c;.5 #ffd78e;1 #ffd479" focus="100%" type="gradient">
                  <o:fill v:ext="view" type="gradientUnscaled"/>
                </v:fill>
                <v:textbo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v:textbox>
              </v:shape>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6176C2F2"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63E87C14">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E209F4" w14:textId="0DA2DDE9"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L09VA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qclhw9480GisMKGUILZ+/kbUkbvhM+&#10;rAQSfgnpxMnwQIc2UOccOomzLeDP9+6jP8GKrJzVxIec+x87gYoz89US4C5Hk0kkUFIm5xdjUvC1&#10;ZfPaYnfVEuhVRsR+J5MY/YM5ihqheibqLmJVMgkrqXbOZcCjsgwtT4n8Ui0WyY1I40S4s2snjziI&#10;CHpqngW6DmaBEHoPR+6I2Ru0tb7xhSwsdgF0maB42mv3AkS4BObu5xAZ/VpPXqdf2PwXAAAA//8D&#10;AFBLAwQUAAYACAAAACEARlKbtN8AAAAIAQAADwAAAGRycy9kb3ducmV2LnhtbEyPwU7DMBBE70j8&#10;g7VI3KhDaWka4lQVEkKgXhrgwG0bL3FEbEex0xq+nuUEx50Zzb4pN8n24khj6LxTcD3LQJBrvO5c&#10;q+D15eEqBxEiOo29d6TgiwJsqvOzEgvtT25Pxzq2gktcKFCBiXEopAyNIYth5gdy7H340WLkc2yl&#10;HvHE5baX8yy7lRY7xx8MDnRvqPmsJ6tgvdu/tZPX75ge82ZbP6Xv9GyUurxI2zsQkVL8C8MvPqND&#10;xUwHPzkdRK9gteSggkV2A4Lt+XrF0w4sLJY5yKqU/wdUPwAAAP//AwBQSwECLQAUAAYACAAAACEA&#10;toM4kv4AAADhAQAAEwAAAAAAAAAAAAAAAAAAAAAAW0NvbnRlbnRfVHlwZXNdLnhtbFBLAQItABQA&#10;BgAIAAAAIQA4/SH/1gAAAJQBAAALAAAAAAAAAAAAAAAAAC8BAABfcmVscy8ucmVsc1BLAQItABQA&#10;BgAIAAAAIQCOCL09VAIAAAoFAAAOAAAAAAAAAAAAAAAAAC4CAABkcnMvZTJvRG9jLnhtbFBLAQIt&#10;ABQABgAIAAAAIQBGUpu03wAAAAgBAAAPAAAAAAAAAAAAAAAAAK4EAABkcnMvZG93bnJldi54bWxQ&#10;SwUGAAAAAAQABADzAAAAugUAAAAA&#10;" fillcolor="#c3c3c3 [2166]" strokecolor="#a5a5a5 [3206]" strokeweight=".5pt">
                <v:fill color2="#b6b6b6 [2614]" rotate="t" colors="0 #d2d2d2;.5 #c8c8c8;1 silver" focus="100%" type="gradient">
                  <o:fill v:ext="view" type="gradientUnscaled"/>
                </v:fill>
                <v:textbox>
                  <w:txbxContent>
                    <w:p w14:paraId="7BE209F4" w14:textId="0DA2DDE9"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6F0581D">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l9VgIAAAoFAAAOAAAAZHJzL2Uyb0RvYy54bWysVN9v2jAQfp+0/8Hy+xqgUFrUUKFWnSZV&#10;LVo79dk4NkRzfN7ZkLC/fmcnBNRV2jTtxTn7fn/3Xa5vmsqwnUJfgs358GzAmbISitKuc/7t5f7T&#10;JWc+CFsIA1blfK88v5l//HBdu5kawQZMoZBREOtntcv5JgQ3yzIvN6oS/gycsqTUgJUIdMV1VqCo&#10;KXplstFgcJHVgIVDkMp7er1rlXye4mutZHjS2qvATM6ptpBOTOcqntn8WszWKNymlF0Z4h+qqERp&#10;KWkf6k4EwbZY/haqKiWCBx3OJFQZaF1KlXqgboaDN908b4RTqRcCx7seJv//wsrH3bNbIsFQOz/z&#10;JMYuGo1V/FJ9rElg7XuwVBOYpMfh5WR6Pp1wJkk3uhhPryYJzuzo7tCHzwoqFoWcI00jgSR2Dz5Q&#10;SjI9mMRsxsa3Yx1JCnujWuVXpVlZxMwpSKKIujXIdoKGK6RUNpzHgVJYY8k6uunSmN5x9GfHzj66&#10;qkSf3vkvsvYeKTPY0DtXpQV8L3vxfdiVrFv7AwJt3xGC0Kwaajznqbn4soJiv0SG0NLZO3lfEsIP&#10;woelQOIvMZ12MjzRoQ3UOYdO4mwD+PO992hPtCItZzXtQ879j61AxZn5YolwV8PxOC5Quown0xFd&#10;8FSzOtXYbXULNJUhbb+TSYz2wRxEjVC90uouYlZSCSspd85lwMPlNrR7Sssv1WKRzGhpnAgP9tnJ&#10;Aw8ig16aV4Guo1kghj7CYXfE7A3bWts4IQuLbQBdJioece0mQAuXqNT9HOJGn96T1fEXNv8FAAD/&#10;/wMAUEsDBBQABgAIAAAAIQB497P54QAAAAoBAAAPAAAAZHJzL2Rvd25yZXYueG1sTI9NT8MwDIbv&#10;SPyHyEjcWMq6r5am04SEEGiXFThwyxrTVjRO1aRb4NdjTnC0/ej18xbbaHtxwtF3jhTczhIQSLUz&#10;HTUKXl8ebjYgfNBkdO8IFXyhh215eVHo3LgzHfBUhUZwCPlcK2hDGHIpfd2i1X7mBiS+fbjR6sDj&#10;2Egz6jOH217Ok2Qlre6IP7R6wPsW689qsgqy/eGtmZx51/FxU++qp/gdn1ulrq/i7g5EwBj+YPjV&#10;Z3Uo2enoJjJe9ApW6XLBqIJFkoJgIJuvMxBHXizXKciykP8rlD8AAAD//wMAUEsBAi0AFAAGAAgA&#10;AAAhALaDOJL+AAAA4QEAABMAAAAAAAAAAAAAAAAAAAAAAFtDb250ZW50X1R5cGVzXS54bWxQSwEC&#10;LQAUAAYACAAAACEAOP0h/9YAAACUAQAACwAAAAAAAAAAAAAAAAAvAQAAX3JlbHMvLnJlbHNQSwEC&#10;LQAUAAYACAAAACEAkLk5fVYCAAAKBQAADgAAAAAAAAAAAAAAAAAuAgAAZHJzL2Uyb0RvYy54bWxQ&#10;SwECLQAUAAYACAAAACEAePez+eEAAAAKAQAADwAAAAAAAAAAAAAAAACwBAAAZHJzL2Rvd25yZXYu&#10;eG1sUEsFBgAAAAAEAAQA8wAAAL4FAAAAAA==&#10;" fillcolor="#c3c3c3 [2166]" strokecolor="#a5a5a5 [3206]" strokeweight=".5pt">
                <v:fill color2="#b6b6b6 [2614]" rotate="t" colors="0 #d2d2d2;.5 #c8c8c8;1 silver" focus="100%" type="gradient">
                  <o:fill v:ext="view" type="gradientUnscaled"/>
                </v:fill>
                <v:textbox>
                  <w:txbxContent>
                    <w:p w14:paraId="344AAA2E" w14:textId="77777777" w:rsidR="00E819C0" w:rsidRDefault="00E819C0" w:rsidP="00E819C0">
                      <w:pPr>
                        <w:jc w:val="center"/>
                      </w:pPr>
                    </w:p>
                  </w:txbxContent>
                </v:textbox>
              </v:rect>
            </w:pict>
          </mc:Fallback>
        </mc:AlternateContent>
      </w:r>
    </w:p>
    <w:p w14:paraId="56631AE4" w14:textId="2641E3B3"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7CFC349F">
                <wp:simplePos x="0" y="0"/>
                <wp:positionH relativeFrom="column">
                  <wp:posOffset>4210050</wp:posOffset>
                </wp:positionH>
                <wp:positionV relativeFrom="paragraph">
                  <wp:posOffset>3175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0" style="position:absolute;left:0;text-align:left;margin-left:331.5pt;margin-top:.2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OhR2QIAAI4GAAAOAAAAZHJzL2Uyb0RvYy54bWysVVtr2zAUfh/sPwi9r7bbuJdQp4SUjEHX&#10;lrWjz4os2wLdJimxu1+/I8m5rAuDjb440rmf7+h8ub4ZpEAbZh3XqsLFSY4RU1TXXLUV/v68/HSJ&#10;kfNE1URoxSr8yhy+mX38cN2bKTvVnRY1swiCKDftTYU77800yxztmCTuRBumQNloK4mHq22z2pIe&#10;okuRneb5edZrWxurKXMOpLdJiWcxftMw6h+axjGPRIWhNh+/Nn5X4ZvNrsm0tcR0nI5lkP+oQhKu&#10;IOku1C3xBK0t/yOU5NRqpxt/QrXMdNNwymIP0E2Rv+nmqSOGxV4AHGd2MLn3C0vvN0/m0QIMvXFT&#10;B8fQxdBYGX6hPjREsF53YLHBIwrCoswnZ0WJEQXdJC+uyjKgme29jXX+M9MShUOFrV6r+htMJAJF&#10;NnfOJ/ut3YhfveRCIKv9C/ddhACSJXAd+EQrh4wGFPIodrZdLYRFGwJDXi4XeZ7kYi2/6jqJiwKk&#10;47gd8Xt5Xu7kniufrM8vRiF0M0aPnbXuMHvw/IcKDjL9XsHZkQoutsK/VhCbeo8Sro6UcBmijyN9&#10;CwJU1W6HIbhCJKx7OQEHcEGOEsHq8cUEU0viUAN4QqG+wudnJdhRAhvfCOLhKA04ONViREQLVEK9&#10;TcPVgu+cj006vSF3aBYe1C1xXRpmVKVFl9wD2wguK3yZak3eQoXSWOSL8Vnu1yGc/LAaEIcKJyFQ&#10;kKx0/fpowzMNfSJn6JJD2jvi/COxwCEgBF70D/BphIae9XjCqNP25zF5sIfVBi1GPXASAPJjTSzD&#10;SHxR8NyviskEwvp4mZQXp3Cxh5rVoUat5ULDRhSxungM9l5sj43V8gXocx6ygoooCrkT9ONl4RNX&#10;AgFTNp9HMyAuQ/ydejJ0u5gB8OfhhVgz7roHlrjXW/4i0zfbnmwD5krP1143PFLBHlfYtnAB0kt7&#10;lwg6sOrhPVrt/0ZmvwAAAP//AwBQSwMEFAAGAAgAAAAhAC47CRreAAAABwEAAA8AAABkcnMvZG93&#10;bnJldi54bWxMj8FOwzAQRO9I/IO1SNyoDVWiJMSpKgQ3ONAiEW5uvCQR8TqKnTbw9SwnetyZ0czb&#10;crO4QRxxCr0nDbcrBQKp8banVsPb/ukmAxGiIWsGT6jhGwNsqsuL0hTWn+gVj7vYCi6hUBgNXYxj&#10;IWVoOnQmrPyIxN6nn5yJfE6ttJM5cbkb5J1SqXSmJ17ozIgPHTZfu9lpqKf3Ru3rj0f/8zwnqn1J&#10;+m2daH19tWzvQURc4n8Y/vAZHSpmOviZbBCDhjRd8y9RQwKC7SzPcxAH1tcZyKqU5/zVLwAAAP//&#10;AwBQSwECLQAUAAYACAAAACEAtoM4kv4AAADhAQAAEwAAAAAAAAAAAAAAAAAAAAAAW0NvbnRlbnRf&#10;VHlwZXNdLnhtbFBLAQItABQABgAIAAAAIQA4/SH/1gAAAJQBAAALAAAAAAAAAAAAAAAAAC8BAABf&#10;cmVscy8ucmVsc1BLAQItABQABgAIAAAAIQB7aOhR2QIAAI4GAAAOAAAAAAAAAAAAAAAAAC4CAABk&#10;cnMvZTJvRG9jLnhtbFBLAQItABQABgAIAAAAIQAuOwka3gAAAAc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v:textbox>
              </v:roundrect>
            </w:pict>
          </mc:Fallback>
        </mc:AlternateContent>
      </w:r>
    </w:p>
    <w:p w14:paraId="330B7E76" w14:textId="24219AE7" w:rsidR="00E819C0" w:rsidRPr="00E819C0" w:rsidRDefault="0033243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21E21518">
                <wp:simplePos x="0" y="0"/>
                <wp:positionH relativeFrom="column">
                  <wp:posOffset>201930</wp:posOffset>
                </wp:positionH>
                <wp:positionV relativeFrom="paragraph">
                  <wp:posOffset>281940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31" style="position:absolute;left:0;text-align:left;margin-left:15.9pt;margin-top:22.2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BGtvPnfAAAACQEAAA8AAABkcnMvZG93&#10;bnJldi54bWxMjzFPwzAUhHck/oP1kNionZBUbRqnqhBsMNAiETY3NklE/BzZThv49TymMp7udPdd&#10;uZ3twE7Gh96hhGQhgBlsnO6xlfB2eLpbAQtRoVaDQyPh2wTYVtdXpSq0O+OrOe1jy6gEQ6EkdDGO&#10;Beeh6YxVYeFGg+R9Om9VJOlbrr06U7kdeCrEklvVIy10ajQPnWm+9pOVUPv3Rhzqj0f38zzlon3J&#10;+12dS3l7M+82wKKZ4yUMf/iEDhUxHd2EOrBBwn1C5FFClmXAyE+XqxTYkYJJtgZelfz/g+oXAAD/&#10;/wMAUEsBAi0AFAAGAAgAAAAhALaDOJL+AAAA4QEAABMAAAAAAAAAAAAAAAAAAAAAAFtDb250ZW50&#10;X1R5cGVzXS54bWxQSwECLQAUAAYACAAAACEAOP0h/9YAAACUAQAACwAAAAAAAAAAAAAAAAAvAQAA&#10;X3JlbHMvLnJlbHNQSwECLQAUAAYACAAAACEAZrpDEdkCAACOBgAADgAAAAAAAAAAAAAAAAAuAgAA&#10;ZHJzL2Uyb0RvYy54bWxQSwECLQAUAAYACAAAACEAEa28+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v:textbox>
              </v:roundrect>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364DD83C">
                <wp:simplePos x="0" y="0"/>
                <wp:positionH relativeFrom="column">
                  <wp:posOffset>4209415</wp:posOffset>
                </wp:positionH>
                <wp:positionV relativeFrom="paragraph">
                  <wp:posOffset>161925</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2" style="position:absolute;left:0;text-align:left;margin-left:331.45pt;margin-top:12.75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K7Y2gIAAI4GAAAOAAAAZHJzL2Uyb0RvYy54bWysVVtr2zAUfh/sPwi9r7bbJE1DnRJSMgZd&#10;W9aOPiuybAt0m6TE7n79jiTnsi4MNvriSOf6ne/onFzf9FKgLbOOa1Xi4izHiCmqK66aEn9/Xn2a&#10;YuQ8URURWrESvzKHb+YfP1x3ZsbOdatFxSyCIMrNOlPi1nszyzJHWyaJO9OGKVDW2kri4WqbrLKk&#10;g+hSZOd5Psk6bStjNWXOgfQ2KfE8xq9rRv1DXTvmkSgxYPPxa+N3Hb7Z/JrMGktMy+kAg/wHCkm4&#10;gqT7ULfEE7Sx/I9QklOrna79GdUy03XNKYs1QDVF/qaap5YYFmsBcpzZ0+TeLyy93z6ZRws0dMbN&#10;HBxDFX1tZfgFfKiPZL3uyWK9RxSExTgfXY2BUwq6UTEZTyKb2cHbWOc/My1ROJTY6o2qvkFHIlFk&#10;e+c8pAX7nd3AX7XiQiCr/Qv3baQAkiVyHfhEK4eMBhbyKHa2WS+FRVsCTV6tlnme5GIjv+oqiYsC&#10;pEO7HfEHeT7eyz1XPllPLgchoBuiR6SNO84ePP8BwVGm3xFcnEBwuRP+FUEs6j0gXJ2AMA3Rw4Cc&#10;gACiZtcMwRUiYdzHI3AAF+QoEawaXkwwtSQ2NZAnFOpKPLmIL4fAxNeCeHhE0oCDUw1GRDSwSqi3&#10;qbla8L3zqU4PAI/NwoO6Ja5NzXRBlQZdcg/bRnBZ4mnCmryFCtBY3BfDszyMQzj5ft0jDggnIVCQ&#10;rHX1+mjDMw11ImfoikPaO+L8I7GwQ0AIe9E/wKcWGmrWwwmjVtufp+TBHkYbtBh1sJOAkB8bYhlG&#10;4ouC535VjEYQ1sfLaHx5Dhd7rFkfa9RGLjVMRBHRxWOw92J3rK2WL7A+FyErqIiikDtRP1yWPu1K&#10;WMCULRbRDBaXIf5OPRm6G8xA+HP/QqwZZt3DlrjXu/1FZm+mPdkGzpVebLyueVwFB17h0YULLL00&#10;d2lBh616fI9Wh7+R+S8AAAD//wMAUEsDBBQABgAIAAAAIQAyXoCc3wAAAAkBAAAPAAAAZHJzL2Rv&#10;d25yZXYueG1sTI/BTsMwDIbvSLxD5EncWNJKqdbSdJoQ3ODANolyyxrTVmucqkm3wtMTTnC0/en3&#10;95fbxQ7sgpPvHSlI1gIYUuNMT62C4+H5fgPMB01GD45QwRd62Fa3N6UujLvSG172oWUxhHyhFXQh&#10;jAXnvunQar92I1K8fbrJ6hDHqeVm0tcYbgeeCpFxq3uKHzo94mOHzXk/WwX19N6IQ/3x5L5fZina&#10;V9nvaqnU3WrZPQALuIQ/GH71ozpU0enkZjKeDQqyLM0jqiCVElgENnkeFycFeZIAr0r+v0H1AwAA&#10;//8DAFBLAQItABQABgAIAAAAIQC2gziS/gAAAOEBAAATAAAAAAAAAAAAAAAAAAAAAABbQ29udGVu&#10;dF9UeXBlc10ueG1sUEsBAi0AFAAGAAgAAAAhADj9If/WAAAAlAEAAAsAAAAAAAAAAAAAAAAALwEA&#10;AF9yZWxzLy5yZWxzUEsBAi0AFAAGAAgAAAAhAOzsrtjaAgAAjgYAAA4AAAAAAAAAAAAAAAAALgIA&#10;AGRycy9lMm9Eb2MueG1sUEsBAi0AFAAGAAgAAAAhADJegJz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v:textbox>
              </v:roundrect>
            </w:pict>
          </mc:Fallback>
        </mc:AlternateContent>
      </w:r>
    </w:p>
    <w:p w14:paraId="5AFF4257" w14:textId="6AF80FD6"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49846A1F">
                <wp:simplePos x="0" y="0"/>
                <wp:positionH relativeFrom="column">
                  <wp:posOffset>4210050</wp:posOffset>
                </wp:positionH>
                <wp:positionV relativeFrom="paragraph">
                  <wp:posOffset>292100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3" style="position:absolute;left:0;text-align:left;margin-left:331.5pt;margin-top:23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3j2gIAAI4GAAAOAAAAZHJzL2Uyb0RvYy54bWysVclu2zAQvRfoPxC8N5IcOXaMyIHhwEWB&#10;NDGaFDnTFCUR4FaSXtKv75CUl6ZGgRa5yOSsb95wxje3OynQhlnHtapwcZFjxBTVNVdthb8/Lz6N&#10;MXKeqJoIrViFX5nDt9OPH262ZsIGutOiZhZBEOUmW1PhznszyTJHOyaJu9CGKVA22kri4WrbrLZk&#10;C9GlyAZ5fpVtta2N1ZQ5B9K7pMTTGL9pGPWPTeOYR6LCgM3Hr43fVfhm0xsyaS0xHac9DPIfKCTh&#10;CpIeQt0RT9Da8j9CSU6tdrrxF1TLTDcNpyzWANUU+ZtqnjpiWKwFyHHmQJN7v7D0YfNklhZo2Bo3&#10;cXAMVewaK8Mv4EO7SNbrgSy284iCsBjm5WUxxIiCrhyUxTiymR29jXX+M9MShUOFrV6r+ht0JBJF&#10;NvfOQ1qw39v1/NULLgSy2r9w30UKIFki14FPtHLIaGAhj2Jn29VcWLQh0OTFYp7nSS7W8quuk7go&#10;QNq32xF/lOfDg9xz5ZP11agXAro+ekTautPswfMfEJxk+h3B5RkEo73wrwhiUe8B4foMhHGIHgbk&#10;DAQQtftmCK4QCeM+LMEBXJCjRLC6fzHB1JLY1ECeUGhb4avLIdhRAhPfCOLhKA04ONViREQLq4R6&#10;m5qrBT84n+t0D/DULDyoO+K61EwXVGnQJfewbQSXFR4nrMlbqACNxX3RP8vjOIST3612iAPCUQgU&#10;JCtdvy5teKahTuQMXXBIe0+cXxILOwSEsBf9I3waoaFm3Z8w6rT9eU4e7GG0QYvRFnYSEPJjTSzD&#10;SHxR8Nyvi7KEsD5eyuFoABd7qlmdatRazjVMRBHRxWOw92J/bKyWL7A+ZyErqIiikDtR31/mPu1K&#10;WMCUzWbRDBaXIf5ePRm6H8xA+PPuhVjTz7qHLfGg9/uLTN5Me7INnCs9W3vd8LgKjrzCowsXWHpp&#10;7tKCDlv19B6tjn8j018AAAD//wMAUEsDBBQABgAIAAAAIQAbyerQ4QAAAAoBAAAPAAAAZHJzL2Rv&#10;d25yZXYueG1sTI/BTsMwDIbvSLxDZCRuLNmgVds1nSYENziwIVFuWZO1FY1TJelWeHrMaZwsy59+&#10;f3+5me3ATsaH3qGE5UIAM9g43WMr4X3/fJcBC1GhVoNDI+HbBNhU11elKrQ745s57WLLKARDoSR0&#10;MY4F56HpjFVh4UaDdDs6b1Wk1bdce3WmcDvwlRApt6pH+tCp0Tx2pvnaTVZC7T8asa8/n9zPy5SI&#10;9jXpt3Ui5e3NvF0Di2aOFxj+9EkdKnI6uAl1YIOENL2nLlHCQ0qTgCzPc2AHIperDHhV8v8Vql8A&#10;AAD//wMAUEsBAi0AFAAGAAgAAAAhALaDOJL+AAAA4QEAABMAAAAAAAAAAAAAAAAAAAAAAFtDb250&#10;ZW50X1R5cGVzXS54bWxQSwECLQAUAAYACAAAACEAOP0h/9YAAACUAQAACwAAAAAAAAAAAAAAAAAv&#10;AQAAX3JlbHMvLnJlbHNQSwECLQAUAAYACAAAACEAZLaN49oCAACOBgAADgAAAAAAAAAAAAAAAAAu&#10;AgAAZHJzL2Uyb0RvYy54bWxQSwECLQAUAAYACAAAACEAG8nq0OEAAAAKAQAADwAAAAAAAAAAAAAA&#10;AAA0BQAAZHJzL2Rvd25yZXYueG1sUEsFBgAAAAAEAAQA8wAAAEIGAAAAAA==&#10;" fillcolor="#ffdd9c" strokecolor="#ffc000" strokeweight=".5pt">
                <v:fill color2="#ffd479" rotate="t" colors="0 #ffdd9c;.5 #ffd78e;1 #ffd479" focus="100%" type="gradient">
                  <o:fill v:ext="view" type="gradientUnscaled"/>
                </v:fill>
                <v:stroke joinstyle="miter"/>
                <v:textbo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v:textbox>
              </v:roundrect>
            </w:pict>
          </mc:Fallback>
        </mc:AlternateContent>
      </w:r>
    </w:p>
    <w:p w14:paraId="0DA0FCC5" w14:textId="2A80122A" w:rsidR="00E819C0" w:rsidRPr="00E819C0" w:rsidRDefault="00E819C0" w:rsidP="00E819C0">
      <w:pPr>
        <w:spacing w:line="276" w:lineRule="auto"/>
        <w:jc w:val="both"/>
        <w:rPr>
          <w:rFonts w:ascii="Traditional Arabic" w:eastAsia="Calibri" w:hAnsi="Traditional Arabic" w:cs="Simplified Arabic"/>
          <w:sz w:val="28"/>
          <w:szCs w:val="28"/>
        </w:rPr>
      </w:pPr>
    </w:p>
    <w:p w14:paraId="740DBA06" w14:textId="18E42F91"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9744" behindDoc="0" locked="0" layoutInCell="1" allowOverlap="1" wp14:anchorId="3704628A" wp14:editId="050190D1">
                <wp:simplePos x="0" y="0"/>
                <wp:positionH relativeFrom="column">
                  <wp:posOffset>4206240</wp:posOffset>
                </wp:positionH>
                <wp:positionV relativeFrom="paragraph">
                  <wp:posOffset>81280</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4628A" id="_x0000_s1034" style="position:absolute;left:0;text-align:left;margin-left:331.2pt;margin-top:6.4pt;width:118.4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XNB2gIAAI4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HhJAQK&#10;kpWuXx9teKahTuQMXXJIe0ecfyQWdggIYS/6B/g0QkPNejhh1Gn785Q82MNogxajLewkIOTHmliG&#10;kfii4LlfFWUJYX28lOPLEVzssWZ1rFFrudAwEUVEF4/B3ovdsbFavsD6nIesoCKKQu5E/XBZ+LQr&#10;YQFTNp9HM1hchvg79WTobjAD4c/9C7FmmHUPW+Je7/YXmb6Z9mQbOFd6vva64XEVHHiFRxcusPTS&#10;3KUFHbbq8T1aHf5GZr8AAAD//wMAUEsDBBQABgAIAAAAIQBcp9Ir3wAAAAkBAAAPAAAAZHJzL2Rv&#10;d25yZXYueG1sTI/BTsMwEETvSPyDtUjcqE0goQlxqgrBDQ5tkZre3NgkEfE6sp028PUsJziu5mn2&#10;Tbma7cBOxofeoYTbhQBmsHG6x1bC++7lZgksRIVaDQ6NhC8TYFVdXpSq0O6MG3PaxpZRCYZCSehi&#10;HAvOQ9MZq8LCjQYp+3Deqkinb7n26kzlduCJEBm3qkf60KnRPHWm+dxOVkLt943Y1Ydn9/06paJ9&#10;S/t1nUp5fTWvH4FFM8c/GH71SR0qcjq6CXVgg4QsS+4JpSChCQQs8/wO2FHCQ54Br0r+f0H1AwAA&#10;//8DAFBLAQItABQABgAIAAAAIQC2gziS/gAAAOEBAAATAAAAAAAAAAAAAAAAAAAAAABbQ29udGVu&#10;dF9UeXBlc10ueG1sUEsBAi0AFAAGAAgAAAAhADj9If/WAAAAlAEAAAsAAAAAAAAAAAAAAAAALwEA&#10;AF9yZWxzLy5yZWxzUEsBAi0AFAAGAAgAAAAhAPKVc0HaAgAAjgYAAA4AAAAAAAAAAAAAAAAALgIA&#10;AGRycy9lMm9Eb2MueG1sUEsBAi0AFAAGAAgAAAAhAFyn0iv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v:textbox>
              </v:roundrect>
            </w:pict>
          </mc:Fallback>
        </mc:AlternateContent>
      </w:r>
    </w:p>
    <w:p w14:paraId="4DA67BAE" w14:textId="1FC18FD5" w:rsidR="00E819C0" w:rsidRPr="00E819C0" w:rsidRDefault="00E819C0" w:rsidP="00E819C0">
      <w:pPr>
        <w:spacing w:line="276" w:lineRule="auto"/>
        <w:jc w:val="both"/>
        <w:rPr>
          <w:rFonts w:ascii="Traditional Arabic" w:eastAsia="Calibri" w:hAnsi="Traditional Arabic" w:cs="Simplified Arabic"/>
          <w:sz w:val="28"/>
          <w:szCs w:val="28"/>
          <w:rtl/>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3CF8A75F" w:rsidR="00E819C0" w:rsidRPr="00E819C0" w:rsidRDefault="00E819C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hint="cs"/>
          <w:sz w:val="28"/>
          <w:szCs w:val="28"/>
          <w:rtl/>
        </w:rPr>
        <w:t xml:space="preserve">المصدر : من إعداد الباحث بالاعتماد على الدراسات السابقة </w:t>
      </w:r>
    </w:p>
    <w:p w14:paraId="235306AD" w14:textId="77777777" w:rsidR="000E0033" w:rsidRPr="00B91104" w:rsidRDefault="000E0033" w:rsidP="00D439AC">
      <w:pPr>
        <w:pStyle w:val="1"/>
        <w:rPr>
          <w:rtl/>
        </w:rPr>
      </w:pPr>
      <w:bookmarkStart w:id="6" w:name="_Toc202053521"/>
      <w:r w:rsidRPr="00B91104">
        <w:rPr>
          <w:rtl/>
        </w:rPr>
        <w:t>مصطلحات الدراسة وتعريفاتها الإجرائية:</w:t>
      </w:r>
      <w:bookmarkEnd w:id="6"/>
    </w:p>
    <w:p w14:paraId="48B8F9A5" w14:textId="0BBD4080" w:rsidR="00D23D27" w:rsidRPr="00D23D27" w:rsidRDefault="00D23D27" w:rsidP="00F178E3">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تقنيات الذكاء الاصطناعي</w:t>
      </w:r>
    </w:p>
    <w:p w14:paraId="7B4E027C" w14:textId="566E7624" w:rsidR="00D23D27" w:rsidRPr="000508AF" w:rsidRDefault="00D23D27" w:rsidP="00F178E3">
      <w:pPr>
        <w:rPr>
          <w:rFonts w:ascii="Simplified Arabic" w:hAnsi="Simplified Arabic" w:cs="Simplified Arabic"/>
          <w:sz w:val="28"/>
          <w:szCs w:val="28"/>
          <w:lang w:bidi="ar-EG"/>
        </w:rPr>
      </w:pPr>
      <w:r w:rsidRPr="00332430">
        <w:rPr>
          <w:rFonts w:ascii="Simplified Arabic" w:hAnsi="Simplified Arabic" w:cs="Simplified Arabic"/>
          <w:b/>
          <w:bCs/>
          <w:sz w:val="28"/>
          <w:szCs w:val="28"/>
          <w:rtl/>
        </w:rPr>
        <w:t>اصطلاحًا</w:t>
      </w:r>
      <w:r w:rsidRPr="000508AF">
        <w:rPr>
          <w:rFonts w:ascii="Simplified Arabic" w:hAnsi="Simplified Arabic" w:cs="Simplified Arabic"/>
          <w:sz w:val="28"/>
          <w:szCs w:val="28"/>
          <w:lang w:bidi="ar-EG"/>
        </w:rPr>
        <w:t>:</w:t>
      </w:r>
      <w:r w:rsidR="000508AF" w:rsidRPr="000508AF">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tl/>
        </w:rPr>
        <w:t xml:space="preserve">عرّفها </w:t>
      </w:r>
      <w:r w:rsidR="00F178E3" w:rsidRPr="00F178E3">
        <w:rPr>
          <w:rFonts w:ascii="Simplified Arabic" w:hAnsi="Simplified Arabic" w:cs="Simplified Arabic"/>
          <w:sz w:val="28"/>
          <w:szCs w:val="28"/>
        </w:rPr>
        <w:t xml:space="preserve">Yusuf et al. (2025) </w:t>
      </w:r>
      <w:r w:rsidR="00F178E3" w:rsidRPr="00F178E3">
        <w:rPr>
          <w:rFonts w:ascii="Simplified Arabic" w:hAnsi="Simplified Arabic" w:cs="Simplified Arabic"/>
          <w:sz w:val="28"/>
          <w:szCs w:val="28"/>
          <w:rtl/>
        </w:rPr>
        <w:t>بأنها</w:t>
      </w:r>
      <w:r w:rsidR="00F178E3" w:rsidRPr="00F178E3">
        <w:rPr>
          <w:rFonts w:ascii="Simplified Arabic" w:hAnsi="Simplified Arabic" w:cs="Simplified Arabic"/>
          <w:sz w:val="28"/>
          <w:szCs w:val="28"/>
        </w:rPr>
        <w:t>:</w:t>
      </w:r>
      <w:r w:rsidR="00F178E3" w:rsidRPr="00F178E3">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Pr>
        <w:t>"</w:t>
      </w:r>
      <w:r w:rsidR="00F178E3" w:rsidRPr="00F178E3">
        <w:rPr>
          <w:rFonts w:ascii="Simplified Arabic" w:hAnsi="Simplified Arabic" w:cs="Simplified Arabic"/>
          <w:sz w:val="28"/>
          <w:szCs w:val="28"/>
          <w:rtl/>
        </w:rPr>
        <w:t>مجموعة من التقنيات الرقمية التي توفّر قدرات تحليلية وتنبؤية وتشغيلية متقدمة، بما يمكّن سلاسل القيمة من تحقيق دقة أعلى، واستجابة أسرع، وشفافية أكبر عبر مختلف مراحلها</w:t>
      </w:r>
      <w:r w:rsidR="00F178E3" w:rsidRPr="00F178E3">
        <w:rPr>
          <w:rFonts w:ascii="Simplified Arabic" w:hAnsi="Simplified Arabic" w:cs="Simplified Arabic"/>
          <w:b/>
          <w:bCs/>
          <w:sz w:val="28"/>
          <w:szCs w:val="28"/>
        </w:rPr>
        <w:t>."</w:t>
      </w:r>
    </w:p>
    <w:p w14:paraId="7AC23D30" w14:textId="5623E784" w:rsidR="00D23D27" w:rsidRDefault="00D23D27" w:rsidP="00D23D27">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يُقصد بالذكاء الاصطناعي في هذه الدراسة حزمة من التقنيات الذكية المطبقة داخل المؤسسات الحكومية الكبرى في المملكة العربية السعودية، وتشمل: جمع البيانات ومعالجتها، النماذج التنبؤية، الأتمتة الذكية، وأنظمة دعم القرار، وسيتم قياسها من خلال مجموعة فقرات ضمن الاستبانة تقيس مستوى تبنّي هذه التقنيات ومدى تأثيرها على سلسلة القيمة التشغيلية</w:t>
      </w:r>
      <w:r w:rsidRPr="000508AF">
        <w:rPr>
          <w:rFonts w:ascii="Simplified Arabic" w:hAnsi="Simplified Arabic" w:cs="Simplified Arabic"/>
          <w:sz w:val="28"/>
          <w:szCs w:val="28"/>
          <w:lang w:bidi="ar-EG"/>
        </w:rPr>
        <w:t>.</w:t>
      </w:r>
    </w:p>
    <w:p w14:paraId="5D0E8967" w14:textId="77777777" w:rsidR="00F178E3" w:rsidRDefault="00D23D27" w:rsidP="00F178E3">
      <w:pPr>
        <w:jc w:val="both"/>
        <w:rPr>
          <w:rFonts w:ascii="Simplified Arabic" w:hAnsi="Simplified Arabic" w:cs="Simplified Arabic"/>
          <w:b/>
          <w:bCs/>
          <w:sz w:val="28"/>
          <w:szCs w:val="28"/>
        </w:rPr>
      </w:pPr>
      <w:r w:rsidRPr="00D23D27">
        <w:rPr>
          <w:rFonts w:ascii="Simplified Arabic" w:hAnsi="Simplified Arabic" w:cs="Simplified Arabic"/>
          <w:b/>
          <w:bCs/>
          <w:sz w:val="28"/>
          <w:szCs w:val="28"/>
          <w:rtl/>
        </w:rPr>
        <w:lastRenderedPageBreak/>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جمع البيانات ومعالجتها</w:t>
      </w:r>
      <w:r w:rsidR="00F178E3" w:rsidRPr="00F178E3">
        <w:rPr>
          <w:rFonts w:ascii="Simplified Arabic" w:hAnsi="Simplified Arabic" w:cs="Simplified Arabic"/>
          <w:b/>
          <w:bCs/>
          <w:sz w:val="28"/>
          <w:szCs w:val="28"/>
        </w:rPr>
        <w:t xml:space="preserve"> (Data Collection &amp; Processing)</w:t>
      </w:r>
    </w:p>
    <w:p w14:paraId="60037AD8" w14:textId="77777777" w:rsidR="00F178E3" w:rsidRPr="00F178E3" w:rsidRDefault="00D23D27" w:rsidP="00F178E3">
      <w:pPr>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يُعرَّف جمع البيانات ومعالجتها بأنه العملية التي يتم من خلالها الحصول على البيانات من مصادر مختلفة، وتنظيمها، وتنقيتها، وتحويلها إلى صيغة قابلة للاستخدام في النماذج الذكية بهدف دعم القرارات التشغيلية (</w:t>
      </w:r>
      <w:r w:rsidR="00F178E3" w:rsidRPr="00F178E3">
        <w:rPr>
          <w:rFonts w:ascii="Simplified Arabic" w:hAnsi="Simplified Arabic" w:cs="Simplified Arabic"/>
          <w:sz w:val="28"/>
          <w:szCs w:val="28"/>
        </w:rPr>
        <w:t>Nathany, 2022</w:t>
      </w:r>
      <w:r w:rsidR="00F178E3" w:rsidRPr="00F178E3">
        <w:rPr>
          <w:rFonts w:ascii="Simplified Arabic" w:hAnsi="Simplified Arabic" w:cs="Simplified Arabic"/>
          <w:sz w:val="28"/>
          <w:szCs w:val="28"/>
          <w:rtl/>
        </w:rPr>
        <w:t>).</w:t>
      </w:r>
    </w:p>
    <w:p w14:paraId="763C43F8" w14:textId="5F892042" w:rsidR="000508AF"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بجمع البيانات ومعالجتها في هذه الدراسة قدرة المؤسسة الحكومية على توفير بيانات تشغيلية دقيقة، وتنقيتها، وتحليلها بشكل منهجي، وتحويلها إلى معلومات يمكن للأنظمة الذكية الاستفادة منها في تحسين الأداء</w:t>
      </w:r>
      <w:r w:rsidRPr="000508AF">
        <w:rPr>
          <w:rFonts w:ascii="Simplified Arabic" w:hAnsi="Simplified Arabic" w:cs="Simplified Arabic"/>
          <w:sz w:val="28"/>
          <w:szCs w:val="28"/>
          <w:lang w:bidi="ar-EG"/>
        </w:rPr>
        <w:t>.</w:t>
      </w:r>
    </w:p>
    <w:p w14:paraId="279FB958" w14:textId="443324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ثانيًا</w:t>
      </w:r>
      <w:r w:rsidR="00021FB9" w:rsidRPr="00021FB9">
        <w:rPr>
          <w:rtl/>
        </w:rPr>
        <w:t xml:space="preserve"> </w:t>
      </w:r>
      <w:r w:rsidR="00021FB9" w:rsidRPr="00021FB9">
        <w:rPr>
          <w:rFonts w:ascii="Simplified Arabic" w:hAnsi="Simplified Arabic" w:cs="Simplified Arabic"/>
          <w:b/>
          <w:bCs/>
          <w:sz w:val="28"/>
          <w:szCs w:val="28"/>
          <w:rtl/>
        </w:rPr>
        <w:t>النماذج التنبؤية</w:t>
      </w:r>
      <w:r w:rsidR="00021FB9" w:rsidRPr="00021FB9">
        <w:rPr>
          <w:rFonts w:ascii="Simplified Arabic" w:hAnsi="Simplified Arabic" w:cs="Simplified Arabic"/>
          <w:b/>
          <w:bCs/>
          <w:sz w:val="28"/>
          <w:szCs w:val="28"/>
          <w:lang w:bidi="ar-EG"/>
        </w:rPr>
        <w:t xml:space="preserve"> (Predictive Models)</w:t>
      </w:r>
    </w:p>
    <w:p w14:paraId="35963A03" w14:textId="6ED57B5D"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النماذج التنبؤية بأنها خوارزميات تعلم آلي تستخدم البيانات التاريخية للكشف عن الأنماط وتوقع الأحداث المستقبلية مثل الطلب، الأداء التشغيلي، والمخاطر المحتملة (</w:t>
      </w:r>
      <w:r w:rsidR="00021FB9" w:rsidRPr="00021FB9">
        <w:rPr>
          <w:rFonts w:ascii="Simplified Arabic" w:hAnsi="Simplified Arabic" w:cs="Simplified Arabic"/>
          <w:sz w:val="28"/>
          <w:szCs w:val="28"/>
        </w:rPr>
        <w:t>Kumar et al., 2024</w:t>
      </w:r>
      <w:r w:rsidR="00021FB9" w:rsidRPr="00021FB9">
        <w:rPr>
          <w:rFonts w:ascii="Simplified Arabic" w:hAnsi="Simplified Arabic" w:cs="Simplified Arabic"/>
          <w:sz w:val="28"/>
          <w:szCs w:val="28"/>
          <w:rtl/>
        </w:rPr>
        <w:t>).</w:t>
      </w:r>
    </w:p>
    <w:p w14:paraId="5F3C6525" w14:textId="7EA8682B"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بالنماذج التنبؤية في هذه الدراسة مستوى استخدام المؤسسات الحكومية للنماذج القائمة على خوارزميات التعلّم الآلي بهدف التنبؤ بالتغيرات التشغيلية المستقبلية مثل الاحتياجات، المخاطر، حجم العمل، أو الأداء المتوقع</w:t>
      </w:r>
      <w:r w:rsidRPr="000508AF">
        <w:rPr>
          <w:rFonts w:ascii="Simplified Arabic" w:hAnsi="Simplified Arabic" w:cs="Simplified Arabic"/>
          <w:sz w:val="28"/>
          <w:szCs w:val="28"/>
          <w:lang w:bidi="ar-EG"/>
        </w:rPr>
        <w:t>.</w:t>
      </w:r>
    </w:p>
    <w:p w14:paraId="68B720AA" w14:textId="228F90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الأتمتة الذكية</w:t>
      </w:r>
      <w:r w:rsidR="00021FB9" w:rsidRPr="00021FB9">
        <w:rPr>
          <w:rFonts w:ascii="Simplified Arabic" w:hAnsi="Simplified Arabic" w:cs="Simplified Arabic"/>
          <w:b/>
          <w:bCs/>
          <w:sz w:val="28"/>
          <w:szCs w:val="28"/>
        </w:rPr>
        <w:t xml:space="preserve"> (Intelligent Automation)</w:t>
      </w:r>
    </w:p>
    <w:p w14:paraId="546D0714" w14:textId="320DFD75" w:rsidR="00D23D27" w:rsidRPr="000508AF" w:rsidRDefault="00D23D27" w:rsidP="00D23D27">
      <w:pPr>
        <w:jc w:val="both"/>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الأتمتة الذكية هي توظيف الأنظمة الرقمية المتقدمة لأتمتة العمليات التشغيلية المعقدة باستخدام خوارزميات التعلم الآلي والروبوتات البرمجية بهدف تحسين الكفاءة وتقليل الاعتماد على التدخل البشري (</w:t>
      </w:r>
      <w:r w:rsidR="00021FB9" w:rsidRPr="00021FB9">
        <w:rPr>
          <w:rFonts w:ascii="Simplified Arabic" w:hAnsi="Simplified Arabic" w:cs="Simplified Arabic"/>
          <w:sz w:val="28"/>
          <w:szCs w:val="28"/>
        </w:rPr>
        <w:t>Thenmozhi &amp; Krisknakumari, 2024</w:t>
      </w:r>
      <w:r w:rsidR="00021FB9" w:rsidRPr="00021FB9">
        <w:rPr>
          <w:rFonts w:ascii="Simplified Arabic" w:hAnsi="Simplified Arabic" w:cs="Simplified Arabic"/>
          <w:sz w:val="28"/>
          <w:szCs w:val="28"/>
          <w:rtl/>
        </w:rPr>
        <w:t>).</w:t>
      </w:r>
    </w:p>
    <w:p w14:paraId="3DC5C5FF" w14:textId="2245EB0C" w:rsidR="000508AF" w:rsidRDefault="00D23D27" w:rsidP="00021FB9">
      <w:pPr>
        <w:jc w:val="both"/>
        <w:rPr>
          <w:rFonts w:ascii="Simplified Arabic" w:hAnsi="Simplified Arabic" w:cs="Simplified Arabic"/>
          <w:sz w:val="28"/>
          <w:szCs w:val="28"/>
          <w:rtl/>
          <w:lang w:bidi="ar-EG"/>
        </w:rPr>
      </w:pPr>
      <w:r w:rsidRPr="000508AF">
        <w:rPr>
          <w:rFonts w:ascii="Simplified Arabic" w:hAnsi="Simplified Arabic" w:cs="Simplified Arabic"/>
          <w:b/>
          <w:bCs/>
          <w:sz w:val="28"/>
          <w:szCs w:val="28"/>
          <w:rtl/>
        </w:rPr>
        <w:t>إجرائيًا</w:t>
      </w:r>
      <w:r w:rsidRPr="000508AF">
        <w:rPr>
          <w:rFonts w:ascii="Simplified Arabic" w:hAnsi="Simplified Arabic" w:cs="Simplified Arabic"/>
          <w:b/>
          <w:bCs/>
          <w:sz w:val="28"/>
          <w:szCs w:val="28"/>
          <w:lang w:bidi="ar-EG"/>
        </w:rPr>
        <w:t>:</w:t>
      </w:r>
      <w:r w:rsidR="000508AF" w:rsidRPr="000508AF">
        <w:rPr>
          <w:rFonts w:ascii="Simplified Arabic" w:hAnsi="Simplified Arabic" w:cs="Simplified Arabic" w:hint="cs"/>
          <w:sz w:val="28"/>
          <w:szCs w:val="28"/>
          <w:rtl/>
        </w:rPr>
        <w:t xml:space="preserve"> </w:t>
      </w:r>
      <w:r w:rsidR="00021FB9" w:rsidRPr="00021FB9">
        <w:rPr>
          <w:rFonts w:ascii="Simplified Arabic" w:hAnsi="Simplified Arabic" w:cs="Simplified Arabic"/>
          <w:sz w:val="28"/>
          <w:szCs w:val="28"/>
          <w:rtl/>
        </w:rPr>
        <w:t>يقصد بالأتمتة الذكية في هذه الدراسة درجة تطبيق الأنظمة المؤتمتة التي تعتمد على الذكاء الاصطناعي لأداء المهام التشغيلية داخل المؤسسات الحكومية، بما يسهم في رفع الكفاءة، تقليل الأخطاء، وتسريع الإجراءات</w:t>
      </w:r>
      <w:r w:rsidRPr="000508AF">
        <w:rPr>
          <w:rFonts w:ascii="Simplified Arabic" w:hAnsi="Simplified Arabic" w:cs="Simplified Arabic"/>
          <w:sz w:val="28"/>
          <w:szCs w:val="28"/>
          <w:lang w:bidi="ar-EG"/>
        </w:rPr>
        <w:t>.</w:t>
      </w:r>
    </w:p>
    <w:p w14:paraId="6739FA61" w14:textId="5F5F41FD" w:rsidR="00D23D27" w:rsidRPr="000508AF" w:rsidRDefault="00D23D27" w:rsidP="00021FB9">
      <w:pPr>
        <w:jc w:val="both"/>
        <w:rPr>
          <w:rFonts w:ascii="Simplified Arabic" w:hAnsi="Simplified Arabic" w:cs="Simplified Arabic"/>
          <w:sz w:val="28"/>
          <w:szCs w:val="28"/>
          <w:rtl/>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أنظمة دعم القرار</w:t>
      </w:r>
      <w:r w:rsidR="00021FB9" w:rsidRPr="00021FB9">
        <w:rPr>
          <w:rFonts w:ascii="Simplified Arabic" w:hAnsi="Simplified Arabic" w:cs="Simplified Arabic"/>
          <w:b/>
          <w:bCs/>
          <w:sz w:val="28"/>
          <w:szCs w:val="28"/>
        </w:rPr>
        <w:t xml:space="preserve"> (Decision Support Systems)</w:t>
      </w:r>
    </w:p>
    <w:p w14:paraId="3647596B" w14:textId="33CEB035"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أنظمة دعم القرار بأنها أدوات ذكية تجمع البيانات وتحللها لتقديم توصيات تشغيلية دقيقة تساعد المؤسسات على اتخاذ قرارات فعّالة ومبنية على الأدلة (</w:t>
      </w:r>
      <w:r w:rsidR="00021FB9" w:rsidRPr="00021FB9">
        <w:rPr>
          <w:rFonts w:ascii="Simplified Arabic" w:hAnsi="Simplified Arabic" w:cs="Simplified Arabic"/>
          <w:sz w:val="28"/>
          <w:szCs w:val="28"/>
        </w:rPr>
        <w:t>Pokamestov &amp; Nikitin, 2024</w:t>
      </w:r>
      <w:r w:rsidR="00021FB9" w:rsidRPr="00021FB9">
        <w:rPr>
          <w:rFonts w:ascii="Simplified Arabic" w:hAnsi="Simplified Arabic" w:cs="Simplified Arabic"/>
          <w:sz w:val="28"/>
          <w:szCs w:val="28"/>
          <w:rtl/>
        </w:rPr>
        <w:t>).</w:t>
      </w:r>
    </w:p>
    <w:p w14:paraId="6A3E3336" w14:textId="748A3B87"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بأنظمة دعم القرار في هذه الدراسة مدى استخدام المؤسسات الحكومية للأنظمة الذكية التي تقدّم تحليلات متقدمة وتوصيات مباشرة تساعد في اتخاذ قرارات تشغيلية سريعة وفعّالة، بما يدعم تحسين سلسلة القيمة</w:t>
      </w:r>
      <w:r w:rsidRPr="00D23D27">
        <w:rPr>
          <w:rFonts w:ascii="Simplified Arabic" w:hAnsi="Simplified Arabic" w:cs="Simplified Arabic"/>
          <w:b/>
          <w:bCs/>
          <w:sz w:val="28"/>
          <w:szCs w:val="28"/>
          <w:lang w:bidi="ar-EG"/>
        </w:rPr>
        <w:t>.</w:t>
      </w:r>
    </w:p>
    <w:p w14:paraId="3D63164A" w14:textId="133DF70A"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سلسلة القيمة التشغيلية</w:t>
      </w:r>
      <w:r w:rsidR="00021FB9" w:rsidRPr="00021FB9">
        <w:rPr>
          <w:rFonts w:ascii="Simplified Arabic" w:hAnsi="Simplified Arabic" w:cs="Simplified Arabic"/>
          <w:b/>
          <w:bCs/>
          <w:sz w:val="28"/>
          <w:szCs w:val="28"/>
        </w:rPr>
        <w:t xml:space="preserve"> (Operational Value Chain)</w:t>
      </w:r>
    </w:p>
    <w:p w14:paraId="1D5AFAA3" w14:textId="177C5F52"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تُعرَّف سلسلة القيمة التشغيلية بأنها منظومة مترابطة من الأنشطة والعمليات الداخلية التي تسعى المؤسسات من خلالها إلى خلق قيمة مضافة عبر تحسين الجودة، خفض التكاليف، رفع الكفاءة، وتعزيز الأداء عبر مختلف مراحل التشغيل</w:t>
      </w:r>
      <w:r w:rsidR="00021FB9" w:rsidRPr="00021FB9">
        <w:rPr>
          <w:rFonts w:ascii="Simplified Arabic" w:hAnsi="Simplified Arabic" w:cs="Simplified Arabic"/>
          <w:sz w:val="28"/>
          <w:szCs w:val="28"/>
        </w:rPr>
        <w:t xml:space="preserve"> (Naas &amp; Berass, 2024)</w:t>
      </w:r>
      <w:r w:rsidRPr="000508AF">
        <w:rPr>
          <w:rFonts w:ascii="Simplified Arabic" w:hAnsi="Simplified Arabic" w:cs="Simplified Arabic"/>
          <w:sz w:val="28"/>
          <w:szCs w:val="28"/>
          <w:lang w:bidi="ar-EG"/>
        </w:rPr>
        <w:t>.</w:t>
      </w:r>
    </w:p>
    <w:p w14:paraId="464E0C51" w14:textId="30C2BFFE"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يُقصد بسلسلة القيمة التشغيلية في هذه الدراسة مستوى كفاءة الأنشطة التشغيلية الأساسية داخل المؤسسات الحكومية الكبرى في المملكة العربية السعودية، ومنها: جمع البيانات، تجهيز الخدمات، التنفيذ، المتابعة، وتقويم الأداء، بما يعكس قدرة المؤسسة على تقديم خدمات عالية الجودة باستخدام الموارد بكفاءة</w:t>
      </w:r>
      <w:r w:rsidR="00021FB9" w:rsidRPr="00021FB9">
        <w:rPr>
          <w:rFonts w:ascii="Simplified Arabic" w:hAnsi="Simplified Arabic" w:cs="Simplified Arabic"/>
          <w:sz w:val="28"/>
          <w:szCs w:val="28"/>
        </w:rPr>
        <w:t>.</w:t>
      </w:r>
    </w:p>
    <w:p w14:paraId="64199120" w14:textId="4DC2D7F5" w:rsidR="000E0033" w:rsidRPr="00B91104" w:rsidRDefault="000E0033" w:rsidP="00D439AC">
      <w:pPr>
        <w:pStyle w:val="1"/>
        <w:rPr>
          <w:rtl/>
        </w:rPr>
      </w:pPr>
      <w:bookmarkStart w:id="7" w:name="_Toc202053522"/>
      <w:r w:rsidRPr="00B91104">
        <w:rPr>
          <w:rtl/>
        </w:rPr>
        <w:t xml:space="preserve">منهج </w:t>
      </w:r>
      <w:r w:rsidR="00D439AC">
        <w:rPr>
          <w:rtl/>
        </w:rPr>
        <w:t xml:space="preserve">الدراسة </w:t>
      </w:r>
      <w:r w:rsidRPr="00B91104">
        <w:rPr>
          <w:rtl/>
        </w:rPr>
        <w:t>:</w:t>
      </w:r>
      <w:bookmarkEnd w:id="7"/>
    </w:p>
    <w:p w14:paraId="76D9FD9F"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t>تعتمد هذه الدراسة على تصميم بحثي متعدد الأساليب من النوع التفسيري التسلسلي، حيث تبدأ بالمنهج الكمي بهدف قياس العلاقات بين متغيرات الدراسة، ثم تنتقل إلى منهج نوعي معمّق لتفسير النتائج الكمية وتوسيع فهمها. ففي المرحلة الكمية الأولى، سيتم تطبيق استبانة محكمة تُعد الأداة الرئيسة لجمع البيانات، نظرًا لملاءمتها للبحوث الوصفية الكمية وقدرتها على توفير بيانات قابلة للتعميم حول مستوى تبنّي تقنيات الذكاء الاصطناعي وأثرها في تحسين سلسلة القيمة التشغيلية داخل المؤسسات الحكومية الكبرى في المملكة العربية السعودية. وستُصمّم الاستبانة بالاستناد إلى إطار نظري راسخ ودراسات سابقة متخصصة، لتشمل محاور واضحة تغطي المتغير المستقل (تقنيات الذكاء الاصطناعي بأبعاده: جمع البيانات ومعالجتها، النماذج التنبؤية، الأتمتة الذكية، وأنظمة دعم القرار) والمتغير التابع (تحسين سلسلة القيمة التشغيلية)، إضافة إلى البيانات الديموغرافية والمهنية للمستجيبين. وتعتمد هذه المرحلة على الأساليب الإحصائية المناسبة لاختبار الفرضيات وتحليل العلاقات، بما يمكّن من رسم صورة شاملة للأنماط الرقمية التي تحكم الظاهرة محل الدراسة</w:t>
      </w:r>
      <w:r w:rsidRPr="002A5D5B">
        <w:rPr>
          <w:rFonts w:ascii="Simplified Arabic" w:hAnsi="Simplified Arabic" w:cs="Simplified Arabic"/>
          <w:color w:val="EE0000"/>
          <w:sz w:val="28"/>
          <w:szCs w:val="28"/>
        </w:rPr>
        <w:t>.</w:t>
      </w:r>
    </w:p>
    <w:p w14:paraId="23E3A284"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lastRenderedPageBreak/>
        <w:t>وفي المرحلة النوعية اللاحقة، سيتم إجراء مقابلات معمقة وشبه منظمة ومجموعات تركيز مع عينة فرعية مختارة من أصحاب الخبرة في المجالات ذات الصلة، مثل مديري تقنية المعلومات، ومديري العمليات، وقادة التحول الرقمي. وتهدف هذه المرحلة إلى تفسير النتائج الإحصائية في ضوء الواقع العملي، والكشف عن الأسباب الكامنة وراء الأنماط الكمية، واستكشاف التحديات الثقافية والتنظيمية والتشغيلية المرتبطة بتطبيق تقنيات الذكاء الاصطناعي. كما تسعى إلى فهم الكيفية التي تُعيد من خلالها هذه التقنيات تشكيل سير العمل في المؤسسات الحكومية، وتحديد العوامل المساعدة والمعيقة لتعظيم أثرها في سلسلة القيمة التشغيلية. ويسهم هذا التكامل بين المنهجين الكمي والنوعي في تعزيز صدقية النتائج وعمقها التفسيري، وإنتاج معرفة علمية أكثر شمولًا واتساقًا مع تعقيدات البيئة الحكومية</w:t>
      </w:r>
      <w:r w:rsidRPr="002A5D5B">
        <w:rPr>
          <w:rFonts w:ascii="Simplified Arabic" w:hAnsi="Simplified Arabic" w:cs="Simplified Arabic"/>
          <w:color w:val="EE0000"/>
          <w:sz w:val="28"/>
          <w:szCs w:val="28"/>
        </w:rPr>
        <w:t>.</w:t>
      </w:r>
    </w:p>
    <w:p w14:paraId="652BDD1C" w14:textId="11457916" w:rsidR="00D439AC" w:rsidRPr="00B91104" w:rsidRDefault="00D439AC" w:rsidP="00D439AC">
      <w:pPr>
        <w:pStyle w:val="1"/>
        <w:rPr>
          <w:rtl/>
        </w:rPr>
      </w:pPr>
      <w:bookmarkStart w:id="8" w:name="_Toc202053523"/>
      <w:r>
        <w:rPr>
          <w:rFonts w:hint="cs"/>
          <w:rtl/>
        </w:rPr>
        <w:t>أداة الدراسة</w:t>
      </w:r>
      <w:bookmarkEnd w:id="8"/>
      <w:r>
        <w:rPr>
          <w:rFonts w:hint="cs"/>
          <w:rtl/>
        </w:rPr>
        <w:t xml:space="preserve"> </w:t>
      </w:r>
    </w:p>
    <w:p w14:paraId="04C19513" w14:textId="77777777" w:rsidR="005E6DFF" w:rsidRPr="002A5D5B" w:rsidRDefault="005E6DFF" w:rsidP="005E6DFF">
      <w:pPr>
        <w:jc w:val="both"/>
        <w:rPr>
          <w:rFonts w:ascii="Simplified Arabic" w:hAnsi="Simplified Arabic" w:cs="Simplified Arabic"/>
          <w:sz w:val="28"/>
          <w:szCs w:val="28"/>
          <w:rtl/>
        </w:rPr>
      </w:pPr>
      <w:bookmarkStart w:id="9" w:name="_Toc202053524"/>
      <w:r w:rsidRPr="002A5D5B">
        <w:rPr>
          <w:rFonts w:ascii="Simplified Arabic" w:hAnsi="Simplified Arabic" w:cs="Simplified Arabic"/>
          <w:sz w:val="28"/>
          <w:szCs w:val="28"/>
          <w:rtl/>
        </w:rPr>
        <w:t>ستعتمد هذه الدراسة على الاستبانة بوصفها الأداة الرئيسة لجمع البيانات الميدانية اللازمة لتحقيق أهداف البحث والإجابة عن تساؤلاته، نظرًا لملاءمتها للبحوث الوصفية الكمية التي تهدف إلى تحليل العلاقات التأثيرية بين المتغيرات</w:t>
      </w:r>
      <w:r w:rsidRPr="002A5D5B">
        <w:rPr>
          <w:rFonts w:ascii="Simplified Arabic" w:hAnsi="Simplified Arabic" w:cs="Simplified Arabic"/>
          <w:sz w:val="28"/>
          <w:szCs w:val="28"/>
        </w:rPr>
        <w:t xml:space="preserve">. </w:t>
      </w:r>
      <w:r w:rsidRPr="002A5D5B">
        <w:rPr>
          <w:rFonts w:ascii="Simplified Arabic" w:hAnsi="Simplified Arabic" w:cs="Simplified Arabic"/>
          <w:sz w:val="28"/>
          <w:szCs w:val="28"/>
          <w:rtl/>
        </w:rPr>
        <w:t>وستُصمم الاستبانة بعناية استنادًا إلى الإطار النظري والدراسات السابقة التي تناولت كلًّا من تقنيات التعلم الآلي والأمن السيبراني في بيئات النقل الذكية، بما يضمن شمولها وتمثيلها لمجالات الدراسة بدقة علمية</w:t>
      </w:r>
      <w:r w:rsidRPr="002A5D5B">
        <w:rPr>
          <w:rFonts w:ascii="Simplified Arabic" w:hAnsi="Simplified Arabic" w:cs="Simplified Arabic"/>
          <w:sz w:val="28"/>
          <w:szCs w:val="28"/>
        </w:rPr>
        <w:t>.</w:t>
      </w:r>
    </w:p>
    <w:p w14:paraId="7260AECD" w14:textId="24CA9F8A" w:rsidR="002A5D5B" w:rsidRPr="002B5492" w:rsidRDefault="002A5D5B" w:rsidP="002A5D5B">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وفي المرحلة النوعية، ستعتمد الدراسة على أداة المقابلات المعمقة وشبه المنظمة ومجموعات التركيز بوصفها أدوات مساندة تهدف إلى تفسير النتائج الكمية وتوسيع فهمها في سياقها الواقعي. وتتيح هذه الأدوات استكشاف الخبرات الفعلية للممارسين، وفهم التحديات التشغيلية والثقافية والتنظيمية المرتبطة بتطبيق تقنيات الذكاء الاصطناعي، إضافة إلى الكشف عن العوامل التي لا يمكن قياسها بدقة عبر الأساليب الكمية وحدها. وسيتم إعداد دليل المقابلة بما يتوافق مع نتائج المرحلة الأولى، لضمان توجيه الأسئلة نحو النقاط التي تتطلب تفسيرًا أعمق، مع اعتماد إجراءات منهجية لضمان الصدق النوعي مثل التحقق من المشاركين وتعدّد مصادر البيانات. ويسهم استخدام هذا التكامل بين الأدوات الكمية والنوعية في تعميق التحليل وتقديم فهم شامل للظاهرة قيد الدراسة</w:t>
      </w:r>
      <w:r w:rsidRPr="002B5492">
        <w:rPr>
          <w:rFonts w:ascii="Simplified Arabic" w:hAnsi="Simplified Arabic" w:cs="Simplified Arabic"/>
          <w:color w:val="EE0000"/>
          <w:sz w:val="28"/>
          <w:szCs w:val="28"/>
        </w:rPr>
        <w:t>.</w:t>
      </w:r>
    </w:p>
    <w:p w14:paraId="1180A07E" w14:textId="77777777" w:rsidR="005E6DFF" w:rsidRPr="000508AF" w:rsidRDefault="005E6DFF" w:rsidP="005E6DFF">
      <w:p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وسوف تتكون الاستبانة من </w:t>
      </w:r>
      <w:r w:rsidRPr="000508AF">
        <w:rPr>
          <w:rFonts w:ascii="Simplified Arabic" w:hAnsi="Simplified Arabic" w:cs="Simplified Arabic"/>
          <w:b/>
          <w:bCs/>
          <w:sz w:val="28"/>
          <w:szCs w:val="28"/>
          <w:rtl/>
        </w:rPr>
        <w:t>ثلاثة محاور رئيسية</w:t>
      </w:r>
      <w:r w:rsidRPr="000508AF">
        <w:rPr>
          <w:rFonts w:ascii="Simplified Arabic" w:hAnsi="Simplified Arabic" w:cs="Simplified Arabic"/>
          <w:sz w:val="28"/>
          <w:szCs w:val="28"/>
          <w:rtl/>
        </w:rPr>
        <w:t>، تمثل أبعاد المتغيرات قيد الدراسة على النحو الآتي</w:t>
      </w:r>
      <w:r w:rsidRPr="000508AF">
        <w:rPr>
          <w:rFonts w:ascii="Simplified Arabic" w:hAnsi="Simplified Arabic" w:cs="Simplified Arabic"/>
          <w:sz w:val="28"/>
          <w:szCs w:val="28"/>
        </w:rPr>
        <w:t>:</w:t>
      </w:r>
    </w:p>
    <w:p w14:paraId="6D2694E1" w14:textId="77777777" w:rsidR="00297B1D" w:rsidRDefault="005E6DFF">
      <w:pPr>
        <w:numPr>
          <w:ilvl w:val="0"/>
          <w:numId w:val="7"/>
        </w:numPr>
        <w:jc w:val="both"/>
        <w:rPr>
          <w:rFonts w:ascii="Simplified Arabic" w:hAnsi="Simplified Arabic" w:cs="Simplified Arabic"/>
          <w:sz w:val="28"/>
          <w:szCs w:val="28"/>
        </w:rPr>
      </w:pPr>
      <w:r w:rsidRPr="00297B1D">
        <w:rPr>
          <w:rFonts w:ascii="Simplified Arabic" w:hAnsi="Simplified Arabic" w:cs="Simplified Arabic"/>
          <w:b/>
          <w:bCs/>
          <w:sz w:val="28"/>
          <w:szCs w:val="28"/>
          <w:rtl/>
        </w:rPr>
        <w:t>المحور الأول:</w:t>
      </w:r>
      <w:r w:rsidR="00297B1D" w:rsidRPr="00297B1D">
        <w:rPr>
          <w:rFonts w:ascii="Times New Roman" w:eastAsia="Times New Roman" w:hAnsi="Times New Roman" w:cs="Times New Roman"/>
          <w:b/>
          <w:bCs/>
          <w:kern w:val="0"/>
          <w:sz w:val="36"/>
          <w:szCs w:val="36"/>
          <w:rtl/>
          <w14:ligatures w14:val="none"/>
        </w:rPr>
        <w:t xml:space="preserve"> </w:t>
      </w:r>
      <w:r w:rsidR="00297B1D" w:rsidRPr="00297B1D">
        <w:rPr>
          <w:rFonts w:ascii="Simplified Arabic" w:hAnsi="Simplified Arabic" w:cs="Simplified Arabic"/>
          <w:b/>
          <w:bCs/>
          <w:sz w:val="28"/>
          <w:szCs w:val="28"/>
          <w:rtl/>
        </w:rPr>
        <w:t>البيانات الديموغرافية والمهنية للمستجيبين</w:t>
      </w:r>
    </w:p>
    <w:p w14:paraId="07258C00" w14:textId="6F741047" w:rsidR="00297B1D" w:rsidRPr="00297B1D" w:rsidRDefault="00297B1D" w:rsidP="00297B1D">
      <w:pPr>
        <w:tabs>
          <w:tab w:val="num" w:pos="720"/>
        </w:tabs>
        <w:ind w:left="360"/>
        <w:jc w:val="both"/>
        <w:rPr>
          <w:rFonts w:ascii="Simplified Arabic" w:hAnsi="Simplified Arabic" w:cs="Simplified Arabic"/>
          <w:sz w:val="28"/>
          <w:szCs w:val="28"/>
        </w:rPr>
      </w:pPr>
      <w:r w:rsidRPr="00297B1D">
        <w:rPr>
          <w:rFonts w:ascii="Simplified Arabic" w:hAnsi="Simplified Arabic" w:cs="Simplified Arabic"/>
          <w:sz w:val="28"/>
          <w:szCs w:val="28"/>
          <w:rtl/>
        </w:rPr>
        <w:lastRenderedPageBreak/>
        <w:t>ويتضمن مجموعة من الأسئلة لقياس خصائص أفراد العينة مثل</w:t>
      </w:r>
      <w:r>
        <w:rPr>
          <w:rFonts w:ascii="Simplified Arabic" w:hAnsi="Simplified Arabic" w:cs="Simplified Arabic" w:hint="cs"/>
          <w:sz w:val="28"/>
          <w:szCs w:val="28"/>
          <w:rtl/>
        </w:rPr>
        <w:t>: (</w:t>
      </w:r>
      <w:r w:rsidRPr="00297B1D">
        <w:rPr>
          <w:rFonts w:ascii="Simplified Arabic" w:hAnsi="Simplified Arabic" w:cs="Simplified Arabic"/>
          <w:sz w:val="28"/>
          <w:szCs w:val="28"/>
          <w:rtl/>
        </w:rPr>
        <w:t>العمر</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الجنس</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المؤهل العلمي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سنوات الخبرة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المسمى الوظيفي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القطاع / الإدارة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مستوى التعامل مع الأنظمة الرقمية</w:t>
      </w:r>
      <w:r>
        <w:rPr>
          <w:rFonts w:ascii="Simplified Arabic" w:hAnsi="Simplified Arabic" w:cs="Simplified Arabic" w:hint="cs"/>
          <w:sz w:val="28"/>
          <w:szCs w:val="28"/>
          <w:rtl/>
        </w:rPr>
        <w:t>)</w:t>
      </w:r>
    </w:p>
    <w:p w14:paraId="0E99CA28" w14:textId="55A7335A" w:rsidR="005E6DFF" w:rsidRDefault="00297B1D">
      <w:pPr>
        <w:numPr>
          <w:ilvl w:val="0"/>
          <w:numId w:val="7"/>
        </w:num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المحور الثانى : </w:t>
      </w:r>
      <w:r w:rsidR="005E6DFF" w:rsidRPr="000508AF">
        <w:rPr>
          <w:rFonts w:ascii="Simplified Arabic" w:hAnsi="Simplified Arabic" w:cs="Simplified Arabic"/>
          <w:b/>
          <w:bCs/>
          <w:sz w:val="28"/>
          <w:szCs w:val="28"/>
          <w:rtl/>
        </w:rPr>
        <w:t xml:space="preserve"> </w:t>
      </w:r>
      <w:r w:rsidRPr="00297B1D">
        <w:rPr>
          <w:rFonts w:ascii="Simplified Arabic" w:hAnsi="Simplified Arabic" w:cs="Simplified Arabic"/>
          <w:b/>
          <w:bCs/>
          <w:sz w:val="28"/>
          <w:szCs w:val="28"/>
          <w:rtl/>
        </w:rPr>
        <w:t xml:space="preserve">تقنيات الذكاء الاصطناعي </w:t>
      </w:r>
      <w:r w:rsidR="005E6DFF" w:rsidRPr="000508AF">
        <w:rPr>
          <w:rFonts w:ascii="Simplified Arabic" w:hAnsi="Simplified Arabic" w:cs="Simplified Arabic"/>
          <w:b/>
          <w:bCs/>
          <w:sz w:val="28"/>
          <w:szCs w:val="28"/>
          <w:rtl/>
        </w:rPr>
        <w:t>(المتغير المستقل)</w:t>
      </w:r>
      <w:r w:rsidR="005E6DFF" w:rsidRPr="000508AF">
        <w:rPr>
          <w:rFonts w:ascii="Simplified Arabic" w:hAnsi="Simplified Arabic" w:cs="Simplified Arabic"/>
          <w:sz w:val="28"/>
          <w:szCs w:val="28"/>
          <w:rtl/>
        </w:rPr>
        <w:t>، ويضم أربعة أبعاد هي</w:t>
      </w:r>
      <w:r w:rsidR="005E6DFF" w:rsidRPr="000508AF">
        <w:rPr>
          <w:rFonts w:ascii="Simplified Arabic" w:hAnsi="Simplified Arabic" w:cs="Simplified Arabic"/>
          <w:sz w:val="28"/>
          <w:szCs w:val="28"/>
        </w:rPr>
        <w:t>:</w:t>
      </w:r>
    </w:p>
    <w:p w14:paraId="360C45F9"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جمع البيانات ومعالجتها</w:t>
      </w:r>
    </w:p>
    <w:p w14:paraId="06F3570D"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النماذج التنبؤية</w:t>
      </w:r>
    </w:p>
    <w:p w14:paraId="04C40575"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الأتمتة الذكية</w:t>
      </w:r>
    </w:p>
    <w:p w14:paraId="18610EF9" w14:textId="2354BC2E" w:rsidR="00297B1D" w:rsidRPr="000508AF" w:rsidRDefault="00297B1D" w:rsidP="00297B1D">
      <w:pPr>
        <w:ind w:left="720"/>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 وأنظمة دعم القرار</w:t>
      </w:r>
    </w:p>
    <w:p w14:paraId="697BF078" w14:textId="4D577F05" w:rsidR="005E6DFF" w:rsidRPr="000508AF" w:rsidRDefault="005E6DFF">
      <w:pPr>
        <w:numPr>
          <w:ilvl w:val="0"/>
          <w:numId w:val="7"/>
        </w:numPr>
        <w:jc w:val="both"/>
        <w:rPr>
          <w:rFonts w:ascii="Simplified Arabic" w:hAnsi="Simplified Arabic" w:cs="Simplified Arabic"/>
          <w:sz w:val="28"/>
          <w:szCs w:val="28"/>
        </w:rPr>
      </w:pPr>
      <w:r w:rsidRPr="000508AF">
        <w:rPr>
          <w:rFonts w:ascii="Simplified Arabic" w:hAnsi="Simplified Arabic" w:cs="Simplified Arabic"/>
          <w:b/>
          <w:bCs/>
          <w:sz w:val="28"/>
          <w:szCs w:val="28"/>
          <w:rtl/>
        </w:rPr>
        <w:t>المحور الث</w:t>
      </w:r>
      <w:r w:rsidR="00297B1D">
        <w:rPr>
          <w:rFonts w:ascii="Simplified Arabic" w:hAnsi="Simplified Arabic" w:cs="Simplified Arabic" w:hint="cs"/>
          <w:b/>
          <w:bCs/>
          <w:sz w:val="28"/>
          <w:szCs w:val="28"/>
          <w:rtl/>
        </w:rPr>
        <w:t xml:space="preserve">الث </w:t>
      </w:r>
      <w:r w:rsidRPr="000508AF">
        <w:rPr>
          <w:rFonts w:ascii="Simplified Arabic" w:hAnsi="Simplified Arabic" w:cs="Simplified Arabic"/>
          <w:b/>
          <w:bCs/>
          <w:sz w:val="28"/>
          <w:szCs w:val="28"/>
          <w:rtl/>
        </w:rPr>
        <w:t xml:space="preserve">: </w:t>
      </w:r>
      <w:r w:rsidR="00297B1D" w:rsidRPr="00297B1D">
        <w:rPr>
          <w:rFonts w:ascii="Simplified Arabic" w:hAnsi="Simplified Arabic" w:cs="Simplified Arabic"/>
          <w:b/>
          <w:bCs/>
          <w:sz w:val="28"/>
          <w:szCs w:val="28"/>
          <w:rtl/>
        </w:rPr>
        <w:t xml:space="preserve">تحسين سلسلة القيمة التشغيلية </w:t>
      </w:r>
      <w:r w:rsidRPr="000508AF">
        <w:rPr>
          <w:rFonts w:ascii="Simplified Arabic" w:hAnsi="Simplified Arabic" w:cs="Simplified Arabic"/>
          <w:b/>
          <w:bCs/>
          <w:sz w:val="28"/>
          <w:szCs w:val="28"/>
          <w:rtl/>
        </w:rPr>
        <w:t>(المتغير التابع)</w:t>
      </w:r>
      <w:r w:rsidR="00297B1D">
        <w:rPr>
          <w:rFonts w:ascii="Simplified Arabic" w:hAnsi="Simplified Arabic" w:cs="Simplified Arabic" w:hint="cs"/>
          <w:sz w:val="28"/>
          <w:szCs w:val="28"/>
          <w:rtl/>
        </w:rPr>
        <w:t xml:space="preserve"> .</w:t>
      </w:r>
    </w:p>
    <w:p w14:paraId="5FB8EC73" w14:textId="7C6918B6" w:rsidR="000508AF" w:rsidRDefault="005E6DFF" w:rsidP="005E6DFF">
      <w:pPr>
        <w:jc w:val="both"/>
        <w:rPr>
          <w:rFonts w:ascii="Simplified Arabic" w:hAnsi="Simplified Arabic" w:cs="Simplified Arabic"/>
          <w:sz w:val="28"/>
          <w:szCs w:val="28"/>
          <w:rtl/>
        </w:rPr>
      </w:pPr>
      <w:r w:rsidRPr="00297B1D">
        <w:rPr>
          <w:rFonts w:ascii="Simplified Arabic" w:hAnsi="Simplified Arabic" w:cs="Simplified Arabic"/>
          <w:sz w:val="28"/>
          <w:szCs w:val="28"/>
          <w:rtl/>
        </w:rPr>
        <w:t>وسيتم إعداد الاستبانة وفق مقياس ليكرت الخماسي (من “أوافق بشدة” إلى “لا أوافق بشدة”) لقياس درجة موافقة المبحوثين على بنود كل محور</w:t>
      </w:r>
      <w:r w:rsidRPr="00297B1D">
        <w:rPr>
          <w:rFonts w:ascii="Simplified Arabic" w:hAnsi="Simplified Arabic" w:cs="Simplified Arabic"/>
          <w:sz w:val="28"/>
          <w:szCs w:val="28"/>
        </w:rPr>
        <w:t>.</w:t>
      </w:r>
    </w:p>
    <w:p w14:paraId="589064BD" w14:textId="7D8F689F" w:rsidR="0032684C" w:rsidRPr="0032684C" w:rsidRDefault="0032684C" w:rsidP="0032684C">
      <w:pPr>
        <w:jc w:val="both"/>
        <w:rPr>
          <w:rFonts w:ascii="Simplified Arabic" w:hAnsi="Simplified Arabic" w:cs="Simplified Arabic"/>
          <w:color w:val="EE0000"/>
          <w:sz w:val="28"/>
          <w:szCs w:val="28"/>
        </w:rPr>
      </w:pPr>
      <w:r w:rsidRPr="0032684C">
        <w:rPr>
          <w:rFonts w:ascii="Simplified Arabic" w:hAnsi="Simplified Arabic" w:cs="Simplified Arabic" w:hint="cs"/>
          <w:color w:val="EE0000"/>
          <w:sz w:val="28"/>
          <w:szCs w:val="28"/>
          <w:rtl/>
        </w:rPr>
        <w:t>و</w:t>
      </w:r>
      <w:r w:rsidRPr="0032684C">
        <w:rPr>
          <w:rFonts w:ascii="Simplified Arabic" w:hAnsi="Simplified Arabic" w:cs="Simplified Arabic"/>
          <w:color w:val="EE0000"/>
          <w:sz w:val="28"/>
          <w:szCs w:val="28"/>
          <w:rtl/>
        </w:rPr>
        <w:t>ستقوم الدراسة بعملية تطوير أداة القياس والتحقق من صدقها وثباتها وفق إجراءات منهجية دقيقة تهدف إلى بناء مقياس علمي قوي يعكس متغيرات البحث بدقة. وستبدأ هذه العملية بمرحلة توليد البنود وصياغة المقياس من خلال مراجعة معمّقة للأدبيات المتخصصة والنماذج المفاهيمية ذات الصلة بتقنيات الذكاء الاصطناعي وسلاسل القيمة التشغيلية في القطاع الحكومي</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وسيتم استنباط بنود الاستبيان من دراسات محكّمة تناولت الأبعاد الأربعة للذكاء الاصطناعي (جمع البيانات ومعالجتها، النماذج التنبؤية، الأتمتة الذكية، وأنظمة دعم القرار)، إضافة إلى الأدبيات التي ناقشت تحسين الكفاءة التشغيلية. وستُصاغ البنود بلغة علمية واضحة ومحايدة، مع مراعاة ملاءمتها للسياق المؤسسي السعودي وضمان اتساقها الداخلي مع النموذج المفاهيمي للدراسة</w:t>
      </w:r>
      <w:r w:rsidRPr="0032684C">
        <w:rPr>
          <w:rFonts w:ascii="Simplified Arabic" w:hAnsi="Simplified Arabic" w:cs="Simplified Arabic"/>
          <w:color w:val="EE0000"/>
          <w:sz w:val="28"/>
          <w:szCs w:val="28"/>
        </w:rPr>
        <w:t>.</w:t>
      </w:r>
    </w:p>
    <w:p w14:paraId="36757B7B" w14:textId="7E921714" w:rsidR="0032684C" w:rsidRPr="0032684C" w:rsidRDefault="0032684C" w:rsidP="0032684C">
      <w:pPr>
        <w:jc w:val="both"/>
        <w:rPr>
          <w:rFonts w:ascii="Simplified Arabic" w:hAnsi="Simplified Arabic" w:cs="Simplified Arabic"/>
          <w:color w:val="EE0000"/>
          <w:sz w:val="28"/>
          <w:szCs w:val="28"/>
        </w:rPr>
      </w:pPr>
      <w:r w:rsidRPr="0032684C">
        <w:rPr>
          <w:rFonts w:ascii="Simplified Arabic" w:hAnsi="Simplified Arabic" w:cs="Simplified Arabic"/>
          <w:color w:val="EE0000"/>
          <w:sz w:val="28"/>
          <w:szCs w:val="28"/>
          <w:rtl/>
        </w:rPr>
        <w:t>وفي المرحلة التالية، ستعتمد الدراسة منهجية التحكيم الرسمي عبر أسلوب دلفي</w:t>
      </w:r>
      <w:r w:rsidRPr="0032684C">
        <w:rPr>
          <w:rFonts w:ascii="Simplified Arabic" w:hAnsi="Simplified Arabic" w:cs="Simplified Arabic"/>
          <w:color w:val="EE0000"/>
          <w:sz w:val="28"/>
          <w:szCs w:val="28"/>
        </w:rPr>
        <w:t xml:space="preserve"> (Delphi Method) </w:t>
      </w:r>
      <w:r w:rsidRPr="0032684C">
        <w:rPr>
          <w:rFonts w:ascii="Simplified Arabic" w:hAnsi="Simplified Arabic" w:cs="Simplified Arabic"/>
          <w:color w:val="EE0000"/>
          <w:sz w:val="28"/>
          <w:szCs w:val="28"/>
          <w:rtl/>
        </w:rPr>
        <w:t>للتحقق من صدق المحتوى. وسيتولى لجنة من الخبراء  تضم أكاديميين متخصصين في الإدارة العامة والتحول الرقمي وخبراء في الذكاء الاصطناعي إضافة إلى قيادات تنفيذية حكومية  مراجعة البنود على عدة جولات للوصول إلى توافق مهني حول شمولها ودقتها وملاءمتها لأهداف الدراسة. وستسهم هذه المراجعات في تنقيح الأداة وتطويرها قبل الانتقال إلى المرحلة التجريبية</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وبعد ذلك ستُجرى دراسة تجريبية</w:t>
      </w:r>
      <w:r w:rsidRPr="0032684C">
        <w:rPr>
          <w:rFonts w:ascii="Simplified Arabic" w:hAnsi="Simplified Arabic" w:cs="Simplified Arabic"/>
          <w:color w:val="EE0000"/>
          <w:sz w:val="28"/>
          <w:szCs w:val="28"/>
        </w:rPr>
        <w:t xml:space="preserve"> </w:t>
      </w:r>
      <w:r w:rsidRPr="0032684C">
        <w:rPr>
          <w:rFonts w:ascii="Simplified Arabic" w:hAnsi="Simplified Arabic" w:cs="Simplified Arabic"/>
          <w:color w:val="EE0000"/>
          <w:sz w:val="28"/>
          <w:szCs w:val="28"/>
        </w:rPr>
        <w:lastRenderedPageBreak/>
        <w:t xml:space="preserve">(Pilot Study) </w:t>
      </w:r>
      <w:r w:rsidRPr="0032684C">
        <w:rPr>
          <w:rFonts w:ascii="Simplified Arabic" w:hAnsi="Simplified Arabic" w:cs="Simplified Arabic"/>
          <w:color w:val="EE0000"/>
          <w:sz w:val="28"/>
          <w:szCs w:val="28"/>
          <w:rtl/>
        </w:rPr>
        <w:t>على عينة محدودة لاختبار وضوح البنود وقياس الثبات الأولي. وستُستخدم بيانات هذه المرحلة لإجراء تحليل العوامل الاستكشافي</w:t>
      </w:r>
      <w:r w:rsidRPr="0032684C">
        <w:rPr>
          <w:rFonts w:ascii="Simplified Arabic" w:hAnsi="Simplified Arabic" w:cs="Simplified Arabic"/>
          <w:color w:val="EE0000"/>
          <w:sz w:val="28"/>
          <w:szCs w:val="28"/>
        </w:rPr>
        <w:t xml:space="preserve"> (EFA) </w:t>
      </w:r>
      <w:r w:rsidRPr="0032684C">
        <w:rPr>
          <w:rFonts w:ascii="Simplified Arabic" w:hAnsi="Simplified Arabic" w:cs="Simplified Arabic"/>
          <w:color w:val="EE0000"/>
          <w:sz w:val="28"/>
          <w:szCs w:val="28"/>
          <w:rtl/>
        </w:rPr>
        <w:t>للتحقق من البنية الأولية للمقياس ومدى تحميل البنود على الأبعاد المقترحة</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أما في الدراسة الرئيسية، فسيتم تطبيق تحليل العوامل التأكيدي</w:t>
      </w:r>
      <w:r w:rsidRPr="0032684C">
        <w:rPr>
          <w:rFonts w:ascii="Simplified Arabic" w:hAnsi="Simplified Arabic" w:cs="Simplified Arabic"/>
          <w:color w:val="EE0000"/>
          <w:sz w:val="28"/>
          <w:szCs w:val="28"/>
        </w:rPr>
        <w:t xml:space="preserve"> (CFA) </w:t>
      </w:r>
      <w:r w:rsidRPr="0032684C">
        <w:rPr>
          <w:rFonts w:ascii="Simplified Arabic" w:hAnsi="Simplified Arabic" w:cs="Simplified Arabic"/>
          <w:color w:val="EE0000"/>
          <w:sz w:val="28"/>
          <w:szCs w:val="28"/>
          <w:rtl/>
        </w:rPr>
        <w:t>للتحقق من صلاحية نموذج القياس، وضمان قوة المؤشرات الإحصائية المرتبطة به مثل معامل الثبات المركب</w:t>
      </w:r>
      <w:r w:rsidRPr="0032684C">
        <w:rPr>
          <w:rFonts w:ascii="Simplified Arabic" w:hAnsi="Simplified Arabic" w:cs="Simplified Arabic"/>
          <w:color w:val="EE0000"/>
          <w:sz w:val="28"/>
          <w:szCs w:val="28"/>
        </w:rPr>
        <w:t xml:space="preserve"> (CR) </w:t>
      </w:r>
      <w:r w:rsidRPr="0032684C">
        <w:rPr>
          <w:rFonts w:ascii="Simplified Arabic" w:hAnsi="Simplified Arabic" w:cs="Simplified Arabic"/>
          <w:color w:val="EE0000"/>
          <w:sz w:val="28"/>
          <w:szCs w:val="28"/>
          <w:rtl/>
        </w:rPr>
        <w:t>ومتوسط التباين المستخلص</w:t>
      </w:r>
      <w:r w:rsidRPr="0032684C">
        <w:rPr>
          <w:rFonts w:ascii="Simplified Arabic" w:hAnsi="Simplified Arabic" w:cs="Simplified Arabic"/>
          <w:color w:val="EE0000"/>
          <w:sz w:val="28"/>
          <w:szCs w:val="28"/>
        </w:rPr>
        <w:t xml:space="preserve"> (AVE). </w:t>
      </w:r>
      <w:r w:rsidRPr="0032684C">
        <w:rPr>
          <w:rFonts w:ascii="Simplified Arabic" w:hAnsi="Simplified Arabic" w:cs="Simplified Arabic"/>
          <w:color w:val="EE0000"/>
          <w:sz w:val="28"/>
          <w:szCs w:val="28"/>
          <w:rtl/>
        </w:rPr>
        <w:t>ومن شأن هذه الإجراءات أن تُسهم في بناء أداة قياس رصينة وموثوقة قادرة على تمثيل الظاهرة المدروسة بشكل علمي دقيق</w:t>
      </w:r>
      <w:r w:rsidRPr="0032684C">
        <w:rPr>
          <w:rFonts w:ascii="Simplified Arabic" w:hAnsi="Simplified Arabic" w:cs="Simplified Arabic"/>
          <w:color w:val="EE0000"/>
          <w:sz w:val="28"/>
          <w:szCs w:val="28"/>
        </w:rPr>
        <w:t>.</w:t>
      </w:r>
    </w:p>
    <w:p w14:paraId="158F6916" w14:textId="77777777" w:rsidR="000E0033" w:rsidRPr="00B91104" w:rsidRDefault="000E0033" w:rsidP="00D439AC">
      <w:pPr>
        <w:pStyle w:val="1"/>
        <w:rPr>
          <w:rtl/>
        </w:rPr>
      </w:pPr>
      <w:r w:rsidRPr="00B91104">
        <w:rPr>
          <w:rtl/>
        </w:rPr>
        <w:t>مجتمع الدراسة:</w:t>
      </w:r>
      <w:bookmarkEnd w:id="9"/>
    </w:p>
    <w:p w14:paraId="7A504890" w14:textId="69811FAB" w:rsidR="00297B1D" w:rsidRPr="00297B1D" w:rsidRDefault="00297B1D" w:rsidP="00297B1D">
      <w:pPr>
        <w:ind w:firstLine="720"/>
        <w:jc w:val="both"/>
        <w:rPr>
          <w:rFonts w:ascii="Simplified Arabic" w:hAnsi="Simplified Arabic" w:cs="Simplified Arabic"/>
          <w:sz w:val="28"/>
          <w:szCs w:val="28"/>
        </w:rPr>
      </w:pPr>
      <w:r w:rsidRPr="00297B1D">
        <w:rPr>
          <w:rFonts w:ascii="Simplified Arabic" w:hAnsi="Simplified Arabic" w:cs="Simplified Arabic"/>
          <w:sz w:val="28"/>
          <w:szCs w:val="28"/>
          <w:rtl/>
        </w:rPr>
        <w:t>سوف يتمثل مجتمع الدراسة في جميع الموظفين العاملين في المؤسسات الحكومية الكبرى في المملكة العربية السعودية، وخاصة المؤسسات التي تعتمد بدرجة جوهرية على الأنظمة الرقمية وسلاسل القيمة التشغيلية، مثل: وزارة الداخلية، وزارة الموارد البشرية والتنمية الاجتماعية، وزارة الصحة، وزارة النقل والخدمات اللوجستية، إضافة إلى الهيئات الحكومية الكبرى مثل هيئة الحكومة الرقمية وهيئة البيانات والذكاء الاصطناعي (سدايا)</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ومن المتوقع أن يتجاوز الحجم الإجمالي لمجتمع الدراسة </w:t>
      </w:r>
      <w:r w:rsidRPr="00297B1D">
        <w:rPr>
          <w:rFonts w:ascii="Simplified Arabic" w:hAnsi="Simplified Arabic" w:cs="Simplified Arabic"/>
          <w:sz w:val="28"/>
          <w:szCs w:val="28"/>
        </w:rPr>
        <w:t xml:space="preserve">120,000 </w:t>
      </w:r>
      <w:r w:rsidRPr="00297B1D">
        <w:rPr>
          <w:rFonts w:ascii="Simplified Arabic" w:hAnsi="Simplified Arabic" w:cs="Simplified Arabic"/>
          <w:sz w:val="28"/>
          <w:szCs w:val="28"/>
          <w:rtl/>
        </w:rPr>
        <w:t>موظف يعملون في مجالات التشغيل، التحول الرقمي، التقنية، وإدارة العمليات، نظرًا لاتساع هذه المؤسسات وارتفاع درجة الاعتماد المرتقب على تقنيات الذكاء الاصطناعي في إدارة سلسلة القيمة التشغيلية</w:t>
      </w:r>
      <w:r w:rsidRPr="00297B1D">
        <w:rPr>
          <w:rFonts w:ascii="Simplified Arabic" w:hAnsi="Simplified Arabic" w:cs="Simplified Arabic"/>
          <w:sz w:val="28"/>
          <w:szCs w:val="28"/>
        </w:rPr>
        <w:t>.</w:t>
      </w: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1Char"/>
          <w:rtl/>
        </w:rPr>
        <w:t>عينة الدراسة</w:t>
      </w:r>
      <w:bookmarkEnd w:id="10"/>
      <w:r w:rsidRPr="00B91104">
        <w:rPr>
          <w:rFonts w:ascii="Simplified Arabic" w:hAnsi="Simplified Arabic" w:cs="Simplified Arabic"/>
          <w:sz w:val="28"/>
          <w:szCs w:val="28"/>
          <w:rtl/>
          <w:lang w:bidi="ar-EG"/>
        </w:rPr>
        <w:t>:</w:t>
      </w:r>
    </w:p>
    <w:p w14:paraId="06E06103" w14:textId="08F576F3" w:rsidR="005E6DFF" w:rsidRPr="00F178E3"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سوف تعتمد الدراسة على العينة العشوائية الطبقية المتناسبة لضمان تمثيل مختلف القطاعات الحكومية المشمولة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وسيتم تحديد حجم العينة استنادًا إلى معادلة كريجسي ومورغان، حيث يُتوقع أن يكون الحد الأدنى المقبول لعينة تمثل مجتمعًا يزيد حجمه عن 100 ألف هو </w:t>
      </w:r>
      <w:r w:rsidRPr="00F178E3">
        <w:rPr>
          <w:rFonts w:ascii="Simplified Arabic" w:hAnsi="Simplified Arabic" w:cs="Simplified Arabic"/>
          <w:sz w:val="28"/>
          <w:szCs w:val="28"/>
        </w:rPr>
        <w:t xml:space="preserve">384 </w:t>
      </w:r>
      <w:r w:rsidRPr="00F178E3">
        <w:rPr>
          <w:rFonts w:ascii="Simplified Arabic" w:hAnsi="Simplified Arabic" w:cs="Simplified Arabic"/>
          <w:sz w:val="28"/>
          <w:szCs w:val="28"/>
          <w:rtl/>
        </w:rPr>
        <w:t>مفردة</w:t>
      </w:r>
      <w:r>
        <w:rPr>
          <w:rFonts w:ascii="Simplified Arabic" w:hAnsi="Simplified Arabic" w:cs="Simplified Arabic" w:hint="cs"/>
          <w:sz w:val="28"/>
          <w:szCs w:val="28"/>
          <w:rtl/>
        </w:rPr>
        <w:t>،</w:t>
      </w:r>
      <w:r w:rsidRPr="00F178E3">
        <w:rPr>
          <w:rFonts w:ascii="Simplified Arabic" w:hAnsi="Simplified Arabic" w:cs="Simplified Arabic"/>
          <w:sz w:val="28"/>
          <w:szCs w:val="28"/>
        </w:rPr>
        <w:t xml:space="preserve"> </w:t>
      </w:r>
      <w:r w:rsidRPr="00F178E3">
        <w:rPr>
          <w:rFonts w:ascii="Simplified Arabic" w:hAnsi="Simplified Arabic" w:cs="Simplified Arabic"/>
          <w:sz w:val="28"/>
          <w:szCs w:val="28"/>
          <w:rtl/>
        </w:rPr>
        <w:t xml:space="preserve">وبهدف تعزيز القوة التفسيرية للنموذج الإحصائي وتقليل احتمال الخطأ العشوائي، ستسعى الدراسة إلى زيادة حجم العينة ليصل إلى نحو </w:t>
      </w:r>
      <w:r w:rsidRPr="00F178E3">
        <w:rPr>
          <w:rFonts w:ascii="Simplified Arabic" w:hAnsi="Simplified Arabic" w:cs="Simplified Arabic"/>
          <w:sz w:val="28"/>
          <w:szCs w:val="28"/>
        </w:rPr>
        <w:t xml:space="preserve">420 </w:t>
      </w:r>
      <w:r w:rsidRPr="00F178E3">
        <w:rPr>
          <w:rFonts w:ascii="Simplified Arabic" w:hAnsi="Simplified Arabic" w:cs="Simplified Arabic"/>
          <w:sz w:val="28"/>
          <w:szCs w:val="28"/>
          <w:rtl/>
        </w:rPr>
        <w:t>استبانة موزّعة على موظفي الإدارات ذات العلاقة بالذكاء الاصطناعي وسلسلة القيمة التشغيلية في المؤسسات الحكومية الكبرى</w:t>
      </w:r>
      <w:r w:rsidRPr="00F178E3">
        <w:rPr>
          <w:rFonts w:ascii="Simplified Arabic" w:hAnsi="Simplified Arabic" w:cs="Simplified Arabic"/>
          <w:sz w:val="28"/>
          <w:szCs w:val="28"/>
        </w:rPr>
        <w:t>.</w:t>
      </w:r>
    </w:p>
    <w:p w14:paraId="20F0D27F" w14:textId="38198D99" w:rsidR="000E0033" w:rsidRPr="00B91104" w:rsidRDefault="000E0033" w:rsidP="00D439AC">
      <w:pPr>
        <w:pStyle w:val="1"/>
        <w:rPr>
          <w:rtl/>
        </w:rPr>
      </w:pPr>
      <w:bookmarkStart w:id="11" w:name="_Toc202053526"/>
      <w:r w:rsidRPr="00B91104">
        <w:rPr>
          <w:rtl/>
        </w:rPr>
        <w:lastRenderedPageBreak/>
        <w:t>مصادر البيانات في الدراسة</w:t>
      </w:r>
      <w:bookmarkEnd w:id="11"/>
    </w:p>
    <w:p w14:paraId="7C009BC0" w14:textId="601DF54F" w:rsidR="00F178E3" w:rsidRPr="00F178E3" w:rsidRDefault="00F178E3" w:rsidP="00F178E3">
      <w:pPr>
        <w:jc w:val="both"/>
        <w:rPr>
          <w:rFonts w:ascii="Simplified Arabic" w:hAnsi="Simplified Arabic" w:cs="Simplified Arabic"/>
          <w:sz w:val="28"/>
          <w:szCs w:val="28"/>
          <w:rtl/>
          <w:lang w:bidi="ar-EG"/>
        </w:rPr>
      </w:pPr>
      <w:r w:rsidRPr="00F178E3">
        <w:rPr>
          <w:rFonts w:ascii="Simplified Arabic" w:hAnsi="Simplified Arabic" w:cs="Simplified Arabic"/>
          <w:sz w:val="28"/>
          <w:szCs w:val="28"/>
          <w:rtl/>
        </w:rPr>
        <w:t>سوف تعتمد هذه الدراسة على نوعين رئيسيين من مصادر البيانات، بما يضمن تغطية شاملة وموثوقة لمتغيرات البحث، وذلك على النحو الآتي</w:t>
      </w:r>
      <w:r w:rsidRPr="00F178E3">
        <w:rPr>
          <w:rFonts w:ascii="Simplified Arabic" w:hAnsi="Simplified Arabic" w:cs="Simplified Arabic"/>
          <w:sz w:val="28"/>
          <w:szCs w:val="28"/>
          <w:lang w:bidi="ar-EG"/>
        </w:rPr>
        <w:t>:</w:t>
      </w:r>
    </w:p>
    <w:p w14:paraId="51C81F89" w14:textId="0B7E0132"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395FCFE5" w14:textId="6EF755D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ستعتمد هذه الدراسة على البيانات الثانوية التي سيتم جمعها من الأدبيات العلمية والدراسات السابقة المرتبطة بموضوع البحث، إضافة إلى التقارير الرسمية الصادرة عن الجهات الحكومية السعودية والمنظمات الدولية ذات العلاقة بالذكاء الاصطناعي وسلاسل القيمة التشغيلية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وتشمل هذه البيانات الكتب المتخصصة، الأبحاث المحكمة المنشورة في قواعد بيانات عالمية، الوثائق الاستراتيجية لبرامج التحول الرقمي، وتقارير المؤشرات التشغيلية الوطنية، بما يسهم في بناء الإطار النظري للدراسة وتحديد أبعاد المتغيرات وصياغة نموذجها البحثي</w:t>
      </w:r>
      <w:r w:rsidR="005E6DFF" w:rsidRPr="000508AF">
        <w:rPr>
          <w:rFonts w:ascii="Simplified Arabic" w:hAnsi="Simplified Arabic" w:cs="Simplified Arabic"/>
          <w:sz w:val="28"/>
          <w:szCs w:val="28"/>
        </w:rPr>
        <w:t>.</w:t>
      </w:r>
    </w:p>
    <w:p w14:paraId="2BB75ABC" w14:textId="16583FC9" w:rsidR="005E6DFF" w:rsidRPr="005E6DFF" w:rsidRDefault="00F178E3" w:rsidP="00F178E3">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ثانيا</w:t>
      </w:r>
      <w:r w:rsidR="005E6DFF" w:rsidRPr="005E6DFF">
        <w:rPr>
          <w:rFonts w:ascii="Simplified Arabic" w:hAnsi="Simplified Arabic" w:cs="Simplified Arabic"/>
          <w:b/>
          <w:bCs/>
          <w:sz w:val="28"/>
          <w:szCs w:val="28"/>
          <w:rtl/>
        </w:rPr>
        <w:t>: المصادر الأولية</w:t>
      </w:r>
      <w:r w:rsidR="005E6DFF" w:rsidRPr="005E6DFF">
        <w:rPr>
          <w:rFonts w:ascii="Simplified Arabic" w:hAnsi="Simplified Arabic" w:cs="Simplified Arabic"/>
          <w:b/>
          <w:bCs/>
          <w:sz w:val="28"/>
          <w:szCs w:val="28"/>
        </w:rPr>
        <w:t xml:space="preserve"> (Primary Data)</w:t>
      </w:r>
    </w:p>
    <w:p w14:paraId="3420B045" w14:textId="0F09359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سيتم الحصول عليها عبر استبانة ميدانية ستُعدّ خصيصًا لقياس أثر تقنيات الذكاء الاصطناعي بأبعادها على سلسلة القيمة التشغيلية داخل المؤسسات الحكومية الكبرى في المملكة العربية السعودية. وستُصمم الاستبانة في ضوء الإطار النظري والدراسات السابقة، ثم تُوزّع على عينة ممثلة من العاملين في القطاعات المستهدفة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وستُستخدم هذه البيانات لاحقًا في الاختبارات الإحصائية ونمذجة العلاقات بين المتغيرات بهدف التحقق من فرضيات الدراسة والوصول إلى نتائج علمية دقيقة</w:t>
      </w:r>
      <w:r w:rsidR="005E6DFF" w:rsidRPr="000508AF">
        <w:rPr>
          <w:rFonts w:ascii="Simplified Arabic" w:hAnsi="Simplified Arabic" w:cs="Simplified Arabic"/>
          <w:sz w:val="28"/>
          <w:szCs w:val="28"/>
        </w:rPr>
        <w:t>.</w:t>
      </w:r>
    </w:p>
    <w:p w14:paraId="0E66248D" w14:textId="77777777" w:rsidR="000E0033" w:rsidRPr="00B91104" w:rsidRDefault="000E0033" w:rsidP="00D439AC">
      <w:pPr>
        <w:pStyle w:val="1"/>
        <w:rPr>
          <w:rtl/>
        </w:rPr>
      </w:pPr>
      <w:bookmarkStart w:id="12" w:name="_Toc202053527"/>
      <w:r w:rsidRPr="00B91104">
        <w:rPr>
          <w:rtl/>
        </w:rPr>
        <w:t>المعالجات الإحصائية المقترحة:</w:t>
      </w:r>
      <w:bookmarkEnd w:id="12"/>
    </w:p>
    <w:p w14:paraId="718856C9" w14:textId="7CC062D0"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ستُجرى المعالجات الإحصائية المقترحة باستخدام برنامج</w:t>
      </w:r>
      <w:r w:rsidRPr="00F178E3">
        <w:rPr>
          <w:rFonts w:ascii="Simplified Arabic" w:hAnsi="Simplified Arabic" w:cs="Simplified Arabic"/>
          <w:sz w:val="28"/>
          <w:szCs w:val="28"/>
          <w:lang w:bidi="ar-EG"/>
        </w:rPr>
        <w:t xml:space="preserve"> (SPSS) </w:t>
      </w:r>
      <w:r w:rsidRPr="00F178E3">
        <w:rPr>
          <w:rFonts w:ascii="Simplified Arabic" w:hAnsi="Simplified Arabic" w:cs="Simplified Arabic"/>
          <w:sz w:val="28"/>
          <w:szCs w:val="28"/>
          <w:rtl/>
        </w:rPr>
        <w:t>بالإصدار الأحدث، بهدف تحليل البيانات الميدانية المستخلصة من الاستبانة والتحقق من صحة الفرضيات</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وستعتمد الدراسة على مجموعة من الأساليب الإحصائية الوصفية والاستدلالية وفق الخطوات الآتية</w:t>
      </w:r>
      <w:r w:rsidRPr="00F178E3">
        <w:rPr>
          <w:rFonts w:ascii="Simplified Arabic" w:hAnsi="Simplified Arabic" w:cs="Simplified Arabic"/>
          <w:sz w:val="28"/>
          <w:szCs w:val="28"/>
          <w:lang w:bidi="ar-EG"/>
        </w:rPr>
        <w:t>:</w:t>
      </w:r>
    </w:p>
    <w:p w14:paraId="16763F2E"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أولًا: التحقق من صدق وثبات أداة الدراسة</w:t>
      </w:r>
    </w:p>
    <w:p w14:paraId="51627963"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lastRenderedPageBreak/>
        <w:t>سيتم حساب معامل الثبات كرونباخ ألفا</w:t>
      </w:r>
      <w:r w:rsidRPr="00F178E3">
        <w:rPr>
          <w:rFonts w:ascii="Simplified Arabic" w:hAnsi="Simplified Arabic" w:cs="Simplified Arabic"/>
          <w:sz w:val="28"/>
          <w:szCs w:val="28"/>
          <w:lang w:bidi="ar-EG"/>
        </w:rPr>
        <w:t xml:space="preserve"> (Cronbach’s Alpha) </w:t>
      </w:r>
      <w:r w:rsidRPr="00F178E3">
        <w:rPr>
          <w:rFonts w:ascii="Simplified Arabic" w:hAnsi="Simplified Arabic" w:cs="Simplified Arabic"/>
          <w:sz w:val="28"/>
          <w:szCs w:val="28"/>
          <w:rtl/>
        </w:rPr>
        <w:t>لكل بُعد من أبعاد الاستبانة وللأداة ككل، للتأكد من مستوى الاتساق الداخلي وموثوقية القياس</w:t>
      </w:r>
      <w:r w:rsidRPr="00F178E3">
        <w:rPr>
          <w:rFonts w:ascii="Simplified Arabic" w:hAnsi="Simplified Arabic" w:cs="Simplified Arabic"/>
          <w:sz w:val="28"/>
          <w:szCs w:val="28"/>
          <w:lang w:bidi="ar-EG"/>
        </w:rPr>
        <w:t>.</w:t>
      </w:r>
    </w:p>
    <w:p w14:paraId="49D7B536"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كما سيتم التحقق من صدق المحتوى</w:t>
      </w:r>
      <w:r w:rsidRPr="00F178E3">
        <w:rPr>
          <w:rFonts w:ascii="Simplified Arabic" w:hAnsi="Simplified Arabic" w:cs="Simplified Arabic"/>
          <w:sz w:val="28"/>
          <w:szCs w:val="28"/>
          <w:lang w:bidi="ar-EG"/>
        </w:rPr>
        <w:t xml:space="preserve"> (Content Validity) </w:t>
      </w:r>
      <w:r w:rsidRPr="00F178E3">
        <w:rPr>
          <w:rFonts w:ascii="Simplified Arabic" w:hAnsi="Simplified Arabic" w:cs="Simplified Arabic"/>
          <w:sz w:val="28"/>
          <w:szCs w:val="28"/>
          <w:rtl/>
        </w:rPr>
        <w:t>من خلال عرض الاستبانة على مجموعة من الخبراء والمحكمين المتخصصين</w:t>
      </w:r>
      <w:r w:rsidRPr="00F178E3">
        <w:rPr>
          <w:rFonts w:ascii="Simplified Arabic" w:hAnsi="Simplified Arabic" w:cs="Simplified Arabic"/>
          <w:sz w:val="28"/>
          <w:szCs w:val="28"/>
          <w:lang w:bidi="ar-EG"/>
        </w:rPr>
        <w:t>.</w:t>
      </w:r>
    </w:p>
    <w:p w14:paraId="734FC82F"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وسيُستخدم صدق الاتساق الداخلي عبر حساب معاملات الارتباط بين الفقرات ومحاورها وبين كل محور والدرجة الكلية للاستبانة باستخدام معامل ارتباط بيرسون</w:t>
      </w:r>
      <w:r w:rsidRPr="00F178E3">
        <w:rPr>
          <w:rFonts w:ascii="Simplified Arabic" w:hAnsi="Simplified Arabic" w:cs="Simplified Arabic"/>
          <w:sz w:val="28"/>
          <w:szCs w:val="28"/>
          <w:lang w:bidi="ar-EG"/>
        </w:rPr>
        <w:t>.</w:t>
      </w:r>
    </w:p>
    <w:p w14:paraId="56BF9EAC"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ثانيًا: التحليلات الإحصائية الوصفية</w:t>
      </w:r>
    </w:p>
    <w:p w14:paraId="10370008"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المتوسطات الحسابية والانحرافات المعيارية لقياس مستوى استجابات أفراد العينة على كل محور من محاور الدراسة</w:t>
      </w:r>
      <w:r w:rsidRPr="00F178E3">
        <w:rPr>
          <w:rFonts w:ascii="Simplified Arabic" w:hAnsi="Simplified Arabic" w:cs="Simplified Arabic"/>
          <w:sz w:val="28"/>
          <w:szCs w:val="28"/>
          <w:lang w:bidi="ar-EG"/>
        </w:rPr>
        <w:t>.</w:t>
      </w:r>
    </w:p>
    <w:p w14:paraId="2908FAB0"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التكرارات والنسب المئوية للخصائص الديموغرافية للمبحوثين مثل (العمر، المؤهل، سنوات الخبرة، طبيعة العمل)، بهدف توصيف عينة الدراسة</w:t>
      </w:r>
      <w:r w:rsidRPr="00F178E3">
        <w:rPr>
          <w:rFonts w:ascii="Simplified Arabic" w:hAnsi="Simplified Arabic" w:cs="Simplified Arabic"/>
          <w:sz w:val="28"/>
          <w:szCs w:val="28"/>
          <w:lang w:bidi="ar-EG"/>
        </w:rPr>
        <w:t>.</w:t>
      </w:r>
    </w:p>
    <w:p w14:paraId="58860C3A"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ثالثًا: التحليلات الإحصائية الاستدلالية</w:t>
      </w:r>
    </w:p>
    <w:p w14:paraId="298FE231"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معامل ارتباط بيرسون</w:t>
      </w:r>
      <w:r w:rsidRPr="00F178E3">
        <w:rPr>
          <w:rFonts w:ascii="Simplified Arabic" w:hAnsi="Simplified Arabic" w:cs="Simplified Arabic"/>
          <w:sz w:val="28"/>
          <w:szCs w:val="28"/>
          <w:lang w:bidi="ar-EG"/>
        </w:rPr>
        <w:t xml:space="preserve"> (Pearson Correlation) </w:t>
      </w:r>
      <w:r w:rsidRPr="00F178E3">
        <w:rPr>
          <w:rFonts w:ascii="Simplified Arabic" w:hAnsi="Simplified Arabic" w:cs="Simplified Arabic"/>
          <w:sz w:val="28"/>
          <w:szCs w:val="28"/>
          <w:rtl/>
        </w:rPr>
        <w:t>لقياس قوة واتجاه العلاقة بين أبعاد تقنيات الذكاء الاصطناعي وسلسلة القيمة التشغيلية</w:t>
      </w:r>
      <w:r w:rsidRPr="00F178E3">
        <w:rPr>
          <w:rFonts w:ascii="Simplified Arabic" w:hAnsi="Simplified Arabic" w:cs="Simplified Arabic"/>
          <w:sz w:val="28"/>
          <w:szCs w:val="28"/>
          <w:lang w:bidi="ar-EG"/>
        </w:rPr>
        <w:t>.</w:t>
      </w:r>
    </w:p>
    <w:p w14:paraId="0FE53278"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الانحدار البسيط والمتعدد</w:t>
      </w:r>
      <w:r w:rsidRPr="00F178E3">
        <w:rPr>
          <w:rFonts w:ascii="Simplified Arabic" w:hAnsi="Simplified Arabic" w:cs="Simplified Arabic"/>
          <w:sz w:val="28"/>
          <w:szCs w:val="28"/>
          <w:lang w:bidi="ar-EG"/>
        </w:rPr>
        <w:t xml:space="preserve"> (Simple &amp; Multiple Regression) </w:t>
      </w:r>
      <w:r w:rsidRPr="00F178E3">
        <w:rPr>
          <w:rFonts w:ascii="Simplified Arabic" w:hAnsi="Simplified Arabic" w:cs="Simplified Arabic"/>
          <w:sz w:val="28"/>
          <w:szCs w:val="28"/>
          <w:rtl/>
        </w:rPr>
        <w:t>لقياس أثر المتغير المستقل بأبعاده على المتغير التابع</w:t>
      </w:r>
      <w:r w:rsidRPr="00F178E3">
        <w:rPr>
          <w:rFonts w:ascii="Simplified Arabic" w:hAnsi="Simplified Arabic" w:cs="Simplified Arabic"/>
          <w:sz w:val="28"/>
          <w:szCs w:val="28"/>
          <w:lang w:bidi="ar-EG"/>
        </w:rPr>
        <w:t>.</w:t>
      </w:r>
    </w:p>
    <w:p w14:paraId="7B94BB6B" w14:textId="52A3FCAD" w:rsidR="000E0033" w:rsidRPr="000236E3" w:rsidRDefault="000E0033" w:rsidP="00D439AC">
      <w:pPr>
        <w:pStyle w:val="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4CCF8590" w:rsidR="00D439AC" w:rsidRPr="00EC07BC" w:rsidRDefault="00D439AC">
      <w:pPr>
        <w:pStyle w:val="a6"/>
        <w:numPr>
          <w:ilvl w:val="0"/>
          <w:numId w:val="5"/>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تقتصر هذه الدراسة على فحص أثر تقنيات الذكاء الاصطناعي بأبعادها (جمع البيانات ومعالجتها، النماذج التنبؤية، الأتمتة الذكية، وأنظمة دعم القرار) على سلسلة القيمة التشغيلية داخل المؤسسات الحكومية الكبرى في المملكة العربية السعودية</w:t>
      </w:r>
      <w:r w:rsidR="005E6DFF" w:rsidRPr="00F178E3">
        <w:rPr>
          <w:rFonts w:ascii="Simplified Arabic" w:hAnsi="Simplified Arabic" w:cs="Simplified Arabic"/>
          <w:sz w:val="28"/>
          <w:szCs w:val="28"/>
          <w:lang w:bidi="ar-EG"/>
        </w:rPr>
        <w:t>.</w:t>
      </w:r>
    </w:p>
    <w:p w14:paraId="1BA00711" w14:textId="67067C3B" w:rsidR="000E0033" w:rsidRPr="00D439AC" w:rsidRDefault="000E0033">
      <w:pPr>
        <w:pStyle w:val="a6"/>
        <w:numPr>
          <w:ilvl w:val="0"/>
          <w:numId w:val="5"/>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w:t>
      </w:r>
      <w:r w:rsidR="00D439AC" w:rsidRPr="00D439AC">
        <w:rPr>
          <w:rFonts w:ascii="Simplified Arabic" w:hAnsi="Simplified Arabic" w:cs="Simplified Arabic" w:hint="cs"/>
          <w:sz w:val="28"/>
          <w:szCs w:val="28"/>
          <w:rtl/>
          <w:lang w:bidi="ar-EG"/>
        </w:rPr>
        <w:t>.</w:t>
      </w:r>
    </w:p>
    <w:p w14:paraId="44F0B6C6" w14:textId="7596BCD9" w:rsidR="000E0033" w:rsidRPr="00EC07BC" w:rsidRDefault="000E0033">
      <w:pPr>
        <w:pStyle w:val="a6"/>
        <w:numPr>
          <w:ilvl w:val="0"/>
          <w:numId w:val="5"/>
        </w:numPr>
        <w:jc w:val="both"/>
        <w:rPr>
          <w:rFonts w:ascii="Simplified Arabic" w:hAnsi="Simplified Arabic" w:cs="Simplified Arabic"/>
          <w:sz w:val="28"/>
          <w:szCs w:val="28"/>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تُجرى الدراسة داخل المؤسسات الحكومية الكبرى في المملكة العربية السعودية</w:t>
      </w:r>
      <w:r w:rsidRPr="00EC07BC">
        <w:rPr>
          <w:rFonts w:ascii="Simplified Arabic" w:hAnsi="Simplified Arabic" w:cs="Simplified Arabic"/>
          <w:sz w:val="28"/>
          <w:szCs w:val="28"/>
          <w:rtl/>
          <w:lang w:bidi="ar-EG"/>
        </w:rPr>
        <w:t>.</w:t>
      </w:r>
    </w:p>
    <w:p w14:paraId="77BE4C33" w14:textId="579599D4" w:rsidR="005E6DFF" w:rsidRPr="00D439AC" w:rsidRDefault="005E6DFF">
      <w:pPr>
        <w:pStyle w:val="a6"/>
        <w:numPr>
          <w:ilvl w:val="0"/>
          <w:numId w:val="5"/>
        </w:num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 xml:space="preserve">الحدود البشرية </w:t>
      </w:r>
      <w:r w:rsidRPr="005E6DFF">
        <w:rPr>
          <w:rFonts w:ascii="Simplified Arabic" w:hAnsi="Simplified Arabic" w:cs="Simplified Arabic" w:hint="cs"/>
          <w:sz w:val="28"/>
          <w:szCs w:val="28"/>
          <w:rtl/>
          <w:lang w:bidi="ar-EG"/>
        </w:rPr>
        <w:t>:</w:t>
      </w:r>
      <w:r w:rsidRPr="005E6DFF">
        <w:rPr>
          <w:rtl/>
        </w:rPr>
        <w:t xml:space="preserve"> </w:t>
      </w:r>
      <w:r w:rsidR="00F178E3" w:rsidRPr="00F178E3">
        <w:rPr>
          <w:rFonts w:ascii="Simplified Arabic" w:hAnsi="Simplified Arabic" w:cs="Simplified Arabic"/>
          <w:sz w:val="28"/>
          <w:szCs w:val="28"/>
          <w:rtl/>
        </w:rPr>
        <w:t>ستقتصر عينة الدراسة على العاملين في الإدارات ذات الصلة بالذكاء الاصطناعي وسلسلة القيمة التشغيلية في المؤسسات الحكومية الكبرى، مثل إدارات التحول الرقمي، الجودة، العمليات، تقنية المعلومات، وأنظمة البيانات</w:t>
      </w:r>
      <w:r w:rsidRPr="005E6DFF">
        <w:rPr>
          <w:rFonts w:ascii="Simplified Arabic" w:hAnsi="Simplified Arabic" w:cs="Simplified Arabic"/>
          <w:sz w:val="28"/>
          <w:szCs w:val="28"/>
          <w:lang w:bidi="ar-EG"/>
        </w:rPr>
        <w:t>.</w:t>
      </w:r>
    </w:p>
    <w:p w14:paraId="0D2A3896"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bookmarkStart w:id="14" w:name="_Toc202053531"/>
    </w:p>
    <w:p w14:paraId="7C69C721"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58EDC473"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041D34D7"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3CB68CA5" w14:textId="61D6D3FE" w:rsidR="00C47BC4" w:rsidRDefault="00C47BC4">
      <w:pPr>
        <w:bidi w:val="0"/>
        <w:rPr>
          <w:rFonts w:ascii="Simplified Arabic" w:eastAsia="Times New Roman" w:hAnsi="Simplified Arabic" w:cs="Simplified Arabic"/>
          <w:color w:val="EE0000"/>
          <w:kern w:val="0"/>
          <w:sz w:val="28"/>
          <w:szCs w:val="28"/>
          <w14:ligatures w14:val="none"/>
        </w:rPr>
      </w:pPr>
      <w:r>
        <w:rPr>
          <w:rFonts w:ascii="Simplified Arabic" w:eastAsia="Times New Roman" w:hAnsi="Simplified Arabic" w:cs="Simplified Arabic"/>
          <w:color w:val="EE0000"/>
          <w:kern w:val="0"/>
          <w:sz w:val="28"/>
          <w:szCs w:val="28"/>
          <w:rtl/>
          <w14:ligatures w14:val="none"/>
        </w:rPr>
        <w:br w:type="page"/>
      </w:r>
    </w:p>
    <w:p w14:paraId="6530AE79" w14:textId="7ACF9F84" w:rsidR="00B30CCE" w:rsidRPr="00B30CCE" w:rsidRDefault="00C47BC4" w:rsidP="00D61485">
      <w:pPr>
        <w:spacing w:before="100" w:beforeAutospacing="1" w:after="100" w:afterAutospacing="1" w:line="276" w:lineRule="auto"/>
        <w:jc w:val="center"/>
        <w:outlineLvl w:val="0"/>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hint="cs"/>
          <w:b/>
          <w:bCs/>
          <w:kern w:val="36"/>
          <w:sz w:val="28"/>
          <w:szCs w:val="28"/>
          <w:rtl/>
          <w14:ligatures w14:val="none"/>
        </w:rPr>
        <w:lastRenderedPageBreak/>
        <w:t xml:space="preserve">الفصل الثانى : </w:t>
      </w:r>
      <w:r w:rsidR="00B30CCE" w:rsidRPr="00B30CCE">
        <w:rPr>
          <w:rFonts w:ascii="Simplified Arabic" w:eastAsia="Times New Roman" w:hAnsi="Simplified Arabic" w:cs="Simplified Arabic" w:hint="cs"/>
          <w:b/>
          <w:bCs/>
          <w:kern w:val="36"/>
          <w:sz w:val="28"/>
          <w:szCs w:val="28"/>
          <w:rtl/>
          <w14:ligatures w14:val="none"/>
        </w:rPr>
        <w:t xml:space="preserve">الإطار النظري </w:t>
      </w:r>
      <w:r>
        <w:rPr>
          <w:rFonts w:ascii="Simplified Arabic" w:eastAsia="Times New Roman" w:hAnsi="Simplified Arabic" w:cs="Simplified Arabic" w:hint="cs"/>
          <w:b/>
          <w:bCs/>
          <w:kern w:val="36"/>
          <w:sz w:val="28"/>
          <w:szCs w:val="28"/>
          <w:rtl/>
          <w14:ligatures w14:val="none"/>
        </w:rPr>
        <w:t xml:space="preserve">والدراسات السابقة </w:t>
      </w:r>
    </w:p>
    <w:p w14:paraId="17A24BF3" w14:textId="77777777" w:rsidR="00B30CCE" w:rsidRPr="00B30CCE" w:rsidRDefault="00B30CCE" w:rsidP="00D61485">
      <w:pPr>
        <w:spacing w:before="100" w:beforeAutospacing="1" w:after="100" w:afterAutospacing="1" w:line="276" w:lineRule="auto"/>
        <w:jc w:val="center"/>
        <w:outlineLvl w:val="1"/>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المبحث الأول: تقنيات الذكاء الاصطناعي</w:t>
      </w:r>
    </w:p>
    <w:p w14:paraId="484863A5"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تمهيد</w:t>
      </w:r>
    </w:p>
    <w:p w14:paraId="1C239DE4" w14:textId="598F48BB"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أفرزت التحولات التقنية المتسارعة التي يشهدها العالم المعاصر واقعاً مؤسسياً جديداً تتشابك فيه المعطيات الرقمية مع البنى التنظيمية التقليدية، ويقف الذكاء الاصطناعي في قلب هذا التحول باعتباره منظومة تقنية شاملة تعيد تعريف الكيفية التي تُدار بها المؤسسات وتُصنع فيها القرارات وتُنفذ من خلالها العمليات</w:t>
      </w:r>
      <w:r w:rsidR="00AF0FC2">
        <w:rPr>
          <w:rFonts w:ascii="Simplified Arabic" w:eastAsia="Times New Roman" w:hAnsi="Simplified Arabic" w:cs="Simplified Arabic" w:hint="cs"/>
          <w:kern w:val="0"/>
          <w:sz w:val="28"/>
          <w:szCs w:val="28"/>
          <w:rtl/>
          <w14:ligatures w14:val="none"/>
        </w:rPr>
        <w:t>،</w:t>
      </w:r>
      <w:r w:rsidRPr="00B30CCE">
        <w:rPr>
          <w:rFonts w:ascii="Simplified Arabic" w:eastAsia="Times New Roman" w:hAnsi="Simplified Arabic" w:cs="Simplified Arabic" w:hint="cs"/>
          <w:kern w:val="0"/>
          <w:sz w:val="28"/>
          <w:szCs w:val="28"/>
          <w:rtl/>
          <w14:ligatures w14:val="none"/>
        </w:rPr>
        <w:t xml:space="preserve"> ولم يعد الذكاء الاصطناعي حكراً على قطاعات بعينها أو مقتصراً على المؤسسات التجارية الكبرى، بل امتد أثره ليشمل المؤسسات الحكومية التي تواجه ضغوطاً متزايدة لتحسين كفاءة خدماتها وترشيد مواردها والاستجابة لتوقعات المستفيدين المتصاعدة. وفي المملكة العربية السعودية، يكتسب هذا الموضوع أهمية استثنائية في ظل رؤية </w:t>
      </w:r>
      <w:r w:rsidRPr="00B30CCE">
        <w:rPr>
          <w:rFonts w:ascii="Simplified Arabic" w:eastAsia="Times New Roman" w:hAnsi="Simplified Arabic" w:cs="Simplified Arabic" w:hint="cs"/>
          <w:kern w:val="0"/>
          <w:sz w:val="28"/>
          <w:szCs w:val="28"/>
          <w14:ligatures w14:val="none"/>
        </w:rPr>
        <w:t xml:space="preserve">2030 </w:t>
      </w:r>
      <w:r w:rsidRPr="00B30CCE">
        <w:rPr>
          <w:rFonts w:ascii="Simplified Arabic" w:eastAsia="Times New Roman" w:hAnsi="Simplified Arabic" w:cs="Simplified Arabic" w:hint="cs"/>
          <w:kern w:val="0"/>
          <w:sz w:val="28"/>
          <w:szCs w:val="28"/>
          <w:rtl/>
          <w14:ligatures w14:val="none"/>
        </w:rPr>
        <w:t>التي وضعت البيانات والذكاء الاصطناعي في صدارة أولويات التحول المؤسسي، حيث أُنشئت الهيئة السعودية للبيانات والذكاء الاصطناعي (سدايا) لتقود هذا التوجه وتضمن تبنّي المؤسسات الحكومية الكبرى لهذه التقنيات بما يحقق الأهداف الوطنية الاستراتيجية</w:t>
      </w:r>
      <w:r w:rsidRPr="00B30CCE">
        <w:rPr>
          <w:rFonts w:ascii="Simplified Arabic" w:eastAsia="Times New Roman" w:hAnsi="Simplified Arabic" w:cs="Simplified Arabic" w:hint="cs"/>
          <w:kern w:val="0"/>
          <w:sz w:val="28"/>
          <w:szCs w:val="28"/>
          <w14:ligatures w14:val="none"/>
        </w:rPr>
        <w:t>.</w:t>
      </w:r>
    </w:p>
    <w:p w14:paraId="1D6CEB5A"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ينطلق هذا المبحث من عرض مفهوم الذكاء الاصطناعي وتعريفاته المتعددة في الأدبيات الإدارية والتقنية، ثم يستعرض أهمية هذه التقنيات في السياق المؤسسي المعاصر، وأهدافها الجوهرية، وأنواعها ومستوياتها المختلفة، وخصائصها الجوهرية التي تميزها عن الأدوات التقنية التقليدية، ثم يتعمق في عرض أبعاد الذكاء الاصطناعي الأربعة التي تتبناها الدراسة الحالية وهي: جمع البيانات ومعالجتها، والنماذج التنبؤية، والأتمتة الذكية، وأنظمة دعم القرار. ويُختتم المبحث باستعراض استراتيجيات تطبيق الذكاء الاصطناعي في المؤسسات الحكومية</w:t>
      </w:r>
      <w:r w:rsidRPr="00B30CCE">
        <w:rPr>
          <w:rFonts w:ascii="Simplified Arabic" w:eastAsia="Times New Roman" w:hAnsi="Simplified Arabic" w:cs="Simplified Arabic" w:hint="cs"/>
          <w:kern w:val="0"/>
          <w:sz w:val="28"/>
          <w:szCs w:val="28"/>
          <w14:ligatures w14:val="none"/>
        </w:rPr>
        <w:t>.</w:t>
      </w:r>
    </w:p>
    <w:p w14:paraId="33271537"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أولاً: مفهوم الذكاء الاصطناعي</w:t>
      </w:r>
    </w:p>
    <w:p w14:paraId="7D659B25" w14:textId="5B240FD8"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يُعدّ مفهوم الذكاء الاصطناعي من أكثر المفاهيم التي استقطبت اهتمام الباحثين في حقول معرفية متعددة، وقد تباينت التعريفات المقدمة له تبعاً للمنظور العلمي الذي ينطلق منه كل باحث، سواء أكان منظوراً تقنياً بحتاً يركز على الخوارزميات وآليات المعالجة، أم منظوراً إدارياً يهتم بالتوظيف المؤسسي لهذه التقنيات وأثرها في الأداء التنظيمي</w:t>
      </w:r>
      <w:r w:rsidR="00AF0FC2">
        <w:rPr>
          <w:rFonts w:ascii="Simplified Arabic" w:eastAsia="Times New Roman" w:hAnsi="Simplified Arabic" w:cs="Simplified Arabic" w:hint="cs"/>
          <w:kern w:val="0"/>
          <w:sz w:val="28"/>
          <w:szCs w:val="28"/>
          <w:rtl/>
          <w14:ligatures w14:val="none"/>
        </w:rPr>
        <w:t>،</w:t>
      </w:r>
      <w:r w:rsidRPr="00B30CCE">
        <w:rPr>
          <w:rFonts w:ascii="Simplified Arabic" w:eastAsia="Times New Roman" w:hAnsi="Simplified Arabic" w:cs="Simplified Arabic" w:hint="cs"/>
          <w:kern w:val="0"/>
          <w:sz w:val="28"/>
          <w:szCs w:val="28"/>
          <w:rtl/>
          <w14:ligatures w14:val="none"/>
        </w:rPr>
        <w:t xml:space="preserve"> وقد أسهم هذا التعدد في إثراء الحقل المعرفي للذكاء الاصطناعي، غير أنه </w:t>
      </w:r>
      <w:r w:rsidRPr="00B30CCE">
        <w:rPr>
          <w:rFonts w:ascii="Simplified Arabic" w:eastAsia="Times New Roman" w:hAnsi="Simplified Arabic" w:cs="Simplified Arabic" w:hint="cs"/>
          <w:kern w:val="0"/>
          <w:sz w:val="28"/>
          <w:szCs w:val="28"/>
          <w:rtl/>
          <w14:ligatures w14:val="none"/>
        </w:rPr>
        <w:lastRenderedPageBreak/>
        <w:t>استوجب في الوقت ذاته جهداً تحليلياً لاستخلاص العناصر المشتركة التي تشكّل جوهر المفهوم وتميزه عن غيره من المفاهيم التقنية المجاورة</w:t>
      </w:r>
      <w:r w:rsidRPr="00B30CCE">
        <w:rPr>
          <w:rFonts w:ascii="Simplified Arabic" w:eastAsia="Times New Roman" w:hAnsi="Simplified Arabic" w:cs="Simplified Arabic" w:hint="cs"/>
          <w:kern w:val="0"/>
          <w:sz w:val="28"/>
          <w:szCs w:val="28"/>
          <w14:ligatures w14:val="none"/>
        </w:rPr>
        <w:t>.</w:t>
      </w:r>
    </w:p>
    <w:p w14:paraId="3DFDD52D" w14:textId="1180AB76"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فقد عرّف</w:t>
      </w:r>
      <w:r w:rsidRPr="00B30CCE">
        <w:rPr>
          <w:rFonts w:ascii="Simplified Arabic" w:eastAsia="Times New Roman" w:hAnsi="Simplified Arabic" w:cs="Simplified Arabic" w:hint="cs"/>
          <w:kern w:val="0"/>
          <w:sz w:val="28"/>
          <w:szCs w:val="28"/>
          <w14:ligatures w14:val="none"/>
        </w:rPr>
        <w:t xml:space="preserve"> (Nathany, 2022) </w:t>
      </w:r>
      <w:r w:rsidRPr="00B30CCE">
        <w:rPr>
          <w:rFonts w:ascii="Simplified Arabic" w:eastAsia="Times New Roman" w:hAnsi="Simplified Arabic" w:cs="Simplified Arabic" w:hint="cs"/>
          <w:kern w:val="0"/>
          <w:sz w:val="28"/>
          <w:szCs w:val="28"/>
          <w:rtl/>
          <w14:ligatures w14:val="none"/>
        </w:rPr>
        <w:t xml:space="preserve">الذكاء الاصطناعي بأنه "مجموعة متكاملة من التطبيقات والأنظمة الحاسوبية التي تمتلك القدرة على محاكاة العمليات الإدراكية البشرية، بما يشمل التعلم من البيانات والتعرف على الأنماط واستخلاص المعاني من المعلومات غير المهيكلة وتقديم توصيات مبنية على تحليلات عميقة". </w:t>
      </w:r>
    </w:p>
    <w:p w14:paraId="4DE7E734" w14:textId="203BEC8D" w:rsidR="00B30CCE" w:rsidRPr="00B30CCE"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قدّم</w:t>
      </w:r>
      <w:r w:rsidR="00B30CCE" w:rsidRPr="00B30CCE">
        <w:rPr>
          <w:rFonts w:ascii="Simplified Arabic" w:eastAsia="Times New Roman" w:hAnsi="Simplified Arabic" w:cs="Simplified Arabic" w:hint="cs"/>
          <w:kern w:val="0"/>
          <w:sz w:val="28"/>
          <w:szCs w:val="28"/>
          <w14:ligatures w14:val="none"/>
        </w:rPr>
        <w:t xml:space="preserve"> (Yusuf et al., 2025) </w:t>
      </w:r>
      <w:r w:rsidR="00B30CCE" w:rsidRPr="00B30CCE">
        <w:rPr>
          <w:rFonts w:ascii="Simplified Arabic" w:eastAsia="Times New Roman" w:hAnsi="Simplified Arabic" w:cs="Simplified Arabic" w:hint="cs"/>
          <w:kern w:val="0"/>
          <w:sz w:val="28"/>
          <w:szCs w:val="28"/>
          <w:rtl/>
          <w14:ligatures w14:val="none"/>
        </w:rPr>
        <w:t xml:space="preserve">تعريفاً يصف الذكاء الاصطناعي بأنه </w:t>
      </w:r>
      <w:r w:rsidR="00B30CCE" w:rsidRPr="00B30CCE">
        <w:rPr>
          <w:rFonts w:ascii="Simplified Arabic" w:eastAsia="Times New Roman" w:hAnsi="Simplified Arabic" w:cs="Simplified Arabic" w:hint="cs"/>
          <w:kern w:val="0"/>
          <w:sz w:val="28"/>
          <w:szCs w:val="28"/>
          <w14:ligatures w14:val="none"/>
        </w:rPr>
        <w:t>"</w:t>
      </w:r>
      <w:r w:rsidR="00B30CCE" w:rsidRPr="00B30CCE">
        <w:rPr>
          <w:rFonts w:ascii="Simplified Arabic" w:eastAsia="Times New Roman" w:hAnsi="Simplified Arabic" w:cs="Simplified Arabic" w:hint="cs"/>
          <w:kern w:val="0"/>
          <w:sz w:val="28"/>
          <w:szCs w:val="28"/>
          <w:rtl/>
          <w14:ligatures w14:val="none"/>
        </w:rPr>
        <w:t xml:space="preserve">منظومة تقنية قائمة على خوارزميات التعلم الآلي والتعلم العميق ومعالجة اللغة الطبيعية، تُمكّن المؤسسات من أتمتة العمليات التشغيلية وتحليل البيانات الضخمة والتنبؤ بالطلب وتحسين تدفق الموارد عبر مراحل سلسلة الإمداد". </w:t>
      </w:r>
    </w:p>
    <w:p w14:paraId="549D9726" w14:textId="1EC716F5"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أما</w:t>
      </w:r>
      <w:r w:rsidRPr="00B30CCE">
        <w:rPr>
          <w:rFonts w:ascii="Simplified Arabic" w:eastAsia="Times New Roman" w:hAnsi="Simplified Arabic" w:cs="Simplified Arabic" w:hint="cs"/>
          <w:kern w:val="0"/>
          <w:sz w:val="28"/>
          <w:szCs w:val="28"/>
          <w14:ligatures w14:val="none"/>
        </w:rPr>
        <w:t xml:space="preserve"> (Pokamestov &amp; Nikitin, 2024) </w:t>
      </w:r>
      <w:r w:rsidRPr="00B30CCE">
        <w:rPr>
          <w:rFonts w:ascii="Simplified Arabic" w:eastAsia="Times New Roman" w:hAnsi="Simplified Arabic" w:cs="Simplified Arabic" w:hint="cs"/>
          <w:kern w:val="0"/>
          <w:sz w:val="28"/>
          <w:szCs w:val="28"/>
          <w:rtl/>
          <w14:ligatures w14:val="none"/>
        </w:rPr>
        <w:t xml:space="preserve">عرّفاه بأنه "مجموعة من التقنيات الحديثة التي تمثل أداة استراتيجية لتحويل سلاسل القيمة داخل المؤسسات، من خلال إعادة هندسة العمليات وتعزيز كفاءة اتخاذ القرار وتحسين الأداء التشغيلي عبر توظيف خوارزميات ذكية قادرة على التعلم والتكيف المستمر". </w:t>
      </w:r>
    </w:p>
    <w:p w14:paraId="3CBC5DCD" w14:textId="50B1F4B4" w:rsidR="00B30CCE" w:rsidRPr="00B30CCE"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عرّف</w:t>
      </w:r>
      <w:r w:rsidR="00B30CCE" w:rsidRPr="00B30CCE">
        <w:rPr>
          <w:rFonts w:ascii="Simplified Arabic" w:eastAsia="Times New Roman" w:hAnsi="Simplified Arabic" w:cs="Simplified Arabic" w:hint="cs"/>
          <w:kern w:val="0"/>
          <w:sz w:val="28"/>
          <w:szCs w:val="28"/>
          <w14:ligatures w14:val="none"/>
        </w:rPr>
        <w:t xml:space="preserve"> (Faisal, 2025) </w:t>
      </w:r>
      <w:r w:rsidR="00B30CCE" w:rsidRPr="00B30CCE">
        <w:rPr>
          <w:rFonts w:ascii="Simplified Arabic" w:eastAsia="Times New Roman" w:hAnsi="Simplified Arabic" w:cs="Simplified Arabic" w:hint="cs"/>
          <w:kern w:val="0"/>
          <w:sz w:val="28"/>
          <w:szCs w:val="28"/>
          <w:rtl/>
          <w14:ligatures w14:val="none"/>
        </w:rPr>
        <w:t xml:space="preserve">الذكاء الاصطناعي بأنه "مجموعة من الأدوات والتطبيقات التحليلية المتقدمة التي تعتمد على خوارزميات التعلم الآلي والشبكات العصبية لتمكين المؤسسات من تعزيز كفاءة عملياتها وإدارة المخاطر بصورة استباقية من خلال التحليل الآني للبيانات واكتشاف الأنماط المخفية". </w:t>
      </w:r>
    </w:p>
    <w:p w14:paraId="216768E0" w14:textId="56057B33"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كما عرّف</w:t>
      </w:r>
      <w:r w:rsidRPr="00B30CCE">
        <w:rPr>
          <w:rFonts w:ascii="Simplified Arabic" w:eastAsia="Times New Roman" w:hAnsi="Simplified Arabic" w:cs="Simplified Arabic" w:hint="cs"/>
          <w:kern w:val="0"/>
          <w:sz w:val="28"/>
          <w:szCs w:val="28"/>
          <w14:ligatures w14:val="none"/>
        </w:rPr>
        <w:t xml:space="preserve"> (Thenmozhi &amp; Krisknakumari, 2024) </w:t>
      </w:r>
      <w:r w:rsidRPr="00B30CCE">
        <w:rPr>
          <w:rFonts w:ascii="Simplified Arabic" w:eastAsia="Times New Roman" w:hAnsi="Simplified Arabic" w:cs="Simplified Arabic" w:hint="cs"/>
          <w:kern w:val="0"/>
          <w:sz w:val="28"/>
          <w:szCs w:val="28"/>
          <w:rtl/>
          <w14:ligatures w14:val="none"/>
        </w:rPr>
        <w:t xml:space="preserve">الذكاء الاصطناعي بأنه "مجال تقني متعدد التخصصات يشمل التعلم الآلي والرؤية الحاسوبية ومعالجة اللغة الطبيعية والروبوتات الذكية، ويهدف إلى تمكين الأنظمة الحاسوبية من أداء مهام تتطلب ذكاءً بشرياً، مع التركيز على تحسين الكفاءة التشغيلية في سلاسل الإمداد والعمليات اللوجستية". </w:t>
      </w:r>
    </w:p>
    <w:p w14:paraId="172F2654" w14:textId="742E7C32"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عرّف (حسن وآخرون، 2024) الذكاء الاصطناعي بأنه "فرع من فروع علوم الحاسب الآلي يُعنى بتصميم أنظمة ذكية قادرة على أداء مهام تتطلب عادةً ذكاءً بشرياً، كالتعلم والاستنتاج والتخطيط وحل المشكلات، وذلك بهدف خدمة أهداف التنمية المستدامة وتحسين نوعية الحياة"، </w:t>
      </w: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عرّف (الصفار، 2024) الذكاء الاصطناعي بأنه "قدرة الأنظمة التقنية على تحليل البيانات الضخمة واستخلاص أنماط ذات دلالة </w:t>
      </w:r>
      <w:r w:rsidR="00B30CCE" w:rsidRPr="00B30CCE">
        <w:rPr>
          <w:rFonts w:ascii="Simplified Arabic" w:eastAsia="Times New Roman" w:hAnsi="Simplified Arabic" w:cs="Simplified Arabic" w:hint="cs"/>
          <w:kern w:val="0"/>
          <w:sz w:val="28"/>
          <w:szCs w:val="28"/>
          <w:rtl/>
          <w14:ligatures w14:val="none"/>
        </w:rPr>
        <w:lastRenderedPageBreak/>
        <w:t>منها، واستخدام هذه الأنماط في تحسين جودة الخدمات المقدمة من خلال التخصيص والتنبؤ والاستجابة الفورية</w:t>
      </w:r>
      <w:r w:rsidR="00B30CCE" w:rsidRPr="00B30CCE">
        <w:rPr>
          <w:rFonts w:ascii="Simplified Arabic" w:eastAsia="Times New Roman" w:hAnsi="Simplified Arabic" w:cs="Simplified Arabic" w:hint="cs"/>
          <w:kern w:val="0"/>
          <w:sz w:val="28"/>
          <w:szCs w:val="28"/>
          <w14:ligatures w14:val="none"/>
        </w:rPr>
        <w:t>".</w:t>
      </w:r>
    </w:p>
    <w:p w14:paraId="06DE2CE6" w14:textId="5D99E6A4"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فيما أكد (عبدالمنعم، 2023) بأنه "منظومة تقنية ذكية تتكامل مع الهياكل التنظيمية والموارد البشرية لتعزيز الرشاقة الاستراتيجية للمؤسسات، من خلال تسريع عمليات التحليل واتخاذ القرار والتكيف مع المتغيرات البيئية بمرونة وسرعة عالية"</w:t>
      </w:r>
      <w:r w:rsidR="00AF0FC2">
        <w:rPr>
          <w:rFonts w:ascii="Simplified Arabic" w:eastAsia="Times New Roman" w:hAnsi="Simplified Arabic" w:cs="Simplified Arabic" w:hint="cs"/>
          <w:kern w:val="0"/>
          <w:sz w:val="28"/>
          <w:szCs w:val="28"/>
          <w:rtl/>
          <w14:ligatures w14:val="none"/>
        </w:rPr>
        <w:t xml:space="preserve">، </w:t>
      </w:r>
      <w:r w:rsidRPr="00B30CCE">
        <w:rPr>
          <w:rFonts w:ascii="Simplified Arabic" w:eastAsia="Times New Roman" w:hAnsi="Simplified Arabic" w:cs="Simplified Arabic" w:hint="cs"/>
          <w:kern w:val="0"/>
          <w:sz w:val="28"/>
          <w:szCs w:val="28"/>
          <w:rtl/>
          <w14:ligatures w14:val="none"/>
        </w:rPr>
        <w:t>أما (خفاجي وإبراهيم، 2023) فقد عرّفاه بأنه "مجموعة من التطبيقات الذكية التي تُوظَّف لتحقيق التميز المؤسسي من خلال أتمتة العمليات الروتينية وتحرير الطاقات البشرية للتركيز على المهام الإبداعية والاستراتيجية ذات القيمة المضافة العالية</w:t>
      </w:r>
      <w:r w:rsidRPr="00B30CCE">
        <w:rPr>
          <w:rFonts w:ascii="Simplified Arabic" w:eastAsia="Times New Roman" w:hAnsi="Simplified Arabic" w:cs="Simplified Arabic" w:hint="cs"/>
          <w:kern w:val="0"/>
          <w:sz w:val="28"/>
          <w:szCs w:val="28"/>
          <w14:ligatures w14:val="none"/>
        </w:rPr>
        <w:t>".</w:t>
      </w:r>
    </w:p>
    <w:p w14:paraId="3FEB227D" w14:textId="77777777" w:rsidR="00AF0FC2"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B30CCE">
        <w:rPr>
          <w:rFonts w:ascii="Simplified Arabic" w:eastAsia="Times New Roman" w:hAnsi="Simplified Arabic" w:cs="Simplified Arabic" w:hint="cs"/>
          <w:kern w:val="0"/>
          <w:sz w:val="28"/>
          <w:szCs w:val="28"/>
          <w:rtl/>
          <w14:ligatures w14:val="none"/>
        </w:rPr>
        <w:t>وفي ضوء استعراض هذه التعريفات المتعددة، يمكن استخلاص مجموعة من العناصر المشتركة التي تشكّل جوهر مفهوم الذكاء الاصطناعي، وتتمثل في: القدرة على التعلم من البيانات والتكيف مع المتغيرات، ومحاكاة العمليات الإدراكية البشرية، والتوجه نحو أتمتة المهام وتحسين الكفاءة التشغيلية، والقدرة على التنبؤ واستشراف المستقبل، فضلاً عن الطبيعة التكاملية متعددة التخصصات.</w:t>
      </w:r>
    </w:p>
    <w:p w14:paraId="146D38DE" w14:textId="48CA59ED"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w:t>
      </w:r>
      <w:r w:rsidR="00B30CCE" w:rsidRPr="00B30CCE">
        <w:rPr>
          <w:rFonts w:ascii="Simplified Arabic" w:eastAsia="Times New Roman" w:hAnsi="Simplified Arabic" w:cs="Simplified Arabic" w:hint="cs"/>
          <w:b/>
          <w:bCs/>
          <w:kern w:val="0"/>
          <w:sz w:val="28"/>
          <w:szCs w:val="28"/>
          <w:rtl/>
          <w14:ligatures w14:val="none"/>
        </w:rPr>
        <w:t>تُعرّف الباحثة الذكاء الاصطناعي إجرائياً</w:t>
      </w:r>
      <w:r w:rsidR="00B30CCE" w:rsidRPr="00B30CCE">
        <w:rPr>
          <w:rFonts w:ascii="Simplified Arabic" w:eastAsia="Times New Roman" w:hAnsi="Simplified Arabic" w:cs="Simplified Arabic" w:hint="cs"/>
          <w:kern w:val="0"/>
          <w:sz w:val="28"/>
          <w:szCs w:val="28"/>
          <w:rtl/>
          <w14:ligatures w14:val="none"/>
        </w:rPr>
        <w:t xml:space="preserve"> بأنه: منظومة متكاملة من التقنيات والتطبيقات الذكية القائمة على خوارزميات التعلم الآلي والتحليلات المتقدمة، تُوظَّف في المؤسسات الحكومية الكبرى بالمملكة العربية السعودية لجمع البيانات ومعالجتها، وبناء نماذج تنبؤية، وأتمتة العمليات التشغيلية، ودعم عملية اتخاذ القرار، بما يسهم في تحسين سلسلة القيمة التشغيلية وتعزيز كفاءة الأداء المؤسسي تحقيقاً لمستهدفات رؤية 2030</w:t>
      </w:r>
      <w:r w:rsidR="00B30CCE" w:rsidRPr="00B30CCE">
        <w:rPr>
          <w:rFonts w:ascii="Simplified Arabic" w:eastAsia="Times New Roman" w:hAnsi="Simplified Arabic" w:cs="Simplified Arabic" w:hint="cs"/>
          <w:kern w:val="0"/>
          <w:sz w:val="28"/>
          <w:szCs w:val="28"/>
          <w14:ligatures w14:val="none"/>
        </w:rPr>
        <w:t>.</w:t>
      </w:r>
    </w:p>
    <w:p w14:paraId="41C78C22"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ثانياً: أهمية تقنيات الذكاء الاصطناعي في السياق المؤسسي</w:t>
      </w:r>
    </w:p>
    <w:p w14:paraId="486641A9" w14:textId="77777777" w:rsidR="00AF0FC2"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B30CCE">
        <w:rPr>
          <w:rFonts w:ascii="Simplified Arabic" w:eastAsia="Times New Roman" w:hAnsi="Simplified Arabic" w:cs="Simplified Arabic" w:hint="cs"/>
          <w:kern w:val="0"/>
          <w:sz w:val="28"/>
          <w:szCs w:val="28"/>
          <w:rtl/>
          <w14:ligatures w14:val="none"/>
        </w:rPr>
        <w:t>تتزايد أهمية تقنيات الذكاء الاصطناعي في البيئة المؤسسية المعاصرة بصورة مطردة، وذلك في ظل تحولات جوهرية فرضتها الثورة الصناعية الرابعة وما رافقها من تضخم هائل في حجم البيانات المتولدة عن الأنشطة المؤسسية، وتعقّد متنامٍ في شبكات العلاقات بين الأطراف ذات المصلحة، وضغوط متصاعدة لتقديم خدمات أفضل بتكلفة أقل وفي وقت أسرع</w:t>
      </w:r>
      <w:r w:rsidR="00AF0FC2">
        <w:rPr>
          <w:rFonts w:ascii="Simplified Arabic" w:eastAsia="Times New Roman" w:hAnsi="Simplified Arabic" w:cs="Simplified Arabic" w:hint="cs"/>
          <w:kern w:val="0"/>
          <w:sz w:val="28"/>
          <w:szCs w:val="28"/>
          <w:rtl/>
          <w14:ligatures w14:val="none"/>
        </w:rPr>
        <w:t xml:space="preserve">، </w:t>
      </w:r>
      <w:r w:rsidRPr="00B30CCE">
        <w:rPr>
          <w:rFonts w:ascii="Simplified Arabic" w:eastAsia="Times New Roman" w:hAnsi="Simplified Arabic" w:cs="Simplified Arabic" w:hint="cs"/>
          <w:kern w:val="0"/>
          <w:sz w:val="28"/>
          <w:szCs w:val="28"/>
          <w:rtl/>
          <w14:ligatures w14:val="none"/>
        </w:rPr>
        <w:t xml:space="preserve">ولم تعد هذه التقنيات ترفاً تقنياً تتباهى به المؤسسات، بل باتت ضرورة حتمية تتوقف عليها قدرتها على البقاء والمنافسة والاستجابة لتوقعات بيئة شديدة التقلب. </w:t>
      </w:r>
    </w:p>
    <w:p w14:paraId="1F57CF04" w14:textId="339DD0F6"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lastRenderedPageBreak/>
        <w:t>وتبرز هذه الأهمية بوضوح أكبر في المؤسسات الحكومية الكبرى التي تتعامل مع قاعدة واسعة من المستفيدين وتدير عمليات معقدة ومتشعبة تمس حياة المواطنين بشكل مباشر، مما يجعلها في أمسّ الحاجة إلى أدوات ذكية تعينها على تحقيق التميز في أدائها وتلبية متطلبات التحول الوطني</w:t>
      </w:r>
      <w:r w:rsidRPr="00B30CCE">
        <w:rPr>
          <w:rFonts w:ascii="Simplified Arabic" w:eastAsia="Times New Roman" w:hAnsi="Simplified Arabic" w:cs="Simplified Arabic" w:hint="cs"/>
          <w:kern w:val="0"/>
          <w:sz w:val="28"/>
          <w:szCs w:val="28"/>
          <w14:ligatures w14:val="none"/>
        </w:rPr>
        <w:t>.</w:t>
      </w:r>
    </w:p>
    <w:p w14:paraId="06AD9E0E"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وفي هذا الإطار، يشير</w:t>
      </w:r>
      <w:r w:rsidRPr="00B30CCE">
        <w:rPr>
          <w:rFonts w:ascii="Simplified Arabic" w:eastAsia="Times New Roman" w:hAnsi="Simplified Arabic" w:cs="Simplified Arabic" w:hint="cs"/>
          <w:kern w:val="0"/>
          <w:sz w:val="28"/>
          <w:szCs w:val="28"/>
          <w14:ligatures w14:val="none"/>
        </w:rPr>
        <w:t xml:space="preserve"> (Helo &amp; Hao, 2022) </w:t>
      </w:r>
      <w:r w:rsidRPr="00B30CCE">
        <w:rPr>
          <w:rFonts w:ascii="Simplified Arabic" w:eastAsia="Times New Roman" w:hAnsi="Simplified Arabic" w:cs="Simplified Arabic" w:hint="cs"/>
          <w:kern w:val="0"/>
          <w:sz w:val="28"/>
          <w:szCs w:val="28"/>
          <w:rtl/>
          <w14:ligatures w14:val="none"/>
        </w:rPr>
        <w:t>إلى أن أهمية الذكاء الاصطناعي في إدارة العمليات وسلاسل الإمداد تتجلى في عدة محاور</w:t>
      </w:r>
      <w:r w:rsidRPr="00B30CCE">
        <w:rPr>
          <w:rFonts w:ascii="Simplified Arabic" w:eastAsia="Times New Roman" w:hAnsi="Simplified Arabic" w:cs="Simplified Arabic" w:hint="cs"/>
          <w:kern w:val="0"/>
          <w:sz w:val="28"/>
          <w:szCs w:val="28"/>
          <w14:ligatures w14:val="none"/>
        </w:rPr>
        <w:t>:</w:t>
      </w:r>
    </w:p>
    <w:p w14:paraId="4D952B25"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القدرة التحليلية المؤسسية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تتيح تقنيات الذكاء الاصطناعي للمؤسسات القدرة على معالجة حجم هائل من البيانات المهيكلة وغير المهيكلة في زمن قياسي، واستخلاص رؤى تحليلية معمّقة يصعب على العقل البشري الوصول إليها بالطرق التقليدية، مما يرفع جودة المعلومات المتاحة لصانعي القرار ويمنحهم أساساً موضوعياً متيناً لاتخاذ قرارات مستنيرة بدلاً من الاعتماد على الحدس والخبرة الشخصية وحدهما</w:t>
      </w:r>
      <w:r w:rsidRPr="00B30CCE">
        <w:rPr>
          <w:rFonts w:ascii="Simplified Arabic" w:eastAsia="Times New Roman" w:hAnsi="Simplified Arabic" w:cs="Simplified Arabic" w:hint="cs"/>
          <w:kern w:val="0"/>
          <w:sz w:val="28"/>
          <w:szCs w:val="28"/>
          <w14:ligatures w14:val="none"/>
        </w:rPr>
        <w:t>.</w:t>
      </w:r>
    </w:p>
    <w:p w14:paraId="6EA4FCC9"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تحقيق التكامل والتنسيق التنظيمي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تعمل أنظمة الذكاء الاصطناعي على تحسين مستوى التنسيق والتكامل بين الوحدات التنظيمية المختلفة داخل المؤسسة من خلال منصات ذكية تتيح تبادل المعلومات بشكل آني وتقلل من حالات الازدواجية والتعارض في العمليات، وتضمن أن جميع الأطراف تعمل وفق رؤية موحدة ومعلومات محدّثة</w:t>
      </w:r>
      <w:r w:rsidRPr="00B30CCE">
        <w:rPr>
          <w:rFonts w:ascii="Simplified Arabic" w:eastAsia="Times New Roman" w:hAnsi="Simplified Arabic" w:cs="Simplified Arabic" w:hint="cs"/>
          <w:kern w:val="0"/>
          <w:sz w:val="28"/>
          <w:szCs w:val="28"/>
          <w14:ligatures w14:val="none"/>
        </w:rPr>
        <w:t>.</w:t>
      </w:r>
    </w:p>
    <w:p w14:paraId="4A829CC3"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ترشيد الموارد وتقليص الهدر</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تُسهم أتمتة العمليات الروتينية المتكررة في تقليص الهدر في الموارد المادية والبشرية والزمنية، وتوجيه هذه الموارد نحو المهام ذات القيمة المضافة الأعلى التي تتطلب تفكيراً إبداعياً وحكماً بشرياً، مما يرفع الإنتاجية الكلية للمؤسسة دون الحاجة إلى زيادة مواردها</w:t>
      </w:r>
      <w:r w:rsidRPr="00B30CCE">
        <w:rPr>
          <w:rFonts w:ascii="Simplified Arabic" w:eastAsia="Times New Roman" w:hAnsi="Simplified Arabic" w:cs="Simplified Arabic" w:hint="cs"/>
          <w:kern w:val="0"/>
          <w:sz w:val="28"/>
          <w:szCs w:val="28"/>
          <w14:ligatures w14:val="none"/>
        </w:rPr>
        <w:t>.</w:t>
      </w:r>
    </w:p>
    <w:p w14:paraId="0FC4B47E"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القدرة على الاستجابة السريعة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يمنح الذكاء الاصطناعي المؤسسات القدرة على رصد التغيرات في بيئتها الخارجية والداخلية بشكل لحظي، والاستجابة لها بسرعة ومرونة تفوق ما تتيحه الأنظمة التقليدية، وهو ما يُعزز قدرتها التنافسية ويحميها من المفاجآت والأزمات</w:t>
      </w:r>
      <w:r w:rsidRPr="00B30CCE">
        <w:rPr>
          <w:rFonts w:ascii="Simplified Arabic" w:eastAsia="Times New Roman" w:hAnsi="Simplified Arabic" w:cs="Simplified Arabic" w:hint="cs"/>
          <w:kern w:val="0"/>
          <w:sz w:val="28"/>
          <w:szCs w:val="28"/>
          <w14:ligatures w14:val="none"/>
        </w:rPr>
        <w:t>.</w:t>
      </w:r>
    </w:p>
    <w:p w14:paraId="084CFC7A"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ويرى</w:t>
      </w:r>
      <w:r w:rsidRPr="00B30CCE">
        <w:rPr>
          <w:rFonts w:ascii="Simplified Arabic" w:eastAsia="Times New Roman" w:hAnsi="Simplified Arabic" w:cs="Simplified Arabic" w:hint="cs"/>
          <w:kern w:val="0"/>
          <w:sz w:val="28"/>
          <w:szCs w:val="28"/>
          <w14:ligatures w14:val="none"/>
        </w:rPr>
        <w:t xml:space="preserve"> (Fosso Wamba et al., 2022) </w:t>
      </w:r>
      <w:r w:rsidRPr="00B30CCE">
        <w:rPr>
          <w:rFonts w:ascii="Simplified Arabic" w:eastAsia="Times New Roman" w:hAnsi="Simplified Arabic" w:cs="Simplified Arabic" w:hint="cs"/>
          <w:kern w:val="0"/>
          <w:sz w:val="28"/>
          <w:szCs w:val="28"/>
          <w:rtl/>
          <w14:ligatures w14:val="none"/>
        </w:rPr>
        <w:t>أن أهمية الذكاء الاصطناعي في السياق المؤسسي تتبلور في ثلاثة أبعاد رئيسة</w:t>
      </w:r>
      <w:r w:rsidRPr="00B30CCE">
        <w:rPr>
          <w:rFonts w:ascii="Simplified Arabic" w:eastAsia="Times New Roman" w:hAnsi="Simplified Arabic" w:cs="Simplified Arabic" w:hint="cs"/>
          <w:kern w:val="0"/>
          <w:sz w:val="28"/>
          <w:szCs w:val="28"/>
          <w14:ligatures w14:val="none"/>
        </w:rPr>
        <w:t>:</w:t>
      </w:r>
    </w:p>
    <w:p w14:paraId="0C7E785D"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lastRenderedPageBreak/>
        <w:t>القيمة الاستراتيجية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يُمكّن الذكاء الاصطناعي المؤسسات من بناء قدرات تنافسية فريدة يصعب على المنافسين تقليدها، لأنها تقوم على تراكم معرفي وخوارزمي خاص بالمؤسسة ومرتبط بطبيعة بياناتها وعملياتها، مما يُشكّل حاجز دخول أمام المنافسين ويمنح المؤسسة ميزة مستدامة لا تتآكل بسهولة مع مرور الوقت</w:t>
      </w:r>
      <w:r w:rsidRPr="00B30CCE">
        <w:rPr>
          <w:rFonts w:ascii="Simplified Arabic" w:eastAsia="Times New Roman" w:hAnsi="Simplified Arabic" w:cs="Simplified Arabic" w:hint="cs"/>
          <w:kern w:val="0"/>
          <w:sz w:val="28"/>
          <w:szCs w:val="28"/>
          <w14:ligatures w14:val="none"/>
        </w:rPr>
        <w:t>.</w:t>
      </w:r>
    </w:p>
    <w:p w14:paraId="6ADC496C"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القيمة التشغيلية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يُسهم الذكاء الاصطناعي بشكل مباشر في خفض التكاليف التشغيلية وتسريع دورة العمليات وتحسين مستوى الدقة والاتساق في المخرجات، من خلال أتمتة المهام المتكررة وتقليل الاعتماد على التدخل البشري في العمليات الروتينية، مما ينعكس إيجاباً على الكفاءة التشغيلية الشاملة للمؤسسة</w:t>
      </w:r>
      <w:r w:rsidRPr="00B30CCE">
        <w:rPr>
          <w:rFonts w:ascii="Simplified Arabic" w:eastAsia="Times New Roman" w:hAnsi="Simplified Arabic" w:cs="Simplified Arabic" w:hint="cs"/>
          <w:kern w:val="0"/>
          <w:sz w:val="28"/>
          <w:szCs w:val="28"/>
          <w14:ligatures w14:val="none"/>
        </w:rPr>
        <w:t>.</w:t>
      </w:r>
    </w:p>
    <w:p w14:paraId="1FF99292"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القيمة التحويلية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يفتح الذكاء الاصطناعي آفاقاً لنماذج عمل جديدة وأساليب مبتكرة في تقديم الخدمات لم تكن ممكنة قبل ظهور هذه التقنيات، مما يُتيح للمؤسسات إعادة تعريف علاقتها بالمستفيدين وتقديم خدمات مخصصة واستباقية تتجاوز التوقعات التقليدية</w:t>
      </w:r>
      <w:r w:rsidRPr="00B30CCE">
        <w:rPr>
          <w:rFonts w:ascii="Simplified Arabic" w:eastAsia="Times New Roman" w:hAnsi="Simplified Arabic" w:cs="Simplified Arabic" w:hint="cs"/>
          <w:kern w:val="0"/>
          <w:sz w:val="28"/>
          <w:szCs w:val="28"/>
          <w14:ligatures w14:val="none"/>
        </w:rPr>
        <w:t>.</w:t>
      </w:r>
    </w:p>
    <w:p w14:paraId="4478B8E4"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كما يؤكد</w:t>
      </w:r>
      <w:r w:rsidRPr="00B30CCE">
        <w:rPr>
          <w:rFonts w:ascii="Simplified Arabic" w:eastAsia="Times New Roman" w:hAnsi="Simplified Arabic" w:cs="Simplified Arabic" w:hint="cs"/>
          <w:kern w:val="0"/>
          <w:sz w:val="28"/>
          <w:szCs w:val="28"/>
          <w14:ligatures w14:val="none"/>
        </w:rPr>
        <w:t xml:space="preserve"> (Cannas et al., 2024) </w:t>
      </w:r>
      <w:r w:rsidRPr="00B30CCE">
        <w:rPr>
          <w:rFonts w:ascii="Simplified Arabic" w:eastAsia="Times New Roman" w:hAnsi="Simplified Arabic" w:cs="Simplified Arabic" w:hint="cs"/>
          <w:kern w:val="0"/>
          <w:sz w:val="28"/>
          <w:szCs w:val="28"/>
          <w:rtl/>
          <w14:ligatures w14:val="none"/>
        </w:rPr>
        <w:t>أن أهمية الذكاء الاصطناعي تنبع من قدرته الفائقة على التعامل مع مستويات عالية من عدم اليقين والتعقيد، وذلك من خلال</w:t>
      </w:r>
      <w:r w:rsidRPr="00B30CCE">
        <w:rPr>
          <w:rFonts w:ascii="Simplified Arabic" w:eastAsia="Times New Roman" w:hAnsi="Simplified Arabic" w:cs="Simplified Arabic" w:hint="cs"/>
          <w:kern w:val="0"/>
          <w:sz w:val="28"/>
          <w:szCs w:val="28"/>
          <w14:ligatures w14:val="none"/>
        </w:rPr>
        <w:t>:</w:t>
      </w:r>
    </w:p>
    <w:p w14:paraId="6659D21A"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الاستشراف الاستباقي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تمتلك أنظمة الذكاء الاصطناعي القدرة على التنبؤ بالاضطرابات المحتملة في العمليات التشغيلية وسلسلة الإمداد قبل وقوعها، وتقديم سيناريوهات بديلة للتعامل معها، مما يحوّل المؤسسة من وضعية رد الفعل إلى وضعية الاستعداد والمبادرة</w:t>
      </w:r>
      <w:r w:rsidRPr="00B30CCE">
        <w:rPr>
          <w:rFonts w:ascii="Simplified Arabic" w:eastAsia="Times New Roman" w:hAnsi="Simplified Arabic" w:cs="Simplified Arabic" w:hint="cs"/>
          <w:kern w:val="0"/>
          <w:sz w:val="28"/>
          <w:szCs w:val="28"/>
          <w14:ligatures w14:val="none"/>
        </w:rPr>
        <w:t>.</w:t>
      </w:r>
    </w:p>
    <w:p w14:paraId="1EDE1008"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التخصيص الدقيق للخدمات</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تُمكّن هذه التقنيات المؤسسات من تحقيق مستوى عالٍ من التخصيص في خدماتها بما يتلاءم مع احتياجات كل فئة من المستفيدين وتفضيلاتها، وذلك من خلال تحليل بيانات سلوك المستفيدين واستخلاص أنماط دقيقة منها</w:t>
      </w:r>
      <w:r w:rsidRPr="00B30CCE">
        <w:rPr>
          <w:rFonts w:ascii="Simplified Arabic" w:eastAsia="Times New Roman" w:hAnsi="Simplified Arabic" w:cs="Simplified Arabic" w:hint="cs"/>
          <w:kern w:val="0"/>
          <w:sz w:val="28"/>
          <w:szCs w:val="28"/>
          <w14:ligatures w14:val="none"/>
        </w:rPr>
        <w:t>.</w:t>
      </w:r>
    </w:p>
    <w:p w14:paraId="4819BB8D"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التحسين المستمر الذاتي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تعمل أنظمة الذكاء الاصطناعي وفق حلقات تغذية راجعة آلية تتعلم من الأداء السابق وتُعدّل المسارات والخوارزميات بشكل تلقائي ومستمر، مما يعني أن أداء المؤسسة يتحسن بصورة تراكمية دون الحاجة إلى تدخل يدوي مستمر</w:t>
      </w:r>
      <w:r w:rsidRPr="00B30CCE">
        <w:rPr>
          <w:rFonts w:ascii="Simplified Arabic" w:eastAsia="Times New Roman" w:hAnsi="Simplified Arabic" w:cs="Simplified Arabic" w:hint="cs"/>
          <w:kern w:val="0"/>
          <w:sz w:val="28"/>
          <w:szCs w:val="28"/>
          <w14:ligatures w14:val="none"/>
        </w:rPr>
        <w:t>.</w:t>
      </w:r>
    </w:p>
    <w:p w14:paraId="1E3CF65A" w14:textId="79E4FA93"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يوضح (مرعي، 2024) أن أهمية تقنيات الذكاء الاصطناعي تتعاظم في هذا القطاع نظراً لعدة اعتبارات</w:t>
      </w:r>
      <w:r w:rsidR="00B30CCE" w:rsidRPr="00B30CCE">
        <w:rPr>
          <w:rFonts w:ascii="Simplified Arabic" w:eastAsia="Times New Roman" w:hAnsi="Simplified Arabic" w:cs="Simplified Arabic" w:hint="cs"/>
          <w:kern w:val="0"/>
          <w:sz w:val="28"/>
          <w:szCs w:val="28"/>
          <w14:ligatures w14:val="none"/>
        </w:rPr>
        <w:t>:</w:t>
      </w:r>
    </w:p>
    <w:p w14:paraId="23C3A447"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lastRenderedPageBreak/>
        <w:t>تقليص الفجوة بين الموارد والتوقعات</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تواجه المؤسسات الحكومية تحدياً مزمناً يتمثل في التنامي المستمر لتوقعات المستفيدين في مقابل محدودية الموارد المتاحة، ويُسهم الذكاء الاصطناعي في تقليص هذه الفجوة من خلال تعظيم الاستفادة من الموارد الحالية وتحسين إنتاجيتها</w:t>
      </w:r>
      <w:r w:rsidRPr="00B30CCE">
        <w:rPr>
          <w:rFonts w:ascii="Simplified Arabic" w:eastAsia="Times New Roman" w:hAnsi="Simplified Arabic" w:cs="Simplified Arabic" w:hint="cs"/>
          <w:kern w:val="0"/>
          <w:sz w:val="28"/>
          <w:szCs w:val="28"/>
          <w14:ligatures w14:val="none"/>
        </w:rPr>
        <w:t>.</w:t>
      </w:r>
    </w:p>
    <w:p w14:paraId="2381F982"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الشفافية والحوكمة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تُوفر أنظمة الذكاء الاصطناعي مسارات تدقيق رقمية واضحة تُمكّن من تتبع القرارات والعمليات بشكل دقيق، مما يُعزز الشفافية في العمليات الحكومية ويدعم جهود مكافحة الفساد الإداري</w:t>
      </w:r>
      <w:r w:rsidRPr="00B30CCE">
        <w:rPr>
          <w:rFonts w:ascii="Simplified Arabic" w:eastAsia="Times New Roman" w:hAnsi="Simplified Arabic" w:cs="Simplified Arabic" w:hint="cs"/>
          <w:kern w:val="0"/>
          <w:sz w:val="28"/>
          <w:szCs w:val="28"/>
          <w14:ligatures w14:val="none"/>
        </w:rPr>
        <w:t>.</w:t>
      </w:r>
    </w:p>
    <w:p w14:paraId="4C4DAF2A"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تمكين صنع القرار المبني على الأدلة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يُتيح الذكاء الاصطناعي لصانعي القرار في المؤسسات الحكومية الاستناد إلى تحليلات رقمية دقيقة وشاملة بدلاً من الاجتهادات الشخصية، مما يرفع جودة السياسات العامة والقرارات الإدارية</w:t>
      </w:r>
      <w:r w:rsidRPr="00B30CCE">
        <w:rPr>
          <w:rFonts w:ascii="Simplified Arabic" w:eastAsia="Times New Roman" w:hAnsi="Simplified Arabic" w:cs="Simplified Arabic" w:hint="cs"/>
          <w:kern w:val="0"/>
          <w:sz w:val="28"/>
          <w:szCs w:val="28"/>
          <w14:ligatures w14:val="none"/>
        </w:rPr>
        <w:t>.</w:t>
      </w:r>
    </w:p>
    <w:p w14:paraId="5B45CE46"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ويُضيف (السمان، 2024) بُعداً آخر لأهمية الذكاء الاصطناعي يتعلق بإدارة علاقات المستفيدين، حيث تتبلور هذه الأهمية في</w:t>
      </w:r>
      <w:r w:rsidRPr="00B30CCE">
        <w:rPr>
          <w:rFonts w:ascii="Simplified Arabic" w:eastAsia="Times New Roman" w:hAnsi="Simplified Arabic" w:cs="Simplified Arabic" w:hint="cs"/>
          <w:kern w:val="0"/>
          <w:sz w:val="28"/>
          <w:szCs w:val="28"/>
          <w14:ligatures w14:val="none"/>
        </w:rPr>
        <w:t>:</w:t>
      </w:r>
    </w:p>
    <w:p w14:paraId="2007427A"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الفهم المعمّق لسلوك المستفيدين</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تُتيح تقنيات الذكاء الاصطناعي للمؤسسات تحليل بيانات تفاعلات المستفيدين واستخلاص أنماط سلوكية دقيقة منها، مما يُمكّنها من فهم احتياجاتهم الحقيقية وليس فقط المُعلنة</w:t>
      </w:r>
      <w:r w:rsidRPr="00B30CCE">
        <w:rPr>
          <w:rFonts w:ascii="Simplified Arabic" w:eastAsia="Times New Roman" w:hAnsi="Simplified Arabic" w:cs="Simplified Arabic" w:hint="cs"/>
          <w:kern w:val="0"/>
          <w:sz w:val="28"/>
          <w:szCs w:val="28"/>
          <w14:ligatures w14:val="none"/>
        </w:rPr>
        <w:t>.</w:t>
      </w:r>
    </w:p>
    <w:p w14:paraId="518DFD23"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تصميم خدمات استباقية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يُمكّن هذا الفهم المعمّق المؤسسات من استباق احتياجات المستفيدين المستقبلية وتصميم خدمات تلبيها قبل أن يطلبوها، مما يرفع مستوى رضاهم بشكل جوهري</w:t>
      </w:r>
      <w:r w:rsidRPr="00B30CCE">
        <w:rPr>
          <w:rFonts w:ascii="Simplified Arabic" w:eastAsia="Times New Roman" w:hAnsi="Simplified Arabic" w:cs="Simplified Arabic" w:hint="cs"/>
          <w:kern w:val="0"/>
          <w:sz w:val="28"/>
          <w:szCs w:val="28"/>
          <w14:ligatures w14:val="none"/>
        </w:rPr>
        <w:t>.</w:t>
      </w:r>
    </w:p>
    <w:p w14:paraId="4F35181B"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الثقة المؤسسية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يُسهم تحسين جودة الخدمات وسرعة تقديمها ودقة الاستجابة لاحتياجات المستفيدين في تعزيز ثقتهم في المؤسسات الحكومية، وهو هدف محوري ضمن مستهدفات رؤية 2030 التي تسعى إلى بناء حكومة فاعلة وقريبة من المواطن</w:t>
      </w:r>
      <w:r w:rsidRPr="00B30CCE">
        <w:rPr>
          <w:rFonts w:ascii="Simplified Arabic" w:eastAsia="Times New Roman" w:hAnsi="Simplified Arabic" w:cs="Simplified Arabic" w:hint="cs"/>
          <w:kern w:val="0"/>
          <w:sz w:val="28"/>
          <w:szCs w:val="28"/>
          <w14:ligatures w14:val="none"/>
        </w:rPr>
        <w:t>.</w:t>
      </w:r>
    </w:p>
    <w:p w14:paraId="6AF7F525" w14:textId="77777777" w:rsidR="005C3640" w:rsidRPr="005C3640" w:rsidRDefault="005C3640"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ثالثاً: أهداف تطبيق تقنيات الذكاء الاصطناعي في المؤسسات</w:t>
      </w:r>
    </w:p>
    <w:p w14:paraId="458470EC" w14:textId="6DD335BC"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 xml:space="preserve">تسعى المؤسسات على اختلاف أنماطها وقطاعاتها من خلال تبني تقنيات الذكاء الاصطناعي إلى تحقيق جملة من الأهداف المتكاملة التي تتجاوز مجرد التحديث التقني لتشمل إعادة بناء القدرات المؤسسية بصورة </w:t>
      </w:r>
      <w:r w:rsidRPr="005C3640">
        <w:rPr>
          <w:rFonts w:ascii="Simplified Arabic" w:eastAsia="Times New Roman" w:hAnsi="Simplified Arabic" w:cs="Simplified Arabic" w:hint="cs"/>
          <w:kern w:val="0"/>
          <w:sz w:val="28"/>
          <w:szCs w:val="28"/>
          <w:rtl/>
          <w14:ligatures w14:val="none"/>
        </w:rPr>
        <w:lastRenderedPageBreak/>
        <w:t>جذرية. وتتفاوت هذه الأهداف تبعاً لطبيعة المؤسسة ومرحلة نضجها الرقمي والسياق التنافسي الذي تعمل فيه، غير أن استقراء الأدبيات يكشف عن تقاطعات واضحة بين الباحثين حول الغايات الجوهرية التي تدفع المؤسسات نحو تبني هذه التقنيات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وتبرز هذه الأهداف بوضوح أكبر في المؤسسات الحكومية الكبرى التي تواجه تحدياً مزدوجاً يتمثل في الحاجة إلى تقديم خدمات عالية الجودة لقاعدة واسعة من المستفيدين من جهة، وضرورة ترشيد الإنفاق العام وتعظيم الكفاءة من جهة أخرى، مما يجعل الذكاء الاصطناعي أداةً محورية لتحقيق هذا التوازن الدقيق</w:t>
      </w:r>
      <w:r w:rsidRPr="005C3640">
        <w:rPr>
          <w:rFonts w:ascii="Simplified Arabic" w:eastAsia="Times New Roman" w:hAnsi="Simplified Arabic" w:cs="Simplified Arabic" w:hint="cs"/>
          <w:kern w:val="0"/>
          <w:sz w:val="28"/>
          <w:szCs w:val="28"/>
          <w14:ligatures w14:val="none"/>
        </w:rPr>
        <w:t>.</w:t>
      </w:r>
    </w:p>
    <w:p w14:paraId="04ECD78B"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وفي هذا الإطار، يشير</w:t>
      </w:r>
      <w:r w:rsidRPr="005C3640">
        <w:rPr>
          <w:rFonts w:ascii="Simplified Arabic" w:eastAsia="Times New Roman" w:hAnsi="Simplified Arabic" w:cs="Simplified Arabic" w:hint="cs"/>
          <w:kern w:val="0"/>
          <w:sz w:val="28"/>
          <w:szCs w:val="28"/>
          <w14:ligatures w14:val="none"/>
        </w:rPr>
        <w:t xml:space="preserve"> (Ismaeil, 2024) </w:t>
      </w:r>
      <w:r w:rsidRPr="005C3640">
        <w:rPr>
          <w:rFonts w:ascii="Simplified Arabic" w:eastAsia="Times New Roman" w:hAnsi="Simplified Arabic" w:cs="Simplified Arabic" w:hint="cs"/>
          <w:kern w:val="0"/>
          <w:sz w:val="28"/>
          <w:szCs w:val="28"/>
          <w:rtl/>
          <w14:ligatures w14:val="none"/>
        </w:rPr>
        <w:t>إلى أن أهداف تطبيق الذكاء الاصطناعي في إدارة سلاسل الإمداد تتمحور حول</w:t>
      </w:r>
      <w:r w:rsidRPr="005C3640">
        <w:rPr>
          <w:rFonts w:ascii="Simplified Arabic" w:eastAsia="Times New Roman" w:hAnsi="Simplified Arabic" w:cs="Simplified Arabic" w:hint="cs"/>
          <w:kern w:val="0"/>
          <w:sz w:val="28"/>
          <w:szCs w:val="28"/>
          <w14:ligatures w14:val="none"/>
        </w:rPr>
        <w:t>:</w:t>
      </w:r>
    </w:p>
    <w:p w14:paraId="0D159FC1"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تحقيق الكفاءة التشغيلية القصوى</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حيث تُسهم تقنيات الذكاء الاصطناعي في تقليل زمن دورة العمليات وخفض معدلات الخطأ البشري وتحسين استغلال الموارد المتاحة، مما يُفضي إلى مخرجات أعلى جودةً بتكلفة أقل، وهو ما يُشكّل أولوية ملحّة للمؤسسات الحكومية التي تتعامل مع حجم كبير من المعاملات والإجراءات اليومية التي يستنزف تنفيذها يدوياً موارد بشرية ومادية كبيرة</w:t>
      </w:r>
      <w:r w:rsidRPr="005C3640">
        <w:rPr>
          <w:rFonts w:ascii="Simplified Arabic" w:eastAsia="Times New Roman" w:hAnsi="Simplified Arabic" w:cs="Simplified Arabic" w:hint="cs"/>
          <w:kern w:val="0"/>
          <w:sz w:val="28"/>
          <w:szCs w:val="28"/>
          <w14:ligatures w14:val="none"/>
        </w:rPr>
        <w:t>.</w:t>
      </w:r>
    </w:p>
    <w:p w14:paraId="119E61B1"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تعزيز المرونة والتكيف المؤسسي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إذ تُتيح أنظمة الذكاء الاصطناعي بناء قدرات مؤسسية قادرة على إعادة ضبط معاملاتها تلقائياً استجابةً للتغيرات المفاجئة في مستويات الطلب أو الاضطرابات غير المتوقعة في سلاسل التوريد والعمليات الداخلية، مما يُقلل من هشاشة المؤسسة ويمنحها القدرة على المناورة في بيئة متقلبة</w:t>
      </w:r>
      <w:r w:rsidRPr="005C3640">
        <w:rPr>
          <w:rFonts w:ascii="Simplified Arabic" w:eastAsia="Times New Roman" w:hAnsi="Simplified Arabic" w:cs="Simplified Arabic" w:hint="cs"/>
          <w:kern w:val="0"/>
          <w:sz w:val="28"/>
          <w:szCs w:val="28"/>
          <w14:ligatures w14:val="none"/>
        </w:rPr>
        <w:t>.</w:t>
      </w:r>
    </w:p>
    <w:p w14:paraId="04168E15"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تحقيق التكامل المعلوماتي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من خلال ربط مختلف حلقات سلسلة القيمة بمنصات ذكية تضمن تدفقاً سلساً وآنياً للمعلومات وتُزيل العوازل المعلوماتية التي تُعيق التنسيق بين الإدارات، وهو تحدٍّ مزمن في المؤسسات الحكومية الكبرى ذات الهياكل التنظيمية المعقدة والمتشعبة</w:t>
      </w:r>
      <w:r w:rsidRPr="005C3640">
        <w:rPr>
          <w:rFonts w:ascii="Simplified Arabic" w:eastAsia="Times New Roman" w:hAnsi="Simplified Arabic" w:cs="Simplified Arabic" w:hint="cs"/>
          <w:kern w:val="0"/>
          <w:sz w:val="28"/>
          <w:szCs w:val="28"/>
          <w14:ligatures w14:val="none"/>
        </w:rPr>
        <w:t>.</w:t>
      </w:r>
    </w:p>
    <w:p w14:paraId="705579B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ويرى</w:t>
      </w:r>
      <w:r w:rsidRPr="005C3640">
        <w:rPr>
          <w:rFonts w:ascii="Simplified Arabic" w:eastAsia="Times New Roman" w:hAnsi="Simplified Arabic" w:cs="Simplified Arabic" w:hint="cs"/>
          <w:kern w:val="0"/>
          <w:sz w:val="28"/>
          <w:szCs w:val="28"/>
          <w14:ligatures w14:val="none"/>
        </w:rPr>
        <w:t xml:space="preserve"> (Mohsen, 2023) </w:t>
      </w:r>
      <w:r w:rsidRPr="005C3640">
        <w:rPr>
          <w:rFonts w:ascii="Simplified Arabic" w:eastAsia="Times New Roman" w:hAnsi="Simplified Arabic" w:cs="Simplified Arabic" w:hint="cs"/>
          <w:kern w:val="0"/>
          <w:sz w:val="28"/>
          <w:szCs w:val="28"/>
          <w:rtl/>
          <w14:ligatures w14:val="none"/>
        </w:rPr>
        <w:t>أن أهداف الذكاء الاصطناعي من منظور إدارة العمليات تتمثل في</w:t>
      </w:r>
      <w:r w:rsidRPr="005C3640">
        <w:rPr>
          <w:rFonts w:ascii="Simplified Arabic" w:eastAsia="Times New Roman" w:hAnsi="Simplified Arabic" w:cs="Simplified Arabic" w:hint="cs"/>
          <w:kern w:val="0"/>
          <w:sz w:val="28"/>
          <w:szCs w:val="28"/>
          <w14:ligatures w14:val="none"/>
        </w:rPr>
        <w:t>:</w:t>
      </w:r>
    </w:p>
    <w:p w14:paraId="1A2C5E1E"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تحسين جودة التنبؤ</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حيث تمتلك خوارزميات الذكاء الاصطناعي القدرة على تحليل البيانات التاريخية والمتغيرات السياقية والعوامل الموسمية بمستوى من الدقة والعمق يفوق ما تُتيحه النماذج الإحصائية التقليدية، مما يُقلل من حالات الفائض أو العجز في الموارد ويُحسّن عمليات التخطيط المسبق</w:t>
      </w:r>
      <w:r w:rsidRPr="005C3640">
        <w:rPr>
          <w:rFonts w:ascii="Simplified Arabic" w:eastAsia="Times New Roman" w:hAnsi="Simplified Arabic" w:cs="Simplified Arabic" w:hint="cs"/>
          <w:kern w:val="0"/>
          <w:sz w:val="28"/>
          <w:szCs w:val="28"/>
          <w14:ligatures w14:val="none"/>
        </w:rPr>
        <w:t>.</w:t>
      </w:r>
    </w:p>
    <w:p w14:paraId="3323748C"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تطوير عمليات التخطيط والجدولة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عبر توظيف خوارزميات التحسين المتقدمة التي تتعامل مع قيود متعددة ومتشابكة في آنٍ واحد، كالتكلفة والوقت والجودة والسعة المتاحة والأولويات المتنافسة، وتُقدم حلولاً مثلى تُحقق التوازن بين هذه المعايير المتعارضة أحياناً</w:t>
      </w:r>
      <w:r w:rsidRPr="005C3640">
        <w:rPr>
          <w:rFonts w:ascii="Simplified Arabic" w:eastAsia="Times New Roman" w:hAnsi="Simplified Arabic" w:cs="Simplified Arabic" w:hint="cs"/>
          <w:kern w:val="0"/>
          <w:sz w:val="28"/>
          <w:szCs w:val="28"/>
          <w14:ligatures w14:val="none"/>
        </w:rPr>
        <w:t>.</w:t>
      </w:r>
    </w:p>
    <w:p w14:paraId="723AFBEB"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تعزيز الرقابة الآنية على العمليات</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من خلال لوحات تحكم ذكية ترصد مؤشرات الأداء التشغيلي بشكل مستمر ولحظي، وتُنبّه المسؤولين إلى الانحرافات فور حدوثها مع اقتراح إجراءات تصحيحية فورية، مما يمنع تراكم المشكلات وتحولها إلى أزمات مكلفة</w:t>
      </w:r>
      <w:r w:rsidRPr="005C3640">
        <w:rPr>
          <w:rFonts w:ascii="Simplified Arabic" w:eastAsia="Times New Roman" w:hAnsi="Simplified Arabic" w:cs="Simplified Arabic" w:hint="cs"/>
          <w:kern w:val="0"/>
          <w:sz w:val="28"/>
          <w:szCs w:val="28"/>
          <w14:ligatures w14:val="none"/>
        </w:rPr>
        <w:t>.</w:t>
      </w:r>
    </w:p>
    <w:p w14:paraId="5BDF5723"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كما يُحدد</w:t>
      </w:r>
      <w:r w:rsidRPr="005C3640">
        <w:rPr>
          <w:rFonts w:ascii="Simplified Arabic" w:eastAsia="Times New Roman" w:hAnsi="Simplified Arabic" w:cs="Simplified Arabic" w:hint="cs"/>
          <w:kern w:val="0"/>
          <w:sz w:val="28"/>
          <w:szCs w:val="28"/>
          <w14:ligatures w14:val="none"/>
        </w:rPr>
        <w:t xml:space="preserve"> (Jackson et al., 2024) </w:t>
      </w:r>
      <w:r w:rsidRPr="005C3640">
        <w:rPr>
          <w:rFonts w:ascii="Simplified Arabic" w:eastAsia="Times New Roman" w:hAnsi="Simplified Arabic" w:cs="Simplified Arabic" w:hint="cs"/>
          <w:kern w:val="0"/>
          <w:sz w:val="28"/>
          <w:szCs w:val="28"/>
          <w:rtl/>
          <w14:ligatures w14:val="none"/>
        </w:rPr>
        <w:t>أهداف الذكاء الاصطناعي ضمن ثلاثة مستويات متدرجة</w:t>
      </w:r>
      <w:r w:rsidRPr="005C3640">
        <w:rPr>
          <w:rFonts w:ascii="Simplified Arabic" w:eastAsia="Times New Roman" w:hAnsi="Simplified Arabic" w:cs="Simplified Arabic" w:hint="cs"/>
          <w:kern w:val="0"/>
          <w:sz w:val="28"/>
          <w:szCs w:val="28"/>
          <w14:ligatures w14:val="none"/>
        </w:rPr>
        <w:t>:</w:t>
      </w:r>
    </w:p>
    <w:p w14:paraId="221EC1CB"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أتمتة العمليات وتحسين المخرجات</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التشغيلية، حيث يستهدف الذكاء الاصطناعي أتمتة المهام الروتينية المتكررة التي تستهلك وقتاً وجهداً بشرياً كبيراً، مع تحسين جودة المخرجات واتساقها وخفض التكاليف التشغيلية المرتبطة بها</w:t>
      </w:r>
      <w:r w:rsidRPr="005C3640">
        <w:rPr>
          <w:rFonts w:ascii="Simplified Arabic" w:eastAsia="Times New Roman" w:hAnsi="Simplified Arabic" w:cs="Simplified Arabic" w:hint="cs"/>
          <w:kern w:val="0"/>
          <w:sz w:val="28"/>
          <w:szCs w:val="28"/>
          <w14:ligatures w14:val="none"/>
        </w:rPr>
        <w:t>.</w:t>
      </w:r>
    </w:p>
    <w:p w14:paraId="10FD47B0"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استخلاص الرؤى من البيانات الضخمة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التحليلية، حيث يسعى الذكاء الاصطناعي إلى تحويل الكميات الهائلة من البيانات المتراكمة لدى المؤسسات إلى رؤى معمّقة وقابلة للتنفيذ تدعم عملية صنع القرار الاستراتيجي وتُمكّن القيادات من الرؤية الشاملة للأداء المؤسسي</w:t>
      </w:r>
      <w:r w:rsidRPr="005C3640">
        <w:rPr>
          <w:rFonts w:ascii="Simplified Arabic" w:eastAsia="Times New Roman" w:hAnsi="Simplified Arabic" w:cs="Simplified Arabic" w:hint="cs"/>
          <w:kern w:val="0"/>
          <w:sz w:val="28"/>
          <w:szCs w:val="28"/>
          <w14:ligatures w14:val="none"/>
        </w:rPr>
        <w:t>.</w:t>
      </w:r>
    </w:p>
    <w:p w14:paraId="5FB3F497"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توليد حلول ابتكارية ونماذج عمل جديدة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الابتكارية، حيث يُوظَّف الذكاء الاصطناعي في استكشاف أساليب غير تقليدية لتقديم الخدمات وتصميم نماذج عمل مبتكرة تُعزز القيمة المقدمة للمستفيدين وتفتح مسارات نمو لم تكن متاحة من قبل</w:t>
      </w:r>
      <w:r w:rsidRPr="005C3640">
        <w:rPr>
          <w:rFonts w:ascii="Simplified Arabic" w:eastAsia="Times New Roman" w:hAnsi="Simplified Arabic" w:cs="Simplified Arabic" w:hint="cs"/>
          <w:kern w:val="0"/>
          <w:sz w:val="28"/>
          <w:szCs w:val="28"/>
          <w14:ligatures w14:val="none"/>
        </w:rPr>
        <w:t>.</w:t>
      </w:r>
    </w:p>
    <w:p w14:paraId="53D075FC" w14:textId="77777777" w:rsidR="005C3640" w:rsidRPr="005C3640" w:rsidRDefault="005C3640"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رابعاً: أنواع الذكاء الاصطناعي</w:t>
      </w:r>
    </w:p>
    <w:p w14:paraId="7F4B267A"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تتعدد تصنيفات الذكاء الاصطناعي في الأدبيات العلمية وفقاً لمعايير مختلفة، ويُعدّ فهم هذه التصنيفات ضرورة منهجية لتحديد نوعية التقنيات القابلة للتوظيف في السياق المؤسسي الحكومي، ولتمييز ما هو متاح فعلياً للتطبيق عما لا يزال في إطار التطوير النظري والمستقبلي. وقد تناول الباحثون هذه الأنواع من زوايا متعددة أسهمت في رسم خريطة مفاهيمية شاملة لمنظومة الذكاء الاصطناعي، وفيما يلي عرض لأبرز هذه التصنيفات</w:t>
      </w:r>
      <w:r w:rsidRPr="005C3640">
        <w:rPr>
          <w:rFonts w:ascii="Simplified Arabic" w:eastAsia="Times New Roman" w:hAnsi="Simplified Arabic" w:cs="Simplified Arabic" w:hint="cs"/>
          <w:kern w:val="0"/>
          <w:sz w:val="28"/>
          <w:szCs w:val="28"/>
          <w14:ligatures w14:val="none"/>
        </w:rPr>
        <w:t>.</w:t>
      </w:r>
    </w:p>
    <w:p w14:paraId="010FFFA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أ- التصنيف وفقاً لمستوى القدرة والتعقيد</w:t>
      </w:r>
    </w:p>
    <w:p w14:paraId="5DD02BF2" w14:textId="4DD63A1B"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يُعدّ هذا التصنيف من أكثر التصنيفات شيوعاً في الأدبيات العلمية، وهو يعتمد على مدى اتساع القدرات الإدراكية التي يمتلكها النظام الذكي مقارنةً بالقدرات البشرية</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وقد أوضح (حسن وآخرون، 2024) أن هذا التصنيف يتضمن ثلاثة مستويات</w:t>
      </w:r>
      <w:r w:rsidRPr="005C3640">
        <w:rPr>
          <w:rFonts w:ascii="Simplified Arabic" w:eastAsia="Times New Roman" w:hAnsi="Simplified Arabic" w:cs="Simplified Arabic" w:hint="cs"/>
          <w:kern w:val="0"/>
          <w:sz w:val="28"/>
          <w:szCs w:val="28"/>
          <w14:ligatures w14:val="none"/>
        </w:rPr>
        <w:t>:</w:t>
      </w:r>
    </w:p>
    <w:p w14:paraId="1632C12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الضيق (المحدود)</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النوع الوحيد المتاح فعلياً في الوقت الراهن والمُوظّف في أغلب التطبيقات المؤسسية المعاصرة. ويتميز هذا النوع بقدرته العالية على أداء مهمة محددة أو مجموعة محدودة من المهام المتقاربة بكفاءة تضاهي الأداء البشري أو تفوقه، كتصنيف البيانات والتنبؤ بالطلب والتعرف على الوجوه وتحليل النصوص والتوصية بالمنتجات. غير أنه يفتقر إلى الوعي الذاتي ولا يمتلك قدرة على التعميم أو نقل ما تعلمه من مهمة إلى أخرى مختلفة عنها جوهرياً، فنظام التنبؤ بالطلب مثلاً لا يستطيع تحليل صور أو فهم لغة طبيعية ما لم يُصمَّم ويُدرَّب خصيصاً لذلك</w:t>
      </w:r>
      <w:r w:rsidRPr="005C3640">
        <w:rPr>
          <w:rFonts w:ascii="Simplified Arabic" w:eastAsia="Times New Roman" w:hAnsi="Simplified Arabic" w:cs="Simplified Arabic" w:hint="cs"/>
          <w:kern w:val="0"/>
          <w:sz w:val="28"/>
          <w:szCs w:val="28"/>
          <w14:ligatures w14:val="none"/>
        </w:rPr>
        <w:t>.</w:t>
      </w:r>
    </w:p>
    <w:p w14:paraId="3429AD9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العام</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مستوى نظري لا يزال في طور البحث والتطوير، ويُشير إلى أنظمة افتراضية تمتلك قدرات إدراكية شاملة مماثلة للقدرات البشرية في مختلف المجالات المعرفية، بحيث يستطيع النظام الواحد أداء أي مهمة فكرية يمكن للإنسان أداؤها بمستوى مكافئ من الكفاءة. ورغم التقدم الملحوظ في أبحاث الذكاء الاصطناعي، فإن تحقيق هذا المستوى لا يزال يواجه تحديات علمية وفلسفية جوهرية تتعلق بطبيعة الوعي والإدراك والفهم الحقيقي</w:t>
      </w:r>
      <w:r w:rsidRPr="005C3640">
        <w:rPr>
          <w:rFonts w:ascii="Simplified Arabic" w:eastAsia="Times New Roman" w:hAnsi="Simplified Arabic" w:cs="Simplified Arabic" w:hint="cs"/>
          <w:kern w:val="0"/>
          <w:sz w:val="28"/>
          <w:szCs w:val="28"/>
          <w14:ligatures w14:val="none"/>
        </w:rPr>
        <w:t>.</w:t>
      </w:r>
    </w:p>
    <w:p w14:paraId="3DF6712C" w14:textId="05E5FF11" w:rsidR="005C44E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الفائق</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مفهوم مستقبلي بحت يُشير إلى أنظمة تتفوق على القدرات البشرية في جميع المجالات المعرفية والإبداعية والاجتماعية، ولا يزال هذا المستوى محل جدل واسع بين الباحثين حول إمكانية تحققه والإطار الزمني المتوقع لذلك والتبعات الأخلاقية والمجتمعية المترتبة عليه</w:t>
      </w:r>
      <w:r w:rsidRPr="005C3640">
        <w:rPr>
          <w:rFonts w:ascii="Simplified Arabic" w:eastAsia="Times New Roman" w:hAnsi="Simplified Arabic" w:cs="Simplified Arabic" w:hint="cs"/>
          <w:kern w:val="0"/>
          <w:sz w:val="28"/>
          <w:szCs w:val="28"/>
          <w14:ligatures w14:val="none"/>
        </w:rPr>
        <w:t>.</w:t>
      </w:r>
    </w:p>
    <w:p w14:paraId="6376E858" w14:textId="77777777" w:rsidR="005C44E0" w:rsidRDefault="005C44E0">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525AF140" w14:textId="2632E18A" w:rsidR="005C364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5C44E0">
        <w:rPr>
          <w:rFonts w:ascii="Simplified Arabic" w:eastAsia="Times New Roman" w:hAnsi="Simplified Arabic" w:cs="Simplified Arabic"/>
          <w:kern w:val="0"/>
          <w:sz w:val="28"/>
          <w:szCs w:val="28"/>
          <w:rtl/>
          <w14:ligatures w14:val="none"/>
        </w:rPr>
        <w:lastRenderedPageBreak/>
        <w:t>شكل (2) مستويات تصنيف الذكاء الاصطناعي وفق القدرة والتعقيد</w:t>
      </w:r>
    </w:p>
    <w:p w14:paraId="6B8E9B0E" w14:textId="1322C6F8" w:rsidR="005C44E0" w:rsidRPr="005C3640" w:rsidRDefault="005C44E0" w:rsidP="00D61485">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noProof/>
          <w:kern w:val="0"/>
          <w:sz w:val="28"/>
          <w:szCs w:val="28"/>
          <w:lang w:bidi="ar-EG"/>
          <w14:ligatures w14:val="none"/>
        </w:rPr>
        <w:drawing>
          <wp:inline distT="0" distB="0" distL="0" distR="0" wp14:anchorId="4B2DC56A" wp14:editId="5A956C61">
            <wp:extent cx="5730875" cy="4396740"/>
            <wp:effectExtent l="0" t="0" r="3175" b="3810"/>
            <wp:docPr id="990998450"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9738"/>
                    <a:stretch>
                      <a:fillRect/>
                    </a:stretch>
                  </pic:blipFill>
                  <pic:spPr bwMode="auto">
                    <a:xfrm>
                      <a:off x="0" y="0"/>
                      <a:ext cx="5730875" cy="4396740"/>
                    </a:xfrm>
                    <a:prstGeom prst="rect">
                      <a:avLst/>
                    </a:prstGeom>
                    <a:noFill/>
                    <a:ln>
                      <a:noFill/>
                    </a:ln>
                    <a:extLst>
                      <a:ext uri="{53640926-AAD7-44D8-BBD7-CCE9431645EC}">
                        <a14:shadowObscured xmlns:a14="http://schemas.microsoft.com/office/drawing/2010/main"/>
                      </a:ext>
                    </a:extLst>
                  </pic:spPr>
                </pic:pic>
              </a:graphicData>
            </a:graphic>
          </wp:inline>
        </w:drawing>
      </w:r>
    </w:p>
    <w:p w14:paraId="78DB1CED" w14:textId="2AA9280E" w:rsidR="006F66D2" w:rsidRPr="006F66D2" w:rsidRDefault="006F66D2" w:rsidP="006F66D2">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w:t>
      </w:r>
      <w:r w:rsidRPr="006F66D2">
        <w:rPr>
          <w:rFonts w:ascii="Simplified Arabic" w:eastAsia="Times New Roman" w:hAnsi="Simplified Arabic" w:cs="Simplified Arabic"/>
          <w:b/>
          <w:bCs/>
          <w:kern w:val="0"/>
          <w:sz w:val="28"/>
          <w:szCs w:val="28"/>
          <w:rtl/>
          <w14:ligatures w14:val="none"/>
        </w:rPr>
        <w:t>لمصدر</w:t>
      </w:r>
      <w:r w:rsidRPr="006F66D2">
        <w:rPr>
          <w:rFonts w:ascii="Simplified Arabic" w:eastAsia="Times New Roman" w:hAnsi="Simplified Arabic" w:cs="Simplified Arabic"/>
          <w:b/>
          <w:bCs/>
          <w:kern w:val="0"/>
          <w:sz w:val="28"/>
          <w:szCs w:val="28"/>
          <w14:ligatures w14:val="none"/>
        </w:rPr>
        <w:t xml:space="preserve">: </w:t>
      </w:r>
      <w:r w:rsidRPr="006F66D2">
        <w:rPr>
          <w:rFonts w:ascii="Simplified Arabic" w:eastAsia="Times New Roman" w:hAnsi="Simplified Arabic" w:cs="Simplified Arabic"/>
          <w:b/>
          <w:bCs/>
          <w:kern w:val="0"/>
          <w:sz w:val="28"/>
          <w:szCs w:val="28"/>
          <w:rtl/>
          <w14:ligatures w14:val="none"/>
        </w:rPr>
        <w:t>من إعداد الباحثة بالاعتماد على (حسن وآخرون، 2024) و</w:t>
      </w:r>
      <w:r w:rsidRPr="006F66D2">
        <w:rPr>
          <w:rFonts w:ascii="Simplified Arabic" w:eastAsia="Times New Roman" w:hAnsi="Simplified Arabic" w:cs="Simplified Arabic"/>
          <w:b/>
          <w:bCs/>
          <w:kern w:val="0"/>
          <w:sz w:val="28"/>
          <w:szCs w:val="28"/>
          <w14:ligatures w14:val="none"/>
        </w:rPr>
        <w:t>(Nathany, 2022).</w:t>
      </w:r>
    </w:p>
    <w:p w14:paraId="3260789B" w14:textId="08F19E9F"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ب- التصنيف وفقاً لطبيعة التعلم والتطبيق</w:t>
      </w:r>
    </w:p>
    <w:p w14:paraId="39FFA10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يركز هذا التصنيف على الأساليب والمنهجيات التقنية التي تقوم عليها أنظمة الذكاء الاصطناعي. وقد صنّف</w:t>
      </w:r>
      <w:r w:rsidRPr="005C3640">
        <w:rPr>
          <w:rFonts w:ascii="Simplified Arabic" w:eastAsia="Times New Roman" w:hAnsi="Simplified Arabic" w:cs="Simplified Arabic" w:hint="cs"/>
          <w:kern w:val="0"/>
          <w:sz w:val="28"/>
          <w:szCs w:val="28"/>
          <w14:ligatures w14:val="none"/>
        </w:rPr>
        <w:t xml:space="preserve"> (Nathany, 2022) </w:t>
      </w:r>
      <w:r w:rsidRPr="005C3640">
        <w:rPr>
          <w:rFonts w:ascii="Simplified Arabic" w:eastAsia="Times New Roman" w:hAnsi="Simplified Arabic" w:cs="Simplified Arabic" w:hint="cs"/>
          <w:kern w:val="0"/>
          <w:sz w:val="28"/>
          <w:szCs w:val="28"/>
          <w:rtl/>
          <w14:ligatures w14:val="none"/>
        </w:rPr>
        <w:t>تقنيات الذكاء الاصطناعي المستخدمة في سلاسل الإمداد والعمليات إلى عدة أنواع</w:t>
      </w:r>
      <w:r w:rsidRPr="005C3640">
        <w:rPr>
          <w:rFonts w:ascii="Simplified Arabic" w:eastAsia="Times New Roman" w:hAnsi="Simplified Arabic" w:cs="Simplified Arabic" w:hint="cs"/>
          <w:kern w:val="0"/>
          <w:sz w:val="28"/>
          <w:szCs w:val="28"/>
          <w14:ligatures w14:val="none"/>
        </w:rPr>
        <w:t>:</w:t>
      </w:r>
    </w:p>
    <w:p w14:paraId="1ED2929E" w14:textId="1F737290"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التعلم الآلي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ويُمثل الركيزة الأساسية لمعظم تطبيقات الذكاء الاصطناعي المعاصرة، ويشمل ثلاثة أنماط رئيسة: التعلم الموجّه الذي يتعلم من بيانات مُصنّفة مسبقاً للتنبؤ بمخرجات محددة، والتعلم غير الموجّه الذي يكتشف الأنماط والتجمعات في بيانات غير مُصنّفة، والتعلم المعزز الذي يتعلم من خلال التجربة </w:t>
      </w:r>
      <w:r w:rsidRPr="005C3640">
        <w:rPr>
          <w:rFonts w:ascii="Simplified Arabic" w:eastAsia="Times New Roman" w:hAnsi="Simplified Arabic" w:cs="Simplified Arabic" w:hint="cs"/>
          <w:kern w:val="0"/>
          <w:sz w:val="28"/>
          <w:szCs w:val="28"/>
          <w:rtl/>
          <w14:ligatures w14:val="none"/>
        </w:rPr>
        <w:lastRenderedPageBreak/>
        <w:t>والخطأ عبر نظام مكافآت وعقوبات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وتُوظّف هذه الأنماط في التنبؤ بالطلب وتصنيف المعاملات وتحسين المسارات اللوجستية وكشف الاحتيال</w:t>
      </w:r>
      <w:r w:rsidRPr="005C3640">
        <w:rPr>
          <w:rFonts w:ascii="Simplified Arabic" w:eastAsia="Times New Roman" w:hAnsi="Simplified Arabic" w:cs="Simplified Arabic" w:hint="cs"/>
          <w:kern w:val="0"/>
          <w:sz w:val="28"/>
          <w:szCs w:val="28"/>
          <w14:ligatures w14:val="none"/>
        </w:rPr>
        <w:t>.</w:t>
      </w:r>
    </w:p>
    <w:p w14:paraId="0F4F8CE5" w14:textId="5D571D4E"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التعلم العميق</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فرع متقدم من التعلم الآلي يعتمد على شبكات عصبية اصطناعية متعددة الطبقات قادرة على اكتشاف علاقات بالغة التعقيد في البيانات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ويتميز هذا النوع بقدرته الفائقة على معالجة البيانات غير المهيكلة كالصور والنصوص والأصوات ومقاطع الفيديو، مما يجعله مناسباً لتطبيقات التعرف على الوجوه وتحليل المستندات ومراقبة الجودة البصرية في بيئات العمل الحكومية</w:t>
      </w:r>
      <w:r w:rsidRPr="005C3640">
        <w:rPr>
          <w:rFonts w:ascii="Simplified Arabic" w:eastAsia="Times New Roman" w:hAnsi="Simplified Arabic" w:cs="Simplified Arabic" w:hint="cs"/>
          <w:kern w:val="0"/>
          <w:sz w:val="28"/>
          <w:szCs w:val="28"/>
          <w14:ligatures w14:val="none"/>
        </w:rPr>
        <w:t>.</w:t>
      </w:r>
    </w:p>
    <w:p w14:paraId="79DCEA54" w14:textId="297BE305"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معالجة اللغة الطبيعية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مجموعة من التقنيات التي تُمكّن الأنظمة الحاسوبية من فهم اللغة البشرية المكتوبة والمنطوقة وتحليلها وتوليدها</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وتُستخدم هذه التقنيات في تحليل تقارير الأداء والمراسلات الرسمية واستخلاص المعلومات من الوثائق، فضلاً عن تشغيل المساعدات الذكية وروبوتات المحادثة التي تتفاعل مع المستفيدين وتُجيب عن استفساراتهم بلغة طبيعية</w:t>
      </w:r>
      <w:r w:rsidRPr="005C3640">
        <w:rPr>
          <w:rFonts w:ascii="Simplified Arabic" w:eastAsia="Times New Roman" w:hAnsi="Simplified Arabic" w:cs="Simplified Arabic" w:hint="cs"/>
          <w:kern w:val="0"/>
          <w:sz w:val="28"/>
          <w:szCs w:val="28"/>
          <w14:ligatures w14:val="none"/>
        </w:rPr>
        <w:t>.</w:t>
      </w:r>
    </w:p>
    <w:p w14:paraId="2B16A11D"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الرؤية الحاسوبية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فرع من الذكاء الاصطناعي يُمكّن الأنظمة من تحليل المحتوى المرئي وفهمه واتخاذ قرارات بناءً عليه. وتُوظّف هذه التقنية في تطبيقات متنوعة كمراقبة الجودة في خطوط الإنتاج وإدارة المخازن والتحقق من الهوية والمراقبة الأمنية، وهي تطبيقات ذات صلة مباشرة بعمليات المؤسسات الحكومية الكبرى</w:t>
      </w:r>
      <w:r w:rsidRPr="005C3640">
        <w:rPr>
          <w:rFonts w:ascii="Simplified Arabic" w:eastAsia="Times New Roman" w:hAnsi="Simplified Arabic" w:cs="Simplified Arabic" w:hint="cs"/>
          <w:kern w:val="0"/>
          <w:sz w:val="28"/>
          <w:szCs w:val="28"/>
          <w14:ligatures w14:val="none"/>
        </w:rPr>
        <w:t>.</w:t>
      </w:r>
    </w:p>
    <w:p w14:paraId="1E2F8E1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ج- التصنيف وفقاً لمجال التطبيق التحليلي</w:t>
      </w:r>
    </w:p>
    <w:p w14:paraId="216B80F8"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يرتكز هذا التصنيف على نوعية المخرجات التحليلية التي يُقدمها نظام الذكاء الاصطناعي والأسئلة التي يُجيب عنها</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وقد ميّز</w:t>
      </w:r>
      <w:r w:rsidRPr="005C3640">
        <w:rPr>
          <w:rFonts w:ascii="Simplified Arabic" w:eastAsia="Times New Roman" w:hAnsi="Simplified Arabic" w:cs="Simplified Arabic" w:hint="cs"/>
          <w:kern w:val="0"/>
          <w:sz w:val="28"/>
          <w:szCs w:val="28"/>
          <w14:ligatures w14:val="none"/>
        </w:rPr>
        <w:t xml:space="preserve"> (Faisal, 2025) </w:t>
      </w:r>
      <w:r w:rsidRPr="005C3640">
        <w:rPr>
          <w:rFonts w:ascii="Simplified Arabic" w:eastAsia="Times New Roman" w:hAnsi="Simplified Arabic" w:cs="Simplified Arabic" w:hint="cs"/>
          <w:kern w:val="0"/>
          <w:sz w:val="28"/>
          <w:szCs w:val="28"/>
          <w:rtl/>
          <w14:ligatures w14:val="none"/>
        </w:rPr>
        <w:t>بين أربعة أنواع تحليلية</w:t>
      </w:r>
      <w:r w:rsidRPr="005C3640">
        <w:rPr>
          <w:rFonts w:ascii="Simplified Arabic" w:eastAsia="Times New Roman" w:hAnsi="Simplified Arabic" w:cs="Simplified Arabic" w:hint="cs"/>
          <w:kern w:val="0"/>
          <w:sz w:val="28"/>
          <w:szCs w:val="28"/>
          <w14:ligatures w14:val="none"/>
        </w:rPr>
        <w:t>:</w:t>
      </w:r>
    </w:p>
    <w:p w14:paraId="343F77C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الوصفي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حدث؟" من خلال تلخيص البيانات التاريخية وعرضها بصورة مفهومة عبر لوحات معلومات وتقارير بيانية، مما يُمكّن صانعي القرار من فهم الوضع الراهن والاتجاهات السابقة. ويُمثل هذا النوع الطبقة الأساسية التي تنبني عليها المستويات التحليلية الأعلى</w:t>
      </w:r>
      <w:r w:rsidRPr="005C3640">
        <w:rPr>
          <w:rFonts w:ascii="Simplified Arabic" w:eastAsia="Times New Roman" w:hAnsi="Simplified Arabic" w:cs="Simplified Arabic" w:hint="cs"/>
          <w:kern w:val="0"/>
          <w:sz w:val="28"/>
          <w:szCs w:val="28"/>
          <w14:ligatures w14:val="none"/>
        </w:rPr>
        <w:t>.</w:t>
      </w:r>
    </w:p>
    <w:p w14:paraId="01E38E73"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التحليل التشخيصي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"لماذا حدث؟" من خلال الكشف عن العلاقات السببية بين المتغيرات وتحديد العوامل الجذرية الكامنة وراء الظواهر والمشكلات. ويتطلب هذا النوع تقنيات أكثر تعقيداً كتحليل الارتباط والانحدار وأشجار القرار لتتبع مسارات السببية في البيانات</w:t>
      </w:r>
      <w:r w:rsidRPr="005C3640">
        <w:rPr>
          <w:rFonts w:ascii="Simplified Arabic" w:eastAsia="Times New Roman" w:hAnsi="Simplified Arabic" w:cs="Simplified Arabic" w:hint="cs"/>
          <w:kern w:val="0"/>
          <w:sz w:val="28"/>
          <w:szCs w:val="28"/>
          <w14:ligatures w14:val="none"/>
        </w:rPr>
        <w:t>.</w:t>
      </w:r>
    </w:p>
    <w:p w14:paraId="11DC943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التنبؤي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سيحدث؟" من خلال بناء نماذج إحصائية وخوارزمية تستشرف المستقبل بناءً على الأنماط المستخلصة من البيانات التاريخية والمتغيرات الراهنة. ويُعدّ هذا النوع من أكثر أنواع التحليل طلباً في المؤسسات لأنه يُمكّنها من الاستعداد للتحولات القادمة قبل وقوعها</w:t>
      </w:r>
      <w:r w:rsidRPr="005C3640">
        <w:rPr>
          <w:rFonts w:ascii="Simplified Arabic" w:eastAsia="Times New Roman" w:hAnsi="Simplified Arabic" w:cs="Simplified Arabic" w:hint="cs"/>
          <w:kern w:val="0"/>
          <w:sz w:val="28"/>
          <w:szCs w:val="28"/>
          <w14:ligatures w14:val="none"/>
        </w:rPr>
        <w:t>.</w:t>
      </w:r>
    </w:p>
    <w:p w14:paraId="562FC66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التوجيهي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ينبغي أن نفعل؟" من خلال تقديم توصيات محددة وقابلة للتنفيذ لصانعي القرار، مستنداً إلى نتائج التحليلات الوصفية والتشخيصية والتنبؤية. ويُمثل هذا النوع أعلى مستويات النضج التحليلي، حيث ينتقل دور النظام من توفير المعلومات إلى اقتراح مسارات العمل المثلى</w:t>
      </w:r>
      <w:r w:rsidRPr="005C3640">
        <w:rPr>
          <w:rFonts w:ascii="Simplified Arabic" w:eastAsia="Times New Roman" w:hAnsi="Simplified Arabic" w:cs="Simplified Arabic" w:hint="cs"/>
          <w:kern w:val="0"/>
          <w:sz w:val="28"/>
          <w:szCs w:val="28"/>
          <w14:ligatures w14:val="none"/>
        </w:rPr>
        <w:t>.</w:t>
      </w:r>
    </w:p>
    <w:p w14:paraId="01DBFB0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د- التصنيف وفقاً لدرجة استقلالية النظام</w:t>
      </w:r>
    </w:p>
    <w:p w14:paraId="6F3ABEB8"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يعتمد هذا التصنيف على مدى قدرة نظام الذكاء الاصطناعي على اتخاذ القرارات وتنفيذ الإجراءات بشكل مستقل دون تدخل بشري</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وقد أشار (عبدالرحمن وآخرون، 2022) إلى ثلاثة مستويات متدرجة</w:t>
      </w:r>
      <w:r w:rsidRPr="005C3640">
        <w:rPr>
          <w:rFonts w:ascii="Simplified Arabic" w:eastAsia="Times New Roman" w:hAnsi="Simplified Arabic" w:cs="Simplified Arabic" w:hint="cs"/>
          <w:kern w:val="0"/>
          <w:sz w:val="28"/>
          <w:szCs w:val="28"/>
          <w14:ligatures w14:val="none"/>
        </w:rPr>
        <w:t>:</w:t>
      </w:r>
    </w:p>
    <w:p w14:paraId="3BB37E00"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المساندة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أنظمة تقتصر على تقديم المعلومات والتحليلات والتوصيات لصانع القرار البشري الذي يحتفظ بالسلطة النهائية في اتخاذ القرار وتنفيذه. ويُعدّ هذا المستوى الأكثر شيوعاً في المؤسسات الحكومية حالياً، حيث يظل العنصر البشري هو المسؤول الأول والأخير عن القرارات المؤسسية، ويقتصر دور الذكاء الاصطناعي على إثراء المعلومات المتاحة له</w:t>
      </w:r>
      <w:r w:rsidRPr="005C3640">
        <w:rPr>
          <w:rFonts w:ascii="Simplified Arabic" w:eastAsia="Times New Roman" w:hAnsi="Simplified Arabic" w:cs="Simplified Arabic" w:hint="cs"/>
          <w:kern w:val="0"/>
          <w:sz w:val="28"/>
          <w:szCs w:val="28"/>
          <w14:ligatures w14:val="none"/>
        </w:rPr>
        <w:t>.</w:t>
      </w:r>
    </w:p>
    <w:p w14:paraId="6FF598CB"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شبه المستقلة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أنظمة تمتلك صلاحية اتخاذ قرارات روتينية ومحددة بشكل آلي ضمن نطاق وقواعد معرّفة مسبقاً، بينما تُحيل القرارات المعقدة أو الاستثنائية التي تخرج عن نطاق صلاحياتها إلى المسؤول البشري للبت فيها. ويُحقق هذا المستوى توازناً بين الكفاءة التي توفرها الأتمتة والرقابة البشرية التي تضمن السلامة والمساءلة</w:t>
      </w:r>
      <w:r w:rsidRPr="005C3640">
        <w:rPr>
          <w:rFonts w:ascii="Simplified Arabic" w:eastAsia="Times New Roman" w:hAnsi="Simplified Arabic" w:cs="Simplified Arabic" w:hint="cs"/>
          <w:kern w:val="0"/>
          <w:sz w:val="28"/>
          <w:szCs w:val="28"/>
          <w14:ligatures w14:val="none"/>
        </w:rPr>
        <w:t>.</w:t>
      </w:r>
    </w:p>
    <w:p w14:paraId="3BF398E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المستقلة بالكامل</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وهي أنظمة تعمل دون تدخل بشري مباشر في بيئات محددة ومحكومة بقواعد واضحة، كأنظمة إدارة المرور الذكية وأنظمة الرد الآلي على استفسارات المستفيدين وأنظمة المراقبة الأمنية. </w:t>
      </w:r>
      <w:r w:rsidRPr="005C3640">
        <w:rPr>
          <w:rFonts w:ascii="Simplified Arabic" w:eastAsia="Times New Roman" w:hAnsi="Simplified Arabic" w:cs="Simplified Arabic" w:hint="cs"/>
          <w:kern w:val="0"/>
          <w:sz w:val="28"/>
          <w:szCs w:val="28"/>
          <w:rtl/>
          <w14:ligatures w14:val="none"/>
        </w:rPr>
        <w:lastRenderedPageBreak/>
        <w:t>ويتطلب هذا المستوى درجة عالية من الثقة في موثوقية النظام ودقته، فضلاً عن أطر حوكمة صارمة تُحدد نطاق الاستقلالية وآليات المراجعة والتدخل عند الضرورة</w:t>
      </w:r>
      <w:r w:rsidRPr="005C3640">
        <w:rPr>
          <w:rFonts w:ascii="Simplified Arabic" w:eastAsia="Times New Roman" w:hAnsi="Simplified Arabic" w:cs="Simplified Arabic" w:hint="cs"/>
          <w:kern w:val="0"/>
          <w:sz w:val="28"/>
          <w:szCs w:val="28"/>
          <w14:ligatures w14:val="none"/>
        </w:rPr>
        <w:t>.</w:t>
      </w:r>
    </w:p>
    <w:p w14:paraId="0B3EE5F7" w14:textId="2C7A30F3" w:rsid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C3640">
        <w:rPr>
          <w:rFonts w:ascii="Simplified Arabic" w:eastAsia="Times New Roman" w:hAnsi="Simplified Arabic" w:cs="Simplified Arabic" w:hint="cs"/>
          <w:kern w:val="0"/>
          <w:sz w:val="28"/>
          <w:szCs w:val="28"/>
          <w:rtl/>
          <w14:ligatures w14:val="none"/>
        </w:rPr>
        <w:t>وفي ضوء هذه التصنيفات المتعددة، يتضح أن المؤسسات الحكومية الكبرى في المملكة العربية السعودية تتعامل في المرحلة الراهنة بشكل أساسي مع الذكاء الاصطناعي الضيق بأنواعه التطبيقية المختلفة، لا سيما تقنيات التعلم الآلي ومعالجة اللغة الطبيعية والتحليلات التنبؤية والتوجيهية، وذلك ضمن مستويات تتراوح بين الأنظمة المساندة والأنظمة شبه المستقلة</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وهو ما ينسجم مع أبعاد الدراسة الحالية التي تركز على التطبيقات العملية القابلة للقياس والتقييم في بيئة العمل الحكومي، والتي تتمثل في جمع البيانات ومعالجتها والنماذج التنبؤية والأتمتة الذكية وأنظمة دعم القرار</w:t>
      </w:r>
      <w:r w:rsidRPr="005C3640">
        <w:rPr>
          <w:rFonts w:ascii="Simplified Arabic" w:eastAsia="Times New Roman" w:hAnsi="Simplified Arabic" w:cs="Simplified Arabic" w:hint="cs"/>
          <w:kern w:val="0"/>
          <w:sz w:val="28"/>
          <w:szCs w:val="28"/>
          <w14:ligatures w14:val="none"/>
        </w:rPr>
        <w:t>.</w:t>
      </w:r>
    </w:p>
    <w:p w14:paraId="19FB6311"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خامساً: خصائص تقنيات الذكاء الاصطناعي</w:t>
      </w:r>
    </w:p>
    <w:p w14:paraId="5C144F14"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تتميز تقنيات الذكاء الاصطناعي بمجموعة من الخصائص الجوهرية التي تُشكّل الأساس الذي يُفسّر القيمة المضافة التي تُقدمها هذه التقنيات للمؤسسات، وتميزها تمييزاً واضحاً عن الأدوات والأنظمة التقنية التقليدية التي سبقتها. ويُسهم فهم هذه الخصائص في تحديد المتطلبات والشروط اللازمة لنجاح تطبيق تقنيات الذكاء الاصطناعي في المؤسسات الحكومية الكبرى بالمملكة العربية السعودية، كما يُساعد في تفسير الفارق بين المؤسسات التي تنجح في استثمار هذه التقنيات وتلك التي تُخفق في تحقيق العوائد المرجوة منها. وقد تناول الباحثون هذه الخصائص من زوايا متعددة، مما أسهم في رسم صورة شاملة للسمات المميزة لهذه التقنيات</w:t>
      </w:r>
      <w:r w:rsidRPr="00D61485">
        <w:rPr>
          <w:rFonts w:ascii="Simplified Arabic" w:eastAsia="Times New Roman" w:hAnsi="Simplified Arabic" w:cs="Simplified Arabic"/>
          <w:kern w:val="0"/>
          <w:sz w:val="28"/>
          <w:szCs w:val="28"/>
          <w14:ligatures w14:val="none"/>
        </w:rPr>
        <w:t>.</w:t>
      </w:r>
    </w:p>
    <w:p w14:paraId="122A8C2F"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التعلم الذاتي والتكيف المستمر</w:t>
      </w:r>
    </w:p>
    <w:p w14:paraId="0550995B" w14:textId="7CF45A49"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تُعدّ خاصية التعلم الذاتي والتكيف المستمر من أبرز الخصائص التي تُفرّق بين أنظمة الذكاء الاصطناعي والبرمجيات التقليدية تفريقاً جوهرياً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فقد أوضح</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أن أنظمة الذكاء الاصطناعي تمتلك القدرة على التعلم من البيانات التي تتعرض لها وتحسين أدائها بشكل مستمر وتلقائي دون الحاجة إلى إعادة برمجتها أو تعديل شيفرتها المصدرية في كل مرة تتغير فيها ظروف العمل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وتتجلى هذه الخاصية بوضوح في نماذج التعلم الآلي التي تُحسّن دقة تنبؤاتها كلما تعرضت لمزيد من البيانات وتراكمت لديها خبرة أوسع في التعامل مع الأنماط المتنوعة، مما يعني أن قيمة هذه الأنظمة تتعاظم مع الاستخدام والزمن بدلاً من أن تتناقص أو تتقادم كما هو حال الأدوات التقليدية. وهذه الخاصية تمنح المؤسسات الحكومية </w:t>
      </w:r>
      <w:r w:rsidRPr="00D61485">
        <w:rPr>
          <w:rFonts w:ascii="Simplified Arabic" w:eastAsia="Times New Roman" w:hAnsi="Simplified Arabic" w:cs="Simplified Arabic"/>
          <w:kern w:val="0"/>
          <w:sz w:val="28"/>
          <w:szCs w:val="28"/>
          <w:rtl/>
          <w14:ligatures w14:val="none"/>
        </w:rPr>
        <w:lastRenderedPageBreak/>
        <w:t>الكبرى ميزة استراتيجية تراكمية، إذ كلما طالت مدة استخدام هذه الأنظمة واتسع نطاق البيانات المتاحة لها، ارتفعت جودة مخرجاتها وزادت دقتها وملاءمتها للسياق المؤسسي الخاص بها</w:t>
      </w:r>
      <w:r w:rsidRPr="00D61485">
        <w:rPr>
          <w:rFonts w:ascii="Simplified Arabic" w:eastAsia="Times New Roman" w:hAnsi="Simplified Arabic" w:cs="Simplified Arabic"/>
          <w:kern w:val="0"/>
          <w:sz w:val="28"/>
          <w:szCs w:val="28"/>
          <w14:ligatures w14:val="none"/>
        </w:rPr>
        <w:t>.</w:t>
      </w:r>
    </w:p>
    <w:p w14:paraId="0017E6F8"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القدرة على معالجة البيانات الضخمة</w:t>
      </w:r>
    </w:p>
    <w:p w14:paraId="30046055" w14:textId="262C82F6"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يُبرز</w:t>
      </w:r>
      <w:r w:rsidRPr="00D61485">
        <w:rPr>
          <w:rFonts w:ascii="Simplified Arabic" w:eastAsia="Times New Roman" w:hAnsi="Simplified Arabic" w:cs="Simplified Arabic"/>
          <w:kern w:val="0"/>
          <w:sz w:val="28"/>
          <w:szCs w:val="28"/>
          <w14:ligatures w14:val="none"/>
        </w:rPr>
        <w:t xml:space="preserve"> (Thenmozhi &amp; Krisknakumari, 2024) </w:t>
      </w:r>
      <w:r w:rsidRPr="00D61485">
        <w:rPr>
          <w:rFonts w:ascii="Simplified Arabic" w:eastAsia="Times New Roman" w:hAnsi="Simplified Arabic" w:cs="Simplified Arabic"/>
          <w:kern w:val="0"/>
          <w:sz w:val="28"/>
          <w:szCs w:val="28"/>
          <w:rtl/>
          <w14:ligatures w14:val="none"/>
        </w:rPr>
        <w:t>خاصية القدرة على معالجة البيانات الضخمة بوصفها من أبرز السمات المميزة للذكاء الاصطناعي، حيث تتيح هذه التقنيات معالجة كميات هائلة من البيانات المتنوعة المصادر والأشكال والأحجام في زمن قياسي واستخلاص أنماط وعلاقات ذات دلالة منها، وهو ما يتجاوز بمراحل عديدة قدرات التحليل البشري أو الأدوات الإحصائية التقليدية التي تعجز عن التعامل مع هذا الحجم والتنوع من البيانات بالسرعة والدقة المطلوبتين</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استثنائية في المؤسسات الحكومية الكبرى بالمملكة العربية السعودية التي تُنتج يومياً حجماً ضخماً من البيانات المتعلقة بالمعاملات والخدمات والتفاعلات مع المستفيدين والعمليات التشغيلية الداخلية، وهي بيانات كانت تُهدر في السابق أو تُستخدم بشكل محدود نظراً لعدم توفر أدوات قادرة على استثمارها بالكامل</w:t>
      </w:r>
      <w:r w:rsidRPr="00D61485">
        <w:rPr>
          <w:rFonts w:ascii="Simplified Arabic" w:eastAsia="Times New Roman" w:hAnsi="Simplified Arabic" w:cs="Simplified Arabic"/>
          <w:kern w:val="0"/>
          <w:sz w:val="28"/>
          <w:szCs w:val="28"/>
          <w14:ligatures w14:val="none"/>
        </w:rPr>
        <w:t>.</w:t>
      </w:r>
    </w:p>
    <w:p w14:paraId="32F0651D"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الاستقلالية في التنفيذ</w:t>
      </w:r>
    </w:p>
    <w:p w14:paraId="4B63CE8B" w14:textId="2B01AC10"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يُشير</w:t>
      </w:r>
      <w:r w:rsidRPr="00D61485">
        <w:rPr>
          <w:rFonts w:ascii="Simplified Arabic" w:eastAsia="Times New Roman" w:hAnsi="Simplified Arabic" w:cs="Simplified Arabic"/>
          <w:kern w:val="0"/>
          <w:sz w:val="28"/>
          <w:szCs w:val="28"/>
          <w14:ligatures w14:val="none"/>
        </w:rPr>
        <w:t xml:space="preserve"> (Pokamestov &amp; Nikitin, 2024) </w:t>
      </w:r>
      <w:r w:rsidRPr="00D61485">
        <w:rPr>
          <w:rFonts w:ascii="Simplified Arabic" w:eastAsia="Times New Roman" w:hAnsi="Simplified Arabic" w:cs="Simplified Arabic"/>
          <w:kern w:val="0"/>
          <w:sz w:val="28"/>
          <w:szCs w:val="28"/>
          <w:rtl/>
          <w14:ligatures w14:val="none"/>
        </w:rPr>
        <w:t>إلى أن أنظمة الذكاء الاصطناعي تمتلك خاصية الاستقلالية في التنفيذ، حيث تستطيع أداء مهام معقدة ومتشعبة بشكل مستقل وبأقل قدر ممكن من التدخل البشري المباشر، مع الحفاظ على مستوى عالٍ من الدقة والاتساق في المخرجات بصرف النظر عن حجم العمل المطلوب أو الظروف المحيطة بعملية التشغيل. فخلافاً للعنصر البشري الذي يتأثر أداؤه بعوامل الإرهاق والملل وتقلبات المزاج وتفاوت مستويات الخبرة والتركيز، تعمل أنظمة الذكاء الاصطناعي بمستوى ثابت من الكفاءة والدقة على مدار الساعة ودون انقطاع</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وتجعل هذه الخاصية أنظمة الذكاء الاصطناعي مثالية للتعامل مع العمليات الحكومية المتكررة ذات الحجم الكبير التي تتطلب مستوى عالياً من الدقة والاستمرارية والاتساق في الأداء، كمعالجة طلبات المستفيدين ومراجعة المستندات وتصنيف المعاملات وإصدار الإشعارات</w:t>
      </w:r>
      <w:r w:rsidRPr="00D61485">
        <w:rPr>
          <w:rFonts w:ascii="Simplified Arabic" w:eastAsia="Times New Roman" w:hAnsi="Simplified Arabic" w:cs="Simplified Arabic"/>
          <w:kern w:val="0"/>
          <w:sz w:val="28"/>
          <w:szCs w:val="28"/>
          <w14:ligatures w14:val="none"/>
        </w:rPr>
        <w:t>.</w:t>
      </w:r>
    </w:p>
    <w:p w14:paraId="06FCAB5A" w14:textId="77777777" w:rsidR="00AF0FC2" w:rsidRDefault="00AF0FC2" w:rsidP="00D6148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p>
    <w:p w14:paraId="742F8772" w14:textId="77777777" w:rsidR="00AF0FC2" w:rsidRDefault="00AF0FC2" w:rsidP="00D6148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p>
    <w:p w14:paraId="4EF78F80" w14:textId="26465B76"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lastRenderedPageBreak/>
        <w:t>التكامل مع الأنظمة القائمة</w:t>
      </w:r>
    </w:p>
    <w:p w14:paraId="0A48F5A6" w14:textId="3A48D749"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يُضيف (المصاروة والسرحان، 2021) خاصية التكامل مع الأنظمة القائمة بوصفها سمة جوهرية تُيسّر عملية تبني تقنيات الذكاء الاصطناعي في المؤسسات دون الحاجة إلى استبدال البنية التحتية التقنية الموجودة بالكامل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فتقنيات الذكاء الاصطناعي الحديثة تتميز بقدرتها على الاندماج مع الأنظمة المعلوماتية والتطبيقات المؤسسية القائمة من خلال واجهات برمجة التطبيقات والحوسبة السحابية وبروتوكولات تبادل البيانات المعيارية، مما يُقلل بشكل كبير من تكاليف التحول ومخاطره ويُسرّع عملية التبني والنشر</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خاصة في المؤسسات الحكومية الكبرى التي استثمرت على مدى سنوات في بناء أنظمة معلوماتية وقواعد بيانات ضخمة، ولا تستطيع التخلي عنها دفعة واحدة بل تحتاج إلى مسار تحول تدريجي يُدمج التقنيات الجديدة مع الموروث التقني القائم</w:t>
      </w:r>
      <w:r w:rsidRPr="00D61485">
        <w:rPr>
          <w:rFonts w:ascii="Simplified Arabic" w:eastAsia="Times New Roman" w:hAnsi="Simplified Arabic" w:cs="Simplified Arabic"/>
          <w:kern w:val="0"/>
          <w:sz w:val="28"/>
          <w:szCs w:val="28"/>
          <w14:ligatures w14:val="none"/>
        </w:rPr>
        <w:t>.</w:t>
      </w:r>
    </w:p>
    <w:p w14:paraId="2C04941C"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التحسين المستمر للأداء</w:t>
      </w:r>
    </w:p>
    <w:p w14:paraId="46B2AF7E" w14:textId="0577C68B"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يُبرز</w:t>
      </w:r>
      <w:r w:rsidRPr="00D61485">
        <w:rPr>
          <w:rFonts w:ascii="Simplified Arabic" w:eastAsia="Times New Roman" w:hAnsi="Simplified Arabic" w:cs="Simplified Arabic"/>
          <w:kern w:val="0"/>
          <w:sz w:val="28"/>
          <w:szCs w:val="28"/>
          <w14:ligatures w14:val="none"/>
        </w:rPr>
        <w:t xml:space="preserve"> (Kumar et al., 2025) </w:t>
      </w:r>
      <w:r w:rsidRPr="00D61485">
        <w:rPr>
          <w:rFonts w:ascii="Simplified Arabic" w:eastAsia="Times New Roman" w:hAnsi="Simplified Arabic" w:cs="Simplified Arabic"/>
          <w:kern w:val="0"/>
          <w:sz w:val="28"/>
          <w:szCs w:val="28"/>
          <w:rtl/>
          <w14:ligatures w14:val="none"/>
        </w:rPr>
        <w:t>خاصية التحسين المستمر للأداء بوصفها من الخصائص التي تمنح تقنيات الذكاء الاصطناعي قيمة متنامية بمرور الوقت</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فهذه الأنظمة تعمل وفق آليات تغذية راجعة مستمرة تُمكّنها من رصد الانحرافات في أدائها وتحديد مواطن الضعف وتعديل معاملاتها وخوارزمياتها تلقائياً لتحقيق مستويات أعلى من الدقة والكفاءة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ويتحقق ذلك من خلال منحنى تعلم تصاعدي يُعزز كفاءة العمليات بشكل تراكمي ومستدام، حيث يتحسن أداء النظام مع كل دورة عمل جديدة ومع كل مجموعة بيانات إضافية يتعرض لها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وهذا يعني أن العائد على الاستثمار في تقنيات الذكاء الاصطناعي لا يتحقق دفعة واحدة بل يتعاظم بشكل تدريجي ومستمر، مما يجعله استثماراً طويل المدى تتضاعف عوائده كلما نضج النظام وتراكمت خبراته</w:t>
      </w:r>
      <w:r w:rsidRPr="00D61485">
        <w:rPr>
          <w:rFonts w:ascii="Simplified Arabic" w:eastAsia="Times New Roman" w:hAnsi="Simplified Arabic" w:cs="Simplified Arabic"/>
          <w:kern w:val="0"/>
          <w:sz w:val="28"/>
          <w:szCs w:val="28"/>
          <w14:ligatures w14:val="none"/>
        </w:rPr>
        <w:t>.</w:t>
      </w:r>
    </w:p>
    <w:p w14:paraId="50034CE3"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الموضوعية والحياد في التحليل</w:t>
      </w:r>
    </w:p>
    <w:p w14:paraId="29A991AF" w14:textId="03CF8135"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يُعزّز</w:t>
      </w:r>
      <w:r w:rsidRPr="00D61485">
        <w:rPr>
          <w:rFonts w:ascii="Simplified Arabic" w:eastAsia="Times New Roman" w:hAnsi="Simplified Arabic" w:cs="Simplified Arabic"/>
          <w:kern w:val="0"/>
          <w:sz w:val="28"/>
          <w:szCs w:val="28"/>
          <w14:ligatures w14:val="none"/>
        </w:rPr>
        <w:t xml:space="preserve"> (Sadok et al., 2022) </w:t>
      </w:r>
      <w:r w:rsidRPr="00D61485">
        <w:rPr>
          <w:rFonts w:ascii="Simplified Arabic" w:eastAsia="Times New Roman" w:hAnsi="Simplified Arabic" w:cs="Simplified Arabic"/>
          <w:kern w:val="0"/>
          <w:sz w:val="28"/>
          <w:szCs w:val="28"/>
          <w:rtl/>
          <w14:ligatures w14:val="none"/>
        </w:rPr>
        <w:t>الخصائص السابقة بإضافة خاصية الموضوعية والحياد في التحليل، حيث تعمل خوارزميات الذكاء الاصطناعي على أساس رياضي وإحصائي صرف يستند إلى البيانات والأدلة الرقمية، مما يُقلل بشكل ملموس من تأثير التحيزات الشخصية والعوامل الانفعالية والضغوط الاجتماعية التي قد تؤثر سلباً في جودة القرارات والتحليلات البشرية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بالغة </w:t>
      </w:r>
      <w:r w:rsidRPr="00D61485">
        <w:rPr>
          <w:rFonts w:ascii="Simplified Arabic" w:eastAsia="Times New Roman" w:hAnsi="Simplified Arabic" w:cs="Simplified Arabic"/>
          <w:kern w:val="0"/>
          <w:sz w:val="28"/>
          <w:szCs w:val="28"/>
          <w:rtl/>
          <w14:ligatures w14:val="none"/>
        </w:rPr>
        <w:lastRenderedPageBreak/>
        <w:t>في المؤسسات الحكومية التي يُفترض فيها أن تعمل وفق مبادئ العدالة والمساواة والشفافية في تعاملها مع جميع المستفيدين دون تمييز</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غير أنه تجدر الإشارة إلى أن تحقيق هذه الموضوعية يشترط أن تكون البيانات المُدخلة للنظام سليمة ومتوازنة وممثلة لجميع الفئات تمثيلاً عادلاً، إذ أن أي تحيز كامن في البيانات الأصلية سينعكس حتماً على مخرجات النظام ويُنتج تحليلات وقرارات منحازة، وهو ما يُعرف بمشكلة "التحيز الخوارزمي" التي تستوجب يقظة مستمرة ومراجعة دورية</w:t>
      </w:r>
      <w:r w:rsidRPr="00D61485">
        <w:rPr>
          <w:rFonts w:ascii="Simplified Arabic" w:eastAsia="Times New Roman" w:hAnsi="Simplified Arabic" w:cs="Simplified Arabic"/>
          <w:kern w:val="0"/>
          <w:sz w:val="28"/>
          <w:szCs w:val="28"/>
          <w14:ligatures w14:val="none"/>
        </w:rPr>
        <w:t>.</w:t>
      </w:r>
    </w:p>
    <w:p w14:paraId="6946ABA8"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القدرة على العمل في الزمن الحقيقي</w:t>
      </w:r>
    </w:p>
    <w:p w14:paraId="57343800"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يُؤكد</w:t>
      </w:r>
      <w:r w:rsidRPr="00D61485">
        <w:rPr>
          <w:rFonts w:ascii="Simplified Arabic" w:eastAsia="Times New Roman" w:hAnsi="Simplified Arabic" w:cs="Simplified Arabic"/>
          <w:kern w:val="0"/>
          <w:sz w:val="28"/>
          <w:szCs w:val="28"/>
          <w14:ligatures w14:val="none"/>
        </w:rPr>
        <w:t xml:space="preserve"> (Peng et al., 2023) </w:t>
      </w:r>
      <w:r w:rsidRPr="00D61485">
        <w:rPr>
          <w:rFonts w:ascii="Simplified Arabic" w:eastAsia="Times New Roman" w:hAnsi="Simplified Arabic" w:cs="Simplified Arabic"/>
          <w:kern w:val="0"/>
          <w:sz w:val="28"/>
          <w:szCs w:val="28"/>
          <w:rtl/>
          <w14:ligatures w14:val="none"/>
        </w:rPr>
        <w:t>على خاصية القدرة على العمل في الزمن الحقيقي بوصفها من الخصائص الحاسمة لتقنيات الذكاء الاصطناعي، حيث تتيح هذه التقنيات المعالجة الآنية والفورية للبيانات فور توليدها وتقديم استجابات ومخرجات تحليلية لحظية، مما يُمكّن المؤسسات من التعامل مع الأحداث والمتغيرات لحظة وقوعها بدلاً من الانتظار حتى تتراكم البيانات وتُعالج بأساليب تقليدية بطيئة تُفقدها قيمتها الزمنية. وتكتسب هذه الخاصية أهمية بالغة في المؤسسات الحكومية الكبرى التي تتعامل مع خدمات حساسة تتطلب استجابة آنية، كخدمات الطوارئ والخدمات المالية وخدمات المستفيدين المباشرة، حيث يمكن أن يترتب على التأخر في الاستجابة عواقب وخيمة على مستوى جودة الخدمة ورضا المستفيدين</w:t>
      </w:r>
      <w:r w:rsidRPr="00D61485">
        <w:rPr>
          <w:rFonts w:ascii="Simplified Arabic" w:eastAsia="Times New Roman" w:hAnsi="Simplified Arabic" w:cs="Simplified Arabic"/>
          <w:kern w:val="0"/>
          <w:sz w:val="28"/>
          <w:szCs w:val="28"/>
          <w14:ligatures w14:val="none"/>
        </w:rPr>
        <w:t>.</w:t>
      </w:r>
    </w:p>
    <w:p w14:paraId="09554E64"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القابلية للتوسع والمرونة</w:t>
      </w:r>
    </w:p>
    <w:p w14:paraId="28AD0582" w14:textId="15365274"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يُشير</w:t>
      </w:r>
      <w:r w:rsidRPr="00D61485">
        <w:rPr>
          <w:rFonts w:ascii="Simplified Arabic" w:eastAsia="Times New Roman" w:hAnsi="Simplified Arabic" w:cs="Simplified Arabic"/>
          <w:kern w:val="0"/>
          <w:sz w:val="28"/>
          <w:szCs w:val="28"/>
          <w14:ligatures w14:val="none"/>
        </w:rPr>
        <w:t xml:space="preserve"> (Cannas et al., 2024) </w:t>
      </w:r>
      <w:r w:rsidRPr="00D61485">
        <w:rPr>
          <w:rFonts w:ascii="Simplified Arabic" w:eastAsia="Times New Roman" w:hAnsi="Simplified Arabic" w:cs="Simplified Arabic"/>
          <w:kern w:val="0"/>
          <w:sz w:val="28"/>
          <w:szCs w:val="28"/>
          <w:rtl/>
          <w14:ligatures w14:val="none"/>
        </w:rPr>
        <w:t>إلى خاصية القابلية للتوسع والمرونة التي تتميز بها تقنيات الذكاء الاصطناعي الحديثة، حيث يمكن توسيع نطاق عمل هذه الأنظمة لتشمل عمليات ووحدات تنظيمية جديدة دون الحاجة إلى إعادة بنائها من الصفر</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فالنموذج الذي طُوّر لخدمة إدارة معينة يمكن تكييفه ونقله لخدمة إدارة أخرى بجهد محدود نسبياً، كما يمكن زيادة طاقته الاستيعابية للتعامل مع حجم أكبر من البيانات والعمليات من خلال الحوسبة السحابية المرنة التي تُتيح إضافة موارد حوسبية حسب الطلب</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وتُعدّ هذه الخاصية ذات صلة مباشرة بالمؤسسات الحكومية الكبرى التي تتسم بتعدد فروعها وتنوع خدماتها وتباين أحجام الطلب عليها بين المواسم والفترات المختلفة، مما يستوجب أنظمة قادرة على التوسع والانكماش بمرونة تتلاءم مع المتطلبات المتغيرة</w:t>
      </w:r>
      <w:r w:rsidRPr="00D61485">
        <w:rPr>
          <w:rFonts w:ascii="Simplified Arabic" w:eastAsia="Times New Roman" w:hAnsi="Simplified Arabic" w:cs="Simplified Arabic"/>
          <w:kern w:val="0"/>
          <w:sz w:val="28"/>
          <w:szCs w:val="28"/>
          <w14:ligatures w14:val="none"/>
        </w:rPr>
        <w:t>.</w:t>
      </w:r>
    </w:p>
    <w:p w14:paraId="5D57B6F2" w14:textId="77777777" w:rsidR="00AF0FC2" w:rsidRDefault="00AF0FC2" w:rsidP="00CD4D05">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3F8B9B55" w14:textId="6005E60F" w:rsidR="00D61485" w:rsidRPr="00D61485" w:rsidRDefault="00D61485" w:rsidP="00CD4D05">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lastRenderedPageBreak/>
        <w:t xml:space="preserve">سادساً: أبعاد تقنيات الذكاء الاصطناعي </w:t>
      </w:r>
    </w:p>
    <w:p w14:paraId="7E785510" w14:textId="77777777" w:rsidR="00AF0FC2"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تم تحديد أبعاد تقنيات الذكاء الاصطناعي في هذه الدراسة بناءً على مراجعة تحليلية معمّقة لمجموعة من الدراسات العلمية الحديثة التي تناولت تقنيات الذكاء الاصطناعي في السياقات المؤسسية والتشغيلية، ولا سيما دراسة</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التي تناولت أثر الذكاء الاصطناعي على عمليات سلسلة الإمداد من خلال مقارنة العمليات التقليدية بالعمليات المدعومة بالذكاء الاصطناعي، ودراسة</w:t>
      </w:r>
      <w:r w:rsidRPr="00D61485">
        <w:rPr>
          <w:rFonts w:ascii="Simplified Arabic" w:eastAsia="Times New Roman" w:hAnsi="Simplified Arabic" w:cs="Simplified Arabic"/>
          <w:kern w:val="0"/>
          <w:sz w:val="28"/>
          <w:szCs w:val="28"/>
          <w14:ligatures w14:val="none"/>
        </w:rPr>
        <w:t xml:space="preserve"> (Nathany, 2022) </w:t>
      </w:r>
      <w:r w:rsidRPr="00D61485">
        <w:rPr>
          <w:rFonts w:ascii="Simplified Arabic" w:eastAsia="Times New Roman" w:hAnsi="Simplified Arabic" w:cs="Simplified Arabic"/>
          <w:kern w:val="0"/>
          <w:sz w:val="28"/>
          <w:szCs w:val="28"/>
          <w:rtl/>
          <w14:ligatures w14:val="none"/>
        </w:rPr>
        <w:t>التي قدّمت تحليلاً شاملاً لتطبيقات الذكاء الاصطناعي في سلاسل الإمداد واتجاهاتها المستقبلية، ودراسة</w:t>
      </w:r>
      <w:r w:rsidRPr="00D61485">
        <w:rPr>
          <w:rFonts w:ascii="Simplified Arabic" w:eastAsia="Times New Roman" w:hAnsi="Simplified Arabic" w:cs="Simplified Arabic"/>
          <w:kern w:val="0"/>
          <w:sz w:val="28"/>
          <w:szCs w:val="28"/>
          <w14:ligatures w14:val="none"/>
        </w:rPr>
        <w:t xml:space="preserve"> (Thenmozhi &amp; Krisknakumari, 2024) </w:t>
      </w:r>
      <w:r w:rsidRPr="00D61485">
        <w:rPr>
          <w:rFonts w:ascii="Simplified Arabic" w:eastAsia="Times New Roman" w:hAnsi="Simplified Arabic" w:cs="Simplified Arabic"/>
          <w:kern w:val="0"/>
          <w:sz w:val="28"/>
          <w:szCs w:val="28"/>
          <w:rtl/>
          <w14:ligatures w14:val="none"/>
        </w:rPr>
        <w:t>التي تناولت دور الذكاء الاصطناعي في تعزيز الكفاءة التشغيلية في العمليات اللوجستية وإدارة سلاسل الإمداد، ودراسة</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التي بحثت في دور الذكاء الاصطناعي في تحقيق الكفاءة وإدارة المخاطر في سلاسل الإمداد والقطاع المالي، ودراسة</w:t>
      </w:r>
      <w:r w:rsidRPr="00D61485">
        <w:rPr>
          <w:rFonts w:ascii="Simplified Arabic" w:eastAsia="Times New Roman" w:hAnsi="Simplified Arabic" w:cs="Simplified Arabic"/>
          <w:kern w:val="0"/>
          <w:sz w:val="28"/>
          <w:szCs w:val="28"/>
          <w14:ligatures w14:val="none"/>
        </w:rPr>
        <w:t xml:space="preserve"> (Pokamestov &amp; Nikitin, 2024) </w:t>
      </w:r>
      <w:r w:rsidRPr="00D61485">
        <w:rPr>
          <w:rFonts w:ascii="Simplified Arabic" w:eastAsia="Times New Roman" w:hAnsi="Simplified Arabic" w:cs="Simplified Arabic"/>
          <w:kern w:val="0"/>
          <w:sz w:val="28"/>
          <w:szCs w:val="28"/>
          <w:rtl/>
          <w14:ligatures w14:val="none"/>
        </w:rPr>
        <w:t xml:space="preserve">التي ركّزت على تقنيات الذكاء الاصطناعي الحديثة بوصفها أداة لتحويل سلاسل القيمة في المؤسسات المالية. </w:t>
      </w:r>
    </w:p>
    <w:p w14:paraId="69D2E4AB" w14:textId="629597F9" w:rsidR="006F66D2"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وقد تقاطعت هذه الدراسات مجتمعةً في تحديد أربعة أبعاد رئيسة تُمثّل المكونات الجوهرية لتقنيات الذكاء الاصطناعي في البيئة المؤسسية، وهي: جمع البيانات ومعالجتها، والنماذج التنبؤية، والأتمتة الذكية، وأنظمة دعم القرار. وتعمل هذه الأبعاد الأربعة بشكل تكاملي وتتابعي، إذ تُشكّل حلقات مترابطة تبدأ بجمع البيانات الخام ومعالجتها بوصفها المادة الأولية، ثم توظيفها في بناء نماذج تنبؤية تستشرف المستقبل، ثم ترجمة هذه التنبؤات إلى عمليات مؤتمتة ذكية تُنفَّذ بكفاءة ودقة، وصولاً إلى تقديم مخرجات تحليلية متكاملة تدعم عملية صنع القرار المؤسسي على مختلف المستويات الإدارية</w:t>
      </w:r>
      <w:r w:rsidRPr="00D61485">
        <w:rPr>
          <w:rFonts w:ascii="Simplified Arabic" w:eastAsia="Times New Roman" w:hAnsi="Simplified Arabic" w:cs="Simplified Arabic"/>
          <w:kern w:val="0"/>
          <w:sz w:val="28"/>
          <w:szCs w:val="28"/>
          <w14:ligatures w14:val="none"/>
        </w:rPr>
        <w:t>.</w:t>
      </w:r>
    </w:p>
    <w:p w14:paraId="1FF4230B" w14:textId="77777777" w:rsidR="006F66D2" w:rsidRDefault="006F66D2">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5DD7AAD1" w14:textId="724A1DF2" w:rsid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6F66D2">
        <w:rPr>
          <w:rFonts w:ascii="Simplified Arabic" w:eastAsia="Times New Roman" w:hAnsi="Simplified Arabic" w:cs="Simplified Arabic"/>
          <w:kern w:val="0"/>
          <w:sz w:val="28"/>
          <w:szCs w:val="28"/>
          <w:rtl/>
          <w14:ligatures w14:val="none"/>
        </w:rPr>
        <w:lastRenderedPageBreak/>
        <w:t>شكل (3) الأبعاد الأربعة لتقنيات الذكاء الاصطناعي وتكاملها</w:t>
      </w:r>
    </w:p>
    <w:p w14:paraId="7B0A4BC7" w14:textId="7F3D7197" w:rsid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Pr>
          <w:noProof/>
        </w:rPr>
        <w:drawing>
          <wp:inline distT="0" distB="0" distL="0" distR="0" wp14:anchorId="1B507F67" wp14:editId="32164267">
            <wp:extent cx="5731510" cy="4305300"/>
            <wp:effectExtent l="0" t="0" r="2540" b="0"/>
            <wp:docPr id="1415795687"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p>
    <w:p w14:paraId="4600E348" w14:textId="54703F89" w:rsidR="006F66D2" w:rsidRP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6F66D2">
        <w:rPr>
          <w:rFonts w:ascii="Simplified Arabic" w:eastAsia="Times New Roman" w:hAnsi="Simplified Arabic" w:cs="Simplified Arabic"/>
          <w:b/>
          <w:bCs/>
          <w:kern w:val="0"/>
          <w:sz w:val="28"/>
          <w:szCs w:val="28"/>
          <w:rtl/>
          <w14:ligatures w14:val="none"/>
        </w:rPr>
        <w:t>المصدر</w:t>
      </w:r>
      <w:r w:rsidRPr="006F66D2">
        <w:rPr>
          <w:rFonts w:ascii="Simplified Arabic" w:eastAsia="Times New Roman" w:hAnsi="Simplified Arabic" w:cs="Simplified Arabic"/>
          <w:b/>
          <w:bCs/>
          <w:kern w:val="0"/>
          <w:sz w:val="28"/>
          <w:szCs w:val="28"/>
          <w14:ligatures w14:val="none"/>
        </w:rPr>
        <w:t>:</w:t>
      </w:r>
      <w:r w:rsidRPr="006F66D2">
        <w:rPr>
          <w:rFonts w:ascii="Simplified Arabic" w:eastAsia="Times New Roman" w:hAnsi="Simplified Arabic" w:cs="Simplified Arabic"/>
          <w:kern w:val="0"/>
          <w:sz w:val="28"/>
          <w:szCs w:val="28"/>
          <w14:ligatures w14:val="none"/>
        </w:rPr>
        <w:t xml:space="preserve"> </w:t>
      </w:r>
      <w:r w:rsidRPr="006F66D2">
        <w:rPr>
          <w:rFonts w:ascii="Simplified Arabic" w:eastAsia="Times New Roman" w:hAnsi="Simplified Arabic" w:cs="Simplified Arabic"/>
          <w:kern w:val="0"/>
          <w:sz w:val="28"/>
          <w:szCs w:val="28"/>
          <w:rtl/>
          <w14:ligatures w14:val="none"/>
        </w:rPr>
        <w:t>من إعداد الباحثة بالاعتماد على الدراسات المرجعية للمتغير المستقل</w:t>
      </w:r>
      <w:r w:rsidRPr="006F66D2">
        <w:rPr>
          <w:rFonts w:ascii="Simplified Arabic" w:eastAsia="Times New Roman" w:hAnsi="Simplified Arabic" w:cs="Simplified Arabic"/>
          <w:kern w:val="0"/>
          <w:sz w:val="28"/>
          <w:szCs w:val="28"/>
          <w14:ligatures w14:val="none"/>
        </w:rPr>
        <w:t>.</w:t>
      </w:r>
    </w:p>
    <w:p w14:paraId="5A9B5753"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الأول: جمع البيانات ومعالجتها</w:t>
      </w:r>
    </w:p>
    <w:p w14:paraId="1471F7E0" w14:textId="138C72E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يُمثّل جمع البيانات ومعالجتها حجر الأساس الذي تقوم عليه المنظومة الكاملة لتقنيات الذكاء الاصطناعي، إذ لا يمكن لأي نظام ذكي أن يُنتج مخرجات ذات قيمة دون توافر بيانات كافية من حيث الحجم وذات جودة عالية من حيث الدقة والاكتمال والحداثة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ويُشير هذا البُعد إلى مجموعة العمليات والتقنيات والبروتوكولات المستخدمة في استقطاب البيانات من مصادرها المتنوعة الداخلية والخارجية، وتنظيفها من الأخطاء والتشوهات والقيم المفقودة والمكررة، وتحويلها إلى صيغ موحدة قابلة للتحليل والمعالجة الآلية، وتخزينها في بنى تحتية رقمية تُتيح الوصول إليها واسترجاعها بسهولة وسرعة وأمان</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وتكتسب هذه العملية أهمية محورية في المؤسسات الحكومية الكبرى بالمملكة العربية السعودية التي تتعامل مع مصادر بيانات متعددة ومتباينة الأشكال، تشمل البيانات المهيكلة المخزنة في قواعد البيانات الرسمية وأنظمة تخطيط </w:t>
      </w:r>
      <w:r w:rsidRPr="00D61485">
        <w:rPr>
          <w:rFonts w:ascii="Simplified Arabic" w:eastAsia="Times New Roman" w:hAnsi="Simplified Arabic" w:cs="Simplified Arabic"/>
          <w:kern w:val="0"/>
          <w:sz w:val="28"/>
          <w:szCs w:val="28"/>
          <w:rtl/>
          <w14:ligatures w14:val="none"/>
        </w:rPr>
        <w:lastRenderedPageBreak/>
        <w:t>الموارد، والبيانات غير المهيكلة المتضمنة في المراسلات والتقارير والمحاضر والوثائق، والبيانات شبه المهيكلة الناتجة عن النماذج والاستمارات الإلكترونية وسجلات التعاملات</w:t>
      </w:r>
      <w:r w:rsidRPr="00D61485">
        <w:rPr>
          <w:rFonts w:ascii="Simplified Arabic" w:eastAsia="Times New Roman" w:hAnsi="Simplified Arabic" w:cs="Simplified Arabic"/>
          <w:kern w:val="0"/>
          <w:sz w:val="28"/>
          <w:szCs w:val="28"/>
          <w14:ligatures w14:val="none"/>
        </w:rPr>
        <w:t>.</w:t>
      </w:r>
    </w:p>
    <w:p w14:paraId="733F155A" w14:textId="5CF057C9"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أن جودة مخرجات أي نظام ذكاء اصطناعي تتوقف بالدرجة الأولى على جودة البيانات المُدخلة إليه، وهو ما يُعبَّر عنه في أدبيات الذكاء الاصطناعي بمبدأ "القمامة تدخل، القمامة تخرج"، مما يعني أن المؤسسات التي تسعى للاستفادة الفعلية من هذه التقنيات ينبغي أن تُولي اهتماماً استثنائياً لعمليات حوكمة البيانات وضمان دقتها واكتمالها وحداثتها وموثوقيتها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ويشمل ذلك تصميم آليات جمع بيانات مُحكمة تُقلل من فرص الخطأ البشري في مراحل الإدخال والتسجيل، وتطوير بروتوكولات تنقية البيانات التي ترصد القيم المتطرفة والشاذة وتُعالجها بأساليب إحصائية مناسبة، فضلاً عن بناء مستودعات بيانات مركزية تُوحّد مصادر البيانات المتفرقة عبر الوحدات التنظيمية المختلفة وتُتيح رؤية شاملة ومتكاملة تتجاوز الجزر المعلوماتية المعزولة التي تعاني منها كثير من المؤسسات الحكومية</w:t>
      </w:r>
      <w:r w:rsidRPr="00D61485">
        <w:rPr>
          <w:rFonts w:ascii="Simplified Arabic" w:eastAsia="Times New Roman" w:hAnsi="Simplified Arabic" w:cs="Simplified Arabic"/>
          <w:kern w:val="0"/>
          <w:sz w:val="28"/>
          <w:szCs w:val="28"/>
          <w14:ligatures w14:val="none"/>
        </w:rPr>
        <w:t>.</w:t>
      </w:r>
    </w:p>
    <w:p w14:paraId="56231AC0" w14:textId="318368FE"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ومن جانبه، أكد</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على أن معالجة البيانات في سياق الذكاء الاصطناعي تتجاوز المفهوم التقليدي لإدارة البيانات لتشمل عمليات متقدمة بالغة الأهمية، من أبرزها هندسة السمات التي تستخلص متغيرات جديدة ذات دلالة من البيانات الخام الأصلية بما يُعزز قدرة النماذج على التعلم والتنبؤ، وتكامل البيانات من مصادر متعددة ومتباينة الأشكال والبنى لبناء صورة موحدة وشاملة عن الظاهرة محل التحليل، فضلاً عن تقنيات إثراء البيانات التي تُضيف سياقات ومعلومات تكميلية من مصادر خارجية تُعمّق فهم البيانات الأصلية وتُعزز قدرتها التفسيرية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وأشار إلى أن المؤسسات التي تتفوق في إدارة بياناتها ومعالجتها تمتلك ميزة تنافسية حاسمة، لأن البيانات عالية الجودة تُمكّن من بناء نماذج ذكاء اصطناعي أكثر دقة وموثوقية</w:t>
      </w:r>
      <w:r w:rsidRPr="00D61485">
        <w:rPr>
          <w:rFonts w:ascii="Simplified Arabic" w:eastAsia="Times New Roman" w:hAnsi="Simplified Arabic" w:cs="Simplified Arabic"/>
          <w:kern w:val="0"/>
          <w:sz w:val="28"/>
          <w:szCs w:val="28"/>
          <w14:ligatures w14:val="none"/>
        </w:rPr>
        <w:t>.</w:t>
      </w:r>
    </w:p>
    <w:p w14:paraId="1BC617BC" w14:textId="195FAAB2"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أوضح</w:t>
      </w:r>
      <w:r w:rsidRPr="00D61485">
        <w:rPr>
          <w:rFonts w:ascii="Simplified Arabic" w:eastAsia="Times New Roman" w:hAnsi="Simplified Arabic" w:cs="Simplified Arabic"/>
          <w:kern w:val="0"/>
          <w:sz w:val="28"/>
          <w:szCs w:val="28"/>
          <w14:ligatures w14:val="none"/>
        </w:rPr>
        <w:t xml:space="preserve"> (Thenmozhi &amp; Krisknakumari, 2024) </w:t>
      </w:r>
      <w:r w:rsidRPr="00D61485">
        <w:rPr>
          <w:rFonts w:ascii="Simplified Arabic" w:eastAsia="Times New Roman" w:hAnsi="Simplified Arabic" w:cs="Simplified Arabic"/>
          <w:kern w:val="0"/>
          <w:sz w:val="28"/>
          <w:szCs w:val="28"/>
          <w:rtl/>
          <w14:ligatures w14:val="none"/>
        </w:rPr>
        <w:t xml:space="preserve">أن عمليات جمع البيانات ومعالجتها في المؤسسات المعاصرة تستلزم بنية تحتية رقمية متقدمة تشمل أنظمة الحوسبة السحابية التي تُوفر سعة تخزينية ومعالجة مرنة وقابلة للتوسع، ومنصات البيانات الضخمة القادرة على التعامل مع حجم وتنوع وسرعة تدفق البيانات المتولدة عن الأنشطة المؤسسية اليومية، وأنظمة إنترنت الأشياء التي تجمع بيانات آنية من الأجهزة والمعدات والمستشعرات المنتشرة في بيئة العمل. وتتضافر هذه المكونات مجتمعة لتُشكّل </w:t>
      </w:r>
      <w:r w:rsidRPr="00D61485">
        <w:rPr>
          <w:rFonts w:ascii="Simplified Arabic" w:eastAsia="Times New Roman" w:hAnsi="Simplified Arabic" w:cs="Simplified Arabic"/>
          <w:kern w:val="0"/>
          <w:sz w:val="28"/>
          <w:szCs w:val="28"/>
          <w:rtl/>
          <w14:ligatures w14:val="none"/>
        </w:rPr>
        <w:lastRenderedPageBreak/>
        <w:t>منظومة جمع ومعالجة بيانات متكاملة تُغذي النماذج التنبؤية وأنظمة الأتمتة الذكية ومنصات دعم القرار بالمعلومات الموثوقة والمحدّثة التي تحتاجها لأداء وظائفها بفاعلية</w:t>
      </w:r>
      <w:r w:rsidRPr="00D61485">
        <w:rPr>
          <w:rFonts w:ascii="Simplified Arabic" w:eastAsia="Times New Roman" w:hAnsi="Simplified Arabic" w:cs="Simplified Arabic"/>
          <w:kern w:val="0"/>
          <w:sz w:val="28"/>
          <w:szCs w:val="28"/>
          <w14:ligatures w14:val="none"/>
        </w:rPr>
        <w:t>.</w:t>
      </w:r>
    </w:p>
    <w:p w14:paraId="198954ED" w14:textId="37DEDB78"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(Pokamestov &amp; Nikitin, 2024) </w:t>
      </w:r>
      <w:r w:rsidRPr="00D61485">
        <w:rPr>
          <w:rFonts w:ascii="Simplified Arabic" w:eastAsia="Times New Roman" w:hAnsi="Simplified Arabic" w:cs="Simplified Arabic"/>
          <w:kern w:val="0"/>
          <w:sz w:val="28"/>
          <w:szCs w:val="28"/>
          <w:rtl/>
          <w14:ligatures w14:val="none"/>
        </w:rPr>
        <w:t>بُعداً مهماً يتعلق بأمن البيانات وخصوصيتها في سياق المؤسسات الحكومية، حيث تتعامل هذه المؤسسات مع بيانات حساسة تتضمن معلومات شخصية للمواطنين وبيانات مالية وأمنية ذات طابع سيادي، مما يستوجب تطبيق بروتوكولات صارمة لحماية هذه البيانات وضمان الامتثال للتشريعات واللوائح المنظمة لحماية البيانات الشخصية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ويتطلب ذلك اعتماد تقنيات التشفير المتقدمة وأنظمة التحكم في الوصول ومسارات التدقيق الرقمية التي تُوثّق جميع عمليات الوصول إلى البيانات والتعديل عليها، بما يُحقق التوازن بين الاستفادة القصوى من البيانات وحماية خصوصية أصحابها</w:t>
      </w:r>
      <w:r w:rsidRPr="00D61485">
        <w:rPr>
          <w:rFonts w:ascii="Simplified Arabic" w:eastAsia="Times New Roman" w:hAnsi="Simplified Arabic" w:cs="Simplified Arabic"/>
          <w:kern w:val="0"/>
          <w:sz w:val="28"/>
          <w:szCs w:val="28"/>
          <w14:ligatures w14:val="none"/>
        </w:rPr>
        <w:t>.</w:t>
      </w:r>
    </w:p>
    <w:p w14:paraId="448BC278"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الثاني: النماذج التنبؤية</w:t>
      </w:r>
    </w:p>
    <w:p w14:paraId="40B03C2D" w14:textId="2330DD66"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تُمثّل النماذج التنبؤية البُعد الثاني من أبعاد تقنيات الذكاء الاصطناعي في هذه الدراسة، وتُشير إلى مجموعة الخوارزميات والأساليب الرياضية والإحصائية المتقدمة التي تستثمر البيانات التاريخية والراهنة في استشراف الأحداث والاتجاهات المستقبلية بدرجة معقولة من الدقة والموثوقية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وتقوم هذه النماذج على مبدأ أساسي مفاده أن الأنماط الكامنة في البيانات الماضية تحمل مؤشرات دالة على ما سيحدث مستقبلاً، وأن الخوارزميات الذكية قادرة على اكتشاف هذه الأنماط واستخدامها في بناء تقديرات احتمالية للسيناريوهات المتوقعة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وتُعدّ هذه النماذج ذات أهمية بالغة في المؤسسات الحكومية الكبرى التي تحتاج إلى التخطيط المسبق والاستعداد لمتطلبات المستقبل، سواء تعلق الأمر بالتنبؤ بحجم الطلب على الخدمات الحكومية، أو توقع الاحتياجات من الموارد البشرية والمادية، أو استشراف المخاطر المحتملة التي قد تُعطّل سير العمل</w:t>
      </w:r>
      <w:r w:rsidRPr="00D61485">
        <w:rPr>
          <w:rFonts w:ascii="Simplified Arabic" w:eastAsia="Times New Roman" w:hAnsi="Simplified Arabic" w:cs="Simplified Arabic"/>
          <w:kern w:val="0"/>
          <w:sz w:val="28"/>
          <w:szCs w:val="28"/>
          <w14:ligatures w14:val="none"/>
        </w:rPr>
        <w:t>.</w:t>
      </w:r>
    </w:p>
    <w:p w14:paraId="4401683C" w14:textId="379B51A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(Nathany, 2022) </w:t>
      </w:r>
      <w:r w:rsidRPr="00D61485">
        <w:rPr>
          <w:rFonts w:ascii="Simplified Arabic" w:eastAsia="Times New Roman" w:hAnsi="Simplified Arabic" w:cs="Simplified Arabic"/>
          <w:kern w:val="0"/>
          <w:sz w:val="28"/>
          <w:szCs w:val="28"/>
          <w:rtl/>
          <w14:ligatures w14:val="none"/>
        </w:rPr>
        <w:t>أن النماذج التنبؤية المدعومة بالذكاء الاصطناعي تتفوق على النماذج الإحصائية التقليدية في عدة جوانب جوهرية، أبرزها قدرتها على التعامل مع عدد كبير من المتغيرات المتشابكة في آنٍ واحد دون أن يتأثر أداؤها بتعدد هذه المتغيرات أو تداخلها، وقدرتها على اكتشاف العلاقات غير الخطية والمعقدة بين المتغيرات التي تعجز النماذج الخطية التقليدية عن رصدها، فضلاً عن قدرتها على التعلم المستمر وتحسين دقتها بشكل تلقائي كلما تعرضت لمزيد من البيانات الجديدة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ويُسهم هذا </w:t>
      </w:r>
      <w:r w:rsidRPr="00D61485">
        <w:rPr>
          <w:rFonts w:ascii="Simplified Arabic" w:eastAsia="Times New Roman" w:hAnsi="Simplified Arabic" w:cs="Simplified Arabic"/>
          <w:kern w:val="0"/>
          <w:sz w:val="28"/>
          <w:szCs w:val="28"/>
          <w:rtl/>
          <w14:ligatures w14:val="none"/>
        </w:rPr>
        <w:lastRenderedPageBreak/>
        <w:t>التفوق في تمكين المؤسسات من بناء تصورات مستقبلية أكثر دقة وواقعية تُقلل من حالات المفاجأة وتُعزز جاهزية المؤسسة للتعامل مع السيناريوهات المختلفة</w:t>
      </w:r>
      <w:r w:rsidRPr="00D61485">
        <w:rPr>
          <w:rFonts w:ascii="Simplified Arabic" w:eastAsia="Times New Roman" w:hAnsi="Simplified Arabic" w:cs="Simplified Arabic"/>
          <w:kern w:val="0"/>
          <w:sz w:val="28"/>
          <w:szCs w:val="28"/>
          <w14:ligatures w14:val="none"/>
        </w:rPr>
        <w:t>.</w:t>
      </w:r>
    </w:p>
    <w:p w14:paraId="05089021" w14:textId="5F58E4A3"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إلى أن النماذج التنبؤية تلعب دوراً محورياً في إدارة المخاطر المؤسسية، حيث تُمكّن هذه النماذج من تقدير احتمالات وقوع أحداث سلبية معينة وتحديد حجم تأثيرها المتوقع على العمليات التشغيلية والمالية، مما يُتيح للمؤسسة اتخاذ إجراءات وقائية مسبقة تُقلل من تعرضها للمخاطر أو تُخفف من آثارها في حال وقوعها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وتتنوع النماذج التنبؤية المستخدمة في هذا السياق لتشمل نماذج الانحدار المتعدد والشبكات العصبية الاصطناعية وأشجار القرار والغابات العشوائية وآلات المتجهات الداعمة، ويعتمد اختيار النموذج المناسب على طبيعة المشكلة ونوعية البيانات المتاحة ومستوى الدقة المطلوب</w:t>
      </w:r>
      <w:r w:rsidRPr="00D61485">
        <w:rPr>
          <w:rFonts w:ascii="Simplified Arabic" w:eastAsia="Times New Roman" w:hAnsi="Simplified Arabic" w:cs="Simplified Arabic"/>
          <w:kern w:val="0"/>
          <w:sz w:val="28"/>
          <w:szCs w:val="28"/>
          <w14:ligatures w14:val="none"/>
        </w:rPr>
        <w:t>.</w:t>
      </w:r>
    </w:p>
    <w:p w14:paraId="348DFCA8" w14:textId="699C33FA" w:rsidR="00D61485" w:rsidRPr="00D61485"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D61485" w:rsidRPr="00D61485">
        <w:rPr>
          <w:rFonts w:ascii="Simplified Arabic" w:eastAsia="Times New Roman" w:hAnsi="Simplified Arabic" w:cs="Simplified Arabic"/>
          <w:kern w:val="0"/>
          <w:sz w:val="28"/>
          <w:szCs w:val="28"/>
          <w:rtl/>
          <w14:ligatures w14:val="none"/>
        </w:rPr>
        <w:t xml:space="preserve"> أكد</w:t>
      </w:r>
      <w:r w:rsidR="00D61485" w:rsidRPr="00D61485">
        <w:rPr>
          <w:rFonts w:ascii="Simplified Arabic" w:eastAsia="Times New Roman" w:hAnsi="Simplified Arabic" w:cs="Simplified Arabic"/>
          <w:kern w:val="0"/>
          <w:sz w:val="28"/>
          <w:szCs w:val="28"/>
          <w14:ligatures w14:val="none"/>
        </w:rPr>
        <w:t xml:space="preserve"> (Yusuf et al., 2025) </w:t>
      </w:r>
      <w:r w:rsidR="00D61485" w:rsidRPr="00D61485">
        <w:rPr>
          <w:rFonts w:ascii="Simplified Arabic" w:eastAsia="Times New Roman" w:hAnsi="Simplified Arabic" w:cs="Simplified Arabic"/>
          <w:kern w:val="0"/>
          <w:sz w:val="28"/>
          <w:szCs w:val="28"/>
          <w:rtl/>
          <w14:ligatures w14:val="none"/>
        </w:rPr>
        <w:t>على أن فاعلية النماذج التنبؤية لا تتوقف على تطور الخوارزمية المستخدمة فحسب، بل ترتبط ارتباطاً وثيقاً بجودة البيانات التي تُغذيها وبمدى ملاءمة المتغيرات المختارة للظاهرة محل التنبؤ، وهو ما يُبرز الترابط العضوي بين هذا البُعد والبُعد الأول المتعلق بجمع البيانات ومعالجتها</w:t>
      </w:r>
      <w:r>
        <w:rPr>
          <w:rFonts w:ascii="Simplified Arabic" w:eastAsia="Times New Roman" w:hAnsi="Simplified Arabic" w:cs="Simplified Arabic" w:hint="cs"/>
          <w:kern w:val="0"/>
          <w:sz w:val="28"/>
          <w:szCs w:val="28"/>
          <w:rtl/>
          <w14:ligatures w14:val="none"/>
        </w:rPr>
        <w:t>،</w:t>
      </w:r>
      <w:r w:rsidR="00D61485" w:rsidRPr="00D61485">
        <w:rPr>
          <w:rFonts w:ascii="Simplified Arabic" w:eastAsia="Times New Roman" w:hAnsi="Simplified Arabic" w:cs="Simplified Arabic"/>
          <w:kern w:val="0"/>
          <w:sz w:val="28"/>
          <w:szCs w:val="28"/>
          <w:rtl/>
          <w14:ligatures w14:val="none"/>
        </w:rPr>
        <w:t xml:space="preserve"> كما أشار إلى أن النماذج التنبؤية في سلاسل الإمداد والعمليات التشغيلية تشمل تطبيقات واسعة النطاق من بينها التنبؤ بالطلب المستقبلي على الخدمات والمنتجات، والتنبؤ بأعطال المعدات والبنية التحتية قبل حدوثها لإجراء صيانة وقائية، والتنبؤ بتكاليف العمليات وتذبذبات الأسعار، والتنبؤ بسلوك المستفيدين وتفضيلاتهم المستقبلية</w:t>
      </w:r>
      <w:r w:rsidR="00D61485" w:rsidRPr="00D61485">
        <w:rPr>
          <w:rFonts w:ascii="Simplified Arabic" w:eastAsia="Times New Roman" w:hAnsi="Simplified Arabic" w:cs="Simplified Arabic"/>
          <w:kern w:val="0"/>
          <w:sz w:val="28"/>
          <w:szCs w:val="28"/>
          <w14:ligatures w14:val="none"/>
        </w:rPr>
        <w:t>.</w:t>
      </w:r>
    </w:p>
    <w:p w14:paraId="46229B7D" w14:textId="42BFD03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(Thenmozhi &amp; Krisknakumari, 2024) </w:t>
      </w:r>
      <w:r w:rsidRPr="00D61485">
        <w:rPr>
          <w:rFonts w:ascii="Simplified Arabic" w:eastAsia="Times New Roman" w:hAnsi="Simplified Arabic" w:cs="Simplified Arabic"/>
          <w:kern w:val="0"/>
          <w:sz w:val="28"/>
          <w:szCs w:val="28"/>
          <w:rtl/>
          <w14:ligatures w14:val="none"/>
        </w:rPr>
        <w:t>أن النماذج التنبؤية في بيئة العمليات اللوجستية وسلاسل الإمداد تتطلب تحديثاً مستمراً ومعايرة دورية لضمان استمرار دقتها في ظل التغيرات المستمرة في بيئة العمل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فالنموذج التنبؤي الذي بُني على بيانات فترة زمنية معينة قد يفقد دقته إذا تغيرت الظروف المحيطة بشكل جوهري، مما يستوجب آليات مراقبة أداء النموذج وإعادة تدريبه ببيانات محدّثة بشكل دوري. وهذا ما يجعل النماذج التنبؤية عملية مستمرة وليست مشروعاً يُنفّذ مرة واحدة، ويتطلب التزاماً مؤسسياً طويل المدى بتخصيص الموارد اللازمة لصيانتها وتطويرها</w:t>
      </w:r>
      <w:r w:rsidRPr="00D61485">
        <w:rPr>
          <w:rFonts w:ascii="Simplified Arabic" w:eastAsia="Times New Roman" w:hAnsi="Simplified Arabic" w:cs="Simplified Arabic"/>
          <w:kern w:val="0"/>
          <w:sz w:val="28"/>
          <w:szCs w:val="28"/>
          <w14:ligatures w14:val="none"/>
        </w:rPr>
        <w:t>.</w:t>
      </w:r>
    </w:p>
    <w:p w14:paraId="38B3D7D0"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الثالث: الأتمتة الذكية</w:t>
      </w:r>
    </w:p>
    <w:p w14:paraId="666B1263" w14:textId="0E02A53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lastRenderedPageBreak/>
        <w:t>تُشكّل الأتمتة الذكية البُعد الثالث من أبعاد تقنيات الذكاء الاصطناعي في هذه الدراسة، وتُشير إلى توظيف خوارزميات الذكاء الاصطناعي وتقنيات التعلم الآلي في أتمتة العمليات والمهام المؤسسية بصورة تتجاوز الأتمتة التقليدية القائمة على قواعد ثابتة ومبرمجة مسبقاً</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فبينما تقتصر الأتمتة التقليدية على تنفيذ تعليمات محددة بشكل متكرر دون أي قدرة على التعامل مع الاستثناءات أو التكيف مع المتغيرات، فإن الأتمتة الذكية تمتلك القدرة على التعلم من التجارب السابقة والتكيف مع الظروف المتغيرة واتخاذ قرارات مستقلة ضمن نطاق صلاحياتها المحددة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وتكتسب الأتمتة الذكية أهمية خاصة في المؤسسات الحكومية الكبرى التي تتعامل يومياً مع حجم هائل من المعاملات والإجراءات الروتينية التي تستهلك طاقات بشرية كبيرة يمكن توجيهها نحو مهام أكثر قيمةً وإبداعاً</w:t>
      </w:r>
      <w:r w:rsidRPr="00D61485">
        <w:rPr>
          <w:rFonts w:ascii="Simplified Arabic" w:eastAsia="Times New Roman" w:hAnsi="Simplified Arabic" w:cs="Simplified Arabic"/>
          <w:kern w:val="0"/>
          <w:sz w:val="28"/>
          <w:szCs w:val="28"/>
          <w14:ligatures w14:val="none"/>
        </w:rPr>
        <w:t>.</w:t>
      </w:r>
    </w:p>
    <w:p w14:paraId="34AD5946" w14:textId="6F60F2D1"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(Pokamestov &amp; Nikitin, 2024) </w:t>
      </w:r>
      <w:r w:rsidRPr="00D61485">
        <w:rPr>
          <w:rFonts w:ascii="Simplified Arabic" w:eastAsia="Times New Roman" w:hAnsi="Simplified Arabic" w:cs="Simplified Arabic"/>
          <w:kern w:val="0"/>
          <w:sz w:val="28"/>
          <w:szCs w:val="28"/>
          <w:rtl/>
          <w14:ligatures w14:val="none"/>
        </w:rPr>
        <w:t>أن الأتمتة الذكية تُمثل نقلة نوعية في أسلوب إدارة العمليات المؤسسية، حيث تنتقل المؤسسة من نموذج يعتمد بشكل كبير على التدخل البشري اليدوي في كل مرحلة من مراحل العملية إلى نموذج تتولى فيه الأنظمة الذكية تنفيذ الجزء الأكبر من المهام الروتينية والمتكررة، بينما يتفرغ العنصر البشري للمهام التي تتطلب حكماً شخصياً وتفكيراً إبداعياً وتفاعلاً إنسانياً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وأشار إلى أن هذا التحول لا يقتصر على أتمتة المهام البسيطة كإدخال البيانات وتوجيه المعاملات، بل يمتد ليشمل عمليات أكثر تعقيداً كمراجعة المستندات واستخلاص المعلومات منها واتخاذ قرارات تصنيفية بناءً على معايير متعددة</w:t>
      </w:r>
      <w:r w:rsidRPr="00D61485">
        <w:rPr>
          <w:rFonts w:ascii="Simplified Arabic" w:eastAsia="Times New Roman" w:hAnsi="Simplified Arabic" w:cs="Simplified Arabic"/>
          <w:kern w:val="0"/>
          <w:sz w:val="28"/>
          <w:szCs w:val="28"/>
          <w14:ligatures w14:val="none"/>
        </w:rPr>
        <w:t>.</w:t>
      </w:r>
    </w:p>
    <w:p w14:paraId="7946AF30" w14:textId="1DBE822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أكد</w:t>
      </w:r>
      <w:r w:rsidRPr="00D61485">
        <w:rPr>
          <w:rFonts w:ascii="Simplified Arabic" w:eastAsia="Times New Roman" w:hAnsi="Simplified Arabic" w:cs="Simplified Arabic"/>
          <w:kern w:val="0"/>
          <w:sz w:val="28"/>
          <w:szCs w:val="28"/>
          <w14:ligatures w14:val="none"/>
        </w:rPr>
        <w:t xml:space="preserve"> (Nathany, 2022) </w:t>
      </w:r>
      <w:r w:rsidRPr="00D61485">
        <w:rPr>
          <w:rFonts w:ascii="Simplified Arabic" w:eastAsia="Times New Roman" w:hAnsi="Simplified Arabic" w:cs="Simplified Arabic"/>
          <w:kern w:val="0"/>
          <w:sz w:val="28"/>
          <w:szCs w:val="28"/>
          <w:rtl/>
          <w14:ligatures w14:val="none"/>
        </w:rPr>
        <w:t>على أن الأتمتة الذكية في سلاسل الإمداد تتضمن طيفاً واسعاً من التطبيقات، من أبرزها أتمتة عمليات الشراء والتوريد من خلال أنظمة تُراقب مستويات المخزون وتُصدر أوامر شراء تلقائية عند الوصول إلى نقطة إعادة الطلب، وأتمتة عمليات فرز المعاملات وتوجيهها إلى الجهات المختصة بناءً على تحليل محتواها وتصنيفها، وأتمتة عمليات إعداد التقارير الدورية واستخلاص المؤشرات الرئيسة من البيانات التشغيلية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نجاح الأتمتة الذكية يتطلب تصميماً دقيقاً للعمليات المراد أتمتتها، يشمل تحديد المهام القابلة للأتمتة وتلك التي ينبغي أن تظل تحت الإشراف البشري، وتحديد نقاط التدخل البشري والمراجعة، ووضع آليات واضحة للتعامل مع الحالات الاستثنائية التي تخرج عن نطاق قدرات النظام</w:t>
      </w:r>
      <w:r w:rsidRPr="00D61485">
        <w:rPr>
          <w:rFonts w:ascii="Simplified Arabic" w:eastAsia="Times New Roman" w:hAnsi="Simplified Arabic" w:cs="Simplified Arabic"/>
          <w:kern w:val="0"/>
          <w:sz w:val="28"/>
          <w:szCs w:val="28"/>
          <w14:ligatures w14:val="none"/>
        </w:rPr>
        <w:t>.</w:t>
      </w:r>
    </w:p>
    <w:p w14:paraId="27BBBFB2" w14:textId="52F24AE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lastRenderedPageBreak/>
        <w:t>ويُضيف</w:t>
      </w:r>
      <w:r w:rsidRPr="00D61485">
        <w:rPr>
          <w:rFonts w:ascii="Simplified Arabic" w:eastAsia="Times New Roman" w:hAnsi="Simplified Arabic" w:cs="Simplified Arabic"/>
          <w:kern w:val="0"/>
          <w:sz w:val="28"/>
          <w:szCs w:val="28"/>
          <w14:ligatures w14:val="none"/>
        </w:rPr>
        <w:t xml:space="preserve"> (Thenmozhi &amp; Krisknakumari, 2024) </w:t>
      </w:r>
      <w:r w:rsidRPr="00D61485">
        <w:rPr>
          <w:rFonts w:ascii="Simplified Arabic" w:eastAsia="Times New Roman" w:hAnsi="Simplified Arabic" w:cs="Simplified Arabic"/>
          <w:kern w:val="0"/>
          <w:sz w:val="28"/>
          <w:szCs w:val="28"/>
          <w:rtl/>
          <w14:ligatures w14:val="none"/>
        </w:rPr>
        <w:t>أن الأتمتة الذكية في بيئة العمليات اللوجستية تُسهم في تحقيق مكاسب جوهرية تتمثل في تقليص زمن تنفيذ العمليات بنسب كبيرة مقارنة بالتنفيذ اليدوي، وخفض معدلات الخطأ الناتج عن العامل البشري كأخطاء الإدخال والتصنيف والحساب، وتحقيق مستوى عالٍ من الاتساق في جودة المخرجات بصرف النظر عن حجم العمل أو ظروف التشغيل، فضلاً عن إتاحة العمل على مدار الساعة دون انقطاع وهو ما يعجز عنه العنصر البشري</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هذه المكاسب تتعاظم قيمتها في المؤسسات التي تتعامل مع حجم كبير من المعاملات المتشابهة والمتكررة، وهو ما ينطبق على كثير من المؤسسات الحكومية الكبرى التي تُعالج يومياً آلاف الطلبات والمعاملات</w:t>
      </w:r>
      <w:r w:rsidRPr="00D61485">
        <w:rPr>
          <w:rFonts w:ascii="Simplified Arabic" w:eastAsia="Times New Roman" w:hAnsi="Simplified Arabic" w:cs="Simplified Arabic"/>
          <w:kern w:val="0"/>
          <w:sz w:val="28"/>
          <w:szCs w:val="28"/>
          <w14:ligatures w14:val="none"/>
        </w:rPr>
        <w:t>.</w:t>
      </w:r>
    </w:p>
    <w:p w14:paraId="68B5E1DC" w14:textId="28131582"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(Helo &amp; Hao, 2022) </w:t>
      </w:r>
      <w:r w:rsidRPr="00D61485">
        <w:rPr>
          <w:rFonts w:ascii="Simplified Arabic" w:eastAsia="Times New Roman" w:hAnsi="Simplified Arabic" w:cs="Simplified Arabic"/>
          <w:kern w:val="0"/>
          <w:sz w:val="28"/>
          <w:szCs w:val="28"/>
          <w:rtl/>
          <w14:ligatures w14:val="none"/>
        </w:rPr>
        <w:t>إلى أن الأتمتة الذكية لا تعني الاستغناء عن العنصر البشري، بل تعني إعادة تعريف دوره في المنظومة المؤسسية، حيث ينتقل من دور المُنفّذ للمهام الروتينية إلى دور المُشرف والمُوجّه والمُبتكر</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وهذا التحول يستوجب برامج تأهيل وتطوير للموارد البشرية تُمكّنها من التعامل مع الأنظمة الذكية والإشراف عليها واستثمار مخرجاتها، وهو ما يُحقق التكامل بين القدرات البشرية والقدرات الآلية بدلاً من التنافس بينهما</w:t>
      </w:r>
      <w:r w:rsidRPr="00D61485">
        <w:rPr>
          <w:rFonts w:ascii="Simplified Arabic" w:eastAsia="Times New Roman" w:hAnsi="Simplified Arabic" w:cs="Simplified Arabic"/>
          <w:kern w:val="0"/>
          <w:sz w:val="28"/>
          <w:szCs w:val="28"/>
          <w14:ligatures w14:val="none"/>
        </w:rPr>
        <w:t>.</w:t>
      </w:r>
    </w:p>
    <w:p w14:paraId="24A698BA"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الرابع: أنظمة دعم القرار</w:t>
      </w:r>
    </w:p>
    <w:p w14:paraId="263DEF50" w14:textId="72394131"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تُمثل أنظمة دعم القرار المدعومة بالذكاء الاصطناعي البُعد الرابع والأخير من أبعاد تقنيات الذكاء الاصطناعي في هذه الدراسة، وتُشير إلى المنظومات التقنية المتكاملة التي تستثمر مخرجات الأبعاد الثلاثة السابقة، أي البيانات المُعالَجة والتنبؤات المُولَّدة والعمليات المُؤتمتة، في تقديم تحليلات ورؤى وتوصيات شاملة لصانعي القرار على مختلف المستويات الإدارية، بما يُمكّنهم من اتخاذ قرارات أكثر استنارةً ودقةً وسرعةً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وتتميز هذه الأنظمة عن أنظمة المعلومات التقليدية بقدرتها على تقديم تحليلات سياقية تراعي الظروف المحيطة بالقرار ومحاكاة نتائج البدائل المختلفة قبل اتخاذها، مما يُقلل من حالات عدم اليقين ويُعزز ثقة صانع القرار في خياراته</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وتبرز أهمية هذا البُعد بشكل خاص في المؤسسات الحكومية الكبرى حيث تتسم القرارات بتأثيرها الواسع على شرائح كبيرة من المستفيدين، وتتداخل فيها اعتبارات متعددة تتجاوز البُعد الاقتصادي لتشمل أبعاداً اجتماعية وتنموية وسياسية</w:t>
      </w:r>
      <w:r w:rsidRPr="00D61485">
        <w:rPr>
          <w:rFonts w:ascii="Simplified Arabic" w:eastAsia="Times New Roman" w:hAnsi="Simplified Arabic" w:cs="Simplified Arabic"/>
          <w:kern w:val="0"/>
          <w:sz w:val="28"/>
          <w:szCs w:val="28"/>
          <w14:ligatures w14:val="none"/>
        </w:rPr>
        <w:t>.</w:t>
      </w:r>
    </w:p>
    <w:p w14:paraId="31129E70" w14:textId="696399D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(Pokamestov &amp; Nikitin, 2024) </w:t>
      </w:r>
      <w:r w:rsidRPr="00D61485">
        <w:rPr>
          <w:rFonts w:ascii="Simplified Arabic" w:eastAsia="Times New Roman" w:hAnsi="Simplified Arabic" w:cs="Simplified Arabic"/>
          <w:kern w:val="0"/>
          <w:sz w:val="28"/>
          <w:szCs w:val="28"/>
          <w:rtl/>
          <w14:ligatures w14:val="none"/>
        </w:rPr>
        <w:t xml:space="preserve">أن أنظمة دعم القرار المدعومة بالذكاء الاصطناعي تعمل وفق منهجية متكاملة تبدأ بتجميع البيانات ذات الصلة بالقرار المطروح من مصادرها المتعددة، ثم </w:t>
      </w:r>
      <w:r w:rsidRPr="00D61485">
        <w:rPr>
          <w:rFonts w:ascii="Simplified Arabic" w:eastAsia="Times New Roman" w:hAnsi="Simplified Arabic" w:cs="Simplified Arabic"/>
          <w:kern w:val="0"/>
          <w:sz w:val="28"/>
          <w:szCs w:val="28"/>
          <w:rtl/>
          <w14:ligatures w14:val="none"/>
        </w:rPr>
        <w:lastRenderedPageBreak/>
        <w:t>تحليلها باستخدام خوارزميات متقدمة تكشف العلاقات والأنماط والاتجاهات، ثم توليد سيناريوهات بديلة مع تقدير احتمالية كل سيناريو ونتائجه المتوقعة، وأخيراً تقديم توصيات مُرتّبة وفق معايير محددة يُقرّها صانع القرار مسبقاً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هذه المنهجية تُحقق نقلة نوعية في جودة القرارات المؤسسية، لأنها تستند إلى تحليل شامل ومنهجي لجميع المعطيات المتاحة بدلاً من الاعتماد على خبرة محدودة أو معلومات جزئية</w:t>
      </w:r>
      <w:r w:rsidRPr="00D61485">
        <w:rPr>
          <w:rFonts w:ascii="Simplified Arabic" w:eastAsia="Times New Roman" w:hAnsi="Simplified Arabic" w:cs="Simplified Arabic"/>
          <w:kern w:val="0"/>
          <w:sz w:val="28"/>
          <w:szCs w:val="28"/>
          <w14:ligatures w14:val="none"/>
        </w:rPr>
        <w:t>.</w:t>
      </w:r>
    </w:p>
    <w:p w14:paraId="32550861" w14:textId="20E0F315"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أكد</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على أن أنظمة دعم القرار المدعومة بالذكاء الاصطناعي تتميز بقدرتها على العمل في بيئات عالية التعقيد تتشابك فيها عشرات المتغيرات وتتعارض فيها الأهداف، وهو ما يميزها عن أنظمة دعم القرار التقليدية التي تعمل بكفاءة في بيئات مستقرة ومحدودة المتغيرات فقط</w:t>
      </w:r>
      <w:r w:rsidR="00A5503B">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وأوضح أن هذه الأنظمة تتيح لصانعي القرار في القطاع المالي وسلاسل الإمداد إجراء تحليلات "ماذا لو" المتقدمة التي تُحاكي تأثير القرارات المحتملة على مختلف جوانب الأداء المؤسسي قبل تنفيذها فعلياً، مما يُقلل من مخاطر اتخاذ قرارات خاطئة ذات تبعات مكلفة</w:t>
      </w:r>
      <w:r w:rsidRPr="00D61485">
        <w:rPr>
          <w:rFonts w:ascii="Simplified Arabic" w:eastAsia="Times New Roman" w:hAnsi="Simplified Arabic" w:cs="Simplified Arabic"/>
          <w:kern w:val="0"/>
          <w:sz w:val="28"/>
          <w:szCs w:val="28"/>
          <w14:ligatures w14:val="none"/>
        </w:rPr>
        <w:t>.</w:t>
      </w:r>
    </w:p>
    <w:p w14:paraId="032F34FA" w14:textId="623119CB"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(Nathany, 2022) </w:t>
      </w:r>
      <w:r w:rsidRPr="00D61485">
        <w:rPr>
          <w:rFonts w:ascii="Simplified Arabic" w:eastAsia="Times New Roman" w:hAnsi="Simplified Arabic" w:cs="Simplified Arabic"/>
          <w:kern w:val="0"/>
          <w:sz w:val="28"/>
          <w:szCs w:val="28"/>
          <w:rtl/>
          <w14:ligatures w14:val="none"/>
        </w:rPr>
        <w:t>أن أنظمة دعم القرار المدعومة بالذكاء الاصطناعي في سلاسل الإمداد تعمل على عدة مستويات تتدرج من المستوى التشغيلي الذي يدعم القرارات اليومية الروتينية كقرارات التخصيص والجدولة والتوجيه، مروراً بالمستوى التكتيكي الذي يدعم القرارات متوسطة المدى كقرارات التخطيط للموارد وإدارة المخزون واختيار الموردين، وصولاً إلى المستوى الاستراتيجي الذي يدعم القرارات بعيدة المدى كقرارات التوسع وتصميم شبكة الإمداد والتحالفات الاستراتيجية</w:t>
      </w:r>
      <w:r w:rsidR="00A5503B">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ويتطلب كل مستوى نوعية مختلفة من البيانات والتحليلات والنماذج، مما يستوجب تصميم منظومة دعم قرار متعددة الطبقات تُلبي احتياجات صانعي القرار على المستويات كافة</w:t>
      </w:r>
      <w:r w:rsidRPr="00D61485">
        <w:rPr>
          <w:rFonts w:ascii="Simplified Arabic" w:eastAsia="Times New Roman" w:hAnsi="Simplified Arabic" w:cs="Simplified Arabic"/>
          <w:kern w:val="0"/>
          <w:sz w:val="28"/>
          <w:szCs w:val="28"/>
          <w14:ligatures w14:val="none"/>
        </w:rPr>
        <w:t>.</w:t>
      </w:r>
    </w:p>
    <w:p w14:paraId="45101617" w14:textId="60F16E1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(Cannas et al., 2024) </w:t>
      </w:r>
      <w:r w:rsidRPr="00D61485">
        <w:rPr>
          <w:rFonts w:ascii="Simplified Arabic" w:eastAsia="Times New Roman" w:hAnsi="Simplified Arabic" w:cs="Simplified Arabic"/>
          <w:kern w:val="0"/>
          <w:sz w:val="28"/>
          <w:szCs w:val="28"/>
          <w:rtl/>
          <w14:ligatures w14:val="none"/>
        </w:rPr>
        <w:t>إلى أن فاعلية أنظمة دعم القرار في البيئة المؤسسية لا تتوقف على تطورها التقني فحسب، بل ترتبط ارتباطاً وثيقاً بمدى قبول صانعي القرار لها وثقتهم في مخرجاتها واستعدادهم للاستناد إليها في قراراتهم</w:t>
      </w:r>
      <w:r w:rsidR="00A5503B">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وهذا يستوجب تصميم واجهات استخدام بديهية وسهلة الفهم تُقدم المعلومات والتوصيات بصورة واضحة وموجزة، مع إتاحة إمكانية الاطلاع على التفاصيل والمبررات التحليلية لمن يرغب في ذلك</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كما يتطلب بناء الثقة في هذه الأنظمة شفافية في آلية عملها بحيث يستطيع صانع القرار فهم كيف وصل النظام إلى توصياته، وهو ما يُعرف في أدبيات الذكاء الاصطناعي بمبدأ </w:t>
      </w:r>
      <w:r w:rsidRPr="00D61485">
        <w:rPr>
          <w:rFonts w:ascii="Simplified Arabic" w:eastAsia="Times New Roman" w:hAnsi="Simplified Arabic" w:cs="Simplified Arabic"/>
          <w:kern w:val="0"/>
          <w:sz w:val="28"/>
          <w:szCs w:val="28"/>
          <w:rtl/>
          <w14:ligatures w14:val="none"/>
        </w:rPr>
        <w:lastRenderedPageBreak/>
        <w:t>"قابلية التفسير" الذي يكتسب أهمية خاصة في المؤسسات الحكومية حيث تخضع القرارات للمساءلة العامة والرقابة المؤسسية</w:t>
      </w:r>
      <w:r w:rsidRPr="00D61485">
        <w:rPr>
          <w:rFonts w:ascii="Simplified Arabic" w:eastAsia="Times New Roman" w:hAnsi="Simplified Arabic" w:cs="Simplified Arabic"/>
          <w:kern w:val="0"/>
          <w:sz w:val="28"/>
          <w:szCs w:val="28"/>
          <w14:ligatures w14:val="none"/>
        </w:rPr>
        <w:t>.</w:t>
      </w:r>
    </w:p>
    <w:p w14:paraId="152C3DD6" w14:textId="77777777" w:rsid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ويتضح من استعراض هذه الأبعاد الأربعة أنها تعمل بشكل تكاملي وتتابعي يُشبه سلسلة القيمة المعلوماتية، حيث يُغذي كل بُعد البُعد الذي يليه ويعتمد على مخرجات البُعد الذي يسبقه. فجمع البيانات ومعالجتها يُوفر المادة الخام التي تتغذى عليها النماذج التنبؤية، والنماذج التنبؤية تُولّد التوقعات التي تُوجّه عمليات الأتمتة الذكية، وجميعها تصب في منظومة دعم القرار التي تُقدم الصورة المتكاملة لصانع القرار. وأي ضعف في أي بُعد من هذه الأبعاد ينعكس سلباً على فاعلية الأبعاد الأخرى والمنظومة ككل، مما يؤكد ضرورة التعامل معها بوصفها منظومة متكاملة وليست مكونات منفصلة</w:t>
      </w:r>
      <w:r w:rsidRPr="00D61485">
        <w:rPr>
          <w:rFonts w:ascii="Simplified Arabic" w:eastAsia="Times New Roman" w:hAnsi="Simplified Arabic" w:cs="Simplified Arabic"/>
          <w:kern w:val="0"/>
          <w:sz w:val="28"/>
          <w:szCs w:val="28"/>
          <w14:ligatures w14:val="none"/>
        </w:rPr>
        <w:t>.</w:t>
      </w:r>
    </w:p>
    <w:p w14:paraId="32E249D3" w14:textId="77777777"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D4D05">
        <w:rPr>
          <w:rFonts w:ascii="Simplified Arabic" w:eastAsia="Times New Roman" w:hAnsi="Simplified Arabic" w:cs="Simplified Arabic"/>
          <w:b/>
          <w:bCs/>
          <w:kern w:val="0"/>
          <w:sz w:val="28"/>
          <w:szCs w:val="28"/>
          <w:rtl/>
          <w14:ligatures w14:val="none"/>
        </w:rPr>
        <w:t>سابعاً: الذكاء الاصطناعي ورؤية المملكة العربية السعودية 2030</w:t>
      </w:r>
    </w:p>
    <w:p w14:paraId="32A37CB3"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تحتل تقنيات الذكاء الاصطناعي موقعاً محورياً في رؤية المملكة العربية السعودية 2030، إذ لا يُنظر إليها باعتبارها أداة تقنية مساندة فحسب، بل ركيزة استراتيجية جوهرية لتحقيق التحول الاقتصادي الشامل والانتقال من نموذج الاعتماد على الريع النفطي إلى اقتصاد معرفي متنوع ومستدام</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وقد أشار (حسن وآخرون، 2024) إلى أنّ الذكاء الاصطناعي يُسهم في تحسين كفاءة استخدام الموارد الحكومية وتقديم خدمات عالية الجودة بزمن أقل وتكلفة أدنى، وهو ما ينسجم تماماً مع التوجه الوطني نحو رفع الإنتاجية وتعظيم القيمة المضافة في جميع القطاعات الحكومية. </w:t>
      </w:r>
    </w:p>
    <w:p w14:paraId="6F4022E8" w14:textId="198C3394"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ولترجمة هذا التوجه إلى واقع مؤسسي، أنشأت المملكة عام 2019 الهيئة السعودية للبيانات والذكاء الاصطناعي (سدايا) بوصفها الجهة الوطنية المرجعية المسؤولة عن قيادة ملف البيانات والذكاء الاصطناعي على المستوى الوطني، ووضع الاستراتيجيات والسياسات والمعايير والأطر التنظيمية التي تحكم استخدام هذه التقنيات في المؤسسات الحكومية والخاصة على حدٍّ سواء</w:t>
      </w:r>
      <w:r w:rsidRPr="00CD4D05">
        <w:rPr>
          <w:rFonts w:ascii="Simplified Arabic" w:eastAsia="Times New Roman" w:hAnsi="Simplified Arabic" w:cs="Simplified Arabic"/>
          <w:kern w:val="0"/>
          <w:sz w:val="28"/>
          <w:szCs w:val="28"/>
          <w14:ligatures w14:val="none"/>
        </w:rPr>
        <w:t>.</w:t>
      </w:r>
    </w:p>
    <w:p w14:paraId="0A880CBB" w14:textId="72B595EC"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وقد أوضح (مرعي، 2024) أن تطبيق الذكاء الاصطناعي في المؤسسات الحكومية الكبرى لا يقتصر على اقتناء البرمجيات والأنظمة التقنية، بل يستلزم إعادة تصميم العمليات التشغيلية جذرياً، وتطوير الكوادر البشرية وتزويدها بالمهارات الرقمية اللازمة، وبناء ثقافة مؤسسية منفتحة على التجريب والابتكار، فضلاً عن وضع أطر تنظيمية صارمة لحماية البيانات وضمان الخصوصية والاستخدام الأخلاقي للتقنية</w:t>
      </w:r>
      <w:r w:rsidR="00A5503B" w:rsidRPr="00CD4D05">
        <w:rPr>
          <w:rFonts w:ascii="Simplified Arabic" w:eastAsia="Times New Roman" w:hAnsi="Simplified Arabic" w:cs="Simplified Arabic"/>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lastRenderedPageBreak/>
        <w:t>و</w:t>
      </w:r>
      <w:r w:rsidRPr="00CD4D05">
        <w:rPr>
          <w:rFonts w:ascii="Simplified Arabic" w:eastAsia="Times New Roman" w:hAnsi="Simplified Arabic" w:cs="Simplified Arabic"/>
          <w:kern w:val="0"/>
          <w:sz w:val="28"/>
          <w:szCs w:val="28"/>
          <w:rtl/>
          <w14:ligatures w14:val="none"/>
        </w:rPr>
        <w:t>أصدرت سدايا عدداً من الوثائق التوجيهية والأدلة الإرشادية لاستخدام الذكاء الاصطناعي التوليدي في القطاع الحكومي، بما يوفر إطاراً حوكمياً واضحاً يضمن التوازن بين تسريع التبني وضبط المخاطر المرتبطة بخصوصية البيانات والتحيز الخوارزمي</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كما أكد (الصفار، 2024) أنّ تقنيات الذكاء الاصطناعي تُوظَّف فعلياً في تحليل بيانات المستفيدين، وتخصيص الخدمات وفقاً لاحتياجاتهم، وأتمتة الإجراءات الإدارية الروتينية وتخفيف الأعباء البيروقراطية، وهو ما يدعم بشكل مباشر محور "حكومة فاعلة" الذي يُعَدّ أحد المحاور الرئيسة لرؤية 2030</w:t>
      </w:r>
      <w:r w:rsidRPr="00CD4D05">
        <w:rPr>
          <w:rFonts w:ascii="Simplified Arabic" w:eastAsia="Times New Roman" w:hAnsi="Simplified Arabic" w:cs="Simplified Arabic"/>
          <w:kern w:val="0"/>
          <w:sz w:val="28"/>
          <w:szCs w:val="28"/>
          <w14:ligatures w14:val="none"/>
        </w:rPr>
        <w:t>.</w:t>
      </w:r>
    </w:p>
    <w:p w14:paraId="2654302D"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لم يعد الذكاء الاصطناعي في المملكة العربية السعودية مجرد مشروعات تجريبية أو مبادرات محدودة النطاق، بل انتقل إلى مرحلة النضج المؤسسي والتطبيق الواسع النطاق، وهو ما تؤكده المؤشرات الدولية والمحلية على حدٍّ سواء</w:t>
      </w:r>
      <w:r w:rsidR="00A5503B" w:rsidRPr="00CD4D05">
        <w:rPr>
          <w:rFonts w:ascii="Simplified Arabic" w:eastAsia="Times New Roman" w:hAnsi="Simplified Arabic" w:cs="Simplified Arabic"/>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t>ف</w:t>
      </w:r>
      <w:r w:rsidRPr="00CD4D05">
        <w:rPr>
          <w:rFonts w:ascii="Simplified Arabic" w:eastAsia="Times New Roman" w:hAnsi="Simplified Arabic" w:cs="Simplified Arabic"/>
          <w:kern w:val="0"/>
          <w:sz w:val="28"/>
          <w:szCs w:val="28"/>
          <w:rtl/>
          <w14:ligatures w14:val="none"/>
        </w:rPr>
        <w:t xml:space="preserve">حققت المملكة المرتبة الخامسة عالمياً والأولى عربياً في مؤشر الذكاء الاصطناعي العالمي لعام 2025، بعد أن كانت في المرتبة الرابعة عشرة عالمياً في مؤشر عام 2024، مما يعكس تسارعاً ملحوظاً في وتيرة التبني والتطوير. </w:t>
      </w:r>
    </w:p>
    <w:p w14:paraId="2C8FBFE4" w14:textId="6DDD1DD4"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وقد أشار تقرير ستانفورد لمؤشر الذكاء الاصطناعي لعام 2025 إلى أنّ المملكة تحتل المرتبة الثالثة عالمياً من حيث النماذج المتميزة للذكاء الاصطناعي، إلى جانب الولايات المتحدة والصين، وهو مؤشر بالغ الدلالة على القفزة النوعية التي حققتها المملكة في هذا المجال خلال سنوات قليلة</w:t>
      </w:r>
      <w:r w:rsidR="00A5503B">
        <w:rPr>
          <w:rFonts w:ascii="Simplified Arabic" w:eastAsia="Times New Roman" w:hAnsi="Simplified Arabic" w:cs="Simplified Arabic" w:hint="cs"/>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كما حققت المملكة المرتبة الحادية عشرة عالمياً والأولى إقليمياً في مؤشر سلامة الذكاء الاصطناعي العالمي، مما يدل على أن التقدم التقني يسير بالتوازي مع بناء أطر حوكمة وأمان متينة</w:t>
      </w:r>
      <w:r w:rsidRPr="00CD4D05">
        <w:rPr>
          <w:rFonts w:ascii="Simplified Arabic" w:eastAsia="Times New Roman" w:hAnsi="Simplified Arabic" w:cs="Simplified Arabic"/>
          <w:kern w:val="0"/>
          <w:sz w:val="28"/>
          <w:szCs w:val="28"/>
          <w14:ligatures w14:val="none"/>
        </w:rPr>
        <w:t>.</w:t>
      </w:r>
    </w:p>
    <w:p w14:paraId="430EB281"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ومن أبرز المنجزات التطبيقية التي تعكس مرحلة النضج هذه، قيام سدايا بتطوير وإطلاق منظومة من التطبيقات الذكية التي أصبحت جزءاً لا يتجزأ من الحياة اليومية للمواطن والمقيم. ويأتي في مقدمتها تطبيق "توكلنا" الذي بدأ كمنصة لإدارة التصاريح خلال جائحة كوفيد-19، ثم تطوّر ليصبح منصة حكومية شاملة تدمج خدمات متعددة من جهات حكومية مختلفة في واجهة واحدة، حيث يجري حالياً دمج خدمات منصة "أبشر" فيه لتوفير تجربة خدمة موحدة ومتكاملة للمستخدم.</w:t>
      </w:r>
    </w:p>
    <w:p w14:paraId="21C147C0" w14:textId="56CE4A8C"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 xml:space="preserve"> وقد حقق هذا التطبيق المتكامل درجة 90.39</w:t>
      </w:r>
      <w:r w:rsidRPr="00CD4D05">
        <w:rPr>
          <w:rFonts w:ascii="Simplified Arabic" w:eastAsia="Times New Roman" w:hAnsi="Simplified Arabic" w:cs="Simplified Arabic"/>
          <w:kern w:val="0"/>
          <w:sz w:val="28"/>
          <w:szCs w:val="28"/>
          <w14:ligatures w14:val="none"/>
        </w:rPr>
        <w:t xml:space="preserve">% </w:t>
      </w:r>
      <w:r w:rsidRPr="00CD4D05">
        <w:rPr>
          <w:rFonts w:ascii="Simplified Arabic" w:eastAsia="Times New Roman" w:hAnsi="Simplified Arabic" w:cs="Simplified Arabic"/>
          <w:kern w:val="0"/>
          <w:sz w:val="28"/>
          <w:szCs w:val="28"/>
          <w:rtl/>
          <w14:ligatures w14:val="none"/>
        </w:rPr>
        <w:t xml:space="preserve">في مؤشر نضج تجربة المستخدم لعام 2024، وهو ما يعكس مستوى عالياً من التطور في تصميم الخدمات الرقمية المدعومة بالذكاء الاصطناعي. كذلك أطلقت </w:t>
      </w:r>
      <w:r w:rsidRPr="00CD4D05">
        <w:rPr>
          <w:rFonts w:ascii="Simplified Arabic" w:eastAsia="Times New Roman" w:hAnsi="Simplified Arabic" w:cs="Simplified Arabic"/>
          <w:kern w:val="0"/>
          <w:sz w:val="28"/>
          <w:szCs w:val="28"/>
          <w:rtl/>
          <w14:ligatures w14:val="none"/>
        </w:rPr>
        <w:lastRenderedPageBreak/>
        <w:t>سدايا تطبيقات أخرى مثل "إحسان" و"نفاذ"، وكل منها يوظف تقنيات الذكاء الاصطناعي في مجاله لتعزيز كفاءة الخدمة وتحسين تجربة المستفيد</w:t>
      </w:r>
      <w:r w:rsidRPr="00CD4D05">
        <w:rPr>
          <w:rFonts w:ascii="Simplified Arabic" w:eastAsia="Times New Roman" w:hAnsi="Simplified Arabic" w:cs="Simplified Arabic"/>
          <w:kern w:val="0"/>
          <w:sz w:val="28"/>
          <w:szCs w:val="28"/>
          <w14:ligatures w14:val="none"/>
        </w:rPr>
        <w:t>.</w:t>
      </w:r>
    </w:p>
    <w:p w14:paraId="0EEA53E4" w14:textId="4F294713" w:rsidR="00CD4D05" w:rsidRPr="00CD4D05" w:rsidRDefault="00A5503B"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CD4D05" w:rsidRPr="00CD4D05">
        <w:rPr>
          <w:rFonts w:ascii="Simplified Arabic" w:eastAsia="Times New Roman" w:hAnsi="Simplified Arabic" w:cs="Simplified Arabic"/>
          <w:kern w:val="0"/>
          <w:sz w:val="28"/>
          <w:szCs w:val="28"/>
          <w:rtl/>
          <w14:ligatures w14:val="none"/>
        </w:rPr>
        <w:t xml:space="preserve"> أطلقت سدايا برنامج "سُمَاي" (المليون سعودي في الذكاء الاصطناعي) لتأهيل كوادر وطنية متخصصة، إضافةً إلى معسكرات تدريبية مكثفة</w:t>
      </w:r>
      <w:r w:rsidR="00CD4D05" w:rsidRPr="00CD4D05">
        <w:rPr>
          <w:rFonts w:ascii="Simplified Arabic" w:eastAsia="Times New Roman" w:hAnsi="Simplified Arabic" w:cs="Simplified Arabic"/>
          <w:kern w:val="0"/>
          <w:sz w:val="28"/>
          <w:szCs w:val="28"/>
          <w14:ligatures w14:val="none"/>
        </w:rPr>
        <w:t xml:space="preserve"> (Bootcamps) </w:t>
      </w:r>
      <w:r w:rsidR="00CD4D05" w:rsidRPr="00CD4D05">
        <w:rPr>
          <w:rFonts w:ascii="Simplified Arabic" w:eastAsia="Times New Roman" w:hAnsi="Simplified Arabic" w:cs="Simplified Arabic"/>
          <w:kern w:val="0"/>
          <w:sz w:val="28"/>
          <w:szCs w:val="28"/>
          <w:rtl/>
          <w14:ligatures w14:val="none"/>
        </w:rPr>
        <w:t>موجهة لموظفي القطاع الحكومي لتمكينهم من توظيف أدوات الذكاء الاصطناعي في أعمالهم اليومية</w:t>
      </w:r>
      <w:r>
        <w:rPr>
          <w:rFonts w:ascii="Simplified Arabic" w:eastAsia="Times New Roman" w:hAnsi="Simplified Arabic" w:cs="Simplified Arabic" w:hint="cs"/>
          <w:kern w:val="0"/>
          <w:sz w:val="28"/>
          <w:szCs w:val="28"/>
          <w:rtl/>
          <w14:ligatures w14:val="none"/>
        </w:rPr>
        <w:t>،</w:t>
      </w:r>
      <w:r w:rsidR="00CD4D05" w:rsidRPr="00CD4D05">
        <w:rPr>
          <w:rFonts w:ascii="Simplified Arabic" w:eastAsia="Times New Roman" w:hAnsi="Simplified Arabic" w:cs="Simplified Arabic"/>
          <w:kern w:val="0"/>
          <w:sz w:val="28"/>
          <w:szCs w:val="28"/>
          <w14:ligatures w14:val="none"/>
        </w:rPr>
        <w:t xml:space="preserve"> </w:t>
      </w:r>
      <w:r w:rsidR="00CD4D05" w:rsidRPr="00CD4D05">
        <w:rPr>
          <w:rFonts w:ascii="Simplified Arabic" w:eastAsia="Times New Roman" w:hAnsi="Simplified Arabic" w:cs="Simplified Arabic"/>
          <w:kern w:val="0"/>
          <w:sz w:val="28"/>
          <w:szCs w:val="28"/>
          <w:rtl/>
          <w14:ligatures w14:val="none"/>
        </w:rPr>
        <w:t>كما نظمت المملكة ثلاث قمم عالمية للذكاء الاصطناعي منذ عام 2020 استقطبت أكثر من مئة ألف مشارك من مختلف أنحاء العالم، مما يعكس مكانة المملكة المتنامية كمركز إقليمي ودولي لصناعة الذكاء الاصطناعي</w:t>
      </w:r>
      <w:r>
        <w:rPr>
          <w:rFonts w:ascii="Simplified Arabic" w:eastAsia="Times New Roman" w:hAnsi="Simplified Arabic" w:cs="Simplified Arabic" w:hint="cs"/>
          <w:kern w:val="0"/>
          <w:sz w:val="28"/>
          <w:szCs w:val="28"/>
          <w:rtl/>
          <w14:ligatures w14:val="none"/>
        </w:rPr>
        <w:t>،</w:t>
      </w:r>
      <w:r w:rsidR="00CD4D05" w:rsidRPr="00CD4D05">
        <w:rPr>
          <w:rFonts w:ascii="Simplified Arabic" w:eastAsia="Times New Roman" w:hAnsi="Simplified Arabic" w:cs="Simplified Arabic"/>
          <w:kern w:val="0"/>
          <w:sz w:val="28"/>
          <w:szCs w:val="28"/>
          <w:rtl/>
          <w14:ligatures w14:val="none"/>
        </w:rPr>
        <w:t xml:space="preserve"> وقد أعلنت سدايا أيضاً عن إطلاق بيئة تنظيمية تجريبية</w:t>
      </w:r>
      <w:r w:rsidR="00CD4D05" w:rsidRPr="00CD4D05">
        <w:rPr>
          <w:rFonts w:ascii="Simplified Arabic" w:eastAsia="Times New Roman" w:hAnsi="Simplified Arabic" w:cs="Simplified Arabic"/>
          <w:kern w:val="0"/>
          <w:sz w:val="28"/>
          <w:szCs w:val="28"/>
          <w14:ligatures w14:val="none"/>
        </w:rPr>
        <w:t xml:space="preserve"> (Regulatory Sandbox) </w:t>
      </w:r>
      <w:r w:rsidR="00CD4D05" w:rsidRPr="00CD4D05">
        <w:rPr>
          <w:rFonts w:ascii="Simplified Arabic" w:eastAsia="Times New Roman" w:hAnsi="Simplified Arabic" w:cs="Simplified Arabic"/>
          <w:kern w:val="0"/>
          <w:sz w:val="28"/>
          <w:szCs w:val="28"/>
          <w:rtl/>
          <w14:ligatures w14:val="none"/>
        </w:rPr>
        <w:t>عام 2025 تتيح للمؤسسات اختبار حلول الذكاء الاصطناعي في بيئة آمنة قبل تعميمها، وهو ما يجسد نهجاً متقدماً في إدارة الابتكار التقني يوازن بين تشجيع التجريب والتحكم في المخاطر</w:t>
      </w:r>
      <w:r w:rsidR="00CD4D05" w:rsidRPr="00CD4D05">
        <w:rPr>
          <w:rFonts w:ascii="Simplified Arabic" w:eastAsia="Times New Roman" w:hAnsi="Simplified Arabic" w:cs="Simplified Arabic"/>
          <w:kern w:val="0"/>
          <w:sz w:val="28"/>
          <w:szCs w:val="28"/>
          <w14:ligatures w14:val="none"/>
        </w:rPr>
        <w:t>.</w:t>
      </w:r>
    </w:p>
    <w:p w14:paraId="4EA0FBB6" w14:textId="13C1BE12" w:rsid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ويُضيف (عبدالرحمن وآخرون، 2022) أنّ الذكاء الاصطناعي يُعزز القدرة التنافسية للمؤسسات الحكومية والخاصة على حدٍّ سواء، ويُسهم في جذب الاستثمارات الأجنبية وتطوير صناعات معرفية جديدة، وهو ما ينسجم مع طموح المملكة لتصبح ضمن أقوى خمسة عشر اقتصاداً في العالم</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14:ligatures w14:val="none"/>
        </w:rPr>
        <w:t xml:space="preserve"> </w:t>
      </w:r>
      <w:r w:rsidRPr="00CD4D05">
        <w:rPr>
          <w:rFonts w:ascii="Simplified Arabic" w:eastAsia="Times New Roman" w:hAnsi="Simplified Arabic" w:cs="Simplified Arabic"/>
          <w:kern w:val="0"/>
          <w:sz w:val="28"/>
          <w:szCs w:val="28"/>
          <w:rtl/>
          <w14:ligatures w14:val="none"/>
        </w:rPr>
        <w:t>وقد أكد (المحمّد، 2024) أنّ المملكة تستثمر بكثافة في البنية التحتية للحوسبة والبيانات، وتنظم مؤتمرات دولية، وتوفر برامج منح دراسية متخصصة، وتؤسس مراكز بحوث وحاضنات تقنية لتسريع تبني الذكاء الاصطناعي محلياً</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كما يُشير (السمان، 2024) إلى أنّ الذكاء الاصطناعي يخلق منصة مركزية لتبادل البيانات بين الجهات الحكومية المختلفة، مما يُفضي إلى تكامل الخدمات وتقديم تجربة موحدة للمواطن تتجاوز الحدود التنظيمية بين الوزارات والهيئات</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ويوضح (غربة، 2024) أنّ هذه التقنيات تدعم تنويع مصادر الدخل الوطني، ورفع إنتاجية القطاعات غير النفطية، وتطوير منتجات وخدمات مبتكرة قادرة على المنافسة في الأسواق الدولية</w:t>
      </w:r>
      <w:r w:rsidRPr="00CD4D05">
        <w:rPr>
          <w:rFonts w:ascii="Simplified Arabic" w:eastAsia="Times New Roman" w:hAnsi="Simplified Arabic" w:cs="Simplified Arabic"/>
          <w:kern w:val="0"/>
          <w:sz w:val="28"/>
          <w:szCs w:val="28"/>
          <w14:ligatures w14:val="none"/>
        </w:rPr>
        <w:t>.</w:t>
      </w:r>
    </w:p>
    <w:p w14:paraId="12134C59" w14:textId="77777777" w:rsidR="00234A82" w:rsidRDefault="00234A82"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788CA196" w14:textId="77777777" w:rsidR="00234A82" w:rsidRDefault="00234A82"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5487ECBC"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F833FD6"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0DA050DE"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031062E" w14:textId="77777777" w:rsidR="00234A82" w:rsidRPr="00234A82" w:rsidRDefault="00234A82" w:rsidP="00234A82">
      <w:pPr>
        <w:spacing w:before="100" w:beforeAutospacing="1" w:after="100" w:afterAutospacing="1" w:line="240" w:lineRule="auto"/>
        <w:jc w:val="center"/>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المبحث الثاني: سلسلة القيمة التشغيلية في المؤسسات الحكومية الكبرى</w:t>
      </w:r>
    </w:p>
    <w:p w14:paraId="2541E2CC"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تمهيد</w:t>
      </w:r>
    </w:p>
    <w:p w14:paraId="6936B81B"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 xml:space="preserve">شهدت بيئة العمل المؤسسي خلال العقود الأخيرة تحولات جوهرية أعادت تشكيل الطريقة التي تُنتَج بها الخدمات وتُقدَّم للمستفيدين، وأصبحت المؤسسات الحكومية الكبرى تواجه ضغوطاً متزايدة لتحسين كفاءتها التشغيلية وتعظيم القيمة المقدمة للمواطنين في ظل محدودية الموارد المالية وتصاعد التوقعات المجتمعية. ولم يعد يكفي أن تؤدي هذه المؤسسات مهامها التقليدية بالأساليب المعتادة، بل باتت مطالبة بتبني مداخل إدارية حديثة تُمكّنها من تحليل أنشطتها الداخلية بدقة، وتحديد مواطن الهدر والضعف، وتوجيه الموارد نحو الأنشطة التي تُولّد القيمة الأعلى. وفي هذا السياق، يبرز مفهوم سلسلة القيمة التشغيلية بوصفه إطاراً تحليلياً استراتيجياً يُتيح تفكيك العمليات المؤسسية إلى أنشطة متمايزة ومترابطة، وقياس مساهمة كل نشاط في خلق القيمة النهائية للمستفيد. </w:t>
      </w:r>
    </w:p>
    <w:p w14:paraId="6BA66D4B" w14:textId="7341D46C"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ويتناول هذا المبحث مفهوم سلسلة القيمة التشغيلية وتعريفاتها المتنوعة، وأهميتها في السياق المؤسسي الحكومي، وأهدافها وأنواعها وخصائصها، ثم يتعمق في أبعادها الأساسية التي تشكل المتغير التابع في هذه الدراسة، مع إبراز العلاقة بين هذه الأبعاد وإمكانية تعزيزها بتقنيات الذكاء الاصطناعي في المؤسسات الحكومية الكبرى بالمملكة العربية السعودية</w:t>
      </w:r>
      <w:r w:rsidRPr="00234A82">
        <w:rPr>
          <w:rFonts w:ascii="Simplified Arabic" w:eastAsia="Times New Roman" w:hAnsi="Simplified Arabic" w:cs="Simplified Arabic"/>
          <w:kern w:val="0"/>
          <w:sz w:val="28"/>
          <w:szCs w:val="28"/>
          <w14:ligatures w14:val="none"/>
        </w:rPr>
        <w:t>.</w:t>
      </w:r>
    </w:p>
    <w:p w14:paraId="65A4B923"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أولاً: مفهوم سلسلة القيمة التشغيلية</w:t>
      </w:r>
    </w:p>
    <w:p w14:paraId="7F9A812C"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يُعدّ مفهوم سلسلة القيمة من أكثر المفاهيم الإدارية تأثيراً في حقل الإدارة الاستراتيجية وإدارة العمليات، وقد تعددت تعريفاته بتعدد المدارس الفكرية والسياقات التطبيقية التي تناولته</w:t>
      </w:r>
      <w:r w:rsidR="00A5503B">
        <w:rPr>
          <w:rFonts w:ascii="Simplified Arabic" w:eastAsia="Times New Roman" w:hAnsi="Simplified Arabic" w:cs="Simplified Arabic" w:hint="cs"/>
          <w:kern w:val="0"/>
          <w:sz w:val="28"/>
          <w:szCs w:val="28"/>
          <w:rtl/>
          <w14:ligatures w14:val="none"/>
        </w:rPr>
        <w:t>،</w:t>
      </w:r>
      <w:r w:rsidRPr="00234A82">
        <w:rPr>
          <w:rFonts w:ascii="Simplified Arabic" w:eastAsia="Times New Roman" w:hAnsi="Simplified Arabic" w:cs="Simplified Arabic"/>
          <w:kern w:val="0"/>
          <w:sz w:val="28"/>
          <w:szCs w:val="28"/>
          <w:rtl/>
          <w14:ligatures w14:val="none"/>
        </w:rPr>
        <w:t xml:space="preserve"> ويُعزى الفضل في تأسيس هذا المفهوم إلى مايكل بورتر</w:t>
      </w:r>
      <w:r w:rsidRPr="00234A82">
        <w:rPr>
          <w:rFonts w:ascii="Simplified Arabic" w:eastAsia="Times New Roman" w:hAnsi="Simplified Arabic" w:cs="Simplified Arabic"/>
          <w:kern w:val="0"/>
          <w:sz w:val="28"/>
          <w:szCs w:val="28"/>
          <w14:ligatures w14:val="none"/>
        </w:rPr>
        <w:t xml:space="preserve"> (Porter, 1985) </w:t>
      </w:r>
      <w:r w:rsidRPr="00234A82">
        <w:rPr>
          <w:rFonts w:ascii="Simplified Arabic" w:eastAsia="Times New Roman" w:hAnsi="Simplified Arabic" w:cs="Simplified Arabic"/>
          <w:kern w:val="0"/>
          <w:sz w:val="28"/>
          <w:szCs w:val="28"/>
          <w:rtl/>
          <w14:ligatures w14:val="none"/>
        </w:rPr>
        <w:t>الذي قدّمه في كتابه الشهير "الميزة التنافسية" بوصفه أداة تحليلية استراتيجية تُمكّن المؤسسات من تفكيك أنشطتها الداخلية إلى مجموعة من العمليات المتتابعة والمترابطة، بهدف فهم كيفية خلق القيمة في كل مرحلة وتحديد مصادر الميزة التنافسية.</w:t>
      </w:r>
    </w:p>
    <w:p w14:paraId="7B5F5A5D" w14:textId="75169D3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lastRenderedPageBreak/>
        <w:t xml:space="preserve"> وقد ميّز بورتر بين نوعين أساسيين من الأنشطة: الأنشطة الأساسية التي تشمل اللوجستيات الداخلية والعمليات التشغيلية واللوجستيات الخارجية والتسويق والمبيعات وخدمات ما بعد البيع، والأنشطة الداعمة التي تتضمن البنية التحتية للمؤسسة وإدارة الموارد البشرية والتطوير التقني والمشتريات، وتتفاعل هذه الأنشطة فيما بينها لتشكيل منظومة متكاملة تُحدد مستوى القيمة المُضافة التي تُقدّمها المؤسسة لعملائها أو مستفيديها</w:t>
      </w:r>
      <w:r w:rsidRPr="00234A82">
        <w:rPr>
          <w:rFonts w:ascii="Simplified Arabic" w:eastAsia="Times New Roman" w:hAnsi="Simplified Arabic" w:cs="Simplified Arabic"/>
          <w:kern w:val="0"/>
          <w:sz w:val="28"/>
          <w:szCs w:val="28"/>
          <w14:ligatures w14:val="none"/>
        </w:rPr>
        <w:t>.</w:t>
      </w:r>
    </w:p>
    <w:p w14:paraId="141A9C25" w14:textId="655A83B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وقد عرّف</w:t>
      </w:r>
      <w:r w:rsidRPr="00234A82">
        <w:rPr>
          <w:rFonts w:ascii="Simplified Arabic" w:eastAsia="Times New Roman" w:hAnsi="Simplified Arabic" w:cs="Simplified Arabic"/>
          <w:kern w:val="0"/>
          <w:sz w:val="28"/>
          <w:szCs w:val="28"/>
          <w14:ligatures w14:val="none"/>
        </w:rPr>
        <w:t xml:space="preserve"> (Tyapukhin, 2023) </w:t>
      </w:r>
      <w:r w:rsidRPr="00234A82">
        <w:rPr>
          <w:rFonts w:ascii="Simplified Arabic" w:eastAsia="Times New Roman" w:hAnsi="Simplified Arabic" w:cs="Simplified Arabic"/>
          <w:kern w:val="0"/>
          <w:sz w:val="28"/>
          <w:szCs w:val="28"/>
          <w:rtl/>
          <w14:ligatures w14:val="none"/>
        </w:rPr>
        <w:t xml:space="preserve">سلسلة القيمة بأنها منظومة متكاملة لإدارة أنواع متعددة من السلاسل تتجاوز المنظور اللوجستي التقليدي لسلسلة الإمداد، لتشمل إدارة سلاسل القيمة وسلاسل الابتكار وسلاسل الطلب وسلاسل العرض، حيث يتطلب كل نوع من هذه السلاسل نمطاً إدارياً مختلفاً ومتغيرات تحكّم خاصة به. </w:t>
      </w:r>
    </w:p>
    <w:p w14:paraId="5BE502BE" w14:textId="5C7C2B18"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وعرّف</w:t>
      </w:r>
      <w:r w:rsidRPr="00234A82">
        <w:rPr>
          <w:rFonts w:ascii="Simplified Arabic" w:eastAsia="Times New Roman" w:hAnsi="Simplified Arabic" w:cs="Simplified Arabic"/>
          <w:kern w:val="0"/>
          <w:sz w:val="28"/>
          <w:szCs w:val="28"/>
          <w14:ligatures w14:val="none"/>
        </w:rPr>
        <w:t xml:space="preserve"> (Naas &amp; Berass, 2024) </w:t>
      </w:r>
      <w:r w:rsidRPr="00234A82">
        <w:rPr>
          <w:rFonts w:ascii="Simplified Arabic" w:eastAsia="Times New Roman" w:hAnsi="Simplified Arabic" w:cs="Simplified Arabic"/>
          <w:kern w:val="0"/>
          <w:sz w:val="28"/>
          <w:szCs w:val="28"/>
          <w:rtl/>
          <w14:ligatures w14:val="none"/>
        </w:rPr>
        <w:t xml:space="preserve">سلسلة القيمة بأنها الإطار الذي يُتيح تفكيك أنشطة المؤسسة بدءاً من التوريد وصولاً إلى التوزيع، بهدف تقييم مساهمة كل نشاط في خلق القيمة للعميل أو المستفيد. وقد أوضحا أنّ تحليل سلسلة القيمة يكشف عن أوجه الترابط بين الأنشطة ويُحدد نقاط الاحتكاك التي تُعيق الكفاءة الكلية، كما يُسهم في اكتشاف فرص التحسين في مجالات الجودة ورضا المستفيدين والكفاءة التشغيلية. </w:t>
      </w:r>
    </w:p>
    <w:p w14:paraId="7BA721EA" w14:textId="228E1E3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أما</w:t>
      </w:r>
      <w:r w:rsidRPr="00234A82">
        <w:rPr>
          <w:rFonts w:ascii="Simplified Arabic" w:eastAsia="Times New Roman" w:hAnsi="Simplified Arabic" w:cs="Simplified Arabic"/>
          <w:kern w:val="0"/>
          <w:sz w:val="28"/>
          <w:szCs w:val="28"/>
          <w14:ligatures w14:val="none"/>
        </w:rPr>
        <w:t xml:space="preserve"> (Mboyo et al., 2025) </w:t>
      </w:r>
      <w:r w:rsidRPr="00234A82">
        <w:rPr>
          <w:rFonts w:ascii="Simplified Arabic" w:eastAsia="Times New Roman" w:hAnsi="Simplified Arabic" w:cs="Simplified Arabic"/>
          <w:kern w:val="0"/>
          <w:sz w:val="28"/>
          <w:szCs w:val="28"/>
          <w:rtl/>
          <w14:ligatures w14:val="none"/>
        </w:rPr>
        <w:t xml:space="preserve">فقد تناولا سلسلة القيمة من منظور تشغيلي تكاليفي بحت، وعرّفاها بأنها سلسلة متتابعة من الوحدات التشغيلية التي تُنفَّذ عبرها العمليات من المرحلة الأولى إلى المرحلة الأخيرة، حيث تتحمل كل وحدة تشغيلية نصيباً محدداً من التكاليف يُحدَّد بناءً على محركات تكلفة رئيسة خاصة بها. </w:t>
      </w:r>
    </w:p>
    <w:p w14:paraId="55CD079E"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وأضاف</w:t>
      </w:r>
      <w:r w:rsidRPr="00234A82">
        <w:rPr>
          <w:rFonts w:ascii="Simplified Arabic" w:eastAsia="Times New Roman" w:hAnsi="Simplified Arabic" w:cs="Simplified Arabic"/>
          <w:kern w:val="0"/>
          <w:sz w:val="28"/>
          <w:szCs w:val="28"/>
          <w14:ligatures w14:val="none"/>
        </w:rPr>
        <w:t xml:space="preserve"> (Ghadir et al., 2024) </w:t>
      </w:r>
      <w:r w:rsidRPr="00234A82">
        <w:rPr>
          <w:rFonts w:ascii="Simplified Arabic" w:eastAsia="Times New Roman" w:hAnsi="Simplified Arabic" w:cs="Simplified Arabic"/>
          <w:kern w:val="0"/>
          <w:sz w:val="28"/>
          <w:szCs w:val="28"/>
          <w:rtl/>
          <w14:ligatures w14:val="none"/>
        </w:rPr>
        <w:t>بُعداً رقمياً معاصراً لمفهوم سلسلة القيمة، حيث عرّفها بأنها منظومة ديناميكية ذكية تستخدم التحليلات التنبؤية والتوائم الرقمية والرؤية الآنية لتحسين كل حلقة من حلقات القيمة في الزمن الحقيقي، بدلاً من كونها نموذجاً خطياً ثابتاً يُحلَّل دورياً. وأشاروا إلى أنّ التحول الرقمي وتقنيات الذكاء الاصطناعي أعادا تعريف سلسلة القيمة لتصبح قادرة على التكيف الآني مع المتغيرات الداخلية والخارجية، مما يُحقق مستويات غير مسبوقة من الشفافية التشغيلية والتحسين المستمر</w:t>
      </w:r>
      <w:r w:rsidRPr="00234A82">
        <w:rPr>
          <w:rFonts w:ascii="Simplified Arabic" w:eastAsia="Times New Roman" w:hAnsi="Simplified Arabic" w:cs="Simplified Arabic"/>
          <w:kern w:val="0"/>
          <w:sz w:val="28"/>
          <w:szCs w:val="28"/>
          <w14:ligatures w14:val="none"/>
        </w:rPr>
        <w:t>.</w:t>
      </w:r>
    </w:p>
    <w:p w14:paraId="0B83D0AD"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lastRenderedPageBreak/>
        <w:t xml:space="preserve">وبالنظر إلى تطور المفهوم عبر الإسهامات المتعددة، يتضح أنّ سلسلة القيمة انتقلت من إطار تحليلي داخلي ثابت يركّز على تفكيك الأنشطة وتحديد مصادر الميزة التنافسية كما طرحه بورتر، إلى منظومة متكاملة وديناميكية تشمل أبعاداً تنظيمية وتكاليفية ورقمية وابتكارية. </w:t>
      </w:r>
    </w:p>
    <w:p w14:paraId="576B0CC3" w14:textId="40EF5ACE"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وبناءً على ما سبق من تعريفات وأطروحات، واستناداً إلى استقراء الإسهامات النظرية المتعددة التي تناولت هذا المفهوم من زوايا مختلفة، تستخلص الباحثة تعريفاً إجرائياً لسلسلة القيمة التشغيلية في المؤسسات الحكومية الكبرى بأنها</w:t>
      </w:r>
      <w:r w:rsidRPr="00234A82">
        <w:rPr>
          <w:rFonts w:ascii="Simplified Arabic" w:eastAsia="Times New Roman" w:hAnsi="Simplified Arabic" w:cs="Simplified Arabic"/>
          <w:kern w:val="0"/>
          <w:sz w:val="28"/>
          <w:szCs w:val="28"/>
          <w14:ligatures w14:val="none"/>
        </w:rPr>
        <w:t xml:space="preserve">: </w:t>
      </w:r>
      <w:r w:rsidRPr="00234A82">
        <w:rPr>
          <w:rFonts w:ascii="Simplified Arabic" w:eastAsia="Times New Roman" w:hAnsi="Simplified Arabic" w:cs="Simplified Arabic"/>
          <w:b/>
          <w:bCs/>
          <w:kern w:val="0"/>
          <w:sz w:val="28"/>
          <w:szCs w:val="28"/>
          <w14:ligatures w14:val="none"/>
        </w:rPr>
        <w:t>"</w:t>
      </w:r>
      <w:r w:rsidRPr="00234A82">
        <w:rPr>
          <w:rFonts w:ascii="Simplified Arabic" w:eastAsia="Times New Roman" w:hAnsi="Simplified Arabic" w:cs="Simplified Arabic"/>
          <w:b/>
          <w:bCs/>
          <w:kern w:val="0"/>
          <w:sz w:val="28"/>
          <w:szCs w:val="28"/>
          <w:rtl/>
          <w14:ligatures w14:val="none"/>
        </w:rPr>
        <w:t>منظومة متكاملة ومتتابعة من الأنشطة الأساسية والداعمة التي تنفذها المؤسسة الحكومية لتحويل المدخلات من موارد مالية وبشرية ومعلوماتية وتقنية إلى مخرجات ذات قيمة مُضافة للمستفيدين تتمثل في خدمات حكومية عالية الجودة، وتشمل هذه المنظومة عمليات استقبال الطلبات وتصنيفها وتوجيهها (اللوجستيات الداخلية)، ومعالجتها ومراجعتها واعتمادها (العمليات التشغيلية الأساسية</w:t>
      </w:r>
      <w:r w:rsidRPr="00234A82">
        <w:rPr>
          <w:rFonts w:ascii="Simplified Arabic" w:eastAsia="Times New Roman" w:hAnsi="Simplified Arabic" w:cs="Simplified Arabic"/>
          <w:b/>
          <w:bCs/>
          <w:kern w:val="0"/>
          <w:sz w:val="28"/>
          <w:szCs w:val="28"/>
          <w14:ligatures w14:val="none"/>
        </w:rPr>
        <w:t>)</w:t>
      </w:r>
      <w:r w:rsidRPr="00234A82">
        <w:rPr>
          <w:rFonts w:ascii="Simplified Arabic" w:eastAsia="Times New Roman" w:hAnsi="Simplified Arabic" w:cs="Simplified Arabic"/>
          <w:b/>
          <w:bCs/>
          <w:kern w:val="0"/>
          <w:sz w:val="28"/>
          <w:szCs w:val="28"/>
          <w:rtl/>
          <w14:ligatures w14:val="none"/>
        </w:rPr>
        <w:t>، وإيصال المخرجات للمستفيدين عبر القنوات المتعددة (تقديم الخدمات)، ومتابعة رضاهم ومعالجة ملاحظاتهم (خدمات ما بعد التقديم والدعم المستمر)، بحيث يُسهم تحسين كفاءة كل حلقة وتعزيز التكامل فيما بينها في رفع الأداء الكلي للمؤسسة وتحقيق أهداف رؤية المملكة 2030 في بناء حكومة فاعلة ورشيقة تتمحور حول المستفيد</w:t>
      </w:r>
      <w:r w:rsidRPr="00234A82">
        <w:rPr>
          <w:rFonts w:ascii="Simplified Arabic" w:eastAsia="Times New Roman" w:hAnsi="Simplified Arabic" w:cs="Simplified Arabic"/>
          <w:b/>
          <w:bCs/>
          <w:kern w:val="0"/>
          <w:sz w:val="28"/>
          <w:szCs w:val="28"/>
          <w14:ligatures w14:val="none"/>
        </w:rPr>
        <w:t>."</w:t>
      </w:r>
    </w:p>
    <w:p w14:paraId="371F46D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092108">
        <w:rPr>
          <w:rFonts w:ascii="Simplified Arabic" w:eastAsia="Times New Roman" w:hAnsi="Simplified Arabic" w:cs="Simplified Arabic"/>
          <w:b/>
          <w:bCs/>
          <w:kern w:val="0"/>
          <w:sz w:val="28"/>
          <w:szCs w:val="28"/>
          <w:rtl/>
          <w14:ligatures w14:val="none"/>
        </w:rPr>
        <w:t>ثانياً: أهمية سلسلة القيمة التشغيلية في المؤسسات الحكومية الكبرى</w:t>
      </w:r>
    </w:p>
    <w:p w14:paraId="45EE2396" w14:textId="093F2B32"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تكتسب سلسلة القيمة التشغيلية أهمية استثنائية ومتنامية في سياق المؤسسات الحكومية الكبرى، وذلك بالنظر إلى الطبيعة المعقدة والمتشعبة لعمل هذه المؤسسات التي تتعامل يومياً مع ملايين المستفيدين وتدير موازنات ضخمة وتشغّل آلاف الموظفين عبر وحدات تنظيمية متعددة ومنتشرة جغرافياً</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فعلى خلاف مؤسسات القطاع الخاص التي تسعى لتعظيم هوامش الربح، فإنّ المؤسسات الحكومية تستهدف تعظيم القيمة العامة المقدمة للمواطن والمقيم ورفع مستوى رضاهم وتعزيز ثقتهم في الجهاز الحكومي، مما يجعل من تحليل سلسلة القيمة التشغيلية وتحسينها مسألة ذات أبعاد اجتماعية وتنموية وليست اقتصادية فحسب. وقد ازدادت هذه الأهمية في ظل توجّه المملكة العربية السعودية نحو تحقيق أهداف رؤية 2030 التي تتطلب من المؤسسات الحكومية الكبرى مستويات غير مسبوقة من الكفاءة والشفافية والرشاقة في تقديم الخدمات</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وفيما يلي عرض لأبرز جوانب أهمية سلسلة القيمة التشغيلية كما تناولتها الدراسات المرجعية للمتغير التابع في هذه الدراسة</w:t>
      </w:r>
      <w:r w:rsidRPr="00092108">
        <w:rPr>
          <w:rFonts w:ascii="Simplified Arabic" w:eastAsia="Times New Roman" w:hAnsi="Simplified Arabic" w:cs="Simplified Arabic"/>
          <w:kern w:val="0"/>
          <w:sz w:val="28"/>
          <w:szCs w:val="28"/>
          <w14:ligatures w14:val="none"/>
        </w:rPr>
        <w:t>.</w:t>
      </w:r>
    </w:p>
    <w:p w14:paraId="0D090D18"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lastRenderedPageBreak/>
        <w:t>ويُشير</w:t>
      </w:r>
      <w:r w:rsidRPr="00092108">
        <w:rPr>
          <w:rFonts w:ascii="Simplified Arabic" w:eastAsia="Times New Roman" w:hAnsi="Simplified Arabic" w:cs="Simplified Arabic"/>
          <w:kern w:val="0"/>
          <w:sz w:val="28"/>
          <w:szCs w:val="28"/>
          <w14:ligatures w14:val="none"/>
        </w:rPr>
        <w:t xml:space="preserve"> (Naas &amp; Berass, 2024) </w:t>
      </w:r>
      <w:r w:rsidRPr="00092108">
        <w:rPr>
          <w:rFonts w:ascii="Simplified Arabic" w:eastAsia="Times New Roman" w:hAnsi="Simplified Arabic" w:cs="Simplified Arabic"/>
          <w:kern w:val="0"/>
          <w:sz w:val="28"/>
          <w:szCs w:val="28"/>
          <w:rtl/>
          <w14:ligatures w14:val="none"/>
        </w:rPr>
        <w:t>إلى أنّ أهمية تحليل سلسلة القيمة التشغيلية وتحسينها تتجلى في عدة محاور جوهرية</w:t>
      </w:r>
      <w:r w:rsidRPr="00092108">
        <w:rPr>
          <w:rFonts w:ascii="Simplified Arabic" w:eastAsia="Times New Roman" w:hAnsi="Simplified Arabic" w:cs="Simplified Arabic"/>
          <w:kern w:val="0"/>
          <w:sz w:val="28"/>
          <w:szCs w:val="28"/>
          <w14:ligatures w14:val="none"/>
        </w:rPr>
        <w:t>:</w:t>
      </w:r>
    </w:p>
    <w:p w14:paraId="2F48062B" w14:textId="69E3C6B4"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تحديد الأنشطة المُولّدة للقيمة وتعزيزها</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يُمكّن تحليل سلسلة القيمة من الوقوف بدقة على الأنشطة التي تُسهم بالقدر الأكبر في تلبية احتياجات المستفيدين وتحسين مستوى رضاهم، مما يُتيح للإدارة توجيه مواردها واهتمامها نحو هذه الأنشطة وتطويرها بشكل مستمر ومنهجي</w:t>
      </w:r>
      <w:r w:rsidR="00A5503B">
        <w:rPr>
          <w:rFonts w:ascii="Simplified Arabic" w:eastAsia="Times New Roman" w:hAnsi="Simplified Arabic" w:cs="Simplified Arabic" w:hint="cs"/>
          <w:kern w:val="0"/>
          <w:sz w:val="28"/>
          <w:szCs w:val="28"/>
          <w:rtl/>
          <w14:ligatures w14:val="none"/>
        </w:rPr>
        <w:t>،</w:t>
      </w:r>
      <w:r w:rsidRPr="00A5503B">
        <w:rPr>
          <w:rFonts w:ascii="Simplified Arabic" w:eastAsia="Times New Roman" w:hAnsi="Simplified Arabic" w:cs="Simplified Arabic"/>
          <w:kern w:val="0"/>
          <w:sz w:val="28"/>
          <w:szCs w:val="28"/>
          <w:rtl/>
          <w14:ligatures w14:val="none"/>
        </w:rPr>
        <w:t xml:space="preserve"> وفي المؤسسات الحكومية الكبرى، يعني هذا تحديد المراحل التي يُحقق فيها المستفيد أعلى قيمة مُدرَكة من الخدمة الحكومية، والتركيز على تحسينها وتسريعها وتبسيطها، بدلاً من توزيع الموارد بالتساوي على جميع الأنشطة بغض النظر عن مساهمتها الفعلية في خلق القيمة</w:t>
      </w:r>
      <w:r w:rsidRPr="00A5503B">
        <w:rPr>
          <w:rFonts w:ascii="Simplified Arabic" w:eastAsia="Times New Roman" w:hAnsi="Simplified Arabic" w:cs="Simplified Arabic"/>
          <w:kern w:val="0"/>
          <w:sz w:val="28"/>
          <w:szCs w:val="28"/>
          <w14:ligatures w14:val="none"/>
        </w:rPr>
        <w:t>.</w:t>
      </w:r>
    </w:p>
    <w:p w14:paraId="79217F27" w14:textId="6E9244A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الكشف عن أوجه الترابط بين الأنشطة وتحديد نقاط الاحتكاك</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يُسهم تحليل سلسلة القيمة في إماطة اللثام عن الروابط والتبعيات الخفية بين الأنشطة المختلفة داخل المؤسسة، ويُحدد بوضوح نقاط الاحتكاك والاختناق التي تُعيق التدفق السلس للعمليات وتُولّد هدراً في الوقت والموارد</w:t>
      </w:r>
      <w:r w:rsidR="00A5503B">
        <w:rPr>
          <w:rFonts w:ascii="Simplified Arabic" w:eastAsia="Times New Roman" w:hAnsi="Simplified Arabic" w:cs="Simplified Arabic" w:hint="cs"/>
          <w:kern w:val="0"/>
          <w:sz w:val="28"/>
          <w:szCs w:val="28"/>
          <w:rtl/>
          <w14:ligatures w14:val="none"/>
        </w:rPr>
        <w:t>،</w:t>
      </w:r>
      <w:r w:rsidRPr="00A5503B">
        <w:rPr>
          <w:rFonts w:ascii="Simplified Arabic" w:eastAsia="Times New Roman" w:hAnsi="Simplified Arabic" w:cs="Simplified Arabic"/>
          <w:kern w:val="0"/>
          <w:sz w:val="28"/>
          <w:szCs w:val="28"/>
          <w:rtl/>
          <w14:ligatures w14:val="none"/>
        </w:rPr>
        <w:t xml:space="preserve"> وقد أكد الباحثان أنّ الرقابة الإدارية بوصفها أداة استراتيجية تُمكّن من تحديد مناطق الهدر وضعف الأداء التي تُعيق كفاءة المؤسسة، ثم التوصية بإجراءات تصحيحية مُستهدفة لتعظيم القيمة المُضافة في كل خطوة من خطوات العملية، وهو ما يكتسب أهمية بالغة في المؤسسات الحكومية ذات المستويات الإدارية المتعددة والإجراءات المتشعبة</w:t>
      </w:r>
      <w:r w:rsidRPr="00A5503B">
        <w:rPr>
          <w:rFonts w:ascii="Simplified Arabic" w:eastAsia="Times New Roman" w:hAnsi="Simplified Arabic" w:cs="Simplified Arabic"/>
          <w:kern w:val="0"/>
          <w:sz w:val="28"/>
          <w:szCs w:val="28"/>
          <w14:ligatures w14:val="none"/>
        </w:rPr>
        <w:t>.</w:t>
      </w:r>
    </w:p>
    <w:p w14:paraId="1985CFD6" w14:textId="77777777" w:rsidR="00A5503B" w:rsidRDefault="00092108" w:rsidP="005D731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اكتشاف فرص التحسين والابتكار</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يُساعد فحص كل حلقة من حلقات السلسلة بشكل منفصل ومتكامل في تحديد إمكانيات التطوير في مجالات الجودة والكفاءة التشغيلية ورضا المستفيدين، فضلاً عن دعم الابتكار واستدامة خلق القيمة من خلال تكييف سلسلة القيمة مع التغيرات التقنية والمجتمعية لتطوير خدمات حكومية جديدة ومبتكرة تستجيب لتطلعات المواطنين المتصاعدة. </w:t>
      </w:r>
    </w:p>
    <w:p w14:paraId="79A85A0E" w14:textId="35159F1C" w:rsidR="00092108" w:rsidRPr="00A5503B" w:rsidRDefault="00092108" w:rsidP="00A5503B">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kern w:val="0"/>
          <w:sz w:val="28"/>
          <w:szCs w:val="28"/>
          <w:rtl/>
          <w14:ligatures w14:val="none"/>
        </w:rPr>
        <w:t>ويرى</w:t>
      </w:r>
      <w:r w:rsidRPr="00A5503B">
        <w:rPr>
          <w:rFonts w:ascii="Simplified Arabic" w:eastAsia="Times New Roman" w:hAnsi="Simplified Arabic" w:cs="Simplified Arabic"/>
          <w:kern w:val="0"/>
          <w:sz w:val="28"/>
          <w:szCs w:val="28"/>
          <w14:ligatures w14:val="none"/>
        </w:rPr>
        <w:t xml:space="preserve"> (Tyapukhin, 2023) </w:t>
      </w:r>
      <w:r w:rsidRPr="00A5503B">
        <w:rPr>
          <w:rFonts w:ascii="Simplified Arabic" w:eastAsia="Times New Roman" w:hAnsi="Simplified Arabic" w:cs="Simplified Arabic"/>
          <w:kern w:val="0"/>
          <w:sz w:val="28"/>
          <w:szCs w:val="28"/>
          <w:rtl/>
          <w14:ligatures w14:val="none"/>
        </w:rPr>
        <w:t>أنّ أهمية سلسلة القيمة التشغيلية تتعاظم بشكل جوهري عندما يتم النظر إليها ضمن إطار مفاهيمي متكامل لا يقتصر على سلسلة القيمة ذاتها، بل يشمل أيضاً سلاسل الابتكار والطلب والعرض باعتبارها منظومة مترابطة لا يمكن فصل مكوناتها</w:t>
      </w:r>
      <w:r w:rsidRPr="00A5503B">
        <w:rPr>
          <w:rFonts w:ascii="Simplified Arabic" w:eastAsia="Times New Roman" w:hAnsi="Simplified Arabic" w:cs="Simplified Arabic"/>
          <w:kern w:val="0"/>
          <w:sz w:val="28"/>
          <w:szCs w:val="28"/>
          <w14:ligatures w14:val="none"/>
        </w:rPr>
        <w:t>:</w:t>
      </w:r>
    </w:p>
    <w:p w14:paraId="4A93B5DC" w14:textId="3D66DA35"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تقليل الخسائر من خلال التوزيع الرشيد للوظائف والصلاحيات</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يؤكد أنّ التوزيع المنهجي للوظائف والصلاحيات والمسؤوليات بين حلقات السلسلة المختلفة، وإزالة الحواجز الوظيفية </w:t>
      </w:r>
      <w:r w:rsidRPr="00A5503B">
        <w:rPr>
          <w:rFonts w:ascii="Simplified Arabic" w:eastAsia="Times New Roman" w:hAnsi="Simplified Arabic" w:cs="Simplified Arabic"/>
          <w:kern w:val="0"/>
          <w:sz w:val="28"/>
          <w:szCs w:val="28"/>
          <w:rtl/>
          <w14:ligatures w14:val="none"/>
        </w:rPr>
        <w:lastRenderedPageBreak/>
        <w:t>المتقاطعة بين الأنشطة، يُقلّل من الأرباح الضائعة والموارد المُهدرة ويُحسّن الأداء الكلي للمنظومة. وهذه الأهمية تتضاعف في المؤسسات الحكومية الكبرى التي تتميز ببيروقراطية تنظيمية وتعدد مستويات إدارية، حيث تُشكّل العزلة التنظيمية بين الإدارات واحداً من أكبر معوقات الكفاءة</w:t>
      </w:r>
      <w:r w:rsidRPr="00A5503B">
        <w:rPr>
          <w:rFonts w:ascii="Simplified Arabic" w:eastAsia="Times New Roman" w:hAnsi="Simplified Arabic" w:cs="Simplified Arabic"/>
          <w:kern w:val="0"/>
          <w:sz w:val="28"/>
          <w:szCs w:val="28"/>
          <w14:ligatures w14:val="none"/>
        </w:rPr>
        <w:t>.</w:t>
      </w:r>
    </w:p>
    <w:p w14:paraId="1FB48C9E" w14:textId="7C45E3B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بناء جهاز مفاهيمي ومصطلحي موحّد لإدارة السلسلة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يُبرز أنّ أهمية سلسلة القيمة تمتد إلى الجانب المعرفي والتنظيمي، حيث إنّ تطوير مصطلحات وهياكل ومفاهيم واضحة لإدارة السلسلة يُسهم في تحسين التواصل بين مختلف الأطراف المعنية وتقليل سوء الفهم الذي يُفضي إلى أخطاء تشغيلية وتأخيرات في تقديم الخدمات</w:t>
      </w:r>
      <w:r w:rsidRPr="00A5503B">
        <w:rPr>
          <w:rFonts w:ascii="Simplified Arabic" w:eastAsia="Times New Roman" w:hAnsi="Simplified Arabic" w:cs="Simplified Arabic"/>
          <w:kern w:val="0"/>
          <w:sz w:val="28"/>
          <w:szCs w:val="28"/>
          <w14:ligatures w14:val="none"/>
        </w:rPr>
        <w:t>.</w:t>
      </w:r>
    </w:p>
    <w:p w14:paraId="6C835F1D" w14:textId="7F3162D2"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تمكين الإدارة المتكاملة لأنواع القيمة المختلفة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يوضح أنّ سلسلة القيمة لا تُولّد نوعاً واحداً من القيمة، بل أنواعاً متعددة تشمل القيمة الاقتصادية والخدمية والاجتماعية والابتكارية، وأنّ كل نوع يتطلب أسلوب إدارة مختلفاً وآليات قياس خاصة، </w:t>
      </w:r>
      <w:r w:rsidR="00A5503B">
        <w:rPr>
          <w:rFonts w:ascii="Simplified Arabic" w:eastAsia="Times New Roman" w:hAnsi="Simplified Arabic" w:cs="Simplified Arabic" w:hint="cs"/>
          <w:kern w:val="0"/>
          <w:sz w:val="28"/>
          <w:szCs w:val="28"/>
          <w:rtl/>
          <w14:ligatures w14:val="none"/>
        </w:rPr>
        <w:t>و</w:t>
      </w:r>
      <w:r w:rsidRPr="00A5503B">
        <w:rPr>
          <w:rFonts w:ascii="Simplified Arabic" w:eastAsia="Times New Roman" w:hAnsi="Simplified Arabic" w:cs="Simplified Arabic"/>
          <w:kern w:val="0"/>
          <w:sz w:val="28"/>
          <w:szCs w:val="28"/>
          <w:rtl/>
          <w14:ligatures w14:val="none"/>
        </w:rPr>
        <w:t>يعني هذا أنّ المؤسسة لا تُقدّم قيمة خدمية فحسب، بل تُسهم أيضاً في خلق قيمة اجتماعية من خلال تعزيز العدالة والشمول، وقيمة تنموية من خلال دعم الاقتصاد المعرفي، مما يستوجب نظرة شمولية لسلسلة القيمة تتجاوز المقاييس التشغيلية التقليدية</w:t>
      </w:r>
      <w:r w:rsidRPr="00A5503B">
        <w:rPr>
          <w:rFonts w:ascii="Simplified Arabic" w:eastAsia="Times New Roman" w:hAnsi="Simplified Arabic" w:cs="Simplified Arabic"/>
          <w:kern w:val="0"/>
          <w:sz w:val="28"/>
          <w:szCs w:val="28"/>
          <w14:ligatures w14:val="none"/>
        </w:rPr>
        <w:t>.</w:t>
      </w:r>
    </w:p>
    <w:p w14:paraId="13A3C0D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ويُؤكد</w:t>
      </w:r>
      <w:r w:rsidRPr="00092108">
        <w:rPr>
          <w:rFonts w:ascii="Simplified Arabic" w:eastAsia="Times New Roman" w:hAnsi="Simplified Arabic" w:cs="Simplified Arabic"/>
          <w:kern w:val="0"/>
          <w:sz w:val="28"/>
          <w:szCs w:val="28"/>
          <w14:ligatures w14:val="none"/>
        </w:rPr>
        <w:t xml:space="preserve"> (Mboyo et al., 2025) </w:t>
      </w:r>
      <w:r w:rsidRPr="00092108">
        <w:rPr>
          <w:rFonts w:ascii="Simplified Arabic" w:eastAsia="Times New Roman" w:hAnsi="Simplified Arabic" w:cs="Simplified Arabic"/>
          <w:kern w:val="0"/>
          <w:sz w:val="28"/>
          <w:szCs w:val="28"/>
          <w:rtl/>
          <w14:ligatures w14:val="none"/>
        </w:rPr>
        <w:t>أنّ أهمية سلسلة القيمة التشغيلية تبرز بشكل خاص في بُعدها التكاليفي والتخطيطي، حيث يُوفّر تحليلها رؤى بالغة القيمة لصانعي القرار</w:t>
      </w:r>
      <w:r w:rsidRPr="00092108">
        <w:rPr>
          <w:rFonts w:ascii="Simplified Arabic" w:eastAsia="Times New Roman" w:hAnsi="Simplified Arabic" w:cs="Simplified Arabic"/>
          <w:kern w:val="0"/>
          <w:sz w:val="28"/>
          <w:szCs w:val="28"/>
          <w14:ligatures w14:val="none"/>
        </w:rPr>
        <w:t>:</w:t>
      </w:r>
    </w:p>
    <w:p w14:paraId="0C2A7883" w14:textId="325D1E13"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دعم التخطيط الاستراتيجي واتخاذ القرار المبني على البيانات</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يُتيح تحليل توزيع التكاليف على امتداد حلقات السلسلة فهماً تفصيلياً لكيفية استهلاك الموارد في كل مرحلة، مما يُزوّد صانعي القرار في المؤسسات الحكومية بقاعدة معلوماتية موضوعية لتحديد أولويات التحسين وتوجيه الاستثمارات التقنية نحو الحلقات التي تُحقق أعلى عائد وأثر ملموس في تحسين الخدمة</w:t>
      </w:r>
      <w:r w:rsidRPr="00A5503B">
        <w:rPr>
          <w:rFonts w:ascii="Simplified Arabic" w:eastAsia="Times New Roman" w:hAnsi="Simplified Arabic" w:cs="Simplified Arabic"/>
          <w:kern w:val="0"/>
          <w:sz w:val="28"/>
          <w:szCs w:val="28"/>
          <w14:ligatures w14:val="none"/>
        </w:rPr>
        <w:t>.</w:t>
      </w:r>
    </w:p>
    <w:p w14:paraId="545E0318" w14:textId="50051256"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تحديد محركات التكلفة الرئيسة في كل وحدة تشغيلية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يكشف التحليل التفصيلي عن العوامل الأكثر تأثيراً في تكاليف كل حلقة من حلقات السلسلة سواء كانت تكاليف طاقة أو صيانة أو عمالة أو مواد استهلاكية مما يُمكّن المؤسسة من التدخل المستهدف لمعالجة المحركات الأعلى تكلفة بدلاً من اللجوء إلى إجراءات خفض عشوائية قد تُضعف جودة الخدمة</w:t>
      </w:r>
      <w:r w:rsidRPr="00A5503B">
        <w:rPr>
          <w:rFonts w:ascii="Simplified Arabic" w:eastAsia="Times New Roman" w:hAnsi="Simplified Arabic" w:cs="Simplified Arabic"/>
          <w:kern w:val="0"/>
          <w:sz w:val="28"/>
          <w:szCs w:val="28"/>
          <w14:ligatures w14:val="none"/>
        </w:rPr>
        <w:t>.</w:t>
      </w:r>
    </w:p>
    <w:p w14:paraId="35A990D4" w14:textId="49B03C81"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توفير أساس موضوعي للمقارنة المرجعية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يُمكّن تحليل سلسلة القيمة التشغيلية من مقارنة أداء المؤسسة بالمعايير المرجعية القطاعية والدولية، مما يُعزّز المساءلة والشفافية وهما ركيزتان </w:t>
      </w:r>
      <w:r w:rsidRPr="00A5503B">
        <w:rPr>
          <w:rFonts w:ascii="Simplified Arabic" w:eastAsia="Times New Roman" w:hAnsi="Simplified Arabic" w:cs="Simplified Arabic"/>
          <w:kern w:val="0"/>
          <w:sz w:val="28"/>
          <w:szCs w:val="28"/>
          <w:rtl/>
          <w14:ligatures w14:val="none"/>
        </w:rPr>
        <w:lastRenderedPageBreak/>
        <w:t>أساسيتان في الحوكمة الحكومية الرشيدة ويُحدد الفجوات الأدائية التي تحتاج إلى معالجة، ويضع أهدافاً واقعية وقابلة للقياس لعملية التحسين المستمر</w:t>
      </w:r>
      <w:r w:rsidRPr="00A5503B">
        <w:rPr>
          <w:rFonts w:ascii="Simplified Arabic" w:eastAsia="Times New Roman" w:hAnsi="Simplified Arabic" w:cs="Simplified Arabic"/>
          <w:kern w:val="0"/>
          <w:sz w:val="28"/>
          <w:szCs w:val="28"/>
          <w14:ligatures w14:val="none"/>
        </w:rPr>
        <w:t>.</w:t>
      </w:r>
    </w:p>
    <w:p w14:paraId="57DF408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ويُضيف</w:t>
      </w:r>
      <w:r w:rsidRPr="00092108">
        <w:rPr>
          <w:rFonts w:ascii="Simplified Arabic" w:eastAsia="Times New Roman" w:hAnsi="Simplified Arabic" w:cs="Simplified Arabic"/>
          <w:kern w:val="0"/>
          <w:sz w:val="28"/>
          <w:szCs w:val="28"/>
          <w14:ligatures w14:val="none"/>
        </w:rPr>
        <w:t xml:space="preserve"> (Ghadir et al., 2024) </w:t>
      </w:r>
      <w:r w:rsidRPr="00092108">
        <w:rPr>
          <w:rFonts w:ascii="Simplified Arabic" w:eastAsia="Times New Roman" w:hAnsi="Simplified Arabic" w:cs="Simplified Arabic"/>
          <w:kern w:val="0"/>
          <w:sz w:val="28"/>
          <w:szCs w:val="28"/>
          <w:rtl/>
          <w14:ligatures w14:val="none"/>
        </w:rPr>
        <w:t>بُعداً معاصراً ونوعياً لأهمية سلسلة القيمة التشغيلية في ظل عصر التحول الرقمي والذكاء الاصطناعي</w:t>
      </w:r>
      <w:r w:rsidRPr="00092108">
        <w:rPr>
          <w:rFonts w:ascii="Simplified Arabic" w:eastAsia="Times New Roman" w:hAnsi="Simplified Arabic" w:cs="Simplified Arabic"/>
          <w:kern w:val="0"/>
          <w:sz w:val="28"/>
          <w:szCs w:val="28"/>
          <w14:ligatures w14:val="none"/>
        </w:rPr>
        <w:t>:</w:t>
      </w:r>
    </w:p>
    <w:p w14:paraId="2ABC0710" w14:textId="69B53712"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التحوّل من التحليل الدوري إلى المراقبة الآنية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يُشير إلى أنّ التقنيات الرقمية والذكاء الاصطناعي أضافا طبقة جديدة من الأهمية لتحليل سلسلة القيمة، حيث أصبح بالإمكان مراقبة أداء كل حلقة في الزمن الحقيقي بدلاً من الاكتفاء بتقارير دورية متأخرة، مما يُحوّل سلسلة القيمة من أداة تحليلية ساكنة تُستخدم بشكل موسمي إلى منظومة حية تُنبّه صانع القرار لحظة حدوث أي انحراف</w:t>
      </w:r>
      <w:r w:rsidRPr="00A5503B">
        <w:rPr>
          <w:rFonts w:ascii="Simplified Arabic" w:eastAsia="Times New Roman" w:hAnsi="Simplified Arabic" w:cs="Simplified Arabic"/>
          <w:kern w:val="0"/>
          <w:sz w:val="28"/>
          <w:szCs w:val="28"/>
          <w14:ligatures w14:val="none"/>
        </w:rPr>
        <w:t>.</w:t>
      </w:r>
    </w:p>
    <w:p w14:paraId="0A67C03D" w14:textId="14033895"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التنبؤ بالاختناقات قبل وقوعها</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يوضح أنّ النماذج التنبؤية المدعومة بالذكاء الاصطناعي تُمكّن من رصد المؤشرات المبكرة لاختناقات السلسلة والتنبؤ بها قبل أن تتحول إلى مشكلات فعلية تُعطّل تقديم الخدمات، وهو ما يُحوّل نهج إدارة السلسلة من رد الفعل إلى الاستباق والوقاية</w:t>
      </w:r>
      <w:r w:rsidRPr="00A5503B">
        <w:rPr>
          <w:rFonts w:ascii="Simplified Arabic" w:eastAsia="Times New Roman" w:hAnsi="Simplified Arabic" w:cs="Simplified Arabic"/>
          <w:kern w:val="0"/>
          <w:sz w:val="28"/>
          <w:szCs w:val="28"/>
          <w14:ligatures w14:val="none"/>
        </w:rPr>
        <w:t>.</w:t>
      </w:r>
    </w:p>
    <w:p w14:paraId="4946AC51" w14:textId="7FBB7B6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تحسين تدفق العمليات تلقائياً وتخصيص تجربة المستفيد</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يُبيّن أنّ سلاسل القيمة الرقمية المدعومة بالذكاء الاصطناعي قادرة على إعادة ضبط تدفق العمليات تلقائياً استجابةً للتغيرات الآنية في أحجام الطلب أو توافر الموارد، فضلاً عن تخصيص قنوات تقديم الخدمة ومحتواها بحسب تفضيلات كل مستفيد، مما يُحقق مستويات غير مسبوقة من المرونة التشغيلية وجودة تجربة المستفيد</w:t>
      </w:r>
      <w:r w:rsidRPr="00A5503B">
        <w:rPr>
          <w:rFonts w:ascii="Simplified Arabic" w:eastAsia="Times New Roman" w:hAnsi="Simplified Arabic" w:cs="Simplified Arabic"/>
          <w:kern w:val="0"/>
          <w:sz w:val="28"/>
          <w:szCs w:val="28"/>
          <w14:ligatures w14:val="none"/>
        </w:rPr>
        <w:t>.</w:t>
      </w:r>
    </w:p>
    <w:p w14:paraId="38CB75F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092108">
        <w:rPr>
          <w:rFonts w:ascii="Simplified Arabic" w:eastAsia="Times New Roman" w:hAnsi="Simplified Arabic" w:cs="Simplified Arabic"/>
          <w:b/>
          <w:bCs/>
          <w:kern w:val="0"/>
          <w:sz w:val="28"/>
          <w:szCs w:val="28"/>
          <w:rtl/>
          <w14:ligatures w14:val="none"/>
        </w:rPr>
        <w:t>ثالثاً: أهداف تحليل وتحسين سلسلة القيمة التشغيلية في المؤسسات الحكومية الكبرى</w:t>
      </w:r>
    </w:p>
    <w:p w14:paraId="7078F571" w14:textId="0AFE76D6" w:rsidR="00A5503B"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لا يُعدّ تحليل سلسلة القيمة التشغيلية غاية في حد ذاته، بل هو وسيلة منهجية تُوظّفها المؤسسات الحكومية الكبرى لتحقيق مجموعة من الأهداف المتكاملة التي تمتد عبر المستويات التشغيلية والإدارية والاستراتيجية. وتتباين هذه الأهداف في طبيعتها وأفقها الزمني، إلا أنها تتقاطع جميعها في سعيها المشترك نحو تعظيم القيمة المُدرَكة لدى المستفيد وتحقيق أعلى مستويات الكفاءة في استخدام الموارد العامة. </w:t>
      </w:r>
    </w:p>
    <w:p w14:paraId="4CF942FB" w14:textId="63D0890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يُحدّد</w:t>
      </w:r>
      <w:r w:rsidRPr="00092108">
        <w:rPr>
          <w:rFonts w:ascii="Simplified Arabic" w:eastAsia="Times New Roman" w:hAnsi="Simplified Arabic" w:cs="Simplified Arabic"/>
          <w:kern w:val="0"/>
          <w:sz w:val="28"/>
          <w:szCs w:val="28"/>
          <w14:ligatures w14:val="none"/>
        </w:rPr>
        <w:t xml:space="preserve"> (Naas &amp; Berass, 2024) </w:t>
      </w:r>
      <w:r w:rsidRPr="00092108">
        <w:rPr>
          <w:rFonts w:ascii="Simplified Arabic" w:eastAsia="Times New Roman" w:hAnsi="Simplified Arabic" w:cs="Simplified Arabic"/>
          <w:kern w:val="0"/>
          <w:sz w:val="28"/>
          <w:szCs w:val="28"/>
          <w:rtl/>
          <w14:ligatures w14:val="none"/>
        </w:rPr>
        <w:t>جملة من الأهداف التي يسعى تحليل سلسلة القيمة إلى تحقيقها من خلال توظيف أدوات الرقابة الإدارية</w:t>
      </w:r>
      <w:r w:rsidRPr="00092108">
        <w:rPr>
          <w:rFonts w:ascii="Simplified Arabic" w:eastAsia="Times New Roman" w:hAnsi="Simplified Arabic" w:cs="Simplified Arabic"/>
          <w:kern w:val="0"/>
          <w:sz w:val="28"/>
          <w:szCs w:val="28"/>
          <w14:ligatures w14:val="none"/>
        </w:rPr>
        <w:t>:</w:t>
      </w:r>
    </w:p>
    <w:p w14:paraId="118B77E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lastRenderedPageBreak/>
        <w:t>الكشف عن مناطق الهدر والأداء دون المستوى المطلوب</w:t>
      </w:r>
    </w:p>
    <w:p w14:paraId="2E8438F4" w14:textId="07953018"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يستهدف تحليل سلسلة القيمة بالدرجة الأولى إجراء مسح شامل ودقيق للعمليات الداخلية بحثاً عن الأنشطة التي تستنزف الموارد دون أن تُضيف قيمة حقيقية للمستفيد</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أوضح الباحثان أنّ الرقابة الإدارية بوصفها أداة تحليلية تُمكّن من تحديد الاختناقات والأنشطة منخفضة العائد بدقة، ومن ثمّ تصميم حلول تصحيحية مُستهدفة تُعالج الأسباب الجذرية وليس الأعراض الظاهرية فقط</w:t>
      </w:r>
      <w:r w:rsidR="00A5503B" w:rsidRPr="00092108">
        <w:rPr>
          <w:rFonts w:ascii="Simplified Arabic" w:eastAsia="Times New Roman" w:hAnsi="Simplified Arabic" w:cs="Simplified Arabic"/>
          <w:kern w:val="0"/>
          <w:sz w:val="28"/>
          <w:szCs w:val="28"/>
          <w:rtl/>
          <w14:ligatures w14:val="none"/>
        </w:rPr>
        <w:t xml:space="preserve"> </w:t>
      </w:r>
      <w:r w:rsidRPr="00092108">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t>و</w:t>
      </w:r>
      <w:r w:rsidRPr="00092108">
        <w:rPr>
          <w:rFonts w:ascii="Simplified Arabic" w:eastAsia="Times New Roman" w:hAnsi="Simplified Arabic" w:cs="Simplified Arabic"/>
          <w:kern w:val="0"/>
          <w:sz w:val="28"/>
          <w:szCs w:val="28"/>
          <w:rtl/>
          <w14:ligatures w14:val="none"/>
        </w:rPr>
        <w:t>يتجسد هذا الهدف في تحديد الإجراءات البيروقراطية المكررة والخطوات التي لا تُضيف قيمة في مسار المعاملة، والعمل على حذفها أو دمجها أو أتمتتها</w:t>
      </w:r>
      <w:r w:rsidRPr="00092108">
        <w:rPr>
          <w:rFonts w:ascii="Simplified Arabic" w:eastAsia="Times New Roman" w:hAnsi="Simplified Arabic" w:cs="Simplified Arabic"/>
          <w:kern w:val="0"/>
          <w:sz w:val="28"/>
          <w:szCs w:val="28"/>
          <w14:ligatures w14:val="none"/>
        </w:rPr>
        <w:t>.</w:t>
      </w:r>
    </w:p>
    <w:p w14:paraId="2189C687"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تنسيق الوظائف المؤسسية وتعزيز الكفاءة الجماعية</w:t>
      </w:r>
    </w:p>
    <w:p w14:paraId="3D91F35F" w14:textId="45E5C44C"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يتجاوز تحليل سلسلة القيمة مجرد تحسين الأنشطة المنفردة ليستهدف تحقيق التنسيق والتكامل بين مختلف وظائف المؤسسة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أكد الباحثان أنّ الرقابة الإدارية تلعب دوراً محورياً في تحقيق هذا التنسيق من خلال توفير مؤشرات أداء مشتركة وآليات تواصل شفافة، مما يُعزّز التعاون بين الإدارات ويُحوّل جهودها المتفرقة إلى منظومة عمل متسقة تُضاعف القدرة التنافسية للمؤسسة وفاعليتها في تقديم الخدمات</w:t>
      </w:r>
      <w:r w:rsidRPr="00092108">
        <w:rPr>
          <w:rFonts w:ascii="Simplified Arabic" w:eastAsia="Times New Roman" w:hAnsi="Simplified Arabic" w:cs="Simplified Arabic"/>
          <w:kern w:val="0"/>
          <w:sz w:val="28"/>
          <w:szCs w:val="28"/>
          <w14:ligatures w14:val="none"/>
        </w:rPr>
        <w:t>.</w:t>
      </w:r>
    </w:p>
    <w:p w14:paraId="2332648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تحويل البيانات إلى قرارات استراتيجية مدروسة</w:t>
      </w:r>
    </w:p>
    <w:p w14:paraId="5F480AF3" w14:textId="24D31BAF" w:rsidR="00A5503B"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يهدف تحليل سلسلة القيمة إلى تزويد الإدارة العليا بقاعدة معلوماتية غنية ومُحدّثة تُمكّنها من اتخاذ قرارات استراتيجية مبنية على حقائق وأدلة وليس على حدس أو تقديرات شخصية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وقد أظهر الباحثان في دراستهما الميدانية أنّ التكامل بين الرقابة الإدارية ونظام المعلومات في المؤسسة العمومية حقق مستوى إسهام بلغ 95% في نجاح المؤسسة، من خلال توفير مؤشرات مالية وتشغيلية رئيسة وتحليلات ملائمة تكشف عن </w:t>
      </w:r>
    </w:p>
    <w:p w14:paraId="4484DDD1" w14:textId="29A589AC" w:rsidR="00092108" w:rsidRPr="00092108"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092108" w:rsidRPr="00092108">
        <w:rPr>
          <w:rFonts w:ascii="Simplified Arabic" w:eastAsia="Times New Roman" w:hAnsi="Simplified Arabic" w:cs="Simplified Arabic"/>
          <w:kern w:val="0"/>
          <w:sz w:val="28"/>
          <w:szCs w:val="28"/>
          <w:rtl/>
          <w14:ligatures w14:val="none"/>
        </w:rPr>
        <w:t xml:space="preserve"> يُركّز</w:t>
      </w:r>
      <w:r w:rsidR="00092108" w:rsidRPr="00092108">
        <w:rPr>
          <w:rFonts w:ascii="Simplified Arabic" w:eastAsia="Times New Roman" w:hAnsi="Simplified Arabic" w:cs="Simplified Arabic"/>
          <w:kern w:val="0"/>
          <w:sz w:val="28"/>
          <w:szCs w:val="28"/>
          <w14:ligatures w14:val="none"/>
        </w:rPr>
        <w:t xml:space="preserve"> (Mboyo et al., 2025) </w:t>
      </w:r>
      <w:r w:rsidR="00092108" w:rsidRPr="00092108">
        <w:rPr>
          <w:rFonts w:ascii="Simplified Arabic" w:eastAsia="Times New Roman" w:hAnsi="Simplified Arabic" w:cs="Simplified Arabic"/>
          <w:kern w:val="0"/>
          <w:sz w:val="28"/>
          <w:szCs w:val="28"/>
          <w:rtl/>
          <w14:ligatures w14:val="none"/>
        </w:rPr>
        <w:t>على أهداف ذات صلة مباشرة بترشيد الموارد وتحسين اقتصاديات التشغيل</w:t>
      </w:r>
      <w:r w:rsidR="00092108" w:rsidRPr="00092108">
        <w:rPr>
          <w:rFonts w:ascii="Simplified Arabic" w:eastAsia="Times New Roman" w:hAnsi="Simplified Arabic" w:cs="Simplified Arabic"/>
          <w:kern w:val="0"/>
          <w:sz w:val="28"/>
          <w:szCs w:val="28"/>
          <w14:ligatures w14:val="none"/>
        </w:rPr>
        <w:t>:</w:t>
      </w:r>
    </w:p>
    <w:p w14:paraId="383E734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تحديد الملامح التكاليفية لكل حلقة من حلقات السلسلة</w:t>
      </w:r>
    </w:p>
    <w:p w14:paraId="4ED8D776"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يهدف تحليل سلسلة القيمة من هذا المنظور إلى رسم خريطة تفصيلية لتوزيع التكاليف التشغيلية عبر الوحدات المختلفة، بحيث يُعرَف بدقة نصيب كل حلقة من إجمالي التكاليف ونسبتها المئوية من المصروفات </w:t>
      </w:r>
      <w:r w:rsidRPr="00092108">
        <w:rPr>
          <w:rFonts w:ascii="Simplified Arabic" w:eastAsia="Times New Roman" w:hAnsi="Simplified Arabic" w:cs="Simplified Arabic"/>
          <w:kern w:val="0"/>
          <w:sz w:val="28"/>
          <w:szCs w:val="28"/>
          <w:rtl/>
          <w14:ligatures w14:val="none"/>
        </w:rPr>
        <w:lastRenderedPageBreak/>
        <w:t>الكلية. وقد أوضح الباحثون أنّ هذا التحديد الدقيق يكشف عن حقائق قد تكون مخفية عن الإدارة، إذ قد تستحوذ حلقة واحدة على نسبة غير متناسبة من التكاليف الإجمالية دون أن يكون ذلك ظاهراً في التقارير المالية التقليدية</w:t>
      </w:r>
      <w:r w:rsidRPr="00092108">
        <w:rPr>
          <w:rFonts w:ascii="Simplified Arabic" w:eastAsia="Times New Roman" w:hAnsi="Simplified Arabic" w:cs="Simplified Arabic"/>
          <w:kern w:val="0"/>
          <w:sz w:val="28"/>
          <w:szCs w:val="28"/>
          <w14:ligatures w14:val="none"/>
        </w:rPr>
        <w:t>.</w:t>
      </w:r>
    </w:p>
    <w:p w14:paraId="6FCEA8F3"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تحديد محركات التكلفة الرئيسة واستهداف التدخل</w:t>
      </w:r>
    </w:p>
    <w:p w14:paraId="66345F5F"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يتجاوز التحليل مجرد معرفة التكلفة الإجمالية لكل حلقة ليستهدف الغوص في تفاصيل مكونات هذه التكلفة وتحديد المحركات الأكثر تأثيراً فيها. وقد بيّن الباحثون أنّ فهم ما إذا كانت التكلفة مدفوعة أساساً بالطاقة أو العمالة أو الصيانة أو المواد الاستهلاكية يُمكّن من تصميم تدخلات دقيقة تُعالج المحرك الأعلى تأثيراً، بدلاً من اللجوء إلى تخفيضات عشوائية قد تُؤثر سلباً على جودة الخدمة</w:t>
      </w:r>
      <w:r w:rsidRPr="00092108">
        <w:rPr>
          <w:rFonts w:ascii="Simplified Arabic" w:eastAsia="Times New Roman" w:hAnsi="Simplified Arabic" w:cs="Simplified Arabic"/>
          <w:kern w:val="0"/>
          <w:sz w:val="28"/>
          <w:szCs w:val="28"/>
          <w14:ligatures w14:val="none"/>
        </w:rPr>
        <w:t>.</w:t>
      </w:r>
    </w:p>
    <w:p w14:paraId="023BAB56"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توفير أساس للمقارنة المرجعية وتحديد فرص خفض التكاليف</w:t>
      </w:r>
    </w:p>
    <w:p w14:paraId="4628C45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يهدف التحليل التكاليفي لسلسلة القيمة إلى إنشاء قاعدة بيانات مرجعية تُتيح مقارنة أداء المؤسسة بالمعايير القطاعية والدولية، وتحديد الفجوات التي تُشير إلى وجود فرص حقيقية لخفض التكاليف دون المساس بالجودة. وقد أشار الباحثون إلى أنّ هذه المقارنة المرجعية تُسهم في وضع أهداف تحسين واقعية وقابلة للقياس، كما تُوفّر أداة للمساءلة والحوكمة في القطاع الحكومي حيث يُعدّ ترشيد الإنفاق العام مسؤولية وطنية</w:t>
      </w:r>
      <w:r w:rsidRPr="00092108">
        <w:rPr>
          <w:rFonts w:ascii="Simplified Arabic" w:eastAsia="Times New Roman" w:hAnsi="Simplified Arabic" w:cs="Simplified Arabic"/>
          <w:kern w:val="0"/>
          <w:sz w:val="28"/>
          <w:szCs w:val="28"/>
          <w14:ligatures w14:val="none"/>
        </w:rPr>
        <w:t>.</w:t>
      </w:r>
    </w:p>
    <w:p w14:paraId="25DED207" w14:textId="268BCF80" w:rsidR="00092108" w:rsidRPr="00092108"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092108" w:rsidRPr="00092108">
        <w:rPr>
          <w:rFonts w:ascii="Simplified Arabic" w:eastAsia="Times New Roman" w:hAnsi="Simplified Arabic" w:cs="Simplified Arabic"/>
          <w:kern w:val="0"/>
          <w:sz w:val="28"/>
          <w:szCs w:val="28"/>
          <w:rtl/>
          <w14:ligatures w14:val="none"/>
        </w:rPr>
        <w:t xml:space="preserve"> يطرح</w:t>
      </w:r>
      <w:r w:rsidR="00092108" w:rsidRPr="00092108">
        <w:rPr>
          <w:rFonts w:ascii="Simplified Arabic" w:eastAsia="Times New Roman" w:hAnsi="Simplified Arabic" w:cs="Simplified Arabic"/>
          <w:kern w:val="0"/>
          <w:sz w:val="28"/>
          <w:szCs w:val="28"/>
          <w14:ligatures w14:val="none"/>
        </w:rPr>
        <w:t xml:space="preserve"> (Ghadir et al., 2024) </w:t>
      </w:r>
      <w:r w:rsidR="00092108" w:rsidRPr="00092108">
        <w:rPr>
          <w:rFonts w:ascii="Simplified Arabic" w:eastAsia="Times New Roman" w:hAnsi="Simplified Arabic" w:cs="Simplified Arabic"/>
          <w:kern w:val="0"/>
          <w:sz w:val="28"/>
          <w:szCs w:val="28"/>
          <w:rtl/>
          <w14:ligatures w14:val="none"/>
        </w:rPr>
        <w:t>أهدافاً تعكس المرحلة المعاصرة من تطور سلسلة القيمة في ظل الثورة الرقمية</w:t>
      </w:r>
      <w:r w:rsidR="00092108" w:rsidRPr="00092108">
        <w:rPr>
          <w:rFonts w:ascii="Simplified Arabic" w:eastAsia="Times New Roman" w:hAnsi="Simplified Arabic" w:cs="Simplified Arabic"/>
          <w:kern w:val="0"/>
          <w:sz w:val="28"/>
          <w:szCs w:val="28"/>
          <w14:ligatures w14:val="none"/>
        </w:rPr>
        <w:t>:</w:t>
      </w:r>
    </w:p>
    <w:p w14:paraId="702C1807"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تحقيق الرؤية الشاملة والآنية لأداء السلسلة</w:t>
      </w:r>
    </w:p>
    <w:p w14:paraId="66A2BB4D" w14:textId="21D8FD8D"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يستهدف تطبيق التقنيات الرقمية على سلسلة القيمة تحقيق مستوى غير مسبوق من الشفافية التشغيلية، بحيث يستطيع صانع القرار في أي لحظة الاطلاع على حالة كل حلقة من حلقات السلسلة ومؤشرات أدائها ومستوى تحميلها والتحديات التي تواجهها</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أوضح الباحثون أنّ هذه الرؤية الآنية تُحوّل نمط الإدارة من الاستجابة المتأخرة للمشكلات بعد تفاقمها إلى التعامل الاستباقي معها لحظة ظهور مؤشراتها الأولى</w:t>
      </w:r>
      <w:r w:rsidRPr="00092108">
        <w:rPr>
          <w:rFonts w:ascii="Simplified Arabic" w:eastAsia="Times New Roman" w:hAnsi="Simplified Arabic" w:cs="Simplified Arabic"/>
          <w:kern w:val="0"/>
          <w:sz w:val="28"/>
          <w:szCs w:val="28"/>
          <w14:ligatures w14:val="none"/>
        </w:rPr>
        <w:t>.</w:t>
      </w:r>
    </w:p>
    <w:p w14:paraId="0BF8756F"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تمكين التحسين الذاتي والتكيف التلقائي</w:t>
      </w:r>
    </w:p>
    <w:p w14:paraId="55BDCB7C" w14:textId="0508AE1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lastRenderedPageBreak/>
        <w:t>يهدف دمج الذكاء الاصطناعي في سلسلة القيمة إلى بناء منظومة قادرة على تحسين ذاتها بشكل مستمر دون الحاجة إلى تدخل بشري في كل مرة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بيّن الباحثون أنّ الأنظمة الذكية تستطيع رصد أنماط الأداء واكتشاف فرص التحسين وتنفيذ التعديلات تلقائياً على تدفقات العمل واستجابةً للتغيرات في أحجام الطلب أو توافر الموارد، مما يُكسب السلسلة مرونة تشغيلية عالية</w:t>
      </w:r>
      <w:r w:rsidRPr="00092108">
        <w:rPr>
          <w:rFonts w:ascii="Simplified Arabic" w:eastAsia="Times New Roman" w:hAnsi="Simplified Arabic" w:cs="Simplified Arabic"/>
          <w:kern w:val="0"/>
          <w:sz w:val="28"/>
          <w:szCs w:val="28"/>
          <w14:ligatures w14:val="none"/>
        </w:rPr>
        <w:t>.</w:t>
      </w:r>
    </w:p>
    <w:p w14:paraId="6D343BA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تخصيص تجربة المستفيد وتعزيز القيمة المُدرَكة</w:t>
      </w:r>
    </w:p>
    <w:p w14:paraId="07E21758" w14:textId="0597D77E"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يسعى التحول الرقمي لسلسلة القيمة إلى الانتقال من نموذج الخدمة الموحدة للجميع إلى نموذج الخدمة المُخصّصة التي تتكيف مع احتياجات وتفضيلات كل مستفيد على حدة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أشار الباحثون إلى أنّ التحليلات المتقدمة والتوائم الرقمية تُتيح فهماً عميقاً لسلوك المستفيدين وأنماط تفاعلهم مع الخدمة، مما يُمكّن من تقديم تجربة خدمة شخصية تُعزّز القيمة المُدرَكة لدى المستفيد وترفع مستوى رضاه وثقته في المؤسسة الحكومية</w:t>
      </w:r>
      <w:r w:rsidRPr="00092108">
        <w:rPr>
          <w:rFonts w:ascii="Simplified Arabic" w:eastAsia="Times New Roman" w:hAnsi="Simplified Arabic" w:cs="Simplified Arabic"/>
          <w:kern w:val="0"/>
          <w:sz w:val="28"/>
          <w:szCs w:val="28"/>
          <w14:ligatures w14:val="none"/>
        </w:rPr>
        <w:t>.</w:t>
      </w:r>
    </w:p>
    <w:p w14:paraId="03D2C854"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841847">
        <w:rPr>
          <w:rFonts w:ascii="Simplified Arabic" w:eastAsia="Times New Roman" w:hAnsi="Simplified Arabic" w:cs="Simplified Arabic"/>
          <w:b/>
          <w:bCs/>
          <w:kern w:val="0"/>
          <w:sz w:val="28"/>
          <w:szCs w:val="28"/>
          <w:rtl/>
          <w14:ligatures w14:val="none"/>
        </w:rPr>
        <w:t>خامساً: محددات كفاءة سلسلة القيمة التشغيلية وعوامل نجاحها</w:t>
      </w:r>
    </w:p>
    <w:p w14:paraId="4B92783B" w14:textId="2F71D7A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تُجمع الأدبيات الإدارية والتنظيمية المعاصرة على أن وجود سلسلة قيمة تشغيلية واضحة المعالم لا يُفضي بالضرورة إلى تحقيق الكفاءة المرجوة، إذ إن الكفاءة ليست نتاجاً تلقائياً للتصميم الهيكلي، بل هي محصلة ديناميكية لتفاعل منظومة متشابكة من المحددات والعوامل التي تعمل بصورة تزامنية وتكاملية</w:t>
      </w:r>
      <w:r w:rsidR="00A5503B">
        <w:rPr>
          <w:rFonts w:ascii="Simplified Arabic" w:eastAsia="Times New Roman" w:hAnsi="Simplified Arabic" w:cs="Simplified Arabic" w:hint="cs"/>
          <w:kern w:val="0"/>
          <w:sz w:val="28"/>
          <w:szCs w:val="28"/>
          <w:rtl/>
          <w14:ligatures w14:val="none"/>
        </w:rPr>
        <w:t>، ف</w:t>
      </w:r>
      <w:r w:rsidRPr="008457E0">
        <w:rPr>
          <w:rFonts w:ascii="Simplified Arabic" w:eastAsia="Times New Roman" w:hAnsi="Simplified Arabic" w:cs="Simplified Arabic"/>
          <w:kern w:val="0"/>
          <w:sz w:val="28"/>
          <w:szCs w:val="28"/>
          <w:rtl/>
          <w14:ligatures w14:val="none"/>
        </w:rPr>
        <w:t>المؤسسات التي تتعامل مع هذه المحددات بمنظور شمولي هي الأقدر على تعظيم القيمة المُقدمة لمستفيديها وتحقيق التميز التشغيلي المستدام. وفيما يلي عرض لأبرز هذه المحددات والعوامل كما تناولتها الأدبيات</w:t>
      </w:r>
      <w:r w:rsidRPr="008457E0">
        <w:rPr>
          <w:rFonts w:ascii="Simplified Arabic" w:eastAsia="Times New Roman" w:hAnsi="Simplified Arabic" w:cs="Simplified Arabic"/>
          <w:kern w:val="0"/>
          <w:sz w:val="28"/>
          <w:szCs w:val="28"/>
          <w14:ligatures w14:val="none"/>
        </w:rPr>
        <w:t>:</w:t>
      </w:r>
    </w:p>
    <w:p w14:paraId="295B652D" w14:textId="575DBDD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يُشير </w:t>
      </w:r>
      <w:r w:rsidRPr="008457E0">
        <w:rPr>
          <w:rFonts w:ascii="Simplified Arabic" w:eastAsia="Times New Roman" w:hAnsi="Simplified Arabic" w:cs="Simplified Arabic"/>
          <w:kern w:val="0"/>
          <w:sz w:val="28"/>
          <w:szCs w:val="28"/>
          <w14:ligatures w14:val="none"/>
        </w:rPr>
        <w:t xml:space="preserve">(Naas &amp; Berass, 2024) </w:t>
      </w:r>
      <w:r w:rsidRPr="008457E0">
        <w:rPr>
          <w:rFonts w:ascii="Simplified Arabic" w:eastAsia="Times New Roman" w:hAnsi="Simplified Arabic" w:cs="Simplified Arabic"/>
          <w:kern w:val="0"/>
          <w:sz w:val="28"/>
          <w:szCs w:val="28"/>
          <w:rtl/>
          <w14:ligatures w14:val="none"/>
        </w:rPr>
        <w:t>إلى أن محددات كفاءة سلسلة القيمة التشغيلية من المنظور الرقابي والإداري تتمثّل في</w:t>
      </w:r>
      <w:r w:rsidRPr="008457E0">
        <w:rPr>
          <w:rFonts w:ascii="Simplified Arabic" w:eastAsia="Times New Roman" w:hAnsi="Simplified Arabic" w:cs="Simplified Arabic"/>
          <w:kern w:val="0"/>
          <w:sz w:val="28"/>
          <w:szCs w:val="28"/>
          <w14:ligatures w14:val="none"/>
        </w:rPr>
        <w:t>:</w:t>
      </w:r>
    </w:p>
    <w:p w14:paraId="32452945" w14:textId="4248B480"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تكامل منظومة الرقابة الإدارية مع نظام المعلومات المؤسسي، بحيث تتحول الرقابة من أداة رصد لاحقة إلى آلية استباقية للتوجيه والتصحيح تُحوّل البيانات الخام إلى مؤشرات أداء دقيقة تُمكّن صانع القرار من التدخل في الوقت المناسب قبل تفاقم الانحرافات، وهو ما يُعدّ المحدد الأكثر تأثيراً في الكفاءة التشغيلية الشاملة للسلسلة</w:t>
      </w:r>
      <w:r w:rsidRPr="008457E0">
        <w:rPr>
          <w:rFonts w:ascii="Simplified Arabic" w:eastAsia="Times New Roman" w:hAnsi="Simplified Arabic" w:cs="Simplified Arabic"/>
          <w:kern w:val="0"/>
          <w:sz w:val="28"/>
          <w:szCs w:val="28"/>
          <w14:ligatures w14:val="none"/>
        </w:rPr>
        <w:t>.</w:t>
      </w:r>
    </w:p>
    <w:p w14:paraId="224CFF34" w14:textId="7A4172B4"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lastRenderedPageBreak/>
        <w:t>الالتزام بمعايير الجودة الشاملة عبر أتمتة عمليات الرقابة النوعية بما يُسهم في تقليص الأخطاء البشرية والحدّ من الهدر في الموارد إلى أدنى مستوياته، وتحقيق التزام شبه تام بمتطلبات المستفيدين وتوقعاتهم، مما يُعزّز الثقة المؤسسية ويرفع مستوى رضا المتعاملين</w:t>
      </w:r>
      <w:r w:rsidRPr="008457E0">
        <w:rPr>
          <w:rFonts w:ascii="Simplified Arabic" w:eastAsia="Times New Roman" w:hAnsi="Simplified Arabic" w:cs="Simplified Arabic"/>
          <w:kern w:val="0"/>
          <w:sz w:val="28"/>
          <w:szCs w:val="28"/>
          <w14:ligatures w14:val="none"/>
        </w:rPr>
        <w:t>.</w:t>
      </w:r>
    </w:p>
    <w:p w14:paraId="7EE73E23" w14:textId="3BDA6C49"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بناء شراكات استراتيجية طويلة الأمد مع الموردين وإخضاعهم لعمليات تدقيق منتظمة، مما يُخفّض مخاطر التأخير والعيوب ويُحقق وفورات ملموسة في التكاليف التشغيلية، فضلاً عن تقليص الآثار البيئية والاجتماعية السلبية المرتبطة بسلسلة التوريد</w:t>
      </w:r>
      <w:r w:rsidRPr="008457E0">
        <w:rPr>
          <w:rFonts w:ascii="Simplified Arabic" w:eastAsia="Times New Roman" w:hAnsi="Simplified Arabic" w:cs="Simplified Arabic"/>
          <w:kern w:val="0"/>
          <w:sz w:val="28"/>
          <w:szCs w:val="28"/>
          <w14:ligatures w14:val="none"/>
        </w:rPr>
        <w:t>.</w:t>
      </w:r>
    </w:p>
    <w:p w14:paraId="0847B32A" w14:textId="457900F7"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الاستثمار المنهجي والمستمر في تأهيل الكوادر البشرية وتدريبها من خلال تخصيص نسبة ثابتة من الإيرادات لبرامج التطوير المهني، وهو ما يُسهم في استقرار الأداء التشغيلي من خلال خفض معدل دوران العاملين ورفع مستوى كفاءاتهم وقدرتهم على التعامل مع المتغيرات بصورة مستمرة</w:t>
      </w:r>
      <w:r w:rsidRPr="008457E0">
        <w:rPr>
          <w:rFonts w:ascii="Simplified Arabic" w:eastAsia="Times New Roman" w:hAnsi="Simplified Arabic" w:cs="Simplified Arabic"/>
          <w:kern w:val="0"/>
          <w:sz w:val="28"/>
          <w:szCs w:val="28"/>
          <w14:ligatures w14:val="none"/>
        </w:rPr>
        <w:t>.</w:t>
      </w:r>
    </w:p>
    <w:p w14:paraId="3DBA600A" w14:textId="5EDFACCC"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تفعيل نظام حوافز مرتبط بمؤشرات الأداء والجودة يُحفّز العاملين على الالتزام بمعايير التميز التشغيلي ويربط بين الجهد الفردي والنتائج المؤسسية، مما يُعزّز ثقافة المساءلة والإنجاز داخل حلقات السلسلة</w:t>
      </w:r>
      <w:r w:rsidRPr="008457E0">
        <w:rPr>
          <w:rFonts w:ascii="Simplified Arabic" w:eastAsia="Times New Roman" w:hAnsi="Simplified Arabic" w:cs="Simplified Arabic"/>
          <w:kern w:val="0"/>
          <w:sz w:val="28"/>
          <w:szCs w:val="28"/>
          <w14:ligatures w14:val="none"/>
        </w:rPr>
        <w:t>.</w:t>
      </w:r>
    </w:p>
    <w:p w14:paraId="32033FEB" w14:textId="171A1851"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كما يُؤكد </w:t>
      </w:r>
      <w:r w:rsidRPr="008457E0">
        <w:rPr>
          <w:rFonts w:ascii="Simplified Arabic" w:eastAsia="Times New Roman" w:hAnsi="Simplified Arabic" w:cs="Simplified Arabic"/>
          <w:kern w:val="0"/>
          <w:sz w:val="28"/>
          <w:szCs w:val="28"/>
          <w14:ligatures w14:val="none"/>
        </w:rPr>
        <w:t xml:space="preserve">(Tyapukhin, 2023) </w:t>
      </w:r>
      <w:r w:rsidRPr="008457E0">
        <w:rPr>
          <w:rFonts w:ascii="Simplified Arabic" w:eastAsia="Times New Roman" w:hAnsi="Simplified Arabic" w:cs="Simplified Arabic"/>
          <w:kern w:val="0"/>
          <w:sz w:val="28"/>
          <w:szCs w:val="28"/>
          <w:rtl/>
          <w14:ligatures w14:val="none"/>
        </w:rPr>
        <w:t>أن المحددات الهيكلية والتنظيمية تحتل مكانة محورية في تحقيق كفاءة السلسلة، ويُحدّدها في</w:t>
      </w:r>
      <w:r w:rsidRPr="008457E0">
        <w:rPr>
          <w:rFonts w:ascii="Simplified Arabic" w:eastAsia="Times New Roman" w:hAnsi="Simplified Arabic" w:cs="Simplified Arabic"/>
          <w:kern w:val="0"/>
          <w:sz w:val="28"/>
          <w:szCs w:val="28"/>
          <w14:ligatures w14:val="none"/>
        </w:rPr>
        <w:t>:</w:t>
      </w:r>
    </w:p>
    <w:p w14:paraId="41B7DD82" w14:textId="5F23ABF9"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إزالة الحواجز الوظيفية بين الوحدات التنظيمية وإعادة التوزيع العقلاني للصلاحيات والمسؤوليات، وهو شرط بنيوي لتقليل الفاقد وتحسين انسيابية تدفق المعلومات والموارد عبر حلقات السلسلة، إذ إن العزلة التنظيمية بين الإدارات تُنشئ مناطق رمادية تتراكم فيها الأخطاء وتتعطل فيها العمليات</w:t>
      </w:r>
      <w:r w:rsidRPr="008457E0">
        <w:rPr>
          <w:rFonts w:ascii="Simplified Arabic" w:eastAsia="Times New Roman" w:hAnsi="Simplified Arabic" w:cs="Simplified Arabic"/>
          <w:kern w:val="0"/>
          <w:sz w:val="28"/>
          <w:szCs w:val="28"/>
          <w14:ligatures w14:val="none"/>
        </w:rPr>
        <w:t>.</w:t>
      </w:r>
    </w:p>
    <w:p w14:paraId="45B9947A" w14:textId="76895369"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بناء إطار مفاهيمي ومصطلحي موحد لإدارة السلاسل المختلفة داخل المؤسسة، لأن غياب هذا الإطار يُفضي إلى سوء فهم متبادل بين الإدارات وتضارب في تحديد الأولويات وتفسير المؤشرات، مما يُضعف قدرة السلسلة على تحقيق أهدافها الاستراتيجية</w:t>
      </w:r>
      <w:r w:rsidRPr="008457E0">
        <w:rPr>
          <w:rFonts w:ascii="Simplified Arabic" w:eastAsia="Times New Roman" w:hAnsi="Simplified Arabic" w:cs="Simplified Arabic"/>
          <w:kern w:val="0"/>
          <w:sz w:val="28"/>
          <w:szCs w:val="28"/>
          <w14:ligatures w14:val="none"/>
        </w:rPr>
        <w:t>.</w:t>
      </w:r>
    </w:p>
    <w:p w14:paraId="7B81D466" w14:textId="0D51C8D3"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التمييز الواضح بين أنواع السلاسل المختلفة وهي سلسلة القيمة وسلسلة الإمداد وسلسلة الابتكار وسلسلة الطلب، لأن كل نوع يستلزم مؤشرات قياس مختلفة وأساليب إدارية متباينة، والخلط بينها يؤدي حتماً إلى تطبيق ممارسات غير ملائمة تُضعف الكفاءة الكلية للمنظومة</w:t>
      </w:r>
      <w:r w:rsidRPr="008457E0">
        <w:rPr>
          <w:rFonts w:ascii="Simplified Arabic" w:eastAsia="Times New Roman" w:hAnsi="Simplified Arabic" w:cs="Simplified Arabic"/>
          <w:kern w:val="0"/>
          <w:sz w:val="28"/>
          <w:szCs w:val="28"/>
          <w14:ligatures w14:val="none"/>
        </w:rPr>
        <w:t>.</w:t>
      </w:r>
    </w:p>
    <w:p w14:paraId="2425800E" w14:textId="7F7EB672"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lastRenderedPageBreak/>
        <w:t>إعادة تصميم الهياكل التنظيمية على أساس تدفق القيمة لا على أساس التخصص الوظيفي التقليدي، بما يُمكّن من تتبع مسار القيمة عبر الحلقات المختلفة وتحديد نقاط الاختناق والفاقد بدقة أكبر، وتشجيع التعاون الأفقي بين الوحدات بدلاً من العمل في صوامع منعزلة</w:t>
      </w:r>
      <w:r w:rsidRPr="008457E0">
        <w:rPr>
          <w:rFonts w:ascii="Simplified Arabic" w:eastAsia="Times New Roman" w:hAnsi="Simplified Arabic" w:cs="Simplified Arabic"/>
          <w:kern w:val="0"/>
          <w:sz w:val="28"/>
          <w:szCs w:val="28"/>
          <w14:ligatures w14:val="none"/>
        </w:rPr>
        <w:t>.</w:t>
      </w:r>
    </w:p>
    <w:p w14:paraId="4790D8D7" w14:textId="7777777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ويُقرّر غدير وآخرون</w:t>
      </w:r>
      <w:r w:rsidRPr="008457E0">
        <w:rPr>
          <w:rFonts w:ascii="Simplified Arabic" w:eastAsia="Times New Roman" w:hAnsi="Simplified Arabic" w:cs="Simplified Arabic"/>
          <w:kern w:val="0"/>
          <w:sz w:val="28"/>
          <w:szCs w:val="28"/>
          <w14:ligatures w14:val="none"/>
        </w:rPr>
        <w:t xml:space="preserve"> (Ghadir et al., 2024) </w:t>
      </w:r>
      <w:r w:rsidRPr="008457E0">
        <w:rPr>
          <w:rFonts w:ascii="Simplified Arabic" w:eastAsia="Times New Roman" w:hAnsi="Simplified Arabic" w:cs="Simplified Arabic"/>
          <w:kern w:val="0"/>
          <w:sz w:val="28"/>
          <w:szCs w:val="28"/>
          <w:rtl/>
          <w14:ligatures w14:val="none"/>
        </w:rPr>
        <w:t>أن المحددات التقنية والرقمية تضع السقف الأعلى للتحسين الممكن في السلسلة، ويُحدّدونها في</w:t>
      </w:r>
      <w:r w:rsidRPr="008457E0">
        <w:rPr>
          <w:rFonts w:ascii="Simplified Arabic" w:eastAsia="Times New Roman" w:hAnsi="Simplified Arabic" w:cs="Simplified Arabic"/>
          <w:kern w:val="0"/>
          <w:sz w:val="28"/>
          <w:szCs w:val="28"/>
          <w14:ligatures w14:val="none"/>
        </w:rPr>
        <w:t>:</w:t>
      </w:r>
    </w:p>
    <w:p w14:paraId="1ADB8334" w14:textId="23C1F3CA"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نضج البنية التقنية الرقمية للمؤسسة من حيث المنصات الإلكترونية والحوسبة السحابية وأدوات التحليلات المتقدمة، فمهما بلغت جودة التصميم التنظيمي والإداري فإن افتقار المؤسسة إلى بنية رقمية ناضجة يحول دون تحقيق رؤية آنية شاملة لأداء السلسلة ويحرم صانع القرار من أدوات الرصد والتنبؤ</w:t>
      </w:r>
      <w:r w:rsidRPr="008457E0">
        <w:rPr>
          <w:rFonts w:ascii="Simplified Arabic" w:eastAsia="Times New Roman" w:hAnsi="Simplified Arabic" w:cs="Simplified Arabic"/>
          <w:kern w:val="0"/>
          <w:sz w:val="28"/>
          <w:szCs w:val="28"/>
          <w14:ligatures w14:val="none"/>
        </w:rPr>
        <w:t>.</w:t>
      </w:r>
    </w:p>
    <w:p w14:paraId="72452639" w14:textId="62B25237"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دمج نظم المعلومات داخل الأنشطة الأساسية لا بوصفها أنشطة داعمة منفصلة، مما يخلق تدفقاً غير متقطع بين مراحل المعالجة والاعتماد والتسليم ويُحوّل السلسلة من نموذج خطي تتابعي إلى منظومة قادرة على التكيف الذاتي المستمر مع المتغيرات</w:t>
      </w:r>
      <w:r w:rsidRPr="008457E0">
        <w:rPr>
          <w:rFonts w:ascii="Simplified Arabic" w:eastAsia="Times New Roman" w:hAnsi="Simplified Arabic" w:cs="Simplified Arabic"/>
          <w:kern w:val="0"/>
          <w:sz w:val="28"/>
          <w:szCs w:val="28"/>
          <w14:ligatures w14:val="none"/>
        </w:rPr>
        <w:t>.</w:t>
      </w:r>
    </w:p>
    <w:p w14:paraId="61D84BB8" w14:textId="6E08ECE8"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القدرة على التنبؤ بالاختناقات قبل وقوعها من خلال النماذج التحليلية التنبؤية التي ترصد الأنماط غير الطبيعية في تدفق العمليات وتُنبّه صانع القرار إلى مواطن الخلل المحتملة في مراحلها المبكرة قبل أن تتحول إلى أزمات تشغيلية</w:t>
      </w:r>
      <w:r w:rsidRPr="008457E0">
        <w:rPr>
          <w:rFonts w:ascii="Simplified Arabic" w:eastAsia="Times New Roman" w:hAnsi="Simplified Arabic" w:cs="Simplified Arabic"/>
          <w:kern w:val="0"/>
          <w:sz w:val="28"/>
          <w:szCs w:val="28"/>
          <w14:ligatures w14:val="none"/>
        </w:rPr>
        <w:t>.</w:t>
      </w:r>
    </w:p>
    <w:p w14:paraId="41DDCB27" w14:textId="677573D2"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جاهزية البيانات المؤسسية من حيث النظافة والاكتمال والتكامل والتحديث المستمر، لأن أدوات التحليل والذكاء الاصطناعي مهما بلغت تطورها لا يمكنها إنتاج مخرجات موثوقة إذا كانت البيانات المُغذية لها غير دقيقة أو منقوصة أو متقادمة</w:t>
      </w:r>
      <w:r w:rsidRPr="008457E0">
        <w:rPr>
          <w:rFonts w:ascii="Simplified Arabic" w:eastAsia="Times New Roman" w:hAnsi="Simplified Arabic" w:cs="Simplified Arabic"/>
          <w:kern w:val="0"/>
          <w:sz w:val="28"/>
          <w:szCs w:val="28"/>
          <w14:ligatures w14:val="none"/>
        </w:rPr>
        <w:t>.</w:t>
      </w:r>
    </w:p>
    <w:p w14:paraId="21DFB8AB" w14:textId="3A2793AF"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841847">
        <w:rPr>
          <w:rFonts w:ascii="Simplified Arabic" w:eastAsia="Times New Roman" w:hAnsi="Simplified Arabic" w:cs="Simplified Arabic"/>
          <w:b/>
          <w:bCs/>
          <w:kern w:val="0"/>
          <w:sz w:val="28"/>
          <w:szCs w:val="28"/>
          <w:rtl/>
          <w14:ligatures w14:val="none"/>
        </w:rPr>
        <w:t>سا</w:t>
      </w:r>
      <w:r w:rsidR="008457E0">
        <w:rPr>
          <w:rFonts w:ascii="Simplified Arabic" w:eastAsia="Times New Roman" w:hAnsi="Simplified Arabic" w:cs="Simplified Arabic" w:hint="cs"/>
          <w:b/>
          <w:bCs/>
          <w:kern w:val="0"/>
          <w:sz w:val="28"/>
          <w:szCs w:val="28"/>
          <w:rtl/>
          <w14:ligatures w14:val="none"/>
        </w:rPr>
        <w:t>دس</w:t>
      </w:r>
      <w:r w:rsidRPr="00841847">
        <w:rPr>
          <w:rFonts w:ascii="Simplified Arabic" w:eastAsia="Times New Roman" w:hAnsi="Simplified Arabic" w:cs="Simplified Arabic"/>
          <w:b/>
          <w:bCs/>
          <w:kern w:val="0"/>
          <w:sz w:val="28"/>
          <w:szCs w:val="28"/>
          <w:rtl/>
          <w14:ligatures w14:val="none"/>
        </w:rPr>
        <w:t>اً: سلسلة القيمة التشغيلية في ضوء رؤية المملكة العربية السعودية 2030</w:t>
      </w:r>
    </w:p>
    <w:p w14:paraId="1EBC48E6"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 xml:space="preserve">تحتل سلسلة القيمة التشغيلية في المؤسسات الحكومية الكبرى موقعاً محورياً في منظومة رؤية 2030 للمملكة العربية السعودية، وبشكل خاص في محور "حكومة فاعلة" الذي يستهدف تحقيق نقلة نوعية في مستوى الخدمات الحكومية وكفاءتها التشغيلية بما يُنافس أفضل الممارسات العالمية. وقد أدركت القيادة السعودية في وقت مبكر أنّ تحقيق الأهداف الطموحة للرؤية يتطلب إعادة هندسة شاملة وعميقة لسلاسل </w:t>
      </w:r>
      <w:r w:rsidRPr="00841847">
        <w:rPr>
          <w:rFonts w:ascii="Simplified Arabic" w:eastAsia="Times New Roman" w:hAnsi="Simplified Arabic" w:cs="Simplified Arabic"/>
          <w:kern w:val="0"/>
          <w:sz w:val="28"/>
          <w:szCs w:val="28"/>
          <w:rtl/>
          <w14:ligatures w14:val="none"/>
        </w:rPr>
        <w:lastRenderedPageBreak/>
        <w:t>القيمة التشغيلية في جميع المؤسسات الحكومية الكبرى، بحيث تتحول من نماذج بيروقراطية تقليدية تتمحور حول الإجراءات إلى منظومات رشيقة ومؤتمتة تتمحور حول المستفيد وتُدار بالبيانات والذكاء الاصطناعي</w:t>
      </w:r>
      <w:r w:rsidRPr="00841847">
        <w:rPr>
          <w:rFonts w:ascii="Simplified Arabic" w:eastAsia="Times New Roman" w:hAnsi="Simplified Arabic" w:cs="Simplified Arabic"/>
          <w:kern w:val="0"/>
          <w:sz w:val="28"/>
          <w:szCs w:val="28"/>
          <w14:ligatures w14:val="none"/>
        </w:rPr>
        <w:t>.</w:t>
      </w:r>
    </w:p>
    <w:p w14:paraId="38455731"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ويُشير</w:t>
      </w:r>
      <w:r w:rsidRPr="00841847">
        <w:rPr>
          <w:rFonts w:ascii="Simplified Arabic" w:eastAsia="Times New Roman" w:hAnsi="Simplified Arabic" w:cs="Simplified Arabic"/>
          <w:kern w:val="0"/>
          <w:sz w:val="28"/>
          <w:szCs w:val="28"/>
          <w14:ligatures w14:val="none"/>
        </w:rPr>
        <w:t xml:space="preserve"> (Naas &amp; Berass, 2024) </w:t>
      </w:r>
      <w:r w:rsidRPr="00841847">
        <w:rPr>
          <w:rFonts w:ascii="Simplified Arabic" w:eastAsia="Times New Roman" w:hAnsi="Simplified Arabic" w:cs="Simplified Arabic"/>
          <w:kern w:val="0"/>
          <w:sz w:val="28"/>
          <w:szCs w:val="28"/>
          <w:rtl/>
          <w14:ligatures w14:val="none"/>
        </w:rPr>
        <w:t>إلى أنّ المؤسسات العامة الكبرى التي تنجح في تحسين سلاسل قيمتها هي تلك التي تتبنى مقاربة شاملة تجمع بين تحليل سلسلة القيمة والرقابة الإدارية الفعّالة والاستثمار في التحول الرقمي والتحسين المستمر للعمليات، وهي المقاربة ذاتها التي تتبناها المملكة من خلال برامجها التنفيذية المتعددة. فبرنامج التحول الوطني يستهدف رفع كفاءة الإنفاق الحكومي وتحسين مستوى الخدمات وتمكين القطاع الخاص من المشاركة في تقديمها، وهو ما يتطلب بالضرورة إعادة تصميم سلاسل القيمة الحكومية لتحديد الأنشطة التي يُمكن أتمتتها أو إسنادها للقطاع الخاص أو دمجها مع أنشطة أخرى. كما أنّ برنامج الحكومة الرقمية الذي يسعى لتقديم الغالبية العظمى من الخدمات الحكومية إلكترونياً يستلزم إعادة تشكيل حلقات السلسلة بأكملها لتتوافق مع البيئة الرقمية، وقد تجسّد هذا فعلياً في منصات مثل "توكلنا" التي أصبحت نقطة تقديم موحدة لخدمات متعددة من جهات حكومية مختلفة</w:t>
      </w:r>
      <w:r w:rsidRPr="00841847">
        <w:rPr>
          <w:rFonts w:ascii="Simplified Arabic" w:eastAsia="Times New Roman" w:hAnsi="Simplified Arabic" w:cs="Simplified Arabic"/>
          <w:kern w:val="0"/>
          <w:sz w:val="28"/>
          <w:szCs w:val="28"/>
          <w14:ligatures w14:val="none"/>
        </w:rPr>
        <w:t>.</w:t>
      </w:r>
    </w:p>
    <w:p w14:paraId="572EB466"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ويرى</w:t>
      </w:r>
      <w:r w:rsidRPr="00841847">
        <w:rPr>
          <w:rFonts w:ascii="Simplified Arabic" w:eastAsia="Times New Roman" w:hAnsi="Simplified Arabic" w:cs="Simplified Arabic"/>
          <w:kern w:val="0"/>
          <w:sz w:val="28"/>
          <w:szCs w:val="28"/>
          <w14:ligatures w14:val="none"/>
        </w:rPr>
        <w:t xml:space="preserve"> (Tyapukhin, 2023) </w:t>
      </w:r>
      <w:r w:rsidRPr="00841847">
        <w:rPr>
          <w:rFonts w:ascii="Simplified Arabic" w:eastAsia="Times New Roman" w:hAnsi="Simplified Arabic" w:cs="Simplified Arabic"/>
          <w:kern w:val="0"/>
          <w:sz w:val="28"/>
          <w:szCs w:val="28"/>
          <w:rtl/>
          <w14:ligatures w14:val="none"/>
        </w:rPr>
        <w:t>أنّ نجاح أي استراتيجية وطنية لتحسين سلاسل القيمة يتوقف على قدرة المؤسسات على التمييز بين أنواع السلاسل المختلفة وإدارة كل منها بالأسلوب المناسب، وهو ما ينطبق على التجربة السعودية التي تتطلب التمييز بين سلسلة قيمة الخدمة الحكومية التقليدية وسلسلة ابتكار الخدمات الجديدة وسلسلة إدارة الطلب المتنامي على الخدمات الرقمية. ويرتبط هذا بشكل مباشر بالاستراتيجية الوطنية للبيانات والذكاء الاصطناعي التي تقودها الهيئة السعودية للبيانات والذكاء الاصطناعي (سدايا) والتي تستهدف توظيف التقنيات المتقدمة في تحسين العمليات الحكومية عبر جميع حلقات السلسلة</w:t>
      </w:r>
      <w:r w:rsidRPr="00841847">
        <w:rPr>
          <w:rFonts w:ascii="Simplified Arabic" w:eastAsia="Times New Roman" w:hAnsi="Simplified Arabic" w:cs="Simplified Arabic"/>
          <w:kern w:val="0"/>
          <w:sz w:val="28"/>
          <w:szCs w:val="28"/>
          <w14:ligatures w14:val="none"/>
        </w:rPr>
        <w:t>.</w:t>
      </w:r>
    </w:p>
    <w:p w14:paraId="35CB9B0D"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ويُؤكد</w:t>
      </w:r>
      <w:r w:rsidRPr="00841847">
        <w:rPr>
          <w:rFonts w:ascii="Simplified Arabic" w:eastAsia="Times New Roman" w:hAnsi="Simplified Arabic" w:cs="Simplified Arabic"/>
          <w:kern w:val="0"/>
          <w:sz w:val="28"/>
          <w:szCs w:val="28"/>
          <w14:ligatures w14:val="none"/>
        </w:rPr>
        <w:t xml:space="preserve"> (Mboyo et al., 2025) </w:t>
      </w:r>
      <w:r w:rsidRPr="00841847">
        <w:rPr>
          <w:rFonts w:ascii="Simplified Arabic" w:eastAsia="Times New Roman" w:hAnsi="Simplified Arabic" w:cs="Simplified Arabic"/>
          <w:kern w:val="0"/>
          <w:sz w:val="28"/>
          <w:szCs w:val="28"/>
          <w:rtl/>
          <w14:ligatures w14:val="none"/>
        </w:rPr>
        <w:t>أنّ منهجية تحليل توزيع التكاليف التشغيلية عبر حلقات السلسلة تُوفّر أداة عملية بالغة القيمة لقياس مدى تقدّم المؤسسات الحكومية في تحقيق أهداف ترشيد الإنفاق المنصوص عليها في رؤية 2030. فمن خلال قياس تكلفة كل حلقة قبل التحسين وبعده يُمكن حساب العائد الفعلي لمبادرات التطوير والرقمنة بشكل موضوعي وقابل للمقارنة، مما يُعزّز المساءلة والشفافية ويُتيح اتخاذ قرارات استثمارية مبنية على أدلة ونتائج ملموسة وليس على تقديرات نظرية</w:t>
      </w:r>
      <w:r w:rsidRPr="00841847">
        <w:rPr>
          <w:rFonts w:ascii="Simplified Arabic" w:eastAsia="Times New Roman" w:hAnsi="Simplified Arabic" w:cs="Simplified Arabic"/>
          <w:kern w:val="0"/>
          <w:sz w:val="28"/>
          <w:szCs w:val="28"/>
          <w14:ligatures w14:val="none"/>
        </w:rPr>
        <w:t>.</w:t>
      </w:r>
    </w:p>
    <w:p w14:paraId="5F080E13"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lastRenderedPageBreak/>
        <w:t>ويُضيف</w:t>
      </w:r>
      <w:r w:rsidRPr="00841847">
        <w:rPr>
          <w:rFonts w:ascii="Simplified Arabic" w:eastAsia="Times New Roman" w:hAnsi="Simplified Arabic" w:cs="Simplified Arabic"/>
          <w:kern w:val="0"/>
          <w:sz w:val="28"/>
          <w:szCs w:val="28"/>
          <w14:ligatures w14:val="none"/>
        </w:rPr>
        <w:t xml:space="preserve"> (Ghadir et al., 2024) </w:t>
      </w:r>
      <w:r w:rsidRPr="00841847">
        <w:rPr>
          <w:rFonts w:ascii="Simplified Arabic" w:eastAsia="Times New Roman" w:hAnsi="Simplified Arabic" w:cs="Simplified Arabic"/>
          <w:kern w:val="0"/>
          <w:sz w:val="28"/>
          <w:szCs w:val="28"/>
          <w:rtl/>
          <w14:ligatures w14:val="none"/>
        </w:rPr>
        <w:t>أنّ سلسلة القيمة التشغيلية المدعومة بالذكاء الاصطناعي تُمثّل النموذج المستقبلي الذي تتجه نحوه المؤسسات الحكومية الرائدة عالمياً، وأنّ المملكة العربية السعودية — بما حققته من تقدم ملحوظ في مجال الذكاء الاصطناعي حيث صُنّفت ضمن أفضل خمس دول عالمياً في مؤشر الذكاء الاصطناعي العالمي لعام 2025</w:t>
      </w:r>
      <w:r w:rsidRPr="00841847">
        <w:rPr>
          <w:rFonts w:ascii="Simplified Arabic" w:eastAsia="Times New Roman" w:hAnsi="Simplified Arabic" w:cs="Simplified Arabic"/>
          <w:kern w:val="0"/>
          <w:sz w:val="28"/>
          <w:szCs w:val="28"/>
          <w14:ligatures w14:val="none"/>
        </w:rPr>
        <w:t xml:space="preserve"> — </w:t>
      </w:r>
      <w:r w:rsidRPr="00841847">
        <w:rPr>
          <w:rFonts w:ascii="Simplified Arabic" w:eastAsia="Times New Roman" w:hAnsi="Simplified Arabic" w:cs="Simplified Arabic"/>
          <w:kern w:val="0"/>
          <w:sz w:val="28"/>
          <w:szCs w:val="28"/>
          <w:rtl/>
          <w14:ligatures w14:val="none"/>
        </w:rPr>
        <w:t>تمتلك الأساس التقني والمؤسسي اللازم لتحقيق هذا النموذج على أرض الواقع</w:t>
      </w:r>
      <w:r w:rsidRPr="00841847">
        <w:rPr>
          <w:rFonts w:ascii="Simplified Arabic" w:eastAsia="Times New Roman" w:hAnsi="Simplified Arabic" w:cs="Simplified Arabic"/>
          <w:kern w:val="0"/>
          <w:sz w:val="28"/>
          <w:szCs w:val="28"/>
          <w14:ligatures w14:val="none"/>
        </w:rPr>
        <w:t xml:space="preserve">. </w:t>
      </w:r>
      <w:r w:rsidRPr="00841847">
        <w:rPr>
          <w:rFonts w:ascii="Simplified Arabic" w:eastAsia="Times New Roman" w:hAnsi="Simplified Arabic" w:cs="Simplified Arabic"/>
          <w:kern w:val="0"/>
          <w:sz w:val="28"/>
          <w:szCs w:val="28"/>
          <w:rtl/>
          <w14:ligatures w14:val="none"/>
        </w:rPr>
        <w:t>فكل بُعد من أبعاد سلسلة القيمة التشغيلية الأربعة يُمكن تعزيزه بتقنيات الذكاء الاصطناعي: فاللوجستيات الداخلية تستفيد من أنظمة التصنيف والتوجيه الآلي للطلبات، والعمليات التشغيلية الأساسية تستفيد من أنظمة دعم القرار والأتمتة الذكية، وتقديم الخدمات يستفيد من التخصيص الذكي لقنوات التسليم، وخدمات ما بعد التقديم تستفيد من الروبوتات الحوارية وأنظمة تحليل المشاعر والتنبؤ بالشكاوى</w:t>
      </w:r>
      <w:r w:rsidRPr="00841847">
        <w:rPr>
          <w:rFonts w:ascii="Simplified Arabic" w:eastAsia="Times New Roman" w:hAnsi="Simplified Arabic" w:cs="Simplified Arabic"/>
          <w:kern w:val="0"/>
          <w:sz w:val="28"/>
          <w:szCs w:val="28"/>
          <w14:ligatures w14:val="none"/>
        </w:rPr>
        <w:t>.</w:t>
      </w:r>
    </w:p>
    <w:p w14:paraId="5310CC43" w14:textId="77777777" w:rsid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841847">
        <w:rPr>
          <w:rFonts w:ascii="Simplified Arabic" w:eastAsia="Times New Roman" w:hAnsi="Simplified Arabic" w:cs="Simplified Arabic"/>
          <w:kern w:val="0"/>
          <w:sz w:val="28"/>
          <w:szCs w:val="28"/>
          <w:rtl/>
          <w14:ligatures w14:val="none"/>
        </w:rPr>
        <w:t>وبذلك يتّضح أنّ العلاقة بين سلسلة القيمة التشغيلية ورؤية 2030 ليست علاقة عرضية أو ثانوية، بل هي علاقة عضوية وبنيوية، إذ تُمثّل سلسلة القيمة المُحسَّنة والمدعومة بالتقنيات الذكية الآلية التنفيذية التي تتحول من خلالها الأهداف الاستراتيجية للرؤية إلى واقع ملموس يشعر به المواطن والمقيم في تعاملاتهم اليومية مع المؤسسات الحكومية. وهذا السياق الاستراتيجي هو ما يمنح هذه الدراسة أهميتها العلمية والعملية، حيث تسعى لاختبار تأثير تقنيات الذكاء الاصطناعي بأبعادها الأربعة — جمع البيانات ومعالجتها والنماذج التنبؤية والأتمتة الذكية وأنظمة دعم القرار — على سلسلة القيمة التشغيلية بأبعادها الأربعة</w:t>
      </w:r>
      <w:r w:rsidRPr="00841847">
        <w:rPr>
          <w:rFonts w:ascii="Simplified Arabic" w:eastAsia="Times New Roman" w:hAnsi="Simplified Arabic" w:cs="Simplified Arabic"/>
          <w:kern w:val="0"/>
          <w:sz w:val="28"/>
          <w:szCs w:val="28"/>
          <w14:ligatures w14:val="none"/>
        </w:rPr>
        <w:t xml:space="preserve"> — </w:t>
      </w:r>
      <w:r w:rsidRPr="00841847">
        <w:rPr>
          <w:rFonts w:ascii="Simplified Arabic" w:eastAsia="Times New Roman" w:hAnsi="Simplified Arabic" w:cs="Simplified Arabic"/>
          <w:kern w:val="0"/>
          <w:sz w:val="28"/>
          <w:szCs w:val="28"/>
          <w:rtl/>
          <w14:ligatures w14:val="none"/>
        </w:rPr>
        <w:t>اللوجستيات الداخلية والعمليات التشغيلية الأساسية وتقديم الخدمات وخدمات ما بعد التقديم — في المؤسسات الحكومية الكبرى بالمملكة العربية السعودية</w:t>
      </w:r>
      <w:r w:rsidRPr="00841847">
        <w:rPr>
          <w:rFonts w:ascii="Simplified Arabic" w:eastAsia="Times New Roman" w:hAnsi="Simplified Arabic" w:cs="Simplified Arabic"/>
          <w:kern w:val="0"/>
          <w:sz w:val="28"/>
          <w:szCs w:val="28"/>
          <w14:ligatures w14:val="none"/>
        </w:rPr>
        <w:t>.</w:t>
      </w:r>
    </w:p>
    <w:p w14:paraId="0298B86A" w14:textId="0BBF726B" w:rsidR="005C44E0" w:rsidRDefault="005C44E0" w:rsidP="005C44E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C44E0">
        <w:rPr>
          <w:rFonts w:ascii="Simplified Arabic" w:eastAsia="Times New Roman" w:hAnsi="Simplified Arabic" w:cs="Simplified Arabic"/>
          <w:kern w:val="0"/>
          <w:sz w:val="28"/>
          <w:szCs w:val="28"/>
          <w:rtl/>
          <w14:ligatures w14:val="none"/>
        </w:rPr>
        <w:t>شكل (4) حلقات سلسلة القيمة التشغيلية في المؤسسات الحكومية</w:t>
      </w:r>
    </w:p>
    <w:p w14:paraId="278E83C7" w14:textId="244EA02C" w:rsidR="005C44E0" w:rsidRDefault="005C44E0" w:rsidP="005C44E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Pr>
          <w:noProof/>
        </w:rPr>
        <w:lastRenderedPageBreak/>
        <w:drawing>
          <wp:inline distT="0" distB="0" distL="0" distR="0" wp14:anchorId="26B80B0B" wp14:editId="0D51F11C">
            <wp:extent cx="5731510" cy="3680460"/>
            <wp:effectExtent l="0" t="0" r="2540" b="0"/>
            <wp:docPr id="76314013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80460"/>
                    </a:xfrm>
                    <a:prstGeom prst="rect">
                      <a:avLst/>
                    </a:prstGeom>
                    <a:noFill/>
                    <a:ln>
                      <a:noFill/>
                    </a:ln>
                  </pic:spPr>
                </pic:pic>
              </a:graphicData>
            </a:graphic>
          </wp:inline>
        </w:drawing>
      </w:r>
    </w:p>
    <w:p w14:paraId="1AFCF5E5" w14:textId="77777777" w:rsid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1C08943"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0DE45CD"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555B6FD"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B7AA35B"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91CFB2A"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A98143F" w14:textId="77777777" w:rsidR="00AF0FC2" w:rsidRPr="00AF0FC2" w:rsidRDefault="00AF0FC2" w:rsidP="00A5503B">
      <w:pPr>
        <w:spacing w:before="100" w:beforeAutospacing="1" w:after="100" w:afterAutospacing="1" w:line="276"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المبحث الثالث</w:t>
      </w:r>
    </w:p>
    <w:p w14:paraId="174DA056" w14:textId="77777777" w:rsidR="00AF0FC2" w:rsidRPr="00AF0FC2" w:rsidRDefault="00AF0FC2" w:rsidP="00A5503B">
      <w:pPr>
        <w:spacing w:before="100" w:beforeAutospacing="1" w:after="100" w:afterAutospacing="1" w:line="276"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العلاقة بين الذكاء الاصطناعي وسلسلة القيمة التشغيلية في المؤسسات الحكومية الكبرى</w:t>
      </w:r>
    </w:p>
    <w:p w14:paraId="180CC8D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تمهيد</w:t>
      </w:r>
    </w:p>
    <w:p w14:paraId="3D82233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lastRenderedPageBreak/>
        <w:t>يسعى هذا المبحث إلى تأصيل العلاقة النظرية بين المتغير المستقل للدراسة المتمثّل في الذكاء الاصطناعي والمتغير التابع المتمثّل في سلسلة القيمة التشغيلية، وذلك من خلال استقراء ما أفرزته الأدبيات الإدارية والتقنية المعاصرة من أُطر تفسيرية وتحليلية تكشف عن طبيعة هذه العلاقة ومساراتها واتجاهات تأثيرها. وتنبع أهمية هذا المبحث من كونه يُقدّم الجسر المفاهيمي الذي يربط بين الفصلين النظريين السابقين ويُمهّد لبناء الفرضيات واختبارها ميدانياً، انطلاقاً من أن الذكاء الاصطناعي لم يعد أداة تقنية هامشية بل تحوّل إلى قوة تحويلية بنيوية قادرة على إعادة تشكيل المنطق التشغيلي لسلسلة القيمة في المؤسسات الحكومية الكبرى</w:t>
      </w:r>
      <w:r w:rsidRPr="00AF0FC2">
        <w:rPr>
          <w:rFonts w:ascii="Simplified Arabic" w:eastAsia="Times New Roman" w:hAnsi="Simplified Arabic" w:cs="Simplified Arabic"/>
          <w:kern w:val="0"/>
          <w:sz w:val="28"/>
          <w:szCs w:val="28"/>
          <w14:ligatures w14:val="none"/>
        </w:rPr>
        <w:t>.</w:t>
      </w:r>
    </w:p>
    <w:p w14:paraId="14F85E44"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أولاً: الأساس النظري للعلاقة بين المتغيرين</w:t>
      </w:r>
    </w:p>
    <w:p w14:paraId="17451A3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تستند العلاقة بين الذكاء الاصطناعي وسلسلة القيمة التشغيلية إلى عدد من المرتكزات النظرية التي تناولتها الأدبيات من زوايا متكاملة. فقد أوضح غدير وآخرون أن الذكاء الاصطناعي يُعيد تعريف مفهوم القيمة ذاته داخل السلسلة، حيث لم تعد القيمة تقتصر على مجرد تحويل المدخلات إلى مخرجات بأقل تكلفة ممكنة، بل أصبحت تتضمن بُعداً تنبؤياً واستباقياً يجعل السلسلة قادرة على استشراف احتياجات المستفيدين قبل أن يُعبّروا عنها صراحةً، وتصميم استجابات مُخصصة تتجاوز حدود التوقعات المعتادة. وهذا التحوّل في مفهوم القيمة يستتبع بالضرورة تحوّلاً موازياً في البنية الداخلية للسلسلة ومنطق عملها وأساليب قياس أدائها</w:t>
      </w:r>
      <w:r w:rsidRPr="00AF0FC2">
        <w:rPr>
          <w:rFonts w:ascii="Simplified Arabic" w:eastAsia="Times New Roman" w:hAnsi="Simplified Arabic" w:cs="Simplified Arabic"/>
          <w:kern w:val="0"/>
          <w:sz w:val="28"/>
          <w:szCs w:val="28"/>
          <w14:ligatures w14:val="none"/>
        </w:rPr>
        <w:t xml:space="preserve"> (Ghadir et al., 2024).</w:t>
      </w:r>
    </w:p>
    <w:p w14:paraId="510B7CB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ويُضيف غدير وآخرون أن الذكاء الاصطناعي يُحوّل طبيعة الروابط بين حلقات السلسلة من علاقة تتابعية خطية ينتقل فيها العمل من حلقة إلى أخرى في اتجاه واحد، إلى علاقة شبكية ديناميكية تتدفق فيها المعلومات والتغذية الراجعة بصورة آنية ومتزامنة بين جميع الحلقات</w:t>
      </w:r>
      <w:r w:rsidRPr="00AF0FC2">
        <w:rPr>
          <w:rFonts w:ascii="Simplified Arabic" w:eastAsia="Times New Roman" w:hAnsi="Simplified Arabic" w:cs="Simplified Arabic"/>
          <w:kern w:val="0"/>
          <w:sz w:val="28"/>
          <w:szCs w:val="28"/>
          <w14:ligatures w14:val="none"/>
        </w:rPr>
        <w:t xml:space="preserve">. </w:t>
      </w:r>
      <w:r w:rsidRPr="00AF0FC2">
        <w:rPr>
          <w:rFonts w:ascii="Simplified Arabic" w:eastAsia="Times New Roman" w:hAnsi="Simplified Arabic" w:cs="Simplified Arabic"/>
          <w:kern w:val="0"/>
          <w:sz w:val="28"/>
          <w:szCs w:val="28"/>
          <w:rtl/>
          <w14:ligatures w14:val="none"/>
        </w:rPr>
        <w:t>وهذا يعني أن كل حلقة تغدو قادرة على التكيف اللحظي مع أي تغيّر يطرأ على الحلقات الأخرى دون الحاجة إلى انتظار دورات مراجعة تقليدية تستهلك الوقت وتُبطئ الاستجابة. كما أن تقنيات الذكاء الاصطناعي من معالجة اللغة الطبيعية وتعلّم آلي وتوائم رقمية تندمج تدريجياً في صميم الأنشطة الأساسية للسلسلة، مما يُذوّب الحدود الفاصلة التقليدية بين الأنشطة الأساسية والأنشطة الداعمة ويُعيد تشكيل هندسة السلسلة بأكملها</w:t>
      </w:r>
      <w:r w:rsidRPr="00AF0FC2">
        <w:rPr>
          <w:rFonts w:ascii="Simplified Arabic" w:eastAsia="Times New Roman" w:hAnsi="Simplified Arabic" w:cs="Simplified Arabic"/>
          <w:kern w:val="0"/>
          <w:sz w:val="28"/>
          <w:szCs w:val="28"/>
          <w14:ligatures w14:val="none"/>
        </w:rPr>
        <w:t xml:space="preserve"> (Ghadir et al., 2024).</w:t>
      </w:r>
    </w:p>
    <w:p w14:paraId="40BC059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lastRenderedPageBreak/>
        <w:t>ومن جانبه يُؤكد تيابوخين أن الذكاء الاصطناعي يُسهم في معالجة واحدة من أعمق الإشكاليات البنيوية التي تُعيق كفاءة سلسلة القيمة في المؤسسات الكبرى، وهي الحواجز الوظيفية بين الوحدات التنظيمية. فمن خلال إنشاء فضاءات معلوماتية ذكية مشتركة تتدفق عبرها البيانات بسلاسة، يُمكن للذكاء الاصطناعي أن يُحوّل الوحدات التنظيمية المنعزلة إلى منظومة متكاملة يتشارك أعضاؤها الرؤية والمعلومات والمؤشرات ضمن إطار مفاهيمي موحد. وهذا التكامل المعلوماتي يُمكّن المؤسسة أيضاً من التمييز الدقيق بين أنواع السلاسل المختلفة داخلها وتطبيق مقاييس الأداء الملائمة لكل نوع، بدلاً من إخضاع جميع العمليات لمنطق إداري واحد قد لا يتناسب مع طبيعتها</w:t>
      </w:r>
      <w:r w:rsidRPr="00AF0FC2">
        <w:rPr>
          <w:rFonts w:ascii="Simplified Arabic" w:eastAsia="Times New Roman" w:hAnsi="Simplified Arabic" w:cs="Simplified Arabic"/>
          <w:kern w:val="0"/>
          <w:sz w:val="28"/>
          <w:szCs w:val="28"/>
          <w14:ligatures w14:val="none"/>
        </w:rPr>
        <w:t xml:space="preserve"> (Tyapukhin, 2023).</w:t>
      </w:r>
    </w:p>
    <w:p w14:paraId="1DFE293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ثانياً: أثر الذكاء الاصطناعي على حلقات سلسلة القيمة التشغيلية</w:t>
      </w:r>
    </w:p>
    <w:p w14:paraId="3A801792"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تتجلّى العلاقة بين المتغيرين بصورة أكثر وضوحاً حين يُحلّل أثر الذكاء الاصطناعي على كل حلقة من حلقات سلسلة القيمة التشغيلية في السياق الحكومي. فعلى مستوى حلقة اللوجستيات الداخلية المتمثلة في استقبال طلبات المستفيدين وتصنيفها وتوجيهها، يُمكن للذكاء الاصطناعي أن يُحدث نقلة نوعية من خلال أنظمة التصنيف الذكي التي تُحلّل مضمون الطلب وتُحدّد مساره التشغيلي الأمثل بشكل تلقائي، وهو ما يختصر الزمن ويُقلّص الأخطاء الناجمة عن التصنيف اليدوي ويُحسّن توزيع أعباء العمل على الوحدات المعنية</w:t>
      </w:r>
      <w:r w:rsidRPr="00AF0FC2">
        <w:rPr>
          <w:rFonts w:ascii="Simplified Arabic" w:eastAsia="Times New Roman" w:hAnsi="Simplified Arabic" w:cs="Simplified Arabic"/>
          <w:kern w:val="0"/>
          <w:sz w:val="28"/>
          <w:szCs w:val="28"/>
          <w14:ligatures w14:val="none"/>
        </w:rPr>
        <w:t xml:space="preserve"> (Ghadir et al., 2024).</w:t>
      </w:r>
    </w:p>
    <w:p w14:paraId="5F1507C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أما على مستوى حلقة العمليات التشغيلية الأساسية التي تتضمن المعالجة والتدقيق والاعتماد، فإن نعاس وبراس يُوضّحان أن دمج الذكاء الاصطناعي مع منظومة الرقابة الإدارية يُحوّلها من نموذج رصد لاحق يكتشف الانحرافات بعد وقوعها إلى نموذج استباقي يتنبأ بالإشكاليات قبل حدوثها ويُطلق إجراءات تصحيحية آلية. وهذا التحوّل في طبيعة الرقابة يرفع مستوى الأداء المالي ويُحسّن هيكل التكاليف ويُعزّز جودة القرارات المتخذة عبر مسار المعالجة بأكمله. كما أن أتمتة عمليات الرقابة النوعية بتقنيات الذكاء الاصطناعي تُتيح فحص مخرجات كل مرحلة بشكل شامل ومستمر بدلاً من الاكتفاء بالعينات العشوائية، مما يرفع مستوى الالتزام بمعايير الجودة ويُقلّص الأخطاء البشرية إلى حدودها الدنيا</w:t>
      </w:r>
      <w:r w:rsidRPr="00AF0FC2">
        <w:rPr>
          <w:rFonts w:ascii="Simplified Arabic" w:eastAsia="Times New Roman" w:hAnsi="Simplified Arabic" w:cs="Simplified Arabic"/>
          <w:kern w:val="0"/>
          <w:sz w:val="28"/>
          <w:szCs w:val="28"/>
          <w14:ligatures w14:val="none"/>
        </w:rPr>
        <w:t xml:space="preserve"> (Naas &amp; Berass, 2024).</w:t>
      </w:r>
    </w:p>
    <w:p w14:paraId="44D8C2B9"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وعلى مستوى حلقة تقديم الخدمات وإيصالها للمستفيدين، فإن الذكاء الاصطناعي يُعزّز قدرة المؤسسة على تقديم خدمات متعددة القنوات تتسم بالدقة والسرعة والتخصيص. فمن خلال تحليل أنماط تفاعل المستفيدين وتفضيلاتهم، تستطيع الخوارزميات الذكية توجيه كل مستفيد نحو القناة الأنسب لحالته وتقديم استجابة </w:t>
      </w:r>
      <w:r w:rsidRPr="00AF0FC2">
        <w:rPr>
          <w:rFonts w:ascii="Simplified Arabic" w:eastAsia="Times New Roman" w:hAnsi="Simplified Arabic" w:cs="Simplified Arabic"/>
          <w:kern w:val="0"/>
          <w:sz w:val="28"/>
          <w:szCs w:val="28"/>
          <w:rtl/>
          <w14:ligatures w14:val="none"/>
        </w:rPr>
        <w:lastRenderedPageBreak/>
        <w:t>مُخصصة تُراعي سياقه الفردي. وهذا ما يُؤكده وانجاي وأوسورو حين يُشيران إلى أن دمج تقنية المعلومات في رسم خرائط العمليات التشغيلية يُعدّل العلاقة بين كفاءة التشغيل والأداء المؤسسي تعديلاً جوهرياً، حيث ترتفع القدرة التفسيرية للنموذج بصورة ملحوظة عند إدخال متغير التكامل التقني</w:t>
      </w:r>
      <w:r w:rsidRPr="00AF0FC2">
        <w:rPr>
          <w:rFonts w:ascii="Simplified Arabic" w:eastAsia="Times New Roman" w:hAnsi="Simplified Arabic" w:cs="Simplified Arabic"/>
          <w:kern w:val="0"/>
          <w:sz w:val="28"/>
          <w:szCs w:val="28"/>
          <w14:ligatures w14:val="none"/>
        </w:rPr>
        <w:t xml:space="preserve"> (Wangai &amp; Osoro, 2026).</w:t>
      </w:r>
    </w:p>
    <w:p w14:paraId="4AB3141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أما على مستوى حلقة خدمات ما بعد التقديم المتضمنة لمعالجة الشكاوى وجمع التغذية الراجعة والمتابعة المستمرة، فإن الذكاء الاصطناعي يُوفّر إمكانات غير مسبوقة من خلال أنظمة المحادثة الذكية التي تستقبل استفسارات المستفيدين وشكاواهم على مدار الساعة وتُصنّفها وتُوجّهها تلقائياً، إضافة إلى أدوات تحليل المشاعر التي ترصد مستوى رضا المتعاملين من خلال تحليل نصوصهم وتعبيراتهم وتُنبّه الإدارة إلى أي تراجع في مؤشرات الرضا في مراحله المبكرة</w:t>
      </w:r>
      <w:r w:rsidRPr="00AF0FC2">
        <w:rPr>
          <w:rFonts w:ascii="Simplified Arabic" w:eastAsia="Times New Roman" w:hAnsi="Simplified Arabic" w:cs="Simplified Arabic"/>
          <w:kern w:val="0"/>
          <w:sz w:val="28"/>
          <w:szCs w:val="28"/>
          <w14:ligatures w14:val="none"/>
        </w:rPr>
        <w:t xml:space="preserve"> (Ghadir et al., 2024).</w:t>
      </w:r>
    </w:p>
    <w:p w14:paraId="22DA890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ثالثاً: الذكاء الاصطناعي بوصفه مُعزّزاً لمحددات كفاءة السلسلة</w:t>
      </w:r>
    </w:p>
    <w:p w14:paraId="34C74FE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لا تقتصر العلاقة بين المتغيرين على التأثير المباشر في حلقات السلسلة، بل تمتد لتشمل تعزيز المحددات الهيكلية والتكاليفية والتنظيمية التي تُشكّل البيئة التمكينية لكفاءة السلسلة بأكملها. ففي ما يتعلق بالمحددات التكاليفية، يُبيّن مبويو وآخرون أن الذكاء الاصطناعي يُمكّن من رسم خريطة تفصيلية وآنية لتوزيع التكاليف التشغيلية على كل حلقة من حلقات السلسلة، بدلاً من الاعتماد على تقارير دورية متأخرة. كما تكشف خوارزميات التعلم الآلي عن علاقات خفية بين المتغيرات التكاليفية قد لا تتبدّى للمحللين البشريين، وتُمكّن من بناء نماذج تنبؤية لاتجاهات التكاليف المستقبلية تُحوّل إدارة التكاليف من نشاط رقابي سلبي إلى أداة تخطيط استراتيجي فاعلة</w:t>
      </w:r>
      <w:r w:rsidRPr="00AF0FC2">
        <w:rPr>
          <w:rFonts w:ascii="Simplified Arabic" w:eastAsia="Times New Roman" w:hAnsi="Simplified Arabic" w:cs="Simplified Arabic"/>
          <w:kern w:val="0"/>
          <w:sz w:val="28"/>
          <w:szCs w:val="28"/>
          <w14:ligatures w14:val="none"/>
        </w:rPr>
        <w:t xml:space="preserve"> (Mboyo et al., 2025).</w:t>
      </w:r>
    </w:p>
    <w:p w14:paraId="5D50DE2E"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وفي ما يتعلق بالمحددات التنظيمية والثقافية، فإن بامبريك وآخرين يُؤكدون أن الذكاء الاصطناعي يُعزّز عوامل النجاح الحرجة لسلاسل القيمة وعلى رأسها الشفافية التي تُفسّر النسبة الأكبر من التباين في الأداء التشغيلي. فأدوات الذكاء الاصطناعي تُتيح رؤية شاملة وآنية لحركة العمليات عبر جميع حلقات السلسلة، مما يُعزّز ثقافة التكامل والتعاون بين الوحدات ويكشف أي انحراف أو تأخير في لحظة حدوثه. كما أن قدرة الذكاء الاصطناعي على الكشف المبكر عن التأخيرات المحتملة تُعدّ من أبرز عوامل النجاح في بُعد السرعة، حيث تُمكّن المؤسسة من اتخاذ إجراءات وقائية قبل أن تتحوّل المخاطر إلى أزمات تشغيلية فعلية</w:t>
      </w:r>
      <w:r w:rsidRPr="00AF0FC2">
        <w:rPr>
          <w:rFonts w:ascii="Simplified Arabic" w:eastAsia="Times New Roman" w:hAnsi="Simplified Arabic" w:cs="Simplified Arabic"/>
          <w:kern w:val="0"/>
          <w:sz w:val="28"/>
          <w:szCs w:val="28"/>
          <w14:ligatures w14:val="none"/>
        </w:rPr>
        <w:t xml:space="preserve"> (Bambrick et al., 2023).</w:t>
      </w:r>
    </w:p>
    <w:p w14:paraId="02686A53"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lastRenderedPageBreak/>
        <w:t xml:space="preserve">وفي السياق ذاته يُشير جوزيف وكوبيرغ إلى أن نجاح سلسلة قيمة نظم المعلومات في القطاع الحكومي يرتبط بتحقق مجموعة من العوامل الحرجة أبرزها جودة النظام المعلوماتي وجودة المعلومات المُنتجة ورضا المستخدمين والمنفعة الشاملة. والذكاء الاصطناعي بطبيعته يُعزّز كل واحد من هذه العوامل، فهو يرفع جودة النظام من خلال الأتمتة الذكية، ويُحسّن جودة المعلومات من خلال تنقية البيانات وتحليلها، ويُعزّز رضا المستخدمين من خلال التخصيص والاستجابة الفورية، ويُعظّم المنفعة الشاملة من خلال ربط مخرجات السلسلة بعمليات صنع القرار بصورة مباشرة وفورية </w:t>
      </w:r>
      <w:r w:rsidRPr="00AF0FC2">
        <w:rPr>
          <w:rFonts w:ascii="Simplified Arabic" w:eastAsia="Times New Roman" w:hAnsi="Simplified Arabic" w:cs="Simplified Arabic"/>
          <w:kern w:val="0"/>
          <w:sz w:val="28"/>
          <w:szCs w:val="28"/>
          <w14:ligatures w14:val="none"/>
        </w:rPr>
        <w:t>(Joseph &amp; Koeberg, 2022).</w:t>
      </w:r>
    </w:p>
    <w:p w14:paraId="6AF0910B" w14:textId="4F28B78C" w:rsidR="00AF0FC2" w:rsidRPr="00AF0FC2"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AF0FC2" w:rsidRPr="00AF0FC2">
        <w:rPr>
          <w:rFonts w:ascii="Simplified Arabic" w:eastAsia="Times New Roman" w:hAnsi="Simplified Arabic" w:cs="Simplified Arabic"/>
          <w:kern w:val="0"/>
          <w:sz w:val="28"/>
          <w:szCs w:val="28"/>
          <w:rtl/>
          <w14:ligatures w14:val="none"/>
        </w:rPr>
        <w:t>يتضح من مجمل ما سبق أن العلاقة بين الذكاء الاصطناعي وسلسلة القيمة التشغيلية هي علاقة تأثير إيجابي متعدد المسارات والمستويات. فالذكاء الاصطناعي لا يُؤثّر في السلسلة من مدخل واحد بل يتغلغل في جميع حلقاتها ومحدداتها في آن واحد، مما يُحدث أثراً تراكمياً يتجاوز مجموع التأثيرات الجزئية. وهذه العلاقة ليست أحادية الاتجاه بالمعنى المطلق، إذ إن مستوى نضج سلسلة القيمة التشغيلية ذاتها يُؤثّر بدوره في قدرة المؤسسة على توظيف الذكاء الاصطناعي بفاعلية، فالسلسلة التي تفتقر إلى بيانات منظمة وعمليات موثقة وكوادر مؤهلة ستواجه صعوبات جوهرية في الاستفادة من تقنيات الذكاء الاصطناعي مهما بلغ تطورها</w:t>
      </w:r>
      <w:r w:rsidR="00AF0FC2" w:rsidRPr="00AF0FC2">
        <w:rPr>
          <w:rFonts w:ascii="Simplified Arabic" w:eastAsia="Times New Roman" w:hAnsi="Simplified Arabic" w:cs="Simplified Arabic"/>
          <w:kern w:val="0"/>
          <w:sz w:val="28"/>
          <w:szCs w:val="28"/>
          <w14:ligatures w14:val="none"/>
        </w:rPr>
        <w:t>.</w:t>
      </w:r>
    </w:p>
    <w:p w14:paraId="29F94065" w14:textId="77777777" w:rsid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غير أن الاتجاه الأساسي للعلاقة في سياق هذه الدراسة ينطلق من الذكاء الاصطناعي بوصفه متغيراً مستقلاً نحو سلسلة القيمة التشغيلية بوصفها متغيراً تابعاً، استناداً إلى أن الأدبيات المُستعرضة تُجمع على أن إدخال تقنيات الذكاء الاصطناعي في حلقات السلسلة يُفضي إلى تحسينات قابلة للقياس في الكفاءة التشغيلية وجودة المخرجات ورضا المستفيدين وسرعة الاستجابة وشفافية العمليات. وهو ما يتسق مع توجهات رؤية المملكة العربية السعودية 2030 التي تضع الذكاء الاصطناعي في صدارة أدوات تحقيق الحكومة الفاعلة والخدمات المتميزة</w:t>
      </w:r>
      <w:r w:rsidRPr="00AF0FC2">
        <w:rPr>
          <w:rFonts w:ascii="Simplified Arabic" w:eastAsia="Times New Roman" w:hAnsi="Simplified Arabic" w:cs="Simplified Arabic"/>
          <w:kern w:val="0"/>
          <w:sz w:val="28"/>
          <w:szCs w:val="28"/>
          <w14:ligatures w14:val="none"/>
        </w:rPr>
        <w:t xml:space="preserve"> (Ghadir et al., 2024; Naas &amp; Berass, 2024; Bambrick et al., 2023).</w:t>
      </w:r>
    </w:p>
    <w:p w14:paraId="5A756087" w14:textId="77777777" w:rsidR="005C44E0" w:rsidRDefault="005C44E0" w:rsidP="00A5503B">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07EFAA5C" w14:textId="131C8123"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rtl/>
          <w14:ligatures w14:val="none"/>
        </w:rPr>
      </w:pPr>
      <w:r w:rsidRPr="005C44E0">
        <w:rPr>
          <w:rFonts w:ascii="Simplified Arabic" w:eastAsia="Times New Roman" w:hAnsi="Simplified Arabic" w:cs="Simplified Arabic"/>
          <w:kern w:val="0"/>
          <w:sz w:val="28"/>
          <w:szCs w:val="28"/>
          <w:rtl/>
          <w14:ligatures w14:val="none"/>
        </w:rPr>
        <w:t>شكل (6) النموذج المفاهيمي المتكامل للعلاقة بين المتغيرين</w:t>
      </w:r>
    </w:p>
    <w:p w14:paraId="3689F078" w14:textId="77777777"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rtl/>
          <w14:ligatures w14:val="none"/>
        </w:rPr>
      </w:pPr>
    </w:p>
    <w:p w14:paraId="3E220AE4" w14:textId="1EC1DBCE"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Pr>
          <w:noProof/>
        </w:rPr>
        <w:lastRenderedPageBreak/>
        <w:drawing>
          <wp:inline distT="0" distB="0" distL="0" distR="0" wp14:anchorId="1784ED2F" wp14:editId="08C206A5">
            <wp:extent cx="5731510" cy="4023360"/>
            <wp:effectExtent l="0" t="0" r="2540" b="0"/>
            <wp:docPr id="177619055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23360"/>
                    </a:xfrm>
                    <a:prstGeom prst="rect">
                      <a:avLst/>
                    </a:prstGeom>
                    <a:noFill/>
                    <a:ln>
                      <a:noFill/>
                    </a:ln>
                  </pic:spPr>
                </pic:pic>
              </a:graphicData>
            </a:graphic>
          </wp:inline>
        </w:drawing>
      </w:r>
    </w:p>
    <w:p w14:paraId="580C437E" w14:textId="0B60E4CD" w:rsidR="005C44E0" w:rsidRPr="005C44E0" w:rsidRDefault="005C44E0" w:rsidP="005C44E0">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w:t>
      </w:r>
      <w:r w:rsidRPr="005C44E0">
        <w:rPr>
          <w:rFonts w:ascii="Simplified Arabic" w:eastAsia="Times New Roman" w:hAnsi="Simplified Arabic" w:cs="Simplified Arabic"/>
          <w:b/>
          <w:bCs/>
          <w:kern w:val="0"/>
          <w:sz w:val="28"/>
          <w:szCs w:val="28"/>
          <w:rtl/>
          <w14:ligatures w14:val="none"/>
        </w:rPr>
        <w:t>لمصدر</w:t>
      </w:r>
      <w:r w:rsidRPr="005C44E0">
        <w:rPr>
          <w:rFonts w:ascii="Simplified Arabic" w:eastAsia="Times New Roman" w:hAnsi="Simplified Arabic" w:cs="Simplified Arabic"/>
          <w:b/>
          <w:bCs/>
          <w:kern w:val="0"/>
          <w:sz w:val="28"/>
          <w:szCs w:val="28"/>
          <w14:ligatures w14:val="none"/>
        </w:rPr>
        <w:t xml:space="preserve">: </w:t>
      </w:r>
      <w:r w:rsidRPr="005C44E0">
        <w:rPr>
          <w:rFonts w:ascii="Simplified Arabic" w:eastAsia="Times New Roman" w:hAnsi="Simplified Arabic" w:cs="Simplified Arabic"/>
          <w:b/>
          <w:bCs/>
          <w:kern w:val="0"/>
          <w:sz w:val="28"/>
          <w:szCs w:val="28"/>
          <w:rtl/>
          <w14:ligatures w14:val="none"/>
        </w:rPr>
        <w:t>من إعداد الباحثة بناءً على النموذج المفاهيمي للدراسة</w:t>
      </w:r>
      <w:r w:rsidRPr="005C44E0">
        <w:rPr>
          <w:rFonts w:ascii="Simplified Arabic" w:eastAsia="Times New Roman" w:hAnsi="Simplified Arabic" w:cs="Simplified Arabic"/>
          <w:b/>
          <w:bCs/>
          <w:kern w:val="0"/>
          <w:sz w:val="28"/>
          <w:szCs w:val="28"/>
          <w14:ligatures w14:val="none"/>
        </w:rPr>
        <w:t>.</w:t>
      </w:r>
    </w:p>
    <w:p w14:paraId="2C4210B4" w14:textId="6D119EF6" w:rsidR="00C47BC4"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و</w:t>
      </w:r>
      <w:r w:rsidR="00AF0FC2" w:rsidRPr="00AF0FC2">
        <w:rPr>
          <w:rFonts w:ascii="Simplified Arabic" w:eastAsia="Times New Roman" w:hAnsi="Simplified Arabic" w:cs="Simplified Arabic"/>
          <w:kern w:val="0"/>
          <w:sz w:val="28"/>
          <w:szCs w:val="28"/>
          <w:rtl/>
          <w14:ligatures w14:val="none"/>
        </w:rPr>
        <w:t>ترى الباحثة أن العلاقة بين الذكاء الاصطناعي وسلسلة القيمة التشغيلية في المؤسسات الحكومية الكبرى بالمملكة العربية السعودية ليست علاقة خطية بسيطة يمكن اختزالها في معادلة سبب ونتيجة مباشرة، بل هي علاقة منظومية متعددة الطبقات يتفاعل فيها الذكاء الاصطناعي مع حلقات السلسلة ومحدداتها وعوامل نجاحها في آنٍ واحد. فالذكاء الاصطناعي يُؤثّر في اللوجستيات الداخلية عبر التصنيف الذكي للطلبات، ويُؤثّر في العمليات الأساسية عبر الأتمتة والرقابة الاستباقية، ويُؤثّر في تقديم الخدمات عبر التخصيص ومتعدد القنوات، ويُؤثّر في خدمات ما بعد التقديم عبر التحليل الذكي للتغذية الراجعة، وفي الوقت ذاته يُعزّز المحددات الرقابية والتنظيمية والتكاليفية والتقنية والبشرية التي تُشكّل البيئة التمكينية لكفاءة السلسلة. وهذا التأثير المتعدد المسارات والمستويات هو ما يمنح الذكاء الاصطناعي قدرته التحويلية الفريدة ويجعله الرافعة الاستراتيجية الأكثر تأثيراً في تحقيق التميز التشغيلي للمؤسسات الحكومية الكبرى في ضوء متطلبات رؤية 2030</w:t>
      </w:r>
      <w:r w:rsidR="00AF0FC2" w:rsidRPr="00AF0FC2">
        <w:rPr>
          <w:rFonts w:ascii="Simplified Arabic" w:eastAsia="Times New Roman" w:hAnsi="Simplified Arabic" w:cs="Simplified Arabic"/>
          <w:kern w:val="0"/>
          <w:sz w:val="28"/>
          <w:szCs w:val="28"/>
          <w14:ligatures w14:val="none"/>
        </w:rPr>
        <w:t>.</w:t>
      </w:r>
    </w:p>
    <w:p w14:paraId="7B3014AC" w14:textId="77777777" w:rsidR="00C47BC4" w:rsidRDefault="00C47BC4">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681E8189" w14:textId="77777777" w:rsidR="00C47BC4" w:rsidRPr="00B91104" w:rsidRDefault="00C47BC4" w:rsidP="00C47BC4">
      <w:pPr>
        <w:pStyle w:val="1"/>
        <w:rPr>
          <w:rtl/>
        </w:rPr>
      </w:pPr>
      <w:r w:rsidRPr="00B91104">
        <w:rPr>
          <w:rtl/>
        </w:rPr>
        <w:lastRenderedPageBreak/>
        <w:t xml:space="preserve">الدراسات </w:t>
      </w:r>
      <w:bookmarkStart w:id="15" w:name="_Toc202053529"/>
      <w:r w:rsidRPr="00B91104">
        <w:rPr>
          <w:rtl/>
        </w:rPr>
        <w:t>ال</w:t>
      </w:r>
      <w:r>
        <w:rPr>
          <w:rFonts w:hint="cs"/>
          <w:rtl/>
        </w:rPr>
        <w:t xml:space="preserve">سابقة </w:t>
      </w:r>
      <w:r w:rsidRPr="00B91104">
        <w:rPr>
          <w:rtl/>
        </w:rPr>
        <w:t>:</w:t>
      </w:r>
      <w:bookmarkEnd w:id="15"/>
    </w:p>
    <w:p w14:paraId="755C41FA" w14:textId="77777777" w:rsidR="00C47BC4" w:rsidRPr="00B91104" w:rsidRDefault="00C47BC4" w:rsidP="00C47BC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r>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 وقد مت تقسيم تلك الدراسات إلى ثلاث مجموعات رئيسية، وهي:</w:t>
      </w:r>
    </w:p>
    <w:p w14:paraId="6F5C1286" w14:textId="77777777" w:rsidR="00C47BC4" w:rsidRPr="00B91104" w:rsidRDefault="00C47BC4" w:rsidP="00C47BC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 الدراسات التي تناولت</w:t>
      </w:r>
      <w:r w:rsidRPr="00644213">
        <w:rPr>
          <w:rFonts w:ascii="Simplified Arabic" w:hAnsi="Simplified Arabic" w:cs="Simplified Arabic"/>
          <w:b/>
          <w:bCs/>
          <w:sz w:val="28"/>
          <w:szCs w:val="28"/>
          <w:rtl/>
        </w:rPr>
        <w:t xml:space="preserve"> </w:t>
      </w:r>
      <w:r w:rsidRPr="00644213">
        <w:rPr>
          <w:rFonts w:ascii="Simplified Arabic" w:hAnsi="Simplified Arabic" w:cs="Simplified Arabic"/>
          <w:sz w:val="28"/>
          <w:szCs w:val="28"/>
          <w:rtl/>
        </w:rPr>
        <w:t>الذكاء الاصطناعى</w:t>
      </w:r>
      <w:r w:rsidRPr="00644213">
        <w:rPr>
          <w:rFonts w:ascii="Simplified Arabic" w:hAnsi="Simplified Arabic" w:cs="Simplified Arabic"/>
          <w:b/>
          <w:bCs/>
          <w:sz w:val="28"/>
          <w:szCs w:val="28"/>
          <w:rtl/>
        </w:rPr>
        <w:t xml:space="preserve">  </w:t>
      </w:r>
      <w:r w:rsidRPr="00B91104">
        <w:rPr>
          <w:rFonts w:ascii="Simplified Arabic" w:hAnsi="Simplified Arabic" w:cs="Simplified Arabic"/>
          <w:sz w:val="28"/>
          <w:szCs w:val="28"/>
          <w:rtl/>
          <w:lang w:bidi="ar-EG"/>
        </w:rPr>
        <w:t>وعلاقته بالمتغيرات الأخرى.</w:t>
      </w:r>
    </w:p>
    <w:p w14:paraId="3A3F7E83" w14:textId="77777777" w:rsidR="00C47BC4" w:rsidRPr="00B91104" w:rsidRDefault="00C47BC4" w:rsidP="00C47BC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 xml:space="preserve">المجموعة الثانية: الدراسات التي تناولت </w:t>
      </w:r>
      <w:r w:rsidRPr="00602A7D">
        <w:rPr>
          <w:rFonts w:ascii="Simplified Arabic" w:hAnsi="Simplified Arabic" w:cs="Simplified Arabic"/>
          <w:sz w:val="28"/>
          <w:szCs w:val="28"/>
          <w:rtl/>
          <w:lang w:bidi="ar-EG"/>
        </w:rPr>
        <w:t>سلسلة القيمة التشغيلية</w:t>
      </w:r>
      <w:r>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وعلاقته بالمتغيرات الأخرى.</w:t>
      </w:r>
    </w:p>
    <w:p w14:paraId="30E54DB8" w14:textId="77777777" w:rsidR="00C47BC4" w:rsidRPr="00B91104" w:rsidRDefault="00C47BC4" w:rsidP="00C47BC4">
      <w:pPr>
        <w:pStyle w:val="a6"/>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المجموعة الثالثة: الدراسات التي تناولت </w:t>
      </w:r>
      <w:r w:rsidRPr="00602A7D">
        <w:rPr>
          <w:rFonts w:ascii="Simplified Arabic" w:hAnsi="Simplified Arabic" w:cs="Simplified Arabic"/>
          <w:sz w:val="28"/>
          <w:szCs w:val="28"/>
          <w:rtl/>
        </w:rPr>
        <w:t>الذكاء الاصطناعى</w:t>
      </w:r>
      <w:r w:rsidRPr="00602A7D">
        <w:rPr>
          <w:rFonts w:ascii="Simplified Arabic" w:hAnsi="Simplified Arabic" w:cs="Simplified Arabic"/>
          <w:b/>
          <w:bCs/>
          <w:sz w:val="28"/>
          <w:szCs w:val="28"/>
          <w:rtl/>
        </w:rPr>
        <w:t xml:space="preserve">  </w:t>
      </w:r>
      <w:r>
        <w:rPr>
          <w:rFonts w:ascii="Simplified Arabic" w:hAnsi="Simplified Arabic" w:cs="Simplified Arabic" w:hint="cs"/>
          <w:sz w:val="28"/>
          <w:szCs w:val="28"/>
          <w:rtl/>
          <w:lang w:bidi="ar-EG"/>
        </w:rPr>
        <w:t>و</w:t>
      </w:r>
      <w:r w:rsidRPr="00402E9C">
        <w:rPr>
          <w:rFonts w:ascii="Simplified Arabic" w:hAnsi="Simplified Arabic" w:cs="Simplified Arabic" w:hint="cs"/>
          <w:sz w:val="28"/>
          <w:szCs w:val="28"/>
          <w:rtl/>
          <w:lang w:bidi="ar-EG"/>
        </w:rPr>
        <w:t xml:space="preserve"> </w:t>
      </w:r>
      <w:r w:rsidRPr="00602A7D">
        <w:rPr>
          <w:rFonts w:ascii="Simplified Arabic" w:hAnsi="Simplified Arabic" w:cs="Simplified Arabic"/>
          <w:sz w:val="28"/>
          <w:szCs w:val="28"/>
          <w:rtl/>
          <w:lang w:bidi="ar-EG"/>
        </w:rPr>
        <w:t>سلسلة القيمة التشغيلية</w:t>
      </w:r>
      <w:r w:rsidRPr="00B91104">
        <w:rPr>
          <w:rFonts w:ascii="Simplified Arabic" w:hAnsi="Simplified Arabic" w:cs="Simplified Arabic"/>
          <w:sz w:val="28"/>
          <w:szCs w:val="28"/>
          <w:rtl/>
          <w:lang w:bidi="ar-EG"/>
        </w:rPr>
        <w:t>.</w:t>
      </w:r>
    </w:p>
    <w:p w14:paraId="67E3556C" w14:textId="77777777"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الأولى: الدراسات التي </w:t>
      </w:r>
      <w:r w:rsidRPr="00402E9C">
        <w:rPr>
          <w:rFonts w:ascii="Simplified Arabic" w:hAnsi="Simplified Arabic" w:cs="Simplified Arabic"/>
          <w:b/>
          <w:bCs/>
          <w:sz w:val="28"/>
          <w:szCs w:val="28"/>
          <w:rtl/>
          <w:lang w:bidi="ar-EG"/>
        </w:rPr>
        <w:t xml:space="preserve">تناولت </w:t>
      </w:r>
      <w:r w:rsidRPr="00602A7D">
        <w:rPr>
          <w:rFonts w:ascii="Simplified Arabic" w:hAnsi="Simplified Arabic" w:cs="Simplified Arabic"/>
          <w:b/>
          <w:bCs/>
          <w:sz w:val="28"/>
          <w:szCs w:val="28"/>
          <w:rtl/>
        </w:rPr>
        <w:t xml:space="preserve">الذكاء الاصطناعى  </w:t>
      </w:r>
      <w:r w:rsidRPr="00B91104">
        <w:rPr>
          <w:rFonts w:ascii="Simplified Arabic" w:hAnsi="Simplified Arabic" w:cs="Simplified Arabic"/>
          <w:b/>
          <w:bCs/>
          <w:sz w:val="28"/>
          <w:szCs w:val="28"/>
          <w:rtl/>
          <w:lang w:bidi="ar-EG"/>
        </w:rPr>
        <w:t>وعلاقته بالمتغيرات الأخرى.</w:t>
      </w:r>
    </w:p>
    <w:p w14:paraId="1750F850" w14:textId="77777777" w:rsidR="00C47BC4" w:rsidRDefault="00C47BC4" w:rsidP="00C47BC4">
      <w:pPr>
        <w:jc w:val="both"/>
        <w:rPr>
          <w:rFonts w:ascii="Simplified Arabic" w:hAnsi="Simplified Arabic" w:cs="Simplified Arabic"/>
          <w:b/>
          <w:bCs/>
          <w:sz w:val="28"/>
          <w:szCs w:val="28"/>
          <w:rtl/>
        </w:rPr>
      </w:pPr>
      <w:r w:rsidRPr="00B91104">
        <w:rPr>
          <w:rFonts w:ascii="Simplified Arabic" w:hAnsi="Simplified Arabic" w:cs="Simplified Arabic"/>
          <w:b/>
          <w:bCs/>
          <w:sz w:val="28"/>
          <w:szCs w:val="28"/>
          <w:rtl/>
          <w:lang w:bidi="ar-EG"/>
        </w:rPr>
        <w:t>دراس</w:t>
      </w:r>
      <w:r>
        <w:rPr>
          <w:rFonts w:ascii="Simplified Arabic" w:hAnsi="Simplified Arabic" w:cs="Simplified Arabic" w:hint="cs"/>
          <w:b/>
          <w:bCs/>
          <w:sz w:val="28"/>
          <w:szCs w:val="28"/>
          <w:rtl/>
          <w:lang w:bidi="ar-EG"/>
        </w:rPr>
        <w:t xml:space="preserve">ة (المصاروة و السرحان،2021) </w:t>
      </w:r>
      <w:r w:rsidRPr="00B91104">
        <w:rPr>
          <w:rFonts w:ascii="Simplified Arabic" w:hAnsi="Simplified Arabic" w:cs="Simplified Arabic"/>
          <w:b/>
          <w:bCs/>
          <w:sz w:val="28"/>
          <w:szCs w:val="28"/>
          <w:rtl/>
          <w:lang w:bidi="ar-EG"/>
        </w:rPr>
        <w:t>بعنوان</w:t>
      </w:r>
      <w:r w:rsidRPr="00643EEB">
        <w:rPr>
          <w:rFonts w:ascii="Simplified Arabic" w:hAnsi="Simplified Arabic" w:cs="Simplified Arabic"/>
          <w:b/>
          <w:bCs/>
          <w:sz w:val="28"/>
          <w:szCs w:val="28"/>
          <w:rtl/>
          <w:lang w:bidi="ar-EG"/>
        </w:rPr>
        <w:t xml:space="preserve">: </w:t>
      </w:r>
      <w:r w:rsidRPr="00643EEB">
        <w:rPr>
          <w:rFonts w:ascii="Simplified Arabic" w:hAnsi="Simplified Arabic" w:cs="Simplified Arabic"/>
          <w:b/>
          <w:bCs/>
          <w:sz w:val="28"/>
          <w:szCs w:val="28"/>
          <w:rtl/>
        </w:rPr>
        <w:t>أثر الذكاء الاصطناعي في الأداء المؤسسي: متغير وسيط رأس المال الفكري في البنوك التجارية في الأردن</w:t>
      </w:r>
    </w:p>
    <w:p w14:paraId="1852D401"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وتكون مجتمع الدراسة من العاملين في (16) بنكًا تجاريًا، واعتمدت الدراسة العينة الطبقية العشوائية المتناسبة من الإداريين (مدير، رئيس قسم، مشرف، إداري)، وبلغ حجم العينة (338) إداريًا. استخدمت الدراسة المنهج الوصفي التحليلي، وطورت استبانة مكوّنة من (38) فقرة، وتم تحليل البيانات باستخدام برنامج</w:t>
      </w:r>
      <w:r w:rsidRPr="00643EEB">
        <w:rPr>
          <w:rFonts w:ascii="Simplified Arabic" w:hAnsi="Simplified Arabic" w:cs="Simplified Arabic"/>
          <w:sz w:val="28"/>
          <w:szCs w:val="28"/>
        </w:rPr>
        <w:t xml:space="preserve"> SPSS </w:t>
      </w:r>
      <w:r w:rsidRPr="00643EEB">
        <w:rPr>
          <w:rFonts w:ascii="Simplified Arabic" w:hAnsi="Simplified Arabic" w:cs="Simplified Arabic"/>
          <w:sz w:val="28"/>
          <w:szCs w:val="28"/>
          <w:rtl/>
        </w:rPr>
        <w:t>واختبار الفرضيات، بالإضافة إلى تحليل المسار</w:t>
      </w:r>
      <w:r w:rsidRPr="00643EEB">
        <w:rPr>
          <w:rFonts w:ascii="Simplified Arabic" w:hAnsi="Simplified Arabic" w:cs="Simplified Arabic"/>
          <w:sz w:val="28"/>
          <w:szCs w:val="28"/>
        </w:rPr>
        <w:t xml:space="preserve"> (Path Analysis) </w:t>
      </w:r>
      <w:r w:rsidRPr="00643EEB">
        <w:rPr>
          <w:rFonts w:ascii="Simplified Arabic" w:hAnsi="Simplified Arabic" w:cs="Simplified Arabic"/>
          <w:sz w:val="28"/>
          <w:szCs w:val="28"/>
          <w:rtl/>
        </w:rPr>
        <w:t>باستخدام برنامج</w:t>
      </w:r>
      <w:r w:rsidRPr="00643EEB">
        <w:rPr>
          <w:rFonts w:ascii="Simplified Arabic" w:hAnsi="Simplified Arabic" w:cs="Simplified Arabic"/>
          <w:sz w:val="28"/>
          <w:szCs w:val="28"/>
        </w:rPr>
        <w:t xml:space="preserve"> Amos </w:t>
      </w:r>
      <w:r w:rsidRPr="00643EEB">
        <w:rPr>
          <w:rFonts w:ascii="Simplified Arabic" w:hAnsi="Simplified Arabic" w:cs="Simplified Arabic"/>
          <w:sz w:val="28"/>
          <w:szCs w:val="28"/>
          <w:rtl/>
        </w:rPr>
        <w:t>لبيان الأثر المباشر وغير المباشر لمتغيرات الدراسة. وتوصلت النتائج إلى وجود أثر لأبعاد الذكاء الاصطناعي على الأداء المؤسسي، ووجود أثر لها على رأس المال الفكري، إضافة إلى وجود أثر لرأس المال الفكري على الأداء المؤسسي، كما تبين وجود أثر غير مباشر للذكاء الاصطناعي على الأداء المؤسسي من خلال رأس المال الفكري. وأوصت الدراسة بضرورة تعزيز الاهتمام بالنظم الخبيرة لمعالجة المشكلات وتوظيف المعرفة المخزنة، وتطوير أنظمة قادرة على معالجة الأخطاء المحاسبية تلقائيًا، وإعادة تقييم العمليات الداخلية بما يتوافق مع تطورات البيئة المصرفية من خلال التكنولوجيا الحديثة ونقل المعرفة والبحث والتطوير</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3C9BF405" w14:textId="77777777" w:rsidR="00C47BC4" w:rsidRPr="00B91104" w:rsidRDefault="00C47BC4" w:rsidP="00C47BC4">
      <w:pPr>
        <w:jc w:val="both"/>
        <w:rPr>
          <w:rFonts w:ascii="Simplified Arabic" w:hAnsi="Simplified Arabic" w:cs="Simplified Arabic"/>
          <w:b/>
          <w:bCs/>
          <w:sz w:val="28"/>
          <w:szCs w:val="28"/>
          <w:rtl/>
          <w:lang w:bidi="ar-EG"/>
        </w:rPr>
      </w:pPr>
      <w:bookmarkStart w:id="16" w:name="_Hlk201962275"/>
      <w:r w:rsidRPr="00B91104">
        <w:rPr>
          <w:rFonts w:ascii="Simplified Arabic" w:hAnsi="Simplified Arabic" w:cs="Simplified Arabic"/>
          <w:b/>
          <w:bCs/>
          <w:sz w:val="28"/>
          <w:szCs w:val="28"/>
          <w:rtl/>
          <w:lang w:bidi="ar-EG"/>
        </w:rPr>
        <w:t xml:space="preserve">دراسة </w:t>
      </w:r>
      <w:r>
        <w:rPr>
          <w:rFonts w:ascii="Simplified Arabic" w:hAnsi="Simplified Arabic" w:cs="Simplified Arabic" w:hint="cs"/>
          <w:b/>
          <w:bCs/>
          <w:sz w:val="28"/>
          <w:szCs w:val="28"/>
          <w:rtl/>
          <w:lang w:bidi="ar-EG"/>
        </w:rPr>
        <w:t>(عبد المنعم ،2023)</w:t>
      </w:r>
      <w:r w:rsidRPr="00B91104">
        <w:rPr>
          <w:rFonts w:ascii="Simplified Arabic" w:hAnsi="Simplified Arabic" w:cs="Simplified Arabic"/>
          <w:b/>
          <w:bCs/>
          <w:sz w:val="28"/>
          <w:szCs w:val="28"/>
          <w:rtl/>
          <w:lang w:bidi="ar-EG"/>
        </w:rPr>
        <w:t xml:space="preserve"> بعنوان: </w:t>
      </w:r>
      <w:r w:rsidRPr="00643EEB">
        <w:rPr>
          <w:rFonts w:ascii="Simplified Arabic" w:hAnsi="Simplified Arabic" w:cs="Simplified Arabic"/>
          <w:b/>
          <w:bCs/>
          <w:sz w:val="28"/>
          <w:szCs w:val="28"/>
          <w:rtl/>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r w:rsidRPr="00B91104">
        <w:rPr>
          <w:rFonts w:ascii="Simplified Arabic" w:hAnsi="Simplified Arabic" w:cs="Simplified Arabic"/>
          <w:b/>
          <w:bCs/>
          <w:sz w:val="28"/>
          <w:szCs w:val="28"/>
          <w:rtl/>
          <w:lang w:bidi="ar-EG"/>
        </w:rPr>
        <w:t>.</w:t>
      </w:r>
    </w:p>
    <w:p w14:paraId="45ED2C7F" w14:textId="77777777" w:rsidR="00C47BC4" w:rsidRDefault="00C47BC4" w:rsidP="00C47BC4">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هدف</w:t>
      </w:r>
      <w:r w:rsidRPr="00643EEB">
        <w:rPr>
          <w:rFonts w:ascii="Simplified Arabic" w:hAnsi="Simplified Arabic" w:cs="Simplified Arabic"/>
          <w:sz w:val="28"/>
          <w:szCs w:val="28"/>
          <w:rtl/>
        </w:rPr>
        <w:t xml:space="preserve"> البحث إلى فحص التأثير المباشر وغير المباشر لأبعاد الذكاء الاصطناعي (الإدراك، تعلّم الآلة، الأتمتة والروبوتات، المعلومات العصبية) على الرشاقة الاستراتيجية بأبعادها (الحساسية الاستراتيجية، القدرات الجوهرية، الأهداف الاستراتيجية) لدى العاملين بالجامعات الخاصة المصرية، وذلك من خلال توسيط ممارسات الجدارات الوظيفية الرقمية في الموارد البشرية</w:t>
      </w:r>
      <w:r>
        <w:rPr>
          <w:rFonts w:ascii="Simplified Arabic" w:hAnsi="Simplified Arabic" w:cs="Simplified Arabic" w:hint="cs"/>
          <w:sz w:val="28"/>
          <w:szCs w:val="28"/>
          <w:rtl/>
        </w:rPr>
        <w:t>، و</w:t>
      </w:r>
      <w:r w:rsidRPr="00643EEB">
        <w:rPr>
          <w:rFonts w:ascii="Simplified Arabic" w:hAnsi="Simplified Arabic" w:cs="Simplified Arabic"/>
          <w:sz w:val="28"/>
          <w:szCs w:val="28"/>
          <w:rtl/>
        </w:rPr>
        <w:t xml:space="preserve"> استخدم البحث المنهج الوصفي التحليلي الكمي من خلال تحليل الظاهرة وتوصيف متغيراتها، واعتمد على أداة الاستقصاء لجمع البيانات من عينة عشوائية احتمالية مكوّنة من (397) مفردة من العاملين في الجامعات الخاصة المصرية. </w:t>
      </w:r>
    </w:p>
    <w:p w14:paraId="36D0E552"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وجود علاقة ذات دلالة إحصائية لأبعاد الذكاء الاصطناعي على الرشاقة الاستراتيجية، في ظل وجود الجدارات الوظيفية الرقمية في الموارد البشرية كمتغير وسيط</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وأوصى البحث بضرورة تعزيز تطبيقات الذكاء الاصطناعي وتنمية الجدارات الرقمية لدعم الرشاقة الاستراتيجية في الجامعات الخاصة المصرية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06FA44D2" w14:textId="77777777" w:rsidR="00C47BC4" w:rsidRPr="00643EEB" w:rsidRDefault="00C47BC4" w:rsidP="00C47BC4">
      <w:pPr>
        <w:rPr>
          <w:rFonts w:ascii="Simplified Arabic" w:hAnsi="Simplified Arabic" w:cs="Simplified Arabic"/>
          <w:b/>
          <w:bCs/>
          <w:sz w:val="28"/>
          <w:szCs w:val="28"/>
          <w:rtl/>
        </w:rPr>
      </w:pPr>
      <w:r w:rsidRPr="00643EEB">
        <w:rPr>
          <w:rFonts w:ascii="Simplified Arabic" w:hAnsi="Simplified Arabic" w:cs="Simplified Arabic"/>
          <w:b/>
          <w:bCs/>
          <w:sz w:val="28"/>
          <w:szCs w:val="28"/>
          <w:rtl/>
          <w:lang w:bidi="ar-EG"/>
        </w:rPr>
        <w:t>دراسة</w:t>
      </w:r>
      <w:r w:rsidRPr="00643EEB">
        <w:rPr>
          <w:rFonts w:ascii="Simplified Arabic" w:hAnsi="Simplified Arabic" w:cs="Simplified Arabic" w:hint="cs"/>
          <w:b/>
          <w:bCs/>
          <w:sz w:val="28"/>
          <w:szCs w:val="28"/>
          <w:rtl/>
          <w:lang w:bidi="ar-EG"/>
        </w:rPr>
        <w:t xml:space="preserve">(طيبى ومولاى،2023) </w:t>
      </w:r>
      <w:r w:rsidRPr="00643EEB">
        <w:rPr>
          <w:rFonts w:ascii="Simplified Arabic" w:hAnsi="Simplified Arabic" w:cs="Simplified Arabic"/>
          <w:b/>
          <w:bCs/>
          <w:sz w:val="28"/>
          <w:szCs w:val="28"/>
          <w:rtl/>
          <w:lang w:bidi="ar-EG"/>
        </w:rPr>
        <w:t>بعنوان:</w:t>
      </w:r>
      <w:r w:rsidRPr="00643EEB">
        <w:rPr>
          <w:b/>
          <w:bCs/>
          <w:rtl/>
        </w:rPr>
        <w:t xml:space="preserve"> </w:t>
      </w:r>
      <w:r w:rsidRPr="00643EEB">
        <w:rPr>
          <w:rFonts w:ascii="Simplified Arabic" w:hAnsi="Simplified Arabic" w:cs="Simplified Arabic"/>
          <w:b/>
          <w:bCs/>
          <w:sz w:val="28"/>
          <w:szCs w:val="28"/>
          <w:rtl/>
        </w:rPr>
        <w:t>أثر الذكاء الاصطناعي على أداء البنوك التجارية: دراسة حالة البنوك التجارية لولايتي البيض وتيارت</w:t>
      </w:r>
    </w:p>
    <w:p w14:paraId="4A2EF173" w14:textId="77777777" w:rsidR="00C47BC4" w:rsidRPr="00EC07BC" w:rsidRDefault="00C47BC4" w:rsidP="00C47BC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هذه الدراسة إلى التعريف بالذكاء الاصطناعي وبيان تأثيره في المجال المالي، وتحديد ما يمكن أن يسهم به في تحسين أداء البنوك التجارية بما ينعكس على زيادة ربحيتها، وقد أُجريت الدراسة في البنوك التجارية بولايتي البيض وتيارت</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واعتمدت على استبيان وُزع على عينة مكوّنة من 100 موظف، كما استخدمت الدراسة برنامجي</w:t>
      </w:r>
      <w:r w:rsidRPr="00643EEB">
        <w:rPr>
          <w:rFonts w:ascii="Simplified Arabic" w:hAnsi="Simplified Arabic" w:cs="Simplified Arabic"/>
          <w:sz w:val="28"/>
          <w:szCs w:val="28"/>
        </w:rPr>
        <w:t xml:space="preserve"> SPSS v23 </w:t>
      </w:r>
      <w:r w:rsidRPr="00643EEB">
        <w:rPr>
          <w:rFonts w:ascii="Simplified Arabic" w:hAnsi="Simplified Arabic" w:cs="Simplified Arabic"/>
          <w:sz w:val="28"/>
          <w:szCs w:val="28"/>
          <w:rtl/>
        </w:rPr>
        <w:t>و</w:t>
      </w:r>
      <w:r w:rsidRPr="00643EEB">
        <w:rPr>
          <w:rFonts w:ascii="Simplified Arabic" w:hAnsi="Simplified Arabic" w:cs="Simplified Arabic"/>
          <w:sz w:val="28"/>
          <w:szCs w:val="28"/>
        </w:rPr>
        <w:t xml:space="preserve">AMOS v23 </w:t>
      </w:r>
      <w:r w:rsidRPr="00643EEB">
        <w:rPr>
          <w:rFonts w:ascii="Simplified Arabic" w:hAnsi="Simplified Arabic" w:cs="Simplified Arabic"/>
          <w:sz w:val="28"/>
          <w:szCs w:val="28"/>
          <w:rtl/>
        </w:rPr>
        <w:t>لاختبار فرضياتها بالاعتماد على نمذجة المعدلات الهيكلية. وتوصلت نتائج الدراسة إلى وجود أثر ذو دلالة معنوية للذكاء الاصطناعي على أداء البنوك التجارية. وأوصت الدراسة بأهمية تعزيز توظيف تقنيات الذكاء الاصطناعي داخل البنوك لدعم كفاءة الأداء وتحسين النتائج المالية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05F1955C" w14:textId="77777777" w:rsidR="00C47BC4" w:rsidRPr="00FA77D4" w:rsidRDefault="00C47BC4" w:rsidP="00C47BC4">
      <w:pPr>
        <w:jc w:val="both"/>
        <w:rPr>
          <w:rFonts w:ascii="Simplified Arabic" w:hAnsi="Simplified Arabic" w:cs="Simplified Arabic"/>
          <w:b/>
          <w:bCs/>
          <w:sz w:val="28"/>
          <w:szCs w:val="28"/>
          <w:rtl/>
          <w:lang w:bidi="ar-EG"/>
        </w:rPr>
      </w:pPr>
      <w:r w:rsidRPr="00FA77D4">
        <w:rPr>
          <w:rFonts w:ascii="Simplified Arabic" w:hAnsi="Simplified Arabic" w:cs="Simplified Arabic"/>
          <w:b/>
          <w:bCs/>
          <w:sz w:val="28"/>
          <w:szCs w:val="28"/>
          <w:rtl/>
          <w:lang w:bidi="ar-EG"/>
        </w:rPr>
        <w:t>دراسة</w:t>
      </w:r>
      <w:r w:rsidRPr="00FA77D4">
        <w:rPr>
          <w:rFonts w:ascii="Simplified Arabic" w:hAnsi="Simplified Arabic" w:cs="Simplified Arabic" w:hint="cs"/>
          <w:b/>
          <w:bCs/>
          <w:sz w:val="28"/>
          <w:szCs w:val="28"/>
          <w:rtl/>
          <w:lang w:bidi="ar-EG"/>
        </w:rPr>
        <w:t xml:space="preserve">(صقر واخرون،2024) </w:t>
      </w:r>
      <w:r w:rsidRPr="00FA77D4">
        <w:rPr>
          <w:rFonts w:ascii="Simplified Arabic" w:hAnsi="Simplified Arabic" w:cs="Simplified Arabic"/>
          <w:b/>
          <w:bCs/>
          <w:sz w:val="28"/>
          <w:szCs w:val="28"/>
          <w:rtl/>
          <w:lang w:bidi="ar-EG"/>
        </w:rPr>
        <w:t>بعنوان:</w:t>
      </w:r>
      <w:r w:rsidRPr="00FA77D4">
        <w:rPr>
          <w:b/>
          <w:bCs/>
          <w:rtl/>
        </w:rPr>
        <w:t xml:space="preserve"> </w:t>
      </w:r>
      <w:r w:rsidRPr="00FA77D4">
        <w:rPr>
          <w:rFonts w:ascii="Simplified Arabic" w:hAnsi="Simplified Arabic" w:cs="Simplified Arabic"/>
          <w:b/>
          <w:bCs/>
          <w:sz w:val="28"/>
          <w:szCs w:val="28"/>
          <w:rtl/>
          <w:lang w:bidi="ar-EG"/>
        </w:rPr>
        <w:t>دور الذكاء الاصطناعي في تحسين ابتكار الخدمة: دراسة تطبيقية.</w:t>
      </w:r>
    </w:p>
    <w:p w14:paraId="1FFB8FF7" w14:textId="77777777" w:rsidR="00C47BC4" w:rsidRDefault="00C47BC4" w:rsidP="00C47BC4">
      <w:pPr>
        <w:bidi w:val="0"/>
        <w:jc w:val="right"/>
        <w:rPr>
          <w:rFonts w:ascii="Simplified Arabic" w:hAnsi="Simplified Arabic" w:cs="Simplified Arabic"/>
          <w:sz w:val="28"/>
          <w:szCs w:val="28"/>
          <w:rtl/>
        </w:rPr>
      </w:pPr>
      <w:r w:rsidRPr="00B9110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الدراسة تحديد دور الذكاء الاصطناعي بأبعاده في تحسين ابتكار الخدمات في البنوك التجارية المصرية، في ظل التطورات التكنولوجية الحديثة والتحول الرقمي، واستخدمت الدراسة منهجًا وصفيًا اعتمادًا على قائمة استقصاء وزِّعت على عينة قوامها (348) من عملاء البنوك التجارية المصرية بنسبة استجابة بلغت 84%.</w:t>
      </w:r>
    </w:p>
    <w:p w14:paraId="10CEAA49" w14:textId="77777777" w:rsidR="00C47BC4" w:rsidRPr="00EC07BC" w:rsidRDefault="00C47BC4" w:rsidP="00C47BC4">
      <w:pPr>
        <w:rPr>
          <w:rFonts w:ascii="Simplified Arabic" w:hAnsi="Simplified Arabic" w:cs="Simplified Arabic"/>
          <w:sz w:val="28"/>
          <w:szCs w:val="28"/>
          <w:lang w:bidi="ar-EG"/>
        </w:rPr>
      </w:pPr>
      <w:r w:rsidRPr="00643EEB">
        <w:rPr>
          <w:rFonts w:ascii="Simplified Arabic" w:hAnsi="Simplified Arabic" w:cs="Simplified Arabic"/>
          <w:sz w:val="28"/>
          <w:szCs w:val="28"/>
          <w:rtl/>
        </w:rPr>
        <w:t xml:space="preserve"> وتوصلت نتائج الدراسة إلى وجود علاقة إيجابية بين الذكاء الاصطناعي وتحسين ابتكار الخدمات، ووجود علاقة ارتباطية طردية بين أبعاد الذكاء الاصطناعي وابتكار الخدمات. وأوصت الدراسة بضرورة متابعة الإدارات العليا لأحدث التقنيات في مجال الذكاء الاصطناعي لتعزيز استخدامها في تحسين ابتكار الخدمات، وتوفير الحماية القانونية في تطبيقها، إضافة إلى وضع خطط استراتيجية مرنة لتفعيل هذه التقنيات داخل البنوك التجارية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636764CB" w14:textId="77777777" w:rsidR="00C47BC4" w:rsidRPr="00BE066A" w:rsidRDefault="00C47BC4" w:rsidP="00C47BC4">
      <w:pPr>
        <w:jc w:val="both"/>
        <w:rPr>
          <w:rFonts w:ascii="Simplified Arabic" w:hAnsi="Simplified Arabic" w:cs="Simplified Arabic"/>
          <w:b/>
          <w:bCs/>
          <w:sz w:val="28"/>
          <w:szCs w:val="28"/>
          <w:rtl/>
        </w:rPr>
      </w:pPr>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(حسن واخرون،2024)</w:t>
      </w:r>
      <w:r w:rsidRPr="002765C1">
        <w:rPr>
          <w:rFonts w:ascii="Simplified Arabic" w:hAnsi="Simplified Arabic" w:cs="Simplified Arabic"/>
          <w:b/>
          <w:bCs/>
          <w:sz w:val="28"/>
          <w:szCs w:val="28"/>
          <w:rtl/>
          <w:lang w:bidi="ar-EG"/>
        </w:rPr>
        <w:t xml:space="preserve"> بعنوان: </w:t>
      </w:r>
      <w:r w:rsidRPr="00FA77D4">
        <w:rPr>
          <w:rFonts w:ascii="Simplified Arabic" w:hAnsi="Simplified Arabic" w:cs="Simplified Arabic"/>
          <w:b/>
          <w:bCs/>
          <w:sz w:val="28"/>
          <w:szCs w:val="28"/>
          <w:rtl/>
        </w:rPr>
        <w:t>دور الذكاء الاصطناعي من أجل التنمية المستدامة</w:t>
      </w:r>
    </w:p>
    <w:p w14:paraId="1092BB62" w14:textId="77777777" w:rsidR="00C47BC4" w:rsidRDefault="00C47BC4" w:rsidP="00C47BC4">
      <w:pPr>
        <w:jc w:val="both"/>
        <w:rPr>
          <w:rFonts w:ascii="Simplified Arabic" w:hAnsi="Simplified Arabic" w:cs="Simplified Arabic"/>
          <w:sz w:val="28"/>
          <w:szCs w:val="28"/>
          <w:rtl/>
        </w:rPr>
      </w:pPr>
      <w:r w:rsidRPr="00643EEB">
        <w:rPr>
          <w:rFonts w:ascii="Simplified Arabic" w:hAnsi="Simplified Arabic" w:cs="Simplified Arabic"/>
          <w:sz w:val="28"/>
          <w:szCs w:val="28"/>
          <w:rtl/>
        </w:rPr>
        <w:t xml:space="preserve">هدف هذا البحث إلى التعرف على الذكاء الاصطناعي ومجالاته وكيفية الاستفادة منه في التعليم، وبيان العلاقة بين الذكاء الاصطناعي والتنمية المستدامة بأبعادها، وتم استخدام المنهج الوصفي مع الاعتماد على عينة مكوّنة من (400) طالب من الفرق الأربعة (حضر–ريف–عرب)، و(25) عضوًا من أعضاء هيئة التدريس بمعهد العجمي العالي للعلوم الإدارية. </w:t>
      </w:r>
    </w:p>
    <w:p w14:paraId="682B46D6"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توفير مصادر معرفية رقمية لدعم تبادل الأفكار بين أعضاء هيئة التدريس، وتبني القيادات الجامعية لاستراتيجية واضحة لتوظيف تطبيقات الذكاء الاصطناعي في تطوير الإدارة الجامعية بما يتوافق مع رؤية مصر 2030، ونشر الوعي بين أعضاء هيئة التدريس والقيادات الأكاديمية حول أهمية الذكاء الاصطناعي ودوره في تقديم خدمة تعليمية متميزة ورفع قدرات الجامعة في توظيف خريجيها</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كما توصل البحث إلى ضرورة ربط رؤية الجامعة واستراتيجيتها بأهداف التنمية المستدامة وتعزيز القاعدة العلمية لمفاهيمها، وقد تبين وجود علاقة ذات دلالة معنوية بين تطبيقات الذكاء الاصطناعي في التعليم والتنمية المستدامة. وأوصى البحث بزيادة تبني الجامعات لتطبيقات الذكاء الاصطناعي وتعزيز الوعي بممارسات التنمية المستدامة</w:t>
      </w:r>
      <w:r w:rsidRPr="00EC07BC">
        <w:rPr>
          <w:rFonts w:ascii="Simplified Arabic" w:hAnsi="Simplified Arabic" w:cs="Simplified Arabic"/>
          <w:sz w:val="28"/>
          <w:szCs w:val="28"/>
          <w:lang w:bidi="ar-EG"/>
        </w:rPr>
        <w:t>.</w:t>
      </w:r>
      <w:bookmarkEnd w:id="16"/>
    </w:p>
    <w:p w14:paraId="5F496E56" w14:textId="77777777" w:rsidR="00C47BC4" w:rsidRDefault="00C47BC4" w:rsidP="00C47BC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دراسة (الصفار،2024) بعنوان :</w:t>
      </w:r>
      <w:r w:rsidRPr="00FA77D4">
        <w:rPr>
          <w:rtl/>
        </w:rPr>
        <w:t xml:space="preserve"> </w:t>
      </w:r>
      <w:r w:rsidRPr="00FA77D4">
        <w:rPr>
          <w:rFonts w:ascii="Simplified Arabic" w:hAnsi="Simplified Arabic" w:cs="Simplified Arabic"/>
          <w:b/>
          <w:bCs/>
          <w:sz w:val="28"/>
          <w:szCs w:val="28"/>
          <w:rtl/>
          <w:lang w:bidi="ar-EG"/>
        </w:rPr>
        <w:t>دور الذكاء الاصطناعي في تحسين جودة الخدمات: دراسة تطبيقية على شركة الاتصالات السعودية.</w:t>
      </w:r>
    </w:p>
    <w:p w14:paraId="1F1AB6FB" w14:textId="77777777" w:rsidR="00C47BC4" w:rsidRDefault="00C47BC4" w:rsidP="00C47BC4">
      <w:pPr>
        <w:jc w:val="both"/>
        <w:rPr>
          <w:rFonts w:ascii="Simplified Arabic" w:hAnsi="Simplified Arabic" w:cs="Simplified Arabic"/>
          <w:sz w:val="28"/>
          <w:szCs w:val="28"/>
          <w:rtl/>
        </w:rPr>
      </w:pPr>
      <w:r w:rsidRPr="00643EEB">
        <w:rPr>
          <w:rFonts w:ascii="Simplified Arabic" w:hAnsi="Simplified Arabic" w:cs="Simplified Arabic"/>
          <w:sz w:val="28"/>
          <w:szCs w:val="28"/>
          <w:rtl/>
        </w:rPr>
        <w:t>هدفت الدراسة إلى التعرف على دور الذكاء الاصطناعي بأبعاده (الوكلاء الأذكياء وغيرها من الأبعاد) على جودة الخدمات في شركة الاتصالات السعودية، واستخدمت الدراسة المنهج الوصفي التحليلي، وتكونت العينة من (206) من العاملين في الخدمات بالشركة.</w:t>
      </w:r>
    </w:p>
    <w:p w14:paraId="5EEA7793"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 xml:space="preserve"> وتوصلت نتائج الدراسة إلى وجود مستوى مرتفع لتقديرات الذكاء الاصطناعي وجودة الخدمات، بالإضافة إلى وجود أثر ذي دلالة إحصائية للذكاء الاصطناعي بأبعاده مجتمعة على جودة الخدمات، واتضح أن هذا الأثر ناتج بشكل رئيس من الوكلاء الأذكياء</w:t>
      </w:r>
      <w:r>
        <w:rPr>
          <w:rFonts w:ascii="Simplified Arabic" w:hAnsi="Simplified Arabic" w:cs="Simplified Arabic" w:hint="cs"/>
          <w:sz w:val="28"/>
          <w:szCs w:val="28"/>
          <w:rtl/>
        </w:rPr>
        <w:t xml:space="preserve">، </w:t>
      </w:r>
      <w:r w:rsidRPr="00643EEB">
        <w:rPr>
          <w:rFonts w:ascii="Simplified Arabic" w:hAnsi="Simplified Arabic" w:cs="Simplified Arabic"/>
          <w:sz w:val="28"/>
          <w:szCs w:val="28"/>
          <w:rtl/>
        </w:rPr>
        <w:t>وأوصت الدراسة بضرورة الاهتمام بتعزيز تطبيقات الذكاء الاصطناعي لما لها من دور جوهري في تطوير أداء الخدمات في شركة الاتصالات السعودية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63FA2BAD" w14:textId="77777777"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الثانية: الدراسات التي تناولت </w:t>
      </w:r>
      <w:r w:rsidRPr="005965AD">
        <w:rPr>
          <w:rFonts w:ascii="Simplified Arabic" w:hAnsi="Simplified Arabic" w:cs="Simplified Arabic"/>
          <w:b/>
          <w:bCs/>
          <w:sz w:val="28"/>
          <w:szCs w:val="28"/>
          <w:rtl/>
          <w:lang w:bidi="ar-EG"/>
        </w:rPr>
        <w:t xml:space="preserve">القيمة التشغيلية </w:t>
      </w:r>
      <w:r w:rsidRPr="00B91104">
        <w:rPr>
          <w:rFonts w:ascii="Simplified Arabic" w:hAnsi="Simplified Arabic" w:cs="Simplified Arabic"/>
          <w:b/>
          <w:bCs/>
          <w:sz w:val="28"/>
          <w:szCs w:val="28"/>
          <w:rtl/>
          <w:lang w:bidi="ar-EG"/>
        </w:rPr>
        <w:t>وعلاقته بالمتغيرات الأخرى.</w:t>
      </w:r>
    </w:p>
    <w:p w14:paraId="0F6A6D8F" w14:textId="77777777" w:rsidR="00C47BC4" w:rsidRDefault="00C47BC4" w:rsidP="00C47BC4">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Pr>
          <w:rFonts w:ascii="Simplified Arabic" w:hAnsi="Simplified Arabic" w:cs="Simplified Arabic"/>
          <w:b/>
          <w:bCs/>
          <w:sz w:val="28"/>
          <w:szCs w:val="28"/>
          <w:lang w:bidi="ar-EG"/>
        </w:rPr>
        <w:t>)</w:t>
      </w:r>
      <w:r>
        <w:rPr>
          <w:rFonts w:ascii="Simplified Arabic" w:hAnsi="Simplified Arabic" w:cs="Simplified Arabic" w:hint="cs"/>
          <w:b/>
          <w:bCs/>
          <w:sz w:val="28"/>
          <w:szCs w:val="28"/>
          <w:rtl/>
        </w:rPr>
        <w:t xml:space="preserve">جاد واخرون،2024) </w:t>
      </w:r>
      <w:r w:rsidRPr="00B91104">
        <w:rPr>
          <w:rFonts w:ascii="Simplified Arabic" w:hAnsi="Simplified Arabic" w:cs="Simplified Arabic"/>
          <w:b/>
          <w:bCs/>
          <w:sz w:val="28"/>
          <w:szCs w:val="28"/>
          <w:rtl/>
          <w:lang w:bidi="ar-EG"/>
        </w:rPr>
        <w:t>بعنوان:</w:t>
      </w:r>
      <w:r w:rsidRPr="005965AD">
        <w:rPr>
          <w:rtl/>
        </w:rPr>
        <w:t xml:space="preserve"> </w:t>
      </w:r>
      <w:r w:rsidRPr="005965AD">
        <w:rPr>
          <w:rFonts w:ascii="Simplified Arabic" w:hAnsi="Simplified Arabic" w:cs="Simplified Arabic"/>
          <w:b/>
          <w:bCs/>
          <w:sz w:val="28"/>
          <w:szCs w:val="28"/>
          <w:rtl/>
          <w:lang w:bidi="ar-EG"/>
        </w:rPr>
        <w:t>قياس أثر المفاضلة المعيارية على سلاسل القيمة: دراسة ميدانية في شركات تصنيع التحف والحلي بالقاهرة.</w:t>
      </w:r>
    </w:p>
    <w:p w14:paraId="00F9B509" w14:textId="77777777" w:rsidR="00C47BC4" w:rsidRDefault="00C47BC4" w:rsidP="00C47BC4">
      <w:pPr>
        <w:jc w:val="both"/>
        <w:rPr>
          <w:rFonts w:ascii="Simplified Arabic" w:hAnsi="Simplified Arabic" w:cs="Simplified Arabic"/>
          <w:b/>
          <w:bCs/>
          <w:sz w:val="28"/>
          <w:szCs w:val="28"/>
          <w:lang w:bidi="ar-EG"/>
        </w:rPr>
      </w:pPr>
      <w:r w:rsidRPr="005965AD">
        <w:rPr>
          <w:rFonts w:ascii="Simplified Arabic" w:hAnsi="Simplified Arabic" w:cs="Simplified Arabic"/>
          <w:sz w:val="28"/>
          <w:szCs w:val="28"/>
          <w:rtl/>
        </w:rPr>
        <w:t>هدف البحث إلى توضيح أثر تطبيق نموذج المفاضلة المعيارية بأبعاده (التخطيط، الإعداد، التحليل، التنفيذ) على تحسين أبعاد سلاسل القيمة في شركات صناعة التحف والحلي بالقاهرة، من خلال الكشف عن عناصر النجاح والتقدم في هذا القطاع. استخدم الباحث المنهج الوصفي التحليلي لتحديد مشكلة البحث المتمثلة في مدى إدراك شركات صناعة التحف والحلي بالقاهرة لمراحل نموذج المفاضلة المعيارية وقدرتها على توظيفها في تحسين سلاسل القيمة. وتمثّل مجتمع البحث في بعض شركات هذا القطاع، ولتحقيق أهداف الدراسة تم تطوير استبيان مكوّن من ثلاثة أقسام: خصائص ديموغرافية، قياس القدرة على استخدام نموذج المفاضلة المعيارية، وقياس مستوى سلاسل القيمة. وتوصلت الدراسة إلى وجود علاقة طردية ذات دلالة إحصائية بين استخدام مراحل نموذج المفاضلة المعيارية وتحسين أبعاد سلاسل القيمة، حيث يؤدي الاعتماد الأكبر على هذه المراحل إلى رفع كفاءة العمليات وتعزيز القدرة التنافسية. كما تبين وجود تأثير قوي للتخطيط السليم والتحليل الدقيق على تحسين الأداء التشغيلي في صناعة التحف والحلي. وأوصى الباحث بضرورة تبني استراتيجيات المفاضلة المعيارية كركيزة أساسية لتحسين سلاسل القيمة، واهتمام الشركات الصناعية بتصميم منتجاتها وفقًا للأهمية النسبية لمتطلبات العملاء لتعظيم القيمة وزيادة المبيعات</w:t>
      </w:r>
      <w:r w:rsidRPr="005965AD">
        <w:rPr>
          <w:rFonts w:ascii="Simplified Arabic" w:hAnsi="Simplified Arabic" w:cs="Simplified Arabic"/>
          <w:sz w:val="28"/>
          <w:szCs w:val="28"/>
          <w:lang w:bidi="ar-EG"/>
        </w:rPr>
        <w:t>.</w:t>
      </w:r>
    </w:p>
    <w:p w14:paraId="06A2C296" w14:textId="77777777" w:rsidR="00C47BC4" w:rsidRDefault="00C47BC4" w:rsidP="00C47BC4">
      <w:pPr>
        <w:rPr>
          <w:rFonts w:ascii="Simplified Arabic" w:hAnsi="Simplified Arabic" w:cs="Simplified Arabic"/>
          <w:b/>
          <w:bCs/>
          <w:sz w:val="28"/>
          <w:szCs w:val="28"/>
          <w:lang w:bidi="ar-EG"/>
        </w:rPr>
      </w:pPr>
      <w:r w:rsidRPr="00B91104">
        <w:rPr>
          <w:rFonts w:ascii="Simplified Arabic" w:hAnsi="Simplified Arabic" w:cs="Simplified Arabic"/>
          <w:b/>
          <w:bCs/>
          <w:sz w:val="28"/>
          <w:szCs w:val="28"/>
          <w:rtl/>
          <w:lang w:bidi="ar-EG"/>
        </w:rPr>
        <w:t>دراسة</w:t>
      </w:r>
      <w:r>
        <w:rPr>
          <w:rFonts w:ascii="Simplified Arabic" w:hAnsi="Simplified Arabic" w:cs="Simplified Arabic" w:hint="cs"/>
          <w:b/>
          <w:bCs/>
          <w:sz w:val="28"/>
          <w:szCs w:val="28"/>
          <w:rtl/>
          <w:lang w:bidi="ar-EG"/>
        </w:rPr>
        <w:t xml:space="preserve">(غدير واخرون،2024) </w:t>
      </w:r>
      <w:r w:rsidRPr="00B91104">
        <w:rPr>
          <w:rFonts w:ascii="Simplified Arabic" w:hAnsi="Simplified Arabic" w:cs="Simplified Arabic"/>
          <w:b/>
          <w:bCs/>
          <w:sz w:val="28"/>
          <w:szCs w:val="28"/>
          <w:rtl/>
          <w:lang w:bidi="ar-EG"/>
        </w:rPr>
        <w:t>بعنوان:</w:t>
      </w:r>
      <w:r w:rsidRPr="005965AD">
        <w:rPr>
          <w:rtl/>
        </w:rPr>
        <w:t xml:space="preserve"> </w:t>
      </w:r>
      <w:r w:rsidRPr="005965AD">
        <w:rPr>
          <w:rFonts w:ascii="Simplified Arabic" w:hAnsi="Simplified Arabic" w:cs="Simplified Arabic"/>
          <w:b/>
          <w:bCs/>
          <w:sz w:val="28"/>
          <w:szCs w:val="28"/>
          <w:rtl/>
          <w:lang w:bidi="ar-EG"/>
        </w:rPr>
        <w:t>تأثير نظام معالجة المعاملات في تحسين الكفاءة التشغيلية: دراسة ميدانية في سوق هال اللاذقية.</w:t>
      </w:r>
    </w:p>
    <w:p w14:paraId="2D0F9D55" w14:textId="77777777" w:rsidR="00C47BC4" w:rsidRPr="005965AD" w:rsidRDefault="00C47BC4" w:rsidP="00C47BC4">
      <w:pPr>
        <w:rPr>
          <w:rFonts w:ascii="Simplified Arabic" w:hAnsi="Simplified Arabic" w:cs="Simplified Arabic"/>
          <w:b/>
          <w:bCs/>
          <w:sz w:val="28"/>
          <w:szCs w:val="28"/>
          <w:rtl/>
          <w:lang w:bidi="ar-EG"/>
        </w:rPr>
      </w:pPr>
      <w:r w:rsidRPr="005965AD">
        <w:rPr>
          <w:rFonts w:ascii="Simplified Arabic" w:hAnsi="Simplified Arabic" w:cs="Simplified Arabic"/>
          <w:sz w:val="28"/>
          <w:szCs w:val="28"/>
          <w:rtl/>
        </w:rPr>
        <w:t>هدفت الدراسة إلى بيان تأثير نظام معالجة المعاملات بأبعاده (مستخدمو النظام، الأجهزة، البرمجيات، البيانات) على تحسين الكفاءة التشغيلية، وهي أحد أبعاد الأداء التشغيلي في سوق الهال بمحافظة اللاذقية</w:t>
      </w:r>
      <w:r>
        <w:rPr>
          <w:rFonts w:ascii="Simplified Arabic" w:hAnsi="Simplified Arabic" w:cs="Simplified Arabic" w:hint="cs"/>
          <w:sz w:val="28"/>
          <w:szCs w:val="28"/>
          <w:rtl/>
        </w:rPr>
        <w:t>،</w:t>
      </w:r>
      <w:r w:rsidRPr="005965AD">
        <w:rPr>
          <w:rFonts w:ascii="Simplified Arabic" w:hAnsi="Simplified Arabic" w:cs="Simplified Arabic"/>
          <w:sz w:val="28"/>
          <w:szCs w:val="28"/>
          <w:rtl/>
        </w:rPr>
        <w:t xml:space="preserve"> واستخدمت الدراسة المنهج الوصفي التحليلي من خلال جمع البيانات الأولية عبر دراسة ميدانية، اعتمادًا على استبانة صممت بالرجوع إلى الأدبيات السابقة. وتم تحليل البيانات باستخدام برنامج</w:t>
      </w:r>
      <w:r w:rsidRPr="005965AD">
        <w:rPr>
          <w:rFonts w:ascii="Simplified Arabic" w:hAnsi="Simplified Arabic" w:cs="Simplified Arabic"/>
          <w:sz w:val="28"/>
          <w:szCs w:val="28"/>
        </w:rPr>
        <w:t xml:space="preserve"> SPSS </w:t>
      </w:r>
      <w:r w:rsidRPr="005965AD">
        <w:rPr>
          <w:rFonts w:ascii="Simplified Arabic" w:hAnsi="Simplified Arabic" w:cs="Simplified Arabic"/>
          <w:sz w:val="28"/>
          <w:szCs w:val="28"/>
          <w:rtl/>
        </w:rPr>
        <w:t>إصدار 21 لاختبار فرضيات الدراسة.</w:t>
      </w:r>
    </w:p>
    <w:p w14:paraId="4B1384A0" w14:textId="77777777" w:rsidR="00C47BC4" w:rsidRPr="00EC07BC" w:rsidRDefault="00C47BC4" w:rsidP="00C47BC4">
      <w:pPr>
        <w:jc w:val="both"/>
        <w:rPr>
          <w:rFonts w:ascii="Simplified Arabic" w:hAnsi="Simplified Arabic" w:cs="Simplified Arabic"/>
          <w:sz w:val="28"/>
          <w:szCs w:val="28"/>
          <w:lang w:bidi="ar-EG"/>
        </w:rPr>
      </w:pPr>
      <w:r w:rsidRPr="005965AD">
        <w:rPr>
          <w:rFonts w:ascii="Simplified Arabic" w:hAnsi="Simplified Arabic" w:cs="Simplified Arabic"/>
          <w:sz w:val="28"/>
          <w:szCs w:val="28"/>
          <w:rtl/>
        </w:rPr>
        <w:t xml:space="preserve"> وتوصلت النتائج إلى وجود علاقة معنوية بين نظم معالجة المعاملات والكفاءة التشغيلية، حيث بلغت قيمة معامل ارتباط بيرسون (0.648)، وهو ما يشير إلى ارتباط مقبول بين المتغيرين. وأوصت الدراسة بضرورة تعزيز الاهتمام بنظم معالجة المعاملات ومكوناتها (مستخدمو النظام، الأجهزة، البرمجيات، البيانات) لما لها من دور مهم في تحسين الكفاءة التشغيلية</w:t>
      </w:r>
      <w:r w:rsidRPr="005965AD">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46D3D843" w14:textId="77777777" w:rsidR="00C47BC4" w:rsidRDefault="00C47BC4" w:rsidP="00C47BC4">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BE606B">
        <w:rPr>
          <w:rFonts w:ascii="Simplified Arabic" w:hAnsi="Simplified Arabic" w:cs="Simplified Arabic"/>
          <w:b/>
          <w:bCs/>
          <w:sz w:val="28"/>
          <w:szCs w:val="28"/>
          <w:lang w:bidi="ar-EG"/>
        </w:rPr>
        <w:t xml:space="preserve">(Mboyo et al., </w:t>
      </w:r>
      <w:r>
        <w:rPr>
          <w:rFonts w:ascii="Simplified Arabic" w:hAnsi="Simplified Arabic" w:cs="Simplified Arabic"/>
          <w:b/>
          <w:bCs/>
          <w:sz w:val="28"/>
          <w:szCs w:val="28"/>
          <w:lang w:bidi="ar-EG"/>
        </w:rPr>
        <w:t>2025</w:t>
      </w:r>
      <w:r w:rsidRPr="00BE606B">
        <w:rPr>
          <w:rFonts w:ascii="Simplified Arabic" w:hAnsi="Simplified Arabic" w:cs="Simplified Arabic"/>
          <w:b/>
          <w:bCs/>
          <w:sz w:val="28"/>
          <w:szCs w:val="28"/>
          <w:lang w:bidi="ar-EG"/>
        </w:rPr>
        <w:t>)</w:t>
      </w:r>
      <w:r w:rsidRPr="003C04ED">
        <w:rPr>
          <w:rFonts w:ascii="Simplified Arabic" w:hAnsi="Simplified Arabic" w:cs="Simplified Arabic"/>
          <w:b/>
          <w:bCs/>
          <w:sz w:val="28"/>
          <w:szCs w:val="28"/>
          <w:rtl/>
          <w:lang w:bidi="ar-EG"/>
        </w:rPr>
        <w:t xml:space="preserve"> </w:t>
      </w:r>
      <w:r w:rsidRPr="00B91104">
        <w:rPr>
          <w:rFonts w:ascii="Simplified Arabic" w:hAnsi="Simplified Arabic" w:cs="Simplified Arabic"/>
          <w:b/>
          <w:bCs/>
          <w:sz w:val="28"/>
          <w:szCs w:val="28"/>
          <w:rtl/>
          <w:lang w:bidi="ar-EG"/>
        </w:rPr>
        <w:t xml:space="preserve">بعنوان: </w:t>
      </w:r>
    </w:p>
    <w:p w14:paraId="481C5450" w14:textId="77777777" w:rsidR="00C47BC4" w:rsidRPr="00BE606B" w:rsidRDefault="00C47BC4" w:rsidP="00C47BC4">
      <w:pPr>
        <w:bidi w:val="0"/>
        <w:jc w:val="both"/>
        <w:rPr>
          <w:rFonts w:ascii="Simplified Arabic" w:hAnsi="Simplified Arabic" w:cs="Simplified Arabic"/>
          <w:b/>
          <w:bCs/>
          <w:sz w:val="28"/>
          <w:szCs w:val="28"/>
          <w:rtl/>
          <w:lang w:bidi="ar-EG"/>
        </w:rPr>
      </w:pPr>
      <w:r w:rsidRPr="00BE606B">
        <w:rPr>
          <w:rFonts w:ascii="Simplified Arabic" w:hAnsi="Simplified Arabic" w:cs="Simplified Arabic"/>
          <w:b/>
          <w:bCs/>
          <w:sz w:val="28"/>
          <w:szCs w:val="28"/>
          <w:lang w:bidi="ar-EG"/>
        </w:rPr>
        <w:t>Distribution of Operating Costs along the Value Chain of an Open-Pit Copper Mine</w:t>
      </w:r>
    </w:p>
    <w:p w14:paraId="01DB4FF7" w14:textId="77777777" w:rsidR="00C47BC4" w:rsidRPr="00CE08ED"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تحليل تكاليف التشغيل على طول سلسلة القيمة في منجم نحاس سطحي، من خلال تحديد أهم وحدات العمليات التشغيلية مثل الحفر، التفجير، التحميل، النقل، التخزين، المزج، التكسير، الطحن، والتعويم، واعتمدت الدراسة على أسلوب احتساب التكاليف لتحديد محركات التكلفة وقياس مساهمتها النسبية في إجمالي النفقات. وتكونت البيانات من قياسات تشغيلية فعلية لوحدات الإنتاج في المنجم. وتوصلت النتائج إلى أن عمليات التمزيق والطحن تُشكّل الجزء الأكبر من تكاليف التشغيل، حيث بلغ نصيب الطحن 6.18 دولار/طن (59.1% من إجمالي التكاليف)، في حين بلغت تكلفة التكسير 1.15 دولار/طن (11% من إجمالي النفقات). كما كشفت الدراسة عن فرص مهمة لخفض التكاليف وتعزيز الاستدامة التشغيلية من خلال تحسين استهلاك الطاقة، والاعتماد على مصادر طاقة بديلة، وتحسين تصميم عمليات التفجير. وأوصت الدراسة بضرورة تبني استراتيجيات تحليل البيانات واتخاذ القرارات المبنية على مؤشرات الأداء بهدف تحسين الكفاءة، وتعزيز الاستدامة، ووضع معايير مرجعية لأعمال التعدين المشابهة</w:t>
      </w:r>
      <w:r w:rsidRPr="00BE606B">
        <w:rPr>
          <w:rFonts w:ascii="Simplified Arabic" w:hAnsi="Simplified Arabic" w:cs="Simplified Arabic"/>
          <w:sz w:val="28"/>
          <w:szCs w:val="28"/>
        </w:rPr>
        <w:t>.</w:t>
      </w:r>
      <w:r w:rsidRPr="00CE08ED">
        <w:rPr>
          <w:rFonts w:ascii="Simplified Arabic" w:hAnsi="Simplified Arabic" w:cs="Simplified Arabic"/>
          <w:sz w:val="28"/>
          <w:szCs w:val="28"/>
          <w:rtl/>
          <w:lang w:bidi="ar-EG"/>
        </w:rPr>
        <w:t xml:space="preserve"> </w:t>
      </w:r>
    </w:p>
    <w:p w14:paraId="55977478" w14:textId="77777777" w:rsidR="00C47BC4" w:rsidRDefault="00C47BC4" w:rsidP="00C47BC4">
      <w:pPr>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E606B">
        <w:rPr>
          <w:rFonts w:ascii="Simplified Arabic" w:hAnsi="Simplified Arabic" w:cs="Simplified Arabic"/>
          <w:sz w:val="28"/>
          <w:szCs w:val="28"/>
          <w:lang w:bidi="ar-EG"/>
        </w:rPr>
        <w:t>(Naas &amp; Berass, 2024)</w:t>
      </w:r>
      <w:r w:rsidRPr="003C04ED">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بعنوان:</w:t>
      </w:r>
    </w:p>
    <w:p w14:paraId="2E5C1336" w14:textId="77777777" w:rsidR="00C47BC4" w:rsidRPr="00B91104" w:rsidRDefault="00C47BC4" w:rsidP="00C47BC4">
      <w:pPr>
        <w:bidi w:val="0"/>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 </w:t>
      </w:r>
      <w:r w:rsidRPr="00BE606B">
        <w:rPr>
          <w:rFonts w:ascii="Simplified Arabic" w:hAnsi="Simplified Arabic" w:cs="Simplified Arabic"/>
          <w:sz w:val="28"/>
          <w:szCs w:val="28"/>
          <w:lang w:bidi="ar-EG"/>
        </w:rPr>
        <w:t>Optimization of the value chain through management control: case study of a public enterprise</w:t>
      </w:r>
    </w:p>
    <w:p w14:paraId="1D59D383" w14:textId="77777777" w:rsidR="00C47BC4" w:rsidRDefault="00C47BC4" w:rsidP="00C47BC4">
      <w:pPr>
        <w:rPr>
          <w:rFonts w:ascii="Simplified Arabic" w:hAnsi="Simplified Arabic" w:cs="Simplified Arabic"/>
          <w:b/>
          <w:bCs/>
          <w:sz w:val="28"/>
          <w:szCs w:val="28"/>
          <w:rtl/>
          <w:lang w:bidi="ar-EG"/>
        </w:rPr>
      </w:pPr>
      <w:r w:rsidRPr="00BE606B">
        <w:rPr>
          <w:rFonts w:ascii="Simplified Arabic" w:hAnsi="Simplified Arabic" w:cs="Simplified Arabic"/>
          <w:sz w:val="28"/>
          <w:szCs w:val="28"/>
          <w:rtl/>
        </w:rPr>
        <w:t>هدفت الدراسة إلى التعرف على دور الرقابة الإدارية بأبعادها (تحليل العمليات، تحديد أوجه القصور، المتابعة والتقييم) في تحسين سلسلة القيمة في المؤسسة، وتم استخدام المنهج الوصفي التحليلي لدراسة كيفية مساهمة الرقابة في كشف الاختناقات ورفع كفاءة الأداء. وتكوّنت عينة الدراسة من حالة عملية</w:t>
      </w:r>
      <w:r w:rsidRPr="00BE606B">
        <w:rPr>
          <w:rFonts w:ascii="Simplified Arabic" w:hAnsi="Simplified Arabic" w:cs="Simplified Arabic"/>
          <w:sz w:val="28"/>
          <w:szCs w:val="28"/>
        </w:rPr>
        <w:t xml:space="preserve"> (Case Study) </w:t>
      </w:r>
      <w:r w:rsidRPr="00BE606B">
        <w:rPr>
          <w:rFonts w:ascii="Simplified Arabic" w:hAnsi="Simplified Arabic" w:cs="Simplified Arabic"/>
          <w:sz w:val="28"/>
          <w:szCs w:val="28"/>
          <w:rtl/>
        </w:rPr>
        <w:t>طبقت فيها أساليب الرقابة على سلسلة القيمة داخل المنظمة. وتوصلت نتائج الدراسة إلى أن الرقابة الإدارية تمكّن الإدارة من اتخاذ قرارات مبنية على البيانات، ومعالجة الانحرافات، وتحسين الإنتاجية وتعزيز القدرة التنافسية في ظل بيئة متغيرة. وأوصت الدراسة بضرورة تعزيز نظم الرقابة القائمة على البيانات، ورفع مستوى المرونة والاستجابة للتغيرات السوقية، لضمان استدامة الأداء والنمو على المدى الطويل</w:t>
      </w:r>
      <w:r w:rsidRPr="00BE606B">
        <w:rPr>
          <w:rFonts w:ascii="Simplified Arabic" w:hAnsi="Simplified Arabic" w:cs="Simplified Arabic"/>
          <w:sz w:val="28"/>
          <w:szCs w:val="28"/>
        </w:rPr>
        <w:t>.</w:t>
      </w:r>
      <w:r w:rsidRPr="00BE606B">
        <w:rPr>
          <w:rFonts w:ascii="Simplified Arabic" w:hAnsi="Simplified Arabic" w:cs="Simplified Arabic" w:hint="cs"/>
          <w:b/>
          <w:bCs/>
          <w:sz w:val="28"/>
          <w:szCs w:val="28"/>
          <w:rtl/>
          <w:lang w:bidi="ar-EG"/>
        </w:rPr>
        <w:t xml:space="preserve"> </w:t>
      </w:r>
    </w:p>
    <w:p w14:paraId="1A141AB7" w14:textId="77777777" w:rsidR="00C47BC4" w:rsidRDefault="00C47BC4" w:rsidP="00C47BC4">
      <w:pPr>
        <w:rPr>
          <w:rFonts w:ascii="Simplified Arabic" w:hAnsi="Simplified Arabic" w:cs="Simplified Arabic"/>
          <w:b/>
          <w:bCs/>
          <w:sz w:val="28"/>
          <w:szCs w:val="28"/>
          <w:rtl/>
          <w:lang w:bidi="ar-EG"/>
        </w:rPr>
      </w:pPr>
      <w:r w:rsidRPr="00CE08ED">
        <w:rPr>
          <w:rFonts w:ascii="Simplified Arabic" w:hAnsi="Simplified Arabic" w:cs="Simplified Arabic" w:hint="cs"/>
          <w:b/>
          <w:bCs/>
          <w:sz w:val="28"/>
          <w:szCs w:val="28"/>
          <w:rtl/>
          <w:lang w:bidi="ar-EG"/>
        </w:rPr>
        <w:t>دراسة</w:t>
      </w:r>
      <w:r w:rsidRPr="00BE606B">
        <w:t xml:space="preserve"> </w:t>
      </w:r>
      <w:r w:rsidRPr="00BE606B">
        <w:rPr>
          <w:rFonts w:ascii="Simplified Arabic" w:hAnsi="Simplified Arabic" w:cs="Simplified Arabic"/>
          <w:b/>
          <w:bCs/>
          <w:sz w:val="28"/>
          <w:szCs w:val="28"/>
          <w:lang w:bidi="ar-EG"/>
        </w:rPr>
        <w:t>(Tyapukhin, 2023)</w:t>
      </w:r>
      <w:r w:rsidRPr="00CE08ED">
        <w:rPr>
          <w:rFonts w:ascii="Simplified Arabic" w:hAnsi="Simplified Arabic" w:cs="Simplified Arabic" w:hint="cs"/>
          <w:b/>
          <w:bCs/>
          <w:sz w:val="28"/>
          <w:szCs w:val="28"/>
          <w:rtl/>
          <w:lang w:bidi="ar-EG"/>
        </w:rPr>
        <w:t xml:space="preserve"> بعنوان :</w:t>
      </w:r>
    </w:p>
    <w:p w14:paraId="105194F5" w14:textId="77777777" w:rsidR="00C47BC4" w:rsidRPr="00CE08ED" w:rsidRDefault="00C47BC4" w:rsidP="00C47BC4">
      <w:pPr>
        <w:bidi w:val="0"/>
        <w:rPr>
          <w:rFonts w:ascii="Simplified Arabic" w:hAnsi="Simplified Arabic" w:cs="Simplified Arabic"/>
          <w:b/>
          <w:bCs/>
          <w:sz w:val="28"/>
          <w:szCs w:val="28"/>
          <w:rtl/>
          <w:lang w:bidi="ar-EG"/>
        </w:rPr>
      </w:pPr>
      <w:r w:rsidRPr="00CE08ED">
        <w:rPr>
          <w:b/>
          <w:bCs/>
        </w:rPr>
        <w:t xml:space="preserve"> </w:t>
      </w:r>
      <w:r w:rsidRPr="00BE606B">
        <w:rPr>
          <w:rFonts w:ascii="Simplified Arabic" w:hAnsi="Simplified Arabic" w:cs="Simplified Arabic"/>
          <w:b/>
          <w:bCs/>
          <w:sz w:val="28"/>
          <w:szCs w:val="28"/>
          <w:lang w:bidi="ar-EG"/>
        </w:rPr>
        <w:t xml:space="preserve">On the Issue of the Concept of Value Chain Management. </w:t>
      </w:r>
    </w:p>
    <w:p w14:paraId="24CC3081" w14:textId="77777777" w:rsidR="00C47BC4"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إطار إدارة السلاسل بأبعاده (سلاسل القيمة، سلاسل المستجدات، سلاسل الطلب، سلاسل الإمداد) وأثره في تحسين إدارة عمليات خلق القيمة للمستهلك النهائي، واستخدمت الدراسة المنهج الوصفي التحليلي مع الاعتماد على أساليب التصنيف والتحليل والتركيب والاستنباط والاستقراء، بالإضافة إلى استخدام المصفوفات الثنائية كأداة بحثية. وتكوّنت عينة الدراسة من تحليل منهجي لمحتوى المفاهيم والنماذج المرتبطة بإدارة السلاسل. وتوصلت نتائج الدراسة إلى تطوير تصنيفات جديدة لإدارة السلاسل، وتحديد تسلسل تكوين المصطلحات الأساسية والمشتقة، واقتراح هيكل متكامل لمفهوم إدارة السلاسل يركز على خلق أنواع مختلفة من القيمة للمستهلك النهائي، إلى جانب توضيح إدارة سلاسل جديدة مثل سلاسل التشكيل والاستهلاك وتعميم القيمة. وأوصت الدراسة بضرورة تبنّي إطار متكامل لإدارة السلاسل يقوم على التوزيع الرشيد للوظائف والصلاحيات والمسؤوليات، بما يقلل من فاقد الربحية ويحد من العوائق بين الوظائف المختلفة</w:t>
      </w:r>
      <w:r w:rsidRPr="00BE606B">
        <w:rPr>
          <w:rFonts w:ascii="Simplified Arabic" w:hAnsi="Simplified Arabic" w:cs="Simplified Arabic"/>
          <w:sz w:val="28"/>
          <w:szCs w:val="28"/>
        </w:rPr>
        <w:t>.</w:t>
      </w:r>
      <w:r w:rsidRPr="00BE606B">
        <w:rPr>
          <w:rFonts w:ascii="Simplified Arabic" w:hAnsi="Simplified Arabic" w:cs="Simplified Arabic" w:hint="cs"/>
          <w:sz w:val="28"/>
          <w:szCs w:val="28"/>
          <w:rtl/>
          <w:lang w:bidi="ar-EG"/>
        </w:rPr>
        <w:t xml:space="preserve"> </w:t>
      </w:r>
    </w:p>
    <w:p w14:paraId="486D92DD" w14:textId="77777777" w:rsidR="00C47BC4" w:rsidRDefault="00C47BC4" w:rsidP="00C47BC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w:t>
      </w:r>
      <w:r w:rsidRPr="00BE606B">
        <w:rPr>
          <w:rFonts w:ascii="Simplified Arabic" w:hAnsi="Simplified Arabic" w:cs="Simplified Arabic"/>
          <w:sz w:val="28"/>
          <w:szCs w:val="28"/>
          <w:lang w:bidi="ar-EG"/>
        </w:rPr>
        <w:t>(Fan et al., 2021)</w:t>
      </w:r>
      <w:r>
        <w:rPr>
          <w:rFonts w:ascii="Simplified Arabic" w:hAnsi="Simplified Arabic" w:cs="Simplified Arabic" w:hint="cs"/>
          <w:sz w:val="28"/>
          <w:szCs w:val="28"/>
          <w:rtl/>
          <w:lang w:bidi="ar-EG"/>
        </w:rPr>
        <w:t xml:space="preserve"> بعنوان :</w:t>
      </w:r>
    </w:p>
    <w:p w14:paraId="2EA8057F" w14:textId="77777777" w:rsidR="00C47BC4" w:rsidRPr="00BE606B" w:rsidRDefault="00C47BC4" w:rsidP="00C47BC4">
      <w:pPr>
        <w:bidi w:val="0"/>
        <w:spacing w:after="0" w:line="240" w:lineRule="auto"/>
        <w:rPr>
          <w:rFonts w:ascii="Simplified Arabic" w:hAnsi="Simplified Arabic" w:cs="Simplified Arabic"/>
          <w:b/>
          <w:bCs/>
          <w:sz w:val="28"/>
          <w:szCs w:val="28"/>
          <w:lang w:bidi="ar-EG"/>
        </w:rPr>
      </w:pPr>
      <w:r w:rsidRPr="00BE606B">
        <w:rPr>
          <w:rFonts w:ascii="Simplified Arabic" w:hAnsi="Simplified Arabic" w:cs="Simplified Arabic"/>
          <w:b/>
          <w:bCs/>
          <w:sz w:val="28"/>
          <w:szCs w:val="28"/>
          <w:lang w:bidi="ar-EG"/>
        </w:rPr>
        <w:t xml:space="preserve">Competitive Analysis of Operation Mode of Enterprise Value Chain under the Background of Green Economy. </w:t>
      </w:r>
    </w:p>
    <w:p w14:paraId="7EE7B179" w14:textId="77777777" w:rsidR="00C47BC4" w:rsidRPr="00C943D9"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أثر نموذج تشغيل سلسلة القيمة بأبعاده (نموذج المنافسة، استراتيجيات التسعير، حجم المبيعات، معامل الاقتصاد الأخضر) على الأداء التسويقي للمؤسسات في ظل الاقتصاد الأخضر، واستخدمت الدراسة المنهج الوصفي التحليلي ونماذج المحاكاة بالألعاب الاقتصادية</w:t>
      </w:r>
      <w:r w:rsidRPr="00BE606B">
        <w:rPr>
          <w:rFonts w:ascii="Simplified Arabic" w:hAnsi="Simplified Arabic" w:cs="Simplified Arabic"/>
          <w:sz w:val="28"/>
          <w:szCs w:val="28"/>
        </w:rPr>
        <w:t xml:space="preserve"> (Cournot </w:t>
      </w:r>
      <w:r w:rsidRPr="00BE606B">
        <w:rPr>
          <w:rFonts w:ascii="Simplified Arabic" w:hAnsi="Simplified Arabic" w:cs="Simplified Arabic"/>
          <w:sz w:val="28"/>
          <w:szCs w:val="28"/>
          <w:rtl/>
        </w:rPr>
        <w:t>و</w:t>
      </w:r>
      <w:r w:rsidRPr="00BE606B">
        <w:rPr>
          <w:rFonts w:ascii="Simplified Arabic" w:hAnsi="Simplified Arabic" w:cs="Simplified Arabic"/>
          <w:sz w:val="28"/>
          <w:szCs w:val="28"/>
        </w:rPr>
        <w:t xml:space="preserve">Stackelberg) </w:t>
      </w:r>
      <w:r w:rsidRPr="00BE606B">
        <w:rPr>
          <w:rFonts w:ascii="Simplified Arabic" w:hAnsi="Simplified Arabic" w:cs="Simplified Arabic"/>
          <w:sz w:val="28"/>
          <w:szCs w:val="28"/>
          <w:rtl/>
        </w:rPr>
        <w:t>لتحليل استراتيجيات المنافسة. وتكوّنت عينة الدراسة من نموذج تحليلي قائم على بناء نموذج منافسة بين عدة تجار تجزئة لقياس أفضل سعر بيع وأفضل كمية مبيعات. وتوصلت نتائج الدراسة إلى أن معامل الاقتصاد الأخضر يؤثر بشكل مباشر في تحقيق أقصى حجم مبيعات، وأن تحويل نمط تشغيل سلسلة القيمة نحو نموذج الاقتصاد الأخضر أدى إلى زيادة معدل نمو الدخل الإجمالي بنسبة 9.03%. وأوصت الدراسة بضرورة تبني نماذج تشغيل قائمة على الاقتصاد الأخضر لرفع القدرة التنافسية وزيادة الحصة السوقية وتحقيق عوائد أعلى</w:t>
      </w:r>
      <w:r w:rsidRPr="00BE606B">
        <w:rPr>
          <w:rFonts w:ascii="Simplified Arabic" w:hAnsi="Simplified Arabic" w:cs="Simplified Arabic"/>
          <w:sz w:val="28"/>
          <w:szCs w:val="28"/>
        </w:rPr>
        <w:t>.</w:t>
      </w:r>
      <w:r w:rsidRPr="00C943D9">
        <w:rPr>
          <w:rFonts w:ascii="Simplified Arabic" w:hAnsi="Simplified Arabic" w:cs="Simplified Arabic"/>
          <w:sz w:val="28"/>
          <w:szCs w:val="28"/>
          <w:lang w:bidi="ar-EG"/>
        </w:rPr>
        <w:t>.</w:t>
      </w:r>
    </w:p>
    <w:p w14:paraId="19907515" w14:textId="77777777"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الثالثة: الدراسات التي تناولت </w:t>
      </w:r>
      <w:r>
        <w:rPr>
          <w:rFonts w:ascii="Simplified Arabic" w:hAnsi="Simplified Arabic" w:cs="Simplified Arabic" w:hint="cs"/>
          <w:b/>
          <w:bCs/>
          <w:sz w:val="28"/>
          <w:szCs w:val="28"/>
          <w:rtl/>
          <w:lang w:bidi="ar-EG"/>
        </w:rPr>
        <w:t xml:space="preserve">الذكاء الاصطناعى وعلاقتة بالقيمة التشغيلية </w:t>
      </w:r>
      <w:r w:rsidRPr="00B91104">
        <w:rPr>
          <w:rFonts w:ascii="Simplified Arabic" w:hAnsi="Simplified Arabic" w:cs="Simplified Arabic"/>
          <w:b/>
          <w:bCs/>
          <w:sz w:val="28"/>
          <w:szCs w:val="28"/>
          <w:rtl/>
          <w:lang w:bidi="ar-EG"/>
        </w:rPr>
        <w:t>.</w:t>
      </w:r>
    </w:p>
    <w:p w14:paraId="55E85F80" w14:textId="77777777" w:rsidR="00C47BC4" w:rsidRDefault="00C47BC4" w:rsidP="00C47BC4">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(Yusuf et al., 2025)</w:t>
      </w:r>
      <w:r w:rsidRPr="00B91104">
        <w:rPr>
          <w:rFonts w:ascii="Simplified Arabic" w:hAnsi="Simplified Arabic" w:cs="Simplified Arabic"/>
          <w:b/>
          <w:bCs/>
          <w:sz w:val="28"/>
          <w:szCs w:val="28"/>
          <w:rtl/>
          <w:lang w:bidi="ar-EG"/>
        </w:rPr>
        <w:t>بعنوان:</w:t>
      </w:r>
    </w:p>
    <w:p w14:paraId="4EA4862B" w14:textId="77777777" w:rsidR="00C47BC4" w:rsidRPr="006E5307" w:rsidRDefault="00C47BC4" w:rsidP="00C47BC4">
      <w:pPr>
        <w:bidi w:val="0"/>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The Impact of AI on Supply Chain Operations: A comparative analysis of traditional vs AI-enabled Processes. </w:t>
      </w:r>
    </w:p>
    <w:p w14:paraId="18BC0334" w14:textId="77777777" w:rsidR="00C47BC4" w:rsidRPr="009B5EF9" w:rsidRDefault="00C47BC4" w:rsidP="00C47BC4">
      <w:pPr>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وخفض التكاليف، دعم اتخاذ القرار، شفافية السلسلة، تحسين تجربة العملاء) على أداء سلاسل الإمداد في المنظمات، واستخدمت الدراسة المنهج الوصفي التحليلي من خلال المقارنة بين العمليات التقليدية وتلك المعتمدة على الذكاء الاصطناعي. وتكوّنت عينة الدراسة من بيانات تحليلية وتقارير مقارنة لأداء سلاسل الإمداد قبل وبعد الاعتماد على الأنظمة الذكية. وتوصلت نتائج الدراسة إلى تفوق الأنظمة المعتمدة على الذكاء الاصطناعي، محققةً تحسناً في دقة التنبؤ بالطلب بنسبة 20–30%، وانخفاضاً في الاضطرابات التشغيلية بنسبة 25–40%، إضافةً إلى تعزيز القرارات الفورية ووضوح السلسلة اعتماداً على تقنيات إنترنت الأشياء والتعلم الآلي والبلوك تشين. كما كشفت الدراسة عن وجود معوقات تبني مهمة، أبرزها ارتفاع تكاليف التطبيق وصعوبات دمج البيانات ونقص مهارات القوى العاملة ومتطلبات التشريعات. وأوصت الدراسة بتطبيق الذكاء الاصطناعي بشكل مرحلي، وتحديث البنية التحتية للبيانات، وتبني برامج تأهيل رقمي للموظفين، ووضع أطر حوكمة أخلاقية للذكاء الاصطناعي لتعزيز مرونة واستدامة سلاسل الإمداد في البيئة العالمية المتغيرة</w:t>
      </w:r>
      <w:r w:rsidRPr="006E5307">
        <w:rPr>
          <w:rFonts w:ascii="Simplified Arabic" w:hAnsi="Simplified Arabic" w:cs="Simplified Arabic"/>
          <w:sz w:val="28"/>
          <w:szCs w:val="28"/>
        </w:rPr>
        <w:t>.</w:t>
      </w:r>
      <w:r>
        <w:rPr>
          <w:rFonts w:ascii="Simplified Arabic" w:hAnsi="Simplified Arabic" w:cs="Simplified Arabic" w:hint="cs"/>
          <w:sz w:val="28"/>
          <w:szCs w:val="28"/>
          <w:rtl/>
          <w:lang w:bidi="ar-EG"/>
        </w:rPr>
        <w:t>.</w:t>
      </w:r>
    </w:p>
    <w:p w14:paraId="7FD3A4B9" w14:textId="77777777" w:rsidR="00C47BC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(Pokamestov &amp; Nikitin, 2024)</w:t>
      </w:r>
      <w:r w:rsidRPr="00B91104">
        <w:rPr>
          <w:rFonts w:ascii="Simplified Arabic" w:hAnsi="Simplified Arabic" w:cs="Simplified Arabic"/>
          <w:b/>
          <w:bCs/>
          <w:sz w:val="28"/>
          <w:szCs w:val="28"/>
          <w:rtl/>
          <w:lang w:bidi="ar-EG"/>
        </w:rPr>
        <w:t>بعنون:</w:t>
      </w:r>
    </w:p>
    <w:p w14:paraId="75634E4E"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Modern Artificial Intelligence Technologies as a Tool of Transformation of Value Chains of Russian Commercial Banks. </w:t>
      </w:r>
    </w:p>
    <w:p w14:paraId="7DC00556" w14:textId="77777777" w:rsidR="00C47BC4" w:rsidRPr="009B5EF9"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إمكانية تطبيق تقنيات الذكاء الاصطناعي بأبعادها (التقنيات التطبيقية، التقنيات التوليدية، الجاهزية التكنولوجية، إدارة المخاطر) على مراحل سلسلة القيمة في البنوك التجارية، واستخدمت الدراسة المنهج الوصفي التحليلي بالاعتماد على أساليب التحليل والتركيب والاستنباط والاستقراء، إضافة إلى التحليلين الإحصائي والبياني ومنهجية بناء سلاسل القيمة. وتكوّنت عينة الدراسة من تحليل نماذج واقعية من مكتبة حالات الذكاء الاصطناعي في روسيا، شملت مراحل التسويق والمبيعات، دعم العملاء والاتصال، المعالجة التشغيلية، وإدارة المخاطر. وتوصلت نتائج الدراسة إلى أن نماذج الذكاء الاصطناعي تمثل عملية دعم مستقلة تؤثر بشكل مباشر في الأنشطة الأساسية للبنك، وأن تطبيقها يسهم في رفع كفاءة العمليات وتعزيز القيمة المضافة عبر تحسين الفعالية التشغيلية وإدارة المخاطر. كما أكدت الدراسة أن إدخال الذكاء الاصطناعي يتطلب مستوى متقدماً من النضج التكنولوجي ووجود عمليات مساندة قوية. وأوصت الدراسة بضرورة تعزيز جاهزية البنوك التكنولوجية، واعتماد منهجيات تحليل أثر الذكاء الاصطناعي عند اتخاذ قرارات التطبيق لضمان فعالية التحول الرقمي ورفع القدرة التنافسية في القطاع المصرفي</w:t>
      </w:r>
      <w:r w:rsidRPr="006E5307">
        <w:rPr>
          <w:rFonts w:ascii="Simplified Arabic" w:hAnsi="Simplified Arabic" w:cs="Simplified Arabic"/>
          <w:sz w:val="28"/>
          <w:szCs w:val="28"/>
        </w:rPr>
        <w:t>.</w:t>
      </w:r>
    </w:p>
    <w:p w14:paraId="4A99AFF3" w14:textId="77777777" w:rsidR="00C47BC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(Faisal, 2025)</w:t>
      </w:r>
      <w:r w:rsidRPr="00B91104">
        <w:rPr>
          <w:rFonts w:ascii="Simplified Arabic" w:hAnsi="Simplified Arabic" w:cs="Simplified Arabic"/>
          <w:b/>
          <w:bCs/>
          <w:sz w:val="28"/>
          <w:szCs w:val="28"/>
          <w:rtl/>
          <w:lang w:bidi="ar-EG"/>
        </w:rPr>
        <w:t xml:space="preserve"> بعنوان: </w:t>
      </w:r>
    </w:p>
    <w:p w14:paraId="04FFD2ED"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Artificial Intelligence in Supply Chains and Finance: Driving Efficiency and Risk Management. </w:t>
      </w:r>
    </w:p>
    <w:p w14:paraId="654B72D0" w14:textId="77777777" w:rsidR="00C47BC4" w:rsidRPr="009B5EF9"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التشغيلية، إدارة المخاطر، خلق القيمة، الاستجابة اللوجستية) على كفاءة العمليات واتخاذ القرارات المالية وإدارة سلاسل الإمداد في الشركات الهندية. واستخدمت الدراسة المنهج الكمي بالاعتماد على نموذج المعادلات الهيكلية</w:t>
      </w:r>
      <w:r w:rsidRPr="006E5307">
        <w:rPr>
          <w:rFonts w:ascii="Simplified Arabic" w:hAnsi="Simplified Arabic" w:cs="Simplified Arabic"/>
          <w:sz w:val="28"/>
          <w:szCs w:val="28"/>
        </w:rPr>
        <w:t xml:space="preserve"> (SmartPLS)</w:t>
      </w:r>
      <w:r w:rsidRPr="006E5307">
        <w:rPr>
          <w:rFonts w:ascii="Simplified Arabic" w:hAnsi="Simplified Arabic" w:cs="Simplified Arabic"/>
          <w:sz w:val="28"/>
          <w:szCs w:val="28"/>
          <w:rtl/>
        </w:rPr>
        <w:t>، وتكوّنت العينة من 736 مفردة من أصل 850 محترفاً بنسبة استجابة بلغت 86%. وتوصلت نتائج الدراسة إلى وجود علاقات دالة بين دمج الذكاء الاصطناعي وتحسين الكفاءة التشغيلية، وتعزيز الاستجابة في سلاسل الإمداد، ودعم القرارات المالية، وظهور مقترحات قيمة جديدة للشركات. وأوصت الدراسة بضرورة تبني الذكاء الاصطناعي استراتيجياً لتعزيز القدرة التنافسية، وتطوير استراتيجيات مالية أكثر دقة، وفهم أعمق لتأثيراته المتغيرة في بيئة الأعمال الهندية</w:t>
      </w:r>
      <w:r w:rsidRPr="006E5307">
        <w:rPr>
          <w:rFonts w:ascii="Simplified Arabic" w:hAnsi="Simplified Arabic" w:cs="Simplified Arabic"/>
          <w:sz w:val="28"/>
          <w:szCs w:val="28"/>
        </w:rPr>
        <w:t>.</w:t>
      </w:r>
      <w:r w:rsidRPr="009B5EF9">
        <w:rPr>
          <w:rFonts w:ascii="Simplified Arabic" w:hAnsi="Simplified Arabic" w:cs="Simplified Arabic"/>
          <w:sz w:val="28"/>
          <w:szCs w:val="28"/>
          <w:lang w:bidi="ar-EG"/>
        </w:rPr>
        <w:t>.</w:t>
      </w:r>
    </w:p>
    <w:p w14:paraId="1A806F8E" w14:textId="77777777" w:rsidR="00C47BC4" w:rsidRDefault="00C47BC4" w:rsidP="00C47BC4">
      <w:pPr>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(Nathany, 2022)</w:t>
      </w:r>
      <w:r w:rsidRPr="009B5EF9">
        <w:rPr>
          <w:rFonts w:ascii="Simplified Arabic" w:hAnsi="Simplified Arabic" w:cs="Simplified Arabic"/>
          <w:b/>
          <w:bCs/>
          <w:sz w:val="28"/>
          <w:szCs w:val="28"/>
          <w:rtl/>
          <w:lang w:bidi="ar-EG"/>
        </w:rPr>
        <w:t>بعنوان:</w:t>
      </w:r>
    </w:p>
    <w:p w14:paraId="4C4453D5" w14:textId="77777777" w:rsidR="00C47BC4" w:rsidRPr="009B5EF9" w:rsidRDefault="00C47BC4" w:rsidP="00C47BC4">
      <w:pPr>
        <w:bidi w:val="0"/>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 </w:t>
      </w:r>
      <w:r w:rsidRPr="006E5307">
        <w:rPr>
          <w:rFonts w:ascii="Simplified Arabic" w:hAnsi="Simplified Arabic" w:cs="Simplified Arabic"/>
          <w:b/>
          <w:bCs/>
          <w:sz w:val="28"/>
          <w:szCs w:val="28"/>
          <w:lang w:bidi="ar-EG"/>
        </w:rPr>
        <w:t xml:space="preserve">Artificial Intelligence in Supply Chain: A Comprehensive Analysis of Applications, Impacts, and Future Directions. </w:t>
      </w:r>
    </w:p>
    <w:p w14:paraId="7450E386" w14:textId="77777777" w:rsidR="00C47BC4" w:rsidRPr="006E5307"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(التنبؤ بالطلب، إدارة المخزون، تحسين اللوجستيات، إدارة المخاطر، دعم الاستدامة) على إدارة سلاسل الإمداد، واستخدمت الدراسة المنهج الوصفي التحليلي من خلال مراجعة منهجية للأدبيات شملت بحوثاً محكّمة وتقارير صناعية ودراسات حالة نُشرت بين 2015 و2021. وتكوّنت عينة الدراسة من مجموعة من الدراسات السابقة التي تناولت تطبيقات الذكاء الاصطناعي في سلاسل الإمداد. وتوصلت نتائج الدراسة إلى أن الذكاء الاصطناعي يسهم بفاعلية في تعزيز كفاءة العمليات عبر تحسين دقة التنبؤ بالطلب، وتطوير أنظمة إدارة المخزون، وتحسين العمليات اللوجستية، بالإضافة إلى تعزيز استراتيجيات إدارة المخاطر ودعم ممارسات الاستدامة. وأوصت الدراسة بضرورة توسيع تبني تقنيات الذكاء الاصطناعي في سلاسل الإمداد ودعم البنى التحتية الرقمية لتحقيق كفاءة تشغيلية أعلى واستدامة طويلة المدى</w:t>
      </w:r>
      <w:r w:rsidRPr="006E5307">
        <w:rPr>
          <w:rFonts w:ascii="Simplified Arabic" w:hAnsi="Simplified Arabic" w:cs="Simplified Arabic"/>
          <w:sz w:val="28"/>
          <w:szCs w:val="28"/>
        </w:rPr>
        <w:t>.</w:t>
      </w:r>
    </w:p>
    <w:p w14:paraId="5E358104" w14:textId="77777777" w:rsidR="00C47BC4" w:rsidRPr="009B5EF9" w:rsidRDefault="00C47BC4" w:rsidP="00C47BC4">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(Kumar et al., 2024)</w:t>
      </w:r>
      <w:r w:rsidRPr="009B5EF9">
        <w:rPr>
          <w:rFonts w:ascii="Simplified Arabic" w:hAnsi="Simplified Arabic" w:cs="Simplified Arabic" w:hint="cs"/>
          <w:b/>
          <w:bCs/>
          <w:sz w:val="28"/>
          <w:szCs w:val="28"/>
          <w:rtl/>
          <w:lang w:bidi="ar-EG"/>
        </w:rPr>
        <w:t xml:space="preserve">  بعنوان :</w:t>
      </w:r>
      <w:r w:rsidRPr="009B5EF9">
        <w:rPr>
          <w:rFonts w:ascii="Segoe UI" w:hAnsi="Segoe UI" w:cs="Segoe UI"/>
          <w:b/>
          <w:bCs/>
          <w:color w:val="505050"/>
          <w:bdr w:val="single" w:sz="2" w:space="0" w:color="E4E6E8" w:frame="1"/>
          <w:shd w:val="clear" w:color="auto" w:fill="FFFFFF"/>
        </w:rPr>
        <w:t xml:space="preserve"> </w:t>
      </w:r>
    </w:p>
    <w:p w14:paraId="45A361AD"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Impact of AI on Operations Management. </w:t>
      </w:r>
    </w:p>
    <w:p w14:paraId="27E700EB" w14:textId="7D44CF46" w:rsidR="00C47BC4"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(خوارزميات التعلم الآلي، نماذج التنبؤ، الأتمتة، تحسين اتخاذ القرار) على إدارة العمليات، ولا سيما التنبؤ بالطلب في سلاسل الإمداد. واستخدمت الدراسة المنهج الوصفي التحليلي مع تطبيق مقارنة كمية بين خوارزميات التعلم الآلي مثل آلات المتجهات الداعمة</w:t>
      </w:r>
      <w:r w:rsidRPr="006E5307">
        <w:rPr>
          <w:rFonts w:ascii="Simplified Arabic" w:hAnsi="Simplified Arabic" w:cs="Simplified Arabic"/>
          <w:sz w:val="28"/>
          <w:szCs w:val="28"/>
        </w:rPr>
        <w:t xml:space="preserve"> (SVM) </w:t>
      </w:r>
      <w:r w:rsidRPr="006E5307">
        <w:rPr>
          <w:rFonts w:ascii="Simplified Arabic" w:hAnsi="Simplified Arabic" w:cs="Simplified Arabic"/>
          <w:sz w:val="28"/>
          <w:szCs w:val="28"/>
          <w:rtl/>
        </w:rPr>
        <w:t>والشبكات العصبية الاصطناعية</w:t>
      </w:r>
      <w:r w:rsidRPr="006E5307">
        <w:rPr>
          <w:rFonts w:ascii="Simplified Arabic" w:hAnsi="Simplified Arabic" w:cs="Simplified Arabic"/>
          <w:sz w:val="28"/>
          <w:szCs w:val="28"/>
        </w:rPr>
        <w:t xml:space="preserve"> (ANN)</w:t>
      </w:r>
      <w:r w:rsidRPr="006E5307">
        <w:rPr>
          <w:rFonts w:ascii="Simplified Arabic" w:hAnsi="Simplified Arabic" w:cs="Simplified Arabic"/>
          <w:sz w:val="28"/>
          <w:szCs w:val="28"/>
          <w:rtl/>
        </w:rPr>
        <w:t>، وبين الأساليب التقليدية في التنبؤ كسلاسل الزمن والتمهيد الأسي والمتوسطات المتحركة. وتكوّنت عينة الدراسة من بيانات مورد رئيسي لمكونات أكبر شركة سيارات في الهند. وتوصلت نتائج الدراسة إلى تفوق نماذج التعلم الآلي في دقة التنبؤ، إذ جاءت توقعاتها أقرب إلى البيانات الحقيقية مق</w:t>
      </w:r>
      <w:r w:rsidR="005C44E0">
        <w:rPr>
          <w:rFonts w:ascii="Simplified Arabic" w:hAnsi="Simplified Arabic" w:cs="Simplified Arabic" w:hint="cs"/>
          <w:sz w:val="28"/>
          <w:szCs w:val="28"/>
          <w:rtl/>
          <w:lang w:bidi="ar-EG"/>
        </w:rPr>
        <w:t>-</w:t>
      </w:r>
      <w:r w:rsidRPr="006E5307">
        <w:rPr>
          <w:rFonts w:ascii="Simplified Arabic" w:hAnsi="Simplified Arabic" w:cs="Simplified Arabic"/>
          <w:sz w:val="28"/>
          <w:szCs w:val="28"/>
          <w:rtl/>
        </w:rPr>
        <w:t>ارنة بالطرق التقليدية. وأوصت الدراسة بضرورة اعتماد خوارزميات الذكاء الاصطناعي في التنبؤ بالطلب لدعم القرارات التشغيلية وتحسين الكفاءة وتقليل الأخطاء في سلاسل الإمداد</w:t>
      </w:r>
      <w:r w:rsidRPr="006E5307">
        <w:rPr>
          <w:rFonts w:ascii="Simplified Arabic" w:hAnsi="Simplified Arabic" w:cs="Simplified Arabic"/>
          <w:sz w:val="28"/>
          <w:szCs w:val="28"/>
        </w:rPr>
        <w:t>.</w:t>
      </w:r>
      <w:r w:rsidRPr="009B5EF9">
        <w:rPr>
          <w:rFonts w:ascii="Simplified Arabic" w:hAnsi="Simplified Arabic" w:cs="Simplified Arabic"/>
          <w:sz w:val="28"/>
          <w:szCs w:val="28"/>
          <w:lang w:bidi="ar-EG"/>
        </w:rPr>
        <w:t>.</w:t>
      </w:r>
    </w:p>
    <w:p w14:paraId="641AED64" w14:textId="77777777" w:rsidR="00C47BC4" w:rsidRPr="009B5EF9" w:rsidRDefault="00C47BC4" w:rsidP="00C47BC4">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(Thenmozhi &amp; Krisknakumari, 2024)</w:t>
      </w:r>
      <w:r w:rsidRPr="009B5EF9">
        <w:rPr>
          <w:rFonts w:ascii="Simplified Arabic" w:hAnsi="Simplified Arabic" w:cs="Simplified Arabic" w:hint="cs"/>
          <w:b/>
          <w:bCs/>
          <w:sz w:val="28"/>
          <w:szCs w:val="28"/>
          <w:rtl/>
          <w:lang w:bidi="ar-EG"/>
        </w:rPr>
        <w:t xml:space="preserve">  بعنوان :</w:t>
      </w:r>
      <w:r w:rsidRPr="009B5EF9">
        <w:rPr>
          <w:rFonts w:ascii="Segoe UI" w:hAnsi="Segoe UI" w:cs="Segoe UI"/>
          <w:b/>
          <w:bCs/>
          <w:color w:val="505050"/>
          <w:bdr w:val="single" w:sz="2" w:space="0" w:color="E4E6E8" w:frame="1"/>
          <w:shd w:val="clear" w:color="auto" w:fill="FFFFFF"/>
        </w:rPr>
        <w:t xml:space="preserve"> </w:t>
      </w:r>
    </w:p>
    <w:p w14:paraId="7812141B"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Artificial Intelligence in Enhancing Operational Efficiency in Logistics and SCM</w:t>
      </w:r>
    </w:p>
    <w:p w14:paraId="689A3688" w14:textId="77777777" w:rsidR="00C47BC4"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(التنبؤ بالطلب، إدارة المخزون، تخطيط المسارات، الصيانة التنبؤية، تحسين تجربة العملاء) على الكفاءة التشغيلية في مجال اللوجستيات وإدارة سلاسل الإمداد. واستخدمت الدراسة المنهج الوصفي التحليلي من خلال مراجعة الأدبيات وتحليل التطبيقات الحديثة للذكاء الاصطناعي في هذا المجال. وتكوّنت عينة الدراسة من مجموعة من الدراسات والتقارير التي تناولت تطبيقات الذكاء الاصطناعي في اللوجستيات وسلاسل الإمداد. وتوصلت نتائج الدراسة إلى أن الذكاء الاصطناعي يسهم في أتمتة العمليات، وتحسين دقة التنبؤ بالطلب، ورفع كفاءة إدارة المخزون، وتعزيز تخطيط المسارات، بالإضافة إلى دعمه الصيانة التنبؤية وتحسين تجربة العملاء عبر التتبع الفوري والدردشة الآلية. وأوصت الدراسة بضرورة تبني المؤسسات لتقنيات الذكاء الاصطناعي بشكل استراتيجي لخفض التكاليف وتحسين المرونة التشغيلية وتعزيز الميزة التنافسية</w:t>
      </w:r>
      <w:r w:rsidRPr="006E5307">
        <w:rPr>
          <w:rFonts w:ascii="Simplified Arabic" w:hAnsi="Simplified Arabic" w:cs="Simplified Arabic"/>
          <w:sz w:val="28"/>
          <w:szCs w:val="28"/>
        </w:rPr>
        <w:t>.</w:t>
      </w:r>
    </w:p>
    <w:p w14:paraId="01AE87A6" w14:textId="77777777" w:rsidR="005C44E0" w:rsidRPr="005C44E0" w:rsidRDefault="005C44E0" w:rsidP="005C44E0">
      <w:pPr>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r w:rsidRPr="005C44E0">
        <w:rPr>
          <w:rFonts w:ascii="Times New Roman" w:eastAsia="Times New Roman" w:hAnsi="Times New Roman" w:cs="Times New Roman"/>
          <w:b/>
          <w:bCs/>
          <w:kern w:val="0"/>
          <w:sz w:val="27"/>
          <w:szCs w:val="27"/>
          <w:rtl/>
          <w14:ligatures w14:val="none"/>
        </w:rPr>
        <w:t>جدول (8) المقارنة التحليلية للدراسات السابقة</w:t>
      </w:r>
    </w:p>
    <w:tbl>
      <w:tblPr>
        <w:tblStyle w:val="af1"/>
        <w:bidiVisual/>
        <w:tblW w:w="0" w:type="auto"/>
        <w:tblLayout w:type="fixed"/>
        <w:tblLook w:val="04A0" w:firstRow="1" w:lastRow="0" w:firstColumn="1" w:lastColumn="0" w:noHBand="0" w:noVBand="1"/>
      </w:tblPr>
      <w:tblGrid>
        <w:gridCol w:w="654"/>
        <w:gridCol w:w="993"/>
        <w:gridCol w:w="1787"/>
        <w:gridCol w:w="1018"/>
        <w:gridCol w:w="1086"/>
        <w:gridCol w:w="1296"/>
        <w:gridCol w:w="1029"/>
        <w:gridCol w:w="1153"/>
      </w:tblGrid>
      <w:tr w:rsidR="005C44E0" w:rsidRPr="005C44E0" w14:paraId="708F81AF" w14:textId="77777777" w:rsidTr="005C44E0">
        <w:tc>
          <w:tcPr>
            <w:tcW w:w="654" w:type="dxa"/>
            <w:hideMark/>
          </w:tcPr>
          <w:p w14:paraId="1F96A740"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14:ligatures w14:val="none"/>
              </w:rPr>
              <w:t>#</w:t>
            </w:r>
          </w:p>
        </w:tc>
        <w:tc>
          <w:tcPr>
            <w:tcW w:w="993" w:type="dxa"/>
            <w:hideMark/>
          </w:tcPr>
          <w:p w14:paraId="719B01B7"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الباحث/السنة</w:t>
            </w:r>
          </w:p>
        </w:tc>
        <w:tc>
          <w:tcPr>
            <w:tcW w:w="1787" w:type="dxa"/>
            <w:hideMark/>
          </w:tcPr>
          <w:p w14:paraId="629DB48D"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عنوان الدراسة</w:t>
            </w:r>
          </w:p>
        </w:tc>
        <w:tc>
          <w:tcPr>
            <w:tcW w:w="1018" w:type="dxa"/>
            <w:hideMark/>
          </w:tcPr>
          <w:p w14:paraId="572474CA"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الهدف الرئيس</w:t>
            </w:r>
          </w:p>
        </w:tc>
        <w:tc>
          <w:tcPr>
            <w:tcW w:w="1086" w:type="dxa"/>
            <w:hideMark/>
          </w:tcPr>
          <w:p w14:paraId="2CA154FB"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المتغيرات الرئيسة</w:t>
            </w:r>
          </w:p>
        </w:tc>
        <w:tc>
          <w:tcPr>
            <w:tcW w:w="1296" w:type="dxa"/>
            <w:hideMark/>
          </w:tcPr>
          <w:p w14:paraId="4445F4BB"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المنهج والأداة</w:t>
            </w:r>
          </w:p>
        </w:tc>
        <w:tc>
          <w:tcPr>
            <w:tcW w:w="1029" w:type="dxa"/>
            <w:hideMark/>
          </w:tcPr>
          <w:p w14:paraId="4ACA71B7"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أبرز النتائج</w:t>
            </w:r>
          </w:p>
        </w:tc>
        <w:tc>
          <w:tcPr>
            <w:tcW w:w="1153" w:type="dxa"/>
            <w:hideMark/>
          </w:tcPr>
          <w:p w14:paraId="537953C5"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أوجه الاتفاق والاختلاف مع الدراسة الحالية</w:t>
            </w:r>
          </w:p>
        </w:tc>
      </w:tr>
      <w:tr w:rsidR="005C44E0" w:rsidRPr="005C44E0" w14:paraId="61821275" w14:textId="77777777" w:rsidTr="005C44E0">
        <w:tc>
          <w:tcPr>
            <w:tcW w:w="654" w:type="dxa"/>
            <w:hideMark/>
          </w:tcPr>
          <w:p w14:paraId="4C6EFD9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المجموعة الأولى: دراسات الذكاء الاصطناعي</w:t>
            </w:r>
          </w:p>
        </w:tc>
        <w:tc>
          <w:tcPr>
            <w:tcW w:w="993" w:type="dxa"/>
            <w:hideMark/>
          </w:tcPr>
          <w:p w14:paraId="5903CD7E"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01EF3EB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52464B3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6DC19C62"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37994D0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0F2D792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5E8CFAE5"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5CA20249" w14:textId="77777777" w:rsidTr="005C44E0">
        <w:tc>
          <w:tcPr>
            <w:tcW w:w="654" w:type="dxa"/>
            <w:hideMark/>
          </w:tcPr>
          <w:p w14:paraId="560B089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w:t>
            </w:r>
          </w:p>
        </w:tc>
        <w:tc>
          <w:tcPr>
            <w:tcW w:w="993" w:type="dxa"/>
            <w:hideMark/>
          </w:tcPr>
          <w:p w14:paraId="00556CE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المصاروة والسرحان</w:t>
            </w:r>
            <w:r w:rsidRPr="005C44E0">
              <w:rPr>
                <w:rFonts w:ascii="Simplified Arabic" w:eastAsia="Times New Roman" w:hAnsi="Simplified Arabic" w:cs="Simplified Arabic" w:hint="cs"/>
                <w:kern w:val="0"/>
                <w:sz w:val="22"/>
                <w:szCs w:val="22"/>
                <w14:ligatures w14:val="none"/>
              </w:rPr>
              <w:t xml:space="preserve"> (2021)</w:t>
            </w:r>
          </w:p>
        </w:tc>
        <w:tc>
          <w:tcPr>
            <w:tcW w:w="1787" w:type="dxa"/>
            <w:hideMark/>
          </w:tcPr>
          <w:p w14:paraId="683F06B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في الأداء المؤسسي في البنوك التجارية الأردنية</w:t>
            </w:r>
          </w:p>
        </w:tc>
        <w:tc>
          <w:tcPr>
            <w:tcW w:w="1018" w:type="dxa"/>
            <w:hideMark/>
          </w:tcPr>
          <w:p w14:paraId="54F2B5C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الذكاء الاصطناعي على الأداء المؤسسي بوساطة رأس المال الفكري</w:t>
            </w:r>
          </w:p>
        </w:tc>
        <w:tc>
          <w:tcPr>
            <w:tcW w:w="1086" w:type="dxa"/>
            <w:hideMark/>
          </w:tcPr>
          <w:p w14:paraId="7E33E30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(نظم خبيرة، تعلم آلي، سهولة استعمال)/ تابع: الأداء المؤسسي/ وسيط: رأس المال الفكري</w:t>
            </w:r>
          </w:p>
        </w:tc>
        <w:tc>
          <w:tcPr>
            <w:tcW w:w="1296" w:type="dxa"/>
            <w:hideMark/>
          </w:tcPr>
          <w:p w14:paraId="2799D15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 (338 إداري)</w:t>
            </w:r>
          </w:p>
        </w:tc>
        <w:tc>
          <w:tcPr>
            <w:tcW w:w="1029" w:type="dxa"/>
            <w:hideMark/>
          </w:tcPr>
          <w:p w14:paraId="530202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وجود أثر مباشر وغير مباشر للذكاء الاصطناعي على الأداء المؤسسي عبر رأس المال الفكري</w:t>
            </w:r>
          </w:p>
        </w:tc>
        <w:tc>
          <w:tcPr>
            <w:tcW w:w="1153" w:type="dxa"/>
            <w:hideMark/>
          </w:tcPr>
          <w:p w14:paraId="0F1967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الذكاء الاصطناعي بأبعاد متعددة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تناولت القطاع المصرفي الأردني، أما الحالية فتتناول القطاع الحكومي السعودي ومتغيرها التابع مختلف</w:t>
            </w:r>
          </w:p>
        </w:tc>
      </w:tr>
      <w:tr w:rsidR="005C44E0" w:rsidRPr="005C44E0" w14:paraId="678A4848" w14:textId="77777777" w:rsidTr="005C44E0">
        <w:tc>
          <w:tcPr>
            <w:tcW w:w="654" w:type="dxa"/>
            <w:hideMark/>
          </w:tcPr>
          <w:p w14:paraId="4E3E991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2</w:t>
            </w:r>
          </w:p>
        </w:tc>
        <w:tc>
          <w:tcPr>
            <w:tcW w:w="993" w:type="dxa"/>
            <w:hideMark/>
          </w:tcPr>
          <w:p w14:paraId="5284CB4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عبدالمنعم</w:t>
            </w:r>
            <w:r w:rsidRPr="005C44E0">
              <w:rPr>
                <w:rFonts w:ascii="Simplified Arabic" w:eastAsia="Times New Roman" w:hAnsi="Simplified Arabic" w:cs="Simplified Arabic" w:hint="cs"/>
                <w:kern w:val="0"/>
                <w:sz w:val="22"/>
                <w:szCs w:val="22"/>
                <w14:ligatures w14:val="none"/>
              </w:rPr>
              <w:t xml:space="preserve"> (2023)</w:t>
            </w:r>
          </w:p>
        </w:tc>
        <w:tc>
          <w:tcPr>
            <w:tcW w:w="1787" w:type="dxa"/>
            <w:hideMark/>
          </w:tcPr>
          <w:p w14:paraId="4B76F8D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الرشاقة الاستراتيجية في الجامعات الخاصة المصرية</w:t>
            </w:r>
          </w:p>
        </w:tc>
        <w:tc>
          <w:tcPr>
            <w:tcW w:w="1018" w:type="dxa"/>
            <w:hideMark/>
          </w:tcPr>
          <w:p w14:paraId="2E34799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فحص التأثير المباشر وغير المباشر للذكاء الاصطناعي على الرشاقة الاستراتيجية</w:t>
            </w:r>
          </w:p>
        </w:tc>
        <w:tc>
          <w:tcPr>
            <w:tcW w:w="1086" w:type="dxa"/>
            <w:hideMark/>
          </w:tcPr>
          <w:p w14:paraId="2E286B0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(الإدراك، تعلم الآلة، الأتمتة، المعلومات العصبية)/ تابع: الرشاقة الاستراتيجية/ وسيط: الجدارات الرقمية</w:t>
            </w:r>
          </w:p>
        </w:tc>
        <w:tc>
          <w:tcPr>
            <w:tcW w:w="1296" w:type="dxa"/>
            <w:hideMark/>
          </w:tcPr>
          <w:p w14:paraId="5F9E734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كمي – استبانة (397 مفردة)</w:t>
            </w:r>
          </w:p>
        </w:tc>
        <w:tc>
          <w:tcPr>
            <w:tcW w:w="1029" w:type="dxa"/>
            <w:hideMark/>
          </w:tcPr>
          <w:p w14:paraId="5CB8A00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ذات دلالة إحصائية بين الذكاء الاصطناعي والرشاقة الاستراتيجية بوساطة الجدارات الرقمية</w:t>
            </w:r>
          </w:p>
        </w:tc>
        <w:tc>
          <w:tcPr>
            <w:tcW w:w="1153" w:type="dxa"/>
            <w:hideMark/>
          </w:tcPr>
          <w:p w14:paraId="31DF88A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استخدام المنهج الكمي والاستبانة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تناولت الرشاقة الاستراتيجية في القطاع التعليمي، أما الحالية فتتناول سلسلة القيمة التشغيلية في القطاع الحكومي</w:t>
            </w:r>
          </w:p>
        </w:tc>
      </w:tr>
      <w:tr w:rsidR="005C44E0" w:rsidRPr="005C44E0" w14:paraId="5D366698" w14:textId="77777777" w:rsidTr="005C44E0">
        <w:tc>
          <w:tcPr>
            <w:tcW w:w="654" w:type="dxa"/>
            <w:hideMark/>
          </w:tcPr>
          <w:p w14:paraId="3F03D54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3</w:t>
            </w:r>
          </w:p>
        </w:tc>
        <w:tc>
          <w:tcPr>
            <w:tcW w:w="993" w:type="dxa"/>
            <w:hideMark/>
          </w:tcPr>
          <w:p w14:paraId="111A374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طيبي ومولاي</w:t>
            </w:r>
            <w:r w:rsidRPr="005C44E0">
              <w:rPr>
                <w:rFonts w:ascii="Simplified Arabic" w:eastAsia="Times New Roman" w:hAnsi="Simplified Arabic" w:cs="Simplified Arabic" w:hint="cs"/>
                <w:kern w:val="0"/>
                <w:sz w:val="22"/>
                <w:szCs w:val="22"/>
                <w14:ligatures w14:val="none"/>
              </w:rPr>
              <w:t xml:space="preserve"> (2023)</w:t>
            </w:r>
          </w:p>
        </w:tc>
        <w:tc>
          <w:tcPr>
            <w:tcW w:w="1787" w:type="dxa"/>
            <w:hideMark/>
          </w:tcPr>
          <w:p w14:paraId="35C7458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أداء البنوك التجارية بولايتي البيض وتيارت</w:t>
            </w:r>
          </w:p>
        </w:tc>
        <w:tc>
          <w:tcPr>
            <w:tcW w:w="1018" w:type="dxa"/>
            <w:hideMark/>
          </w:tcPr>
          <w:p w14:paraId="38C348B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بيان تأثير الذكاء الاصطناعي في تحسين أداء البنوك التجارية</w:t>
            </w:r>
          </w:p>
        </w:tc>
        <w:tc>
          <w:tcPr>
            <w:tcW w:w="1086" w:type="dxa"/>
            <w:hideMark/>
          </w:tcPr>
          <w:p w14:paraId="36C9C4A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أداء البنوك التجارية</w:t>
            </w:r>
          </w:p>
        </w:tc>
        <w:tc>
          <w:tcPr>
            <w:tcW w:w="1296" w:type="dxa"/>
            <w:hideMark/>
          </w:tcPr>
          <w:p w14:paraId="75897C7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كمي – استبانة (100 موظف) – نمذجة معادلات هيكلية</w:t>
            </w:r>
          </w:p>
        </w:tc>
        <w:tc>
          <w:tcPr>
            <w:tcW w:w="1029" w:type="dxa"/>
            <w:hideMark/>
          </w:tcPr>
          <w:p w14:paraId="3679374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وجود أثر ذي دلالة معنوية للذكاء الاصطناعي على أداء البنوك التجارية</w:t>
            </w:r>
          </w:p>
        </w:tc>
        <w:tc>
          <w:tcPr>
            <w:tcW w:w="1153" w:type="dxa"/>
            <w:hideMark/>
          </w:tcPr>
          <w:p w14:paraId="634B5CD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إثبات الأثر الإيجابي للذكاء الاصطناعي</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حجم عينة أصغر، وسياق مصرفي جزائري، ومتغير تابع مختلف</w:t>
            </w:r>
          </w:p>
        </w:tc>
      </w:tr>
      <w:tr w:rsidR="005C44E0" w:rsidRPr="005C44E0" w14:paraId="21D593FE" w14:textId="77777777" w:rsidTr="005C44E0">
        <w:tc>
          <w:tcPr>
            <w:tcW w:w="654" w:type="dxa"/>
            <w:hideMark/>
          </w:tcPr>
          <w:p w14:paraId="0B0ACD0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4</w:t>
            </w:r>
          </w:p>
        </w:tc>
        <w:tc>
          <w:tcPr>
            <w:tcW w:w="993" w:type="dxa"/>
            <w:hideMark/>
          </w:tcPr>
          <w:p w14:paraId="3868706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صقر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19AC86E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في تحسين ابتكار الخدمة في البنوك المصرية</w:t>
            </w:r>
          </w:p>
        </w:tc>
        <w:tc>
          <w:tcPr>
            <w:tcW w:w="1018" w:type="dxa"/>
            <w:hideMark/>
          </w:tcPr>
          <w:p w14:paraId="0AC0B00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تحديد دور الذكاء الاصطناعي في تحسين ابتكار الخدمات المصرفية</w:t>
            </w:r>
          </w:p>
        </w:tc>
        <w:tc>
          <w:tcPr>
            <w:tcW w:w="1086" w:type="dxa"/>
            <w:hideMark/>
          </w:tcPr>
          <w:p w14:paraId="1D2CC68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بأبعاده/ تابع: ابتكار الخدمة</w:t>
            </w:r>
          </w:p>
        </w:tc>
        <w:tc>
          <w:tcPr>
            <w:tcW w:w="1296" w:type="dxa"/>
            <w:hideMark/>
          </w:tcPr>
          <w:p w14:paraId="59C994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 استقصاء (348 عميلاً)</w:t>
            </w:r>
          </w:p>
        </w:tc>
        <w:tc>
          <w:tcPr>
            <w:tcW w:w="1029" w:type="dxa"/>
            <w:hideMark/>
          </w:tcPr>
          <w:p w14:paraId="25518E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ارتباطية طردية بين أبعاد الذكاء الاصطناعي وابتكار الخدمات</w:t>
            </w:r>
          </w:p>
        </w:tc>
        <w:tc>
          <w:tcPr>
            <w:tcW w:w="1153" w:type="dxa"/>
            <w:hideMark/>
          </w:tcPr>
          <w:p w14:paraId="44D45BE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الذكاء الاصطناعي بأبعاد متعددة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تناولت ابتكار الخدمة من منظور العملاء، أما الحالية فتتناول سلسلة القيمة التشغيلية من منظور الموظفين</w:t>
            </w:r>
          </w:p>
        </w:tc>
      </w:tr>
      <w:tr w:rsidR="005C44E0" w:rsidRPr="005C44E0" w14:paraId="4BE36D12" w14:textId="77777777" w:rsidTr="005C44E0">
        <w:tc>
          <w:tcPr>
            <w:tcW w:w="654" w:type="dxa"/>
            <w:hideMark/>
          </w:tcPr>
          <w:p w14:paraId="199B352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5</w:t>
            </w:r>
          </w:p>
        </w:tc>
        <w:tc>
          <w:tcPr>
            <w:tcW w:w="993" w:type="dxa"/>
            <w:hideMark/>
          </w:tcPr>
          <w:p w14:paraId="725367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حسن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04B45C6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من أجل التنمية المستدامة</w:t>
            </w:r>
          </w:p>
        </w:tc>
        <w:tc>
          <w:tcPr>
            <w:tcW w:w="1018" w:type="dxa"/>
            <w:hideMark/>
          </w:tcPr>
          <w:p w14:paraId="164A9D8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دور الذكاء الاصطناعي في التعليم والتنمية المستدامة</w:t>
            </w:r>
          </w:p>
        </w:tc>
        <w:tc>
          <w:tcPr>
            <w:tcW w:w="1086" w:type="dxa"/>
            <w:hideMark/>
          </w:tcPr>
          <w:p w14:paraId="478A65B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التنمية المستدامة</w:t>
            </w:r>
          </w:p>
        </w:tc>
        <w:tc>
          <w:tcPr>
            <w:tcW w:w="1296" w:type="dxa"/>
            <w:hideMark/>
          </w:tcPr>
          <w:p w14:paraId="236DDCC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 استبانة (400 طالب + 25 عضو هيئة تدريس)</w:t>
            </w:r>
          </w:p>
        </w:tc>
        <w:tc>
          <w:tcPr>
            <w:tcW w:w="1029" w:type="dxa"/>
            <w:hideMark/>
          </w:tcPr>
          <w:p w14:paraId="48BA8A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وجود علاقة معنوية بين تطبيقات الذكاء الاصطناعي والتنمية المستدامة</w:t>
            </w:r>
          </w:p>
        </w:tc>
        <w:tc>
          <w:tcPr>
            <w:tcW w:w="1153" w:type="dxa"/>
            <w:hideMark/>
          </w:tcPr>
          <w:p w14:paraId="375ED3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بالرؤى الوطنية للتنمية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سياق تعليمي مصري، ومتغير تابع مختلف كلياً عن سلسلة القيمة التشغيلية</w:t>
            </w:r>
          </w:p>
        </w:tc>
      </w:tr>
      <w:tr w:rsidR="005C44E0" w:rsidRPr="005C44E0" w14:paraId="6BABDB61" w14:textId="77777777" w:rsidTr="005C44E0">
        <w:tc>
          <w:tcPr>
            <w:tcW w:w="654" w:type="dxa"/>
            <w:hideMark/>
          </w:tcPr>
          <w:p w14:paraId="6EDC3A8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6</w:t>
            </w:r>
          </w:p>
        </w:tc>
        <w:tc>
          <w:tcPr>
            <w:tcW w:w="993" w:type="dxa"/>
            <w:hideMark/>
          </w:tcPr>
          <w:p w14:paraId="11BD677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الصفار</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2A36283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في تحسين جودة الخدمات في شركة الاتصالات السعودية</w:t>
            </w:r>
          </w:p>
        </w:tc>
        <w:tc>
          <w:tcPr>
            <w:tcW w:w="1018" w:type="dxa"/>
            <w:hideMark/>
          </w:tcPr>
          <w:p w14:paraId="7AB117A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دور الذكاء الاصطناعي في جودة الخدمات</w:t>
            </w:r>
          </w:p>
        </w:tc>
        <w:tc>
          <w:tcPr>
            <w:tcW w:w="1086" w:type="dxa"/>
            <w:hideMark/>
          </w:tcPr>
          <w:p w14:paraId="76E617F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(الوكلاء الأذكياء)/ تابع: جودة الخدمات</w:t>
            </w:r>
          </w:p>
        </w:tc>
        <w:tc>
          <w:tcPr>
            <w:tcW w:w="1296" w:type="dxa"/>
            <w:hideMark/>
          </w:tcPr>
          <w:p w14:paraId="74317F7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 (206 عاملين)</w:t>
            </w:r>
          </w:p>
        </w:tc>
        <w:tc>
          <w:tcPr>
            <w:tcW w:w="1029" w:type="dxa"/>
            <w:hideMark/>
          </w:tcPr>
          <w:p w14:paraId="29F50A3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ذو دلالة إحصائية للذكاء الاصطناعي مجتمعة على جودة الخدمات</w:t>
            </w:r>
          </w:p>
        </w:tc>
        <w:tc>
          <w:tcPr>
            <w:tcW w:w="1153" w:type="dxa"/>
            <w:hideMark/>
          </w:tcPr>
          <w:p w14:paraId="3895F38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السياق السعودي</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الاتصالات الخاص، ومتغير تابع (جودة الخدمة) مختلف عن سلسلة القيمة التشغيلية</w:t>
            </w:r>
          </w:p>
        </w:tc>
      </w:tr>
      <w:tr w:rsidR="005C44E0" w:rsidRPr="005C44E0" w14:paraId="45E6A5A9" w14:textId="77777777" w:rsidTr="005C44E0">
        <w:tc>
          <w:tcPr>
            <w:tcW w:w="654" w:type="dxa"/>
            <w:hideMark/>
          </w:tcPr>
          <w:p w14:paraId="3B0BFC9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المجموعة الثانية: دراسات سلسلة القيمة التشغيلية</w:t>
            </w:r>
          </w:p>
        </w:tc>
        <w:tc>
          <w:tcPr>
            <w:tcW w:w="993" w:type="dxa"/>
            <w:hideMark/>
          </w:tcPr>
          <w:p w14:paraId="55E528E8"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535F2B2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0506DC46"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733D14E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09572FC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70D144CD"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2749664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27E4C0A1" w14:textId="77777777" w:rsidTr="005C44E0">
        <w:tc>
          <w:tcPr>
            <w:tcW w:w="654" w:type="dxa"/>
            <w:hideMark/>
          </w:tcPr>
          <w:p w14:paraId="3C6E30B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7</w:t>
            </w:r>
          </w:p>
        </w:tc>
        <w:tc>
          <w:tcPr>
            <w:tcW w:w="993" w:type="dxa"/>
            <w:hideMark/>
          </w:tcPr>
          <w:p w14:paraId="6A50B58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جاد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3550C0F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قياس أثر المفاضلة المعيارية على سلاسل القيمة في شركات التحف بالقاهرة</w:t>
            </w:r>
          </w:p>
        </w:tc>
        <w:tc>
          <w:tcPr>
            <w:tcW w:w="1018" w:type="dxa"/>
            <w:hideMark/>
          </w:tcPr>
          <w:p w14:paraId="760814D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توضيح أثر المفاضلة المعيارية على تحسين سلاسل القيمة</w:t>
            </w:r>
          </w:p>
        </w:tc>
        <w:tc>
          <w:tcPr>
            <w:tcW w:w="1086" w:type="dxa"/>
            <w:hideMark/>
          </w:tcPr>
          <w:p w14:paraId="2F14EDD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المفاضلة المعيارية/ تابع: سلاسل القيمة</w:t>
            </w:r>
          </w:p>
        </w:tc>
        <w:tc>
          <w:tcPr>
            <w:tcW w:w="1296" w:type="dxa"/>
            <w:hideMark/>
          </w:tcPr>
          <w:p w14:paraId="50F4909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w:t>
            </w:r>
          </w:p>
        </w:tc>
        <w:tc>
          <w:tcPr>
            <w:tcW w:w="1029" w:type="dxa"/>
            <w:hideMark/>
          </w:tcPr>
          <w:p w14:paraId="515BE1F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طردية بين استخدام المفاضلة المعيارية وتحسين سلاسل القيمة</w:t>
            </w:r>
          </w:p>
        </w:tc>
        <w:tc>
          <w:tcPr>
            <w:tcW w:w="1153" w:type="dxa"/>
            <w:hideMark/>
          </w:tcPr>
          <w:p w14:paraId="4CF9D81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كمتغير تابع</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المتغير المستقل مختلف (المفاضلة المعيارية بدل الذكاء الاصطناعي)، والسياق صناعي مصري</w:t>
            </w:r>
          </w:p>
        </w:tc>
      </w:tr>
      <w:tr w:rsidR="005C44E0" w:rsidRPr="005C44E0" w14:paraId="020EBEC0" w14:textId="77777777" w:rsidTr="005C44E0">
        <w:tc>
          <w:tcPr>
            <w:tcW w:w="654" w:type="dxa"/>
            <w:hideMark/>
          </w:tcPr>
          <w:p w14:paraId="0DBEB02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8</w:t>
            </w:r>
          </w:p>
        </w:tc>
        <w:tc>
          <w:tcPr>
            <w:tcW w:w="993" w:type="dxa"/>
            <w:hideMark/>
          </w:tcPr>
          <w:p w14:paraId="67780BC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غدير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03689BB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تأثير نظام معالجة المعاملات على الكفاءة التشغيلية في سوق الهال باللاذقية</w:t>
            </w:r>
          </w:p>
        </w:tc>
        <w:tc>
          <w:tcPr>
            <w:tcW w:w="1018" w:type="dxa"/>
            <w:hideMark/>
          </w:tcPr>
          <w:p w14:paraId="5F29E3A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بيان تأثير نظام معالجة المعاملات على الكفاءة التشغيلية</w:t>
            </w:r>
          </w:p>
        </w:tc>
        <w:tc>
          <w:tcPr>
            <w:tcW w:w="1086" w:type="dxa"/>
            <w:hideMark/>
          </w:tcPr>
          <w:p w14:paraId="650FCF1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نظام معالجة المعاملات/ تابع: الكفاءة التشغيلية</w:t>
            </w:r>
          </w:p>
        </w:tc>
        <w:tc>
          <w:tcPr>
            <w:tcW w:w="1296" w:type="dxa"/>
            <w:hideMark/>
          </w:tcPr>
          <w:p w14:paraId="2A8899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w:t>
            </w:r>
          </w:p>
        </w:tc>
        <w:tc>
          <w:tcPr>
            <w:tcW w:w="1029" w:type="dxa"/>
            <w:hideMark/>
          </w:tcPr>
          <w:p w14:paraId="557565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معنوية بين نظم معالجة المعاملات والكفاءة التشغيلية (ر = 0.648)</w:t>
            </w:r>
          </w:p>
        </w:tc>
        <w:tc>
          <w:tcPr>
            <w:tcW w:w="1153" w:type="dxa"/>
            <w:hideMark/>
          </w:tcPr>
          <w:p w14:paraId="13C184C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الكفاءة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متغير مستقل تقليدي (نظم معلومات) وليس ذكاءً اصطناعياً، والسياق تجاري سوري</w:t>
            </w:r>
          </w:p>
        </w:tc>
      </w:tr>
      <w:tr w:rsidR="005C44E0" w:rsidRPr="005C44E0" w14:paraId="7FCCEDC1" w14:textId="77777777" w:rsidTr="005C44E0">
        <w:tc>
          <w:tcPr>
            <w:tcW w:w="654" w:type="dxa"/>
            <w:hideMark/>
          </w:tcPr>
          <w:p w14:paraId="0AB88F0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9</w:t>
            </w:r>
          </w:p>
        </w:tc>
        <w:tc>
          <w:tcPr>
            <w:tcW w:w="993" w:type="dxa"/>
            <w:hideMark/>
          </w:tcPr>
          <w:p w14:paraId="65542A7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Mboyo et al. (2025)</w:t>
            </w:r>
          </w:p>
        </w:tc>
        <w:tc>
          <w:tcPr>
            <w:tcW w:w="1787" w:type="dxa"/>
            <w:hideMark/>
          </w:tcPr>
          <w:p w14:paraId="68EDA15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توزيع تكاليف التشغيل على طول سلسلة القيمة في منجم نحاس سطحي</w:t>
            </w:r>
          </w:p>
        </w:tc>
        <w:tc>
          <w:tcPr>
            <w:tcW w:w="1018" w:type="dxa"/>
            <w:hideMark/>
          </w:tcPr>
          <w:p w14:paraId="7F533EC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تحليل تكاليف التشغيل عبر حلقات سلسلة القيمة</w:t>
            </w:r>
          </w:p>
        </w:tc>
        <w:tc>
          <w:tcPr>
            <w:tcW w:w="1086" w:type="dxa"/>
            <w:hideMark/>
          </w:tcPr>
          <w:p w14:paraId="379D21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التوزيع التكاليفي على حلقات السلسلة</w:t>
            </w:r>
          </w:p>
        </w:tc>
        <w:tc>
          <w:tcPr>
            <w:tcW w:w="1296" w:type="dxa"/>
            <w:hideMark/>
          </w:tcPr>
          <w:p w14:paraId="220DB78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تحليل تكاليف – قياسات تشغيلية فعلية</w:t>
            </w:r>
          </w:p>
        </w:tc>
        <w:tc>
          <w:tcPr>
            <w:tcW w:w="1029" w:type="dxa"/>
            <w:hideMark/>
          </w:tcPr>
          <w:p w14:paraId="034762A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التمزيق والطحن يمثلان 70% من إجمالي التكاليف</w:t>
            </w:r>
          </w:p>
        </w:tc>
        <w:tc>
          <w:tcPr>
            <w:tcW w:w="1153" w:type="dxa"/>
            <w:hideMark/>
          </w:tcPr>
          <w:p w14:paraId="64A096F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المنهج التحليلي لسلسلة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تعديني، ومنهج تكاليفي بحت، دون تناول الذكاء الاصطناعي</w:t>
            </w:r>
          </w:p>
        </w:tc>
      </w:tr>
      <w:tr w:rsidR="005C44E0" w:rsidRPr="005C44E0" w14:paraId="04A64274" w14:textId="77777777" w:rsidTr="005C44E0">
        <w:tc>
          <w:tcPr>
            <w:tcW w:w="654" w:type="dxa"/>
            <w:hideMark/>
          </w:tcPr>
          <w:p w14:paraId="73C9FC6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10</w:t>
            </w:r>
          </w:p>
        </w:tc>
        <w:tc>
          <w:tcPr>
            <w:tcW w:w="993" w:type="dxa"/>
            <w:hideMark/>
          </w:tcPr>
          <w:p w14:paraId="26E4B57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Naas &amp; Berass (2024)</w:t>
            </w:r>
          </w:p>
        </w:tc>
        <w:tc>
          <w:tcPr>
            <w:tcW w:w="1787" w:type="dxa"/>
            <w:hideMark/>
          </w:tcPr>
          <w:p w14:paraId="2F134D8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تحسين سلسلة القيمة من خلال الرقابة الإدارية في مؤسسة عامة</w:t>
            </w:r>
          </w:p>
        </w:tc>
        <w:tc>
          <w:tcPr>
            <w:tcW w:w="1018" w:type="dxa"/>
            <w:hideMark/>
          </w:tcPr>
          <w:p w14:paraId="129335E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دور الرقابة الإدارية في تحسين سلسلة القيمة</w:t>
            </w:r>
          </w:p>
        </w:tc>
        <w:tc>
          <w:tcPr>
            <w:tcW w:w="1086" w:type="dxa"/>
            <w:hideMark/>
          </w:tcPr>
          <w:p w14:paraId="348889C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الرقابة الإدارية/ تابع: سلسلة القيمة</w:t>
            </w:r>
          </w:p>
        </w:tc>
        <w:tc>
          <w:tcPr>
            <w:tcW w:w="1296" w:type="dxa"/>
            <w:hideMark/>
          </w:tcPr>
          <w:p w14:paraId="751B935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دراسة حالة</w:t>
            </w:r>
          </w:p>
        </w:tc>
        <w:tc>
          <w:tcPr>
            <w:tcW w:w="1029" w:type="dxa"/>
            <w:hideMark/>
          </w:tcPr>
          <w:p w14:paraId="3DEFE22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الرقابة الإدارية تُمكّن من قرارات مبنية على البيانات وتعزز القدرة التنافسية</w:t>
            </w:r>
          </w:p>
        </w:tc>
        <w:tc>
          <w:tcPr>
            <w:tcW w:w="1153" w:type="dxa"/>
            <w:hideMark/>
          </w:tcPr>
          <w:p w14:paraId="36C37D2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في مؤسسة عامة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متغير مستقل مختلف (رقابة إدارية بدل ذكاء اصطناعي)، ومنهج نوعي (دراسة حالة)</w:t>
            </w:r>
          </w:p>
        </w:tc>
      </w:tr>
      <w:tr w:rsidR="005C44E0" w:rsidRPr="005C44E0" w14:paraId="0DDB6478" w14:textId="77777777" w:rsidTr="005C44E0">
        <w:tc>
          <w:tcPr>
            <w:tcW w:w="654" w:type="dxa"/>
            <w:hideMark/>
          </w:tcPr>
          <w:p w14:paraId="79500F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11</w:t>
            </w:r>
          </w:p>
        </w:tc>
        <w:tc>
          <w:tcPr>
            <w:tcW w:w="993" w:type="dxa"/>
            <w:hideMark/>
          </w:tcPr>
          <w:p w14:paraId="0F6E325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Tyapukhin (2023)</w:t>
            </w:r>
          </w:p>
        </w:tc>
        <w:tc>
          <w:tcPr>
            <w:tcW w:w="1787" w:type="dxa"/>
            <w:hideMark/>
          </w:tcPr>
          <w:p w14:paraId="118DA22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مفهوم إدارة سلسلة القيمة</w:t>
            </w:r>
          </w:p>
        </w:tc>
        <w:tc>
          <w:tcPr>
            <w:tcW w:w="1018" w:type="dxa"/>
            <w:hideMark/>
          </w:tcPr>
          <w:p w14:paraId="0192594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تطوير إطار متكامل لإدارة السلاسل</w:t>
            </w:r>
          </w:p>
        </w:tc>
        <w:tc>
          <w:tcPr>
            <w:tcW w:w="1086" w:type="dxa"/>
            <w:hideMark/>
          </w:tcPr>
          <w:p w14:paraId="6677F1F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إطار مفاهيمي لأنواع السلاسل</w:t>
            </w:r>
          </w:p>
        </w:tc>
        <w:tc>
          <w:tcPr>
            <w:tcW w:w="1296" w:type="dxa"/>
            <w:hideMark/>
          </w:tcPr>
          <w:p w14:paraId="2289EC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مصفوفات ثنائية</w:t>
            </w:r>
          </w:p>
        </w:tc>
        <w:tc>
          <w:tcPr>
            <w:tcW w:w="1029" w:type="dxa"/>
            <w:hideMark/>
          </w:tcPr>
          <w:p w14:paraId="204179D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تصنيفات جديدة وهيكل متكامل لمفهوم إدارة السلاسل</w:t>
            </w:r>
          </w:p>
        </w:tc>
        <w:tc>
          <w:tcPr>
            <w:tcW w:w="1153" w:type="dxa"/>
            <w:hideMark/>
          </w:tcPr>
          <w:p w14:paraId="0AEBA9B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الأساس المفاهيمي لسلسلة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دراسة نظرية مفاهيمية دون تطبيق ميداني، ودون ربط بالذكاء الاصطناعي</w:t>
            </w:r>
          </w:p>
        </w:tc>
      </w:tr>
      <w:tr w:rsidR="005C44E0" w:rsidRPr="005C44E0" w14:paraId="4A9B995C" w14:textId="77777777" w:rsidTr="005C44E0">
        <w:tc>
          <w:tcPr>
            <w:tcW w:w="654" w:type="dxa"/>
            <w:hideMark/>
          </w:tcPr>
          <w:p w14:paraId="34AA1AE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12</w:t>
            </w:r>
          </w:p>
        </w:tc>
        <w:tc>
          <w:tcPr>
            <w:tcW w:w="993" w:type="dxa"/>
            <w:hideMark/>
          </w:tcPr>
          <w:p w14:paraId="7CD6B21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Fan et al. (2021)</w:t>
            </w:r>
          </w:p>
        </w:tc>
        <w:tc>
          <w:tcPr>
            <w:tcW w:w="1787" w:type="dxa"/>
            <w:hideMark/>
          </w:tcPr>
          <w:p w14:paraId="537AC93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التحليل التنافسي لنمط تشغيل سلسلة القيمة في الاقتصاد الأخضر</w:t>
            </w:r>
          </w:p>
        </w:tc>
        <w:tc>
          <w:tcPr>
            <w:tcW w:w="1018" w:type="dxa"/>
            <w:hideMark/>
          </w:tcPr>
          <w:p w14:paraId="2886FB8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نموذج التشغيل على الأداء التسويقي</w:t>
            </w:r>
          </w:p>
        </w:tc>
        <w:tc>
          <w:tcPr>
            <w:tcW w:w="1086" w:type="dxa"/>
            <w:hideMark/>
          </w:tcPr>
          <w:p w14:paraId="5D6B759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نموذج تشغيل سلسلة القيمة/ الأداء التسويقي</w:t>
            </w:r>
          </w:p>
        </w:tc>
        <w:tc>
          <w:tcPr>
            <w:tcW w:w="1296" w:type="dxa"/>
            <w:hideMark/>
          </w:tcPr>
          <w:p w14:paraId="7E8B8AC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 نماذج محاكاة اقتصادية</w:t>
            </w:r>
            <w:r w:rsidRPr="005C44E0">
              <w:rPr>
                <w:rFonts w:ascii="Simplified Arabic" w:eastAsia="Times New Roman" w:hAnsi="Simplified Arabic" w:cs="Simplified Arabic" w:hint="cs"/>
                <w:kern w:val="0"/>
                <w:sz w:val="22"/>
                <w:szCs w:val="22"/>
                <w14:ligatures w14:val="none"/>
              </w:rPr>
              <w:t xml:space="preserve"> (Cournot &amp; Stackelberg)</w:t>
            </w:r>
          </w:p>
        </w:tc>
        <w:tc>
          <w:tcPr>
            <w:tcW w:w="1029" w:type="dxa"/>
            <w:hideMark/>
          </w:tcPr>
          <w:p w14:paraId="4A58F65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تحويل النمط للاقتصاد الأخضر يزيد نمو الدخل بنسبة 9.03</w:t>
            </w:r>
            <w:r w:rsidRPr="005C44E0">
              <w:rPr>
                <w:rFonts w:ascii="Simplified Arabic" w:eastAsia="Times New Roman" w:hAnsi="Simplified Arabic" w:cs="Simplified Arabic" w:hint="cs"/>
                <w:kern w:val="0"/>
                <w:sz w:val="22"/>
                <w:szCs w:val="22"/>
                <w14:ligatures w14:val="none"/>
              </w:rPr>
              <w:t>%</w:t>
            </w:r>
          </w:p>
        </w:tc>
        <w:tc>
          <w:tcPr>
            <w:tcW w:w="1153" w:type="dxa"/>
            <w:hideMark/>
          </w:tcPr>
          <w:p w14:paraId="51EEA0C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منهج محاكاة اقتصادية، وسياق الاقتصاد الأخضر، دون تناول الذكاء الاصطناعي</w:t>
            </w:r>
          </w:p>
        </w:tc>
      </w:tr>
      <w:tr w:rsidR="005C44E0" w:rsidRPr="005C44E0" w14:paraId="3DC4D994" w14:textId="77777777" w:rsidTr="005C44E0">
        <w:tc>
          <w:tcPr>
            <w:tcW w:w="654" w:type="dxa"/>
            <w:hideMark/>
          </w:tcPr>
          <w:p w14:paraId="4E5743C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المجموعة الثالثة: دراسات الذكاء الاصطناعي وسلسلة القيمة معاً</w:t>
            </w:r>
          </w:p>
        </w:tc>
        <w:tc>
          <w:tcPr>
            <w:tcW w:w="993" w:type="dxa"/>
            <w:hideMark/>
          </w:tcPr>
          <w:p w14:paraId="04D0E019"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5C31E3A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00F6EC2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1BCDC13A"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3F7A7EA0"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59589A1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371BBA3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505BD70C" w14:textId="77777777" w:rsidTr="005C44E0">
        <w:tc>
          <w:tcPr>
            <w:tcW w:w="654" w:type="dxa"/>
            <w:hideMark/>
          </w:tcPr>
          <w:p w14:paraId="43DBE2A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13</w:t>
            </w:r>
          </w:p>
        </w:tc>
        <w:tc>
          <w:tcPr>
            <w:tcW w:w="993" w:type="dxa"/>
            <w:hideMark/>
          </w:tcPr>
          <w:p w14:paraId="6593CD8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Yusuf et al. (2025)</w:t>
            </w:r>
          </w:p>
        </w:tc>
        <w:tc>
          <w:tcPr>
            <w:tcW w:w="1787" w:type="dxa"/>
            <w:hideMark/>
          </w:tcPr>
          <w:p w14:paraId="723FB2B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عمليات سلسلة الإمداد</w:t>
            </w:r>
          </w:p>
        </w:tc>
        <w:tc>
          <w:tcPr>
            <w:tcW w:w="1018" w:type="dxa"/>
            <w:hideMark/>
          </w:tcPr>
          <w:p w14:paraId="10B8030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مقارنة العمليات التقليدية بالمعتمدة على الذكاء الاصطناعي</w:t>
            </w:r>
          </w:p>
        </w:tc>
        <w:tc>
          <w:tcPr>
            <w:tcW w:w="1086" w:type="dxa"/>
            <w:hideMark/>
          </w:tcPr>
          <w:p w14:paraId="7E59EB3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الإمداد</w:t>
            </w:r>
          </w:p>
        </w:tc>
        <w:tc>
          <w:tcPr>
            <w:tcW w:w="1296" w:type="dxa"/>
            <w:hideMark/>
          </w:tcPr>
          <w:p w14:paraId="5AA10FC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مقارنة تحليلية</w:t>
            </w:r>
          </w:p>
        </w:tc>
        <w:tc>
          <w:tcPr>
            <w:tcW w:w="1029" w:type="dxa"/>
            <w:hideMark/>
          </w:tcPr>
          <w:p w14:paraId="6FE7B9C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تحسن دقة التنبؤ بالطلب 20-30% وانخفاض الاضطرابات 25-40</w:t>
            </w:r>
            <w:r w:rsidRPr="005C44E0">
              <w:rPr>
                <w:rFonts w:ascii="Simplified Arabic" w:eastAsia="Times New Roman" w:hAnsi="Simplified Arabic" w:cs="Simplified Arabic" w:hint="cs"/>
                <w:kern w:val="0"/>
                <w:sz w:val="22"/>
                <w:szCs w:val="22"/>
                <w14:ligatures w14:val="none"/>
              </w:rPr>
              <w:t>%</w:t>
            </w:r>
          </w:p>
        </w:tc>
        <w:tc>
          <w:tcPr>
            <w:tcW w:w="1153" w:type="dxa"/>
            <w:hideMark/>
          </w:tcPr>
          <w:p w14:paraId="27CF221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الذكاء الاصطناعي وسلسلة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سلسلة إمداد صناعية عالمية، أما الحالية فسلسلة قيمة تشغيلية حكومية سعودية</w:t>
            </w:r>
          </w:p>
        </w:tc>
      </w:tr>
      <w:tr w:rsidR="005C44E0" w:rsidRPr="005C44E0" w14:paraId="5879F41E" w14:textId="77777777" w:rsidTr="005C44E0">
        <w:tc>
          <w:tcPr>
            <w:tcW w:w="654" w:type="dxa"/>
            <w:hideMark/>
          </w:tcPr>
          <w:p w14:paraId="6E55C98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14</w:t>
            </w:r>
          </w:p>
        </w:tc>
        <w:tc>
          <w:tcPr>
            <w:tcW w:w="993" w:type="dxa"/>
            <w:hideMark/>
          </w:tcPr>
          <w:p w14:paraId="6C20A4D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Pokamestov &amp; Nikitin (2024)</w:t>
            </w:r>
          </w:p>
        </w:tc>
        <w:tc>
          <w:tcPr>
            <w:tcW w:w="1787" w:type="dxa"/>
            <w:hideMark/>
          </w:tcPr>
          <w:p w14:paraId="3B60CED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تقنيات الذكاء الاصطناعي كأداة لتحويل سلاسل القيمة في البنوك التجارية الروسية</w:t>
            </w:r>
          </w:p>
        </w:tc>
        <w:tc>
          <w:tcPr>
            <w:tcW w:w="1018" w:type="dxa"/>
            <w:hideMark/>
          </w:tcPr>
          <w:p w14:paraId="0BEC800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إمكانية تطبيق الذكاء الاصطناعي في سلاسل القيمة المصرفية</w:t>
            </w:r>
          </w:p>
        </w:tc>
        <w:tc>
          <w:tcPr>
            <w:tcW w:w="1086" w:type="dxa"/>
            <w:hideMark/>
          </w:tcPr>
          <w:p w14:paraId="0AF93A0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القيمة المصرفية</w:t>
            </w:r>
          </w:p>
        </w:tc>
        <w:tc>
          <w:tcPr>
            <w:tcW w:w="1296" w:type="dxa"/>
            <w:hideMark/>
          </w:tcPr>
          <w:p w14:paraId="163501E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تحليل حالات واقعية</w:t>
            </w:r>
          </w:p>
        </w:tc>
        <w:tc>
          <w:tcPr>
            <w:tcW w:w="1029" w:type="dxa"/>
            <w:hideMark/>
          </w:tcPr>
          <w:p w14:paraId="0A97CEF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نماذج الذكاء الاصطناعي تُشكّل عملية دعم مستقلة ترفع كفاءة الأنشطة الأساسية</w:t>
            </w:r>
          </w:p>
        </w:tc>
        <w:tc>
          <w:tcPr>
            <w:tcW w:w="1153" w:type="dxa"/>
            <w:hideMark/>
          </w:tcPr>
          <w:p w14:paraId="7CEAD85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مصرفي روسي، ومنهج تحليل حالات، أما الحالية فقطاع حكومي سعودي بمنهج كمي</w:t>
            </w:r>
          </w:p>
        </w:tc>
      </w:tr>
      <w:tr w:rsidR="005C44E0" w:rsidRPr="005C44E0" w14:paraId="449037C0" w14:textId="77777777" w:rsidTr="005C44E0">
        <w:tc>
          <w:tcPr>
            <w:tcW w:w="654" w:type="dxa"/>
            <w:hideMark/>
          </w:tcPr>
          <w:p w14:paraId="5997086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15</w:t>
            </w:r>
          </w:p>
        </w:tc>
        <w:tc>
          <w:tcPr>
            <w:tcW w:w="993" w:type="dxa"/>
            <w:hideMark/>
          </w:tcPr>
          <w:p w14:paraId="122B1C2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Faisal (2025)</w:t>
            </w:r>
          </w:p>
        </w:tc>
        <w:tc>
          <w:tcPr>
            <w:tcW w:w="1787" w:type="dxa"/>
            <w:hideMark/>
          </w:tcPr>
          <w:p w14:paraId="1AE40D3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سلاسل الإمداد والمالية</w:t>
            </w:r>
          </w:p>
        </w:tc>
        <w:tc>
          <w:tcPr>
            <w:tcW w:w="1018" w:type="dxa"/>
            <w:hideMark/>
          </w:tcPr>
          <w:p w14:paraId="39DBB2E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تحديد أثر الذكاء الاصطناعي على الكفاءة وإدارة المخاطر</w:t>
            </w:r>
          </w:p>
        </w:tc>
        <w:tc>
          <w:tcPr>
            <w:tcW w:w="1086" w:type="dxa"/>
            <w:hideMark/>
          </w:tcPr>
          <w:p w14:paraId="3C6BED9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الكفاءة التشغيلية وإدارة المخاطر</w:t>
            </w:r>
          </w:p>
        </w:tc>
        <w:tc>
          <w:tcPr>
            <w:tcW w:w="1296" w:type="dxa"/>
            <w:hideMark/>
          </w:tcPr>
          <w:p w14:paraId="1385816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كمي – نموذج معادلات هيكلية</w:t>
            </w:r>
            <w:r w:rsidRPr="005C44E0">
              <w:rPr>
                <w:rFonts w:ascii="Simplified Arabic" w:eastAsia="Times New Roman" w:hAnsi="Simplified Arabic" w:cs="Simplified Arabic" w:hint="cs"/>
                <w:kern w:val="0"/>
                <w:sz w:val="22"/>
                <w:szCs w:val="22"/>
                <w14:ligatures w14:val="none"/>
              </w:rPr>
              <w:t xml:space="preserve"> (SmartPLS) – 736 </w:t>
            </w:r>
            <w:r w:rsidRPr="005C44E0">
              <w:rPr>
                <w:rFonts w:ascii="Simplified Arabic" w:eastAsia="Times New Roman" w:hAnsi="Simplified Arabic" w:cs="Simplified Arabic" w:hint="cs"/>
                <w:kern w:val="0"/>
                <w:sz w:val="22"/>
                <w:szCs w:val="22"/>
                <w:rtl/>
                <w14:ligatures w14:val="none"/>
              </w:rPr>
              <w:t>مفردة</w:t>
            </w:r>
          </w:p>
        </w:tc>
        <w:tc>
          <w:tcPr>
            <w:tcW w:w="1029" w:type="dxa"/>
            <w:hideMark/>
          </w:tcPr>
          <w:p w14:paraId="03C15EC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علاقات دالة بين دمج الذكاء الاصطناعي وتحسين الكفاءة التشغيلية</w:t>
            </w:r>
          </w:p>
        </w:tc>
        <w:tc>
          <w:tcPr>
            <w:tcW w:w="1153" w:type="dxa"/>
            <w:hideMark/>
          </w:tcPr>
          <w:p w14:paraId="2C5E9BE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المنهج الكمي والربط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سياق هندي في قطاع خاص، أما الحالية فسياق حكومي سعودي</w:t>
            </w:r>
          </w:p>
        </w:tc>
      </w:tr>
      <w:tr w:rsidR="005C44E0" w:rsidRPr="005C44E0" w14:paraId="52672862" w14:textId="77777777" w:rsidTr="005C44E0">
        <w:tc>
          <w:tcPr>
            <w:tcW w:w="654" w:type="dxa"/>
            <w:hideMark/>
          </w:tcPr>
          <w:p w14:paraId="6BB78F1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16</w:t>
            </w:r>
          </w:p>
        </w:tc>
        <w:tc>
          <w:tcPr>
            <w:tcW w:w="993" w:type="dxa"/>
            <w:hideMark/>
          </w:tcPr>
          <w:p w14:paraId="7BFA985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Nathany (2022)</w:t>
            </w:r>
          </w:p>
        </w:tc>
        <w:tc>
          <w:tcPr>
            <w:tcW w:w="1787" w:type="dxa"/>
            <w:hideMark/>
          </w:tcPr>
          <w:p w14:paraId="57B21F3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سلسلة الإمداد</w:t>
            </w:r>
          </w:p>
        </w:tc>
        <w:tc>
          <w:tcPr>
            <w:tcW w:w="1018" w:type="dxa"/>
            <w:hideMark/>
          </w:tcPr>
          <w:p w14:paraId="676529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تطبيقات الذكاء الاصطناعي في سلاسل الإمداد</w:t>
            </w:r>
          </w:p>
        </w:tc>
        <w:tc>
          <w:tcPr>
            <w:tcW w:w="1086" w:type="dxa"/>
            <w:hideMark/>
          </w:tcPr>
          <w:p w14:paraId="2EF4D74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الإمداد</w:t>
            </w:r>
          </w:p>
        </w:tc>
        <w:tc>
          <w:tcPr>
            <w:tcW w:w="1296" w:type="dxa"/>
            <w:hideMark/>
          </w:tcPr>
          <w:p w14:paraId="01F3B43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مراجعة منهجية للأدبيات</w:t>
            </w:r>
          </w:p>
        </w:tc>
        <w:tc>
          <w:tcPr>
            <w:tcW w:w="1029" w:type="dxa"/>
            <w:hideMark/>
          </w:tcPr>
          <w:p w14:paraId="7D5520E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يعزز كفاءة العمليات ودقة التنبؤ وإدارة المخزون</w:t>
            </w:r>
          </w:p>
        </w:tc>
        <w:tc>
          <w:tcPr>
            <w:tcW w:w="1153" w:type="dxa"/>
            <w:hideMark/>
          </w:tcPr>
          <w:p w14:paraId="45DD35D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دراسة مكتبية وليست ميدانية، وسياق سلاسل إمداد صناعية</w:t>
            </w:r>
          </w:p>
        </w:tc>
      </w:tr>
      <w:tr w:rsidR="005C44E0" w:rsidRPr="005C44E0" w14:paraId="5C09D6CE" w14:textId="77777777" w:rsidTr="005C44E0">
        <w:tc>
          <w:tcPr>
            <w:tcW w:w="654" w:type="dxa"/>
            <w:hideMark/>
          </w:tcPr>
          <w:p w14:paraId="5A85290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17</w:t>
            </w:r>
          </w:p>
        </w:tc>
        <w:tc>
          <w:tcPr>
            <w:tcW w:w="993" w:type="dxa"/>
            <w:hideMark/>
          </w:tcPr>
          <w:p w14:paraId="418464F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Kumar et al. (2024)</w:t>
            </w:r>
          </w:p>
        </w:tc>
        <w:tc>
          <w:tcPr>
            <w:tcW w:w="1787" w:type="dxa"/>
            <w:hideMark/>
          </w:tcPr>
          <w:p w14:paraId="0F22F72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إدارة العمليات</w:t>
            </w:r>
          </w:p>
        </w:tc>
        <w:tc>
          <w:tcPr>
            <w:tcW w:w="1018" w:type="dxa"/>
            <w:hideMark/>
          </w:tcPr>
          <w:p w14:paraId="4B708AA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مقارنة خوارزميات التعلم الآلي بالأساليب التقليدية في التنبؤ</w:t>
            </w:r>
          </w:p>
        </w:tc>
        <w:tc>
          <w:tcPr>
            <w:tcW w:w="1086" w:type="dxa"/>
            <w:hideMark/>
          </w:tcPr>
          <w:p w14:paraId="3785043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خوارزميات التعلم الآلي/ تابع: التنبؤ بالطلب</w:t>
            </w:r>
          </w:p>
        </w:tc>
        <w:tc>
          <w:tcPr>
            <w:tcW w:w="1296" w:type="dxa"/>
            <w:hideMark/>
          </w:tcPr>
          <w:p w14:paraId="04FE6A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مقارنة كمية بين خوارزميات</w:t>
            </w:r>
          </w:p>
        </w:tc>
        <w:tc>
          <w:tcPr>
            <w:tcW w:w="1029" w:type="dxa"/>
            <w:hideMark/>
          </w:tcPr>
          <w:p w14:paraId="2F3AFCF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تفوق نماذج التعلم الآلي في دقة التنبؤ على الأساليب التقليدية</w:t>
            </w:r>
          </w:p>
        </w:tc>
        <w:tc>
          <w:tcPr>
            <w:tcW w:w="1153" w:type="dxa"/>
            <w:hideMark/>
          </w:tcPr>
          <w:p w14:paraId="0506417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استخدام الذكاء الاصطناعي في العمليات</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تركيز على التنبؤ بالطلب في قطاع السيارات الهندي، دون تناول شامل لسلسلة القيمة</w:t>
            </w:r>
          </w:p>
        </w:tc>
      </w:tr>
      <w:tr w:rsidR="005C44E0" w:rsidRPr="005C44E0" w14:paraId="0C130EA5" w14:textId="77777777" w:rsidTr="005C44E0">
        <w:tc>
          <w:tcPr>
            <w:tcW w:w="654" w:type="dxa"/>
            <w:hideMark/>
          </w:tcPr>
          <w:p w14:paraId="00828A9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18</w:t>
            </w:r>
          </w:p>
        </w:tc>
        <w:tc>
          <w:tcPr>
            <w:tcW w:w="993" w:type="dxa"/>
            <w:hideMark/>
          </w:tcPr>
          <w:p w14:paraId="2B0C3A1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Thenmozhi &amp; Krisknakumari (2024)</w:t>
            </w:r>
          </w:p>
        </w:tc>
        <w:tc>
          <w:tcPr>
            <w:tcW w:w="1787" w:type="dxa"/>
            <w:hideMark/>
          </w:tcPr>
          <w:p w14:paraId="0F1E7AA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تعزيز الكفاءة التشغيلية في اللوجستيات</w:t>
            </w:r>
          </w:p>
        </w:tc>
        <w:tc>
          <w:tcPr>
            <w:tcW w:w="1018" w:type="dxa"/>
            <w:hideMark/>
          </w:tcPr>
          <w:p w14:paraId="1F53166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الذكاء الاصطناعي في الكفاءة التشغيلية</w:t>
            </w:r>
          </w:p>
        </w:tc>
        <w:tc>
          <w:tcPr>
            <w:tcW w:w="1086" w:type="dxa"/>
            <w:hideMark/>
          </w:tcPr>
          <w:p w14:paraId="518FD13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الكفاءة التشغيلية</w:t>
            </w:r>
          </w:p>
        </w:tc>
        <w:tc>
          <w:tcPr>
            <w:tcW w:w="1296" w:type="dxa"/>
            <w:hideMark/>
          </w:tcPr>
          <w:p w14:paraId="155AE2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مراجعة أدبيات</w:t>
            </w:r>
          </w:p>
        </w:tc>
        <w:tc>
          <w:tcPr>
            <w:tcW w:w="1029" w:type="dxa"/>
            <w:hideMark/>
          </w:tcPr>
          <w:p w14:paraId="5AAFEF5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يُسهم في الأتمتة ودقة التنبؤ وتحسين تجربة العملاء</w:t>
            </w:r>
          </w:p>
        </w:tc>
        <w:tc>
          <w:tcPr>
            <w:tcW w:w="1153" w:type="dxa"/>
            <w:hideMark/>
          </w:tcPr>
          <w:p w14:paraId="2A7CAD5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الذكاء الاصطناعي والكفاءة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دراسة مكتبية دون تطبيق ميداني، وسياق لوجستي وليس حكومي</w:t>
            </w:r>
          </w:p>
        </w:tc>
      </w:tr>
    </w:tbl>
    <w:p w14:paraId="216B33AF" w14:textId="77777777" w:rsidR="005C44E0" w:rsidRPr="005C44E0" w:rsidRDefault="005C44E0" w:rsidP="00C47BC4">
      <w:pPr>
        <w:jc w:val="both"/>
        <w:rPr>
          <w:rFonts w:ascii="Simplified Arabic" w:hAnsi="Simplified Arabic" w:cs="Simplified Arabic"/>
          <w:sz w:val="28"/>
          <w:szCs w:val="28"/>
          <w:rtl/>
          <w:lang w:bidi="ar-EG"/>
        </w:rPr>
      </w:pPr>
    </w:p>
    <w:p w14:paraId="490CFE6D" w14:textId="77777777" w:rsidR="005C44E0" w:rsidRDefault="005C44E0" w:rsidP="00C47BC4">
      <w:pPr>
        <w:pStyle w:val="1"/>
        <w:rPr>
          <w:rtl/>
        </w:rPr>
      </w:pPr>
      <w:bookmarkStart w:id="17" w:name="_Toc202053530"/>
    </w:p>
    <w:p w14:paraId="3DB323A3" w14:textId="77777777" w:rsidR="005C44E0" w:rsidRDefault="005C44E0" w:rsidP="00C47BC4">
      <w:pPr>
        <w:pStyle w:val="1"/>
        <w:rPr>
          <w:rtl/>
        </w:rPr>
      </w:pPr>
    </w:p>
    <w:p w14:paraId="4ED7F9CF" w14:textId="77777777" w:rsidR="005C44E0" w:rsidRDefault="005C44E0" w:rsidP="00C47BC4">
      <w:pPr>
        <w:pStyle w:val="1"/>
        <w:rPr>
          <w:rtl/>
        </w:rPr>
      </w:pPr>
    </w:p>
    <w:p w14:paraId="7F2B00CE" w14:textId="1C6AF8D0" w:rsidR="00C47BC4" w:rsidRDefault="00C47BC4" w:rsidP="00C47BC4">
      <w:pPr>
        <w:pStyle w:val="1"/>
        <w:rPr>
          <w:rtl/>
        </w:rPr>
      </w:pPr>
      <w:r>
        <w:rPr>
          <w:rFonts w:hint="cs"/>
          <w:rtl/>
        </w:rPr>
        <w:t>الفجوة البحثية</w:t>
      </w:r>
      <w:bookmarkEnd w:id="17"/>
      <w:r>
        <w:rPr>
          <w:rFonts w:hint="cs"/>
          <w:rtl/>
        </w:rPr>
        <w:t xml:space="preserve"> </w:t>
      </w:r>
    </w:p>
    <w:p w14:paraId="2FCAD347" w14:textId="77777777" w:rsidR="00C47BC4" w:rsidRPr="00297B1D" w:rsidRDefault="00C47BC4" w:rsidP="00C47BC4">
      <w:pPr>
        <w:jc w:val="both"/>
        <w:rPr>
          <w:rFonts w:ascii="Simplified Arabic" w:hAnsi="Simplified Arabic" w:cs="Simplified Arabic"/>
          <w:sz w:val="28"/>
          <w:szCs w:val="28"/>
        </w:rPr>
      </w:pPr>
      <w:r w:rsidRPr="00297B1D">
        <w:rPr>
          <w:rFonts w:ascii="Simplified Arabic" w:hAnsi="Simplified Arabic" w:cs="Simplified Arabic"/>
          <w:sz w:val="28"/>
          <w:szCs w:val="28"/>
          <w:rtl/>
        </w:rPr>
        <w:t>تشترك العديد من الدراسات السابقة في تأكيدها على الدور المتنامي للذكاء الاصطناعي في تحسين الأداء التشغيلي والمؤسسي، كما ظهر في دراسات (المصاروة والسرحان، 2021)، (طيبي ومولاي، 2023)، (صقر وآخرون، 2024)، و</w:t>
      </w:r>
      <w:r>
        <w:rPr>
          <w:rFonts w:ascii="Simplified Arabic" w:hAnsi="Simplified Arabic" w:cs="Simplified Arabic"/>
          <w:sz w:val="28"/>
          <w:szCs w:val="28"/>
        </w:rPr>
        <w:t xml:space="preserve"> </w:t>
      </w:r>
      <w:r w:rsidRPr="00297B1D">
        <w:rPr>
          <w:rFonts w:ascii="Simplified Arabic" w:hAnsi="Simplified Arabic" w:cs="Simplified Arabic"/>
          <w:sz w:val="28"/>
          <w:szCs w:val="28"/>
        </w:rPr>
        <w:t xml:space="preserve">(Faisal, 2025). </w:t>
      </w:r>
      <w:r w:rsidRPr="00297B1D">
        <w:rPr>
          <w:rFonts w:ascii="Simplified Arabic" w:hAnsi="Simplified Arabic" w:cs="Simplified Arabic"/>
          <w:sz w:val="28"/>
          <w:szCs w:val="28"/>
          <w:rtl/>
        </w:rPr>
        <w:t>فقد بينت هذه البحوث أن تطبيقات الذكاء الاصطناعي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بأبعادها المختلفة</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تسهم في رفع كفاءة العمليات، تعزيز الابتكار، تحسين جودة الخدمات، وتقوية أنظمة اتخاذ القرار. وهذا يتّسق مع الدراسة الحالية التي تستند إلى فرضية رئيسية مفادها أن الذكاء الاصطناعي يُعد عنصرًا حاسمًا في تطوير السلاسل التشغيلية داخل المؤسسات الحكومية</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غير أنّ هذه الدراسات ركزت على قطاعات محددة مثل البنوك أو التعليم أو الصناعة أو الخدمات، ولم تتناول بشكل معمق البيئة الحكومية الكبرى وسلسلة القيمة التشغيلية فيها</w:t>
      </w:r>
      <w:r w:rsidRPr="00297B1D">
        <w:rPr>
          <w:rFonts w:ascii="Simplified Arabic" w:hAnsi="Simplified Arabic" w:cs="Simplified Arabic"/>
          <w:sz w:val="28"/>
          <w:szCs w:val="28"/>
        </w:rPr>
        <w:t>.</w:t>
      </w:r>
    </w:p>
    <w:p w14:paraId="131808C3" w14:textId="77777777" w:rsidR="00C47BC4" w:rsidRPr="00297B1D" w:rsidRDefault="00C47BC4" w:rsidP="00C47BC4">
      <w:pPr>
        <w:jc w:val="both"/>
        <w:rPr>
          <w:rFonts w:ascii="Simplified Arabic" w:hAnsi="Simplified Arabic" w:cs="Simplified Arabic"/>
          <w:sz w:val="28"/>
          <w:szCs w:val="28"/>
          <w:rtl/>
        </w:rPr>
      </w:pPr>
      <w:r w:rsidRPr="00297B1D">
        <w:rPr>
          <w:rFonts w:ascii="Simplified Arabic" w:hAnsi="Simplified Arabic" w:cs="Simplified Arabic"/>
          <w:sz w:val="28"/>
          <w:szCs w:val="28"/>
          <w:rtl/>
        </w:rPr>
        <w:t>تشير الدراسات التي تناولت سلسلة القيمة أو الكفاءة التشغيلية—مثل دراسات (جاد وآخرون، 2024)، (غدير وآخرون، 2024)، و</w:t>
      </w:r>
      <w:r w:rsidRPr="00297B1D">
        <w:rPr>
          <w:rFonts w:ascii="Simplified Arabic" w:hAnsi="Simplified Arabic" w:cs="Simplified Arabic"/>
          <w:sz w:val="28"/>
          <w:szCs w:val="28"/>
        </w:rPr>
        <w:t>(Mboyo et al., 2025)</w:t>
      </w:r>
      <w:r w:rsidRPr="00297B1D">
        <w:rPr>
          <w:rFonts w:ascii="Simplified Arabic" w:hAnsi="Simplified Arabic" w:cs="Simplified Arabic"/>
          <w:sz w:val="28"/>
          <w:szCs w:val="28"/>
          <w:rtl/>
        </w:rPr>
        <w:t xml:space="preserve"> إلى أن تحسين سلسلة القيمة هو مسار رئيسي لتطوير الأداء المؤسسي وزيادة القيمة المضافة</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وقد ركزت هذه البحوث على أدوات تحليل العمليات، أو نظم معالجة المعاملات، أو احتساب التكاليف، أو النماذج الاقتصادية. وهذا يتقاطع مع الدراسة الحالية التي تهتم أيضاً بدراسة سلسلة القيمة، إلا أن تلك الدراسات لم تربط بين سلسلة القيمة التشغيلية وابتكارات الذكاء الاصطناعي بشكل مباشر، ولم تدرس تأثير التكنولوجيا الحديثة كعامل محوري في إعادة تصميم القيمة التشغيلية</w:t>
      </w:r>
      <w:r w:rsidRPr="00297B1D">
        <w:rPr>
          <w:rFonts w:ascii="Simplified Arabic" w:hAnsi="Simplified Arabic" w:cs="Simplified Arabic"/>
          <w:sz w:val="28"/>
          <w:szCs w:val="28"/>
        </w:rPr>
        <w:t>.</w:t>
      </w:r>
    </w:p>
    <w:p w14:paraId="1C14DCA3" w14:textId="77777777" w:rsidR="00C47BC4" w:rsidRPr="00297B1D" w:rsidRDefault="00C47BC4" w:rsidP="00C47BC4">
      <w:pPr>
        <w:jc w:val="both"/>
        <w:rPr>
          <w:rFonts w:ascii="Simplified Arabic" w:hAnsi="Simplified Arabic" w:cs="Simplified Arabic"/>
          <w:sz w:val="28"/>
          <w:szCs w:val="28"/>
        </w:rPr>
      </w:pPr>
      <w:r w:rsidRPr="00297B1D">
        <w:rPr>
          <w:rFonts w:ascii="Simplified Arabic" w:hAnsi="Simplified Arabic" w:cs="Simplified Arabic"/>
          <w:sz w:val="28"/>
          <w:szCs w:val="28"/>
          <w:rtl/>
        </w:rPr>
        <w:t>على الرغم من أن بعض الدراسات دمجت الذكاء الاصطناعي في تحليل سلاسل الإمداد أو السياقات الصناعية كما في</w:t>
      </w:r>
      <w:r w:rsidRPr="00297B1D">
        <w:rPr>
          <w:rFonts w:ascii="Simplified Arabic" w:hAnsi="Simplified Arabic" w:cs="Simplified Arabic"/>
          <w:sz w:val="28"/>
          <w:szCs w:val="28"/>
        </w:rPr>
        <w:t xml:space="preserve"> (Yusuf et al., 2025)</w:t>
      </w:r>
      <w:r w:rsidRPr="00297B1D">
        <w:rPr>
          <w:rFonts w:ascii="Simplified Arabic" w:hAnsi="Simplified Arabic" w:cs="Simplified Arabic"/>
          <w:sz w:val="28"/>
          <w:szCs w:val="28"/>
          <w:rtl/>
        </w:rPr>
        <w:t xml:space="preserve">، </w:t>
      </w:r>
      <w:r w:rsidRPr="00297B1D">
        <w:rPr>
          <w:rFonts w:ascii="Simplified Arabic" w:hAnsi="Simplified Arabic" w:cs="Simplified Arabic"/>
          <w:sz w:val="28"/>
          <w:szCs w:val="28"/>
        </w:rPr>
        <w:t>(Nathany, 2022)</w:t>
      </w:r>
      <w:r w:rsidRPr="00297B1D">
        <w:rPr>
          <w:rFonts w:ascii="Simplified Arabic" w:hAnsi="Simplified Arabic" w:cs="Simplified Arabic"/>
          <w:sz w:val="28"/>
          <w:szCs w:val="28"/>
          <w:rtl/>
        </w:rPr>
        <w:t>، و</w:t>
      </w:r>
      <w:r w:rsidRPr="00297B1D">
        <w:rPr>
          <w:rFonts w:ascii="Simplified Arabic" w:hAnsi="Simplified Arabic" w:cs="Simplified Arabic"/>
          <w:sz w:val="28"/>
          <w:szCs w:val="28"/>
        </w:rPr>
        <w:t>(Pokamestov &amp; Nikitin, 2024)</w:t>
      </w:r>
      <w:r w:rsidRPr="00297B1D">
        <w:rPr>
          <w:rFonts w:ascii="Simplified Arabic" w:hAnsi="Simplified Arabic" w:cs="Simplified Arabic"/>
          <w:sz w:val="28"/>
          <w:szCs w:val="28"/>
          <w:rtl/>
        </w:rPr>
        <w:t xml:space="preserve">، إلا أن هذه الدراسات تناولت الذكاء الاصطناعي بوصفه أداة لتحسين جانب محدد ضمن السلاسل المادية أو المالية أو اللوجستية ، </w:t>
      </w:r>
      <w:r>
        <w:rPr>
          <w:rFonts w:ascii="Simplified Arabic" w:hAnsi="Simplified Arabic" w:cs="Simplified Arabic" w:hint="cs"/>
          <w:sz w:val="28"/>
          <w:szCs w:val="28"/>
          <w:rtl/>
        </w:rPr>
        <w:t>ف</w:t>
      </w:r>
      <w:r w:rsidRPr="00297B1D">
        <w:rPr>
          <w:rFonts w:ascii="Simplified Arabic" w:hAnsi="Simplified Arabic" w:cs="Simplified Arabic"/>
          <w:sz w:val="28"/>
          <w:szCs w:val="28"/>
          <w:rtl/>
        </w:rPr>
        <w:t>لم تُعالج الدراسات السابقة سلسلة القيمة التشغيلية داخل المؤسسات الحكومية الكبرى بوصفها منظومة متكاملة تتضمن تدفقات عمل إدارية وتنظيمية وعمليات تشغيلية تعتمد على البيانات والخدمات الحكومية</w:t>
      </w:r>
      <w:r w:rsidRPr="00297B1D">
        <w:rPr>
          <w:rFonts w:ascii="Simplified Arabic" w:hAnsi="Simplified Arabic" w:cs="Simplified Arabic"/>
          <w:sz w:val="28"/>
          <w:szCs w:val="28"/>
        </w:rPr>
        <w:t>.</w:t>
      </w:r>
    </w:p>
    <w:p w14:paraId="67610ABE" w14:textId="77777777" w:rsidR="00C47BC4" w:rsidRDefault="00C47BC4" w:rsidP="00C47BC4">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97B1D">
        <w:rPr>
          <w:rFonts w:ascii="Simplified Arabic" w:hAnsi="Simplified Arabic" w:cs="Simplified Arabic"/>
          <w:sz w:val="28"/>
          <w:szCs w:val="28"/>
          <w:rtl/>
        </w:rPr>
        <w:t>تختلف الدراسة الحالية عن معظم البحوث السابقة في أنها تتناول سلسلة القيمة التشغيلية كمتغير تابع</w:t>
      </w:r>
      <w:r w:rsidRPr="00297B1D">
        <w:rPr>
          <w:rFonts w:ascii="Simplified Arabic" w:hAnsi="Simplified Arabic" w:cs="Simplified Arabic"/>
          <w:b/>
          <w:bCs/>
          <w:sz w:val="28"/>
          <w:szCs w:val="28"/>
          <w:rtl/>
        </w:rPr>
        <w:t xml:space="preserve"> </w:t>
      </w:r>
      <w:r w:rsidRPr="00297B1D">
        <w:rPr>
          <w:rFonts w:ascii="Simplified Arabic" w:hAnsi="Simplified Arabic" w:cs="Simplified Arabic"/>
          <w:sz w:val="28"/>
          <w:szCs w:val="28"/>
          <w:rtl/>
        </w:rPr>
        <w:t>أحادي المحور، بينما ركزت الدراسات الأخرى على متغيرات أداء مثل الجودة، الابتكار، الرشاقة، الاستدامة، أو الكفاءة التشغيلية بشكل عام.</w:t>
      </w:r>
    </w:p>
    <w:p w14:paraId="10E5F757" w14:textId="77777777" w:rsidR="00C47BC4" w:rsidRPr="00297B1D" w:rsidRDefault="00C47BC4" w:rsidP="00C47BC4">
      <w:pPr>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 وبالتالي فإن الدراسة الحالية تقدم رؤية جديدة من خلال اعتبار سلسلة القيمة التشغيلية منظومة مترابطة ترتبط مباشرة بالذكاء الاصطناعي عبر مراحل متعددة تشمل التهيئة، التحليل، التنفيذ، اتخاذ القرار، والحوكمة، وهي زاوية لم تُدرس بشكل كافٍ في الأبحاث السابقة</w:t>
      </w:r>
      <w:r w:rsidRPr="00297B1D">
        <w:rPr>
          <w:rFonts w:ascii="Simplified Arabic" w:hAnsi="Simplified Arabic" w:cs="Simplified Arabic"/>
          <w:sz w:val="28"/>
          <w:szCs w:val="28"/>
        </w:rPr>
        <w:t>.</w:t>
      </w:r>
    </w:p>
    <w:p w14:paraId="614E6FB0" w14:textId="77777777" w:rsidR="00C47BC4" w:rsidRDefault="00C47BC4" w:rsidP="00C47BC4">
      <w:pPr>
        <w:jc w:val="both"/>
        <w:rPr>
          <w:rFonts w:ascii="Simplified Arabic" w:hAnsi="Simplified Arabic" w:cs="Simplified Arabic"/>
          <w:sz w:val="28"/>
          <w:szCs w:val="28"/>
          <w:rtl/>
        </w:rPr>
      </w:pPr>
      <w:r w:rsidRPr="00297B1D">
        <w:rPr>
          <w:rFonts w:ascii="Simplified Arabic" w:hAnsi="Simplified Arabic" w:cs="Simplified Arabic"/>
          <w:sz w:val="28"/>
          <w:szCs w:val="28"/>
          <w:rtl/>
        </w:rPr>
        <w:t>بناءً على ما سبق، تظهر فجوة بحثية واضحة تتمثل في غياب دراسات عربية وخليجية متخصصة تربط بصورة علمية بين أبعاد الذكاء الاصطناعي وسلسلة القيمة التشغيلية داخل المؤسسات الحكومية الكبرى في المملكة العربية السعودية، رغم التوجه الوطني نحو التحول الرقمي ورؤية 2030</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 xml:space="preserve"> كما أن الدراسات العالمية ركزت غالباً على القطاع الصناعي أو المالي أو اللوجستي، دون تناول الخصوصية التشغيلية المعقدة للمؤسسات الحكومية. </w:t>
      </w:r>
    </w:p>
    <w:p w14:paraId="191F9DCA" w14:textId="77777777" w:rsidR="00C47BC4" w:rsidRPr="00297B1D" w:rsidRDefault="00C47BC4" w:rsidP="00C47BC4">
      <w:pPr>
        <w:jc w:val="both"/>
        <w:rPr>
          <w:rFonts w:ascii="Simplified Arabic" w:hAnsi="Simplified Arabic" w:cs="Simplified Arabic"/>
          <w:sz w:val="28"/>
          <w:szCs w:val="28"/>
        </w:rPr>
      </w:pPr>
      <w:r w:rsidRPr="00297B1D">
        <w:rPr>
          <w:rFonts w:ascii="Simplified Arabic" w:hAnsi="Simplified Arabic" w:cs="Simplified Arabic"/>
          <w:sz w:val="28"/>
          <w:szCs w:val="28"/>
          <w:rtl/>
        </w:rPr>
        <w:t>وبذلك تأتي الدراسة الحالية لسد هذه الفجوة من خلال تقديم تحليل متكامل يجمع بين الذكاء الاصطناعي وسلسلة القيمة التشغيلية في قطاع حيوي ومؤثر، مع توفير نموذج مفاهيمي يمكن تطبيقه عملياً في السياق الحكومي المحلي</w:t>
      </w:r>
    </w:p>
    <w:p w14:paraId="6CF5029B" w14:textId="77777777" w:rsidR="00C47BC4" w:rsidRPr="0081357B" w:rsidRDefault="00C47BC4" w:rsidP="00C47BC4">
      <w:pPr>
        <w:pStyle w:val="1"/>
        <w:rPr>
          <w:rtl/>
        </w:rPr>
      </w:pPr>
      <w:r w:rsidRPr="0081357B">
        <w:rPr>
          <w:rtl/>
        </w:rPr>
        <w:t>الاعتبارات والقيود الأخلاقية</w:t>
      </w:r>
    </w:p>
    <w:p w14:paraId="0E71E54E" w14:textId="77777777" w:rsidR="00C47BC4" w:rsidRPr="0081357B" w:rsidRDefault="00C47BC4" w:rsidP="00C47BC4">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81357B">
        <w:rPr>
          <w:rFonts w:ascii="Simplified Arabic" w:eastAsia="Times New Roman" w:hAnsi="Simplified Arabic" w:cs="Simplified Arabic" w:hint="cs"/>
          <w:b/>
          <w:bCs/>
          <w:kern w:val="0"/>
          <w:sz w:val="28"/>
          <w:szCs w:val="28"/>
          <w:rtl/>
          <w14:ligatures w14:val="none"/>
        </w:rPr>
        <w:t>أولاً: الاعتبارات الأخلاقية</w:t>
      </w:r>
    </w:p>
    <w:p w14:paraId="42769184" w14:textId="77777777" w:rsidR="00C47BC4" w:rsidRPr="0081357B" w:rsidRDefault="00C47BC4" w:rsidP="00C47BC4">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ستحرص الدراسة على تطبيق منظومة أخلاقية صارمة تشمل ما يلي</w:t>
      </w:r>
      <w:r w:rsidRPr="0081357B">
        <w:rPr>
          <w:rFonts w:ascii="Simplified Arabic" w:eastAsia="Times New Roman" w:hAnsi="Simplified Arabic" w:cs="Simplified Arabic" w:hint="cs"/>
          <w:kern w:val="0"/>
          <w:sz w:val="28"/>
          <w:szCs w:val="28"/>
          <w14:ligatures w14:val="none"/>
        </w:rPr>
        <w:t>:</w:t>
      </w:r>
    </w:p>
    <w:p w14:paraId="59B946EC"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سيُزوَّد المشاركون بوثيقة تفصيلية توضّح أهداف الدراسة، وإجراءاتها، وطبيعة الأسئلة، وحدود استخدام البيانات، بما يتيح لهم اتخاذ قرار واعٍ بشأن المشاركة</w:t>
      </w:r>
      <w:r w:rsidRPr="0081357B">
        <w:rPr>
          <w:rFonts w:ascii="Simplified Arabic" w:eastAsia="Times New Roman" w:hAnsi="Simplified Arabic" w:cs="Simplified Arabic" w:hint="cs"/>
          <w:kern w:val="0"/>
          <w:sz w:val="28"/>
          <w:szCs w:val="28"/>
          <w14:ligatures w14:val="none"/>
        </w:rPr>
        <w:t>.</w:t>
      </w:r>
    </w:p>
    <w:p w14:paraId="33E2C100"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ستؤكد الدراسة على أن المشاركة اختيارية بالكامل، وأن للمشارك الحق في الانسحاب دون الحاجة إلى تبرير، ودون أن تترتب على ذلك أي آثار مباشرة أو غير مباشرة</w:t>
      </w:r>
      <w:r w:rsidRPr="0081357B">
        <w:rPr>
          <w:rFonts w:ascii="Simplified Arabic" w:eastAsia="Times New Roman" w:hAnsi="Simplified Arabic" w:cs="Simplified Arabic" w:hint="cs"/>
          <w:kern w:val="0"/>
          <w:sz w:val="28"/>
          <w:szCs w:val="28"/>
          <w14:ligatures w14:val="none"/>
        </w:rPr>
        <w:t>.</w:t>
      </w:r>
    </w:p>
    <w:p w14:paraId="1D12DABE"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ستُتّخذ إجراءات لحماية خصوصية المشاركين، عبر فصل بيانات الهوية عن الأدوات البحثية، والتعامل مع جميع الاستجابات بصورة غير مرتبطة بأي معلومات شخصية أو وظيفية حساسة</w:t>
      </w:r>
      <w:r w:rsidRPr="0081357B">
        <w:rPr>
          <w:rFonts w:ascii="Simplified Arabic" w:eastAsia="Times New Roman" w:hAnsi="Simplified Arabic" w:cs="Simplified Arabic" w:hint="cs"/>
          <w:kern w:val="0"/>
          <w:sz w:val="28"/>
          <w:szCs w:val="28"/>
          <w14:ligatures w14:val="none"/>
        </w:rPr>
        <w:t>.</w:t>
      </w:r>
    </w:p>
    <w:p w14:paraId="775E7845"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لن تُعرض أي نتائج تسمح بتحديد هوية أفراد أو إدارات أو مؤسسات. وسيُستخدم الأسلوب التجميعي والإحصائي في جميع مراحل التحليل والعرض لضمان عدم الكشف عن أي مشارك</w:t>
      </w:r>
      <w:r w:rsidRPr="0081357B">
        <w:rPr>
          <w:rFonts w:ascii="Simplified Arabic" w:eastAsia="Times New Roman" w:hAnsi="Simplified Arabic" w:cs="Simplified Arabic" w:hint="cs"/>
          <w:kern w:val="0"/>
          <w:sz w:val="28"/>
          <w:szCs w:val="28"/>
          <w14:ligatures w14:val="none"/>
        </w:rPr>
        <w:t>.</w:t>
      </w:r>
    </w:p>
    <w:p w14:paraId="7E38F9AE"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ستُخزَّن البيانات في بيئة رقمية محمية بكلمات مرور وأنظمة تشفير، ولن يُسمح بالوصول إليها إلا للباحثين المخولين رسميًا</w:t>
      </w:r>
      <w:r w:rsidRPr="0081357B">
        <w:rPr>
          <w:rFonts w:ascii="Simplified Arabic" w:eastAsia="Times New Roman" w:hAnsi="Simplified Arabic" w:cs="Simplified Arabic" w:hint="cs"/>
          <w:kern w:val="0"/>
          <w:sz w:val="28"/>
          <w:szCs w:val="28"/>
          <w14:ligatures w14:val="none"/>
        </w:rPr>
        <w:t>.</w:t>
      </w:r>
    </w:p>
    <w:p w14:paraId="6ACF89E9"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ستلتزم الدراسة بجميع الإجراءات الأخلاقية المعتمدة في لجان أخلاقيات البحث العلمي، بما في ذلك الحصول على الموافقات اللازمة قبل بدء جمع البيانات</w:t>
      </w:r>
      <w:r w:rsidRPr="0081357B">
        <w:rPr>
          <w:rFonts w:ascii="Simplified Arabic" w:eastAsia="Times New Roman" w:hAnsi="Simplified Arabic" w:cs="Simplified Arabic" w:hint="cs"/>
          <w:kern w:val="0"/>
          <w:sz w:val="28"/>
          <w:szCs w:val="28"/>
          <w14:ligatures w14:val="none"/>
        </w:rPr>
        <w:t>.</w:t>
      </w:r>
    </w:p>
    <w:p w14:paraId="36EA99AB"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سيجري التأكيد على حياد الباحث واستقلالية التحليل، وتجنب أي تأثيرات مهنية أو مؤسسية قد تُوجّه المشاركين أو تُحرّف البيانات</w:t>
      </w:r>
      <w:r w:rsidRPr="0081357B">
        <w:rPr>
          <w:rFonts w:ascii="Simplified Arabic" w:eastAsia="Times New Roman" w:hAnsi="Simplified Arabic" w:cs="Simplified Arabic" w:hint="cs"/>
          <w:kern w:val="0"/>
          <w:sz w:val="28"/>
          <w:szCs w:val="28"/>
          <w14:ligatures w14:val="none"/>
        </w:rPr>
        <w:t>.</w:t>
      </w:r>
    </w:p>
    <w:p w14:paraId="61160FDC" w14:textId="77777777" w:rsidR="00C47BC4" w:rsidRPr="0081357B" w:rsidRDefault="00C47BC4" w:rsidP="00C47BC4">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81357B">
        <w:rPr>
          <w:rFonts w:ascii="Simplified Arabic" w:eastAsia="Times New Roman" w:hAnsi="Simplified Arabic" w:cs="Simplified Arabic" w:hint="cs"/>
          <w:b/>
          <w:bCs/>
          <w:kern w:val="0"/>
          <w:sz w:val="28"/>
          <w:szCs w:val="28"/>
          <w:rtl/>
          <w14:ligatures w14:val="none"/>
        </w:rPr>
        <w:t>ثانياً: قيود الدراسة</w:t>
      </w:r>
    </w:p>
    <w:p w14:paraId="266B437D" w14:textId="77777777" w:rsidR="00C47BC4" w:rsidRPr="0081357B" w:rsidRDefault="00C47BC4" w:rsidP="00C47BC4">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ستُقر الدراسة بمجموعة من القيود المنهجية والعملية التي قد تؤثر على تفسير النتائج أو تعميمها، وتشمل</w:t>
      </w:r>
      <w:r w:rsidRPr="0081357B">
        <w:rPr>
          <w:rFonts w:ascii="Simplified Arabic" w:eastAsia="Times New Roman" w:hAnsi="Simplified Arabic" w:cs="Simplified Arabic" w:hint="cs"/>
          <w:kern w:val="0"/>
          <w:sz w:val="28"/>
          <w:szCs w:val="28"/>
          <w14:ligatures w14:val="none"/>
        </w:rPr>
        <w:t>:</w:t>
      </w:r>
    </w:p>
    <w:p w14:paraId="7C08E0B5"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محدودية الوصول إلى البيانات الحساسة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تفرض بعض المؤسسات الحكومية قيودًا على مشاركة بيانات تشغيلية أو معلومات تقنية دقيقة، مما قد يحدّ من عمق التحليل في بعض الجوانب</w:t>
      </w:r>
      <w:r w:rsidRPr="0081357B">
        <w:rPr>
          <w:rFonts w:ascii="Simplified Arabic" w:eastAsia="Times New Roman" w:hAnsi="Simplified Arabic" w:cs="Simplified Arabic" w:hint="cs"/>
          <w:kern w:val="0"/>
          <w:sz w:val="28"/>
          <w:szCs w:val="28"/>
          <w14:ligatures w14:val="none"/>
        </w:rPr>
        <w:t>.</w:t>
      </w:r>
    </w:p>
    <w:p w14:paraId="7BA178D6"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التفاوت في تبنّي التقنيات الرقمية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اختلاف مستويات الجاهزية الرقمية بين المؤسسات الحكومية سيُعد متغيرًا مؤثرًا قد يحدّ من إمكانية تعميم النتائج على القطاع الحكومي بالكامل</w:t>
      </w:r>
      <w:r w:rsidRPr="0081357B">
        <w:rPr>
          <w:rFonts w:ascii="Simplified Arabic" w:eastAsia="Times New Roman" w:hAnsi="Simplified Arabic" w:cs="Simplified Arabic" w:hint="cs"/>
          <w:kern w:val="0"/>
          <w:sz w:val="28"/>
          <w:szCs w:val="28"/>
          <w14:ligatures w14:val="none"/>
        </w:rPr>
        <w:t>.</w:t>
      </w:r>
    </w:p>
    <w:p w14:paraId="7CA597F5"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الحساسية التنظيمية للمقابلات النوعية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يتردد بعض القياديين أو الموظفين في الإفصاح عن تحديات داخلية تتعلق بالحوكمة أو التشغيل، مما قد يؤثر على شمولية البيانات النوعية</w:t>
      </w:r>
      <w:r w:rsidRPr="0081357B">
        <w:rPr>
          <w:rFonts w:ascii="Simplified Arabic" w:eastAsia="Times New Roman" w:hAnsi="Simplified Arabic" w:cs="Simplified Arabic" w:hint="cs"/>
          <w:kern w:val="0"/>
          <w:sz w:val="28"/>
          <w:szCs w:val="28"/>
          <w14:ligatures w14:val="none"/>
        </w:rPr>
        <w:t>.</w:t>
      </w:r>
    </w:p>
    <w:p w14:paraId="77C399B2"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قيود العينة النوعية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تعتمد المقابلات المعمقة على توافر القيادات التنفيذية وذوي الخبرة، وهو ما قد يقلّص حجم العينة النوعية مقارنة بالعينة الكمية الواسعة</w:t>
      </w:r>
      <w:r w:rsidRPr="0081357B">
        <w:rPr>
          <w:rFonts w:ascii="Simplified Arabic" w:eastAsia="Times New Roman" w:hAnsi="Simplified Arabic" w:cs="Simplified Arabic" w:hint="cs"/>
          <w:kern w:val="0"/>
          <w:sz w:val="28"/>
          <w:szCs w:val="28"/>
          <w14:ligatures w14:val="none"/>
        </w:rPr>
        <w:t>.</w:t>
      </w:r>
    </w:p>
    <w:p w14:paraId="25EC4012"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التغيرات السريعة في سياسات التحول الرقمي</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نظراً للتطور المتسارع في مبادرات التحول الرقمي الحكومية، قد تتغير البيئة المؤسسية أثناء فترة البحث، مما قد يؤثر على صلاحية بعض النتائج بمرور الوقت</w:t>
      </w:r>
      <w:r w:rsidRPr="0081357B">
        <w:rPr>
          <w:rFonts w:ascii="Simplified Arabic" w:eastAsia="Times New Roman" w:hAnsi="Simplified Arabic" w:cs="Simplified Arabic" w:hint="cs"/>
          <w:kern w:val="0"/>
          <w:sz w:val="28"/>
          <w:szCs w:val="28"/>
          <w14:ligatures w14:val="none"/>
        </w:rPr>
        <w:t>.</w:t>
      </w:r>
    </w:p>
    <w:p w14:paraId="7362B67F"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إمكان وجود تحيز استجابي</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يُظهر بعض المشاركين ميلاً للاستجابة بطريقة أكثر إيجابية أو تحفظًا، بما يتماشى مع توقعات مؤسساتهم، وهو ما يُعد أحد التحديات المعروفة في البحوث الإدارية</w:t>
      </w:r>
      <w:r w:rsidRPr="0081357B">
        <w:rPr>
          <w:rFonts w:ascii="Simplified Arabic" w:eastAsia="Times New Roman" w:hAnsi="Simplified Arabic" w:cs="Simplified Arabic" w:hint="cs"/>
          <w:kern w:val="0"/>
          <w:sz w:val="28"/>
          <w:szCs w:val="28"/>
          <w14:ligatures w14:val="none"/>
        </w:rPr>
        <w:t>.</w:t>
      </w:r>
    </w:p>
    <w:p w14:paraId="4ED778C2" w14:textId="54F82B4F" w:rsidR="00DE18A5" w:rsidRPr="00B91104" w:rsidRDefault="00DE18A5" w:rsidP="00D439AC">
      <w:pPr>
        <w:pStyle w:val="1"/>
        <w:rPr>
          <w:rtl/>
        </w:rPr>
      </w:pPr>
      <w:r w:rsidRPr="00B91104">
        <w:rPr>
          <w:rtl/>
        </w:rPr>
        <w:t>قائمة المراجع:</w:t>
      </w:r>
      <w:bookmarkEnd w:id="14"/>
    </w:p>
    <w:p w14:paraId="36187114" w14:textId="77777777" w:rsidR="00332430" w:rsidRDefault="00332430" w:rsidP="00332430">
      <w:pPr>
        <w:jc w:val="both"/>
        <w:rPr>
          <w:rFonts w:ascii="Simplified Arabic" w:hAnsi="Simplified Arabic" w:cs="Simplified Arabic"/>
          <w:sz w:val="28"/>
          <w:szCs w:val="28"/>
          <w:rtl/>
          <w:lang w:bidi="ar-EG"/>
        </w:rPr>
      </w:pPr>
    </w:p>
    <w:p w14:paraId="62B6CCA1"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حسن، محمد محسن رمضان، الضبع، عمرو رمضان علي إمام، عزازي، محمد فتحي محمد، و يوسف، محمد وجدي عبدالفتاح. (2024). دور الذكاء الاصطناعي من أجل التنمية المستدامة. مجلة راية الدولية للعلوم التجارية، مج3, ع10 ، 1435 - 1472. مسترجع من </w:t>
      </w:r>
      <w:hyperlink r:id="rId14" w:history="1">
        <w:r w:rsidRPr="00332430">
          <w:rPr>
            <w:rStyle w:val="Hyperlink"/>
            <w:rFonts w:ascii="Simplified Arabic" w:hAnsi="Simplified Arabic" w:cs="Simplified Arabic"/>
            <w:sz w:val="28"/>
            <w:szCs w:val="28"/>
            <w:lang w:bidi="ar-EG"/>
          </w:rPr>
          <w:t>http://search.mandumah.com/Record/1524908</w:t>
        </w:r>
      </w:hyperlink>
    </w:p>
    <w:p w14:paraId="19D51774"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rPr>
        <w:t xml:space="preserve">الصفار، عادل محمد عبدالعزيز. (2024). دور الذكاء الاصطناعي في تحسين جودة الخدمات: دراسة تطبيقية على شركة الاتصالات السعودية. مجلة رماح للبحوث والدراسات، ع95 ، 341 - 367. مسترجع من </w:t>
      </w:r>
      <w:hyperlink r:id="rId15" w:history="1">
        <w:r w:rsidRPr="00332430">
          <w:rPr>
            <w:rStyle w:val="Hyperlink"/>
            <w:rFonts w:ascii="Simplified Arabic" w:hAnsi="Simplified Arabic" w:cs="Simplified Arabic"/>
            <w:sz w:val="28"/>
            <w:szCs w:val="28"/>
          </w:rPr>
          <w:t>http://search.mandumah.com/Record/1473185</w:t>
        </w:r>
      </w:hyperlink>
    </w:p>
    <w:p w14:paraId="1EF18440"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صقر، محمود ماجد محمود عبدالجيد، إسماعيل، عمار فتحي موسى، و مرزوق، عبدالعزيز علي. (2024). دور الذكاء الاصطناعي في تحسين ابتكار الخدمة: دراسة تطبيقية. مجلة راية الدولية للعلوم التجارية، مج3, ع11 ، 801 - 872. مسترجع من </w:t>
      </w:r>
      <w:hyperlink r:id="rId16" w:history="1">
        <w:r w:rsidRPr="00332430">
          <w:rPr>
            <w:rStyle w:val="Hyperlink"/>
            <w:rFonts w:ascii="Simplified Arabic" w:hAnsi="Simplified Arabic" w:cs="Simplified Arabic"/>
            <w:sz w:val="28"/>
            <w:szCs w:val="28"/>
            <w:lang w:bidi="ar-EG"/>
          </w:rPr>
          <w:t>http://search.mandumah.com/Record/1524722</w:t>
        </w:r>
      </w:hyperlink>
    </w:p>
    <w:p w14:paraId="326B4D30"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طيبي، إكرام، و مولاي، أمينة. (2023). أثر الذكاء الاصطناعي على أداء البنوك التجارية: دراسة حالة البنوك التجارية لولايتي البيض وتيارت. دراسات اقتصادية، مج23, ع1 ، 33 - 48. مسترجع من </w:t>
      </w:r>
      <w:hyperlink r:id="rId17" w:history="1">
        <w:r w:rsidRPr="00332430">
          <w:rPr>
            <w:rStyle w:val="Hyperlink"/>
            <w:rFonts w:ascii="Simplified Arabic" w:hAnsi="Simplified Arabic" w:cs="Simplified Arabic"/>
            <w:sz w:val="28"/>
            <w:szCs w:val="28"/>
            <w:lang w:bidi="ar-EG"/>
          </w:rPr>
          <w:t>http://search.mandumah.com/Record/1393074</w:t>
        </w:r>
      </w:hyperlink>
    </w:p>
    <w:p w14:paraId="597CFE48"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عبدالمنعم،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ع4 ، 319 - 378. مسترجع من </w:t>
      </w:r>
      <w:hyperlink r:id="rId18" w:history="1">
        <w:r w:rsidRPr="00332430">
          <w:rPr>
            <w:rStyle w:val="Hyperlink"/>
            <w:rFonts w:ascii="Simplified Arabic" w:hAnsi="Simplified Arabic" w:cs="Simplified Arabic"/>
            <w:sz w:val="28"/>
            <w:szCs w:val="28"/>
            <w:lang w:bidi="ar-EG"/>
          </w:rPr>
          <w:t>http://search.mandumah.com/Record/1442263</w:t>
        </w:r>
      </w:hyperlink>
    </w:p>
    <w:p w14:paraId="2B33F3D0" w14:textId="55D359DC" w:rsid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المصاروة، مهند كساب عبدالله، و السرحان، عطا الله بن فهد صياح. (2021). أثر الذكاء الاصطناعي في الأداء المؤسسي: متغير وسيط رأس المال الفكري في البنوك التجارية في الأردن (رسالة ماجستير غير منشورة). جامعة آل البيت، المفرق. مسترجع من </w:t>
      </w:r>
      <w:hyperlink r:id="rId19" w:history="1">
        <w:r w:rsidR="000B00AD" w:rsidRPr="002A3222">
          <w:rPr>
            <w:rStyle w:val="Hyperlink"/>
            <w:rFonts w:ascii="Simplified Arabic" w:hAnsi="Simplified Arabic" w:cs="Simplified Arabic"/>
            <w:sz w:val="28"/>
            <w:szCs w:val="28"/>
            <w:lang w:bidi="ar-EG"/>
          </w:rPr>
          <w:t>http://search.mandumah.com/Record/1250188</w:t>
        </w:r>
      </w:hyperlink>
    </w:p>
    <w:p w14:paraId="03E6CBF4" w14:textId="20855BE6"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العرداوى، أمير عقيد كاظم، و الجبوري، حسن طاهر بريبر. (2021). قياس، أثر نظام سلسلة القيمة الرشيقة والمستهدف في تخفيض التكاليف التشغيلية: دراسة حالة في مديرية ماء محافظة النجف الأشرف. مجلة كلية الإدارة والاقتصاد للدراسات الاقتصادية والإدارية والمالية، مج13, ع4 ، 243 - 257. مسترجع من </w:t>
      </w:r>
      <w:hyperlink r:id="rId20" w:history="1">
        <w:r w:rsidRPr="002A3222">
          <w:rPr>
            <w:rStyle w:val="Hyperlink"/>
            <w:rFonts w:ascii="Simplified Arabic" w:hAnsi="Simplified Arabic" w:cs="Simplified Arabic"/>
            <w:sz w:val="28"/>
            <w:szCs w:val="28"/>
            <w:lang w:bidi="ar-EG"/>
          </w:rPr>
          <w:t>http://search.mandumah.com/Record/1264779</w:t>
        </w:r>
      </w:hyperlink>
    </w:p>
    <w:p w14:paraId="6E562DA6" w14:textId="0DB97037"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حبيشي، نهى عصام علي حسن، دعيه، هادي محسن السيد، و العايدي، محمد عبدالرحمن. (2021). تقييم استخدام إدارة المخاطر في المحاسبة الإدارية الحديثة بهدف إدارة تكلفة سلسلة القيمة: دراسة تطبيقية. مجلة البحوث المالية والتجارية، ع3 ، 1240 - 1265. مسترجع من </w:t>
      </w:r>
      <w:hyperlink r:id="rId21" w:history="1">
        <w:r w:rsidRPr="002A3222">
          <w:rPr>
            <w:rStyle w:val="Hyperlink"/>
            <w:rFonts w:ascii="Simplified Arabic" w:hAnsi="Simplified Arabic" w:cs="Simplified Arabic"/>
            <w:sz w:val="28"/>
            <w:szCs w:val="28"/>
            <w:lang w:bidi="ar-EG"/>
          </w:rPr>
          <w:t>http://search.mandumah.com/Record/1179471</w:t>
        </w:r>
      </w:hyperlink>
    </w:p>
    <w:p w14:paraId="1683CC97" w14:textId="08BE38F2"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حسن، انتصار محمد صابون، الموسوي، عبدالوهاب محمد جواد، و الخزرجي، مازن رشيد يوسف. (2024). تحليل سلسلة القيمة للصمغ العربي: دراسة حالة منطقة كردفان - السودان. مجلة الغري للعلوم الاقتصادية والإدارية، مج20, عدد خاص ، 324 - 351. مسترجع من </w:t>
      </w:r>
      <w:hyperlink r:id="rId22" w:history="1">
        <w:r w:rsidRPr="002A3222">
          <w:rPr>
            <w:rStyle w:val="Hyperlink"/>
            <w:rFonts w:ascii="Simplified Arabic" w:hAnsi="Simplified Arabic" w:cs="Simplified Arabic"/>
            <w:sz w:val="28"/>
            <w:szCs w:val="28"/>
            <w:lang w:bidi="ar-EG"/>
          </w:rPr>
          <w:t>http://search.mandumah.com/Record/1572942</w:t>
        </w:r>
      </w:hyperlink>
    </w:p>
    <w:p w14:paraId="08145615" w14:textId="26E7F6E0"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خميس، فاضل حسن، و البلداوي، شاكر عبدالكريم هادي. (2024). استخدام سلسلة القيمة في تخفيض التكاليف: دراسة تطبيقية في الشركة العامة لصناعة البطاريات. مجلة الدراسات المستدامة، مج6, ملحق ، 2432 - 2458. مسترجع من </w:t>
      </w:r>
      <w:hyperlink r:id="rId23" w:history="1">
        <w:r w:rsidRPr="002A3222">
          <w:rPr>
            <w:rStyle w:val="Hyperlink"/>
            <w:rFonts w:ascii="Simplified Arabic" w:hAnsi="Simplified Arabic" w:cs="Simplified Arabic"/>
            <w:sz w:val="28"/>
            <w:szCs w:val="28"/>
            <w:lang w:bidi="ar-EG"/>
          </w:rPr>
          <w:t>http://search.mandumah.com/Record/1468234</w:t>
        </w:r>
      </w:hyperlink>
    </w:p>
    <w:p w14:paraId="6DCF0B84" w14:textId="370D5251"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العازمى، أحمد على فالح، و المطارنة، علاء جبر قاسم. (2021). أثر أنظمة التكاليف في بناء سلسلة القيمة: الدور الوسيط لنظم تخطيط الموارد (رسالة دكتوراه غير منشورة). جامعة العلوم الإسلامية العالمية، عمان. مسترجع من </w:t>
      </w:r>
      <w:hyperlink r:id="rId24" w:history="1">
        <w:r w:rsidRPr="002A3222">
          <w:rPr>
            <w:rStyle w:val="Hyperlink"/>
            <w:rFonts w:ascii="Simplified Arabic" w:hAnsi="Simplified Arabic" w:cs="Simplified Arabic"/>
            <w:sz w:val="28"/>
            <w:szCs w:val="28"/>
            <w:lang w:bidi="ar-EG"/>
          </w:rPr>
          <w:t>http://search.mandumah.com/Record/1216924</w:t>
        </w:r>
      </w:hyperlink>
    </w:p>
    <w:p w14:paraId="572ED12A" w14:textId="770A1EB0"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زاير، وافية، و الزغيمي، صورية طيب. (2021). سلسلة القيمة وأثرها على أداء المؤسسات الاقتصادية: دراسة عينة من المؤسسات الاقتصادية. مجلة الاستراتيجية والتنمية، مج11, ع1 ، 325 - 344. مسترجع من </w:t>
      </w:r>
      <w:hyperlink r:id="rId25" w:history="1">
        <w:r w:rsidRPr="002A3222">
          <w:rPr>
            <w:rStyle w:val="Hyperlink"/>
            <w:rFonts w:ascii="Simplified Arabic" w:hAnsi="Simplified Arabic" w:cs="Simplified Arabic"/>
            <w:sz w:val="28"/>
            <w:szCs w:val="28"/>
            <w:lang w:bidi="ar-EG"/>
          </w:rPr>
          <w:t>http://search.mandumah.com/Record/1105458</w:t>
        </w:r>
      </w:hyperlink>
    </w:p>
    <w:p w14:paraId="2F2D1C92" w14:textId="3D625754"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الخنبشية، خولة بنت خليفة بن محمد، و العمري، أيمن أحمد إبراهيم. (2023). سلسلة القيمة كمدخل لتعزيز الميزة التنافسية في مؤسسات التعليم العالي: دراسة تحليلية. المجلة الدولية للدراسات التربوية والنفسية، مج12, ع2 ، 321 - 341. مسترجع من </w:t>
      </w:r>
      <w:hyperlink r:id="rId26" w:history="1">
        <w:r w:rsidRPr="002A3222">
          <w:rPr>
            <w:rStyle w:val="Hyperlink"/>
            <w:rFonts w:ascii="Simplified Arabic" w:hAnsi="Simplified Arabic" w:cs="Simplified Arabic"/>
            <w:sz w:val="28"/>
            <w:szCs w:val="28"/>
            <w:lang w:bidi="ar-EG"/>
          </w:rPr>
          <w:t>http://search.mandumah.com/Record/1377031</w:t>
        </w:r>
      </w:hyperlink>
    </w:p>
    <w:p w14:paraId="177759D3" w14:textId="1504AF2B"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العيداني، إلياس. (2024). دور تحليل سلسلة القيمة في تعزيز القدرة التنافسية لمنظمات الأعمال. مجلة المعيار، مج15, ع2 ، 479 - 495. مسترجع من </w:t>
      </w:r>
      <w:hyperlink r:id="rId27" w:history="1">
        <w:r w:rsidRPr="002A3222">
          <w:rPr>
            <w:rStyle w:val="Hyperlink"/>
            <w:rFonts w:ascii="Simplified Arabic" w:hAnsi="Simplified Arabic" w:cs="Simplified Arabic"/>
            <w:sz w:val="28"/>
            <w:szCs w:val="28"/>
            <w:lang w:bidi="ar-EG"/>
          </w:rPr>
          <w:t>http://search.mandumah.com/Record/1542913</w:t>
        </w:r>
      </w:hyperlink>
    </w:p>
    <w:p w14:paraId="68276ED0" w14:textId="31165853"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عبد، زياد سامي، و حسين، علي إبراهيم. (2021). دور تقنية تحليل سلسلة القيمة في إدارة التكاليف اللوجستية: دراسة حالة. مجلة تكريت للعلوم الإدارية والاقتصادية، مج17, ع56 ، 24 - 39. مسترجع من </w:t>
      </w:r>
      <w:hyperlink r:id="rId28" w:history="1">
        <w:r w:rsidRPr="002A3222">
          <w:rPr>
            <w:rStyle w:val="Hyperlink"/>
            <w:rFonts w:ascii="Simplified Arabic" w:hAnsi="Simplified Arabic" w:cs="Simplified Arabic"/>
            <w:sz w:val="28"/>
            <w:szCs w:val="28"/>
            <w:lang w:bidi="ar-EG"/>
          </w:rPr>
          <w:t>http://search.mandumah.com/Record/1255621</w:t>
        </w:r>
      </w:hyperlink>
    </w:p>
    <w:p w14:paraId="1287A218"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مرعي، ياسمين سمير كمال. (2024). استراتيجيات تطبيق الذكاء الاصطناعي في وزارة التضامن الاجتماعي. المجلة العلمية للخدمة الاجتماعية - دراسات وبحوث تطبيقية، ع28, مج2 ، 200 - 220. مسترجع من </w:t>
      </w:r>
      <w:r w:rsidRPr="000B00AD">
        <w:rPr>
          <w:rFonts w:ascii="Simplified Arabic" w:hAnsi="Simplified Arabic" w:cs="Simplified Arabic"/>
          <w:sz w:val="28"/>
          <w:szCs w:val="28"/>
          <w:lang w:bidi="ar-EG"/>
        </w:rPr>
        <w:t>http://search.mandumah.com/Record/1560378</w:t>
      </w:r>
    </w:p>
    <w:p w14:paraId="78622B5D"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السمان، هاني إبراهيم محمد. (2024). تقنيات الذكاء الاصطناعي بشركات الاتصالات المصرية ودورها في إدارة علاقات العملاء: دراسة ميدانية. مجلة البحوث الإعلامية، ع72, ج4 ، 2583 - 2662. مسترجع من </w:t>
      </w:r>
      <w:r w:rsidRPr="000B00AD">
        <w:rPr>
          <w:rFonts w:ascii="Simplified Arabic" w:hAnsi="Simplified Arabic" w:cs="Simplified Arabic"/>
          <w:sz w:val="28"/>
          <w:szCs w:val="28"/>
          <w:lang w:bidi="ar-EG"/>
        </w:rPr>
        <w:t>http://search.mandumah.com/Record/1508809</w:t>
      </w:r>
    </w:p>
    <w:p w14:paraId="692674E9"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محمد، عادل أحمد حسن. (2024). الذكاء الاصطناعي وعلاقته بجودة الأداء الإداري بوزارة الشباب والرياضة المصرية. مجلة أسيوط لعلوم وفنون التربية الرياضية، ع68, ج4 ، 2095 - 2136. مسترجع من </w:t>
      </w:r>
      <w:r w:rsidRPr="000B00AD">
        <w:rPr>
          <w:rFonts w:ascii="Simplified Arabic" w:hAnsi="Simplified Arabic" w:cs="Simplified Arabic"/>
          <w:sz w:val="28"/>
          <w:szCs w:val="28"/>
          <w:lang w:bidi="ar-EG"/>
        </w:rPr>
        <w:t>http://search.mandumah.com/Record/1477623</w:t>
      </w:r>
    </w:p>
    <w:p w14:paraId="035FFEAB"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غرابة، أحمد محمد كامل توفق. (2024). دور الذكاء الاصطناعي في مواجهة العبء الاقتصادي لمشكلة الغذاء في مصر. مجلة العلوم القانونية والاقتصادية، مج66, عدد خاص ، 885 - 916. مسترجع من </w:t>
      </w:r>
      <w:r w:rsidRPr="000B00AD">
        <w:rPr>
          <w:rFonts w:ascii="Simplified Arabic" w:hAnsi="Simplified Arabic" w:cs="Simplified Arabic"/>
          <w:sz w:val="28"/>
          <w:szCs w:val="28"/>
          <w:lang w:bidi="ar-EG"/>
        </w:rPr>
        <w:t>http://search.mandumah.com/Record/1555072</w:t>
      </w:r>
    </w:p>
    <w:p w14:paraId="14B98871"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عبدالرحمن، عمرو أبو العز سعودي، عبدالحميد، طلعت أسعد، و السماديسي، أحمد موسى. (2022). تأثير تقنيات الذكاء الاصطناعي على الميزة التنافسية للبنك "بالتطبيق على قطاع البنوك التجارية في مصر". المجلة العلمية للدراسات التجارية والبيئية، مج13, ع2 ، 247 - 264. مسترجع من </w:t>
      </w:r>
      <w:r w:rsidRPr="000B00AD">
        <w:rPr>
          <w:rFonts w:ascii="Simplified Arabic" w:hAnsi="Simplified Arabic" w:cs="Simplified Arabic"/>
          <w:sz w:val="28"/>
          <w:szCs w:val="28"/>
          <w:lang w:bidi="ar-EG"/>
        </w:rPr>
        <w:t>http://search.mandumah.com/Record/1295336</w:t>
      </w:r>
    </w:p>
    <w:p w14:paraId="347FA344" w14:textId="2CB411DF" w:rsidR="000B00AD" w:rsidRPr="00332430"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خفاجي، نهال حسين السيد، و إبراهيم، علي يونس. (2023). تأثير استخدام تطبيقات الذكاء الاصطناعي في تحقيق التميز المؤسسي بالتطبيق على العاملين بالبنوك العامة التجارية بمحافظة الدقهلية (رسالة ماجستير غير منشورة). جامعة المنصورة، المنصورة. مسترجع من </w:t>
      </w:r>
      <w:r w:rsidRPr="000B00AD">
        <w:rPr>
          <w:rFonts w:ascii="Simplified Arabic" w:hAnsi="Simplified Arabic" w:cs="Simplified Arabic"/>
          <w:sz w:val="28"/>
          <w:szCs w:val="28"/>
          <w:lang w:bidi="ar-EG"/>
        </w:rPr>
        <w:t>http://search.mandumah.com/Record/1535867</w:t>
      </w:r>
    </w:p>
    <w:p w14:paraId="2015BC3C" w14:textId="77777777" w:rsidR="00332430" w:rsidRPr="006E5307" w:rsidRDefault="00332430" w:rsidP="006E5307">
      <w:pPr>
        <w:pStyle w:val="a6"/>
        <w:bidi w:val="0"/>
        <w:jc w:val="both"/>
        <w:rPr>
          <w:rFonts w:ascii="Simplified Arabic" w:hAnsi="Simplified Arabic" w:cs="Simplified Arabic"/>
          <w:sz w:val="28"/>
          <w:szCs w:val="28"/>
          <w:rtl/>
          <w:lang w:bidi="ar-EG"/>
        </w:rPr>
      </w:pPr>
    </w:p>
    <w:p w14:paraId="7CE31A6B" w14:textId="77777777" w:rsidR="00332430" w:rsidRPr="006E5307" w:rsidRDefault="00332430" w:rsidP="006E5307">
      <w:pPr>
        <w:pStyle w:val="a6"/>
        <w:bidi w:val="0"/>
        <w:jc w:val="both"/>
        <w:rPr>
          <w:rFonts w:ascii="Simplified Arabic" w:hAnsi="Simplified Arabic" w:cs="Simplified Arabic"/>
          <w:sz w:val="28"/>
          <w:szCs w:val="28"/>
        </w:rPr>
      </w:pPr>
    </w:p>
    <w:p w14:paraId="2F7965CC"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Faisal, S. (2025). Artificial Intelligence in Supply Chains and Finance: Driving Efficiency and Risk Management. Al-Migalat al-Ilmayat Li-Gamiat al-Malik Faisal, 62–67. </w:t>
      </w:r>
      <w:hyperlink r:id="rId29" w:history="1">
        <w:r w:rsidRPr="006E5307">
          <w:rPr>
            <w:rStyle w:val="Hyperlink"/>
            <w:rFonts w:ascii="Simplified Arabic" w:hAnsi="Simplified Arabic" w:cs="Simplified Arabic"/>
            <w:sz w:val="28"/>
            <w:szCs w:val="28"/>
            <w:lang w:bidi="ar-EG"/>
          </w:rPr>
          <w:t>https://doi.org/10.37575/h/mng/250025</w:t>
        </w:r>
      </w:hyperlink>
    </w:p>
    <w:p w14:paraId="5F42FE60"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Fan, P., Wang, Y., &amp; Dong, Y. (2021). Competitive analysis of operation mode of enterprise value chain under the background of green economy. Mathematical Problems in Engineering, 2021(1), 6681545</w:t>
      </w:r>
      <w:r w:rsidRPr="00BE606B">
        <w:rPr>
          <w:rFonts w:ascii="Simplified Arabic" w:hAnsi="Simplified Arabic" w:cs="Simplified Arabic"/>
          <w:sz w:val="28"/>
          <w:szCs w:val="28"/>
          <w:lang w:bidi="ar-EG"/>
        </w:rPr>
        <w:t xml:space="preserve">. </w:t>
      </w:r>
      <w:hyperlink r:id="rId30" w:history="1">
        <w:r w:rsidRPr="00BE606B">
          <w:rPr>
            <w:rStyle w:val="Hyperlink"/>
            <w:rFonts w:ascii="Simplified Arabic" w:hAnsi="Simplified Arabic" w:cs="Simplified Arabic"/>
            <w:sz w:val="28"/>
            <w:szCs w:val="28"/>
            <w:lang w:bidi="ar-EG"/>
          </w:rPr>
          <w:t>https://doi.org/10.1155/2021/6681545</w:t>
        </w:r>
      </w:hyperlink>
    </w:p>
    <w:p w14:paraId="28259CB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Kumar, K. S., Gupta, V., Patil, Y., Jindal, G., Cheepurupalli, N. R., &amp; Bhanushali, M. M. (2025). Impact of AI on Operations Management. In Recent Trends In Engineering and Science for Resource Optimization and Sustainable Development (pp. 414-418). CRC Press.</w:t>
      </w:r>
      <w:r w:rsidRPr="00332430">
        <w:rPr>
          <w:rFonts w:ascii="Simplified Arabic" w:hAnsi="Simplified Arabic" w:cs="Simplified Arabic"/>
          <w:sz w:val="28"/>
          <w:szCs w:val="28"/>
          <w:rtl/>
          <w:lang w:bidi="ar-EG"/>
        </w:rPr>
        <w:t>‏</w:t>
      </w:r>
    </w:p>
    <w:p w14:paraId="45F9EB4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Losaladjome Mboyo, H., Huo, B., Mulenga, F. K., Mabe Fogang, P., &amp; Kaunde Kasongo, J. K. (2025). Distribution of Operating Costs Along the Value Chain of an Open-Pit Copper Mine. Applied Sciences, 15(3), 1602.</w:t>
      </w:r>
      <w:r w:rsidRPr="00BE606B">
        <w:rPr>
          <w:rFonts w:ascii="Simplified Arabic" w:hAnsi="Simplified Arabic" w:cs="Simplified Arabic"/>
          <w:sz w:val="28"/>
          <w:szCs w:val="28"/>
          <w:lang w:bidi="ar-EG"/>
        </w:rPr>
        <w:t xml:space="preserve">. </w:t>
      </w:r>
      <w:hyperlink r:id="rId31" w:history="1">
        <w:r w:rsidRPr="00BE606B">
          <w:rPr>
            <w:rStyle w:val="Hyperlink"/>
            <w:rFonts w:ascii="Simplified Arabic" w:hAnsi="Simplified Arabic" w:cs="Simplified Arabic"/>
            <w:sz w:val="28"/>
            <w:szCs w:val="28"/>
            <w:lang w:bidi="ar-EG"/>
          </w:rPr>
          <w:t>https://doi.org/10.3390/app15031602</w:t>
        </w:r>
      </w:hyperlink>
    </w:p>
    <w:p w14:paraId="1FC3D19F" w14:textId="77777777" w:rsidR="00332430" w:rsidRPr="00332430" w:rsidRDefault="00332430">
      <w:pPr>
        <w:pStyle w:val="a6"/>
        <w:numPr>
          <w:ilvl w:val="0"/>
          <w:numId w:val="9"/>
        </w:numPr>
        <w:bidi w:val="0"/>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t>Naas, A., &amp; Berass, D. (2024). Optimization of the value chain through management control: case study of a public enterprise. Economics and Finance.</w:t>
      </w:r>
      <w:r w:rsidRPr="00332430">
        <w:t xml:space="preserve"> </w:t>
      </w:r>
      <w:r w:rsidRPr="00332430">
        <w:rPr>
          <w:rFonts w:ascii="Simplified Arabic" w:hAnsi="Simplified Arabic" w:cs="Simplified Arabic"/>
          <w:sz w:val="28"/>
          <w:szCs w:val="28"/>
          <w:lang w:bidi="ar-EG"/>
        </w:rPr>
        <w:t>Volume 13</w:t>
      </w:r>
      <w:r w:rsidRPr="00332430">
        <w:rPr>
          <w:rFonts w:ascii="Simplified Arabic" w:hAnsi="Simplified Arabic" w:cs="Simplified Arabic"/>
          <w:sz w:val="28"/>
          <w:szCs w:val="28"/>
          <w:rtl/>
          <w:lang w:bidi="ar-EG"/>
        </w:rPr>
        <w:t>,</w:t>
      </w:r>
      <w:r w:rsidRPr="00332430">
        <w:rPr>
          <w:rFonts w:ascii="Simplified Arabic" w:hAnsi="Simplified Arabic" w:cs="Simplified Arabic"/>
          <w:sz w:val="28"/>
          <w:szCs w:val="28"/>
          <w:lang w:bidi="ar-EG"/>
        </w:rPr>
        <w:t xml:space="preserve">Issue 1, 98. </w:t>
      </w:r>
      <w:r w:rsidRPr="00BE606B">
        <w:rPr>
          <w:rFonts w:ascii="Simplified Arabic" w:hAnsi="Simplified Arabic" w:cs="Simplified Arabic"/>
          <w:sz w:val="28"/>
          <w:szCs w:val="28"/>
          <w:lang w:bidi="ar-EG"/>
        </w:rPr>
        <w:t xml:space="preserve"> </w:t>
      </w:r>
      <w:hyperlink r:id="rId32" w:history="1">
        <w:r w:rsidRPr="00BE606B">
          <w:rPr>
            <w:rStyle w:val="Hyperlink"/>
            <w:rFonts w:ascii="Simplified Arabic" w:hAnsi="Simplified Arabic" w:cs="Simplified Arabic"/>
            <w:sz w:val="28"/>
            <w:szCs w:val="28"/>
            <w:lang w:bidi="ar-EG"/>
          </w:rPr>
          <w:t>https://doi.org/10.51586/2754-6209.2025.13.1(98)</w:t>
        </w:r>
      </w:hyperlink>
    </w:p>
    <w:p w14:paraId="364D7789"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Nathany, D. (2022). Artificial Intelligence in Supply Chain: A Comprehensive Analysis of Applications, Impacts, and Future Directions. Indian Scientific Journal Of Research In Engineering And Management, 06(07), 1–8. </w:t>
      </w:r>
      <w:hyperlink r:id="rId33" w:history="1">
        <w:r w:rsidRPr="006E5307">
          <w:rPr>
            <w:rStyle w:val="Hyperlink"/>
            <w:rFonts w:ascii="Simplified Arabic" w:hAnsi="Simplified Arabic" w:cs="Simplified Arabic"/>
            <w:sz w:val="28"/>
            <w:szCs w:val="28"/>
            <w:lang w:bidi="ar-EG"/>
          </w:rPr>
          <w:t>https://doi.org/10.55041/ijsrem15629</w:t>
        </w:r>
      </w:hyperlink>
    </w:p>
    <w:p w14:paraId="54EF9424"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Pokamestov, I. E., &amp; Nikitin, N. A. (2024). Modern Artificial Intelligence Technologies as a Tool of Transformation of Value Chains of Russian Commercial Banks. Finansy: Teoriâ i Praktika, 28(4), 122–135. </w:t>
      </w:r>
      <w:hyperlink r:id="rId34" w:history="1">
        <w:r w:rsidRPr="006E5307">
          <w:rPr>
            <w:rStyle w:val="Hyperlink"/>
            <w:rFonts w:ascii="Simplified Arabic" w:hAnsi="Simplified Arabic" w:cs="Simplified Arabic"/>
            <w:sz w:val="28"/>
            <w:szCs w:val="28"/>
            <w:lang w:bidi="ar-EG"/>
          </w:rPr>
          <w:t>https://doi.org/10.26794/2587-5671-2024-28-4-122-135</w:t>
        </w:r>
      </w:hyperlink>
    </w:p>
    <w:p w14:paraId="06130CF6"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Thenmozhi, V., &amp; Krisknakumari, S. (2024). Artificial Intelligence in Enhancing Operational Efficiency in Logistics and SCM. International Journal of Scientific Research in Science and Technology, 11(5), 316–323. </w:t>
      </w:r>
      <w:hyperlink r:id="rId35" w:history="1">
        <w:r w:rsidRPr="006E5307">
          <w:rPr>
            <w:rStyle w:val="Hyperlink"/>
            <w:rFonts w:ascii="Simplified Arabic" w:hAnsi="Simplified Arabic" w:cs="Simplified Arabic"/>
            <w:sz w:val="28"/>
            <w:szCs w:val="28"/>
            <w:lang w:bidi="ar-EG"/>
          </w:rPr>
          <w:t>https://doi.org/10.32628/ijsrst24115107</w:t>
        </w:r>
      </w:hyperlink>
    </w:p>
    <w:p w14:paraId="23E4F1B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t xml:space="preserve">Tyapukhin, A. P. (2023). On the Issue of the Concept of Value Chain Management. </w:t>
      </w:r>
      <w:r w:rsidRPr="00BE606B">
        <w:rPr>
          <w:rFonts w:ascii="Cambria" w:hAnsi="Cambria" w:cs="Cambria"/>
          <w:sz w:val="28"/>
          <w:szCs w:val="28"/>
          <w:lang w:bidi="ar-EG"/>
        </w:rPr>
        <w:t>Управленческое</w:t>
      </w:r>
      <w:r w:rsidRPr="00BE606B">
        <w:rPr>
          <w:rFonts w:ascii="Simplified Arabic" w:hAnsi="Simplified Arabic" w:cs="Simplified Arabic"/>
          <w:sz w:val="28"/>
          <w:szCs w:val="28"/>
          <w:lang w:bidi="ar-EG"/>
        </w:rPr>
        <w:t xml:space="preserve"> </w:t>
      </w:r>
      <w:r w:rsidRPr="00BE606B">
        <w:rPr>
          <w:rFonts w:ascii="Cambria" w:hAnsi="Cambria" w:cs="Cambria"/>
          <w:sz w:val="28"/>
          <w:szCs w:val="28"/>
          <w:lang w:bidi="ar-EG"/>
        </w:rPr>
        <w:t>Консультирование</w:t>
      </w:r>
      <w:r w:rsidRPr="00BE606B">
        <w:rPr>
          <w:rFonts w:ascii="Simplified Arabic" w:hAnsi="Simplified Arabic" w:cs="Simplified Arabic"/>
          <w:sz w:val="28"/>
          <w:szCs w:val="28"/>
          <w:lang w:bidi="ar-EG"/>
        </w:rPr>
        <w:t xml:space="preserve">, 11, 46–59. </w:t>
      </w:r>
      <w:hyperlink r:id="rId36" w:history="1">
        <w:r w:rsidRPr="00BE606B">
          <w:rPr>
            <w:rStyle w:val="Hyperlink"/>
            <w:rFonts w:ascii="Simplified Arabic" w:hAnsi="Simplified Arabic" w:cs="Simplified Arabic"/>
            <w:sz w:val="28"/>
            <w:szCs w:val="28"/>
            <w:lang w:bidi="ar-EG"/>
          </w:rPr>
          <w:t>https://doi.org/10.22394/1726-1139-2023-11-46-59</w:t>
        </w:r>
      </w:hyperlink>
    </w:p>
    <w:p w14:paraId="2119C3BD" w14:textId="77777777" w:rsid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Yusuf, S. O., Ikhine, I. V., Nyamekeh, R., Oluwadare, O. E., Afoakwah, B., &amp; Yusuf, N. (2025). The Impact of AI on Supply Chain Operations: A comparative analysis of traditional vs AI-enabled Processes. World Journal Of Advanced Research and Reviews, 27(2), 1688–1700. </w:t>
      </w:r>
      <w:hyperlink r:id="rId37" w:history="1">
        <w:r w:rsidRPr="006E5307">
          <w:rPr>
            <w:rStyle w:val="Hyperlink"/>
            <w:rFonts w:ascii="Simplified Arabic" w:hAnsi="Simplified Arabic" w:cs="Simplified Arabic"/>
            <w:sz w:val="28"/>
            <w:szCs w:val="28"/>
            <w:lang w:bidi="ar-EG"/>
          </w:rPr>
          <w:t>https://doi.org/10.30574/wjarr.2025.27.2.3027</w:t>
        </w:r>
      </w:hyperlink>
    </w:p>
    <w:p w14:paraId="505D6EA1"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Musleh Al-Sartawi, A. M. A., Hussainey, K., &amp; Razzaque, A. (2022). The role of artificial intelligence in sustainable finance. Journal of Sustainable Finance &amp; Investment, 1–6. https://doi.org/10.1080/20430795.2022.2057405</w:t>
      </w:r>
    </w:p>
    <w:p w14:paraId="2B6A0310"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Kureljusic, M. and Karger, E. (2024), "Forecasting in financial accounting with artificial intelligence – A systematic literature review and future research agenda", Journal of Applied Accounting Research, Vol. 25 No. 1, pp. 81-104. https://doi.org/10.1108/JAAR-06-2022-0146</w:t>
      </w:r>
    </w:p>
    <w:p w14:paraId="1D0437DC"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r w:rsidRPr="000B00AD">
        <w:rPr>
          <w:rFonts w:ascii="Simplified Arabic" w:hAnsi="Simplified Arabic" w:cs="Simplified Arabic"/>
          <w:sz w:val="28"/>
          <w:szCs w:val="28"/>
          <w:lang w:bidi="ar-EG"/>
        </w:rPr>
        <w:t>Peng, Y., Ahmad, S. F., Ahmad, A. Y. B., Al Shaikh, M. S., Daoud, M. K., &amp; Alhamdi, F. M. H. (2023). Riding the waves of artificial intelligence in advancing accounting and its implications for sustainable development goals. Sustainability, 15(19), 14165; https://doi.org/10.3390/su151914165</w:t>
      </w:r>
    </w:p>
    <w:p w14:paraId="45DFAB7E"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r w:rsidRPr="000B00AD">
        <w:rPr>
          <w:rFonts w:ascii="Simplified Arabic" w:hAnsi="Simplified Arabic" w:cs="Simplified Arabic"/>
          <w:sz w:val="28"/>
          <w:szCs w:val="28"/>
          <w:lang w:bidi="ar-EG"/>
        </w:rPr>
        <w:t>Odonkor, B., Kaggwa, S., Uwaoma, P. U., Hassan, A. O., &amp; Farayola, O. A. (2024). The impact of AI on accounting practices: A review: Exploring how artificial intelligence is transforming traditional accounting methods and financial reporting. World Journal of Advanced Research and Reviews, 21(1), 172-188 doi.org/10.30574/wjarr.2024.21.1.2721</w:t>
      </w:r>
    </w:p>
    <w:p w14:paraId="30C2DFEF"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r w:rsidRPr="000B00AD">
        <w:rPr>
          <w:rFonts w:ascii="Simplified Arabic" w:hAnsi="Simplified Arabic" w:cs="Simplified Arabic"/>
          <w:sz w:val="28"/>
          <w:szCs w:val="28"/>
          <w:lang w:bidi="ar-EG"/>
        </w:rPr>
        <w:t>Ahmed, S., Alshater, M. M., El Ammari, A., &amp; Hammami, H. (2022). Artificial intelligence and machine learning in finance: A bibliometric review. Research in International Business and Finance, 61, 101646 https://doi.org/10.1016/j.ribaf.2022.101646</w:t>
      </w:r>
    </w:p>
    <w:p w14:paraId="3F15A186"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Sadok, H., Sakka, F., &amp; El Maknouzi, M. E. H. (2022). Artificial intelligence and bank credit analysis: A review. Cogent Economics &amp; Finance, 10(1). https://doi.org/10.1080/23322039.2021.2023262</w:t>
      </w:r>
    </w:p>
    <w:p w14:paraId="0A7EA6EE" w14:textId="3BE27962" w:rsidR="000B00AD" w:rsidRDefault="000B00AD">
      <w:pPr>
        <w:pStyle w:val="a6"/>
        <w:numPr>
          <w:ilvl w:val="0"/>
          <w:numId w:val="9"/>
        </w:numPr>
        <w:bidi w:val="0"/>
        <w:jc w:val="both"/>
        <w:rPr>
          <w:rFonts w:ascii="Simplified Arabic" w:hAnsi="Simplified Arabic" w:cs="Simplified Arabic"/>
          <w:sz w:val="28"/>
          <w:szCs w:val="28"/>
          <w:lang w:bidi="ar-EG"/>
        </w:rPr>
      </w:pPr>
      <w:r w:rsidRPr="00C47BC4">
        <w:rPr>
          <w:rFonts w:ascii="Simplified Arabic" w:hAnsi="Simplified Arabic" w:cs="Simplified Arabic"/>
          <w:sz w:val="28"/>
          <w:szCs w:val="28"/>
          <w:lang w:val="pl-PL" w:bidi="ar-EG"/>
        </w:rPr>
        <w:t xml:space="preserve">Garanina, T., Ranta, M., &amp; Dumay, J. (2022). </w:t>
      </w:r>
      <w:r w:rsidRPr="000B00AD">
        <w:rPr>
          <w:rFonts w:ascii="Simplified Arabic" w:hAnsi="Simplified Arabic" w:cs="Simplified Arabic"/>
          <w:sz w:val="28"/>
          <w:szCs w:val="28"/>
          <w:lang w:bidi="ar-EG"/>
        </w:rPr>
        <w:t>Blockchain in accounting research: current trends and emerging topics. Accounting, Auditing &amp; Accountability Journal, 35(7), 1507-1533.</w:t>
      </w:r>
      <w:r w:rsidRPr="000B00AD">
        <w:rPr>
          <w:rFonts w:ascii="Simplified Arabic" w:hAnsi="Simplified Arabic" w:cs="Simplified Arabic"/>
          <w:sz w:val="28"/>
          <w:szCs w:val="28"/>
          <w:rtl/>
          <w:lang w:bidi="ar-EG"/>
        </w:rPr>
        <w:t>‏</w:t>
      </w:r>
    </w:p>
    <w:p w14:paraId="79EF192E" w14:textId="157EBE85"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Eisenreich, A., Füller, J., Stuchtey, M., &amp; Gimenez-Jimenez, D. (2022). Toward a circular value chain: Impact of the circular economy on a company's value chain processes. Journal of Cleaner Production, 378, 134375.</w:t>
      </w:r>
      <w:r w:rsidRPr="00B32BDC">
        <w:rPr>
          <w:rFonts w:ascii="Simplified Arabic" w:hAnsi="Simplified Arabic" w:cs="Simplified Arabic"/>
          <w:sz w:val="28"/>
          <w:szCs w:val="28"/>
          <w:rtl/>
          <w:lang w:bidi="ar-EG"/>
        </w:rPr>
        <w:t>‏</w:t>
      </w:r>
    </w:p>
    <w:p w14:paraId="066C5D9D" w14:textId="6F1FBA65"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Hayakawa, K., &amp; Mukunoki, H. (2021). Impacts of COVID</w:t>
      </w:r>
      <w:r w:rsidRPr="00B32BDC">
        <w:rPr>
          <w:rFonts w:ascii="Cambria Math" w:hAnsi="Cambria Math" w:cs="Cambria Math"/>
          <w:sz w:val="28"/>
          <w:szCs w:val="28"/>
          <w:lang w:bidi="ar-EG"/>
        </w:rPr>
        <w:t>‐</w:t>
      </w:r>
      <w:r w:rsidRPr="00B32BDC">
        <w:rPr>
          <w:rFonts w:ascii="Simplified Arabic" w:hAnsi="Simplified Arabic" w:cs="Simplified Arabic"/>
          <w:sz w:val="28"/>
          <w:szCs w:val="28"/>
          <w:lang w:bidi="ar-EG"/>
        </w:rPr>
        <w:t>19 on global value chains. The Developing Economies, 59(2), 154-177.</w:t>
      </w:r>
      <w:r w:rsidRPr="00B32BDC">
        <w:rPr>
          <w:rFonts w:ascii="Simplified Arabic" w:hAnsi="Simplified Arabic" w:cs="Simplified Arabic"/>
          <w:sz w:val="28"/>
          <w:szCs w:val="28"/>
          <w:rtl/>
          <w:lang w:bidi="ar-EG"/>
        </w:rPr>
        <w:t>‏</w:t>
      </w:r>
    </w:p>
    <w:p w14:paraId="110DE534" w14:textId="414C669E"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Helo, P., &amp; Hao, Y. (2022). Artificial intelligence in operations management and supply chain management: an exploratory case study. Production planning &amp; control, 33(16), 1573-1590.</w:t>
      </w:r>
    </w:p>
    <w:p w14:paraId="27F74A9F" w14:textId="669B429F"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Ismaeil, M. K. A. (2024). The role and impact of artificial intelligence on supply chain management: Efficiency, challenges, and strategic implementation. Journal of Ecohumanism, 3(4), 89-106.</w:t>
      </w:r>
      <w:r w:rsidRPr="00B32BDC">
        <w:rPr>
          <w:rFonts w:ascii="Simplified Arabic" w:hAnsi="Simplified Arabic" w:cs="Simplified Arabic"/>
          <w:sz w:val="28"/>
          <w:szCs w:val="28"/>
          <w:rtl/>
          <w:lang w:bidi="ar-EG"/>
        </w:rPr>
        <w:t>‏</w:t>
      </w:r>
    </w:p>
    <w:p w14:paraId="5C8DEE03" w14:textId="2D290DD6"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Mohsen, B. M. (2023). Impact of artificial intelligence on supply chain management performance. Journal of Service Science and Management, 16(1), 44-58</w:t>
      </w:r>
    </w:p>
    <w:p w14:paraId="19CF14F6" w14:textId="5BDAA29E"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Cannas, V. G., Ciano, M. P., Saltalamacchia, M., &amp; Secchi, R. (2024). Artificial intelligence in supply chain and operations management: a multiple case study research. International journal of production research, 62(9), 3333-3360.</w:t>
      </w:r>
    </w:p>
    <w:p w14:paraId="49DED060" w14:textId="22152DAC"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Fosso Wamba, S., Queiroz, M. M., Guthrie, C., &amp; Braganza, A. (2022). Industry experiences of artificial intelligence (AI): benefits and challenges in operations and supply chain management. Production planning &amp; control, 33(16), 1493-1497</w:t>
      </w:r>
    </w:p>
    <w:p w14:paraId="29D7CC8D" w14:textId="6D943282"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Jackson, I., Ivanov, D., Dolgui, A., &amp; Namdar, J. (2024). Generative artificial intelligence in supply chain and operations management: a capability-based framework for analysis and implementation. International Journal of Production Research, 62(17), 6120-6145</w:t>
      </w:r>
    </w:p>
    <w:p w14:paraId="05498321" w14:textId="77777777" w:rsidR="00B32BDC" w:rsidRPr="00332430" w:rsidRDefault="00B32BDC" w:rsidP="00B32BDC">
      <w:pPr>
        <w:pStyle w:val="a6"/>
        <w:bidi w:val="0"/>
        <w:jc w:val="both"/>
        <w:rPr>
          <w:rFonts w:ascii="Simplified Arabic" w:hAnsi="Simplified Arabic" w:cs="Simplified Arabic"/>
          <w:sz w:val="28"/>
          <w:szCs w:val="28"/>
          <w:lang w:bidi="ar-EG"/>
        </w:rPr>
      </w:pPr>
    </w:p>
    <w:p w14:paraId="54C66D4A" w14:textId="77777777" w:rsidR="006E5307" w:rsidRDefault="006E5307" w:rsidP="006E5307">
      <w:pPr>
        <w:pStyle w:val="a6"/>
        <w:bidi w:val="0"/>
        <w:jc w:val="both"/>
        <w:rPr>
          <w:rFonts w:ascii="Simplified Arabic" w:hAnsi="Simplified Arabic" w:cs="Simplified Arabic"/>
          <w:sz w:val="28"/>
          <w:szCs w:val="28"/>
          <w:lang w:bidi="ar-EG"/>
        </w:rPr>
      </w:pPr>
    </w:p>
    <w:p w14:paraId="59735745"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18339DB7"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025F168B"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7E86B311" w14:textId="77777777" w:rsidR="006E5307" w:rsidRDefault="006E5307" w:rsidP="006E5307">
      <w:pPr>
        <w:pStyle w:val="a6"/>
        <w:bidi w:val="0"/>
        <w:jc w:val="both"/>
        <w:rPr>
          <w:rFonts w:ascii="Simplified Arabic" w:hAnsi="Simplified Arabic" w:cs="Simplified Arabic"/>
          <w:sz w:val="28"/>
          <w:szCs w:val="28"/>
          <w:lang w:bidi="ar-EG"/>
        </w:rPr>
      </w:pPr>
    </w:p>
    <w:p w14:paraId="4955AD88"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655AA049"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4F15531F"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0AE8D26F" w14:textId="77777777" w:rsidR="00BE606B" w:rsidRDefault="00BE606B" w:rsidP="00BE606B">
      <w:pPr>
        <w:pStyle w:val="a6"/>
        <w:bidi w:val="0"/>
        <w:jc w:val="both"/>
        <w:rPr>
          <w:rFonts w:ascii="Simplified Arabic" w:hAnsi="Simplified Arabic" w:cs="Simplified Arabic"/>
          <w:sz w:val="28"/>
          <w:szCs w:val="28"/>
          <w:lang w:bidi="ar-EG"/>
        </w:rPr>
      </w:pPr>
    </w:p>
    <w:p w14:paraId="40B76207"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5AD6E3B7" w14:textId="77777777" w:rsidR="00576E87" w:rsidRDefault="00576E87" w:rsidP="00BE606B">
      <w:pPr>
        <w:pStyle w:val="a6"/>
        <w:bidi w:val="0"/>
        <w:jc w:val="both"/>
        <w:rPr>
          <w:rFonts w:ascii="Simplified Arabic" w:hAnsi="Simplified Arabic" w:cs="Simplified Arabic"/>
          <w:sz w:val="28"/>
          <w:szCs w:val="28"/>
          <w:rtl/>
        </w:rPr>
      </w:pPr>
    </w:p>
    <w:p w14:paraId="749F4B9E" w14:textId="77777777" w:rsidR="00BE606B" w:rsidRPr="000236E3" w:rsidRDefault="00BE606B" w:rsidP="005D0A6D">
      <w:pPr>
        <w:pStyle w:val="a6"/>
        <w:jc w:val="both"/>
        <w:rPr>
          <w:rFonts w:ascii="Simplified Arabic" w:hAnsi="Simplified Arabic" w:cs="Simplified Arabic"/>
          <w:sz w:val="28"/>
          <w:szCs w:val="28"/>
        </w:rPr>
      </w:pPr>
    </w:p>
    <w:sectPr w:rsidR="00BE606B" w:rsidRPr="000236E3" w:rsidSect="00CB6D93">
      <w:footerReference w:type="default" r:id="rId38"/>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E0723" w14:textId="77777777" w:rsidR="00F65998" w:rsidRDefault="00F65998" w:rsidP="00621DED">
      <w:pPr>
        <w:spacing w:after="0" w:line="240" w:lineRule="auto"/>
      </w:pPr>
      <w:r>
        <w:separator/>
      </w:r>
    </w:p>
  </w:endnote>
  <w:endnote w:type="continuationSeparator" w:id="0">
    <w:p w14:paraId="1B3C5D99" w14:textId="77777777" w:rsidR="00F65998" w:rsidRDefault="00F65998"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69071" w14:textId="77777777" w:rsidR="00F65998" w:rsidRDefault="00F65998" w:rsidP="00621DED">
      <w:pPr>
        <w:spacing w:after="0" w:line="240" w:lineRule="auto"/>
      </w:pPr>
      <w:r>
        <w:separator/>
      </w:r>
    </w:p>
  </w:footnote>
  <w:footnote w:type="continuationSeparator" w:id="0">
    <w:p w14:paraId="17E8C211" w14:textId="77777777" w:rsidR="00F65998" w:rsidRDefault="00F65998"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5EFB"/>
    <w:multiLevelType w:val="multilevel"/>
    <w:tmpl w:val="020CC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16475B"/>
    <w:multiLevelType w:val="multilevel"/>
    <w:tmpl w:val="455AD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37FAD"/>
    <w:multiLevelType w:val="multilevel"/>
    <w:tmpl w:val="BA2EE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C2C25"/>
    <w:multiLevelType w:val="hybridMultilevel"/>
    <w:tmpl w:val="7FB0E27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752D98"/>
    <w:multiLevelType w:val="multilevel"/>
    <w:tmpl w:val="C172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482BDC"/>
    <w:multiLevelType w:val="multilevel"/>
    <w:tmpl w:val="9342C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83058C"/>
    <w:multiLevelType w:val="multilevel"/>
    <w:tmpl w:val="D820E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2031E5"/>
    <w:multiLevelType w:val="hybridMultilevel"/>
    <w:tmpl w:val="AAC4C1F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120EEC"/>
    <w:multiLevelType w:val="multilevel"/>
    <w:tmpl w:val="67FA3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253A52"/>
    <w:multiLevelType w:val="multilevel"/>
    <w:tmpl w:val="2BD4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E06B81"/>
    <w:multiLevelType w:val="multilevel"/>
    <w:tmpl w:val="0FF4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737364"/>
    <w:multiLevelType w:val="multilevel"/>
    <w:tmpl w:val="2C9A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B4276D"/>
    <w:multiLevelType w:val="hybridMultilevel"/>
    <w:tmpl w:val="974A936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6154D0"/>
    <w:multiLevelType w:val="multilevel"/>
    <w:tmpl w:val="DCF2B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1204FA"/>
    <w:multiLevelType w:val="hybridMultilevel"/>
    <w:tmpl w:val="4E1E244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EF3323"/>
    <w:multiLevelType w:val="hybridMultilevel"/>
    <w:tmpl w:val="E35CD880"/>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0001994">
    <w:abstractNumId w:val="16"/>
  </w:num>
  <w:num w:numId="2" w16cid:durableId="1196456994">
    <w:abstractNumId w:val="15"/>
  </w:num>
  <w:num w:numId="3" w16cid:durableId="1230456850">
    <w:abstractNumId w:val="6"/>
  </w:num>
  <w:num w:numId="4" w16cid:durableId="939215101">
    <w:abstractNumId w:val="21"/>
  </w:num>
  <w:num w:numId="5" w16cid:durableId="22947908">
    <w:abstractNumId w:val="14"/>
  </w:num>
  <w:num w:numId="6" w16cid:durableId="382796019">
    <w:abstractNumId w:val="10"/>
  </w:num>
  <w:num w:numId="7" w16cid:durableId="503012899">
    <w:abstractNumId w:val="0"/>
  </w:num>
  <w:num w:numId="8" w16cid:durableId="1172140132">
    <w:abstractNumId w:val="19"/>
  </w:num>
  <w:num w:numId="9" w16cid:durableId="907181241">
    <w:abstractNumId w:val="3"/>
  </w:num>
  <w:num w:numId="10" w16cid:durableId="835608117">
    <w:abstractNumId w:val="13"/>
  </w:num>
  <w:num w:numId="11" w16cid:durableId="190342653">
    <w:abstractNumId w:val="11"/>
  </w:num>
  <w:num w:numId="12" w16cid:durableId="1318220249">
    <w:abstractNumId w:val="18"/>
  </w:num>
  <w:num w:numId="13" w16cid:durableId="1341346507">
    <w:abstractNumId w:val="12"/>
  </w:num>
  <w:num w:numId="14" w16cid:durableId="1051877540">
    <w:abstractNumId w:val="1"/>
  </w:num>
  <w:num w:numId="15" w16cid:durableId="1768844349">
    <w:abstractNumId w:val="4"/>
  </w:num>
  <w:num w:numId="16" w16cid:durableId="201864712">
    <w:abstractNumId w:val="5"/>
  </w:num>
  <w:num w:numId="17" w16cid:durableId="1627851115">
    <w:abstractNumId w:val="9"/>
  </w:num>
  <w:num w:numId="18" w16cid:durableId="1167939090">
    <w:abstractNumId w:val="2"/>
  </w:num>
  <w:num w:numId="19" w16cid:durableId="1871727142">
    <w:abstractNumId w:val="7"/>
  </w:num>
  <w:num w:numId="20" w16cid:durableId="1504666960">
    <w:abstractNumId w:val="17"/>
  </w:num>
  <w:num w:numId="21" w16cid:durableId="496842416">
    <w:abstractNumId w:val="8"/>
  </w:num>
  <w:num w:numId="22" w16cid:durableId="118143279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B9"/>
    <w:rsid w:val="00021FD1"/>
    <w:rsid w:val="000236E3"/>
    <w:rsid w:val="000508AF"/>
    <w:rsid w:val="000672A4"/>
    <w:rsid w:val="00092108"/>
    <w:rsid w:val="000B00AD"/>
    <w:rsid w:val="000D1962"/>
    <w:rsid w:val="000E0033"/>
    <w:rsid w:val="001B43EF"/>
    <w:rsid w:val="001D2387"/>
    <w:rsid w:val="001E3435"/>
    <w:rsid w:val="001F4120"/>
    <w:rsid w:val="00234A82"/>
    <w:rsid w:val="00234EE9"/>
    <w:rsid w:val="002765C1"/>
    <w:rsid w:val="00297B1D"/>
    <w:rsid w:val="002A5D5B"/>
    <w:rsid w:val="002B5492"/>
    <w:rsid w:val="0030015D"/>
    <w:rsid w:val="0032684C"/>
    <w:rsid w:val="00332430"/>
    <w:rsid w:val="003372C0"/>
    <w:rsid w:val="003374BD"/>
    <w:rsid w:val="0034535E"/>
    <w:rsid w:val="003A2075"/>
    <w:rsid w:val="003A2D4F"/>
    <w:rsid w:val="003C04ED"/>
    <w:rsid w:val="003C3523"/>
    <w:rsid w:val="003D06DF"/>
    <w:rsid w:val="00402E9C"/>
    <w:rsid w:val="004035A0"/>
    <w:rsid w:val="004875D2"/>
    <w:rsid w:val="004A7FE3"/>
    <w:rsid w:val="004D35D3"/>
    <w:rsid w:val="005673FD"/>
    <w:rsid w:val="00571E2D"/>
    <w:rsid w:val="00576E87"/>
    <w:rsid w:val="00593280"/>
    <w:rsid w:val="005965AD"/>
    <w:rsid w:val="005B79EF"/>
    <w:rsid w:val="005C3640"/>
    <w:rsid w:val="005C44E0"/>
    <w:rsid w:val="005D0A6D"/>
    <w:rsid w:val="005D3BB8"/>
    <w:rsid w:val="005E52A1"/>
    <w:rsid w:val="005E6DFF"/>
    <w:rsid w:val="005F3A85"/>
    <w:rsid w:val="00602A7D"/>
    <w:rsid w:val="006114F7"/>
    <w:rsid w:val="00621DED"/>
    <w:rsid w:val="0063138F"/>
    <w:rsid w:val="006349D7"/>
    <w:rsid w:val="00643EEB"/>
    <w:rsid w:val="00644213"/>
    <w:rsid w:val="00681CD5"/>
    <w:rsid w:val="006C2178"/>
    <w:rsid w:val="006E5307"/>
    <w:rsid w:val="006F66D2"/>
    <w:rsid w:val="007543D1"/>
    <w:rsid w:val="00761E9B"/>
    <w:rsid w:val="008019E7"/>
    <w:rsid w:val="00804576"/>
    <w:rsid w:val="00804FE9"/>
    <w:rsid w:val="0081357B"/>
    <w:rsid w:val="00813640"/>
    <w:rsid w:val="00813BCB"/>
    <w:rsid w:val="00841847"/>
    <w:rsid w:val="008457E0"/>
    <w:rsid w:val="00860640"/>
    <w:rsid w:val="00881070"/>
    <w:rsid w:val="008D1C82"/>
    <w:rsid w:val="0091397D"/>
    <w:rsid w:val="00917C1F"/>
    <w:rsid w:val="0095065B"/>
    <w:rsid w:val="00951C20"/>
    <w:rsid w:val="00955C78"/>
    <w:rsid w:val="00975E90"/>
    <w:rsid w:val="009B5EF9"/>
    <w:rsid w:val="009C14F2"/>
    <w:rsid w:val="009C399E"/>
    <w:rsid w:val="009D3DFA"/>
    <w:rsid w:val="009E740B"/>
    <w:rsid w:val="00A24D1C"/>
    <w:rsid w:val="00A5503B"/>
    <w:rsid w:val="00A96935"/>
    <w:rsid w:val="00AF0FC2"/>
    <w:rsid w:val="00B04F4C"/>
    <w:rsid w:val="00B13F94"/>
    <w:rsid w:val="00B30CCE"/>
    <w:rsid w:val="00B32BDC"/>
    <w:rsid w:val="00B3427B"/>
    <w:rsid w:val="00B41819"/>
    <w:rsid w:val="00B51EAA"/>
    <w:rsid w:val="00B729F2"/>
    <w:rsid w:val="00B91104"/>
    <w:rsid w:val="00BE066A"/>
    <w:rsid w:val="00BE606B"/>
    <w:rsid w:val="00C01A90"/>
    <w:rsid w:val="00C04DCA"/>
    <w:rsid w:val="00C47709"/>
    <w:rsid w:val="00C47BC4"/>
    <w:rsid w:val="00C72033"/>
    <w:rsid w:val="00C943D9"/>
    <w:rsid w:val="00CB6D93"/>
    <w:rsid w:val="00CC209D"/>
    <w:rsid w:val="00CD4D05"/>
    <w:rsid w:val="00CE08ED"/>
    <w:rsid w:val="00CE3A56"/>
    <w:rsid w:val="00D12910"/>
    <w:rsid w:val="00D15B17"/>
    <w:rsid w:val="00D23D27"/>
    <w:rsid w:val="00D41B42"/>
    <w:rsid w:val="00D42274"/>
    <w:rsid w:val="00D439AC"/>
    <w:rsid w:val="00D567E6"/>
    <w:rsid w:val="00D61485"/>
    <w:rsid w:val="00D8772F"/>
    <w:rsid w:val="00DC5C8A"/>
    <w:rsid w:val="00DE18A5"/>
    <w:rsid w:val="00E24AD3"/>
    <w:rsid w:val="00E819C0"/>
    <w:rsid w:val="00E931BE"/>
    <w:rsid w:val="00EC07BC"/>
    <w:rsid w:val="00EC2DAD"/>
    <w:rsid w:val="00EC46FD"/>
    <w:rsid w:val="00EC79A3"/>
    <w:rsid w:val="00ED3794"/>
    <w:rsid w:val="00EE3447"/>
    <w:rsid w:val="00EE4C90"/>
    <w:rsid w:val="00EF6BCE"/>
    <w:rsid w:val="00F036C9"/>
    <w:rsid w:val="00F10871"/>
    <w:rsid w:val="00F178E3"/>
    <w:rsid w:val="00F2181C"/>
    <w:rsid w:val="00F21AAC"/>
    <w:rsid w:val="00F373DC"/>
    <w:rsid w:val="00F40CAA"/>
    <w:rsid w:val="00F41775"/>
    <w:rsid w:val="00F43D1B"/>
    <w:rsid w:val="00F515BC"/>
    <w:rsid w:val="00F65998"/>
    <w:rsid w:val="00F67029"/>
    <w:rsid w:val="00F754CF"/>
    <w:rsid w:val="00F83102"/>
    <w:rsid w:val="00FA77D4"/>
    <w:rsid w:val="00FC1EC9"/>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535FB840-A6AA-4E08-929E-E3984785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BE606B"/>
    <w:rPr>
      <w:color w:val="954F72" w:themeColor="followedHyperlink"/>
      <w:u w:val="single"/>
    </w:rPr>
  </w:style>
  <w:style w:type="character" w:styleId="af0">
    <w:name w:val="Strong"/>
    <w:basedOn w:val="a0"/>
    <w:uiPriority w:val="22"/>
    <w:qFormat/>
    <w:rsid w:val="00602A7D"/>
    <w:rPr>
      <w:b/>
      <w:bCs/>
    </w:rPr>
  </w:style>
  <w:style w:type="table" w:styleId="af1">
    <w:name w:val="Table Grid"/>
    <w:basedOn w:val="a1"/>
    <w:uiPriority w:val="39"/>
    <w:rsid w:val="005C4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4467">
      <w:bodyDiv w:val="1"/>
      <w:marLeft w:val="0"/>
      <w:marRight w:val="0"/>
      <w:marTop w:val="0"/>
      <w:marBottom w:val="0"/>
      <w:divBdr>
        <w:top w:val="none" w:sz="0" w:space="0" w:color="auto"/>
        <w:left w:val="none" w:sz="0" w:space="0" w:color="auto"/>
        <w:bottom w:val="none" w:sz="0" w:space="0" w:color="auto"/>
        <w:right w:val="none" w:sz="0" w:space="0" w:color="auto"/>
      </w:divBdr>
      <w:divsChild>
        <w:div w:id="716322376">
          <w:marLeft w:val="0"/>
          <w:marRight w:val="0"/>
          <w:marTop w:val="0"/>
          <w:marBottom w:val="0"/>
          <w:divBdr>
            <w:top w:val="none" w:sz="0" w:space="0" w:color="auto"/>
            <w:left w:val="none" w:sz="0" w:space="0" w:color="auto"/>
            <w:bottom w:val="none" w:sz="0" w:space="0" w:color="auto"/>
            <w:right w:val="none" w:sz="0" w:space="0" w:color="auto"/>
          </w:divBdr>
          <w:divsChild>
            <w:div w:id="1579245182">
              <w:marLeft w:val="0"/>
              <w:marRight w:val="0"/>
              <w:marTop w:val="0"/>
              <w:marBottom w:val="0"/>
              <w:divBdr>
                <w:top w:val="none" w:sz="0" w:space="0" w:color="auto"/>
                <w:left w:val="none" w:sz="0" w:space="0" w:color="auto"/>
                <w:bottom w:val="none" w:sz="0" w:space="0" w:color="auto"/>
                <w:right w:val="none" w:sz="0" w:space="0" w:color="auto"/>
              </w:divBdr>
              <w:divsChild>
                <w:div w:id="650332000">
                  <w:marLeft w:val="0"/>
                  <w:marRight w:val="0"/>
                  <w:marTop w:val="0"/>
                  <w:marBottom w:val="0"/>
                  <w:divBdr>
                    <w:top w:val="none" w:sz="0" w:space="0" w:color="auto"/>
                    <w:left w:val="none" w:sz="0" w:space="0" w:color="auto"/>
                    <w:bottom w:val="none" w:sz="0" w:space="0" w:color="auto"/>
                    <w:right w:val="none" w:sz="0" w:space="0" w:color="auto"/>
                  </w:divBdr>
                  <w:divsChild>
                    <w:div w:id="2124221985">
                      <w:marLeft w:val="0"/>
                      <w:marRight w:val="0"/>
                      <w:marTop w:val="0"/>
                      <w:marBottom w:val="0"/>
                      <w:divBdr>
                        <w:top w:val="none" w:sz="0" w:space="0" w:color="auto"/>
                        <w:left w:val="none" w:sz="0" w:space="0" w:color="auto"/>
                        <w:bottom w:val="none" w:sz="0" w:space="0" w:color="auto"/>
                        <w:right w:val="none" w:sz="0" w:space="0" w:color="auto"/>
                      </w:divBdr>
                      <w:divsChild>
                        <w:div w:id="1100569606">
                          <w:marLeft w:val="0"/>
                          <w:marRight w:val="0"/>
                          <w:marTop w:val="0"/>
                          <w:marBottom w:val="0"/>
                          <w:divBdr>
                            <w:top w:val="none" w:sz="0" w:space="0" w:color="auto"/>
                            <w:left w:val="none" w:sz="0" w:space="0" w:color="auto"/>
                            <w:bottom w:val="none" w:sz="0" w:space="0" w:color="auto"/>
                            <w:right w:val="none" w:sz="0" w:space="0" w:color="auto"/>
                          </w:divBdr>
                          <w:divsChild>
                            <w:div w:id="252248443">
                              <w:marLeft w:val="0"/>
                              <w:marRight w:val="0"/>
                              <w:marTop w:val="0"/>
                              <w:marBottom w:val="0"/>
                              <w:divBdr>
                                <w:top w:val="none" w:sz="0" w:space="0" w:color="auto"/>
                                <w:left w:val="none" w:sz="0" w:space="0" w:color="auto"/>
                                <w:bottom w:val="none" w:sz="0" w:space="0" w:color="auto"/>
                                <w:right w:val="none" w:sz="0" w:space="0" w:color="auto"/>
                              </w:divBdr>
                              <w:divsChild>
                                <w:div w:id="210949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639064">
          <w:marLeft w:val="0"/>
          <w:marRight w:val="0"/>
          <w:marTop w:val="0"/>
          <w:marBottom w:val="0"/>
          <w:divBdr>
            <w:top w:val="none" w:sz="0" w:space="0" w:color="auto"/>
            <w:left w:val="none" w:sz="0" w:space="0" w:color="auto"/>
            <w:bottom w:val="none" w:sz="0" w:space="0" w:color="auto"/>
            <w:right w:val="none" w:sz="0" w:space="0" w:color="auto"/>
          </w:divBdr>
          <w:divsChild>
            <w:div w:id="1149637543">
              <w:marLeft w:val="0"/>
              <w:marRight w:val="0"/>
              <w:marTop w:val="0"/>
              <w:marBottom w:val="0"/>
              <w:divBdr>
                <w:top w:val="none" w:sz="0" w:space="0" w:color="auto"/>
                <w:left w:val="none" w:sz="0" w:space="0" w:color="auto"/>
                <w:bottom w:val="none" w:sz="0" w:space="0" w:color="auto"/>
                <w:right w:val="none" w:sz="0" w:space="0" w:color="auto"/>
              </w:divBdr>
              <w:divsChild>
                <w:div w:id="1971397049">
                  <w:marLeft w:val="0"/>
                  <w:marRight w:val="0"/>
                  <w:marTop w:val="0"/>
                  <w:marBottom w:val="0"/>
                  <w:divBdr>
                    <w:top w:val="none" w:sz="0" w:space="0" w:color="auto"/>
                    <w:left w:val="none" w:sz="0" w:space="0" w:color="auto"/>
                    <w:bottom w:val="none" w:sz="0" w:space="0" w:color="auto"/>
                    <w:right w:val="none" w:sz="0" w:space="0" w:color="auto"/>
                  </w:divBdr>
                  <w:divsChild>
                    <w:div w:id="424349590">
                      <w:marLeft w:val="0"/>
                      <w:marRight w:val="0"/>
                      <w:marTop w:val="0"/>
                      <w:marBottom w:val="0"/>
                      <w:divBdr>
                        <w:top w:val="none" w:sz="0" w:space="0" w:color="auto"/>
                        <w:left w:val="none" w:sz="0" w:space="0" w:color="auto"/>
                        <w:bottom w:val="none" w:sz="0" w:space="0" w:color="auto"/>
                        <w:right w:val="none" w:sz="0" w:space="0" w:color="auto"/>
                      </w:divBdr>
                      <w:divsChild>
                        <w:div w:id="1077871153">
                          <w:marLeft w:val="0"/>
                          <w:marRight w:val="0"/>
                          <w:marTop w:val="0"/>
                          <w:marBottom w:val="0"/>
                          <w:divBdr>
                            <w:top w:val="none" w:sz="0" w:space="0" w:color="auto"/>
                            <w:left w:val="none" w:sz="0" w:space="0" w:color="auto"/>
                            <w:bottom w:val="none" w:sz="0" w:space="0" w:color="auto"/>
                            <w:right w:val="none" w:sz="0" w:space="0" w:color="auto"/>
                          </w:divBdr>
                          <w:divsChild>
                            <w:div w:id="224295399">
                              <w:marLeft w:val="0"/>
                              <w:marRight w:val="0"/>
                              <w:marTop w:val="0"/>
                              <w:marBottom w:val="0"/>
                              <w:divBdr>
                                <w:top w:val="none" w:sz="0" w:space="0" w:color="auto"/>
                                <w:left w:val="none" w:sz="0" w:space="0" w:color="auto"/>
                                <w:bottom w:val="none" w:sz="0" w:space="0" w:color="auto"/>
                                <w:right w:val="none" w:sz="0" w:space="0" w:color="auto"/>
                              </w:divBdr>
                              <w:divsChild>
                                <w:div w:id="202567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211107">
          <w:marLeft w:val="0"/>
          <w:marRight w:val="0"/>
          <w:marTop w:val="0"/>
          <w:marBottom w:val="0"/>
          <w:divBdr>
            <w:top w:val="none" w:sz="0" w:space="0" w:color="auto"/>
            <w:left w:val="none" w:sz="0" w:space="0" w:color="auto"/>
            <w:bottom w:val="none" w:sz="0" w:space="0" w:color="auto"/>
            <w:right w:val="none" w:sz="0" w:space="0" w:color="auto"/>
          </w:divBdr>
          <w:divsChild>
            <w:div w:id="1133135763">
              <w:marLeft w:val="0"/>
              <w:marRight w:val="0"/>
              <w:marTop w:val="0"/>
              <w:marBottom w:val="0"/>
              <w:divBdr>
                <w:top w:val="none" w:sz="0" w:space="0" w:color="auto"/>
                <w:left w:val="none" w:sz="0" w:space="0" w:color="auto"/>
                <w:bottom w:val="none" w:sz="0" w:space="0" w:color="auto"/>
                <w:right w:val="none" w:sz="0" w:space="0" w:color="auto"/>
              </w:divBdr>
              <w:divsChild>
                <w:div w:id="770273096">
                  <w:marLeft w:val="0"/>
                  <w:marRight w:val="0"/>
                  <w:marTop w:val="0"/>
                  <w:marBottom w:val="0"/>
                  <w:divBdr>
                    <w:top w:val="none" w:sz="0" w:space="0" w:color="auto"/>
                    <w:left w:val="none" w:sz="0" w:space="0" w:color="auto"/>
                    <w:bottom w:val="none" w:sz="0" w:space="0" w:color="auto"/>
                    <w:right w:val="none" w:sz="0" w:space="0" w:color="auto"/>
                  </w:divBdr>
                  <w:divsChild>
                    <w:div w:id="89354956">
                      <w:marLeft w:val="0"/>
                      <w:marRight w:val="0"/>
                      <w:marTop w:val="0"/>
                      <w:marBottom w:val="0"/>
                      <w:divBdr>
                        <w:top w:val="none" w:sz="0" w:space="0" w:color="auto"/>
                        <w:left w:val="none" w:sz="0" w:space="0" w:color="auto"/>
                        <w:bottom w:val="none" w:sz="0" w:space="0" w:color="auto"/>
                        <w:right w:val="none" w:sz="0" w:space="0" w:color="auto"/>
                      </w:divBdr>
                      <w:divsChild>
                        <w:div w:id="79602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921377">
          <w:marLeft w:val="0"/>
          <w:marRight w:val="0"/>
          <w:marTop w:val="0"/>
          <w:marBottom w:val="0"/>
          <w:divBdr>
            <w:top w:val="none" w:sz="0" w:space="0" w:color="auto"/>
            <w:left w:val="none" w:sz="0" w:space="0" w:color="auto"/>
            <w:bottom w:val="none" w:sz="0" w:space="0" w:color="auto"/>
            <w:right w:val="none" w:sz="0" w:space="0" w:color="auto"/>
          </w:divBdr>
          <w:divsChild>
            <w:div w:id="996568872">
              <w:marLeft w:val="0"/>
              <w:marRight w:val="0"/>
              <w:marTop w:val="0"/>
              <w:marBottom w:val="0"/>
              <w:divBdr>
                <w:top w:val="none" w:sz="0" w:space="0" w:color="auto"/>
                <w:left w:val="none" w:sz="0" w:space="0" w:color="auto"/>
                <w:bottom w:val="none" w:sz="0" w:space="0" w:color="auto"/>
                <w:right w:val="none" w:sz="0" w:space="0" w:color="auto"/>
              </w:divBdr>
              <w:divsChild>
                <w:div w:id="1003553827">
                  <w:marLeft w:val="0"/>
                  <w:marRight w:val="0"/>
                  <w:marTop w:val="0"/>
                  <w:marBottom w:val="0"/>
                  <w:divBdr>
                    <w:top w:val="none" w:sz="0" w:space="0" w:color="auto"/>
                    <w:left w:val="none" w:sz="0" w:space="0" w:color="auto"/>
                    <w:bottom w:val="none" w:sz="0" w:space="0" w:color="auto"/>
                    <w:right w:val="none" w:sz="0" w:space="0" w:color="auto"/>
                  </w:divBdr>
                  <w:divsChild>
                    <w:div w:id="807279426">
                      <w:marLeft w:val="0"/>
                      <w:marRight w:val="0"/>
                      <w:marTop w:val="0"/>
                      <w:marBottom w:val="0"/>
                      <w:divBdr>
                        <w:top w:val="none" w:sz="0" w:space="0" w:color="auto"/>
                        <w:left w:val="none" w:sz="0" w:space="0" w:color="auto"/>
                        <w:bottom w:val="none" w:sz="0" w:space="0" w:color="auto"/>
                        <w:right w:val="none" w:sz="0" w:space="0" w:color="auto"/>
                      </w:divBdr>
                      <w:divsChild>
                        <w:div w:id="1142040997">
                          <w:marLeft w:val="0"/>
                          <w:marRight w:val="0"/>
                          <w:marTop w:val="0"/>
                          <w:marBottom w:val="0"/>
                          <w:divBdr>
                            <w:top w:val="none" w:sz="0" w:space="0" w:color="auto"/>
                            <w:left w:val="none" w:sz="0" w:space="0" w:color="auto"/>
                            <w:bottom w:val="none" w:sz="0" w:space="0" w:color="auto"/>
                            <w:right w:val="none" w:sz="0" w:space="0" w:color="auto"/>
                          </w:divBdr>
                          <w:divsChild>
                            <w:div w:id="665675031">
                              <w:marLeft w:val="0"/>
                              <w:marRight w:val="0"/>
                              <w:marTop w:val="0"/>
                              <w:marBottom w:val="0"/>
                              <w:divBdr>
                                <w:top w:val="none" w:sz="0" w:space="0" w:color="auto"/>
                                <w:left w:val="none" w:sz="0" w:space="0" w:color="auto"/>
                                <w:bottom w:val="none" w:sz="0" w:space="0" w:color="auto"/>
                                <w:right w:val="none" w:sz="0" w:space="0" w:color="auto"/>
                              </w:divBdr>
                              <w:divsChild>
                                <w:div w:id="5658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90742">
      <w:bodyDiv w:val="1"/>
      <w:marLeft w:val="0"/>
      <w:marRight w:val="0"/>
      <w:marTop w:val="0"/>
      <w:marBottom w:val="0"/>
      <w:divBdr>
        <w:top w:val="none" w:sz="0" w:space="0" w:color="auto"/>
        <w:left w:val="none" w:sz="0" w:space="0" w:color="auto"/>
        <w:bottom w:val="none" w:sz="0" w:space="0" w:color="auto"/>
        <w:right w:val="none" w:sz="0" w:space="0" w:color="auto"/>
      </w:divBdr>
    </w:div>
    <w:div w:id="53747195">
      <w:bodyDiv w:val="1"/>
      <w:marLeft w:val="0"/>
      <w:marRight w:val="0"/>
      <w:marTop w:val="0"/>
      <w:marBottom w:val="0"/>
      <w:divBdr>
        <w:top w:val="none" w:sz="0" w:space="0" w:color="auto"/>
        <w:left w:val="none" w:sz="0" w:space="0" w:color="auto"/>
        <w:bottom w:val="none" w:sz="0" w:space="0" w:color="auto"/>
        <w:right w:val="none" w:sz="0" w:space="0" w:color="auto"/>
      </w:divBdr>
    </w:div>
    <w:div w:id="70859317">
      <w:bodyDiv w:val="1"/>
      <w:marLeft w:val="0"/>
      <w:marRight w:val="0"/>
      <w:marTop w:val="0"/>
      <w:marBottom w:val="0"/>
      <w:divBdr>
        <w:top w:val="none" w:sz="0" w:space="0" w:color="auto"/>
        <w:left w:val="none" w:sz="0" w:space="0" w:color="auto"/>
        <w:bottom w:val="none" w:sz="0" w:space="0" w:color="auto"/>
        <w:right w:val="none" w:sz="0" w:space="0" w:color="auto"/>
      </w:divBdr>
    </w:div>
    <w:div w:id="105006730">
      <w:bodyDiv w:val="1"/>
      <w:marLeft w:val="0"/>
      <w:marRight w:val="0"/>
      <w:marTop w:val="0"/>
      <w:marBottom w:val="0"/>
      <w:divBdr>
        <w:top w:val="none" w:sz="0" w:space="0" w:color="auto"/>
        <w:left w:val="none" w:sz="0" w:space="0" w:color="auto"/>
        <w:bottom w:val="none" w:sz="0" w:space="0" w:color="auto"/>
        <w:right w:val="none" w:sz="0" w:space="0" w:color="auto"/>
      </w:divBdr>
    </w:div>
    <w:div w:id="113989546">
      <w:bodyDiv w:val="1"/>
      <w:marLeft w:val="0"/>
      <w:marRight w:val="0"/>
      <w:marTop w:val="0"/>
      <w:marBottom w:val="0"/>
      <w:divBdr>
        <w:top w:val="none" w:sz="0" w:space="0" w:color="auto"/>
        <w:left w:val="none" w:sz="0" w:space="0" w:color="auto"/>
        <w:bottom w:val="none" w:sz="0" w:space="0" w:color="auto"/>
        <w:right w:val="none" w:sz="0" w:space="0" w:color="auto"/>
      </w:divBdr>
    </w:div>
    <w:div w:id="119228899">
      <w:bodyDiv w:val="1"/>
      <w:marLeft w:val="0"/>
      <w:marRight w:val="0"/>
      <w:marTop w:val="0"/>
      <w:marBottom w:val="0"/>
      <w:divBdr>
        <w:top w:val="none" w:sz="0" w:space="0" w:color="auto"/>
        <w:left w:val="none" w:sz="0" w:space="0" w:color="auto"/>
        <w:bottom w:val="none" w:sz="0" w:space="0" w:color="auto"/>
        <w:right w:val="none" w:sz="0" w:space="0" w:color="auto"/>
      </w:divBdr>
      <w:divsChild>
        <w:div w:id="1432817321">
          <w:marLeft w:val="0"/>
          <w:marRight w:val="0"/>
          <w:marTop w:val="0"/>
          <w:marBottom w:val="0"/>
          <w:divBdr>
            <w:top w:val="none" w:sz="0" w:space="0" w:color="auto"/>
            <w:left w:val="none" w:sz="0" w:space="0" w:color="auto"/>
            <w:bottom w:val="none" w:sz="0" w:space="0" w:color="auto"/>
            <w:right w:val="none" w:sz="0" w:space="0" w:color="auto"/>
          </w:divBdr>
        </w:div>
      </w:divsChild>
    </w:div>
    <w:div w:id="150677449">
      <w:bodyDiv w:val="1"/>
      <w:marLeft w:val="0"/>
      <w:marRight w:val="0"/>
      <w:marTop w:val="0"/>
      <w:marBottom w:val="0"/>
      <w:divBdr>
        <w:top w:val="none" w:sz="0" w:space="0" w:color="auto"/>
        <w:left w:val="none" w:sz="0" w:space="0" w:color="auto"/>
        <w:bottom w:val="none" w:sz="0" w:space="0" w:color="auto"/>
        <w:right w:val="none" w:sz="0" w:space="0" w:color="auto"/>
      </w:divBdr>
    </w:div>
    <w:div w:id="165025052">
      <w:bodyDiv w:val="1"/>
      <w:marLeft w:val="0"/>
      <w:marRight w:val="0"/>
      <w:marTop w:val="0"/>
      <w:marBottom w:val="0"/>
      <w:divBdr>
        <w:top w:val="none" w:sz="0" w:space="0" w:color="auto"/>
        <w:left w:val="none" w:sz="0" w:space="0" w:color="auto"/>
        <w:bottom w:val="none" w:sz="0" w:space="0" w:color="auto"/>
        <w:right w:val="none" w:sz="0" w:space="0" w:color="auto"/>
      </w:divBdr>
      <w:divsChild>
        <w:div w:id="862136773">
          <w:marLeft w:val="0"/>
          <w:marRight w:val="0"/>
          <w:marTop w:val="0"/>
          <w:marBottom w:val="0"/>
          <w:divBdr>
            <w:top w:val="none" w:sz="0" w:space="0" w:color="auto"/>
            <w:left w:val="none" w:sz="0" w:space="0" w:color="auto"/>
            <w:bottom w:val="none" w:sz="0" w:space="0" w:color="auto"/>
            <w:right w:val="none" w:sz="0" w:space="0" w:color="auto"/>
          </w:divBdr>
        </w:div>
      </w:divsChild>
    </w:div>
    <w:div w:id="173230795">
      <w:bodyDiv w:val="1"/>
      <w:marLeft w:val="0"/>
      <w:marRight w:val="0"/>
      <w:marTop w:val="0"/>
      <w:marBottom w:val="0"/>
      <w:divBdr>
        <w:top w:val="none" w:sz="0" w:space="0" w:color="auto"/>
        <w:left w:val="none" w:sz="0" w:space="0" w:color="auto"/>
        <w:bottom w:val="none" w:sz="0" w:space="0" w:color="auto"/>
        <w:right w:val="none" w:sz="0" w:space="0" w:color="auto"/>
      </w:divBdr>
    </w:div>
    <w:div w:id="173687087">
      <w:bodyDiv w:val="1"/>
      <w:marLeft w:val="0"/>
      <w:marRight w:val="0"/>
      <w:marTop w:val="0"/>
      <w:marBottom w:val="0"/>
      <w:divBdr>
        <w:top w:val="none" w:sz="0" w:space="0" w:color="auto"/>
        <w:left w:val="none" w:sz="0" w:space="0" w:color="auto"/>
        <w:bottom w:val="none" w:sz="0" w:space="0" w:color="auto"/>
        <w:right w:val="none" w:sz="0" w:space="0" w:color="auto"/>
      </w:divBdr>
    </w:div>
    <w:div w:id="194468699">
      <w:bodyDiv w:val="1"/>
      <w:marLeft w:val="0"/>
      <w:marRight w:val="0"/>
      <w:marTop w:val="0"/>
      <w:marBottom w:val="0"/>
      <w:divBdr>
        <w:top w:val="none" w:sz="0" w:space="0" w:color="auto"/>
        <w:left w:val="none" w:sz="0" w:space="0" w:color="auto"/>
        <w:bottom w:val="none" w:sz="0" w:space="0" w:color="auto"/>
        <w:right w:val="none" w:sz="0" w:space="0" w:color="auto"/>
      </w:divBdr>
      <w:divsChild>
        <w:div w:id="153448096">
          <w:marLeft w:val="0"/>
          <w:marRight w:val="0"/>
          <w:marTop w:val="0"/>
          <w:marBottom w:val="0"/>
          <w:divBdr>
            <w:top w:val="none" w:sz="0" w:space="0" w:color="auto"/>
            <w:left w:val="none" w:sz="0" w:space="0" w:color="auto"/>
            <w:bottom w:val="none" w:sz="0" w:space="0" w:color="auto"/>
            <w:right w:val="none" w:sz="0" w:space="0" w:color="auto"/>
          </w:divBdr>
        </w:div>
      </w:divsChild>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96903524">
      <w:bodyDiv w:val="1"/>
      <w:marLeft w:val="0"/>
      <w:marRight w:val="0"/>
      <w:marTop w:val="0"/>
      <w:marBottom w:val="0"/>
      <w:divBdr>
        <w:top w:val="none" w:sz="0" w:space="0" w:color="auto"/>
        <w:left w:val="none" w:sz="0" w:space="0" w:color="auto"/>
        <w:bottom w:val="none" w:sz="0" w:space="0" w:color="auto"/>
        <w:right w:val="none" w:sz="0" w:space="0" w:color="auto"/>
      </w:divBdr>
      <w:divsChild>
        <w:div w:id="1676376236">
          <w:marLeft w:val="0"/>
          <w:marRight w:val="0"/>
          <w:marTop w:val="0"/>
          <w:marBottom w:val="0"/>
          <w:divBdr>
            <w:top w:val="none" w:sz="0" w:space="0" w:color="auto"/>
            <w:left w:val="none" w:sz="0" w:space="0" w:color="auto"/>
            <w:bottom w:val="none" w:sz="0" w:space="0" w:color="auto"/>
            <w:right w:val="none" w:sz="0" w:space="0" w:color="auto"/>
          </w:divBdr>
        </w:div>
      </w:divsChild>
    </w:div>
    <w:div w:id="460540870">
      <w:bodyDiv w:val="1"/>
      <w:marLeft w:val="0"/>
      <w:marRight w:val="0"/>
      <w:marTop w:val="0"/>
      <w:marBottom w:val="0"/>
      <w:divBdr>
        <w:top w:val="none" w:sz="0" w:space="0" w:color="auto"/>
        <w:left w:val="none" w:sz="0" w:space="0" w:color="auto"/>
        <w:bottom w:val="none" w:sz="0" w:space="0" w:color="auto"/>
        <w:right w:val="none" w:sz="0" w:space="0" w:color="auto"/>
      </w:divBdr>
    </w:div>
    <w:div w:id="510799920">
      <w:bodyDiv w:val="1"/>
      <w:marLeft w:val="0"/>
      <w:marRight w:val="0"/>
      <w:marTop w:val="0"/>
      <w:marBottom w:val="0"/>
      <w:divBdr>
        <w:top w:val="none" w:sz="0" w:space="0" w:color="auto"/>
        <w:left w:val="none" w:sz="0" w:space="0" w:color="auto"/>
        <w:bottom w:val="none" w:sz="0" w:space="0" w:color="auto"/>
        <w:right w:val="none" w:sz="0" w:space="0" w:color="auto"/>
      </w:divBdr>
    </w:div>
    <w:div w:id="522675613">
      <w:bodyDiv w:val="1"/>
      <w:marLeft w:val="0"/>
      <w:marRight w:val="0"/>
      <w:marTop w:val="0"/>
      <w:marBottom w:val="0"/>
      <w:divBdr>
        <w:top w:val="none" w:sz="0" w:space="0" w:color="auto"/>
        <w:left w:val="none" w:sz="0" w:space="0" w:color="auto"/>
        <w:bottom w:val="none" w:sz="0" w:space="0" w:color="auto"/>
        <w:right w:val="none" w:sz="0" w:space="0" w:color="auto"/>
      </w:divBdr>
    </w:div>
    <w:div w:id="54807803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581531203">
      <w:bodyDiv w:val="1"/>
      <w:marLeft w:val="0"/>
      <w:marRight w:val="0"/>
      <w:marTop w:val="0"/>
      <w:marBottom w:val="0"/>
      <w:divBdr>
        <w:top w:val="none" w:sz="0" w:space="0" w:color="auto"/>
        <w:left w:val="none" w:sz="0" w:space="0" w:color="auto"/>
        <w:bottom w:val="none" w:sz="0" w:space="0" w:color="auto"/>
        <w:right w:val="none" w:sz="0" w:space="0" w:color="auto"/>
      </w:divBdr>
    </w:div>
    <w:div w:id="638153198">
      <w:bodyDiv w:val="1"/>
      <w:marLeft w:val="0"/>
      <w:marRight w:val="0"/>
      <w:marTop w:val="0"/>
      <w:marBottom w:val="0"/>
      <w:divBdr>
        <w:top w:val="none" w:sz="0" w:space="0" w:color="auto"/>
        <w:left w:val="none" w:sz="0" w:space="0" w:color="auto"/>
        <w:bottom w:val="none" w:sz="0" w:space="0" w:color="auto"/>
        <w:right w:val="none" w:sz="0" w:space="0" w:color="auto"/>
      </w:divBdr>
      <w:divsChild>
        <w:div w:id="1090740185">
          <w:marLeft w:val="0"/>
          <w:marRight w:val="0"/>
          <w:marTop w:val="0"/>
          <w:marBottom w:val="0"/>
          <w:divBdr>
            <w:top w:val="none" w:sz="0" w:space="0" w:color="auto"/>
            <w:left w:val="none" w:sz="0" w:space="0" w:color="auto"/>
            <w:bottom w:val="none" w:sz="0" w:space="0" w:color="auto"/>
            <w:right w:val="none" w:sz="0" w:space="0" w:color="auto"/>
          </w:divBdr>
        </w:div>
      </w:divsChild>
    </w:div>
    <w:div w:id="650058363">
      <w:bodyDiv w:val="1"/>
      <w:marLeft w:val="0"/>
      <w:marRight w:val="0"/>
      <w:marTop w:val="0"/>
      <w:marBottom w:val="0"/>
      <w:divBdr>
        <w:top w:val="none" w:sz="0" w:space="0" w:color="auto"/>
        <w:left w:val="none" w:sz="0" w:space="0" w:color="auto"/>
        <w:bottom w:val="none" w:sz="0" w:space="0" w:color="auto"/>
        <w:right w:val="none" w:sz="0" w:space="0" w:color="auto"/>
      </w:divBdr>
      <w:divsChild>
        <w:div w:id="731579560">
          <w:marLeft w:val="0"/>
          <w:marRight w:val="0"/>
          <w:marTop w:val="0"/>
          <w:marBottom w:val="0"/>
          <w:divBdr>
            <w:top w:val="none" w:sz="0" w:space="0" w:color="auto"/>
            <w:left w:val="none" w:sz="0" w:space="0" w:color="auto"/>
            <w:bottom w:val="none" w:sz="0" w:space="0" w:color="auto"/>
            <w:right w:val="none" w:sz="0" w:space="0" w:color="auto"/>
          </w:divBdr>
          <w:divsChild>
            <w:div w:id="1284068929">
              <w:marLeft w:val="0"/>
              <w:marRight w:val="0"/>
              <w:marTop w:val="0"/>
              <w:marBottom w:val="0"/>
              <w:divBdr>
                <w:top w:val="none" w:sz="0" w:space="0" w:color="auto"/>
                <w:left w:val="none" w:sz="0" w:space="0" w:color="auto"/>
                <w:bottom w:val="none" w:sz="0" w:space="0" w:color="auto"/>
                <w:right w:val="none" w:sz="0" w:space="0" w:color="auto"/>
              </w:divBdr>
              <w:divsChild>
                <w:div w:id="727143195">
                  <w:marLeft w:val="0"/>
                  <w:marRight w:val="0"/>
                  <w:marTop w:val="0"/>
                  <w:marBottom w:val="0"/>
                  <w:divBdr>
                    <w:top w:val="none" w:sz="0" w:space="0" w:color="auto"/>
                    <w:left w:val="none" w:sz="0" w:space="0" w:color="auto"/>
                    <w:bottom w:val="none" w:sz="0" w:space="0" w:color="auto"/>
                    <w:right w:val="none" w:sz="0" w:space="0" w:color="auto"/>
                  </w:divBdr>
                  <w:divsChild>
                    <w:div w:id="385490767">
                      <w:marLeft w:val="0"/>
                      <w:marRight w:val="0"/>
                      <w:marTop w:val="0"/>
                      <w:marBottom w:val="0"/>
                      <w:divBdr>
                        <w:top w:val="none" w:sz="0" w:space="0" w:color="auto"/>
                        <w:left w:val="none" w:sz="0" w:space="0" w:color="auto"/>
                        <w:bottom w:val="none" w:sz="0" w:space="0" w:color="auto"/>
                        <w:right w:val="none" w:sz="0" w:space="0" w:color="auto"/>
                      </w:divBdr>
                      <w:divsChild>
                        <w:div w:id="554239504">
                          <w:marLeft w:val="0"/>
                          <w:marRight w:val="0"/>
                          <w:marTop w:val="0"/>
                          <w:marBottom w:val="0"/>
                          <w:divBdr>
                            <w:top w:val="none" w:sz="0" w:space="0" w:color="auto"/>
                            <w:left w:val="none" w:sz="0" w:space="0" w:color="auto"/>
                            <w:bottom w:val="none" w:sz="0" w:space="0" w:color="auto"/>
                            <w:right w:val="none" w:sz="0" w:space="0" w:color="auto"/>
                          </w:divBdr>
                          <w:divsChild>
                            <w:div w:id="14013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30920">
      <w:bodyDiv w:val="1"/>
      <w:marLeft w:val="0"/>
      <w:marRight w:val="0"/>
      <w:marTop w:val="0"/>
      <w:marBottom w:val="0"/>
      <w:divBdr>
        <w:top w:val="none" w:sz="0" w:space="0" w:color="auto"/>
        <w:left w:val="none" w:sz="0" w:space="0" w:color="auto"/>
        <w:bottom w:val="none" w:sz="0" w:space="0" w:color="auto"/>
        <w:right w:val="none" w:sz="0" w:space="0" w:color="auto"/>
      </w:divBdr>
    </w:div>
    <w:div w:id="713625477">
      <w:bodyDiv w:val="1"/>
      <w:marLeft w:val="0"/>
      <w:marRight w:val="0"/>
      <w:marTop w:val="0"/>
      <w:marBottom w:val="0"/>
      <w:divBdr>
        <w:top w:val="none" w:sz="0" w:space="0" w:color="auto"/>
        <w:left w:val="none" w:sz="0" w:space="0" w:color="auto"/>
        <w:bottom w:val="none" w:sz="0" w:space="0" w:color="auto"/>
        <w:right w:val="none" w:sz="0" w:space="0" w:color="auto"/>
      </w:divBdr>
      <w:divsChild>
        <w:div w:id="1348605834">
          <w:marLeft w:val="0"/>
          <w:marRight w:val="0"/>
          <w:marTop w:val="0"/>
          <w:marBottom w:val="0"/>
          <w:divBdr>
            <w:top w:val="none" w:sz="0" w:space="0" w:color="auto"/>
            <w:left w:val="none" w:sz="0" w:space="0" w:color="auto"/>
            <w:bottom w:val="none" w:sz="0" w:space="0" w:color="auto"/>
            <w:right w:val="none" w:sz="0" w:space="0" w:color="auto"/>
          </w:divBdr>
        </w:div>
      </w:divsChild>
    </w:div>
    <w:div w:id="720977005">
      <w:bodyDiv w:val="1"/>
      <w:marLeft w:val="0"/>
      <w:marRight w:val="0"/>
      <w:marTop w:val="0"/>
      <w:marBottom w:val="0"/>
      <w:divBdr>
        <w:top w:val="none" w:sz="0" w:space="0" w:color="auto"/>
        <w:left w:val="none" w:sz="0" w:space="0" w:color="auto"/>
        <w:bottom w:val="none" w:sz="0" w:space="0" w:color="auto"/>
        <w:right w:val="none" w:sz="0" w:space="0" w:color="auto"/>
      </w:divBdr>
    </w:div>
    <w:div w:id="787429648">
      <w:bodyDiv w:val="1"/>
      <w:marLeft w:val="0"/>
      <w:marRight w:val="0"/>
      <w:marTop w:val="0"/>
      <w:marBottom w:val="0"/>
      <w:divBdr>
        <w:top w:val="none" w:sz="0" w:space="0" w:color="auto"/>
        <w:left w:val="none" w:sz="0" w:space="0" w:color="auto"/>
        <w:bottom w:val="none" w:sz="0" w:space="0" w:color="auto"/>
        <w:right w:val="none" w:sz="0" w:space="0" w:color="auto"/>
      </w:divBdr>
      <w:divsChild>
        <w:div w:id="1590308375">
          <w:marLeft w:val="0"/>
          <w:marRight w:val="0"/>
          <w:marTop w:val="0"/>
          <w:marBottom w:val="0"/>
          <w:divBdr>
            <w:top w:val="none" w:sz="0" w:space="0" w:color="auto"/>
            <w:left w:val="none" w:sz="0" w:space="0" w:color="auto"/>
            <w:bottom w:val="none" w:sz="0" w:space="0" w:color="auto"/>
            <w:right w:val="none" w:sz="0" w:space="0" w:color="auto"/>
          </w:divBdr>
        </w:div>
      </w:divsChild>
    </w:div>
    <w:div w:id="839999974">
      <w:bodyDiv w:val="1"/>
      <w:marLeft w:val="0"/>
      <w:marRight w:val="0"/>
      <w:marTop w:val="0"/>
      <w:marBottom w:val="0"/>
      <w:divBdr>
        <w:top w:val="none" w:sz="0" w:space="0" w:color="auto"/>
        <w:left w:val="none" w:sz="0" w:space="0" w:color="auto"/>
        <w:bottom w:val="none" w:sz="0" w:space="0" w:color="auto"/>
        <w:right w:val="none" w:sz="0" w:space="0" w:color="auto"/>
      </w:divBdr>
      <w:divsChild>
        <w:div w:id="573975413">
          <w:marLeft w:val="0"/>
          <w:marRight w:val="0"/>
          <w:marTop w:val="0"/>
          <w:marBottom w:val="0"/>
          <w:divBdr>
            <w:top w:val="none" w:sz="0" w:space="0" w:color="auto"/>
            <w:left w:val="none" w:sz="0" w:space="0" w:color="auto"/>
            <w:bottom w:val="none" w:sz="0" w:space="0" w:color="auto"/>
            <w:right w:val="none" w:sz="0" w:space="0" w:color="auto"/>
          </w:divBdr>
        </w:div>
      </w:divsChild>
    </w:div>
    <w:div w:id="874386351">
      <w:bodyDiv w:val="1"/>
      <w:marLeft w:val="0"/>
      <w:marRight w:val="0"/>
      <w:marTop w:val="0"/>
      <w:marBottom w:val="0"/>
      <w:divBdr>
        <w:top w:val="none" w:sz="0" w:space="0" w:color="auto"/>
        <w:left w:val="none" w:sz="0" w:space="0" w:color="auto"/>
        <w:bottom w:val="none" w:sz="0" w:space="0" w:color="auto"/>
        <w:right w:val="none" w:sz="0" w:space="0" w:color="auto"/>
      </w:divBdr>
      <w:divsChild>
        <w:div w:id="595476336">
          <w:marLeft w:val="0"/>
          <w:marRight w:val="0"/>
          <w:marTop w:val="0"/>
          <w:marBottom w:val="0"/>
          <w:divBdr>
            <w:top w:val="none" w:sz="0" w:space="0" w:color="auto"/>
            <w:left w:val="none" w:sz="0" w:space="0" w:color="auto"/>
            <w:bottom w:val="none" w:sz="0" w:space="0" w:color="auto"/>
            <w:right w:val="none" w:sz="0" w:space="0" w:color="auto"/>
          </w:divBdr>
        </w:div>
      </w:divsChild>
    </w:div>
    <w:div w:id="905992047">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949050198">
      <w:bodyDiv w:val="1"/>
      <w:marLeft w:val="0"/>
      <w:marRight w:val="0"/>
      <w:marTop w:val="0"/>
      <w:marBottom w:val="0"/>
      <w:divBdr>
        <w:top w:val="none" w:sz="0" w:space="0" w:color="auto"/>
        <w:left w:val="none" w:sz="0" w:space="0" w:color="auto"/>
        <w:bottom w:val="none" w:sz="0" w:space="0" w:color="auto"/>
        <w:right w:val="none" w:sz="0" w:space="0" w:color="auto"/>
      </w:divBdr>
      <w:divsChild>
        <w:div w:id="913859586">
          <w:marLeft w:val="0"/>
          <w:marRight w:val="0"/>
          <w:marTop w:val="0"/>
          <w:marBottom w:val="0"/>
          <w:divBdr>
            <w:top w:val="none" w:sz="0" w:space="0" w:color="auto"/>
            <w:left w:val="none" w:sz="0" w:space="0" w:color="auto"/>
            <w:bottom w:val="none" w:sz="0" w:space="0" w:color="auto"/>
            <w:right w:val="none" w:sz="0" w:space="0" w:color="auto"/>
          </w:divBdr>
        </w:div>
      </w:divsChild>
    </w:div>
    <w:div w:id="961762103">
      <w:bodyDiv w:val="1"/>
      <w:marLeft w:val="0"/>
      <w:marRight w:val="0"/>
      <w:marTop w:val="0"/>
      <w:marBottom w:val="0"/>
      <w:divBdr>
        <w:top w:val="none" w:sz="0" w:space="0" w:color="auto"/>
        <w:left w:val="none" w:sz="0" w:space="0" w:color="auto"/>
        <w:bottom w:val="none" w:sz="0" w:space="0" w:color="auto"/>
        <w:right w:val="none" w:sz="0" w:space="0" w:color="auto"/>
      </w:divBdr>
    </w:div>
    <w:div w:id="963075368">
      <w:bodyDiv w:val="1"/>
      <w:marLeft w:val="0"/>
      <w:marRight w:val="0"/>
      <w:marTop w:val="0"/>
      <w:marBottom w:val="0"/>
      <w:divBdr>
        <w:top w:val="none" w:sz="0" w:space="0" w:color="auto"/>
        <w:left w:val="none" w:sz="0" w:space="0" w:color="auto"/>
        <w:bottom w:val="none" w:sz="0" w:space="0" w:color="auto"/>
        <w:right w:val="none" w:sz="0" w:space="0" w:color="auto"/>
      </w:divBdr>
      <w:divsChild>
        <w:div w:id="1453936757">
          <w:marLeft w:val="0"/>
          <w:marRight w:val="0"/>
          <w:marTop w:val="0"/>
          <w:marBottom w:val="0"/>
          <w:divBdr>
            <w:top w:val="none" w:sz="0" w:space="0" w:color="auto"/>
            <w:left w:val="none" w:sz="0" w:space="0" w:color="auto"/>
            <w:bottom w:val="none" w:sz="0" w:space="0" w:color="auto"/>
            <w:right w:val="none" w:sz="0" w:space="0" w:color="auto"/>
          </w:divBdr>
          <w:divsChild>
            <w:div w:id="1761676091">
              <w:marLeft w:val="0"/>
              <w:marRight w:val="0"/>
              <w:marTop w:val="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sChild>
                    <w:div w:id="1698892804">
                      <w:marLeft w:val="0"/>
                      <w:marRight w:val="0"/>
                      <w:marTop w:val="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099202">
      <w:bodyDiv w:val="1"/>
      <w:marLeft w:val="0"/>
      <w:marRight w:val="0"/>
      <w:marTop w:val="0"/>
      <w:marBottom w:val="0"/>
      <w:divBdr>
        <w:top w:val="none" w:sz="0" w:space="0" w:color="auto"/>
        <w:left w:val="none" w:sz="0" w:space="0" w:color="auto"/>
        <w:bottom w:val="none" w:sz="0" w:space="0" w:color="auto"/>
        <w:right w:val="none" w:sz="0" w:space="0" w:color="auto"/>
      </w:divBdr>
    </w:div>
    <w:div w:id="1014038966">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032537588">
      <w:bodyDiv w:val="1"/>
      <w:marLeft w:val="0"/>
      <w:marRight w:val="0"/>
      <w:marTop w:val="0"/>
      <w:marBottom w:val="0"/>
      <w:divBdr>
        <w:top w:val="none" w:sz="0" w:space="0" w:color="auto"/>
        <w:left w:val="none" w:sz="0" w:space="0" w:color="auto"/>
        <w:bottom w:val="none" w:sz="0" w:space="0" w:color="auto"/>
        <w:right w:val="none" w:sz="0" w:space="0" w:color="auto"/>
      </w:divBdr>
    </w:div>
    <w:div w:id="1084032226">
      <w:bodyDiv w:val="1"/>
      <w:marLeft w:val="0"/>
      <w:marRight w:val="0"/>
      <w:marTop w:val="0"/>
      <w:marBottom w:val="0"/>
      <w:divBdr>
        <w:top w:val="none" w:sz="0" w:space="0" w:color="auto"/>
        <w:left w:val="none" w:sz="0" w:space="0" w:color="auto"/>
        <w:bottom w:val="none" w:sz="0" w:space="0" w:color="auto"/>
        <w:right w:val="none" w:sz="0" w:space="0" w:color="auto"/>
      </w:divBdr>
      <w:divsChild>
        <w:div w:id="1502810805">
          <w:marLeft w:val="0"/>
          <w:marRight w:val="0"/>
          <w:marTop w:val="0"/>
          <w:marBottom w:val="0"/>
          <w:divBdr>
            <w:top w:val="none" w:sz="0" w:space="0" w:color="auto"/>
            <w:left w:val="none" w:sz="0" w:space="0" w:color="auto"/>
            <w:bottom w:val="none" w:sz="0" w:space="0" w:color="auto"/>
            <w:right w:val="none" w:sz="0" w:space="0" w:color="auto"/>
          </w:divBdr>
        </w:div>
      </w:divsChild>
    </w:div>
    <w:div w:id="1137452513">
      <w:bodyDiv w:val="1"/>
      <w:marLeft w:val="0"/>
      <w:marRight w:val="0"/>
      <w:marTop w:val="0"/>
      <w:marBottom w:val="0"/>
      <w:divBdr>
        <w:top w:val="none" w:sz="0" w:space="0" w:color="auto"/>
        <w:left w:val="none" w:sz="0" w:space="0" w:color="auto"/>
        <w:bottom w:val="none" w:sz="0" w:space="0" w:color="auto"/>
        <w:right w:val="none" w:sz="0" w:space="0" w:color="auto"/>
      </w:divBdr>
    </w:div>
    <w:div w:id="1171726036">
      <w:bodyDiv w:val="1"/>
      <w:marLeft w:val="0"/>
      <w:marRight w:val="0"/>
      <w:marTop w:val="0"/>
      <w:marBottom w:val="0"/>
      <w:divBdr>
        <w:top w:val="none" w:sz="0" w:space="0" w:color="auto"/>
        <w:left w:val="none" w:sz="0" w:space="0" w:color="auto"/>
        <w:bottom w:val="none" w:sz="0" w:space="0" w:color="auto"/>
        <w:right w:val="none" w:sz="0" w:space="0" w:color="auto"/>
      </w:divBdr>
    </w:div>
    <w:div w:id="1174416729">
      <w:bodyDiv w:val="1"/>
      <w:marLeft w:val="0"/>
      <w:marRight w:val="0"/>
      <w:marTop w:val="0"/>
      <w:marBottom w:val="0"/>
      <w:divBdr>
        <w:top w:val="none" w:sz="0" w:space="0" w:color="auto"/>
        <w:left w:val="none" w:sz="0" w:space="0" w:color="auto"/>
        <w:bottom w:val="none" w:sz="0" w:space="0" w:color="auto"/>
        <w:right w:val="none" w:sz="0" w:space="0" w:color="auto"/>
      </w:divBdr>
      <w:divsChild>
        <w:div w:id="1402368844">
          <w:marLeft w:val="0"/>
          <w:marRight w:val="0"/>
          <w:marTop w:val="0"/>
          <w:marBottom w:val="0"/>
          <w:divBdr>
            <w:top w:val="none" w:sz="0" w:space="0" w:color="auto"/>
            <w:left w:val="none" w:sz="0" w:space="0" w:color="auto"/>
            <w:bottom w:val="none" w:sz="0" w:space="0" w:color="auto"/>
            <w:right w:val="none" w:sz="0" w:space="0" w:color="auto"/>
          </w:divBdr>
        </w:div>
      </w:divsChild>
    </w:div>
    <w:div w:id="1180125142">
      <w:bodyDiv w:val="1"/>
      <w:marLeft w:val="0"/>
      <w:marRight w:val="0"/>
      <w:marTop w:val="0"/>
      <w:marBottom w:val="0"/>
      <w:divBdr>
        <w:top w:val="none" w:sz="0" w:space="0" w:color="auto"/>
        <w:left w:val="none" w:sz="0" w:space="0" w:color="auto"/>
        <w:bottom w:val="none" w:sz="0" w:space="0" w:color="auto"/>
        <w:right w:val="none" w:sz="0" w:space="0" w:color="auto"/>
      </w:divBdr>
    </w:div>
    <w:div w:id="1193877614">
      <w:bodyDiv w:val="1"/>
      <w:marLeft w:val="0"/>
      <w:marRight w:val="0"/>
      <w:marTop w:val="0"/>
      <w:marBottom w:val="0"/>
      <w:divBdr>
        <w:top w:val="none" w:sz="0" w:space="0" w:color="auto"/>
        <w:left w:val="none" w:sz="0" w:space="0" w:color="auto"/>
        <w:bottom w:val="none" w:sz="0" w:space="0" w:color="auto"/>
        <w:right w:val="none" w:sz="0" w:space="0" w:color="auto"/>
      </w:divBdr>
    </w:div>
    <w:div w:id="1206672524">
      <w:bodyDiv w:val="1"/>
      <w:marLeft w:val="0"/>
      <w:marRight w:val="0"/>
      <w:marTop w:val="0"/>
      <w:marBottom w:val="0"/>
      <w:divBdr>
        <w:top w:val="none" w:sz="0" w:space="0" w:color="auto"/>
        <w:left w:val="none" w:sz="0" w:space="0" w:color="auto"/>
        <w:bottom w:val="none" w:sz="0" w:space="0" w:color="auto"/>
        <w:right w:val="none" w:sz="0" w:space="0" w:color="auto"/>
      </w:divBdr>
      <w:divsChild>
        <w:div w:id="529103143">
          <w:marLeft w:val="0"/>
          <w:marRight w:val="0"/>
          <w:marTop w:val="0"/>
          <w:marBottom w:val="0"/>
          <w:divBdr>
            <w:top w:val="single" w:sz="2" w:space="0" w:color="E4E6E8"/>
            <w:left w:val="single" w:sz="2" w:space="0" w:color="E4E6E8"/>
            <w:bottom w:val="single" w:sz="2" w:space="0" w:color="E4E6E8"/>
            <w:right w:val="single" w:sz="2" w:space="0" w:color="E4E6E8"/>
          </w:divBdr>
        </w:div>
        <w:div w:id="1887721930">
          <w:marLeft w:val="480"/>
          <w:marRight w:val="0"/>
          <w:marTop w:val="0"/>
          <w:marBottom w:val="0"/>
          <w:divBdr>
            <w:top w:val="single" w:sz="2" w:space="0" w:color="E4E6E8"/>
            <w:left w:val="single" w:sz="2" w:space="0" w:color="E4E6E8"/>
            <w:bottom w:val="single" w:sz="2" w:space="0" w:color="E4E6E8"/>
            <w:right w:val="single" w:sz="2" w:space="0" w:color="E4E6E8"/>
          </w:divBdr>
          <w:divsChild>
            <w:div w:id="204710053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11919427">
      <w:bodyDiv w:val="1"/>
      <w:marLeft w:val="0"/>
      <w:marRight w:val="0"/>
      <w:marTop w:val="0"/>
      <w:marBottom w:val="0"/>
      <w:divBdr>
        <w:top w:val="none" w:sz="0" w:space="0" w:color="auto"/>
        <w:left w:val="none" w:sz="0" w:space="0" w:color="auto"/>
        <w:bottom w:val="none" w:sz="0" w:space="0" w:color="auto"/>
        <w:right w:val="none" w:sz="0" w:space="0" w:color="auto"/>
      </w:divBdr>
      <w:divsChild>
        <w:div w:id="327944485">
          <w:marLeft w:val="0"/>
          <w:marRight w:val="0"/>
          <w:marTop w:val="0"/>
          <w:marBottom w:val="0"/>
          <w:divBdr>
            <w:top w:val="none" w:sz="0" w:space="0" w:color="auto"/>
            <w:left w:val="none" w:sz="0" w:space="0" w:color="auto"/>
            <w:bottom w:val="none" w:sz="0" w:space="0" w:color="auto"/>
            <w:right w:val="none" w:sz="0" w:space="0" w:color="auto"/>
          </w:divBdr>
        </w:div>
      </w:divsChild>
    </w:div>
    <w:div w:id="1231962517">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18463362">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55963460">
      <w:bodyDiv w:val="1"/>
      <w:marLeft w:val="0"/>
      <w:marRight w:val="0"/>
      <w:marTop w:val="0"/>
      <w:marBottom w:val="0"/>
      <w:divBdr>
        <w:top w:val="none" w:sz="0" w:space="0" w:color="auto"/>
        <w:left w:val="none" w:sz="0" w:space="0" w:color="auto"/>
        <w:bottom w:val="none" w:sz="0" w:space="0" w:color="auto"/>
        <w:right w:val="none" w:sz="0" w:space="0" w:color="auto"/>
      </w:divBdr>
    </w:div>
    <w:div w:id="1423914527">
      <w:bodyDiv w:val="1"/>
      <w:marLeft w:val="0"/>
      <w:marRight w:val="0"/>
      <w:marTop w:val="0"/>
      <w:marBottom w:val="0"/>
      <w:divBdr>
        <w:top w:val="none" w:sz="0" w:space="0" w:color="auto"/>
        <w:left w:val="none" w:sz="0" w:space="0" w:color="auto"/>
        <w:bottom w:val="none" w:sz="0" w:space="0" w:color="auto"/>
        <w:right w:val="none" w:sz="0" w:space="0" w:color="auto"/>
      </w:divBdr>
      <w:divsChild>
        <w:div w:id="2032104575">
          <w:marLeft w:val="0"/>
          <w:marRight w:val="0"/>
          <w:marTop w:val="0"/>
          <w:marBottom w:val="0"/>
          <w:divBdr>
            <w:top w:val="none" w:sz="0" w:space="0" w:color="auto"/>
            <w:left w:val="none" w:sz="0" w:space="0" w:color="auto"/>
            <w:bottom w:val="none" w:sz="0" w:space="0" w:color="auto"/>
            <w:right w:val="none" w:sz="0" w:space="0" w:color="auto"/>
          </w:divBdr>
        </w:div>
      </w:divsChild>
    </w:div>
    <w:div w:id="1435053626">
      <w:bodyDiv w:val="1"/>
      <w:marLeft w:val="0"/>
      <w:marRight w:val="0"/>
      <w:marTop w:val="0"/>
      <w:marBottom w:val="0"/>
      <w:divBdr>
        <w:top w:val="none" w:sz="0" w:space="0" w:color="auto"/>
        <w:left w:val="none" w:sz="0" w:space="0" w:color="auto"/>
        <w:bottom w:val="none" w:sz="0" w:space="0" w:color="auto"/>
        <w:right w:val="none" w:sz="0" w:space="0" w:color="auto"/>
      </w:divBdr>
    </w:div>
    <w:div w:id="1457216759">
      <w:bodyDiv w:val="1"/>
      <w:marLeft w:val="0"/>
      <w:marRight w:val="0"/>
      <w:marTop w:val="0"/>
      <w:marBottom w:val="0"/>
      <w:divBdr>
        <w:top w:val="none" w:sz="0" w:space="0" w:color="auto"/>
        <w:left w:val="none" w:sz="0" w:space="0" w:color="auto"/>
        <w:bottom w:val="none" w:sz="0" w:space="0" w:color="auto"/>
        <w:right w:val="none" w:sz="0" w:space="0" w:color="auto"/>
      </w:divBdr>
      <w:divsChild>
        <w:div w:id="979111399">
          <w:marLeft w:val="0"/>
          <w:marRight w:val="0"/>
          <w:marTop w:val="0"/>
          <w:marBottom w:val="0"/>
          <w:divBdr>
            <w:top w:val="none" w:sz="0" w:space="0" w:color="auto"/>
            <w:left w:val="none" w:sz="0" w:space="0" w:color="auto"/>
            <w:bottom w:val="none" w:sz="0" w:space="0" w:color="auto"/>
            <w:right w:val="none" w:sz="0" w:space="0" w:color="auto"/>
          </w:divBdr>
        </w:div>
      </w:divsChild>
    </w:div>
    <w:div w:id="1475414242">
      <w:bodyDiv w:val="1"/>
      <w:marLeft w:val="0"/>
      <w:marRight w:val="0"/>
      <w:marTop w:val="0"/>
      <w:marBottom w:val="0"/>
      <w:divBdr>
        <w:top w:val="none" w:sz="0" w:space="0" w:color="auto"/>
        <w:left w:val="none" w:sz="0" w:space="0" w:color="auto"/>
        <w:bottom w:val="none" w:sz="0" w:space="0" w:color="auto"/>
        <w:right w:val="none" w:sz="0" w:space="0" w:color="auto"/>
      </w:divBdr>
    </w:div>
    <w:div w:id="1481193149">
      <w:bodyDiv w:val="1"/>
      <w:marLeft w:val="0"/>
      <w:marRight w:val="0"/>
      <w:marTop w:val="0"/>
      <w:marBottom w:val="0"/>
      <w:divBdr>
        <w:top w:val="none" w:sz="0" w:space="0" w:color="auto"/>
        <w:left w:val="none" w:sz="0" w:space="0" w:color="auto"/>
        <w:bottom w:val="none" w:sz="0" w:space="0" w:color="auto"/>
        <w:right w:val="none" w:sz="0" w:space="0" w:color="auto"/>
      </w:divBdr>
    </w:div>
    <w:div w:id="1502549713">
      <w:bodyDiv w:val="1"/>
      <w:marLeft w:val="0"/>
      <w:marRight w:val="0"/>
      <w:marTop w:val="0"/>
      <w:marBottom w:val="0"/>
      <w:divBdr>
        <w:top w:val="none" w:sz="0" w:space="0" w:color="auto"/>
        <w:left w:val="none" w:sz="0" w:space="0" w:color="auto"/>
        <w:bottom w:val="none" w:sz="0" w:space="0" w:color="auto"/>
        <w:right w:val="none" w:sz="0" w:space="0" w:color="auto"/>
      </w:divBdr>
    </w:div>
    <w:div w:id="1511138918">
      <w:bodyDiv w:val="1"/>
      <w:marLeft w:val="0"/>
      <w:marRight w:val="0"/>
      <w:marTop w:val="0"/>
      <w:marBottom w:val="0"/>
      <w:divBdr>
        <w:top w:val="none" w:sz="0" w:space="0" w:color="auto"/>
        <w:left w:val="none" w:sz="0" w:space="0" w:color="auto"/>
        <w:bottom w:val="none" w:sz="0" w:space="0" w:color="auto"/>
        <w:right w:val="none" w:sz="0" w:space="0" w:color="auto"/>
      </w:divBdr>
    </w:div>
    <w:div w:id="1581596991">
      <w:bodyDiv w:val="1"/>
      <w:marLeft w:val="0"/>
      <w:marRight w:val="0"/>
      <w:marTop w:val="0"/>
      <w:marBottom w:val="0"/>
      <w:divBdr>
        <w:top w:val="none" w:sz="0" w:space="0" w:color="auto"/>
        <w:left w:val="none" w:sz="0" w:space="0" w:color="auto"/>
        <w:bottom w:val="none" w:sz="0" w:space="0" w:color="auto"/>
        <w:right w:val="none" w:sz="0" w:space="0" w:color="auto"/>
      </w:divBdr>
    </w:div>
    <w:div w:id="1585063843">
      <w:bodyDiv w:val="1"/>
      <w:marLeft w:val="0"/>
      <w:marRight w:val="0"/>
      <w:marTop w:val="0"/>
      <w:marBottom w:val="0"/>
      <w:divBdr>
        <w:top w:val="none" w:sz="0" w:space="0" w:color="auto"/>
        <w:left w:val="none" w:sz="0" w:space="0" w:color="auto"/>
        <w:bottom w:val="none" w:sz="0" w:space="0" w:color="auto"/>
        <w:right w:val="none" w:sz="0" w:space="0" w:color="auto"/>
      </w:divBdr>
      <w:divsChild>
        <w:div w:id="684793524">
          <w:marLeft w:val="0"/>
          <w:marRight w:val="0"/>
          <w:marTop w:val="0"/>
          <w:marBottom w:val="0"/>
          <w:divBdr>
            <w:top w:val="none" w:sz="0" w:space="0" w:color="auto"/>
            <w:left w:val="none" w:sz="0" w:space="0" w:color="auto"/>
            <w:bottom w:val="none" w:sz="0" w:space="0" w:color="auto"/>
            <w:right w:val="none" w:sz="0" w:space="0" w:color="auto"/>
          </w:divBdr>
        </w:div>
      </w:divsChild>
    </w:div>
    <w:div w:id="1588659438">
      <w:bodyDiv w:val="1"/>
      <w:marLeft w:val="0"/>
      <w:marRight w:val="0"/>
      <w:marTop w:val="0"/>
      <w:marBottom w:val="0"/>
      <w:divBdr>
        <w:top w:val="none" w:sz="0" w:space="0" w:color="auto"/>
        <w:left w:val="none" w:sz="0" w:space="0" w:color="auto"/>
        <w:bottom w:val="none" w:sz="0" w:space="0" w:color="auto"/>
        <w:right w:val="none" w:sz="0" w:space="0" w:color="auto"/>
      </w:divBdr>
    </w:div>
    <w:div w:id="1599750543">
      <w:bodyDiv w:val="1"/>
      <w:marLeft w:val="0"/>
      <w:marRight w:val="0"/>
      <w:marTop w:val="0"/>
      <w:marBottom w:val="0"/>
      <w:divBdr>
        <w:top w:val="none" w:sz="0" w:space="0" w:color="auto"/>
        <w:left w:val="none" w:sz="0" w:space="0" w:color="auto"/>
        <w:bottom w:val="none" w:sz="0" w:space="0" w:color="auto"/>
        <w:right w:val="none" w:sz="0" w:space="0" w:color="auto"/>
      </w:divBdr>
    </w:div>
    <w:div w:id="1613976275">
      <w:bodyDiv w:val="1"/>
      <w:marLeft w:val="0"/>
      <w:marRight w:val="0"/>
      <w:marTop w:val="0"/>
      <w:marBottom w:val="0"/>
      <w:divBdr>
        <w:top w:val="none" w:sz="0" w:space="0" w:color="auto"/>
        <w:left w:val="none" w:sz="0" w:space="0" w:color="auto"/>
        <w:bottom w:val="none" w:sz="0" w:space="0" w:color="auto"/>
        <w:right w:val="none" w:sz="0" w:space="0" w:color="auto"/>
      </w:divBdr>
    </w:div>
    <w:div w:id="1646079782">
      <w:bodyDiv w:val="1"/>
      <w:marLeft w:val="0"/>
      <w:marRight w:val="0"/>
      <w:marTop w:val="0"/>
      <w:marBottom w:val="0"/>
      <w:divBdr>
        <w:top w:val="none" w:sz="0" w:space="0" w:color="auto"/>
        <w:left w:val="none" w:sz="0" w:space="0" w:color="auto"/>
        <w:bottom w:val="none" w:sz="0" w:space="0" w:color="auto"/>
        <w:right w:val="none" w:sz="0" w:space="0" w:color="auto"/>
      </w:divBdr>
    </w:div>
    <w:div w:id="164773739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721247252">
      <w:bodyDiv w:val="1"/>
      <w:marLeft w:val="0"/>
      <w:marRight w:val="0"/>
      <w:marTop w:val="0"/>
      <w:marBottom w:val="0"/>
      <w:divBdr>
        <w:top w:val="none" w:sz="0" w:space="0" w:color="auto"/>
        <w:left w:val="none" w:sz="0" w:space="0" w:color="auto"/>
        <w:bottom w:val="none" w:sz="0" w:space="0" w:color="auto"/>
        <w:right w:val="none" w:sz="0" w:space="0" w:color="auto"/>
      </w:divBdr>
      <w:divsChild>
        <w:div w:id="1295597652">
          <w:marLeft w:val="0"/>
          <w:marRight w:val="0"/>
          <w:marTop w:val="0"/>
          <w:marBottom w:val="0"/>
          <w:divBdr>
            <w:top w:val="none" w:sz="0" w:space="0" w:color="auto"/>
            <w:left w:val="none" w:sz="0" w:space="0" w:color="auto"/>
            <w:bottom w:val="none" w:sz="0" w:space="0" w:color="auto"/>
            <w:right w:val="none" w:sz="0" w:space="0" w:color="auto"/>
          </w:divBdr>
        </w:div>
      </w:divsChild>
    </w:div>
    <w:div w:id="1759789138">
      <w:bodyDiv w:val="1"/>
      <w:marLeft w:val="0"/>
      <w:marRight w:val="0"/>
      <w:marTop w:val="0"/>
      <w:marBottom w:val="0"/>
      <w:divBdr>
        <w:top w:val="none" w:sz="0" w:space="0" w:color="auto"/>
        <w:left w:val="none" w:sz="0" w:space="0" w:color="auto"/>
        <w:bottom w:val="none" w:sz="0" w:space="0" w:color="auto"/>
        <w:right w:val="none" w:sz="0" w:space="0" w:color="auto"/>
      </w:divBdr>
    </w:div>
    <w:div w:id="1761289554">
      <w:bodyDiv w:val="1"/>
      <w:marLeft w:val="0"/>
      <w:marRight w:val="0"/>
      <w:marTop w:val="0"/>
      <w:marBottom w:val="0"/>
      <w:divBdr>
        <w:top w:val="none" w:sz="0" w:space="0" w:color="auto"/>
        <w:left w:val="none" w:sz="0" w:space="0" w:color="auto"/>
        <w:bottom w:val="none" w:sz="0" w:space="0" w:color="auto"/>
        <w:right w:val="none" w:sz="0" w:space="0" w:color="auto"/>
      </w:divBdr>
      <w:divsChild>
        <w:div w:id="1460413992">
          <w:marLeft w:val="0"/>
          <w:marRight w:val="0"/>
          <w:marTop w:val="0"/>
          <w:marBottom w:val="0"/>
          <w:divBdr>
            <w:top w:val="none" w:sz="0" w:space="0" w:color="auto"/>
            <w:left w:val="none" w:sz="0" w:space="0" w:color="auto"/>
            <w:bottom w:val="none" w:sz="0" w:space="0" w:color="auto"/>
            <w:right w:val="none" w:sz="0" w:space="0" w:color="auto"/>
          </w:divBdr>
        </w:div>
      </w:divsChild>
    </w:div>
    <w:div w:id="1817448238">
      <w:bodyDiv w:val="1"/>
      <w:marLeft w:val="0"/>
      <w:marRight w:val="0"/>
      <w:marTop w:val="0"/>
      <w:marBottom w:val="0"/>
      <w:divBdr>
        <w:top w:val="none" w:sz="0" w:space="0" w:color="auto"/>
        <w:left w:val="none" w:sz="0" w:space="0" w:color="auto"/>
        <w:bottom w:val="none" w:sz="0" w:space="0" w:color="auto"/>
        <w:right w:val="none" w:sz="0" w:space="0" w:color="auto"/>
      </w:divBdr>
    </w:div>
    <w:div w:id="1819303024">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871145324">
      <w:bodyDiv w:val="1"/>
      <w:marLeft w:val="0"/>
      <w:marRight w:val="0"/>
      <w:marTop w:val="0"/>
      <w:marBottom w:val="0"/>
      <w:divBdr>
        <w:top w:val="none" w:sz="0" w:space="0" w:color="auto"/>
        <w:left w:val="none" w:sz="0" w:space="0" w:color="auto"/>
        <w:bottom w:val="none" w:sz="0" w:space="0" w:color="auto"/>
        <w:right w:val="none" w:sz="0" w:space="0" w:color="auto"/>
      </w:divBdr>
      <w:divsChild>
        <w:div w:id="806553346">
          <w:marLeft w:val="0"/>
          <w:marRight w:val="0"/>
          <w:marTop w:val="0"/>
          <w:marBottom w:val="0"/>
          <w:divBdr>
            <w:top w:val="none" w:sz="0" w:space="0" w:color="auto"/>
            <w:left w:val="none" w:sz="0" w:space="0" w:color="auto"/>
            <w:bottom w:val="none" w:sz="0" w:space="0" w:color="auto"/>
            <w:right w:val="none" w:sz="0" w:space="0" w:color="auto"/>
          </w:divBdr>
        </w:div>
      </w:divsChild>
    </w:div>
    <w:div w:id="1871452039">
      <w:bodyDiv w:val="1"/>
      <w:marLeft w:val="0"/>
      <w:marRight w:val="0"/>
      <w:marTop w:val="0"/>
      <w:marBottom w:val="0"/>
      <w:divBdr>
        <w:top w:val="none" w:sz="0" w:space="0" w:color="auto"/>
        <w:left w:val="none" w:sz="0" w:space="0" w:color="auto"/>
        <w:bottom w:val="none" w:sz="0" w:space="0" w:color="auto"/>
        <w:right w:val="none" w:sz="0" w:space="0" w:color="auto"/>
      </w:divBdr>
    </w:div>
    <w:div w:id="1889414217">
      <w:bodyDiv w:val="1"/>
      <w:marLeft w:val="0"/>
      <w:marRight w:val="0"/>
      <w:marTop w:val="0"/>
      <w:marBottom w:val="0"/>
      <w:divBdr>
        <w:top w:val="none" w:sz="0" w:space="0" w:color="auto"/>
        <w:left w:val="none" w:sz="0" w:space="0" w:color="auto"/>
        <w:bottom w:val="none" w:sz="0" w:space="0" w:color="auto"/>
        <w:right w:val="none" w:sz="0" w:space="0" w:color="auto"/>
      </w:divBdr>
    </w:div>
    <w:div w:id="1923637335">
      <w:bodyDiv w:val="1"/>
      <w:marLeft w:val="0"/>
      <w:marRight w:val="0"/>
      <w:marTop w:val="0"/>
      <w:marBottom w:val="0"/>
      <w:divBdr>
        <w:top w:val="none" w:sz="0" w:space="0" w:color="auto"/>
        <w:left w:val="none" w:sz="0" w:space="0" w:color="auto"/>
        <w:bottom w:val="none" w:sz="0" w:space="0" w:color="auto"/>
        <w:right w:val="none" w:sz="0" w:space="0" w:color="auto"/>
      </w:divBdr>
    </w:div>
    <w:div w:id="1937900296">
      <w:bodyDiv w:val="1"/>
      <w:marLeft w:val="0"/>
      <w:marRight w:val="0"/>
      <w:marTop w:val="0"/>
      <w:marBottom w:val="0"/>
      <w:divBdr>
        <w:top w:val="none" w:sz="0" w:space="0" w:color="auto"/>
        <w:left w:val="none" w:sz="0" w:space="0" w:color="auto"/>
        <w:bottom w:val="none" w:sz="0" w:space="0" w:color="auto"/>
        <w:right w:val="none" w:sz="0" w:space="0" w:color="auto"/>
      </w:divBdr>
    </w:div>
    <w:div w:id="1951889524">
      <w:bodyDiv w:val="1"/>
      <w:marLeft w:val="0"/>
      <w:marRight w:val="0"/>
      <w:marTop w:val="0"/>
      <w:marBottom w:val="0"/>
      <w:divBdr>
        <w:top w:val="none" w:sz="0" w:space="0" w:color="auto"/>
        <w:left w:val="none" w:sz="0" w:space="0" w:color="auto"/>
        <w:bottom w:val="none" w:sz="0" w:space="0" w:color="auto"/>
        <w:right w:val="none" w:sz="0" w:space="0" w:color="auto"/>
      </w:divBdr>
    </w:div>
    <w:div w:id="2058894836">
      <w:bodyDiv w:val="1"/>
      <w:marLeft w:val="0"/>
      <w:marRight w:val="0"/>
      <w:marTop w:val="0"/>
      <w:marBottom w:val="0"/>
      <w:divBdr>
        <w:top w:val="none" w:sz="0" w:space="0" w:color="auto"/>
        <w:left w:val="none" w:sz="0" w:space="0" w:color="auto"/>
        <w:bottom w:val="none" w:sz="0" w:space="0" w:color="auto"/>
        <w:right w:val="none" w:sz="0" w:space="0" w:color="auto"/>
      </w:divBdr>
      <w:divsChild>
        <w:div w:id="9354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874911">
      <w:bodyDiv w:val="1"/>
      <w:marLeft w:val="0"/>
      <w:marRight w:val="0"/>
      <w:marTop w:val="0"/>
      <w:marBottom w:val="0"/>
      <w:divBdr>
        <w:top w:val="none" w:sz="0" w:space="0" w:color="auto"/>
        <w:left w:val="none" w:sz="0" w:space="0" w:color="auto"/>
        <w:bottom w:val="none" w:sz="0" w:space="0" w:color="auto"/>
        <w:right w:val="none" w:sz="0" w:space="0" w:color="auto"/>
      </w:divBdr>
      <w:divsChild>
        <w:div w:id="169806525">
          <w:marLeft w:val="0"/>
          <w:marRight w:val="0"/>
          <w:marTop w:val="0"/>
          <w:marBottom w:val="0"/>
          <w:divBdr>
            <w:top w:val="none" w:sz="0" w:space="0" w:color="auto"/>
            <w:left w:val="none" w:sz="0" w:space="0" w:color="auto"/>
            <w:bottom w:val="none" w:sz="0" w:space="0" w:color="auto"/>
            <w:right w:val="none" w:sz="0" w:space="0" w:color="auto"/>
          </w:divBdr>
        </w:div>
      </w:divsChild>
    </w:div>
    <w:div w:id="2077509060">
      <w:bodyDiv w:val="1"/>
      <w:marLeft w:val="0"/>
      <w:marRight w:val="0"/>
      <w:marTop w:val="0"/>
      <w:marBottom w:val="0"/>
      <w:divBdr>
        <w:top w:val="none" w:sz="0" w:space="0" w:color="auto"/>
        <w:left w:val="none" w:sz="0" w:space="0" w:color="auto"/>
        <w:bottom w:val="none" w:sz="0" w:space="0" w:color="auto"/>
        <w:right w:val="none" w:sz="0" w:space="0" w:color="auto"/>
      </w:divBdr>
    </w:div>
    <w:div w:id="212442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arch.mandumah.com/Record/1442263" TargetMode="External"/><Relationship Id="rId26" Type="http://schemas.openxmlformats.org/officeDocument/2006/relationships/hyperlink" Target="http://search.mandumah.com/Record/1377031" TargetMode="External"/><Relationship Id="rId39" Type="http://schemas.openxmlformats.org/officeDocument/2006/relationships/fontTable" Target="fontTable.xml"/><Relationship Id="rId21" Type="http://schemas.openxmlformats.org/officeDocument/2006/relationships/hyperlink" Target="http://search.mandumah.com/Record/1179471" TargetMode="External"/><Relationship Id="rId34" Type="http://schemas.openxmlformats.org/officeDocument/2006/relationships/hyperlink" Target="https://doi.org/10.26794/2587-5671-2024-28-4-122-13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arch.mandumah.com/Record/1393074" TargetMode="External"/><Relationship Id="rId25" Type="http://schemas.openxmlformats.org/officeDocument/2006/relationships/hyperlink" Target="http://search.mandumah.com/Record/1105458" TargetMode="External"/><Relationship Id="rId33" Type="http://schemas.openxmlformats.org/officeDocument/2006/relationships/hyperlink" Target="https://doi.org/10.55041/ijsrem15629"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arch.mandumah.com/Record/1524722" TargetMode="External"/><Relationship Id="rId20" Type="http://schemas.openxmlformats.org/officeDocument/2006/relationships/hyperlink" Target="http://search.mandumah.com/Record/1264779" TargetMode="External"/><Relationship Id="rId29" Type="http://schemas.openxmlformats.org/officeDocument/2006/relationships/hyperlink" Target="https://doi.org/10.37575/h/mng/250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216924" TargetMode="External"/><Relationship Id="rId32" Type="http://schemas.openxmlformats.org/officeDocument/2006/relationships/hyperlink" Target="https://doi.org/10.51586/2754-6209.2025.13.1(98)" TargetMode="External"/><Relationship Id="rId37" Type="http://schemas.openxmlformats.org/officeDocument/2006/relationships/hyperlink" Target="https://doi.org/10.30574/wjarr.2025.27.2.3027"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473185" TargetMode="External"/><Relationship Id="rId23" Type="http://schemas.openxmlformats.org/officeDocument/2006/relationships/hyperlink" Target="http://search.mandumah.com/Record/1468234" TargetMode="External"/><Relationship Id="rId28" Type="http://schemas.openxmlformats.org/officeDocument/2006/relationships/hyperlink" Target="http://search.mandumah.com/Record/1255621" TargetMode="External"/><Relationship Id="rId36" Type="http://schemas.openxmlformats.org/officeDocument/2006/relationships/hyperlink" Target="https://doi.org/10.22394/1726-1139-2023-11-46-59" TargetMode="External"/><Relationship Id="rId10" Type="http://schemas.openxmlformats.org/officeDocument/2006/relationships/image" Target="media/image3.png"/><Relationship Id="rId19" Type="http://schemas.openxmlformats.org/officeDocument/2006/relationships/hyperlink" Target="http://search.mandumah.com/Record/1250188" TargetMode="External"/><Relationship Id="rId31" Type="http://schemas.openxmlformats.org/officeDocument/2006/relationships/hyperlink" Target="https://doi.org/10.3390/app150316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524908" TargetMode="External"/><Relationship Id="rId22" Type="http://schemas.openxmlformats.org/officeDocument/2006/relationships/hyperlink" Target="http://search.mandumah.com/Record/1572942" TargetMode="External"/><Relationship Id="rId27" Type="http://schemas.openxmlformats.org/officeDocument/2006/relationships/hyperlink" Target="http://search.mandumah.com/Record/1542913" TargetMode="External"/><Relationship Id="rId30" Type="http://schemas.openxmlformats.org/officeDocument/2006/relationships/hyperlink" Target="https://doi.org/10.1155/2021/6681545" TargetMode="External"/><Relationship Id="rId35" Type="http://schemas.openxmlformats.org/officeDocument/2006/relationships/hyperlink" Target="https://doi.org/10.32628/ijsrst24115107"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69</Pages>
  <Words>22900</Words>
  <Characters>130534</Characters>
  <Application>Microsoft Office Word</Application>
  <DocSecurity>0</DocSecurity>
  <Lines>1087</Lines>
  <Paragraphs>306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wessam ayman</cp:lastModifiedBy>
  <cp:revision>7</cp:revision>
  <cp:lastPrinted>2025-11-29T15:02:00Z</cp:lastPrinted>
  <dcterms:created xsi:type="dcterms:W3CDTF">2026-03-05T11:32:00Z</dcterms:created>
  <dcterms:modified xsi:type="dcterms:W3CDTF">2026-07-03T19:51:00Z</dcterms:modified>
</cp:coreProperties>
</file>