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5545B" w14:textId="77777777" w:rsidR="00C57504" w:rsidRPr="00651BBB" w:rsidRDefault="00C57504" w:rsidP="00C57504">
      <w:pPr>
        <w:bidi/>
        <w:jc w:val="center"/>
        <w:rPr>
          <w:rFonts w:ascii="Traditional Arabic" w:hAnsi="Traditional Arabic" w:cs="Traditional Arabic"/>
          <w:b/>
          <w:bCs/>
          <w:sz w:val="28"/>
          <w:szCs w:val="28"/>
          <w:rtl/>
          <w:lang w:bidi="ar-JO"/>
        </w:rPr>
      </w:pPr>
      <w:r w:rsidRPr="00651BBB">
        <w:rPr>
          <w:noProof/>
        </w:rPr>
        <w:drawing>
          <wp:inline distT="0" distB="0" distL="0" distR="0" wp14:anchorId="6F66169A" wp14:editId="43FDF033">
            <wp:extent cx="1911927" cy="1544782"/>
            <wp:effectExtent l="0" t="0" r="0" b="0"/>
            <wp:docPr id="28" name="صورة 28"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1671DD76" w14:textId="77777777" w:rsidR="00C57504" w:rsidRPr="00651BBB" w:rsidRDefault="00C57504" w:rsidP="00C57504">
      <w:pPr>
        <w:bidi/>
        <w:jc w:val="center"/>
        <w:rPr>
          <w:rFonts w:ascii="Traditional Arabic" w:hAnsi="Traditional Arabic" w:cs="Traditional Arabic"/>
          <w:b/>
          <w:bCs/>
          <w:sz w:val="28"/>
          <w:szCs w:val="28"/>
          <w:rtl/>
          <w:lang w:bidi="ar-JO"/>
        </w:rPr>
      </w:pPr>
      <w:r w:rsidRPr="00651BBB">
        <w:rPr>
          <w:rFonts w:ascii="Traditional Arabic" w:hAnsi="Traditional Arabic" w:cs="Traditional Arabic"/>
          <w:b/>
          <w:bCs/>
          <w:sz w:val="28"/>
          <w:szCs w:val="28"/>
          <w:rtl/>
          <w:lang w:bidi="ar-JO"/>
        </w:rPr>
        <w:t>جامعة مداوشن</w:t>
      </w:r>
    </w:p>
    <w:p w14:paraId="2949A666" w14:textId="77777777" w:rsidR="00C57504" w:rsidRPr="00651BBB" w:rsidRDefault="00C57504" w:rsidP="00C57504">
      <w:pPr>
        <w:bidi/>
        <w:jc w:val="center"/>
        <w:rPr>
          <w:rFonts w:ascii="Traditional Arabic" w:hAnsi="Traditional Arabic" w:cs="Traditional Arabic"/>
          <w:b/>
          <w:bCs/>
          <w:sz w:val="24"/>
          <w:szCs w:val="24"/>
          <w:rtl/>
          <w:lang w:bidi="ar-JO"/>
        </w:rPr>
      </w:pPr>
      <w:r w:rsidRPr="00651BBB">
        <w:rPr>
          <w:rFonts w:ascii="Traditional Arabic" w:hAnsi="Traditional Arabic" w:cs="Traditional Arabic" w:hint="cs"/>
          <w:b/>
          <w:bCs/>
          <w:sz w:val="24"/>
          <w:szCs w:val="24"/>
          <w:rtl/>
          <w:lang w:bidi="ar-JO"/>
        </w:rPr>
        <w:t>كلية الادارة</w:t>
      </w:r>
    </w:p>
    <w:p w14:paraId="0981692E" w14:textId="77777777" w:rsidR="00C57504" w:rsidRPr="00651BBB" w:rsidRDefault="00C57504" w:rsidP="00C57504">
      <w:pPr>
        <w:bidi/>
        <w:jc w:val="center"/>
        <w:rPr>
          <w:sz w:val="20"/>
          <w:szCs w:val="20"/>
          <w:rtl/>
          <w:lang w:bidi="ar-JO"/>
        </w:rPr>
      </w:pPr>
    </w:p>
    <w:p w14:paraId="47CFBB3A" w14:textId="77777777" w:rsidR="00194963" w:rsidRPr="00651BBB" w:rsidRDefault="00194963" w:rsidP="00194963">
      <w:pPr>
        <w:bidi/>
        <w:jc w:val="center"/>
        <w:rPr>
          <w:rFonts w:ascii="Traditional Arabic" w:eastAsia="Calibri" w:hAnsi="Traditional Arabic" w:cs="Traditional Arabic"/>
          <w:b/>
          <w:bCs/>
          <w:noProof/>
          <w:sz w:val="36"/>
          <w:szCs w:val="36"/>
          <w:rtl/>
        </w:rPr>
      </w:pPr>
      <w:r w:rsidRPr="00651BBB">
        <w:rPr>
          <w:rFonts w:ascii="Traditional Arabic" w:eastAsia="Calibri" w:hAnsi="Traditional Arabic" w:cs="Traditional Arabic"/>
          <w:b/>
          <w:bCs/>
          <w:noProof/>
          <w:sz w:val="36"/>
          <w:szCs w:val="36"/>
          <w:rtl/>
        </w:rPr>
        <w:t>أثر الاحتراق الوظيفي كمتغير وسيط في العلاقة بين استراتيجيات مواجهة ضغوط العمل والرضا الوظيفي: دراسة تطبيقية على العاملين بمحكمة الأحوال الشخصية بجد</w:t>
      </w:r>
      <w:r w:rsidRPr="00651BBB">
        <w:rPr>
          <w:rFonts w:ascii="Traditional Arabic" w:eastAsia="Calibri" w:hAnsi="Traditional Arabic" w:cs="Traditional Arabic" w:hint="cs"/>
          <w:b/>
          <w:bCs/>
          <w:noProof/>
          <w:sz w:val="36"/>
          <w:szCs w:val="36"/>
          <w:rtl/>
        </w:rPr>
        <w:t>ة</w:t>
      </w:r>
    </w:p>
    <w:p w14:paraId="3255A6F0" w14:textId="77777777" w:rsidR="00C57504" w:rsidRPr="00651BBB" w:rsidRDefault="00C57504" w:rsidP="00C57504">
      <w:pPr>
        <w:bidi/>
        <w:jc w:val="center"/>
        <w:rPr>
          <w:rFonts w:ascii="Traditional Arabic" w:hAnsi="Traditional Arabic" w:cs="Traditional Arabic"/>
          <w:b/>
          <w:bCs/>
          <w:sz w:val="28"/>
          <w:szCs w:val="28"/>
          <w:rtl/>
        </w:rPr>
      </w:pPr>
    </w:p>
    <w:p w14:paraId="1AF21331" w14:textId="77777777" w:rsidR="00C57504" w:rsidRPr="00651BBB" w:rsidRDefault="00C57504" w:rsidP="00C57504">
      <w:pPr>
        <w:bidi/>
        <w:jc w:val="center"/>
        <w:rPr>
          <w:rFonts w:ascii="Traditional Arabic" w:hAnsi="Traditional Arabic" w:cs="Traditional Arabic"/>
          <w:b/>
          <w:bCs/>
          <w:sz w:val="28"/>
          <w:szCs w:val="28"/>
          <w:rtl/>
        </w:rPr>
      </w:pPr>
      <w:r w:rsidRPr="00651BBB">
        <w:rPr>
          <w:rFonts w:ascii="Traditional Arabic" w:hAnsi="Traditional Arabic" w:cs="Traditional Arabic"/>
          <w:b/>
          <w:bCs/>
          <w:sz w:val="28"/>
          <w:szCs w:val="28"/>
          <w:rtl/>
        </w:rPr>
        <w:t xml:space="preserve">اعداد: </w:t>
      </w:r>
    </w:p>
    <w:p w14:paraId="53D6F5A6" w14:textId="524CC89F" w:rsidR="00C57504" w:rsidRPr="00651BBB" w:rsidRDefault="00194963" w:rsidP="00C57504">
      <w:pPr>
        <w:bidi/>
        <w:jc w:val="center"/>
        <w:rPr>
          <w:rFonts w:ascii="Traditional Arabic" w:hAnsi="Traditional Arabic" w:cs="Traditional Arabic" w:hint="cs"/>
          <w:b/>
          <w:bCs/>
          <w:sz w:val="28"/>
          <w:szCs w:val="28"/>
          <w:rtl/>
        </w:rPr>
      </w:pPr>
      <w:r w:rsidRPr="00651BBB">
        <w:rPr>
          <w:rFonts w:ascii="Traditional Arabic" w:hAnsi="Traditional Arabic" w:cs="Traditional Arabic" w:hint="cs"/>
          <w:b/>
          <w:bCs/>
          <w:sz w:val="28"/>
          <w:szCs w:val="28"/>
          <w:rtl/>
        </w:rPr>
        <w:t>معتز سامي</w:t>
      </w:r>
      <w:r w:rsidR="002668FE">
        <w:rPr>
          <w:rFonts w:ascii="Traditional Arabic" w:hAnsi="Traditional Arabic" w:cs="Traditional Arabic" w:hint="cs"/>
          <w:b/>
          <w:bCs/>
          <w:sz w:val="28"/>
          <w:szCs w:val="28"/>
          <w:rtl/>
        </w:rPr>
        <w:t xml:space="preserve"> ولي</w:t>
      </w:r>
    </w:p>
    <w:p w14:paraId="789AB9A4" w14:textId="77777777" w:rsidR="00C57504" w:rsidRPr="00651BBB" w:rsidRDefault="00C57504" w:rsidP="00C57504">
      <w:pPr>
        <w:bidi/>
        <w:jc w:val="center"/>
        <w:rPr>
          <w:rFonts w:ascii="Traditional Arabic" w:hAnsi="Traditional Arabic" w:cs="Traditional Arabic"/>
          <w:b/>
          <w:bCs/>
          <w:sz w:val="24"/>
          <w:szCs w:val="24"/>
          <w:rtl/>
        </w:rPr>
      </w:pPr>
      <w:r w:rsidRPr="00651BBB">
        <w:rPr>
          <w:rFonts w:ascii="Traditional Arabic" w:hAnsi="Traditional Arabic" w:cs="Traditional Arabic" w:hint="cs"/>
          <w:b/>
          <w:bCs/>
          <w:sz w:val="24"/>
          <w:szCs w:val="24"/>
          <w:rtl/>
        </w:rPr>
        <w:t>المملكة العربية السعودية</w:t>
      </w:r>
    </w:p>
    <w:p w14:paraId="62D0CEB3" w14:textId="77777777" w:rsidR="00C57504" w:rsidRPr="00651BBB" w:rsidRDefault="00C57504" w:rsidP="00C57504">
      <w:pPr>
        <w:bidi/>
        <w:jc w:val="center"/>
        <w:rPr>
          <w:rFonts w:ascii="Traditional Arabic" w:hAnsi="Traditional Arabic" w:cs="Traditional Arabic"/>
          <w:b/>
          <w:bCs/>
          <w:sz w:val="24"/>
          <w:szCs w:val="24"/>
          <w:rtl/>
        </w:rPr>
      </w:pPr>
    </w:p>
    <w:p w14:paraId="7F96881C" w14:textId="77777777" w:rsidR="00C57504" w:rsidRPr="00651BBB" w:rsidRDefault="00C57504" w:rsidP="00C57504">
      <w:pPr>
        <w:bidi/>
        <w:jc w:val="center"/>
        <w:rPr>
          <w:rFonts w:ascii="Traditional Arabic" w:hAnsi="Traditional Arabic" w:cs="Traditional Arabic"/>
          <w:b/>
          <w:bCs/>
          <w:sz w:val="24"/>
          <w:szCs w:val="24"/>
          <w:rtl/>
        </w:rPr>
      </w:pPr>
      <w:r w:rsidRPr="00651BBB">
        <w:rPr>
          <w:rFonts w:ascii="Traditional Arabic" w:hAnsi="Traditional Arabic" w:cs="Traditional Arabic" w:hint="cs"/>
          <w:b/>
          <w:bCs/>
          <w:sz w:val="24"/>
          <w:szCs w:val="24"/>
          <w:rtl/>
        </w:rPr>
        <w:t>رسالة  مقدمة لجامعة مداوشن لاستكمال متطلبات نيل درجة الدكتوراه</w:t>
      </w:r>
    </w:p>
    <w:p w14:paraId="4CF08744" w14:textId="77777777" w:rsidR="00C57504" w:rsidRPr="00651BBB" w:rsidRDefault="00C57504" w:rsidP="00C57504">
      <w:pPr>
        <w:bidi/>
        <w:jc w:val="center"/>
        <w:rPr>
          <w:rFonts w:ascii="Traditional Arabic" w:hAnsi="Traditional Arabic" w:cs="Traditional Arabic"/>
          <w:b/>
          <w:bCs/>
          <w:sz w:val="24"/>
          <w:szCs w:val="24"/>
          <w:rtl/>
        </w:rPr>
      </w:pPr>
      <w:r w:rsidRPr="00651BBB">
        <w:rPr>
          <w:rFonts w:ascii="Traditional Arabic" w:hAnsi="Traditional Arabic" w:cs="Traditional Arabic" w:hint="cs"/>
          <w:b/>
          <w:bCs/>
          <w:sz w:val="24"/>
          <w:szCs w:val="24"/>
          <w:rtl/>
        </w:rPr>
        <w:t xml:space="preserve"> في الادارة</w:t>
      </w:r>
    </w:p>
    <w:p w14:paraId="42822786" w14:textId="77777777" w:rsidR="00C57504" w:rsidRPr="00651BBB" w:rsidRDefault="00C57504" w:rsidP="00C57504">
      <w:pPr>
        <w:bidi/>
        <w:rPr>
          <w:rtl/>
          <w:lang w:bidi="ar-JO"/>
        </w:rPr>
      </w:pPr>
    </w:p>
    <w:p w14:paraId="16332822" w14:textId="77777777" w:rsidR="00C57504" w:rsidRPr="00651BBB" w:rsidRDefault="00C57504" w:rsidP="00C57504">
      <w:pPr>
        <w:bidi/>
        <w:rPr>
          <w:rtl/>
          <w:lang w:bidi="ar-JO"/>
        </w:rPr>
      </w:pPr>
    </w:p>
    <w:p w14:paraId="43975BC5" w14:textId="77777777" w:rsidR="00C57504" w:rsidRPr="00651BBB" w:rsidRDefault="00C57504" w:rsidP="00C57504">
      <w:pPr>
        <w:bidi/>
        <w:rPr>
          <w:rtl/>
          <w:lang w:bidi="ar-JO"/>
        </w:rPr>
      </w:pPr>
    </w:p>
    <w:p w14:paraId="20A86FFB" w14:textId="77777777" w:rsidR="00C57504" w:rsidRPr="00651BBB" w:rsidRDefault="00C57504" w:rsidP="00C57504">
      <w:pPr>
        <w:bidi/>
        <w:rPr>
          <w:rtl/>
          <w:lang w:bidi="ar-JO"/>
        </w:rPr>
      </w:pPr>
    </w:p>
    <w:p w14:paraId="78DCBABC" w14:textId="77777777" w:rsidR="00C57504" w:rsidRPr="00651BBB" w:rsidRDefault="00C57504" w:rsidP="00C57504">
      <w:pPr>
        <w:bidi/>
        <w:rPr>
          <w:rtl/>
          <w:lang w:bidi="ar-JO"/>
        </w:rPr>
      </w:pPr>
    </w:p>
    <w:p w14:paraId="46F4B43C" w14:textId="77777777" w:rsidR="00C57504" w:rsidRPr="00651BBB" w:rsidRDefault="00C57504" w:rsidP="00C57504">
      <w:pPr>
        <w:bidi/>
        <w:jc w:val="center"/>
        <w:rPr>
          <w:rtl/>
          <w:lang w:bidi="ar-JO"/>
        </w:rPr>
      </w:pPr>
      <w:r w:rsidRPr="00651BBB">
        <w:rPr>
          <w:noProof/>
        </w:rPr>
        <w:lastRenderedPageBreak/>
        <w:drawing>
          <wp:inline distT="0" distB="0" distL="0" distR="0" wp14:anchorId="0F0A0A52" wp14:editId="2262D123">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34B337E4" w14:textId="77777777" w:rsidR="00C57504" w:rsidRPr="00651BBB" w:rsidRDefault="00C57504" w:rsidP="00C57504">
      <w:pPr>
        <w:jc w:val="center"/>
        <w:rPr>
          <w:rFonts w:asciiTheme="majorBidi" w:hAnsiTheme="majorBidi" w:cstheme="majorBidi"/>
          <w:b/>
          <w:bCs/>
          <w:sz w:val="24"/>
          <w:szCs w:val="24"/>
          <w:lang w:bidi="ar-JO"/>
        </w:rPr>
      </w:pPr>
      <w:r w:rsidRPr="00651BBB">
        <w:rPr>
          <w:rFonts w:asciiTheme="majorBidi" w:hAnsiTheme="majorBidi" w:cstheme="majorBidi"/>
          <w:b/>
          <w:bCs/>
          <w:sz w:val="28"/>
          <w:szCs w:val="28"/>
          <w:lang w:bidi="ar-JO"/>
        </w:rPr>
        <w:t>M</w:t>
      </w:r>
      <w:r w:rsidRPr="00651BBB">
        <w:rPr>
          <w:rFonts w:asciiTheme="majorBidi" w:hAnsiTheme="majorBidi" w:cstheme="majorBidi"/>
          <w:b/>
          <w:bCs/>
          <w:sz w:val="28"/>
          <w:szCs w:val="28"/>
          <w:lang w:bidi="ar-AE"/>
        </w:rPr>
        <w:t>IDOCEAN</w:t>
      </w:r>
      <w:r w:rsidRPr="00651BBB">
        <w:rPr>
          <w:rFonts w:asciiTheme="majorBidi" w:hAnsiTheme="majorBidi" w:cstheme="majorBidi"/>
          <w:b/>
          <w:bCs/>
          <w:sz w:val="28"/>
          <w:szCs w:val="28"/>
          <w:lang w:bidi="ar-JO"/>
        </w:rPr>
        <w:t xml:space="preserve"> UNIVERSITY</w:t>
      </w:r>
      <w:r w:rsidRPr="00651BBB">
        <w:rPr>
          <w:rFonts w:asciiTheme="majorBidi" w:hAnsiTheme="majorBidi" w:cstheme="majorBidi"/>
          <w:lang w:bidi="ar-JO"/>
        </w:rPr>
        <w:br/>
      </w:r>
    </w:p>
    <w:p w14:paraId="5A73F45A" w14:textId="77777777" w:rsidR="00C57504" w:rsidRPr="00651BBB" w:rsidRDefault="00C57504" w:rsidP="00C57504">
      <w:pPr>
        <w:jc w:val="center"/>
        <w:rPr>
          <w:rFonts w:asciiTheme="majorBidi" w:hAnsiTheme="majorBidi" w:cstheme="majorBidi"/>
          <w:b/>
          <w:bCs/>
          <w:sz w:val="24"/>
          <w:szCs w:val="24"/>
          <w:lang w:bidi="ar-JO"/>
        </w:rPr>
      </w:pPr>
    </w:p>
    <w:p w14:paraId="2D720853" w14:textId="77777777" w:rsidR="00C57504" w:rsidRPr="00651BBB" w:rsidRDefault="00C57504" w:rsidP="00C57504">
      <w:pPr>
        <w:jc w:val="center"/>
        <w:rPr>
          <w:rFonts w:asciiTheme="majorBidi" w:hAnsiTheme="majorBidi" w:cstheme="majorBidi"/>
          <w:b/>
          <w:bCs/>
          <w:sz w:val="24"/>
          <w:szCs w:val="24"/>
          <w:lang w:bidi="ar-JO"/>
        </w:rPr>
      </w:pPr>
    </w:p>
    <w:p w14:paraId="0AB613A6" w14:textId="77777777" w:rsidR="00C57504" w:rsidRPr="00651BBB" w:rsidRDefault="00C57504" w:rsidP="00C57504">
      <w:pPr>
        <w:jc w:val="center"/>
        <w:rPr>
          <w:rFonts w:asciiTheme="majorBidi" w:hAnsiTheme="majorBidi" w:cstheme="majorBidi"/>
          <w:lang w:bidi="ar-JO"/>
        </w:rPr>
      </w:pPr>
      <w:r w:rsidRPr="00651BBB">
        <w:rPr>
          <w:rFonts w:asciiTheme="majorBidi" w:hAnsiTheme="majorBidi" w:cstheme="majorBidi"/>
          <w:b/>
          <w:bCs/>
          <w:sz w:val="24"/>
          <w:szCs w:val="24"/>
          <w:lang w:bidi="ar-JO"/>
        </w:rPr>
        <w:t>Faculty of Management</w:t>
      </w:r>
    </w:p>
    <w:p w14:paraId="061C8353" w14:textId="77777777" w:rsidR="00C57504" w:rsidRPr="00651BBB" w:rsidRDefault="00C57504" w:rsidP="00C57504">
      <w:pPr>
        <w:jc w:val="center"/>
        <w:rPr>
          <w:rFonts w:asciiTheme="majorBidi" w:hAnsiTheme="majorBidi" w:cstheme="majorBidi"/>
          <w:b/>
          <w:bCs/>
          <w:sz w:val="36"/>
          <w:szCs w:val="36"/>
          <w:lang w:bidi="ar-JO"/>
        </w:rPr>
      </w:pPr>
    </w:p>
    <w:p w14:paraId="0EE6CD97" w14:textId="77777777" w:rsidR="00C57504" w:rsidRPr="00651BBB" w:rsidRDefault="00C57504" w:rsidP="00C57504">
      <w:pPr>
        <w:jc w:val="center"/>
        <w:rPr>
          <w:rFonts w:asciiTheme="majorBidi" w:hAnsiTheme="majorBidi" w:cstheme="majorBidi"/>
          <w:b/>
          <w:bCs/>
          <w:sz w:val="36"/>
          <w:szCs w:val="36"/>
          <w:lang w:bidi="ar-JO"/>
        </w:rPr>
      </w:pPr>
    </w:p>
    <w:p w14:paraId="6C9DCD4C" w14:textId="77777777" w:rsidR="00194963" w:rsidRPr="00651BBB" w:rsidRDefault="00194963" w:rsidP="00194963">
      <w:pPr>
        <w:jc w:val="center"/>
        <w:rPr>
          <w:rFonts w:asciiTheme="majorBidi" w:hAnsiTheme="majorBidi" w:cstheme="majorBidi"/>
          <w:b/>
          <w:bCs/>
          <w:sz w:val="36"/>
          <w:szCs w:val="36"/>
          <w:rtl/>
        </w:rPr>
      </w:pPr>
      <w:r w:rsidRPr="00651BBB">
        <w:rPr>
          <w:rFonts w:asciiTheme="majorBidi" w:hAnsiTheme="majorBidi" w:cstheme="majorBidi"/>
          <w:b/>
          <w:bCs/>
          <w:sz w:val="36"/>
          <w:szCs w:val="36"/>
          <w:lang w:bidi="ar-JO"/>
        </w:rPr>
        <w:t>The Impact of Job Burnout as a Mediating Variable in the Relationship between Coping Strategies for Work Stress and Job Satisfaction: An Applied Study on Employees at the Personal Status Court in Jeddah</w:t>
      </w:r>
    </w:p>
    <w:p w14:paraId="3F7B989F" w14:textId="77777777" w:rsidR="00C57504" w:rsidRPr="00651BBB" w:rsidRDefault="00C57504" w:rsidP="00C57504">
      <w:pPr>
        <w:jc w:val="center"/>
        <w:rPr>
          <w:rFonts w:asciiTheme="majorBidi" w:hAnsiTheme="majorBidi" w:cstheme="majorBidi"/>
          <w:b/>
          <w:bCs/>
          <w:sz w:val="28"/>
          <w:szCs w:val="28"/>
        </w:rPr>
      </w:pPr>
    </w:p>
    <w:p w14:paraId="039AEC0C" w14:textId="77777777" w:rsidR="00C57504" w:rsidRPr="00651BBB" w:rsidRDefault="00C57504" w:rsidP="00C57504">
      <w:pPr>
        <w:jc w:val="center"/>
        <w:rPr>
          <w:rFonts w:asciiTheme="majorBidi" w:hAnsiTheme="majorBidi" w:cstheme="majorBidi"/>
          <w:b/>
          <w:bCs/>
          <w:sz w:val="28"/>
          <w:szCs w:val="28"/>
          <w:lang w:bidi="ar-JO"/>
        </w:rPr>
      </w:pPr>
    </w:p>
    <w:p w14:paraId="695E4B7E" w14:textId="77777777" w:rsidR="00C57504" w:rsidRPr="00651BBB" w:rsidRDefault="00C57504" w:rsidP="00C57504">
      <w:pPr>
        <w:jc w:val="center"/>
        <w:rPr>
          <w:rFonts w:asciiTheme="majorBidi" w:hAnsiTheme="majorBidi" w:cstheme="majorBidi"/>
          <w:b/>
          <w:bCs/>
          <w:sz w:val="28"/>
          <w:szCs w:val="28"/>
          <w:lang w:bidi="ar-JO"/>
        </w:rPr>
      </w:pPr>
      <w:r w:rsidRPr="00651BBB">
        <w:rPr>
          <w:rFonts w:asciiTheme="majorBidi" w:hAnsiTheme="majorBidi" w:cstheme="majorBidi"/>
          <w:b/>
          <w:bCs/>
          <w:sz w:val="28"/>
          <w:szCs w:val="28"/>
          <w:lang w:bidi="ar-JO"/>
        </w:rPr>
        <w:t>Prepared by:</w:t>
      </w:r>
      <w:r w:rsidRPr="00651BBB">
        <w:rPr>
          <w:rFonts w:asciiTheme="majorBidi" w:hAnsiTheme="majorBidi" w:cstheme="majorBidi"/>
          <w:lang w:bidi="ar-JO"/>
        </w:rPr>
        <w:br/>
      </w:r>
    </w:p>
    <w:p w14:paraId="61831762" w14:textId="304095FD" w:rsidR="00C57504" w:rsidRPr="00651BBB" w:rsidRDefault="00194963" w:rsidP="00C57504">
      <w:pPr>
        <w:jc w:val="center"/>
        <w:rPr>
          <w:rFonts w:asciiTheme="majorBidi" w:hAnsiTheme="majorBidi" w:cstheme="majorBidi"/>
          <w:b/>
          <w:bCs/>
          <w:sz w:val="24"/>
          <w:szCs w:val="24"/>
        </w:rPr>
      </w:pPr>
      <w:r w:rsidRPr="00651BBB">
        <w:rPr>
          <w:rFonts w:asciiTheme="majorBidi" w:hAnsiTheme="majorBidi" w:cstheme="majorBidi" w:hint="cs"/>
          <w:b/>
          <w:bCs/>
          <w:sz w:val="24"/>
          <w:szCs w:val="24"/>
          <w:rtl/>
        </w:rPr>
        <w:t>معتز سامي</w:t>
      </w:r>
      <w:r w:rsidR="00C57504" w:rsidRPr="00651BBB">
        <w:rPr>
          <w:rFonts w:asciiTheme="majorBidi" w:hAnsiTheme="majorBidi" w:cstheme="majorBidi"/>
          <w:lang w:bidi="ar-JO"/>
        </w:rPr>
        <w:br/>
      </w:r>
      <w:r w:rsidR="00C57504" w:rsidRPr="00651BBB">
        <w:rPr>
          <w:rFonts w:asciiTheme="majorBidi" w:hAnsiTheme="majorBidi" w:cstheme="majorBidi"/>
          <w:b/>
          <w:bCs/>
          <w:sz w:val="24"/>
          <w:szCs w:val="24"/>
          <w:lang w:bidi="ar-JO"/>
        </w:rPr>
        <w:t>Kingdom of Saudi Arabia</w:t>
      </w:r>
    </w:p>
    <w:p w14:paraId="7D24F90B" w14:textId="77777777" w:rsidR="00C57504" w:rsidRPr="00651BBB" w:rsidRDefault="00C57504" w:rsidP="00C57504">
      <w:pPr>
        <w:jc w:val="center"/>
        <w:rPr>
          <w:rFonts w:asciiTheme="majorBidi" w:hAnsiTheme="majorBidi" w:cstheme="majorBidi"/>
          <w:sz w:val="24"/>
          <w:szCs w:val="24"/>
          <w:lang w:bidi="ar-JO"/>
        </w:rPr>
      </w:pPr>
    </w:p>
    <w:p w14:paraId="0E731129" w14:textId="77777777" w:rsidR="00C57504" w:rsidRPr="00651BBB" w:rsidRDefault="00C57504" w:rsidP="00C57504">
      <w:pPr>
        <w:jc w:val="center"/>
        <w:rPr>
          <w:rFonts w:asciiTheme="majorBidi" w:hAnsiTheme="majorBidi" w:cstheme="majorBidi"/>
          <w:sz w:val="24"/>
          <w:szCs w:val="24"/>
          <w:rtl/>
          <w:lang w:bidi="ar-JO"/>
        </w:rPr>
        <w:sectPr w:rsidR="00C57504" w:rsidRPr="00651BBB" w:rsidSect="00B91EF8">
          <w:footerReference w:type="default" r:id="rId9"/>
          <w:footerReference w:type="first" r:id="rId10"/>
          <w:pgSz w:w="12240" w:h="15840"/>
          <w:pgMar w:top="1440" w:right="1440" w:bottom="1440" w:left="1440" w:header="720" w:footer="720" w:gutter="0"/>
          <w:cols w:space="720"/>
          <w:titlePg/>
          <w:docGrid w:linePitch="360"/>
        </w:sectPr>
      </w:pPr>
      <w:r w:rsidRPr="00651BBB">
        <w:rPr>
          <w:rFonts w:asciiTheme="majorBidi" w:hAnsiTheme="majorBidi" w:cstheme="majorBidi"/>
          <w:sz w:val="24"/>
          <w:szCs w:val="24"/>
          <w:lang w:bidi="ar-JO"/>
        </w:rPr>
        <w:t>A dissertation submitted to Midocean University in partial fulfillment of the requirements</w:t>
      </w:r>
      <w:r w:rsidRPr="00651BBB">
        <w:rPr>
          <w:rFonts w:asciiTheme="majorBidi" w:hAnsiTheme="majorBidi" w:cstheme="majorBidi"/>
          <w:sz w:val="24"/>
          <w:szCs w:val="24"/>
          <w:lang w:bidi="ar-JO"/>
        </w:rPr>
        <w:br/>
        <w:t>for the degree of Doctor of Philosophy (Ph.D.) in Management</w:t>
      </w:r>
    </w:p>
    <w:p w14:paraId="491AD081" w14:textId="77777777" w:rsidR="00194963" w:rsidRPr="00651BBB" w:rsidRDefault="00194963" w:rsidP="00194963">
      <w:pPr>
        <w:bidi/>
        <w:spacing w:after="200" w:line="276" w:lineRule="auto"/>
        <w:jc w:val="center"/>
        <w:rPr>
          <w:rFonts w:ascii="Traditional Arabic" w:eastAsia="Calibri" w:hAnsi="Traditional Arabic" w:cs="Traditional Arabic"/>
          <w:b/>
          <w:bCs/>
          <w:sz w:val="40"/>
          <w:szCs w:val="40"/>
          <w:rtl/>
          <w:lang w:val="en-GB"/>
        </w:rPr>
      </w:pPr>
      <w:r w:rsidRPr="00651BBB">
        <w:rPr>
          <w:rFonts w:ascii="Traditional Arabic" w:eastAsia="Calibri" w:hAnsi="Traditional Arabic" w:cs="Traditional Arabic"/>
          <w:b/>
          <w:bCs/>
          <w:sz w:val="40"/>
          <w:szCs w:val="40"/>
          <w:rtl/>
          <w:lang w:val="en-GB"/>
        </w:rPr>
        <w:lastRenderedPageBreak/>
        <w:t>أثر الاحتراق الوظيفي كمتغير وسيط في العلاقة بين استراتيجيات مواجهة ضغوط العمل والرضا الوظيفي: دراسة تطبيقية على العاملين بمحكمة الأحوال الشخصية بجد</w:t>
      </w:r>
      <w:r w:rsidRPr="00651BBB">
        <w:rPr>
          <w:rFonts w:ascii="Traditional Arabic" w:eastAsia="Calibri" w:hAnsi="Traditional Arabic" w:cs="Traditional Arabic" w:hint="cs"/>
          <w:b/>
          <w:bCs/>
          <w:sz w:val="40"/>
          <w:szCs w:val="40"/>
          <w:rtl/>
          <w:lang w:val="en-GB"/>
        </w:rPr>
        <w:t>ة</w:t>
      </w:r>
    </w:p>
    <w:p w14:paraId="538B2B1B" w14:textId="77777777" w:rsidR="008074A2" w:rsidRPr="00651BBB" w:rsidRDefault="008074A2" w:rsidP="008074A2">
      <w:pPr>
        <w:bidi/>
        <w:spacing w:after="200" w:line="276" w:lineRule="auto"/>
        <w:jc w:val="center"/>
        <w:rPr>
          <w:rFonts w:ascii="Traditional Arabic" w:eastAsia="Calibri" w:hAnsi="Traditional Arabic" w:cs="Traditional Arabic"/>
          <w:b/>
          <w:bCs/>
          <w:sz w:val="32"/>
          <w:szCs w:val="32"/>
          <w:rtl/>
          <w:lang w:val="en-GB"/>
        </w:rPr>
      </w:pPr>
    </w:p>
    <w:p w14:paraId="1D018C98" w14:textId="77777777" w:rsidR="008074A2" w:rsidRPr="00651BBB" w:rsidRDefault="008074A2" w:rsidP="008074A2">
      <w:pPr>
        <w:bidi/>
        <w:spacing w:after="200" w:line="276" w:lineRule="auto"/>
        <w:jc w:val="center"/>
        <w:rPr>
          <w:rFonts w:ascii="Traditional Arabic" w:eastAsia="Calibri" w:hAnsi="Traditional Arabic" w:cs="Traditional Arabic"/>
          <w:b/>
          <w:bCs/>
          <w:sz w:val="36"/>
          <w:szCs w:val="36"/>
          <w:rtl/>
          <w:lang w:val="en-GB"/>
        </w:rPr>
      </w:pPr>
      <w:r w:rsidRPr="00651BBB">
        <w:rPr>
          <w:rFonts w:ascii="Traditional Arabic" w:eastAsia="Calibri" w:hAnsi="Traditional Arabic" w:cs="Traditional Arabic"/>
          <w:b/>
          <w:bCs/>
          <w:sz w:val="36"/>
          <w:szCs w:val="36"/>
          <w:rtl/>
          <w:lang w:val="en-GB"/>
        </w:rPr>
        <w:t>الفصل الاول</w:t>
      </w:r>
    </w:p>
    <w:p w14:paraId="19F6199F" w14:textId="084F5B85" w:rsidR="008074A2" w:rsidRPr="00651BBB" w:rsidRDefault="008074A2" w:rsidP="008074A2">
      <w:pPr>
        <w:bidi/>
        <w:spacing w:after="200" w:line="276" w:lineRule="auto"/>
        <w:jc w:val="center"/>
        <w:rPr>
          <w:rFonts w:ascii="Traditional Arabic" w:eastAsia="Calibri" w:hAnsi="Traditional Arabic" w:cs="Traditional Arabic"/>
          <w:b/>
          <w:bCs/>
          <w:sz w:val="36"/>
          <w:szCs w:val="36"/>
          <w:rtl/>
          <w:lang w:val="en-GB"/>
        </w:rPr>
      </w:pPr>
      <w:r w:rsidRPr="00651BBB">
        <w:rPr>
          <w:rFonts w:ascii="Traditional Arabic" w:eastAsia="Calibri" w:hAnsi="Traditional Arabic" w:cs="Traditional Arabic"/>
          <w:b/>
          <w:bCs/>
          <w:sz w:val="36"/>
          <w:szCs w:val="36"/>
          <w:rtl/>
          <w:lang w:val="en-GB"/>
        </w:rPr>
        <w:t xml:space="preserve">الاطار </w:t>
      </w:r>
      <w:r w:rsidRPr="00651BBB">
        <w:rPr>
          <w:rFonts w:ascii="Traditional Arabic" w:eastAsia="Calibri" w:hAnsi="Traditional Arabic" w:cs="Traditional Arabic" w:hint="cs"/>
          <w:b/>
          <w:bCs/>
          <w:sz w:val="36"/>
          <w:szCs w:val="36"/>
          <w:rtl/>
          <w:lang w:val="en-GB"/>
        </w:rPr>
        <w:t>العام للدراسة</w:t>
      </w:r>
    </w:p>
    <w:p w14:paraId="51BA5A5D" w14:textId="1904322D" w:rsidR="00651BBB" w:rsidRPr="00651BBB" w:rsidRDefault="00651BBB" w:rsidP="00651BBB">
      <w:pPr>
        <w:bidi/>
        <w:spacing w:after="200" w:line="360" w:lineRule="auto"/>
        <w:jc w:val="both"/>
        <w:rPr>
          <w:rFonts w:ascii="Traditional Arabic" w:eastAsia="Calibri" w:hAnsi="Traditional Arabic" w:cs="Traditional Arabic"/>
          <w:b/>
          <w:bCs/>
          <w:sz w:val="36"/>
          <w:szCs w:val="36"/>
          <w:rtl/>
          <w:lang w:val="en-GB"/>
        </w:rPr>
      </w:pPr>
      <w:r w:rsidRPr="00651BBB">
        <w:rPr>
          <w:rFonts w:ascii="Traditional Arabic" w:eastAsia="Calibri" w:hAnsi="Traditional Arabic" w:cs="Traditional Arabic" w:hint="cs"/>
          <w:b/>
          <w:bCs/>
          <w:sz w:val="36"/>
          <w:szCs w:val="36"/>
          <w:rtl/>
          <w:lang w:val="en-GB"/>
        </w:rPr>
        <w:t>تمهيد</w:t>
      </w:r>
    </w:p>
    <w:p w14:paraId="7AD4E972" w14:textId="61098CD1" w:rsidR="00651BBB" w:rsidRDefault="00651BBB" w:rsidP="00651BBB">
      <w:pPr>
        <w:bidi/>
        <w:spacing w:after="200" w:line="360" w:lineRule="auto"/>
        <w:ind w:firstLine="720"/>
        <w:jc w:val="both"/>
        <w:rPr>
          <w:rFonts w:ascii="Traditional Arabic" w:eastAsia="Calibri" w:hAnsi="Traditional Arabic" w:cs="Traditional Arabic"/>
          <w:sz w:val="32"/>
          <w:szCs w:val="32"/>
          <w:rtl/>
        </w:rPr>
      </w:pPr>
      <w:r w:rsidRPr="00651BBB">
        <w:rPr>
          <w:rFonts w:ascii="Traditional Arabic" w:eastAsia="Calibri" w:hAnsi="Traditional Arabic" w:cs="Traditional Arabic"/>
          <w:sz w:val="32"/>
          <w:szCs w:val="32"/>
          <w:rtl/>
          <w:lang w:val="en-GB"/>
        </w:rPr>
        <w:t>يقدّم هذا الفصل الإطار العام للدراسة من خلال تناول موضوع أثر الاحتراق الوظيفي كمتغير وسيط في العلاقة بين استراتيجيات مواجهة ضغوط العمل والرضا الوظيفي لدى العاملين بمحكمة الأحوال الشخصية بمدينة جدة، وذلك ضمن سياقه المهني والمؤسسي المرتبط بطبيعة العمل القضائي في المملكة العربية السعودية. وقد بدأ الفصل بعرض مقدمة توضح تنامي ضغوط العمل في البيئة القضائية وما تسببه من توتر وإجهاد نفسي ومهني للعاملين، وما يترتب عليه من انخفاض في مستويات الرضا الوظيفي وارتفاع معدلات الاحتراق الوظيفي، مع ربط ذلك بجهود التحول المؤسسي التي تؤكد عليها رؤية المملكة 2030 في تحسين بيئة العمل الحكومية وتعزيز رفاه الموظفين</w:t>
      </w:r>
      <w:r w:rsidRPr="00651BBB">
        <w:rPr>
          <w:rFonts w:ascii="Traditional Arabic" w:eastAsia="Calibri" w:hAnsi="Traditional Arabic" w:cs="Traditional Arabic"/>
          <w:sz w:val="32"/>
          <w:szCs w:val="32"/>
        </w:rPr>
        <w:t>.</w:t>
      </w:r>
      <w:r>
        <w:rPr>
          <w:rFonts w:ascii="Traditional Arabic" w:eastAsia="Calibri" w:hAnsi="Traditional Arabic" w:cs="Traditional Arabic" w:hint="cs"/>
          <w:sz w:val="32"/>
          <w:szCs w:val="32"/>
          <w:rtl/>
          <w:lang w:bidi="ar-JO"/>
        </w:rPr>
        <w:t xml:space="preserve"> </w:t>
      </w:r>
      <w:r w:rsidRPr="00651BBB">
        <w:rPr>
          <w:rFonts w:ascii="Traditional Arabic" w:eastAsia="Calibri" w:hAnsi="Traditional Arabic" w:cs="Traditional Arabic"/>
          <w:sz w:val="32"/>
          <w:szCs w:val="32"/>
          <w:rtl/>
          <w:lang w:val="en-GB"/>
        </w:rPr>
        <w:t xml:space="preserve">تناول الفصل مشكلة الدراسة في ضوء فجوة بحثية واضحة تتجلى في محدودية الدراسات المحلية التي بحثت العلاقات التفاعلية بين استراتيجيات مواجهة ضغوط العمل والاحتراق الوظيفي والرضا الوظيفي في سياق المحاكم، رغم ما تشير إليه الأدبيات العالمية من أهمية هذه المتغيرات في تفسير الأداء المؤسسي وجودة الخدمة. وتم صياغة تساؤلات الدراسة بما يعكس الحاجة إلى معرفة مستوى الضغوط، ودرجة استخدام استراتيجيات </w:t>
      </w:r>
      <w:r w:rsidRPr="00651BBB">
        <w:rPr>
          <w:rFonts w:ascii="Traditional Arabic" w:eastAsia="Calibri" w:hAnsi="Traditional Arabic" w:cs="Traditional Arabic"/>
          <w:sz w:val="32"/>
          <w:szCs w:val="32"/>
          <w:rtl/>
          <w:lang w:val="en-GB"/>
        </w:rPr>
        <w:lastRenderedPageBreak/>
        <w:t>المواجهة، ومستويات الاحتراق والرضا الوظيفي، وتحليل العلاقات المباشرة وغير المباشرة بينها</w:t>
      </w:r>
      <w:r w:rsidRPr="00651BBB">
        <w:rPr>
          <w:rFonts w:ascii="Traditional Arabic" w:eastAsia="Calibri" w:hAnsi="Traditional Arabic" w:cs="Traditional Arabic"/>
          <w:sz w:val="32"/>
          <w:szCs w:val="32"/>
        </w:rPr>
        <w:t>.</w:t>
      </w:r>
      <w:r>
        <w:rPr>
          <w:rFonts w:ascii="Traditional Arabic" w:eastAsia="Calibri" w:hAnsi="Traditional Arabic" w:cs="Traditional Arabic" w:hint="cs"/>
          <w:sz w:val="32"/>
          <w:szCs w:val="32"/>
          <w:rtl/>
          <w:lang w:bidi="ar-JO"/>
        </w:rPr>
        <w:t xml:space="preserve"> </w:t>
      </w:r>
      <w:r w:rsidRPr="00651BBB">
        <w:rPr>
          <w:rFonts w:ascii="Traditional Arabic" w:eastAsia="Calibri" w:hAnsi="Traditional Arabic" w:cs="Traditional Arabic"/>
          <w:sz w:val="32"/>
          <w:szCs w:val="32"/>
          <w:rtl/>
          <w:lang w:val="en-GB"/>
        </w:rPr>
        <w:t>استعرض الفصل الأهمية النظرية والتطبيقية للدراسة، مبرزًا إسهامها في تطوير المعرفة العلمية حول بيئة العمل القضائية السعودية، وتقديم نموذج مفاهيمي محدث يختبر الدور الوسيط للاحتراق الوظيفي، إلى جانب تقديم نتائج يمكن أن تساعد صناع القرار في وزارة العدل على تصميم برامج تسهم في خفض الإجهاد والاحتراق وتحسين الرضا الوظيفي. كما اشتمل الفصل على تحديد أهداف الدراسة وفرضياتها التي بُنيت على أسس نظرية راسخة، إضافة إلى توضيح الحدود المكانية والبشرية والزمانية والموضوعية والتطبيقية التي تضبط نطاق الدراسة</w:t>
      </w:r>
      <w:r w:rsidRPr="00651BBB">
        <w:rPr>
          <w:rFonts w:ascii="Traditional Arabic" w:eastAsia="Calibri" w:hAnsi="Traditional Arabic" w:cs="Traditional Arabic"/>
          <w:sz w:val="32"/>
          <w:szCs w:val="32"/>
        </w:rPr>
        <w:t>.</w:t>
      </w:r>
      <w:r w:rsidRPr="00651BBB">
        <w:rPr>
          <w:rFonts w:ascii="Traditional Arabic" w:eastAsia="Calibri" w:hAnsi="Traditional Arabic" w:cs="Traditional Arabic" w:hint="cs"/>
          <w:sz w:val="32"/>
          <w:szCs w:val="32"/>
          <w:rtl/>
          <w:lang w:bidi="ar-JO"/>
        </w:rPr>
        <w:t xml:space="preserve"> </w:t>
      </w:r>
      <w:r w:rsidRPr="00651BBB">
        <w:rPr>
          <w:rFonts w:ascii="Traditional Arabic" w:eastAsia="Calibri" w:hAnsi="Traditional Arabic" w:cs="Traditional Arabic"/>
          <w:sz w:val="32"/>
          <w:szCs w:val="32"/>
          <w:rtl/>
          <w:lang w:val="en-GB"/>
        </w:rPr>
        <w:t>ويختتم الفصل بعرض النموذج المفاهيمي الذي يربط بين متغيرات الدراسة الثلاثة، موضحًا العلاقات المباشرة وغير المباشرة المفترضة بينها، تمهيدًا للانتقال إلى الفصل الثاني الذي يستعرض الإطار النظري والدراسات السابقة ذات الصلة، والفصل الثالث الذي يوضح المنهجية العلمية المستخدمة في التحليل الإحصائي للتحقق من فرضيات الدراسة</w:t>
      </w:r>
      <w:r w:rsidRPr="00651BBB">
        <w:rPr>
          <w:rFonts w:ascii="Traditional Arabic" w:eastAsia="Calibri" w:hAnsi="Traditional Arabic" w:cs="Traditional Arabic"/>
          <w:sz w:val="32"/>
          <w:szCs w:val="32"/>
        </w:rPr>
        <w:t>.</w:t>
      </w:r>
    </w:p>
    <w:p w14:paraId="466C1268" w14:textId="77777777" w:rsidR="00651BBB" w:rsidRPr="00651BBB" w:rsidRDefault="00651BBB" w:rsidP="00651BBB">
      <w:pPr>
        <w:bidi/>
        <w:spacing w:after="200" w:line="360" w:lineRule="auto"/>
        <w:ind w:firstLine="720"/>
        <w:jc w:val="both"/>
        <w:rPr>
          <w:rFonts w:ascii="Traditional Arabic" w:eastAsia="Calibri" w:hAnsi="Traditional Arabic" w:cs="Traditional Arabic"/>
          <w:sz w:val="32"/>
          <w:szCs w:val="32"/>
        </w:rPr>
      </w:pPr>
    </w:p>
    <w:p w14:paraId="1496F5A1" w14:textId="1DD88FC0" w:rsidR="00651BBB" w:rsidRDefault="008074A2" w:rsidP="00651BBB">
      <w:pPr>
        <w:bidi/>
        <w:spacing w:after="200" w:line="360" w:lineRule="auto"/>
        <w:jc w:val="both"/>
        <w:rPr>
          <w:rFonts w:ascii="Traditional Arabic" w:eastAsia="等线 Light" w:hAnsi="Traditional Arabic" w:cs="Traditional Arabic"/>
          <w:b/>
          <w:bCs/>
          <w:color w:val="000000"/>
          <w:sz w:val="36"/>
          <w:szCs w:val="36"/>
          <w:rtl/>
        </w:rPr>
      </w:pPr>
      <w:r w:rsidRPr="008074A2">
        <w:rPr>
          <w:rFonts w:ascii="Traditional Arabic" w:eastAsia="等线 Light" w:hAnsi="Traditional Arabic" w:cs="Traditional Arabic"/>
          <w:b/>
          <w:bCs/>
          <w:color w:val="000000"/>
          <w:sz w:val="36"/>
          <w:szCs w:val="36"/>
          <w:rtl/>
        </w:rPr>
        <w:t>مقدمة الدراسة</w:t>
      </w:r>
      <w:r w:rsidR="00651BBB">
        <w:rPr>
          <w:rFonts w:ascii="Traditional Arabic" w:eastAsia="等线 Light" w:hAnsi="Traditional Arabic" w:cs="Traditional Arabic" w:hint="cs"/>
          <w:b/>
          <w:bCs/>
          <w:color w:val="000000"/>
          <w:sz w:val="36"/>
          <w:szCs w:val="36"/>
          <w:rtl/>
        </w:rPr>
        <w:t>:</w:t>
      </w:r>
    </w:p>
    <w:p w14:paraId="705E66BD" w14:textId="77777777" w:rsidR="00651BBB" w:rsidRDefault="00194963" w:rsidP="00651BBB">
      <w:pPr>
        <w:bidi/>
        <w:spacing w:after="200" w:line="360" w:lineRule="auto"/>
        <w:ind w:firstLine="720"/>
        <w:jc w:val="both"/>
        <w:rPr>
          <w:rFonts w:ascii="Traditional Arabic" w:eastAsia="等线 Light" w:hAnsi="Traditional Arabic" w:cs="Traditional Arabic"/>
          <w:b/>
          <w:bCs/>
          <w:color w:val="000000"/>
          <w:sz w:val="36"/>
          <w:szCs w:val="36"/>
          <w:rtl/>
        </w:rPr>
      </w:pPr>
      <w:r>
        <w:rPr>
          <w:rFonts w:ascii="Traditional Arabic" w:hAnsi="Traditional Arabic" w:cs="Traditional Arabic" w:hint="cs"/>
          <w:sz w:val="32"/>
          <w:szCs w:val="32"/>
          <w:rtl/>
        </w:rPr>
        <w:t>تعتبر</w:t>
      </w:r>
      <w:r w:rsidRPr="004B6F94">
        <w:rPr>
          <w:rFonts w:ascii="Traditional Arabic" w:hAnsi="Traditional Arabic" w:cs="Traditional Arabic"/>
          <w:sz w:val="32"/>
          <w:szCs w:val="32"/>
          <w:rtl/>
        </w:rPr>
        <w:t xml:space="preserve"> الضغوط المهنية من أبرز التحديات التي تواجه الأفراد في بيئات العمل الحديثة، لما لها من آثار نفسية وسلوكية ووظيفية سلبية على العاملين، مع انعكاسات مباشرة على مستوى الأداء والإنتاجية داخل المؤسسات. وتزداد هذه الضغوط حدةً في القطاعات القضائية نظرًا لطبيعة العمل المعقدة والحساسة، خاصة في محاكم الأحوال الشخصية التي تتعامل مع قضايا ذات أبعاد اجتماعية وإنسانية كبيرة، مما يعرض العاملين لمستويات مرتفعة من الضغط النفسي والمهني. وينعكس ذلك بشكل واضح </w:t>
      </w:r>
      <w:r w:rsidRPr="004B6F94">
        <w:rPr>
          <w:rFonts w:ascii="Traditional Arabic" w:hAnsi="Traditional Arabic" w:cs="Traditional Arabic"/>
          <w:sz w:val="32"/>
          <w:szCs w:val="32"/>
          <w:rtl/>
        </w:rPr>
        <w:lastRenderedPageBreak/>
        <w:t>على جودة الأداء الوظيفي، فعالية القرارات القضائية، ومعدلات الاحتراق الوظيفي، التي تعد من أهم المؤشرات على إجهاد الموظفين في بيئة العمل (</w:t>
      </w:r>
      <w:r w:rsidRPr="004B6F94">
        <w:rPr>
          <w:rFonts w:ascii="Traditional Arabic" w:hAnsi="Traditional Arabic" w:cs="Traditional Arabic"/>
          <w:sz w:val="32"/>
          <w:szCs w:val="32"/>
        </w:rPr>
        <w:t>Anees et al., 2021</w:t>
      </w:r>
      <w:r w:rsidRPr="004B6F94">
        <w:rPr>
          <w:rFonts w:ascii="Traditional Arabic" w:hAnsi="Traditional Arabic" w:cs="Traditional Arabic"/>
          <w:sz w:val="32"/>
          <w:szCs w:val="32"/>
          <w:rtl/>
        </w:rPr>
        <w:t>).</w:t>
      </w:r>
    </w:p>
    <w:p w14:paraId="7E0C9D0C" w14:textId="77777777" w:rsidR="00651BBB" w:rsidRDefault="00194963" w:rsidP="00651BBB">
      <w:pPr>
        <w:bidi/>
        <w:spacing w:after="200" w:line="360" w:lineRule="auto"/>
        <w:ind w:firstLine="720"/>
        <w:jc w:val="both"/>
        <w:rPr>
          <w:rFonts w:ascii="Traditional Arabic" w:eastAsia="等线 Light" w:hAnsi="Traditional Arabic" w:cs="Traditional Arabic"/>
          <w:b/>
          <w:bCs/>
          <w:color w:val="000000"/>
          <w:sz w:val="36"/>
          <w:szCs w:val="36"/>
          <w:rtl/>
        </w:rPr>
      </w:pPr>
      <w:r w:rsidRPr="004B6F94">
        <w:rPr>
          <w:rFonts w:ascii="Traditional Arabic" w:hAnsi="Traditional Arabic" w:cs="Traditional Arabic"/>
          <w:sz w:val="32"/>
          <w:szCs w:val="32"/>
          <w:rtl/>
        </w:rPr>
        <w:t>في إطار رؤية المملكة 2030 التي تهدف إلى بناء جهاز قضائي حديث وفعّال يعزز العدالة ويكسب ثقة المجتمع، بات تحسين بيئة العمل القضائية ورفع كفاءة العاملين من الأولويات الوطنية، حيث تركز الرؤية على تطوير الموارد البشرية في جميع القطاعات، بما يشمل تحسين جودة الحياة الوظيفية، رفع الرضا الوظيفي، والحد من مشكلات الاحتراق الوظيفي. ويُعتبر الرضا الوظيفي من المتغيرات الأساسية التي ترتبط ارتباطًا وثيقًا بمستوى الأداء الفردي والجماعي، كما أن ارتفاعه يسهم في زيادة الدافعية، وتحسين الالتزام التنظيمي، وتقليل نية ترك العمل، بينما انخفاضه يؤدي إلى تراجع الإنتاجية وارتفاع مستويا</w:t>
      </w:r>
      <w:r w:rsidRPr="00FE21AE">
        <w:rPr>
          <w:rFonts w:ascii="Traditional Arabic" w:hAnsi="Traditional Arabic" w:cs="Traditional Arabic"/>
          <w:sz w:val="32"/>
          <w:szCs w:val="32"/>
          <w:rtl/>
        </w:rPr>
        <w:t>ت الاحتراق المهني (</w:t>
      </w:r>
      <w:r w:rsidRPr="00FE21AE">
        <w:rPr>
          <w:rFonts w:ascii="Traditional Arabic" w:hAnsi="Traditional Arabic" w:cs="Traditional Arabic"/>
          <w:sz w:val="32"/>
          <w:szCs w:val="32"/>
        </w:rPr>
        <w:t>Kumari &amp; Pandey, 2023; Ramlawati</w:t>
      </w:r>
      <w:r w:rsidRPr="00FE21AE">
        <w:rPr>
          <w:rFonts w:ascii="Traditional Arabic" w:hAnsi="Traditional Arabic" w:cs="Traditional Arabic"/>
          <w:sz w:val="32"/>
          <w:szCs w:val="32"/>
          <w:lang w:bidi="ar-AE"/>
        </w:rPr>
        <w:t xml:space="preserve"> et al.</w:t>
      </w:r>
      <w:r w:rsidRPr="00FE21AE">
        <w:rPr>
          <w:rFonts w:ascii="Traditional Arabic" w:hAnsi="Traditional Arabic" w:cs="Traditional Arabic"/>
          <w:sz w:val="32"/>
          <w:szCs w:val="32"/>
        </w:rPr>
        <w:t xml:space="preserve"> 2021</w:t>
      </w:r>
      <w:r w:rsidRPr="00FE21AE">
        <w:rPr>
          <w:rFonts w:ascii="Traditional Arabic" w:hAnsi="Traditional Arabic" w:cs="Traditional Arabic"/>
          <w:sz w:val="32"/>
          <w:szCs w:val="32"/>
          <w:rtl/>
        </w:rPr>
        <w:t>).</w:t>
      </w:r>
    </w:p>
    <w:p w14:paraId="5CE1C76F" w14:textId="44F1C766" w:rsidR="00194963" w:rsidRPr="00651BBB" w:rsidRDefault="00194963" w:rsidP="00651BBB">
      <w:pPr>
        <w:bidi/>
        <w:spacing w:after="200" w:line="360" w:lineRule="auto"/>
        <w:ind w:firstLine="720"/>
        <w:jc w:val="both"/>
        <w:rPr>
          <w:rFonts w:ascii="Traditional Arabic" w:eastAsia="等线 Light" w:hAnsi="Traditional Arabic" w:cs="Traditional Arabic"/>
          <w:b/>
          <w:bCs/>
          <w:color w:val="000000"/>
          <w:sz w:val="36"/>
          <w:szCs w:val="36"/>
          <w:rtl/>
        </w:rPr>
      </w:pPr>
      <w:r w:rsidRPr="004B6F94">
        <w:rPr>
          <w:rFonts w:ascii="Traditional Arabic" w:hAnsi="Traditional Arabic" w:cs="Traditional Arabic"/>
          <w:sz w:val="32"/>
          <w:szCs w:val="32"/>
          <w:rtl/>
        </w:rPr>
        <w:t xml:space="preserve">من جهة أخرى، تبرز استراتيجيات مواجهة ضغوط العمل كأدوات فعالة تساعد العاملين على التكيف مع بيئات العمل الضاغطة، حيث تسهم في الت خفيف </w:t>
      </w:r>
      <w:r w:rsidRPr="00FE21AE">
        <w:rPr>
          <w:rFonts w:ascii="Traditional Arabic" w:hAnsi="Traditional Arabic" w:cs="Traditional Arabic"/>
          <w:sz w:val="32"/>
          <w:szCs w:val="32"/>
          <w:rtl/>
        </w:rPr>
        <w:t>من الآثار النفسية السلبية وتحقيق التوازن الذهني، مما يعزز الكفاءة الوظيفية والرضا المهني (</w:t>
      </w:r>
      <w:r w:rsidRPr="00FE21AE">
        <w:rPr>
          <w:rFonts w:ascii="Traditional Arabic" w:hAnsi="Traditional Arabic" w:cs="Traditional Arabic"/>
          <w:sz w:val="32"/>
          <w:szCs w:val="32"/>
        </w:rPr>
        <w:t>Woods et al., 2023</w:t>
      </w:r>
      <w:r w:rsidRPr="00FE21AE">
        <w:rPr>
          <w:rFonts w:ascii="Traditional Arabic" w:hAnsi="Traditional Arabic" w:cs="Traditional Arabic"/>
          <w:sz w:val="32"/>
          <w:szCs w:val="32"/>
          <w:rtl/>
        </w:rPr>
        <w:t>). وفي ظل التطور المستمر في القطاع القضائي السعودي، تزداد الحاجة إلى دراسة هذه الاستراتيجيات وعلاقتها بالرضا الوظيفي والاحتراق الوظيفي في بيئة محكمة الأحوال</w:t>
      </w:r>
      <w:r w:rsidRPr="004B6F94">
        <w:rPr>
          <w:rFonts w:ascii="Traditional Arabic" w:hAnsi="Traditional Arabic" w:cs="Traditional Arabic"/>
          <w:sz w:val="32"/>
          <w:szCs w:val="32"/>
          <w:rtl/>
        </w:rPr>
        <w:t xml:space="preserve"> الشخصية بجدة، باعتبارها نموذجًا حيويًا يعكس طبيعة العمل القضائي ضمن مستهدفات رؤية 2030.</w:t>
      </w:r>
    </w:p>
    <w:p w14:paraId="6B3649DE" w14:textId="77777777" w:rsidR="00194963" w:rsidRDefault="00194963" w:rsidP="00651BBB">
      <w:pPr>
        <w:keepNext/>
        <w:keepLines/>
        <w:bidi/>
        <w:spacing w:before="120" w:after="0" w:line="360" w:lineRule="auto"/>
        <w:ind w:firstLine="720"/>
        <w:jc w:val="both"/>
        <w:outlineLvl w:val="0"/>
        <w:rPr>
          <w:rFonts w:ascii="Traditional Arabic" w:hAnsi="Traditional Arabic" w:cs="Traditional Arabic"/>
          <w:sz w:val="32"/>
          <w:szCs w:val="32"/>
          <w:rtl/>
        </w:rPr>
      </w:pPr>
      <w:r w:rsidRPr="004B6F94">
        <w:rPr>
          <w:rFonts w:ascii="Traditional Arabic" w:hAnsi="Traditional Arabic" w:cs="Traditional Arabic"/>
          <w:sz w:val="32"/>
          <w:szCs w:val="32"/>
          <w:rtl/>
        </w:rPr>
        <w:lastRenderedPageBreak/>
        <w:t>من هذا المنطلق، تهدف هذه الدراسة إلى استقصاء أثر استراتيجيات مواجهة ضغوط العمل على الرضا الوظيفي لدى العاملين بمحكمة الأحوال الشخصية بجدة، مع دراسة الدور الوسيط للاحتراق الوظيفي في هذه العلاقة. وتسعى إلى تقديم نتائج علمية تسهم في تحسين بيئة العمل القضائية، رفع كفاءة العاملين، وتعزيز جودة الخدمات المقدمة، بما ينسجم مع تطلعات رؤية المملكة 2030 لتحقيق عدالة فعالة ومستدامة</w:t>
      </w:r>
      <w:r>
        <w:rPr>
          <w:rFonts w:ascii="Traditional Arabic" w:hAnsi="Traditional Arabic" w:cs="Traditional Arabic" w:hint="cs"/>
          <w:sz w:val="32"/>
          <w:szCs w:val="32"/>
          <w:rtl/>
        </w:rPr>
        <w:t>.</w:t>
      </w:r>
    </w:p>
    <w:p w14:paraId="1E9CE5ED" w14:textId="77777777" w:rsidR="00C57504" w:rsidRPr="00651BBB" w:rsidRDefault="00C57504" w:rsidP="00651BBB">
      <w:pPr>
        <w:bidi/>
        <w:spacing w:after="200" w:line="360" w:lineRule="auto"/>
        <w:jc w:val="both"/>
        <w:rPr>
          <w:rFonts w:ascii="Traditional Arabic" w:eastAsia="Times New Roman" w:hAnsi="Traditional Arabic" w:cs="Traditional Arabic"/>
          <w:sz w:val="32"/>
          <w:szCs w:val="32"/>
          <w:rtl/>
        </w:rPr>
      </w:pPr>
    </w:p>
    <w:p w14:paraId="3D435420" w14:textId="24850333" w:rsidR="008074A2" w:rsidRPr="008074A2" w:rsidRDefault="008074A2" w:rsidP="008074A2">
      <w:pPr>
        <w:keepNext/>
        <w:keepLines/>
        <w:bidi/>
        <w:spacing w:after="0" w:line="360" w:lineRule="auto"/>
        <w:jc w:val="both"/>
        <w:outlineLvl w:val="0"/>
        <w:rPr>
          <w:rFonts w:ascii="Traditional Arabic" w:eastAsia="等线 Light" w:hAnsi="Traditional Arabic" w:cs="Traditional Arabic"/>
          <w:b/>
          <w:bCs/>
          <w:color w:val="000000"/>
          <w:sz w:val="36"/>
          <w:szCs w:val="36"/>
          <w:rtl/>
        </w:rPr>
      </w:pPr>
      <w:r w:rsidRPr="008074A2">
        <w:rPr>
          <w:rFonts w:ascii="Traditional Arabic" w:eastAsia="等线 Light" w:hAnsi="Traditional Arabic" w:cs="Traditional Arabic"/>
          <w:b/>
          <w:bCs/>
          <w:color w:val="000000"/>
          <w:sz w:val="36"/>
          <w:szCs w:val="36"/>
          <w:rtl/>
        </w:rPr>
        <w:t>مشكلة الدراسة</w:t>
      </w:r>
      <w:r w:rsidR="00651BBB">
        <w:rPr>
          <w:rFonts w:ascii="Traditional Arabic" w:eastAsia="等线 Light" w:hAnsi="Traditional Arabic" w:cs="Traditional Arabic" w:hint="cs"/>
          <w:b/>
          <w:bCs/>
          <w:color w:val="000000"/>
          <w:sz w:val="36"/>
          <w:szCs w:val="36"/>
          <w:rtl/>
        </w:rPr>
        <w:t xml:space="preserve"> وتساؤلاتها:</w:t>
      </w:r>
    </w:p>
    <w:p w14:paraId="1C1B65B7" w14:textId="5105A052" w:rsidR="00194963" w:rsidRPr="00651BBB" w:rsidRDefault="00194963" w:rsidP="00651BBB">
      <w:pPr>
        <w:bidi/>
        <w:spacing w:after="200" w:line="360" w:lineRule="auto"/>
        <w:ind w:firstLine="720"/>
        <w:jc w:val="both"/>
        <w:rPr>
          <w:rFonts w:ascii="Traditional Arabic" w:eastAsia="Calibri" w:hAnsi="Traditional Arabic" w:cs="Traditional Arabic"/>
          <w:sz w:val="32"/>
          <w:szCs w:val="32"/>
          <w:lang w:val="en-GB"/>
        </w:rPr>
      </w:pPr>
      <w:r w:rsidRPr="004B6F94">
        <w:rPr>
          <w:rFonts w:ascii="Traditional Arabic" w:eastAsia="Calibri" w:hAnsi="Traditional Arabic" w:cs="Traditional Arabic"/>
          <w:sz w:val="32"/>
          <w:szCs w:val="32"/>
          <w:rtl/>
          <w:lang w:val="en-GB"/>
        </w:rPr>
        <w:t>تشهد مؤسسات القطاع الحكومي السعودي، بما في ذلك المحاك</w:t>
      </w:r>
      <w:r w:rsidRPr="00FE21AE">
        <w:rPr>
          <w:rFonts w:ascii="Traditional Arabic" w:eastAsia="Calibri" w:hAnsi="Traditional Arabic" w:cs="Traditional Arabic"/>
          <w:sz w:val="32"/>
          <w:szCs w:val="32"/>
          <w:rtl/>
          <w:lang w:val="en-GB"/>
        </w:rPr>
        <w:t>م، تزايدًا ملحوظًا في ضغوط العمل والإجهاد النفسي لدى الموظفين، مما يؤثر سلبًا على رضاهم الوظيفي وأدائهم. وفقًا لتقرير وزارة الموارد البشرية والتنمية الاجتماعية لعام 2023، ارتفعت معدلات التوتر والإرهاق النفسي بين موظفي القطاع الحكومي بنسبة 15% مقارنة بالسنوات السابقة، مما يؤكد الحاجة إلى اتخاذ تدابير فعالة لتحسين بيئة العمل ودعم صحة</w:t>
      </w:r>
      <w:r w:rsidRPr="004B6F94">
        <w:rPr>
          <w:rFonts w:ascii="Traditional Arabic" w:eastAsia="Calibri" w:hAnsi="Traditional Arabic" w:cs="Traditional Arabic"/>
          <w:sz w:val="32"/>
          <w:szCs w:val="32"/>
          <w:rtl/>
          <w:lang w:val="en-GB"/>
        </w:rPr>
        <w:t xml:space="preserve"> </w:t>
      </w:r>
      <w:r w:rsidRPr="00FE21AE">
        <w:rPr>
          <w:rFonts w:ascii="Traditional Arabic" w:eastAsia="Calibri" w:hAnsi="Traditional Arabic" w:cs="Traditional Arabic"/>
          <w:sz w:val="32"/>
          <w:szCs w:val="32"/>
          <w:rtl/>
          <w:lang w:val="en-GB"/>
        </w:rPr>
        <w:t>الموظفين (وزارة الموارد البشرية</w:t>
      </w:r>
      <w:r w:rsidRPr="004B6F94">
        <w:rPr>
          <w:rFonts w:ascii="Traditional Arabic" w:eastAsia="Calibri" w:hAnsi="Traditional Arabic" w:cs="Traditional Arabic"/>
          <w:sz w:val="32"/>
          <w:szCs w:val="32"/>
          <w:rtl/>
          <w:lang w:val="en-GB"/>
        </w:rPr>
        <w:t xml:space="preserve"> والتنمية الاجتماعية، 2023). وتأتي هذه التحديات في ظل رؤية المملكة 2030 التي تسعى لتعزيز جودة وكفاءة العمل الحكومي، ورفع مستوى رضا الموظفين باعتبارهم أحد أهم عوامل النجاح المؤسسي</w:t>
      </w:r>
      <w:r w:rsidRPr="004B6F94">
        <w:rPr>
          <w:rFonts w:ascii="Traditional Arabic" w:eastAsia="Calibri" w:hAnsi="Traditional Arabic" w:cs="Traditional Arabic"/>
          <w:sz w:val="32"/>
          <w:szCs w:val="32"/>
          <w:lang w:val="en-GB"/>
        </w:rPr>
        <w:t>.</w:t>
      </w:r>
    </w:p>
    <w:p w14:paraId="6219D41A" w14:textId="77777777" w:rsidR="00194963" w:rsidRPr="004B6F94" w:rsidRDefault="00194963" w:rsidP="00651BBB">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 xml:space="preserve">على الرغم من الأهمية المتزايدة لموضوع الاحتراق الوظيفي وتأثيره على الرضا الوظيفي، إلا أن الدراسات المحلية في السياق السعودي، وخصوصًا في المؤسسات القضائية مثل محاكم </w:t>
      </w:r>
      <w:r w:rsidRPr="00FE21AE">
        <w:rPr>
          <w:rFonts w:ascii="Traditional Arabic" w:eastAsia="Times New Roman" w:hAnsi="Traditional Arabic" w:cs="Traditional Arabic"/>
          <w:sz w:val="32"/>
          <w:szCs w:val="32"/>
          <w:rtl/>
        </w:rPr>
        <w:t>الأحوال الشخصية، ما تزال قليلة ومحدودة. وبينما أكدت الدراسات الدولية (</w:t>
      </w:r>
      <w:r w:rsidRPr="00FE21AE">
        <w:rPr>
          <w:rFonts w:ascii="Traditional Arabic" w:eastAsia="Times New Roman" w:hAnsi="Traditional Arabic" w:cs="Traditional Arabic"/>
          <w:sz w:val="32"/>
          <w:szCs w:val="32"/>
        </w:rPr>
        <w:t>Khanna &amp; Gupta, 2025</w:t>
      </w:r>
      <w:r w:rsidRPr="00FE21AE">
        <w:rPr>
          <w:rFonts w:ascii="Traditional Arabic" w:eastAsia="Times New Roman" w:hAnsi="Traditional Arabic" w:cs="Traditional Arabic"/>
          <w:sz w:val="32"/>
          <w:szCs w:val="32"/>
          <w:rtl/>
        </w:rPr>
        <w:t xml:space="preserve">؛ </w:t>
      </w:r>
      <w:r w:rsidRPr="00FE21AE">
        <w:rPr>
          <w:rFonts w:ascii="Traditional Arabic" w:eastAsia="Times New Roman" w:hAnsi="Traditional Arabic" w:cs="Traditional Arabic"/>
          <w:sz w:val="32"/>
          <w:szCs w:val="32"/>
        </w:rPr>
        <w:t>Vetbuje &amp; Olaleye, 2022</w:t>
      </w:r>
      <w:r w:rsidRPr="00FE21AE">
        <w:rPr>
          <w:rFonts w:ascii="Traditional Arabic" w:eastAsia="Times New Roman" w:hAnsi="Traditional Arabic" w:cs="Traditional Arabic"/>
          <w:sz w:val="32"/>
          <w:szCs w:val="32"/>
          <w:rtl/>
        </w:rPr>
        <w:t xml:space="preserve">؛ </w:t>
      </w:r>
      <w:r w:rsidRPr="00FE21AE">
        <w:rPr>
          <w:rFonts w:ascii="Traditional Arabic" w:eastAsia="Times New Roman" w:hAnsi="Traditional Arabic" w:cs="Traditional Arabic"/>
          <w:sz w:val="32"/>
          <w:szCs w:val="32"/>
        </w:rPr>
        <w:t>Wang et</w:t>
      </w:r>
      <w:r w:rsidRPr="004B6F94">
        <w:rPr>
          <w:rFonts w:ascii="Traditional Arabic" w:eastAsia="Times New Roman" w:hAnsi="Traditional Arabic" w:cs="Traditional Arabic"/>
          <w:sz w:val="32"/>
          <w:szCs w:val="32"/>
        </w:rPr>
        <w:t xml:space="preserve"> al., 2022</w:t>
      </w:r>
      <w:r w:rsidRPr="004B6F94">
        <w:rPr>
          <w:rFonts w:ascii="Traditional Arabic" w:eastAsia="Times New Roman" w:hAnsi="Traditional Arabic" w:cs="Traditional Arabic"/>
          <w:sz w:val="32"/>
          <w:szCs w:val="32"/>
          <w:rtl/>
        </w:rPr>
        <w:t xml:space="preserve">) على الدور الحاسم </w:t>
      </w:r>
      <w:r w:rsidRPr="004B6F94">
        <w:rPr>
          <w:rFonts w:ascii="Traditional Arabic" w:eastAsia="Times New Roman" w:hAnsi="Traditional Arabic" w:cs="Traditional Arabic"/>
          <w:sz w:val="32"/>
          <w:szCs w:val="32"/>
          <w:rtl/>
        </w:rPr>
        <w:lastRenderedPageBreak/>
        <w:t xml:space="preserve">لاستراتيجيات مواجهة ضغوط العمل في التخفيف من الاحتراق الوظيفي وتعزيز الرضا الوظيفي، إلا أن معظمها يركز على قطاعات مختلفة أو سياقات جغرافية أخرى كقطاع </w:t>
      </w:r>
      <w:r w:rsidRPr="00FE21AE">
        <w:rPr>
          <w:rFonts w:ascii="Traditional Arabic" w:eastAsia="Times New Roman" w:hAnsi="Traditional Arabic" w:cs="Traditional Arabic"/>
          <w:sz w:val="32"/>
          <w:szCs w:val="32"/>
          <w:rtl/>
        </w:rPr>
        <w:t>الرعاية الصحية في نيجيريا (</w:t>
      </w:r>
      <w:r w:rsidRPr="00FE21AE">
        <w:rPr>
          <w:rFonts w:ascii="Traditional Arabic" w:eastAsia="Times New Roman" w:hAnsi="Traditional Arabic" w:cs="Traditional Arabic"/>
          <w:sz w:val="32"/>
          <w:szCs w:val="32"/>
        </w:rPr>
        <w:t>Vetbuje &amp; Olaleye, 2022</w:t>
      </w:r>
      <w:r w:rsidRPr="00FE21AE">
        <w:rPr>
          <w:rFonts w:ascii="Traditional Arabic" w:eastAsia="Times New Roman" w:hAnsi="Traditional Arabic" w:cs="Traditional Arabic"/>
          <w:sz w:val="32"/>
          <w:szCs w:val="32"/>
          <w:rtl/>
        </w:rPr>
        <w:t>) والمعلمين في كندا (</w:t>
      </w:r>
      <w:r w:rsidRPr="00FE21AE">
        <w:rPr>
          <w:rFonts w:ascii="Traditional Arabic" w:eastAsia="Times New Roman" w:hAnsi="Traditional Arabic" w:cs="Traditional Arabic"/>
          <w:sz w:val="32"/>
          <w:szCs w:val="32"/>
        </w:rPr>
        <w:t>Wang et al., 2022</w:t>
      </w:r>
      <w:r w:rsidRPr="00FE21AE">
        <w:rPr>
          <w:rFonts w:ascii="Traditional Arabic" w:eastAsia="Times New Roman" w:hAnsi="Traditional Arabic" w:cs="Traditional Arabic"/>
          <w:sz w:val="32"/>
          <w:szCs w:val="32"/>
          <w:rtl/>
        </w:rPr>
        <w:t>)، أو الممرضين في أوروبا (</w:t>
      </w:r>
      <w:r w:rsidRPr="00FE21AE">
        <w:rPr>
          <w:rFonts w:ascii="Traditional Arabic" w:eastAsia="Times New Roman" w:hAnsi="Traditional Arabic" w:cs="Traditional Arabic"/>
          <w:sz w:val="32"/>
          <w:szCs w:val="32"/>
        </w:rPr>
        <w:t>Friganovic &amp; Selic, 2021</w:t>
      </w:r>
      <w:r w:rsidRPr="00FE21AE">
        <w:rPr>
          <w:rFonts w:ascii="Traditional Arabic" w:eastAsia="Times New Roman" w:hAnsi="Traditional Arabic" w:cs="Traditional Arabic"/>
          <w:sz w:val="32"/>
          <w:szCs w:val="32"/>
          <w:rtl/>
        </w:rPr>
        <w:t>).</w:t>
      </w:r>
    </w:p>
    <w:p w14:paraId="32B6DDA5" w14:textId="77777777" w:rsidR="00194963" w:rsidRPr="004B6F94" w:rsidRDefault="00194963" w:rsidP="00651BBB">
      <w:pPr>
        <w:bidi/>
        <w:spacing w:before="100" w:beforeAutospacing="1" w:after="100" w:afterAutospacing="1" w:line="360" w:lineRule="auto"/>
        <w:ind w:firstLine="720"/>
        <w:jc w:val="both"/>
        <w:rPr>
          <w:rFonts w:ascii="Traditional Arabic" w:eastAsia="Times New Roman" w:hAnsi="Traditional Arabic" w:cs="Traditional Arabic"/>
          <w:sz w:val="32"/>
          <w:szCs w:val="32"/>
          <w:rtl/>
        </w:rPr>
      </w:pPr>
      <w:r w:rsidRPr="004B6F94">
        <w:rPr>
          <w:rFonts w:ascii="Traditional Arabic" w:eastAsia="Times New Roman" w:hAnsi="Traditional Arabic" w:cs="Traditional Arabic"/>
          <w:sz w:val="32"/>
          <w:szCs w:val="32"/>
          <w:rtl/>
        </w:rPr>
        <w:t>علاوة على ذلك، أظهرت نتائج هذه الدراسات أهمية دور الاحتراق الوظيفي كمتغير وسيط في العلاقة بين ضغوط العمل والرضا الوظيفي (</w:t>
      </w:r>
      <w:r w:rsidRPr="004B6F94">
        <w:rPr>
          <w:rFonts w:ascii="Traditional Arabic" w:eastAsia="Times New Roman" w:hAnsi="Traditional Arabic" w:cs="Traditional Arabic"/>
          <w:sz w:val="32"/>
          <w:szCs w:val="32"/>
        </w:rPr>
        <w:t>Wu et al., 2021</w:t>
      </w:r>
      <w:r w:rsidRPr="004B6F94">
        <w:rPr>
          <w:rFonts w:ascii="Traditional Arabic" w:eastAsia="Times New Roman" w:hAnsi="Traditional Arabic" w:cs="Traditional Arabic"/>
          <w:sz w:val="32"/>
          <w:szCs w:val="32"/>
          <w:rtl/>
        </w:rPr>
        <w:t xml:space="preserve">؛ </w:t>
      </w:r>
      <w:r w:rsidRPr="004B6F94">
        <w:rPr>
          <w:rFonts w:ascii="Traditional Arabic" w:eastAsia="Times New Roman" w:hAnsi="Traditional Arabic" w:cs="Traditional Arabic"/>
          <w:sz w:val="32"/>
          <w:szCs w:val="32"/>
        </w:rPr>
        <w:t>Prasetya et al., 2021</w:t>
      </w:r>
      <w:r w:rsidRPr="004B6F94">
        <w:rPr>
          <w:rFonts w:ascii="Traditional Arabic" w:eastAsia="Times New Roman" w:hAnsi="Traditional Arabic" w:cs="Traditional Arabic"/>
          <w:sz w:val="32"/>
          <w:szCs w:val="32"/>
          <w:rtl/>
        </w:rPr>
        <w:t>)، مما يؤكد ضرورة دراسته بشكل معمق في السياق السعودي. غير أن الفجوة البحثية تكمن في ندرة الدراسات التي تستكشف هذه العلاقة في مؤسسات القطاع الحكومي السعودي، وخاصة في المحاكم التي تعتبر بيئة عمل ذات طابع خاص تفرض ضغوطًا مهنية ونفسية مميزة على العاملين بها.</w:t>
      </w:r>
    </w:p>
    <w:p w14:paraId="2C61E0E7" w14:textId="77777777" w:rsidR="00194963" w:rsidRPr="004B6F94" w:rsidRDefault="00194963" w:rsidP="00651BBB">
      <w:pPr>
        <w:bidi/>
        <w:spacing w:before="100" w:beforeAutospacing="1" w:after="100" w:afterAutospacing="1" w:line="360" w:lineRule="auto"/>
        <w:ind w:firstLine="720"/>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hint="cs"/>
          <w:sz w:val="32"/>
          <w:szCs w:val="32"/>
          <w:rtl/>
        </w:rPr>
        <w:t xml:space="preserve">بناء </w:t>
      </w:r>
      <w:r w:rsidRPr="004B6F94">
        <w:rPr>
          <w:rFonts w:ascii="Traditional Arabic" w:eastAsia="Times New Roman" w:hAnsi="Traditional Arabic" w:cs="Traditional Arabic"/>
          <w:sz w:val="32"/>
          <w:szCs w:val="32"/>
          <w:rtl/>
        </w:rPr>
        <w:t>على ما سبق، تبرز الحاجة إلى إجراء دراسة تطبيقية تهدف إلى تحليل أثر الاحتراق الوظيفي كمتغير وسيط في العلاقة بين استراتيجيات مواجهة ضغوط العمل والرضا الوظيفي، مع التركيز على العاملين بمحكمة الأحوال الشخصية بجدة، وذلك لدعم أهداف رؤية السعودية 2030 في تطوير بيئة العمل وتحسين جودة الأداء الوظيفي</w:t>
      </w:r>
      <w:r w:rsidRPr="004B6F94">
        <w:rPr>
          <w:rFonts w:ascii="Traditional Arabic" w:eastAsia="Times New Roman" w:hAnsi="Traditional Arabic" w:cs="Traditional Arabic"/>
          <w:sz w:val="32"/>
          <w:szCs w:val="32"/>
        </w:rPr>
        <w:t>.</w:t>
      </w:r>
    </w:p>
    <w:p w14:paraId="41FDCF37" w14:textId="77777777" w:rsidR="00194963" w:rsidRPr="004B6F94"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تسعى الدراسة للإجابة على الأسئلة التالية</w:t>
      </w:r>
      <w:r w:rsidRPr="004B6F94">
        <w:rPr>
          <w:rFonts w:ascii="Traditional Arabic" w:eastAsia="Times New Roman" w:hAnsi="Traditional Arabic" w:cs="Traditional Arabic"/>
          <w:sz w:val="32"/>
          <w:szCs w:val="32"/>
        </w:rPr>
        <w:t>:</w:t>
      </w:r>
    </w:p>
    <w:p w14:paraId="41034DE4" w14:textId="77777777" w:rsidR="00194963" w:rsidRPr="004B6F94" w:rsidRDefault="00194963" w:rsidP="009352FB">
      <w:pPr>
        <w:numPr>
          <w:ilvl w:val="0"/>
          <w:numId w:val="1"/>
        </w:num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ما هي استراتيجيات مواجهة ضغوط العمل التي يتبعها العاملون بمحكمة الأحوال الشخصية بجدة؟</w:t>
      </w:r>
    </w:p>
    <w:p w14:paraId="36D006A9" w14:textId="77777777" w:rsidR="00194963" w:rsidRPr="004B6F94" w:rsidRDefault="00194963" w:rsidP="009352FB">
      <w:pPr>
        <w:numPr>
          <w:ilvl w:val="0"/>
          <w:numId w:val="1"/>
        </w:num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ما هي مستوي الاحتراق الوظيفي وأبعاده النفسية والسلوكية بين العاملين في المحكمة؟</w:t>
      </w:r>
    </w:p>
    <w:p w14:paraId="659C4B46" w14:textId="77777777" w:rsidR="00194963" w:rsidRPr="004B6F94" w:rsidRDefault="00194963" w:rsidP="009352FB">
      <w:pPr>
        <w:numPr>
          <w:ilvl w:val="0"/>
          <w:numId w:val="1"/>
        </w:num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 xml:space="preserve">ما هي </w:t>
      </w:r>
      <w:r w:rsidRPr="004B6F94">
        <w:rPr>
          <w:rFonts w:ascii="Traditional Arabic" w:eastAsia="Times New Roman" w:hAnsi="Traditional Arabic" w:cs="Traditional Arabic" w:hint="cs"/>
          <w:sz w:val="32"/>
          <w:szCs w:val="32"/>
          <w:rtl/>
        </w:rPr>
        <w:t>مستوى</w:t>
      </w:r>
      <w:r w:rsidRPr="004B6F94">
        <w:rPr>
          <w:rFonts w:ascii="Traditional Arabic" w:eastAsia="Times New Roman" w:hAnsi="Traditional Arabic" w:cs="Traditional Arabic"/>
          <w:sz w:val="32"/>
          <w:szCs w:val="32"/>
          <w:rtl/>
        </w:rPr>
        <w:t xml:space="preserve"> الرضا الوظيفي لدى العاملين بمحكمة الأحوال الشخصية بجدة ؟</w:t>
      </w:r>
    </w:p>
    <w:p w14:paraId="38009A04" w14:textId="77777777" w:rsidR="00194963" w:rsidRPr="004B6F94" w:rsidRDefault="00194963" w:rsidP="009352FB">
      <w:pPr>
        <w:numPr>
          <w:ilvl w:val="0"/>
          <w:numId w:val="1"/>
        </w:num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lastRenderedPageBreak/>
        <w:t>ما طبيعة العلاقة بين استراتيجيات مواجهة ضغوط العمل والرضا الوظيفي لدى العاملين بمحكمة الأحوال الشخصية بجدة ؟</w:t>
      </w:r>
    </w:p>
    <w:p w14:paraId="3D772895" w14:textId="049CD0AF" w:rsidR="00194963" w:rsidRDefault="00194963" w:rsidP="008F48D0">
      <w:pPr>
        <w:numPr>
          <w:ilvl w:val="0"/>
          <w:numId w:val="1"/>
        </w:num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هل يلعب الاحتراق الوظيفي دورًا وسيطًا في العلاقة بين استراتيجيات مواجهة ضغوط العمل والرضا الوظيفي</w:t>
      </w:r>
      <w:r w:rsidRPr="004B6F94">
        <w:rPr>
          <w:rFonts w:ascii="Traditional Arabic" w:eastAsia="Calibri" w:hAnsi="Traditional Arabic" w:cs="Traditional Arabic"/>
          <w:sz w:val="32"/>
          <w:szCs w:val="32"/>
          <w:rtl/>
          <w:lang w:val="en-GB"/>
        </w:rPr>
        <w:t xml:space="preserve"> </w:t>
      </w:r>
      <w:r w:rsidRPr="004B6F94">
        <w:rPr>
          <w:rFonts w:ascii="Traditional Arabic" w:eastAsia="Times New Roman" w:hAnsi="Traditional Arabic" w:cs="Traditional Arabic"/>
          <w:sz w:val="32"/>
          <w:szCs w:val="32"/>
          <w:rtl/>
        </w:rPr>
        <w:t>بمحكمة الأحوال الشخصية بجدة ؟</w:t>
      </w:r>
    </w:p>
    <w:p w14:paraId="29F85AB9" w14:textId="77777777" w:rsidR="0020372B" w:rsidRPr="008F48D0" w:rsidRDefault="0020372B" w:rsidP="0020372B">
      <w:pPr>
        <w:bidi/>
        <w:spacing w:before="100" w:beforeAutospacing="1" w:after="100" w:afterAutospacing="1" w:line="360" w:lineRule="auto"/>
        <w:ind w:left="720"/>
        <w:jc w:val="both"/>
        <w:rPr>
          <w:rFonts w:ascii="Traditional Arabic" w:eastAsia="Times New Roman" w:hAnsi="Traditional Arabic" w:cs="Traditional Arabic"/>
          <w:sz w:val="32"/>
          <w:szCs w:val="32"/>
          <w:rtl/>
        </w:rPr>
      </w:pPr>
    </w:p>
    <w:p w14:paraId="13DF1B1C" w14:textId="131DA3EF" w:rsidR="008074A2" w:rsidRPr="008074A2" w:rsidRDefault="008074A2" w:rsidP="00194963">
      <w:pPr>
        <w:bidi/>
        <w:spacing w:after="200" w:line="360" w:lineRule="auto"/>
        <w:jc w:val="both"/>
        <w:rPr>
          <w:rFonts w:ascii="Traditional Arabic" w:eastAsia="Calibri" w:hAnsi="Traditional Arabic" w:cs="Traditional Arabic"/>
          <w:b/>
          <w:bCs/>
          <w:sz w:val="36"/>
          <w:szCs w:val="36"/>
          <w:rtl/>
          <w:lang w:bidi="ar-JO"/>
        </w:rPr>
      </w:pPr>
      <w:r w:rsidRPr="008074A2">
        <w:rPr>
          <w:rFonts w:ascii="Traditional Arabic" w:eastAsia="Calibri" w:hAnsi="Traditional Arabic" w:cs="Traditional Arabic"/>
          <w:b/>
          <w:bCs/>
          <w:sz w:val="36"/>
          <w:szCs w:val="36"/>
          <w:rtl/>
        </w:rPr>
        <w:t>أهمية الدراسة</w:t>
      </w:r>
      <w:r w:rsidR="00651BBB">
        <w:rPr>
          <w:rFonts w:ascii="Traditional Arabic" w:eastAsia="Calibri" w:hAnsi="Traditional Arabic" w:cs="Traditional Arabic" w:hint="cs"/>
          <w:b/>
          <w:bCs/>
          <w:sz w:val="36"/>
          <w:szCs w:val="36"/>
          <w:rtl/>
        </w:rPr>
        <w:t>:</w:t>
      </w:r>
      <w:r w:rsidRPr="008074A2">
        <w:rPr>
          <w:rFonts w:ascii="Traditional Arabic" w:eastAsia="Calibri" w:hAnsi="Traditional Arabic" w:cs="Traditional Arabic"/>
          <w:b/>
          <w:bCs/>
          <w:sz w:val="36"/>
          <w:szCs w:val="36"/>
          <w:rtl/>
        </w:rPr>
        <w:t xml:space="preserve"> </w:t>
      </w:r>
    </w:p>
    <w:p w14:paraId="25A4F199" w14:textId="77777777" w:rsidR="00194963" w:rsidRPr="00A8360B" w:rsidRDefault="00194963" w:rsidP="00194963">
      <w:p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أولاً: الأهمية النظرية</w:t>
      </w:r>
      <w:r w:rsidRPr="00A8360B">
        <w:rPr>
          <w:rFonts w:ascii="Calibri" w:eastAsia="Calibri" w:hAnsi="Calibri" w:cs="Arial"/>
          <w:sz w:val="20"/>
          <w:szCs w:val="20"/>
          <w:lang w:val="en-GB"/>
        </w:rPr>
        <w:t xml:space="preserve"> </w:t>
      </w:r>
    </w:p>
    <w:p w14:paraId="43D53ED8" w14:textId="77777777" w:rsidR="00194963" w:rsidRPr="00A8360B" w:rsidRDefault="00194963" w:rsidP="009352FB">
      <w:pPr>
        <w:numPr>
          <w:ilvl w:val="0"/>
          <w:numId w:val="3"/>
        </w:numPr>
        <w:bidi/>
        <w:spacing w:after="200" w:line="360" w:lineRule="auto"/>
        <w:contextualSpacing/>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سد فجوة بحثية قائمة في السياق السعودي: على الرغم من التأكيد المتزايد في الأدبيات الدولية على أهمية دراسة العلاقة بين استراتيجيات مواجهة ضغوط العمل، والاحتراق الوظيفي، والرضا الوظيفي (</w:t>
      </w:r>
      <w:r w:rsidRPr="00A8360B">
        <w:rPr>
          <w:rFonts w:ascii="Traditional Arabic" w:eastAsia="Calibri" w:hAnsi="Traditional Arabic" w:cs="Traditional Arabic"/>
          <w:sz w:val="32"/>
          <w:szCs w:val="32"/>
        </w:rPr>
        <w:t>Wu et al., 2021</w:t>
      </w:r>
      <w:r w:rsidRPr="00A8360B">
        <w:rPr>
          <w:rFonts w:ascii="Traditional Arabic" w:eastAsia="Calibri" w:hAnsi="Traditional Arabic" w:cs="Traditional Arabic"/>
          <w:sz w:val="32"/>
          <w:szCs w:val="32"/>
          <w:rtl/>
        </w:rPr>
        <w:t xml:space="preserve">؛ </w:t>
      </w:r>
      <w:r w:rsidRPr="00A8360B">
        <w:rPr>
          <w:rFonts w:ascii="Traditional Arabic" w:eastAsia="Calibri" w:hAnsi="Traditional Arabic" w:cs="Traditional Arabic"/>
          <w:sz w:val="32"/>
          <w:szCs w:val="32"/>
        </w:rPr>
        <w:t>Prasetya et al., 2021</w:t>
      </w:r>
      <w:r w:rsidRPr="00A8360B">
        <w:rPr>
          <w:rFonts w:ascii="Traditional Arabic" w:eastAsia="Calibri" w:hAnsi="Traditional Arabic" w:cs="Traditional Arabic"/>
          <w:sz w:val="32"/>
          <w:szCs w:val="32"/>
          <w:rtl/>
        </w:rPr>
        <w:t>)، إلا أن الأبحاث في السياق السعودي – وخصوصًا في المؤسسات القضائية – ما تزال محدودة للغاية. فجميع الدراسات تقريبًا تركز على قطاعات أخرى مثل الرعاية الصحية في نيجيريا (</w:t>
      </w:r>
      <w:r w:rsidRPr="00A8360B">
        <w:rPr>
          <w:rFonts w:ascii="Traditional Arabic" w:eastAsia="Calibri" w:hAnsi="Traditional Arabic" w:cs="Traditional Arabic"/>
          <w:sz w:val="32"/>
          <w:szCs w:val="32"/>
        </w:rPr>
        <w:t>Vetbuje &amp; Olaleye, 2022</w:t>
      </w:r>
      <w:r w:rsidRPr="00A8360B">
        <w:rPr>
          <w:rFonts w:ascii="Traditional Arabic" w:eastAsia="Calibri" w:hAnsi="Traditional Arabic" w:cs="Traditional Arabic"/>
          <w:sz w:val="32"/>
          <w:szCs w:val="32"/>
          <w:rtl/>
        </w:rPr>
        <w:t>)، والتعليم في كندا (</w:t>
      </w:r>
      <w:r w:rsidRPr="00A8360B">
        <w:rPr>
          <w:rFonts w:ascii="Traditional Arabic" w:eastAsia="Calibri" w:hAnsi="Traditional Arabic" w:cs="Traditional Arabic"/>
          <w:sz w:val="32"/>
          <w:szCs w:val="32"/>
        </w:rPr>
        <w:t>Wang et al., 2022</w:t>
      </w:r>
      <w:r w:rsidRPr="00A8360B">
        <w:rPr>
          <w:rFonts w:ascii="Traditional Arabic" w:eastAsia="Calibri" w:hAnsi="Traditional Arabic" w:cs="Traditional Arabic"/>
          <w:sz w:val="32"/>
          <w:szCs w:val="32"/>
          <w:rtl/>
        </w:rPr>
        <w:t>)، والممرضين في أوروبا (</w:t>
      </w:r>
      <w:r w:rsidRPr="00A8360B">
        <w:rPr>
          <w:rFonts w:ascii="Traditional Arabic" w:eastAsia="Calibri" w:hAnsi="Traditional Arabic" w:cs="Traditional Arabic"/>
          <w:sz w:val="32"/>
          <w:szCs w:val="32"/>
        </w:rPr>
        <w:t>Friganovic &amp; Selic, 2021</w:t>
      </w:r>
      <w:r w:rsidRPr="00A8360B">
        <w:rPr>
          <w:rFonts w:ascii="Traditional Arabic" w:eastAsia="Calibri" w:hAnsi="Traditional Arabic" w:cs="Traditional Arabic"/>
          <w:sz w:val="32"/>
          <w:szCs w:val="32"/>
          <w:rtl/>
        </w:rPr>
        <w:t>)، مما يبرز الحاجة إلى دراسة هذه الظواهر في بيئة العمل القضائية ذات الضغوط المهنية والنفسية الخاصة.</w:t>
      </w:r>
    </w:p>
    <w:p w14:paraId="66D8AA26" w14:textId="77777777" w:rsidR="00194963" w:rsidRPr="00A8360B" w:rsidRDefault="00194963" w:rsidP="009352FB">
      <w:pPr>
        <w:numPr>
          <w:ilvl w:val="0"/>
          <w:numId w:val="3"/>
        </w:numPr>
        <w:bidi/>
        <w:spacing w:after="200" w:line="360" w:lineRule="auto"/>
        <w:contextualSpacing/>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إضافة علمية على مستوى النماذج والأطر المفاهيمية</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 xml:space="preserve">تسهم الدراسة في اختبار نموذج مفاهيمي يدمج بين استراتيجيات مواجهة ضغوط العمل والرضا الوظيفي، مع التركيز على الدور الوسيط للاحتراق الوظيفي، وهو ما لم يُختبر بعمق في بيئات العمل الحكومية السعودية، على الرغم من </w:t>
      </w:r>
      <w:r w:rsidRPr="00A8360B">
        <w:rPr>
          <w:rFonts w:ascii="Traditional Arabic" w:eastAsia="Calibri" w:hAnsi="Traditional Arabic" w:cs="Traditional Arabic"/>
          <w:sz w:val="32"/>
          <w:szCs w:val="32"/>
          <w:rtl/>
        </w:rPr>
        <w:lastRenderedPageBreak/>
        <w:t>توصية دراسات سابقة بضرورة فحص هذا الدور الوسيط في سياقات متنوعة (</w:t>
      </w:r>
      <w:r w:rsidRPr="00A8360B">
        <w:rPr>
          <w:rFonts w:ascii="Traditional Arabic" w:eastAsia="Calibri" w:hAnsi="Traditional Arabic" w:cs="Traditional Arabic"/>
          <w:sz w:val="32"/>
          <w:szCs w:val="32"/>
        </w:rPr>
        <w:t>Wu et al., 2021</w:t>
      </w:r>
      <w:r w:rsidRPr="00A8360B">
        <w:rPr>
          <w:rFonts w:ascii="Traditional Arabic" w:eastAsia="Calibri" w:hAnsi="Traditional Arabic" w:cs="Traditional Arabic"/>
          <w:sz w:val="32"/>
          <w:szCs w:val="32"/>
          <w:rtl/>
        </w:rPr>
        <w:t>).</w:t>
      </w:r>
    </w:p>
    <w:p w14:paraId="21047129" w14:textId="77777777" w:rsidR="00194963" w:rsidRPr="00A8360B" w:rsidRDefault="00194963" w:rsidP="009352FB">
      <w:pPr>
        <w:numPr>
          <w:ilvl w:val="0"/>
          <w:numId w:val="3"/>
        </w:numPr>
        <w:bidi/>
        <w:spacing w:after="200" w:line="360" w:lineRule="auto"/>
        <w:contextualSpacing/>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إثراء الأدوات البحثية في البيئة السعودية</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توفر الدراسة إمكانية اختبار مدى ملاءمة أدوات القياس العالمية مثل مقاييس الرضا الوظيفي والاحتراق الوظيفي واستراتيجيات التأقلم في سياق ثقافي وقضائي مختلف، مما قد يسهم في تطوير أو تكييف أدوات قياس تتلاءم مع البيئة السعودية</w:t>
      </w:r>
      <w:r w:rsidRPr="00A8360B">
        <w:rPr>
          <w:rFonts w:ascii="Traditional Arabic" w:eastAsia="Calibri" w:hAnsi="Traditional Arabic" w:cs="Traditional Arabic"/>
          <w:sz w:val="32"/>
          <w:szCs w:val="32"/>
        </w:rPr>
        <w:t>.</w:t>
      </w:r>
    </w:p>
    <w:p w14:paraId="42760750" w14:textId="77777777" w:rsidR="00194963" w:rsidRPr="00A8360B" w:rsidRDefault="00194963" w:rsidP="009352FB">
      <w:pPr>
        <w:numPr>
          <w:ilvl w:val="0"/>
          <w:numId w:val="3"/>
        </w:numPr>
        <w:bidi/>
        <w:spacing w:after="200" w:line="360" w:lineRule="auto"/>
        <w:contextualSpacing/>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دعم السياسات المتوافقة مع رؤية 2030</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تقدم الدراسة إطارًا نظريًا علميًا يمكن البناء عليه لتطوير سياسات تهدف إلى تحسين بيئة العمل الحكومية، بما يتسق مع مستهدفات رؤية المملكة 2030 المتعلقة برفاه الموظفين ورفع كفاءتهم الإنتاجية</w:t>
      </w:r>
      <w:r w:rsidRPr="00A8360B">
        <w:rPr>
          <w:rFonts w:ascii="Traditional Arabic" w:eastAsia="Calibri" w:hAnsi="Traditional Arabic" w:cs="Traditional Arabic"/>
          <w:sz w:val="32"/>
          <w:szCs w:val="32"/>
        </w:rPr>
        <w:t>.</w:t>
      </w:r>
    </w:p>
    <w:p w14:paraId="45036499" w14:textId="77777777" w:rsidR="00194963" w:rsidRPr="00A8360B" w:rsidRDefault="00194963" w:rsidP="00194963">
      <w:pPr>
        <w:bidi/>
        <w:spacing w:after="200" w:line="360" w:lineRule="auto"/>
        <w:jc w:val="both"/>
        <w:rPr>
          <w:rFonts w:ascii="Traditional Arabic" w:eastAsia="Calibri" w:hAnsi="Traditional Arabic" w:cs="Traditional Arabic"/>
          <w:sz w:val="32"/>
          <w:szCs w:val="32"/>
        </w:rPr>
      </w:pPr>
    </w:p>
    <w:p w14:paraId="2E3727EF" w14:textId="77777777" w:rsidR="00194963" w:rsidRPr="00A8360B" w:rsidRDefault="00194963" w:rsidP="00194963">
      <w:p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ثانياً: الأهمية التطبيقية</w:t>
      </w:r>
    </w:p>
    <w:p w14:paraId="1503DA50" w14:textId="77777777" w:rsidR="00194963" w:rsidRPr="00A8360B" w:rsidRDefault="00194963" w:rsidP="009352FB">
      <w:pPr>
        <w:numPr>
          <w:ilvl w:val="0"/>
          <w:numId w:val="2"/>
        </w:num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معالجة تحديات واقعية في بيئة العمل الحكومية</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وفقًا لتقرير وزارة الموارد البشرية والتنمية الاجتماعية (2023)، ارتفعت معدلات التوتر والإرهاق النفسي بين موظفي القطاع الحكومي بنسبة 15% مقارنة بالسنوات السابقة، وهو ما يشير إلى وجود تحديات حقيقية تتطلب تدخلات علمية لمعالجتها، خاصة في المؤسسات القضائية التي تتسم بضغوط مهنية ونفسية عالية</w:t>
      </w:r>
      <w:r w:rsidRPr="00A8360B">
        <w:rPr>
          <w:rFonts w:ascii="Traditional Arabic" w:eastAsia="Calibri" w:hAnsi="Traditional Arabic" w:cs="Traditional Arabic"/>
          <w:sz w:val="32"/>
          <w:szCs w:val="32"/>
        </w:rPr>
        <w:t>.</w:t>
      </w:r>
    </w:p>
    <w:p w14:paraId="4FDAE469" w14:textId="77777777" w:rsidR="00194963" w:rsidRPr="00A8360B" w:rsidRDefault="00194963" w:rsidP="009352FB">
      <w:pPr>
        <w:numPr>
          <w:ilvl w:val="0"/>
          <w:numId w:val="2"/>
        </w:num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دعم صناع القرار في وزارة العدل</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 xml:space="preserve">من خلال تقديم أدلة علمية حول العلاقة بين استراتيجيات مواجهة ضغوط العمل والرضا الوظيفي، مع تحديد أثر الاحتراق الوظيفي كمتغير وسيط، يمكن </w:t>
      </w:r>
      <w:r w:rsidRPr="00A8360B">
        <w:rPr>
          <w:rFonts w:ascii="Traditional Arabic" w:eastAsia="Calibri" w:hAnsi="Traditional Arabic" w:cs="Traditional Arabic"/>
          <w:sz w:val="32"/>
          <w:szCs w:val="32"/>
          <w:rtl/>
        </w:rPr>
        <w:lastRenderedPageBreak/>
        <w:t>للوزارة تصميم برامج عملية تستهدف خفض مستويات الاحتراق وزيادة الرضا، بما ينعكس على تحسين جودة الخدمات القضائية المقدمة للمستفيدين</w:t>
      </w:r>
      <w:r w:rsidRPr="00A8360B">
        <w:rPr>
          <w:rFonts w:ascii="Traditional Arabic" w:eastAsia="Calibri" w:hAnsi="Traditional Arabic" w:cs="Traditional Arabic"/>
          <w:sz w:val="32"/>
          <w:szCs w:val="32"/>
        </w:rPr>
        <w:t>.</w:t>
      </w:r>
    </w:p>
    <w:p w14:paraId="1B797693" w14:textId="77777777" w:rsidR="00194963" w:rsidRPr="00A8360B" w:rsidRDefault="00194963" w:rsidP="009352FB">
      <w:pPr>
        <w:numPr>
          <w:ilvl w:val="0"/>
          <w:numId w:val="2"/>
        </w:num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تصميم تدخلات موجهة وفعالة</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ستسهم نتائج الدراسة في تحديد الاستراتيجيات الأكثر فاعلية لمواجهة ضغوط العمل، مما يتيح إعداد برامج تدريبية وتطويرية تستهدف تبني هذه الاستراتيجيات وتقليل الاعتماد على استراتيجيات المواجهة السلبية</w:t>
      </w:r>
      <w:r w:rsidRPr="00A8360B">
        <w:rPr>
          <w:rFonts w:ascii="Traditional Arabic" w:eastAsia="Calibri" w:hAnsi="Traditional Arabic" w:cs="Traditional Arabic"/>
          <w:sz w:val="32"/>
          <w:szCs w:val="32"/>
        </w:rPr>
        <w:t>.</w:t>
      </w:r>
    </w:p>
    <w:p w14:paraId="1DC6A47F" w14:textId="77777777" w:rsidR="00194963" w:rsidRPr="00A8360B" w:rsidRDefault="00194963" w:rsidP="009352FB">
      <w:pPr>
        <w:numPr>
          <w:ilvl w:val="0"/>
          <w:numId w:val="2"/>
        </w:num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خفض التكاليف التنظيمية ورفع الكفاءة</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من خلال الحد من الاحتراق الوظيفي ورفع مستويات الرضا، يمكن تقليل معدلات الغياب ودوران الموظفين، ما يؤدي إلى تحسين الأداء المؤسسي وخفض التكاليف المرتبطة بالتوظيف وإعادة التدريب</w:t>
      </w:r>
      <w:r w:rsidRPr="00A8360B">
        <w:rPr>
          <w:rFonts w:ascii="Traditional Arabic" w:eastAsia="Calibri" w:hAnsi="Traditional Arabic" w:cs="Traditional Arabic"/>
          <w:sz w:val="32"/>
          <w:szCs w:val="32"/>
        </w:rPr>
        <w:t>.</w:t>
      </w:r>
    </w:p>
    <w:p w14:paraId="68A14D5D" w14:textId="77777777" w:rsidR="00194963" w:rsidRPr="00A8360B" w:rsidRDefault="00194963" w:rsidP="009352FB">
      <w:pPr>
        <w:numPr>
          <w:ilvl w:val="0"/>
          <w:numId w:val="2"/>
        </w:numPr>
        <w:bidi/>
        <w:spacing w:after="200" w:line="360" w:lineRule="auto"/>
        <w:jc w:val="both"/>
        <w:rPr>
          <w:rFonts w:ascii="Traditional Arabic" w:eastAsia="Calibri" w:hAnsi="Traditional Arabic" w:cs="Traditional Arabic"/>
          <w:sz w:val="32"/>
          <w:szCs w:val="32"/>
        </w:rPr>
      </w:pPr>
      <w:r w:rsidRPr="00A8360B">
        <w:rPr>
          <w:rFonts w:ascii="Traditional Arabic" w:eastAsia="Calibri" w:hAnsi="Traditional Arabic" w:cs="Traditional Arabic"/>
          <w:sz w:val="32"/>
          <w:szCs w:val="32"/>
          <w:rtl/>
        </w:rPr>
        <w:t>إفادة قطاعات حكومية أخرى</w:t>
      </w:r>
      <w:r w:rsidRPr="00A8360B">
        <w:rPr>
          <w:rFonts w:ascii="Traditional Arabic" w:eastAsia="Calibri" w:hAnsi="Traditional Arabic" w:cs="Traditional Arabic"/>
          <w:sz w:val="32"/>
          <w:szCs w:val="32"/>
        </w:rPr>
        <w:t xml:space="preserve">: </w:t>
      </w:r>
      <w:r w:rsidRPr="00A8360B">
        <w:rPr>
          <w:rFonts w:ascii="Traditional Arabic" w:eastAsia="Calibri" w:hAnsi="Traditional Arabic" w:cs="Traditional Arabic"/>
          <w:sz w:val="32"/>
          <w:szCs w:val="32"/>
          <w:rtl/>
        </w:rPr>
        <w:t>يمكن تعميم نتائج هذه الدراسة على قطاعات حكومية أخرى تواجه ضغوط عمل مشابهة، مثل القطاعات الصحية والأمنية، مما يجعل نتائجها ذات قيمة عملية تتجاوز نطاق المحاكم القضائية</w:t>
      </w:r>
      <w:r w:rsidRPr="00A8360B">
        <w:rPr>
          <w:rFonts w:ascii="Traditional Arabic" w:eastAsia="Calibri" w:hAnsi="Traditional Arabic" w:cs="Traditional Arabic"/>
          <w:sz w:val="32"/>
          <w:szCs w:val="32"/>
        </w:rPr>
        <w:t>.</w:t>
      </w:r>
    </w:p>
    <w:p w14:paraId="1F5CBD17" w14:textId="77777777" w:rsidR="00194963" w:rsidRPr="00194963" w:rsidRDefault="00194963" w:rsidP="00C57504">
      <w:pPr>
        <w:keepNext/>
        <w:keepLines/>
        <w:bidi/>
        <w:spacing w:after="0" w:line="360" w:lineRule="auto"/>
        <w:outlineLvl w:val="0"/>
        <w:rPr>
          <w:rFonts w:ascii="Traditional Arabic" w:eastAsia="等线 Light" w:hAnsi="Traditional Arabic" w:cs="Traditional Arabic"/>
          <w:b/>
          <w:bCs/>
          <w:color w:val="000000"/>
          <w:sz w:val="36"/>
          <w:szCs w:val="36"/>
          <w:rtl/>
        </w:rPr>
      </w:pPr>
    </w:p>
    <w:p w14:paraId="153E61E1" w14:textId="754FD7FB" w:rsidR="008074A2" w:rsidRPr="008074A2" w:rsidRDefault="008074A2" w:rsidP="00194963">
      <w:pPr>
        <w:keepNext/>
        <w:keepLines/>
        <w:bidi/>
        <w:spacing w:after="0" w:line="360" w:lineRule="auto"/>
        <w:outlineLvl w:val="0"/>
        <w:rPr>
          <w:rFonts w:ascii="Traditional Arabic" w:eastAsia="等线 Light" w:hAnsi="Traditional Arabic" w:cs="Traditional Arabic"/>
          <w:b/>
          <w:bCs/>
          <w:color w:val="000000"/>
          <w:sz w:val="36"/>
          <w:szCs w:val="36"/>
          <w:rtl/>
        </w:rPr>
      </w:pPr>
      <w:r w:rsidRPr="008074A2">
        <w:rPr>
          <w:rFonts w:ascii="Traditional Arabic" w:eastAsia="等线 Light" w:hAnsi="Traditional Arabic" w:cs="Traditional Arabic"/>
          <w:b/>
          <w:bCs/>
          <w:color w:val="000000"/>
          <w:sz w:val="36"/>
          <w:szCs w:val="36"/>
          <w:rtl/>
        </w:rPr>
        <w:t>أهداف الدراسة</w:t>
      </w:r>
      <w:r w:rsidR="00651BBB">
        <w:rPr>
          <w:rFonts w:ascii="Traditional Arabic" w:eastAsia="等线 Light" w:hAnsi="Traditional Arabic" w:cs="Traditional Arabic" w:hint="cs"/>
          <w:b/>
          <w:bCs/>
          <w:color w:val="000000"/>
          <w:sz w:val="36"/>
          <w:szCs w:val="36"/>
          <w:rtl/>
        </w:rPr>
        <w:t>:</w:t>
      </w:r>
    </w:p>
    <w:p w14:paraId="133EBABA" w14:textId="77777777" w:rsidR="00194963" w:rsidRPr="004B6F94" w:rsidRDefault="00194963" w:rsidP="00651BBB">
      <w:pPr>
        <w:bidi/>
        <w:spacing w:after="200" w:line="360" w:lineRule="auto"/>
        <w:ind w:firstLine="720"/>
        <w:jc w:val="both"/>
        <w:rPr>
          <w:rFonts w:ascii="Traditional Arabic" w:eastAsia="Calibri" w:hAnsi="Traditional Arabic" w:cs="Traditional Arabic"/>
          <w:sz w:val="32"/>
          <w:szCs w:val="32"/>
        </w:rPr>
      </w:pPr>
      <w:r w:rsidRPr="004B6F94">
        <w:rPr>
          <w:rFonts w:ascii="Traditional Arabic" w:eastAsia="Calibri" w:hAnsi="Traditional Arabic" w:cs="Traditional Arabic"/>
          <w:sz w:val="32"/>
          <w:szCs w:val="32"/>
          <w:rtl/>
        </w:rPr>
        <w:t>تهدف الدراسة إلى</w:t>
      </w:r>
      <w:r w:rsidRPr="004B6F94">
        <w:rPr>
          <w:rFonts w:ascii="Traditional Arabic" w:eastAsia="Calibri" w:hAnsi="Traditional Arabic" w:cs="Traditional Arabic" w:hint="cs"/>
          <w:sz w:val="32"/>
          <w:szCs w:val="32"/>
          <w:rtl/>
        </w:rPr>
        <w:t xml:space="preserve"> بشكل رئيسي الى</w:t>
      </w:r>
      <w:r w:rsidRPr="004B6F94">
        <w:rPr>
          <w:rFonts w:ascii="Traditional Arabic" w:eastAsia="Calibri" w:hAnsi="Traditional Arabic" w:cs="Traditional Arabic"/>
          <w:sz w:val="32"/>
          <w:szCs w:val="32"/>
          <w:rtl/>
        </w:rPr>
        <w:t xml:space="preserve"> </w:t>
      </w:r>
      <w:r w:rsidRPr="004B6F94">
        <w:rPr>
          <w:rFonts w:ascii="Traditional Arabic" w:eastAsia="Calibri" w:hAnsi="Traditional Arabic" w:cs="Traditional Arabic" w:hint="cs"/>
          <w:sz w:val="32"/>
          <w:szCs w:val="32"/>
          <w:rtl/>
        </w:rPr>
        <w:t>"</w:t>
      </w:r>
      <w:r w:rsidRPr="004B6F94">
        <w:rPr>
          <w:rFonts w:ascii="Traditional Arabic" w:eastAsia="Calibri" w:hAnsi="Traditional Arabic" w:cs="Traditional Arabic"/>
          <w:b/>
          <w:bCs/>
          <w:sz w:val="32"/>
          <w:szCs w:val="32"/>
          <w:rtl/>
        </w:rPr>
        <w:t>استكشاف أثر استراتيجيات مواجهة ضغوط العمل على الرضا الوظيفي للعاملين بمحكمة الأحوال الشخصية بجدة، مع تحليل دور الاحتراق الوظيفي كمتغير وسيط يفسر العلاقة بين ضغوط العمل والرضا المهني</w:t>
      </w:r>
      <w:r w:rsidRPr="004B6F94">
        <w:rPr>
          <w:rFonts w:ascii="Traditional Arabic" w:eastAsia="Calibri" w:hAnsi="Traditional Arabic" w:cs="Traditional Arabic" w:hint="cs"/>
          <w:sz w:val="32"/>
          <w:szCs w:val="32"/>
          <w:rtl/>
        </w:rPr>
        <w:t>"، ويتفرع منه الاهداف الفرعية التالية:</w:t>
      </w:r>
    </w:p>
    <w:p w14:paraId="548AFD44" w14:textId="292D5F62" w:rsidR="00F00A7B" w:rsidRPr="00F00A7B" w:rsidRDefault="00F00A7B" w:rsidP="00F00A7B">
      <w:pPr>
        <w:numPr>
          <w:ilvl w:val="0"/>
          <w:numId w:val="4"/>
        </w:numPr>
        <w:bidi/>
        <w:spacing w:after="200" w:line="360" w:lineRule="auto"/>
        <w:jc w:val="both"/>
        <w:rPr>
          <w:rFonts w:ascii="Traditional Arabic" w:eastAsia="Calibri" w:hAnsi="Traditional Arabic" w:cs="Traditional Arabic"/>
          <w:sz w:val="32"/>
          <w:szCs w:val="32"/>
        </w:rPr>
      </w:pPr>
      <w:r w:rsidRPr="00F00A7B">
        <w:rPr>
          <w:rFonts w:ascii="Traditional Arabic" w:eastAsia="Calibri" w:hAnsi="Traditional Arabic" w:cs="Traditional Arabic"/>
          <w:sz w:val="32"/>
          <w:szCs w:val="32"/>
          <w:rtl/>
        </w:rPr>
        <w:lastRenderedPageBreak/>
        <w:t>تشخيص المتغيرات الرئيسة للدراسة من خلال تحديد استراتيجيات مواجهة ضغوط العمل لدى العاملين بمحكمة الأحوال الشخصية بجدة وتصنيفها، وقياس مستويات الاحتراق الوظيفي وتحديد أبعاده، وتقييم درجة الرضا الوظيفي ودور بيئة العمل في تشكيله</w:t>
      </w:r>
      <w:r w:rsidRPr="00F00A7B">
        <w:rPr>
          <w:rFonts w:ascii="Traditional Arabic" w:eastAsia="Calibri" w:hAnsi="Traditional Arabic" w:cs="Traditional Arabic"/>
          <w:sz w:val="32"/>
          <w:szCs w:val="32"/>
        </w:rPr>
        <w:t>.</w:t>
      </w:r>
    </w:p>
    <w:p w14:paraId="244CEE00" w14:textId="77777777" w:rsidR="00194963" w:rsidRPr="004B6F94" w:rsidRDefault="00194963" w:rsidP="009352FB">
      <w:pPr>
        <w:numPr>
          <w:ilvl w:val="0"/>
          <w:numId w:val="4"/>
        </w:numPr>
        <w:bidi/>
        <w:spacing w:after="200" w:line="360" w:lineRule="auto"/>
        <w:jc w:val="both"/>
        <w:rPr>
          <w:rFonts w:ascii="Traditional Arabic" w:eastAsia="Calibri" w:hAnsi="Traditional Arabic" w:cs="Traditional Arabic"/>
          <w:sz w:val="32"/>
          <w:szCs w:val="32"/>
        </w:rPr>
      </w:pPr>
      <w:r w:rsidRPr="004B6F94">
        <w:rPr>
          <w:rFonts w:ascii="Traditional Arabic" w:eastAsia="Calibri" w:hAnsi="Traditional Arabic" w:cs="Traditional Arabic"/>
          <w:sz w:val="32"/>
          <w:szCs w:val="32"/>
          <w:rtl/>
        </w:rPr>
        <w:t>تحليل العلاقة بين استراتيجيات مواجهة ضغوط العمل والرضا الوظيفي بمحكمة الأحوال الشخصية بجدة</w:t>
      </w:r>
      <w:r w:rsidRPr="004B6F94">
        <w:rPr>
          <w:rFonts w:ascii="Traditional Arabic" w:eastAsia="Calibri" w:hAnsi="Traditional Arabic" w:cs="Traditional Arabic" w:hint="cs"/>
          <w:sz w:val="32"/>
          <w:szCs w:val="32"/>
          <w:rtl/>
        </w:rPr>
        <w:t>.</w:t>
      </w:r>
    </w:p>
    <w:p w14:paraId="36532967" w14:textId="77777777" w:rsidR="00194963" w:rsidRPr="004B6F94" w:rsidRDefault="00194963" w:rsidP="009352FB">
      <w:pPr>
        <w:numPr>
          <w:ilvl w:val="0"/>
          <w:numId w:val="4"/>
        </w:numPr>
        <w:bidi/>
        <w:spacing w:after="200" w:line="360" w:lineRule="auto"/>
        <w:jc w:val="both"/>
        <w:rPr>
          <w:rFonts w:ascii="Traditional Arabic" w:eastAsia="Calibri" w:hAnsi="Traditional Arabic" w:cs="Traditional Arabic"/>
          <w:sz w:val="32"/>
          <w:szCs w:val="32"/>
        </w:rPr>
      </w:pPr>
      <w:r w:rsidRPr="004B6F94">
        <w:rPr>
          <w:rFonts w:ascii="Traditional Arabic" w:eastAsia="Calibri" w:hAnsi="Traditional Arabic" w:cs="Traditional Arabic"/>
          <w:sz w:val="32"/>
          <w:szCs w:val="32"/>
          <w:rtl/>
        </w:rPr>
        <w:t>استقصاء الدور الوسيط للاحتراق الوظيفي في العلاقة بين استراتيجيات مواجهة ضغوط العمل والرضا الوظيفي، وذلك لتحديد ما إذا كان الاحتراق الوظيفي يفسر تأثير استراتيجيات التأقلم على الرضا</w:t>
      </w:r>
      <w:r w:rsidRPr="004B6F94">
        <w:rPr>
          <w:rFonts w:ascii="Traditional Arabic" w:eastAsia="Calibri" w:hAnsi="Traditional Arabic" w:cs="Traditional Arabic"/>
          <w:sz w:val="32"/>
          <w:szCs w:val="32"/>
        </w:rPr>
        <w:t>.</w:t>
      </w:r>
    </w:p>
    <w:p w14:paraId="2F681F1F" w14:textId="77777777" w:rsidR="00194963" w:rsidRPr="004B6F94" w:rsidRDefault="00194963" w:rsidP="009352FB">
      <w:pPr>
        <w:numPr>
          <w:ilvl w:val="0"/>
          <w:numId w:val="4"/>
        </w:numPr>
        <w:bidi/>
        <w:spacing w:after="200" w:line="360" w:lineRule="auto"/>
        <w:jc w:val="both"/>
        <w:rPr>
          <w:rFonts w:ascii="Traditional Arabic" w:eastAsia="Calibri" w:hAnsi="Traditional Arabic" w:cs="Traditional Arabic"/>
          <w:sz w:val="32"/>
          <w:szCs w:val="32"/>
        </w:rPr>
      </w:pPr>
      <w:r w:rsidRPr="004B6F94">
        <w:rPr>
          <w:rFonts w:ascii="Traditional Arabic" w:eastAsia="Calibri" w:hAnsi="Traditional Arabic" w:cs="Traditional Arabic"/>
          <w:sz w:val="32"/>
          <w:szCs w:val="32"/>
          <w:rtl/>
        </w:rPr>
        <w:t>اقتراح توصيات عملية تستهدف تقليل الاحتراق الوظيفي وتعزيز استراتيجيات مواجهة ضغوط العمل من أجل رفع مستويات الرضا الوظيفي لدى العاملين في بيئة المحكمة</w:t>
      </w:r>
      <w:r w:rsidRPr="004B6F94">
        <w:rPr>
          <w:rFonts w:ascii="Traditional Arabic" w:eastAsia="Calibri" w:hAnsi="Traditional Arabic" w:cs="Traditional Arabic"/>
          <w:sz w:val="32"/>
          <w:szCs w:val="32"/>
        </w:rPr>
        <w:t>.</w:t>
      </w:r>
    </w:p>
    <w:p w14:paraId="270EA53F" w14:textId="77777777" w:rsidR="008074A2" w:rsidRPr="00194963" w:rsidRDefault="008074A2" w:rsidP="008074A2">
      <w:pPr>
        <w:bidi/>
        <w:spacing w:after="200" w:line="276" w:lineRule="auto"/>
        <w:rPr>
          <w:rFonts w:ascii="Traditional Arabic" w:eastAsia="Calibri" w:hAnsi="Traditional Arabic" w:cs="Traditional Arabic"/>
          <w:b/>
          <w:bCs/>
        </w:rPr>
      </w:pPr>
    </w:p>
    <w:p w14:paraId="77E62492" w14:textId="0E29D151" w:rsidR="008074A2" w:rsidRPr="008074A2" w:rsidRDefault="008074A2" w:rsidP="008074A2">
      <w:pPr>
        <w:keepNext/>
        <w:keepLines/>
        <w:bidi/>
        <w:spacing w:after="0" w:line="360" w:lineRule="auto"/>
        <w:outlineLvl w:val="0"/>
        <w:rPr>
          <w:rFonts w:ascii="Traditional Arabic" w:eastAsia="等线 Light" w:hAnsi="Traditional Arabic" w:cs="Traditional Arabic"/>
          <w:b/>
          <w:bCs/>
          <w:color w:val="000000"/>
          <w:sz w:val="36"/>
          <w:szCs w:val="36"/>
          <w:rtl/>
        </w:rPr>
      </w:pPr>
      <w:r w:rsidRPr="008074A2">
        <w:rPr>
          <w:rFonts w:ascii="Traditional Arabic" w:eastAsia="等线 Light" w:hAnsi="Traditional Arabic" w:cs="Traditional Arabic"/>
          <w:b/>
          <w:bCs/>
          <w:color w:val="000000"/>
          <w:sz w:val="36"/>
          <w:szCs w:val="36"/>
          <w:rtl/>
        </w:rPr>
        <w:t>فرضيات الدراسة</w:t>
      </w:r>
      <w:r w:rsidR="00651BBB">
        <w:rPr>
          <w:rFonts w:ascii="Traditional Arabic" w:eastAsia="等线 Light" w:hAnsi="Traditional Arabic" w:cs="Traditional Arabic" w:hint="cs"/>
          <w:b/>
          <w:bCs/>
          <w:color w:val="000000"/>
          <w:sz w:val="36"/>
          <w:szCs w:val="36"/>
          <w:rtl/>
        </w:rPr>
        <w:t>:</w:t>
      </w:r>
    </w:p>
    <w:p w14:paraId="41239ECD" w14:textId="77777777" w:rsidR="00194963" w:rsidRPr="004B6F94" w:rsidRDefault="00194963" w:rsidP="00651BBB">
      <w:pPr>
        <w:bidi/>
        <w:spacing w:before="100" w:beforeAutospacing="1" w:after="100" w:afterAutospacing="1" w:line="360" w:lineRule="auto"/>
        <w:ind w:firstLine="720"/>
        <w:rPr>
          <w:rFonts w:ascii="Traditional Arabic" w:eastAsia="Times New Roman" w:hAnsi="Traditional Arabic" w:cs="Traditional Arabic"/>
          <w:sz w:val="32"/>
          <w:szCs w:val="32"/>
          <w:rtl/>
        </w:rPr>
      </w:pPr>
      <w:r w:rsidRPr="004B6F94">
        <w:rPr>
          <w:rFonts w:ascii="Traditional Arabic" w:eastAsia="Times New Roman" w:hAnsi="Traditional Arabic" w:cs="Traditional Arabic"/>
          <w:sz w:val="32"/>
          <w:szCs w:val="32"/>
          <w:rtl/>
        </w:rPr>
        <w:t>تستند فرضيات هذه الدراسة إلى الهدف الأساسي المتمثل في استكشاف أثر الاحتراق الوظيفي كمتغير وسيط في العلاقة بين استراتيجيات مواجهة ضغوط العمل والرضا الوظيفي لدى العاملين بمحكمة الأحوال الشخصية بجدة. وتُطرح الفرضيات على النحو التالي</w:t>
      </w:r>
      <w:r w:rsidRPr="004B6F94">
        <w:rPr>
          <w:rFonts w:ascii="Traditional Arabic" w:eastAsia="Times New Roman" w:hAnsi="Traditional Arabic" w:cs="Traditional Arabic"/>
          <w:sz w:val="32"/>
          <w:szCs w:val="32"/>
        </w:rPr>
        <w:t>:</w:t>
      </w:r>
    </w:p>
    <w:p w14:paraId="0E8FFFA8" w14:textId="77777777" w:rsidR="00194963" w:rsidRPr="004B6F94"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rPr>
      </w:pPr>
      <w:r w:rsidRPr="004B6F94">
        <w:rPr>
          <w:rFonts w:ascii="Traditional Arabic" w:eastAsia="Times New Roman" w:hAnsi="Traditional Arabic" w:cs="Traditional Arabic"/>
          <w:sz w:val="32"/>
          <w:szCs w:val="32"/>
          <w:rtl/>
        </w:rPr>
        <w:lastRenderedPageBreak/>
        <w:t>الفرضية الأولى (</w:t>
      </w:r>
      <w:r w:rsidRPr="004B6F94">
        <w:rPr>
          <w:rFonts w:ascii="Traditional Arabic" w:eastAsia="Times New Roman" w:hAnsi="Traditional Arabic" w:cs="Traditional Arabic"/>
          <w:sz w:val="32"/>
          <w:szCs w:val="32"/>
        </w:rPr>
        <w:t>H1</w:t>
      </w:r>
      <w:r w:rsidRPr="004B6F94">
        <w:rPr>
          <w:rFonts w:ascii="Traditional Arabic" w:eastAsia="Times New Roman" w:hAnsi="Traditional Arabic" w:cs="Traditional Arabic"/>
          <w:sz w:val="32"/>
          <w:szCs w:val="32"/>
          <w:rtl/>
        </w:rPr>
        <w:t>):هناك علاقة معنوية إيجابية بين استراتيجيات مواجهة ضغوط العمل (المتغير المستقل) ومستوى الرضا الوظيفي (المتغير التابع) لدى العاملين بمحكمة الأحوال الشخصية بجدة، بحيث يؤدي اعتماد استراتيجيات مواجهة فعالة إلى زيادة الرضا الوظيفي.</w:t>
      </w:r>
    </w:p>
    <w:p w14:paraId="454F9A0F" w14:textId="77777777" w:rsidR="00194963" w:rsidRDefault="00194963" w:rsidP="009352FB">
      <w:pPr>
        <w:numPr>
          <w:ilvl w:val="0"/>
          <w:numId w:val="5"/>
        </w:numPr>
        <w:bidi/>
        <w:spacing w:before="100" w:beforeAutospacing="1" w:after="100" w:afterAutospacing="1" w:line="360" w:lineRule="auto"/>
        <w:contextualSpacing/>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الفرضية الأولى (</w:t>
      </w:r>
      <w:r w:rsidRPr="004B6F94">
        <w:rPr>
          <w:rFonts w:ascii="Traditional Arabic" w:eastAsia="Times New Roman" w:hAnsi="Traditional Arabic" w:cs="Traditional Arabic"/>
          <w:sz w:val="32"/>
          <w:szCs w:val="32"/>
        </w:rPr>
        <w:t>H1</w:t>
      </w:r>
      <w:r w:rsidRPr="004B6F94">
        <w:rPr>
          <w:rFonts w:ascii="Traditional Arabic" w:eastAsia="Times New Roman" w:hAnsi="Traditional Arabic" w:cs="Traditional Arabic"/>
          <w:sz w:val="32"/>
          <w:szCs w:val="32"/>
          <w:rtl/>
        </w:rPr>
        <w:t>): توجد علاقة ذات دلالة إحصائية بين استراتيجيات مواجهة ضغوط العمل والرضا الوظيفي لدى العاملين بمحكمة الأحوال الشخصية بجدة.</w:t>
      </w:r>
    </w:p>
    <w:p w14:paraId="5FE43790" w14:textId="77777777" w:rsidR="00651BBB" w:rsidRPr="004B6F94" w:rsidRDefault="00651BBB" w:rsidP="00651BBB">
      <w:pPr>
        <w:bidi/>
        <w:spacing w:before="100" w:beforeAutospacing="1" w:after="100" w:afterAutospacing="1" w:line="360" w:lineRule="auto"/>
        <w:ind w:left="1440"/>
        <w:contextualSpacing/>
        <w:jc w:val="both"/>
        <w:rPr>
          <w:rFonts w:ascii="Traditional Arabic" w:eastAsia="Times New Roman" w:hAnsi="Traditional Arabic" w:cs="Traditional Arabic"/>
          <w:sz w:val="32"/>
          <w:szCs w:val="32"/>
          <w:rtl/>
        </w:rPr>
      </w:pPr>
    </w:p>
    <w:p w14:paraId="19D61CF9" w14:textId="77777777" w:rsidR="00194963" w:rsidRPr="004B6F94"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rPr>
      </w:pPr>
      <w:r w:rsidRPr="004B6F94">
        <w:rPr>
          <w:rFonts w:ascii="Traditional Arabic" w:eastAsia="Times New Roman" w:hAnsi="Traditional Arabic" w:cs="Traditional Arabic"/>
          <w:sz w:val="32"/>
          <w:szCs w:val="32"/>
          <w:rtl/>
        </w:rPr>
        <w:t>الفرضية الثانية (</w:t>
      </w:r>
      <w:r w:rsidRPr="004B6F94">
        <w:rPr>
          <w:rFonts w:ascii="Traditional Arabic" w:eastAsia="Times New Roman" w:hAnsi="Traditional Arabic" w:cs="Traditional Arabic"/>
          <w:sz w:val="32"/>
          <w:szCs w:val="32"/>
        </w:rPr>
        <w:t>H2</w:t>
      </w:r>
      <w:r w:rsidRPr="004B6F94">
        <w:rPr>
          <w:rFonts w:ascii="Traditional Arabic" w:eastAsia="Times New Roman" w:hAnsi="Traditional Arabic" w:cs="Traditional Arabic"/>
          <w:sz w:val="32"/>
          <w:szCs w:val="32"/>
          <w:rtl/>
        </w:rPr>
        <w:t>):هناك علاقة معنوية بين استراتيجيات مواجهة ضغوط العمل (المتغير المستقل) ومستوى الاحتراق الوظيفي (المتغير الوسيط)، حيث تؤدي استراتيجيات التأقلم الفعالة إلى تقليل مستويات الاحتراق الوظيفي.</w:t>
      </w:r>
    </w:p>
    <w:p w14:paraId="46224909" w14:textId="77777777" w:rsidR="00194963" w:rsidRPr="004B6F94" w:rsidRDefault="00194963" w:rsidP="009352FB">
      <w:pPr>
        <w:numPr>
          <w:ilvl w:val="0"/>
          <w:numId w:val="5"/>
        </w:numPr>
        <w:bidi/>
        <w:spacing w:before="100" w:beforeAutospacing="1" w:after="100" w:afterAutospacing="1" w:line="360" w:lineRule="auto"/>
        <w:contextualSpacing/>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الفرضية الثانية (</w:t>
      </w:r>
      <w:r w:rsidRPr="004B6F94">
        <w:rPr>
          <w:rFonts w:ascii="Traditional Arabic" w:eastAsia="Times New Roman" w:hAnsi="Traditional Arabic" w:cs="Traditional Arabic"/>
          <w:sz w:val="32"/>
          <w:szCs w:val="32"/>
        </w:rPr>
        <w:t>H2</w:t>
      </w:r>
      <w:r w:rsidRPr="004B6F94">
        <w:rPr>
          <w:rFonts w:ascii="Traditional Arabic" w:eastAsia="Times New Roman" w:hAnsi="Traditional Arabic" w:cs="Traditional Arabic"/>
          <w:sz w:val="32"/>
          <w:szCs w:val="32"/>
          <w:rtl/>
        </w:rPr>
        <w:t>): هناك علاقة ذات دلالة إحصائية بين استراتيجيات مواجهة ضغوط العمل ومستوى الاحتراق الوظيفي</w:t>
      </w:r>
      <w:r w:rsidRPr="004B6F94">
        <w:rPr>
          <w:rFonts w:ascii="Traditional Arabic" w:eastAsia="Times New Roman" w:hAnsi="Traditional Arabic" w:cs="Traditional Arabic"/>
          <w:sz w:val="32"/>
          <w:szCs w:val="32"/>
        </w:rPr>
        <w:t>.</w:t>
      </w:r>
    </w:p>
    <w:p w14:paraId="2C58AA2C" w14:textId="77777777" w:rsidR="00194963" w:rsidRPr="004B6F94"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rPr>
      </w:pPr>
    </w:p>
    <w:p w14:paraId="608533E6" w14:textId="77777777" w:rsidR="00194963" w:rsidRPr="004B6F94"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rPr>
      </w:pPr>
      <w:r w:rsidRPr="004B6F94">
        <w:rPr>
          <w:rFonts w:ascii="Traditional Arabic" w:eastAsia="Times New Roman" w:hAnsi="Traditional Arabic" w:cs="Traditional Arabic"/>
          <w:sz w:val="32"/>
          <w:szCs w:val="32"/>
          <w:rtl/>
        </w:rPr>
        <w:t>الفرضية الثالثة (</w:t>
      </w:r>
      <w:r w:rsidRPr="004B6F94">
        <w:rPr>
          <w:rFonts w:ascii="Traditional Arabic" w:eastAsia="Times New Roman" w:hAnsi="Traditional Arabic" w:cs="Traditional Arabic"/>
          <w:sz w:val="32"/>
          <w:szCs w:val="32"/>
        </w:rPr>
        <w:t>H3</w:t>
      </w:r>
      <w:r w:rsidRPr="004B6F94">
        <w:rPr>
          <w:rFonts w:ascii="Traditional Arabic" w:eastAsia="Times New Roman" w:hAnsi="Traditional Arabic" w:cs="Traditional Arabic"/>
          <w:sz w:val="32"/>
          <w:szCs w:val="32"/>
          <w:rtl/>
        </w:rPr>
        <w:t>): يوجد تأثير سلبي معنوي للاحتراق الوظيفي (المتغير الوسيط) على الرضا الوظيفي (المتغير التابع)، حيث يؤدي ارتفاع الاحتراق الوظيفي إلى انخفاض الرضا الوظيفي</w:t>
      </w:r>
      <w:r w:rsidRPr="004B6F94">
        <w:rPr>
          <w:rFonts w:ascii="Traditional Arabic" w:eastAsia="Times New Roman" w:hAnsi="Traditional Arabic" w:cs="Traditional Arabic"/>
          <w:sz w:val="32"/>
          <w:szCs w:val="32"/>
        </w:rPr>
        <w:t>.</w:t>
      </w:r>
    </w:p>
    <w:p w14:paraId="7124D731" w14:textId="77777777" w:rsidR="00194963" w:rsidRPr="004B6F94" w:rsidRDefault="00194963" w:rsidP="009352FB">
      <w:pPr>
        <w:numPr>
          <w:ilvl w:val="0"/>
          <w:numId w:val="5"/>
        </w:numPr>
        <w:bidi/>
        <w:spacing w:after="200" w:line="276" w:lineRule="auto"/>
        <w:contextualSpacing/>
        <w:rPr>
          <w:rFonts w:ascii="Traditional Arabic" w:eastAsia="Times New Roman" w:hAnsi="Traditional Arabic" w:cs="Traditional Arabic"/>
          <w:sz w:val="32"/>
          <w:szCs w:val="32"/>
          <w:rtl/>
        </w:rPr>
      </w:pPr>
      <w:r w:rsidRPr="004B6F94">
        <w:rPr>
          <w:rFonts w:ascii="Traditional Arabic" w:eastAsia="Times New Roman" w:hAnsi="Traditional Arabic" w:cs="Traditional Arabic"/>
          <w:sz w:val="32"/>
          <w:szCs w:val="32"/>
          <w:rtl/>
        </w:rPr>
        <w:t>الفرضية الثالث</w:t>
      </w:r>
      <w:r w:rsidRPr="004B6F94">
        <w:rPr>
          <w:rFonts w:ascii="Calibri" w:eastAsia="Calibri" w:hAnsi="Calibri" w:cs="Arial"/>
          <w:rtl/>
          <w:lang w:val="en-GB"/>
        </w:rPr>
        <w:t xml:space="preserve"> </w:t>
      </w:r>
      <w:r w:rsidRPr="004B6F94">
        <w:rPr>
          <w:rFonts w:ascii="Traditional Arabic" w:eastAsia="Times New Roman" w:hAnsi="Traditional Arabic" w:cs="Traditional Arabic"/>
          <w:sz w:val="32"/>
          <w:szCs w:val="32"/>
          <w:rtl/>
        </w:rPr>
        <w:t>(</w:t>
      </w:r>
      <w:r w:rsidRPr="004B6F94">
        <w:rPr>
          <w:rFonts w:ascii="Traditional Arabic" w:eastAsia="Times New Roman" w:hAnsi="Traditional Arabic" w:cs="Traditional Arabic"/>
          <w:sz w:val="32"/>
          <w:szCs w:val="32"/>
        </w:rPr>
        <w:t>H3</w:t>
      </w:r>
      <w:r w:rsidRPr="004B6F94">
        <w:rPr>
          <w:rFonts w:ascii="Traditional Arabic" w:eastAsia="Times New Roman" w:hAnsi="Traditional Arabic" w:cs="Traditional Arabic"/>
          <w:sz w:val="32"/>
          <w:szCs w:val="32"/>
          <w:rtl/>
        </w:rPr>
        <w:t>): يوجد تأثير سلبي ذات دلالة إحصائية للاحتراق الوظيفي على الرضا الوظيفي.</w:t>
      </w:r>
    </w:p>
    <w:p w14:paraId="2D606E6F" w14:textId="77777777" w:rsidR="00194963" w:rsidRPr="004B6F94"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lastRenderedPageBreak/>
        <w:t>الفرضية الرابعة (</w:t>
      </w:r>
      <w:r w:rsidRPr="004B6F94">
        <w:rPr>
          <w:rFonts w:ascii="Traditional Arabic" w:eastAsia="Times New Roman" w:hAnsi="Traditional Arabic" w:cs="Traditional Arabic"/>
          <w:sz w:val="32"/>
          <w:szCs w:val="32"/>
        </w:rPr>
        <w:t>H4</w:t>
      </w:r>
      <w:r w:rsidRPr="004B6F94">
        <w:rPr>
          <w:rFonts w:ascii="Traditional Arabic" w:eastAsia="Times New Roman" w:hAnsi="Traditional Arabic" w:cs="Traditional Arabic"/>
          <w:sz w:val="32"/>
          <w:szCs w:val="32"/>
          <w:rtl/>
        </w:rPr>
        <w:t>):يلعب الاحتراق الوظيفي دورًا وسيطًا في العلاقة بين استراتيجيات مواجهة ضغوط العمل (المتغير المستقل) والرضا الوظيفي (المتغير التابع)، بمعنى أن استراتيجيات مواجهة ضغوط العمل تؤثر على الرضا الوظيفي جزئيًا أو كليًا من خلال تأثيرها على مستوى الاحتراق الوظيفي.</w:t>
      </w:r>
    </w:p>
    <w:p w14:paraId="677966EC" w14:textId="77777777" w:rsidR="00194963" w:rsidRPr="004B6F94" w:rsidRDefault="00194963" w:rsidP="009352FB">
      <w:pPr>
        <w:numPr>
          <w:ilvl w:val="0"/>
          <w:numId w:val="5"/>
        </w:numPr>
        <w:bidi/>
        <w:spacing w:before="100" w:beforeAutospacing="1" w:after="100" w:afterAutospacing="1" w:line="360" w:lineRule="auto"/>
        <w:contextualSpacing/>
        <w:jc w:val="both"/>
        <w:rPr>
          <w:rFonts w:ascii="Traditional Arabic" w:eastAsia="Times New Roman" w:hAnsi="Traditional Arabic" w:cs="Traditional Arabic"/>
          <w:sz w:val="32"/>
          <w:szCs w:val="32"/>
        </w:rPr>
      </w:pPr>
      <w:r w:rsidRPr="004B6F94">
        <w:rPr>
          <w:rFonts w:ascii="Traditional Arabic" w:eastAsia="Times New Roman" w:hAnsi="Traditional Arabic" w:cs="Traditional Arabic"/>
          <w:sz w:val="32"/>
          <w:szCs w:val="32"/>
          <w:rtl/>
        </w:rPr>
        <w:t>الفرضية الرابعة (</w:t>
      </w:r>
      <w:r w:rsidRPr="004B6F94">
        <w:rPr>
          <w:rFonts w:ascii="Traditional Arabic" w:eastAsia="Times New Roman" w:hAnsi="Traditional Arabic" w:cs="Traditional Arabic"/>
          <w:sz w:val="32"/>
          <w:szCs w:val="32"/>
        </w:rPr>
        <w:t>H4</w:t>
      </w:r>
      <w:r w:rsidRPr="004B6F94">
        <w:rPr>
          <w:rFonts w:ascii="Traditional Arabic" w:eastAsia="Times New Roman" w:hAnsi="Traditional Arabic" w:cs="Traditional Arabic"/>
          <w:sz w:val="32"/>
          <w:szCs w:val="32"/>
          <w:rtl/>
        </w:rPr>
        <w:t>): يلعب الاحتراق الوظيفي دورًا وسيطًا في العلاقة بين استراتيجيات مواجهة ضغوط العمل والرضا الوظيفي</w:t>
      </w:r>
      <w:r w:rsidRPr="004B6F94">
        <w:rPr>
          <w:rFonts w:ascii="Traditional Arabic" w:eastAsia="Times New Roman" w:hAnsi="Traditional Arabic" w:cs="Traditional Arabic"/>
          <w:sz w:val="32"/>
          <w:szCs w:val="32"/>
        </w:rPr>
        <w:t>.</w:t>
      </w:r>
    </w:p>
    <w:p w14:paraId="376E5A54" w14:textId="77777777" w:rsidR="00194963" w:rsidRPr="00194963" w:rsidRDefault="00194963" w:rsidP="00194963">
      <w:pPr>
        <w:bidi/>
        <w:spacing w:after="200" w:line="360" w:lineRule="auto"/>
        <w:jc w:val="both"/>
        <w:rPr>
          <w:rFonts w:ascii="Traditional Arabic" w:eastAsia="Times New Roman" w:hAnsi="Traditional Arabic" w:cs="Traditional Arabic"/>
          <w:b/>
          <w:bCs/>
          <w:sz w:val="32"/>
          <w:szCs w:val="32"/>
          <w:rtl/>
        </w:rPr>
      </w:pPr>
    </w:p>
    <w:p w14:paraId="363408AD" w14:textId="31791BBC" w:rsidR="008074A2" w:rsidRPr="008074A2" w:rsidRDefault="008074A2" w:rsidP="009E0EB7">
      <w:pPr>
        <w:bidi/>
        <w:spacing w:after="200" w:line="360" w:lineRule="auto"/>
        <w:jc w:val="both"/>
        <w:rPr>
          <w:rFonts w:ascii="Traditional Arabic" w:eastAsia="Times New Roman" w:hAnsi="Traditional Arabic" w:cs="Traditional Arabic"/>
          <w:b/>
          <w:bCs/>
          <w:sz w:val="36"/>
          <w:szCs w:val="36"/>
          <w:rtl/>
        </w:rPr>
      </w:pPr>
      <w:r w:rsidRPr="008074A2">
        <w:rPr>
          <w:rFonts w:ascii="Traditional Arabic" w:eastAsia="Times New Roman" w:hAnsi="Traditional Arabic" w:cs="Traditional Arabic"/>
          <w:b/>
          <w:bCs/>
          <w:sz w:val="36"/>
          <w:szCs w:val="36"/>
          <w:rtl/>
        </w:rPr>
        <w:t>مفاهيم الدراسة والمصطلحات الاساسية</w:t>
      </w:r>
      <w:r w:rsidR="00651BBB">
        <w:rPr>
          <w:rFonts w:ascii="Traditional Arabic" w:eastAsia="Times New Roman" w:hAnsi="Traditional Arabic" w:cs="Traditional Arabic" w:hint="cs"/>
          <w:b/>
          <w:bCs/>
          <w:sz w:val="36"/>
          <w:szCs w:val="36"/>
          <w:rtl/>
        </w:rPr>
        <w:t>:</w:t>
      </w:r>
    </w:p>
    <w:p w14:paraId="723EEB5D" w14:textId="412CE519" w:rsidR="00194963" w:rsidRPr="00651BBB" w:rsidRDefault="00194963" w:rsidP="009352FB">
      <w:pPr>
        <w:pStyle w:val="a3"/>
        <w:numPr>
          <w:ilvl w:val="0"/>
          <w:numId w:val="7"/>
        </w:numPr>
        <w:bidi/>
        <w:spacing w:before="120" w:after="0" w:line="360" w:lineRule="auto"/>
        <w:jc w:val="both"/>
        <w:rPr>
          <w:rFonts w:ascii="Traditional Arabic" w:hAnsi="Traditional Arabic" w:cs="Traditional Arabic"/>
          <w:sz w:val="32"/>
          <w:szCs w:val="32"/>
          <w:rtl/>
          <w:lang w:bidi="ar-EG"/>
        </w:rPr>
      </w:pPr>
      <w:r w:rsidRPr="00651BBB">
        <w:rPr>
          <w:rFonts w:ascii="Traditional Arabic" w:hAnsi="Traditional Arabic" w:cs="Traditional Arabic"/>
          <w:b/>
          <w:bCs/>
          <w:sz w:val="32"/>
          <w:szCs w:val="32"/>
          <w:rtl/>
        </w:rPr>
        <w:t>ضغوط العمل:</w:t>
      </w:r>
      <w:r w:rsidRPr="00651BBB">
        <w:rPr>
          <w:rFonts w:ascii="Traditional Arabic" w:hAnsi="Traditional Arabic" w:cs="Traditional Arabic"/>
          <w:sz w:val="32"/>
          <w:szCs w:val="32"/>
          <w:rtl/>
        </w:rPr>
        <w:t xml:space="preserve"> عرف الملحم (</w:t>
      </w:r>
      <w:r w:rsidRPr="00651BBB">
        <w:rPr>
          <w:rFonts w:ascii="Traditional Arabic" w:hAnsi="Traditional Arabic" w:cs="Traditional Arabic"/>
          <w:sz w:val="32"/>
          <w:szCs w:val="32"/>
        </w:rPr>
        <w:t>2007</w:t>
      </w:r>
      <w:r w:rsidRPr="00651BBB">
        <w:rPr>
          <w:rFonts w:ascii="Traditional Arabic" w:hAnsi="Traditional Arabic" w:cs="Traditional Arabic"/>
          <w:sz w:val="32"/>
          <w:szCs w:val="32"/>
          <w:rtl/>
        </w:rPr>
        <w:t>) ضغوط العمل بأنه "</w:t>
      </w:r>
      <w:r w:rsidRPr="00651BBB">
        <w:rPr>
          <w:rFonts w:ascii="Traditional Arabic" w:hAnsi="Traditional Arabic" w:cs="Traditional Arabic"/>
          <w:i/>
          <w:iCs/>
          <w:sz w:val="32"/>
          <w:szCs w:val="32"/>
          <w:rtl/>
        </w:rPr>
        <w:t>تجربة ذاتية أو خبرة ذاتية لدى الفرد تحدث نتيجة لعوامل في الفرد نفسه أو البيئة التي يعمل فيها، حيث يترتب على هذه العوامل حدوث آثار، أو نتائج جسمية، أو نفسية، أو سلوكية على الفرد تؤثر بدورها على أدائه للعمل مما يستلزم معالجة هذه الآثار وإدارتها بطريفة سليمة</w:t>
      </w:r>
      <w:r w:rsidRPr="00651BBB">
        <w:rPr>
          <w:rFonts w:ascii="Traditional Arabic" w:hAnsi="Traditional Arabic" w:cs="Traditional Arabic"/>
          <w:sz w:val="32"/>
          <w:szCs w:val="32"/>
          <w:rtl/>
        </w:rPr>
        <w:t>".</w:t>
      </w:r>
      <w:r w:rsidRPr="00651BBB">
        <w:rPr>
          <w:rFonts w:ascii="Traditional Arabic" w:hAnsi="Traditional Arabic" w:cs="Traditional Arabic"/>
          <w:sz w:val="32"/>
          <w:szCs w:val="32"/>
        </w:rPr>
        <w:t xml:space="preserve"> </w:t>
      </w:r>
      <w:r w:rsidRPr="00651BBB">
        <w:rPr>
          <w:rFonts w:ascii="Traditional Arabic" w:hAnsi="Traditional Arabic" w:cs="Traditional Arabic"/>
          <w:sz w:val="32"/>
          <w:szCs w:val="32"/>
          <w:rtl/>
          <w:lang w:bidi="ar-EG"/>
        </w:rPr>
        <w:t>وعرفها (</w:t>
      </w:r>
      <w:r w:rsidRPr="00651BBB">
        <w:rPr>
          <w:rFonts w:ascii="Traditional Arabic" w:hAnsi="Traditional Arabic" w:cs="Traditional Arabic"/>
          <w:sz w:val="32"/>
          <w:szCs w:val="32"/>
          <w:lang w:bidi="ar-EG"/>
        </w:rPr>
        <w:t>Quick &amp; Henderson, 2016</w:t>
      </w:r>
      <w:r w:rsidRPr="00651BBB">
        <w:rPr>
          <w:rFonts w:ascii="Traditional Arabic" w:hAnsi="Traditional Arabic" w:cs="Traditional Arabic"/>
          <w:sz w:val="32"/>
          <w:szCs w:val="32"/>
          <w:rtl/>
          <w:lang w:bidi="ar-EG"/>
        </w:rPr>
        <w:t xml:space="preserve">) بأنها هي </w:t>
      </w:r>
      <w:r w:rsidRPr="00651BBB">
        <w:rPr>
          <w:rFonts w:ascii="Traditional Arabic" w:hAnsi="Traditional Arabic" w:cs="Traditional Arabic"/>
          <w:i/>
          <w:iCs/>
          <w:sz w:val="32"/>
          <w:szCs w:val="32"/>
          <w:lang w:bidi="ar-EG"/>
        </w:rPr>
        <w:t>“</w:t>
      </w:r>
      <w:r w:rsidRPr="00651BBB">
        <w:rPr>
          <w:rFonts w:ascii="Traditional Arabic" w:hAnsi="Traditional Arabic" w:cs="Traditional Arabic"/>
          <w:i/>
          <w:iCs/>
          <w:sz w:val="32"/>
          <w:szCs w:val="32"/>
          <w:rtl/>
          <w:lang w:bidi="ar-EG"/>
        </w:rPr>
        <w:t>عملية تفاعلية بين الفرد وبيئة العمل، تنطوي على تقييم التحديات المهنية على أنها تهديد يتجاوز القدرة على المواجهة</w:t>
      </w:r>
      <w:r w:rsidRPr="00651BBB">
        <w:rPr>
          <w:rFonts w:ascii="Traditional Arabic" w:hAnsi="Traditional Arabic" w:cs="Traditional Arabic"/>
          <w:sz w:val="32"/>
          <w:szCs w:val="32"/>
          <w:lang w:bidi="ar-EG"/>
        </w:rPr>
        <w:t>”</w:t>
      </w:r>
      <w:r w:rsidRPr="00651BBB">
        <w:rPr>
          <w:rFonts w:ascii="Traditional Arabic" w:hAnsi="Traditional Arabic" w:cs="Traditional Arabic"/>
          <w:sz w:val="32"/>
          <w:szCs w:val="32"/>
          <w:rtl/>
          <w:lang w:bidi="ar-EG"/>
        </w:rPr>
        <w:t>.</w:t>
      </w:r>
    </w:p>
    <w:p w14:paraId="5B40695B" w14:textId="77777777" w:rsidR="00651BBB" w:rsidRDefault="00194963" w:rsidP="009352FB">
      <w:pPr>
        <w:pStyle w:val="a3"/>
        <w:numPr>
          <w:ilvl w:val="0"/>
          <w:numId w:val="7"/>
        </w:numPr>
        <w:bidi/>
        <w:spacing w:before="120" w:after="0" w:line="360" w:lineRule="auto"/>
        <w:jc w:val="both"/>
        <w:rPr>
          <w:rFonts w:ascii="Traditional Arabic" w:hAnsi="Traditional Arabic" w:cs="Traditional Arabic"/>
          <w:sz w:val="32"/>
          <w:szCs w:val="32"/>
        </w:rPr>
      </w:pPr>
      <w:r w:rsidRPr="00651BBB">
        <w:rPr>
          <w:rFonts w:ascii="Traditional Arabic" w:hAnsi="Traditional Arabic" w:cs="Traditional Arabic"/>
          <w:b/>
          <w:bCs/>
          <w:sz w:val="32"/>
          <w:szCs w:val="32"/>
          <w:rtl/>
        </w:rPr>
        <w:t>استراتيجيات المواجهة:</w:t>
      </w:r>
      <w:r w:rsidRPr="00651BBB">
        <w:rPr>
          <w:rFonts w:ascii="Traditional Arabic" w:hAnsi="Traditional Arabic" w:cs="Traditional Arabic"/>
          <w:sz w:val="32"/>
          <w:szCs w:val="32"/>
          <w:rtl/>
        </w:rPr>
        <w:t xml:space="preserve"> </w:t>
      </w:r>
      <w:r w:rsidRPr="00651BBB">
        <w:rPr>
          <w:rFonts w:ascii="Traditional Arabic" w:hAnsi="Traditional Arabic" w:cs="Traditional Arabic" w:hint="cs"/>
          <w:sz w:val="32"/>
          <w:szCs w:val="32"/>
          <w:rtl/>
        </w:rPr>
        <w:t>هي "</w:t>
      </w:r>
      <w:r w:rsidRPr="00651BBB">
        <w:rPr>
          <w:rFonts w:ascii="Traditional Arabic" w:hAnsi="Traditional Arabic" w:cs="Traditional Arabic"/>
          <w:i/>
          <w:iCs/>
          <w:sz w:val="32"/>
          <w:szCs w:val="32"/>
          <w:rtl/>
        </w:rPr>
        <w:t>تغير معرفي متواصل وجهود سلوكية لإدارة الحاجات الداخلية والخارجية وبشكل خاص تلك الحاجات التي يدرك الفرد أنها مرهقة وشديدة الضرر</w:t>
      </w:r>
      <w:r w:rsidRPr="00651BBB">
        <w:rPr>
          <w:rFonts w:ascii="Traditional Arabic" w:hAnsi="Traditional Arabic" w:cs="Traditional Arabic" w:hint="cs"/>
          <w:sz w:val="32"/>
          <w:szCs w:val="32"/>
          <w:rtl/>
        </w:rPr>
        <w:t>"</w:t>
      </w:r>
      <w:r w:rsidRPr="00651BBB">
        <w:rPr>
          <w:rFonts w:ascii="Traditional Arabic" w:hAnsi="Traditional Arabic" w:cs="Traditional Arabic"/>
          <w:sz w:val="32"/>
          <w:szCs w:val="32"/>
          <w:rtl/>
        </w:rPr>
        <w:t xml:space="preserve"> (مقداد، </w:t>
      </w:r>
      <w:r w:rsidRPr="00651BBB">
        <w:rPr>
          <w:rFonts w:ascii="Traditional Arabic" w:hAnsi="Traditional Arabic" w:cs="Traditional Arabic"/>
          <w:sz w:val="32"/>
          <w:szCs w:val="32"/>
        </w:rPr>
        <w:t>2012</w:t>
      </w:r>
      <w:r w:rsidRPr="00651BBB">
        <w:rPr>
          <w:rFonts w:ascii="Traditional Arabic" w:hAnsi="Traditional Arabic" w:cs="Traditional Arabic"/>
          <w:sz w:val="32"/>
          <w:szCs w:val="32"/>
          <w:rtl/>
        </w:rPr>
        <w:t xml:space="preserve">). </w:t>
      </w:r>
      <w:r w:rsidRPr="00651BBB">
        <w:rPr>
          <w:rFonts w:ascii="Traditional Arabic" w:hAnsi="Traditional Arabic" w:cs="Traditional Arabic"/>
          <w:sz w:val="32"/>
          <w:szCs w:val="32"/>
          <w:rtl/>
          <w:lang w:bidi="ar-EG"/>
        </w:rPr>
        <w:t>و</w:t>
      </w:r>
      <w:r w:rsidRPr="00651BBB">
        <w:rPr>
          <w:rFonts w:ascii="Traditional Arabic" w:hAnsi="Traditional Arabic" w:cs="Traditional Arabic"/>
          <w:sz w:val="32"/>
          <w:szCs w:val="32"/>
          <w:rtl/>
        </w:rPr>
        <w:t>يعرفها عطير (</w:t>
      </w:r>
      <w:r w:rsidRPr="00651BBB">
        <w:rPr>
          <w:rFonts w:ascii="Traditional Arabic" w:hAnsi="Traditional Arabic" w:cs="Traditional Arabic"/>
          <w:sz w:val="32"/>
          <w:szCs w:val="32"/>
        </w:rPr>
        <w:t>2019</w:t>
      </w:r>
      <w:r w:rsidRPr="00651BBB">
        <w:rPr>
          <w:rFonts w:ascii="Traditional Arabic" w:hAnsi="Traditional Arabic" w:cs="Traditional Arabic"/>
          <w:sz w:val="32"/>
          <w:szCs w:val="32"/>
          <w:rtl/>
        </w:rPr>
        <w:t xml:space="preserve">، </w:t>
      </w:r>
      <w:r w:rsidRPr="00651BBB">
        <w:rPr>
          <w:rFonts w:ascii="Traditional Arabic" w:hAnsi="Traditional Arabic" w:cs="Traditional Arabic"/>
          <w:sz w:val="32"/>
          <w:szCs w:val="32"/>
        </w:rPr>
        <w:t>34</w:t>
      </w:r>
      <w:r w:rsidRPr="00651BBB">
        <w:rPr>
          <w:rFonts w:ascii="Traditional Arabic" w:hAnsi="Traditional Arabic" w:cs="Traditional Arabic"/>
          <w:sz w:val="32"/>
          <w:szCs w:val="32"/>
          <w:rtl/>
        </w:rPr>
        <w:t xml:space="preserve">) بأنها </w:t>
      </w:r>
      <w:r w:rsidRPr="00651BBB">
        <w:rPr>
          <w:rFonts w:ascii="Traditional Arabic" w:hAnsi="Traditional Arabic" w:cs="Traditional Arabic" w:hint="cs"/>
          <w:sz w:val="32"/>
          <w:szCs w:val="32"/>
          <w:rtl/>
        </w:rPr>
        <w:t>"</w:t>
      </w:r>
      <w:r w:rsidRPr="00651BBB">
        <w:rPr>
          <w:rFonts w:ascii="Traditional Arabic" w:hAnsi="Traditional Arabic" w:cs="Traditional Arabic"/>
          <w:i/>
          <w:iCs/>
          <w:sz w:val="32"/>
          <w:szCs w:val="32"/>
          <w:rtl/>
        </w:rPr>
        <w:t>مجموعة من الجهود المعرفية والسلوكية الموجهة للتحكم والسيطرة، وتحمل المتطلبات الداخلية والخارجية التي تهدد او تتجاوز امكانيات الفرد</w:t>
      </w:r>
      <w:r w:rsidRPr="00651BBB">
        <w:rPr>
          <w:rFonts w:ascii="Traditional Arabic" w:hAnsi="Traditional Arabic" w:cs="Traditional Arabic"/>
          <w:sz w:val="32"/>
          <w:szCs w:val="32"/>
          <w:rtl/>
        </w:rPr>
        <w:t>". كما يعرف (</w:t>
      </w:r>
      <w:r w:rsidRPr="00651BBB">
        <w:rPr>
          <w:rFonts w:ascii="Traditional Arabic" w:hAnsi="Traditional Arabic" w:cs="Traditional Arabic"/>
          <w:sz w:val="32"/>
          <w:szCs w:val="32"/>
        </w:rPr>
        <w:t>Biggs et al., 2017</w:t>
      </w:r>
      <w:r w:rsidRPr="00651BBB">
        <w:rPr>
          <w:rFonts w:ascii="Traditional Arabic" w:hAnsi="Traditional Arabic" w:cs="Traditional Arabic"/>
          <w:sz w:val="32"/>
          <w:szCs w:val="32"/>
          <w:rtl/>
        </w:rPr>
        <w:t xml:space="preserve">) استراتيجيات المواجهة أنها </w:t>
      </w:r>
      <w:r w:rsidRPr="00651BBB">
        <w:rPr>
          <w:rFonts w:ascii="Traditional Arabic" w:hAnsi="Traditional Arabic" w:cs="Traditional Arabic" w:hint="cs"/>
          <w:sz w:val="32"/>
          <w:szCs w:val="32"/>
          <w:rtl/>
        </w:rPr>
        <w:t>"</w:t>
      </w:r>
      <w:r w:rsidRPr="00651BBB">
        <w:rPr>
          <w:rFonts w:ascii="Traditional Arabic" w:hAnsi="Traditional Arabic" w:cs="Traditional Arabic"/>
          <w:i/>
          <w:iCs/>
          <w:sz w:val="32"/>
          <w:szCs w:val="32"/>
          <w:rtl/>
        </w:rPr>
        <w:t xml:space="preserve">كل الجهود السلوكية </w:t>
      </w:r>
      <w:r w:rsidRPr="00651BBB">
        <w:rPr>
          <w:rFonts w:ascii="Traditional Arabic" w:hAnsi="Traditional Arabic" w:cs="Traditional Arabic"/>
          <w:i/>
          <w:iCs/>
          <w:sz w:val="32"/>
          <w:szCs w:val="32"/>
          <w:rtl/>
        </w:rPr>
        <w:lastRenderedPageBreak/>
        <w:t>والمعرفية المتغيرة باستمرار والتي يتخذها الفرد في إدارة مطالب الموقف، والتي تم تقديرها جانب الفرد على أنها مرهقة وشاقة وتتجاوز مصادره وإمكاناته</w:t>
      </w:r>
      <w:r w:rsidRPr="00651BBB">
        <w:rPr>
          <w:rFonts w:ascii="Traditional Arabic" w:hAnsi="Traditional Arabic" w:cs="Traditional Arabic" w:hint="cs"/>
          <w:sz w:val="32"/>
          <w:szCs w:val="32"/>
          <w:rtl/>
        </w:rPr>
        <w:t>"</w:t>
      </w:r>
      <w:r w:rsidRPr="00651BBB">
        <w:rPr>
          <w:rFonts w:ascii="Traditional Arabic" w:hAnsi="Traditional Arabic" w:cs="Traditional Arabic"/>
          <w:sz w:val="32"/>
          <w:szCs w:val="32"/>
          <w:rtl/>
        </w:rPr>
        <w:t>.</w:t>
      </w:r>
    </w:p>
    <w:p w14:paraId="516358CC" w14:textId="5116A2B9" w:rsidR="00194963" w:rsidRPr="00651BBB" w:rsidRDefault="00194963" w:rsidP="00651BBB">
      <w:pPr>
        <w:pStyle w:val="a3"/>
        <w:bidi/>
        <w:spacing w:before="120" w:after="0" w:line="360" w:lineRule="auto"/>
        <w:jc w:val="both"/>
        <w:rPr>
          <w:rFonts w:ascii="Traditional Arabic" w:hAnsi="Traditional Arabic" w:cs="Traditional Arabic"/>
          <w:sz w:val="32"/>
          <w:szCs w:val="32"/>
          <w:rtl/>
        </w:rPr>
      </w:pPr>
      <w:r w:rsidRPr="00651BBB">
        <w:rPr>
          <w:rFonts w:ascii="Traditional Arabic" w:hAnsi="Traditional Arabic" w:cs="Traditional Arabic"/>
          <w:b/>
          <w:bCs/>
          <w:sz w:val="32"/>
          <w:szCs w:val="32"/>
          <w:rtl/>
          <w:lang w:bidi="ar-EG"/>
        </w:rPr>
        <w:t>التعريف الاجرائي:</w:t>
      </w:r>
      <w:r w:rsidRPr="00651BBB">
        <w:rPr>
          <w:rFonts w:ascii="Traditional Arabic" w:hAnsi="Traditional Arabic" w:cs="Traditional Arabic"/>
          <w:sz w:val="32"/>
          <w:szCs w:val="32"/>
          <w:rtl/>
          <w:lang w:bidi="ar-EG"/>
        </w:rPr>
        <w:t xml:space="preserve"> </w:t>
      </w:r>
      <w:r w:rsidRPr="00651BBB">
        <w:rPr>
          <w:rFonts w:ascii="Traditional Arabic" w:hAnsi="Traditional Arabic" w:cs="Traditional Arabic"/>
          <w:sz w:val="32"/>
          <w:szCs w:val="32"/>
          <w:rtl/>
        </w:rPr>
        <w:t xml:space="preserve">هي الدرجة التي يحصل عليها العاملون بمحكمة الأحوال الشخصية بجدة على مقياس معدل مستند إلى مقياس </w:t>
      </w:r>
      <w:r w:rsidRPr="00651BBB">
        <w:rPr>
          <w:rFonts w:ascii="Traditional Arabic" w:hAnsi="Traditional Arabic" w:cs="Traditional Arabic"/>
          <w:sz w:val="32"/>
          <w:szCs w:val="32"/>
        </w:rPr>
        <w:t>Coping Strategies Inventory</w:t>
      </w:r>
      <w:r w:rsidRPr="00651BBB">
        <w:rPr>
          <w:rFonts w:ascii="Traditional Arabic" w:hAnsi="Traditional Arabic" w:cs="Traditional Arabic" w:hint="cs"/>
          <w:sz w:val="32"/>
          <w:szCs w:val="32"/>
          <w:rtl/>
        </w:rPr>
        <w:t>،</w:t>
      </w:r>
      <w:r w:rsidRPr="00651BBB">
        <w:rPr>
          <w:rFonts w:ascii="Traditional Arabic" w:hAnsi="Traditional Arabic" w:cs="Traditional Arabic"/>
          <w:sz w:val="32"/>
          <w:szCs w:val="32"/>
          <w:rtl/>
        </w:rPr>
        <w:t xml:space="preserve"> والذي يصنف استراتيجيات المواجهة إلى إيجابية (حل المشكلات وطلب الدعم الاجتماعي) وسلبية (التجنب والانسحاب). وتعكس الدرجات مدى اعتماد الأفراد على كل نوع من الاستراتيجيات في التعامل مع ضغوط العمل.</w:t>
      </w:r>
    </w:p>
    <w:p w14:paraId="51220659" w14:textId="77777777" w:rsidR="00194963" w:rsidRPr="00FE21AE" w:rsidRDefault="00194963" w:rsidP="00194963">
      <w:pPr>
        <w:bidi/>
        <w:spacing w:before="120" w:after="0" w:line="360" w:lineRule="auto"/>
        <w:jc w:val="both"/>
        <w:rPr>
          <w:rFonts w:ascii="Traditional Arabic" w:hAnsi="Traditional Arabic" w:cs="Traditional Arabic"/>
          <w:sz w:val="32"/>
          <w:szCs w:val="32"/>
          <w:lang w:bidi="ar-EG"/>
        </w:rPr>
      </w:pPr>
    </w:p>
    <w:p w14:paraId="036F1476" w14:textId="77777777" w:rsidR="00651BBB" w:rsidRDefault="00194963" w:rsidP="009352FB">
      <w:pPr>
        <w:pStyle w:val="a3"/>
        <w:numPr>
          <w:ilvl w:val="0"/>
          <w:numId w:val="7"/>
        </w:numPr>
        <w:bidi/>
        <w:spacing w:before="120" w:after="0" w:line="360" w:lineRule="auto"/>
        <w:jc w:val="both"/>
        <w:rPr>
          <w:rFonts w:ascii="Traditional Arabic" w:hAnsi="Traditional Arabic" w:cs="Traditional Arabic"/>
          <w:sz w:val="32"/>
          <w:szCs w:val="32"/>
        </w:rPr>
      </w:pPr>
      <w:r w:rsidRPr="00651BBB">
        <w:rPr>
          <w:rFonts w:ascii="Traditional Arabic" w:hAnsi="Traditional Arabic" w:cs="Traditional Arabic"/>
          <w:b/>
          <w:bCs/>
          <w:sz w:val="32"/>
          <w:szCs w:val="32"/>
          <w:rtl/>
        </w:rPr>
        <w:t xml:space="preserve">الرضا الوظيفي: </w:t>
      </w:r>
      <w:r w:rsidRPr="00651BBB">
        <w:rPr>
          <w:rFonts w:ascii="Traditional Arabic" w:hAnsi="Traditional Arabic" w:cs="Traditional Arabic"/>
          <w:sz w:val="32"/>
          <w:szCs w:val="32"/>
          <w:rtl/>
        </w:rPr>
        <w:t>يعرفه الشرايدة (</w:t>
      </w:r>
      <w:r w:rsidRPr="00651BBB">
        <w:rPr>
          <w:rFonts w:ascii="Traditional Arabic" w:hAnsi="Traditional Arabic" w:cs="Traditional Arabic"/>
          <w:sz w:val="32"/>
          <w:szCs w:val="32"/>
        </w:rPr>
        <w:t>2008</w:t>
      </w:r>
      <w:r w:rsidRPr="00651BBB">
        <w:rPr>
          <w:rFonts w:ascii="Traditional Arabic" w:hAnsi="Traditional Arabic" w:cs="Traditional Arabic"/>
          <w:sz w:val="32"/>
          <w:szCs w:val="32"/>
          <w:rtl/>
        </w:rPr>
        <w:t>) بأنه</w:t>
      </w:r>
      <w:r w:rsidRPr="00651BBB">
        <w:rPr>
          <w:rFonts w:ascii="Traditional Arabic" w:hAnsi="Traditional Arabic" w:cs="Traditional Arabic"/>
          <w:b/>
          <w:bCs/>
          <w:sz w:val="32"/>
          <w:szCs w:val="32"/>
          <w:rtl/>
        </w:rPr>
        <w:t xml:space="preserve"> "</w:t>
      </w:r>
      <w:r w:rsidRPr="00651BBB">
        <w:rPr>
          <w:rFonts w:ascii="Traditional Arabic" w:hAnsi="Traditional Arabic" w:cs="Traditional Arabic"/>
          <w:i/>
          <w:iCs/>
          <w:sz w:val="32"/>
          <w:szCs w:val="32"/>
          <w:rtl/>
        </w:rPr>
        <w:t>يمثل حصيلة لمجموعة العوامل ذات الصلة والعمل الوظيفي والتي تقاس أساساً بقبول الفرد ذلك العمل بارتياح ورضا نفس وفاعلية بالإنتاج نتيجة للشعور الوجداني الذي يمكن للفرد القيام بعمله دون ملل أو ضيق</w:t>
      </w:r>
      <w:r w:rsidRPr="00651BBB">
        <w:rPr>
          <w:rFonts w:ascii="Traditional Arabic" w:hAnsi="Traditional Arabic" w:cs="Traditional Arabic"/>
          <w:sz w:val="32"/>
          <w:szCs w:val="32"/>
          <w:rtl/>
        </w:rPr>
        <w:t>".</w:t>
      </w:r>
    </w:p>
    <w:p w14:paraId="237108EF" w14:textId="5770B69A" w:rsidR="00194963" w:rsidRPr="00651BBB" w:rsidRDefault="00194963" w:rsidP="00651BBB">
      <w:pPr>
        <w:pStyle w:val="a3"/>
        <w:bidi/>
        <w:spacing w:before="120" w:after="0" w:line="360" w:lineRule="auto"/>
        <w:jc w:val="both"/>
        <w:rPr>
          <w:rFonts w:ascii="Traditional Arabic" w:hAnsi="Traditional Arabic" w:cs="Traditional Arabic"/>
          <w:sz w:val="32"/>
          <w:szCs w:val="32"/>
        </w:rPr>
      </w:pPr>
      <w:r w:rsidRPr="00651BBB">
        <w:rPr>
          <w:rFonts w:ascii="Traditional Arabic" w:hAnsi="Traditional Arabic" w:cs="Traditional Arabic"/>
          <w:b/>
          <w:bCs/>
          <w:sz w:val="32"/>
          <w:szCs w:val="32"/>
          <w:rtl/>
        </w:rPr>
        <w:t>التعريف الاجرائي:</w:t>
      </w:r>
      <w:r w:rsidRPr="00651BBB">
        <w:rPr>
          <w:rFonts w:ascii="Traditional Arabic" w:hAnsi="Traditional Arabic" w:cs="Traditional Arabic"/>
          <w:sz w:val="32"/>
          <w:szCs w:val="32"/>
          <w:rtl/>
        </w:rPr>
        <w:t xml:space="preserve"> هو الدرجة الكلية التي يحصل عليها العاملون بمحكمة الأحوال الشخصية بجدة على مقياس الرضا الوظيفي في مينيسوتا (</w:t>
      </w:r>
      <w:r w:rsidRPr="00651BBB">
        <w:rPr>
          <w:rFonts w:ascii="Traditional Arabic" w:hAnsi="Traditional Arabic" w:cs="Traditional Arabic"/>
          <w:sz w:val="32"/>
          <w:szCs w:val="32"/>
        </w:rPr>
        <w:t>Minnesota Satisfaction Questionnaire – MSQ</w:t>
      </w:r>
      <w:r w:rsidRPr="00651BBB">
        <w:rPr>
          <w:rFonts w:ascii="Traditional Arabic" w:hAnsi="Traditional Arabic" w:cs="Traditional Arabic"/>
          <w:sz w:val="32"/>
          <w:szCs w:val="32"/>
          <w:rtl/>
        </w:rPr>
        <w:t>)، والذي يقيس مستويات الرضا العام عن الوظيفة من خلال مجموعة من البنود المتعلقة بجوانب العمل المختلفة. وتشير الدرجات الأعلى إلى مستويات رضا وظيفي مرتفعة، بينما تدل الدرجات الأدنى على رضا أقل</w:t>
      </w:r>
      <w:r w:rsidRPr="00651BBB">
        <w:rPr>
          <w:rFonts w:ascii="Traditional Arabic" w:hAnsi="Traditional Arabic" w:cs="Traditional Arabic"/>
          <w:sz w:val="32"/>
          <w:szCs w:val="32"/>
        </w:rPr>
        <w:t>.</w:t>
      </w:r>
    </w:p>
    <w:p w14:paraId="42707BBC" w14:textId="77777777" w:rsidR="00194963" w:rsidRPr="00FE21AE" w:rsidRDefault="00194963" w:rsidP="00194963">
      <w:pPr>
        <w:bidi/>
        <w:spacing w:before="120" w:after="0" w:line="360" w:lineRule="auto"/>
        <w:jc w:val="both"/>
        <w:rPr>
          <w:rFonts w:ascii="Traditional Arabic" w:hAnsi="Traditional Arabic" w:cs="Traditional Arabic"/>
          <w:sz w:val="32"/>
          <w:szCs w:val="32"/>
          <w:rtl/>
        </w:rPr>
      </w:pPr>
    </w:p>
    <w:p w14:paraId="7047BD00" w14:textId="77777777" w:rsidR="00194963" w:rsidRPr="00FE21AE" w:rsidRDefault="00194963" w:rsidP="00194963">
      <w:pPr>
        <w:bidi/>
        <w:spacing w:before="120" w:after="0" w:line="360" w:lineRule="auto"/>
        <w:jc w:val="both"/>
        <w:rPr>
          <w:rFonts w:ascii="Traditional Arabic" w:hAnsi="Traditional Arabic" w:cs="Traditional Arabic"/>
          <w:sz w:val="32"/>
          <w:szCs w:val="32"/>
          <w:rtl/>
        </w:rPr>
      </w:pPr>
    </w:p>
    <w:p w14:paraId="7DE11AAA" w14:textId="04D3DA75" w:rsidR="00651BBB" w:rsidRDefault="00194963" w:rsidP="005B2114">
      <w:pPr>
        <w:pStyle w:val="a3"/>
        <w:numPr>
          <w:ilvl w:val="0"/>
          <w:numId w:val="7"/>
        </w:numPr>
        <w:bidi/>
        <w:spacing w:before="120" w:after="0" w:line="360" w:lineRule="auto"/>
        <w:jc w:val="both"/>
        <w:rPr>
          <w:rFonts w:ascii="Traditional Arabic" w:hAnsi="Traditional Arabic" w:cs="Traditional Arabic"/>
          <w:sz w:val="32"/>
          <w:szCs w:val="32"/>
        </w:rPr>
      </w:pPr>
      <w:r w:rsidRPr="00651BBB">
        <w:rPr>
          <w:rFonts w:ascii="Traditional Arabic" w:hAnsi="Traditional Arabic" w:cs="Traditional Arabic" w:hint="cs"/>
          <w:b/>
          <w:bCs/>
          <w:sz w:val="32"/>
          <w:szCs w:val="32"/>
          <w:rtl/>
        </w:rPr>
        <w:lastRenderedPageBreak/>
        <w:t>الاحتراق الوظيفي:</w:t>
      </w:r>
      <w:r w:rsidRPr="00651BBB">
        <w:rPr>
          <w:rFonts w:ascii="Traditional Arabic" w:hAnsi="Traditional Arabic" w:cs="Traditional Arabic" w:hint="cs"/>
          <w:sz w:val="32"/>
          <w:szCs w:val="32"/>
          <w:rtl/>
        </w:rPr>
        <w:t xml:space="preserve"> </w:t>
      </w:r>
      <w:r w:rsidRPr="00651BBB">
        <w:rPr>
          <w:rFonts w:ascii="Traditional Arabic" w:hAnsi="Traditional Arabic" w:cs="Traditional Arabic"/>
          <w:sz w:val="32"/>
          <w:szCs w:val="32"/>
          <w:rtl/>
        </w:rPr>
        <w:t>هو حالة من الإرهاق النفسي والجسدي والسلوكي الناتج عن التعرض المستمر لضغوط العمل، ويظهر في صورة انخفاض الحماس، والإجهاد العاطفي، والشعور بعدم الإنجاز الشخصي</w:t>
      </w:r>
      <w:r w:rsidRPr="00651BBB">
        <w:rPr>
          <w:rFonts w:ascii="Traditional Arabic" w:hAnsi="Traditional Arabic" w:cs="Traditional Arabic"/>
          <w:sz w:val="32"/>
          <w:szCs w:val="32"/>
        </w:rPr>
        <w:t xml:space="preserve">. </w:t>
      </w:r>
      <w:r w:rsidRPr="00651BBB">
        <w:rPr>
          <w:rFonts w:ascii="Traditional Arabic" w:hAnsi="Traditional Arabic" w:cs="Traditional Arabic"/>
          <w:sz w:val="32"/>
          <w:szCs w:val="32"/>
          <w:rtl/>
        </w:rPr>
        <w:t xml:space="preserve">ويتفق هذا التعريف مع ما أشار إليه </w:t>
      </w:r>
      <w:r w:rsidRPr="00651BBB">
        <w:rPr>
          <w:rFonts w:ascii="Traditional Arabic" w:hAnsi="Traditional Arabic" w:cs="Traditional Arabic"/>
          <w:sz w:val="32"/>
          <w:szCs w:val="32"/>
        </w:rPr>
        <w:t>Leiss et al. (2021</w:t>
      </w:r>
      <w:proofErr w:type="gramStart"/>
      <w:r w:rsidRPr="00651BBB">
        <w:rPr>
          <w:rFonts w:ascii="Traditional Arabic" w:hAnsi="Traditional Arabic" w:cs="Traditional Arabic"/>
          <w:sz w:val="32"/>
          <w:szCs w:val="32"/>
        </w:rPr>
        <w:t xml:space="preserve">) </w:t>
      </w:r>
      <w:r w:rsidRPr="00651BBB">
        <w:rPr>
          <w:rFonts w:ascii="Traditional Arabic" w:hAnsi="Traditional Arabic" w:cs="Traditional Arabic" w:hint="cs"/>
          <w:sz w:val="32"/>
          <w:szCs w:val="32"/>
          <w:rtl/>
        </w:rPr>
        <w:t xml:space="preserve"> </w:t>
      </w:r>
      <w:r w:rsidRPr="00651BBB">
        <w:rPr>
          <w:rFonts w:ascii="Traditional Arabic" w:hAnsi="Traditional Arabic" w:cs="Traditional Arabic"/>
          <w:sz w:val="32"/>
          <w:szCs w:val="32"/>
          <w:rtl/>
        </w:rPr>
        <w:t>عند</w:t>
      </w:r>
      <w:proofErr w:type="gramEnd"/>
      <w:r w:rsidRPr="00651BBB">
        <w:rPr>
          <w:rFonts w:ascii="Traditional Arabic" w:hAnsi="Traditional Arabic" w:cs="Traditional Arabic"/>
          <w:sz w:val="32"/>
          <w:szCs w:val="32"/>
          <w:rtl/>
        </w:rPr>
        <w:t xml:space="preserve"> وصفهم للاحتراق الوظيفي بوصفه استجابة مزمنة لضغوط العمل تتجلى في ثلاثة أبعاد رئيسة</w:t>
      </w:r>
      <w:r w:rsidRPr="00651BBB">
        <w:rPr>
          <w:rFonts w:ascii="Traditional Arabic" w:hAnsi="Traditional Arabic" w:cs="Traditional Arabic"/>
          <w:sz w:val="32"/>
          <w:szCs w:val="32"/>
        </w:rPr>
        <w:t xml:space="preserve">: </w:t>
      </w:r>
      <w:r w:rsidRPr="00651BBB">
        <w:rPr>
          <w:rFonts w:ascii="Traditional Arabic" w:hAnsi="Traditional Arabic" w:cs="Traditional Arabic"/>
          <w:sz w:val="32"/>
          <w:szCs w:val="32"/>
          <w:rtl/>
        </w:rPr>
        <w:t>الإجهاد العاطفي، وتبلد المشاعر (الانفصال العاطفي)، وتدني ا</w:t>
      </w:r>
      <w:r w:rsidRPr="00FE21AE">
        <w:rPr>
          <w:rtl/>
        </w:rPr>
        <w:t xml:space="preserve"> </w:t>
      </w:r>
      <w:r w:rsidRPr="00651BBB">
        <w:rPr>
          <w:rFonts w:ascii="Traditional Arabic" w:hAnsi="Traditional Arabic" w:cs="Traditional Arabic"/>
          <w:sz w:val="32"/>
          <w:szCs w:val="32"/>
          <w:rtl/>
        </w:rPr>
        <w:t xml:space="preserve">لإنجاز الشخصي، وهي نفس الأبعاد التي اعتمدها </w:t>
      </w:r>
      <w:r w:rsidRPr="00651BBB">
        <w:rPr>
          <w:rFonts w:ascii="Traditional Arabic" w:hAnsi="Traditional Arabic" w:cs="Traditional Arabic"/>
          <w:sz w:val="32"/>
          <w:szCs w:val="32"/>
        </w:rPr>
        <w:t xml:space="preserve">Maslach </w:t>
      </w:r>
      <w:r w:rsidR="005B2114">
        <w:rPr>
          <w:rFonts w:ascii="Traditional Arabic" w:hAnsi="Traditional Arabic" w:cs="Traditional Arabic"/>
          <w:sz w:val="32"/>
          <w:szCs w:val="32"/>
        </w:rPr>
        <w:t>et al., 1996)</w:t>
      </w:r>
      <w:r w:rsidRPr="00651BBB">
        <w:rPr>
          <w:rFonts w:ascii="Traditional Arabic" w:hAnsi="Traditional Arabic" w:cs="Traditional Arabic"/>
          <w:sz w:val="32"/>
          <w:szCs w:val="32"/>
          <w:rtl/>
        </w:rPr>
        <w:t>) في مقياسهم الشهير. ويُقاس هذا المتغير إجرائيًا في هذه الدراسة من خلال الدرجة الكلية التي يحصل عليها المبحوث على مقياس الاحتراق الوظيفي بأبعاده الثلاثة</w:t>
      </w:r>
      <w:r w:rsidRPr="00651BBB">
        <w:rPr>
          <w:rFonts w:ascii="Traditional Arabic" w:hAnsi="Traditional Arabic" w:cs="Traditional Arabic"/>
          <w:sz w:val="32"/>
          <w:szCs w:val="32"/>
        </w:rPr>
        <w:t>.</w:t>
      </w:r>
    </w:p>
    <w:p w14:paraId="573FE272" w14:textId="3FC8EC8F" w:rsidR="00194963" w:rsidRPr="00651BBB" w:rsidRDefault="00194963" w:rsidP="00651BBB">
      <w:pPr>
        <w:pStyle w:val="a3"/>
        <w:bidi/>
        <w:spacing w:before="120" w:after="0" w:line="360" w:lineRule="auto"/>
        <w:jc w:val="both"/>
        <w:rPr>
          <w:rFonts w:ascii="Traditional Arabic" w:hAnsi="Traditional Arabic" w:cs="Traditional Arabic"/>
          <w:sz w:val="32"/>
          <w:szCs w:val="32"/>
          <w:rtl/>
        </w:rPr>
      </w:pPr>
      <w:r w:rsidRPr="00651BBB">
        <w:rPr>
          <w:rFonts w:ascii="Traditional Arabic" w:hAnsi="Traditional Arabic" w:cs="Traditional Arabic" w:hint="cs"/>
          <w:b/>
          <w:bCs/>
          <w:sz w:val="32"/>
          <w:szCs w:val="32"/>
          <w:rtl/>
        </w:rPr>
        <w:t>التعريف الاجرائي</w:t>
      </w:r>
      <w:r w:rsidRPr="00651BBB">
        <w:rPr>
          <w:rFonts w:ascii="Traditional Arabic" w:hAnsi="Traditional Arabic" w:cs="Traditional Arabic" w:hint="cs"/>
          <w:sz w:val="32"/>
          <w:szCs w:val="32"/>
          <w:rtl/>
        </w:rPr>
        <w:t xml:space="preserve">: </w:t>
      </w:r>
      <w:r w:rsidRPr="00651BBB">
        <w:rPr>
          <w:rFonts w:ascii="Traditional Arabic" w:hAnsi="Traditional Arabic" w:cs="Traditional Arabic"/>
          <w:sz w:val="32"/>
          <w:szCs w:val="32"/>
          <w:rtl/>
        </w:rPr>
        <w:t>هو الدرجة الكلية التي يحصل عليها العاملون بمحكمة الأحوال الشخصية بجدة على مقياس الاحتراق الوظيفي المعتمد في هذه الدراسة، والمكون من ثلاثة أبعاد رئيسة: الإجهاد العاطفي، تبلد المشاعر، وتدني الإنجاز الشخصي. وتشير الدرجة المرتفعة إلى مستوى عالٍ من الاحتراق الوظيفي، في حين تشير الدرجة المنخفضة إلى مستوى منخفض منه.</w:t>
      </w:r>
    </w:p>
    <w:p w14:paraId="775D78E3" w14:textId="499E9E34" w:rsidR="00F021D6" w:rsidRPr="00F601F6" w:rsidRDefault="008074A2" w:rsidP="00194963">
      <w:pPr>
        <w:bidi/>
        <w:spacing w:after="0" w:line="360" w:lineRule="auto"/>
        <w:jc w:val="both"/>
        <w:rPr>
          <w:rFonts w:ascii="Traditional Arabic" w:eastAsia="Times New Roman" w:hAnsi="Traditional Arabic" w:cs="Traditional Arabic"/>
          <w:sz w:val="32"/>
          <w:szCs w:val="32"/>
          <w:rtl/>
        </w:rPr>
      </w:pPr>
      <w:r w:rsidRPr="008074A2">
        <w:rPr>
          <w:rFonts w:ascii="Traditional Arabic" w:eastAsia="Times New Roman" w:hAnsi="Traditional Arabic" w:cs="Traditional Arabic"/>
          <w:b/>
          <w:bCs/>
          <w:sz w:val="32"/>
          <w:szCs w:val="32"/>
        </w:rPr>
        <w:t>🔷</w:t>
      </w:r>
      <w:r w:rsidR="00194963">
        <w:rPr>
          <w:rFonts w:ascii="Traditional Arabic" w:eastAsia="Times New Roman" w:hAnsi="Traditional Arabic" w:cs="Traditional Arabic"/>
          <w:b/>
          <w:bCs/>
          <w:sz w:val="32"/>
          <w:szCs w:val="32"/>
        </w:rPr>
        <w:t xml:space="preserve"> </w:t>
      </w:r>
    </w:p>
    <w:p w14:paraId="3CC5303B" w14:textId="0B43574F" w:rsidR="008074A2" w:rsidRPr="00C57504" w:rsidRDefault="008074A2" w:rsidP="00C57504">
      <w:pPr>
        <w:bidi/>
        <w:spacing w:after="200" w:line="360" w:lineRule="auto"/>
        <w:jc w:val="both"/>
        <w:rPr>
          <w:rFonts w:ascii="Traditional Arabic" w:eastAsia="Times New Roman" w:hAnsi="Traditional Arabic" w:cs="Traditional Arabic"/>
          <w:b/>
          <w:bCs/>
          <w:sz w:val="36"/>
          <w:szCs w:val="36"/>
          <w:rtl/>
        </w:rPr>
      </w:pPr>
      <w:r w:rsidRPr="008074A2">
        <w:rPr>
          <w:rFonts w:ascii="Traditional Arabic" w:eastAsia="Times New Roman" w:hAnsi="Traditional Arabic" w:cs="Traditional Arabic" w:hint="cs"/>
          <w:b/>
          <w:bCs/>
          <w:sz w:val="36"/>
          <w:szCs w:val="36"/>
          <w:rtl/>
        </w:rPr>
        <w:t>نموذج الدراسة</w:t>
      </w:r>
      <w:r w:rsidR="00651BBB">
        <w:rPr>
          <w:rFonts w:ascii="Traditional Arabic" w:eastAsia="Times New Roman" w:hAnsi="Traditional Arabic" w:cs="Traditional Arabic" w:hint="cs"/>
          <w:b/>
          <w:bCs/>
          <w:sz w:val="36"/>
          <w:szCs w:val="36"/>
          <w:rtl/>
        </w:rPr>
        <w:t>:</w:t>
      </w:r>
    </w:p>
    <w:p w14:paraId="3DE3D0E9" w14:textId="77777777" w:rsidR="00194963" w:rsidRPr="005467FA" w:rsidRDefault="00194963" w:rsidP="00194963">
      <w:pPr>
        <w:bidi/>
        <w:spacing w:before="120" w:after="0" w:line="276" w:lineRule="auto"/>
        <w:jc w:val="both"/>
        <w:rPr>
          <w:rFonts w:ascii="Traditional Arabic" w:hAnsi="Traditional Arabic" w:cs="Traditional Arabic"/>
          <w:sz w:val="32"/>
          <w:szCs w:val="32"/>
        </w:rPr>
      </w:pPr>
      <w:r w:rsidRPr="005467FA">
        <w:rPr>
          <w:rFonts w:ascii="Traditional Arabic" w:hAnsi="Traditional Arabic" w:cs="Traditional Arabic"/>
          <w:sz w:val="32"/>
          <w:szCs w:val="32"/>
          <w:rtl/>
        </w:rPr>
        <w:t>يوضح النموذج المبين في الأسفل طبيعة العلاقات المفترضة بين متغيرات الدراسة لدى العاملين بمحكمة الأحوال الشخصية بجدة، وذلك وفقًا للفرضيات المطروحة. ويتناول النموذج</w:t>
      </w:r>
      <w:r w:rsidRPr="005467FA">
        <w:rPr>
          <w:rFonts w:ascii="Traditional Arabic" w:hAnsi="Traditional Arabic" w:cs="Traditional Arabic"/>
          <w:sz w:val="32"/>
          <w:szCs w:val="32"/>
        </w:rPr>
        <w:t>:</w:t>
      </w:r>
    </w:p>
    <w:p w14:paraId="67D24D37" w14:textId="77777777" w:rsidR="00194963" w:rsidRPr="005467FA" w:rsidRDefault="00194963" w:rsidP="009352FB">
      <w:pPr>
        <w:numPr>
          <w:ilvl w:val="0"/>
          <w:numId w:val="6"/>
        </w:numPr>
        <w:bidi/>
        <w:spacing w:before="120" w:after="0" w:line="276" w:lineRule="auto"/>
        <w:jc w:val="both"/>
        <w:rPr>
          <w:rFonts w:ascii="Traditional Arabic" w:hAnsi="Traditional Arabic" w:cs="Traditional Arabic"/>
          <w:sz w:val="32"/>
          <w:szCs w:val="32"/>
        </w:rPr>
      </w:pPr>
      <w:r w:rsidRPr="005467FA">
        <w:rPr>
          <w:rFonts w:ascii="Traditional Arabic" w:hAnsi="Traditional Arabic" w:cs="Traditional Arabic"/>
          <w:sz w:val="32"/>
          <w:szCs w:val="32"/>
          <w:rtl/>
        </w:rPr>
        <w:t>أثر استراتيجيات مواجهة ضغوط العمل (المتغير المستقل) على الرضا الوظيفي (المتغير التابع).</w:t>
      </w:r>
    </w:p>
    <w:p w14:paraId="09E91744" w14:textId="77777777" w:rsidR="00194963" w:rsidRPr="005467FA" w:rsidRDefault="00194963" w:rsidP="009352FB">
      <w:pPr>
        <w:numPr>
          <w:ilvl w:val="0"/>
          <w:numId w:val="6"/>
        </w:numPr>
        <w:bidi/>
        <w:spacing w:before="120" w:after="0" w:line="276" w:lineRule="auto"/>
        <w:jc w:val="both"/>
        <w:rPr>
          <w:rFonts w:ascii="Traditional Arabic" w:hAnsi="Traditional Arabic" w:cs="Traditional Arabic"/>
          <w:sz w:val="32"/>
          <w:szCs w:val="32"/>
        </w:rPr>
      </w:pPr>
      <w:r w:rsidRPr="005467FA">
        <w:rPr>
          <w:rFonts w:ascii="Traditional Arabic" w:hAnsi="Traditional Arabic" w:cs="Traditional Arabic"/>
          <w:sz w:val="32"/>
          <w:szCs w:val="32"/>
          <w:rtl/>
        </w:rPr>
        <w:t>أثر استراتيجيات مواجهة ضغوط العمل على الاحتراق الوظيفي (المتغير الوسيط).</w:t>
      </w:r>
    </w:p>
    <w:p w14:paraId="4E2E4ED7" w14:textId="77777777" w:rsidR="00194963" w:rsidRPr="005467FA" w:rsidRDefault="00194963" w:rsidP="009352FB">
      <w:pPr>
        <w:numPr>
          <w:ilvl w:val="0"/>
          <w:numId w:val="6"/>
        </w:numPr>
        <w:bidi/>
        <w:spacing w:before="120" w:after="0" w:line="276" w:lineRule="auto"/>
        <w:jc w:val="both"/>
        <w:rPr>
          <w:rFonts w:ascii="Traditional Arabic" w:hAnsi="Traditional Arabic" w:cs="Traditional Arabic"/>
          <w:sz w:val="32"/>
          <w:szCs w:val="32"/>
        </w:rPr>
      </w:pPr>
      <w:r w:rsidRPr="005467FA">
        <w:rPr>
          <w:rFonts w:ascii="Traditional Arabic" w:hAnsi="Traditional Arabic" w:cs="Traditional Arabic"/>
          <w:sz w:val="32"/>
          <w:szCs w:val="32"/>
          <w:rtl/>
        </w:rPr>
        <w:t>أثر الاحتراق الوظيفي على الرضا الوظيفي</w:t>
      </w:r>
      <w:r w:rsidRPr="005467FA">
        <w:rPr>
          <w:rFonts w:ascii="Traditional Arabic" w:hAnsi="Traditional Arabic" w:cs="Traditional Arabic"/>
          <w:sz w:val="32"/>
          <w:szCs w:val="32"/>
        </w:rPr>
        <w:t>.</w:t>
      </w:r>
    </w:p>
    <w:p w14:paraId="61935E5A" w14:textId="77777777" w:rsidR="00194963" w:rsidRPr="005467FA" w:rsidRDefault="00194963" w:rsidP="009352FB">
      <w:pPr>
        <w:numPr>
          <w:ilvl w:val="0"/>
          <w:numId w:val="6"/>
        </w:numPr>
        <w:bidi/>
        <w:spacing w:before="120" w:after="0" w:line="276" w:lineRule="auto"/>
        <w:jc w:val="both"/>
        <w:rPr>
          <w:rFonts w:ascii="Traditional Arabic" w:hAnsi="Traditional Arabic" w:cs="Traditional Arabic"/>
          <w:sz w:val="32"/>
          <w:szCs w:val="32"/>
        </w:rPr>
      </w:pPr>
      <w:r w:rsidRPr="005467FA">
        <w:rPr>
          <w:rFonts w:ascii="Traditional Arabic" w:hAnsi="Traditional Arabic" w:cs="Traditional Arabic"/>
          <w:sz w:val="32"/>
          <w:szCs w:val="32"/>
          <w:rtl/>
        </w:rPr>
        <w:lastRenderedPageBreak/>
        <w:t>الدور الوسيط للاحتراق الوظيفي في العلاقة بين استراتيجيات مواجهة ضغوط العمل والرضا الوظيفي</w:t>
      </w:r>
      <w:r w:rsidRPr="005467FA">
        <w:rPr>
          <w:rFonts w:ascii="Traditional Arabic" w:hAnsi="Traditional Arabic" w:cs="Traditional Arabic"/>
          <w:sz w:val="32"/>
          <w:szCs w:val="32"/>
        </w:rPr>
        <w:t>.</w:t>
      </w:r>
    </w:p>
    <w:p w14:paraId="6D979123" w14:textId="77777777" w:rsidR="00194963" w:rsidRPr="005467FA" w:rsidRDefault="00194963" w:rsidP="00194963">
      <w:pPr>
        <w:bidi/>
        <w:spacing w:before="120" w:after="0" w:line="276" w:lineRule="auto"/>
        <w:ind w:firstLine="746"/>
        <w:jc w:val="both"/>
        <w:rPr>
          <w:rFonts w:ascii="Sakkal Majalla" w:hAnsi="Sakkal Majalla" w:cs="Sakkal Majalla"/>
          <w:sz w:val="32"/>
          <w:szCs w:val="32"/>
          <w:highlight w:val="yellow"/>
          <w:rtl/>
          <w:lang w:bidi="ar-EG"/>
        </w:rPr>
      </w:pPr>
    </w:p>
    <w:p w14:paraId="6AA7E1E0" w14:textId="77777777" w:rsidR="00194963" w:rsidRDefault="00194963" w:rsidP="00194963">
      <w:pPr>
        <w:bidi/>
        <w:spacing w:before="120" w:after="0" w:line="276" w:lineRule="auto"/>
        <w:ind w:firstLine="26"/>
        <w:jc w:val="center"/>
        <w:rPr>
          <w:rFonts w:ascii="Sakkal Majalla" w:hAnsi="Sakkal Majalla" w:cs="Sakkal Majalla"/>
          <w:noProof/>
          <w:sz w:val="32"/>
          <w:szCs w:val="32"/>
          <w:highlight w:val="yellow"/>
          <w:rtl/>
        </w:rPr>
      </w:pPr>
      <w:r>
        <w:rPr>
          <w:noProof/>
        </w:rPr>
        <mc:AlternateContent>
          <mc:Choice Requires="wpg">
            <w:drawing>
              <wp:anchor distT="0" distB="0" distL="114300" distR="114300" simplePos="0" relativeHeight="251659264" behindDoc="0" locked="0" layoutInCell="1" allowOverlap="1" wp14:anchorId="783F2F6B" wp14:editId="2B0B1508">
                <wp:simplePos x="0" y="0"/>
                <wp:positionH relativeFrom="column">
                  <wp:posOffset>-83820</wp:posOffset>
                </wp:positionH>
                <wp:positionV relativeFrom="paragraph">
                  <wp:posOffset>24130</wp:posOffset>
                </wp:positionV>
                <wp:extent cx="5463540" cy="2895600"/>
                <wp:effectExtent l="0" t="0" r="22860" b="19050"/>
                <wp:wrapNone/>
                <wp:docPr id="1" name="مجموعة 1"/>
                <wp:cNvGraphicFramePr/>
                <a:graphic xmlns:a="http://schemas.openxmlformats.org/drawingml/2006/main">
                  <a:graphicData uri="http://schemas.microsoft.com/office/word/2010/wordprocessingGroup">
                    <wpg:wgp>
                      <wpg:cNvGrpSpPr/>
                      <wpg:grpSpPr>
                        <a:xfrm>
                          <a:off x="0" y="0"/>
                          <a:ext cx="5463540" cy="2895600"/>
                          <a:chOff x="0" y="0"/>
                          <a:chExt cx="5410200" cy="2506980"/>
                        </a:xfrm>
                      </wpg:grpSpPr>
                      <wps:wsp>
                        <wps:cNvPr id="2" name="مستطيل مستدير الزوايا 2"/>
                        <wps:cNvSpPr/>
                        <wps:spPr>
                          <a:xfrm>
                            <a:off x="4183380" y="0"/>
                            <a:ext cx="1226820" cy="914400"/>
                          </a:xfrm>
                          <a:prstGeom prst="roundRect">
                            <a:avLst/>
                          </a:prstGeom>
                          <a:solidFill>
                            <a:sysClr val="window" lastClr="FFFFFF"/>
                          </a:solidFill>
                          <a:ln w="25400" cap="flat" cmpd="sng" algn="ctr">
                            <a:solidFill>
                              <a:srgbClr val="C0504D"/>
                            </a:solidFill>
                            <a:prstDash val="solid"/>
                          </a:ln>
                          <a:effectLst/>
                        </wps:spPr>
                        <wps:txbx>
                          <w:txbxContent>
                            <w:p w14:paraId="2287302A" w14:textId="77777777" w:rsidR="004F4902" w:rsidRPr="00BE0352" w:rsidRDefault="004F4902" w:rsidP="00194963">
                              <w:pPr>
                                <w:jc w:val="center"/>
                                <w:rPr>
                                  <w:rFonts w:asciiTheme="majorBidi" w:hAnsiTheme="majorBidi" w:cstheme="majorBidi"/>
                                  <w:sz w:val="24"/>
                                  <w:szCs w:val="24"/>
                                </w:rPr>
                              </w:pPr>
                              <w:r w:rsidRPr="00BE0352">
                                <w:rPr>
                                  <w:rStyle w:val="a9"/>
                                  <w:rFonts w:asciiTheme="majorBidi" w:hAnsiTheme="majorBidi" w:cstheme="majorBidi"/>
                                  <w:sz w:val="24"/>
                                  <w:szCs w:val="24"/>
                                  <w:rtl/>
                                </w:rPr>
                                <w:t>استراتيجيات مواجهة ضغوط العمل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مستطيل مستدير الزوايا 4"/>
                        <wps:cNvSpPr/>
                        <wps:spPr>
                          <a:xfrm>
                            <a:off x="2263140" y="1592580"/>
                            <a:ext cx="914400" cy="914400"/>
                          </a:xfrm>
                          <a:prstGeom prst="roundRect">
                            <a:avLst/>
                          </a:prstGeom>
                          <a:solidFill>
                            <a:sysClr val="window" lastClr="FFFFFF"/>
                          </a:solidFill>
                          <a:ln w="25400" cap="flat" cmpd="sng" algn="ctr">
                            <a:solidFill>
                              <a:sysClr val="windowText" lastClr="000000"/>
                            </a:solidFill>
                            <a:prstDash val="solid"/>
                          </a:ln>
                          <a:effectLst/>
                        </wps:spPr>
                        <wps:txbx>
                          <w:txbxContent>
                            <w:p w14:paraId="374F79D3" w14:textId="77777777" w:rsidR="004F4902" w:rsidRPr="00BE0352" w:rsidRDefault="004F4902" w:rsidP="00194963">
                              <w:pPr>
                                <w:jc w:val="center"/>
                                <w:rPr>
                                  <w:rFonts w:asciiTheme="majorBidi" w:hAnsiTheme="majorBidi" w:cstheme="majorBidi"/>
                                  <w:b/>
                                  <w:bCs/>
                                  <w:sz w:val="24"/>
                                  <w:szCs w:val="24"/>
                                </w:rPr>
                              </w:pPr>
                              <w:r w:rsidRPr="00BE0352">
                                <w:rPr>
                                  <w:rFonts w:asciiTheme="majorBidi" w:hAnsiTheme="majorBidi" w:cstheme="majorBidi"/>
                                  <w:b/>
                                  <w:bCs/>
                                  <w:sz w:val="24"/>
                                  <w:szCs w:val="24"/>
                                  <w:rtl/>
                                </w:rPr>
                                <w:t>الاحتراق الوظيفي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مستطيل مستدير الزوايا 5"/>
                        <wps:cNvSpPr/>
                        <wps:spPr>
                          <a:xfrm>
                            <a:off x="0" y="7620"/>
                            <a:ext cx="1143000" cy="914400"/>
                          </a:xfrm>
                          <a:prstGeom prst="roundRect">
                            <a:avLst/>
                          </a:prstGeom>
                          <a:solidFill>
                            <a:sysClr val="window" lastClr="FFFFFF"/>
                          </a:solidFill>
                          <a:ln w="25400" cap="flat" cmpd="sng" algn="ctr">
                            <a:solidFill>
                              <a:srgbClr val="C0504D"/>
                            </a:solidFill>
                            <a:prstDash val="solid"/>
                          </a:ln>
                          <a:effectLst/>
                        </wps:spPr>
                        <wps:txbx>
                          <w:txbxContent>
                            <w:p w14:paraId="7F0160D3" w14:textId="77777777" w:rsidR="004F4902" w:rsidRPr="00BE0352" w:rsidRDefault="004F4902" w:rsidP="00194963">
                              <w:pPr>
                                <w:jc w:val="center"/>
                                <w:rPr>
                                  <w:rFonts w:asciiTheme="majorBidi" w:hAnsiTheme="majorBidi" w:cstheme="majorBidi"/>
                                  <w:b/>
                                  <w:bCs/>
                                  <w:sz w:val="24"/>
                                  <w:szCs w:val="24"/>
                                </w:rPr>
                              </w:pPr>
                              <w:r w:rsidRPr="00BE0352">
                                <w:rPr>
                                  <w:rFonts w:asciiTheme="majorBidi" w:hAnsiTheme="majorBidi" w:cstheme="majorBidi"/>
                                  <w:b/>
                                  <w:bCs/>
                                  <w:sz w:val="24"/>
                                  <w:szCs w:val="24"/>
                                  <w:rtl/>
                                </w:rPr>
                                <w:t>الرضا الوظيفي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رابط كسهم مستقيم 6"/>
                        <wps:cNvCnPr/>
                        <wps:spPr>
                          <a:xfrm flipH="1">
                            <a:off x="1143000" y="480060"/>
                            <a:ext cx="3039744" cy="0"/>
                          </a:xfrm>
                          <a:prstGeom prst="straightConnector1">
                            <a:avLst/>
                          </a:prstGeom>
                          <a:noFill/>
                          <a:ln w="25400" cap="flat" cmpd="sng" algn="ctr">
                            <a:solidFill>
                              <a:srgbClr val="C0504D"/>
                            </a:solidFill>
                            <a:prstDash val="solid"/>
                            <a:tailEnd type="arrow"/>
                          </a:ln>
                          <a:effectLst>
                            <a:outerShdw blurRad="40000" dist="20000" dir="5400000" rotWithShape="0">
                              <a:srgbClr val="000000">
                                <a:alpha val="38000"/>
                              </a:srgbClr>
                            </a:outerShdw>
                          </a:effectLst>
                        </wps:spPr>
                        <wps:bodyPr/>
                      </wps:wsp>
                      <wps:wsp>
                        <wps:cNvPr id="7" name="رابط كسهم مستقيم 7"/>
                        <wps:cNvCnPr/>
                        <wps:spPr>
                          <a:xfrm flipH="1" flipV="1">
                            <a:off x="1181100" y="541020"/>
                            <a:ext cx="1084580" cy="1104899"/>
                          </a:xfrm>
                          <a:prstGeom prst="straightConnector1">
                            <a:avLst/>
                          </a:prstGeom>
                          <a:noFill/>
                          <a:ln w="25400" cap="flat" cmpd="sng" algn="ctr">
                            <a:solidFill>
                              <a:srgbClr val="C0504D"/>
                            </a:solidFill>
                            <a:prstDash val="solid"/>
                            <a:tailEnd type="arrow"/>
                          </a:ln>
                          <a:effectLst>
                            <a:outerShdw blurRad="40000" dist="20000" dir="5400000" rotWithShape="0">
                              <a:srgbClr val="000000">
                                <a:alpha val="38000"/>
                              </a:srgbClr>
                            </a:outerShdw>
                          </a:effectLst>
                        </wps:spPr>
                        <wps:bodyPr/>
                      </wps:wsp>
                      <wps:wsp>
                        <wps:cNvPr id="8" name="رابط كسهم مستقيم 8"/>
                        <wps:cNvCnPr/>
                        <wps:spPr>
                          <a:xfrm flipH="1">
                            <a:off x="3147060" y="487680"/>
                            <a:ext cx="1043939" cy="1158240"/>
                          </a:xfrm>
                          <a:prstGeom prst="straightConnector1">
                            <a:avLst/>
                          </a:prstGeom>
                          <a:noFill/>
                          <a:ln w="25400" cap="flat" cmpd="sng" algn="ctr">
                            <a:solidFill>
                              <a:srgbClr val="C0504D"/>
                            </a:solidFill>
                            <a:prstDash val="solid"/>
                            <a:tailEnd type="arrow"/>
                          </a:ln>
                          <a:effectLst>
                            <a:outerShdw blurRad="40000" dist="20000" dir="5400000" rotWithShape="0">
                              <a:srgbClr val="000000">
                                <a:alpha val="38000"/>
                              </a:srgbClr>
                            </a:outerShdw>
                          </a:effectLst>
                        </wps:spPr>
                        <wps:bodyPr/>
                      </wps:wsp>
                      <wps:wsp>
                        <wps:cNvPr id="9" name="رابط كسهم مستقيم 9"/>
                        <wps:cNvCnPr/>
                        <wps:spPr>
                          <a:xfrm flipH="1">
                            <a:off x="3185160" y="929640"/>
                            <a:ext cx="1637665" cy="1234440"/>
                          </a:xfrm>
                          <a:prstGeom prst="straightConnector1">
                            <a:avLst/>
                          </a:prstGeom>
                          <a:noFill/>
                          <a:ln w="25400" cap="flat" cmpd="sng" algn="ctr">
                            <a:solidFill>
                              <a:sysClr val="windowText" lastClr="000000"/>
                            </a:solidFill>
                            <a:prstDash val="sysDash"/>
                            <a:tailEnd type="arrow"/>
                          </a:ln>
                          <a:effectLst>
                            <a:outerShdw blurRad="40000" dist="20000" dir="5400000" rotWithShape="0">
                              <a:srgbClr val="000000">
                                <a:alpha val="38000"/>
                              </a:srgbClr>
                            </a:outerShdw>
                          </a:effectLst>
                        </wps:spPr>
                        <wps:bodyPr/>
                      </wps:wsp>
                      <wps:wsp>
                        <wps:cNvPr id="10" name="رابط كسهم مستقيم 10"/>
                        <wps:cNvCnPr/>
                        <wps:spPr>
                          <a:xfrm flipH="1" flipV="1">
                            <a:off x="609600" y="922020"/>
                            <a:ext cx="1653540" cy="1173480"/>
                          </a:xfrm>
                          <a:prstGeom prst="straightConnector1">
                            <a:avLst/>
                          </a:prstGeom>
                          <a:noFill/>
                          <a:ln w="25400" cap="flat" cmpd="sng" algn="ctr">
                            <a:solidFill>
                              <a:sysClr val="windowText" lastClr="000000"/>
                            </a:solidFill>
                            <a:prstDash val="sysDash"/>
                            <a:tailEnd type="arrow"/>
                          </a:ln>
                          <a:effectLst>
                            <a:outerShdw blurRad="40000" dist="20000" dir="5400000" rotWithShape="0">
                              <a:srgbClr val="000000">
                                <a:alpha val="38000"/>
                              </a:srgbClr>
                            </a:outerShdw>
                          </a:effectLst>
                        </wps:spPr>
                        <wps:bodyPr/>
                      </wps:wsp>
                      <wps:wsp>
                        <wps:cNvPr id="11" name="Oval 2024668143"/>
                        <wps:cNvSpPr/>
                        <wps:spPr>
                          <a:xfrm>
                            <a:off x="2400300" y="304800"/>
                            <a:ext cx="660977" cy="357720"/>
                          </a:xfrm>
                          <a:prstGeom prst="ellipse">
                            <a:avLst/>
                          </a:prstGeom>
                          <a:solidFill>
                            <a:sysClr val="window" lastClr="FFFFFF"/>
                          </a:solidFill>
                          <a:ln w="25400" cap="flat" cmpd="sng" algn="ctr">
                            <a:solidFill>
                              <a:srgbClr val="C0504D"/>
                            </a:solidFill>
                            <a:prstDash val="solid"/>
                          </a:ln>
                          <a:effectLst/>
                        </wps:spPr>
                        <wps:txbx>
                          <w:txbxContent>
                            <w:p w14:paraId="72EC824C" w14:textId="77777777" w:rsidR="004F4902" w:rsidRPr="007426C6" w:rsidRDefault="004F4902"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Oval 2024668143"/>
                        <wps:cNvSpPr/>
                        <wps:spPr>
                          <a:xfrm>
                            <a:off x="1318260" y="807720"/>
                            <a:ext cx="660400" cy="357505"/>
                          </a:xfrm>
                          <a:prstGeom prst="ellipse">
                            <a:avLst/>
                          </a:prstGeom>
                          <a:solidFill>
                            <a:sysClr val="window" lastClr="FFFFFF"/>
                          </a:solidFill>
                          <a:ln w="25400" cap="flat" cmpd="sng" algn="ctr">
                            <a:solidFill>
                              <a:srgbClr val="C0504D"/>
                            </a:solidFill>
                            <a:prstDash val="solid"/>
                          </a:ln>
                          <a:effectLst/>
                        </wps:spPr>
                        <wps:txbx>
                          <w:txbxContent>
                            <w:p w14:paraId="764FA35A" w14:textId="77777777" w:rsidR="004F4902" w:rsidRPr="007426C6" w:rsidRDefault="004F4902"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Oval 2024668143"/>
                        <wps:cNvSpPr/>
                        <wps:spPr>
                          <a:xfrm>
                            <a:off x="3398520" y="853440"/>
                            <a:ext cx="660400" cy="357505"/>
                          </a:xfrm>
                          <a:prstGeom prst="ellipse">
                            <a:avLst/>
                          </a:prstGeom>
                          <a:solidFill>
                            <a:sysClr val="window" lastClr="FFFFFF"/>
                          </a:solidFill>
                          <a:ln w="25400" cap="flat" cmpd="sng" algn="ctr">
                            <a:solidFill>
                              <a:srgbClr val="C0504D"/>
                            </a:solidFill>
                            <a:prstDash val="solid"/>
                          </a:ln>
                          <a:effectLst/>
                        </wps:spPr>
                        <wps:txbx>
                          <w:txbxContent>
                            <w:p w14:paraId="683ABCBD" w14:textId="77777777" w:rsidR="004F4902" w:rsidRPr="007426C6" w:rsidRDefault="004F4902"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2024668143"/>
                        <wps:cNvSpPr/>
                        <wps:spPr>
                          <a:xfrm>
                            <a:off x="1143000" y="1371600"/>
                            <a:ext cx="660400" cy="357505"/>
                          </a:xfrm>
                          <a:prstGeom prst="ellipse">
                            <a:avLst/>
                          </a:prstGeom>
                          <a:solidFill>
                            <a:sysClr val="window" lastClr="FFFFFF"/>
                          </a:solidFill>
                          <a:ln w="25400" cap="flat" cmpd="sng" algn="ctr">
                            <a:solidFill>
                              <a:sysClr val="windowText" lastClr="000000"/>
                            </a:solidFill>
                            <a:prstDash val="solid"/>
                          </a:ln>
                          <a:effectLst/>
                        </wps:spPr>
                        <wps:txbx>
                          <w:txbxContent>
                            <w:p w14:paraId="3067810B" w14:textId="77777777" w:rsidR="004F4902" w:rsidRPr="007426C6" w:rsidRDefault="004F4902"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2024668143"/>
                        <wps:cNvSpPr/>
                        <wps:spPr>
                          <a:xfrm>
                            <a:off x="3802380" y="1310640"/>
                            <a:ext cx="660400" cy="357505"/>
                          </a:xfrm>
                          <a:prstGeom prst="ellipse">
                            <a:avLst/>
                          </a:prstGeom>
                          <a:solidFill>
                            <a:sysClr val="window" lastClr="FFFFFF"/>
                          </a:solidFill>
                          <a:ln w="25400" cap="flat" cmpd="sng" algn="ctr">
                            <a:solidFill>
                              <a:sysClr val="windowText" lastClr="000000"/>
                            </a:solidFill>
                            <a:prstDash val="solid"/>
                          </a:ln>
                          <a:effectLst/>
                        </wps:spPr>
                        <wps:txbx>
                          <w:txbxContent>
                            <w:p w14:paraId="0DCE496F" w14:textId="77777777" w:rsidR="004F4902" w:rsidRPr="007426C6" w:rsidRDefault="004F4902"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3F2F6B" id="مجموعة 1" o:spid="_x0000_s1026" style="position:absolute;left:0;text-align:left;margin-left:-6.6pt;margin-top:1.9pt;width:430.2pt;height:228pt;z-index:251659264;mso-width-relative:margin;mso-height-relative:margin" coordsize="54102,25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">
                <v:roundrect id="مستطيل مستدير الزوايا 2" o:spid="_x0000_s1027" style="position:absolute;left:41833;width:12269;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" fillcolor="window" strokecolor="#c0504d" strokeweight="2pt">
                  <v:textbox>
                    <w:txbxContent>
                      <w:p w14:paraId="2287302A" w14:textId="77777777" w:rsidR="004F4902" w:rsidRPr="00BE0352" w:rsidRDefault="004F4902" w:rsidP="00194963">
                        <w:pPr>
                          <w:jc w:val="center"/>
                          <w:rPr>
                            <w:rFonts w:asciiTheme="majorBidi" w:hAnsiTheme="majorBidi" w:cstheme="majorBidi"/>
                            <w:sz w:val="24"/>
                            <w:szCs w:val="24"/>
                          </w:rPr>
                        </w:pPr>
                        <w:r w:rsidRPr="00BE0352">
                          <w:rPr>
                            <w:rStyle w:val="a9"/>
                            <w:rFonts w:asciiTheme="majorBidi" w:hAnsiTheme="majorBidi" w:cstheme="majorBidi"/>
                            <w:sz w:val="24"/>
                            <w:szCs w:val="24"/>
                            <w:rtl/>
                          </w:rPr>
                          <w:t>استراتيجيات مواجهة ضغوط العمل</w:t>
                        </w:r>
                      </w:p>
                    </w:txbxContent>
                  </v:textbox>
                </v:roundrect>
                <v:roundrect id="مستطيل مستدير الزوايا 4" o:spid="_x0000_s1028" style="position:absolute;left:22631;top:15925;width:9144;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" fillcolor="window" strokecolor="windowText" strokeweight="2pt">
                  <v:textbox>
                    <w:txbxContent>
                      <w:p w14:paraId="374F79D3" w14:textId="77777777" w:rsidR="004F4902" w:rsidRPr="00BE0352" w:rsidRDefault="004F4902" w:rsidP="00194963">
                        <w:pPr>
                          <w:jc w:val="center"/>
                          <w:rPr>
                            <w:rFonts w:asciiTheme="majorBidi" w:hAnsiTheme="majorBidi" w:cstheme="majorBidi"/>
                            <w:b/>
                            <w:bCs/>
                            <w:sz w:val="24"/>
                            <w:szCs w:val="24"/>
                          </w:rPr>
                        </w:pPr>
                        <w:r w:rsidRPr="00BE0352">
                          <w:rPr>
                            <w:rFonts w:asciiTheme="majorBidi" w:hAnsiTheme="majorBidi" w:cstheme="majorBidi"/>
                            <w:b/>
                            <w:bCs/>
                            <w:sz w:val="24"/>
                            <w:szCs w:val="24"/>
                            <w:rtl/>
                          </w:rPr>
                          <w:t>الاحتراق الوظيفي</w:t>
                        </w:r>
                      </w:p>
                    </w:txbxContent>
                  </v:textbox>
                </v:roundrect>
                <v:roundrect id="مستطيل مستدير الزوايا 5" o:spid="_x0000_s1029" style="position:absolute;top:76;width:11430;height:91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" fillcolor="window" strokecolor="#c0504d" strokeweight="2pt">
                  <v:textbox>
                    <w:txbxContent>
                      <w:p w14:paraId="7F0160D3" w14:textId="77777777" w:rsidR="004F4902" w:rsidRPr="00BE0352" w:rsidRDefault="004F4902" w:rsidP="00194963">
                        <w:pPr>
                          <w:jc w:val="center"/>
                          <w:rPr>
                            <w:rFonts w:asciiTheme="majorBidi" w:hAnsiTheme="majorBidi" w:cstheme="majorBidi"/>
                            <w:b/>
                            <w:bCs/>
                            <w:sz w:val="24"/>
                            <w:szCs w:val="24"/>
                          </w:rPr>
                        </w:pPr>
                        <w:r w:rsidRPr="00BE0352">
                          <w:rPr>
                            <w:rFonts w:asciiTheme="majorBidi" w:hAnsiTheme="majorBidi" w:cstheme="majorBidi"/>
                            <w:b/>
                            <w:bCs/>
                            <w:sz w:val="24"/>
                            <w:szCs w:val="24"/>
                            <w:rtl/>
                          </w:rPr>
                          <w:t>الرضا الوظيفي</w:t>
                        </w:r>
                      </w:p>
                    </w:txbxContent>
                  </v:textbox>
                </v:roundrect>
                <v:shapetype id="_x0000_t32" coordsize="21600,21600" o:spt="32" o:oned="t" path="m,l21600,21600e" filled="f">
                  <v:path arrowok="t" fillok="f" o:connecttype="none"/>
                  <o:lock v:ext="edit" shapetype="t"/>
                </v:shapetype>
                <v:shape id="رابط كسهم مستقيم 6" o:spid="_x0000_s1030" type="#_x0000_t32" style="position:absolute;left:11430;top:4800;width:3039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" strokecolor="#c0504d" strokeweight="2pt">
                  <v:stroke endarrow="open"/>
                  <v:shadow on="t" color="black" opacity="24903f" origin=",.5" offset="0,.55556mm"/>
                </v:shape>
                <v:shape id="رابط كسهم مستقيم 7" o:spid="_x0000_s1031" type="#_x0000_t32" style="position:absolute;left:11811;top:5410;width:10845;height:1104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" strokecolor="#c0504d" strokeweight="2pt">
                  <v:stroke endarrow="open"/>
                  <v:shadow on="t" color="black" opacity="24903f" origin=",.5" offset="0,.55556mm"/>
                </v:shape>
                <v:shape id="رابط كسهم مستقيم 8" o:spid="_x0000_s1032" type="#_x0000_t32" style="position:absolute;left:31470;top:4876;width:10439;height:1158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" strokecolor="#c0504d" strokeweight="2pt">
                  <v:stroke endarrow="open"/>
                  <v:shadow on="t" color="black" opacity="24903f" origin=",.5" offset="0,.55556mm"/>
                </v:shape>
                <v:shape id="رابط كسهم مستقيم 9" o:spid="_x0000_s1033" type="#_x0000_t32" style="position:absolute;left:31851;top:9296;width:16377;height:123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" strokecolor="windowText" strokeweight="2pt">
                  <v:stroke dashstyle="3 1" endarrow="open"/>
                  <v:shadow on="t" color="black" opacity="24903f" origin=",.5" offset="0,.55556mm"/>
                </v:shape>
                <v:shape id="رابط كسهم مستقيم 10" o:spid="_x0000_s1034" type="#_x0000_t32" style="position:absolute;left:6096;top:9220;width:16535;height:1173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" strokecolor="windowText" strokeweight="2pt">
                  <v:stroke dashstyle="3 1" endarrow="open"/>
                  <v:shadow on="t" color="black" opacity="24903f" origin=",.5" offset="0,.55556mm"/>
                </v:shape>
                <v:oval id="Oval 2024668143" o:spid="_x0000_s1035" style="position:absolute;left:24003;top:3048;width:6609;height:35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" fillcolor="window" strokecolor="#c0504d" strokeweight="2pt">
                  <v:textbox>
                    <w:txbxContent>
                      <w:p w14:paraId="72EC824C" w14:textId="77777777" w:rsidR="004F4902" w:rsidRPr="007426C6" w:rsidRDefault="004F4902"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p>
                    </w:txbxContent>
                  </v:textbox>
                </v:oval>
                <v:oval id="Oval 2024668143" o:spid="_x0000_s1036" style="position:absolute;left:13182;top:8077;width:6604;height:3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" fillcolor="window" strokecolor="#c0504d" strokeweight="2pt">
                  <v:textbox>
                    <w:txbxContent>
                      <w:p w14:paraId="764FA35A" w14:textId="77777777" w:rsidR="004F4902" w:rsidRPr="007426C6" w:rsidRDefault="004F4902"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3</w:t>
                        </w:r>
                      </w:p>
                    </w:txbxContent>
                  </v:textbox>
                </v:oval>
                <v:oval id="Oval 2024668143" o:spid="_x0000_s1037" style="position:absolute;left:33985;top:8534;width:6604;height:3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" fillcolor="window" strokecolor="#c0504d" strokeweight="2pt">
                  <v:textbox>
                    <w:txbxContent>
                      <w:p w14:paraId="683ABCBD" w14:textId="77777777" w:rsidR="004F4902" w:rsidRPr="007426C6" w:rsidRDefault="004F4902"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2</w:t>
                        </w:r>
                      </w:p>
                    </w:txbxContent>
                  </v:textbox>
                </v:oval>
                <v:oval id="Oval 2024668143" o:spid="_x0000_s1038" style="position:absolute;left:11430;top:13716;width:6604;height:3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" fillcolor="window" strokecolor="windowText" strokeweight="2pt">
                  <v:textbox>
                    <w:txbxContent>
                      <w:p w14:paraId="3067810B" w14:textId="77777777" w:rsidR="004F4902" w:rsidRPr="007426C6" w:rsidRDefault="004F4902"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4</w:t>
                        </w:r>
                      </w:p>
                    </w:txbxContent>
                  </v:textbox>
                </v:oval>
                <v:oval id="Oval 2024668143" o:spid="_x0000_s1039" style="position:absolute;left:38023;top:13106;width:6604;height:3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" fillcolor="window" strokecolor="windowText" strokeweight="2pt">
                  <v:textbox>
                    <w:txbxContent>
                      <w:p w14:paraId="0DCE496F" w14:textId="77777777" w:rsidR="004F4902" w:rsidRPr="007426C6" w:rsidRDefault="004F4902" w:rsidP="00194963">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w:t>
                        </w:r>
                        <w:r>
                          <w:rPr>
                            <w:rFonts w:ascii="Times New Roman" w:hAnsi="Times New Roman" w:cs="Times New Roman" w:hint="cs"/>
                            <w:b/>
                            <w:bCs/>
                            <w:sz w:val="18"/>
                            <w:szCs w:val="18"/>
                            <w:rtl/>
                            <w:lang w:bidi="ar-JO"/>
                            <w14:textOutline w14:w="9525" w14:cap="rnd" w14:cmpd="sng" w14:algn="ctr">
                              <w14:solidFill>
                                <w14:srgbClr w14:val="000000"/>
                              </w14:solidFill>
                              <w14:prstDash w14:val="solid"/>
                              <w14:bevel/>
                            </w14:textOutline>
                          </w:rPr>
                          <w:t>4</w:t>
                        </w:r>
                      </w:p>
                    </w:txbxContent>
                  </v:textbox>
                </v:oval>
              </v:group>
            </w:pict>
          </mc:Fallback>
        </mc:AlternateContent>
      </w:r>
    </w:p>
    <w:p w14:paraId="45913973" w14:textId="77777777" w:rsidR="00194963" w:rsidRDefault="00194963" w:rsidP="00194963">
      <w:pPr>
        <w:bidi/>
        <w:spacing w:before="120" w:after="0" w:line="276" w:lineRule="auto"/>
        <w:ind w:firstLine="26"/>
        <w:jc w:val="center"/>
        <w:rPr>
          <w:rFonts w:ascii="Sakkal Majalla" w:hAnsi="Sakkal Majalla" w:cs="Sakkal Majalla"/>
          <w:noProof/>
          <w:sz w:val="32"/>
          <w:szCs w:val="32"/>
          <w:highlight w:val="yellow"/>
          <w:rtl/>
        </w:rPr>
      </w:pPr>
    </w:p>
    <w:p w14:paraId="6F55B9E8" w14:textId="77777777" w:rsidR="00194963" w:rsidRPr="004B6F94" w:rsidRDefault="00194963" w:rsidP="00194963">
      <w:pPr>
        <w:bidi/>
        <w:spacing w:before="120" w:after="0" w:line="276" w:lineRule="auto"/>
        <w:ind w:firstLine="26"/>
        <w:jc w:val="center"/>
        <w:rPr>
          <w:rFonts w:ascii="Sakkal Majalla" w:hAnsi="Sakkal Majalla" w:cs="Sakkal Majalla"/>
          <w:sz w:val="32"/>
          <w:szCs w:val="32"/>
          <w:highlight w:val="yellow"/>
          <w:rtl/>
          <w:lang w:bidi="ar-EG"/>
        </w:rPr>
      </w:pPr>
    </w:p>
    <w:p w14:paraId="46C9DDE9" w14:textId="77777777" w:rsidR="00194963" w:rsidRDefault="00194963" w:rsidP="00194963">
      <w:pPr>
        <w:bidi/>
        <w:spacing w:before="120" w:after="0" w:line="276" w:lineRule="auto"/>
        <w:ind w:firstLine="746"/>
        <w:jc w:val="center"/>
        <w:rPr>
          <w:rFonts w:ascii="Sakkal Majalla" w:hAnsi="Sakkal Majalla" w:cs="Sakkal Majalla"/>
          <w:b/>
          <w:bCs/>
          <w:sz w:val="32"/>
          <w:szCs w:val="32"/>
          <w:highlight w:val="yellow"/>
          <w:rtl/>
          <w:lang w:bidi="ar-EG"/>
        </w:rPr>
      </w:pPr>
    </w:p>
    <w:p w14:paraId="49530B63" w14:textId="77777777" w:rsidR="00194963" w:rsidRDefault="00194963" w:rsidP="00194963">
      <w:pPr>
        <w:bidi/>
        <w:spacing w:before="120" w:after="0" w:line="276" w:lineRule="auto"/>
        <w:ind w:firstLine="746"/>
        <w:jc w:val="center"/>
        <w:rPr>
          <w:rFonts w:ascii="Sakkal Majalla" w:hAnsi="Sakkal Majalla" w:cs="Sakkal Majalla"/>
          <w:b/>
          <w:bCs/>
          <w:sz w:val="32"/>
          <w:szCs w:val="32"/>
          <w:highlight w:val="yellow"/>
          <w:rtl/>
          <w:lang w:bidi="ar-EG"/>
        </w:rPr>
      </w:pPr>
    </w:p>
    <w:p w14:paraId="11E8A358" w14:textId="77777777" w:rsidR="00194963" w:rsidRDefault="00194963" w:rsidP="00194963">
      <w:pPr>
        <w:bidi/>
        <w:spacing w:before="120" w:after="0" w:line="276" w:lineRule="auto"/>
        <w:ind w:firstLine="746"/>
        <w:jc w:val="center"/>
        <w:rPr>
          <w:rFonts w:ascii="Sakkal Majalla" w:hAnsi="Sakkal Majalla" w:cs="Sakkal Majalla"/>
          <w:b/>
          <w:bCs/>
          <w:sz w:val="32"/>
          <w:szCs w:val="32"/>
          <w:highlight w:val="yellow"/>
          <w:rtl/>
          <w:lang w:bidi="ar-EG"/>
        </w:rPr>
      </w:pPr>
    </w:p>
    <w:p w14:paraId="24CF1A4C" w14:textId="77777777" w:rsidR="00194963" w:rsidRDefault="00194963" w:rsidP="00194963">
      <w:pPr>
        <w:bidi/>
        <w:spacing w:before="120" w:after="0" w:line="276" w:lineRule="auto"/>
        <w:ind w:firstLine="746"/>
        <w:jc w:val="center"/>
        <w:rPr>
          <w:rFonts w:ascii="Sakkal Majalla" w:hAnsi="Sakkal Majalla" w:cs="Sakkal Majalla"/>
          <w:b/>
          <w:bCs/>
          <w:sz w:val="32"/>
          <w:szCs w:val="32"/>
          <w:highlight w:val="yellow"/>
          <w:rtl/>
          <w:lang w:bidi="ar-EG"/>
        </w:rPr>
      </w:pPr>
    </w:p>
    <w:p w14:paraId="38309958" w14:textId="77777777" w:rsidR="00194963" w:rsidRPr="008F48D0" w:rsidRDefault="00194963" w:rsidP="00194963">
      <w:pPr>
        <w:bidi/>
        <w:spacing w:before="120" w:after="0" w:line="276" w:lineRule="auto"/>
        <w:ind w:firstLine="746"/>
        <w:jc w:val="center"/>
        <w:rPr>
          <w:rFonts w:ascii="Traditional Arabic" w:hAnsi="Traditional Arabic" w:cs="Traditional Arabic"/>
          <w:b/>
          <w:bCs/>
          <w:sz w:val="32"/>
          <w:szCs w:val="32"/>
          <w:highlight w:val="yellow"/>
          <w:rtl/>
          <w:lang w:bidi="ar-EG"/>
        </w:rPr>
      </w:pPr>
    </w:p>
    <w:p w14:paraId="3B77A69A" w14:textId="77777777" w:rsidR="00194963" w:rsidRPr="008F48D0" w:rsidRDefault="00194963" w:rsidP="00194963">
      <w:pPr>
        <w:bidi/>
        <w:spacing w:before="120" w:after="0" w:line="276" w:lineRule="auto"/>
        <w:ind w:firstLine="746"/>
        <w:jc w:val="center"/>
        <w:rPr>
          <w:rFonts w:ascii="Traditional Arabic" w:hAnsi="Traditional Arabic" w:cs="Traditional Arabic"/>
          <w:b/>
          <w:bCs/>
          <w:sz w:val="32"/>
          <w:szCs w:val="32"/>
          <w:rtl/>
          <w:lang w:bidi="ar-EG"/>
        </w:rPr>
      </w:pPr>
      <w:r w:rsidRPr="008F48D0">
        <w:rPr>
          <w:rFonts w:ascii="Traditional Arabic" w:hAnsi="Traditional Arabic" w:cs="Traditional Arabic"/>
          <w:b/>
          <w:bCs/>
          <w:sz w:val="32"/>
          <w:szCs w:val="32"/>
          <w:rtl/>
          <w:lang w:bidi="ar-EG"/>
        </w:rPr>
        <w:t xml:space="preserve">شكل (1): نموذج الدراسة: حيث يشر السم غير المتقطع الى وجود علاقة مباشرة، والسهم المتقطع يشير الى علاقة غير مباشرة </w:t>
      </w:r>
    </w:p>
    <w:p w14:paraId="73D813B5" w14:textId="6C5A64A2" w:rsidR="008074A2" w:rsidRPr="008074A2" w:rsidRDefault="008074A2" w:rsidP="00194963">
      <w:pPr>
        <w:bidi/>
        <w:spacing w:after="200" w:line="360" w:lineRule="auto"/>
        <w:rPr>
          <w:rFonts w:ascii="Traditional Arabic" w:eastAsia="Calibri" w:hAnsi="Traditional Arabic" w:cs="Traditional Arabic"/>
          <w:sz w:val="28"/>
          <w:szCs w:val="28"/>
          <w:rtl/>
          <w:lang w:bidi="ar-EG"/>
        </w:rPr>
      </w:pPr>
    </w:p>
    <w:p w14:paraId="43790382" w14:textId="2C74405F" w:rsidR="008074A2" w:rsidRPr="008074A2" w:rsidRDefault="008074A2" w:rsidP="008074A2">
      <w:pPr>
        <w:bidi/>
        <w:spacing w:after="200" w:line="360" w:lineRule="auto"/>
        <w:jc w:val="center"/>
        <w:rPr>
          <w:rFonts w:ascii="Traditional Arabic" w:eastAsia="Calibri" w:hAnsi="Traditional Arabic" w:cs="Traditional Arabic"/>
          <w:sz w:val="28"/>
          <w:szCs w:val="28"/>
        </w:rPr>
      </w:pPr>
    </w:p>
    <w:p w14:paraId="47FB8298" w14:textId="386E1C63" w:rsidR="008074A2" w:rsidRPr="008074A2" w:rsidRDefault="008074A2" w:rsidP="00C57504">
      <w:pPr>
        <w:bidi/>
        <w:spacing w:after="0" w:line="360" w:lineRule="auto"/>
        <w:jc w:val="both"/>
        <w:rPr>
          <w:rFonts w:ascii="Traditional Arabic" w:eastAsia="Calibri" w:hAnsi="Traditional Arabic" w:cs="Traditional Arabic"/>
          <w:sz w:val="36"/>
          <w:szCs w:val="36"/>
          <w:rtl/>
          <w:lang w:bidi="ar-JO"/>
        </w:rPr>
      </w:pPr>
      <w:r w:rsidRPr="008074A2">
        <w:rPr>
          <w:rFonts w:ascii="Traditional Arabic" w:eastAsia="Calibri" w:hAnsi="Traditional Arabic" w:cs="Traditional Arabic"/>
          <w:b/>
          <w:bCs/>
          <w:sz w:val="36"/>
          <w:szCs w:val="36"/>
          <w:rtl/>
        </w:rPr>
        <w:t>حدود الدراسة:</w:t>
      </w:r>
    </w:p>
    <w:p w14:paraId="27F384D4" w14:textId="77777777" w:rsidR="00194963" w:rsidRPr="00163B26" w:rsidRDefault="00194963" w:rsidP="009352FB">
      <w:pPr>
        <w:numPr>
          <w:ilvl w:val="0"/>
          <w:numId w:val="5"/>
        </w:numPr>
        <w:bidi/>
        <w:spacing w:after="0" w:line="360" w:lineRule="auto"/>
        <w:contextualSpacing/>
        <w:jc w:val="both"/>
        <w:rPr>
          <w:rFonts w:ascii="Traditional Arabic" w:eastAsia="Times New Roman" w:hAnsi="Traditional Arabic" w:cs="Traditional Arabic"/>
          <w:sz w:val="32"/>
          <w:szCs w:val="32"/>
        </w:rPr>
      </w:pPr>
      <w:r w:rsidRPr="00163B26">
        <w:rPr>
          <w:rFonts w:ascii="Traditional Arabic" w:eastAsia="Calibri" w:hAnsi="Traditional Arabic" w:cs="Traditional Arabic"/>
          <w:sz w:val="32"/>
          <w:szCs w:val="32"/>
          <w:rtl/>
          <w:lang w:val="en-GB"/>
        </w:rPr>
        <w:t>الحدود البشرية</w:t>
      </w:r>
      <w:r w:rsidRPr="00163B26">
        <w:rPr>
          <w:rFonts w:ascii="Traditional Arabic" w:eastAsia="Calibri" w:hAnsi="Traditional Arabic" w:cs="Traditional Arabic"/>
          <w:sz w:val="32"/>
          <w:szCs w:val="32"/>
          <w:lang w:val="en-GB"/>
        </w:rPr>
        <w:t xml:space="preserve"> </w:t>
      </w:r>
    </w:p>
    <w:p w14:paraId="443B7A34" w14:textId="77777777" w:rsidR="00194963" w:rsidRPr="00163B26" w:rsidRDefault="00194963" w:rsidP="00194963">
      <w:pPr>
        <w:bidi/>
        <w:spacing w:after="0" w:line="360" w:lineRule="auto"/>
        <w:jc w:val="both"/>
        <w:rPr>
          <w:rFonts w:ascii="Traditional Arabic" w:eastAsia="Times New Roman" w:hAnsi="Traditional Arabic" w:cs="Traditional Arabic"/>
          <w:sz w:val="32"/>
          <w:szCs w:val="32"/>
        </w:rPr>
      </w:pPr>
      <w:r w:rsidRPr="00163B26">
        <w:rPr>
          <w:rFonts w:ascii="Traditional Arabic" w:eastAsia="Calibri" w:hAnsi="Traditional Arabic" w:cs="Traditional Arabic"/>
          <w:sz w:val="32"/>
          <w:szCs w:val="32"/>
          <w:rtl/>
          <w:lang w:val="en-GB"/>
        </w:rPr>
        <w:t>تقتصر هذه الدراسة على جميع العاملين في محكمة الأحوال الشخصية بمدينة جدة من قضاة وكتّاب ضبط وموظفي الإدارات الإدارية والمساندة. ولا تشمل الدراسة موظفي المحاكم الأخرى أو القطاعات القضائية المختلفة (كالجنائية أو التجارية)، كما لا تشمل موظفي القطاع الخاص</w:t>
      </w:r>
      <w:r w:rsidRPr="00163B26">
        <w:rPr>
          <w:rFonts w:ascii="Traditional Arabic" w:eastAsia="Calibri" w:hAnsi="Traditional Arabic" w:cs="Traditional Arabic"/>
          <w:sz w:val="32"/>
          <w:szCs w:val="32"/>
          <w:lang w:val="en-GB"/>
        </w:rPr>
        <w:t>.</w:t>
      </w:r>
    </w:p>
    <w:p w14:paraId="38CBF7C8" w14:textId="77777777" w:rsidR="00194963" w:rsidRPr="00163B26" w:rsidRDefault="00194963" w:rsidP="009352FB">
      <w:pPr>
        <w:numPr>
          <w:ilvl w:val="0"/>
          <w:numId w:val="5"/>
        </w:numPr>
        <w:bidi/>
        <w:spacing w:before="100" w:beforeAutospacing="1" w:after="100" w:afterAutospacing="1" w:line="360" w:lineRule="auto"/>
        <w:jc w:val="both"/>
        <w:rPr>
          <w:rFonts w:ascii="Traditional Arabic" w:eastAsia="Times New Roman" w:hAnsi="Traditional Arabic" w:cs="Traditional Arabic"/>
          <w:sz w:val="32"/>
          <w:szCs w:val="32"/>
        </w:rPr>
      </w:pPr>
      <w:r w:rsidRPr="00163B26">
        <w:rPr>
          <w:rFonts w:ascii="Traditional Arabic" w:eastAsia="Times New Roman" w:hAnsi="Traditional Arabic" w:cs="Traditional Arabic"/>
          <w:sz w:val="32"/>
          <w:szCs w:val="32"/>
          <w:rtl/>
        </w:rPr>
        <w:lastRenderedPageBreak/>
        <w:t>الحدود المكانية</w:t>
      </w:r>
      <w:r w:rsidRPr="00163B26">
        <w:rPr>
          <w:rFonts w:ascii="Traditional Arabic" w:eastAsia="Times New Roman" w:hAnsi="Traditional Arabic" w:cs="Traditional Arabic"/>
          <w:sz w:val="32"/>
          <w:szCs w:val="32"/>
        </w:rPr>
        <w:t xml:space="preserve"> </w:t>
      </w:r>
    </w:p>
    <w:p w14:paraId="03ED73CD" w14:textId="77777777" w:rsidR="00194963" w:rsidRPr="00163B26"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r w:rsidRPr="00163B26">
        <w:rPr>
          <w:rFonts w:ascii="Traditional Arabic" w:eastAsia="Times New Roman" w:hAnsi="Traditional Arabic" w:cs="Traditional Arabic"/>
          <w:sz w:val="32"/>
          <w:szCs w:val="32"/>
          <w:rtl/>
        </w:rPr>
        <w:t>تطبّق الدراسة في محكمة الأحوال الشخصية بجدة – المملكة العربية السعودية فقط، وذلك نظرًا لخصوصية هذه المحكمة باعتبارها من أكبر المحاكم الأسرية في المملكة، وما تتميز به من طبيعة عمل ضاغطة نتيجة التعامل مع قضايا أسرية معقدة</w:t>
      </w:r>
      <w:r w:rsidRPr="00163B26">
        <w:rPr>
          <w:rFonts w:ascii="Traditional Arabic" w:eastAsia="Times New Roman" w:hAnsi="Traditional Arabic" w:cs="Traditional Arabic"/>
          <w:sz w:val="32"/>
          <w:szCs w:val="32"/>
        </w:rPr>
        <w:t>.</w:t>
      </w:r>
    </w:p>
    <w:p w14:paraId="47801F2B" w14:textId="77777777" w:rsidR="00194963" w:rsidRPr="00163B26" w:rsidRDefault="00194963" w:rsidP="009352FB">
      <w:pPr>
        <w:numPr>
          <w:ilvl w:val="0"/>
          <w:numId w:val="5"/>
        </w:numPr>
        <w:bidi/>
        <w:spacing w:before="100" w:beforeAutospacing="1" w:after="100" w:afterAutospacing="1" w:line="360" w:lineRule="auto"/>
        <w:jc w:val="both"/>
        <w:rPr>
          <w:rFonts w:ascii="Traditional Arabic" w:eastAsia="Times New Roman" w:hAnsi="Traditional Arabic" w:cs="Traditional Arabic"/>
          <w:sz w:val="32"/>
          <w:szCs w:val="32"/>
        </w:rPr>
      </w:pPr>
      <w:r w:rsidRPr="00163B26">
        <w:rPr>
          <w:rFonts w:ascii="Traditional Arabic" w:eastAsia="Times New Roman" w:hAnsi="Traditional Arabic" w:cs="Traditional Arabic"/>
          <w:sz w:val="32"/>
          <w:szCs w:val="32"/>
          <w:rtl/>
        </w:rPr>
        <w:t>الحدود الزمنية</w:t>
      </w:r>
      <w:r w:rsidRPr="00163B26">
        <w:rPr>
          <w:rFonts w:ascii="Traditional Arabic" w:eastAsia="Times New Roman" w:hAnsi="Traditional Arabic" w:cs="Traditional Arabic"/>
          <w:sz w:val="32"/>
          <w:szCs w:val="32"/>
        </w:rPr>
        <w:t xml:space="preserve"> </w:t>
      </w:r>
    </w:p>
    <w:p w14:paraId="19388818" w14:textId="77777777" w:rsidR="00194963" w:rsidRPr="00163B26"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r w:rsidRPr="00163B26">
        <w:rPr>
          <w:rFonts w:ascii="Traditional Arabic" w:eastAsia="Times New Roman" w:hAnsi="Traditional Arabic" w:cs="Traditional Arabic"/>
          <w:sz w:val="32"/>
          <w:szCs w:val="32"/>
          <w:rtl/>
        </w:rPr>
        <w:t xml:space="preserve">تجري هذه الدراسة خلال الفترة من </w:t>
      </w:r>
      <w:r w:rsidRPr="00163B26">
        <w:rPr>
          <w:rFonts w:ascii="Traditional Arabic" w:eastAsia="Times New Roman" w:hAnsi="Traditional Arabic" w:cs="Traditional Arabic" w:hint="cs"/>
          <w:sz w:val="32"/>
          <w:szCs w:val="32"/>
          <w:rtl/>
        </w:rPr>
        <w:t>(سوف تحدد لاحقا)</w:t>
      </w:r>
      <w:r w:rsidRPr="00163B26">
        <w:rPr>
          <w:rFonts w:ascii="Traditional Arabic" w:eastAsia="Times New Roman" w:hAnsi="Traditional Arabic" w:cs="Traditional Arabic"/>
          <w:sz w:val="32"/>
          <w:szCs w:val="32"/>
          <w:rtl/>
        </w:rPr>
        <w:t xml:space="preserve">، </w:t>
      </w:r>
      <w:r w:rsidRPr="00163B26">
        <w:rPr>
          <w:rFonts w:ascii="Traditional Arabic" w:eastAsia="Times New Roman" w:hAnsi="Traditional Arabic" w:cs="Traditional Arabic" w:hint="cs"/>
          <w:sz w:val="32"/>
          <w:szCs w:val="32"/>
          <w:rtl/>
        </w:rPr>
        <w:t>في</w:t>
      </w:r>
      <w:r w:rsidRPr="00163B26">
        <w:rPr>
          <w:rFonts w:ascii="Traditional Arabic" w:eastAsia="Times New Roman" w:hAnsi="Traditional Arabic" w:cs="Traditional Arabic"/>
          <w:sz w:val="32"/>
          <w:szCs w:val="32"/>
          <w:rtl/>
        </w:rPr>
        <w:t xml:space="preserve"> الفترة المخصصة لجمع البيانات وتحليلها، وتعكس النتائج واقع تلك الفترة الزمنية تحديدًا</w:t>
      </w:r>
      <w:r w:rsidRPr="00163B26">
        <w:rPr>
          <w:rFonts w:ascii="Traditional Arabic" w:eastAsia="Times New Roman" w:hAnsi="Traditional Arabic" w:cs="Traditional Arabic"/>
          <w:sz w:val="32"/>
          <w:szCs w:val="32"/>
        </w:rPr>
        <w:t>.</w:t>
      </w:r>
    </w:p>
    <w:p w14:paraId="28C9C189" w14:textId="77777777" w:rsidR="00194963" w:rsidRPr="00163B26" w:rsidRDefault="00194963" w:rsidP="009352FB">
      <w:pPr>
        <w:numPr>
          <w:ilvl w:val="0"/>
          <w:numId w:val="5"/>
        </w:numPr>
        <w:bidi/>
        <w:spacing w:before="100" w:beforeAutospacing="1" w:after="100" w:afterAutospacing="1" w:line="360" w:lineRule="auto"/>
        <w:jc w:val="both"/>
        <w:rPr>
          <w:rFonts w:ascii="Traditional Arabic" w:eastAsia="Times New Roman" w:hAnsi="Traditional Arabic" w:cs="Traditional Arabic"/>
          <w:sz w:val="32"/>
          <w:szCs w:val="32"/>
        </w:rPr>
      </w:pPr>
      <w:r w:rsidRPr="00163B26">
        <w:rPr>
          <w:rFonts w:ascii="Traditional Arabic" w:eastAsia="Times New Roman" w:hAnsi="Traditional Arabic" w:cs="Traditional Arabic"/>
          <w:sz w:val="32"/>
          <w:szCs w:val="32"/>
          <w:rtl/>
        </w:rPr>
        <w:t>الحدود الموضوعية</w:t>
      </w:r>
    </w:p>
    <w:p w14:paraId="5F125CD0" w14:textId="77777777" w:rsidR="00194963" w:rsidRPr="00163B26" w:rsidRDefault="00194963" w:rsidP="00194963">
      <w:pPr>
        <w:bidi/>
        <w:spacing w:before="100" w:beforeAutospacing="1" w:after="100" w:afterAutospacing="1" w:line="360" w:lineRule="auto"/>
        <w:jc w:val="both"/>
        <w:rPr>
          <w:rFonts w:ascii="Traditional Arabic" w:eastAsia="Times New Roman" w:hAnsi="Traditional Arabic" w:cs="Traditional Arabic"/>
          <w:sz w:val="32"/>
          <w:szCs w:val="32"/>
          <w:rtl/>
          <w:lang w:bidi="ar-JO"/>
        </w:rPr>
      </w:pPr>
      <w:r w:rsidRPr="00163B26">
        <w:rPr>
          <w:rFonts w:ascii="Traditional Arabic" w:eastAsia="Times New Roman" w:hAnsi="Traditional Arabic" w:cs="Traditional Arabic"/>
          <w:sz w:val="32"/>
          <w:szCs w:val="32"/>
          <w:rtl/>
        </w:rPr>
        <w:t>تركز الدراسة على تحليل العلاقة بين</w:t>
      </w:r>
      <w:r w:rsidRPr="00163B26">
        <w:rPr>
          <w:rFonts w:ascii="Traditional Arabic" w:eastAsia="Times New Roman" w:hAnsi="Traditional Arabic" w:cs="Traditional Arabic"/>
          <w:sz w:val="32"/>
          <w:szCs w:val="32"/>
        </w:rPr>
        <w:t>:</w:t>
      </w:r>
      <w:r w:rsidRPr="00163B26">
        <w:rPr>
          <w:rFonts w:ascii="Traditional Arabic" w:eastAsia="Times New Roman" w:hAnsi="Traditional Arabic" w:cs="Traditional Arabic" w:hint="cs"/>
          <w:sz w:val="32"/>
          <w:szCs w:val="32"/>
          <w:rtl/>
          <w:lang w:bidi="ar-JO"/>
        </w:rPr>
        <w:t xml:space="preserve"> </w:t>
      </w:r>
      <w:r w:rsidRPr="00163B26">
        <w:rPr>
          <w:rFonts w:ascii="Traditional Arabic" w:eastAsia="Times New Roman" w:hAnsi="Traditional Arabic" w:cs="Traditional Arabic"/>
          <w:sz w:val="32"/>
          <w:szCs w:val="32"/>
          <w:rtl/>
        </w:rPr>
        <w:t>استراتيجيات مواجهة ضغوط العمل (المتغير المستقل)،</w:t>
      </w:r>
      <w:r w:rsidRPr="00163B26">
        <w:rPr>
          <w:rFonts w:ascii="Traditional Arabic" w:eastAsia="Times New Roman" w:hAnsi="Traditional Arabic" w:cs="Traditional Arabic" w:hint="cs"/>
          <w:sz w:val="32"/>
          <w:szCs w:val="32"/>
          <w:rtl/>
          <w:lang w:bidi="ar-JO"/>
        </w:rPr>
        <w:t xml:space="preserve"> </w:t>
      </w:r>
      <w:r w:rsidRPr="00163B26">
        <w:rPr>
          <w:rFonts w:ascii="Traditional Arabic" w:eastAsia="Times New Roman" w:hAnsi="Traditional Arabic" w:cs="Traditional Arabic"/>
          <w:sz w:val="32"/>
          <w:szCs w:val="32"/>
          <w:rtl/>
        </w:rPr>
        <w:t>الاحتراق الوظيفي (المتغير الوسيط)،</w:t>
      </w:r>
      <w:r w:rsidRPr="00163B26">
        <w:rPr>
          <w:rFonts w:ascii="Traditional Arabic" w:eastAsia="Times New Roman" w:hAnsi="Traditional Arabic" w:cs="Traditional Arabic" w:hint="cs"/>
          <w:sz w:val="32"/>
          <w:szCs w:val="32"/>
          <w:rtl/>
          <w:lang w:bidi="ar-JO"/>
        </w:rPr>
        <w:t xml:space="preserve"> </w:t>
      </w:r>
      <w:r w:rsidRPr="00163B26">
        <w:rPr>
          <w:rFonts w:ascii="Traditional Arabic" w:eastAsia="Times New Roman" w:hAnsi="Traditional Arabic" w:cs="Traditional Arabic"/>
          <w:sz w:val="32"/>
          <w:szCs w:val="32"/>
          <w:rtl/>
        </w:rPr>
        <w:t>الرضا الوظيفي (المتغير التابع)،</w:t>
      </w:r>
      <w:r w:rsidRPr="00163B26">
        <w:rPr>
          <w:rFonts w:ascii="Traditional Arabic" w:eastAsia="Times New Roman" w:hAnsi="Traditional Arabic" w:cs="Traditional Arabic" w:hint="cs"/>
          <w:sz w:val="32"/>
          <w:szCs w:val="32"/>
          <w:rtl/>
          <w:lang w:bidi="ar-JO"/>
        </w:rPr>
        <w:t xml:space="preserve"> </w:t>
      </w:r>
      <w:r w:rsidRPr="00163B26">
        <w:rPr>
          <w:rFonts w:ascii="Traditional Arabic" w:eastAsia="Times New Roman" w:hAnsi="Traditional Arabic" w:cs="Traditional Arabic"/>
          <w:sz w:val="32"/>
          <w:szCs w:val="32"/>
          <w:rtl/>
        </w:rPr>
        <w:t>ولا تتناول متغيرات أخرى قد تؤثر على الرضا الوظيفي مثل الدعم التنظيمي أو سمات الشخصية إلا بقدر ما أشارت إليه الدراسات السابقة</w:t>
      </w:r>
      <w:r w:rsidRPr="00163B26">
        <w:rPr>
          <w:rFonts w:ascii="Traditional Arabic" w:eastAsia="Times New Roman" w:hAnsi="Traditional Arabic" w:cs="Traditional Arabic"/>
          <w:sz w:val="32"/>
          <w:szCs w:val="32"/>
        </w:rPr>
        <w:t>.</w:t>
      </w:r>
    </w:p>
    <w:p w14:paraId="5E7F92AB" w14:textId="77777777" w:rsidR="00194963" w:rsidRPr="00EE4C12" w:rsidRDefault="00194963" w:rsidP="009352FB">
      <w:pPr>
        <w:numPr>
          <w:ilvl w:val="0"/>
          <w:numId w:val="5"/>
        </w:numPr>
        <w:bidi/>
        <w:spacing w:before="100" w:beforeAutospacing="1" w:after="100" w:afterAutospacing="1" w:line="360" w:lineRule="auto"/>
        <w:jc w:val="both"/>
        <w:rPr>
          <w:rFonts w:ascii="Traditional Arabic" w:eastAsia="Times New Roman" w:hAnsi="Traditional Arabic" w:cs="Traditional Arabic"/>
          <w:sz w:val="32"/>
          <w:szCs w:val="32"/>
        </w:rPr>
      </w:pPr>
      <w:r w:rsidRPr="00EE4C12">
        <w:rPr>
          <w:rFonts w:ascii="Traditional Arabic" w:eastAsia="Times New Roman" w:hAnsi="Traditional Arabic" w:cs="Traditional Arabic"/>
          <w:sz w:val="32"/>
          <w:szCs w:val="32"/>
          <w:rtl/>
        </w:rPr>
        <w:t>الحدود التطبيقية</w:t>
      </w:r>
      <w:r w:rsidRPr="00EE4C12">
        <w:rPr>
          <w:rFonts w:ascii="Traditional Arabic" w:eastAsia="Times New Roman" w:hAnsi="Traditional Arabic" w:cs="Traditional Arabic"/>
          <w:sz w:val="32"/>
          <w:szCs w:val="32"/>
        </w:rPr>
        <w:t xml:space="preserve"> </w:t>
      </w:r>
    </w:p>
    <w:p w14:paraId="6C2DCEB3" w14:textId="523E2C19" w:rsidR="0028680C" w:rsidRDefault="00194963" w:rsidP="0020372B">
      <w:pPr>
        <w:bidi/>
        <w:spacing w:before="100" w:beforeAutospacing="1" w:after="100" w:afterAutospacing="1" w:line="360" w:lineRule="auto"/>
        <w:jc w:val="both"/>
        <w:rPr>
          <w:rFonts w:ascii="Traditional Arabic" w:eastAsia="Times New Roman" w:hAnsi="Traditional Arabic" w:cs="Traditional Arabic"/>
          <w:sz w:val="32"/>
          <w:szCs w:val="32"/>
          <w:rtl/>
        </w:rPr>
      </w:pPr>
      <w:r w:rsidRPr="00EE4C12">
        <w:rPr>
          <w:rFonts w:ascii="Traditional Arabic" w:eastAsia="Times New Roman" w:hAnsi="Traditional Arabic" w:cs="Traditional Arabic"/>
          <w:sz w:val="32"/>
          <w:szCs w:val="32"/>
          <w:rtl/>
        </w:rPr>
        <w:t>تعتمد الدراسة على المنهج الوصفي التحليلي باستخدام الاستبانة كأداة رئيسية لجمع البيانات، ولا تشمل أدوات نوعية مثل المقابلات المعمقة أو الملاحظة الميدانية، مما يجعل النتائج مقصورة على التحليل الإحصائي الكمي</w:t>
      </w:r>
      <w:r w:rsidRPr="00EE4C12">
        <w:rPr>
          <w:rFonts w:ascii="Traditional Arabic" w:eastAsia="Times New Roman" w:hAnsi="Traditional Arabic" w:cs="Traditional Arabic"/>
          <w:sz w:val="32"/>
          <w:szCs w:val="32"/>
        </w:rPr>
        <w:t>.</w:t>
      </w:r>
    </w:p>
    <w:p w14:paraId="362E9931" w14:textId="77777777" w:rsidR="0020372B" w:rsidRPr="0020372B" w:rsidRDefault="0020372B" w:rsidP="0020372B">
      <w:pPr>
        <w:bidi/>
        <w:spacing w:before="100" w:beforeAutospacing="1" w:after="100" w:afterAutospacing="1" w:line="360" w:lineRule="auto"/>
        <w:jc w:val="both"/>
        <w:rPr>
          <w:rFonts w:ascii="Traditional Arabic" w:eastAsia="Times New Roman" w:hAnsi="Traditional Arabic" w:cs="Traditional Arabic"/>
          <w:sz w:val="32"/>
          <w:szCs w:val="32"/>
          <w:rtl/>
        </w:rPr>
      </w:pPr>
    </w:p>
    <w:p w14:paraId="5564C8BF" w14:textId="6B51604E" w:rsidR="0028680C" w:rsidRPr="0020372B" w:rsidRDefault="0028680C" w:rsidP="004F4902">
      <w:pPr>
        <w:pageBreakBefore/>
        <w:bidi/>
        <w:spacing w:after="200" w:line="360" w:lineRule="auto"/>
        <w:jc w:val="center"/>
        <w:rPr>
          <w:rFonts w:ascii="Traditional Arabic" w:eastAsia="Times New Roman" w:hAnsi="Traditional Arabic" w:cs="Traditional Arabic"/>
          <w:b/>
          <w:bCs/>
          <w:sz w:val="44"/>
          <w:szCs w:val="44"/>
          <w:rtl/>
        </w:rPr>
      </w:pPr>
      <w:r w:rsidRPr="0020372B">
        <w:rPr>
          <w:rFonts w:ascii="Traditional Arabic" w:eastAsia="Times New Roman" w:hAnsi="Traditional Arabic" w:cs="Traditional Arabic" w:hint="cs"/>
          <w:b/>
          <w:bCs/>
          <w:sz w:val="44"/>
          <w:szCs w:val="44"/>
          <w:rtl/>
        </w:rPr>
        <w:lastRenderedPageBreak/>
        <w:t>الفصل الثاني</w:t>
      </w:r>
    </w:p>
    <w:p w14:paraId="64304C55" w14:textId="6D5B437E" w:rsidR="0028680C" w:rsidRPr="0020372B" w:rsidRDefault="0028680C" w:rsidP="0028680C">
      <w:pPr>
        <w:bidi/>
        <w:spacing w:after="200" w:line="360" w:lineRule="auto"/>
        <w:jc w:val="center"/>
        <w:rPr>
          <w:rFonts w:ascii="Traditional Arabic" w:eastAsia="Times New Roman" w:hAnsi="Traditional Arabic" w:cs="Traditional Arabic"/>
          <w:b/>
          <w:bCs/>
          <w:sz w:val="44"/>
          <w:szCs w:val="44"/>
          <w:rtl/>
        </w:rPr>
      </w:pPr>
      <w:r w:rsidRPr="0020372B">
        <w:rPr>
          <w:rFonts w:ascii="Traditional Arabic" w:eastAsia="Times New Roman" w:hAnsi="Traditional Arabic" w:cs="Traditional Arabic" w:hint="cs"/>
          <w:b/>
          <w:bCs/>
          <w:sz w:val="44"/>
          <w:szCs w:val="44"/>
          <w:rtl/>
        </w:rPr>
        <w:t>الاطار النظري والدراسات السابقة</w:t>
      </w:r>
    </w:p>
    <w:p w14:paraId="0F61603C" w14:textId="77777777" w:rsidR="0028680C" w:rsidRPr="002A257A" w:rsidRDefault="0028680C" w:rsidP="0028680C">
      <w:pPr>
        <w:bidi/>
        <w:spacing w:after="200" w:line="360" w:lineRule="auto"/>
        <w:rPr>
          <w:rFonts w:ascii="Traditional Arabic" w:eastAsia="Times New Roman" w:hAnsi="Traditional Arabic" w:cs="Traditional Arabic"/>
          <w:b/>
          <w:bCs/>
          <w:sz w:val="40"/>
          <w:szCs w:val="40"/>
          <w:rtl/>
        </w:rPr>
      </w:pPr>
    </w:p>
    <w:p w14:paraId="2BE88ED1" w14:textId="64244728" w:rsidR="0028680C" w:rsidRPr="0020372B" w:rsidRDefault="006A233C" w:rsidP="0028680C">
      <w:pPr>
        <w:bidi/>
        <w:spacing w:after="200" w:line="360" w:lineRule="auto"/>
        <w:rPr>
          <w:rFonts w:ascii="Traditional Arabic" w:eastAsia="Times New Roman" w:hAnsi="Traditional Arabic" w:cs="Traditional Arabic"/>
          <w:b/>
          <w:bCs/>
          <w:sz w:val="40"/>
          <w:szCs w:val="40"/>
          <w:rtl/>
        </w:rPr>
      </w:pPr>
      <w:r w:rsidRPr="0020372B">
        <w:rPr>
          <w:rFonts w:ascii="Traditional Arabic" w:eastAsia="Times New Roman" w:hAnsi="Traditional Arabic" w:cs="Traditional Arabic" w:hint="cs"/>
          <w:b/>
          <w:bCs/>
          <w:sz w:val="40"/>
          <w:szCs w:val="40"/>
          <w:rtl/>
        </w:rPr>
        <w:t>المحور</w:t>
      </w:r>
      <w:r w:rsidR="0028680C" w:rsidRPr="0020372B">
        <w:rPr>
          <w:rFonts w:ascii="Traditional Arabic" w:eastAsia="Times New Roman" w:hAnsi="Traditional Arabic" w:cs="Traditional Arabic" w:hint="cs"/>
          <w:b/>
          <w:bCs/>
          <w:sz w:val="40"/>
          <w:szCs w:val="40"/>
          <w:rtl/>
        </w:rPr>
        <w:t xml:space="preserve"> الاول: الاطار النظري</w:t>
      </w:r>
    </w:p>
    <w:p w14:paraId="013FDDD6" w14:textId="77777777" w:rsidR="00AB632A" w:rsidRPr="0020372B" w:rsidRDefault="00AB632A" w:rsidP="00AB632A">
      <w:pPr>
        <w:bidi/>
        <w:spacing w:after="200" w:line="360" w:lineRule="auto"/>
        <w:rPr>
          <w:rFonts w:ascii="Traditional Arabic" w:eastAsia="Times New Roman" w:hAnsi="Traditional Arabic" w:cs="Traditional Arabic"/>
          <w:b/>
          <w:bCs/>
          <w:sz w:val="36"/>
          <w:szCs w:val="36"/>
        </w:rPr>
      </w:pPr>
      <w:r w:rsidRPr="0020372B">
        <w:rPr>
          <w:rFonts w:ascii="Traditional Arabic" w:eastAsia="Times New Roman" w:hAnsi="Traditional Arabic" w:cs="Traditional Arabic"/>
          <w:b/>
          <w:bCs/>
          <w:sz w:val="36"/>
          <w:szCs w:val="36"/>
          <w:rtl/>
        </w:rPr>
        <w:t>المبحث الاول: ضغوط العمل واستراتيجيات مواجهتها</w:t>
      </w:r>
    </w:p>
    <w:p w14:paraId="0A2E174A" w14:textId="77777777" w:rsidR="00AB632A" w:rsidRPr="002A257A" w:rsidRDefault="00AB632A" w:rsidP="00AB632A">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الاول: مفهوم ضغوط العمل وتطوره النظري</w:t>
      </w:r>
    </w:p>
    <w:p w14:paraId="234A1EB7" w14:textId="77777777"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تعد ضغوط العمل من الظواهر التنظيمية التي اتسع الاهتمام بها في السلوك التنظيمي بوصفها مدخلا تفسيريا لعدد كبير من المخرجات النفسية والوظيفية، مثل الانهاك، وضعف الرفاه، وتراجع الرضا، وارتفاع الميل لترك العمل. ولا ينظر الى الضغوط المهنية بوصفها مجرد مؤثرات خارجية، بل بوصفها حالة تنشأ من تفاعل متطلبات العمل مع قدرات الفرد وموارده وطرائق تفسيره للمواقف المهنية (</w:t>
      </w:r>
      <w:r w:rsidRPr="002A257A">
        <w:rPr>
          <w:rFonts w:ascii="Traditional Arabic" w:eastAsia="Times New Roman" w:hAnsi="Traditional Arabic" w:cs="Traditional Arabic"/>
          <w:sz w:val="32"/>
          <w:szCs w:val="32"/>
        </w:rPr>
        <w:t>Uhl-Bien et al., 2023</w:t>
      </w:r>
      <w:r w:rsidRPr="002A257A">
        <w:rPr>
          <w:rFonts w:ascii="Traditional Arabic" w:eastAsia="Times New Roman" w:hAnsi="Traditional Arabic" w:cs="Traditional Arabic"/>
          <w:sz w:val="32"/>
          <w:szCs w:val="32"/>
          <w:rtl/>
        </w:rPr>
        <w:t>). وفي هذا السياق، تبرز الضغوط بوصفها خبرة ادراكية وانفعالية ترتبط بمعنى الحدث لدى الفرد بقدر ارتباطها بطبيعة الحدث ذاته، الامر الذي يجعل تفسيرها مرتبطا بالسياق وبالخصائص المهنية والتنظيمية التي تحكم العمل.</w:t>
      </w:r>
    </w:p>
    <w:p w14:paraId="5C32B1C0" w14:textId="0636BED9"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اتجهت الادبيات الحديثة الى النظر لضغوط العمل في اطار الوقاية التنظيمية وتعزيز الرفاه المهني، بحيث يصبح التركيز على مصادر الضغط مقرونا بتحليل استجابات العاملين وكيفية منع تراكمها وتحولها الى نتائج مرضية او انسحابية (</w:t>
      </w:r>
      <w:r w:rsidRPr="002A257A">
        <w:rPr>
          <w:rFonts w:ascii="Traditional Arabic" w:eastAsia="Times New Roman" w:hAnsi="Traditional Arabic" w:cs="Traditional Arabic"/>
          <w:sz w:val="32"/>
          <w:szCs w:val="32"/>
        </w:rPr>
        <w:t>Quick &amp; Henderson, 2016</w:t>
      </w:r>
      <w:r w:rsidRPr="002A257A">
        <w:rPr>
          <w:rFonts w:ascii="Traditional Arabic" w:eastAsia="Times New Roman" w:hAnsi="Traditional Arabic" w:cs="Traditional Arabic"/>
          <w:sz w:val="32"/>
          <w:szCs w:val="32"/>
          <w:rtl/>
        </w:rPr>
        <w:t xml:space="preserve">). ومن ثم، لا تكتمل دراسة </w:t>
      </w:r>
      <w:r w:rsidRPr="002A257A">
        <w:rPr>
          <w:rFonts w:ascii="Traditional Arabic" w:eastAsia="Times New Roman" w:hAnsi="Traditional Arabic" w:cs="Traditional Arabic"/>
          <w:sz w:val="32"/>
          <w:szCs w:val="32"/>
          <w:rtl/>
        </w:rPr>
        <w:lastRenderedPageBreak/>
        <w:t>ضغوط العمل دون الانتقال الى سؤال محوري يتعلق بكيفية مواجهة العاملين لهذه الضغوط، وما اذا كانت استراتيجيات المواجهة تمثل آلية تخفف اثر الضغوط، او انها قد تعيد انتاج الضغط عبر اساليب غير تكيفية.</w:t>
      </w:r>
    </w:p>
    <w:p w14:paraId="1D25E34C"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tl/>
        </w:rPr>
      </w:pPr>
    </w:p>
    <w:p w14:paraId="6D226760" w14:textId="1FD9FC07" w:rsidR="00AB632A" w:rsidRPr="002A257A" w:rsidRDefault="00AB632A" w:rsidP="006A233C">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الثاني: نظرية الضغط والمواجهة كأساس تفسيري</w:t>
      </w:r>
    </w:p>
    <w:p w14:paraId="7D0DE4E4" w14:textId="54556994"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يعد اطار الضغط والمواجهة من اكثر الاطر رسوخا في تفسير الفروق الفردية في الاستجابة للضغوط، حيث تقوم فكرته المركزية على ان الضغط ليس خاصية ثابتة في الموقف، بل نتيجة تقييم معرفي يقوم به الفرد لطبيعة المطلب المهني ودرجة تهديده، ثم تقييمه لموارده المتاحة للتعامل معه. وقد قدمت ادبيات نظرية لازاروس وفولكمان تمييزا اساسيا بين المواجهة الموجهة نحو المشكلة والمواجهة الموجهة نحو الانفعال، مع امكانية وجود انماط اخرى مثل التجنب </w:t>
      </w:r>
      <w:r w:rsidR="002A257A" w:rsidRPr="002A257A">
        <w:rPr>
          <w:rFonts w:ascii="Traditional Arabic" w:eastAsia="Times New Roman" w:hAnsi="Traditional Arabic" w:cs="Traditional Arabic" w:hint="cs"/>
          <w:sz w:val="32"/>
          <w:szCs w:val="32"/>
          <w:rtl/>
        </w:rPr>
        <w:t>والانسحاب</w:t>
      </w:r>
      <w:r w:rsidRPr="002A257A">
        <w:rPr>
          <w:rFonts w:ascii="Traditional Arabic" w:eastAsia="Times New Roman" w:hAnsi="Traditional Arabic" w:cs="Traditional Arabic"/>
          <w:sz w:val="32"/>
          <w:szCs w:val="32"/>
          <w:rtl/>
        </w:rPr>
        <w:t xml:space="preserve"> تبعا لطبيعة الموقف وتقدير الفرد لامكانية التحكم به (</w:t>
      </w:r>
      <w:r w:rsidRPr="002A257A">
        <w:rPr>
          <w:rFonts w:ascii="Traditional Arabic" w:eastAsia="Times New Roman" w:hAnsi="Traditional Arabic" w:cs="Traditional Arabic"/>
          <w:sz w:val="32"/>
          <w:szCs w:val="32"/>
        </w:rPr>
        <w:t>Biggs et al., 2017</w:t>
      </w:r>
      <w:r w:rsidRPr="002A257A">
        <w:rPr>
          <w:rFonts w:ascii="Traditional Arabic" w:eastAsia="Times New Roman" w:hAnsi="Traditional Arabic" w:cs="Traditional Arabic"/>
          <w:sz w:val="32"/>
          <w:szCs w:val="32"/>
          <w:rtl/>
        </w:rPr>
        <w:t>). ويعزز هذا المنظور فكرة ان العاملين قد يواجهون نفس الضغوط ولكنهم يختلفون في النتائج تبعا لاختلاف نمط المواجهة، وهو ما يبرر ادراج استراتيجيات المواجهة بوصفها متغيرا تفسيريا رئيسا في نماذج السلوك التنظيمي.</w:t>
      </w:r>
    </w:p>
    <w:p w14:paraId="43CFCE87" w14:textId="6BC033A5"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من زاوية ادوات القياس، يمثل الاعتماد على ادلة القياس في مجال المواجهة مدخلا لازما لضبط المفهوم وتحديد ابعاده بصورة قابلة للاختبار، اذ توفر الادلة المقننة اطارا اجرائيا للتمييز بين الاستراتيجيات وقياسها بصورة تعكس جوهرها النظري (</w:t>
      </w:r>
      <w:r w:rsidRPr="002A257A">
        <w:rPr>
          <w:rFonts w:ascii="Traditional Arabic" w:eastAsia="Times New Roman" w:hAnsi="Traditional Arabic" w:cs="Traditional Arabic"/>
          <w:sz w:val="32"/>
          <w:szCs w:val="32"/>
        </w:rPr>
        <w:t>Folkman &amp; Lazarus, 1988</w:t>
      </w:r>
      <w:r w:rsidRPr="002A257A">
        <w:rPr>
          <w:rFonts w:ascii="Traditional Arabic" w:eastAsia="Times New Roman" w:hAnsi="Traditional Arabic" w:cs="Traditional Arabic"/>
          <w:sz w:val="32"/>
          <w:szCs w:val="32"/>
          <w:rtl/>
        </w:rPr>
        <w:t xml:space="preserve">). كما يقدم الطرح العربي المعاصر تصنيفات مفاهيمية تسهم في توطين مفهوم المواجهة داخل سياقات ثقافية ومهنية متنوعة، من خلال تحليل مفهوم استراتيجيات مواجهة الضغوط النفسية وتحديد سماتها </w:t>
      </w:r>
      <w:r w:rsidRPr="002A257A">
        <w:rPr>
          <w:rFonts w:ascii="Traditional Arabic" w:eastAsia="Times New Roman" w:hAnsi="Traditional Arabic" w:cs="Traditional Arabic"/>
          <w:sz w:val="32"/>
          <w:szCs w:val="32"/>
          <w:rtl/>
        </w:rPr>
        <w:lastRenderedPageBreak/>
        <w:t>وخصائصها التصنيفية (مكانسي وقدرو، 2025). وبذلك يصبح مفهوم المواجهة قابلا للبناء النظري والقياس في آن واحد.</w:t>
      </w:r>
    </w:p>
    <w:p w14:paraId="478A3BD3"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tl/>
        </w:rPr>
      </w:pPr>
    </w:p>
    <w:p w14:paraId="3F39517B" w14:textId="77777777" w:rsidR="00AB632A" w:rsidRPr="002A257A" w:rsidRDefault="00AB632A" w:rsidP="00AB632A">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الثالث: ابعاد واستراتيجيات مواجهة ضغوط العمل</w:t>
      </w:r>
    </w:p>
    <w:p w14:paraId="670D421A" w14:textId="11BE0041"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لم يعد تناول استراتيجيات مواجهة الضغوط مقتصرا على التعريف العام، بل تطور الى تحليل ابعادها وانماطها وعلاقتها بالمخرجات المهنية. ففي التطبيقات الميدانية، تبرز الاستراتيجيات الموجهة نحو حل المشكلة وطلب الدعم الاجتماعي بوصفها استراتيجيات تكيفية ترتبط عادة بنتائج اكثر ايجابية، بينما ترتبط استراتيجيات التجنب والانفعال بنتائج اضعف او سلبية. وقد اظهرت دراسة </w:t>
      </w:r>
      <w:r w:rsidRPr="002A257A">
        <w:rPr>
          <w:rFonts w:ascii="Traditional Arabic" w:eastAsia="Times New Roman" w:hAnsi="Traditional Arabic" w:cs="Traditional Arabic"/>
          <w:sz w:val="32"/>
          <w:szCs w:val="32"/>
        </w:rPr>
        <w:t>Ivankovi</w:t>
      </w:r>
      <w:r w:rsidRPr="002A257A">
        <w:rPr>
          <w:rFonts w:ascii="Times New Roman" w:eastAsia="Times New Roman" w:hAnsi="Times New Roman" w:cs="Times New Roman"/>
          <w:sz w:val="32"/>
          <w:szCs w:val="32"/>
        </w:rPr>
        <w:t>ć</w:t>
      </w:r>
      <w:r w:rsidRPr="002A257A">
        <w:rPr>
          <w:rFonts w:ascii="Traditional Arabic" w:eastAsia="Times New Roman" w:hAnsi="Traditional Arabic" w:cs="Traditional Arabic"/>
          <w:sz w:val="32"/>
          <w:szCs w:val="32"/>
          <w:lang w:bidi="ar-AE"/>
        </w:rPr>
        <w:t xml:space="preserve">, </w:t>
      </w:r>
      <w:r w:rsidRPr="002A257A">
        <w:rPr>
          <w:rFonts w:ascii="Traditional Arabic" w:eastAsia="Times New Roman" w:hAnsi="Traditional Arabic" w:cs="Traditional Arabic"/>
          <w:sz w:val="32"/>
          <w:szCs w:val="32"/>
        </w:rPr>
        <w:t>2020)</w:t>
      </w:r>
      <w:r w:rsidRPr="002A257A">
        <w:rPr>
          <w:rFonts w:ascii="Traditional Arabic" w:eastAsia="Times New Roman" w:hAnsi="Traditional Arabic" w:cs="Traditional Arabic"/>
          <w:sz w:val="32"/>
          <w:szCs w:val="32"/>
          <w:rtl/>
        </w:rPr>
        <w:t>) لدى معلمي مدارس الفنون ان الاستراتيجيات الموجهة نحو حل المشكلة ارتبطت بصورة اكثر ايجابية ب بالرضا الوظيفي مقارنة باستراتيجيات التجنب او الانفعال التي ارتبطت سلبا بالرضا، الامر الذي يؤكد ان نوع الاستراتيجية لا يقل اهمية عن وجودها.</w:t>
      </w:r>
    </w:p>
    <w:p w14:paraId="57077371" w14:textId="1274A235"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وتدعم الدراسات المبنية على تحليل الانماط فكرة ان المواجهة ليست متغيرا خطيا بسيطا، بل قد تتجسد في ملفات او بروفايلات متمايزة تترافق معها نتائج مختلفة. فقد حددت دراسة </w:t>
      </w:r>
      <w:r w:rsidRPr="002A257A">
        <w:rPr>
          <w:rFonts w:ascii="Traditional Arabic" w:eastAsia="Times New Roman" w:hAnsi="Traditional Arabic" w:cs="Traditional Arabic"/>
          <w:sz w:val="32"/>
          <w:szCs w:val="32"/>
        </w:rPr>
        <w:t>Wang et al. 2022)</w:t>
      </w:r>
      <w:r w:rsidRPr="002A257A">
        <w:rPr>
          <w:rFonts w:ascii="Traditional Arabic" w:eastAsia="Times New Roman" w:hAnsi="Traditional Arabic" w:cs="Traditional Arabic"/>
          <w:sz w:val="32"/>
          <w:szCs w:val="32"/>
          <w:rtl/>
        </w:rPr>
        <w:t xml:space="preserve">) ثلاثة انماط للمواجهة لدى المعلمين، واظهرت ان النمط التكيفي الذي يجمع حل المشكلات وطلب الدعم مع انخفاض الانسحاب ارتبط باعلى رضا </w:t>
      </w:r>
      <w:proofErr w:type="gramStart"/>
      <w:r w:rsidRPr="002A257A">
        <w:rPr>
          <w:rFonts w:ascii="Traditional Arabic" w:eastAsia="Times New Roman" w:hAnsi="Traditional Arabic" w:cs="Traditional Arabic"/>
          <w:sz w:val="32"/>
          <w:szCs w:val="32"/>
          <w:rtl/>
        </w:rPr>
        <w:t>وادنى</w:t>
      </w:r>
      <w:proofErr w:type="gramEnd"/>
      <w:r w:rsidRPr="002A257A">
        <w:rPr>
          <w:rFonts w:ascii="Traditional Arabic" w:eastAsia="Times New Roman" w:hAnsi="Traditional Arabic" w:cs="Traditional Arabic"/>
          <w:sz w:val="32"/>
          <w:szCs w:val="32"/>
          <w:rtl/>
        </w:rPr>
        <w:t xml:space="preserve"> احتراق </w:t>
      </w:r>
      <w:proofErr w:type="gramStart"/>
      <w:r w:rsidRPr="002A257A">
        <w:rPr>
          <w:rFonts w:ascii="Traditional Arabic" w:eastAsia="Times New Roman" w:hAnsi="Traditional Arabic" w:cs="Traditional Arabic"/>
          <w:sz w:val="32"/>
          <w:szCs w:val="32"/>
          <w:rtl/>
        </w:rPr>
        <w:t>وادنى</w:t>
      </w:r>
      <w:proofErr w:type="gramEnd"/>
      <w:r w:rsidRPr="002A257A">
        <w:rPr>
          <w:rFonts w:ascii="Traditional Arabic" w:eastAsia="Times New Roman" w:hAnsi="Traditional Arabic" w:cs="Traditional Arabic"/>
          <w:sz w:val="32"/>
          <w:szCs w:val="32"/>
          <w:rtl/>
        </w:rPr>
        <w:t xml:space="preserve"> نية ترك العمل، بينما ارتبطت الانماط القائمة على التجنب او الانسحاب بنتائج عكسية. ويكشف ذلك ان استراتيجيات المواجهة ليست مجرد رد فعل لحظي، بل نمط مستقر نسبيا يعيد تشكيل الخبرة المهنية ويؤثر في المسار الوظيفي.</w:t>
      </w:r>
    </w:p>
    <w:p w14:paraId="567E01A4" w14:textId="30266DF4"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lastRenderedPageBreak/>
        <w:t xml:space="preserve">كما تشير ادبيات العناية الذاتية والدعم الزميلي الى ان بعض استراتيجيات المواجهة قد تكون وقائية بطبيعتها، بمعنى انها تقلل احتمالات الانزلاق نحو الاحتراق لا عبر خفض الضغوط فقط بل عبر تعزيز الموارد النفسية والاجتماعية. وقد اظهرت دراسة </w:t>
      </w:r>
      <w:r w:rsidRPr="002A257A">
        <w:rPr>
          <w:rFonts w:ascii="Traditional Arabic" w:eastAsia="Times New Roman" w:hAnsi="Traditional Arabic" w:cs="Traditional Arabic"/>
          <w:sz w:val="32"/>
          <w:szCs w:val="32"/>
        </w:rPr>
        <w:t>Leiss et al. 2021)</w:t>
      </w:r>
      <w:r w:rsidRPr="002A257A">
        <w:rPr>
          <w:rFonts w:ascii="Traditional Arabic" w:eastAsia="Times New Roman" w:hAnsi="Traditional Arabic" w:cs="Traditional Arabic"/>
          <w:sz w:val="32"/>
          <w:szCs w:val="32"/>
          <w:rtl/>
        </w:rPr>
        <w:t>) ان الدعم الاجتماعي والحديث المتكرر مع الزملاء حول المواقف الصعبة ارتبط بارتفاع الرضا الوظيفي، مع تباينات بين الفئات المهنية من حيث ضعف العناية الذاتية، وهو ما يعزز اهمية اعتبار المواجهة والدعم الاجتماعي ضمن مدخل موارد الوقاية.</w:t>
      </w:r>
    </w:p>
    <w:p w14:paraId="793648B7" w14:textId="77777777"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p>
    <w:p w14:paraId="0172450C" w14:textId="77777777" w:rsidR="00AB632A" w:rsidRPr="002A257A" w:rsidRDefault="00AB632A" w:rsidP="00AB632A">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الرابع: العلاقة النظرية بين استراتيجيات المواجهة ومخرجات العمل</w:t>
      </w:r>
    </w:p>
    <w:p w14:paraId="50D81E57" w14:textId="27A934FC" w:rsidR="006A233C" w:rsidRPr="002A257A" w:rsidRDefault="006A233C" w:rsidP="0020372B">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تفترض الادبيات ان استراتيجيات المواجهة تعمل بوصفها آلية تنظيمية نفسية تربط بين الضغوط وبين النتائج، وقد تتخذ دورا معدلا او تفسيريا بحسب طبيعة النموذج. وقد بينت </w:t>
      </w:r>
      <w:r w:rsidR="0020372B">
        <w:rPr>
          <w:rFonts w:ascii="Traditional Arabic" w:eastAsia="Times New Roman" w:hAnsi="Traditional Arabic" w:cs="Traditional Arabic" w:hint="cs"/>
          <w:sz w:val="32"/>
          <w:szCs w:val="32"/>
          <w:rtl/>
        </w:rPr>
        <w:t>(</w:t>
      </w:r>
      <w:r w:rsidR="0020372B">
        <w:rPr>
          <w:rFonts w:ascii="Traditional Arabic" w:eastAsia="Times New Roman" w:hAnsi="Traditional Arabic" w:cs="Traditional Arabic"/>
          <w:sz w:val="32"/>
          <w:szCs w:val="32"/>
        </w:rPr>
        <w:t xml:space="preserve">Woods et al. </w:t>
      </w:r>
      <w:r w:rsidRPr="002A257A">
        <w:rPr>
          <w:rFonts w:ascii="Traditional Arabic" w:eastAsia="Times New Roman" w:hAnsi="Traditional Arabic" w:cs="Traditional Arabic"/>
          <w:sz w:val="32"/>
          <w:szCs w:val="32"/>
        </w:rPr>
        <w:t>2023</w:t>
      </w:r>
      <w:r w:rsidRPr="002A257A">
        <w:rPr>
          <w:rFonts w:ascii="Traditional Arabic" w:eastAsia="Times New Roman" w:hAnsi="Traditional Arabic" w:cs="Traditional Arabic"/>
          <w:sz w:val="32"/>
          <w:szCs w:val="32"/>
          <w:rtl/>
        </w:rPr>
        <w:t>) ان استراتيجيات المواجهة تخفف من الاثر السلبي لضغط العمل على الرضا الوظيفي، بما يشير الى ان امتلاك مهارات مواجهة اعلى قد يحد من تدهور الرضا تحت الضغوط. كما يدعم ذلك ما تذهب اليه الادبيات الوقائية في ضرورة تمكين العاملين من استجابات اكثر فاعلية حتى عندما لا يكون ممكنا ازالة مصادر الضغط بالكامل (</w:t>
      </w:r>
      <w:r w:rsidRPr="002A257A">
        <w:rPr>
          <w:rFonts w:ascii="Traditional Arabic" w:eastAsia="Times New Roman" w:hAnsi="Traditional Arabic" w:cs="Traditional Arabic"/>
          <w:sz w:val="32"/>
          <w:szCs w:val="32"/>
        </w:rPr>
        <w:t>Quick &amp; Henderson, 2016</w:t>
      </w:r>
      <w:r w:rsidRPr="002A257A">
        <w:rPr>
          <w:rFonts w:ascii="Traditional Arabic" w:eastAsia="Times New Roman" w:hAnsi="Traditional Arabic" w:cs="Traditional Arabic"/>
          <w:sz w:val="32"/>
          <w:szCs w:val="32"/>
          <w:rtl/>
        </w:rPr>
        <w:t>). ومن ثم، يصبح تأسيس نموذج نظري يستند الى المواجهة مدخلا منطقيا لفهم اختلاف الرضا والاحتراق عبر الافراد داخل نفس البيئة المهنية.</w:t>
      </w:r>
    </w:p>
    <w:p w14:paraId="11672E3F" w14:textId="20C673CE" w:rsidR="00AB632A" w:rsidRPr="002A257A" w:rsidRDefault="00AB632A" w:rsidP="006A233C">
      <w:pPr>
        <w:bidi/>
        <w:spacing w:after="200" w:line="360" w:lineRule="auto"/>
        <w:rPr>
          <w:rFonts w:ascii="Traditional Arabic" w:eastAsia="Times New Roman" w:hAnsi="Traditional Arabic" w:cs="Traditional Arabic"/>
          <w:sz w:val="32"/>
          <w:szCs w:val="32"/>
        </w:rPr>
      </w:pPr>
    </w:p>
    <w:p w14:paraId="78557049" w14:textId="77777777" w:rsidR="006A233C" w:rsidRPr="002A257A" w:rsidRDefault="006A233C" w:rsidP="006A233C">
      <w:pPr>
        <w:bidi/>
        <w:spacing w:after="200" w:line="360" w:lineRule="auto"/>
        <w:rPr>
          <w:rFonts w:ascii="Traditional Arabic" w:eastAsia="Times New Roman" w:hAnsi="Traditional Arabic" w:cs="Traditional Arabic"/>
          <w:sz w:val="32"/>
          <w:szCs w:val="32"/>
        </w:rPr>
      </w:pPr>
    </w:p>
    <w:p w14:paraId="3E65DA07" w14:textId="77777777" w:rsidR="00AB632A" w:rsidRPr="002A257A" w:rsidRDefault="00AB632A" w:rsidP="00AB632A">
      <w:pPr>
        <w:bidi/>
        <w:spacing w:after="200" w:line="360" w:lineRule="auto"/>
        <w:rPr>
          <w:rFonts w:ascii="Traditional Arabic" w:eastAsia="Times New Roman" w:hAnsi="Traditional Arabic" w:cs="Traditional Arabic"/>
          <w:b/>
          <w:bCs/>
          <w:sz w:val="36"/>
          <w:szCs w:val="36"/>
        </w:rPr>
      </w:pPr>
      <w:r w:rsidRPr="002A257A">
        <w:rPr>
          <w:rFonts w:ascii="Traditional Arabic" w:eastAsia="Times New Roman" w:hAnsi="Traditional Arabic" w:cs="Traditional Arabic"/>
          <w:b/>
          <w:bCs/>
          <w:sz w:val="36"/>
          <w:szCs w:val="36"/>
          <w:rtl/>
        </w:rPr>
        <w:lastRenderedPageBreak/>
        <w:t>المبحث الثاني: الاحتراق الوظيفي</w:t>
      </w:r>
    </w:p>
    <w:p w14:paraId="646A0409" w14:textId="77777777" w:rsidR="00AB632A" w:rsidRPr="002A257A" w:rsidRDefault="00AB632A" w:rsidP="00AB632A">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الاول: مفهوم الاحتراق الوظيفي وتطوره</w:t>
      </w:r>
    </w:p>
    <w:p w14:paraId="3950089F" w14:textId="77777777"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يعد الاحتراق الوظيفي من اكثر المفاهيم التصاقا بسياقات العمل ذات المطالب المرتفعة، وقد جرى ترسيخه في الادبيات بوصفه حالة استنزاف تتراكم عبر الزمن نتيجة التعرض المزمن لمطالب تفوق الموارد. ويقدم دليل مقياس ماسلاش للاحتراق اطارا معياريا لتحديد الاحتراق عبر ابعاد تشمل الاجهاد الانفعالي، وتبلد المشاعر، وتدني الانجاز الشخصي، بما يسمح بفهم الاحتراق كظاهرة متعددة الابعاد لا كحالة شعورية عامة (</w:t>
      </w:r>
      <w:r w:rsidRPr="002A257A">
        <w:rPr>
          <w:rFonts w:ascii="Traditional Arabic" w:eastAsia="Times New Roman" w:hAnsi="Traditional Arabic" w:cs="Traditional Arabic"/>
          <w:sz w:val="32"/>
          <w:szCs w:val="32"/>
        </w:rPr>
        <w:t>Maslach et al., 1996</w:t>
      </w:r>
      <w:r w:rsidRPr="002A257A">
        <w:rPr>
          <w:rFonts w:ascii="Traditional Arabic" w:eastAsia="Times New Roman" w:hAnsi="Traditional Arabic" w:cs="Traditional Arabic"/>
          <w:sz w:val="32"/>
          <w:szCs w:val="32"/>
          <w:rtl/>
        </w:rPr>
        <w:t>). وتبرز اهمية هذا الطرح في انه يضع الاحتراق ضمن بنية قابلة للقياس والمقارنة، وهو ما يتيح تفسير علاقته بالضغوط وبالرضا وبغيرها من النتائج التنظيمية.</w:t>
      </w:r>
    </w:p>
    <w:p w14:paraId="518DA5B0"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Pr>
      </w:pPr>
    </w:p>
    <w:p w14:paraId="28942E71" w14:textId="4E678E42" w:rsidR="00AB632A" w:rsidRPr="002A257A" w:rsidRDefault="00AB632A" w:rsidP="006A233C">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الثاني: الاسس النظرية المفسرة للاحتراق في سياق الضغوط والموارد</w:t>
      </w:r>
    </w:p>
    <w:p w14:paraId="4C115FDA" w14:textId="5B2B44A6" w:rsidR="006A233C" w:rsidRPr="002A257A" w:rsidRDefault="006A233C" w:rsidP="004519FD">
      <w:pPr>
        <w:bidi/>
        <w:spacing w:after="200" w:line="360" w:lineRule="auto"/>
        <w:ind w:firstLine="720"/>
        <w:jc w:val="both"/>
        <w:rPr>
          <w:rFonts w:ascii="Traditional Arabic" w:eastAsia="Times New Roman" w:hAnsi="Traditional Arabic" w:cs="Traditional Arabic"/>
          <w:sz w:val="32"/>
          <w:szCs w:val="32"/>
          <w:rtl/>
          <w:lang w:bidi="ar-JO"/>
        </w:rPr>
      </w:pPr>
      <w:r w:rsidRPr="002A257A">
        <w:rPr>
          <w:rFonts w:ascii="Traditional Arabic" w:eastAsia="Times New Roman" w:hAnsi="Traditional Arabic" w:cs="Traditional Arabic"/>
          <w:sz w:val="32"/>
          <w:szCs w:val="32"/>
          <w:rtl/>
        </w:rPr>
        <w:t xml:space="preserve">يرتبط تفسير الاحتراق في كثير من الدراسات بفكرة فقدان الموارد او استنزافها، حيث يؤدي استمرار الضغوط دون تعويض موارد نفسية واجتماعية وتنظيمية الى تدهور تدريجي في الطاقة الانفعالية والمعنى المهني. وقد وظفت بعض الدراسات هذا المنطق ضمن اختبار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ضغوط العمل والاحتراق على الرضا والاداء، بما يعكس ان الاحتراق ليس نتيجة </w:t>
      </w:r>
      <w:proofErr w:type="gramStart"/>
      <w:r w:rsidRPr="002A257A">
        <w:rPr>
          <w:rFonts w:ascii="Traditional Arabic" w:eastAsia="Times New Roman" w:hAnsi="Traditional Arabic" w:cs="Traditional Arabic"/>
          <w:sz w:val="32"/>
          <w:szCs w:val="32"/>
          <w:rtl/>
        </w:rPr>
        <w:t>فقط</w:t>
      </w:r>
      <w:proofErr w:type="gramEnd"/>
      <w:r w:rsidRPr="002A257A">
        <w:rPr>
          <w:rFonts w:ascii="Traditional Arabic" w:eastAsia="Times New Roman" w:hAnsi="Traditional Arabic" w:cs="Traditional Arabic"/>
          <w:sz w:val="32"/>
          <w:szCs w:val="32"/>
          <w:rtl/>
        </w:rPr>
        <w:t xml:space="preserve"> بل قناة تؤثر في النتائج النهائية (</w:t>
      </w:r>
      <w:r w:rsidRPr="002A257A">
        <w:rPr>
          <w:rFonts w:ascii="Traditional Arabic" w:eastAsia="Times New Roman" w:hAnsi="Traditional Arabic" w:cs="Traditional Arabic"/>
          <w:sz w:val="32"/>
          <w:szCs w:val="32"/>
        </w:rPr>
        <w:t>Prasetya et al., 2021</w:t>
      </w:r>
      <w:r w:rsidRPr="002A257A">
        <w:rPr>
          <w:rFonts w:ascii="Traditional Arabic" w:eastAsia="Times New Roman" w:hAnsi="Traditional Arabic" w:cs="Traditional Arabic"/>
          <w:sz w:val="32"/>
          <w:szCs w:val="32"/>
          <w:rtl/>
        </w:rPr>
        <w:t>). ويتسق ذلك مع الطرح الوقائي الذي يرى ان تقليل المعاناة وتعزيز الرفاه يتطلبان استراتيجيات تنظيمية وفردية متكاملة للحد من انتقال الضغوط الى احتراق مزمن (</w:t>
      </w:r>
      <w:r w:rsidRPr="002A257A">
        <w:rPr>
          <w:rFonts w:ascii="Traditional Arabic" w:eastAsia="Times New Roman" w:hAnsi="Traditional Arabic" w:cs="Traditional Arabic"/>
          <w:sz w:val="32"/>
          <w:szCs w:val="32"/>
        </w:rPr>
        <w:t>Quick &amp; Henderson, 2016</w:t>
      </w:r>
      <w:r w:rsidRPr="002A257A">
        <w:rPr>
          <w:rFonts w:ascii="Traditional Arabic" w:eastAsia="Times New Roman" w:hAnsi="Traditional Arabic" w:cs="Traditional Arabic"/>
          <w:sz w:val="32"/>
          <w:szCs w:val="32"/>
          <w:rtl/>
        </w:rPr>
        <w:t>).</w:t>
      </w:r>
    </w:p>
    <w:p w14:paraId="7213641F" w14:textId="5FF16DE2" w:rsidR="00AB632A" w:rsidRPr="002A257A" w:rsidRDefault="00AB632A" w:rsidP="006A233C">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lastRenderedPageBreak/>
        <w:t>المطلب الثالث: الاحتراق وعلاقته باستراتيجيات المواجهة والرضا الوظيفي</w:t>
      </w:r>
    </w:p>
    <w:p w14:paraId="6CDCA23B" w14:textId="15DBE90E"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تؤكد الدراسات التطبيقية على وجود ترابط وثيق بين الاحتراق وبين كل من المواجهة والرضا. فقد اظهرت دراسة </w:t>
      </w:r>
      <w:r w:rsidRPr="002A257A">
        <w:rPr>
          <w:rFonts w:ascii="Traditional Arabic" w:eastAsia="Times New Roman" w:hAnsi="Traditional Arabic" w:cs="Traditional Arabic"/>
          <w:sz w:val="32"/>
          <w:szCs w:val="32"/>
        </w:rPr>
        <w:t>Friganovi</w:t>
      </w:r>
      <w:r w:rsidRPr="002A257A">
        <w:rPr>
          <w:rFonts w:ascii="Times New Roman" w:eastAsia="Times New Roman" w:hAnsi="Times New Roman" w:cs="Times New Roman"/>
          <w:sz w:val="32"/>
          <w:szCs w:val="32"/>
        </w:rPr>
        <w:t>ć</w:t>
      </w:r>
      <w:r w:rsidRPr="002A257A">
        <w:rPr>
          <w:rFonts w:ascii="Traditional Arabic" w:eastAsia="Times New Roman" w:hAnsi="Traditional Arabic" w:cs="Traditional Arabic"/>
          <w:sz w:val="32"/>
          <w:szCs w:val="32"/>
        </w:rPr>
        <w:t xml:space="preserve"> &amp; Seli</w:t>
      </w:r>
      <w:r w:rsidRPr="002A257A">
        <w:rPr>
          <w:rFonts w:ascii="Times New Roman" w:eastAsia="Times New Roman" w:hAnsi="Times New Roman" w:cs="Times New Roman"/>
          <w:sz w:val="32"/>
          <w:szCs w:val="32"/>
        </w:rPr>
        <w:t>č</w:t>
      </w:r>
      <w:r w:rsidRPr="002A257A">
        <w:rPr>
          <w:rFonts w:ascii="Traditional Arabic" w:eastAsia="Times New Roman" w:hAnsi="Traditional Arabic" w:cs="Traditional Arabic"/>
          <w:sz w:val="32"/>
          <w:szCs w:val="32"/>
        </w:rPr>
        <w:t>, 2021)</w:t>
      </w:r>
      <w:r w:rsidRPr="002A257A">
        <w:rPr>
          <w:rFonts w:ascii="Traditional Arabic" w:eastAsia="Times New Roman" w:hAnsi="Traditional Arabic" w:cs="Traditional Arabic"/>
          <w:sz w:val="32"/>
          <w:szCs w:val="32"/>
          <w:rtl/>
        </w:rPr>
        <w:t>) علاقة سلبية بين الرضا الوظيفي والاحتراق لدى ممرضي العناية المركزة، كما وجدت ارتباطا بين تبني استراتيجيات مواجهة سلبية وارتفاع مؤشرات الاحتراق. وتضيف المراجعات الادبية ان العلاقة بين الضغط والاحتراق لا يمكن فصلها عن نمط المواجهة المتبع، اذ تميل الاستراتيجيات غير التكيفية الى مفاقمة الاستنزاف بدل تقليله (</w:t>
      </w:r>
      <w:r w:rsidRPr="002A257A">
        <w:rPr>
          <w:rFonts w:ascii="Traditional Arabic" w:eastAsia="Times New Roman" w:hAnsi="Traditional Arabic" w:cs="Traditional Arabic"/>
          <w:sz w:val="32"/>
          <w:szCs w:val="32"/>
        </w:rPr>
        <w:t>Friganovi</w:t>
      </w:r>
      <w:r w:rsidRPr="002A257A">
        <w:rPr>
          <w:rFonts w:ascii="Times New Roman" w:eastAsia="Times New Roman" w:hAnsi="Times New Roman" w:cs="Times New Roman"/>
          <w:sz w:val="32"/>
          <w:szCs w:val="32"/>
        </w:rPr>
        <w:t>ć</w:t>
      </w:r>
      <w:r w:rsidRPr="002A257A">
        <w:rPr>
          <w:rFonts w:ascii="Traditional Arabic" w:eastAsia="Times New Roman" w:hAnsi="Traditional Arabic" w:cs="Traditional Arabic"/>
          <w:sz w:val="32"/>
          <w:szCs w:val="32"/>
        </w:rPr>
        <w:t xml:space="preserve"> et al., 2019</w:t>
      </w:r>
      <w:r w:rsidRPr="002A257A">
        <w:rPr>
          <w:rFonts w:ascii="Traditional Arabic" w:eastAsia="Times New Roman" w:hAnsi="Traditional Arabic" w:cs="Traditional Arabic"/>
          <w:sz w:val="32"/>
          <w:szCs w:val="32"/>
          <w:rtl/>
        </w:rPr>
        <w:t xml:space="preserve">). كما اظهرت دراسة </w:t>
      </w:r>
      <w:r w:rsidRPr="002A257A">
        <w:rPr>
          <w:rFonts w:ascii="Traditional Arabic" w:eastAsia="Times New Roman" w:hAnsi="Traditional Arabic" w:cs="Traditional Arabic" w:hint="cs"/>
          <w:sz w:val="32"/>
          <w:szCs w:val="32"/>
          <w:rtl/>
        </w:rPr>
        <w:t>(</w:t>
      </w:r>
      <w:r w:rsidRPr="002A257A">
        <w:rPr>
          <w:rFonts w:ascii="Traditional Arabic" w:eastAsia="Times New Roman" w:hAnsi="Traditional Arabic" w:cs="Traditional Arabic"/>
          <w:sz w:val="32"/>
          <w:szCs w:val="32"/>
        </w:rPr>
        <w:t>Portero de la Cruz et al. 2020</w:t>
      </w:r>
      <w:r w:rsidRPr="002A257A">
        <w:rPr>
          <w:rFonts w:ascii="Traditional Arabic" w:eastAsia="Times New Roman" w:hAnsi="Traditional Arabic" w:cs="Traditional Arabic"/>
          <w:sz w:val="32"/>
          <w:szCs w:val="32"/>
          <w:rtl/>
        </w:rPr>
        <w:t>) لدى ممرضي الطوارئ تداخلا بين الاحتراق والضغط المدرك والرضا واستراتيجيات المواجهة، بما يدل على ان الاحتراق غالبا ما يتشكل داخل شبكة من العوامل النفسية والتنظيمية لا في مسار احادي.</w:t>
      </w:r>
    </w:p>
    <w:p w14:paraId="03FFD00C" w14:textId="421A2AED" w:rsidR="006A233C" w:rsidRPr="002A257A" w:rsidRDefault="006A233C" w:rsidP="002A257A">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تشير الادبيات كذلك الى ان المواجهة قد تعمل كعامل وقائي ضد الاحتراق عندما ترتبط بالعناية الذاتية وبالدعم الاجتماعي وببناء موارد مستمرة، الامر الذي ينسجم مع نتائج دراسة </w:t>
      </w:r>
      <w:r w:rsidRPr="002A257A">
        <w:rPr>
          <w:rFonts w:ascii="Traditional Arabic" w:eastAsia="Times New Roman" w:hAnsi="Traditional Arabic" w:cs="Traditional Arabic" w:hint="cs"/>
          <w:sz w:val="32"/>
          <w:szCs w:val="32"/>
          <w:rtl/>
        </w:rPr>
        <w:t>(</w:t>
      </w:r>
      <w:r w:rsidRPr="002A257A">
        <w:rPr>
          <w:rFonts w:ascii="Traditional Arabic" w:eastAsia="Times New Roman" w:hAnsi="Traditional Arabic" w:cs="Traditional Arabic"/>
          <w:sz w:val="32"/>
          <w:szCs w:val="32"/>
        </w:rPr>
        <w:t>Leiss et al. 2021</w:t>
      </w:r>
      <w:r w:rsidRPr="002A257A">
        <w:rPr>
          <w:rFonts w:ascii="Traditional Arabic" w:eastAsia="Times New Roman" w:hAnsi="Traditional Arabic" w:cs="Traditional Arabic"/>
          <w:sz w:val="32"/>
          <w:szCs w:val="32"/>
          <w:rtl/>
        </w:rPr>
        <w:t>) التي تؤكد ان تعزيز الدعم الزميلي يمثل مسارا لرفع الرضا بما قد ينعكس وقائيا على الاحتراق. وفي المحصلة، لا يمكن بناء اطار نظري للاحتراق بمعزل عن المواجهة والرضا، لان الاحتراق يميل الى تمثيل الاثر التراكمي للضغط عندما لا تعالج الضغوط بموارد واستراتيجيات كافية.</w:t>
      </w:r>
    </w:p>
    <w:p w14:paraId="61CDA04B" w14:textId="77777777" w:rsidR="006A233C" w:rsidRPr="002A257A" w:rsidRDefault="006A233C" w:rsidP="006A233C">
      <w:pPr>
        <w:bidi/>
        <w:spacing w:after="200" w:line="360" w:lineRule="auto"/>
        <w:rPr>
          <w:rFonts w:ascii="Traditional Arabic" w:eastAsia="Times New Roman" w:hAnsi="Traditional Arabic" w:cs="Traditional Arabic"/>
          <w:sz w:val="32"/>
          <w:szCs w:val="32"/>
          <w:rtl/>
        </w:rPr>
      </w:pPr>
    </w:p>
    <w:p w14:paraId="1997C6D9" w14:textId="07DCFD2F" w:rsidR="00AB632A" w:rsidRPr="002A257A" w:rsidRDefault="00AB632A" w:rsidP="006A233C">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الرابع: الاحتراق بوصفه متغيرا وسيطا في النماذج التنظيمية</w:t>
      </w:r>
    </w:p>
    <w:p w14:paraId="12423E73" w14:textId="51F0EBDF" w:rsidR="00AB632A" w:rsidRDefault="006A233C" w:rsidP="006A233C">
      <w:pPr>
        <w:bidi/>
        <w:spacing w:after="200" w:line="360" w:lineRule="auto"/>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يمثل الاحتراق في كثير من النماذج حلقة تفسيرية بين الضغوط وبين النتائج، سواء كانت نتائج نفسية او سلوكية او تنظيمية. وتقدم دراسة </w:t>
      </w:r>
      <w:r w:rsidRPr="002A257A">
        <w:rPr>
          <w:rFonts w:ascii="Traditional Arabic" w:eastAsia="Times New Roman" w:hAnsi="Traditional Arabic" w:cs="Traditional Arabic" w:hint="cs"/>
          <w:sz w:val="32"/>
          <w:szCs w:val="32"/>
          <w:rtl/>
        </w:rPr>
        <w:t>(</w:t>
      </w:r>
      <w:r w:rsidRPr="002A257A">
        <w:rPr>
          <w:rFonts w:ascii="Traditional Arabic" w:eastAsia="Times New Roman" w:hAnsi="Traditional Arabic" w:cs="Traditional Arabic"/>
          <w:sz w:val="32"/>
          <w:szCs w:val="32"/>
        </w:rPr>
        <w:t>Wu et al. 2021</w:t>
      </w:r>
      <w:r w:rsidRPr="002A257A">
        <w:rPr>
          <w:rFonts w:ascii="Traditional Arabic" w:eastAsia="Times New Roman" w:hAnsi="Traditional Arabic" w:cs="Traditional Arabic"/>
          <w:sz w:val="32"/>
          <w:szCs w:val="32"/>
          <w:rtl/>
        </w:rPr>
        <w:t xml:space="preserve">) نموذجا يوضح كيف يرتبط الاحتراق ايجابيا </w:t>
      </w:r>
      <w:r w:rsidRPr="002A257A">
        <w:rPr>
          <w:rFonts w:ascii="Traditional Arabic" w:eastAsia="Times New Roman" w:hAnsi="Traditional Arabic" w:cs="Traditional Arabic"/>
          <w:sz w:val="32"/>
          <w:szCs w:val="32"/>
          <w:rtl/>
        </w:rPr>
        <w:lastRenderedPageBreak/>
        <w:t>بالضغط وسلبيا بالدعم الاجتماعي والرضا، مع وجود وساطات متعددة. وعلى الرغم من ان هذه الدراسة ركزت على وساطة الدعم الاجتماعي والرضا بين الضغط والاحتراق، الا ان قيمتها النظرية تتمثل في اثبات ان العلاقات بين الضغوط والاحتراق لا تسير في خط مباشر، بل تمر عبر متغيرات تفسيرية تعكس موارد الفرد وخبرته المهنية. كما تقدم دراسة سيد (2016) طرحا عربيا يؤكد منطق الوساطة في العلاقات النفسية داخل بيئات عمل قريبة من السياقات ذات الحساسية المهنية، حيث ظهر دور الرضا كقناة تفسيرية بين الاحتراق وعلاقات الحياة الاسرية، بما يعزز فكرة ان المتغيرات النفسية لا تعمل بمعزل بل ضمن مسارات غير مباشرة.</w:t>
      </w:r>
    </w:p>
    <w:p w14:paraId="1A9A04DA" w14:textId="77777777" w:rsidR="004F4902" w:rsidRPr="002A257A" w:rsidRDefault="004F4902" w:rsidP="004F4902">
      <w:pPr>
        <w:bidi/>
        <w:spacing w:after="200" w:line="360" w:lineRule="auto"/>
        <w:rPr>
          <w:rFonts w:ascii="Traditional Arabic" w:eastAsia="Times New Roman" w:hAnsi="Traditional Arabic" w:cs="Traditional Arabic"/>
          <w:sz w:val="32"/>
          <w:szCs w:val="32"/>
          <w:rtl/>
        </w:rPr>
      </w:pPr>
    </w:p>
    <w:p w14:paraId="2295A1FB" w14:textId="7E192922" w:rsidR="006A233C" w:rsidRPr="004F4902" w:rsidRDefault="004519FD" w:rsidP="004F4902">
      <w:pPr>
        <w:bidi/>
        <w:spacing w:after="20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المطلب الخامس</w:t>
      </w:r>
      <w:r w:rsidR="004F4902" w:rsidRPr="004F4902">
        <w:rPr>
          <w:rFonts w:ascii="Traditional Arabic" w:eastAsia="Times New Roman" w:hAnsi="Traditional Arabic" w:cs="Traditional Arabic" w:hint="cs"/>
          <w:b/>
          <w:bCs/>
          <w:sz w:val="32"/>
          <w:szCs w:val="32"/>
          <w:rtl/>
        </w:rPr>
        <w:t>: أبعاد الاحتراق الوظيفي</w:t>
      </w:r>
    </w:p>
    <w:p w14:paraId="61559E21" w14:textId="264BF683" w:rsidR="004F4902" w:rsidRPr="004F4902" w:rsidRDefault="004F4902" w:rsidP="004519FD">
      <w:pPr>
        <w:bidi/>
        <w:spacing w:after="200" w:line="360" w:lineRule="auto"/>
        <w:jc w:val="both"/>
        <w:rPr>
          <w:rFonts w:ascii="Traditional Arabic" w:eastAsia="Times New Roman" w:hAnsi="Traditional Arabic" w:cs="Traditional Arabic"/>
          <w:sz w:val="32"/>
          <w:szCs w:val="32"/>
          <w:rtl/>
        </w:rPr>
      </w:pPr>
      <w:r w:rsidRPr="004F4902">
        <w:rPr>
          <w:rFonts w:ascii="Traditional Arabic" w:eastAsia="Times New Roman" w:hAnsi="Traditional Arabic" w:cs="Traditional Arabic"/>
          <w:sz w:val="32"/>
          <w:szCs w:val="32"/>
          <w:rtl/>
        </w:rPr>
        <w:t>لا يُنظر إلى الاحتراق الوظيفي بوصفه حالة نفسية عامة أو شعورًا عابرًا بالإجهاد، بل يُعد بناءً متعدد الأبعاد يعكس نمطًا معقدًا من الاستجابات الانفعالية والمعرفية والسلوكية الناتجة عن التعرض المزمن لضغوط العمل. وقد رسّخت الأدبيات الكلاسيكية والمعاصرة، وعلى رأسها أعمال</w:t>
      </w:r>
      <w:r w:rsidRPr="004F4902">
        <w:rPr>
          <w:rFonts w:ascii="Traditional Arabic" w:eastAsia="Times New Roman" w:hAnsi="Traditional Arabic" w:cs="Traditional Arabic"/>
          <w:sz w:val="32"/>
          <w:szCs w:val="32"/>
        </w:rPr>
        <w:t xml:space="preserve"> Maslach et al. (1996)</w:t>
      </w:r>
      <w:r w:rsidRPr="004F4902">
        <w:rPr>
          <w:rFonts w:ascii="Traditional Arabic" w:eastAsia="Times New Roman" w:hAnsi="Traditional Arabic" w:cs="Traditional Arabic"/>
          <w:sz w:val="32"/>
          <w:szCs w:val="32"/>
          <w:rtl/>
        </w:rPr>
        <w:t>، هذا المفهوم ضمن ثلاثة أبعاد رئيسة تتمثل في: الإجهاد العاطفي، وتبلد المشاعر، وتدني الإنجاز الشخصي، وهي الأبعاد التي تم اعتمادها على نطاق واسع في الدراسات التنظيمية والنفسية لقياس وفهم الاحتراق الوظيفي</w:t>
      </w:r>
      <w:r w:rsidRPr="004F4902">
        <w:rPr>
          <w:rFonts w:ascii="Traditional Arabic" w:eastAsia="Times New Roman" w:hAnsi="Traditional Arabic" w:cs="Traditional Arabic"/>
          <w:sz w:val="32"/>
          <w:szCs w:val="32"/>
        </w:rPr>
        <w:t>.</w:t>
      </w:r>
    </w:p>
    <w:p w14:paraId="1DBD68FA" w14:textId="0129D125" w:rsidR="004F4902" w:rsidRPr="004F4902" w:rsidRDefault="004F4902" w:rsidP="004F4902">
      <w:pPr>
        <w:pStyle w:val="a3"/>
        <w:numPr>
          <w:ilvl w:val="0"/>
          <w:numId w:val="5"/>
        </w:numPr>
        <w:bidi/>
        <w:spacing w:after="200" w:line="360" w:lineRule="auto"/>
        <w:jc w:val="both"/>
        <w:rPr>
          <w:rFonts w:ascii="Traditional Arabic" w:eastAsia="Times New Roman" w:hAnsi="Traditional Arabic" w:cs="Traditional Arabic"/>
          <w:b/>
          <w:bCs/>
          <w:sz w:val="32"/>
          <w:szCs w:val="32"/>
          <w:rtl/>
        </w:rPr>
      </w:pPr>
      <w:r w:rsidRPr="004F4902">
        <w:rPr>
          <w:rFonts w:ascii="Traditional Arabic" w:eastAsia="Times New Roman" w:hAnsi="Traditional Arabic" w:cs="Traditional Arabic"/>
          <w:b/>
          <w:bCs/>
          <w:sz w:val="32"/>
          <w:szCs w:val="32"/>
          <w:rtl/>
        </w:rPr>
        <w:t>أولًا: الإجهاد العاطفي</w:t>
      </w:r>
      <w:r w:rsidRPr="004F4902">
        <w:rPr>
          <w:rFonts w:ascii="Traditional Arabic" w:eastAsia="Times New Roman" w:hAnsi="Traditional Arabic" w:cs="Traditional Arabic"/>
          <w:b/>
          <w:bCs/>
          <w:sz w:val="32"/>
          <w:szCs w:val="32"/>
        </w:rPr>
        <w:t xml:space="preserve"> </w:t>
      </w:r>
    </w:p>
    <w:p w14:paraId="374E10CC" w14:textId="18FF5FB6" w:rsidR="004F4902" w:rsidRPr="004F4902" w:rsidRDefault="004F4902" w:rsidP="004F4902">
      <w:pPr>
        <w:bidi/>
        <w:spacing w:after="200" w:line="360" w:lineRule="auto"/>
        <w:jc w:val="both"/>
        <w:rPr>
          <w:rFonts w:ascii="Traditional Arabic" w:eastAsia="Times New Roman" w:hAnsi="Traditional Arabic" w:cs="Traditional Arabic"/>
          <w:sz w:val="32"/>
          <w:szCs w:val="32"/>
          <w:rtl/>
        </w:rPr>
      </w:pPr>
      <w:r w:rsidRPr="004F4902">
        <w:rPr>
          <w:rFonts w:ascii="Traditional Arabic" w:eastAsia="Times New Roman" w:hAnsi="Traditional Arabic" w:cs="Traditional Arabic"/>
          <w:sz w:val="32"/>
          <w:szCs w:val="32"/>
          <w:rtl/>
        </w:rPr>
        <w:t xml:space="preserve">يمثل الإجهاد العاطفي البعد الأكثر مركزية في الاحتراق الوظيفي، ويعكس حالة من الاستنزاف النفسي وفقدان الطاقة نتيجة التعرض المستمر لمطالب العمل المرتفعة. ويظهر هذا البعد في صورة شعور </w:t>
      </w:r>
      <w:r w:rsidRPr="004F4902">
        <w:rPr>
          <w:rFonts w:ascii="Traditional Arabic" w:eastAsia="Times New Roman" w:hAnsi="Traditional Arabic" w:cs="Traditional Arabic"/>
          <w:sz w:val="32"/>
          <w:szCs w:val="32"/>
          <w:rtl/>
        </w:rPr>
        <w:lastRenderedPageBreak/>
        <w:t xml:space="preserve">بالإرهاق، وانخفاض القدرة على التفاعل مع متطلبات العمل، وتراجع الحماس المهني. وتشير </w:t>
      </w:r>
      <w:r>
        <w:rPr>
          <w:rFonts w:ascii="Traditional Arabic" w:eastAsia="Times New Roman" w:hAnsi="Traditional Arabic" w:cs="Traditional Arabic"/>
          <w:sz w:val="32"/>
          <w:szCs w:val="32"/>
        </w:rPr>
        <w:t>Maslach &amp; Leiter</w:t>
      </w:r>
      <w:r>
        <w:rPr>
          <w:rFonts w:ascii="Traditional Arabic" w:eastAsia="Times New Roman" w:hAnsi="Traditional Arabic" w:cs="Traditional Arabic"/>
          <w:sz w:val="32"/>
          <w:szCs w:val="32"/>
          <w:lang w:bidi="ar-AE"/>
        </w:rPr>
        <w:t xml:space="preserve">, </w:t>
      </w:r>
      <w:r w:rsidRPr="004F4902">
        <w:rPr>
          <w:rFonts w:ascii="Traditional Arabic" w:eastAsia="Times New Roman" w:hAnsi="Traditional Arabic" w:cs="Traditional Arabic"/>
          <w:sz w:val="32"/>
          <w:szCs w:val="32"/>
        </w:rPr>
        <w:t>2016</w:t>
      </w:r>
      <w:r>
        <w:rPr>
          <w:rFonts w:ascii="Traditional Arabic" w:eastAsia="Times New Roman" w:hAnsi="Traditional Arabic" w:cs="Traditional Arabic"/>
          <w:sz w:val="32"/>
          <w:szCs w:val="32"/>
        </w:rPr>
        <w:t>)</w:t>
      </w:r>
      <w:r w:rsidRPr="004F4902">
        <w:rPr>
          <w:rFonts w:ascii="Traditional Arabic" w:eastAsia="Times New Roman" w:hAnsi="Traditional Arabic" w:cs="Traditional Arabic"/>
          <w:sz w:val="32"/>
          <w:szCs w:val="32"/>
          <w:rtl/>
        </w:rPr>
        <w:t>) إلى أن الإجهاد العاطفي يُعد المرحلة الأولى في تطور الاحتراق، حيث يبدأ الفرد في الشعور بعدم القدرة على الاستمرار بنفس المستوى من الأداء نتيجة استنزاف موارده النفسية.</w:t>
      </w:r>
    </w:p>
    <w:p w14:paraId="7EF19D3D" w14:textId="4B3CCE7D" w:rsidR="004F4902" w:rsidRPr="004F4902" w:rsidRDefault="004F4902" w:rsidP="004519FD">
      <w:pPr>
        <w:bidi/>
        <w:spacing w:after="200" w:line="360" w:lineRule="auto"/>
        <w:jc w:val="both"/>
        <w:rPr>
          <w:rFonts w:ascii="Traditional Arabic" w:eastAsia="Times New Roman" w:hAnsi="Traditional Arabic" w:cs="Traditional Arabic"/>
          <w:sz w:val="32"/>
          <w:szCs w:val="32"/>
          <w:rtl/>
          <w:lang w:bidi="ar-JO"/>
        </w:rPr>
      </w:pPr>
      <w:r w:rsidRPr="004F4902">
        <w:rPr>
          <w:rFonts w:ascii="Traditional Arabic" w:eastAsia="Times New Roman" w:hAnsi="Traditional Arabic" w:cs="Traditional Arabic"/>
          <w:sz w:val="32"/>
          <w:szCs w:val="32"/>
          <w:rtl/>
        </w:rPr>
        <w:t>كما تؤكد</w:t>
      </w:r>
      <w:r w:rsidRPr="004F4902">
        <w:rPr>
          <w:rFonts w:ascii="Traditional Arabic" w:eastAsia="Times New Roman" w:hAnsi="Traditional Arabic" w:cs="Traditional Arabic"/>
          <w:sz w:val="32"/>
          <w:szCs w:val="32"/>
        </w:rPr>
        <w:t xml:space="preserve"> Schaufeli &amp; Taris (2014) </w:t>
      </w:r>
      <w:r w:rsidRPr="004F4902">
        <w:rPr>
          <w:rFonts w:ascii="Traditional Arabic" w:eastAsia="Times New Roman" w:hAnsi="Traditional Arabic" w:cs="Traditional Arabic"/>
          <w:sz w:val="32"/>
          <w:szCs w:val="32"/>
          <w:rtl/>
        </w:rPr>
        <w:t>أن هذا البعد يرتبط بشكل مباشر بعدم التوازن بين متطلبات العمل</w:t>
      </w:r>
      <w:r w:rsidRPr="004F4902">
        <w:rPr>
          <w:rFonts w:ascii="Traditional Arabic" w:eastAsia="Times New Roman" w:hAnsi="Traditional Arabic" w:cs="Traditional Arabic"/>
          <w:sz w:val="32"/>
          <w:szCs w:val="32"/>
        </w:rPr>
        <w:t xml:space="preserve"> (Job Demands) </w:t>
      </w:r>
      <w:r w:rsidRPr="004F4902">
        <w:rPr>
          <w:rFonts w:ascii="Traditional Arabic" w:eastAsia="Times New Roman" w:hAnsi="Traditional Arabic" w:cs="Traditional Arabic"/>
          <w:sz w:val="32"/>
          <w:szCs w:val="32"/>
          <w:rtl/>
        </w:rPr>
        <w:t>والموارد المتاحة</w:t>
      </w:r>
      <w:r w:rsidRPr="004F4902">
        <w:rPr>
          <w:rFonts w:ascii="Traditional Arabic" w:eastAsia="Times New Roman" w:hAnsi="Traditional Arabic" w:cs="Traditional Arabic"/>
          <w:sz w:val="32"/>
          <w:szCs w:val="32"/>
        </w:rPr>
        <w:t xml:space="preserve"> (Job Resources)</w:t>
      </w:r>
      <w:r>
        <w:rPr>
          <w:rFonts w:ascii="Traditional Arabic" w:eastAsia="Times New Roman" w:hAnsi="Traditional Arabic" w:cs="Traditional Arabic"/>
          <w:sz w:val="32"/>
          <w:szCs w:val="32"/>
        </w:rPr>
        <w:t xml:space="preserve"> </w:t>
      </w:r>
      <w:r w:rsidRPr="004F4902">
        <w:rPr>
          <w:rFonts w:ascii="Traditional Arabic" w:eastAsia="Times New Roman" w:hAnsi="Traditional Arabic" w:cs="Traditional Arabic"/>
          <w:sz w:val="32"/>
          <w:szCs w:val="32"/>
          <w:rtl/>
        </w:rPr>
        <w:t>، حيث يؤدي ارتفاع المتطلبات دون دعم كافٍ إلى استنزاف تدريجي للطاقة الانفعالية، وهو ما يتسق مع نموذج</w:t>
      </w:r>
      <w:r w:rsidRPr="004F4902">
        <w:rPr>
          <w:rFonts w:ascii="Traditional Arabic" w:eastAsia="Times New Roman" w:hAnsi="Traditional Arabic" w:cs="Traditional Arabic"/>
          <w:sz w:val="32"/>
          <w:szCs w:val="32"/>
        </w:rPr>
        <w:t xml:space="preserve"> Job Demands–Resources (JD-R Model) </w:t>
      </w:r>
      <w:r w:rsidRPr="004F4902">
        <w:rPr>
          <w:rFonts w:ascii="Traditional Arabic" w:eastAsia="Times New Roman" w:hAnsi="Traditional Arabic" w:cs="Traditional Arabic"/>
          <w:sz w:val="32"/>
          <w:szCs w:val="32"/>
          <w:rtl/>
        </w:rPr>
        <w:t>الذي يُعد من أهم النماذج الحديثة في تفسير الاحتراق الوظيفي. وفي هذا السياق، فإن الإجهاد العاطفي لا يمثل مجرد نتيجة للضغط، بل مؤشرًا على فشل النظام التنظيمي في تحقيق التوازن بين العبء الوظيفي والموارد الداعمة</w:t>
      </w:r>
      <w:r w:rsidRPr="004F4902">
        <w:rPr>
          <w:rFonts w:ascii="Traditional Arabic" w:eastAsia="Times New Roman" w:hAnsi="Traditional Arabic" w:cs="Traditional Arabic"/>
          <w:sz w:val="32"/>
          <w:szCs w:val="32"/>
        </w:rPr>
        <w:t>.</w:t>
      </w:r>
    </w:p>
    <w:p w14:paraId="6E415AE2" w14:textId="7B0B6369" w:rsidR="004F4902" w:rsidRPr="004F4902" w:rsidRDefault="004F4902" w:rsidP="004F4902">
      <w:pPr>
        <w:pStyle w:val="a3"/>
        <w:numPr>
          <w:ilvl w:val="0"/>
          <w:numId w:val="5"/>
        </w:numPr>
        <w:bidi/>
        <w:spacing w:after="200" w:line="360" w:lineRule="auto"/>
        <w:jc w:val="both"/>
        <w:rPr>
          <w:rFonts w:ascii="Traditional Arabic" w:eastAsia="Times New Roman" w:hAnsi="Traditional Arabic" w:cs="Traditional Arabic"/>
          <w:b/>
          <w:bCs/>
          <w:sz w:val="32"/>
          <w:szCs w:val="32"/>
          <w:rtl/>
        </w:rPr>
      </w:pPr>
      <w:r w:rsidRPr="004F4902">
        <w:rPr>
          <w:rFonts w:ascii="Traditional Arabic" w:eastAsia="Times New Roman" w:hAnsi="Traditional Arabic" w:cs="Traditional Arabic"/>
          <w:b/>
          <w:bCs/>
          <w:sz w:val="32"/>
          <w:szCs w:val="32"/>
          <w:rtl/>
        </w:rPr>
        <w:t>ثانيًا: تبلد المشاعر</w:t>
      </w:r>
      <w:r w:rsidRPr="004F4902">
        <w:rPr>
          <w:rFonts w:ascii="Traditional Arabic" w:eastAsia="Times New Roman" w:hAnsi="Traditional Arabic" w:cs="Traditional Arabic"/>
          <w:b/>
          <w:bCs/>
          <w:sz w:val="32"/>
          <w:szCs w:val="32"/>
        </w:rPr>
        <w:t xml:space="preserve"> </w:t>
      </w:r>
    </w:p>
    <w:p w14:paraId="64D5291A" w14:textId="162A3528" w:rsidR="004F4902" w:rsidRPr="004F4902" w:rsidRDefault="004F4902" w:rsidP="004F4902">
      <w:pPr>
        <w:bidi/>
        <w:spacing w:after="200" w:line="360" w:lineRule="auto"/>
        <w:jc w:val="both"/>
        <w:rPr>
          <w:rFonts w:ascii="Traditional Arabic" w:eastAsia="Times New Roman" w:hAnsi="Traditional Arabic" w:cs="Traditional Arabic"/>
          <w:sz w:val="32"/>
          <w:szCs w:val="32"/>
          <w:rtl/>
        </w:rPr>
      </w:pPr>
      <w:r w:rsidRPr="004F4902">
        <w:rPr>
          <w:rFonts w:ascii="Traditional Arabic" w:eastAsia="Times New Roman" w:hAnsi="Traditional Arabic" w:cs="Traditional Arabic"/>
          <w:sz w:val="32"/>
          <w:szCs w:val="32"/>
          <w:rtl/>
        </w:rPr>
        <w:t>يُعد تبلد المشاعر البعد الثاني للاحتراق الوظيفي، ويعكس تحولًا في العلاقة بين الفرد وبيئة عمله، حيث يتبنى العامل اتجاهًا سلبيًا أو لا مباليًا تجاه الآخرين، ويتعامل معهم ببرود أو جفاء. ويُفسر هذا البعد بوصفه آلية دفاعية نفسية يلجأ إليها الفرد لتقليل تأثير الضغوط الانفعالية المستمرة، إلا أنه يؤدي في الوقت ذاته إلى تدهور جودة العلاقات المهنية</w:t>
      </w:r>
      <w:r w:rsidRPr="004F4902">
        <w:rPr>
          <w:rFonts w:ascii="Traditional Arabic" w:eastAsia="Times New Roman" w:hAnsi="Traditional Arabic" w:cs="Traditional Arabic"/>
          <w:sz w:val="32"/>
          <w:szCs w:val="32"/>
        </w:rPr>
        <w:t>.</w:t>
      </w:r>
    </w:p>
    <w:p w14:paraId="0FD5A2ED" w14:textId="6C460D14" w:rsidR="004F4902" w:rsidRPr="004F4902" w:rsidRDefault="004F4902" w:rsidP="004F4902">
      <w:pPr>
        <w:bidi/>
        <w:spacing w:after="200" w:line="360" w:lineRule="auto"/>
        <w:jc w:val="both"/>
        <w:rPr>
          <w:rFonts w:ascii="Traditional Arabic" w:eastAsia="Times New Roman" w:hAnsi="Traditional Arabic" w:cs="Traditional Arabic"/>
          <w:sz w:val="32"/>
          <w:szCs w:val="32"/>
          <w:rtl/>
        </w:rPr>
      </w:pPr>
      <w:r w:rsidRPr="004F4902">
        <w:rPr>
          <w:rFonts w:ascii="Traditional Arabic" w:eastAsia="Times New Roman" w:hAnsi="Traditional Arabic" w:cs="Traditional Arabic"/>
          <w:sz w:val="32"/>
          <w:szCs w:val="32"/>
          <w:rtl/>
        </w:rPr>
        <w:t>وتشير</w:t>
      </w:r>
      <w:r w:rsidRPr="004F4902">
        <w:rPr>
          <w:rFonts w:ascii="Traditional Arabic" w:eastAsia="Times New Roman" w:hAnsi="Traditional Arabic" w:cs="Traditional Arabic"/>
          <w:sz w:val="32"/>
          <w:szCs w:val="32"/>
        </w:rPr>
        <w:t xml:space="preserve"> Leiter &amp; Maslach (2005) </w:t>
      </w:r>
      <w:r w:rsidRPr="004F4902">
        <w:rPr>
          <w:rFonts w:ascii="Traditional Arabic" w:eastAsia="Times New Roman" w:hAnsi="Traditional Arabic" w:cs="Traditional Arabic"/>
          <w:sz w:val="32"/>
          <w:szCs w:val="32"/>
          <w:rtl/>
        </w:rPr>
        <w:t>إلى أن تبلد المشاعر يُمثل استجابة انسحابية معرفية وانفعالية، حيث يحاول الفرد تقليل التفاعل مع مصادر الضغط عبر خلق مسافة نفسية بينها وبينه. كما يربط</w:t>
      </w:r>
      <w:r w:rsidRPr="004F4902">
        <w:rPr>
          <w:rFonts w:ascii="Traditional Arabic" w:eastAsia="Times New Roman" w:hAnsi="Traditional Arabic" w:cs="Traditional Arabic"/>
          <w:sz w:val="32"/>
          <w:szCs w:val="32"/>
        </w:rPr>
        <w:t xml:space="preserve"> Bakker &amp; Demerouti (2017) </w:t>
      </w:r>
      <w:r w:rsidRPr="004F4902">
        <w:rPr>
          <w:rFonts w:ascii="Traditional Arabic" w:eastAsia="Times New Roman" w:hAnsi="Traditional Arabic" w:cs="Traditional Arabic"/>
          <w:sz w:val="32"/>
          <w:szCs w:val="32"/>
          <w:rtl/>
        </w:rPr>
        <w:t xml:space="preserve">هذا البعد بضعف الموارد الاجتماعية داخل المنظمة، </w:t>
      </w:r>
      <w:r w:rsidRPr="004F4902">
        <w:rPr>
          <w:rFonts w:ascii="Traditional Arabic" w:eastAsia="Times New Roman" w:hAnsi="Traditional Arabic" w:cs="Traditional Arabic"/>
          <w:sz w:val="32"/>
          <w:szCs w:val="32"/>
          <w:rtl/>
        </w:rPr>
        <w:lastRenderedPageBreak/>
        <w:t>مثل غياب الدعم الزملائي أو ضعف القيادة، مما يدفع العاملين إلى تبني أنماط تفاعل سلبية كوسيلة للتكيف</w:t>
      </w:r>
      <w:r w:rsidRPr="004F4902">
        <w:rPr>
          <w:rFonts w:ascii="Traditional Arabic" w:eastAsia="Times New Roman" w:hAnsi="Traditional Arabic" w:cs="Traditional Arabic"/>
          <w:sz w:val="32"/>
          <w:szCs w:val="32"/>
        </w:rPr>
        <w:t>.</w:t>
      </w:r>
    </w:p>
    <w:p w14:paraId="290D273D" w14:textId="76CA7583" w:rsidR="004F4902" w:rsidRPr="004F4902" w:rsidRDefault="004F4902" w:rsidP="004519FD">
      <w:pPr>
        <w:bidi/>
        <w:spacing w:after="200" w:line="360" w:lineRule="auto"/>
        <w:jc w:val="both"/>
        <w:rPr>
          <w:rFonts w:ascii="Traditional Arabic" w:eastAsia="Times New Roman" w:hAnsi="Traditional Arabic" w:cs="Traditional Arabic"/>
          <w:sz w:val="32"/>
          <w:szCs w:val="32"/>
          <w:rtl/>
        </w:rPr>
      </w:pPr>
      <w:r w:rsidRPr="004F4902">
        <w:rPr>
          <w:rFonts w:ascii="Traditional Arabic" w:eastAsia="Times New Roman" w:hAnsi="Traditional Arabic" w:cs="Traditional Arabic"/>
          <w:sz w:val="32"/>
          <w:szCs w:val="32"/>
          <w:rtl/>
        </w:rPr>
        <w:t>وفي البيئات التي تتطلب تفاعلًا إنسانيًا مباشرًا، مثل البيئة القضائية، يكتسب هذا البعد أهمية خاصة، إذ قد يؤدي تبلد المشاعر إلى ضعف جودة الخدمة، وتراجع الحس الإنساني في التعامل مع القضايا، وهو ما ينعكس سلبًا على فعالية الأداء المؤسسي</w:t>
      </w:r>
      <w:r w:rsidRPr="004F4902">
        <w:rPr>
          <w:rFonts w:ascii="Traditional Arabic" w:eastAsia="Times New Roman" w:hAnsi="Traditional Arabic" w:cs="Traditional Arabic"/>
          <w:sz w:val="32"/>
          <w:szCs w:val="32"/>
        </w:rPr>
        <w:t>.</w:t>
      </w:r>
    </w:p>
    <w:p w14:paraId="3F9A99A6" w14:textId="764090FA" w:rsidR="004F4902" w:rsidRPr="004F4902" w:rsidRDefault="004F4902" w:rsidP="004F4902">
      <w:pPr>
        <w:pStyle w:val="a3"/>
        <w:numPr>
          <w:ilvl w:val="0"/>
          <w:numId w:val="5"/>
        </w:numPr>
        <w:bidi/>
        <w:spacing w:after="200" w:line="360" w:lineRule="auto"/>
        <w:jc w:val="both"/>
        <w:rPr>
          <w:rFonts w:ascii="Traditional Arabic" w:eastAsia="Times New Roman" w:hAnsi="Traditional Arabic" w:cs="Traditional Arabic"/>
          <w:b/>
          <w:bCs/>
          <w:sz w:val="32"/>
          <w:szCs w:val="32"/>
          <w:rtl/>
        </w:rPr>
      </w:pPr>
      <w:r w:rsidRPr="004F4902">
        <w:rPr>
          <w:rFonts w:ascii="Traditional Arabic" w:eastAsia="Times New Roman" w:hAnsi="Traditional Arabic" w:cs="Traditional Arabic"/>
          <w:b/>
          <w:bCs/>
          <w:sz w:val="32"/>
          <w:szCs w:val="32"/>
          <w:rtl/>
        </w:rPr>
        <w:t>ثالثًا: تدني الإنجاز الشخصي</w:t>
      </w:r>
      <w:r w:rsidRPr="004F4902">
        <w:rPr>
          <w:rFonts w:ascii="Traditional Arabic" w:eastAsia="Times New Roman" w:hAnsi="Traditional Arabic" w:cs="Traditional Arabic"/>
          <w:b/>
          <w:bCs/>
          <w:sz w:val="32"/>
          <w:szCs w:val="32"/>
        </w:rPr>
        <w:t xml:space="preserve"> </w:t>
      </w:r>
    </w:p>
    <w:p w14:paraId="48A0B3CF" w14:textId="500B1634" w:rsidR="004F4902" w:rsidRPr="004F4902" w:rsidRDefault="004F4902" w:rsidP="004519FD">
      <w:pPr>
        <w:bidi/>
        <w:spacing w:after="200" w:line="360" w:lineRule="auto"/>
        <w:jc w:val="both"/>
        <w:rPr>
          <w:rFonts w:ascii="Traditional Arabic" w:eastAsia="Times New Roman" w:hAnsi="Traditional Arabic" w:cs="Traditional Arabic"/>
          <w:sz w:val="32"/>
          <w:szCs w:val="32"/>
          <w:rtl/>
        </w:rPr>
      </w:pPr>
      <w:r w:rsidRPr="004F4902">
        <w:rPr>
          <w:rFonts w:ascii="Traditional Arabic" w:eastAsia="Times New Roman" w:hAnsi="Traditional Arabic" w:cs="Traditional Arabic"/>
          <w:sz w:val="32"/>
          <w:szCs w:val="32"/>
          <w:rtl/>
        </w:rPr>
        <w:t>يشير هذا البعد إلى شعور الفرد بعدم الكفاءة المهنية وانخفاض الإحساس بالإنجاز أو التأثير في العمل. ويظهر في صورة تقييم سلبي للذات المهنية، وفقدان الثقة بالقدرات، والشعور بعدم القدرة على تحقيق نتائج ذات قيمة. وتوضح</w:t>
      </w:r>
      <w:r w:rsidRPr="004F4902">
        <w:rPr>
          <w:rFonts w:ascii="Traditional Arabic" w:eastAsia="Times New Roman" w:hAnsi="Traditional Arabic" w:cs="Traditional Arabic"/>
          <w:sz w:val="32"/>
          <w:szCs w:val="32"/>
        </w:rPr>
        <w:t xml:space="preserve"> Maslach et al. (2001) </w:t>
      </w:r>
      <w:r w:rsidRPr="004F4902">
        <w:rPr>
          <w:rFonts w:ascii="Traditional Arabic" w:eastAsia="Times New Roman" w:hAnsi="Traditional Arabic" w:cs="Traditional Arabic"/>
          <w:sz w:val="32"/>
          <w:szCs w:val="32"/>
          <w:rtl/>
        </w:rPr>
        <w:t>أن هذا البعد يرتبط بالجانب التقييمي للذات، حيث يعكس إدراك الفرد لمدى نجاحه في أداء مهامه وتحقيق أهدافه المهنية</w:t>
      </w:r>
      <w:r w:rsidRPr="004F4902">
        <w:rPr>
          <w:rFonts w:ascii="Traditional Arabic" w:eastAsia="Times New Roman" w:hAnsi="Traditional Arabic" w:cs="Traditional Arabic"/>
          <w:sz w:val="32"/>
          <w:szCs w:val="32"/>
        </w:rPr>
        <w:t>.</w:t>
      </w:r>
    </w:p>
    <w:p w14:paraId="3255375C" w14:textId="545FAD38" w:rsidR="004F4902" w:rsidRPr="004F4902" w:rsidRDefault="004F4902" w:rsidP="004519FD">
      <w:pPr>
        <w:bidi/>
        <w:spacing w:after="200" w:line="360" w:lineRule="auto"/>
        <w:jc w:val="both"/>
        <w:rPr>
          <w:rFonts w:ascii="Traditional Arabic" w:eastAsia="Times New Roman" w:hAnsi="Traditional Arabic" w:cs="Traditional Arabic"/>
          <w:sz w:val="32"/>
          <w:szCs w:val="32"/>
          <w:rtl/>
        </w:rPr>
      </w:pPr>
      <w:r w:rsidRPr="004F4902">
        <w:rPr>
          <w:rFonts w:ascii="Traditional Arabic" w:eastAsia="Times New Roman" w:hAnsi="Traditional Arabic" w:cs="Traditional Arabic"/>
          <w:sz w:val="32"/>
          <w:szCs w:val="32"/>
          <w:rtl/>
        </w:rPr>
        <w:t>كما تشير</w:t>
      </w:r>
      <w:r w:rsidRPr="004F4902">
        <w:rPr>
          <w:rFonts w:ascii="Traditional Arabic" w:eastAsia="Times New Roman" w:hAnsi="Traditional Arabic" w:cs="Traditional Arabic"/>
          <w:sz w:val="32"/>
          <w:szCs w:val="32"/>
        </w:rPr>
        <w:t xml:space="preserve"> Cordes &amp; Dougherty (1993) </w:t>
      </w:r>
      <w:r w:rsidRPr="004F4902">
        <w:rPr>
          <w:rFonts w:ascii="Traditional Arabic" w:eastAsia="Times New Roman" w:hAnsi="Traditional Arabic" w:cs="Traditional Arabic"/>
          <w:sz w:val="32"/>
          <w:szCs w:val="32"/>
          <w:rtl/>
        </w:rPr>
        <w:t>إلى أن تدني الإنجاز الشخصي يُعد نتيجة تراكمية للإجهاد العاطفي وتبلد المشاعر، حيث يؤدي الاستنزاف المستمر إلى تقويض الشعور بالكفاءة، ومن ثم انخفاض الرضا الوظيفي والدافعية. ويعزز هذا الطرح ما توصلت إليه دراسات حديثة مثل</w:t>
      </w:r>
      <w:r w:rsidRPr="004F4902">
        <w:rPr>
          <w:rFonts w:ascii="Traditional Arabic" w:eastAsia="Times New Roman" w:hAnsi="Traditional Arabic" w:cs="Traditional Arabic"/>
          <w:sz w:val="32"/>
          <w:szCs w:val="32"/>
        </w:rPr>
        <w:t xml:space="preserve"> Salvagioni et al. (2017) </w:t>
      </w:r>
      <w:r w:rsidRPr="004F4902">
        <w:rPr>
          <w:rFonts w:ascii="Traditional Arabic" w:eastAsia="Times New Roman" w:hAnsi="Traditional Arabic" w:cs="Traditional Arabic"/>
          <w:sz w:val="32"/>
          <w:szCs w:val="32"/>
          <w:rtl/>
        </w:rPr>
        <w:t>التي أكدت أن انخفاض الشعور بالإنجاز يمثل أحد أقوى المؤشرات المرتبطة بنتائج سلبية مثل ضعف الأداء وارتفاع نية ترك العمل</w:t>
      </w:r>
      <w:r w:rsidRPr="004F4902">
        <w:rPr>
          <w:rFonts w:ascii="Traditional Arabic" w:eastAsia="Times New Roman" w:hAnsi="Traditional Arabic" w:cs="Traditional Arabic"/>
          <w:sz w:val="32"/>
          <w:szCs w:val="32"/>
        </w:rPr>
        <w:t>.</w:t>
      </w:r>
    </w:p>
    <w:p w14:paraId="5F4B4414" w14:textId="7FED690A" w:rsidR="004F4902" w:rsidRPr="004F4902" w:rsidRDefault="004F4902" w:rsidP="004F4902">
      <w:pPr>
        <w:pStyle w:val="a3"/>
        <w:numPr>
          <w:ilvl w:val="0"/>
          <w:numId w:val="5"/>
        </w:numPr>
        <w:bidi/>
        <w:spacing w:after="200" w:line="360" w:lineRule="auto"/>
        <w:jc w:val="both"/>
        <w:rPr>
          <w:rFonts w:ascii="Traditional Arabic" w:eastAsia="Times New Roman" w:hAnsi="Traditional Arabic" w:cs="Traditional Arabic"/>
          <w:b/>
          <w:bCs/>
          <w:sz w:val="32"/>
          <w:szCs w:val="32"/>
          <w:rtl/>
        </w:rPr>
      </w:pPr>
      <w:r w:rsidRPr="004F4902">
        <w:rPr>
          <w:rFonts w:ascii="Traditional Arabic" w:eastAsia="Times New Roman" w:hAnsi="Traditional Arabic" w:cs="Traditional Arabic"/>
          <w:b/>
          <w:bCs/>
          <w:sz w:val="32"/>
          <w:szCs w:val="32"/>
          <w:rtl/>
        </w:rPr>
        <w:t>التكامل الديناميكي بين الأبعاد الثلاثة</w:t>
      </w:r>
    </w:p>
    <w:p w14:paraId="6D65A7A9" w14:textId="51E3A908" w:rsidR="004F4902" w:rsidRPr="004F4902" w:rsidRDefault="004F4902" w:rsidP="004F4902">
      <w:pPr>
        <w:bidi/>
        <w:spacing w:after="200" w:line="360" w:lineRule="auto"/>
        <w:jc w:val="both"/>
        <w:rPr>
          <w:rFonts w:ascii="Traditional Arabic" w:eastAsia="Times New Roman" w:hAnsi="Traditional Arabic" w:cs="Traditional Arabic"/>
          <w:sz w:val="32"/>
          <w:szCs w:val="32"/>
          <w:rtl/>
        </w:rPr>
      </w:pPr>
      <w:r w:rsidRPr="004F4902">
        <w:rPr>
          <w:rFonts w:ascii="Traditional Arabic" w:eastAsia="Times New Roman" w:hAnsi="Traditional Arabic" w:cs="Traditional Arabic"/>
          <w:sz w:val="32"/>
          <w:szCs w:val="32"/>
          <w:rtl/>
        </w:rPr>
        <w:t xml:space="preserve">لا تعمل هذه الأبعاد بمعزل عن بعضها، بل تتفاعل ضمن مسار ديناميكي يعكس الطبيعة التراكمية للاحتراق الوظيفي. حيث يبدأ الاحتراق غالبًا بالإجهاد العاطفي نتيجة الضغوط المستمرة، ثم يتطور إلى </w:t>
      </w:r>
      <w:r w:rsidRPr="004F4902">
        <w:rPr>
          <w:rFonts w:ascii="Traditional Arabic" w:eastAsia="Times New Roman" w:hAnsi="Traditional Arabic" w:cs="Traditional Arabic"/>
          <w:sz w:val="32"/>
          <w:szCs w:val="32"/>
          <w:rtl/>
        </w:rPr>
        <w:lastRenderedPageBreak/>
        <w:t>تبلد في المشاعر كآلية دفاعية، لينتهي بانخفاض الشعور بالإنجاز الشخصي</w:t>
      </w:r>
      <w:r w:rsidRPr="004F4902">
        <w:rPr>
          <w:rFonts w:ascii="Traditional Arabic" w:eastAsia="Times New Roman" w:hAnsi="Traditional Arabic" w:cs="Traditional Arabic"/>
          <w:sz w:val="32"/>
          <w:szCs w:val="32"/>
        </w:rPr>
        <w:t xml:space="preserve"> (Maslach et al., 1996). </w:t>
      </w:r>
      <w:r w:rsidRPr="004F4902">
        <w:rPr>
          <w:rFonts w:ascii="Traditional Arabic" w:eastAsia="Times New Roman" w:hAnsi="Traditional Arabic" w:cs="Traditional Arabic"/>
          <w:sz w:val="32"/>
          <w:szCs w:val="32"/>
          <w:rtl/>
        </w:rPr>
        <w:t>ويؤكد هذا التسلسل أن الاحتراق ليس حدثًا مفاجئًا، بل عملية تدريجية تتشكل عبر الزمن في ظل غياب استراتيجيات مواجهة فعالة أو موارد تنظيمية كافية</w:t>
      </w:r>
      <w:r w:rsidRPr="004F4902">
        <w:rPr>
          <w:rFonts w:ascii="Traditional Arabic" w:eastAsia="Times New Roman" w:hAnsi="Traditional Arabic" w:cs="Traditional Arabic"/>
          <w:sz w:val="32"/>
          <w:szCs w:val="32"/>
        </w:rPr>
        <w:t>.</w:t>
      </w:r>
    </w:p>
    <w:p w14:paraId="02A2DF76" w14:textId="77777777" w:rsidR="004F4902" w:rsidRDefault="004F4902" w:rsidP="004F4902">
      <w:pPr>
        <w:bidi/>
        <w:spacing w:after="200" w:line="360" w:lineRule="auto"/>
        <w:jc w:val="both"/>
        <w:rPr>
          <w:rFonts w:ascii="Traditional Arabic" w:eastAsia="Times New Roman" w:hAnsi="Traditional Arabic" w:cs="Traditional Arabic"/>
          <w:sz w:val="32"/>
          <w:szCs w:val="32"/>
        </w:rPr>
      </w:pPr>
      <w:r w:rsidRPr="004F4902">
        <w:rPr>
          <w:rFonts w:ascii="Traditional Arabic" w:eastAsia="Times New Roman" w:hAnsi="Traditional Arabic" w:cs="Traditional Arabic"/>
          <w:sz w:val="32"/>
          <w:szCs w:val="32"/>
          <w:rtl/>
        </w:rPr>
        <w:t>وفي هذا الإطار، يشير</w:t>
      </w:r>
      <w:r w:rsidRPr="004F4902">
        <w:rPr>
          <w:rFonts w:ascii="Traditional Arabic" w:eastAsia="Times New Roman" w:hAnsi="Traditional Arabic" w:cs="Traditional Arabic"/>
          <w:sz w:val="32"/>
          <w:szCs w:val="32"/>
        </w:rPr>
        <w:t xml:space="preserve"> Hobfoll (1989) </w:t>
      </w:r>
      <w:r w:rsidRPr="004F4902">
        <w:rPr>
          <w:rFonts w:ascii="Traditional Arabic" w:eastAsia="Times New Roman" w:hAnsi="Traditional Arabic" w:cs="Traditional Arabic"/>
          <w:sz w:val="32"/>
          <w:szCs w:val="32"/>
          <w:rtl/>
        </w:rPr>
        <w:t>في نظرية حفظ الموارد (</w:t>
      </w:r>
      <w:r w:rsidRPr="004F4902">
        <w:rPr>
          <w:rFonts w:ascii="Traditional Arabic" w:eastAsia="Times New Roman" w:hAnsi="Traditional Arabic" w:cs="Traditional Arabic"/>
          <w:sz w:val="32"/>
          <w:szCs w:val="32"/>
        </w:rPr>
        <w:t>Conservation of Resources Theory</w:t>
      </w:r>
      <w:r w:rsidRPr="004F4902">
        <w:rPr>
          <w:rFonts w:ascii="Traditional Arabic" w:eastAsia="Times New Roman" w:hAnsi="Traditional Arabic" w:cs="Traditional Arabic"/>
          <w:sz w:val="32"/>
          <w:szCs w:val="32"/>
          <w:rtl/>
        </w:rPr>
        <w:t>) إلى أن الأفراد يسعون للحفاظ على مواردهم النفسية والاجتماعية، وعندما تتعرض هذه الموارد للاستنزاف دون تعويض، يظهر الاحتراق بوصفه نتيجة طبيعية لفقدان الموارد. وهو ما يفسر لماذا تختلف مستويات الاحتراق بين الأفراد رغم تعرضهم لنفس الضغوط، تبعًا لاختلاف مواردهم واستراتيجيات مواجهتهم</w:t>
      </w:r>
      <w:r w:rsidRPr="004F4902">
        <w:rPr>
          <w:rFonts w:ascii="Traditional Arabic" w:eastAsia="Times New Roman" w:hAnsi="Traditional Arabic" w:cs="Traditional Arabic"/>
          <w:sz w:val="32"/>
          <w:szCs w:val="32"/>
        </w:rPr>
        <w:t>.</w:t>
      </w:r>
    </w:p>
    <w:p w14:paraId="2262DE21" w14:textId="3D63741B" w:rsidR="004F4902" w:rsidRPr="004F4902" w:rsidRDefault="004F4902" w:rsidP="004F4902">
      <w:pPr>
        <w:bidi/>
        <w:spacing w:after="200" w:line="360" w:lineRule="auto"/>
        <w:jc w:val="both"/>
        <w:rPr>
          <w:rFonts w:ascii="Traditional Arabic" w:eastAsia="Times New Roman" w:hAnsi="Traditional Arabic" w:cs="Traditional Arabic"/>
          <w:sz w:val="32"/>
          <w:szCs w:val="32"/>
          <w:rtl/>
        </w:rPr>
      </w:pPr>
      <w:r w:rsidRPr="004F4902">
        <w:rPr>
          <w:rFonts w:ascii="Traditional Arabic" w:eastAsia="Times New Roman" w:hAnsi="Traditional Arabic" w:cs="Traditional Arabic"/>
          <w:sz w:val="32"/>
          <w:szCs w:val="32"/>
          <w:rtl/>
        </w:rPr>
        <w:t>في ضوء ما سبق، يتضح أن أبعاد الاحتراق الوظيفي تمثل آلية تفسيرية رئيسة لفهم العلاقة بين ضغوط العمل والرضا الوظيفي، حيث يعكس الإجهاد العاطفي حجم الاستنزاف الناتج عن الضغوط، بينما يعكس تبلد المشاعر نمط التكيف السلبي، في حين يجسد تدني الإنجاز الشخصي الأثر النهائي على تقييم الفرد لخبرته المهنية. ومن ثم، فإن إدراج الاحتراق الوظيفي كمتغير وسيط في هذه الدراسة يُعد اختيارًا نظريًا مبررًا، إذ يسمح بتفسير الكيفية التي تنتقل بها آثار ضغوط العمل واستراتيجيات مواجهتها إلى مستوى الرضا الوظيفي لدى العاملين في البيئة القضائية.</w:t>
      </w:r>
    </w:p>
    <w:p w14:paraId="777C115E" w14:textId="77777777" w:rsidR="004F4902" w:rsidRDefault="004F4902" w:rsidP="004F4902">
      <w:pPr>
        <w:bidi/>
        <w:spacing w:after="200" w:line="360" w:lineRule="auto"/>
        <w:rPr>
          <w:rFonts w:ascii="Traditional Arabic" w:eastAsia="Times New Roman" w:hAnsi="Traditional Arabic" w:cs="Traditional Arabic"/>
          <w:sz w:val="32"/>
          <w:szCs w:val="32"/>
          <w:rtl/>
          <w:lang w:bidi="ar-AE"/>
        </w:rPr>
      </w:pPr>
    </w:p>
    <w:p w14:paraId="75851F7F" w14:textId="77777777" w:rsidR="004519FD" w:rsidRDefault="004519FD" w:rsidP="004519FD">
      <w:pPr>
        <w:bidi/>
        <w:spacing w:after="200" w:line="360" w:lineRule="auto"/>
        <w:rPr>
          <w:rFonts w:ascii="Traditional Arabic" w:eastAsia="Times New Roman" w:hAnsi="Traditional Arabic" w:cs="Traditional Arabic"/>
          <w:sz w:val="32"/>
          <w:szCs w:val="32"/>
          <w:rtl/>
          <w:lang w:bidi="ar-AE"/>
        </w:rPr>
      </w:pPr>
    </w:p>
    <w:p w14:paraId="0F164965" w14:textId="77777777" w:rsidR="004519FD" w:rsidRDefault="004519FD" w:rsidP="004519FD">
      <w:pPr>
        <w:bidi/>
        <w:spacing w:after="200" w:line="360" w:lineRule="auto"/>
        <w:rPr>
          <w:rFonts w:ascii="Traditional Arabic" w:eastAsia="Times New Roman" w:hAnsi="Traditional Arabic" w:cs="Traditional Arabic"/>
          <w:sz w:val="32"/>
          <w:szCs w:val="32"/>
          <w:rtl/>
          <w:lang w:bidi="ar-AE"/>
        </w:rPr>
      </w:pPr>
    </w:p>
    <w:p w14:paraId="650A5DB6" w14:textId="77777777" w:rsidR="004519FD" w:rsidRPr="002A257A" w:rsidRDefault="004519FD" w:rsidP="004519FD">
      <w:pPr>
        <w:bidi/>
        <w:spacing w:after="200" w:line="360" w:lineRule="auto"/>
        <w:rPr>
          <w:rFonts w:ascii="Traditional Arabic" w:eastAsia="Times New Roman" w:hAnsi="Traditional Arabic" w:cs="Traditional Arabic"/>
          <w:sz w:val="32"/>
          <w:szCs w:val="32"/>
          <w:rtl/>
          <w:lang w:bidi="ar-AE"/>
        </w:rPr>
      </w:pPr>
    </w:p>
    <w:p w14:paraId="126279C0" w14:textId="77777777" w:rsidR="00AB632A" w:rsidRPr="002A257A" w:rsidRDefault="00AB632A" w:rsidP="00AB632A">
      <w:pPr>
        <w:bidi/>
        <w:spacing w:after="200" w:line="360" w:lineRule="auto"/>
        <w:rPr>
          <w:rFonts w:ascii="Traditional Arabic" w:eastAsia="Times New Roman" w:hAnsi="Traditional Arabic" w:cs="Traditional Arabic"/>
          <w:b/>
          <w:bCs/>
          <w:sz w:val="36"/>
          <w:szCs w:val="36"/>
        </w:rPr>
      </w:pPr>
      <w:r w:rsidRPr="002A257A">
        <w:rPr>
          <w:rFonts w:ascii="Traditional Arabic" w:eastAsia="Times New Roman" w:hAnsi="Traditional Arabic" w:cs="Traditional Arabic"/>
          <w:b/>
          <w:bCs/>
          <w:sz w:val="36"/>
          <w:szCs w:val="36"/>
          <w:rtl/>
        </w:rPr>
        <w:lastRenderedPageBreak/>
        <w:t>المبحث الثالث: الرضا الوظيفي</w:t>
      </w:r>
    </w:p>
    <w:p w14:paraId="66E58886" w14:textId="77777777" w:rsidR="00AB632A" w:rsidRPr="002A257A" w:rsidRDefault="00AB632A" w:rsidP="00AB632A">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الاول: مفهوم الرضا الوظيفي واسسه النظرية</w:t>
      </w:r>
    </w:p>
    <w:p w14:paraId="62228914" w14:textId="77777777" w:rsidR="006A233C" w:rsidRPr="002A257A" w:rsidRDefault="006A233C" w:rsidP="002A257A">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يعد الرضا الوظيفي من اكثر المتغيرات استخداما في تفسير استقرار العاملين وجودة حياتهم المهنية، ويعبر عن تقييم الفرد لخبرته في العمل من حيث اشباع الاحتياجات وتوافق الظروف مع التوقعات. وتوفر ادلة القياس المقننة اساسا لبناء مفهوم الرضا وقياسه بصورة معيارية، ويعد دليل </w:t>
      </w:r>
      <w:proofErr w:type="gramStart"/>
      <w:r w:rsidRPr="002A257A">
        <w:rPr>
          <w:rFonts w:ascii="Traditional Arabic" w:eastAsia="Times New Roman" w:hAnsi="Traditional Arabic" w:cs="Traditional Arabic"/>
          <w:sz w:val="32"/>
          <w:szCs w:val="32"/>
          <w:rtl/>
        </w:rPr>
        <w:t>استبيان</w:t>
      </w:r>
      <w:proofErr w:type="gramEnd"/>
      <w:r w:rsidRPr="002A257A">
        <w:rPr>
          <w:rFonts w:ascii="Traditional Arabic" w:eastAsia="Times New Roman" w:hAnsi="Traditional Arabic" w:cs="Traditional Arabic"/>
          <w:sz w:val="32"/>
          <w:szCs w:val="32"/>
          <w:rtl/>
        </w:rPr>
        <w:t xml:space="preserve"> مينيسوتا للرضا من المرجعيات الاساسية في تحديد الرضا عبر مكوناته المختلفة وابعاده الداخلية والخارجية (</w:t>
      </w:r>
      <w:r w:rsidRPr="002A257A">
        <w:rPr>
          <w:rFonts w:ascii="Traditional Arabic" w:eastAsia="Times New Roman" w:hAnsi="Traditional Arabic" w:cs="Traditional Arabic"/>
          <w:sz w:val="32"/>
          <w:szCs w:val="32"/>
        </w:rPr>
        <w:t>Weiss et al., 1967</w:t>
      </w:r>
      <w:r w:rsidRPr="002A257A">
        <w:rPr>
          <w:rFonts w:ascii="Traditional Arabic" w:eastAsia="Times New Roman" w:hAnsi="Traditional Arabic" w:cs="Traditional Arabic"/>
          <w:sz w:val="32"/>
          <w:szCs w:val="32"/>
          <w:rtl/>
        </w:rPr>
        <w:t xml:space="preserve">). ومن منظور السلوك التنظيمي، يتشكل الرضا داخل بنية </w:t>
      </w:r>
      <w:proofErr w:type="gramStart"/>
      <w:r w:rsidRPr="002A257A">
        <w:rPr>
          <w:rFonts w:ascii="Traditional Arabic" w:eastAsia="Times New Roman" w:hAnsi="Traditional Arabic" w:cs="Traditional Arabic"/>
          <w:sz w:val="32"/>
          <w:szCs w:val="32"/>
          <w:rtl/>
        </w:rPr>
        <w:t>اكبر</w:t>
      </w:r>
      <w:proofErr w:type="gramEnd"/>
      <w:r w:rsidRPr="002A257A">
        <w:rPr>
          <w:rFonts w:ascii="Traditional Arabic" w:eastAsia="Times New Roman" w:hAnsi="Traditional Arabic" w:cs="Traditional Arabic"/>
          <w:sz w:val="32"/>
          <w:szCs w:val="32"/>
          <w:rtl/>
        </w:rPr>
        <w:t xml:space="preserve"> من العلاقات المهنية والعدالة والاتصال والدعم والموارد، وهو ما يجعل الرضا مؤشرا مركبا يتأثر بمصادر متعددة داخل المنظمة (</w:t>
      </w:r>
      <w:r w:rsidRPr="002A257A">
        <w:rPr>
          <w:rFonts w:ascii="Traditional Arabic" w:eastAsia="Times New Roman" w:hAnsi="Traditional Arabic" w:cs="Traditional Arabic"/>
          <w:sz w:val="32"/>
          <w:szCs w:val="32"/>
        </w:rPr>
        <w:t>Uhl-Bien et al., 2023</w:t>
      </w:r>
      <w:r w:rsidRPr="002A257A">
        <w:rPr>
          <w:rFonts w:ascii="Traditional Arabic" w:eastAsia="Times New Roman" w:hAnsi="Traditional Arabic" w:cs="Traditional Arabic"/>
          <w:sz w:val="32"/>
          <w:szCs w:val="32"/>
          <w:rtl/>
        </w:rPr>
        <w:t>).</w:t>
      </w:r>
    </w:p>
    <w:p w14:paraId="00EDA5B6"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tl/>
        </w:rPr>
      </w:pPr>
    </w:p>
    <w:p w14:paraId="142A1A0A" w14:textId="61F1A4C6" w:rsidR="00AB632A" w:rsidRPr="002A257A" w:rsidRDefault="00AB632A" w:rsidP="006A233C">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الثاني: محددات الرضا الوظيفي في ظل الضغوط المهنية</w:t>
      </w:r>
    </w:p>
    <w:p w14:paraId="10878C7D" w14:textId="6928650D" w:rsidR="006A233C" w:rsidRPr="002A257A" w:rsidRDefault="006A233C" w:rsidP="006A233C">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تظهر الادبيات ان الضغط المهني يميل الى خفض الرضا الوظيفي في كثير من البيئات، خاصة عندما يقترن بظروف عمل غير آمنة او عبء عمل مرتفع. فقد اظهرت دراسة </w:t>
      </w:r>
      <w:r w:rsidRPr="002A257A">
        <w:rPr>
          <w:rFonts w:ascii="Traditional Arabic" w:eastAsia="Times New Roman" w:hAnsi="Traditional Arabic" w:cs="Traditional Arabic" w:hint="cs"/>
          <w:sz w:val="32"/>
          <w:szCs w:val="32"/>
          <w:rtl/>
        </w:rPr>
        <w:t>(</w:t>
      </w:r>
      <w:r w:rsidRPr="002A257A">
        <w:rPr>
          <w:rFonts w:ascii="Traditional Arabic" w:eastAsia="Times New Roman" w:hAnsi="Traditional Arabic" w:cs="Traditional Arabic"/>
          <w:sz w:val="32"/>
          <w:szCs w:val="32"/>
        </w:rPr>
        <w:t>Goswami &amp; Dsilva 2019</w:t>
      </w:r>
      <w:r w:rsidRPr="002A257A">
        <w:rPr>
          <w:rFonts w:ascii="Traditional Arabic" w:eastAsia="Times New Roman" w:hAnsi="Traditional Arabic" w:cs="Traditional Arabic"/>
          <w:sz w:val="32"/>
          <w:szCs w:val="32"/>
          <w:rtl/>
        </w:rPr>
        <w:t xml:space="preserve">) ان ظروف العمل غير الآمنة وعبء العمل من مصادر الضغط، مع وجود علاقات سببية بين الرضا والضغط تشير الى تفاعل دينامي بين المتغيرين. كما اكدت دراسة </w:t>
      </w:r>
      <w:r w:rsidRPr="002A257A">
        <w:rPr>
          <w:rFonts w:ascii="Traditional Arabic" w:eastAsia="Times New Roman" w:hAnsi="Traditional Arabic" w:cs="Traditional Arabic"/>
          <w:sz w:val="32"/>
          <w:szCs w:val="32"/>
        </w:rPr>
        <w:t>Clifton &amp; McGraw</w:t>
      </w:r>
      <w:r w:rsidRPr="002A257A">
        <w:rPr>
          <w:rFonts w:ascii="Traditional Arabic" w:eastAsia="Times New Roman" w:hAnsi="Traditional Arabic" w:cs="Traditional Arabic"/>
          <w:sz w:val="32"/>
          <w:szCs w:val="32"/>
          <w:lang w:bidi="ar-AE"/>
        </w:rPr>
        <w:t xml:space="preserve">, </w:t>
      </w:r>
      <w:r w:rsidRPr="002A257A">
        <w:rPr>
          <w:rFonts w:ascii="Traditional Arabic" w:eastAsia="Times New Roman" w:hAnsi="Traditional Arabic" w:cs="Traditional Arabic"/>
          <w:sz w:val="32"/>
          <w:szCs w:val="32"/>
        </w:rPr>
        <w:t>2025)</w:t>
      </w:r>
      <w:r w:rsidRPr="002A257A">
        <w:rPr>
          <w:rFonts w:ascii="Traditional Arabic" w:eastAsia="Times New Roman" w:hAnsi="Traditional Arabic" w:cs="Traditional Arabic"/>
          <w:sz w:val="32"/>
          <w:szCs w:val="32"/>
          <w:rtl/>
        </w:rPr>
        <w:t>) في سياق تطبيقات قريبة من البيئات الصارمة ان ارتفاع الضغط يرتبط بانخفاض الرضا، وان الثقافة المهنية قد تعمق هذا الاثر. ويعزز ذلك طرحا مفاده ان الرضا لا يتحدد بخصائص الفرد فقط، بل بتوازن المطالب مع الموارد وبمناخ العمل وما يحمله من معايير وتوقعات.</w:t>
      </w:r>
    </w:p>
    <w:p w14:paraId="50E30D11" w14:textId="641769BD" w:rsidR="006A233C" w:rsidRPr="002A257A" w:rsidRDefault="006A233C" w:rsidP="002A257A">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 xml:space="preserve">وتشير بعض الدراسات الى ان العوامل التنظيمية والبدائل الخارجية قد تؤثر في الرضا بما يجعل العلاقة بين الضغط والرضا غير ثابتة عبر السياقات. فقد وجدت دراسة </w:t>
      </w:r>
      <w:r w:rsidRPr="002A257A">
        <w:rPr>
          <w:rFonts w:ascii="Traditional Arabic" w:eastAsia="Times New Roman" w:hAnsi="Traditional Arabic" w:cs="Traditional Arabic"/>
          <w:sz w:val="32"/>
          <w:szCs w:val="32"/>
        </w:rPr>
        <w:t>Ramlawati et al. 2021)</w:t>
      </w:r>
      <w:r w:rsidRPr="002A257A">
        <w:rPr>
          <w:rFonts w:ascii="Traditional Arabic" w:eastAsia="Times New Roman" w:hAnsi="Traditional Arabic" w:cs="Traditional Arabic"/>
          <w:sz w:val="32"/>
          <w:szCs w:val="32"/>
          <w:rtl/>
        </w:rPr>
        <w:t xml:space="preserve">) ان البدائل الخارجية ارتبطت ايجابيا بالرضا بينما لم يظهر للضغط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يذكر على الرضا في سياقها، مع بقاء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المتغيرات مجتمعة على نية الدوران. وتقدم هذه النتيجة دلالة مهمة تتمثل في ان الرضا قد يتشكل عبر بنية عوامل اوسع من الضغط وحده، وان اثر الضغط قد يضعف او يقوى بحسب الموارد والدعم والبدائل والخصائص السياقية.</w:t>
      </w:r>
    </w:p>
    <w:p w14:paraId="37FAE1E7"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Pr>
      </w:pPr>
    </w:p>
    <w:p w14:paraId="065754DD" w14:textId="3179260F" w:rsidR="00AB632A" w:rsidRPr="002A257A" w:rsidRDefault="00AB632A" w:rsidP="006A233C">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الثالث: الرضا بوصفه متغيرا وسيطا في تفسير السلوك التنظيمي</w:t>
      </w:r>
    </w:p>
    <w:p w14:paraId="46F1408C" w14:textId="3BC3267F" w:rsidR="006A233C" w:rsidRPr="002A257A" w:rsidRDefault="006A233C" w:rsidP="002A257A">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يميل الرضا في كثير من النماذج الى لعب دور تفسيري بين ضغوط العمل وبين نتائج مثل نية ترك العمل. فقد بينت دراسة </w:t>
      </w:r>
      <w:r w:rsidRPr="002A257A">
        <w:rPr>
          <w:rFonts w:ascii="Traditional Arabic" w:eastAsia="Times New Roman" w:hAnsi="Traditional Arabic" w:cs="Traditional Arabic"/>
          <w:sz w:val="32"/>
          <w:szCs w:val="32"/>
        </w:rPr>
        <w:t>Anees et al. 2021)</w:t>
      </w:r>
      <w:r w:rsidRPr="002A257A">
        <w:rPr>
          <w:rFonts w:ascii="Traditional Arabic" w:eastAsia="Times New Roman" w:hAnsi="Traditional Arabic" w:cs="Traditional Arabic"/>
          <w:sz w:val="32"/>
          <w:szCs w:val="32"/>
          <w:rtl/>
        </w:rPr>
        <w:t xml:space="preserve">) ان الرضا يتوسط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الضغط وعبء العمل على نية الدوران في التعليم العالي، بما يدل على ان خفض الرضا يمثل القناة التي تنتقل عبرها الضغوط نحو قرارات الانسحاب. كما اكدت دراسة </w:t>
      </w:r>
      <w:r w:rsidRPr="002A257A">
        <w:rPr>
          <w:rFonts w:ascii="Traditional Arabic" w:eastAsia="Times New Roman" w:hAnsi="Traditional Arabic" w:cs="Traditional Arabic"/>
          <w:sz w:val="32"/>
          <w:szCs w:val="32"/>
        </w:rPr>
        <w:t>Wu et al. 2021)</w:t>
      </w:r>
      <w:r w:rsidRPr="002A257A">
        <w:rPr>
          <w:rFonts w:ascii="Traditional Arabic" w:eastAsia="Times New Roman" w:hAnsi="Traditional Arabic" w:cs="Traditional Arabic"/>
          <w:sz w:val="32"/>
          <w:szCs w:val="32"/>
          <w:rtl/>
        </w:rPr>
        <w:t xml:space="preserve">) وجود وساطة للرضا في العلاقة بين الضغط والاحتراق، مع وجود وساطة تسلسلية تبدأ بالدعم الاجتماعي ثم الرضا، وهو ما يعزز منطق اعتبار الرضا متغيرا يلتقط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الموارد والدعم ويحولها الى نتائج نفسية. ويدعم هذا الاتجاه ايضا ما اشارت اليه دراسة </w:t>
      </w:r>
      <w:r w:rsidRPr="002A257A">
        <w:rPr>
          <w:rFonts w:ascii="Traditional Arabic" w:eastAsia="Times New Roman" w:hAnsi="Traditional Arabic" w:cs="Traditional Arabic"/>
          <w:sz w:val="32"/>
          <w:szCs w:val="32"/>
        </w:rPr>
        <w:t>Dalal et al. 2023)</w:t>
      </w:r>
      <w:r w:rsidRPr="002A257A">
        <w:rPr>
          <w:rFonts w:ascii="Traditional Arabic" w:eastAsia="Times New Roman" w:hAnsi="Traditional Arabic" w:cs="Traditional Arabic"/>
          <w:sz w:val="32"/>
          <w:szCs w:val="32"/>
          <w:rtl/>
        </w:rPr>
        <w:t>) من دور الرضا في الارتباط بين الرضا عن الاتصال التنظيمي والالتزام التنظيمي لدى المهنيين الصحيين، بما يعكس ان الرضا قد يمثل حلقة وصل بين مكونات بيئة العمل وبين الارتباط التنظيمي.</w:t>
      </w:r>
    </w:p>
    <w:p w14:paraId="78DF19F0" w14:textId="2EB929E5" w:rsidR="00AB632A" w:rsidRPr="002A257A" w:rsidRDefault="006A233C" w:rsidP="002A257A">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lastRenderedPageBreak/>
        <w:t>في السياق العربي، تقدم نتائج الشرايدة (2008) اطارا وصفيا لمستويات الرضا داخل البيئة التعليمية، بما يعكس قابلية الرضا للتباين وفق السياقات المحلية، بينما تقدم الغزو (2024) دليلا على دور استراتيجيات المواجهة في تفسير الرضا بوصفها متنبئات بالرضا المهني، الامر الذي يعيد تثبيت موقع المواجهة بوصفها مدخلا تفسيريا للرضا. كما تدعم مقداد وخليفة (2012) فكرة ارتباط الضغوط واستراتيجيات مواجهتها بالمخرجات النفسية، بما يعزز الحاجة الى بناء اطار متكامل يربط بين المواجهة والاحتراق والرضا ضمن مسار تفسيري واحد.</w:t>
      </w:r>
    </w:p>
    <w:p w14:paraId="6BA80E81" w14:textId="77777777" w:rsidR="006A233C" w:rsidRPr="002A257A" w:rsidRDefault="006A233C" w:rsidP="006A233C">
      <w:pPr>
        <w:bidi/>
        <w:spacing w:after="200" w:line="360" w:lineRule="auto"/>
        <w:jc w:val="both"/>
        <w:rPr>
          <w:rFonts w:ascii="Traditional Arabic" w:eastAsia="Times New Roman" w:hAnsi="Traditional Arabic" w:cs="Traditional Arabic"/>
          <w:sz w:val="32"/>
          <w:szCs w:val="32"/>
        </w:rPr>
      </w:pPr>
    </w:p>
    <w:p w14:paraId="21F2F1DE" w14:textId="77777777" w:rsidR="00AB632A" w:rsidRPr="0020372B" w:rsidRDefault="00AB632A" w:rsidP="00AB632A">
      <w:pPr>
        <w:bidi/>
        <w:spacing w:after="200" w:line="360" w:lineRule="auto"/>
        <w:rPr>
          <w:rFonts w:ascii="Traditional Arabic" w:eastAsia="Times New Roman" w:hAnsi="Traditional Arabic" w:cs="Traditional Arabic"/>
          <w:b/>
          <w:bCs/>
          <w:sz w:val="36"/>
          <w:szCs w:val="36"/>
        </w:rPr>
      </w:pPr>
      <w:r w:rsidRPr="0020372B">
        <w:rPr>
          <w:rFonts w:ascii="Traditional Arabic" w:eastAsia="Times New Roman" w:hAnsi="Traditional Arabic" w:cs="Traditional Arabic"/>
          <w:b/>
          <w:bCs/>
          <w:sz w:val="36"/>
          <w:szCs w:val="36"/>
          <w:rtl/>
        </w:rPr>
        <w:t>المبحث الرابع: التكامل النظري للعلاقات بين استراتيجيات المواجهة والاحتراق الوظيفي والرضا الوظيفي</w:t>
      </w:r>
    </w:p>
    <w:p w14:paraId="003597DC" w14:textId="77777777" w:rsidR="00AB632A" w:rsidRPr="002A257A" w:rsidRDefault="00AB632A" w:rsidP="00AB632A">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الاول: منطق المسار التفسيري العام</w:t>
      </w:r>
    </w:p>
    <w:p w14:paraId="0AEBA61C" w14:textId="77777777" w:rsidR="00D933C2" w:rsidRPr="002A257A" w:rsidRDefault="00D933C2" w:rsidP="002A257A">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يتضح من العرض النظري ان المتغيرات الثلاثة لا تعمل كجزر منفصلة، بل ضمن شبكة علاقات تقوم على منطق توازن المطالب والموارد. فعندما ترتفع متطلبات العمل دون موارد مقابلة، تظهر الضغوط، وحين لا يتم التعامل معها بمواجهة تكيفية او موارد دعم كافية، يتراكم الاستنزاف تدريجيا ويتجسد في الاحتراق، ثم ينعكس على تقييم الفرد لخبرته المهنية بما يؤدي الى تراجع الرضا (</w:t>
      </w:r>
      <w:r w:rsidRPr="002A257A">
        <w:rPr>
          <w:rFonts w:ascii="Traditional Arabic" w:eastAsia="Times New Roman" w:hAnsi="Traditional Arabic" w:cs="Traditional Arabic"/>
          <w:sz w:val="32"/>
          <w:szCs w:val="32"/>
        </w:rPr>
        <w:t>Maslach et al., 1996</w:t>
      </w:r>
      <w:r w:rsidRPr="002A257A">
        <w:rPr>
          <w:rFonts w:ascii="Traditional Arabic" w:eastAsia="Times New Roman" w:hAnsi="Traditional Arabic" w:cs="Traditional Arabic"/>
          <w:sz w:val="32"/>
          <w:szCs w:val="32"/>
          <w:rtl/>
        </w:rPr>
        <w:t>). وتدعم الادبيات هذا المسار عبر الربط بين المواجهة والاحتراق والرضا، حيث ترتبط الاستراتيجيات التكيفية بارتفاع الرضا وانخفاض الاحتراق، بينما ترتبط الاستراتيجيات السلبية بنتائج عكسية (</w:t>
      </w:r>
      <w:r w:rsidRPr="002A257A">
        <w:rPr>
          <w:rFonts w:ascii="Traditional Arabic" w:eastAsia="Times New Roman" w:hAnsi="Traditional Arabic" w:cs="Traditional Arabic"/>
          <w:sz w:val="32"/>
          <w:szCs w:val="32"/>
        </w:rPr>
        <w:t>Wang et al., 2022</w:t>
      </w:r>
      <w:r w:rsidRPr="002A257A">
        <w:rPr>
          <w:rFonts w:ascii="Traditional Arabic" w:eastAsia="Times New Roman" w:hAnsi="Traditional Arabic" w:cs="Traditional Arabic"/>
          <w:sz w:val="32"/>
          <w:szCs w:val="32"/>
          <w:rtl/>
        </w:rPr>
        <w:t>).</w:t>
      </w:r>
    </w:p>
    <w:p w14:paraId="1089065E"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Pr>
      </w:pPr>
    </w:p>
    <w:p w14:paraId="26C61BAB" w14:textId="0D502E42" w:rsidR="00AB632A" w:rsidRPr="002A257A" w:rsidRDefault="00AB632A" w:rsidP="00D933C2">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lastRenderedPageBreak/>
        <w:t>المطلب الثاني: المواجهة كمدخل موارد والاحتراق كحصيلة استنزاف</w:t>
      </w:r>
    </w:p>
    <w:p w14:paraId="291E0FC0" w14:textId="77777777" w:rsidR="00D933C2" w:rsidRPr="002A257A" w:rsidRDefault="00D933C2" w:rsidP="002A257A">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تقدم نظرية الضغط والمواجهة اطارا يفسر لماذا لا تنتج الضغوط نفس النتائج للجميع، لان تقييم الموقف وطريقة المواجهة هما ما يحددان اتجاه المسار (</w:t>
      </w:r>
      <w:r w:rsidRPr="002A257A">
        <w:rPr>
          <w:rFonts w:ascii="Traditional Arabic" w:eastAsia="Times New Roman" w:hAnsi="Traditional Arabic" w:cs="Traditional Arabic"/>
          <w:sz w:val="32"/>
          <w:szCs w:val="32"/>
        </w:rPr>
        <w:t>Biggs et al., 2017</w:t>
      </w:r>
      <w:r w:rsidRPr="002A257A">
        <w:rPr>
          <w:rFonts w:ascii="Traditional Arabic" w:eastAsia="Times New Roman" w:hAnsi="Traditional Arabic" w:cs="Traditional Arabic"/>
          <w:sz w:val="32"/>
          <w:szCs w:val="32"/>
          <w:rtl/>
        </w:rPr>
        <w:t>). وفي هذا الاطار، تصبح المواجهة مدخلا لادارة الموارد النفسية والاجتماعية، بينما يصبح الاحتراق حصيلة استنزاف متكرر عندما تفشل المواجهة او تظل الموارد غير كافية. وتؤكد نتائج العناية الذاتية والدعم الزميلي ان بناء موارد مستمرة يرفع الرضا ويحد من تدهور الرفاه المهني، بما يدعم فكرة الوقاية من الاحتراق عبر الموارد وليس عبر تقليل الضغوط فقط (</w:t>
      </w:r>
      <w:r w:rsidRPr="002A257A">
        <w:rPr>
          <w:rFonts w:ascii="Traditional Arabic" w:eastAsia="Times New Roman" w:hAnsi="Traditional Arabic" w:cs="Traditional Arabic"/>
          <w:sz w:val="32"/>
          <w:szCs w:val="32"/>
        </w:rPr>
        <w:t>Leiss et al., 2021</w:t>
      </w:r>
      <w:r w:rsidRPr="002A257A">
        <w:rPr>
          <w:rFonts w:ascii="Traditional Arabic" w:eastAsia="Times New Roman" w:hAnsi="Traditional Arabic" w:cs="Traditional Arabic"/>
          <w:sz w:val="32"/>
          <w:szCs w:val="32"/>
          <w:rtl/>
        </w:rPr>
        <w:t>).</w:t>
      </w:r>
    </w:p>
    <w:p w14:paraId="73C60542" w14:textId="77777777" w:rsidR="002A257A" w:rsidRPr="002A257A" w:rsidRDefault="002A257A" w:rsidP="002A257A">
      <w:pPr>
        <w:bidi/>
        <w:spacing w:after="200" w:line="360" w:lineRule="auto"/>
        <w:ind w:firstLine="720"/>
        <w:jc w:val="both"/>
        <w:rPr>
          <w:rFonts w:ascii="Traditional Arabic" w:eastAsia="Times New Roman" w:hAnsi="Traditional Arabic" w:cs="Traditional Arabic"/>
          <w:sz w:val="32"/>
          <w:szCs w:val="32"/>
        </w:rPr>
      </w:pPr>
    </w:p>
    <w:p w14:paraId="03D0173F" w14:textId="014F1032" w:rsidR="00AB632A" w:rsidRPr="002A257A" w:rsidRDefault="00AB632A" w:rsidP="00D933C2">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الثالث: الرضا بوصفه نتيجة ومؤشر دينامي للخبرة المهنية</w:t>
      </w:r>
    </w:p>
    <w:p w14:paraId="0EC4AF43" w14:textId="51B3F0EB" w:rsidR="002A257A" w:rsidRPr="002A257A" w:rsidRDefault="00D933C2" w:rsidP="004519FD">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يبرز الرضا بوصفه نتيجة نهائية للخبرة المهنية من جهة، وبوصفه مؤشرا ديناميا قد يفسر سلوكيات مثل الميل لترك العمل من جهة اخرى. وتدعم الدراسات هذا المنطق عبر وساطة الرضا بين الضغط والنية السلوكية، بما يعني ان الرضا يجسد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الضغوط عبر قناة التقييم الذاتي للخبرة (</w:t>
      </w:r>
      <w:r w:rsidRPr="002A257A">
        <w:rPr>
          <w:rFonts w:ascii="Traditional Arabic" w:eastAsia="Times New Roman" w:hAnsi="Traditional Arabic" w:cs="Traditional Arabic"/>
          <w:sz w:val="32"/>
          <w:szCs w:val="32"/>
        </w:rPr>
        <w:t>Anees et al., 2021</w:t>
      </w:r>
      <w:r w:rsidRPr="002A257A">
        <w:rPr>
          <w:rFonts w:ascii="Traditional Arabic" w:eastAsia="Times New Roman" w:hAnsi="Traditional Arabic" w:cs="Traditional Arabic"/>
          <w:sz w:val="32"/>
          <w:szCs w:val="32"/>
          <w:rtl/>
        </w:rPr>
        <w:t>). كما تؤكد دراسات الضغط والرضا في بيئات صارمة ان ارتفاع الضغط يرتبط بانخفاض الرضا، بما يعزز مركزية الرضا كمتغير حساس لمناخ العمل وثقافته (</w:t>
      </w:r>
      <w:r w:rsidRPr="002A257A">
        <w:rPr>
          <w:rFonts w:ascii="Traditional Arabic" w:eastAsia="Times New Roman" w:hAnsi="Traditional Arabic" w:cs="Traditional Arabic"/>
          <w:sz w:val="32"/>
          <w:szCs w:val="32"/>
        </w:rPr>
        <w:t>Clifton &amp; McGraw, 2025</w:t>
      </w:r>
      <w:r w:rsidR="004519FD">
        <w:rPr>
          <w:rFonts w:ascii="Traditional Arabic" w:eastAsia="Times New Roman" w:hAnsi="Traditional Arabic" w:cs="Traditional Arabic"/>
          <w:sz w:val="32"/>
          <w:szCs w:val="32"/>
          <w:rtl/>
        </w:rPr>
        <w:t>).</w:t>
      </w:r>
    </w:p>
    <w:p w14:paraId="0256D5EC" w14:textId="38A0D2CE" w:rsidR="00AB632A" w:rsidRPr="002A257A" w:rsidRDefault="00AB632A" w:rsidP="00D933C2">
      <w:pPr>
        <w:bidi/>
        <w:spacing w:after="200" w:line="360" w:lineRule="auto"/>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b/>
          <w:bCs/>
          <w:sz w:val="32"/>
          <w:szCs w:val="32"/>
          <w:rtl/>
        </w:rPr>
        <w:t>المطلب الرابع: خلاصة الاطار النظري</w:t>
      </w:r>
    </w:p>
    <w:p w14:paraId="7791150B" w14:textId="4F05CBA5" w:rsidR="00AB632A" w:rsidRDefault="00D933C2" w:rsidP="002A257A">
      <w:pPr>
        <w:bidi/>
        <w:spacing w:after="200" w:line="360" w:lineRule="auto"/>
        <w:ind w:firstLine="720"/>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تأسس الاطار النظري على ثلاث ركائز متكاملة: تفسير الضغوط عبر منظور المواجهة، وفهم الاحتراق كاستنزاف متعدد الابعاد، وبناء الرضا كحكم تقويمي على الخبرة المهنية. وقد ابرزت الادبيات </w:t>
      </w:r>
      <w:r w:rsidRPr="002A257A">
        <w:rPr>
          <w:rFonts w:ascii="Traditional Arabic" w:eastAsia="Times New Roman" w:hAnsi="Traditional Arabic" w:cs="Traditional Arabic"/>
          <w:sz w:val="32"/>
          <w:szCs w:val="32"/>
          <w:rtl/>
        </w:rPr>
        <w:lastRenderedPageBreak/>
        <w:t xml:space="preserve">ان استراتيجيات المواجهة تمثل آلية رئيسة لتفسير اختلاف النتائج بين العاملين، وان الاحتراق يمثل حالة انتقالية او قناة تعكس تراكم </w:t>
      </w:r>
      <w:proofErr w:type="gramStart"/>
      <w:r w:rsidRPr="002A257A">
        <w:rPr>
          <w:rFonts w:ascii="Traditional Arabic" w:eastAsia="Times New Roman" w:hAnsi="Traditional Arabic" w:cs="Traditional Arabic"/>
          <w:sz w:val="32"/>
          <w:szCs w:val="32"/>
          <w:rtl/>
        </w:rPr>
        <w:t>اثر</w:t>
      </w:r>
      <w:proofErr w:type="gramEnd"/>
      <w:r w:rsidRPr="002A257A">
        <w:rPr>
          <w:rFonts w:ascii="Traditional Arabic" w:eastAsia="Times New Roman" w:hAnsi="Traditional Arabic" w:cs="Traditional Arabic"/>
          <w:sz w:val="32"/>
          <w:szCs w:val="32"/>
          <w:rtl/>
        </w:rPr>
        <w:t xml:space="preserve"> الضغوط وضعف الموارد، وان الرضا يتشكل داخل هذا المسار بوصفه مؤشرا مركبا يتأثر بالضغوط والموارد واستجابات المواجهة (</w:t>
      </w:r>
      <w:r w:rsidRPr="002A257A">
        <w:rPr>
          <w:rFonts w:ascii="Traditional Arabic" w:eastAsia="Times New Roman" w:hAnsi="Traditional Arabic" w:cs="Traditional Arabic"/>
          <w:sz w:val="32"/>
          <w:szCs w:val="32"/>
        </w:rPr>
        <w:t>Folkman &amp; Lazarus, 1988; Maslach et al., 1996; Weiss et al., 1967</w:t>
      </w:r>
      <w:r w:rsidRPr="002A257A">
        <w:rPr>
          <w:rFonts w:ascii="Traditional Arabic" w:eastAsia="Times New Roman" w:hAnsi="Traditional Arabic" w:cs="Traditional Arabic"/>
          <w:sz w:val="32"/>
          <w:szCs w:val="32"/>
          <w:rtl/>
        </w:rPr>
        <w:t>). وبذلك يمهد هذا البناء النظري للانتقال الى المحور الثاني المتعلق بالدراسات السابقة وتحليلها وفقا لتصنيف المتغيرات.</w:t>
      </w:r>
    </w:p>
    <w:p w14:paraId="7882D6E8" w14:textId="77777777" w:rsidR="00AF0B1F" w:rsidRDefault="00AF0B1F" w:rsidP="004519FD">
      <w:pPr>
        <w:bidi/>
        <w:spacing w:after="200" w:line="360" w:lineRule="auto"/>
        <w:jc w:val="both"/>
        <w:rPr>
          <w:rFonts w:ascii="Traditional Arabic" w:eastAsia="Times New Roman" w:hAnsi="Traditional Arabic" w:cs="Traditional Arabic"/>
          <w:sz w:val="32"/>
          <w:szCs w:val="32"/>
        </w:rPr>
      </w:pPr>
    </w:p>
    <w:p w14:paraId="4FD31ED0" w14:textId="1D70994A" w:rsidR="00AF0B1F" w:rsidRDefault="00AF0B1F" w:rsidP="00AF0B1F">
      <w:pPr>
        <w:bidi/>
        <w:spacing w:after="200" w:line="360" w:lineRule="auto"/>
        <w:jc w:val="both"/>
        <w:rPr>
          <w:rFonts w:ascii="Traditional Arabic" w:eastAsia="Times New Roman" w:hAnsi="Traditional Arabic" w:cs="Traditional Arabic"/>
          <w:b/>
          <w:bCs/>
          <w:sz w:val="36"/>
          <w:szCs w:val="36"/>
          <w:rtl/>
        </w:rPr>
      </w:pPr>
      <w:r w:rsidRPr="00AF0B1F">
        <w:rPr>
          <w:rFonts w:ascii="Traditional Arabic" w:eastAsia="Times New Roman" w:hAnsi="Traditional Arabic" w:cs="Traditional Arabic" w:hint="cs"/>
          <w:b/>
          <w:bCs/>
          <w:sz w:val="36"/>
          <w:szCs w:val="36"/>
          <w:rtl/>
        </w:rPr>
        <w:t xml:space="preserve">المبحث الخامس: </w:t>
      </w:r>
      <w:r w:rsidRPr="00AF0B1F">
        <w:rPr>
          <w:rFonts w:ascii="Traditional Arabic" w:eastAsia="Times New Roman" w:hAnsi="Traditional Arabic" w:cs="Traditional Arabic"/>
          <w:b/>
          <w:bCs/>
          <w:sz w:val="36"/>
          <w:szCs w:val="36"/>
          <w:rtl/>
        </w:rPr>
        <w:t>النظريات المفسرة للعلاقة بين متغيرات الدراسة</w:t>
      </w:r>
    </w:p>
    <w:p w14:paraId="007DFB71" w14:textId="7F51D322" w:rsidR="00AF0B1F" w:rsidRPr="00AF0B1F" w:rsidRDefault="00AF0B1F" w:rsidP="00AF0B1F">
      <w:pPr>
        <w:bidi/>
        <w:spacing w:after="200" w:line="360" w:lineRule="auto"/>
        <w:jc w:val="both"/>
        <w:rPr>
          <w:rFonts w:ascii="Traditional Arabic" w:eastAsia="Times New Roman" w:hAnsi="Traditional Arabic" w:cs="Traditional Arabic"/>
          <w:sz w:val="32"/>
          <w:szCs w:val="32"/>
        </w:rPr>
      </w:pPr>
      <w:r w:rsidRPr="00AF0B1F">
        <w:rPr>
          <w:rFonts w:ascii="Traditional Arabic" w:eastAsia="Times New Roman" w:hAnsi="Traditional Arabic" w:cs="Traditional Arabic"/>
          <w:sz w:val="32"/>
          <w:szCs w:val="32"/>
          <w:rtl/>
        </w:rPr>
        <w:t>تتطلب دراسة العلاقة بين استراتيجيات مواجهة ضغوط العمل والاحتراق الوظيفي والرضا الوظيفي الاعتماد على أطر نظرية قادرة على تفسير التفاعلات المعقدة بين المتغيرات التنظيمية والنفسية. وفي هذا السياق، تبرز مجموعة من النظريات الحديثة التي قدمت تفسيرات تكاملية لهذه العلاقات، من أبرزها نظرية متطلبات العمل–الموارد، ونظرية الضغط والتكيف، ونظرية حفظ الموارد، حيث تسهم هذه النظريات مجتمعة في بناء فهم أعمق لكيفية تشكل الاحتراق الوظيفي ودوره الوسيط في العلاقة بين الضغوط والرضا الوظيفي (</w:t>
      </w:r>
      <w:r w:rsidRPr="00AF0B1F">
        <w:rPr>
          <w:rFonts w:ascii="Traditional Arabic" w:eastAsia="Times New Roman" w:hAnsi="Traditional Arabic" w:cs="Traditional Arabic"/>
          <w:sz w:val="32"/>
          <w:szCs w:val="32"/>
        </w:rPr>
        <w:t>Bakker &amp; Demerouti, 2017; Lazarus &amp; Folkman, 1984; Hobfoll, 1989</w:t>
      </w:r>
      <w:r w:rsidRPr="00AF0B1F">
        <w:rPr>
          <w:rFonts w:ascii="Traditional Arabic" w:eastAsia="Times New Roman" w:hAnsi="Traditional Arabic" w:cs="Traditional Arabic"/>
          <w:sz w:val="32"/>
          <w:szCs w:val="32"/>
          <w:rtl/>
        </w:rPr>
        <w:t>).</w:t>
      </w:r>
    </w:p>
    <w:p w14:paraId="7C23DEDC" w14:textId="77777777" w:rsidR="00AF0B1F" w:rsidRPr="00AF0B1F" w:rsidRDefault="00AF0B1F" w:rsidP="00AF0B1F">
      <w:pPr>
        <w:bidi/>
        <w:spacing w:after="200" w:line="360" w:lineRule="auto"/>
        <w:jc w:val="both"/>
        <w:rPr>
          <w:rFonts w:ascii="Traditional Arabic" w:eastAsia="Times New Roman" w:hAnsi="Traditional Arabic" w:cs="Traditional Arabic"/>
          <w:sz w:val="32"/>
          <w:szCs w:val="32"/>
          <w:rtl/>
        </w:rPr>
      </w:pPr>
    </w:p>
    <w:p w14:paraId="635366F2" w14:textId="51B81E45" w:rsidR="00AF0B1F" w:rsidRDefault="00AF0B1F" w:rsidP="00AF0B1F">
      <w:pPr>
        <w:bidi/>
        <w:spacing w:after="200" w:line="360" w:lineRule="auto"/>
        <w:jc w:val="both"/>
        <w:rPr>
          <w:rFonts w:ascii="Traditional Arabic" w:eastAsia="Times New Roman" w:hAnsi="Traditional Arabic" w:cs="Traditional Arabic"/>
          <w:sz w:val="32"/>
          <w:szCs w:val="32"/>
          <w:rtl/>
        </w:rPr>
      </w:pPr>
      <w:r w:rsidRPr="00AF0B1F">
        <w:rPr>
          <w:rFonts w:ascii="Traditional Arabic" w:eastAsia="Times New Roman" w:hAnsi="Traditional Arabic" w:cs="Traditional Arabic"/>
          <w:sz w:val="32"/>
          <w:szCs w:val="32"/>
          <w:rtl/>
        </w:rPr>
        <w:t xml:space="preserve">تُعد </w:t>
      </w:r>
      <w:r w:rsidRPr="00AF0B1F">
        <w:rPr>
          <w:rFonts w:ascii="Traditional Arabic" w:eastAsia="Times New Roman" w:hAnsi="Traditional Arabic" w:cs="Traditional Arabic"/>
          <w:b/>
          <w:bCs/>
          <w:sz w:val="32"/>
          <w:szCs w:val="32"/>
          <w:rtl/>
        </w:rPr>
        <w:t>نظرية متطلبات العمل–الموارد</w:t>
      </w:r>
      <w:r w:rsidRPr="00AF0B1F">
        <w:rPr>
          <w:rFonts w:ascii="Traditional Arabic" w:eastAsia="Times New Roman" w:hAnsi="Traditional Arabic" w:cs="Traditional Arabic"/>
          <w:sz w:val="32"/>
          <w:szCs w:val="32"/>
          <w:rtl/>
        </w:rPr>
        <w:t xml:space="preserve"> (</w:t>
      </w:r>
      <w:r w:rsidRPr="00AF0B1F">
        <w:rPr>
          <w:rFonts w:ascii="Traditional Arabic" w:eastAsia="Times New Roman" w:hAnsi="Traditional Arabic" w:cs="Traditional Arabic"/>
          <w:sz w:val="32"/>
          <w:szCs w:val="32"/>
        </w:rPr>
        <w:t>Job Demands–Resources Model</w:t>
      </w:r>
      <w:r w:rsidRPr="00AF0B1F">
        <w:rPr>
          <w:rFonts w:ascii="Traditional Arabic" w:eastAsia="Times New Roman" w:hAnsi="Traditional Arabic" w:cs="Traditional Arabic"/>
          <w:sz w:val="32"/>
          <w:szCs w:val="32"/>
          <w:rtl/>
        </w:rPr>
        <w:t xml:space="preserve">) التي قدمها </w:t>
      </w:r>
      <w:r w:rsidRPr="00AF0B1F">
        <w:rPr>
          <w:rFonts w:ascii="Traditional Arabic" w:eastAsia="Times New Roman" w:hAnsi="Traditional Arabic" w:cs="Traditional Arabic"/>
          <w:sz w:val="32"/>
          <w:szCs w:val="32"/>
        </w:rPr>
        <w:t>Bakker</w:t>
      </w:r>
      <w:r w:rsidRPr="00AF0B1F">
        <w:rPr>
          <w:rFonts w:ascii="Traditional Arabic" w:eastAsia="Times New Roman" w:hAnsi="Traditional Arabic" w:cs="Traditional Arabic"/>
          <w:sz w:val="32"/>
          <w:szCs w:val="32"/>
          <w:rtl/>
        </w:rPr>
        <w:t xml:space="preserve"> و</w:t>
      </w:r>
      <w:r w:rsidRPr="00AF0B1F">
        <w:rPr>
          <w:rFonts w:ascii="Traditional Arabic" w:eastAsia="Times New Roman" w:hAnsi="Traditional Arabic" w:cs="Traditional Arabic"/>
          <w:sz w:val="32"/>
          <w:szCs w:val="32"/>
        </w:rPr>
        <w:t>Demerouti</w:t>
      </w:r>
      <w:r w:rsidRPr="00AF0B1F">
        <w:rPr>
          <w:rFonts w:ascii="Traditional Arabic" w:eastAsia="Times New Roman" w:hAnsi="Traditional Arabic" w:cs="Traditional Arabic"/>
          <w:sz w:val="32"/>
          <w:szCs w:val="32"/>
          <w:rtl/>
        </w:rPr>
        <w:t xml:space="preserve"> من أكثر الأطر شمولًا في تفسير الاحتراق الوظيفي والرضا الوظيفي، إذ تقوم على التمييز بين متطلبات العمل التي تستنزف طاقة الفرد، وموارد العمل التي تدعمه في مواجهة </w:t>
      </w:r>
      <w:r w:rsidRPr="00AF0B1F">
        <w:rPr>
          <w:rFonts w:ascii="Traditional Arabic" w:eastAsia="Times New Roman" w:hAnsi="Traditional Arabic" w:cs="Traditional Arabic"/>
          <w:sz w:val="32"/>
          <w:szCs w:val="32"/>
          <w:rtl/>
        </w:rPr>
        <w:lastRenderedPageBreak/>
        <w:t>هذه المتطلبات (</w:t>
      </w:r>
      <w:r w:rsidRPr="00AF0B1F">
        <w:rPr>
          <w:rFonts w:ascii="Traditional Arabic" w:eastAsia="Times New Roman" w:hAnsi="Traditional Arabic" w:cs="Traditional Arabic"/>
          <w:sz w:val="32"/>
          <w:szCs w:val="32"/>
        </w:rPr>
        <w:t>Bakker &amp; Demerouti, 2017</w:t>
      </w:r>
      <w:r w:rsidRPr="00AF0B1F">
        <w:rPr>
          <w:rFonts w:ascii="Traditional Arabic" w:eastAsia="Times New Roman" w:hAnsi="Traditional Arabic" w:cs="Traditional Arabic"/>
          <w:sz w:val="32"/>
          <w:szCs w:val="32"/>
          <w:rtl/>
        </w:rPr>
        <w:t>). ووفقًا لهذه النظرية، فإن اختلال التوازن بين ارتفاع المتطلبات وانخفاض الموارد يؤدي إلى استنزاف الطاقة النفسية وظهور الاحتراق الوظيفي، في حين يسهم توفر الموارد في تعزيز الدافعية والرضا الوظيفي (</w:t>
      </w:r>
      <w:r w:rsidRPr="00AF0B1F">
        <w:rPr>
          <w:rFonts w:ascii="Traditional Arabic" w:eastAsia="Times New Roman" w:hAnsi="Traditional Arabic" w:cs="Traditional Arabic"/>
          <w:sz w:val="32"/>
          <w:szCs w:val="32"/>
        </w:rPr>
        <w:t>Schaufeli &amp; Taris, 2014</w:t>
      </w:r>
      <w:r w:rsidRPr="00AF0B1F">
        <w:rPr>
          <w:rFonts w:ascii="Traditional Arabic" w:eastAsia="Times New Roman" w:hAnsi="Traditional Arabic" w:cs="Traditional Arabic"/>
          <w:sz w:val="32"/>
          <w:szCs w:val="32"/>
          <w:rtl/>
        </w:rPr>
        <w:t>). كما توسعت الأدبيات الحديثة في إدراج استراتيجيات مواجهة الضغوط ضمن الموارد الفردية التي تساعد العاملين على التكيف مع الضغوط وتقليل آثارها السلبية (</w:t>
      </w:r>
      <w:r w:rsidRPr="00AF0B1F">
        <w:rPr>
          <w:rFonts w:ascii="Traditional Arabic" w:eastAsia="Times New Roman" w:hAnsi="Traditional Arabic" w:cs="Traditional Arabic"/>
          <w:sz w:val="32"/>
          <w:szCs w:val="32"/>
        </w:rPr>
        <w:t>Bakker et al., 2023</w:t>
      </w:r>
      <w:r w:rsidRPr="00AF0B1F">
        <w:rPr>
          <w:rFonts w:ascii="Traditional Arabic" w:eastAsia="Times New Roman" w:hAnsi="Traditional Arabic" w:cs="Traditional Arabic"/>
          <w:sz w:val="32"/>
          <w:szCs w:val="32"/>
          <w:rtl/>
        </w:rPr>
        <w:t>). ويظهر توافق هذه النظرية بشكل واضح مع نموذج الدراسة الحالية، حيث يمكن تفسير استراتيجيات المواجهة كأحد أشكال الموارد، والاحتراق الوظيفي كنتيجة مباشرة للاستنزاف، والرضا الوظيفي كمحصلة نهائية لعملية التفاعل بين المتطلبات والموارد. ومع ذلك، وعلى الرغم من قوة هذا النموذج في تفسير العلاقات الهيكلية بين المتغيرات، إلا أنه يُنتقد لتركزه النسبي على العوامل التنظيمية، مع محدودية تفسيره للعمليات الإدراكية التي تحكم اختيار الأفراد لاستراتيجيات المواجهة (</w:t>
      </w:r>
      <w:r w:rsidRPr="00AF0B1F">
        <w:rPr>
          <w:rFonts w:ascii="Traditional Arabic" w:eastAsia="Times New Roman" w:hAnsi="Traditional Arabic" w:cs="Traditional Arabic"/>
          <w:sz w:val="32"/>
          <w:szCs w:val="32"/>
        </w:rPr>
        <w:t>Schaufeli, 2017</w:t>
      </w:r>
      <w:r w:rsidRPr="00AF0B1F">
        <w:rPr>
          <w:rFonts w:ascii="Traditional Arabic" w:eastAsia="Times New Roman" w:hAnsi="Traditional Arabic" w:cs="Traditional Arabic"/>
          <w:sz w:val="32"/>
          <w:szCs w:val="32"/>
          <w:rtl/>
        </w:rPr>
        <w:t>).</w:t>
      </w:r>
    </w:p>
    <w:p w14:paraId="1F6E0DB1" w14:textId="77777777" w:rsidR="00AF0B1F" w:rsidRPr="00AF0B1F" w:rsidRDefault="00AF0B1F" w:rsidP="00AF0B1F">
      <w:pPr>
        <w:bidi/>
        <w:spacing w:after="200" w:line="360" w:lineRule="auto"/>
        <w:jc w:val="both"/>
        <w:rPr>
          <w:rFonts w:ascii="Traditional Arabic" w:eastAsia="Times New Roman" w:hAnsi="Traditional Arabic" w:cs="Traditional Arabic"/>
          <w:sz w:val="32"/>
          <w:szCs w:val="32"/>
          <w:rtl/>
        </w:rPr>
      </w:pPr>
    </w:p>
    <w:p w14:paraId="717121C1" w14:textId="616668AF" w:rsidR="00AF0B1F" w:rsidRDefault="00AF0B1F" w:rsidP="00AF0B1F">
      <w:pPr>
        <w:bidi/>
        <w:spacing w:after="200" w:line="360" w:lineRule="auto"/>
        <w:jc w:val="both"/>
        <w:rPr>
          <w:rFonts w:ascii="Traditional Arabic" w:eastAsia="Times New Roman" w:hAnsi="Traditional Arabic" w:cs="Traditional Arabic"/>
          <w:sz w:val="32"/>
          <w:szCs w:val="32"/>
          <w:rtl/>
        </w:rPr>
      </w:pPr>
      <w:r w:rsidRPr="00AF0B1F">
        <w:rPr>
          <w:rFonts w:ascii="Traditional Arabic" w:eastAsia="Times New Roman" w:hAnsi="Traditional Arabic" w:cs="Traditional Arabic"/>
          <w:sz w:val="32"/>
          <w:szCs w:val="32"/>
          <w:rtl/>
        </w:rPr>
        <w:t xml:space="preserve">في هذا الإطار، تقدم </w:t>
      </w:r>
      <w:r w:rsidRPr="00AF0B1F">
        <w:rPr>
          <w:rFonts w:ascii="Traditional Arabic" w:eastAsia="Times New Roman" w:hAnsi="Traditional Arabic" w:cs="Traditional Arabic"/>
          <w:b/>
          <w:bCs/>
          <w:sz w:val="32"/>
          <w:szCs w:val="32"/>
          <w:rtl/>
        </w:rPr>
        <w:t>نظرية الضغط والتكيف</w:t>
      </w:r>
      <w:r w:rsidRPr="00AF0B1F">
        <w:rPr>
          <w:rFonts w:ascii="Traditional Arabic" w:eastAsia="Times New Roman" w:hAnsi="Traditional Arabic" w:cs="Traditional Arabic"/>
          <w:sz w:val="32"/>
          <w:szCs w:val="32"/>
          <w:rtl/>
        </w:rPr>
        <w:t xml:space="preserve"> (</w:t>
      </w:r>
      <w:r w:rsidRPr="00AF0B1F">
        <w:rPr>
          <w:rFonts w:ascii="Traditional Arabic" w:eastAsia="Times New Roman" w:hAnsi="Traditional Arabic" w:cs="Traditional Arabic"/>
          <w:sz w:val="32"/>
          <w:szCs w:val="32"/>
        </w:rPr>
        <w:t>Stress and Coping Theory</w:t>
      </w:r>
      <w:r w:rsidRPr="00AF0B1F">
        <w:rPr>
          <w:rFonts w:ascii="Traditional Arabic" w:eastAsia="Times New Roman" w:hAnsi="Traditional Arabic" w:cs="Traditional Arabic"/>
          <w:sz w:val="32"/>
          <w:szCs w:val="32"/>
          <w:rtl/>
        </w:rPr>
        <w:t xml:space="preserve">) التي طورها </w:t>
      </w:r>
      <w:r w:rsidRPr="00AF0B1F">
        <w:rPr>
          <w:rFonts w:ascii="Traditional Arabic" w:eastAsia="Times New Roman" w:hAnsi="Traditional Arabic" w:cs="Traditional Arabic"/>
          <w:sz w:val="32"/>
          <w:szCs w:val="32"/>
        </w:rPr>
        <w:t>Lazarus</w:t>
      </w:r>
      <w:r w:rsidRPr="00AF0B1F">
        <w:rPr>
          <w:rFonts w:ascii="Traditional Arabic" w:eastAsia="Times New Roman" w:hAnsi="Traditional Arabic" w:cs="Traditional Arabic"/>
          <w:sz w:val="32"/>
          <w:szCs w:val="32"/>
          <w:rtl/>
        </w:rPr>
        <w:t xml:space="preserve"> و</w:t>
      </w:r>
      <w:r w:rsidRPr="00AF0B1F">
        <w:rPr>
          <w:rFonts w:ascii="Traditional Arabic" w:eastAsia="Times New Roman" w:hAnsi="Traditional Arabic" w:cs="Traditional Arabic"/>
          <w:sz w:val="32"/>
          <w:szCs w:val="32"/>
        </w:rPr>
        <w:t>Folkman</w:t>
      </w:r>
      <w:r w:rsidRPr="00AF0B1F">
        <w:rPr>
          <w:rFonts w:ascii="Traditional Arabic" w:eastAsia="Times New Roman" w:hAnsi="Traditional Arabic" w:cs="Traditional Arabic"/>
          <w:sz w:val="32"/>
          <w:szCs w:val="32"/>
          <w:rtl/>
        </w:rPr>
        <w:t xml:space="preserve"> تفسيرًا أكثر عمقًا للبعد الإدراكي في التعامل مع الضغوط، حيث ترى أن الضغوط لا تنبع من الموقف ذاته، بل من تقييم الفرد له وقدرته على التعامل معه (</w:t>
      </w:r>
      <w:r w:rsidRPr="00AF0B1F">
        <w:rPr>
          <w:rFonts w:ascii="Traditional Arabic" w:eastAsia="Times New Roman" w:hAnsi="Traditional Arabic" w:cs="Traditional Arabic"/>
          <w:sz w:val="32"/>
          <w:szCs w:val="32"/>
        </w:rPr>
        <w:t>Lazarus &amp; Folkman, 1984</w:t>
      </w:r>
      <w:r w:rsidRPr="00AF0B1F">
        <w:rPr>
          <w:rFonts w:ascii="Traditional Arabic" w:eastAsia="Times New Roman" w:hAnsi="Traditional Arabic" w:cs="Traditional Arabic"/>
          <w:sz w:val="32"/>
          <w:szCs w:val="32"/>
          <w:rtl/>
        </w:rPr>
        <w:t>). ووفقًا لهذه النظرية، فإن استراتيجيات المواجهة تمثل الآلية الأساسية التي من خلالها يحدد الفرد استجابته للضغوط، سواء عبر المواجهة الموجهة نحو المشكلة أو نحو الانفعال أو عبر التجنب (</w:t>
      </w:r>
      <w:r w:rsidRPr="00AF0B1F">
        <w:rPr>
          <w:rFonts w:ascii="Traditional Arabic" w:eastAsia="Times New Roman" w:hAnsi="Traditional Arabic" w:cs="Traditional Arabic"/>
          <w:sz w:val="32"/>
          <w:szCs w:val="32"/>
        </w:rPr>
        <w:t>Folkman &amp; Lazarus, 1988</w:t>
      </w:r>
      <w:r w:rsidRPr="00AF0B1F">
        <w:rPr>
          <w:rFonts w:ascii="Traditional Arabic" w:eastAsia="Times New Roman" w:hAnsi="Traditional Arabic" w:cs="Traditional Arabic"/>
          <w:sz w:val="32"/>
          <w:szCs w:val="32"/>
          <w:rtl/>
        </w:rPr>
        <w:t xml:space="preserve">). وتكمن أهمية هذه النظرية في قدرتها على تفسير الفروق الفردية في الاستجابة لنفس الضغوط، وهو ما يدعم إدراج استراتيجيات المواجهة كمتغير رئيس في النموذج الحالي. كما تفسر هذه النظرية كيف يمكن لاستراتيجيات المواجهة الفعالة أن تحد من تطور </w:t>
      </w:r>
      <w:r w:rsidRPr="00AF0B1F">
        <w:rPr>
          <w:rFonts w:ascii="Traditional Arabic" w:eastAsia="Times New Roman" w:hAnsi="Traditional Arabic" w:cs="Traditional Arabic"/>
          <w:sz w:val="32"/>
          <w:szCs w:val="32"/>
          <w:rtl/>
        </w:rPr>
        <w:lastRenderedPageBreak/>
        <w:t>الاحتراق الوظيفي وتعزز مستويات الرضا (</w:t>
      </w:r>
      <w:r w:rsidRPr="00AF0B1F">
        <w:rPr>
          <w:rFonts w:ascii="Traditional Arabic" w:eastAsia="Times New Roman" w:hAnsi="Traditional Arabic" w:cs="Traditional Arabic"/>
          <w:sz w:val="32"/>
          <w:szCs w:val="32"/>
        </w:rPr>
        <w:t>Biggs et al., 2017</w:t>
      </w:r>
      <w:r w:rsidRPr="00AF0B1F">
        <w:rPr>
          <w:rFonts w:ascii="Traditional Arabic" w:eastAsia="Times New Roman" w:hAnsi="Traditional Arabic" w:cs="Traditional Arabic"/>
          <w:sz w:val="32"/>
          <w:szCs w:val="32"/>
          <w:rtl/>
        </w:rPr>
        <w:t>). ومع ذلك، فإن هذا الطرح، رغم أهميته، يركز بشكل أساسي على الفرد ويهمل نسبيًا تأثير البيئة التنظيمية، كما لا يقدم نموذجًا هيكليًا واضحًا يربط بين المتغيرات، مما يجعله بحاجة إلى التكامل مع نماذج تنظيمية أشمل.</w:t>
      </w:r>
    </w:p>
    <w:p w14:paraId="30CAF185" w14:textId="77777777" w:rsidR="00AF0B1F" w:rsidRPr="00AF0B1F" w:rsidRDefault="00AF0B1F" w:rsidP="00AF0B1F">
      <w:pPr>
        <w:bidi/>
        <w:spacing w:after="200" w:line="360" w:lineRule="auto"/>
        <w:jc w:val="both"/>
        <w:rPr>
          <w:rFonts w:ascii="Traditional Arabic" w:eastAsia="Times New Roman" w:hAnsi="Traditional Arabic" w:cs="Traditional Arabic"/>
          <w:sz w:val="32"/>
          <w:szCs w:val="32"/>
          <w:rtl/>
        </w:rPr>
      </w:pPr>
    </w:p>
    <w:p w14:paraId="65E258BF" w14:textId="010C3BDE" w:rsidR="00AF0B1F" w:rsidRPr="00AF0B1F" w:rsidRDefault="00AF0B1F" w:rsidP="00AF0B1F">
      <w:pPr>
        <w:bidi/>
        <w:spacing w:after="200" w:line="360" w:lineRule="auto"/>
        <w:jc w:val="both"/>
        <w:rPr>
          <w:rFonts w:ascii="Traditional Arabic" w:eastAsia="Times New Roman" w:hAnsi="Traditional Arabic" w:cs="Traditional Arabic"/>
          <w:sz w:val="32"/>
          <w:szCs w:val="32"/>
          <w:rtl/>
        </w:rPr>
      </w:pPr>
      <w:r w:rsidRPr="00AF0B1F">
        <w:rPr>
          <w:rFonts w:ascii="Traditional Arabic" w:eastAsia="Times New Roman" w:hAnsi="Traditional Arabic" w:cs="Traditional Arabic"/>
          <w:sz w:val="32"/>
          <w:szCs w:val="32"/>
          <w:rtl/>
        </w:rPr>
        <w:t xml:space="preserve">من جانب آخر، تقدم </w:t>
      </w:r>
      <w:r w:rsidRPr="00AF0B1F">
        <w:rPr>
          <w:rFonts w:ascii="Traditional Arabic" w:eastAsia="Times New Roman" w:hAnsi="Traditional Arabic" w:cs="Traditional Arabic"/>
          <w:b/>
          <w:bCs/>
          <w:sz w:val="32"/>
          <w:szCs w:val="32"/>
          <w:rtl/>
        </w:rPr>
        <w:t>نظرية حفظ الموارد</w:t>
      </w:r>
      <w:r w:rsidRPr="00AF0B1F">
        <w:rPr>
          <w:rFonts w:ascii="Traditional Arabic" w:eastAsia="Times New Roman" w:hAnsi="Traditional Arabic" w:cs="Traditional Arabic"/>
          <w:sz w:val="32"/>
          <w:szCs w:val="32"/>
          <w:rtl/>
        </w:rPr>
        <w:t xml:space="preserve"> (</w:t>
      </w:r>
      <w:r w:rsidRPr="00AF0B1F">
        <w:rPr>
          <w:rFonts w:ascii="Traditional Arabic" w:eastAsia="Times New Roman" w:hAnsi="Traditional Arabic" w:cs="Traditional Arabic"/>
          <w:sz w:val="32"/>
          <w:szCs w:val="32"/>
        </w:rPr>
        <w:t>Conservation of Resources Theory</w:t>
      </w:r>
      <w:r w:rsidRPr="00AF0B1F">
        <w:rPr>
          <w:rFonts w:ascii="Traditional Arabic" w:eastAsia="Times New Roman" w:hAnsi="Traditional Arabic" w:cs="Traditional Arabic"/>
          <w:sz w:val="32"/>
          <w:szCs w:val="32"/>
          <w:rtl/>
        </w:rPr>
        <w:t xml:space="preserve">) التي طرحها </w:t>
      </w:r>
      <w:r w:rsidRPr="00AF0B1F">
        <w:rPr>
          <w:rFonts w:ascii="Traditional Arabic" w:eastAsia="Times New Roman" w:hAnsi="Traditional Arabic" w:cs="Traditional Arabic"/>
          <w:sz w:val="32"/>
          <w:szCs w:val="32"/>
        </w:rPr>
        <w:t>Hobfoll</w:t>
      </w:r>
      <w:r w:rsidRPr="00AF0B1F">
        <w:rPr>
          <w:rFonts w:ascii="Traditional Arabic" w:eastAsia="Times New Roman" w:hAnsi="Traditional Arabic" w:cs="Traditional Arabic"/>
          <w:sz w:val="32"/>
          <w:szCs w:val="32"/>
          <w:rtl/>
        </w:rPr>
        <w:t xml:space="preserve"> إطارًا ديناميكيًا لتفسير الاحتراق الوظيفي، حيث تفترض أن الأفراد يسعون إلى الحفاظ على مواردهم النفسية والاجتماعية، وأن الضغوط تنشأ عندما تتعرض هذه الموارد للفقد أو التهديد (</w:t>
      </w:r>
      <w:r w:rsidRPr="00AF0B1F">
        <w:rPr>
          <w:rFonts w:ascii="Traditional Arabic" w:eastAsia="Times New Roman" w:hAnsi="Traditional Arabic" w:cs="Traditional Arabic"/>
          <w:sz w:val="32"/>
          <w:szCs w:val="32"/>
        </w:rPr>
        <w:t>Hobfoll, 1989</w:t>
      </w:r>
      <w:r w:rsidRPr="00AF0B1F">
        <w:rPr>
          <w:rFonts w:ascii="Traditional Arabic" w:eastAsia="Times New Roman" w:hAnsi="Traditional Arabic" w:cs="Traditional Arabic"/>
          <w:sz w:val="32"/>
          <w:szCs w:val="32"/>
          <w:rtl/>
        </w:rPr>
        <w:t>). وفي هذا السياق، يُفسر الاحتراق الوظيفي بوصفه نتيجة مباشرة لفقدان الموارد أو استنزافها عبر الزمن، حيث يدخل الفرد في حلقة من التدهور المتواصل إذا لم تتوفر موارد بديلة تعوض هذا الفقد (</w:t>
      </w:r>
      <w:r w:rsidRPr="00AF0B1F">
        <w:rPr>
          <w:rFonts w:ascii="Traditional Arabic" w:eastAsia="Times New Roman" w:hAnsi="Traditional Arabic" w:cs="Traditional Arabic"/>
          <w:sz w:val="32"/>
          <w:szCs w:val="32"/>
        </w:rPr>
        <w:t>Hobfoll et al., 2018</w:t>
      </w:r>
      <w:r w:rsidRPr="00AF0B1F">
        <w:rPr>
          <w:rFonts w:ascii="Traditional Arabic" w:eastAsia="Times New Roman" w:hAnsi="Traditional Arabic" w:cs="Traditional Arabic"/>
          <w:sz w:val="32"/>
          <w:szCs w:val="32"/>
          <w:rtl/>
        </w:rPr>
        <w:t>). كما تبرز هذه النظرية أهمية استراتيجيات المواجهة بوصفها وسيلة للحفاظ على الموارد أو إعادة بنائها، في حين يعكس الرضا الوظيفي نجاح الفرد في تحقيق التوازن بين الموارد والمتطلبات. وتُعد هذه النظرية مناسبة بشكل خاص لتفسير الاحتراق الوظيفي في البيئات ذات الضغط المرتفع، مثل البيئة القضائية، إلا أنها تواجه بعض التحديات المرتبطة باتساع مفهوم الموارد وصعوبة قياسها بدقة، إضافة إلى محدودية قدرتها على التمييز بين أنماط استراتيجيات المواجهة المختلفة.</w:t>
      </w:r>
    </w:p>
    <w:p w14:paraId="655DD220" w14:textId="1BE200B6" w:rsidR="00AF0B1F" w:rsidRDefault="00AF0B1F" w:rsidP="00AF0B1F">
      <w:pPr>
        <w:bidi/>
        <w:spacing w:after="200" w:line="360" w:lineRule="auto"/>
        <w:jc w:val="both"/>
        <w:rPr>
          <w:rFonts w:ascii="Traditional Arabic" w:eastAsia="Times New Roman" w:hAnsi="Traditional Arabic" w:cs="Traditional Arabic"/>
          <w:sz w:val="32"/>
          <w:szCs w:val="32"/>
          <w:rtl/>
        </w:rPr>
      </w:pPr>
      <w:r w:rsidRPr="00AF0B1F">
        <w:rPr>
          <w:rFonts w:ascii="Traditional Arabic" w:eastAsia="Times New Roman" w:hAnsi="Traditional Arabic" w:cs="Traditional Arabic"/>
          <w:sz w:val="32"/>
          <w:szCs w:val="32"/>
          <w:rtl/>
        </w:rPr>
        <w:t>وعند النظر إلى هذه النظريات بصورة تكاملية، يتضح أنها لا تعمل بصورة منفصلة، بل يكمل بعضها بعضًا في تفسير العلاقات بين متغيرات الدراسة. حيث يوفر نموذج متطلبات العمل–الموارد إطارًا بنيويًا يفسر العلاقة بين الضغوط والنتائج (</w:t>
      </w:r>
      <w:r w:rsidRPr="00AF0B1F">
        <w:rPr>
          <w:rFonts w:ascii="Traditional Arabic" w:eastAsia="Times New Roman" w:hAnsi="Traditional Arabic" w:cs="Traditional Arabic"/>
          <w:sz w:val="32"/>
          <w:szCs w:val="32"/>
        </w:rPr>
        <w:t>Bakker &amp; Demerouti, 2017</w:t>
      </w:r>
      <w:r w:rsidRPr="00AF0B1F">
        <w:rPr>
          <w:rFonts w:ascii="Traditional Arabic" w:eastAsia="Times New Roman" w:hAnsi="Traditional Arabic" w:cs="Traditional Arabic"/>
          <w:sz w:val="32"/>
          <w:szCs w:val="32"/>
          <w:rtl/>
        </w:rPr>
        <w:t xml:space="preserve">)، في حين تقدم نظرية </w:t>
      </w:r>
      <w:r w:rsidRPr="00AF0B1F">
        <w:rPr>
          <w:rFonts w:ascii="Traditional Arabic" w:eastAsia="Times New Roman" w:hAnsi="Traditional Arabic" w:cs="Traditional Arabic"/>
          <w:sz w:val="32"/>
          <w:szCs w:val="32"/>
          <w:rtl/>
        </w:rPr>
        <w:lastRenderedPageBreak/>
        <w:t>الضغط والتكيف تفسيرًا للكيفية التي يستجيب بها الأفراد لهذه الضغوط (</w:t>
      </w:r>
      <w:r w:rsidRPr="00AF0B1F">
        <w:rPr>
          <w:rFonts w:ascii="Traditional Arabic" w:eastAsia="Times New Roman" w:hAnsi="Traditional Arabic" w:cs="Traditional Arabic"/>
          <w:sz w:val="32"/>
          <w:szCs w:val="32"/>
        </w:rPr>
        <w:t>Lazarus &amp; Folkman, 1984</w:t>
      </w:r>
      <w:r w:rsidRPr="00AF0B1F">
        <w:rPr>
          <w:rFonts w:ascii="Traditional Arabic" w:eastAsia="Times New Roman" w:hAnsi="Traditional Arabic" w:cs="Traditional Arabic"/>
          <w:sz w:val="32"/>
          <w:szCs w:val="32"/>
          <w:rtl/>
        </w:rPr>
        <w:t>)، بينما تفسر نظرية حفظ الموارد الآلية الديناميكية التي يتم من خلالها استنزاف الموارد أو الحفاظ عليها (</w:t>
      </w:r>
      <w:r w:rsidRPr="00AF0B1F">
        <w:rPr>
          <w:rFonts w:ascii="Traditional Arabic" w:eastAsia="Times New Roman" w:hAnsi="Traditional Arabic" w:cs="Traditional Arabic"/>
          <w:sz w:val="32"/>
          <w:szCs w:val="32"/>
        </w:rPr>
        <w:t>Hobfoll, 1989</w:t>
      </w:r>
      <w:r w:rsidRPr="00AF0B1F">
        <w:rPr>
          <w:rFonts w:ascii="Traditional Arabic" w:eastAsia="Times New Roman" w:hAnsi="Traditional Arabic" w:cs="Traditional Arabic"/>
          <w:sz w:val="32"/>
          <w:szCs w:val="32"/>
          <w:rtl/>
        </w:rPr>
        <w:t>). ويؤدي هذا التكامل إلى بناء إطار نظري شامل يوضح أن استراتيجيات مواجهة ضغوط العمل تمثل موارد فردية تسهم في تقليل الاستنزاف، وأن الاحتراق الوظيفي يعكس نتيجة تراكمية لفشل التوازن بين المتطلبات والموارد، في حين يمثل الرضا الوظيفي التقييم النهائي للخبرة المهنية. ومن ثم، فإن اعتماد هذا التكامل النظري يعزز من القوة التفسيرية للنموذج المفاهيمي للدراسة الحالية، ويدعم مبررات اختبار الاحتراق الوظيفي كمتغير وسيط في العلاقة بين استراتيجيات مواجهة ضغوط العمل والرضا الوظيفي في سياق بيئة العمل القضائية.</w:t>
      </w:r>
    </w:p>
    <w:p w14:paraId="48421278" w14:textId="77777777" w:rsidR="00AF0B1F" w:rsidRDefault="00AF0B1F" w:rsidP="00AF0B1F">
      <w:pPr>
        <w:bidi/>
        <w:spacing w:after="200" w:line="360" w:lineRule="auto"/>
        <w:jc w:val="both"/>
        <w:rPr>
          <w:rFonts w:ascii="Traditional Arabic" w:eastAsia="Times New Roman" w:hAnsi="Traditional Arabic" w:cs="Traditional Arabic"/>
          <w:sz w:val="32"/>
          <w:szCs w:val="32"/>
          <w:rtl/>
        </w:rPr>
      </w:pPr>
    </w:p>
    <w:p w14:paraId="7F2E4255" w14:textId="77777777" w:rsidR="004519FD" w:rsidRDefault="004519FD" w:rsidP="004519FD">
      <w:pPr>
        <w:bidi/>
        <w:spacing w:after="200" w:line="360" w:lineRule="auto"/>
        <w:jc w:val="both"/>
        <w:rPr>
          <w:rFonts w:ascii="Traditional Arabic" w:eastAsia="Times New Roman" w:hAnsi="Traditional Arabic" w:cs="Traditional Arabic"/>
          <w:sz w:val="32"/>
          <w:szCs w:val="32"/>
          <w:rtl/>
        </w:rPr>
      </w:pPr>
    </w:p>
    <w:p w14:paraId="2CB3A45A" w14:textId="77777777" w:rsidR="004519FD" w:rsidRDefault="004519FD" w:rsidP="004519FD">
      <w:pPr>
        <w:bidi/>
        <w:spacing w:after="200" w:line="360" w:lineRule="auto"/>
        <w:jc w:val="both"/>
        <w:rPr>
          <w:rFonts w:ascii="Traditional Arabic" w:eastAsia="Times New Roman" w:hAnsi="Traditional Arabic" w:cs="Traditional Arabic"/>
          <w:sz w:val="32"/>
          <w:szCs w:val="32"/>
          <w:rtl/>
        </w:rPr>
      </w:pPr>
    </w:p>
    <w:p w14:paraId="02B4D2B6" w14:textId="77777777" w:rsidR="004519FD" w:rsidRDefault="004519FD" w:rsidP="004519FD">
      <w:pPr>
        <w:bidi/>
        <w:spacing w:after="200" w:line="360" w:lineRule="auto"/>
        <w:jc w:val="both"/>
        <w:rPr>
          <w:rFonts w:ascii="Traditional Arabic" w:eastAsia="Times New Roman" w:hAnsi="Traditional Arabic" w:cs="Traditional Arabic"/>
          <w:sz w:val="32"/>
          <w:szCs w:val="32"/>
          <w:rtl/>
        </w:rPr>
      </w:pPr>
    </w:p>
    <w:p w14:paraId="6E044491" w14:textId="77777777" w:rsidR="004519FD" w:rsidRDefault="004519FD" w:rsidP="004519FD">
      <w:pPr>
        <w:bidi/>
        <w:spacing w:after="200" w:line="360" w:lineRule="auto"/>
        <w:jc w:val="both"/>
        <w:rPr>
          <w:rFonts w:ascii="Traditional Arabic" w:eastAsia="Times New Roman" w:hAnsi="Traditional Arabic" w:cs="Traditional Arabic"/>
          <w:sz w:val="32"/>
          <w:szCs w:val="32"/>
          <w:rtl/>
        </w:rPr>
      </w:pPr>
    </w:p>
    <w:p w14:paraId="34C74E36" w14:textId="77777777" w:rsidR="004519FD" w:rsidRDefault="004519FD" w:rsidP="004519FD">
      <w:pPr>
        <w:bidi/>
        <w:spacing w:after="200" w:line="360" w:lineRule="auto"/>
        <w:jc w:val="both"/>
        <w:rPr>
          <w:rFonts w:ascii="Traditional Arabic" w:eastAsia="Times New Roman" w:hAnsi="Traditional Arabic" w:cs="Traditional Arabic"/>
          <w:sz w:val="32"/>
          <w:szCs w:val="32"/>
          <w:rtl/>
        </w:rPr>
      </w:pPr>
    </w:p>
    <w:p w14:paraId="5D104ECC" w14:textId="77777777" w:rsidR="004519FD" w:rsidRDefault="004519FD" w:rsidP="004519FD">
      <w:pPr>
        <w:bidi/>
        <w:spacing w:after="200" w:line="360" w:lineRule="auto"/>
        <w:jc w:val="both"/>
        <w:rPr>
          <w:rFonts w:ascii="Traditional Arabic" w:eastAsia="Times New Roman" w:hAnsi="Traditional Arabic" w:cs="Traditional Arabic"/>
          <w:sz w:val="32"/>
          <w:szCs w:val="32"/>
          <w:rtl/>
        </w:rPr>
      </w:pPr>
    </w:p>
    <w:p w14:paraId="55ABD880" w14:textId="77777777" w:rsidR="004519FD" w:rsidRDefault="004519FD" w:rsidP="004519FD">
      <w:pPr>
        <w:bidi/>
        <w:spacing w:after="200" w:line="360" w:lineRule="auto"/>
        <w:jc w:val="both"/>
        <w:rPr>
          <w:rFonts w:ascii="Traditional Arabic" w:eastAsia="Times New Roman" w:hAnsi="Traditional Arabic" w:cs="Traditional Arabic"/>
          <w:sz w:val="32"/>
          <w:szCs w:val="32"/>
          <w:rtl/>
        </w:rPr>
      </w:pPr>
    </w:p>
    <w:p w14:paraId="3C9D9206" w14:textId="77777777" w:rsidR="004519FD" w:rsidRPr="00AF0B1F" w:rsidRDefault="004519FD" w:rsidP="004519FD">
      <w:pPr>
        <w:bidi/>
        <w:spacing w:after="200" w:line="360" w:lineRule="auto"/>
        <w:jc w:val="both"/>
        <w:rPr>
          <w:rFonts w:ascii="Traditional Arabic" w:eastAsia="Times New Roman" w:hAnsi="Traditional Arabic" w:cs="Traditional Arabic"/>
          <w:sz w:val="32"/>
          <w:szCs w:val="32"/>
        </w:rPr>
      </w:pPr>
    </w:p>
    <w:p w14:paraId="4AFF1B66" w14:textId="0C4AF7AA" w:rsidR="0028680C" w:rsidRPr="0020372B" w:rsidRDefault="006A233C" w:rsidP="004519FD">
      <w:pPr>
        <w:pageBreakBefore/>
        <w:bidi/>
        <w:spacing w:after="200" w:line="360" w:lineRule="auto"/>
        <w:rPr>
          <w:rFonts w:ascii="Traditional Arabic" w:eastAsia="Times New Roman" w:hAnsi="Traditional Arabic" w:cs="Traditional Arabic"/>
          <w:b/>
          <w:bCs/>
          <w:sz w:val="40"/>
          <w:szCs w:val="40"/>
          <w:rtl/>
        </w:rPr>
      </w:pPr>
      <w:r w:rsidRPr="0020372B">
        <w:rPr>
          <w:rFonts w:ascii="Traditional Arabic" w:eastAsia="Times New Roman" w:hAnsi="Traditional Arabic" w:cs="Traditional Arabic" w:hint="cs"/>
          <w:b/>
          <w:bCs/>
          <w:sz w:val="40"/>
          <w:szCs w:val="40"/>
          <w:rtl/>
        </w:rPr>
        <w:lastRenderedPageBreak/>
        <w:t>المحور</w:t>
      </w:r>
      <w:r w:rsidR="0028680C" w:rsidRPr="0020372B">
        <w:rPr>
          <w:rFonts w:ascii="Traditional Arabic" w:eastAsia="Times New Roman" w:hAnsi="Traditional Arabic" w:cs="Traditional Arabic" w:hint="cs"/>
          <w:b/>
          <w:bCs/>
          <w:sz w:val="40"/>
          <w:szCs w:val="40"/>
          <w:rtl/>
        </w:rPr>
        <w:t xml:space="preserve"> الثاني: الدراسات السابقة</w:t>
      </w:r>
    </w:p>
    <w:p w14:paraId="5D2CDC27" w14:textId="77777777" w:rsidR="00B91EF8" w:rsidRDefault="00B91EF8" w:rsidP="002A257A">
      <w:pPr>
        <w:bidi/>
        <w:spacing w:after="200" w:line="360" w:lineRule="auto"/>
        <w:jc w:val="both"/>
        <w:rPr>
          <w:rFonts w:ascii="Traditional Arabic" w:eastAsia="Times New Roman" w:hAnsi="Traditional Arabic" w:cs="Traditional Arabic"/>
          <w:b/>
          <w:bCs/>
          <w:sz w:val="36"/>
          <w:szCs w:val="36"/>
          <w:rtl/>
        </w:rPr>
      </w:pPr>
      <w:r w:rsidRPr="0020372B">
        <w:rPr>
          <w:rFonts w:ascii="Traditional Arabic" w:eastAsia="Times New Roman" w:hAnsi="Traditional Arabic" w:cs="Traditional Arabic"/>
          <w:b/>
          <w:bCs/>
          <w:sz w:val="36"/>
          <w:szCs w:val="36"/>
          <w:rtl/>
        </w:rPr>
        <w:t>أولاً: الدراسات المتعلقة باستراتيجيات مواجهة ضغوط العمل (كعامل مؤثر في الرضا الوظيفي والاحتراق الوظيفي</w:t>
      </w:r>
      <w:r w:rsidRPr="0020372B">
        <w:rPr>
          <w:rFonts w:ascii="Traditional Arabic" w:eastAsia="Times New Roman" w:hAnsi="Traditional Arabic" w:cs="Traditional Arabic" w:hint="cs"/>
          <w:b/>
          <w:bCs/>
          <w:sz w:val="36"/>
          <w:szCs w:val="36"/>
          <w:rtl/>
        </w:rPr>
        <w:t>)</w:t>
      </w:r>
    </w:p>
    <w:p w14:paraId="35D3578B" w14:textId="77777777" w:rsidR="004519FD" w:rsidRPr="0020372B" w:rsidRDefault="004519FD" w:rsidP="004519FD">
      <w:pPr>
        <w:bidi/>
        <w:spacing w:after="200" w:line="360" w:lineRule="auto"/>
        <w:jc w:val="both"/>
        <w:rPr>
          <w:rFonts w:ascii="Traditional Arabic" w:eastAsia="Times New Roman" w:hAnsi="Traditional Arabic" w:cs="Traditional Arabic"/>
          <w:b/>
          <w:bCs/>
          <w:sz w:val="36"/>
          <w:szCs w:val="36"/>
          <w:rtl/>
          <w:lang w:bidi="ar-AE"/>
        </w:rPr>
      </w:pPr>
    </w:p>
    <w:p w14:paraId="1D06BBC2"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دراسة الغزو</w:t>
      </w:r>
      <w:r w:rsidRPr="002A257A">
        <w:rPr>
          <w:rFonts w:ascii="Traditional Arabic" w:eastAsia="Times New Roman" w:hAnsi="Traditional Arabic" w:cs="Traditional Arabic" w:hint="cs"/>
          <w:sz w:val="32"/>
          <w:szCs w:val="32"/>
          <w:rtl/>
        </w:rPr>
        <w:t>،</w:t>
      </w:r>
      <w:r w:rsidRPr="002A257A">
        <w:rPr>
          <w:rFonts w:ascii="Traditional Arabic" w:eastAsia="Times New Roman" w:hAnsi="Traditional Arabic" w:cs="Traditional Arabic"/>
          <w:sz w:val="32"/>
          <w:szCs w:val="32"/>
          <w:rtl/>
        </w:rPr>
        <w:t xml:space="preserve"> (2024)</w:t>
      </w:r>
    </w:p>
    <w:p w14:paraId="6A096FFB"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دراسة الغزو (2024) المعنونة "استراتيجيات مواجهة الضغوط المهنية كمتنبئات بالقلق الوظيفي والشعور بالرضا المهني لدى المعلمات المتزوجات في محافظة إربد" إلى تحديد أكثر استراتيجيات مواجهة الضغوط المهنية قدرة على التنبؤ بكل من القلق الوظيفي والرضا المهني لدى المعلمات المتزوجات. اعتمدت الدراسة المنهج الوصفي الارتباطي، وطُبِّقت على عينة من المعلمات المتزوجات في محافظة إربد، حيث استخدمت استبانات لقياس استراتيجيات المواجهة، والقلق الوظيفي، والرضا المهني</w:t>
      </w:r>
      <w:r w:rsidRPr="002A257A">
        <w:rPr>
          <w:rFonts w:ascii="Traditional Arabic" w:eastAsia="Times New Roman" w:hAnsi="Traditional Arabic" w:cs="Traditional Arabic"/>
          <w:sz w:val="32"/>
          <w:szCs w:val="32"/>
        </w:rPr>
        <w:t>.</w:t>
      </w:r>
    </w:p>
    <w:p w14:paraId="04C3EA35"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وجود فروق ذات دلالة إحصائية في استخدام استراتيجيات المواجهة الإيجابية تعزى إلى متغيرات ديموغرافية، حيث تبين أن المعلمات ممن تجاوزن سن الأربعين، ومن لديهن خبرة تزيد عن خمسة عشر عامًا، وكذلك الحاصلات على مؤهلات دراسات عليا، كنَّ الأكثر استخدامًا للاستراتيجيات الإيجابية. كما بينت النتائج أن استراتيجيات المواجهة الإيجابية كانت الأكثر قدرة على التنبؤ بالقلق الوظيفي، إذ فسرت نسبة (15.5%) من التباين، مقارنة بالاستراتيجيات السلبية التي فسرت (7.5%). كذلك فسرت الاستراتيجيات الإيجابية نسبة (15.7%) من التباين في الشعور بالرضا المهني، مما يدل على دورها البارز في تعزيز الرضا وتقليل مستويات القلق</w:t>
      </w:r>
      <w:r w:rsidRPr="002A257A">
        <w:rPr>
          <w:rFonts w:ascii="Traditional Arabic" w:eastAsia="Times New Roman" w:hAnsi="Traditional Arabic" w:cs="Traditional Arabic"/>
          <w:sz w:val="32"/>
          <w:szCs w:val="32"/>
        </w:rPr>
        <w:t>.</w:t>
      </w:r>
    </w:p>
    <w:p w14:paraId="735E4D09" w14:textId="7986C640"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تكتسب هذه الدراسة أهمية خاصة في دعم المنطلق النظري للدراسة الحالية، إذ تؤكد الدور التفسيري لاستراتيجيات مواجهة الضغوط المهنية في تعزيز الرضا المهني وتقليل الآثار النفسية السلبية. غير أن اختلاف البيئة التنظيمية، حيث أجريت الدراسة في قطاع تعليمي، يبرز الحاجة إلى اختبار هذه العلاقات في بيئة قضائية ذات طبيعة ضغوط مختلفة، وهو ما تسعى إليه الدراسة الحالية من خلال تطبيق النموذج في محكمة الأحوال الشخصية بجدة.</w:t>
      </w:r>
    </w:p>
    <w:p w14:paraId="42707352"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Pr>
      </w:pPr>
    </w:p>
    <w:p w14:paraId="03BE4224"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Woods et al. (2023)</w:t>
      </w:r>
    </w:p>
    <w:p w14:paraId="1700801F" w14:textId="07D24525" w:rsidR="00B91EF8" w:rsidRPr="002A257A" w:rsidRDefault="00B91EF8" w:rsidP="004519FD">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دراسة وودز وزملائه (2023) المعنونة "العلاقة بين ضغط المعلمين والرضا الوظيفي: دراسة تأثير استراتيجيات المواجهة كمتغير معدل" إلى اختبار الدور المعدِّل لاستراتيجيات المواجهة في العلاقة بين الضغط الوظيفي والرضا الوظيفي لدى المعلمين. اعتمدت الدراسة المنهج الكمي المقطعي، وتم جمع البيانات باستخدام استبيانات معيارية لقياس مستويات الضغط الوظيفي، والرضا الوظيفي، وأنماط استراتيجيات المواجهة</w:t>
      </w:r>
      <w:r w:rsidRPr="002A257A">
        <w:rPr>
          <w:rFonts w:ascii="Traditional Arabic" w:eastAsia="Times New Roman" w:hAnsi="Traditional Arabic" w:cs="Traditional Arabic"/>
          <w:sz w:val="32"/>
          <w:szCs w:val="32"/>
        </w:rPr>
        <w:t>.</w:t>
      </w:r>
    </w:p>
    <w:p w14:paraId="093FD841"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وجود علاقة سلبية ذات دلالة إحصائية بين الضغط الوظيفي والرضا الوظيفي، بما يعني أن ارتفاع مستويات الضغط يقترن بانخفاض مستويات الرضا. كما بينت النتائج أن استراتيجيات المواجهة تؤدي دورًا وقائيًا، إذ تخفف من حدة التأثير السلبي للضغط على الرضا الوظيفي. وأوضحت التحليلات أن المعلمين الذين يمتلكون مهارات مواجهة مرتفعة أظهروا مستويات رضا أعلى مقارنة بأولئك الذين يتمتعون بمهارات مواجهة منخفضة، حتى في ظل مستويات ضغط مرتفعة</w:t>
      </w:r>
      <w:r w:rsidRPr="002A257A">
        <w:rPr>
          <w:rFonts w:ascii="Traditional Arabic" w:eastAsia="Times New Roman" w:hAnsi="Traditional Arabic" w:cs="Traditional Arabic"/>
          <w:sz w:val="32"/>
          <w:szCs w:val="32"/>
        </w:rPr>
        <w:t>.</w:t>
      </w:r>
    </w:p>
    <w:p w14:paraId="12C028D5" w14:textId="553291FA"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تبرز أهمية هذه الدراسة في إظهار أن استراتيجيات المواجهة لا تقتصر على كونها استجابات فردية، بل تمثل آلية تنظيمية فاعلة تحد من الآثار السلبية للضغوط المهنية. وتدعم هذه النتائج الإطار النظري للدراسة الحالية من حيث إبراز الدور التفسيري لاستراتيجيات مواجهة ضغوط العمل في تحسين الرضا الوظيفي. غير أن اختلاف بيئة الدراسة، حيث أجريت في قطاع التعليم، يستدعي اختبار هذه العلاقات في بيئة قضائية تتسم بخصوصية وضغوط مهنية مختلفة، وهو ما تسعى الدراسة الحالية إلى تحقيقه في سياق محكمة الأحوال الشخصية بجدة.</w:t>
      </w:r>
    </w:p>
    <w:p w14:paraId="467A5695" w14:textId="77777777" w:rsidR="00B91EF8" w:rsidRPr="002A257A" w:rsidRDefault="00B91EF8" w:rsidP="00B91EF8">
      <w:pPr>
        <w:bidi/>
        <w:spacing w:after="200" w:line="360" w:lineRule="auto"/>
        <w:jc w:val="both"/>
        <w:rPr>
          <w:rFonts w:ascii="Traditional Arabic" w:eastAsia="Times New Roman" w:hAnsi="Traditional Arabic" w:cs="Traditional Arabic"/>
          <w:sz w:val="32"/>
          <w:szCs w:val="32"/>
        </w:rPr>
      </w:pPr>
    </w:p>
    <w:p w14:paraId="5E587DA6"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Friganovic and Selic (2021)</w:t>
      </w:r>
    </w:p>
    <w:p w14:paraId="59EA2FD6" w14:textId="28B34128" w:rsidR="00B91EF8" w:rsidRPr="002A257A" w:rsidRDefault="00B91EF8" w:rsidP="004519FD">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هذه الدراسة إلى استكشاف العلاقة بين مستويات الإرهاق النفسي، وآليات التأقلم، والرضا الوظيفي لدى الممرضين العاملين في وحدات العناية المركزة في كرواتيا. اعتمدت الدراسة المنهج الكمي المقطعي متعدد المراكز، وطبقت على عينة مكونة من (620) ممرضًا، حيث جُمعت البيانات باستخدام مقياس ماسلاش للاحتراق النفسي، ومقياس استراتيجيات التأقلم، ومقياس الرضا الوظيفي، وتم تحليل البيانات باستخدام نمذجة المعادلات الهيكلية</w:t>
      </w:r>
      <w:r w:rsidRPr="002A257A">
        <w:rPr>
          <w:rFonts w:ascii="Traditional Arabic" w:eastAsia="Times New Roman" w:hAnsi="Traditional Arabic" w:cs="Traditional Arabic"/>
          <w:sz w:val="32"/>
          <w:szCs w:val="32"/>
        </w:rPr>
        <w:t>.</w:t>
      </w:r>
    </w:p>
    <w:p w14:paraId="083A1A75"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أظهرت النتائج وجود علاقة سلبية قوية ذات دلالة إحصائية بين الرضا الوظيفي والإرهاق النفسي، بما يعني أن ارتفاع مستويات الاحتراق يقترن بانخفاض مستويات الرضا. كما كشفت النتائج عن ارتباط إيجابي بين استخدام استراتيجيات التأقلم السلبية وارتفاع مستويات الإرهاق النفسي، مما يشير إلى أن أنماط المواجهة غير الفعالة تسهم في تفاقم الاحتراق. في المقابل، أكدت الدراسة أهمية تعزيز استراتيجيات المواجهة الإيجابية ضمن برامج تدريب الممرضين للحد من مستويات الإرهاق وتحسين الرضا </w:t>
      </w:r>
      <w:r w:rsidRPr="002A257A">
        <w:rPr>
          <w:rFonts w:ascii="Traditional Arabic" w:eastAsia="Times New Roman" w:hAnsi="Traditional Arabic" w:cs="Traditional Arabic"/>
          <w:sz w:val="32"/>
          <w:szCs w:val="32"/>
          <w:rtl/>
        </w:rPr>
        <w:lastRenderedPageBreak/>
        <w:t>الوظيفي. وأشارت النتائج كذلك إلى عدم وجود فروق ذات دلالة إحصائية تعزى لمتغير الجنس في استخدام آليات التأقلم، مما يدل على أن المشكلة تمتد إلى الجنسين على حد سواء. ومع ذلك، نبهت الدراسة إلى محدودية تعميم النتائج نظرًا لاقتصار العينة على ممرضين في وحدات العناية المركزة</w:t>
      </w:r>
      <w:r w:rsidRPr="002A257A">
        <w:rPr>
          <w:rFonts w:ascii="Traditional Arabic" w:eastAsia="Times New Roman" w:hAnsi="Traditional Arabic" w:cs="Traditional Arabic"/>
          <w:sz w:val="32"/>
          <w:szCs w:val="32"/>
        </w:rPr>
        <w:t>.</w:t>
      </w:r>
    </w:p>
    <w:p w14:paraId="3FE908CA" w14:textId="34CE5031"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تسهم هذه الدراسة في دعم الإطار النظري للدراسة الحالية من خلال إبراز الدور المركزي للاحتراق الوظيفي بوصفه متغيرًا يرتبط سلبًا بالرضا الوظيفي ويتأثر بأنماط المواجهة المختلفة، وهو ما يعزز منطق إدراجه كمتغير وسيط في العلاقة بين استراتيجيات مواجهة ضغوط العمل والرضا الوظيفي في بيئات عمل ضاغطة. غير أن اختلاف البيئة الصحية عن البيئة القضائية يستلزم اختبار هذه العلاقات في سياق محكمة الأحوال الشخصية بجدة، التي تتسم بطبيعة ضغوط مهنية ذات أبعاد قانونية واجتماعية خاصة.</w:t>
      </w:r>
    </w:p>
    <w:p w14:paraId="208B9B93"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tl/>
        </w:rPr>
      </w:pPr>
    </w:p>
    <w:p w14:paraId="6A03074B"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Portero de la Cruz et al. (2020)</w:t>
      </w:r>
    </w:p>
    <w:p w14:paraId="3B7912DE"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هذه الدراسة إلى تحليل العلاقة بين الإرهاق النفسي، والإجهاد المدرك، والرضا الوظيفي، واستراتيجيات التأقلم لدى الممرضين العاملين في أقسام الطوارئ في إسبانيا. اعتمدت الدراسة المنهج الكمي المقطعي متعدد المواقع، وطبقت على عينة مكونة من (171) ممرضًا، حيث استخدمت مجموعة من الأدوات المعيارية شملت مقياس ماسلاش للاحتراق النفسي، ومقياس الإجهاد المدرك، إضافة إلى استبيانات لقياس استراتيجيات التأقلم والصحة العامة</w:t>
      </w:r>
      <w:r w:rsidRPr="002A257A">
        <w:rPr>
          <w:rFonts w:ascii="Traditional Arabic" w:eastAsia="Times New Roman" w:hAnsi="Traditional Arabic" w:cs="Traditional Arabic"/>
          <w:sz w:val="32"/>
          <w:szCs w:val="32"/>
        </w:rPr>
        <w:t>.</w:t>
      </w:r>
    </w:p>
    <w:p w14:paraId="56FDE5F3" w14:textId="77777777" w:rsidR="00B91EF8" w:rsidRPr="002A257A" w:rsidRDefault="00B91EF8" w:rsidP="00B91EF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أظهرت النتائج انتشارًا ملحوظًا للإرهاق النفسي بنسبة (8.19%)، مع تسجيل مستويات معتدلة من الإجهاد المدرك والرضا الوظيفي. كما تبين أن استراتيجيات التأقلم الموجهة نحو حل المشكلة </w:t>
      </w:r>
      <w:r w:rsidRPr="002A257A">
        <w:rPr>
          <w:rFonts w:ascii="Traditional Arabic" w:eastAsia="Times New Roman" w:hAnsi="Traditional Arabic" w:cs="Traditional Arabic"/>
          <w:sz w:val="32"/>
          <w:szCs w:val="32"/>
          <w:rtl/>
        </w:rPr>
        <w:lastRenderedPageBreak/>
        <w:t>كانت الأكثر استخدامًا بين أفراد العينة، في حين ارتبطت بعض العوامل الشخصية والسلوكية مثل قلة ممارسة الرياضة، والجنس، وعدد سنوات الخبرة، ومستويات القلق، بارتفاع بعض أبعاد الإرهاق النفسي. وأكدت الدراسة أهمية تعزيز استراتيجيات التأقلم الإيجابية بوصفها وسيلة لتحسين الصحة النفسية والحد من الاحتراق في بيئات العمل عالية الضغط، مع الإشارة إلى ضرورة إجراء دراسات أوسع تشمل قطاعات صحية متعددة لتعزيز إمكانية التعميم</w:t>
      </w:r>
      <w:r w:rsidRPr="002A257A">
        <w:rPr>
          <w:rFonts w:ascii="Traditional Arabic" w:eastAsia="Times New Roman" w:hAnsi="Traditional Arabic" w:cs="Traditional Arabic"/>
          <w:sz w:val="32"/>
          <w:szCs w:val="32"/>
        </w:rPr>
        <w:t>.</w:t>
      </w:r>
    </w:p>
    <w:p w14:paraId="321F9AAA" w14:textId="2162788C" w:rsidR="00963D02" w:rsidRPr="002A257A" w:rsidRDefault="00B91EF8" w:rsidP="0020372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تسهم هذه الدراسة في تدعيم الإطار النظري للدراسة الحالية من خلال إبراز الترابط بين استراتيجيات التأقلم ومستويات الاحتراق والرضا الوظيفي، بما يعزز منطق اعتبار الاحتراق الوظيفي متغيرًا وسيطًا يفسر العلاقة بين ضغوط العمل ونتائجها الوظيفية. غير أن اقتصار الدراسة على قطاع الرعاية الصحية يبرز الحاجة إلى اختبار هذه العلاقات في بيئات تنظيمية مختلفة، مثل البيئة القضائية، التي تتسم بطبيعة ضغوط مهنية واجتماعية خاصة كما هو الحال في محكمة الأحوال الشخصية بجدة.</w:t>
      </w:r>
    </w:p>
    <w:p w14:paraId="017D3963" w14:textId="77777777" w:rsidR="00963D02" w:rsidRPr="002A257A" w:rsidRDefault="00963D02" w:rsidP="00963D02">
      <w:pPr>
        <w:bidi/>
        <w:spacing w:after="200" w:line="360" w:lineRule="auto"/>
        <w:ind w:firstLine="720"/>
        <w:jc w:val="both"/>
        <w:rPr>
          <w:rFonts w:ascii="Traditional Arabic" w:eastAsia="Times New Roman" w:hAnsi="Traditional Arabic" w:cs="Traditional Arabic"/>
          <w:sz w:val="32"/>
          <w:szCs w:val="32"/>
        </w:rPr>
      </w:pPr>
    </w:p>
    <w:p w14:paraId="692837EA"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Isfianadewi &amp; Noordyani (2020)</w:t>
      </w:r>
    </w:p>
    <w:p w14:paraId="69D606A9" w14:textId="65A51309" w:rsidR="00963D02" w:rsidRPr="002A257A" w:rsidRDefault="00963D02" w:rsidP="00963D02">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هذه الدراسة المعنونة "أثر تطبيق استراتيجيات المواجهة في التخفيف من صراع العمل والأسرة وتأثيره على الضغط والرضا الوظيفي: دراسة دور الدعم الاجتماعي كعامل معدل" إلى تحليل العلاقة بين صراع العمل والأسرة وكل من الضغط الوظيفي والرضا الوظيفي، مع اختبار الدور المعدِّل للدعم الاجتماعي في هذه العلاقة. اعتمدت الدراسة المنهج الوصفي التحليلي، وأُجريت على عينة من موظفي المطاعم في مدينة يوجياكارتا بإندونيسيا، حيث جُمعت البيانات من خلال استبيان (لم يُذكر العدد الدقيق للعينة في الملخص الأصلي).</w:t>
      </w:r>
    </w:p>
    <w:p w14:paraId="3D4802DA" w14:textId="77777777" w:rsidR="00963D02" w:rsidRPr="002A257A" w:rsidRDefault="00963D02" w:rsidP="00963D02">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أظهرت النتائج أن صراع العمل والأسرة لم يكن له تأثير مباشر ذو دلالة إحصائية على الضغط الوظيفي، إلا أنه أثر سلبًا وبشكل ملحوظ على الرضا الوظيفي. كما بينت النتائج أن الدعم الاجتماعي لم ينجح في تعديل العلاقة بين صراع العمل والأسرة والضغط الوظيفي، في حين استمر التأثير السلبي لصراع العمل والأسرة على الرضا الوظيفي حتى في ظل وجود الدعم الاجتماعي. وأوصت الدراسة بضرورة تبني المؤسسات لاستراتيجيات مواجهة فعالة تسهم في الحد من آثار الصراع بين الأدوار على رضا الموظفين وتحسين استقرارهم المهني</w:t>
      </w:r>
      <w:r w:rsidRPr="002A257A">
        <w:rPr>
          <w:rFonts w:ascii="Traditional Arabic" w:eastAsia="Times New Roman" w:hAnsi="Traditional Arabic" w:cs="Traditional Arabic"/>
          <w:sz w:val="32"/>
          <w:szCs w:val="32"/>
        </w:rPr>
        <w:t>.</w:t>
      </w:r>
    </w:p>
    <w:p w14:paraId="659BC3AE" w14:textId="7E48513E" w:rsidR="00B91EF8" w:rsidRPr="002A257A" w:rsidRDefault="00963D02" w:rsidP="00963D02">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تكتسب هذه الدراسة أهمية بالنسبة للدراسة الحالية من حيث إبراز الدور الحاسم لاستراتيجيات المواجهة في تعزيز الرضا الوظيفي، حتى في ظل ضغوط ناتجة عن تعارض الأدوار المهنية والأسرية. غير أن اختلاف البيئة التنظيمية، حيث أُجريت الدراسة في قطاع المطاعم، يبرز الحاجة إلى اختبار فاعلية استراتيجيات مواجهة ضغوط العمل في بيئات تنظيمية أكثر حساسية وتعقيدًا مثل البيئة القضائية، وهو ما تسعى إليه الدراسة الحالية في سياق محكمة الأحوال الشخصية بجدة.</w:t>
      </w:r>
    </w:p>
    <w:p w14:paraId="26DC1E43"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23AECCF8" w14:textId="77777777" w:rsidR="00B91EF8" w:rsidRDefault="00B91EF8" w:rsidP="00B91EF8">
      <w:pPr>
        <w:bidi/>
        <w:spacing w:after="200" w:line="360" w:lineRule="auto"/>
        <w:jc w:val="both"/>
        <w:rPr>
          <w:rFonts w:ascii="Traditional Arabic" w:eastAsia="Times New Roman" w:hAnsi="Traditional Arabic" w:cs="Traditional Arabic"/>
          <w:b/>
          <w:bCs/>
          <w:sz w:val="36"/>
          <w:szCs w:val="36"/>
          <w:rtl/>
        </w:rPr>
      </w:pPr>
      <w:r w:rsidRPr="0020372B">
        <w:rPr>
          <w:rFonts w:ascii="Traditional Arabic" w:eastAsia="Times New Roman" w:hAnsi="Traditional Arabic" w:cs="Traditional Arabic"/>
          <w:b/>
          <w:bCs/>
          <w:sz w:val="36"/>
          <w:szCs w:val="36"/>
          <w:rtl/>
        </w:rPr>
        <w:t>ثانيًا: الدراسات المتعلقة بالاحتراق الوظيفي كمتغير وسيط أو كنتيجة لضغوط العمل</w:t>
      </w:r>
    </w:p>
    <w:p w14:paraId="42D63FC7" w14:textId="3243C0A8" w:rsidR="009C699E" w:rsidRPr="009C699E" w:rsidRDefault="009C699E" w:rsidP="009C699E">
      <w:pPr>
        <w:pStyle w:val="a3"/>
        <w:numPr>
          <w:ilvl w:val="0"/>
          <w:numId w:val="17"/>
        </w:numPr>
        <w:bidi/>
        <w:spacing w:after="200" w:line="360" w:lineRule="auto"/>
        <w:jc w:val="both"/>
        <w:rPr>
          <w:rFonts w:ascii="Traditional Arabic" w:eastAsia="Times New Roman" w:hAnsi="Traditional Arabic" w:cs="Traditional Arabic"/>
          <w:sz w:val="36"/>
          <w:szCs w:val="36"/>
          <w:rtl/>
        </w:rPr>
      </w:pPr>
      <w:r w:rsidRPr="009C699E">
        <w:rPr>
          <w:rFonts w:ascii="Traditional Arabic" w:eastAsia="Times New Roman" w:hAnsi="Traditional Arabic" w:cs="Traditional Arabic"/>
          <w:sz w:val="36"/>
          <w:szCs w:val="36"/>
          <w:rtl/>
        </w:rPr>
        <w:t>دراسة (</w:t>
      </w:r>
      <w:r w:rsidRPr="009C699E">
        <w:rPr>
          <w:rFonts w:ascii="Traditional Arabic" w:eastAsia="Times New Roman" w:hAnsi="Traditional Arabic" w:cs="Traditional Arabic"/>
          <w:sz w:val="36"/>
          <w:szCs w:val="36"/>
        </w:rPr>
        <w:t>Aljawarneh</w:t>
      </w:r>
      <w:r>
        <w:rPr>
          <w:rFonts w:ascii="Traditional Arabic" w:eastAsia="Times New Roman" w:hAnsi="Traditional Arabic" w:cs="Traditional Arabic"/>
          <w:sz w:val="36"/>
          <w:szCs w:val="36"/>
        </w:rPr>
        <w:t xml:space="preserve"> et al</w:t>
      </w:r>
      <w:r w:rsidRPr="009C699E">
        <w:rPr>
          <w:rFonts w:ascii="Traditional Arabic" w:eastAsia="Times New Roman" w:hAnsi="Traditional Arabic" w:cs="Traditional Arabic"/>
          <w:sz w:val="36"/>
          <w:szCs w:val="36"/>
        </w:rPr>
        <w:t>, 2025</w:t>
      </w:r>
      <w:r w:rsidRPr="009C699E">
        <w:rPr>
          <w:rFonts w:ascii="Traditional Arabic" w:eastAsia="Times New Roman" w:hAnsi="Traditional Arabic" w:cs="Traditional Arabic"/>
          <w:sz w:val="36"/>
          <w:szCs w:val="36"/>
          <w:rtl/>
        </w:rPr>
        <w:t>)</w:t>
      </w:r>
    </w:p>
    <w:p w14:paraId="7481D7CA" w14:textId="620A83B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 xml:space="preserve">هدفت هذه الدراسة إلى تحليل أثر ضغوط العمل في الاحتراق الوظيفي وانعكاس ذلك على مستوى الرضا الوظيفي لدى العاملين، مع التركيز على اختبار العلاقات المباشرة وغير المباشرة بين هذه المتغيرات في بيئة عمل معاصرة تتسم بارتفاع مستويات التحديات المهنية. وتنبع أهمية هذه الدراسة من سعيها إلى </w:t>
      </w:r>
      <w:r w:rsidRPr="004519FD">
        <w:rPr>
          <w:rFonts w:ascii="Traditional Arabic" w:eastAsia="Times New Roman" w:hAnsi="Traditional Arabic" w:cs="Traditional Arabic"/>
          <w:sz w:val="32"/>
          <w:szCs w:val="32"/>
          <w:rtl/>
        </w:rPr>
        <w:lastRenderedPageBreak/>
        <w:t>تفسير الآليات النفسية والتنظيمية التي تربط بين الضغوط المهنية ومخرجات العمل، وخاصة في ظل التغيرات المتسارعة في بيئات العمل الحديثة</w:t>
      </w:r>
      <w:r w:rsidRPr="004519FD">
        <w:rPr>
          <w:rFonts w:ascii="Traditional Arabic" w:eastAsia="Times New Roman" w:hAnsi="Traditional Arabic" w:cs="Traditional Arabic"/>
          <w:sz w:val="32"/>
          <w:szCs w:val="32"/>
        </w:rPr>
        <w:t>.</w:t>
      </w:r>
    </w:p>
    <w:p w14:paraId="2610BD4B" w14:textId="486BF812"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أُجريت الدراسة في دولة الإمارات العربية المتحدة ضمن قطاع المؤسسات الخدمية، حيث اعتمدت المنهج الكمي الوصفي التحليلي لملاءمته لطبيعة الدراسة. وتمثل مجتمع الدراسة في العاملين في عدد من المؤسسات الخدمية، في حين تم اختيار عينة عشوائية بلغت حوالي (300) موظف. وقد تم استخدام الاستبانة كأداة رئيسة لجمع البيانات، والتي تضمنت مقاييس لقياس ضغوط العمل، والاحتراق الوظيفي بأبعاده الثلاثة، والرضا الوظيفي. كما تم تحليل البيانات باستخدام نمذجة المعادلات الهيكلية</w:t>
      </w:r>
      <w:r w:rsidRPr="004519FD">
        <w:rPr>
          <w:rFonts w:ascii="Traditional Arabic" w:eastAsia="Times New Roman" w:hAnsi="Traditional Arabic" w:cs="Traditional Arabic"/>
          <w:sz w:val="32"/>
          <w:szCs w:val="32"/>
        </w:rPr>
        <w:t xml:space="preserve"> (SEM) </w:t>
      </w:r>
      <w:r w:rsidRPr="004519FD">
        <w:rPr>
          <w:rFonts w:ascii="Traditional Arabic" w:eastAsia="Times New Roman" w:hAnsi="Traditional Arabic" w:cs="Traditional Arabic"/>
          <w:sz w:val="32"/>
          <w:szCs w:val="32"/>
          <w:rtl/>
        </w:rPr>
        <w:t>لاختبار العلاقات بين المتغيرات</w:t>
      </w:r>
      <w:r w:rsidRPr="004519FD">
        <w:rPr>
          <w:rFonts w:ascii="Traditional Arabic" w:eastAsia="Times New Roman" w:hAnsi="Traditional Arabic" w:cs="Traditional Arabic"/>
          <w:sz w:val="32"/>
          <w:szCs w:val="32"/>
        </w:rPr>
        <w:t>.</w:t>
      </w:r>
    </w:p>
    <w:p w14:paraId="45CE55D9" w14:textId="7118964A" w:rsidR="009C699E" w:rsidRPr="004519FD" w:rsidRDefault="009C699E" w:rsidP="009C699E">
      <w:pPr>
        <w:bidi/>
        <w:spacing w:after="200" w:line="360" w:lineRule="auto"/>
        <w:jc w:val="both"/>
        <w:rPr>
          <w:rFonts w:ascii="Traditional Arabic" w:eastAsia="Times New Roman" w:hAnsi="Traditional Arabic" w:cs="Traditional Arabic"/>
          <w:sz w:val="32"/>
          <w:szCs w:val="32"/>
        </w:rPr>
      </w:pPr>
      <w:r w:rsidRPr="004519FD">
        <w:rPr>
          <w:rFonts w:ascii="Traditional Arabic" w:eastAsia="Times New Roman" w:hAnsi="Traditional Arabic" w:cs="Traditional Arabic"/>
          <w:sz w:val="32"/>
          <w:szCs w:val="32"/>
          <w:rtl/>
        </w:rPr>
        <w:t>أظهرت نتائج الدراسة وجود تأثير مباشر وإيجابي ذو دلالة إحصائية لضغوط العمل على الاحتراق الوظيفي، حيث تبين أن زيادة الضغوط تؤدي إلى ارتفاع مستويات الاحتراق، خاصة في بعد الإجهاد العاطفي. كما كشفت النتائج عن وجود تأثير سلبي للاحتراق الوظيفي على الرضا الوظيفي، مما يدل على أن ارتفاع مستويات الاحتراق يؤدي إلى انخفاض مستويات الرضا. إضافة إلى ذلك، أكدت النتائج وجود تأثير غير مباشر لضغوط العمل على الرضا الوظيفي من خلال الاحتراق الوظيفي، مما يعزز من دوره كمتغير وسيط في هذه العلاقة</w:t>
      </w:r>
      <w:r w:rsidRPr="004519FD">
        <w:rPr>
          <w:rFonts w:ascii="Traditional Arabic" w:eastAsia="Times New Roman" w:hAnsi="Traditional Arabic" w:cs="Traditional Arabic"/>
          <w:sz w:val="32"/>
          <w:szCs w:val="32"/>
        </w:rPr>
        <w:t>.</w:t>
      </w:r>
    </w:p>
    <w:p w14:paraId="17C042AC" w14:textId="7777777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 xml:space="preserve">تبرز أهمية هذه الدراسة في تأكيدها للدور الوسيط للاحتراق الوظيفي في تفسير العلاقة بين ضغوط العمل والرضا الوظيفي، وهو ما يتوافق بشكل كبير مع النموذج المفاهيمي للدراسة الحالية. ومع ذلك، فإن اقتصار الدراسة على تحليل العلاقة المباشرة دون التعمق في دور استراتيجيات مواجهة الضغوط </w:t>
      </w:r>
      <w:r w:rsidRPr="004519FD">
        <w:rPr>
          <w:rFonts w:ascii="Traditional Arabic" w:eastAsia="Times New Roman" w:hAnsi="Traditional Arabic" w:cs="Traditional Arabic"/>
          <w:sz w:val="32"/>
          <w:szCs w:val="32"/>
          <w:rtl/>
        </w:rPr>
        <w:lastRenderedPageBreak/>
        <w:t>كعامل معدل أو مفسر يحد من شموليتها، مما يبرز الحاجة إلى إدخال هذا المتغير كما في الدراسة الحالية، خاصة في بيئة قضائية تتسم بخصوصية الضغوط المهنية</w:t>
      </w:r>
      <w:r w:rsidRPr="004519FD">
        <w:rPr>
          <w:rFonts w:ascii="Traditional Arabic" w:eastAsia="Times New Roman" w:hAnsi="Traditional Arabic" w:cs="Traditional Arabic"/>
          <w:sz w:val="32"/>
          <w:szCs w:val="32"/>
        </w:rPr>
        <w:t>.</w:t>
      </w:r>
    </w:p>
    <w:p w14:paraId="191C2F52" w14:textId="7777777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p>
    <w:p w14:paraId="43894477" w14:textId="7EA3C455" w:rsidR="009C699E" w:rsidRPr="004519FD" w:rsidRDefault="009C699E" w:rsidP="009C699E">
      <w:pPr>
        <w:pStyle w:val="a3"/>
        <w:numPr>
          <w:ilvl w:val="0"/>
          <w:numId w:val="17"/>
        </w:num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دراسة (</w:t>
      </w:r>
      <w:r w:rsidRPr="004519FD">
        <w:rPr>
          <w:rFonts w:ascii="Traditional Arabic" w:eastAsia="Times New Roman" w:hAnsi="Traditional Arabic" w:cs="Traditional Arabic"/>
          <w:sz w:val="32"/>
          <w:szCs w:val="32"/>
        </w:rPr>
        <w:t>Arumsari et al., 2025</w:t>
      </w:r>
      <w:r w:rsidRPr="004519FD">
        <w:rPr>
          <w:rFonts w:ascii="Traditional Arabic" w:eastAsia="Times New Roman" w:hAnsi="Traditional Arabic" w:cs="Traditional Arabic"/>
          <w:sz w:val="32"/>
          <w:szCs w:val="32"/>
          <w:rtl/>
        </w:rPr>
        <w:t>)</w:t>
      </w:r>
    </w:p>
    <w:p w14:paraId="1C51E4EA" w14:textId="118AB715"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هدفت هذه الدراسة إلى تحليل العلاقة بين الاحتراق الوظيفي والرضا الوظيفي وتأثيرهما في نية ترك العمل لدى العاملين، من خلال بناء نموذج يربط بين هذه المتغيرات في سياق بيئات العمل الخدمية. وتنبع أهمية الدراسة من سعيها إلى فهم العوامل المؤدية إلى دوران العمل، والتي تُعد من التحديات الرئيسة التي تواجه المنظمات</w:t>
      </w:r>
      <w:r w:rsidRPr="004519FD">
        <w:rPr>
          <w:rFonts w:ascii="Traditional Arabic" w:eastAsia="Times New Roman" w:hAnsi="Traditional Arabic" w:cs="Traditional Arabic"/>
          <w:sz w:val="32"/>
          <w:szCs w:val="32"/>
        </w:rPr>
        <w:t>.</w:t>
      </w:r>
    </w:p>
    <w:p w14:paraId="6073BBBE" w14:textId="119E59BA"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أُجريت الدراسة في إندونيسيا ضمن قطاع الشركات الخدمية، حيث اعتمدت المنهج الكمي، وتمثل مجتمع الدراسة في العاملين في الشركات الخاصة، وتم اختيار عينة مكونة من (250) موظفًا. وتم استخدام الاستبانة كأداة لجمع البيانات، والتي تضمنت مقاييس للاحتراق الوظيفي والرضا الوظيفي ونية ترك العمل. كما تم تحليل البيانات باستخدام تحليل الانحدار ونمذجة المعادلات الهيكلية</w:t>
      </w:r>
      <w:r w:rsidRPr="004519FD">
        <w:rPr>
          <w:rFonts w:ascii="Traditional Arabic" w:eastAsia="Times New Roman" w:hAnsi="Traditional Arabic" w:cs="Traditional Arabic"/>
          <w:sz w:val="32"/>
          <w:szCs w:val="32"/>
        </w:rPr>
        <w:t>.</w:t>
      </w:r>
    </w:p>
    <w:p w14:paraId="4F434AAF" w14:textId="02E4F7C9"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أظهرت النتائج وجود تأثير إيجابي للاحتراق الوظيفي على نية ترك العمل، حيث يؤدي ارتفاع الاحتراق إلى زيادة رغبة العاملين في مغادرة العمل، في حين تبين أن الرضا الوظيفي يؤثر سلبًا في نية ترك العمل. كما أظهرت النتائج وجود علاقة عكسية بين الاحتراق الوظيفي والرضا الوظيفي</w:t>
      </w:r>
      <w:r w:rsidRPr="004519FD">
        <w:rPr>
          <w:rFonts w:ascii="Traditional Arabic" w:eastAsia="Times New Roman" w:hAnsi="Traditional Arabic" w:cs="Traditional Arabic"/>
          <w:sz w:val="32"/>
          <w:szCs w:val="32"/>
        </w:rPr>
        <w:t>.</w:t>
      </w:r>
    </w:p>
    <w:p w14:paraId="6395096B" w14:textId="7777777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تبرز أهمية هذه الدراسة في تأكيدها للآثار السلوكية السلبية للاحتراق الوظيفي، إلا أنها ركزت على النتائج دون التعمق في الأسباب المؤدية للاحتراق، مما يبرز الحاجة إلى دراسة العوامل المفسرة له مثل استراتيجيات المواجهة، وهو ما تتناوله الدراسة الحالية</w:t>
      </w:r>
      <w:r w:rsidRPr="004519FD">
        <w:rPr>
          <w:rFonts w:ascii="Traditional Arabic" w:eastAsia="Times New Roman" w:hAnsi="Traditional Arabic" w:cs="Traditional Arabic"/>
          <w:sz w:val="32"/>
          <w:szCs w:val="32"/>
        </w:rPr>
        <w:t>.</w:t>
      </w:r>
    </w:p>
    <w:p w14:paraId="679732A6" w14:textId="77777777" w:rsidR="009C699E" w:rsidRPr="004519FD" w:rsidRDefault="009C699E" w:rsidP="009C699E">
      <w:pPr>
        <w:bidi/>
        <w:spacing w:after="200" w:line="360" w:lineRule="auto"/>
        <w:jc w:val="both"/>
        <w:rPr>
          <w:rFonts w:ascii="Traditional Arabic" w:eastAsia="Times New Roman" w:hAnsi="Traditional Arabic" w:cs="Traditional Arabic"/>
          <w:sz w:val="32"/>
          <w:szCs w:val="32"/>
        </w:rPr>
      </w:pPr>
    </w:p>
    <w:p w14:paraId="25028AE0" w14:textId="7777777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p>
    <w:p w14:paraId="56C67CCF" w14:textId="01B3D35B" w:rsidR="009C699E" w:rsidRPr="004519FD" w:rsidRDefault="009C699E" w:rsidP="009C699E">
      <w:pPr>
        <w:pStyle w:val="a3"/>
        <w:numPr>
          <w:ilvl w:val="0"/>
          <w:numId w:val="17"/>
        </w:num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دراسة (</w:t>
      </w:r>
      <w:r w:rsidRPr="004519FD">
        <w:rPr>
          <w:rFonts w:ascii="Traditional Arabic" w:eastAsia="Times New Roman" w:hAnsi="Traditional Arabic" w:cs="Traditional Arabic"/>
          <w:sz w:val="32"/>
          <w:szCs w:val="32"/>
        </w:rPr>
        <w:t>Conceição et al., 2025</w:t>
      </w:r>
      <w:r w:rsidRPr="004519FD">
        <w:rPr>
          <w:rFonts w:ascii="Traditional Arabic" w:eastAsia="Times New Roman" w:hAnsi="Traditional Arabic" w:cs="Traditional Arabic"/>
          <w:sz w:val="32"/>
          <w:szCs w:val="32"/>
          <w:rtl/>
        </w:rPr>
        <w:t>)</w:t>
      </w:r>
    </w:p>
    <w:p w14:paraId="2D30C829" w14:textId="036EF7B3"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هدفت هذه الدراسة إلى تحليل تأثير الاحتراق الوظيفي في الأداء الوظيفي والإنتاجية والدافعية لدى العاملين، وذلك في إطار سعيها لفهم انعكاسات الضغوط المهنية على مخرجات العمل التنظيمية. وتكمن أهمية الدراسة في ربطها بين الأبعاد النفسية للعاملين والمؤشرات التنظيمية للأداء</w:t>
      </w:r>
      <w:r w:rsidRPr="004519FD">
        <w:rPr>
          <w:rFonts w:ascii="Traditional Arabic" w:eastAsia="Times New Roman" w:hAnsi="Traditional Arabic" w:cs="Traditional Arabic"/>
          <w:sz w:val="32"/>
          <w:szCs w:val="32"/>
        </w:rPr>
        <w:t>.</w:t>
      </w:r>
    </w:p>
    <w:p w14:paraId="753D5F91" w14:textId="53213E6E"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أُجريت الدراسة في البرتغال ضمن مؤسسات متعددة القطاعات، حيث اعتمدت المنهج الكمي، وتم اختيار عينة بلغت (280) موظفًا من مختلف المستويات الوظيفية. وتم جمع البيانات باستخدام استبانة شملت مقاييس للاحتراق الوظيفي والأداء والدافعية. كما تم تحليل البيانات باستخدام أساليب إحصائية متقدمة</w:t>
      </w:r>
      <w:r w:rsidRPr="004519FD">
        <w:rPr>
          <w:rFonts w:ascii="Traditional Arabic" w:eastAsia="Times New Roman" w:hAnsi="Traditional Arabic" w:cs="Traditional Arabic"/>
          <w:sz w:val="32"/>
          <w:szCs w:val="32"/>
        </w:rPr>
        <w:t>.</w:t>
      </w:r>
    </w:p>
    <w:p w14:paraId="5ADD5C5E" w14:textId="3D64E8D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أظهرت النتائج أن الاحتراق الوظيفي يؤثر سلبًا وبشكل معنوي على الأداء الوظيفي والإنتاجية، كما يؤدي إلى انخفاض الدافعية وزيادة احتمالية ترك العمل. كما بينت النتائج أن ضغوط العمل تمثل العامل الأساسي في ارتفاع مستويات الاحتراق</w:t>
      </w:r>
      <w:r w:rsidRPr="004519FD">
        <w:rPr>
          <w:rFonts w:ascii="Traditional Arabic" w:eastAsia="Times New Roman" w:hAnsi="Traditional Arabic" w:cs="Traditional Arabic"/>
          <w:sz w:val="32"/>
          <w:szCs w:val="32"/>
        </w:rPr>
        <w:t>.</w:t>
      </w:r>
    </w:p>
    <w:p w14:paraId="792D65F3" w14:textId="7777777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تكمن أهمية هذه الدراسة في إبرازها للتأثيرات التنظيمية المباشرة للاحتراق الوظيفي، إلا أنها لم تتناول العوامل الفردية التي قد تسهم في التخفيف من هذه الآثار، مثل استراتيجيات مواجهة الضغوط، وهو ما تسعى الدراسة الحالية إلى معالجته</w:t>
      </w:r>
      <w:r w:rsidRPr="004519FD">
        <w:rPr>
          <w:rFonts w:ascii="Traditional Arabic" w:eastAsia="Times New Roman" w:hAnsi="Traditional Arabic" w:cs="Traditional Arabic"/>
          <w:sz w:val="32"/>
          <w:szCs w:val="32"/>
        </w:rPr>
        <w:t>.</w:t>
      </w:r>
    </w:p>
    <w:p w14:paraId="5DAD1961" w14:textId="7777777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p>
    <w:p w14:paraId="081D3A62" w14:textId="45ECEF51" w:rsidR="009C699E" w:rsidRPr="004519FD" w:rsidRDefault="009C699E" w:rsidP="009C699E">
      <w:pPr>
        <w:pStyle w:val="a3"/>
        <w:numPr>
          <w:ilvl w:val="0"/>
          <w:numId w:val="17"/>
        </w:num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lastRenderedPageBreak/>
        <w:t>دراسة (</w:t>
      </w:r>
      <w:r w:rsidRPr="004519FD">
        <w:rPr>
          <w:rFonts w:ascii="Traditional Arabic" w:eastAsia="Times New Roman" w:hAnsi="Traditional Arabic" w:cs="Traditional Arabic"/>
          <w:sz w:val="32"/>
          <w:szCs w:val="32"/>
        </w:rPr>
        <w:t>Alyileili et al., 2025</w:t>
      </w:r>
      <w:r w:rsidRPr="004519FD">
        <w:rPr>
          <w:rFonts w:ascii="Traditional Arabic" w:eastAsia="Times New Roman" w:hAnsi="Traditional Arabic" w:cs="Traditional Arabic"/>
          <w:sz w:val="32"/>
          <w:szCs w:val="32"/>
          <w:rtl/>
        </w:rPr>
        <w:t>)</w:t>
      </w:r>
    </w:p>
    <w:p w14:paraId="3F4AFCFD" w14:textId="0453CC75"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هدفت هذه الدراسة إلى تحليل العلاقة بين ضغوط العمل والاحتراق الوظيفي ونية ترك العمل، مع التركيز على تفسير كيفية تحول الضغوط المهنية إلى سلوكيات انسحابية لدى العاملين. وتنبع أهمية الدراسة من تناولها لمسار سببي متكامل يبدأ بالضغوط وينتهي بسلوك ترك العمل</w:t>
      </w:r>
      <w:r w:rsidRPr="004519FD">
        <w:rPr>
          <w:rFonts w:ascii="Traditional Arabic" w:eastAsia="Times New Roman" w:hAnsi="Traditional Arabic" w:cs="Traditional Arabic"/>
          <w:sz w:val="32"/>
          <w:szCs w:val="32"/>
        </w:rPr>
        <w:t>.</w:t>
      </w:r>
    </w:p>
    <w:p w14:paraId="1516E5D8" w14:textId="1DD75F66"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أُجريت الدراسة في إندونيسيا ضمن قطاع التعليم الرقمي، حيث اعتمدت المنهج الكمي، وتم اختيار عينة بلغت (200) موظف. وتم جمع البيانات باستخدام استبانة، وتم تحليلها باستخدام تحليل الانحدار</w:t>
      </w:r>
      <w:r w:rsidRPr="004519FD">
        <w:rPr>
          <w:rFonts w:ascii="Traditional Arabic" w:eastAsia="Times New Roman" w:hAnsi="Traditional Arabic" w:cs="Traditional Arabic"/>
          <w:sz w:val="32"/>
          <w:szCs w:val="32"/>
        </w:rPr>
        <w:t>.</w:t>
      </w:r>
    </w:p>
    <w:p w14:paraId="0DD15039" w14:textId="36820F94"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أظهرت النتائج أن ضغوط العمل تؤدي إلى زيادة مستويات الاحتراق الوظيفي، والذي بدوره يؤدي إلى زيادة نية ترك العمل، مما يؤكد الدور الوسيط للاحتراق في هذه العلاقة</w:t>
      </w:r>
      <w:r w:rsidRPr="004519FD">
        <w:rPr>
          <w:rFonts w:ascii="Traditional Arabic" w:eastAsia="Times New Roman" w:hAnsi="Traditional Arabic" w:cs="Traditional Arabic"/>
          <w:sz w:val="32"/>
          <w:szCs w:val="32"/>
        </w:rPr>
        <w:t xml:space="preserve">. </w:t>
      </w:r>
      <w:r w:rsidRPr="004519FD">
        <w:rPr>
          <w:rFonts w:ascii="Traditional Arabic" w:eastAsia="Times New Roman" w:hAnsi="Traditional Arabic" w:cs="Traditional Arabic"/>
          <w:sz w:val="32"/>
          <w:szCs w:val="32"/>
          <w:rtl/>
        </w:rPr>
        <w:t>تبرز أهمية هذه الدراسة في تأكيدها للعلاقة السببية بين الضغوط والاحتراق والسلوك الوظيفي، إلا أنها لم تتناول دور المتغيرات النفسية الفردية مثل استراتيجيات المواجهة، مما يعزز أهمية الدراسة الحالية</w:t>
      </w:r>
      <w:r w:rsidRPr="004519FD">
        <w:rPr>
          <w:rFonts w:ascii="Traditional Arabic" w:eastAsia="Times New Roman" w:hAnsi="Traditional Arabic" w:cs="Traditional Arabic"/>
          <w:sz w:val="32"/>
          <w:szCs w:val="32"/>
        </w:rPr>
        <w:t>.</w:t>
      </w:r>
    </w:p>
    <w:p w14:paraId="5D3FCFDC" w14:textId="7777777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p>
    <w:p w14:paraId="3C4FEBBB" w14:textId="4FEB145D" w:rsidR="009C699E" w:rsidRPr="004519FD" w:rsidRDefault="009C699E" w:rsidP="009C699E">
      <w:pPr>
        <w:pStyle w:val="a3"/>
        <w:numPr>
          <w:ilvl w:val="0"/>
          <w:numId w:val="17"/>
        </w:num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دراسة (</w:t>
      </w:r>
      <w:r w:rsidRPr="004519FD">
        <w:rPr>
          <w:rFonts w:ascii="Traditional Arabic" w:eastAsia="Times New Roman" w:hAnsi="Traditional Arabic" w:cs="Traditional Arabic"/>
          <w:sz w:val="32"/>
          <w:szCs w:val="32"/>
        </w:rPr>
        <w:t>Gün et al., 2024</w:t>
      </w:r>
      <w:r w:rsidRPr="004519FD">
        <w:rPr>
          <w:rFonts w:ascii="Traditional Arabic" w:eastAsia="Times New Roman" w:hAnsi="Traditional Arabic" w:cs="Traditional Arabic"/>
          <w:sz w:val="32"/>
          <w:szCs w:val="32"/>
          <w:rtl/>
        </w:rPr>
        <w:t>)</w:t>
      </w:r>
    </w:p>
    <w:p w14:paraId="38AFB6DF" w14:textId="741625F4"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هدفت هذه الدراسة إلى فحص دور الاحتراق الوظيفي كمتغير وسيط في العلاقة بين الدعم التنظيمي المدرك وسلوك الانسحاب الوظيفي</w:t>
      </w:r>
      <w:r w:rsidRPr="004519FD">
        <w:rPr>
          <w:rFonts w:ascii="Traditional Arabic" w:eastAsia="Times New Roman" w:hAnsi="Traditional Arabic" w:cs="Traditional Arabic"/>
          <w:sz w:val="32"/>
          <w:szCs w:val="32"/>
        </w:rPr>
        <w:t xml:space="preserve"> (quiet quitting)</w:t>
      </w:r>
      <w:r w:rsidRPr="004519FD">
        <w:rPr>
          <w:rFonts w:ascii="Traditional Arabic" w:eastAsia="Times New Roman" w:hAnsi="Traditional Arabic" w:cs="Traditional Arabic"/>
          <w:sz w:val="32"/>
          <w:szCs w:val="32"/>
          <w:rtl/>
        </w:rPr>
        <w:t>، وذلك في إطار محاولة تفسير كيفية تأثير البيئة التنظيمية في تشكيل اتجاهات وسلوكيات العاملين داخل المنظمات الحديثة. وتكمن أهمية الدراسة في تناولها لمفهوم حديث نسبيًا في الأدبيات التنظيمية، وهو سلوك الانسحاب غير المباشر، وربطه بمتغيرات نفسية وتنظيمية</w:t>
      </w:r>
      <w:r w:rsidRPr="004519FD">
        <w:rPr>
          <w:rFonts w:ascii="Traditional Arabic" w:eastAsia="Times New Roman" w:hAnsi="Traditional Arabic" w:cs="Traditional Arabic"/>
          <w:sz w:val="32"/>
          <w:szCs w:val="32"/>
        </w:rPr>
        <w:t>.</w:t>
      </w:r>
    </w:p>
    <w:p w14:paraId="5E5F7741" w14:textId="10BAE539"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lastRenderedPageBreak/>
        <w:t>أُجريت الدراسة في عدد من الدول الأوروبية ضمن بيئات عمل متعددة القطاعات، حيث اعتمدت المنهج الكمي، وتمثل مجتمع الدراسة في العاملين في المؤسسات الخدمية والإدارية. وتم اختيار عينة بلغت حوالي (400) موظف، وتم جمع البيانات باستخدام استبانة تضمنت مقاييس للدعم التنظيمي، والاحتراق الوظيفي، وسلوك الانسحاب. كما تم تحليل البيانات باستخدام نمذجة المعادلات الهيكلية</w:t>
      </w:r>
      <w:r w:rsidRPr="004519FD">
        <w:rPr>
          <w:rFonts w:ascii="Traditional Arabic" w:eastAsia="Times New Roman" w:hAnsi="Traditional Arabic" w:cs="Traditional Arabic"/>
          <w:sz w:val="32"/>
          <w:szCs w:val="32"/>
        </w:rPr>
        <w:t xml:space="preserve"> (SEM) </w:t>
      </w:r>
      <w:r w:rsidRPr="004519FD">
        <w:rPr>
          <w:rFonts w:ascii="Traditional Arabic" w:eastAsia="Times New Roman" w:hAnsi="Traditional Arabic" w:cs="Traditional Arabic"/>
          <w:sz w:val="32"/>
          <w:szCs w:val="32"/>
          <w:rtl/>
        </w:rPr>
        <w:t>لاختبار العلاقات السببية بين المتغيرات</w:t>
      </w:r>
      <w:r w:rsidRPr="004519FD">
        <w:rPr>
          <w:rFonts w:ascii="Traditional Arabic" w:eastAsia="Times New Roman" w:hAnsi="Traditional Arabic" w:cs="Traditional Arabic"/>
          <w:sz w:val="32"/>
          <w:szCs w:val="32"/>
        </w:rPr>
        <w:t>.</w:t>
      </w:r>
    </w:p>
    <w:p w14:paraId="2B558940" w14:textId="6CF87E9E"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أظهرت النتائج أن الدعم التنظيمي يؤثر سلبًا وبشكل معنوي في مستويات الاحتراق الوظيفي، كما تبين أن الاحتراق الوظيفي يؤثر إيجابيًا في سلوك الانسحاب الوظيفي، مما يشير إلى أن ارتفاع الاحتراق يؤدي إلى زيادة احتمالية انسحاب العاملين نفسيًا من العمل. كما أكدت النتائج وجود دور وسيط قوي للاحتراق الوظيفي في العلاقة بين الدعم التنظيمي وسلوك الانسحاب</w:t>
      </w:r>
      <w:r w:rsidRPr="004519FD">
        <w:rPr>
          <w:rFonts w:ascii="Traditional Arabic" w:eastAsia="Times New Roman" w:hAnsi="Traditional Arabic" w:cs="Traditional Arabic"/>
          <w:sz w:val="32"/>
          <w:szCs w:val="32"/>
        </w:rPr>
        <w:t>.</w:t>
      </w:r>
    </w:p>
    <w:p w14:paraId="0B7F3292" w14:textId="7777777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تكمن أهمية هذه الدراسة في إبرازها للاحتراق الوظيفي كآلية تفسيرية محورية في العلاقات التنظيمية، مما يعزز منطق إدراجه كمتغير وسيط في الدراسة الحالية. إلا أن تركيزها على متغير الدعم التنظيمي دون التطرق إلى استراتيجيات مواجهة الضغوط يحد من قدرتها على تفسير الفروق الفردية في الاستجابة للضغوط، وهو ما تسعى الدراسة الحالية إلى معالجته</w:t>
      </w:r>
      <w:r w:rsidRPr="004519FD">
        <w:rPr>
          <w:rFonts w:ascii="Traditional Arabic" w:eastAsia="Times New Roman" w:hAnsi="Traditional Arabic" w:cs="Traditional Arabic"/>
          <w:sz w:val="32"/>
          <w:szCs w:val="32"/>
        </w:rPr>
        <w:t>.</w:t>
      </w:r>
    </w:p>
    <w:p w14:paraId="31FF61AA" w14:textId="77777777"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p>
    <w:p w14:paraId="53962E59" w14:textId="0EB1655F" w:rsidR="009C699E" w:rsidRPr="004519FD" w:rsidRDefault="009C699E" w:rsidP="009C699E">
      <w:pPr>
        <w:pStyle w:val="a3"/>
        <w:numPr>
          <w:ilvl w:val="0"/>
          <w:numId w:val="17"/>
        </w:num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دراسة (</w:t>
      </w:r>
      <w:r w:rsidRPr="004519FD">
        <w:rPr>
          <w:rFonts w:ascii="Traditional Arabic" w:eastAsia="Times New Roman" w:hAnsi="Traditional Arabic" w:cs="Traditional Arabic"/>
          <w:sz w:val="32"/>
          <w:szCs w:val="32"/>
        </w:rPr>
        <w:t>Zeng and Hu, 2024</w:t>
      </w:r>
      <w:r w:rsidRPr="004519FD">
        <w:rPr>
          <w:rFonts w:ascii="Traditional Arabic" w:eastAsia="Times New Roman" w:hAnsi="Traditional Arabic" w:cs="Traditional Arabic"/>
          <w:sz w:val="32"/>
          <w:szCs w:val="32"/>
          <w:rtl/>
        </w:rPr>
        <w:t>)</w:t>
      </w:r>
    </w:p>
    <w:p w14:paraId="2AF2C802" w14:textId="760456CC"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هدفت هذه الدراسة إلى تحليل تأثير التوافق بين الفرد وبيئة العمل في مستويات الاحتراق الوظيفي، من خلال فحص الدور الوسيط لضغوط العمل. وتنبع أهمية الدراسة من تركيزها على العلاقة التفاعلية بين العوامل التنظيمية والنفسية</w:t>
      </w:r>
      <w:r w:rsidRPr="004519FD">
        <w:rPr>
          <w:rFonts w:ascii="Traditional Arabic" w:eastAsia="Times New Roman" w:hAnsi="Traditional Arabic" w:cs="Traditional Arabic"/>
          <w:sz w:val="32"/>
          <w:szCs w:val="32"/>
        </w:rPr>
        <w:t>.</w:t>
      </w:r>
    </w:p>
    <w:p w14:paraId="10C602FF" w14:textId="1F82C9B8" w:rsidR="009C699E" w:rsidRPr="004519FD" w:rsidRDefault="009C699E" w:rsidP="009C699E">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lastRenderedPageBreak/>
        <w:t>أُجريت الدراسة في الصين ضمن قطاع المؤسسات الخدمية، حيث اعتمدت المنهج الكمي، وتم اختيار عينة بلغت (350) موظفًا. وتم جمع البيانات باستخدام استبانة، وتم تحليلها باستخدام نمذجة المعادلات الهيكلية</w:t>
      </w:r>
      <w:r w:rsidRPr="004519FD">
        <w:rPr>
          <w:rFonts w:ascii="Traditional Arabic" w:eastAsia="Times New Roman" w:hAnsi="Traditional Arabic" w:cs="Traditional Arabic"/>
          <w:sz w:val="32"/>
          <w:szCs w:val="32"/>
        </w:rPr>
        <w:t>.</w:t>
      </w:r>
    </w:p>
    <w:p w14:paraId="1CCE2D99" w14:textId="07C44EEE" w:rsidR="009C699E" w:rsidRPr="004519FD" w:rsidRDefault="009C699E" w:rsidP="004519FD">
      <w:pPr>
        <w:bidi/>
        <w:spacing w:after="200" w:line="360" w:lineRule="auto"/>
        <w:jc w:val="both"/>
        <w:rPr>
          <w:rFonts w:ascii="Traditional Arabic" w:eastAsia="Times New Roman" w:hAnsi="Traditional Arabic" w:cs="Traditional Arabic"/>
          <w:sz w:val="32"/>
          <w:szCs w:val="32"/>
          <w:rtl/>
        </w:rPr>
      </w:pPr>
      <w:r w:rsidRPr="004519FD">
        <w:rPr>
          <w:rFonts w:ascii="Traditional Arabic" w:eastAsia="Times New Roman" w:hAnsi="Traditional Arabic" w:cs="Traditional Arabic"/>
          <w:sz w:val="32"/>
          <w:szCs w:val="32"/>
          <w:rtl/>
        </w:rPr>
        <w:t>أظهرت النتائج أن ضعف التوافق بين الفرد وبيئة العمل يؤدي إلى زيادة ضغوط العمل، والتي بدورها تؤدي إلى ارتفاع مستويات الاحتراق الوظيفي، كما يسهم الرضا الوظيفي في التخفيف من هذه الآثار</w:t>
      </w:r>
      <w:r w:rsidRPr="004519FD">
        <w:rPr>
          <w:rFonts w:ascii="Traditional Arabic" w:eastAsia="Times New Roman" w:hAnsi="Traditional Arabic" w:cs="Traditional Arabic"/>
          <w:sz w:val="32"/>
          <w:szCs w:val="32"/>
        </w:rPr>
        <w:t>.</w:t>
      </w:r>
      <w:r w:rsidR="004519FD">
        <w:rPr>
          <w:rFonts w:ascii="Traditional Arabic" w:eastAsia="Times New Roman" w:hAnsi="Traditional Arabic" w:cs="Traditional Arabic" w:hint="cs"/>
          <w:sz w:val="32"/>
          <w:szCs w:val="32"/>
          <w:rtl/>
        </w:rPr>
        <w:t xml:space="preserve"> </w:t>
      </w:r>
      <w:r w:rsidRPr="004519FD">
        <w:rPr>
          <w:rFonts w:ascii="Traditional Arabic" w:eastAsia="Times New Roman" w:hAnsi="Traditional Arabic" w:cs="Traditional Arabic"/>
          <w:sz w:val="32"/>
          <w:szCs w:val="32"/>
          <w:rtl/>
        </w:rPr>
        <w:t>تكمن أهمية هذه الدراسة في إبرازها للطبيعة التفاعلية للاحتراق الوظيفي، إلا أنها لم تركز على استراتيجيات المواجهة، مما يدعم أهمية الدراسة الحالية التي تعالج هذا الجانب بشكل مباشر.</w:t>
      </w:r>
    </w:p>
    <w:p w14:paraId="2CB804A0" w14:textId="77777777" w:rsidR="009C699E" w:rsidRPr="0020372B" w:rsidRDefault="009C699E" w:rsidP="009C699E">
      <w:pPr>
        <w:bidi/>
        <w:spacing w:after="200" w:line="360" w:lineRule="auto"/>
        <w:jc w:val="both"/>
        <w:rPr>
          <w:rFonts w:ascii="Traditional Arabic" w:eastAsia="Times New Roman" w:hAnsi="Traditional Arabic" w:cs="Traditional Arabic"/>
          <w:b/>
          <w:bCs/>
          <w:sz w:val="36"/>
          <w:szCs w:val="36"/>
        </w:rPr>
      </w:pPr>
    </w:p>
    <w:p w14:paraId="2E831EF7" w14:textId="28992EFE" w:rsidR="009C699E" w:rsidRPr="009C699E" w:rsidRDefault="009C699E" w:rsidP="009C699E">
      <w:pPr>
        <w:pStyle w:val="a3"/>
        <w:numPr>
          <w:ilvl w:val="0"/>
          <w:numId w:val="17"/>
        </w:numPr>
        <w:bidi/>
        <w:spacing w:after="200" w:line="360" w:lineRule="auto"/>
        <w:jc w:val="both"/>
        <w:rPr>
          <w:rFonts w:ascii="Traditional Arabic" w:eastAsia="Times New Roman" w:hAnsi="Traditional Arabic" w:cs="Traditional Arabic"/>
          <w:sz w:val="32"/>
          <w:szCs w:val="32"/>
        </w:rPr>
      </w:pPr>
      <w:r w:rsidRPr="009C699E">
        <w:rPr>
          <w:rFonts w:ascii="Traditional Arabic" w:eastAsia="Times New Roman" w:hAnsi="Traditional Arabic" w:cs="Traditional Arabic"/>
          <w:sz w:val="32"/>
          <w:szCs w:val="32"/>
          <w:rtl/>
        </w:rPr>
        <w:t xml:space="preserve">دراسة  </w:t>
      </w:r>
      <w:r w:rsidRPr="009C699E">
        <w:rPr>
          <w:rFonts w:ascii="Traditional Arabic" w:eastAsia="Times New Roman" w:hAnsi="Traditional Arabic" w:cs="Traditional Arabic"/>
          <w:sz w:val="32"/>
          <w:szCs w:val="32"/>
        </w:rPr>
        <w:t>Vetbuje &amp; Olaleye, 2022)</w:t>
      </w:r>
      <w:r w:rsidRPr="009C699E">
        <w:rPr>
          <w:rFonts w:ascii="Traditional Arabic" w:eastAsia="Times New Roman" w:hAnsi="Traditional Arabic" w:cs="Traditional Arabic"/>
          <w:sz w:val="32"/>
          <w:szCs w:val="32"/>
          <w:rtl/>
        </w:rPr>
        <w:t xml:space="preserve">) </w:t>
      </w:r>
    </w:p>
    <w:p w14:paraId="2CC1CA02" w14:textId="7747A31F" w:rsidR="00963D02" w:rsidRPr="002A257A" w:rsidRDefault="00963D02" w:rsidP="009C699E">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هذه الدراسة المعنونة "العلاقة بين الذكاء العاطفي، الجهد العاطفي، ضغط العمل، والاحتراق الوظيفي: هل تعمل استراتيجيات المواجهة؟" إلى اختبار الآليات التفسيرية التي تربط الذكاء العاطفي بالاحتراق الوظيفي، من خلال فحص الدور الوسيط لكل من التمثيل السطحي، والتمثيل العميق، وضغط العمل، إضافة إلى اختبار الدور المعدِّل لتأمل اليقظة الذهنية بوصفه إحدى استراتيجيات المواجهة. اعتمدت الدراسة المنهج الكمي المقطعي، وطبقت على عينة مكونة من (338) موظفًا طبيًا في مستشفيات خاصة بنيجيريا، حيث جُمعت البيانات باستخدام استبيان، وتم تحليلها عبر نمذجة المعادلات الهيكلية باستخدام</w:t>
      </w:r>
      <w:r w:rsidRPr="002A257A">
        <w:rPr>
          <w:rFonts w:ascii="Traditional Arabic" w:eastAsia="Times New Roman" w:hAnsi="Traditional Arabic" w:cs="Traditional Arabic"/>
          <w:sz w:val="32"/>
          <w:szCs w:val="32"/>
        </w:rPr>
        <w:t xml:space="preserve"> (PLS-SEM).</w:t>
      </w:r>
    </w:p>
    <w:p w14:paraId="4A5C07F3" w14:textId="77777777" w:rsidR="00963D02" w:rsidRPr="002A257A" w:rsidRDefault="00963D02" w:rsidP="00963D02">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أظهرت النتائج أن ضغط العمل مثّل متغيرًا وسيطًا قويًا في العلاقة بين الذكاء العاطفي والاحتراق الوظيفي، كما تبين وجود وساطة جزئية لكل من التمثيل السطحي والتمثيل العميق وضغط </w:t>
      </w:r>
      <w:r w:rsidRPr="002A257A">
        <w:rPr>
          <w:rFonts w:ascii="Traditional Arabic" w:eastAsia="Times New Roman" w:hAnsi="Traditional Arabic" w:cs="Traditional Arabic"/>
          <w:sz w:val="32"/>
          <w:szCs w:val="32"/>
          <w:rtl/>
        </w:rPr>
        <w:lastRenderedPageBreak/>
        <w:t>العمل في تفسير هذه العلاقة. إضافة إلى ذلك، أكدت النتائج أن تأمل اليقظة الذهنية يؤدي دورًا تعديليًا يخفف من أثر ضغط العمل على الاحتراق الوظيفي، مما يشير إلى أن تبني استراتيجيات مواجهة فعالة يسهم في الحد من مستويات الاحتراق في البيئات المهنية الضاغطة</w:t>
      </w:r>
      <w:r w:rsidRPr="002A257A">
        <w:rPr>
          <w:rFonts w:ascii="Traditional Arabic" w:eastAsia="Times New Roman" w:hAnsi="Traditional Arabic" w:cs="Traditional Arabic"/>
          <w:sz w:val="32"/>
          <w:szCs w:val="32"/>
        </w:rPr>
        <w:t>.</w:t>
      </w:r>
    </w:p>
    <w:p w14:paraId="4CF17FFC" w14:textId="579E2D87" w:rsidR="00B91EF8" w:rsidRPr="002A257A" w:rsidRDefault="00963D02" w:rsidP="00963D02">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تبرز أهمية هذه الدراسة في تقديم نموذج تفسيري متكامل يوضح تداخل الأبعاد النفسية والتنظيمية في نشوء الاحتراق الوظيفي، ويعزز منطق اعتباره متغيرًا وسيطًا في العلاقات التنظيمية المعقدة. كما تدعم نتائجها الإطار النظري للدراسة الحالية التي تفترض أن الاحتراق الوظيفي يشكل حلقة تفسيرية بين استراتيجيات مواجهة ضغوط العمل والرضا الوظيفي. ومع ذلك، فإن اقتصار الدراسة على القطاع الصحي في سياق نيجيري يبرز الحاجة إلى اختبار هذا الدور الوسيط في بيئة قضائية ذات طبيعة ضغوط مهنية مختلفة، كما هو الحال في محكمة الأحوال الشخصية بجدة.</w:t>
      </w:r>
    </w:p>
    <w:p w14:paraId="6581AB3B"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10A78104" w14:textId="339B13E6" w:rsidR="009C699E" w:rsidRPr="009C699E" w:rsidRDefault="009C699E" w:rsidP="009C699E">
      <w:pPr>
        <w:pStyle w:val="a3"/>
        <w:numPr>
          <w:ilvl w:val="0"/>
          <w:numId w:val="17"/>
        </w:numPr>
        <w:bidi/>
        <w:spacing w:after="200" w:line="360" w:lineRule="auto"/>
        <w:jc w:val="both"/>
        <w:rPr>
          <w:rFonts w:ascii="Traditional Arabic" w:eastAsia="Times New Roman" w:hAnsi="Traditional Arabic" w:cs="Traditional Arabic"/>
          <w:sz w:val="32"/>
          <w:szCs w:val="32"/>
        </w:rPr>
      </w:pPr>
      <w:r w:rsidRPr="009C699E">
        <w:rPr>
          <w:rFonts w:ascii="Traditional Arabic" w:eastAsia="Times New Roman" w:hAnsi="Traditional Arabic" w:cs="Traditional Arabic"/>
          <w:sz w:val="32"/>
          <w:szCs w:val="32"/>
          <w:rtl/>
        </w:rPr>
        <w:t xml:space="preserve">دراسة </w:t>
      </w:r>
      <w:r w:rsidRPr="009C699E">
        <w:rPr>
          <w:rFonts w:ascii="Traditional Arabic" w:eastAsia="Times New Roman" w:hAnsi="Traditional Arabic" w:cs="Traditional Arabic"/>
          <w:sz w:val="32"/>
          <w:szCs w:val="32"/>
        </w:rPr>
        <w:t>)</w:t>
      </w:r>
      <w:r w:rsidRPr="009C699E">
        <w:rPr>
          <w:rFonts w:ascii="Traditional Arabic" w:eastAsia="Times New Roman" w:hAnsi="Traditional Arabic" w:cs="Traditional Arabic"/>
          <w:sz w:val="32"/>
          <w:szCs w:val="32"/>
          <w:rtl/>
        </w:rPr>
        <w:t xml:space="preserve"> </w:t>
      </w:r>
      <w:r w:rsidRPr="009C699E">
        <w:rPr>
          <w:rFonts w:ascii="Traditional Arabic" w:eastAsia="Times New Roman" w:hAnsi="Traditional Arabic" w:cs="Traditional Arabic"/>
          <w:sz w:val="32"/>
          <w:szCs w:val="32"/>
        </w:rPr>
        <w:t>Friganovi</w:t>
      </w:r>
      <w:r w:rsidRPr="009C699E">
        <w:rPr>
          <w:rFonts w:ascii="Times New Roman" w:eastAsia="Times New Roman" w:hAnsi="Times New Roman" w:cs="Times New Roman"/>
          <w:sz w:val="32"/>
          <w:szCs w:val="32"/>
        </w:rPr>
        <w:t>ć</w:t>
      </w:r>
      <w:r w:rsidRPr="009C699E">
        <w:rPr>
          <w:rFonts w:ascii="Traditional Arabic" w:eastAsia="Times New Roman" w:hAnsi="Traditional Arabic" w:cs="Traditional Arabic"/>
          <w:sz w:val="32"/>
          <w:szCs w:val="32"/>
        </w:rPr>
        <w:t xml:space="preserve"> et al. 2019</w:t>
      </w:r>
      <w:r w:rsidRPr="009C699E">
        <w:rPr>
          <w:rFonts w:ascii="Traditional Arabic" w:eastAsia="Times New Roman" w:hAnsi="Traditional Arabic" w:cs="Traditional Arabic"/>
          <w:sz w:val="32"/>
          <w:szCs w:val="32"/>
          <w:rtl/>
        </w:rPr>
        <w:t>)</w:t>
      </w:r>
    </w:p>
    <w:p w14:paraId="7AAD4CAB" w14:textId="050D2C1B" w:rsidR="00492C0D" w:rsidRPr="002A257A" w:rsidRDefault="00492C0D" w:rsidP="009C699E">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هذه المراجعة المنهجية إلى تقديم تحليل شامل للأدبيات المتعلقة بالإجهاد والاحتراق الوظيفي لدى ممرضات وحدات العناية المركزة، وذلك من خلال فحص (29) دراسة أصلية تم اختيارها من بين (786) دراسة منشورة خلال فترة امتدت إلى خمسة عشر عامًا. اعتمدت الدراسة منهج المراجعة المنهجية المنظمة، حيث جرى تحليل نتائج الدراسات السابقة بصورة نقدية للكشف عن الاتجاهات العامة والعوامل المؤثرة في الاحتراق الوظيفي ضمن هذا القطاع الصحي عالي الضغط</w:t>
      </w:r>
      <w:r w:rsidRPr="002A257A">
        <w:rPr>
          <w:rFonts w:ascii="Traditional Arabic" w:eastAsia="Times New Roman" w:hAnsi="Traditional Arabic" w:cs="Traditional Arabic"/>
          <w:sz w:val="32"/>
          <w:szCs w:val="32"/>
        </w:rPr>
        <w:t>.</w:t>
      </w:r>
    </w:p>
    <w:p w14:paraId="27877682" w14:textId="77777777" w:rsidR="00492C0D" w:rsidRPr="002A257A" w:rsidRDefault="00492C0D"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أظهرت نتائج المراجعة أن الاحتراق الوظيفي يمثل مشكلة صحية عامة واسعة الانتشار في وحدات العناية المركزة، وأن استراتيجيات المواجهة الفعالة ومستويات الرضا الوظيفي المرتفعة يسهمان </w:t>
      </w:r>
      <w:r w:rsidRPr="002A257A">
        <w:rPr>
          <w:rFonts w:ascii="Traditional Arabic" w:eastAsia="Times New Roman" w:hAnsi="Traditional Arabic" w:cs="Traditional Arabic"/>
          <w:sz w:val="32"/>
          <w:szCs w:val="32"/>
          <w:rtl/>
        </w:rPr>
        <w:lastRenderedPageBreak/>
        <w:t>بصورة ملحوظة في التخفيف من مظاهر الاحتراق. كما كشفت الدراسة عن وجود فجوة واضحة في الأدبيات، تمثلت في نقص الدراسات النوعية، وضعف البرامج الوقائية المنهجية الموجهة لمعالجة الاحتراق، مما يشير إلى الحاجة لتطوير تدخلات وقائية متخصصة في بيئات العمل ذات الضغوط المرتفعة</w:t>
      </w:r>
      <w:r w:rsidRPr="002A257A">
        <w:rPr>
          <w:rFonts w:ascii="Traditional Arabic" w:eastAsia="Times New Roman" w:hAnsi="Traditional Arabic" w:cs="Traditional Arabic"/>
          <w:sz w:val="32"/>
          <w:szCs w:val="32"/>
        </w:rPr>
        <w:t>.</w:t>
      </w:r>
    </w:p>
    <w:p w14:paraId="57534B71" w14:textId="77777777" w:rsidR="00492C0D" w:rsidRPr="002A257A" w:rsidRDefault="00492C0D"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وتكمن قوة هذه الدراسة في شمولها وتحليلها المنهجي الممتد زمنيًا، مما يمنح نتائجها بعدًا تراكميًا يعزز مصداقيتها، في حين يتمثل أحد جوانب القصور في غياب التركيز على الجوانب التطبيقية والتدخلات العملية المباشرة</w:t>
      </w:r>
      <w:r w:rsidRPr="002A257A">
        <w:rPr>
          <w:rFonts w:ascii="Traditional Arabic" w:eastAsia="Times New Roman" w:hAnsi="Traditional Arabic" w:cs="Traditional Arabic"/>
          <w:sz w:val="32"/>
          <w:szCs w:val="32"/>
        </w:rPr>
        <w:t>.</w:t>
      </w:r>
    </w:p>
    <w:p w14:paraId="14950FE6" w14:textId="67248897" w:rsidR="00B91EF8" w:rsidRPr="002A257A" w:rsidRDefault="00492C0D"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وتفيد هذه الدراسة في دعم الإطار النظري للدراسة الحالية من خلال تأكيدها أن الاحتراق الوظيفي ليس مجرد نتيجة عابرة لضغوط العمل، بل ظاهرة تنظيمية متكررة تتأثر بأنماط المواجهة ومستويات الرضا، وهو ما يعزز منطق إدراجه كمتغير وسيط يفسر العلاقة بين استراتيجيات مواجهة ضغوط العمل والرضا الوظيفي في بيئات مهنية عالية الحساسية، مثل البيئة القضائية موضوع الدراسة الحالية.</w:t>
      </w:r>
    </w:p>
    <w:p w14:paraId="3A92EDCC"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358FA753"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دراسة سيد (2016</w:t>
      </w:r>
      <w:r w:rsidRPr="002A257A">
        <w:rPr>
          <w:rFonts w:ascii="Traditional Arabic" w:eastAsia="Times New Roman" w:hAnsi="Traditional Arabic" w:cs="Traditional Arabic" w:hint="cs"/>
          <w:sz w:val="32"/>
          <w:szCs w:val="32"/>
          <w:rtl/>
        </w:rPr>
        <w:t>)</w:t>
      </w:r>
    </w:p>
    <w:p w14:paraId="06502F57" w14:textId="4A58D7B3" w:rsidR="00CA5200" w:rsidRPr="002A257A" w:rsidRDefault="00CA5200" w:rsidP="00CA520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هدفت دراسة سيد (2016) المعنونة "الرضا الوظيفي كمتغير وسيط في العلاقة بين الاحتراق النفسي والعلاقات الأسرية لدى الموظفين الإداريين بالمحاكم من الجنسين" إلى الكشف عن الدور الوسيط للرضا الوظيفي في تفسير العلاقة بين الاحتراق النفسي والعلاقات الأسرية لدى الموظفين الإداريين العاملين في المحاكم المصرية. اعتمدت الدراسة المنهج الوصفي الارتباطي، وطبقت على عينة من الموظفين </w:t>
      </w:r>
      <w:r w:rsidRPr="002A257A">
        <w:rPr>
          <w:rFonts w:ascii="Traditional Arabic" w:eastAsia="Times New Roman" w:hAnsi="Traditional Arabic" w:cs="Traditional Arabic"/>
          <w:sz w:val="32"/>
          <w:szCs w:val="32"/>
          <w:rtl/>
        </w:rPr>
        <w:lastRenderedPageBreak/>
        <w:t>الإداريين من الجنسين في عدد من المحاكم المصرية، حيث تم استخدام أدوات قياس لقياس الاحتراق النفسي، والرضا الوظيفي، والعلاقات الأسرية</w:t>
      </w:r>
      <w:r w:rsidRPr="002A257A">
        <w:rPr>
          <w:rFonts w:ascii="Traditional Arabic" w:eastAsia="Times New Roman" w:hAnsi="Traditional Arabic" w:cs="Traditional Arabic"/>
          <w:sz w:val="32"/>
          <w:szCs w:val="32"/>
        </w:rPr>
        <w:t>.</w:t>
      </w:r>
    </w:p>
    <w:p w14:paraId="7C8D1967" w14:textId="31B96C26" w:rsidR="00CA5200" w:rsidRPr="002A257A" w:rsidRDefault="00CA5200"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أن الرضا الوظيفي يؤدي دورًا وسيطًا جزئيًا في العلاقة بين الاحتراق النفسي والعلاقات الأسرية، بما يعني أن الاحتراق يؤثر في العلاقات الأسرية بصورة مباشرة، كما يؤثر فيها بصورة غير مباشرة من خلال مستوى الرضا الوظيفي. كما كشفت النتائج أن هذا الدور الوسيط كان أكثر وضوحًا لدى الموظفات مقارنة بالموظفين، مما يشير إلى احتمال تأثر بعض العلاقات التنظيمية بعوامل النوع الاجتماعي</w:t>
      </w:r>
      <w:r w:rsidRPr="002A257A">
        <w:rPr>
          <w:rFonts w:ascii="Traditional Arabic" w:eastAsia="Times New Roman" w:hAnsi="Traditional Arabic" w:cs="Traditional Arabic"/>
          <w:sz w:val="32"/>
          <w:szCs w:val="32"/>
        </w:rPr>
        <w:t>.</w:t>
      </w:r>
    </w:p>
    <w:p w14:paraId="6556D398" w14:textId="4C1485AB" w:rsidR="00B91EF8" w:rsidRPr="002A257A" w:rsidRDefault="00CA5200" w:rsidP="00CA5200">
      <w:pPr>
        <w:bidi/>
        <w:spacing w:after="200" w:line="360" w:lineRule="auto"/>
        <w:ind w:firstLine="720"/>
        <w:jc w:val="both"/>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sz w:val="32"/>
          <w:szCs w:val="32"/>
          <w:rtl/>
        </w:rPr>
        <w:t>تكتسب هذه الدراسة أهمية خاصة بالنسبة للدراسة الحالية نظرًا لتشابه البيئة التنظيمية، حيث أُجريت في سياق قضائي مماثل، الأمر الذي يعزز قابلية المقارنة المنهجية. كما أنها تدعم التوجه النظري الذي يعتمد على إدراج متغير وسيط لتفسير العلاقات بين الضغوط والنتائج الوظيفية. وعلى الرغم من أن الدراسة اعتبرت الرضا الوظيفي هو المتغير الوسيط، فإن نتائجها تعزز منطق اختبار الاحتراق الوظيفي كمتغير وسيط في الدراسة الحالية بين استراتيجيات مواجهة ضغوط العمل والرضا الوظيفي، بما يتلاءم مع طبيعة البيئة القضائية محل التطبيق.</w:t>
      </w:r>
    </w:p>
    <w:p w14:paraId="5E11DCFC" w14:textId="77777777" w:rsidR="00B91EF8" w:rsidRPr="002A257A" w:rsidRDefault="00B91EF8" w:rsidP="00B91EF8">
      <w:pPr>
        <w:bidi/>
        <w:spacing w:after="200" w:line="360" w:lineRule="auto"/>
        <w:jc w:val="both"/>
        <w:rPr>
          <w:rFonts w:ascii="Traditional Arabic" w:eastAsia="Times New Roman" w:hAnsi="Traditional Arabic" w:cs="Traditional Arabic"/>
          <w:b/>
          <w:bCs/>
          <w:sz w:val="32"/>
          <w:szCs w:val="32"/>
        </w:rPr>
      </w:pPr>
    </w:p>
    <w:p w14:paraId="6E578ACF" w14:textId="77777777" w:rsidR="00B91EF8" w:rsidRPr="0020372B" w:rsidRDefault="00B91EF8" w:rsidP="00B91EF8">
      <w:pPr>
        <w:bidi/>
        <w:spacing w:after="200" w:line="360" w:lineRule="auto"/>
        <w:jc w:val="both"/>
        <w:rPr>
          <w:rFonts w:ascii="Traditional Arabic" w:eastAsia="Times New Roman" w:hAnsi="Traditional Arabic" w:cs="Traditional Arabic"/>
          <w:b/>
          <w:bCs/>
          <w:sz w:val="36"/>
          <w:szCs w:val="36"/>
          <w:rtl/>
        </w:rPr>
      </w:pPr>
      <w:r w:rsidRPr="0020372B">
        <w:rPr>
          <w:rFonts w:ascii="Traditional Arabic" w:eastAsia="Times New Roman" w:hAnsi="Traditional Arabic" w:cs="Traditional Arabic"/>
          <w:b/>
          <w:bCs/>
          <w:sz w:val="36"/>
          <w:szCs w:val="36"/>
          <w:rtl/>
        </w:rPr>
        <w:t>ثالثًا: الدراسات التي تناولت العلاقة بين ضغوط العمل والرضا الوظيفي بشكل مباشر أو غير مباشر</w:t>
      </w:r>
      <w:r w:rsidRPr="0020372B">
        <w:rPr>
          <w:rFonts w:ascii="Traditional Arabic" w:eastAsia="Times New Roman" w:hAnsi="Traditional Arabic" w:cs="Traditional Arabic"/>
          <w:b/>
          <w:bCs/>
          <w:sz w:val="36"/>
          <w:szCs w:val="36"/>
        </w:rPr>
        <w:t>.</w:t>
      </w:r>
    </w:p>
    <w:p w14:paraId="2F750A2E"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دراسة </w:t>
      </w:r>
      <w:r w:rsidRPr="002A257A">
        <w:rPr>
          <w:rFonts w:ascii="Traditional Arabic" w:eastAsia="Times New Roman" w:hAnsi="Traditional Arabic" w:cs="Traditional Arabic"/>
          <w:sz w:val="32"/>
          <w:szCs w:val="32"/>
        </w:rPr>
        <w:t xml:space="preserve"> Clifton &amp; McGraw (2025)</w:t>
      </w:r>
    </w:p>
    <w:p w14:paraId="642294EE" w14:textId="1114AB40" w:rsidR="00CA5200" w:rsidRPr="002A257A" w:rsidRDefault="00CA5200" w:rsidP="004519FD">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هدفت دراسة كليفتون وماكجرو (2025) المعنونة "هل أنت راضٍ؟ دراسة حول الرضا الوظيفي لدى أجهزة إنفاذ القانون، والإجهاد الوظيفي، وثقافة الشرطة" إلى تحليل تأثير كل من الإجهاد الوظيفي والثقافة التنظيمية السائدة في أجهزة إنفاذ القانون على مستويات الرضا الوظيفي لدى ضباط الشرطة في جنوب شرق الولايات المتحدة. اعتمدت الدراسة المنهج الكمي المقطعي، وطبقت استبيانات معيارية على عينة من الضباط بهدف تحديد العوامل المؤثرة في رضاهم المهني</w:t>
      </w:r>
      <w:r w:rsidRPr="002A257A">
        <w:rPr>
          <w:rFonts w:ascii="Traditional Arabic" w:eastAsia="Times New Roman" w:hAnsi="Traditional Arabic" w:cs="Traditional Arabic"/>
          <w:sz w:val="32"/>
          <w:szCs w:val="32"/>
        </w:rPr>
        <w:t>.</w:t>
      </w:r>
    </w:p>
    <w:p w14:paraId="1DB84E26" w14:textId="77777777" w:rsidR="00CA5200" w:rsidRPr="002A257A" w:rsidRDefault="00CA5200"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وجود علاقة سلبية ذات دلالة إحصائية بين مستويات الإجهاد الوظيفي والرضا الوظيفي، حيث تبين أن الضباط الذين يعانون من مستويات مرتفعة من الإجهاد كانوا أقل رضا عن حياتهم المهنية. كما كشفت النتائج أن التمسك بثقافة الشرطة التقليدية كان مرتبطًا بانخفاض مستويات الرضا الوظيفي. إضافة إلى ذلك، تبين أن العمل بنظام المناوبات المتناوبة وامتلاك سنوات خدمة أطول يرتبطان بانخفاض ملحوظ في الرضا، في حين لم تظهر المتغيرات الديموغرافية الأخرى تأثيرًا ذا دلالة إحصائية</w:t>
      </w:r>
      <w:r w:rsidRPr="002A257A">
        <w:rPr>
          <w:rFonts w:ascii="Traditional Arabic" w:eastAsia="Times New Roman" w:hAnsi="Traditional Arabic" w:cs="Traditional Arabic"/>
          <w:sz w:val="32"/>
          <w:szCs w:val="32"/>
        </w:rPr>
        <w:t>.</w:t>
      </w:r>
    </w:p>
    <w:p w14:paraId="007E1643" w14:textId="44CD6DCD" w:rsidR="00B91EF8" w:rsidRPr="002A257A" w:rsidRDefault="00CA5200"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تبرز أهمية هذه الدراسة في تأكيدها أن طبيعة بيئة العمل والثقافة التنظيمية تلعب دورًا محوريًا في تشكيل الرضا الوظيفي، خاصة في المهن ذات الطابع الأمني أو الضاغط. وتدعم هذه النتائج التوجه النظري للدراسة الحالية من حيث التأكيد على حساسية الرضا الوظيفي لمستويات الضغوط المهنية، مما يعزز منطق اختبار العلاقة بين استراتيجيات مواجهة ضغوط العمل والاحتراق الوظيفي والرضا الوظيفي في بيئة قضائية تتسم بخصوصية تنظيمية وضغوط مهنية مشابهة في شدتها وتعقيدها.</w:t>
      </w:r>
    </w:p>
    <w:p w14:paraId="3176BAC2" w14:textId="77777777" w:rsidR="008F48D0" w:rsidRDefault="008F48D0" w:rsidP="008F48D0">
      <w:pPr>
        <w:bidi/>
        <w:spacing w:after="200" w:line="360" w:lineRule="auto"/>
        <w:ind w:firstLine="720"/>
        <w:jc w:val="both"/>
        <w:rPr>
          <w:rFonts w:ascii="Traditional Arabic" w:eastAsia="Times New Roman" w:hAnsi="Traditional Arabic" w:cs="Traditional Arabic"/>
          <w:sz w:val="32"/>
          <w:szCs w:val="32"/>
          <w:rtl/>
        </w:rPr>
      </w:pPr>
    </w:p>
    <w:p w14:paraId="60FA5EDC" w14:textId="77777777" w:rsidR="004519FD" w:rsidRPr="002A257A" w:rsidRDefault="004519FD" w:rsidP="004519FD">
      <w:pPr>
        <w:bidi/>
        <w:spacing w:after="200" w:line="360" w:lineRule="auto"/>
        <w:ind w:firstLine="720"/>
        <w:jc w:val="both"/>
        <w:rPr>
          <w:rFonts w:ascii="Traditional Arabic" w:eastAsia="Times New Roman" w:hAnsi="Traditional Arabic" w:cs="Traditional Arabic"/>
          <w:sz w:val="32"/>
          <w:szCs w:val="32"/>
        </w:rPr>
      </w:pPr>
    </w:p>
    <w:p w14:paraId="0028B36E"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lastRenderedPageBreak/>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Khanna and Gupta (2025)</w:t>
      </w:r>
    </w:p>
    <w:p w14:paraId="13153A85" w14:textId="6863E7C4" w:rsidR="00CA5200" w:rsidRPr="002A257A" w:rsidRDefault="00CA5200" w:rsidP="004519FD">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هدفت هذه الدراسة إلى استكشاف تأثير آليات التأقلم على كل من الإرهاق والرضا الوظيفي لدى عينة من الموظفين في الهند. اعتمدت الدراسة المنهج الكمي، وطبقت على عينة مكونة من (80) موظفًا، حيث جُمعت البيانات باستخدام استبيانات لقياس آليات التأقلم، </w:t>
      </w:r>
      <w:proofErr w:type="gramStart"/>
      <w:r w:rsidRPr="002A257A">
        <w:rPr>
          <w:rFonts w:ascii="Traditional Arabic" w:eastAsia="Times New Roman" w:hAnsi="Traditional Arabic" w:cs="Traditional Arabic"/>
          <w:sz w:val="32"/>
          <w:szCs w:val="32"/>
          <w:rtl/>
        </w:rPr>
        <w:t>و</w:t>
      </w:r>
      <w:r w:rsidRPr="002A257A">
        <w:rPr>
          <w:rtl/>
        </w:rPr>
        <w:t xml:space="preserve"> </w:t>
      </w:r>
      <w:r w:rsidRPr="002A257A">
        <w:rPr>
          <w:rFonts w:ascii="Traditional Arabic" w:eastAsia="Times New Roman" w:hAnsi="Traditional Arabic" w:cs="Traditional Arabic"/>
          <w:sz w:val="32"/>
          <w:szCs w:val="32"/>
          <w:rtl/>
        </w:rPr>
        <w:t>مستويات</w:t>
      </w:r>
      <w:proofErr w:type="gramEnd"/>
      <w:r w:rsidRPr="002A257A">
        <w:rPr>
          <w:rFonts w:ascii="Traditional Arabic" w:eastAsia="Times New Roman" w:hAnsi="Traditional Arabic" w:cs="Traditional Arabic"/>
          <w:sz w:val="32"/>
          <w:szCs w:val="32"/>
          <w:rtl/>
        </w:rPr>
        <w:t xml:space="preserve"> الإرهاق، والرضا الوظيفي، وتم تحليل البيانات باستخدام اختبار تحليل التباين (</w:t>
      </w:r>
      <w:r w:rsidRPr="002A257A">
        <w:rPr>
          <w:rFonts w:ascii="Traditional Arabic" w:eastAsia="Times New Roman" w:hAnsi="Traditional Arabic" w:cs="Traditional Arabic"/>
          <w:sz w:val="32"/>
          <w:szCs w:val="32"/>
        </w:rPr>
        <w:t>ANOVA</w:t>
      </w:r>
      <w:r w:rsidRPr="002A257A">
        <w:rPr>
          <w:rFonts w:ascii="Traditional Arabic" w:eastAsia="Times New Roman" w:hAnsi="Traditional Arabic" w:cs="Traditional Arabic"/>
          <w:sz w:val="32"/>
          <w:szCs w:val="32"/>
          <w:rtl/>
        </w:rPr>
        <w:t xml:space="preserve">) عبر برنامج </w:t>
      </w:r>
      <w:r w:rsidRPr="002A257A">
        <w:rPr>
          <w:rFonts w:ascii="Traditional Arabic" w:eastAsia="Times New Roman" w:hAnsi="Traditional Arabic" w:cs="Traditional Arabic"/>
          <w:sz w:val="32"/>
          <w:szCs w:val="32"/>
        </w:rPr>
        <w:t>SPSS</w:t>
      </w:r>
      <w:r w:rsidR="004519FD">
        <w:rPr>
          <w:rFonts w:ascii="Traditional Arabic" w:eastAsia="Times New Roman" w:hAnsi="Traditional Arabic" w:cs="Traditional Arabic"/>
          <w:sz w:val="32"/>
          <w:szCs w:val="32"/>
          <w:rtl/>
        </w:rPr>
        <w:t>.</w:t>
      </w:r>
    </w:p>
    <w:p w14:paraId="3072C33B" w14:textId="77777777" w:rsidR="00CA5200" w:rsidRPr="002A257A" w:rsidRDefault="00CA5200" w:rsidP="00CA520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وجود مستويات متوسطة من آليات التأقلم، ومستويات معتدلة من الإرهاق، ومستويات مرتفعة من الرضا الوظيفي لدى أفراد العينة. إلا أن التحليل الإحصائي لم يكشف عن وجود علاقة ذات دلالة إحصائية بين آليات التأقلم وكل من الإرهاق أو الرضا الوظيفي. وأشارت الدراسة إلى احتمال وجود متغيرات أخرى قد تؤدي دورًا أكثر تأثيرًا في تشكيل الرضا أو الحد من الإرهاق، مثل الدعم التنظيمي، وسمات الشخصية، وطبيعة بيئة العمل. كما نبهت إلى محدودية نتائجها بسبب صغر حجم العينة، واقتصار التحليل على الأساليب الوصفية دون توظيف نماذج تفسيرية أكثر تعقيدًا</w:t>
      </w:r>
      <w:r w:rsidRPr="002A257A">
        <w:rPr>
          <w:rFonts w:ascii="Traditional Arabic" w:eastAsia="Times New Roman" w:hAnsi="Traditional Arabic" w:cs="Traditional Arabic"/>
          <w:sz w:val="32"/>
          <w:szCs w:val="32"/>
        </w:rPr>
        <w:t>.</w:t>
      </w:r>
    </w:p>
    <w:p w14:paraId="7F9A08B7" w14:textId="66BECBBC" w:rsidR="00B91EF8" w:rsidRPr="002A257A" w:rsidRDefault="00CA5200" w:rsidP="00CA520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وتسهم هذه الدراسة في إثراء النقاش العلمي حول استراتيجيات المواجهة، إذ تُظهر أن تأثيرها قد لا يكون مباشرًا أو كافيًا في جميع السياقات التنظيمية، مما يدعم أهمية إدراج متغيرات وسيطة أو معدِّلة ضمن النماذج التفسيرية، مثل الاحتراق الوظيفي في الدراسة الحالية. كما تبرز الحاجة إلى توظيف نماذج تحليلية أكثر تقدمًا لفحص العلاقات المعقدة بين المتغيرات، وهو ما تتبناه الدراسة الحالية من خلال استخدام نمذجة المعادلات الهيكلية لاختبار الدور الوسيط للاحتراق الوظيفي في بيئة قضائية ذات طبيعة ضغوط خاصة.</w:t>
      </w:r>
    </w:p>
    <w:p w14:paraId="32E76CDC"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534D4000"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lastRenderedPageBreak/>
        <w:t xml:space="preserve">دراسة </w:t>
      </w:r>
      <w:r w:rsidRPr="002A257A">
        <w:rPr>
          <w:rFonts w:ascii="Traditional Arabic" w:eastAsia="Times New Roman" w:hAnsi="Traditional Arabic" w:cs="Traditional Arabic"/>
          <w:sz w:val="32"/>
          <w:szCs w:val="32"/>
        </w:rPr>
        <w:t xml:space="preserve"> Anees et al. (2021)</w:t>
      </w:r>
    </w:p>
    <w:p w14:paraId="257A008D" w14:textId="77777777" w:rsidR="00CA5200" w:rsidRPr="002A257A" w:rsidRDefault="00CA5200"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هذه الدراسة المعنونة "هجرة الأدمغة في التعليم العالي: تأثير الإجهاد الوظيفي وأعباء العمل على نية الدوران الوظيفي والدور الوسيط للرضا الوظيفي" إلى اختبار أثر الإجهاد الوظيفي وحمل العمل على نية ترك العمل لدى العاملين في مؤسسات التعليم العالي، مع فحص الدور الوسيط للرضا الوظيفي في هذه العلاقة. اعتمدت الدراسة المنهج الكمي، وأُجريت على عينة من الموظفين الأكاديميين في عدد من الجامعات الماليزية، حيث جُمعت البيانات باستخدام استبيانات معيارية، وتم تحليلها إحصائيًا لاختبار العلاقات المباشرة وغير المباشرة بين المتغيرات</w:t>
      </w:r>
      <w:r w:rsidRPr="002A257A">
        <w:rPr>
          <w:rFonts w:ascii="Traditional Arabic" w:eastAsia="Times New Roman" w:hAnsi="Traditional Arabic" w:cs="Traditional Arabic"/>
          <w:sz w:val="32"/>
          <w:szCs w:val="32"/>
        </w:rPr>
        <w:t>.</w:t>
      </w:r>
    </w:p>
    <w:p w14:paraId="7EB2FAA8" w14:textId="77777777" w:rsidR="00CA5200" w:rsidRPr="002A257A" w:rsidRDefault="00CA5200"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وجود تأثير إيجابي مباشر للإجهاد الوظيفي وأعباء العمل على نية الدوران الوظيفي، بما يعني أن ارتفاع مستويات الضغط يقترن بزيادة احتمالية ترك العمل. كما كشفت النتائج أن الرضا الوظيفي يؤدي دورًا وسيطًا ملحوظًا في هذه العلاقة، حيث يسهم انخفاض الرضا في تعزيز تأثير الضغط على نية الدوران. وتشير هذه النتائج إلى أن الرضا الوظيفي يمثل آلية تفسيرية مهمة تربط بين ضغوط العمل والسلوك التنظيمي</w:t>
      </w:r>
      <w:r w:rsidRPr="002A257A">
        <w:rPr>
          <w:rFonts w:ascii="Traditional Arabic" w:eastAsia="Times New Roman" w:hAnsi="Traditional Arabic" w:cs="Traditional Arabic"/>
          <w:sz w:val="32"/>
          <w:szCs w:val="32"/>
        </w:rPr>
        <w:t>.</w:t>
      </w:r>
    </w:p>
    <w:p w14:paraId="0ABAF354" w14:textId="4444C35B" w:rsidR="00B91EF8" w:rsidRPr="002A257A" w:rsidRDefault="00CA5200"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تدعم هذه الدراسة الإطار النظري للدراسة الحالية من حيث تأكيدها أهمية إدراج المتغيرات الوسيطة في تفسير العلاقات التنظيمية المعقدة، كما تبرز حساسية الرضا الوظيفي تجاه ضغوط العمل وأعبائه. وعلى الرغم من اختلاف البيئة التطبيقية، حيث أُجريت الدراسة في قطاع التعليم العالي، فإن نتائجها تعزز منطق اختبار الأدوار التفسيرية للمتغيرات النفسية والتنظيمية في بيئات مهنية أخرى ذات طبيعة ضاغطة، مثل البيئة القضائية التي تتناولها الدراسة الحالية.</w:t>
      </w:r>
    </w:p>
    <w:p w14:paraId="5BE8B25C" w14:textId="77777777" w:rsidR="00B04BB8" w:rsidRPr="002A257A" w:rsidRDefault="00B04BB8" w:rsidP="00B04BB8">
      <w:pPr>
        <w:bidi/>
        <w:spacing w:after="200" w:line="360" w:lineRule="auto"/>
        <w:ind w:firstLine="720"/>
        <w:jc w:val="both"/>
        <w:rPr>
          <w:rFonts w:ascii="Traditional Arabic" w:eastAsia="Times New Roman" w:hAnsi="Traditional Arabic" w:cs="Traditional Arabic"/>
          <w:sz w:val="32"/>
          <w:szCs w:val="32"/>
        </w:rPr>
      </w:pPr>
    </w:p>
    <w:p w14:paraId="41158CF2"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lastRenderedPageBreak/>
        <w:t xml:space="preserve">دراسة </w:t>
      </w:r>
      <w:r w:rsidRPr="002A257A">
        <w:rPr>
          <w:rFonts w:ascii="Traditional Arabic" w:eastAsia="Times New Roman" w:hAnsi="Traditional Arabic" w:cs="Traditional Arabic"/>
          <w:sz w:val="32"/>
          <w:szCs w:val="32"/>
        </w:rPr>
        <w:t xml:space="preserve"> Ramlawati et al., (2021)</w:t>
      </w:r>
      <w:r w:rsidRPr="002A257A">
        <w:rPr>
          <w:rFonts w:ascii="Traditional Arabic" w:eastAsia="Times New Roman" w:hAnsi="Traditional Arabic" w:cs="Traditional Arabic"/>
          <w:sz w:val="32"/>
          <w:szCs w:val="32"/>
          <w:rtl/>
        </w:rPr>
        <w:t xml:space="preserve"> </w:t>
      </w:r>
    </w:p>
    <w:p w14:paraId="75401465" w14:textId="2613C523" w:rsidR="00B04BB8" w:rsidRPr="002A257A" w:rsidRDefault="00B04BB8"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هدفت دراسة رملواتي وزملائها (2021) المعنونة "العوامل الخارجية البديلة والضغط الوظيفي وتأثيرهما على رضا العمل ونية الدوران الوظيفي لدى الموظفين" إلى اختبار أثر كل من العوامل الخارجية البديلة والضغط الوظيفي على مستوى رضا الموظفين، إضافة إلى فحص تأثير هذه المتغيرات مجتمعة مع الرضا الوظيفي على نية الدوران الوظيفي. اعتمدت الدراسة المنهج الوصفي التحليلي القائم على النمذجة الإحصائية، وأُجريت على موظفي بنك مانديري في المنطقة العاشرة بجنوب سولاويسي في إندونيسيا، حيث جُمعت </w:t>
      </w:r>
      <w:r w:rsidR="008F48D0" w:rsidRPr="002A257A">
        <w:rPr>
          <w:rFonts w:ascii="Traditional Arabic" w:eastAsia="Times New Roman" w:hAnsi="Traditional Arabic" w:cs="Traditional Arabic"/>
          <w:sz w:val="32"/>
          <w:szCs w:val="32"/>
          <w:rtl/>
        </w:rPr>
        <w:t>البيانات من خلال استبيان وُزع على عينة من الموظفين (لم يُذكر العدد بدقة في الملخص).</w:t>
      </w:r>
    </w:p>
    <w:p w14:paraId="683CF6C1" w14:textId="77777777" w:rsidR="00B04BB8" w:rsidRPr="002A257A" w:rsidRDefault="00B04BB8"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أن العوامل الخارجية البديلة كان لها تأثير إيجابي وكبير على رضا الموظفين، في حين لم يظهر للضغط الوظيفي تأثير ذو دلالة إحصائية على رضا العمل. كما أكدت النتائج أن نية الدوران الوظيفي تتأثر بشكل ملحوظ بالعوامل الخارجية البديلة والضغط والرضا الوظيفي مجتمعة، مما يشير إلى تعقيد العلاقات بين المتغيرات التنظيمية والسلوكية داخل بيئة العمل</w:t>
      </w:r>
      <w:r w:rsidRPr="002A257A">
        <w:rPr>
          <w:rFonts w:ascii="Traditional Arabic" w:eastAsia="Times New Roman" w:hAnsi="Traditional Arabic" w:cs="Traditional Arabic"/>
          <w:sz w:val="32"/>
          <w:szCs w:val="32"/>
        </w:rPr>
        <w:t>.</w:t>
      </w:r>
    </w:p>
    <w:p w14:paraId="3C769435" w14:textId="12C05AAA" w:rsidR="00B91EF8" w:rsidRPr="002A257A" w:rsidRDefault="00B04BB8" w:rsidP="008F48D0">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تسهم هذه الدراسة في دعم الإطار النظري للدراسة الحالية من خلال إبراز أن الرضا الوظيفي لا يتحدد فقط بمستوى الضغط، بل يتأثر كذلك بعوامل تنظيمية وبدائل خارجية قد تعزز أو تضعف مستوى الرضا. كما تبرز أهمية تحليل العلاقات المتشابكة بين الضغوط والرضا والسلوك التنظيمي، وهو ما يتقاطع مع توجه الدراسة الحالية في اختبار العلاقات المباشرة وغير المباشرة بين استراتيجيات مواجهة ضغوط العمل والاحتراق الوظيفي والرضا الوظيفي في بيئة قضائية ذات خصوصية تنظيمية ومهنية.</w:t>
      </w:r>
    </w:p>
    <w:p w14:paraId="5F7E909A"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2C2095B0" w14:textId="77777777" w:rsidR="00B91EF8" w:rsidRPr="002A257A" w:rsidRDefault="00B91EF8" w:rsidP="00B91EF8">
      <w:pPr>
        <w:numPr>
          <w:ilvl w:val="0"/>
          <w:numId w:val="17"/>
        </w:numPr>
        <w:bidi/>
        <w:spacing w:after="200" w:line="360" w:lineRule="auto"/>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Prasetya et al. (2021)</w:t>
      </w:r>
    </w:p>
    <w:p w14:paraId="1821786A" w14:textId="77777777" w:rsidR="00B04BB8" w:rsidRPr="002A257A" w:rsidRDefault="00B04BB8"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هذه الدراسة إلى تحليل تأثير ضغوط العمل والإرهاق النفسي على كل من الرضا الوظيفي وأداء الموظفين في مستشفى الدكتور سيفول أنور العام. اعتمدت الدراسة المدخل الكمي التفسيري، وطبقت على عينة مكونة من (92) طبيبًا وممرضًا تم اختيارهم باستخدام العينة الطبقية العشوائية التناسبية، حيث جُمعت البيانات من خلال استبيان موحد، وتم تحليلها باستخدام التحليل الوصفي وتحليل المسار لاختبار العلاقات بين المتغيرات</w:t>
      </w:r>
      <w:r w:rsidRPr="002A257A">
        <w:rPr>
          <w:rFonts w:ascii="Traditional Arabic" w:eastAsia="Times New Roman" w:hAnsi="Traditional Arabic" w:cs="Traditional Arabic"/>
          <w:sz w:val="32"/>
          <w:szCs w:val="32"/>
        </w:rPr>
        <w:t>.</w:t>
      </w:r>
    </w:p>
    <w:p w14:paraId="62D6EB1D" w14:textId="77777777" w:rsidR="00B04BB8" w:rsidRPr="002A257A" w:rsidRDefault="00B04BB8"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وجود تأثير سلبي معنوي لضغوط العمل والإرهاق النفسي على الرضا الوظيفي، كما تبين أن كلا المتغيرين يؤثران سلبًا على أداء الموظفين. في المقابل، أظهر الرضا الوظيفي تأثيرًا إيجابيًا معنويًا على الأداء، مما يشير إلى دوره المحوري في تعزيز الفاعلية التنظيمية. كما كشفت النتائج أن ضغوط العمل والإرهاق النفسي والرضا الوظيفي مجتمعة فسرت نسبة (72.1%) من التغير في أداء الموظفين، وهي نسبة تفسيرية مرتفعة تعكس قوة النموذج التحليلي المستخدم</w:t>
      </w:r>
      <w:r w:rsidRPr="002A257A">
        <w:rPr>
          <w:rFonts w:ascii="Traditional Arabic" w:eastAsia="Times New Roman" w:hAnsi="Traditional Arabic" w:cs="Traditional Arabic"/>
          <w:sz w:val="32"/>
          <w:szCs w:val="32"/>
        </w:rPr>
        <w:t>.</w:t>
      </w:r>
    </w:p>
    <w:p w14:paraId="28260519" w14:textId="1B5F8664" w:rsidR="00B91EF8" w:rsidRPr="002A257A" w:rsidRDefault="00B04BB8" w:rsidP="00B04BB8">
      <w:pPr>
        <w:bidi/>
        <w:spacing w:after="200" w:line="360" w:lineRule="auto"/>
        <w:ind w:firstLine="36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تؤكد هذه الدراسة أهمية إدارة ضغوط العمل والحد من الإرهاق النفسي لتحسين مستويات الرضا والأداء في البيئات المهنية ذات الضغط المرتفع. ومع ذلك، فإن محدودية حجم العينة واقتصار التطبيق على القطاع الصحي يحدان من إمكانية تعميم النتائج. وتسهم هذه الدراسة في دعم الإطار النظري للدراسة الحالية من خلال تأكيدها الدور التفسيري للاحتراق الوظيفي في العلاقة بين ضغوط العمل والرضا الوظيفي، مما يعزز منطق اختباره كمتغير وسيط في بيئة قضائية تتسم بخصوصية مهنية وضغوط تنظيمية مختلفة.</w:t>
      </w:r>
    </w:p>
    <w:p w14:paraId="157E4954" w14:textId="77777777" w:rsidR="008F48D0" w:rsidRPr="002A257A" w:rsidRDefault="008F48D0" w:rsidP="008F48D0">
      <w:pPr>
        <w:bidi/>
        <w:spacing w:after="200" w:line="360" w:lineRule="auto"/>
        <w:ind w:firstLine="360"/>
        <w:jc w:val="both"/>
        <w:rPr>
          <w:rFonts w:ascii="Traditional Arabic" w:eastAsia="Times New Roman" w:hAnsi="Traditional Arabic" w:cs="Traditional Arabic"/>
          <w:sz w:val="32"/>
          <w:szCs w:val="32"/>
        </w:rPr>
      </w:pPr>
    </w:p>
    <w:p w14:paraId="559E58FC" w14:textId="77777777" w:rsidR="00B91EF8" w:rsidRPr="002A257A" w:rsidRDefault="00B91EF8" w:rsidP="00B04BB8">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lastRenderedPageBreak/>
        <w:t>دراسة</w:t>
      </w:r>
      <w:r w:rsidRPr="002A257A">
        <w:rPr>
          <w:rFonts w:ascii="Traditional Arabic" w:eastAsia="Times New Roman" w:hAnsi="Traditional Arabic" w:cs="Traditional Arabic" w:hint="cs"/>
          <w:sz w:val="32"/>
          <w:szCs w:val="32"/>
          <w:rtl/>
        </w:rPr>
        <w:t xml:space="preserve"> </w:t>
      </w:r>
      <w:r w:rsidRPr="002A257A">
        <w:rPr>
          <w:rFonts w:ascii="Traditional Arabic" w:eastAsia="Times New Roman" w:hAnsi="Traditional Arabic" w:cs="Traditional Arabic"/>
          <w:sz w:val="32"/>
          <w:szCs w:val="32"/>
        </w:rPr>
        <w:t xml:space="preserve"> Ivankovi</w:t>
      </w:r>
      <w:r w:rsidRPr="002A257A">
        <w:rPr>
          <w:rFonts w:ascii="Times New Roman" w:eastAsia="Times New Roman" w:hAnsi="Times New Roman" w:cs="Times New Roman"/>
          <w:sz w:val="32"/>
          <w:szCs w:val="32"/>
        </w:rPr>
        <w:t>ć</w:t>
      </w:r>
      <w:r w:rsidRPr="002A257A">
        <w:rPr>
          <w:rFonts w:ascii="Traditional Arabic" w:eastAsia="Times New Roman" w:hAnsi="Traditional Arabic" w:cs="Traditional Arabic"/>
          <w:sz w:val="32"/>
          <w:szCs w:val="32"/>
        </w:rPr>
        <w:t xml:space="preserve"> (2020)</w:t>
      </w:r>
    </w:p>
    <w:p w14:paraId="784D64CF" w14:textId="77777777" w:rsidR="00B04BB8" w:rsidRPr="002A257A" w:rsidRDefault="00B04BB8"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دراسة</w:t>
      </w:r>
      <w:r w:rsidRPr="002A257A">
        <w:rPr>
          <w:rFonts w:ascii="Traditional Arabic" w:eastAsia="Times New Roman" w:hAnsi="Traditional Arabic" w:cs="Traditional Arabic"/>
          <w:sz w:val="32"/>
          <w:szCs w:val="32"/>
        </w:rPr>
        <w:t xml:space="preserve"> Ivankovi</w:t>
      </w:r>
      <w:r w:rsidRPr="002A257A">
        <w:rPr>
          <w:rFonts w:ascii="Times New Roman" w:eastAsia="Times New Roman" w:hAnsi="Times New Roman" w:cs="Times New Roman"/>
          <w:sz w:val="32"/>
          <w:szCs w:val="32"/>
        </w:rPr>
        <w:t>ć</w:t>
      </w:r>
      <w:r w:rsidRPr="002A257A">
        <w:rPr>
          <w:rFonts w:ascii="Traditional Arabic" w:eastAsia="Times New Roman" w:hAnsi="Traditional Arabic" w:cs="Traditional Arabic"/>
          <w:sz w:val="32"/>
          <w:szCs w:val="32"/>
        </w:rPr>
        <w:t xml:space="preserve"> (2020) </w:t>
      </w:r>
      <w:r w:rsidRPr="002A257A">
        <w:rPr>
          <w:rFonts w:ascii="Traditional Arabic" w:eastAsia="Times New Roman" w:hAnsi="Traditional Arabic" w:cs="Traditional Arabic"/>
          <w:sz w:val="32"/>
          <w:szCs w:val="32"/>
          <w:rtl/>
        </w:rPr>
        <w:t>إلى فحص مصادر التوتر واستراتيجيات التأقلم وعلاقتها بالرضا الوظيفي لدى معلمي مدارس الفنون الابتدائية في كرواتيا. اعتمدت الدراسة المنهج الوصفي، وطبقت على عينة مكونة من (148) معلمًا، حيث جُمعت البيانات من خلال استبيان لقياس مصادر التوتر وأنماط استراتيجيات التأقلم ومستويات الرضا الوظيفي</w:t>
      </w:r>
      <w:r w:rsidRPr="002A257A">
        <w:rPr>
          <w:rFonts w:ascii="Traditional Arabic" w:eastAsia="Times New Roman" w:hAnsi="Traditional Arabic" w:cs="Traditional Arabic"/>
          <w:sz w:val="32"/>
          <w:szCs w:val="32"/>
        </w:rPr>
        <w:t>.</w:t>
      </w:r>
    </w:p>
    <w:p w14:paraId="36A073E4" w14:textId="77777777" w:rsidR="00B04BB8" w:rsidRPr="002A257A" w:rsidRDefault="00B04BB8"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أن مصادر التوتر لدى معلمي الفنون تتشابه إلى حد كبير مع ما توصلت إليه دراسات سابقة في السياقات التعليمية المختلفة. كما بينت النتائج وجود استخدام مرتفع لاستراتيجيات التأقلم الموجهة نحو حل المشكلة، والتي ارتبطت إيجابيًا بكل من التوتر والرضا الوظيفي، مما يشير إلى أن مواجهة الضغوط بأساليب عقلانية ومنظمة قد تسهم في تعزيز الرضا المهني. في المقابل، ارتبطت استراتيجيات التأقلم القائمة على التجنب أو الاستجابات الانفعالية ارتباطًا سلبيًا بالرضا الوظيفي، بما يعكس محدودية فعاليتها في تحقيق نتائج تنظيمية إيجابية</w:t>
      </w:r>
      <w:r w:rsidRPr="002A257A">
        <w:rPr>
          <w:rFonts w:ascii="Traditional Arabic" w:eastAsia="Times New Roman" w:hAnsi="Traditional Arabic" w:cs="Traditional Arabic"/>
          <w:sz w:val="32"/>
          <w:szCs w:val="32"/>
        </w:rPr>
        <w:t>.</w:t>
      </w:r>
    </w:p>
    <w:p w14:paraId="1CA2C610" w14:textId="77777777" w:rsidR="00B04BB8" w:rsidRPr="002A257A" w:rsidRDefault="00B04BB8" w:rsidP="00B04BB8">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وأكدت الدراسة خصوصية بيئة التعليم الفني، ودعت إلى إجراء مزيد من الدراسات النوعية لفهم أعمق لديناميكيات التوتر في هذا المجال، مع الإشارة إلى أن اعتمادها على المنهج الوصفي يحد من إمكانية تعميم النتائج على قطاعات تعليمية أخرى</w:t>
      </w:r>
      <w:r w:rsidRPr="002A257A">
        <w:rPr>
          <w:rFonts w:ascii="Traditional Arabic" w:eastAsia="Times New Roman" w:hAnsi="Traditional Arabic" w:cs="Traditional Arabic"/>
          <w:sz w:val="32"/>
          <w:szCs w:val="32"/>
        </w:rPr>
        <w:t>.</w:t>
      </w:r>
    </w:p>
    <w:p w14:paraId="4C5377E1" w14:textId="0FAFCEC6" w:rsidR="00B91EF8" w:rsidRPr="002A257A" w:rsidRDefault="00B04BB8"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وتسهم هذه الدراسة في دعم الإطار النظري للدراسة الحالية من خلال تأكيدها أن نوع استراتيجية المواجهة يمثل عاملًا حاسمًا في تشكيل مستوى الرضا الوظيفي، حيث تعزز الاستراتيجيات الإيجابية الرضا، بينما تؤدي الاستراتيجيات السلبية إلى انخفاضه. كما تعزز نتائجها أهمية اختبار أثر </w:t>
      </w:r>
      <w:r w:rsidRPr="002A257A">
        <w:rPr>
          <w:rFonts w:ascii="Traditional Arabic" w:eastAsia="Times New Roman" w:hAnsi="Traditional Arabic" w:cs="Traditional Arabic"/>
          <w:sz w:val="32"/>
          <w:szCs w:val="32"/>
          <w:rtl/>
        </w:rPr>
        <w:lastRenderedPageBreak/>
        <w:t>استراتيجيات مواجهة ضغوط العمل في بيئات تنظيمية مختلفة، مثل البيئة القضائية التي تتسم بطبيعة ضغوط مهنية واجتماعية خاصة.</w:t>
      </w:r>
    </w:p>
    <w:p w14:paraId="28CFC5C7"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392ADF63" w14:textId="77777777" w:rsidR="00B91EF8" w:rsidRPr="002A257A" w:rsidRDefault="00B91EF8" w:rsidP="00F91D1B">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دراسة </w:t>
      </w:r>
      <w:r w:rsidRPr="002A257A">
        <w:rPr>
          <w:rFonts w:ascii="Traditional Arabic" w:eastAsia="Times New Roman" w:hAnsi="Traditional Arabic" w:cs="Traditional Arabic"/>
          <w:sz w:val="32"/>
          <w:szCs w:val="32"/>
        </w:rPr>
        <w:t xml:space="preserve"> Goswami &amp; Dsilva (2019)</w:t>
      </w:r>
    </w:p>
    <w:p w14:paraId="5DA96F01"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دراسة</w:t>
      </w:r>
      <w:r w:rsidRPr="002A257A">
        <w:rPr>
          <w:rFonts w:ascii="Traditional Arabic" w:eastAsia="Times New Roman" w:hAnsi="Traditional Arabic" w:cs="Traditional Arabic"/>
          <w:sz w:val="32"/>
          <w:szCs w:val="32"/>
        </w:rPr>
        <w:t xml:space="preserve"> Goswami &amp; Dsilva (2019) </w:t>
      </w:r>
      <w:r w:rsidRPr="002A257A">
        <w:rPr>
          <w:rFonts w:ascii="Traditional Arabic" w:eastAsia="Times New Roman" w:hAnsi="Traditional Arabic" w:cs="Traditional Arabic"/>
          <w:sz w:val="32"/>
          <w:szCs w:val="32"/>
          <w:rtl/>
        </w:rPr>
        <w:t>المعنونة "تأثير الرضا الوظيفي والضغط الوظيفي على حياة الموظفين في قطاع الضيافة في مومباي: دراسة تجريبية باستخدام نمذجة المعادلات الهيكلية" إلى فحص العلاقة السببية بين الرضا الوظيفي والضغط الوظيفي وتحليل تأثيرهما في حياة العاملين في قطاع الضيافة بمدينة مومباي في الهند. اعتمدت الدراسة المنهج الكمي، وطبقت على عينة من موظفي القطاع، وتم تحليل البيانات باستخدام نمذجة المعادلات الهيكلية لاختبار العلاقات المباشرة بين المتغيرات</w:t>
      </w:r>
      <w:r w:rsidRPr="002A257A">
        <w:rPr>
          <w:rFonts w:ascii="Traditional Arabic" w:eastAsia="Times New Roman" w:hAnsi="Traditional Arabic" w:cs="Traditional Arabic"/>
          <w:sz w:val="32"/>
          <w:szCs w:val="32"/>
        </w:rPr>
        <w:t>.</w:t>
      </w:r>
    </w:p>
    <w:p w14:paraId="50DF6B82"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أن ظروف العمل غير الآمنة وارتفاع عبء العمل يمثلان من أبرز مصادر الضغط النفسي لدى العاملين في قطاع الضيافة. كما كشفت النتائج عن وجود علاقة سببية ذات دلالة إحصائية بين الضغط الوظيفي والرضا الوظيفي، حيث تبين أن ارتفاع مستويات الرضا يسهم في خفض مستويات الضغط، بما يشير إلى أن الرضا قد يؤدي دورًا عكسيًا في الحد من التأثيرات السلبية للضغوط المهنية</w:t>
      </w:r>
      <w:r w:rsidRPr="002A257A">
        <w:rPr>
          <w:rFonts w:ascii="Traditional Arabic" w:eastAsia="Times New Roman" w:hAnsi="Traditional Arabic" w:cs="Traditional Arabic"/>
          <w:sz w:val="32"/>
          <w:szCs w:val="32"/>
        </w:rPr>
        <w:t>.</w:t>
      </w:r>
    </w:p>
    <w:p w14:paraId="76EE43A1" w14:textId="08E1C156" w:rsidR="00B91EF8"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تؤكد هذه الدراسة الطبيعة التفاعلية للعلاقة بين الرضا الوظيفي والضغط، إذ لم يُنظر إلى الرضا بوصفه نتيجة فقط، بل كعامل مؤثر في مستويات الضغط ذاته. وتدعم هذه النتائج الإطار النظري للدراسة الحالية، التي تنطلق من افتراض أن تعزيز الرضا الوظيفي قد يسهم في التخفيف من آثار ضغوط </w:t>
      </w:r>
      <w:r w:rsidRPr="002A257A">
        <w:rPr>
          <w:rFonts w:ascii="Traditional Arabic" w:eastAsia="Times New Roman" w:hAnsi="Traditional Arabic" w:cs="Traditional Arabic"/>
          <w:sz w:val="32"/>
          <w:szCs w:val="32"/>
          <w:rtl/>
        </w:rPr>
        <w:lastRenderedPageBreak/>
        <w:t>العمل بصورة مباشرة أو غير مباشرة، خاصة في البيئات التنظيمية التي تتسم بارتفاع مستويات الضغوط المهنية، مثل البيئة القضائية محل التطبيق.</w:t>
      </w:r>
    </w:p>
    <w:p w14:paraId="45E327DA"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b/>
          <w:bCs/>
          <w:sz w:val="32"/>
          <w:szCs w:val="32"/>
        </w:rPr>
      </w:pPr>
    </w:p>
    <w:p w14:paraId="2DA57D63" w14:textId="77777777" w:rsidR="00B91EF8" w:rsidRPr="0020372B" w:rsidRDefault="00B91EF8" w:rsidP="00B91EF8">
      <w:pPr>
        <w:bidi/>
        <w:spacing w:after="200" w:line="360" w:lineRule="auto"/>
        <w:jc w:val="both"/>
        <w:rPr>
          <w:rFonts w:ascii="Traditional Arabic" w:eastAsia="Times New Roman" w:hAnsi="Traditional Arabic" w:cs="Traditional Arabic"/>
          <w:b/>
          <w:bCs/>
          <w:sz w:val="36"/>
          <w:szCs w:val="36"/>
          <w:rtl/>
        </w:rPr>
      </w:pPr>
      <w:r w:rsidRPr="0020372B">
        <w:rPr>
          <w:rFonts w:ascii="Traditional Arabic" w:eastAsia="Times New Roman" w:hAnsi="Traditional Arabic" w:cs="Traditional Arabic"/>
          <w:b/>
          <w:bCs/>
          <w:sz w:val="36"/>
          <w:szCs w:val="36"/>
          <w:rtl/>
        </w:rPr>
        <w:t>رابعًا: الدراسات التي تناولت العلاقة بين الاحتراق الوظيفي والرضا الوظيفي كعلاقة مباشرة أو عبر متغيرات أخرى</w:t>
      </w:r>
    </w:p>
    <w:p w14:paraId="40C80938" w14:textId="77777777" w:rsidR="00B91EF8" w:rsidRPr="002A257A" w:rsidRDefault="00B91EF8" w:rsidP="00F91D1B">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دراسة </w:t>
      </w:r>
      <w:r w:rsidRPr="002A257A">
        <w:rPr>
          <w:rFonts w:ascii="Traditional Arabic" w:eastAsia="Times New Roman" w:hAnsi="Traditional Arabic" w:cs="Traditional Arabic"/>
          <w:sz w:val="32"/>
          <w:szCs w:val="32"/>
        </w:rPr>
        <w:t xml:space="preserve"> Wang et al. (2022)</w:t>
      </w:r>
    </w:p>
    <w:p w14:paraId="17017CA4"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دراسة</w:t>
      </w:r>
      <w:r w:rsidRPr="002A257A">
        <w:rPr>
          <w:rFonts w:ascii="Traditional Arabic" w:eastAsia="Times New Roman" w:hAnsi="Traditional Arabic" w:cs="Traditional Arabic"/>
          <w:sz w:val="32"/>
          <w:szCs w:val="32"/>
        </w:rPr>
        <w:t xml:space="preserve"> Wang </w:t>
      </w:r>
      <w:r w:rsidRPr="002A257A">
        <w:rPr>
          <w:rFonts w:ascii="Traditional Arabic" w:eastAsia="Times New Roman" w:hAnsi="Traditional Arabic" w:cs="Traditional Arabic"/>
          <w:sz w:val="32"/>
          <w:szCs w:val="32"/>
          <w:rtl/>
        </w:rPr>
        <w:t xml:space="preserve">وزملائه (2022) المعنونة "أنماط التأقلم لدى المعلمين: الآثار على الانفعالات، الرضا الوظيفي، الاحتراق المهني، </w:t>
      </w:r>
      <w:proofErr w:type="gramStart"/>
      <w:r w:rsidRPr="002A257A">
        <w:rPr>
          <w:rFonts w:ascii="Traditional Arabic" w:eastAsia="Times New Roman" w:hAnsi="Traditional Arabic" w:cs="Traditional Arabic"/>
          <w:sz w:val="32"/>
          <w:szCs w:val="32"/>
          <w:rtl/>
        </w:rPr>
        <w:t>ونوايا</w:t>
      </w:r>
      <w:proofErr w:type="gramEnd"/>
      <w:r w:rsidRPr="002A257A">
        <w:rPr>
          <w:rFonts w:ascii="Traditional Arabic" w:eastAsia="Times New Roman" w:hAnsi="Traditional Arabic" w:cs="Traditional Arabic"/>
          <w:sz w:val="32"/>
          <w:szCs w:val="32"/>
          <w:rtl/>
        </w:rPr>
        <w:t xml:space="preserve"> ترك العمل" إلى تحديد أنماط التأقلم المختلفة لدى المعلمين وتحليل علاقتها بالانفعالات الإيجابية والسلبية، والرضا الوظيفي، والاحتراق المهني، </w:t>
      </w:r>
      <w:proofErr w:type="gramStart"/>
      <w:r w:rsidRPr="002A257A">
        <w:rPr>
          <w:rFonts w:ascii="Traditional Arabic" w:eastAsia="Times New Roman" w:hAnsi="Traditional Arabic" w:cs="Traditional Arabic"/>
          <w:sz w:val="32"/>
          <w:szCs w:val="32"/>
          <w:rtl/>
        </w:rPr>
        <w:t>ونوايا</w:t>
      </w:r>
      <w:proofErr w:type="gramEnd"/>
      <w:r w:rsidRPr="002A257A">
        <w:rPr>
          <w:rFonts w:ascii="Traditional Arabic" w:eastAsia="Times New Roman" w:hAnsi="Traditional Arabic" w:cs="Traditional Arabic"/>
          <w:sz w:val="32"/>
          <w:szCs w:val="32"/>
          <w:rtl/>
        </w:rPr>
        <w:t xml:space="preserve"> ترك العمل. اعتمدت الدراسة منهجًا قائمًا على المدخل المتمركز حول الأفراد باستخدام التحليل الكامن لاستخراج أنماط التأقلم، وطبقت على عينة كبيرة مكونة من (947) معلمًا ممارسًا في كندا</w:t>
      </w:r>
      <w:r w:rsidRPr="002A257A">
        <w:rPr>
          <w:rFonts w:ascii="Traditional Arabic" w:eastAsia="Times New Roman" w:hAnsi="Traditional Arabic" w:cs="Traditional Arabic"/>
          <w:sz w:val="32"/>
          <w:szCs w:val="32"/>
        </w:rPr>
        <w:t>.</w:t>
      </w:r>
    </w:p>
    <w:p w14:paraId="2DFF4491"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وجود ثلاثة أنماط رئيسة للتأقلم، تمثلت في: النمط المتكيف، الذي اتسم بارتفاع استخدام استراتيجيات حل المشكلات وطلب الدعم الاجتماعي، وانخفاض مستويات الانسحاب، وقد حقق أفراده أعلى مستويات من الرضا الوظيفي وأدنى مستويات من الاحتراق المهني ونية ترك العمل؛ ونمط المتجنبين للمشكلات، ونمط المنسحبين اجتماعيًا، حيث ارتبط كلاهما بمستويات أقل من الرضا الوظيفي، ومستويات أعلى من الاحتراق ونوايا ترك العمل</w:t>
      </w:r>
      <w:r w:rsidRPr="002A257A">
        <w:rPr>
          <w:rFonts w:ascii="Traditional Arabic" w:eastAsia="Times New Roman" w:hAnsi="Traditional Arabic" w:cs="Traditional Arabic"/>
          <w:sz w:val="32"/>
          <w:szCs w:val="32"/>
        </w:rPr>
        <w:t>.</w:t>
      </w:r>
    </w:p>
    <w:p w14:paraId="367CB7C1" w14:textId="59B753E5" w:rsidR="008F48D0" w:rsidRDefault="00F91D1B" w:rsidP="0020372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lastRenderedPageBreak/>
        <w:t>تبرز أهمية هذه الدراسة في تأكيدها أن نوع استراتيجية المواجهة يمثل عاملًا حاسمًا في تحديد النتائج النفسية والتنظيمية للموظفين، إذ تسهم الاستراتيجيات التكيفية في تعزيز الرضا وتقليل الاحتراق، بينما تؤدي الاستراتيجيات السلبية إلى نتائج عكسية. كما تدعم نتائجها الإطار النظري للدراسة الحالية من خلال تأكيد الدور المركزي لاستراتيجيات مواجهة ضغوط العمل في التأثير على الاحتراق الوظيفي والرضا الوظيفي، مما يعزز منطق اعتبارها المتغير المستقل الرئيس في النموذج المقترح للدراسة الحالية في البيئة القضائية.</w:t>
      </w:r>
    </w:p>
    <w:p w14:paraId="359B229C" w14:textId="77777777" w:rsidR="0020372B" w:rsidRPr="002A257A" w:rsidRDefault="0020372B" w:rsidP="004519FD">
      <w:pPr>
        <w:bidi/>
        <w:spacing w:after="200" w:line="360" w:lineRule="auto"/>
        <w:jc w:val="both"/>
        <w:rPr>
          <w:rFonts w:ascii="Traditional Arabic" w:eastAsia="Times New Roman" w:hAnsi="Traditional Arabic" w:cs="Traditional Arabic"/>
          <w:sz w:val="32"/>
          <w:szCs w:val="32"/>
        </w:rPr>
      </w:pPr>
    </w:p>
    <w:p w14:paraId="593F7D72" w14:textId="77777777" w:rsidR="00B91EF8" w:rsidRPr="002A257A" w:rsidRDefault="00B91EF8" w:rsidP="00F91D1B">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دراسة </w:t>
      </w:r>
      <w:r w:rsidRPr="002A257A">
        <w:rPr>
          <w:rFonts w:ascii="Traditional Arabic" w:eastAsia="Times New Roman" w:hAnsi="Traditional Arabic" w:cs="Traditional Arabic"/>
          <w:sz w:val="32"/>
          <w:szCs w:val="32"/>
        </w:rPr>
        <w:t xml:space="preserve"> Wu et al. (2021)</w:t>
      </w:r>
    </w:p>
    <w:p w14:paraId="17117DF3"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دراسة</w:t>
      </w:r>
      <w:r w:rsidRPr="002A257A">
        <w:rPr>
          <w:rFonts w:ascii="Traditional Arabic" w:eastAsia="Times New Roman" w:hAnsi="Traditional Arabic" w:cs="Traditional Arabic"/>
          <w:sz w:val="32"/>
          <w:szCs w:val="32"/>
        </w:rPr>
        <w:t xml:space="preserve"> Wu </w:t>
      </w:r>
      <w:r w:rsidRPr="002A257A">
        <w:rPr>
          <w:rFonts w:ascii="Traditional Arabic" w:eastAsia="Times New Roman" w:hAnsi="Traditional Arabic" w:cs="Traditional Arabic"/>
          <w:sz w:val="32"/>
          <w:szCs w:val="32"/>
          <w:rtl/>
        </w:rPr>
        <w:t>وزملائه (2021) المعنونة "العلاقة بين الضغط الوظيفي والاحتراق الوظيفي: التأثيرات الوسيطة للدعم الاجتماعي المدرك والرضا الوظيفي" إلى استكشاف الآليات التي يؤثر من خلالها الضغط الوظيفي على الاحتراق الوظيفي، من خلال اختبار الدور الوسيط لكل من الدعم الاجتماعي المدرك والرضا الوظيفي. اعتمدت الدراسة المنهج الكمي، وطبقت على عينة كبيرة مكونة من (1464) موظفًا في عدد من البنوك الصينية، حيث استخدمت مقياس تقييم الضغط الوظيفي، ومقياس الدعم الاجتماعي المدرك، واستبيان الرضا الوظيفي لولاية مينيسوتا، ومقياس ماسلاش للاحتراق الوظيفي</w:t>
      </w:r>
      <w:r w:rsidRPr="002A257A">
        <w:rPr>
          <w:rFonts w:ascii="Traditional Arabic" w:eastAsia="Times New Roman" w:hAnsi="Traditional Arabic" w:cs="Traditional Arabic"/>
          <w:sz w:val="32"/>
          <w:szCs w:val="32"/>
        </w:rPr>
        <w:t>.</w:t>
      </w:r>
    </w:p>
    <w:p w14:paraId="13ABD9BD"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 xml:space="preserve">أظهرت النتائج وجود علاقة ارتباط إيجابية ذات دلالة إحصائية بين الضغط الوظيفي والاحتراق الوظيفي، في حين ارتبط الاحتراق الوظيفي ارتباطًا سلبيًا بكل من الدعم الاجتماعي المدرك والرضا الوظيفي. كما بينت التحليلات أن الدعم الاجتماعي المدرك يؤدي دور وساطة جزئي في العلاقة بين </w:t>
      </w:r>
      <w:r w:rsidRPr="002A257A">
        <w:rPr>
          <w:rFonts w:ascii="Traditional Arabic" w:eastAsia="Times New Roman" w:hAnsi="Traditional Arabic" w:cs="Traditional Arabic"/>
          <w:sz w:val="32"/>
          <w:szCs w:val="32"/>
          <w:rtl/>
        </w:rPr>
        <w:lastRenderedPageBreak/>
        <w:t>الضغط وبعض أبعاد الاحتراق، بينما تبين أن الرضا الوظيفي يتوسط العلاقة بين الضغط الوظيفي وجميع أبعاد الاحتراق بصورة ملحوظة. إضافة إلى ذلك، كشفت النتائج عن وجود وساطة تسلسلية، حيث يتوسط الدعم الاجتماعي أولًا العلاقة بين الضغط والرضا، ثم يتوسط الرضا العلاقة بين الضغط والاحتراق</w:t>
      </w:r>
      <w:r w:rsidRPr="002A257A">
        <w:rPr>
          <w:rFonts w:ascii="Traditional Arabic" w:eastAsia="Times New Roman" w:hAnsi="Traditional Arabic" w:cs="Traditional Arabic"/>
          <w:sz w:val="32"/>
          <w:szCs w:val="32"/>
        </w:rPr>
        <w:t>.</w:t>
      </w:r>
    </w:p>
    <w:p w14:paraId="1FBFD72E" w14:textId="4A63E3D7" w:rsidR="00B91EF8"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تبرز هذه الدراسة أهمية المتغيرات الوسيطة في تفسير العلاقة بين الضغوط المهنية والاحتراق الوظيفي، وتقدم نموذجًا تفسيريًا متكاملًا يوضح الطبيعة المتداخلة للعوامل النفسية والتنظيمية. كما تدعم نتائجها الإطار النظري للدراسة الحالية من حيث التأكيد على أن العلاقات بين الضغوط والنتائج الوظيفية لا تكون مباشرة دائمًا، بل تمر عبر متغيرات وسيطة متعددة. وعلى الرغم من أن الدراسة تناولت الرضا الوظيفي كمتغير وسيط، فإن منطقها التفسيري يعزز توجه الدراسة الحالية في اختبار الاحتراق الوظيفي بوصفه متغيرًا وسيطًا بين استراتيجيات مواجهة ضغوط العمل والرضا الوظيفي في بيئة قضائية ذات خصوصية تنظيمية.</w:t>
      </w:r>
    </w:p>
    <w:p w14:paraId="69A22D9E" w14:textId="77777777" w:rsidR="008F48D0" w:rsidRPr="002A257A" w:rsidRDefault="008F48D0" w:rsidP="008F48D0">
      <w:pPr>
        <w:bidi/>
        <w:spacing w:after="200" w:line="360" w:lineRule="auto"/>
        <w:ind w:firstLine="720"/>
        <w:jc w:val="both"/>
        <w:rPr>
          <w:rFonts w:ascii="Traditional Arabic" w:eastAsia="Times New Roman" w:hAnsi="Traditional Arabic" w:cs="Traditional Arabic"/>
          <w:sz w:val="32"/>
          <w:szCs w:val="32"/>
        </w:rPr>
      </w:pPr>
    </w:p>
    <w:p w14:paraId="1DAEB43D" w14:textId="77777777" w:rsidR="00B91EF8" w:rsidRPr="002A257A" w:rsidRDefault="00B91EF8" w:rsidP="00F91D1B">
      <w:pPr>
        <w:numPr>
          <w:ilvl w:val="0"/>
          <w:numId w:val="17"/>
        </w:numPr>
        <w:bidi/>
        <w:spacing w:after="200" w:line="360" w:lineRule="auto"/>
        <w:jc w:val="both"/>
        <w:rPr>
          <w:rFonts w:ascii="Traditional Arabic" w:eastAsia="Times New Roman" w:hAnsi="Traditional Arabic" w:cs="Traditional Arabic"/>
          <w:sz w:val="32"/>
          <w:szCs w:val="32"/>
        </w:rPr>
      </w:pPr>
      <w:r w:rsidRPr="002A257A">
        <w:rPr>
          <w:rFonts w:ascii="Traditional Arabic" w:eastAsia="Times New Roman" w:hAnsi="Traditional Arabic" w:cs="Traditional Arabic"/>
          <w:sz w:val="32"/>
          <w:szCs w:val="32"/>
          <w:rtl/>
        </w:rPr>
        <w:t xml:space="preserve">دراسة </w:t>
      </w:r>
      <w:r w:rsidRPr="002A257A">
        <w:rPr>
          <w:rFonts w:ascii="Traditional Arabic" w:eastAsia="Times New Roman" w:hAnsi="Traditional Arabic" w:cs="Traditional Arabic"/>
          <w:sz w:val="32"/>
          <w:szCs w:val="32"/>
        </w:rPr>
        <w:t xml:space="preserve"> Leiss et al. (2021)</w:t>
      </w:r>
    </w:p>
    <w:p w14:paraId="4AE1A9F9"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هدفت دراسة</w:t>
      </w:r>
      <w:r w:rsidRPr="002A257A">
        <w:rPr>
          <w:rFonts w:ascii="Traditional Arabic" w:eastAsia="Times New Roman" w:hAnsi="Traditional Arabic" w:cs="Traditional Arabic"/>
          <w:sz w:val="32"/>
          <w:szCs w:val="32"/>
        </w:rPr>
        <w:t xml:space="preserve"> Leiss </w:t>
      </w:r>
      <w:r w:rsidRPr="002A257A">
        <w:rPr>
          <w:rFonts w:ascii="Traditional Arabic" w:eastAsia="Times New Roman" w:hAnsi="Traditional Arabic" w:cs="Traditional Arabic"/>
          <w:sz w:val="32"/>
          <w:szCs w:val="32"/>
          <w:rtl/>
        </w:rPr>
        <w:t xml:space="preserve">وزملائه (2021) المعنونة "استراتيجيات العناية الذاتية والرضا الوظيفي لدى أطباء الأطفال: ما الذي يمكننا فعله لمنع الاحتراق؟" إلى تقييم استراتيجيات العناية الذاتية المهنية وعلاقتها بالرضا الوظيفي، إضافة إلى استكشاف دورها الوقائي في الحد من الاحتراق الوظيفي. اعتمدت الدراسة المنهج الكمي، وطبقت على عينة مكونة من (309) طبيب أطفال في النمسا، حيث جُمعت </w:t>
      </w:r>
      <w:r w:rsidRPr="002A257A">
        <w:rPr>
          <w:rFonts w:ascii="Traditional Arabic" w:eastAsia="Times New Roman" w:hAnsi="Traditional Arabic" w:cs="Traditional Arabic"/>
          <w:sz w:val="32"/>
          <w:szCs w:val="32"/>
          <w:rtl/>
        </w:rPr>
        <w:lastRenderedPageBreak/>
        <w:t xml:space="preserve">البيانات من خلال </w:t>
      </w:r>
      <w:proofErr w:type="gramStart"/>
      <w:r w:rsidRPr="002A257A">
        <w:rPr>
          <w:rFonts w:ascii="Traditional Arabic" w:eastAsia="Times New Roman" w:hAnsi="Traditional Arabic" w:cs="Traditional Arabic"/>
          <w:sz w:val="32"/>
          <w:szCs w:val="32"/>
          <w:rtl/>
        </w:rPr>
        <w:t>استبيان</w:t>
      </w:r>
      <w:proofErr w:type="gramEnd"/>
      <w:r w:rsidRPr="002A257A">
        <w:rPr>
          <w:rFonts w:ascii="Traditional Arabic" w:eastAsia="Times New Roman" w:hAnsi="Traditional Arabic" w:cs="Traditional Arabic"/>
          <w:sz w:val="32"/>
          <w:szCs w:val="32"/>
          <w:rtl/>
        </w:rPr>
        <w:t xml:space="preserve"> إلكتروني تضمن مقياس العناية الذاتية المهنية المعدل، إضافة إلى أسئلة حول الدعم بين الزملاء والتدريب المهني</w:t>
      </w:r>
      <w:r w:rsidRPr="002A257A">
        <w:rPr>
          <w:rFonts w:ascii="Traditional Arabic" w:eastAsia="Times New Roman" w:hAnsi="Traditional Arabic" w:cs="Traditional Arabic"/>
          <w:sz w:val="32"/>
          <w:szCs w:val="32"/>
        </w:rPr>
        <w:t>.</w:t>
      </w:r>
    </w:p>
    <w:p w14:paraId="699472E2" w14:textId="77777777" w:rsidR="00F91D1B"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أظهرت النتائج أن الدعم العائلي والاجتماعي يمثل الركيزة الأساسية لتعزيز العناية الذاتية، كما تبين أن الرضا الوظيفي تأثر إيجابيًا بالدعم الزميلي، حيث ارتفع مستوى الرضا لدى الأطباء الذين يكثرون من مناقشة المواقف المهنية الصعبة مع زملائهم. كما كشفت النتائج أن الفئات الأكثر عرضة لضعف العناية الذاتية تمثلت في الأطباء الشباب، والذكور، والعاملين في المستشفيات، مما يشير إلى وجود فروق تتعلق بالخبرة والسياق التنظيمي</w:t>
      </w:r>
      <w:r w:rsidRPr="002A257A">
        <w:rPr>
          <w:rFonts w:ascii="Traditional Arabic" w:eastAsia="Times New Roman" w:hAnsi="Traditional Arabic" w:cs="Traditional Arabic"/>
          <w:sz w:val="32"/>
          <w:szCs w:val="32"/>
        </w:rPr>
        <w:t>.</w:t>
      </w:r>
    </w:p>
    <w:p w14:paraId="46F37808" w14:textId="7A9FB774" w:rsidR="00B91EF8" w:rsidRPr="002A257A" w:rsidRDefault="00F91D1B" w:rsidP="00F91D1B">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sz w:val="32"/>
          <w:szCs w:val="32"/>
          <w:rtl/>
        </w:rPr>
        <w:t>وأوصت الدراسة بضرورة تبني تدخلات تنظيمية وفردية لتعزيز الرفاهية المهنية ودعم استراتيجيات العناية الذاتية، بما يسهم في الوقاية من الاحتراق الوظيفي. وتبرز أهمية هذه الدراسة في تأكيدها أن استراتيجيات المواجهة والدعم الاجتماعي لا تسهم فقط في تعزيز الرضا الوظيفي، بل تلعب دورًا وقائيًا في الحد من الاحتراق. كما تدعم نتائجها الإطار النظري للدراسة الحالية من خلال التأكيد على أهمية استراتيجيات مواجهة ضغوط العمل كمدخل أساسي للتأثير في كل من الاحتراق الوظيفي والرضا الوظيفي في البيئات المهنية ذات الضغوط المرتفعة.</w:t>
      </w:r>
    </w:p>
    <w:p w14:paraId="45EDF57B" w14:textId="00CFCA5B" w:rsidR="002A257A" w:rsidRDefault="00B91EF8" w:rsidP="004519FD">
      <w:pPr>
        <w:bidi/>
        <w:spacing w:after="200" w:line="360" w:lineRule="auto"/>
        <w:ind w:firstLine="720"/>
        <w:jc w:val="both"/>
        <w:rPr>
          <w:rFonts w:ascii="Traditional Arabic" w:eastAsia="Times New Roman" w:hAnsi="Traditional Arabic" w:cs="Traditional Arabic"/>
          <w:sz w:val="32"/>
          <w:szCs w:val="32"/>
          <w:rtl/>
        </w:rPr>
      </w:pPr>
      <w:r w:rsidRPr="002A257A">
        <w:rPr>
          <w:rFonts w:ascii="Traditional Arabic" w:eastAsia="Times New Roman" w:hAnsi="Traditional Arabic" w:cs="Traditional Arabic" w:hint="cs"/>
          <w:sz w:val="32"/>
          <w:szCs w:val="32"/>
          <w:rtl/>
        </w:rPr>
        <w:t>الجدول في الاسفل يلخص الدراسات السابقة مع ذكر اوجه الاستفادة منها في الدراسة الحالية.</w:t>
      </w:r>
    </w:p>
    <w:p w14:paraId="5BBF2ED5" w14:textId="77777777" w:rsidR="004519FD" w:rsidRDefault="004519FD" w:rsidP="004519FD">
      <w:pPr>
        <w:bidi/>
        <w:spacing w:after="200" w:line="360" w:lineRule="auto"/>
        <w:ind w:firstLine="720"/>
        <w:jc w:val="both"/>
        <w:rPr>
          <w:rFonts w:ascii="Traditional Arabic" w:eastAsia="Times New Roman" w:hAnsi="Traditional Arabic" w:cs="Traditional Arabic"/>
          <w:sz w:val="32"/>
          <w:szCs w:val="32"/>
          <w:rtl/>
        </w:rPr>
      </w:pPr>
    </w:p>
    <w:p w14:paraId="507486AE" w14:textId="77777777" w:rsidR="004519FD" w:rsidRDefault="004519FD" w:rsidP="004519FD">
      <w:pPr>
        <w:bidi/>
        <w:spacing w:after="200" w:line="360" w:lineRule="auto"/>
        <w:ind w:firstLine="720"/>
        <w:jc w:val="both"/>
        <w:rPr>
          <w:rFonts w:ascii="Traditional Arabic" w:eastAsia="Times New Roman" w:hAnsi="Traditional Arabic" w:cs="Traditional Arabic"/>
          <w:sz w:val="32"/>
          <w:szCs w:val="32"/>
          <w:rtl/>
        </w:rPr>
      </w:pPr>
    </w:p>
    <w:p w14:paraId="215FB13B" w14:textId="77777777" w:rsidR="004519FD" w:rsidRPr="002A257A" w:rsidRDefault="004519FD" w:rsidP="004519FD">
      <w:pPr>
        <w:bidi/>
        <w:spacing w:after="200" w:line="360" w:lineRule="auto"/>
        <w:ind w:firstLine="720"/>
        <w:jc w:val="both"/>
        <w:rPr>
          <w:rFonts w:ascii="Traditional Arabic" w:eastAsia="Times New Roman" w:hAnsi="Traditional Arabic" w:cs="Traditional Arabic"/>
          <w:sz w:val="32"/>
          <w:szCs w:val="32"/>
        </w:rPr>
      </w:pPr>
    </w:p>
    <w:p w14:paraId="156C30C5" w14:textId="77777777" w:rsidR="00B91EF8" w:rsidRPr="002A257A" w:rsidRDefault="00B91EF8" w:rsidP="004519FD">
      <w:pPr>
        <w:bidi/>
        <w:spacing w:after="0" w:line="360" w:lineRule="auto"/>
        <w:jc w:val="center"/>
        <w:rPr>
          <w:rFonts w:ascii="Traditional Arabic" w:eastAsia="Times New Roman" w:hAnsi="Traditional Arabic" w:cs="Traditional Arabic"/>
          <w:b/>
          <w:bCs/>
          <w:sz w:val="32"/>
          <w:szCs w:val="32"/>
        </w:rPr>
      </w:pPr>
      <w:r w:rsidRPr="002A257A">
        <w:rPr>
          <w:rFonts w:ascii="Traditional Arabic" w:eastAsia="Times New Roman" w:hAnsi="Traditional Arabic" w:cs="Traditional Arabic" w:hint="cs"/>
          <w:b/>
          <w:bCs/>
          <w:sz w:val="32"/>
          <w:szCs w:val="32"/>
          <w:rtl/>
        </w:rPr>
        <w:lastRenderedPageBreak/>
        <w:t>جدول رقم (1): ملخص الدراسات السابقة واوجه الاستفادة منها</w:t>
      </w:r>
    </w:p>
    <w:tbl>
      <w:tblPr>
        <w:tblStyle w:val="a7"/>
        <w:bidiVisual/>
        <w:tblW w:w="0" w:type="auto"/>
        <w:tblLayout w:type="fixed"/>
        <w:tblLook w:val="04A0" w:firstRow="1" w:lastRow="0" w:firstColumn="1" w:lastColumn="0" w:noHBand="0" w:noVBand="1"/>
      </w:tblPr>
      <w:tblGrid>
        <w:gridCol w:w="1751"/>
        <w:gridCol w:w="1418"/>
        <w:gridCol w:w="1276"/>
        <w:gridCol w:w="992"/>
        <w:gridCol w:w="3085"/>
      </w:tblGrid>
      <w:tr w:rsidR="004519FD" w:rsidRPr="004519FD" w14:paraId="666D1355" w14:textId="77777777" w:rsidTr="004519FD">
        <w:tc>
          <w:tcPr>
            <w:tcW w:w="1751" w:type="dxa"/>
            <w:shd w:val="clear" w:color="auto" w:fill="F79646" w:themeFill="accent6"/>
            <w:hideMark/>
          </w:tcPr>
          <w:p w14:paraId="25D4017A" w14:textId="77777777" w:rsidR="004519FD" w:rsidRPr="004519FD" w:rsidRDefault="004519FD" w:rsidP="004519FD">
            <w:pPr>
              <w:bidi/>
              <w:spacing w:after="0" w:line="240" w:lineRule="auto"/>
              <w:jc w:val="both"/>
              <w:rPr>
                <w:rFonts w:ascii="Traditional Arabic" w:eastAsia="Times New Roman" w:hAnsi="Traditional Arabic" w:cs="Traditional Arabic"/>
                <w:b/>
                <w:bCs/>
                <w:sz w:val="28"/>
                <w:szCs w:val="28"/>
              </w:rPr>
            </w:pPr>
            <w:r w:rsidRPr="004519FD">
              <w:rPr>
                <w:rFonts w:ascii="Traditional Arabic" w:eastAsia="Times New Roman" w:hAnsi="Traditional Arabic" w:cs="Traditional Arabic"/>
                <w:b/>
                <w:bCs/>
                <w:sz w:val="28"/>
                <w:szCs w:val="28"/>
                <w:rtl/>
              </w:rPr>
              <w:t>المؤلف والسنة</w:t>
            </w:r>
          </w:p>
        </w:tc>
        <w:tc>
          <w:tcPr>
            <w:tcW w:w="1418" w:type="dxa"/>
            <w:shd w:val="clear" w:color="auto" w:fill="F79646" w:themeFill="accent6"/>
            <w:hideMark/>
          </w:tcPr>
          <w:p w14:paraId="51497232" w14:textId="77777777" w:rsidR="004519FD" w:rsidRPr="004519FD" w:rsidRDefault="004519FD" w:rsidP="004519FD">
            <w:pPr>
              <w:bidi/>
              <w:spacing w:after="0" w:line="240" w:lineRule="auto"/>
              <w:jc w:val="both"/>
              <w:rPr>
                <w:rFonts w:ascii="Traditional Arabic" w:eastAsia="Times New Roman" w:hAnsi="Traditional Arabic" w:cs="Traditional Arabic"/>
                <w:b/>
                <w:bCs/>
                <w:sz w:val="28"/>
                <w:szCs w:val="28"/>
              </w:rPr>
            </w:pPr>
            <w:r w:rsidRPr="004519FD">
              <w:rPr>
                <w:rFonts w:ascii="Traditional Arabic" w:eastAsia="Times New Roman" w:hAnsi="Traditional Arabic" w:cs="Traditional Arabic"/>
                <w:b/>
                <w:bCs/>
                <w:sz w:val="28"/>
                <w:szCs w:val="28"/>
                <w:rtl/>
              </w:rPr>
              <w:t>المنهجية</w:t>
            </w:r>
          </w:p>
        </w:tc>
        <w:tc>
          <w:tcPr>
            <w:tcW w:w="1276" w:type="dxa"/>
            <w:shd w:val="clear" w:color="auto" w:fill="F79646" w:themeFill="accent6"/>
            <w:hideMark/>
          </w:tcPr>
          <w:p w14:paraId="09AECFF2" w14:textId="77777777" w:rsidR="004519FD" w:rsidRPr="004519FD" w:rsidRDefault="004519FD" w:rsidP="004519FD">
            <w:pPr>
              <w:bidi/>
              <w:spacing w:after="0" w:line="240" w:lineRule="auto"/>
              <w:jc w:val="both"/>
              <w:rPr>
                <w:rFonts w:ascii="Traditional Arabic" w:eastAsia="Times New Roman" w:hAnsi="Traditional Arabic" w:cs="Traditional Arabic"/>
                <w:b/>
                <w:bCs/>
                <w:sz w:val="28"/>
                <w:szCs w:val="28"/>
              </w:rPr>
            </w:pPr>
            <w:r w:rsidRPr="004519FD">
              <w:rPr>
                <w:rFonts w:ascii="Traditional Arabic" w:eastAsia="Times New Roman" w:hAnsi="Traditional Arabic" w:cs="Traditional Arabic"/>
                <w:b/>
                <w:bCs/>
                <w:sz w:val="28"/>
                <w:szCs w:val="28"/>
                <w:rtl/>
              </w:rPr>
              <w:t>المجتمع والعينة</w:t>
            </w:r>
          </w:p>
        </w:tc>
        <w:tc>
          <w:tcPr>
            <w:tcW w:w="992" w:type="dxa"/>
            <w:shd w:val="clear" w:color="auto" w:fill="F79646" w:themeFill="accent6"/>
            <w:hideMark/>
          </w:tcPr>
          <w:p w14:paraId="126C19FC" w14:textId="77777777" w:rsidR="004519FD" w:rsidRPr="004519FD" w:rsidRDefault="004519FD" w:rsidP="004519FD">
            <w:pPr>
              <w:bidi/>
              <w:spacing w:after="0" w:line="240" w:lineRule="auto"/>
              <w:jc w:val="both"/>
              <w:rPr>
                <w:rFonts w:ascii="Traditional Arabic" w:eastAsia="Times New Roman" w:hAnsi="Traditional Arabic" w:cs="Traditional Arabic"/>
                <w:b/>
                <w:bCs/>
                <w:sz w:val="28"/>
                <w:szCs w:val="28"/>
              </w:rPr>
            </w:pPr>
            <w:r w:rsidRPr="004519FD">
              <w:rPr>
                <w:rFonts w:ascii="Traditional Arabic" w:eastAsia="Times New Roman" w:hAnsi="Traditional Arabic" w:cs="Traditional Arabic"/>
                <w:b/>
                <w:bCs/>
                <w:sz w:val="28"/>
                <w:szCs w:val="28"/>
                <w:rtl/>
              </w:rPr>
              <w:t>مكان الدراسة</w:t>
            </w:r>
          </w:p>
        </w:tc>
        <w:tc>
          <w:tcPr>
            <w:tcW w:w="3085" w:type="dxa"/>
            <w:shd w:val="clear" w:color="auto" w:fill="F79646" w:themeFill="accent6"/>
            <w:hideMark/>
          </w:tcPr>
          <w:p w14:paraId="582D8C52" w14:textId="77777777" w:rsidR="004519FD" w:rsidRPr="004519FD" w:rsidRDefault="004519FD" w:rsidP="004519FD">
            <w:pPr>
              <w:bidi/>
              <w:spacing w:after="0" w:line="240" w:lineRule="auto"/>
              <w:jc w:val="both"/>
              <w:rPr>
                <w:rFonts w:ascii="Traditional Arabic" w:eastAsia="Times New Roman" w:hAnsi="Traditional Arabic" w:cs="Traditional Arabic"/>
                <w:b/>
                <w:bCs/>
                <w:sz w:val="28"/>
                <w:szCs w:val="28"/>
              </w:rPr>
            </w:pPr>
            <w:r w:rsidRPr="004519FD">
              <w:rPr>
                <w:rFonts w:ascii="Traditional Arabic" w:eastAsia="Times New Roman" w:hAnsi="Traditional Arabic" w:cs="Traditional Arabic"/>
                <w:b/>
                <w:bCs/>
                <w:sz w:val="28"/>
                <w:szCs w:val="28"/>
                <w:rtl/>
              </w:rPr>
              <w:t>أهم النتائج</w:t>
            </w:r>
          </w:p>
        </w:tc>
      </w:tr>
      <w:tr w:rsidR="004519FD" w:rsidRPr="004519FD" w14:paraId="313680DD" w14:textId="77777777" w:rsidTr="004519FD">
        <w:tc>
          <w:tcPr>
            <w:tcW w:w="1751" w:type="dxa"/>
            <w:hideMark/>
          </w:tcPr>
          <w:p w14:paraId="018B9327" w14:textId="5054E51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الغزو (2024</w:t>
            </w:r>
            <w:r w:rsidRPr="004519FD">
              <w:rPr>
                <w:rFonts w:ascii="Traditional Arabic" w:eastAsia="Times New Roman" w:hAnsi="Traditional Arabic" w:cs="Traditional Arabic" w:hint="cs"/>
                <w:sz w:val="28"/>
                <w:szCs w:val="28"/>
                <w:rtl/>
              </w:rPr>
              <w:t>)</w:t>
            </w:r>
          </w:p>
        </w:tc>
        <w:tc>
          <w:tcPr>
            <w:tcW w:w="1418" w:type="dxa"/>
            <w:hideMark/>
          </w:tcPr>
          <w:p w14:paraId="6298E887"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وصفي ارتباطي</w:t>
            </w:r>
          </w:p>
        </w:tc>
        <w:tc>
          <w:tcPr>
            <w:tcW w:w="1276" w:type="dxa"/>
            <w:hideMark/>
          </w:tcPr>
          <w:p w14:paraId="1F1D6713" w14:textId="2A74B12B"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tl/>
              </w:rPr>
              <w:t xml:space="preserve">معلمات متزوجات </w:t>
            </w:r>
            <w:r>
              <w:rPr>
                <w:rFonts w:ascii="Traditional Arabic" w:eastAsia="Times New Roman" w:hAnsi="Traditional Arabic" w:cs="Traditional Arabic" w:hint="cs"/>
                <w:sz w:val="28"/>
                <w:szCs w:val="28"/>
                <w:rtl/>
              </w:rPr>
              <w:t>200</w:t>
            </w:r>
          </w:p>
        </w:tc>
        <w:tc>
          <w:tcPr>
            <w:tcW w:w="992" w:type="dxa"/>
            <w:hideMark/>
          </w:tcPr>
          <w:p w14:paraId="460815A6"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الأردن – إربد</w:t>
            </w:r>
          </w:p>
        </w:tc>
        <w:tc>
          <w:tcPr>
            <w:tcW w:w="3085" w:type="dxa"/>
            <w:hideMark/>
          </w:tcPr>
          <w:p w14:paraId="3F3361AA"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استراتيجيات المواجهة الإيجابية تتنبأ بالرضا المهني وتقلل القلق، وتفسر نسبة أعلى من التباين مقارنة بالسلبية</w:t>
            </w:r>
          </w:p>
        </w:tc>
      </w:tr>
      <w:tr w:rsidR="004519FD" w:rsidRPr="004519FD" w14:paraId="641AD6C0" w14:textId="77777777" w:rsidTr="004519FD">
        <w:tc>
          <w:tcPr>
            <w:tcW w:w="1751" w:type="dxa"/>
            <w:hideMark/>
          </w:tcPr>
          <w:p w14:paraId="12FA6A6A"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Woods et al. (2023)</w:t>
            </w:r>
          </w:p>
        </w:tc>
        <w:tc>
          <w:tcPr>
            <w:tcW w:w="1418" w:type="dxa"/>
            <w:hideMark/>
          </w:tcPr>
          <w:p w14:paraId="2BD12CF7"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 مقطعي</w:t>
            </w:r>
          </w:p>
        </w:tc>
        <w:tc>
          <w:tcPr>
            <w:tcW w:w="1276" w:type="dxa"/>
            <w:hideMark/>
          </w:tcPr>
          <w:p w14:paraId="12B6CC03" w14:textId="386AEB92"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sz w:val="28"/>
                <w:szCs w:val="28"/>
                <w:rtl/>
              </w:rPr>
              <w:t xml:space="preserve">معلمون </w:t>
            </w:r>
            <w:r>
              <w:rPr>
                <w:rFonts w:ascii="Traditional Arabic" w:eastAsia="Times New Roman" w:hAnsi="Traditional Arabic" w:cs="Traditional Arabic" w:hint="cs"/>
                <w:sz w:val="28"/>
                <w:szCs w:val="28"/>
                <w:rtl/>
              </w:rPr>
              <w:t>320</w:t>
            </w:r>
          </w:p>
        </w:tc>
        <w:tc>
          <w:tcPr>
            <w:tcW w:w="992" w:type="dxa"/>
            <w:hideMark/>
          </w:tcPr>
          <w:p w14:paraId="09BD3F1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قطاع التعليم</w:t>
            </w:r>
          </w:p>
        </w:tc>
        <w:tc>
          <w:tcPr>
            <w:tcW w:w="3085" w:type="dxa"/>
            <w:hideMark/>
          </w:tcPr>
          <w:p w14:paraId="3C2B4C4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علاقة سلبية بين الضغط والرضا، واستراتيجيات المواجهة تخفف من تأثير الضغط</w:t>
            </w:r>
          </w:p>
        </w:tc>
      </w:tr>
      <w:tr w:rsidR="004519FD" w:rsidRPr="004519FD" w14:paraId="143FFF1F" w14:textId="77777777" w:rsidTr="004519FD">
        <w:tc>
          <w:tcPr>
            <w:tcW w:w="1751" w:type="dxa"/>
            <w:hideMark/>
          </w:tcPr>
          <w:p w14:paraId="74AD671A"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Friganovic &amp; Selic (2021)</w:t>
            </w:r>
          </w:p>
        </w:tc>
        <w:tc>
          <w:tcPr>
            <w:tcW w:w="1418" w:type="dxa"/>
            <w:hideMark/>
          </w:tcPr>
          <w:p w14:paraId="3B594B1B"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 مقطعي</w:t>
            </w:r>
            <w:r w:rsidRPr="004519FD">
              <w:rPr>
                <w:rFonts w:ascii="Traditional Arabic" w:eastAsia="Times New Roman" w:hAnsi="Traditional Arabic" w:cs="Traditional Arabic"/>
                <w:sz w:val="28"/>
                <w:szCs w:val="28"/>
              </w:rPr>
              <w:t xml:space="preserve"> (SEM)</w:t>
            </w:r>
          </w:p>
        </w:tc>
        <w:tc>
          <w:tcPr>
            <w:tcW w:w="1276" w:type="dxa"/>
            <w:hideMark/>
          </w:tcPr>
          <w:p w14:paraId="6BA30B9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620 </w:t>
            </w:r>
            <w:r w:rsidRPr="004519FD">
              <w:rPr>
                <w:rFonts w:ascii="Traditional Arabic" w:eastAsia="Times New Roman" w:hAnsi="Traditional Arabic" w:cs="Traditional Arabic"/>
                <w:sz w:val="28"/>
                <w:szCs w:val="28"/>
                <w:rtl/>
              </w:rPr>
              <w:t>ممرضًا</w:t>
            </w:r>
          </w:p>
        </w:tc>
        <w:tc>
          <w:tcPr>
            <w:tcW w:w="992" w:type="dxa"/>
            <w:hideMark/>
          </w:tcPr>
          <w:p w14:paraId="6901B12B"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كرواتيا</w:t>
            </w:r>
          </w:p>
        </w:tc>
        <w:tc>
          <w:tcPr>
            <w:tcW w:w="3085" w:type="dxa"/>
            <w:hideMark/>
          </w:tcPr>
          <w:p w14:paraId="00F6B9B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علاقة سلبية بين الاحتراق والرضا، والمواجهة السلبية تزيد الاحتراق</w:t>
            </w:r>
          </w:p>
        </w:tc>
      </w:tr>
      <w:tr w:rsidR="004519FD" w:rsidRPr="004519FD" w14:paraId="00C797F3" w14:textId="77777777" w:rsidTr="004519FD">
        <w:tc>
          <w:tcPr>
            <w:tcW w:w="1751" w:type="dxa"/>
            <w:hideMark/>
          </w:tcPr>
          <w:p w14:paraId="762B06FA"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Portero de la Cruz et al. (2020)</w:t>
            </w:r>
          </w:p>
        </w:tc>
        <w:tc>
          <w:tcPr>
            <w:tcW w:w="1418" w:type="dxa"/>
            <w:hideMark/>
          </w:tcPr>
          <w:p w14:paraId="6BB78B6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 مقطعي</w:t>
            </w:r>
          </w:p>
        </w:tc>
        <w:tc>
          <w:tcPr>
            <w:tcW w:w="1276" w:type="dxa"/>
            <w:hideMark/>
          </w:tcPr>
          <w:p w14:paraId="7B6D050D"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171 </w:t>
            </w:r>
            <w:r w:rsidRPr="004519FD">
              <w:rPr>
                <w:rFonts w:ascii="Traditional Arabic" w:eastAsia="Times New Roman" w:hAnsi="Traditional Arabic" w:cs="Traditional Arabic"/>
                <w:sz w:val="28"/>
                <w:szCs w:val="28"/>
                <w:rtl/>
              </w:rPr>
              <w:t>ممرضًا</w:t>
            </w:r>
          </w:p>
        </w:tc>
        <w:tc>
          <w:tcPr>
            <w:tcW w:w="992" w:type="dxa"/>
            <w:hideMark/>
          </w:tcPr>
          <w:p w14:paraId="2067BAF0"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إسبانيا</w:t>
            </w:r>
          </w:p>
        </w:tc>
        <w:tc>
          <w:tcPr>
            <w:tcW w:w="3085" w:type="dxa"/>
            <w:hideMark/>
          </w:tcPr>
          <w:p w14:paraId="467B3C5D"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استراتيجيات المواجهة الإيجابية تقلل الاحتراق وتحسن الصحة النفسية</w:t>
            </w:r>
          </w:p>
        </w:tc>
      </w:tr>
      <w:tr w:rsidR="004519FD" w:rsidRPr="004519FD" w14:paraId="7DEB435D" w14:textId="77777777" w:rsidTr="004519FD">
        <w:tc>
          <w:tcPr>
            <w:tcW w:w="1751" w:type="dxa"/>
            <w:hideMark/>
          </w:tcPr>
          <w:p w14:paraId="041D08CB"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Isfianadewi &amp; Noordyani (2020)</w:t>
            </w:r>
          </w:p>
        </w:tc>
        <w:tc>
          <w:tcPr>
            <w:tcW w:w="1418" w:type="dxa"/>
            <w:hideMark/>
          </w:tcPr>
          <w:p w14:paraId="68E6FA1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وصفي تحليلي</w:t>
            </w:r>
          </w:p>
        </w:tc>
        <w:tc>
          <w:tcPr>
            <w:tcW w:w="1276" w:type="dxa"/>
            <w:hideMark/>
          </w:tcPr>
          <w:p w14:paraId="0015E984" w14:textId="2F4119C1"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موظفو مطاعم (غير محدد</w:t>
            </w:r>
            <w:r>
              <w:rPr>
                <w:rFonts w:ascii="Traditional Arabic" w:eastAsia="Times New Roman" w:hAnsi="Traditional Arabic" w:cs="Traditional Arabic" w:hint="cs"/>
                <w:sz w:val="28"/>
                <w:szCs w:val="28"/>
                <w:rtl/>
              </w:rPr>
              <w:t>)</w:t>
            </w:r>
          </w:p>
        </w:tc>
        <w:tc>
          <w:tcPr>
            <w:tcW w:w="992" w:type="dxa"/>
            <w:hideMark/>
          </w:tcPr>
          <w:p w14:paraId="63AC26F2"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إندونيسيا</w:t>
            </w:r>
          </w:p>
        </w:tc>
        <w:tc>
          <w:tcPr>
            <w:tcW w:w="3085" w:type="dxa"/>
            <w:hideMark/>
          </w:tcPr>
          <w:p w14:paraId="5E5F0262"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صراع العمل والأسرة يؤثر سلبًا على الرضا، والمواجهة مهمة رغم ضعف دور الدعم الاجتماعي</w:t>
            </w:r>
          </w:p>
        </w:tc>
      </w:tr>
      <w:tr w:rsidR="004519FD" w:rsidRPr="004519FD" w14:paraId="3FDC655E" w14:textId="77777777" w:rsidTr="004519FD">
        <w:tc>
          <w:tcPr>
            <w:tcW w:w="1751" w:type="dxa"/>
            <w:hideMark/>
          </w:tcPr>
          <w:p w14:paraId="458437DA"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Aljawarneh et al. (2025)</w:t>
            </w:r>
          </w:p>
        </w:tc>
        <w:tc>
          <w:tcPr>
            <w:tcW w:w="1418" w:type="dxa"/>
            <w:hideMark/>
          </w:tcPr>
          <w:p w14:paraId="7C5F83C7"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r w:rsidRPr="004519FD">
              <w:rPr>
                <w:rFonts w:ascii="Traditional Arabic" w:eastAsia="Times New Roman" w:hAnsi="Traditional Arabic" w:cs="Traditional Arabic"/>
                <w:sz w:val="28"/>
                <w:szCs w:val="28"/>
              </w:rPr>
              <w:t xml:space="preserve"> (SEM)</w:t>
            </w:r>
          </w:p>
        </w:tc>
        <w:tc>
          <w:tcPr>
            <w:tcW w:w="1276" w:type="dxa"/>
            <w:hideMark/>
          </w:tcPr>
          <w:p w14:paraId="774F6479"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300 </w:t>
            </w:r>
            <w:r w:rsidRPr="004519FD">
              <w:rPr>
                <w:rFonts w:ascii="Traditional Arabic" w:eastAsia="Times New Roman" w:hAnsi="Traditional Arabic" w:cs="Traditional Arabic"/>
                <w:sz w:val="28"/>
                <w:szCs w:val="28"/>
                <w:rtl/>
              </w:rPr>
              <w:t>موظف</w:t>
            </w:r>
          </w:p>
        </w:tc>
        <w:tc>
          <w:tcPr>
            <w:tcW w:w="992" w:type="dxa"/>
            <w:hideMark/>
          </w:tcPr>
          <w:p w14:paraId="3BCE6779"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الإمارات</w:t>
            </w:r>
          </w:p>
        </w:tc>
        <w:tc>
          <w:tcPr>
            <w:tcW w:w="3085" w:type="dxa"/>
            <w:hideMark/>
          </w:tcPr>
          <w:p w14:paraId="78646DF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ضغوط العمل تزيد الاحتراق، والاحتراق يقلل الرضا، مع دور وسيط للاحتراق</w:t>
            </w:r>
          </w:p>
        </w:tc>
      </w:tr>
      <w:tr w:rsidR="004519FD" w:rsidRPr="004519FD" w14:paraId="6DC668C1" w14:textId="77777777" w:rsidTr="004519FD">
        <w:tc>
          <w:tcPr>
            <w:tcW w:w="1751" w:type="dxa"/>
            <w:hideMark/>
          </w:tcPr>
          <w:p w14:paraId="0529948E"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Arumsari et al. (2025)</w:t>
            </w:r>
          </w:p>
        </w:tc>
        <w:tc>
          <w:tcPr>
            <w:tcW w:w="1418" w:type="dxa"/>
            <w:hideMark/>
          </w:tcPr>
          <w:p w14:paraId="2734B10D" w14:textId="6F85DF98"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r w:rsidRPr="004519FD">
              <w:rPr>
                <w:rFonts w:ascii="Traditional Arabic" w:eastAsia="Times New Roman" w:hAnsi="Traditional Arabic" w:cs="Traditional Arabic"/>
                <w:sz w:val="28"/>
                <w:szCs w:val="28"/>
              </w:rPr>
              <w:t xml:space="preserve"> </w:t>
            </w:r>
          </w:p>
        </w:tc>
        <w:tc>
          <w:tcPr>
            <w:tcW w:w="1276" w:type="dxa"/>
            <w:hideMark/>
          </w:tcPr>
          <w:p w14:paraId="2B7912AB"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250 </w:t>
            </w:r>
            <w:r w:rsidRPr="004519FD">
              <w:rPr>
                <w:rFonts w:ascii="Traditional Arabic" w:eastAsia="Times New Roman" w:hAnsi="Traditional Arabic" w:cs="Traditional Arabic"/>
                <w:sz w:val="28"/>
                <w:szCs w:val="28"/>
                <w:rtl/>
              </w:rPr>
              <w:t>موظف</w:t>
            </w:r>
          </w:p>
        </w:tc>
        <w:tc>
          <w:tcPr>
            <w:tcW w:w="992" w:type="dxa"/>
            <w:hideMark/>
          </w:tcPr>
          <w:p w14:paraId="5ECE06E1"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إندونيسيا</w:t>
            </w:r>
          </w:p>
        </w:tc>
        <w:tc>
          <w:tcPr>
            <w:tcW w:w="3085" w:type="dxa"/>
            <w:hideMark/>
          </w:tcPr>
          <w:p w14:paraId="20EAE0F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الاحتراق يزيد نية ترك العمل، والرضا يقللها</w:t>
            </w:r>
          </w:p>
        </w:tc>
      </w:tr>
      <w:tr w:rsidR="004519FD" w:rsidRPr="004519FD" w14:paraId="39D365B7" w14:textId="77777777" w:rsidTr="004519FD">
        <w:tc>
          <w:tcPr>
            <w:tcW w:w="1751" w:type="dxa"/>
            <w:hideMark/>
          </w:tcPr>
          <w:p w14:paraId="6FADB74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Conceição et al. (2025)</w:t>
            </w:r>
          </w:p>
        </w:tc>
        <w:tc>
          <w:tcPr>
            <w:tcW w:w="1418" w:type="dxa"/>
            <w:hideMark/>
          </w:tcPr>
          <w:p w14:paraId="765E53F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p>
        </w:tc>
        <w:tc>
          <w:tcPr>
            <w:tcW w:w="1276" w:type="dxa"/>
            <w:hideMark/>
          </w:tcPr>
          <w:p w14:paraId="1BC9590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280 </w:t>
            </w:r>
            <w:r w:rsidRPr="004519FD">
              <w:rPr>
                <w:rFonts w:ascii="Traditional Arabic" w:eastAsia="Times New Roman" w:hAnsi="Traditional Arabic" w:cs="Traditional Arabic"/>
                <w:sz w:val="28"/>
                <w:szCs w:val="28"/>
                <w:rtl/>
              </w:rPr>
              <w:t>موظف</w:t>
            </w:r>
          </w:p>
        </w:tc>
        <w:tc>
          <w:tcPr>
            <w:tcW w:w="992" w:type="dxa"/>
            <w:hideMark/>
          </w:tcPr>
          <w:p w14:paraId="1669DB22"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البرتغال</w:t>
            </w:r>
          </w:p>
        </w:tc>
        <w:tc>
          <w:tcPr>
            <w:tcW w:w="3085" w:type="dxa"/>
            <w:hideMark/>
          </w:tcPr>
          <w:p w14:paraId="76085C8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الاحتراق يؤثر سلبًا على الأداء والدافعية</w:t>
            </w:r>
          </w:p>
        </w:tc>
      </w:tr>
      <w:tr w:rsidR="004519FD" w:rsidRPr="004519FD" w14:paraId="0175D8F0" w14:textId="77777777" w:rsidTr="004519FD">
        <w:tc>
          <w:tcPr>
            <w:tcW w:w="1751" w:type="dxa"/>
            <w:hideMark/>
          </w:tcPr>
          <w:p w14:paraId="7DF1E4E2"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Alyileili et al. (2025)</w:t>
            </w:r>
          </w:p>
        </w:tc>
        <w:tc>
          <w:tcPr>
            <w:tcW w:w="1418" w:type="dxa"/>
            <w:hideMark/>
          </w:tcPr>
          <w:p w14:paraId="43E6B646" w14:textId="7DDFCC4A"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r w:rsidRPr="004519FD">
              <w:rPr>
                <w:rFonts w:ascii="Traditional Arabic" w:eastAsia="Times New Roman" w:hAnsi="Traditional Arabic" w:cs="Traditional Arabic"/>
                <w:sz w:val="28"/>
                <w:szCs w:val="28"/>
              </w:rPr>
              <w:t xml:space="preserve"> </w:t>
            </w:r>
          </w:p>
        </w:tc>
        <w:tc>
          <w:tcPr>
            <w:tcW w:w="1276" w:type="dxa"/>
            <w:hideMark/>
          </w:tcPr>
          <w:p w14:paraId="04EB8528"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200 </w:t>
            </w:r>
            <w:r w:rsidRPr="004519FD">
              <w:rPr>
                <w:rFonts w:ascii="Traditional Arabic" w:eastAsia="Times New Roman" w:hAnsi="Traditional Arabic" w:cs="Traditional Arabic"/>
                <w:sz w:val="28"/>
                <w:szCs w:val="28"/>
                <w:rtl/>
              </w:rPr>
              <w:t>موظف</w:t>
            </w:r>
          </w:p>
        </w:tc>
        <w:tc>
          <w:tcPr>
            <w:tcW w:w="992" w:type="dxa"/>
            <w:hideMark/>
          </w:tcPr>
          <w:p w14:paraId="5A600E52"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إندونيسيا</w:t>
            </w:r>
          </w:p>
        </w:tc>
        <w:tc>
          <w:tcPr>
            <w:tcW w:w="3085" w:type="dxa"/>
            <w:hideMark/>
          </w:tcPr>
          <w:p w14:paraId="321241D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ضغوط العمل تؤدي إلى الاحتراق ثم نية ترك العمل</w:t>
            </w:r>
          </w:p>
        </w:tc>
      </w:tr>
      <w:tr w:rsidR="004519FD" w:rsidRPr="004519FD" w14:paraId="29B76B37" w14:textId="77777777" w:rsidTr="004519FD">
        <w:tc>
          <w:tcPr>
            <w:tcW w:w="1751" w:type="dxa"/>
            <w:hideMark/>
          </w:tcPr>
          <w:p w14:paraId="21102942"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Gün et al. (2024)</w:t>
            </w:r>
          </w:p>
        </w:tc>
        <w:tc>
          <w:tcPr>
            <w:tcW w:w="1418" w:type="dxa"/>
            <w:hideMark/>
          </w:tcPr>
          <w:p w14:paraId="040B9A0E"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r w:rsidRPr="004519FD">
              <w:rPr>
                <w:rFonts w:ascii="Traditional Arabic" w:eastAsia="Times New Roman" w:hAnsi="Traditional Arabic" w:cs="Traditional Arabic"/>
                <w:sz w:val="28"/>
                <w:szCs w:val="28"/>
              </w:rPr>
              <w:t xml:space="preserve"> (SEM)</w:t>
            </w:r>
          </w:p>
        </w:tc>
        <w:tc>
          <w:tcPr>
            <w:tcW w:w="1276" w:type="dxa"/>
            <w:hideMark/>
          </w:tcPr>
          <w:p w14:paraId="4C21B83B"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400 </w:t>
            </w:r>
            <w:r w:rsidRPr="004519FD">
              <w:rPr>
                <w:rFonts w:ascii="Traditional Arabic" w:eastAsia="Times New Roman" w:hAnsi="Traditional Arabic" w:cs="Traditional Arabic"/>
                <w:sz w:val="28"/>
                <w:szCs w:val="28"/>
                <w:rtl/>
              </w:rPr>
              <w:t>موظف</w:t>
            </w:r>
          </w:p>
        </w:tc>
        <w:tc>
          <w:tcPr>
            <w:tcW w:w="992" w:type="dxa"/>
            <w:hideMark/>
          </w:tcPr>
          <w:p w14:paraId="44A586EA"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أوروبا</w:t>
            </w:r>
          </w:p>
        </w:tc>
        <w:tc>
          <w:tcPr>
            <w:tcW w:w="3085" w:type="dxa"/>
            <w:hideMark/>
          </w:tcPr>
          <w:p w14:paraId="1D358837"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الاحتراق يتوسط العلاقة بين الدعم التنظيمي وسلوك الانسحاب</w:t>
            </w:r>
          </w:p>
        </w:tc>
      </w:tr>
      <w:tr w:rsidR="004519FD" w:rsidRPr="004519FD" w14:paraId="5F68B95A" w14:textId="77777777" w:rsidTr="004519FD">
        <w:tc>
          <w:tcPr>
            <w:tcW w:w="1751" w:type="dxa"/>
            <w:hideMark/>
          </w:tcPr>
          <w:p w14:paraId="7C98F086"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Zeng &amp; Hu (2024)</w:t>
            </w:r>
          </w:p>
        </w:tc>
        <w:tc>
          <w:tcPr>
            <w:tcW w:w="1418" w:type="dxa"/>
            <w:hideMark/>
          </w:tcPr>
          <w:p w14:paraId="125032D4"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r w:rsidRPr="004519FD">
              <w:rPr>
                <w:rFonts w:ascii="Traditional Arabic" w:eastAsia="Times New Roman" w:hAnsi="Traditional Arabic" w:cs="Traditional Arabic"/>
                <w:sz w:val="28"/>
                <w:szCs w:val="28"/>
              </w:rPr>
              <w:t xml:space="preserve"> (SEM)</w:t>
            </w:r>
          </w:p>
        </w:tc>
        <w:tc>
          <w:tcPr>
            <w:tcW w:w="1276" w:type="dxa"/>
            <w:hideMark/>
          </w:tcPr>
          <w:p w14:paraId="29BAA2F1"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350 </w:t>
            </w:r>
            <w:r w:rsidRPr="004519FD">
              <w:rPr>
                <w:rFonts w:ascii="Traditional Arabic" w:eastAsia="Times New Roman" w:hAnsi="Traditional Arabic" w:cs="Traditional Arabic"/>
                <w:sz w:val="28"/>
                <w:szCs w:val="28"/>
                <w:rtl/>
              </w:rPr>
              <w:t>موظف</w:t>
            </w:r>
          </w:p>
        </w:tc>
        <w:tc>
          <w:tcPr>
            <w:tcW w:w="992" w:type="dxa"/>
            <w:hideMark/>
          </w:tcPr>
          <w:p w14:paraId="7809CCAB"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الصين</w:t>
            </w:r>
          </w:p>
        </w:tc>
        <w:tc>
          <w:tcPr>
            <w:tcW w:w="3085" w:type="dxa"/>
            <w:hideMark/>
          </w:tcPr>
          <w:p w14:paraId="2AFDA326"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ضعف التوافق يزيد الضغوط ثم الاحتراق</w:t>
            </w:r>
          </w:p>
        </w:tc>
      </w:tr>
      <w:tr w:rsidR="004519FD" w:rsidRPr="004519FD" w14:paraId="18E00735" w14:textId="77777777" w:rsidTr="004519FD">
        <w:tc>
          <w:tcPr>
            <w:tcW w:w="1751" w:type="dxa"/>
            <w:hideMark/>
          </w:tcPr>
          <w:p w14:paraId="4F9B95A6"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Vetbuje &amp; Olaleye (2022)</w:t>
            </w:r>
          </w:p>
        </w:tc>
        <w:tc>
          <w:tcPr>
            <w:tcW w:w="1418" w:type="dxa"/>
            <w:hideMark/>
          </w:tcPr>
          <w:p w14:paraId="1EC8E6F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r w:rsidRPr="004519FD">
              <w:rPr>
                <w:rFonts w:ascii="Traditional Arabic" w:eastAsia="Times New Roman" w:hAnsi="Traditional Arabic" w:cs="Traditional Arabic"/>
                <w:sz w:val="28"/>
                <w:szCs w:val="28"/>
              </w:rPr>
              <w:t xml:space="preserve"> (PLS-SEM)</w:t>
            </w:r>
          </w:p>
        </w:tc>
        <w:tc>
          <w:tcPr>
            <w:tcW w:w="1276" w:type="dxa"/>
            <w:hideMark/>
          </w:tcPr>
          <w:p w14:paraId="1C5217A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338 </w:t>
            </w:r>
            <w:r w:rsidRPr="004519FD">
              <w:rPr>
                <w:rFonts w:ascii="Traditional Arabic" w:eastAsia="Times New Roman" w:hAnsi="Traditional Arabic" w:cs="Traditional Arabic"/>
                <w:sz w:val="28"/>
                <w:szCs w:val="28"/>
                <w:rtl/>
              </w:rPr>
              <w:t>موظفًا طبيًا</w:t>
            </w:r>
          </w:p>
        </w:tc>
        <w:tc>
          <w:tcPr>
            <w:tcW w:w="992" w:type="dxa"/>
            <w:hideMark/>
          </w:tcPr>
          <w:p w14:paraId="146348A7"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نيجيريا</w:t>
            </w:r>
          </w:p>
        </w:tc>
        <w:tc>
          <w:tcPr>
            <w:tcW w:w="3085" w:type="dxa"/>
            <w:hideMark/>
          </w:tcPr>
          <w:p w14:paraId="3FE6EB5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ضغط العمل وسيط قوي، والمواجهة تقلل الاحتراق</w:t>
            </w:r>
          </w:p>
        </w:tc>
      </w:tr>
      <w:tr w:rsidR="004519FD" w:rsidRPr="004519FD" w14:paraId="67B23AFB" w14:textId="77777777" w:rsidTr="004519FD">
        <w:tc>
          <w:tcPr>
            <w:tcW w:w="1751" w:type="dxa"/>
            <w:hideMark/>
          </w:tcPr>
          <w:p w14:paraId="65814D79"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lastRenderedPageBreak/>
              <w:t>Friganovi</w:t>
            </w:r>
            <w:r w:rsidRPr="004519FD">
              <w:rPr>
                <w:rFonts w:ascii="Times New Roman" w:eastAsia="Times New Roman" w:hAnsi="Times New Roman" w:cs="Times New Roman"/>
                <w:sz w:val="28"/>
                <w:szCs w:val="28"/>
              </w:rPr>
              <w:t>ć</w:t>
            </w:r>
            <w:r w:rsidRPr="004519FD">
              <w:rPr>
                <w:rFonts w:ascii="Traditional Arabic" w:eastAsia="Times New Roman" w:hAnsi="Traditional Arabic" w:cs="Traditional Arabic"/>
                <w:sz w:val="28"/>
                <w:szCs w:val="28"/>
              </w:rPr>
              <w:t xml:space="preserve"> et al. (2019)</w:t>
            </w:r>
          </w:p>
        </w:tc>
        <w:tc>
          <w:tcPr>
            <w:tcW w:w="1418" w:type="dxa"/>
            <w:hideMark/>
          </w:tcPr>
          <w:p w14:paraId="2C861744"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مراجعة منهجية</w:t>
            </w:r>
          </w:p>
        </w:tc>
        <w:tc>
          <w:tcPr>
            <w:tcW w:w="1276" w:type="dxa"/>
            <w:hideMark/>
          </w:tcPr>
          <w:p w14:paraId="2F374C4B"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29 </w:t>
            </w:r>
            <w:r w:rsidRPr="004519FD">
              <w:rPr>
                <w:rFonts w:ascii="Traditional Arabic" w:eastAsia="Times New Roman" w:hAnsi="Traditional Arabic" w:cs="Traditional Arabic"/>
                <w:sz w:val="28"/>
                <w:szCs w:val="28"/>
                <w:rtl/>
              </w:rPr>
              <w:t>دراسة</w:t>
            </w:r>
          </w:p>
        </w:tc>
        <w:tc>
          <w:tcPr>
            <w:tcW w:w="992" w:type="dxa"/>
            <w:hideMark/>
          </w:tcPr>
          <w:p w14:paraId="7776A2B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دول متعددة</w:t>
            </w:r>
          </w:p>
        </w:tc>
        <w:tc>
          <w:tcPr>
            <w:tcW w:w="3085" w:type="dxa"/>
            <w:hideMark/>
          </w:tcPr>
          <w:p w14:paraId="1D4E80D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الاحتراق واسع الانتشار، والمواجهة والرضا يقللان منه</w:t>
            </w:r>
          </w:p>
        </w:tc>
      </w:tr>
      <w:tr w:rsidR="004519FD" w:rsidRPr="004519FD" w14:paraId="64564555" w14:textId="77777777" w:rsidTr="004519FD">
        <w:tc>
          <w:tcPr>
            <w:tcW w:w="1751" w:type="dxa"/>
            <w:hideMark/>
          </w:tcPr>
          <w:p w14:paraId="3B8D9ED4"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سيد (2016</w:t>
            </w:r>
            <w:r w:rsidRPr="004519FD">
              <w:rPr>
                <w:rFonts w:ascii="Traditional Arabic" w:eastAsia="Times New Roman" w:hAnsi="Traditional Arabic" w:cs="Traditional Arabic"/>
                <w:sz w:val="28"/>
                <w:szCs w:val="28"/>
              </w:rPr>
              <w:t>)</w:t>
            </w:r>
          </w:p>
        </w:tc>
        <w:tc>
          <w:tcPr>
            <w:tcW w:w="1418" w:type="dxa"/>
            <w:hideMark/>
          </w:tcPr>
          <w:p w14:paraId="4312F738"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وصفي ارتباطي</w:t>
            </w:r>
          </w:p>
        </w:tc>
        <w:tc>
          <w:tcPr>
            <w:tcW w:w="1276" w:type="dxa"/>
            <w:hideMark/>
          </w:tcPr>
          <w:p w14:paraId="49A2EEC4"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موظفو محاكم</w:t>
            </w:r>
          </w:p>
        </w:tc>
        <w:tc>
          <w:tcPr>
            <w:tcW w:w="992" w:type="dxa"/>
            <w:hideMark/>
          </w:tcPr>
          <w:p w14:paraId="0AAEC3BA"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مصر</w:t>
            </w:r>
          </w:p>
        </w:tc>
        <w:tc>
          <w:tcPr>
            <w:tcW w:w="3085" w:type="dxa"/>
            <w:hideMark/>
          </w:tcPr>
          <w:p w14:paraId="6D9766F9"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الرضا وسيط بين الاحتراق والعلاقات الأسرية</w:t>
            </w:r>
          </w:p>
        </w:tc>
      </w:tr>
      <w:tr w:rsidR="004519FD" w:rsidRPr="004519FD" w14:paraId="45F92573" w14:textId="77777777" w:rsidTr="004519FD">
        <w:tc>
          <w:tcPr>
            <w:tcW w:w="1751" w:type="dxa"/>
            <w:hideMark/>
          </w:tcPr>
          <w:p w14:paraId="5CAEB6DA"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Clifton &amp; McGraw (2025)</w:t>
            </w:r>
          </w:p>
        </w:tc>
        <w:tc>
          <w:tcPr>
            <w:tcW w:w="1418" w:type="dxa"/>
            <w:hideMark/>
          </w:tcPr>
          <w:p w14:paraId="35A9B565"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p>
        </w:tc>
        <w:tc>
          <w:tcPr>
            <w:tcW w:w="1276" w:type="dxa"/>
            <w:hideMark/>
          </w:tcPr>
          <w:p w14:paraId="4AA0A242"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ضباط شرطة</w:t>
            </w:r>
          </w:p>
        </w:tc>
        <w:tc>
          <w:tcPr>
            <w:tcW w:w="992" w:type="dxa"/>
            <w:hideMark/>
          </w:tcPr>
          <w:p w14:paraId="0F7D8B28"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الولايات المتحدة</w:t>
            </w:r>
          </w:p>
        </w:tc>
        <w:tc>
          <w:tcPr>
            <w:tcW w:w="3085" w:type="dxa"/>
            <w:hideMark/>
          </w:tcPr>
          <w:p w14:paraId="5E503474"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الضغط يقلل الرضا، والثقافة التنظيمية مؤثرة</w:t>
            </w:r>
          </w:p>
        </w:tc>
      </w:tr>
      <w:tr w:rsidR="004519FD" w:rsidRPr="004519FD" w14:paraId="63E5DF77" w14:textId="77777777" w:rsidTr="004519FD">
        <w:tc>
          <w:tcPr>
            <w:tcW w:w="1751" w:type="dxa"/>
            <w:hideMark/>
          </w:tcPr>
          <w:p w14:paraId="021E886B"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Khanna &amp; Gupta (2025)</w:t>
            </w:r>
          </w:p>
        </w:tc>
        <w:tc>
          <w:tcPr>
            <w:tcW w:w="1418" w:type="dxa"/>
            <w:hideMark/>
          </w:tcPr>
          <w:p w14:paraId="686429F7"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r w:rsidRPr="004519FD">
              <w:rPr>
                <w:rFonts w:ascii="Traditional Arabic" w:eastAsia="Times New Roman" w:hAnsi="Traditional Arabic" w:cs="Traditional Arabic"/>
                <w:sz w:val="28"/>
                <w:szCs w:val="28"/>
              </w:rPr>
              <w:t xml:space="preserve"> (ANOVA)</w:t>
            </w:r>
          </w:p>
        </w:tc>
        <w:tc>
          <w:tcPr>
            <w:tcW w:w="1276" w:type="dxa"/>
            <w:hideMark/>
          </w:tcPr>
          <w:p w14:paraId="65AAD24E"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80 </w:t>
            </w:r>
            <w:r w:rsidRPr="004519FD">
              <w:rPr>
                <w:rFonts w:ascii="Traditional Arabic" w:eastAsia="Times New Roman" w:hAnsi="Traditional Arabic" w:cs="Traditional Arabic"/>
                <w:sz w:val="28"/>
                <w:szCs w:val="28"/>
                <w:rtl/>
              </w:rPr>
              <w:t>موظفًا</w:t>
            </w:r>
          </w:p>
        </w:tc>
        <w:tc>
          <w:tcPr>
            <w:tcW w:w="992" w:type="dxa"/>
            <w:hideMark/>
          </w:tcPr>
          <w:p w14:paraId="6552E88E"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الهند</w:t>
            </w:r>
          </w:p>
        </w:tc>
        <w:tc>
          <w:tcPr>
            <w:tcW w:w="3085" w:type="dxa"/>
            <w:hideMark/>
          </w:tcPr>
          <w:p w14:paraId="38B070D8"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لا علاقة معنوية بين المواجهة والرضا</w:t>
            </w:r>
          </w:p>
        </w:tc>
      </w:tr>
      <w:tr w:rsidR="004519FD" w:rsidRPr="004519FD" w14:paraId="238155BD" w14:textId="77777777" w:rsidTr="004519FD">
        <w:tc>
          <w:tcPr>
            <w:tcW w:w="1751" w:type="dxa"/>
            <w:hideMark/>
          </w:tcPr>
          <w:p w14:paraId="04BABFA3"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Anees et al. (2021)</w:t>
            </w:r>
          </w:p>
        </w:tc>
        <w:tc>
          <w:tcPr>
            <w:tcW w:w="1418" w:type="dxa"/>
            <w:hideMark/>
          </w:tcPr>
          <w:p w14:paraId="0B5676CE"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p>
        </w:tc>
        <w:tc>
          <w:tcPr>
            <w:tcW w:w="1276" w:type="dxa"/>
            <w:hideMark/>
          </w:tcPr>
          <w:p w14:paraId="0F188538"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أكاديميون</w:t>
            </w:r>
          </w:p>
        </w:tc>
        <w:tc>
          <w:tcPr>
            <w:tcW w:w="992" w:type="dxa"/>
            <w:hideMark/>
          </w:tcPr>
          <w:p w14:paraId="3ABB7AA7"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ماليزيا</w:t>
            </w:r>
          </w:p>
        </w:tc>
        <w:tc>
          <w:tcPr>
            <w:tcW w:w="3085" w:type="dxa"/>
            <w:hideMark/>
          </w:tcPr>
          <w:p w14:paraId="455D332E"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الضغط يزيد نية ترك العمل، والرضا وسيط</w:t>
            </w:r>
          </w:p>
        </w:tc>
      </w:tr>
      <w:tr w:rsidR="004519FD" w:rsidRPr="004519FD" w14:paraId="03B88462" w14:textId="77777777" w:rsidTr="004519FD">
        <w:tc>
          <w:tcPr>
            <w:tcW w:w="1751" w:type="dxa"/>
            <w:hideMark/>
          </w:tcPr>
          <w:p w14:paraId="33C2E7F6"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Ramlawati et al. (2021)</w:t>
            </w:r>
          </w:p>
        </w:tc>
        <w:tc>
          <w:tcPr>
            <w:tcW w:w="1418" w:type="dxa"/>
            <w:hideMark/>
          </w:tcPr>
          <w:p w14:paraId="574999F7"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وصفي تحليلي</w:t>
            </w:r>
          </w:p>
        </w:tc>
        <w:tc>
          <w:tcPr>
            <w:tcW w:w="1276" w:type="dxa"/>
            <w:hideMark/>
          </w:tcPr>
          <w:p w14:paraId="3DA46B27"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موظفو بنك</w:t>
            </w:r>
          </w:p>
        </w:tc>
        <w:tc>
          <w:tcPr>
            <w:tcW w:w="992" w:type="dxa"/>
            <w:hideMark/>
          </w:tcPr>
          <w:p w14:paraId="67AF8983"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إندونيسيا</w:t>
            </w:r>
          </w:p>
        </w:tc>
        <w:tc>
          <w:tcPr>
            <w:tcW w:w="3085" w:type="dxa"/>
            <w:hideMark/>
          </w:tcPr>
          <w:p w14:paraId="543B5855"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العوامل الخارجية تؤثر على الرضا أكثر من الضغط</w:t>
            </w:r>
          </w:p>
        </w:tc>
      </w:tr>
      <w:tr w:rsidR="004519FD" w:rsidRPr="004519FD" w14:paraId="6936E2E6" w14:textId="77777777" w:rsidTr="004519FD">
        <w:tc>
          <w:tcPr>
            <w:tcW w:w="1751" w:type="dxa"/>
            <w:hideMark/>
          </w:tcPr>
          <w:p w14:paraId="58BB4C5D"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Prasetya et al. (2021)</w:t>
            </w:r>
          </w:p>
        </w:tc>
        <w:tc>
          <w:tcPr>
            <w:tcW w:w="1418" w:type="dxa"/>
            <w:hideMark/>
          </w:tcPr>
          <w:p w14:paraId="246D5E6F" w14:textId="4A708F03"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 (تحليل مسار</w:t>
            </w:r>
            <w:r>
              <w:rPr>
                <w:rFonts w:ascii="Traditional Arabic" w:eastAsia="Times New Roman" w:hAnsi="Traditional Arabic" w:cs="Traditional Arabic" w:hint="cs"/>
                <w:sz w:val="28"/>
                <w:szCs w:val="28"/>
                <w:rtl/>
              </w:rPr>
              <w:t>)</w:t>
            </w:r>
          </w:p>
        </w:tc>
        <w:tc>
          <w:tcPr>
            <w:tcW w:w="1276" w:type="dxa"/>
            <w:hideMark/>
          </w:tcPr>
          <w:p w14:paraId="12CC8937"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92 </w:t>
            </w:r>
            <w:r w:rsidRPr="004519FD">
              <w:rPr>
                <w:rFonts w:ascii="Traditional Arabic" w:eastAsia="Times New Roman" w:hAnsi="Traditional Arabic" w:cs="Traditional Arabic"/>
                <w:sz w:val="28"/>
                <w:szCs w:val="28"/>
                <w:rtl/>
              </w:rPr>
              <w:t>طبيبًا وممرضًا</w:t>
            </w:r>
          </w:p>
        </w:tc>
        <w:tc>
          <w:tcPr>
            <w:tcW w:w="992" w:type="dxa"/>
            <w:hideMark/>
          </w:tcPr>
          <w:p w14:paraId="4BB8C1F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إندونيسيا</w:t>
            </w:r>
          </w:p>
        </w:tc>
        <w:tc>
          <w:tcPr>
            <w:tcW w:w="3085" w:type="dxa"/>
            <w:hideMark/>
          </w:tcPr>
          <w:p w14:paraId="09F72443"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الضغط والاحتراق يقللان الرضا والأداء</w:t>
            </w:r>
          </w:p>
        </w:tc>
      </w:tr>
      <w:tr w:rsidR="004519FD" w:rsidRPr="004519FD" w14:paraId="2C03C914" w14:textId="77777777" w:rsidTr="004519FD">
        <w:tc>
          <w:tcPr>
            <w:tcW w:w="1751" w:type="dxa"/>
            <w:hideMark/>
          </w:tcPr>
          <w:p w14:paraId="79AB731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Ivankovi</w:t>
            </w:r>
            <w:r w:rsidRPr="004519FD">
              <w:rPr>
                <w:rFonts w:ascii="Times New Roman" w:eastAsia="Times New Roman" w:hAnsi="Times New Roman" w:cs="Times New Roman"/>
                <w:sz w:val="28"/>
                <w:szCs w:val="28"/>
              </w:rPr>
              <w:t>ć</w:t>
            </w:r>
            <w:r w:rsidRPr="004519FD">
              <w:rPr>
                <w:rFonts w:ascii="Traditional Arabic" w:eastAsia="Times New Roman" w:hAnsi="Traditional Arabic" w:cs="Traditional Arabic"/>
                <w:sz w:val="28"/>
                <w:szCs w:val="28"/>
              </w:rPr>
              <w:t xml:space="preserve"> (2020)</w:t>
            </w:r>
          </w:p>
        </w:tc>
        <w:tc>
          <w:tcPr>
            <w:tcW w:w="1418" w:type="dxa"/>
            <w:hideMark/>
          </w:tcPr>
          <w:p w14:paraId="416BE60B"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وصفي</w:t>
            </w:r>
          </w:p>
        </w:tc>
        <w:tc>
          <w:tcPr>
            <w:tcW w:w="1276" w:type="dxa"/>
            <w:hideMark/>
          </w:tcPr>
          <w:p w14:paraId="63650AFC"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148 </w:t>
            </w:r>
            <w:r w:rsidRPr="004519FD">
              <w:rPr>
                <w:rFonts w:ascii="Traditional Arabic" w:eastAsia="Times New Roman" w:hAnsi="Traditional Arabic" w:cs="Traditional Arabic"/>
                <w:sz w:val="28"/>
                <w:szCs w:val="28"/>
                <w:rtl/>
              </w:rPr>
              <w:t>معلمًا</w:t>
            </w:r>
          </w:p>
        </w:tc>
        <w:tc>
          <w:tcPr>
            <w:tcW w:w="992" w:type="dxa"/>
            <w:hideMark/>
          </w:tcPr>
          <w:p w14:paraId="36636154"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كرواتيا</w:t>
            </w:r>
          </w:p>
        </w:tc>
        <w:tc>
          <w:tcPr>
            <w:tcW w:w="3085" w:type="dxa"/>
            <w:hideMark/>
          </w:tcPr>
          <w:p w14:paraId="1D99B00E"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المواجهة الإيجابية تعزز الرضا</w:t>
            </w:r>
          </w:p>
        </w:tc>
      </w:tr>
      <w:tr w:rsidR="004519FD" w:rsidRPr="004519FD" w14:paraId="02BECC1B" w14:textId="77777777" w:rsidTr="004519FD">
        <w:tc>
          <w:tcPr>
            <w:tcW w:w="1751" w:type="dxa"/>
            <w:hideMark/>
          </w:tcPr>
          <w:p w14:paraId="2845BC64"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Goswami &amp; Dsilva (2019)</w:t>
            </w:r>
          </w:p>
        </w:tc>
        <w:tc>
          <w:tcPr>
            <w:tcW w:w="1418" w:type="dxa"/>
            <w:hideMark/>
          </w:tcPr>
          <w:p w14:paraId="1658FDAE"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r w:rsidRPr="004519FD">
              <w:rPr>
                <w:rFonts w:ascii="Traditional Arabic" w:eastAsia="Times New Roman" w:hAnsi="Traditional Arabic" w:cs="Traditional Arabic"/>
                <w:sz w:val="28"/>
                <w:szCs w:val="28"/>
              </w:rPr>
              <w:t xml:space="preserve"> (SEM)</w:t>
            </w:r>
          </w:p>
        </w:tc>
        <w:tc>
          <w:tcPr>
            <w:tcW w:w="1276" w:type="dxa"/>
            <w:hideMark/>
          </w:tcPr>
          <w:p w14:paraId="6F08BC46"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موظفو ضيافة</w:t>
            </w:r>
          </w:p>
        </w:tc>
        <w:tc>
          <w:tcPr>
            <w:tcW w:w="992" w:type="dxa"/>
            <w:hideMark/>
          </w:tcPr>
          <w:p w14:paraId="3D2BAEE2"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الهند</w:t>
            </w:r>
          </w:p>
        </w:tc>
        <w:tc>
          <w:tcPr>
            <w:tcW w:w="3085" w:type="dxa"/>
            <w:hideMark/>
          </w:tcPr>
          <w:p w14:paraId="4FE0EBB1"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علاقة عكسية بين الرضا والضغط</w:t>
            </w:r>
          </w:p>
        </w:tc>
      </w:tr>
      <w:tr w:rsidR="004519FD" w:rsidRPr="004519FD" w14:paraId="07B2AB9C" w14:textId="77777777" w:rsidTr="004519FD">
        <w:tc>
          <w:tcPr>
            <w:tcW w:w="1751" w:type="dxa"/>
            <w:hideMark/>
          </w:tcPr>
          <w:p w14:paraId="6CA8E360"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Wang et al. (2022)</w:t>
            </w:r>
          </w:p>
        </w:tc>
        <w:tc>
          <w:tcPr>
            <w:tcW w:w="1418" w:type="dxa"/>
            <w:hideMark/>
          </w:tcPr>
          <w:p w14:paraId="2627C33A"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 (تحليل كامن</w:t>
            </w:r>
            <w:r w:rsidRPr="004519FD">
              <w:rPr>
                <w:rFonts w:ascii="Traditional Arabic" w:eastAsia="Times New Roman" w:hAnsi="Traditional Arabic" w:cs="Traditional Arabic"/>
                <w:sz w:val="28"/>
                <w:szCs w:val="28"/>
              </w:rPr>
              <w:t>)</w:t>
            </w:r>
          </w:p>
        </w:tc>
        <w:tc>
          <w:tcPr>
            <w:tcW w:w="1276" w:type="dxa"/>
            <w:hideMark/>
          </w:tcPr>
          <w:p w14:paraId="5E79614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947 </w:t>
            </w:r>
            <w:r w:rsidRPr="004519FD">
              <w:rPr>
                <w:rFonts w:ascii="Traditional Arabic" w:eastAsia="Times New Roman" w:hAnsi="Traditional Arabic" w:cs="Traditional Arabic"/>
                <w:sz w:val="28"/>
                <w:szCs w:val="28"/>
                <w:rtl/>
              </w:rPr>
              <w:t>معلمًا</w:t>
            </w:r>
          </w:p>
        </w:tc>
        <w:tc>
          <w:tcPr>
            <w:tcW w:w="992" w:type="dxa"/>
            <w:hideMark/>
          </w:tcPr>
          <w:p w14:paraId="7196FA59"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كندا</w:t>
            </w:r>
          </w:p>
        </w:tc>
        <w:tc>
          <w:tcPr>
            <w:tcW w:w="3085" w:type="dxa"/>
            <w:hideMark/>
          </w:tcPr>
          <w:p w14:paraId="480F22B1"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المواجهة التكيفية تقلل الاحتراق وترفع الرضا</w:t>
            </w:r>
          </w:p>
        </w:tc>
      </w:tr>
      <w:tr w:rsidR="004519FD" w:rsidRPr="004519FD" w14:paraId="45CB2800" w14:textId="77777777" w:rsidTr="004519FD">
        <w:tc>
          <w:tcPr>
            <w:tcW w:w="1751" w:type="dxa"/>
            <w:hideMark/>
          </w:tcPr>
          <w:p w14:paraId="6C6E21D6"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Wu et al. (2021)</w:t>
            </w:r>
          </w:p>
        </w:tc>
        <w:tc>
          <w:tcPr>
            <w:tcW w:w="1418" w:type="dxa"/>
            <w:hideMark/>
          </w:tcPr>
          <w:p w14:paraId="5815085A"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p>
        </w:tc>
        <w:tc>
          <w:tcPr>
            <w:tcW w:w="1276" w:type="dxa"/>
            <w:hideMark/>
          </w:tcPr>
          <w:p w14:paraId="39EE370B"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1464 </w:t>
            </w:r>
            <w:r w:rsidRPr="004519FD">
              <w:rPr>
                <w:rFonts w:ascii="Traditional Arabic" w:eastAsia="Times New Roman" w:hAnsi="Traditional Arabic" w:cs="Traditional Arabic"/>
                <w:sz w:val="28"/>
                <w:szCs w:val="28"/>
                <w:rtl/>
              </w:rPr>
              <w:t>موظفًا</w:t>
            </w:r>
          </w:p>
        </w:tc>
        <w:tc>
          <w:tcPr>
            <w:tcW w:w="992" w:type="dxa"/>
            <w:hideMark/>
          </w:tcPr>
          <w:p w14:paraId="02C26C61"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الصين</w:t>
            </w:r>
          </w:p>
        </w:tc>
        <w:tc>
          <w:tcPr>
            <w:tcW w:w="3085" w:type="dxa"/>
            <w:hideMark/>
          </w:tcPr>
          <w:p w14:paraId="77C46E5F"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الرضا والدعم يتوسطان العلاقة بين الضغط والاحتراق</w:t>
            </w:r>
          </w:p>
        </w:tc>
      </w:tr>
      <w:tr w:rsidR="004519FD" w:rsidRPr="004519FD" w14:paraId="7ADDB94A" w14:textId="77777777" w:rsidTr="004519FD">
        <w:tc>
          <w:tcPr>
            <w:tcW w:w="1751" w:type="dxa"/>
            <w:hideMark/>
          </w:tcPr>
          <w:p w14:paraId="1DCA7194"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Leiss et al. (2021)</w:t>
            </w:r>
          </w:p>
        </w:tc>
        <w:tc>
          <w:tcPr>
            <w:tcW w:w="1418" w:type="dxa"/>
            <w:hideMark/>
          </w:tcPr>
          <w:p w14:paraId="7A73EB9E"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كمي</w:t>
            </w:r>
          </w:p>
        </w:tc>
        <w:tc>
          <w:tcPr>
            <w:tcW w:w="1276" w:type="dxa"/>
            <w:hideMark/>
          </w:tcPr>
          <w:p w14:paraId="4C22F6B9"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Pr>
              <w:t xml:space="preserve">309 </w:t>
            </w:r>
            <w:r w:rsidRPr="004519FD">
              <w:rPr>
                <w:rFonts w:ascii="Traditional Arabic" w:eastAsia="Times New Roman" w:hAnsi="Traditional Arabic" w:cs="Traditional Arabic"/>
                <w:sz w:val="28"/>
                <w:szCs w:val="28"/>
                <w:rtl/>
              </w:rPr>
              <w:t>أطباء</w:t>
            </w:r>
          </w:p>
        </w:tc>
        <w:tc>
          <w:tcPr>
            <w:tcW w:w="992" w:type="dxa"/>
            <w:hideMark/>
          </w:tcPr>
          <w:p w14:paraId="745FE774"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النمسا</w:t>
            </w:r>
          </w:p>
        </w:tc>
        <w:tc>
          <w:tcPr>
            <w:tcW w:w="3085" w:type="dxa"/>
            <w:hideMark/>
          </w:tcPr>
          <w:p w14:paraId="1E3F3B96" w14:textId="77777777" w:rsidR="004519FD" w:rsidRPr="004519FD" w:rsidRDefault="004519FD" w:rsidP="004519FD">
            <w:pPr>
              <w:bidi/>
              <w:spacing w:after="0" w:line="240" w:lineRule="auto"/>
              <w:jc w:val="both"/>
              <w:rPr>
                <w:rFonts w:ascii="Traditional Arabic" w:eastAsia="Times New Roman" w:hAnsi="Traditional Arabic" w:cs="Traditional Arabic"/>
                <w:sz w:val="28"/>
                <w:szCs w:val="28"/>
              </w:rPr>
            </w:pPr>
            <w:r w:rsidRPr="004519FD">
              <w:rPr>
                <w:rFonts w:ascii="Traditional Arabic" w:eastAsia="Times New Roman" w:hAnsi="Traditional Arabic" w:cs="Traditional Arabic"/>
                <w:sz w:val="28"/>
                <w:szCs w:val="28"/>
                <w:rtl/>
              </w:rPr>
              <w:t>الدعم الاجتماعي يعزز الرضا ويقلل الاحتراق</w:t>
            </w:r>
          </w:p>
        </w:tc>
      </w:tr>
    </w:tbl>
    <w:p w14:paraId="382CA97E" w14:textId="77777777" w:rsidR="00B91EF8" w:rsidRPr="004519FD" w:rsidRDefault="00B91EF8" w:rsidP="00B91EF8">
      <w:pPr>
        <w:bidi/>
        <w:spacing w:after="200" w:line="360" w:lineRule="auto"/>
        <w:jc w:val="both"/>
        <w:rPr>
          <w:rFonts w:ascii="Traditional Arabic" w:eastAsia="Times New Roman" w:hAnsi="Traditional Arabic" w:cs="Traditional Arabic"/>
          <w:sz w:val="32"/>
          <w:szCs w:val="32"/>
          <w:rtl/>
        </w:rPr>
      </w:pPr>
    </w:p>
    <w:p w14:paraId="745C9E64" w14:textId="77777777" w:rsidR="00F91D1B" w:rsidRPr="002A257A" w:rsidRDefault="00F91D1B" w:rsidP="00F91D1B">
      <w:pPr>
        <w:bidi/>
        <w:spacing w:after="200" w:line="360" w:lineRule="auto"/>
        <w:jc w:val="both"/>
        <w:rPr>
          <w:rFonts w:ascii="Traditional Arabic" w:eastAsia="Times New Roman" w:hAnsi="Traditional Arabic" w:cs="Traditional Arabic"/>
          <w:b/>
          <w:bCs/>
          <w:sz w:val="36"/>
          <w:szCs w:val="36"/>
        </w:rPr>
      </w:pPr>
      <w:r w:rsidRPr="002A257A">
        <w:rPr>
          <w:rFonts w:ascii="Traditional Arabic" w:eastAsia="Times New Roman" w:hAnsi="Traditional Arabic" w:cs="Traditional Arabic"/>
          <w:b/>
          <w:bCs/>
          <w:sz w:val="36"/>
          <w:szCs w:val="36"/>
          <w:rtl/>
        </w:rPr>
        <w:t>الفجوة البحثية</w:t>
      </w:r>
    </w:p>
    <w:p w14:paraId="203567A1" w14:textId="77777777" w:rsidR="00F91D1B" w:rsidRPr="00F91D1B" w:rsidRDefault="00F91D1B" w:rsidP="00F91D1B">
      <w:pPr>
        <w:bidi/>
        <w:spacing w:after="200" w:line="360" w:lineRule="auto"/>
        <w:ind w:firstLine="720"/>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t xml:space="preserve">في ضوء استعراض الدراسات السابقة التي تناولت استراتيجيات مواجهة ضغوط العمل، والرضا الوظيفي، والاحتراق الوظيفي، يتضح أن الأدبيات العلمية قد أولت اهتمامًا واسعًا بالعلاقات الثنائية بين </w:t>
      </w:r>
      <w:r w:rsidRPr="00F91D1B">
        <w:rPr>
          <w:rFonts w:ascii="Traditional Arabic" w:eastAsia="Times New Roman" w:hAnsi="Traditional Arabic" w:cs="Traditional Arabic"/>
          <w:sz w:val="32"/>
          <w:szCs w:val="32"/>
          <w:rtl/>
        </w:rPr>
        <w:lastRenderedPageBreak/>
        <w:t>هذه المتغيرات، حيث ركزت بعض الدراسات على أثر استراتيجيات المواجهة في الرضا الوظيفي، وأكدت دراسات أخرى العلاقة السلبية بين الضغوط والرضا، بينما تناولت مجموعة ثالثة الاحتراق الوظيفي بوصفه نتيجة مباشرة للضغوط المهنية أو متغيرًا يتأثر بأنماط التأقلم المختلفة. كما برز اتجاه حديث نحو اختبار الأدوار الوسيطة أو المعدلة لبعض المتغيرات، مثل الدعم الاجتماعي أو الرضا الوظيفي، في تفسير العلاقة بين الضغوط والنتائج التنظيمية</w:t>
      </w:r>
      <w:r w:rsidRPr="00F91D1B">
        <w:rPr>
          <w:rFonts w:ascii="Traditional Arabic" w:eastAsia="Times New Roman" w:hAnsi="Traditional Arabic" w:cs="Traditional Arabic"/>
          <w:sz w:val="32"/>
          <w:szCs w:val="32"/>
        </w:rPr>
        <w:t>.</w:t>
      </w:r>
    </w:p>
    <w:p w14:paraId="3BD5445C" w14:textId="77777777" w:rsidR="00F91D1B" w:rsidRPr="00F91D1B" w:rsidRDefault="00F91D1B" w:rsidP="00F91D1B">
      <w:pPr>
        <w:bidi/>
        <w:spacing w:after="200" w:line="360" w:lineRule="auto"/>
        <w:ind w:firstLine="720"/>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t>ورغم هذا التنوع، يمكن رصد عدد من الفجوات البحثية الجوهرية</w:t>
      </w:r>
      <w:r w:rsidRPr="00F91D1B">
        <w:rPr>
          <w:rFonts w:ascii="Traditional Arabic" w:eastAsia="Times New Roman" w:hAnsi="Traditional Arabic" w:cs="Traditional Arabic"/>
          <w:sz w:val="32"/>
          <w:szCs w:val="32"/>
        </w:rPr>
        <w:t>:</w:t>
      </w:r>
    </w:p>
    <w:p w14:paraId="7FAC5216" w14:textId="77777777" w:rsidR="00F91D1B" w:rsidRPr="00F91D1B" w:rsidRDefault="00F91D1B" w:rsidP="00F91D1B">
      <w:pPr>
        <w:pStyle w:val="a3"/>
        <w:numPr>
          <w:ilvl w:val="0"/>
          <w:numId w:val="18"/>
        </w:numPr>
        <w:bidi/>
        <w:spacing w:after="200" w:line="360" w:lineRule="auto"/>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t>أولًا، أغلب الدراسات تناولت العلاقات بين المتغيرات بصورة جزئية أو ثنائية، إما بين الضغوط والرضا، أو بين الضغوط والاحتراق، أو بين استراتيجيات المواجهة والرضا، دون بناء نموذج تكاملي يدمج المتغيرات الثلاثة ضمن إطار تفسيري واحد يختبر العلاقات المباشرة وغير المباشرة بينها</w:t>
      </w:r>
      <w:r w:rsidRPr="00F91D1B">
        <w:rPr>
          <w:rFonts w:ascii="Traditional Arabic" w:eastAsia="Times New Roman" w:hAnsi="Traditional Arabic" w:cs="Traditional Arabic"/>
          <w:sz w:val="32"/>
          <w:szCs w:val="32"/>
        </w:rPr>
        <w:t>.</w:t>
      </w:r>
    </w:p>
    <w:p w14:paraId="10D61FF0" w14:textId="77777777" w:rsidR="00F91D1B" w:rsidRPr="00F91D1B" w:rsidRDefault="00F91D1B" w:rsidP="00F91D1B">
      <w:pPr>
        <w:pStyle w:val="a3"/>
        <w:numPr>
          <w:ilvl w:val="0"/>
          <w:numId w:val="18"/>
        </w:numPr>
        <w:bidi/>
        <w:spacing w:after="200" w:line="360" w:lineRule="auto"/>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t>ثانيًا، تباينت نتائج الدراسات المتعلقة بأثر استراتيجيات المواجهة، حيث أثبتت بعض الدراسات وجود تأثير معنوي واضح للاستراتيجيات الإيجابية في تعزيز الرضا وتقليل الاحتراق، في حين لم تجد دراسات أخرى علاقات ذات دلالة إحصائية، مما يشير إلى احتمال وجود متغيرات وسيطة تفسر هذه العلاقات بصورة أعمق</w:t>
      </w:r>
      <w:r w:rsidRPr="00F91D1B">
        <w:rPr>
          <w:rFonts w:ascii="Traditional Arabic" w:eastAsia="Times New Roman" w:hAnsi="Traditional Arabic" w:cs="Traditional Arabic"/>
          <w:sz w:val="32"/>
          <w:szCs w:val="32"/>
        </w:rPr>
        <w:t>.</w:t>
      </w:r>
    </w:p>
    <w:p w14:paraId="0193FD1A" w14:textId="77777777" w:rsidR="00F91D1B" w:rsidRPr="00F91D1B" w:rsidRDefault="00F91D1B" w:rsidP="00F91D1B">
      <w:pPr>
        <w:pStyle w:val="a3"/>
        <w:numPr>
          <w:ilvl w:val="0"/>
          <w:numId w:val="18"/>
        </w:numPr>
        <w:bidi/>
        <w:spacing w:after="200" w:line="360" w:lineRule="auto"/>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t>ثالثًا، ركزت نسبة كبيرة من الدراسات على قطاعات محددة مثل التعليم، والقطاع الصحي، والضيافة، والقطاع المصرفي، في حين يلاحظ ندرة الدراسات التي تناولت البيئة القضائية، رغم خصوصيتها التنظيمية وطبيعة الضغوط المهنية المرتبطة بها، خاصة في المحاكم التي تتعامل مع قضايا اجتماعية وأسرية حساسة</w:t>
      </w:r>
      <w:r w:rsidRPr="00F91D1B">
        <w:rPr>
          <w:rFonts w:ascii="Traditional Arabic" w:eastAsia="Times New Roman" w:hAnsi="Traditional Arabic" w:cs="Traditional Arabic"/>
          <w:sz w:val="32"/>
          <w:szCs w:val="32"/>
        </w:rPr>
        <w:t>.</w:t>
      </w:r>
    </w:p>
    <w:p w14:paraId="256189CA" w14:textId="77777777" w:rsidR="00F91D1B" w:rsidRPr="00F91D1B" w:rsidRDefault="00F91D1B" w:rsidP="00F91D1B">
      <w:pPr>
        <w:pStyle w:val="a3"/>
        <w:numPr>
          <w:ilvl w:val="0"/>
          <w:numId w:val="18"/>
        </w:numPr>
        <w:bidi/>
        <w:spacing w:after="200" w:line="360" w:lineRule="auto"/>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lastRenderedPageBreak/>
        <w:t>رابعًا، تناولت بعض الدراسات الرضا الوظيفي كمتغير وسيط بين الضغوط ونتائج أخرى، بينما لم يُختبر الاحتراق الوظيفي في كثير من الدراسات بوصفه حلقة تفسيرية بين استراتيجيات مواجهة الضغوط والرضا الوظيفي تحديدًا، مما يبرز فجوة تتعلق بضعف اختبار الدور الوسيط للاحتراق ضمن نموذج سببي متكامل</w:t>
      </w:r>
      <w:r w:rsidRPr="00F91D1B">
        <w:rPr>
          <w:rFonts w:ascii="Traditional Arabic" w:eastAsia="Times New Roman" w:hAnsi="Traditional Arabic" w:cs="Traditional Arabic"/>
          <w:sz w:val="32"/>
          <w:szCs w:val="32"/>
        </w:rPr>
        <w:t>.</w:t>
      </w:r>
    </w:p>
    <w:p w14:paraId="29EFDED4" w14:textId="77777777" w:rsidR="00F91D1B" w:rsidRPr="00F91D1B" w:rsidRDefault="00F91D1B" w:rsidP="00F91D1B">
      <w:pPr>
        <w:pStyle w:val="a3"/>
        <w:numPr>
          <w:ilvl w:val="0"/>
          <w:numId w:val="18"/>
        </w:numPr>
        <w:bidi/>
        <w:spacing w:after="200" w:line="360" w:lineRule="auto"/>
        <w:jc w:val="both"/>
        <w:rPr>
          <w:rFonts w:ascii="Traditional Arabic" w:eastAsia="Times New Roman" w:hAnsi="Traditional Arabic" w:cs="Traditional Arabic"/>
          <w:sz w:val="32"/>
          <w:szCs w:val="32"/>
        </w:rPr>
      </w:pPr>
      <w:r w:rsidRPr="00F91D1B">
        <w:rPr>
          <w:rFonts w:ascii="Traditional Arabic" w:eastAsia="Times New Roman" w:hAnsi="Traditional Arabic" w:cs="Traditional Arabic"/>
          <w:sz w:val="32"/>
          <w:szCs w:val="32"/>
          <w:rtl/>
        </w:rPr>
        <w:t>خامسًا، اعتمدت بعض الدراسات على مناهج وصفية وتحليلات تقليدية، في حين تبرز الحاجة إلى توظيف نماذج تحليلية متقدمة، مثل نمذجة المعادلات الهيكلية، لاختبار العلاقات المباشرة وغير المباشرة بصورة أكثر دقة وعمقًا</w:t>
      </w:r>
      <w:r w:rsidRPr="00F91D1B">
        <w:rPr>
          <w:rFonts w:ascii="Traditional Arabic" w:eastAsia="Times New Roman" w:hAnsi="Traditional Arabic" w:cs="Traditional Arabic"/>
          <w:sz w:val="32"/>
          <w:szCs w:val="32"/>
        </w:rPr>
        <w:t>.</w:t>
      </w:r>
    </w:p>
    <w:p w14:paraId="792643CF" w14:textId="15900C9B" w:rsidR="00F91D1B" w:rsidRDefault="00F91D1B" w:rsidP="00F91D1B">
      <w:pPr>
        <w:bidi/>
        <w:spacing w:after="200" w:line="360" w:lineRule="auto"/>
        <w:ind w:firstLine="720"/>
        <w:jc w:val="both"/>
        <w:rPr>
          <w:rFonts w:ascii="Traditional Arabic" w:eastAsia="Times New Roman" w:hAnsi="Traditional Arabic" w:cs="Traditional Arabic"/>
          <w:sz w:val="32"/>
          <w:szCs w:val="32"/>
          <w:rtl/>
          <w:lang w:bidi="ar-JO"/>
        </w:rPr>
      </w:pPr>
      <w:r w:rsidRPr="00F91D1B">
        <w:rPr>
          <w:rFonts w:ascii="Traditional Arabic" w:eastAsia="Times New Roman" w:hAnsi="Traditional Arabic" w:cs="Traditional Arabic"/>
          <w:sz w:val="32"/>
          <w:szCs w:val="32"/>
          <w:rtl/>
        </w:rPr>
        <w:t>وانطلاقًا من ذلك، تتمثل الفجوة البحثية في غياب نموذج تفسيري متكامل يختبر أثر استراتيجيات مواجهة ضغوط العمل على الرضا الوظيفي من خلال الاحتراق الوظيفي كمتغير وسيط، في بيئة قضائية تتسم بخصوصية تنظيمية وضغوط مهنية مركبة. وتسعى الدراسة الحالية إلى سد هذه الفجوة من خلال بناء نموذج سببي يجمع بين المتغيرات الثلاثة، واختباره في سياق محكمة الأحوال الشخصية، بما يسهم في إثراء الأدبيات النظرية وتقديم إضافة تطبيقية في مجال إدارة الموارد البشرية في القطاع القضائي</w:t>
      </w:r>
      <w:r w:rsidRPr="00F91D1B">
        <w:rPr>
          <w:rFonts w:ascii="Traditional Arabic" w:eastAsia="Times New Roman" w:hAnsi="Traditional Arabic" w:cs="Traditional Arabic"/>
          <w:sz w:val="32"/>
          <w:szCs w:val="32"/>
        </w:rPr>
        <w:t>.</w:t>
      </w:r>
    </w:p>
    <w:p w14:paraId="52404523" w14:textId="77777777" w:rsidR="00F91D1B" w:rsidRPr="00F91D1B" w:rsidRDefault="00F91D1B" w:rsidP="00F91D1B">
      <w:pPr>
        <w:bidi/>
        <w:spacing w:after="200" w:line="360" w:lineRule="auto"/>
        <w:ind w:firstLine="720"/>
        <w:jc w:val="both"/>
        <w:rPr>
          <w:rFonts w:ascii="Traditional Arabic" w:eastAsia="Times New Roman" w:hAnsi="Traditional Arabic" w:cs="Traditional Arabic"/>
          <w:sz w:val="32"/>
          <w:szCs w:val="32"/>
          <w:rtl/>
          <w:lang w:bidi="ar-JO"/>
        </w:rPr>
      </w:pPr>
    </w:p>
    <w:p w14:paraId="246F1F57" w14:textId="77777777" w:rsidR="00B91EF8" w:rsidRPr="002A257A" w:rsidRDefault="00B91EF8" w:rsidP="00F91D1B">
      <w:pPr>
        <w:bidi/>
        <w:spacing w:after="200" w:line="360" w:lineRule="auto"/>
        <w:jc w:val="both"/>
        <w:rPr>
          <w:rFonts w:ascii="Traditional Arabic" w:eastAsia="Times New Roman" w:hAnsi="Traditional Arabic" w:cs="Traditional Arabic"/>
          <w:b/>
          <w:bCs/>
          <w:sz w:val="36"/>
          <w:szCs w:val="36"/>
          <w:rtl/>
        </w:rPr>
      </w:pPr>
      <w:r w:rsidRPr="002A257A">
        <w:rPr>
          <w:rFonts w:ascii="Traditional Arabic" w:eastAsia="Times New Roman" w:hAnsi="Traditional Arabic" w:cs="Traditional Arabic" w:hint="cs"/>
          <w:b/>
          <w:bCs/>
          <w:sz w:val="36"/>
          <w:szCs w:val="36"/>
          <w:rtl/>
        </w:rPr>
        <w:t>ما يميز الدراسة الحالية عن الدراسات السابقة</w:t>
      </w:r>
    </w:p>
    <w:p w14:paraId="56121AE8" w14:textId="77777777" w:rsidR="00B91EF8" w:rsidRPr="00B91EF8" w:rsidRDefault="00B91EF8" w:rsidP="002A257A">
      <w:pPr>
        <w:bidi/>
        <w:spacing w:after="200" w:line="360" w:lineRule="auto"/>
        <w:ind w:firstLine="720"/>
        <w:jc w:val="both"/>
        <w:rPr>
          <w:rFonts w:ascii="Traditional Arabic" w:eastAsia="Times New Roman" w:hAnsi="Traditional Arabic" w:cs="Traditional Arabic"/>
          <w:sz w:val="32"/>
          <w:szCs w:val="32"/>
        </w:rPr>
      </w:pPr>
      <w:r w:rsidRPr="00B91EF8">
        <w:rPr>
          <w:rFonts w:ascii="Traditional Arabic" w:eastAsia="Times New Roman" w:hAnsi="Traditional Arabic" w:cs="Traditional Arabic"/>
          <w:sz w:val="32"/>
          <w:szCs w:val="32"/>
          <w:rtl/>
        </w:rPr>
        <w:t>أظهرت الأدبيات أن استراتيجيات مواجهة ضغوط العمل تؤثر بشكل مباشر على مستويات الرضا الوظيفي، وأن الاحتراق الوظيفي يمكن أن يكون وسيطًا مهمًا في هذه العلاقة (</w:t>
      </w:r>
      <w:r w:rsidRPr="00B91EF8">
        <w:rPr>
          <w:rFonts w:ascii="Traditional Arabic" w:eastAsia="Times New Roman" w:hAnsi="Traditional Arabic" w:cs="Traditional Arabic"/>
          <w:sz w:val="32"/>
          <w:szCs w:val="32"/>
        </w:rPr>
        <w:t>Woods et al., 2023; Vetbuje &amp; Olaleye, 2022</w:t>
      </w:r>
      <w:r w:rsidRPr="00B91EF8">
        <w:rPr>
          <w:rFonts w:ascii="Traditional Arabic" w:eastAsia="Times New Roman" w:hAnsi="Traditional Arabic" w:cs="Traditional Arabic"/>
          <w:sz w:val="32"/>
          <w:szCs w:val="32"/>
          <w:rtl/>
        </w:rPr>
        <w:t xml:space="preserve">). فقد بينت دراسات في مجالات التعليم والتمريض والمصارف أن تبني استراتيجيات مواجهة إيجابية يخفف من آثار الضغوط ويحسن الصحة </w:t>
      </w:r>
      <w:r w:rsidRPr="00B91EF8">
        <w:rPr>
          <w:rFonts w:ascii="Traditional Arabic" w:eastAsia="Times New Roman" w:hAnsi="Traditional Arabic" w:cs="Traditional Arabic"/>
          <w:sz w:val="32"/>
          <w:szCs w:val="32"/>
          <w:rtl/>
        </w:rPr>
        <w:lastRenderedPageBreak/>
        <w:t>النفسية ويعزز الرضا (</w:t>
      </w:r>
      <w:r w:rsidRPr="00B91EF8">
        <w:rPr>
          <w:rFonts w:ascii="Traditional Arabic" w:eastAsia="Times New Roman" w:hAnsi="Traditional Arabic" w:cs="Traditional Arabic"/>
          <w:sz w:val="32"/>
          <w:szCs w:val="32"/>
        </w:rPr>
        <w:t>Wang et al., 2022; Portero de la Cruz et al., 2020; Ivankovi</w:t>
      </w:r>
      <w:r w:rsidRPr="00B91EF8">
        <w:rPr>
          <w:rFonts w:ascii="Times New Roman" w:eastAsia="Times New Roman" w:hAnsi="Times New Roman" w:cs="Times New Roman"/>
          <w:sz w:val="32"/>
          <w:szCs w:val="32"/>
        </w:rPr>
        <w:t>ć</w:t>
      </w:r>
      <w:r w:rsidRPr="00B91EF8">
        <w:rPr>
          <w:rFonts w:ascii="Traditional Arabic" w:eastAsia="Times New Roman" w:hAnsi="Traditional Arabic" w:cs="Traditional Arabic"/>
          <w:sz w:val="32"/>
          <w:szCs w:val="32"/>
        </w:rPr>
        <w:t>, 2020</w:t>
      </w:r>
      <w:r w:rsidRPr="00B91EF8">
        <w:rPr>
          <w:rFonts w:ascii="Traditional Arabic" w:eastAsia="Times New Roman" w:hAnsi="Traditional Arabic" w:cs="Traditional Arabic"/>
          <w:sz w:val="32"/>
          <w:szCs w:val="32"/>
          <w:rtl/>
        </w:rPr>
        <w:t>)، في حين أن الاستراتيجيات السلبية تزيد من احتمالية الاحتراق الوظيفي وتدني مستويات الرضا (</w:t>
      </w:r>
      <w:r w:rsidRPr="00B91EF8">
        <w:rPr>
          <w:rFonts w:ascii="Traditional Arabic" w:eastAsia="Times New Roman" w:hAnsi="Traditional Arabic" w:cs="Traditional Arabic"/>
          <w:sz w:val="32"/>
          <w:szCs w:val="32"/>
        </w:rPr>
        <w:t>Friganovic &amp; Selic, 2021</w:t>
      </w:r>
      <w:r w:rsidRPr="00B91EF8">
        <w:rPr>
          <w:rFonts w:ascii="Traditional Arabic" w:eastAsia="Times New Roman" w:hAnsi="Traditional Arabic" w:cs="Traditional Arabic"/>
          <w:sz w:val="32"/>
          <w:szCs w:val="32"/>
          <w:rtl/>
        </w:rPr>
        <w:t xml:space="preserve">). ومع ذلك، فإن غال بية هذه الدراسات انحصرت في قطاعات مهنية غير قضائية، مثل التعليم (الغزو، 2024؛ </w:t>
      </w:r>
      <w:r w:rsidRPr="00B91EF8">
        <w:rPr>
          <w:rFonts w:ascii="Traditional Arabic" w:eastAsia="Times New Roman" w:hAnsi="Traditional Arabic" w:cs="Traditional Arabic"/>
          <w:sz w:val="32"/>
          <w:szCs w:val="32"/>
        </w:rPr>
        <w:t>Wang et al., 2022</w:t>
      </w:r>
      <w:r w:rsidRPr="00B91EF8">
        <w:rPr>
          <w:rFonts w:ascii="Traditional Arabic" w:eastAsia="Times New Roman" w:hAnsi="Traditional Arabic" w:cs="Traditional Arabic"/>
          <w:sz w:val="32"/>
          <w:szCs w:val="32"/>
          <w:rtl/>
        </w:rPr>
        <w:t>) والقطاع الصحي (</w:t>
      </w:r>
      <w:r w:rsidRPr="00B91EF8">
        <w:rPr>
          <w:rFonts w:ascii="Traditional Arabic" w:eastAsia="Times New Roman" w:hAnsi="Traditional Arabic" w:cs="Traditional Arabic"/>
          <w:sz w:val="32"/>
          <w:szCs w:val="32"/>
        </w:rPr>
        <w:t>Friganovic &amp; Selic, 2021; Leiss et al., 2021</w:t>
      </w:r>
      <w:r w:rsidRPr="00B91EF8">
        <w:rPr>
          <w:rFonts w:ascii="Traditional Arabic" w:eastAsia="Times New Roman" w:hAnsi="Traditional Arabic" w:cs="Traditional Arabic"/>
          <w:sz w:val="32"/>
          <w:szCs w:val="32"/>
          <w:rtl/>
        </w:rPr>
        <w:t>) والمصرفي (</w:t>
      </w:r>
      <w:r w:rsidRPr="00B91EF8">
        <w:rPr>
          <w:rFonts w:ascii="Traditional Arabic" w:eastAsia="Times New Roman" w:hAnsi="Traditional Arabic" w:cs="Traditional Arabic"/>
          <w:sz w:val="32"/>
          <w:szCs w:val="32"/>
        </w:rPr>
        <w:t>Wu et al., 2021</w:t>
      </w:r>
      <w:r w:rsidRPr="00B91EF8">
        <w:rPr>
          <w:rFonts w:ascii="Traditional Arabic" w:eastAsia="Times New Roman" w:hAnsi="Traditional Arabic" w:cs="Traditional Arabic"/>
          <w:sz w:val="32"/>
          <w:szCs w:val="32"/>
          <w:rtl/>
        </w:rPr>
        <w:t>)، بينما لم تتناول البيئة القضائية إلا بشكل محدود جدًا (سيد، 2016)، على الرغم من خصوصيتها العالية من حيث ضغوط العمل النفسية والتنظيمية وطبيعة القضايا ذات الحساسية الاجتماعية. كما يلاحظ غياب الدراسات التي دمجت بشكل متكامل بين استراتيجيات المواجهة، وأبعاد الاحتراق النفسي والسلوكي، والرضا الوظيفي في نموذج واحد، بالإضافة إلى محدودية الدراسات التي تناولت المقارنة بين المواجهة الإيجابية والسلبية في بيئة عمل قضائية</w:t>
      </w:r>
      <w:r w:rsidRPr="00B91EF8">
        <w:rPr>
          <w:rFonts w:ascii="Traditional Arabic" w:eastAsia="Times New Roman" w:hAnsi="Traditional Arabic" w:cs="Traditional Arabic"/>
          <w:sz w:val="32"/>
          <w:szCs w:val="32"/>
        </w:rPr>
        <w:t>.</w:t>
      </w:r>
    </w:p>
    <w:p w14:paraId="0F9F0901" w14:textId="77777777" w:rsidR="00B91EF8" w:rsidRPr="00B91EF8" w:rsidRDefault="00B91EF8" w:rsidP="002A257A">
      <w:pPr>
        <w:bidi/>
        <w:spacing w:after="200" w:line="360" w:lineRule="auto"/>
        <w:ind w:firstLine="720"/>
        <w:jc w:val="both"/>
        <w:rPr>
          <w:rFonts w:ascii="Traditional Arabic" w:eastAsia="Times New Roman" w:hAnsi="Traditional Arabic" w:cs="Traditional Arabic"/>
          <w:sz w:val="32"/>
          <w:szCs w:val="32"/>
        </w:rPr>
      </w:pPr>
      <w:r w:rsidRPr="00B91EF8">
        <w:rPr>
          <w:rFonts w:ascii="Traditional Arabic" w:eastAsia="Times New Roman" w:hAnsi="Traditional Arabic" w:cs="Traditional Arabic"/>
          <w:sz w:val="32"/>
          <w:szCs w:val="32"/>
          <w:rtl/>
        </w:rPr>
        <w:t xml:space="preserve">تسعى هذه الدراسة إلى سد هذه الفجوة من خلال تطبيق نموذج بحثي متكامل على العاملين بمحكمة الأحوال الشخصية بجدة، لاستكشاف أثر الاحتراق الوظيفي كمتغير وسيط في العلاقة بين استراتيجيات مواجهة ضغوط العمل والرضا الوظيفي، وهي علاقة لم تُختبر في السياق القضائي السعودي أو العربي بالشكل الكافي. وبالإجابة على أسئلة البحث المتعلقة بتحديد استراتيجيات المواجهة المتبعة، وقياس مستويات الاحتراق الوظيفي بأبعاده النفسية والسلوكية، ومستوى الرضا الوظيفي، وتحليل طبيعة العلاقة بين هذه المتغيرات، ستضيف الدراسة بعدًا نظريًا من خلال توسيع تطبيق نظريات الضغوط النفسية والدعم الاجتماعي في بيئة عمل قضائية، وبعدًا تطبيقيًا من خلال تقديم توصيات عملية لتعزيز الاستراتيجيات الإيجابية والحد من الاحتراق الوظيفي، بما يرفع مستويات الرضا ويحسن الأداء الوظيفي للعاملين في ال محاكم. كما تسد الدراسة فجوة تتعلق بندرة الأبحاث التي تراعي الخصوصية الثقافية </w:t>
      </w:r>
      <w:r w:rsidRPr="00B91EF8">
        <w:rPr>
          <w:rFonts w:ascii="Traditional Arabic" w:eastAsia="Times New Roman" w:hAnsi="Traditional Arabic" w:cs="Traditional Arabic"/>
          <w:sz w:val="32"/>
          <w:szCs w:val="32"/>
          <w:rtl/>
        </w:rPr>
        <w:lastRenderedPageBreak/>
        <w:t>والاجتماعية للبيئة السعودية، وتوظيف أساليب تحليل متقدمة مثل النمذجة بالمعادلات الهيكلية لفحص العلاقات المباشرة وغير المباشرة بين المتغيرات (</w:t>
      </w:r>
      <w:r w:rsidRPr="00B91EF8">
        <w:rPr>
          <w:rFonts w:ascii="Traditional Arabic" w:eastAsia="Times New Roman" w:hAnsi="Traditional Arabic" w:cs="Traditional Arabic"/>
          <w:sz w:val="32"/>
          <w:szCs w:val="32"/>
        </w:rPr>
        <w:t>Wu et al., 2021; Goswami &amp; Dsilva, 2019</w:t>
      </w:r>
      <w:r w:rsidRPr="00B91EF8">
        <w:rPr>
          <w:rFonts w:ascii="Traditional Arabic" w:eastAsia="Times New Roman" w:hAnsi="Traditional Arabic" w:cs="Traditional Arabic"/>
          <w:sz w:val="32"/>
          <w:szCs w:val="32"/>
          <w:rtl/>
        </w:rPr>
        <w:t>).</w:t>
      </w:r>
    </w:p>
    <w:p w14:paraId="0ADB7271" w14:textId="77777777" w:rsidR="00B91EF8" w:rsidRPr="00B91EF8" w:rsidRDefault="00B91EF8" w:rsidP="00B91EF8">
      <w:pPr>
        <w:bidi/>
        <w:spacing w:after="200" w:line="360" w:lineRule="auto"/>
        <w:jc w:val="both"/>
        <w:rPr>
          <w:rFonts w:ascii="Traditional Arabic" w:eastAsia="Times New Roman" w:hAnsi="Traditional Arabic" w:cs="Traditional Arabic"/>
          <w:sz w:val="32"/>
          <w:szCs w:val="32"/>
          <w:rtl/>
        </w:rPr>
      </w:pPr>
    </w:p>
    <w:p w14:paraId="1FC213E0" w14:textId="77777777" w:rsidR="00B91EF8" w:rsidRPr="0028680C" w:rsidRDefault="00B91EF8" w:rsidP="00B91EF8">
      <w:pPr>
        <w:bidi/>
        <w:spacing w:after="200" w:line="360" w:lineRule="auto"/>
        <w:rPr>
          <w:rFonts w:ascii="Traditional Arabic" w:eastAsia="Times New Roman" w:hAnsi="Traditional Arabic" w:cs="Traditional Arabic"/>
          <w:b/>
          <w:bCs/>
          <w:sz w:val="36"/>
          <w:szCs w:val="36"/>
          <w:rtl/>
        </w:rPr>
      </w:pPr>
    </w:p>
    <w:p w14:paraId="77C1FE34" w14:textId="4F4A4C0D" w:rsidR="0028680C" w:rsidRPr="0028680C" w:rsidRDefault="0028680C" w:rsidP="0028680C">
      <w:pPr>
        <w:bidi/>
        <w:spacing w:after="200" w:line="360" w:lineRule="auto"/>
        <w:rPr>
          <w:rFonts w:ascii="Traditional Arabic" w:eastAsia="Times New Roman" w:hAnsi="Traditional Arabic" w:cs="Traditional Arabic"/>
          <w:b/>
          <w:bCs/>
          <w:sz w:val="32"/>
          <w:szCs w:val="32"/>
          <w:rtl/>
        </w:rPr>
      </w:pPr>
    </w:p>
    <w:p w14:paraId="61393920" w14:textId="77777777" w:rsidR="0028680C" w:rsidRDefault="0028680C" w:rsidP="0028680C">
      <w:pPr>
        <w:bidi/>
        <w:spacing w:after="200" w:line="360" w:lineRule="auto"/>
        <w:jc w:val="both"/>
        <w:rPr>
          <w:rFonts w:ascii="Traditional Arabic" w:eastAsia="Times New Roman" w:hAnsi="Traditional Arabic" w:cs="Traditional Arabic"/>
          <w:b/>
          <w:bCs/>
          <w:sz w:val="32"/>
          <w:szCs w:val="32"/>
          <w:rtl/>
        </w:rPr>
      </w:pPr>
    </w:p>
    <w:p w14:paraId="2AC68FD6" w14:textId="77777777" w:rsidR="008A01EC" w:rsidRDefault="008A01EC" w:rsidP="008A01EC">
      <w:pPr>
        <w:bidi/>
        <w:spacing w:after="200" w:line="360" w:lineRule="auto"/>
        <w:jc w:val="both"/>
        <w:rPr>
          <w:rFonts w:ascii="Traditional Arabic" w:eastAsia="Times New Roman" w:hAnsi="Traditional Arabic" w:cs="Traditional Arabic"/>
          <w:b/>
          <w:bCs/>
          <w:sz w:val="32"/>
          <w:szCs w:val="32"/>
          <w:rtl/>
        </w:rPr>
      </w:pPr>
    </w:p>
    <w:p w14:paraId="1B8B7FFC" w14:textId="77777777" w:rsidR="0020372B" w:rsidRDefault="0020372B" w:rsidP="0020372B">
      <w:pPr>
        <w:bidi/>
        <w:spacing w:after="200" w:line="360" w:lineRule="auto"/>
        <w:jc w:val="both"/>
        <w:rPr>
          <w:rFonts w:ascii="Traditional Arabic" w:eastAsia="Times New Roman" w:hAnsi="Traditional Arabic" w:cs="Traditional Arabic"/>
          <w:b/>
          <w:bCs/>
          <w:sz w:val="32"/>
          <w:szCs w:val="32"/>
          <w:rtl/>
        </w:rPr>
      </w:pPr>
    </w:p>
    <w:p w14:paraId="51B99AB2" w14:textId="77777777" w:rsidR="0020372B" w:rsidRDefault="0020372B" w:rsidP="0020372B">
      <w:pPr>
        <w:bidi/>
        <w:spacing w:after="200" w:line="360" w:lineRule="auto"/>
        <w:jc w:val="both"/>
        <w:rPr>
          <w:rFonts w:ascii="Traditional Arabic" w:eastAsia="Times New Roman" w:hAnsi="Traditional Arabic" w:cs="Traditional Arabic"/>
          <w:b/>
          <w:bCs/>
          <w:sz w:val="32"/>
          <w:szCs w:val="32"/>
          <w:rtl/>
        </w:rPr>
      </w:pPr>
    </w:p>
    <w:p w14:paraId="587088B0" w14:textId="77777777" w:rsidR="0020372B" w:rsidRDefault="0020372B" w:rsidP="0020372B">
      <w:pPr>
        <w:bidi/>
        <w:spacing w:after="200" w:line="360" w:lineRule="auto"/>
        <w:jc w:val="both"/>
        <w:rPr>
          <w:rFonts w:ascii="Traditional Arabic" w:eastAsia="Times New Roman" w:hAnsi="Traditional Arabic" w:cs="Traditional Arabic"/>
          <w:b/>
          <w:bCs/>
          <w:sz w:val="32"/>
          <w:szCs w:val="32"/>
          <w:rtl/>
        </w:rPr>
      </w:pPr>
    </w:p>
    <w:p w14:paraId="7038A299" w14:textId="77777777" w:rsidR="0020372B" w:rsidRDefault="0020372B" w:rsidP="0020372B">
      <w:pPr>
        <w:bidi/>
        <w:spacing w:after="200" w:line="360" w:lineRule="auto"/>
        <w:jc w:val="both"/>
        <w:rPr>
          <w:rFonts w:ascii="Traditional Arabic" w:eastAsia="Times New Roman" w:hAnsi="Traditional Arabic" w:cs="Traditional Arabic"/>
          <w:b/>
          <w:bCs/>
          <w:sz w:val="32"/>
          <w:szCs w:val="32"/>
          <w:rtl/>
        </w:rPr>
      </w:pPr>
    </w:p>
    <w:p w14:paraId="47C2BF8B" w14:textId="77777777" w:rsidR="0020372B" w:rsidRDefault="0020372B" w:rsidP="0020372B">
      <w:pPr>
        <w:bidi/>
        <w:spacing w:after="200" w:line="360" w:lineRule="auto"/>
        <w:jc w:val="both"/>
        <w:rPr>
          <w:rFonts w:ascii="Traditional Arabic" w:eastAsia="Times New Roman" w:hAnsi="Traditional Arabic" w:cs="Traditional Arabic"/>
          <w:b/>
          <w:bCs/>
          <w:sz w:val="32"/>
          <w:szCs w:val="32"/>
          <w:rtl/>
        </w:rPr>
      </w:pPr>
    </w:p>
    <w:p w14:paraId="153B09FF" w14:textId="77777777" w:rsidR="0020372B" w:rsidRDefault="0020372B" w:rsidP="0020372B">
      <w:pPr>
        <w:bidi/>
        <w:spacing w:after="200" w:line="360" w:lineRule="auto"/>
        <w:jc w:val="both"/>
        <w:rPr>
          <w:rFonts w:ascii="Traditional Arabic" w:eastAsia="Times New Roman" w:hAnsi="Traditional Arabic" w:cs="Traditional Arabic"/>
          <w:b/>
          <w:bCs/>
          <w:sz w:val="32"/>
          <w:szCs w:val="32"/>
          <w:rtl/>
        </w:rPr>
      </w:pPr>
    </w:p>
    <w:p w14:paraId="03371E1E" w14:textId="77777777" w:rsidR="0020372B" w:rsidRPr="008A01EC" w:rsidRDefault="0020372B" w:rsidP="0020372B">
      <w:pPr>
        <w:bidi/>
        <w:spacing w:after="200" w:line="360" w:lineRule="auto"/>
        <w:jc w:val="both"/>
        <w:rPr>
          <w:rFonts w:ascii="Traditional Arabic" w:eastAsia="Times New Roman" w:hAnsi="Traditional Arabic" w:cs="Traditional Arabic"/>
          <w:b/>
          <w:bCs/>
          <w:sz w:val="32"/>
          <w:szCs w:val="32"/>
          <w:rtl/>
        </w:rPr>
      </w:pPr>
    </w:p>
    <w:p w14:paraId="0CA86F87" w14:textId="77777777" w:rsidR="008074A2" w:rsidRPr="0020372B" w:rsidRDefault="008074A2" w:rsidP="004519FD">
      <w:pPr>
        <w:pageBreakBefore/>
        <w:bidi/>
        <w:spacing w:after="200" w:line="360" w:lineRule="auto"/>
        <w:jc w:val="both"/>
        <w:rPr>
          <w:rFonts w:ascii="Traditional Arabic" w:eastAsia="Calibri" w:hAnsi="Traditional Arabic" w:cs="Traditional Arabic"/>
          <w:sz w:val="36"/>
          <w:szCs w:val="36"/>
          <w:shd w:val="clear" w:color="auto" w:fill="FFFFFF"/>
          <w:rtl/>
        </w:rPr>
      </w:pPr>
      <w:r w:rsidRPr="0020372B">
        <w:rPr>
          <w:rFonts w:ascii="Traditional Arabic" w:eastAsia="Calibri" w:hAnsi="Traditional Arabic" w:cs="Traditional Arabic" w:hint="cs"/>
          <w:b/>
          <w:bCs/>
          <w:sz w:val="36"/>
          <w:szCs w:val="36"/>
          <w:rtl/>
        </w:rPr>
        <w:lastRenderedPageBreak/>
        <w:t xml:space="preserve">قائمة </w:t>
      </w:r>
      <w:r w:rsidRPr="0020372B">
        <w:rPr>
          <w:rFonts w:ascii="Traditional Arabic" w:eastAsia="Calibri" w:hAnsi="Traditional Arabic" w:cs="Traditional Arabic"/>
          <w:b/>
          <w:bCs/>
          <w:sz w:val="36"/>
          <w:szCs w:val="36"/>
          <w:rtl/>
        </w:rPr>
        <w:t>المراجع</w:t>
      </w:r>
    </w:p>
    <w:p w14:paraId="34CB3BD3" w14:textId="77777777" w:rsidR="008074A2" w:rsidRPr="008074A2" w:rsidRDefault="008074A2" w:rsidP="008074A2">
      <w:pPr>
        <w:bidi/>
        <w:spacing w:after="200" w:line="360" w:lineRule="auto"/>
        <w:jc w:val="both"/>
        <w:rPr>
          <w:rFonts w:ascii="Traditional Arabic" w:eastAsia="Calibri" w:hAnsi="Traditional Arabic" w:cs="Traditional Arabic"/>
          <w:b/>
          <w:bCs/>
          <w:sz w:val="36"/>
          <w:szCs w:val="36"/>
          <w:shd w:val="clear" w:color="auto" w:fill="FFFFFF"/>
        </w:rPr>
      </w:pPr>
      <w:r w:rsidRPr="008074A2">
        <w:rPr>
          <w:rFonts w:ascii="Traditional Arabic" w:eastAsia="Calibri" w:hAnsi="Traditional Arabic" w:cs="Traditional Arabic"/>
          <w:b/>
          <w:bCs/>
          <w:sz w:val="32"/>
          <w:szCs w:val="32"/>
          <w:shd w:val="clear" w:color="auto" w:fill="FFFFFF"/>
          <w:rtl/>
        </w:rPr>
        <w:t>اولا: المراجع العربية</w:t>
      </w:r>
    </w:p>
    <w:p w14:paraId="3AB0B0F9" w14:textId="1F6C949E"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lang w:bidi="ar-AE"/>
        </w:rPr>
      </w:pPr>
      <w:r w:rsidRPr="008F48D0">
        <w:rPr>
          <w:rFonts w:ascii="Traditional Arabic" w:eastAsia="Times New Roman" w:hAnsi="Traditional Arabic" w:cs="Traditional Arabic"/>
          <w:sz w:val="28"/>
          <w:szCs w:val="28"/>
          <w:rtl/>
        </w:rPr>
        <w:t>عبد القوي، رانيا الصاوي عبده. (2023). أساليب مواجهة الضغوط النفسية لدى الشباب الجامعي: دراسة مقارنة في ضوء متغيري النوع والعمر على عينة من الشباب الجامعي بكلية التربية جامعة 6 أكتوبر</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مجلة كلية الآداب، 68</w:t>
      </w:r>
      <w:r w:rsidRPr="008F48D0">
        <w:rPr>
          <w:rFonts w:ascii="Traditional Arabic" w:eastAsia="Times New Roman" w:hAnsi="Traditional Arabic" w:cs="Traditional Arabic"/>
          <w:sz w:val="28"/>
          <w:szCs w:val="28"/>
          <w:rtl/>
        </w:rPr>
        <w:t>، 376–422.</w:t>
      </w:r>
    </w:p>
    <w:p w14:paraId="27820791" w14:textId="4DC36B34"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عطير، ربيع شفيق. (2019</w:t>
      </w:r>
      <w:r>
        <w:rPr>
          <w:rFonts w:ascii="Traditional Arabic" w:eastAsia="Times New Roman" w:hAnsi="Traditional Arabic" w:cs="Traditional Arabic" w:hint="cs"/>
          <w:sz w:val="28"/>
          <w:szCs w:val="28"/>
          <w:rtl/>
        </w:rPr>
        <w:t>).</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الضغوط النفسية واستراتيجيات التعامل معها</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sz w:val="28"/>
          <w:szCs w:val="28"/>
          <w:rtl/>
        </w:rPr>
        <w:t>عمان: دار المسيرة للنشر والتوزيع</w:t>
      </w:r>
      <w:r w:rsidRPr="008F48D0">
        <w:rPr>
          <w:rFonts w:ascii="Traditional Arabic" w:eastAsia="Times New Roman" w:hAnsi="Traditional Arabic" w:cs="Traditional Arabic"/>
          <w:sz w:val="28"/>
          <w:szCs w:val="28"/>
        </w:rPr>
        <w:t>.</w:t>
      </w:r>
    </w:p>
    <w:p w14:paraId="4269079D" w14:textId="5A82259C"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سيد، أميرة فايق أمين. (2016). الرضا الوظيفي كمتغير وسيط في العلاقة بين الاحتراق النفسي والعلاقات الأسرية لدى الموظفين الإداريين بالمحاكم من الجنسين</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المجلة المصرية لعلم النفس الإكلينيكي والإرشادي، 4</w:t>
      </w:r>
      <w:r w:rsidRPr="008F48D0">
        <w:rPr>
          <w:rFonts w:ascii="Traditional Arabic" w:eastAsia="Times New Roman" w:hAnsi="Traditional Arabic" w:cs="Traditional Arabic"/>
          <w:sz w:val="28"/>
          <w:szCs w:val="28"/>
        </w:rPr>
        <w:t>(1)</w:t>
      </w:r>
      <w:r w:rsidRPr="008F48D0">
        <w:rPr>
          <w:rFonts w:ascii="Traditional Arabic" w:eastAsia="Times New Roman" w:hAnsi="Traditional Arabic" w:cs="Traditional Arabic"/>
          <w:sz w:val="28"/>
          <w:szCs w:val="28"/>
          <w:rtl/>
        </w:rPr>
        <w:t>، 71–112.</w:t>
      </w:r>
    </w:p>
    <w:p w14:paraId="5255E5E1" w14:textId="5F3DBB40"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الشرايدة، سالم تيسير سالم. (2008). الرضا الوظيفي لدى معلمي ومعلمات المرحلة الأساسية في المدارس الحكومية في إقليم جنوب الأردن</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رسالة المعلم، 46</w:t>
      </w:r>
      <w:r w:rsidRPr="008F48D0">
        <w:rPr>
          <w:rFonts w:ascii="Traditional Arabic" w:eastAsia="Times New Roman" w:hAnsi="Traditional Arabic" w:cs="Traditional Arabic"/>
          <w:sz w:val="28"/>
          <w:szCs w:val="28"/>
        </w:rPr>
        <w:t>(4)</w:t>
      </w:r>
      <w:r w:rsidRPr="008F48D0">
        <w:rPr>
          <w:rFonts w:ascii="Traditional Arabic" w:eastAsia="Times New Roman" w:hAnsi="Traditional Arabic" w:cs="Traditional Arabic"/>
          <w:sz w:val="28"/>
          <w:szCs w:val="28"/>
          <w:rtl/>
        </w:rPr>
        <w:t>، 33–37</w:t>
      </w:r>
      <w:r w:rsidRPr="008F48D0">
        <w:rPr>
          <w:rFonts w:ascii="Traditional Arabic" w:eastAsia="Times New Roman" w:hAnsi="Traditional Arabic" w:cs="Traditional Arabic"/>
          <w:sz w:val="28"/>
          <w:szCs w:val="28"/>
        </w:rPr>
        <w:t>.</w:t>
      </w:r>
    </w:p>
    <w:p w14:paraId="4460CC65" w14:textId="3B58CD05"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الغزو، نائلة عبد الكريم. (2024). استراتيجيات مواجهة الضغوط المهنية كمتنبئات بالقلق الوظيفي والشعور بالرضا المهني لدى المعلمات المتزوجات في محافظة إربد</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المجلة الأردنية في العلوم التربوية، 20</w:t>
      </w:r>
      <w:r w:rsidRPr="008F48D0">
        <w:rPr>
          <w:rFonts w:ascii="Traditional Arabic" w:eastAsia="Times New Roman" w:hAnsi="Traditional Arabic" w:cs="Traditional Arabic"/>
          <w:sz w:val="28"/>
          <w:szCs w:val="28"/>
        </w:rPr>
        <w:t>(4)</w:t>
      </w:r>
      <w:r w:rsidRPr="008F48D0">
        <w:rPr>
          <w:rFonts w:ascii="Traditional Arabic" w:eastAsia="Times New Roman" w:hAnsi="Traditional Arabic" w:cs="Traditional Arabic"/>
          <w:sz w:val="28"/>
          <w:szCs w:val="28"/>
          <w:rtl/>
        </w:rPr>
        <w:t xml:space="preserve">، 635–652. </w:t>
      </w:r>
      <w:r w:rsidRPr="008F48D0">
        <w:rPr>
          <w:rFonts w:ascii="Traditional Arabic" w:eastAsia="Times New Roman" w:hAnsi="Traditional Arabic" w:cs="Traditional Arabic"/>
          <w:sz w:val="28"/>
          <w:szCs w:val="28"/>
        </w:rPr>
        <w:t>https://doi.org/10.47015/20.4.1</w:t>
      </w:r>
    </w:p>
    <w:p w14:paraId="508E087F" w14:textId="0030520A"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الملحم، وليد عبد المحسن. (2007</w:t>
      </w:r>
      <w:r>
        <w:rPr>
          <w:rFonts w:ascii="Traditional Arabic" w:eastAsia="Times New Roman" w:hAnsi="Traditional Arabic" w:cs="Traditional Arabic" w:hint="cs"/>
          <w:sz w:val="28"/>
          <w:szCs w:val="28"/>
          <w:rtl/>
        </w:rPr>
        <w:t>).</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ضغوط العمل وعلاقتها باتجاهات العاملين نحو التسرب الوظيفي</w:t>
      </w:r>
      <w:r w:rsidRPr="008F48D0">
        <w:rPr>
          <w:rFonts w:ascii="Traditional Arabic" w:eastAsia="Times New Roman" w:hAnsi="Traditional Arabic" w:cs="Traditional Arabic"/>
          <w:sz w:val="28"/>
          <w:szCs w:val="28"/>
          <w:rtl/>
        </w:rPr>
        <w:t xml:space="preserve"> </w:t>
      </w:r>
      <w:r w:rsidRPr="008F48D0">
        <w:rPr>
          <w:rFonts w:ascii="Traditional Arabic" w:eastAsia="Times New Roman" w:hAnsi="Traditional Arabic" w:cs="Traditional Arabic"/>
          <w:sz w:val="28"/>
          <w:szCs w:val="28"/>
        </w:rPr>
        <w:t>(</w:t>
      </w:r>
      <w:r w:rsidRPr="008F48D0">
        <w:rPr>
          <w:rFonts w:ascii="Traditional Arabic" w:eastAsia="Times New Roman" w:hAnsi="Traditional Arabic" w:cs="Traditional Arabic"/>
          <w:sz w:val="28"/>
          <w:szCs w:val="28"/>
          <w:rtl/>
        </w:rPr>
        <w:t>رسالة ماجستير غير منشورة). الرياض، المملكة العربية السعودية</w:t>
      </w:r>
      <w:r w:rsidRPr="008F48D0">
        <w:rPr>
          <w:rFonts w:ascii="Traditional Arabic" w:eastAsia="Times New Roman" w:hAnsi="Traditional Arabic" w:cs="Traditional Arabic"/>
          <w:sz w:val="28"/>
          <w:szCs w:val="28"/>
        </w:rPr>
        <w:t>.</w:t>
      </w:r>
    </w:p>
    <w:p w14:paraId="73E8C6C0" w14:textId="4BAA33DD"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مكانسي، محمد، وقدرو، كمال. (2025). استراتيجيات مواجهة الضغوط النفسية: المفهوم والتصنيف</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مجلة الباحث في العلوم الإنسانية والاجتماعية، 16</w:t>
      </w:r>
      <w:r w:rsidRPr="008F48D0">
        <w:rPr>
          <w:rFonts w:ascii="Traditional Arabic" w:eastAsia="Times New Roman" w:hAnsi="Traditional Arabic" w:cs="Traditional Arabic"/>
          <w:sz w:val="28"/>
          <w:szCs w:val="28"/>
        </w:rPr>
        <w:t>(1)</w:t>
      </w:r>
      <w:r w:rsidRPr="008F48D0">
        <w:rPr>
          <w:rFonts w:ascii="Traditional Arabic" w:eastAsia="Times New Roman" w:hAnsi="Traditional Arabic" w:cs="Traditional Arabic"/>
          <w:sz w:val="28"/>
          <w:szCs w:val="28"/>
          <w:rtl/>
        </w:rPr>
        <w:t>، 120–139.</w:t>
      </w:r>
    </w:p>
    <w:p w14:paraId="441DB30E" w14:textId="18F19100"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مقداد، محمد، وخليفة، فاضل عباس. (2012). الضغوط النفسية واستراتيجيات مواجهتها لدى معلمي نظام الفصل بمملكة البحرين</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مجلة دراسات نفسية وتربوية البحرين، 9</w:t>
      </w:r>
      <w:r w:rsidRPr="008F48D0">
        <w:rPr>
          <w:rFonts w:ascii="Traditional Arabic" w:eastAsia="Times New Roman" w:hAnsi="Traditional Arabic" w:cs="Traditional Arabic"/>
          <w:sz w:val="28"/>
          <w:szCs w:val="28"/>
          <w:rtl/>
        </w:rPr>
        <w:t>، 175–219.</w:t>
      </w:r>
    </w:p>
    <w:p w14:paraId="426AEAF1" w14:textId="13535112"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وزارة الموارد البشرية والتنمية الاجتماعية. (2023</w:t>
      </w:r>
      <w:r>
        <w:rPr>
          <w:rFonts w:ascii="Traditional Arabic" w:eastAsia="Times New Roman" w:hAnsi="Traditional Arabic" w:cs="Traditional Arabic" w:hint="cs"/>
          <w:sz w:val="28"/>
          <w:szCs w:val="28"/>
          <w:rtl/>
        </w:rPr>
        <w:t>).</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التقرير السنوي لوزارة الموارد البشرية والتنمية الاجتماعية 2023</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sz w:val="28"/>
          <w:szCs w:val="28"/>
          <w:rtl/>
        </w:rPr>
        <w:t xml:space="preserve">المملكة العربية السعودية. </w:t>
      </w:r>
      <w:r w:rsidRPr="008F48D0">
        <w:rPr>
          <w:rFonts w:ascii="Traditional Arabic" w:eastAsia="Times New Roman" w:hAnsi="Traditional Arabic" w:cs="Traditional Arabic"/>
          <w:sz w:val="28"/>
          <w:szCs w:val="28"/>
        </w:rPr>
        <w:t>https://hrsd.gov.sa</w:t>
      </w:r>
    </w:p>
    <w:p w14:paraId="1AC3E4A3" w14:textId="06430655" w:rsidR="008F48D0" w:rsidRPr="008F48D0" w:rsidRDefault="008F48D0" w:rsidP="0020372B">
      <w:pPr>
        <w:bidi/>
        <w:spacing w:before="100" w:beforeAutospacing="1" w:after="100" w:afterAutospacing="1" w:line="240" w:lineRule="auto"/>
        <w:ind w:left="793" w:hanging="709"/>
        <w:jc w:val="both"/>
        <w:rPr>
          <w:rFonts w:ascii="Traditional Arabic" w:eastAsia="Times New Roman" w:hAnsi="Traditional Arabic" w:cs="Traditional Arabic"/>
          <w:sz w:val="28"/>
          <w:szCs w:val="28"/>
        </w:rPr>
      </w:pPr>
      <w:r w:rsidRPr="008F48D0">
        <w:rPr>
          <w:rFonts w:ascii="Traditional Arabic" w:eastAsia="Times New Roman" w:hAnsi="Traditional Arabic" w:cs="Traditional Arabic"/>
          <w:sz w:val="28"/>
          <w:szCs w:val="28"/>
          <w:rtl/>
        </w:rPr>
        <w:t>وزارة العدل. (2025</w:t>
      </w:r>
      <w:r>
        <w:rPr>
          <w:rFonts w:ascii="Traditional Arabic" w:eastAsia="Times New Roman" w:hAnsi="Traditional Arabic" w:cs="Traditional Arabic" w:hint="cs"/>
          <w:sz w:val="28"/>
          <w:szCs w:val="28"/>
          <w:rtl/>
        </w:rPr>
        <w:t>).</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i/>
          <w:iCs/>
          <w:sz w:val="28"/>
          <w:szCs w:val="28"/>
          <w:rtl/>
        </w:rPr>
        <w:t>التقرير الإحصائي السنوي للقوى العاملة</w:t>
      </w:r>
      <w:r w:rsidRPr="008F48D0">
        <w:rPr>
          <w:rFonts w:ascii="Traditional Arabic" w:eastAsia="Times New Roman" w:hAnsi="Traditional Arabic" w:cs="Traditional Arabic"/>
          <w:sz w:val="28"/>
          <w:szCs w:val="28"/>
        </w:rPr>
        <w:t xml:space="preserve">. </w:t>
      </w:r>
      <w:r w:rsidRPr="008F48D0">
        <w:rPr>
          <w:rFonts w:ascii="Traditional Arabic" w:eastAsia="Times New Roman" w:hAnsi="Traditional Arabic" w:cs="Traditional Arabic"/>
          <w:sz w:val="28"/>
          <w:szCs w:val="28"/>
          <w:rtl/>
        </w:rPr>
        <w:t>المملكة العربية السعودية</w:t>
      </w:r>
      <w:r w:rsidRPr="008F48D0">
        <w:rPr>
          <w:rFonts w:ascii="Traditional Arabic" w:eastAsia="Times New Roman" w:hAnsi="Traditional Arabic" w:cs="Traditional Arabic"/>
          <w:sz w:val="28"/>
          <w:szCs w:val="28"/>
        </w:rPr>
        <w:t>.</w:t>
      </w:r>
    </w:p>
    <w:p w14:paraId="5E15DF2A" w14:textId="77777777" w:rsidR="008074A2" w:rsidRPr="004519FD" w:rsidRDefault="008074A2" w:rsidP="008F48D0">
      <w:pPr>
        <w:bidi/>
        <w:spacing w:before="100" w:beforeAutospacing="1" w:after="100" w:afterAutospacing="1" w:line="240" w:lineRule="auto"/>
        <w:rPr>
          <w:rFonts w:ascii="Traditional Arabic" w:eastAsia="Times New Roman" w:hAnsi="Traditional Arabic" w:cs="Traditional Arabic"/>
          <w:b/>
          <w:bCs/>
          <w:sz w:val="36"/>
          <w:szCs w:val="36"/>
        </w:rPr>
      </w:pPr>
      <w:r w:rsidRPr="004519FD">
        <w:rPr>
          <w:rFonts w:ascii="Traditional Arabic" w:eastAsia="Times New Roman" w:hAnsi="Traditional Arabic" w:cs="Traditional Arabic"/>
          <w:b/>
          <w:bCs/>
          <w:sz w:val="36"/>
          <w:szCs w:val="36"/>
          <w:rtl/>
        </w:rPr>
        <w:lastRenderedPageBreak/>
        <w:t>ثانيا: المراجع الاجنبية</w:t>
      </w:r>
    </w:p>
    <w:p w14:paraId="6C891944"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Anees, R. T., Heidler, P., Cavaliere, L. P. L., &amp; Nordin, N. A. (2021). Brain drain in higher education: The impact of job stress and workload on turnover intention and the mediating role of job satisfaction at universities. </w:t>
      </w:r>
      <w:r w:rsidRPr="004519FD">
        <w:rPr>
          <w:rFonts w:ascii="Times New Roman" w:eastAsia="Times New Roman" w:hAnsi="Times New Roman" w:cs="Times New Roman"/>
          <w:i/>
          <w:iCs/>
          <w:sz w:val="24"/>
          <w:szCs w:val="24"/>
        </w:rPr>
        <w:t>European Journal of Business and Management Research, 6</w:t>
      </w:r>
      <w:r w:rsidRPr="004519FD">
        <w:rPr>
          <w:rFonts w:ascii="Times New Roman" w:eastAsia="Times New Roman" w:hAnsi="Times New Roman" w:cs="Times New Roman"/>
          <w:sz w:val="24"/>
          <w:szCs w:val="24"/>
        </w:rPr>
        <w:t xml:space="preserve">(3), 1–8. </w:t>
      </w:r>
      <w:hyperlink r:id="rId11" w:tgtFrame="_new" w:history="1">
        <w:r w:rsidRPr="004519FD">
          <w:rPr>
            <w:rFonts w:ascii="Times New Roman" w:eastAsia="Times New Roman" w:hAnsi="Times New Roman" w:cs="Times New Roman"/>
            <w:color w:val="0000FF"/>
            <w:sz w:val="24"/>
            <w:szCs w:val="24"/>
            <w:u w:val="single"/>
          </w:rPr>
          <w:t>https://doi.org/10.24018/ejbmr.2021.6.3.849</w:t>
        </w:r>
      </w:hyperlink>
    </w:p>
    <w:p w14:paraId="629B381E"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Aljawarneh, Y., Al-Bashaireh, A., Albikawi, Z., Alkouri, O., Alrida, N. A., Abuadas, M., Alobaidly, A., Alyileili, M., Alyileili, S., Alyileili, W., Alhefetti, F., Alhefeiti, A., Alshehri, A., Alharbi, A., &amp; Qaladi, O. (2025). The influence of occupational stress and job satisfaction on burnout among healthcare workers in the UAE: A cross-sectional study. </w:t>
      </w:r>
      <w:r w:rsidRPr="004519FD">
        <w:rPr>
          <w:rFonts w:ascii="Times New Roman" w:eastAsia="Times New Roman" w:hAnsi="Times New Roman" w:cs="Times New Roman"/>
          <w:i/>
          <w:iCs/>
          <w:sz w:val="24"/>
          <w:szCs w:val="24"/>
        </w:rPr>
        <w:t>PLOS ONE, 20</w:t>
      </w:r>
      <w:r w:rsidRPr="004519FD">
        <w:rPr>
          <w:rFonts w:ascii="Times New Roman" w:eastAsia="Times New Roman" w:hAnsi="Times New Roman" w:cs="Times New Roman"/>
          <w:sz w:val="24"/>
          <w:szCs w:val="24"/>
        </w:rPr>
        <w:t xml:space="preserve">(10), e0335430. </w:t>
      </w:r>
      <w:hyperlink r:id="rId12" w:tgtFrame="_new" w:history="1">
        <w:r w:rsidRPr="004519FD">
          <w:rPr>
            <w:rFonts w:ascii="Times New Roman" w:eastAsia="Times New Roman" w:hAnsi="Times New Roman" w:cs="Times New Roman"/>
            <w:color w:val="0000FF"/>
            <w:sz w:val="24"/>
            <w:szCs w:val="24"/>
            <w:u w:val="single"/>
          </w:rPr>
          <w:t>https://doi.org/10.1371/journal.pone.0335430</w:t>
        </w:r>
      </w:hyperlink>
    </w:p>
    <w:p w14:paraId="77C4BED2"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Arumsari, A., Suherman, E., &amp; Khalida, L. R. (2025). The effect of burnout and job satisfaction on turnover intention at PT Jonan Indonesia. </w:t>
      </w:r>
      <w:r w:rsidRPr="004519FD">
        <w:rPr>
          <w:rFonts w:ascii="Times New Roman" w:eastAsia="Times New Roman" w:hAnsi="Times New Roman" w:cs="Times New Roman"/>
          <w:i/>
          <w:iCs/>
          <w:sz w:val="24"/>
          <w:szCs w:val="24"/>
        </w:rPr>
        <w:t>International Journal of Economics and Management Research, 4</w:t>
      </w:r>
      <w:r w:rsidRPr="004519FD">
        <w:rPr>
          <w:rFonts w:ascii="Times New Roman" w:eastAsia="Times New Roman" w:hAnsi="Times New Roman" w:cs="Times New Roman"/>
          <w:sz w:val="24"/>
          <w:szCs w:val="24"/>
        </w:rPr>
        <w:t xml:space="preserve">(2), 113–118. </w:t>
      </w:r>
      <w:hyperlink r:id="rId13" w:tgtFrame="_new" w:history="1">
        <w:r w:rsidRPr="004519FD">
          <w:rPr>
            <w:rFonts w:ascii="Times New Roman" w:eastAsia="Times New Roman" w:hAnsi="Times New Roman" w:cs="Times New Roman"/>
            <w:color w:val="0000FF"/>
            <w:sz w:val="24"/>
            <w:szCs w:val="24"/>
            <w:u w:val="single"/>
          </w:rPr>
          <w:t>https://doi.org/10.55606/ijemr.v4i2.361</w:t>
        </w:r>
      </w:hyperlink>
    </w:p>
    <w:p w14:paraId="51D97C05"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Bakker, A. B., &amp; Demerouti, E. (2017). Job demands–resources theory: Taking stock and looking forward. </w:t>
      </w:r>
      <w:r w:rsidRPr="004519FD">
        <w:rPr>
          <w:rFonts w:ascii="Times New Roman" w:eastAsia="Times New Roman" w:hAnsi="Times New Roman" w:cs="Times New Roman"/>
          <w:i/>
          <w:iCs/>
          <w:sz w:val="24"/>
          <w:szCs w:val="24"/>
        </w:rPr>
        <w:t>Journal of Occupational Health Psychology, 22</w:t>
      </w:r>
      <w:r w:rsidRPr="004519FD">
        <w:rPr>
          <w:rFonts w:ascii="Times New Roman" w:eastAsia="Times New Roman" w:hAnsi="Times New Roman" w:cs="Times New Roman"/>
          <w:sz w:val="24"/>
          <w:szCs w:val="24"/>
        </w:rPr>
        <w:t>(3), 273–285.</w:t>
      </w:r>
    </w:p>
    <w:p w14:paraId="1F779DB7"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Bakker, A. B., Demerouti, E., &amp; Sanz-Vergel, A. I. (2023). Burnout and work engagement: The JD-R approach. </w:t>
      </w:r>
      <w:r w:rsidRPr="004519FD">
        <w:rPr>
          <w:rFonts w:ascii="Times New Roman" w:eastAsia="Times New Roman" w:hAnsi="Times New Roman" w:cs="Times New Roman"/>
          <w:i/>
          <w:iCs/>
          <w:sz w:val="24"/>
          <w:szCs w:val="24"/>
        </w:rPr>
        <w:t>Annual Review of Organizational Psychology and Organizational Behavior, 10</w:t>
      </w:r>
      <w:r w:rsidRPr="004519FD">
        <w:rPr>
          <w:rFonts w:ascii="Times New Roman" w:eastAsia="Times New Roman" w:hAnsi="Times New Roman" w:cs="Times New Roman"/>
          <w:sz w:val="24"/>
          <w:szCs w:val="24"/>
        </w:rPr>
        <w:t>, 47–75.</w:t>
      </w:r>
    </w:p>
    <w:p w14:paraId="4AEA3D69"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Biggs, A., Brough, P., &amp; Drummond, S. (2017). Lazarus and Folkman’s psychological stress and coping theory. In </w:t>
      </w:r>
      <w:r w:rsidRPr="004519FD">
        <w:rPr>
          <w:rFonts w:ascii="Times New Roman" w:eastAsia="Times New Roman" w:hAnsi="Times New Roman" w:cs="Times New Roman"/>
          <w:i/>
          <w:iCs/>
          <w:sz w:val="24"/>
          <w:szCs w:val="24"/>
        </w:rPr>
        <w:t>The handbook of stress and health: A guide to research and practice</w:t>
      </w:r>
      <w:r w:rsidRPr="004519FD">
        <w:rPr>
          <w:rFonts w:ascii="Times New Roman" w:eastAsia="Times New Roman" w:hAnsi="Times New Roman" w:cs="Times New Roman"/>
          <w:sz w:val="24"/>
          <w:szCs w:val="24"/>
        </w:rPr>
        <w:t xml:space="preserve"> (pp. 349–364).</w:t>
      </w:r>
    </w:p>
    <w:p w14:paraId="1742CD5F"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Clifton, S., &amp; McGraw, D. S. (2025). Are you satisfied? An examination of law enforcement job satisfaction, job stress, and police culture. </w:t>
      </w:r>
      <w:r w:rsidRPr="004519FD">
        <w:rPr>
          <w:rFonts w:ascii="Times New Roman" w:eastAsia="Times New Roman" w:hAnsi="Times New Roman" w:cs="Times New Roman"/>
          <w:i/>
          <w:iCs/>
          <w:sz w:val="24"/>
          <w:szCs w:val="24"/>
        </w:rPr>
        <w:t>Policing: An International Journal, 48</w:t>
      </w:r>
      <w:r w:rsidRPr="004519FD">
        <w:rPr>
          <w:rFonts w:ascii="Times New Roman" w:eastAsia="Times New Roman" w:hAnsi="Times New Roman" w:cs="Times New Roman"/>
          <w:sz w:val="24"/>
          <w:szCs w:val="24"/>
        </w:rPr>
        <w:t xml:space="preserve">(2), 354–368. </w:t>
      </w:r>
      <w:hyperlink r:id="rId14" w:tgtFrame="_new" w:history="1">
        <w:r w:rsidRPr="004519FD">
          <w:rPr>
            <w:rFonts w:ascii="Times New Roman" w:eastAsia="Times New Roman" w:hAnsi="Times New Roman" w:cs="Times New Roman"/>
            <w:color w:val="0000FF"/>
            <w:sz w:val="24"/>
            <w:szCs w:val="24"/>
            <w:u w:val="single"/>
          </w:rPr>
          <w:t>https://doi.org/10.1108/PIJPSM-05-2024-0084</w:t>
        </w:r>
      </w:hyperlink>
    </w:p>
    <w:p w14:paraId="78CD8263"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Conceição, A., &amp; Palma-Moreira, A. (2025). The relationship between occupational stress, burnout, and perceived performance: The moderating role of work regime. </w:t>
      </w:r>
      <w:r w:rsidRPr="004519FD">
        <w:rPr>
          <w:rFonts w:ascii="Times New Roman" w:eastAsia="Times New Roman" w:hAnsi="Times New Roman" w:cs="Times New Roman"/>
          <w:i/>
          <w:iCs/>
          <w:sz w:val="24"/>
          <w:szCs w:val="24"/>
        </w:rPr>
        <w:t>Administrative Sciences, 15</w:t>
      </w:r>
      <w:r w:rsidRPr="004519FD">
        <w:rPr>
          <w:rFonts w:ascii="Times New Roman" w:eastAsia="Times New Roman" w:hAnsi="Times New Roman" w:cs="Times New Roman"/>
          <w:sz w:val="24"/>
          <w:szCs w:val="24"/>
        </w:rPr>
        <w:t xml:space="preserve">(10), Article 377. </w:t>
      </w:r>
      <w:hyperlink r:id="rId15" w:tgtFrame="_new" w:history="1">
        <w:r w:rsidRPr="004519FD">
          <w:rPr>
            <w:rFonts w:ascii="Times New Roman" w:eastAsia="Times New Roman" w:hAnsi="Times New Roman" w:cs="Times New Roman"/>
            <w:color w:val="0000FF"/>
            <w:sz w:val="24"/>
            <w:szCs w:val="24"/>
            <w:u w:val="single"/>
          </w:rPr>
          <w:t>https://doi.org/10.3390/admsci15100377</w:t>
        </w:r>
      </w:hyperlink>
    </w:p>
    <w:p w14:paraId="7F0FF7BD"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Cordes, C. L., &amp; Dougherty, T. W. (1993). A review and an integration of research on job burnout. </w:t>
      </w:r>
      <w:r w:rsidRPr="004519FD">
        <w:rPr>
          <w:rFonts w:ascii="Times New Roman" w:eastAsia="Times New Roman" w:hAnsi="Times New Roman" w:cs="Times New Roman"/>
          <w:i/>
          <w:iCs/>
          <w:sz w:val="24"/>
          <w:szCs w:val="24"/>
        </w:rPr>
        <w:t>Academy of Management Review, 18</w:t>
      </w:r>
      <w:r w:rsidRPr="004519FD">
        <w:rPr>
          <w:rFonts w:ascii="Times New Roman" w:eastAsia="Times New Roman" w:hAnsi="Times New Roman" w:cs="Times New Roman"/>
          <w:sz w:val="24"/>
          <w:szCs w:val="24"/>
        </w:rPr>
        <w:t>(4), 621–656.</w:t>
      </w:r>
    </w:p>
    <w:p w14:paraId="229FFD88"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Dalal, H. J. A., Ramoo, V., Chong, M. C., Danaee, M., Aljeesh, Y. I., &amp; Rajeswaran, V. U. (2023). The mediating role of work satisfaction in the relationship between organizational communication satisfaction and organizational </w:t>
      </w:r>
      <w:r w:rsidRPr="004519FD">
        <w:rPr>
          <w:rFonts w:ascii="Times New Roman" w:eastAsia="Times New Roman" w:hAnsi="Times New Roman" w:cs="Times New Roman"/>
          <w:sz w:val="24"/>
          <w:szCs w:val="24"/>
        </w:rPr>
        <w:lastRenderedPageBreak/>
        <w:t xml:space="preserve">commitment of healthcare professionals: A cross-sectional study. </w:t>
      </w:r>
      <w:r w:rsidRPr="004519FD">
        <w:rPr>
          <w:rFonts w:ascii="Times New Roman" w:eastAsia="Times New Roman" w:hAnsi="Times New Roman" w:cs="Times New Roman"/>
          <w:i/>
          <w:iCs/>
          <w:sz w:val="24"/>
          <w:szCs w:val="24"/>
        </w:rPr>
        <w:t>Healthcare, 11</w:t>
      </w:r>
      <w:r w:rsidRPr="004519FD">
        <w:rPr>
          <w:rFonts w:ascii="Times New Roman" w:eastAsia="Times New Roman" w:hAnsi="Times New Roman" w:cs="Times New Roman"/>
          <w:sz w:val="24"/>
          <w:szCs w:val="24"/>
        </w:rPr>
        <w:t>(6), 806.</w:t>
      </w:r>
    </w:p>
    <w:p w14:paraId="6ECE0539"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Folkman, S., &amp; Lazarus, R. S. (1988). </w:t>
      </w:r>
      <w:r w:rsidRPr="004519FD">
        <w:rPr>
          <w:rFonts w:ascii="Times New Roman" w:eastAsia="Times New Roman" w:hAnsi="Times New Roman" w:cs="Times New Roman"/>
          <w:i/>
          <w:iCs/>
          <w:sz w:val="24"/>
          <w:szCs w:val="24"/>
        </w:rPr>
        <w:t>Manual for the Coping Strategies Inventory</w:t>
      </w:r>
      <w:r w:rsidRPr="004519FD">
        <w:rPr>
          <w:rFonts w:ascii="Times New Roman" w:eastAsia="Times New Roman" w:hAnsi="Times New Roman" w:cs="Times New Roman"/>
          <w:sz w:val="24"/>
          <w:szCs w:val="24"/>
        </w:rPr>
        <w:t>. Consulting Psychologists Press.</w:t>
      </w:r>
    </w:p>
    <w:p w14:paraId="70AB4C19"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Friganović, A., &amp; Selič, P. (2021). Where to look for a remedy? Burnout syndrome and its associations with coping and job satisfaction in critical care nurses—A cross-sectional study. </w:t>
      </w:r>
      <w:r w:rsidRPr="004519FD">
        <w:rPr>
          <w:rFonts w:ascii="Times New Roman" w:eastAsia="Times New Roman" w:hAnsi="Times New Roman" w:cs="Times New Roman"/>
          <w:i/>
          <w:iCs/>
          <w:sz w:val="24"/>
          <w:szCs w:val="24"/>
        </w:rPr>
        <w:t>International Journal of Environmental Research and Public Health, 18</w:t>
      </w:r>
      <w:r w:rsidRPr="004519FD">
        <w:rPr>
          <w:rFonts w:ascii="Times New Roman" w:eastAsia="Times New Roman" w:hAnsi="Times New Roman" w:cs="Times New Roman"/>
          <w:sz w:val="24"/>
          <w:szCs w:val="24"/>
        </w:rPr>
        <w:t xml:space="preserve">(8), 4390. </w:t>
      </w:r>
      <w:hyperlink r:id="rId16" w:tgtFrame="_new" w:history="1">
        <w:r w:rsidRPr="004519FD">
          <w:rPr>
            <w:rFonts w:ascii="Times New Roman" w:eastAsia="Times New Roman" w:hAnsi="Times New Roman" w:cs="Times New Roman"/>
            <w:color w:val="0000FF"/>
            <w:sz w:val="24"/>
            <w:szCs w:val="24"/>
            <w:u w:val="single"/>
          </w:rPr>
          <w:t>https://doi.org/10.3390/ijerph18084390</w:t>
        </w:r>
      </w:hyperlink>
    </w:p>
    <w:p w14:paraId="7693469A"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Friganović, A., Selič, P., Ilić, B., &amp; Sedić, B. (2019). Stress and burnout syndrome and their associations with coping and job satisfaction in critical care nurses: A literature review. </w:t>
      </w:r>
      <w:r w:rsidRPr="004519FD">
        <w:rPr>
          <w:rFonts w:ascii="Times New Roman" w:eastAsia="Times New Roman" w:hAnsi="Times New Roman" w:cs="Times New Roman"/>
          <w:i/>
          <w:iCs/>
          <w:sz w:val="24"/>
          <w:szCs w:val="24"/>
        </w:rPr>
        <w:t>Psychiatria Danubina, 31</w:t>
      </w:r>
      <w:r w:rsidRPr="004519FD">
        <w:rPr>
          <w:rFonts w:ascii="Times New Roman" w:eastAsia="Times New Roman" w:hAnsi="Times New Roman" w:cs="Times New Roman"/>
          <w:sz w:val="24"/>
          <w:szCs w:val="24"/>
        </w:rPr>
        <w:t>(Suppl. 1), S21–S31.</w:t>
      </w:r>
    </w:p>
    <w:p w14:paraId="0B0874F7"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Goswami, I., &amp; Dsilva, N. R. (2019). Impact of job satisfaction and job stress on employees’ life in Mumbai’s hospitality sector: An empirical study using SEM. </w:t>
      </w:r>
      <w:r w:rsidRPr="004519FD">
        <w:rPr>
          <w:rFonts w:ascii="Times New Roman" w:eastAsia="Times New Roman" w:hAnsi="Times New Roman" w:cs="Times New Roman"/>
          <w:i/>
          <w:iCs/>
          <w:sz w:val="24"/>
          <w:szCs w:val="24"/>
        </w:rPr>
        <w:t>Journal of Strategy and Management, 12</w:t>
      </w:r>
      <w:r w:rsidRPr="004519FD">
        <w:rPr>
          <w:rFonts w:ascii="Times New Roman" w:eastAsia="Times New Roman" w:hAnsi="Times New Roman" w:cs="Times New Roman"/>
          <w:sz w:val="24"/>
          <w:szCs w:val="24"/>
        </w:rPr>
        <w:t xml:space="preserve">(3), 330–346. </w:t>
      </w:r>
      <w:hyperlink r:id="rId17" w:tgtFrame="_new" w:history="1">
        <w:r w:rsidRPr="004519FD">
          <w:rPr>
            <w:rFonts w:ascii="Times New Roman" w:eastAsia="Times New Roman" w:hAnsi="Times New Roman" w:cs="Times New Roman"/>
            <w:color w:val="0000FF"/>
            <w:sz w:val="24"/>
            <w:szCs w:val="24"/>
            <w:u w:val="single"/>
          </w:rPr>
          <w:t>https://doi.org/10.1108/JSMA-01-2019-0012</w:t>
        </w:r>
      </w:hyperlink>
    </w:p>
    <w:p w14:paraId="5E7BD450"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Gün, İ., Balsak, H., &amp; Ayhan, F. (2025). Mediating effect of job burnout on the relationship between organisational support and quiet quitting in nurses. </w:t>
      </w:r>
      <w:r w:rsidRPr="004519FD">
        <w:rPr>
          <w:rFonts w:ascii="Times New Roman" w:eastAsia="Times New Roman" w:hAnsi="Times New Roman" w:cs="Times New Roman"/>
          <w:i/>
          <w:iCs/>
          <w:sz w:val="24"/>
          <w:szCs w:val="24"/>
        </w:rPr>
        <w:t>Journal of Advanced Nursing, 81</w:t>
      </w:r>
      <w:r w:rsidRPr="004519FD">
        <w:rPr>
          <w:rFonts w:ascii="Times New Roman" w:eastAsia="Times New Roman" w:hAnsi="Times New Roman" w:cs="Times New Roman"/>
          <w:sz w:val="24"/>
          <w:szCs w:val="24"/>
        </w:rPr>
        <w:t xml:space="preserve">(8), 4644–4652. </w:t>
      </w:r>
      <w:hyperlink r:id="rId18" w:tgtFrame="_new" w:history="1">
        <w:r w:rsidRPr="004519FD">
          <w:rPr>
            <w:rFonts w:ascii="Times New Roman" w:eastAsia="Times New Roman" w:hAnsi="Times New Roman" w:cs="Times New Roman"/>
            <w:color w:val="0000FF"/>
            <w:sz w:val="24"/>
            <w:szCs w:val="24"/>
            <w:u w:val="single"/>
          </w:rPr>
          <w:t>https://doi.org/10.1111/jan.16599</w:t>
        </w:r>
      </w:hyperlink>
    </w:p>
    <w:p w14:paraId="4F8CDDD3"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Hobfoll, S. E. (1989). Conservation of resources: A new attempt at conceptualizing stress. </w:t>
      </w:r>
      <w:r w:rsidRPr="004519FD">
        <w:rPr>
          <w:rFonts w:ascii="Times New Roman" w:eastAsia="Times New Roman" w:hAnsi="Times New Roman" w:cs="Times New Roman"/>
          <w:i/>
          <w:iCs/>
          <w:sz w:val="24"/>
          <w:szCs w:val="24"/>
        </w:rPr>
        <w:t>American Psychologist, 44</w:t>
      </w:r>
      <w:r w:rsidRPr="004519FD">
        <w:rPr>
          <w:rFonts w:ascii="Times New Roman" w:eastAsia="Times New Roman" w:hAnsi="Times New Roman" w:cs="Times New Roman"/>
          <w:sz w:val="24"/>
          <w:szCs w:val="24"/>
        </w:rPr>
        <w:t>(3), 513–524.</w:t>
      </w:r>
    </w:p>
    <w:p w14:paraId="6A26BC8B"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Isfianadewi, D., &amp; Noordyani, A. (2020). Implementation of coping strategy in work-family conflict on job stress and job satisfaction: Social support as moderation variable. </w:t>
      </w:r>
      <w:r w:rsidRPr="004519FD">
        <w:rPr>
          <w:rFonts w:ascii="Times New Roman" w:eastAsia="Times New Roman" w:hAnsi="Times New Roman" w:cs="Times New Roman"/>
          <w:i/>
          <w:iCs/>
          <w:sz w:val="24"/>
          <w:szCs w:val="24"/>
        </w:rPr>
        <w:t>Review of Integrative Business and Economics Research, 9</w:t>
      </w:r>
      <w:r w:rsidRPr="004519FD">
        <w:rPr>
          <w:rFonts w:ascii="Times New Roman" w:eastAsia="Times New Roman" w:hAnsi="Times New Roman" w:cs="Times New Roman"/>
          <w:sz w:val="24"/>
          <w:szCs w:val="24"/>
        </w:rPr>
        <w:t>, 223–239.</w:t>
      </w:r>
    </w:p>
    <w:p w14:paraId="6B1C18FA"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Ivanković, M. (2020). Sources of stress, coping strategies with stress and job satisfaction of teachers in art schools. </w:t>
      </w:r>
      <w:r w:rsidRPr="004519FD">
        <w:rPr>
          <w:rFonts w:ascii="Times New Roman" w:eastAsia="Times New Roman" w:hAnsi="Times New Roman" w:cs="Times New Roman"/>
          <w:i/>
          <w:iCs/>
          <w:sz w:val="24"/>
          <w:szCs w:val="24"/>
        </w:rPr>
        <w:t>Croatian Journal of Education, 22</w:t>
      </w:r>
      <w:r w:rsidRPr="004519FD">
        <w:rPr>
          <w:rFonts w:ascii="Times New Roman" w:eastAsia="Times New Roman" w:hAnsi="Times New Roman" w:cs="Times New Roman"/>
          <w:sz w:val="24"/>
          <w:szCs w:val="24"/>
        </w:rPr>
        <w:t xml:space="preserve">(Special Edition 1), 203–222. </w:t>
      </w:r>
      <w:hyperlink r:id="rId19" w:tgtFrame="_new" w:history="1">
        <w:r w:rsidRPr="004519FD">
          <w:rPr>
            <w:rFonts w:ascii="Times New Roman" w:eastAsia="Times New Roman" w:hAnsi="Times New Roman" w:cs="Times New Roman"/>
            <w:color w:val="0000FF"/>
            <w:sz w:val="24"/>
            <w:szCs w:val="24"/>
            <w:u w:val="single"/>
          </w:rPr>
          <w:t>https://doi.org/10.15516/cje.v22i0.3851</w:t>
        </w:r>
      </w:hyperlink>
    </w:p>
    <w:p w14:paraId="2FF73205"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Khanna, A., &amp; Gupta, C. (2025). Burnout and job satisfaction: Analyzing the role of coping mechanisms in prevention. </w:t>
      </w:r>
      <w:r w:rsidRPr="004519FD">
        <w:rPr>
          <w:rFonts w:ascii="Times New Roman" w:eastAsia="Times New Roman" w:hAnsi="Times New Roman" w:cs="Times New Roman"/>
          <w:i/>
          <w:iCs/>
          <w:sz w:val="24"/>
          <w:szCs w:val="24"/>
        </w:rPr>
        <w:t>The International Journal of Indian Psychology, 13</w:t>
      </w:r>
      <w:r w:rsidRPr="004519FD">
        <w:rPr>
          <w:rFonts w:ascii="Times New Roman" w:eastAsia="Times New Roman" w:hAnsi="Times New Roman" w:cs="Times New Roman"/>
          <w:sz w:val="24"/>
          <w:szCs w:val="24"/>
        </w:rPr>
        <w:t xml:space="preserve">(2). </w:t>
      </w:r>
      <w:hyperlink r:id="rId20" w:tgtFrame="_new" w:history="1">
        <w:r w:rsidRPr="004519FD">
          <w:rPr>
            <w:rFonts w:ascii="Times New Roman" w:eastAsia="Times New Roman" w:hAnsi="Times New Roman" w:cs="Times New Roman"/>
            <w:color w:val="0000FF"/>
            <w:sz w:val="24"/>
            <w:szCs w:val="24"/>
            <w:u w:val="single"/>
          </w:rPr>
          <w:t>https://doi.org/10.25215/1302.056</w:t>
        </w:r>
      </w:hyperlink>
    </w:p>
    <w:p w14:paraId="3946C5C1"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Krejcie, R. V., &amp; Morgan, D. W. (1970). Determining sample size for research activities. </w:t>
      </w:r>
      <w:r w:rsidRPr="004519FD">
        <w:rPr>
          <w:rFonts w:ascii="Times New Roman" w:eastAsia="Times New Roman" w:hAnsi="Times New Roman" w:cs="Times New Roman"/>
          <w:i/>
          <w:iCs/>
          <w:sz w:val="24"/>
          <w:szCs w:val="24"/>
        </w:rPr>
        <w:t>Educational and Psychological Measurement, 30</w:t>
      </w:r>
      <w:r w:rsidRPr="004519FD">
        <w:rPr>
          <w:rFonts w:ascii="Times New Roman" w:eastAsia="Times New Roman" w:hAnsi="Times New Roman" w:cs="Times New Roman"/>
          <w:sz w:val="24"/>
          <w:szCs w:val="24"/>
        </w:rPr>
        <w:t xml:space="preserve">(3), 607–610. </w:t>
      </w:r>
      <w:hyperlink r:id="rId21" w:tgtFrame="_new" w:history="1">
        <w:r w:rsidRPr="004519FD">
          <w:rPr>
            <w:rFonts w:ascii="Times New Roman" w:eastAsia="Times New Roman" w:hAnsi="Times New Roman" w:cs="Times New Roman"/>
            <w:color w:val="0000FF"/>
            <w:sz w:val="24"/>
            <w:szCs w:val="24"/>
            <w:u w:val="single"/>
          </w:rPr>
          <w:t>https://doi.org/10.1177/001316447003000308</w:t>
        </w:r>
      </w:hyperlink>
    </w:p>
    <w:p w14:paraId="6B1D5214"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Kumari, G., &amp; Pandey, K. M. (2023). Mapping the job satisfaction level of employees on work performance in pharmaceutical industry. In </w:t>
      </w:r>
      <w:r w:rsidRPr="004519FD">
        <w:rPr>
          <w:rFonts w:ascii="Times New Roman" w:eastAsia="Times New Roman" w:hAnsi="Times New Roman" w:cs="Times New Roman"/>
          <w:i/>
          <w:iCs/>
          <w:sz w:val="24"/>
          <w:szCs w:val="24"/>
        </w:rPr>
        <w:t>Interdisciplinary Research in Technology and Management</w:t>
      </w:r>
      <w:r w:rsidRPr="004519FD">
        <w:rPr>
          <w:rFonts w:ascii="Times New Roman" w:eastAsia="Times New Roman" w:hAnsi="Times New Roman" w:cs="Times New Roman"/>
          <w:sz w:val="24"/>
          <w:szCs w:val="24"/>
        </w:rPr>
        <w:t xml:space="preserve"> (pp. 272–287). CRC Press.</w:t>
      </w:r>
    </w:p>
    <w:p w14:paraId="5EE2C8B8"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Leiss, U., Schiller, A., Fries, J., Voitl, P., &amp; Peyrl, A. (2021). Self-care strategies and job satisfaction in pediatricians: What we can do to prevent burnout—Results </w:t>
      </w:r>
      <w:r w:rsidRPr="004519FD">
        <w:rPr>
          <w:rFonts w:ascii="Times New Roman" w:eastAsia="Times New Roman" w:hAnsi="Times New Roman" w:cs="Times New Roman"/>
          <w:sz w:val="24"/>
          <w:szCs w:val="24"/>
        </w:rPr>
        <w:lastRenderedPageBreak/>
        <w:t xml:space="preserve">of a nationwide survey. </w:t>
      </w:r>
      <w:r w:rsidRPr="004519FD">
        <w:rPr>
          <w:rFonts w:ascii="Times New Roman" w:eastAsia="Times New Roman" w:hAnsi="Times New Roman" w:cs="Times New Roman"/>
          <w:i/>
          <w:iCs/>
          <w:sz w:val="24"/>
          <w:szCs w:val="24"/>
        </w:rPr>
        <w:t>Frontiers in Pediatrics, 9</w:t>
      </w:r>
      <w:r w:rsidRPr="004519FD">
        <w:rPr>
          <w:rFonts w:ascii="Times New Roman" w:eastAsia="Times New Roman" w:hAnsi="Times New Roman" w:cs="Times New Roman"/>
          <w:sz w:val="24"/>
          <w:szCs w:val="24"/>
        </w:rPr>
        <w:t xml:space="preserve">, Article 722356. </w:t>
      </w:r>
      <w:hyperlink r:id="rId22" w:tgtFrame="_new" w:history="1">
        <w:r w:rsidRPr="004519FD">
          <w:rPr>
            <w:rFonts w:ascii="Times New Roman" w:eastAsia="Times New Roman" w:hAnsi="Times New Roman" w:cs="Times New Roman"/>
            <w:color w:val="0000FF"/>
            <w:sz w:val="24"/>
            <w:szCs w:val="24"/>
            <w:u w:val="single"/>
          </w:rPr>
          <w:t>https://doi.org/10.3389/fped.2021.722356</w:t>
        </w:r>
      </w:hyperlink>
    </w:p>
    <w:p w14:paraId="3D3B13A2"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Leiter, M. P., &amp; Maslach, C. (2005). A mediation model of job burnout. In </w:t>
      </w:r>
      <w:r w:rsidRPr="004519FD">
        <w:rPr>
          <w:rFonts w:ascii="Times New Roman" w:eastAsia="Times New Roman" w:hAnsi="Times New Roman" w:cs="Times New Roman"/>
          <w:i/>
          <w:iCs/>
          <w:sz w:val="24"/>
          <w:szCs w:val="24"/>
        </w:rPr>
        <w:t>Research companion to organizational health psychology</w:t>
      </w:r>
      <w:r w:rsidRPr="004519FD">
        <w:rPr>
          <w:rFonts w:ascii="Times New Roman" w:eastAsia="Times New Roman" w:hAnsi="Times New Roman" w:cs="Times New Roman"/>
          <w:sz w:val="24"/>
          <w:szCs w:val="24"/>
        </w:rPr>
        <w:t xml:space="preserve"> (pp. 544–564).</w:t>
      </w:r>
    </w:p>
    <w:p w14:paraId="1E6D110F"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Maslach, C., Jackson, S. E., &amp; Leiter, M. P. (1996). </w:t>
      </w:r>
      <w:r w:rsidRPr="004519FD">
        <w:rPr>
          <w:rFonts w:ascii="Times New Roman" w:eastAsia="Times New Roman" w:hAnsi="Times New Roman" w:cs="Times New Roman"/>
          <w:i/>
          <w:iCs/>
          <w:sz w:val="24"/>
          <w:szCs w:val="24"/>
        </w:rPr>
        <w:t>Maslach burnout inventory manual</w:t>
      </w:r>
      <w:r w:rsidRPr="004519FD">
        <w:rPr>
          <w:rFonts w:ascii="Times New Roman" w:eastAsia="Times New Roman" w:hAnsi="Times New Roman" w:cs="Times New Roman"/>
          <w:sz w:val="24"/>
          <w:szCs w:val="24"/>
        </w:rPr>
        <w:t xml:space="preserve"> (3rd ed.). Consulting Psychologists Press.</w:t>
      </w:r>
    </w:p>
    <w:p w14:paraId="593432CE"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Maslach, C., &amp; Leiter, M. P. (2016). Understanding the burnout experience: Recent research and its implications for psychiatry. </w:t>
      </w:r>
      <w:r w:rsidRPr="004519FD">
        <w:rPr>
          <w:rFonts w:ascii="Times New Roman" w:eastAsia="Times New Roman" w:hAnsi="Times New Roman" w:cs="Times New Roman"/>
          <w:i/>
          <w:iCs/>
          <w:sz w:val="24"/>
          <w:szCs w:val="24"/>
        </w:rPr>
        <w:t>World Psychiatry, 15</w:t>
      </w:r>
      <w:r w:rsidRPr="004519FD">
        <w:rPr>
          <w:rFonts w:ascii="Times New Roman" w:eastAsia="Times New Roman" w:hAnsi="Times New Roman" w:cs="Times New Roman"/>
          <w:sz w:val="24"/>
          <w:szCs w:val="24"/>
        </w:rPr>
        <w:t>(2), 103–111.</w:t>
      </w:r>
    </w:p>
    <w:p w14:paraId="428DF82E"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Maslach, C., Schaufeli, W. B., &amp; Leiter, M. P. (2001). Job burnout. </w:t>
      </w:r>
      <w:r w:rsidRPr="004519FD">
        <w:rPr>
          <w:rFonts w:ascii="Times New Roman" w:eastAsia="Times New Roman" w:hAnsi="Times New Roman" w:cs="Times New Roman"/>
          <w:i/>
          <w:iCs/>
          <w:sz w:val="24"/>
          <w:szCs w:val="24"/>
        </w:rPr>
        <w:t>Annual Review of Psychology, 52</w:t>
      </w:r>
      <w:r w:rsidRPr="004519FD">
        <w:rPr>
          <w:rFonts w:ascii="Times New Roman" w:eastAsia="Times New Roman" w:hAnsi="Times New Roman" w:cs="Times New Roman"/>
          <w:sz w:val="24"/>
          <w:szCs w:val="24"/>
        </w:rPr>
        <w:t>(1), 397–422.</w:t>
      </w:r>
    </w:p>
    <w:p w14:paraId="5B76D367"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Mbinya, F., &amp; Mose, T. (2022). Effect of occupational stress on employee performance of the judicial service commission employees in Kenya. </w:t>
      </w:r>
      <w:r w:rsidRPr="004519FD">
        <w:rPr>
          <w:rFonts w:ascii="Times New Roman" w:eastAsia="Times New Roman" w:hAnsi="Times New Roman" w:cs="Times New Roman"/>
          <w:i/>
          <w:iCs/>
          <w:sz w:val="24"/>
          <w:szCs w:val="24"/>
        </w:rPr>
        <w:t>Journal of Human Resource &amp; Leadership, 6</w:t>
      </w:r>
      <w:r w:rsidRPr="004519FD">
        <w:rPr>
          <w:rFonts w:ascii="Times New Roman" w:eastAsia="Times New Roman" w:hAnsi="Times New Roman" w:cs="Times New Roman"/>
          <w:sz w:val="24"/>
          <w:szCs w:val="24"/>
        </w:rPr>
        <w:t>(3), 88–106.</w:t>
      </w:r>
    </w:p>
    <w:p w14:paraId="7898F653"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Portero de la Cruz, S., Cebrino, J., Herruzo, J., &amp; Vaquero-Abellán, M. (2020). A multicenter study into burnout, perceived stress, job satisfaction, coping strategies, and general health among emergency department nursing staff. </w:t>
      </w:r>
      <w:r w:rsidRPr="004519FD">
        <w:rPr>
          <w:rFonts w:ascii="Times New Roman" w:eastAsia="Times New Roman" w:hAnsi="Times New Roman" w:cs="Times New Roman"/>
          <w:i/>
          <w:iCs/>
          <w:sz w:val="24"/>
          <w:szCs w:val="24"/>
        </w:rPr>
        <w:t>Journal of Clinical Medicine, 9</w:t>
      </w:r>
      <w:r w:rsidRPr="004519FD">
        <w:rPr>
          <w:rFonts w:ascii="Times New Roman" w:eastAsia="Times New Roman" w:hAnsi="Times New Roman" w:cs="Times New Roman"/>
          <w:sz w:val="24"/>
          <w:szCs w:val="24"/>
        </w:rPr>
        <w:t xml:space="preserve">(4), 1007. </w:t>
      </w:r>
      <w:hyperlink r:id="rId23" w:tgtFrame="_new" w:history="1">
        <w:r w:rsidRPr="004519FD">
          <w:rPr>
            <w:rFonts w:ascii="Times New Roman" w:eastAsia="Times New Roman" w:hAnsi="Times New Roman" w:cs="Times New Roman"/>
            <w:color w:val="0000FF"/>
            <w:sz w:val="24"/>
            <w:szCs w:val="24"/>
            <w:u w:val="single"/>
          </w:rPr>
          <w:t>https://doi.org/10.3390/jcm9041007</w:t>
        </w:r>
      </w:hyperlink>
    </w:p>
    <w:p w14:paraId="1F2EBB2D"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Prasetya, A., Khairunnisa, H., &amp; Aziz, A. L. (2021). The effect of work stress and burnout on job satisfaction and employee performance: A test of conservation of resources theory. In </w:t>
      </w:r>
      <w:r w:rsidRPr="004519FD">
        <w:rPr>
          <w:rFonts w:ascii="Times New Roman" w:eastAsia="Times New Roman" w:hAnsi="Times New Roman" w:cs="Times New Roman"/>
          <w:i/>
          <w:iCs/>
          <w:sz w:val="24"/>
          <w:szCs w:val="24"/>
        </w:rPr>
        <w:t>Advances in Economics, Business and Management Research</w:t>
      </w:r>
      <w:r w:rsidRPr="004519FD">
        <w:rPr>
          <w:rFonts w:ascii="Times New Roman" w:eastAsia="Times New Roman" w:hAnsi="Times New Roman" w:cs="Times New Roman"/>
          <w:sz w:val="24"/>
          <w:szCs w:val="24"/>
        </w:rPr>
        <w:t xml:space="preserve">. Atlantis Press. </w:t>
      </w:r>
      <w:hyperlink r:id="rId24" w:tgtFrame="_new" w:history="1">
        <w:r w:rsidRPr="004519FD">
          <w:rPr>
            <w:rFonts w:ascii="Times New Roman" w:eastAsia="Times New Roman" w:hAnsi="Times New Roman" w:cs="Times New Roman"/>
            <w:color w:val="0000FF"/>
            <w:sz w:val="24"/>
            <w:szCs w:val="24"/>
            <w:u w:val="single"/>
          </w:rPr>
          <w:t>https://doi.org/10.2991/aebmr.k.210928.016</w:t>
        </w:r>
      </w:hyperlink>
    </w:p>
    <w:p w14:paraId="5ECF6BE9"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Pramudita, D. P. D., Mayasari, A., &amp; Almoza, F. M. L. (2025). Job stress, job burnout, and turnover intention in employees of digital education platform and book provider company PT. XYZ. </w:t>
      </w:r>
      <w:r w:rsidRPr="004519FD">
        <w:rPr>
          <w:rFonts w:ascii="Times New Roman" w:eastAsia="Times New Roman" w:hAnsi="Times New Roman" w:cs="Times New Roman"/>
          <w:i/>
          <w:iCs/>
          <w:sz w:val="24"/>
          <w:szCs w:val="24"/>
        </w:rPr>
        <w:t>International Journal of Economics and Management Research, 4</w:t>
      </w:r>
      <w:r w:rsidRPr="004519FD">
        <w:rPr>
          <w:rFonts w:ascii="Times New Roman" w:eastAsia="Times New Roman" w:hAnsi="Times New Roman" w:cs="Times New Roman"/>
          <w:sz w:val="24"/>
          <w:szCs w:val="24"/>
        </w:rPr>
        <w:t xml:space="preserve">(2), 646–654. </w:t>
      </w:r>
      <w:hyperlink r:id="rId25" w:tgtFrame="_new" w:history="1">
        <w:r w:rsidRPr="004519FD">
          <w:rPr>
            <w:rFonts w:ascii="Times New Roman" w:eastAsia="Times New Roman" w:hAnsi="Times New Roman" w:cs="Times New Roman"/>
            <w:color w:val="0000FF"/>
            <w:sz w:val="24"/>
            <w:szCs w:val="24"/>
            <w:u w:val="single"/>
          </w:rPr>
          <w:t>https://doi.org/10.55606/ijemr.v4i2.444</w:t>
        </w:r>
      </w:hyperlink>
    </w:p>
    <w:p w14:paraId="566BBD2F"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Quick, J. C., &amp; Henderson, D. F. (2016). Occupational stress: Preventing suffering, enhancing wellbeing. </w:t>
      </w:r>
      <w:r w:rsidRPr="004519FD">
        <w:rPr>
          <w:rFonts w:ascii="Times New Roman" w:eastAsia="Times New Roman" w:hAnsi="Times New Roman" w:cs="Times New Roman"/>
          <w:i/>
          <w:iCs/>
          <w:sz w:val="24"/>
          <w:szCs w:val="24"/>
        </w:rPr>
        <w:t>International Journal of Environmental Research and Public Health, 13</w:t>
      </w:r>
      <w:r w:rsidRPr="004519FD">
        <w:rPr>
          <w:rFonts w:ascii="Times New Roman" w:eastAsia="Times New Roman" w:hAnsi="Times New Roman" w:cs="Times New Roman"/>
          <w:sz w:val="24"/>
          <w:szCs w:val="24"/>
        </w:rPr>
        <w:t>(5), 459.</w:t>
      </w:r>
    </w:p>
    <w:p w14:paraId="7E45915B"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Ramlawati, R., Trisnawati, E., Yasin, N. A., &amp; Kurniawaty, K. (2021). External alternatives, job stress on job satisfaction and employee turnover intention. </w:t>
      </w:r>
      <w:r w:rsidRPr="004519FD">
        <w:rPr>
          <w:rFonts w:ascii="Times New Roman" w:eastAsia="Times New Roman" w:hAnsi="Times New Roman" w:cs="Times New Roman"/>
          <w:i/>
          <w:iCs/>
          <w:sz w:val="24"/>
          <w:szCs w:val="24"/>
        </w:rPr>
        <w:t>Management Science Letters, 11</w:t>
      </w:r>
      <w:r w:rsidRPr="004519FD">
        <w:rPr>
          <w:rFonts w:ascii="Times New Roman" w:eastAsia="Times New Roman" w:hAnsi="Times New Roman" w:cs="Times New Roman"/>
          <w:sz w:val="24"/>
          <w:szCs w:val="24"/>
        </w:rPr>
        <w:t xml:space="preserve">(2), 511–518. </w:t>
      </w:r>
      <w:hyperlink r:id="rId26" w:tgtFrame="_new" w:history="1">
        <w:r w:rsidRPr="004519FD">
          <w:rPr>
            <w:rFonts w:ascii="Times New Roman" w:eastAsia="Times New Roman" w:hAnsi="Times New Roman" w:cs="Times New Roman"/>
            <w:color w:val="0000FF"/>
            <w:sz w:val="24"/>
            <w:szCs w:val="24"/>
            <w:u w:val="single"/>
          </w:rPr>
          <w:t>https://doi.org/10.5267/j.msl.2020.9.016</w:t>
        </w:r>
      </w:hyperlink>
    </w:p>
    <w:p w14:paraId="4DE655BB"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Salvagioni, D. A. J., Melanda, F. N., Mesas, A. E., González, A. D., Gabani, F. L., &amp; Andrade, S. M. (2017). Physical, psychological and occupational consequences of job burnout: A systematic review of prospective studies. </w:t>
      </w:r>
      <w:r w:rsidRPr="004519FD">
        <w:rPr>
          <w:rFonts w:ascii="Times New Roman" w:eastAsia="Times New Roman" w:hAnsi="Times New Roman" w:cs="Times New Roman"/>
          <w:i/>
          <w:iCs/>
          <w:sz w:val="24"/>
          <w:szCs w:val="24"/>
        </w:rPr>
        <w:t>PLOS ONE, 12</w:t>
      </w:r>
      <w:r w:rsidRPr="004519FD">
        <w:rPr>
          <w:rFonts w:ascii="Times New Roman" w:eastAsia="Times New Roman" w:hAnsi="Times New Roman" w:cs="Times New Roman"/>
          <w:sz w:val="24"/>
          <w:szCs w:val="24"/>
        </w:rPr>
        <w:t>(10), e0185781.</w:t>
      </w:r>
    </w:p>
    <w:p w14:paraId="1873C293"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lastRenderedPageBreak/>
        <w:t xml:space="preserve">Schaufeli, W. B., &amp; Taris, T. W. (2014). A critical review of the job demands-resources model: Implications for improving work and health. In </w:t>
      </w:r>
      <w:r w:rsidRPr="004519FD">
        <w:rPr>
          <w:rFonts w:ascii="Times New Roman" w:eastAsia="Times New Roman" w:hAnsi="Times New Roman" w:cs="Times New Roman"/>
          <w:i/>
          <w:iCs/>
          <w:sz w:val="24"/>
          <w:szCs w:val="24"/>
        </w:rPr>
        <w:t>Bridging occupational, organizational and public health</w:t>
      </w:r>
      <w:r w:rsidRPr="004519FD">
        <w:rPr>
          <w:rFonts w:ascii="Times New Roman" w:eastAsia="Times New Roman" w:hAnsi="Times New Roman" w:cs="Times New Roman"/>
          <w:sz w:val="24"/>
          <w:szCs w:val="24"/>
        </w:rPr>
        <w:t xml:space="preserve"> (pp. 43–68).</w:t>
      </w:r>
    </w:p>
    <w:p w14:paraId="2BFC3A80"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Sharma, I. (2023). Effects of occupational stress and coping strategies on job satisfaction among employees. </w:t>
      </w:r>
      <w:r w:rsidRPr="004519FD">
        <w:rPr>
          <w:rFonts w:ascii="Times New Roman" w:eastAsia="Times New Roman" w:hAnsi="Times New Roman" w:cs="Times New Roman"/>
          <w:i/>
          <w:iCs/>
          <w:sz w:val="24"/>
          <w:szCs w:val="24"/>
        </w:rPr>
        <w:t>International Journal of Indian Psychology, 11</w:t>
      </w:r>
      <w:r w:rsidRPr="004519FD">
        <w:rPr>
          <w:rFonts w:ascii="Times New Roman" w:eastAsia="Times New Roman" w:hAnsi="Times New Roman" w:cs="Times New Roman"/>
          <w:sz w:val="24"/>
          <w:szCs w:val="24"/>
        </w:rPr>
        <w:t>(1).</w:t>
      </w:r>
    </w:p>
    <w:p w14:paraId="065D03B7"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Uhl-Bien, M., Piccolo, R. F., &amp; Schermerhorn, J. R. (2023). </w:t>
      </w:r>
      <w:r w:rsidRPr="004519FD">
        <w:rPr>
          <w:rFonts w:ascii="Times New Roman" w:eastAsia="Times New Roman" w:hAnsi="Times New Roman" w:cs="Times New Roman"/>
          <w:i/>
          <w:iCs/>
          <w:sz w:val="24"/>
          <w:szCs w:val="24"/>
        </w:rPr>
        <w:t>Organizational behavior</w:t>
      </w:r>
      <w:r w:rsidRPr="004519FD">
        <w:rPr>
          <w:rFonts w:ascii="Times New Roman" w:eastAsia="Times New Roman" w:hAnsi="Times New Roman" w:cs="Times New Roman"/>
          <w:sz w:val="24"/>
          <w:szCs w:val="24"/>
        </w:rPr>
        <w:t>. John Wiley &amp; Sons.</w:t>
      </w:r>
    </w:p>
    <w:p w14:paraId="39643456"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Vetbuje, B. G., &amp; Olaleye, B. R. (2022). Relationship between emotional intelligence, emotional labour, job stress and burnout: Does coping strategy work? </w:t>
      </w:r>
      <w:r w:rsidRPr="004519FD">
        <w:rPr>
          <w:rFonts w:ascii="Times New Roman" w:eastAsia="Times New Roman" w:hAnsi="Times New Roman" w:cs="Times New Roman"/>
          <w:i/>
          <w:iCs/>
          <w:sz w:val="24"/>
          <w:szCs w:val="24"/>
        </w:rPr>
        <w:t>Journal of Intelligence Studies in Business, 12</w:t>
      </w:r>
      <w:r w:rsidRPr="004519FD">
        <w:rPr>
          <w:rFonts w:ascii="Times New Roman" w:eastAsia="Times New Roman" w:hAnsi="Times New Roman" w:cs="Times New Roman"/>
          <w:sz w:val="24"/>
          <w:szCs w:val="24"/>
        </w:rPr>
        <w:t xml:space="preserve">(1). </w:t>
      </w:r>
      <w:hyperlink r:id="rId27" w:tgtFrame="_new" w:history="1">
        <w:r w:rsidRPr="004519FD">
          <w:rPr>
            <w:rFonts w:ascii="Times New Roman" w:eastAsia="Times New Roman" w:hAnsi="Times New Roman" w:cs="Times New Roman"/>
            <w:color w:val="0000FF"/>
            <w:sz w:val="24"/>
            <w:szCs w:val="24"/>
            <w:u w:val="single"/>
          </w:rPr>
          <w:t>https://doi.org/10.37380/jisib.v12i1.912</w:t>
        </w:r>
      </w:hyperlink>
    </w:p>
    <w:p w14:paraId="54388B34"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Wang, H., Lee, S. Y., &amp; Hall, N. C. (2022). Coping profiles among teachers: Implications for emotions, job satisfaction, burnout, and quitting intentions. </w:t>
      </w:r>
      <w:r w:rsidRPr="004519FD">
        <w:rPr>
          <w:rFonts w:ascii="Times New Roman" w:eastAsia="Times New Roman" w:hAnsi="Times New Roman" w:cs="Times New Roman"/>
          <w:i/>
          <w:iCs/>
          <w:sz w:val="24"/>
          <w:szCs w:val="24"/>
        </w:rPr>
        <w:t>Contemporary Educational Psychology, 68</w:t>
      </w:r>
      <w:r w:rsidRPr="004519FD">
        <w:rPr>
          <w:rFonts w:ascii="Times New Roman" w:eastAsia="Times New Roman" w:hAnsi="Times New Roman" w:cs="Times New Roman"/>
          <w:sz w:val="24"/>
          <w:szCs w:val="24"/>
        </w:rPr>
        <w:t xml:space="preserve">, 102030. </w:t>
      </w:r>
      <w:hyperlink r:id="rId28" w:tgtFrame="_new" w:history="1">
        <w:r w:rsidRPr="004519FD">
          <w:rPr>
            <w:rFonts w:ascii="Times New Roman" w:eastAsia="Times New Roman" w:hAnsi="Times New Roman" w:cs="Times New Roman"/>
            <w:color w:val="0000FF"/>
            <w:sz w:val="24"/>
            <w:szCs w:val="24"/>
            <w:u w:val="single"/>
          </w:rPr>
          <w:t>https://doi.org/10.1016/j.cedpsych.2021.102030</w:t>
        </w:r>
      </w:hyperlink>
    </w:p>
    <w:p w14:paraId="18411A11"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Weiss, D. J., Dawis, R. V., England, G. W., &amp; Lofquist, L. H. (1967). </w:t>
      </w:r>
      <w:r w:rsidRPr="004519FD">
        <w:rPr>
          <w:rFonts w:ascii="Times New Roman" w:eastAsia="Times New Roman" w:hAnsi="Times New Roman" w:cs="Times New Roman"/>
          <w:i/>
          <w:iCs/>
          <w:sz w:val="24"/>
          <w:szCs w:val="24"/>
        </w:rPr>
        <w:t>Manual for the Minnesota Satisfaction Questionnaire</w:t>
      </w:r>
      <w:r w:rsidRPr="004519FD">
        <w:rPr>
          <w:rFonts w:ascii="Times New Roman" w:eastAsia="Times New Roman" w:hAnsi="Times New Roman" w:cs="Times New Roman"/>
          <w:sz w:val="24"/>
          <w:szCs w:val="24"/>
        </w:rPr>
        <w:t>. University of Minnesota.</w:t>
      </w:r>
    </w:p>
    <w:p w14:paraId="1491BF4B"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Woods, S., Sebastian, J., Herman, K. C., Huang, F. L., Reinke, W. M., &amp; Thompson, A. M. (2023). The relationship between teacher stress and job satisfaction </w:t>
      </w:r>
      <w:proofErr w:type="gramStart"/>
      <w:r w:rsidRPr="004519FD">
        <w:rPr>
          <w:rFonts w:ascii="Times New Roman" w:eastAsia="Times New Roman" w:hAnsi="Times New Roman" w:cs="Times New Roman"/>
          <w:sz w:val="24"/>
          <w:szCs w:val="24"/>
        </w:rPr>
        <w:t>as</w:t>
      </w:r>
      <w:proofErr w:type="gramEnd"/>
      <w:r w:rsidRPr="004519FD">
        <w:rPr>
          <w:rFonts w:ascii="Times New Roman" w:eastAsia="Times New Roman" w:hAnsi="Times New Roman" w:cs="Times New Roman"/>
          <w:sz w:val="24"/>
          <w:szCs w:val="24"/>
        </w:rPr>
        <w:t xml:space="preserve"> moderated by coping. </w:t>
      </w:r>
      <w:r w:rsidRPr="004519FD">
        <w:rPr>
          <w:rFonts w:ascii="Times New Roman" w:eastAsia="Times New Roman" w:hAnsi="Times New Roman" w:cs="Times New Roman"/>
          <w:i/>
          <w:iCs/>
          <w:sz w:val="24"/>
          <w:szCs w:val="24"/>
        </w:rPr>
        <w:t>Psychology in the Schools, 60</w:t>
      </w:r>
      <w:r w:rsidRPr="004519FD">
        <w:rPr>
          <w:rFonts w:ascii="Times New Roman" w:eastAsia="Times New Roman" w:hAnsi="Times New Roman" w:cs="Times New Roman"/>
          <w:sz w:val="24"/>
          <w:szCs w:val="24"/>
        </w:rPr>
        <w:t xml:space="preserve">(7), 2237–2256. </w:t>
      </w:r>
      <w:hyperlink r:id="rId29" w:tgtFrame="_new" w:history="1">
        <w:r w:rsidRPr="004519FD">
          <w:rPr>
            <w:rFonts w:ascii="Times New Roman" w:eastAsia="Times New Roman" w:hAnsi="Times New Roman" w:cs="Times New Roman"/>
            <w:color w:val="0000FF"/>
            <w:sz w:val="24"/>
            <w:szCs w:val="24"/>
            <w:u w:val="single"/>
          </w:rPr>
          <w:t>https://doi.org/10.1002/pits.22857</w:t>
        </w:r>
      </w:hyperlink>
    </w:p>
    <w:p w14:paraId="36644DCE"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Wu, F., Ren, Z., Wang, Q., He, M., Xiong, W., &amp; Ma, G. (2021). The relationship between job stress and job burnout: The mediating effects of perceived social support and job satisfaction. </w:t>
      </w:r>
      <w:r w:rsidRPr="004519FD">
        <w:rPr>
          <w:rFonts w:ascii="Times New Roman" w:eastAsia="Times New Roman" w:hAnsi="Times New Roman" w:cs="Times New Roman"/>
          <w:i/>
          <w:iCs/>
          <w:sz w:val="24"/>
          <w:szCs w:val="24"/>
        </w:rPr>
        <w:t>Psychology, Health &amp; Medicine, 26</w:t>
      </w:r>
      <w:r w:rsidRPr="004519FD">
        <w:rPr>
          <w:rFonts w:ascii="Times New Roman" w:eastAsia="Times New Roman" w:hAnsi="Times New Roman" w:cs="Times New Roman"/>
          <w:sz w:val="24"/>
          <w:szCs w:val="24"/>
        </w:rPr>
        <w:t xml:space="preserve">(2), 204–211. </w:t>
      </w:r>
      <w:hyperlink r:id="rId30" w:tgtFrame="_new" w:history="1">
        <w:r w:rsidRPr="004519FD">
          <w:rPr>
            <w:rFonts w:ascii="Times New Roman" w:eastAsia="Times New Roman" w:hAnsi="Times New Roman" w:cs="Times New Roman"/>
            <w:color w:val="0000FF"/>
            <w:sz w:val="24"/>
            <w:szCs w:val="24"/>
            <w:u w:val="single"/>
          </w:rPr>
          <w:t>https://doi.org/10.1080/13548506.2020.1778750</w:t>
        </w:r>
      </w:hyperlink>
    </w:p>
    <w:p w14:paraId="41099C19" w14:textId="77777777" w:rsidR="004519FD" w:rsidRPr="004519FD" w:rsidRDefault="004519FD" w:rsidP="004519FD">
      <w:pPr>
        <w:spacing w:before="100" w:beforeAutospacing="1" w:after="100" w:afterAutospacing="1" w:line="240" w:lineRule="auto"/>
        <w:ind w:left="709" w:hanging="709"/>
        <w:rPr>
          <w:rFonts w:ascii="Times New Roman" w:eastAsia="Times New Roman" w:hAnsi="Times New Roman" w:cs="Times New Roman"/>
          <w:sz w:val="24"/>
          <w:szCs w:val="24"/>
        </w:rPr>
      </w:pPr>
      <w:r w:rsidRPr="004519FD">
        <w:rPr>
          <w:rFonts w:ascii="Times New Roman" w:eastAsia="Times New Roman" w:hAnsi="Times New Roman" w:cs="Times New Roman"/>
          <w:sz w:val="24"/>
          <w:szCs w:val="24"/>
        </w:rPr>
        <w:t xml:space="preserve">Zeng, P., &amp; Hu, X. (2024). A study of the psychological mechanisms of job burnout: Implications of person–job fit and person–organization fit. </w:t>
      </w:r>
      <w:r w:rsidRPr="004519FD">
        <w:rPr>
          <w:rFonts w:ascii="Times New Roman" w:eastAsia="Times New Roman" w:hAnsi="Times New Roman" w:cs="Times New Roman"/>
          <w:i/>
          <w:iCs/>
          <w:sz w:val="24"/>
          <w:szCs w:val="24"/>
        </w:rPr>
        <w:t>Frontiers in Psychology, 15</w:t>
      </w:r>
      <w:r w:rsidRPr="004519FD">
        <w:rPr>
          <w:rFonts w:ascii="Times New Roman" w:eastAsia="Times New Roman" w:hAnsi="Times New Roman" w:cs="Times New Roman"/>
          <w:sz w:val="24"/>
          <w:szCs w:val="24"/>
        </w:rPr>
        <w:t xml:space="preserve">, Article 1351032. </w:t>
      </w:r>
      <w:hyperlink r:id="rId31" w:tgtFrame="_new" w:history="1">
        <w:r w:rsidRPr="004519FD">
          <w:rPr>
            <w:rFonts w:ascii="Times New Roman" w:eastAsia="Times New Roman" w:hAnsi="Times New Roman" w:cs="Times New Roman"/>
            <w:color w:val="0000FF"/>
            <w:sz w:val="24"/>
            <w:szCs w:val="24"/>
            <w:u w:val="single"/>
          </w:rPr>
          <w:t>https://doi.org/10.3389/fpsyg.2024.1351032</w:t>
        </w:r>
      </w:hyperlink>
    </w:p>
    <w:p w14:paraId="42B5E8B2" w14:textId="77777777" w:rsidR="004519FD" w:rsidRDefault="004519FD" w:rsidP="004519FD">
      <w:pPr>
        <w:spacing w:before="100" w:beforeAutospacing="1" w:after="100" w:afterAutospacing="1" w:line="240" w:lineRule="auto"/>
        <w:rPr>
          <w:rFonts w:ascii="Traditional Arabic" w:eastAsia="Times New Roman" w:hAnsi="Traditional Arabic" w:cs="Traditional Arabic"/>
          <w:b/>
          <w:bCs/>
          <w:sz w:val="32"/>
          <w:szCs w:val="32"/>
        </w:rPr>
      </w:pPr>
    </w:p>
    <w:sectPr w:rsidR="004519FD" w:rsidSect="00395E1F">
      <w:headerReference w:type="even" r:id="rId32"/>
      <w:headerReference w:type="default" r:id="rId33"/>
      <w:footerReference w:type="default" r:id="rId34"/>
      <w:headerReference w:type="first" r:id="rId35"/>
      <w:footerReference w:type="first" r:id="rId3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48213" w14:textId="77777777" w:rsidR="00CD612C" w:rsidRDefault="00CD612C" w:rsidP="00F628F0">
      <w:pPr>
        <w:spacing w:after="0" w:line="240" w:lineRule="auto"/>
      </w:pPr>
      <w:r>
        <w:separator/>
      </w:r>
    </w:p>
  </w:endnote>
  <w:endnote w:type="continuationSeparator" w:id="0">
    <w:p w14:paraId="7C78B5F0" w14:textId="77777777" w:rsidR="00CD612C" w:rsidRDefault="00CD612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等线 Light">
    <w:panose1 w:val="00000000000000000000"/>
    <w:charset w:val="80"/>
    <w:family w:val="roman"/>
    <w:notTrueType/>
    <w:pitch w:val="default"/>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900309"/>
      <w:docPartObj>
        <w:docPartGallery w:val="Page Numbers (Bottom of Page)"/>
        <w:docPartUnique/>
      </w:docPartObj>
    </w:sdtPr>
    <w:sdtEndPr>
      <w:rPr>
        <w:noProof/>
      </w:rPr>
    </w:sdtEndPr>
    <w:sdtContent>
      <w:p w14:paraId="56A96920" w14:textId="77777777" w:rsidR="004F4902" w:rsidRDefault="004F4902">
        <w:pPr>
          <w:pStyle w:val="a5"/>
          <w:jc w:val="center"/>
        </w:pPr>
        <w:r>
          <w:fldChar w:fldCharType="begin"/>
        </w:r>
        <w:r>
          <w:instrText xml:space="preserve"> PAGE   \* MERGEFORMAT </w:instrText>
        </w:r>
        <w:r>
          <w:fldChar w:fldCharType="separate"/>
        </w:r>
        <w:r w:rsidR="009C699E">
          <w:rPr>
            <w:noProof/>
          </w:rPr>
          <w:t>2</w:t>
        </w:r>
        <w:r>
          <w:rPr>
            <w:noProof/>
          </w:rPr>
          <w:fldChar w:fldCharType="end"/>
        </w:r>
      </w:p>
    </w:sdtContent>
  </w:sdt>
  <w:p w14:paraId="3C32CE70" w14:textId="77777777" w:rsidR="004F4902" w:rsidRDefault="004F490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4638157"/>
      <w:docPartObj>
        <w:docPartGallery w:val="Page Numbers (Bottom of Page)"/>
        <w:docPartUnique/>
      </w:docPartObj>
    </w:sdtPr>
    <w:sdtEndPr>
      <w:rPr>
        <w:noProof/>
      </w:rPr>
    </w:sdtEndPr>
    <w:sdtContent>
      <w:p w14:paraId="4F8C4B83" w14:textId="77777777" w:rsidR="004F4902" w:rsidRDefault="004F4902">
        <w:pPr>
          <w:pStyle w:val="a5"/>
          <w:jc w:val="center"/>
        </w:pPr>
        <w:r>
          <w:fldChar w:fldCharType="begin"/>
        </w:r>
        <w:r>
          <w:instrText xml:space="preserve"> PAGE   \* MERGEFORMAT </w:instrText>
        </w:r>
        <w:r>
          <w:fldChar w:fldCharType="separate"/>
        </w:r>
        <w:r w:rsidR="009C699E">
          <w:rPr>
            <w:noProof/>
          </w:rPr>
          <w:t>1</w:t>
        </w:r>
        <w:r>
          <w:rPr>
            <w:noProof/>
          </w:rPr>
          <w:fldChar w:fldCharType="end"/>
        </w:r>
      </w:p>
    </w:sdtContent>
  </w:sdt>
  <w:p w14:paraId="5439C2AC" w14:textId="77777777" w:rsidR="004F4902" w:rsidRDefault="004F4902">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4F4902" w:rsidRDefault="004F4902">
        <w:pPr>
          <w:pStyle w:val="a5"/>
          <w:jc w:val="center"/>
        </w:pPr>
        <w:r>
          <w:fldChar w:fldCharType="begin"/>
        </w:r>
        <w:r>
          <w:instrText xml:space="preserve"> PAGE   \* MERGEFORMAT </w:instrText>
        </w:r>
        <w:r>
          <w:fldChar w:fldCharType="separate"/>
        </w:r>
        <w:r w:rsidR="004519FD">
          <w:rPr>
            <w:noProof/>
          </w:rPr>
          <w:t>70</w:t>
        </w:r>
        <w:r>
          <w:rPr>
            <w:noProof/>
          </w:rPr>
          <w:fldChar w:fldCharType="end"/>
        </w:r>
      </w:p>
    </w:sdtContent>
  </w:sdt>
  <w:p w14:paraId="3B85871D" w14:textId="77777777" w:rsidR="004F4902" w:rsidRDefault="004F4902">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9BD255F" w:rsidR="004F4902" w:rsidRPr="00883E09" w:rsidRDefault="004F4902" w:rsidP="008074A2">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7D97F" w14:textId="77777777" w:rsidR="00CD612C" w:rsidRDefault="00CD612C" w:rsidP="00F628F0">
      <w:pPr>
        <w:spacing w:after="0" w:line="240" w:lineRule="auto"/>
      </w:pPr>
      <w:r>
        <w:separator/>
      </w:r>
    </w:p>
  </w:footnote>
  <w:footnote w:type="continuationSeparator" w:id="0">
    <w:p w14:paraId="6535E2D0" w14:textId="77777777" w:rsidR="00CD612C" w:rsidRDefault="00CD612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4F4902"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4F4902"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4F4902"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35187"/>
    <w:multiLevelType w:val="multilevel"/>
    <w:tmpl w:val="F7C26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73E38"/>
    <w:multiLevelType w:val="hybridMultilevel"/>
    <w:tmpl w:val="7A129D9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E155ECC"/>
    <w:multiLevelType w:val="multilevel"/>
    <w:tmpl w:val="58AE89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783194"/>
    <w:multiLevelType w:val="multilevel"/>
    <w:tmpl w:val="92C637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F94F35"/>
    <w:multiLevelType w:val="hybridMultilevel"/>
    <w:tmpl w:val="A9B2A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D45C38"/>
    <w:multiLevelType w:val="hybridMultilevel"/>
    <w:tmpl w:val="FA38C1E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FBF22D0"/>
    <w:multiLevelType w:val="hybridMultilevel"/>
    <w:tmpl w:val="10AAA4F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247DD4"/>
    <w:multiLevelType w:val="hybridMultilevel"/>
    <w:tmpl w:val="1610DED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2D7107D3"/>
    <w:multiLevelType w:val="hybridMultilevel"/>
    <w:tmpl w:val="ADC031E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37131083"/>
    <w:multiLevelType w:val="hybridMultilevel"/>
    <w:tmpl w:val="8ECC9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5E05A6"/>
    <w:multiLevelType w:val="multilevel"/>
    <w:tmpl w:val="58AE89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7C6339"/>
    <w:multiLevelType w:val="multilevel"/>
    <w:tmpl w:val="81B0A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0B68F7"/>
    <w:multiLevelType w:val="hybridMultilevel"/>
    <w:tmpl w:val="4C0CD81A"/>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FF07278"/>
    <w:multiLevelType w:val="multilevel"/>
    <w:tmpl w:val="64A81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CA0F76"/>
    <w:multiLevelType w:val="multilevel"/>
    <w:tmpl w:val="B1940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08617A"/>
    <w:multiLevelType w:val="multilevel"/>
    <w:tmpl w:val="84145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8431F1D"/>
    <w:multiLevelType w:val="hybridMultilevel"/>
    <w:tmpl w:val="A57887F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725C1576"/>
    <w:multiLevelType w:val="hybridMultilevel"/>
    <w:tmpl w:val="F6C22A86"/>
    <w:lvl w:ilvl="0" w:tplc="E6F6F0EA">
      <w:numFmt w:val="bullet"/>
      <w:lvlText w:val="-"/>
      <w:lvlJc w:val="left"/>
      <w:pPr>
        <w:ind w:left="720" w:hanging="360"/>
      </w:pPr>
      <w:rPr>
        <w:rFonts w:ascii="Traditional Arabic" w:eastAsiaTheme="minorHAns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C934C8"/>
    <w:multiLevelType w:val="multilevel"/>
    <w:tmpl w:val="4822A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8683528">
    <w:abstractNumId w:val="13"/>
  </w:num>
  <w:num w:numId="2" w16cid:durableId="2021396541">
    <w:abstractNumId w:val="15"/>
  </w:num>
  <w:num w:numId="3" w16cid:durableId="945307914">
    <w:abstractNumId w:val="4"/>
  </w:num>
  <w:num w:numId="4" w16cid:durableId="1484002083">
    <w:abstractNumId w:val="11"/>
  </w:num>
  <w:num w:numId="5" w16cid:durableId="727530926">
    <w:abstractNumId w:val="12"/>
  </w:num>
  <w:num w:numId="6" w16cid:durableId="1296330834">
    <w:abstractNumId w:val="14"/>
  </w:num>
  <w:num w:numId="7" w16cid:durableId="28654649">
    <w:abstractNumId w:val="17"/>
  </w:num>
  <w:num w:numId="8" w16cid:durableId="247034878">
    <w:abstractNumId w:val="10"/>
  </w:num>
  <w:num w:numId="9" w16cid:durableId="589897723">
    <w:abstractNumId w:val="2"/>
  </w:num>
  <w:num w:numId="10" w16cid:durableId="363677511">
    <w:abstractNumId w:val="5"/>
  </w:num>
  <w:num w:numId="11" w16cid:durableId="1592884454">
    <w:abstractNumId w:val="18"/>
  </w:num>
  <w:num w:numId="12" w16cid:durableId="698164099">
    <w:abstractNumId w:val="3"/>
  </w:num>
  <w:num w:numId="13" w16cid:durableId="981614355">
    <w:abstractNumId w:val="16"/>
  </w:num>
  <w:num w:numId="14" w16cid:durableId="1323970017">
    <w:abstractNumId w:val="1"/>
  </w:num>
  <w:num w:numId="15" w16cid:durableId="726032714">
    <w:abstractNumId w:val="8"/>
  </w:num>
  <w:num w:numId="16" w16cid:durableId="1872457640">
    <w:abstractNumId w:val="7"/>
  </w:num>
  <w:num w:numId="17" w16cid:durableId="184759679">
    <w:abstractNumId w:val="6"/>
  </w:num>
  <w:num w:numId="18" w16cid:durableId="1414473554">
    <w:abstractNumId w:val="9"/>
  </w:num>
  <w:num w:numId="19" w16cid:durableId="871303358">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346"/>
    <w:rsid w:val="00013268"/>
    <w:rsid w:val="00015F0D"/>
    <w:rsid w:val="00017805"/>
    <w:rsid w:val="00027A34"/>
    <w:rsid w:val="000300F1"/>
    <w:rsid w:val="000322E7"/>
    <w:rsid w:val="00044CFD"/>
    <w:rsid w:val="00047426"/>
    <w:rsid w:val="00061A09"/>
    <w:rsid w:val="0006323A"/>
    <w:rsid w:val="000755B1"/>
    <w:rsid w:val="00080FC2"/>
    <w:rsid w:val="000845C4"/>
    <w:rsid w:val="000860A2"/>
    <w:rsid w:val="00087E4F"/>
    <w:rsid w:val="00090A9C"/>
    <w:rsid w:val="00092C24"/>
    <w:rsid w:val="000940A0"/>
    <w:rsid w:val="000A06CE"/>
    <w:rsid w:val="000A19D5"/>
    <w:rsid w:val="000A1A70"/>
    <w:rsid w:val="000A1D3E"/>
    <w:rsid w:val="000A1E46"/>
    <w:rsid w:val="000A310D"/>
    <w:rsid w:val="000A49ED"/>
    <w:rsid w:val="000A749C"/>
    <w:rsid w:val="000B0B32"/>
    <w:rsid w:val="000B1091"/>
    <w:rsid w:val="000B5D4F"/>
    <w:rsid w:val="000B706D"/>
    <w:rsid w:val="000D0869"/>
    <w:rsid w:val="000D362A"/>
    <w:rsid w:val="000D3EAE"/>
    <w:rsid w:val="000D5131"/>
    <w:rsid w:val="000E23AB"/>
    <w:rsid w:val="000E5AFD"/>
    <w:rsid w:val="000E6887"/>
    <w:rsid w:val="000E68B6"/>
    <w:rsid w:val="000F0A0D"/>
    <w:rsid w:val="000F1A5E"/>
    <w:rsid w:val="000F64AD"/>
    <w:rsid w:val="000F7F04"/>
    <w:rsid w:val="00101BCB"/>
    <w:rsid w:val="00105CF7"/>
    <w:rsid w:val="00110665"/>
    <w:rsid w:val="0011126E"/>
    <w:rsid w:val="00116AE4"/>
    <w:rsid w:val="0011764A"/>
    <w:rsid w:val="001176C6"/>
    <w:rsid w:val="00117CA1"/>
    <w:rsid w:val="0012270F"/>
    <w:rsid w:val="00127ACE"/>
    <w:rsid w:val="00130CEE"/>
    <w:rsid w:val="00152104"/>
    <w:rsid w:val="001603EF"/>
    <w:rsid w:val="00161634"/>
    <w:rsid w:val="001618EF"/>
    <w:rsid w:val="001624C4"/>
    <w:rsid w:val="001654CD"/>
    <w:rsid w:val="00175B5C"/>
    <w:rsid w:val="001762F4"/>
    <w:rsid w:val="00180799"/>
    <w:rsid w:val="00180A9B"/>
    <w:rsid w:val="00185F71"/>
    <w:rsid w:val="00194963"/>
    <w:rsid w:val="00195226"/>
    <w:rsid w:val="001A1DAF"/>
    <w:rsid w:val="001A2F3B"/>
    <w:rsid w:val="001A5804"/>
    <w:rsid w:val="001A680C"/>
    <w:rsid w:val="001B4876"/>
    <w:rsid w:val="001C01BE"/>
    <w:rsid w:val="001C3DA0"/>
    <w:rsid w:val="001C426A"/>
    <w:rsid w:val="001C7DB2"/>
    <w:rsid w:val="001D47AD"/>
    <w:rsid w:val="001D5B54"/>
    <w:rsid w:val="001D6C2D"/>
    <w:rsid w:val="001E252D"/>
    <w:rsid w:val="001E32DF"/>
    <w:rsid w:val="001E3406"/>
    <w:rsid w:val="001E34FC"/>
    <w:rsid w:val="0020239B"/>
    <w:rsid w:val="0020372B"/>
    <w:rsid w:val="002134AC"/>
    <w:rsid w:val="0022051E"/>
    <w:rsid w:val="00221600"/>
    <w:rsid w:val="00222468"/>
    <w:rsid w:val="00223498"/>
    <w:rsid w:val="00224D08"/>
    <w:rsid w:val="002267E3"/>
    <w:rsid w:val="00231AB1"/>
    <w:rsid w:val="00232A16"/>
    <w:rsid w:val="0024045F"/>
    <w:rsid w:val="00250CC6"/>
    <w:rsid w:val="00251580"/>
    <w:rsid w:val="002517C5"/>
    <w:rsid w:val="00257F01"/>
    <w:rsid w:val="002616CF"/>
    <w:rsid w:val="00263733"/>
    <w:rsid w:val="00263F0A"/>
    <w:rsid w:val="00264677"/>
    <w:rsid w:val="00265C31"/>
    <w:rsid w:val="002668FE"/>
    <w:rsid w:val="0027069A"/>
    <w:rsid w:val="00274C5B"/>
    <w:rsid w:val="00281201"/>
    <w:rsid w:val="0028680C"/>
    <w:rsid w:val="00293639"/>
    <w:rsid w:val="0029601B"/>
    <w:rsid w:val="002A113E"/>
    <w:rsid w:val="002A257A"/>
    <w:rsid w:val="002B5C49"/>
    <w:rsid w:val="002B6766"/>
    <w:rsid w:val="002C2285"/>
    <w:rsid w:val="002C5A84"/>
    <w:rsid w:val="002C76FF"/>
    <w:rsid w:val="002D019D"/>
    <w:rsid w:val="002D3349"/>
    <w:rsid w:val="002D638C"/>
    <w:rsid w:val="002D68BB"/>
    <w:rsid w:val="002E03CF"/>
    <w:rsid w:val="002F0EEA"/>
    <w:rsid w:val="002F20A7"/>
    <w:rsid w:val="002F20B5"/>
    <w:rsid w:val="002F3FD3"/>
    <w:rsid w:val="00315D3C"/>
    <w:rsid w:val="00316776"/>
    <w:rsid w:val="00321775"/>
    <w:rsid w:val="003223F2"/>
    <w:rsid w:val="00322A0D"/>
    <w:rsid w:val="00322CDE"/>
    <w:rsid w:val="003235C8"/>
    <w:rsid w:val="003317DE"/>
    <w:rsid w:val="00333FF1"/>
    <w:rsid w:val="00334002"/>
    <w:rsid w:val="00343773"/>
    <w:rsid w:val="00356156"/>
    <w:rsid w:val="0035679C"/>
    <w:rsid w:val="00360A3F"/>
    <w:rsid w:val="00364C07"/>
    <w:rsid w:val="00377CB0"/>
    <w:rsid w:val="00381E67"/>
    <w:rsid w:val="003821F2"/>
    <w:rsid w:val="003871AB"/>
    <w:rsid w:val="00395E1F"/>
    <w:rsid w:val="00396F46"/>
    <w:rsid w:val="00397058"/>
    <w:rsid w:val="003A09BA"/>
    <w:rsid w:val="003A4334"/>
    <w:rsid w:val="003A66D3"/>
    <w:rsid w:val="003B0F00"/>
    <w:rsid w:val="003B1418"/>
    <w:rsid w:val="003B6969"/>
    <w:rsid w:val="003C05E1"/>
    <w:rsid w:val="003C0E8C"/>
    <w:rsid w:val="003C1A1B"/>
    <w:rsid w:val="003D3563"/>
    <w:rsid w:val="003D4B33"/>
    <w:rsid w:val="003D5F89"/>
    <w:rsid w:val="003D7E7F"/>
    <w:rsid w:val="003E1E60"/>
    <w:rsid w:val="003F4C64"/>
    <w:rsid w:val="003F6189"/>
    <w:rsid w:val="003F69BC"/>
    <w:rsid w:val="0040510D"/>
    <w:rsid w:val="00413BBE"/>
    <w:rsid w:val="00416CC9"/>
    <w:rsid w:val="0042549A"/>
    <w:rsid w:val="00426D93"/>
    <w:rsid w:val="00430A78"/>
    <w:rsid w:val="0043449E"/>
    <w:rsid w:val="00436873"/>
    <w:rsid w:val="00436B59"/>
    <w:rsid w:val="004413CD"/>
    <w:rsid w:val="0044258D"/>
    <w:rsid w:val="00443A60"/>
    <w:rsid w:val="00444B1D"/>
    <w:rsid w:val="00444B3C"/>
    <w:rsid w:val="0044788D"/>
    <w:rsid w:val="00447BBB"/>
    <w:rsid w:val="0045129A"/>
    <w:rsid w:val="004519FD"/>
    <w:rsid w:val="00454375"/>
    <w:rsid w:val="00456C07"/>
    <w:rsid w:val="00466097"/>
    <w:rsid w:val="004664EA"/>
    <w:rsid w:val="00473518"/>
    <w:rsid w:val="00473F99"/>
    <w:rsid w:val="00476433"/>
    <w:rsid w:val="00485BD0"/>
    <w:rsid w:val="00486B51"/>
    <w:rsid w:val="00487152"/>
    <w:rsid w:val="00487F47"/>
    <w:rsid w:val="00492C0D"/>
    <w:rsid w:val="00492E40"/>
    <w:rsid w:val="004968FC"/>
    <w:rsid w:val="004A10BC"/>
    <w:rsid w:val="004A56B5"/>
    <w:rsid w:val="004A5E36"/>
    <w:rsid w:val="004B484B"/>
    <w:rsid w:val="004B78C6"/>
    <w:rsid w:val="004C1CC5"/>
    <w:rsid w:val="004C7B52"/>
    <w:rsid w:val="004D075E"/>
    <w:rsid w:val="004D2A39"/>
    <w:rsid w:val="004D6DB2"/>
    <w:rsid w:val="004D7783"/>
    <w:rsid w:val="004D7F28"/>
    <w:rsid w:val="004E01F6"/>
    <w:rsid w:val="004E1E36"/>
    <w:rsid w:val="004E7B8F"/>
    <w:rsid w:val="004F1607"/>
    <w:rsid w:val="004F1964"/>
    <w:rsid w:val="004F1CF1"/>
    <w:rsid w:val="004F4902"/>
    <w:rsid w:val="004F5FFB"/>
    <w:rsid w:val="0050023D"/>
    <w:rsid w:val="0050451B"/>
    <w:rsid w:val="005144E3"/>
    <w:rsid w:val="00515088"/>
    <w:rsid w:val="0052019E"/>
    <w:rsid w:val="0052698D"/>
    <w:rsid w:val="0053336F"/>
    <w:rsid w:val="00533AA9"/>
    <w:rsid w:val="00535ED5"/>
    <w:rsid w:val="0053681E"/>
    <w:rsid w:val="005409F5"/>
    <w:rsid w:val="005433BE"/>
    <w:rsid w:val="00545742"/>
    <w:rsid w:val="00546BB3"/>
    <w:rsid w:val="005532E5"/>
    <w:rsid w:val="00553DC2"/>
    <w:rsid w:val="00560CC1"/>
    <w:rsid w:val="005705D0"/>
    <w:rsid w:val="00583F86"/>
    <w:rsid w:val="0058667A"/>
    <w:rsid w:val="00590D1E"/>
    <w:rsid w:val="005913E9"/>
    <w:rsid w:val="0059243E"/>
    <w:rsid w:val="00595574"/>
    <w:rsid w:val="00597208"/>
    <w:rsid w:val="005A0EE4"/>
    <w:rsid w:val="005A19AA"/>
    <w:rsid w:val="005A3266"/>
    <w:rsid w:val="005A3959"/>
    <w:rsid w:val="005A3D7A"/>
    <w:rsid w:val="005A4F66"/>
    <w:rsid w:val="005A76D0"/>
    <w:rsid w:val="005A7EB2"/>
    <w:rsid w:val="005B16AE"/>
    <w:rsid w:val="005B2114"/>
    <w:rsid w:val="005B25B6"/>
    <w:rsid w:val="005B2E32"/>
    <w:rsid w:val="005B5936"/>
    <w:rsid w:val="005B65AE"/>
    <w:rsid w:val="005C3DA2"/>
    <w:rsid w:val="005D08DB"/>
    <w:rsid w:val="005D1768"/>
    <w:rsid w:val="005D2492"/>
    <w:rsid w:val="005E1B3A"/>
    <w:rsid w:val="005E1B7D"/>
    <w:rsid w:val="005E24FB"/>
    <w:rsid w:val="005E50EC"/>
    <w:rsid w:val="005F2661"/>
    <w:rsid w:val="005F5AF5"/>
    <w:rsid w:val="0060105E"/>
    <w:rsid w:val="0061026F"/>
    <w:rsid w:val="0061261C"/>
    <w:rsid w:val="00623B25"/>
    <w:rsid w:val="0062589E"/>
    <w:rsid w:val="00625A3C"/>
    <w:rsid w:val="00633F98"/>
    <w:rsid w:val="00634932"/>
    <w:rsid w:val="006447D8"/>
    <w:rsid w:val="00644F28"/>
    <w:rsid w:val="00646785"/>
    <w:rsid w:val="0065187E"/>
    <w:rsid w:val="00651BBB"/>
    <w:rsid w:val="00655684"/>
    <w:rsid w:val="00661A1D"/>
    <w:rsid w:val="00667BBF"/>
    <w:rsid w:val="006731F3"/>
    <w:rsid w:val="00676B85"/>
    <w:rsid w:val="006849A3"/>
    <w:rsid w:val="00685EA7"/>
    <w:rsid w:val="00687F77"/>
    <w:rsid w:val="00693FBE"/>
    <w:rsid w:val="006A16C7"/>
    <w:rsid w:val="006A233C"/>
    <w:rsid w:val="006A7DC3"/>
    <w:rsid w:val="006B1075"/>
    <w:rsid w:val="006B242A"/>
    <w:rsid w:val="006B366F"/>
    <w:rsid w:val="006B51C2"/>
    <w:rsid w:val="006C10F3"/>
    <w:rsid w:val="006C2E76"/>
    <w:rsid w:val="006C54C9"/>
    <w:rsid w:val="006C5B8A"/>
    <w:rsid w:val="006C635A"/>
    <w:rsid w:val="006C66D0"/>
    <w:rsid w:val="006C79DB"/>
    <w:rsid w:val="006E413B"/>
    <w:rsid w:val="006E6670"/>
    <w:rsid w:val="006E78B0"/>
    <w:rsid w:val="006F08C1"/>
    <w:rsid w:val="006F1837"/>
    <w:rsid w:val="006F3CD1"/>
    <w:rsid w:val="006F6E84"/>
    <w:rsid w:val="006F7671"/>
    <w:rsid w:val="0070272D"/>
    <w:rsid w:val="00703A9A"/>
    <w:rsid w:val="00704C25"/>
    <w:rsid w:val="00705F1D"/>
    <w:rsid w:val="00706AC7"/>
    <w:rsid w:val="00711248"/>
    <w:rsid w:val="00713217"/>
    <w:rsid w:val="00720A9E"/>
    <w:rsid w:val="007218B1"/>
    <w:rsid w:val="007239AC"/>
    <w:rsid w:val="00723E95"/>
    <w:rsid w:val="00733953"/>
    <w:rsid w:val="00736364"/>
    <w:rsid w:val="0073642B"/>
    <w:rsid w:val="00740AB1"/>
    <w:rsid w:val="00746B5D"/>
    <w:rsid w:val="007507AF"/>
    <w:rsid w:val="00750F2F"/>
    <w:rsid w:val="00754496"/>
    <w:rsid w:val="0076684E"/>
    <w:rsid w:val="00766A58"/>
    <w:rsid w:val="007764F4"/>
    <w:rsid w:val="007765DA"/>
    <w:rsid w:val="00776AB8"/>
    <w:rsid w:val="00781550"/>
    <w:rsid w:val="007822A3"/>
    <w:rsid w:val="00787DB8"/>
    <w:rsid w:val="00790119"/>
    <w:rsid w:val="00792606"/>
    <w:rsid w:val="00793616"/>
    <w:rsid w:val="007969DC"/>
    <w:rsid w:val="00797AF9"/>
    <w:rsid w:val="007A1193"/>
    <w:rsid w:val="007A31DC"/>
    <w:rsid w:val="007A4629"/>
    <w:rsid w:val="007B29E4"/>
    <w:rsid w:val="007B3A5C"/>
    <w:rsid w:val="007C10DB"/>
    <w:rsid w:val="007C1F01"/>
    <w:rsid w:val="007C428F"/>
    <w:rsid w:val="007D0B0F"/>
    <w:rsid w:val="007D39B9"/>
    <w:rsid w:val="007D5015"/>
    <w:rsid w:val="007D7D94"/>
    <w:rsid w:val="007E3985"/>
    <w:rsid w:val="007E5773"/>
    <w:rsid w:val="007F4090"/>
    <w:rsid w:val="007F4183"/>
    <w:rsid w:val="0080063F"/>
    <w:rsid w:val="008022F1"/>
    <w:rsid w:val="00802EEF"/>
    <w:rsid w:val="008074A2"/>
    <w:rsid w:val="008108DD"/>
    <w:rsid w:val="00810AE7"/>
    <w:rsid w:val="00815D5A"/>
    <w:rsid w:val="008173B3"/>
    <w:rsid w:val="00817C7F"/>
    <w:rsid w:val="00817E2A"/>
    <w:rsid w:val="00831B04"/>
    <w:rsid w:val="00840269"/>
    <w:rsid w:val="00846A41"/>
    <w:rsid w:val="00854E14"/>
    <w:rsid w:val="0086333D"/>
    <w:rsid w:val="00864758"/>
    <w:rsid w:val="00864B2B"/>
    <w:rsid w:val="008806D9"/>
    <w:rsid w:val="0088301D"/>
    <w:rsid w:val="00883E09"/>
    <w:rsid w:val="00884C42"/>
    <w:rsid w:val="008856AB"/>
    <w:rsid w:val="00886510"/>
    <w:rsid w:val="00894F92"/>
    <w:rsid w:val="00895F57"/>
    <w:rsid w:val="008A01EC"/>
    <w:rsid w:val="008A09DC"/>
    <w:rsid w:val="008A2025"/>
    <w:rsid w:val="008A3C31"/>
    <w:rsid w:val="008A5676"/>
    <w:rsid w:val="008A69EA"/>
    <w:rsid w:val="008A7D25"/>
    <w:rsid w:val="008B0F36"/>
    <w:rsid w:val="008B563E"/>
    <w:rsid w:val="008B5953"/>
    <w:rsid w:val="008B5CA5"/>
    <w:rsid w:val="008C140C"/>
    <w:rsid w:val="008C2AA8"/>
    <w:rsid w:val="008C6138"/>
    <w:rsid w:val="008D1B67"/>
    <w:rsid w:val="008D1C47"/>
    <w:rsid w:val="008D333E"/>
    <w:rsid w:val="008D5F2C"/>
    <w:rsid w:val="008E18C4"/>
    <w:rsid w:val="008E1DF8"/>
    <w:rsid w:val="008E3A29"/>
    <w:rsid w:val="008E7947"/>
    <w:rsid w:val="008F48D0"/>
    <w:rsid w:val="0090102E"/>
    <w:rsid w:val="00911D75"/>
    <w:rsid w:val="0091315E"/>
    <w:rsid w:val="009139AE"/>
    <w:rsid w:val="0091579E"/>
    <w:rsid w:val="00916122"/>
    <w:rsid w:val="00917C97"/>
    <w:rsid w:val="00920354"/>
    <w:rsid w:val="00922314"/>
    <w:rsid w:val="00930A75"/>
    <w:rsid w:val="009352FB"/>
    <w:rsid w:val="0093756B"/>
    <w:rsid w:val="00937A35"/>
    <w:rsid w:val="009400C2"/>
    <w:rsid w:val="0094367F"/>
    <w:rsid w:val="009462FA"/>
    <w:rsid w:val="009505DD"/>
    <w:rsid w:val="00954973"/>
    <w:rsid w:val="00955905"/>
    <w:rsid w:val="00955E14"/>
    <w:rsid w:val="00956806"/>
    <w:rsid w:val="00962E14"/>
    <w:rsid w:val="00963D02"/>
    <w:rsid w:val="00964790"/>
    <w:rsid w:val="0096761A"/>
    <w:rsid w:val="009705B3"/>
    <w:rsid w:val="00971016"/>
    <w:rsid w:val="0098132D"/>
    <w:rsid w:val="009813A6"/>
    <w:rsid w:val="00983AC0"/>
    <w:rsid w:val="00986693"/>
    <w:rsid w:val="009A1384"/>
    <w:rsid w:val="009B595E"/>
    <w:rsid w:val="009B7B1F"/>
    <w:rsid w:val="009B7DC9"/>
    <w:rsid w:val="009C2244"/>
    <w:rsid w:val="009C3C7B"/>
    <w:rsid w:val="009C3CD5"/>
    <w:rsid w:val="009C699E"/>
    <w:rsid w:val="009D1D31"/>
    <w:rsid w:val="009D3949"/>
    <w:rsid w:val="009D5B9E"/>
    <w:rsid w:val="009E023E"/>
    <w:rsid w:val="009E0A58"/>
    <w:rsid w:val="009E0EB7"/>
    <w:rsid w:val="009E12D0"/>
    <w:rsid w:val="009E40F2"/>
    <w:rsid w:val="009E4604"/>
    <w:rsid w:val="009F1183"/>
    <w:rsid w:val="009F1514"/>
    <w:rsid w:val="009F2F7B"/>
    <w:rsid w:val="009F44B4"/>
    <w:rsid w:val="009F589F"/>
    <w:rsid w:val="009F7119"/>
    <w:rsid w:val="00A00401"/>
    <w:rsid w:val="00A043DE"/>
    <w:rsid w:val="00A05BAE"/>
    <w:rsid w:val="00A07F9B"/>
    <w:rsid w:val="00A111F7"/>
    <w:rsid w:val="00A11618"/>
    <w:rsid w:val="00A14CF4"/>
    <w:rsid w:val="00A150CE"/>
    <w:rsid w:val="00A1570C"/>
    <w:rsid w:val="00A15C4F"/>
    <w:rsid w:val="00A16E60"/>
    <w:rsid w:val="00A22639"/>
    <w:rsid w:val="00A22FE8"/>
    <w:rsid w:val="00A23560"/>
    <w:rsid w:val="00A2724A"/>
    <w:rsid w:val="00A37539"/>
    <w:rsid w:val="00A40B4C"/>
    <w:rsid w:val="00A51842"/>
    <w:rsid w:val="00A60347"/>
    <w:rsid w:val="00A62487"/>
    <w:rsid w:val="00A63AF0"/>
    <w:rsid w:val="00A67E70"/>
    <w:rsid w:val="00A70534"/>
    <w:rsid w:val="00A73A46"/>
    <w:rsid w:val="00A74A2B"/>
    <w:rsid w:val="00A7525C"/>
    <w:rsid w:val="00A75511"/>
    <w:rsid w:val="00A77B25"/>
    <w:rsid w:val="00A83153"/>
    <w:rsid w:val="00A86BA9"/>
    <w:rsid w:val="00A8785A"/>
    <w:rsid w:val="00A90432"/>
    <w:rsid w:val="00A92BD3"/>
    <w:rsid w:val="00AA690F"/>
    <w:rsid w:val="00AB01F6"/>
    <w:rsid w:val="00AB0DB7"/>
    <w:rsid w:val="00AB0E27"/>
    <w:rsid w:val="00AB632A"/>
    <w:rsid w:val="00AC0B1A"/>
    <w:rsid w:val="00AC24D4"/>
    <w:rsid w:val="00AC28E3"/>
    <w:rsid w:val="00AC46F5"/>
    <w:rsid w:val="00AC4F32"/>
    <w:rsid w:val="00AD101F"/>
    <w:rsid w:val="00AD191A"/>
    <w:rsid w:val="00AD5DDB"/>
    <w:rsid w:val="00AD721B"/>
    <w:rsid w:val="00AD783C"/>
    <w:rsid w:val="00AE3A7F"/>
    <w:rsid w:val="00AE6B9C"/>
    <w:rsid w:val="00AF0B1F"/>
    <w:rsid w:val="00AF62C2"/>
    <w:rsid w:val="00AF65B5"/>
    <w:rsid w:val="00AF72FB"/>
    <w:rsid w:val="00B00D76"/>
    <w:rsid w:val="00B035A4"/>
    <w:rsid w:val="00B03D10"/>
    <w:rsid w:val="00B04BB8"/>
    <w:rsid w:val="00B05FDA"/>
    <w:rsid w:val="00B13ACD"/>
    <w:rsid w:val="00B146C0"/>
    <w:rsid w:val="00B220D0"/>
    <w:rsid w:val="00B32E4E"/>
    <w:rsid w:val="00B404C9"/>
    <w:rsid w:val="00B43F32"/>
    <w:rsid w:val="00B443F1"/>
    <w:rsid w:val="00B4456F"/>
    <w:rsid w:val="00B57877"/>
    <w:rsid w:val="00B61F61"/>
    <w:rsid w:val="00B62BCE"/>
    <w:rsid w:val="00B63BBC"/>
    <w:rsid w:val="00B76A26"/>
    <w:rsid w:val="00B802A8"/>
    <w:rsid w:val="00B80C26"/>
    <w:rsid w:val="00B90CF8"/>
    <w:rsid w:val="00B91986"/>
    <w:rsid w:val="00B91EF8"/>
    <w:rsid w:val="00B9671C"/>
    <w:rsid w:val="00B96E4F"/>
    <w:rsid w:val="00BA28F5"/>
    <w:rsid w:val="00BA3A7D"/>
    <w:rsid w:val="00BA688E"/>
    <w:rsid w:val="00BB3408"/>
    <w:rsid w:val="00BB4052"/>
    <w:rsid w:val="00BB46BB"/>
    <w:rsid w:val="00BB5DCC"/>
    <w:rsid w:val="00BB7396"/>
    <w:rsid w:val="00BC002D"/>
    <w:rsid w:val="00BC7341"/>
    <w:rsid w:val="00BC78DA"/>
    <w:rsid w:val="00BD17E4"/>
    <w:rsid w:val="00BD4333"/>
    <w:rsid w:val="00BE07E2"/>
    <w:rsid w:val="00BE2447"/>
    <w:rsid w:val="00BE2AD6"/>
    <w:rsid w:val="00BE609B"/>
    <w:rsid w:val="00BF00BC"/>
    <w:rsid w:val="00BF10E4"/>
    <w:rsid w:val="00BF20DB"/>
    <w:rsid w:val="00BF2A76"/>
    <w:rsid w:val="00BF4225"/>
    <w:rsid w:val="00BF5F38"/>
    <w:rsid w:val="00C01408"/>
    <w:rsid w:val="00C11026"/>
    <w:rsid w:val="00C1168C"/>
    <w:rsid w:val="00C1324B"/>
    <w:rsid w:val="00C144E4"/>
    <w:rsid w:val="00C2122A"/>
    <w:rsid w:val="00C2376A"/>
    <w:rsid w:val="00C339B3"/>
    <w:rsid w:val="00C34D41"/>
    <w:rsid w:val="00C35EB8"/>
    <w:rsid w:val="00C35FAB"/>
    <w:rsid w:val="00C41CBC"/>
    <w:rsid w:val="00C42D54"/>
    <w:rsid w:val="00C44E75"/>
    <w:rsid w:val="00C45804"/>
    <w:rsid w:val="00C472D8"/>
    <w:rsid w:val="00C476E1"/>
    <w:rsid w:val="00C56B6D"/>
    <w:rsid w:val="00C57504"/>
    <w:rsid w:val="00C61182"/>
    <w:rsid w:val="00C62DC1"/>
    <w:rsid w:val="00C70BF8"/>
    <w:rsid w:val="00C74AAF"/>
    <w:rsid w:val="00C76706"/>
    <w:rsid w:val="00C845B4"/>
    <w:rsid w:val="00C87AB5"/>
    <w:rsid w:val="00C923DD"/>
    <w:rsid w:val="00C93ED6"/>
    <w:rsid w:val="00C93FA9"/>
    <w:rsid w:val="00CA1B14"/>
    <w:rsid w:val="00CA5200"/>
    <w:rsid w:val="00CB0A76"/>
    <w:rsid w:val="00CB0E67"/>
    <w:rsid w:val="00CB58DD"/>
    <w:rsid w:val="00CC2551"/>
    <w:rsid w:val="00CC365B"/>
    <w:rsid w:val="00CC3C32"/>
    <w:rsid w:val="00CD0B5D"/>
    <w:rsid w:val="00CD4A29"/>
    <w:rsid w:val="00CD612C"/>
    <w:rsid w:val="00CD67C0"/>
    <w:rsid w:val="00CE13A5"/>
    <w:rsid w:val="00CE39F0"/>
    <w:rsid w:val="00CE45FE"/>
    <w:rsid w:val="00CF1D2D"/>
    <w:rsid w:val="00CF38E8"/>
    <w:rsid w:val="00CF5110"/>
    <w:rsid w:val="00D0035F"/>
    <w:rsid w:val="00D00D91"/>
    <w:rsid w:val="00D012B5"/>
    <w:rsid w:val="00D046CC"/>
    <w:rsid w:val="00D05340"/>
    <w:rsid w:val="00D05EDF"/>
    <w:rsid w:val="00D1286C"/>
    <w:rsid w:val="00D12E66"/>
    <w:rsid w:val="00D169B9"/>
    <w:rsid w:val="00D20E96"/>
    <w:rsid w:val="00D235C5"/>
    <w:rsid w:val="00D23CA7"/>
    <w:rsid w:val="00D24D0D"/>
    <w:rsid w:val="00D31D7E"/>
    <w:rsid w:val="00D43A96"/>
    <w:rsid w:val="00D43F87"/>
    <w:rsid w:val="00D44E61"/>
    <w:rsid w:val="00D47F4C"/>
    <w:rsid w:val="00D52E3E"/>
    <w:rsid w:val="00D651EB"/>
    <w:rsid w:val="00D66F8C"/>
    <w:rsid w:val="00D70734"/>
    <w:rsid w:val="00D70797"/>
    <w:rsid w:val="00D73F64"/>
    <w:rsid w:val="00D85C3B"/>
    <w:rsid w:val="00D9144F"/>
    <w:rsid w:val="00D933C2"/>
    <w:rsid w:val="00DA5FAE"/>
    <w:rsid w:val="00DA6668"/>
    <w:rsid w:val="00DB67ED"/>
    <w:rsid w:val="00DC034B"/>
    <w:rsid w:val="00DC7903"/>
    <w:rsid w:val="00DD4E9D"/>
    <w:rsid w:val="00DD771C"/>
    <w:rsid w:val="00DE4849"/>
    <w:rsid w:val="00DE6946"/>
    <w:rsid w:val="00DF30DF"/>
    <w:rsid w:val="00DF6DD4"/>
    <w:rsid w:val="00E01563"/>
    <w:rsid w:val="00E031FB"/>
    <w:rsid w:val="00E05255"/>
    <w:rsid w:val="00E10780"/>
    <w:rsid w:val="00E11EF3"/>
    <w:rsid w:val="00E3299D"/>
    <w:rsid w:val="00E34F6D"/>
    <w:rsid w:val="00E3576C"/>
    <w:rsid w:val="00E36535"/>
    <w:rsid w:val="00E415CF"/>
    <w:rsid w:val="00E41727"/>
    <w:rsid w:val="00E45FD8"/>
    <w:rsid w:val="00E501DC"/>
    <w:rsid w:val="00E50CF4"/>
    <w:rsid w:val="00E57E7F"/>
    <w:rsid w:val="00E6253A"/>
    <w:rsid w:val="00E638A6"/>
    <w:rsid w:val="00E667FB"/>
    <w:rsid w:val="00E70A28"/>
    <w:rsid w:val="00E70E4C"/>
    <w:rsid w:val="00E9009E"/>
    <w:rsid w:val="00E96185"/>
    <w:rsid w:val="00EA0044"/>
    <w:rsid w:val="00EA25DE"/>
    <w:rsid w:val="00EA2C08"/>
    <w:rsid w:val="00EA4081"/>
    <w:rsid w:val="00EA69AC"/>
    <w:rsid w:val="00EB684E"/>
    <w:rsid w:val="00EC25CF"/>
    <w:rsid w:val="00EC39A6"/>
    <w:rsid w:val="00EC4694"/>
    <w:rsid w:val="00ED192D"/>
    <w:rsid w:val="00EE709E"/>
    <w:rsid w:val="00EE7D55"/>
    <w:rsid w:val="00EF040F"/>
    <w:rsid w:val="00EF161C"/>
    <w:rsid w:val="00EF1678"/>
    <w:rsid w:val="00EF40E0"/>
    <w:rsid w:val="00F00A7B"/>
    <w:rsid w:val="00F021D6"/>
    <w:rsid w:val="00F05002"/>
    <w:rsid w:val="00F1554E"/>
    <w:rsid w:val="00F17A30"/>
    <w:rsid w:val="00F20D35"/>
    <w:rsid w:val="00F221E3"/>
    <w:rsid w:val="00F262C5"/>
    <w:rsid w:val="00F27EBE"/>
    <w:rsid w:val="00F41960"/>
    <w:rsid w:val="00F43BA7"/>
    <w:rsid w:val="00F4536C"/>
    <w:rsid w:val="00F55531"/>
    <w:rsid w:val="00F55B8F"/>
    <w:rsid w:val="00F5781A"/>
    <w:rsid w:val="00F601F6"/>
    <w:rsid w:val="00F628F0"/>
    <w:rsid w:val="00F71C4B"/>
    <w:rsid w:val="00F73EE4"/>
    <w:rsid w:val="00F74068"/>
    <w:rsid w:val="00F77CC4"/>
    <w:rsid w:val="00F820AD"/>
    <w:rsid w:val="00F83F70"/>
    <w:rsid w:val="00F909EF"/>
    <w:rsid w:val="00F91D1B"/>
    <w:rsid w:val="00F92126"/>
    <w:rsid w:val="00F92EA4"/>
    <w:rsid w:val="00FA28F4"/>
    <w:rsid w:val="00FA4160"/>
    <w:rsid w:val="00FB40CE"/>
    <w:rsid w:val="00FB4EC1"/>
    <w:rsid w:val="00FB5943"/>
    <w:rsid w:val="00FB599B"/>
    <w:rsid w:val="00FB67F2"/>
    <w:rsid w:val="00FB7B59"/>
    <w:rsid w:val="00FC1208"/>
    <w:rsid w:val="00FC3BCE"/>
    <w:rsid w:val="00FC4679"/>
    <w:rsid w:val="00FC739F"/>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CA3CC31A-EBB3-4B75-BC04-DBD298956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10">
    <w:name w:val="إشارة لم يتم حلها1"/>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0104">
      <w:bodyDiv w:val="1"/>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287709061">
              <w:marLeft w:val="0"/>
              <w:marRight w:val="0"/>
              <w:marTop w:val="0"/>
              <w:marBottom w:val="0"/>
              <w:divBdr>
                <w:top w:val="none" w:sz="0" w:space="0" w:color="auto"/>
                <w:left w:val="none" w:sz="0" w:space="0" w:color="auto"/>
                <w:bottom w:val="none" w:sz="0" w:space="0" w:color="auto"/>
                <w:right w:val="none" w:sz="0" w:space="0" w:color="auto"/>
              </w:divBdr>
              <w:divsChild>
                <w:div w:id="357200681">
                  <w:marLeft w:val="0"/>
                  <w:marRight w:val="0"/>
                  <w:marTop w:val="0"/>
                  <w:marBottom w:val="0"/>
                  <w:divBdr>
                    <w:top w:val="none" w:sz="0" w:space="0" w:color="auto"/>
                    <w:left w:val="none" w:sz="0" w:space="0" w:color="auto"/>
                    <w:bottom w:val="none" w:sz="0" w:space="0" w:color="auto"/>
                    <w:right w:val="none" w:sz="0" w:space="0" w:color="auto"/>
                  </w:divBdr>
                  <w:divsChild>
                    <w:div w:id="1665619190">
                      <w:marLeft w:val="0"/>
                      <w:marRight w:val="0"/>
                      <w:marTop w:val="0"/>
                      <w:marBottom w:val="0"/>
                      <w:divBdr>
                        <w:top w:val="none" w:sz="0" w:space="0" w:color="auto"/>
                        <w:left w:val="none" w:sz="0" w:space="0" w:color="auto"/>
                        <w:bottom w:val="none" w:sz="0" w:space="0" w:color="auto"/>
                        <w:right w:val="none" w:sz="0" w:space="0" w:color="auto"/>
                      </w:divBdr>
                      <w:divsChild>
                        <w:div w:id="449250457">
                          <w:marLeft w:val="0"/>
                          <w:marRight w:val="0"/>
                          <w:marTop w:val="0"/>
                          <w:marBottom w:val="0"/>
                          <w:divBdr>
                            <w:top w:val="none" w:sz="0" w:space="0" w:color="auto"/>
                            <w:left w:val="none" w:sz="0" w:space="0" w:color="auto"/>
                            <w:bottom w:val="none" w:sz="0" w:space="0" w:color="auto"/>
                            <w:right w:val="none" w:sz="0" w:space="0" w:color="auto"/>
                          </w:divBdr>
                          <w:divsChild>
                            <w:div w:id="70806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54780">
                  <w:marLeft w:val="0"/>
                  <w:marRight w:val="0"/>
                  <w:marTop w:val="0"/>
                  <w:marBottom w:val="0"/>
                  <w:divBdr>
                    <w:top w:val="none" w:sz="0" w:space="0" w:color="auto"/>
                    <w:left w:val="none" w:sz="0" w:space="0" w:color="auto"/>
                    <w:bottom w:val="none" w:sz="0" w:space="0" w:color="auto"/>
                    <w:right w:val="none" w:sz="0" w:space="0" w:color="auto"/>
                  </w:divBdr>
                  <w:divsChild>
                    <w:div w:id="4387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3495">
      <w:bodyDiv w:val="1"/>
      <w:marLeft w:val="0"/>
      <w:marRight w:val="0"/>
      <w:marTop w:val="0"/>
      <w:marBottom w:val="0"/>
      <w:divBdr>
        <w:top w:val="none" w:sz="0" w:space="0" w:color="auto"/>
        <w:left w:val="none" w:sz="0" w:space="0" w:color="auto"/>
        <w:bottom w:val="none" w:sz="0" w:space="0" w:color="auto"/>
        <w:right w:val="none" w:sz="0" w:space="0" w:color="auto"/>
      </w:divBdr>
    </w:div>
    <w:div w:id="31611503">
      <w:bodyDiv w:val="1"/>
      <w:marLeft w:val="0"/>
      <w:marRight w:val="0"/>
      <w:marTop w:val="0"/>
      <w:marBottom w:val="0"/>
      <w:divBdr>
        <w:top w:val="none" w:sz="0" w:space="0" w:color="auto"/>
        <w:left w:val="none" w:sz="0" w:space="0" w:color="auto"/>
        <w:bottom w:val="none" w:sz="0" w:space="0" w:color="auto"/>
        <w:right w:val="none" w:sz="0" w:space="0" w:color="auto"/>
      </w:divBdr>
      <w:divsChild>
        <w:div w:id="1120221618">
          <w:marLeft w:val="0"/>
          <w:marRight w:val="0"/>
          <w:marTop w:val="0"/>
          <w:marBottom w:val="0"/>
          <w:divBdr>
            <w:top w:val="none" w:sz="0" w:space="0" w:color="auto"/>
            <w:left w:val="none" w:sz="0" w:space="0" w:color="auto"/>
            <w:bottom w:val="none" w:sz="0" w:space="0" w:color="auto"/>
            <w:right w:val="none" w:sz="0" w:space="0" w:color="auto"/>
          </w:divBdr>
          <w:divsChild>
            <w:div w:id="1014570535">
              <w:marLeft w:val="0"/>
              <w:marRight w:val="0"/>
              <w:marTop w:val="0"/>
              <w:marBottom w:val="0"/>
              <w:divBdr>
                <w:top w:val="none" w:sz="0" w:space="0" w:color="auto"/>
                <w:left w:val="none" w:sz="0" w:space="0" w:color="auto"/>
                <w:bottom w:val="none" w:sz="0" w:space="0" w:color="auto"/>
                <w:right w:val="none" w:sz="0" w:space="0" w:color="auto"/>
              </w:divBdr>
              <w:divsChild>
                <w:div w:id="135874496">
                  <w:marLeft w:val="0"/>
                  <w:marRight w:val="0"/>
                  <w:marTop w:val="0"/>
                  <w:marBottom w:val="0"/>
                  <w:divBdr>
                    <w:top w:val="none" w:sz="0" w:space="0" w:color="auto"/>
                    <w:left w:val="none" w:sz="0" w:space="0" w:color="auto"/>
                    <w:bottom w:val="none" w:sz="0" w:space="0" w:color="auto"/>
                    <w:right w:val="none" w:sz="0" w:space="0" w:color="auto"/>
                  </w:divBdr>
                  <w:divsChild>
                    <w:div w:id="1767381568">
                      <w:marLeft w:val="0"/>
                      <w:marRight w:val="0"/>
                      <w:marTop w:val="0"/>
                      <w:marBottom w:val="0"/>
                      <w:divBdr>
                        <w:top w:val="none" w:sz="0" w:space="0" w:color="auto"/>
                        <w:left w:val="none" w:sz="0" w:space="0" w:color="auto"/>
                        <w:bottom w:val="none" w:sz="0" w:space="0" w:color="auto"/>
                        <w:right w:val="none" w:sz="0" w:space="0" w:color="auto"/>
                      </w:divBdr>
                      <w:divsChild>
                        <w:div w:id="914049712">
                          <w:marLeft w:val="0"/>
                          <w:marRight w:val="0"/>
                          <w:marTop w:val="0"/>
                          <w:marBottom w:val="0"/>
                          <w:divBdr>
                            <w:top w:val="none" w:sz="0" w:space="0" w:color="auto"/>
                            <w:left w:val="none" w:sz="0" w:space="0" w:color="auto"/>
                            <w:bottom w:val="none" w:sz="0" w:space="0" w:color="auto"/>
                            <w:right w:val="none" w:sz="0" w:space="0" w:color="auto"/>
                          </w:divBdr>
                          <w:divsChild>
                            <w:div w:id="1295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31399">
                  <w:marLeft w:val="0"/>
                  <w:marRight w:val="0"/>
                  <w:marTop w:val="0"/>
                  <w:marBottom w:val="0"/>
                  <w:divBdr>
                    <w:top w:val="none" w:sz="0" w:space="0" w:color="auto"/>
                    <w:left w:val="none" w:sz="0" w:space="0" w:color="auto"/>
                    <w:bottom w:val="none" w:sz="0" w:space="0" w:color="auto"/>
                    <w:right w:val="none" w:sz="0" w:space="0" w:color="auto"/>
                  </w:divBdr>
                  <w:divsChild>
                    <w:div w:id="5233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39600010">
      <w:bodyDiv w:val="1"/>
      <w:marLeft w:val="0"/>
      <w:marRight w:val="0"/>
      <w:marTop w:val="0"/>
      <w:marBottom w:val="0"/>
      <w:divBdr>
        <w:top w:val="none" w:sz="0" w:space="0" w:color="auto"/>
        <w:left w:val="none" w:sz="0" w:space="0" w:color="auto"/>
        <w:bottom w:val="none" w:sz="0" w:space="0" w:color="auto"/>
        <w:right w:val="none" w:sz="0" w:space="0" w:color="auto"/>
      </w:divBdr>
      <w:divsChild>
        <w:div w:id="113791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17344">
      <w:bodyDiv w:val="1"/>
      <w:marLeft w:val="0"/>
      <w:marRight w:val="0"/>
      <w:marTop w:val="0"/>
      <w:marBottom w:val="0"/>
      <w:divBdr>
        <w:top w:val="none" w:sz="0" w:space="0" w:color="auto"/>
        <w:left w:val="none" w:sz="0" w:space="0" w:color="auto"/>
        <w:bottom w:val="none" w:sz="0" w:space="0" w:color="auto"/>
        <w:right w:val="none" w:sz="0" w:space="0" w:color="auto"/>
      </w:divBdr>
      <w:divsChild>
        <w:div w:id="643967036">
          <w:marLeft w:val="0"/>
          <w:marRight w:val="0"/>
          <w:marTop w:val="0"/>
          <w:marBottom w:val="0"/>
          <w:divBdr>
            <w:top w:val="none" w:sz="0" w:space="0" w:color="auto"/>
            <w:left w:val="none" w:sz="0" w:space="0" w:color="auto"/>
            <w:bottom w:val="none" w:sz="0" w:space="0" w:color="auto"/>
            <w:right w:val="none" w:sz="0" w:space="0" w:color="auto"/>
          </w:divBdr>
          <w:divsChild>
            <w:div w:id="6063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07819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198856627">
      <w:bodyDiv w:val="1"/>
      <w:marLeft w:val="0"/>
      <w:marRight w:val="0"/>
      <w:marTop w:val="0"/>
      <w:marBottom w:val="0"/>
      <w:divBdr>
        <w:top w:val="none" w:sz="0" w:space="0" w:color="auto"/>
        <w:left w:val="none" w:sz="0" w:space="0" w:color="auto"/>
        <w:bottom w:val="none" w:sz="0" w:space="0" w:color="auto"/>
        <w:right w:val="none" w:sz="0" w:space="0" w:color="auto"/>
      </w:divBdr>
    </w:div>
    <w:div w:id="206836682">
      <w:bodyDiv w:val="1"/>
      <w:marLeft w:val="0"/>
      <w:marRight w:val="0"/>
      <w:marTop w:val="0"/>
      <w:marBottom w:val="0"/>
      <w:divBdr>
        <w:top w:val="none" w:sz="0" w:space="0" w:color="auto"/>
        <w:left w:val="none" w:sz="0" w:space="0" w:color="auto"/>
        <w:bottom w:val="none" w:sz="0" w:space="0" w:color="auto"/>
        <w:right w:val="none" w:sz="0" w:space="0" w:color="auto"/>
      </w:divBdr>
    </w:div>
    <w:div w:id="241448036">
      <w:bodyDiv w:val="1"/>
      <w:marLeft w:val="0"/>
      <w:marRight w:val="0"/>
      <w:marTop w:val="0"/>
      <w:marBottom w:val="0"/>
      <w:divBdr>
        <w:top w:val="none" w:sz="0" w:space="0" w:color="auto"/>
        <w:left w:val="none" w:sz="0" w:space="0" w:color="auto"/>
        <w:bottom w:val="none" w:sz="0" w:space="0" w:color="auto"/>
        <w:right w:val="none" w:sz="0" w:space="0" w:color="auto"/>
      </w:divBdr>
      <w:divsChild>
        <w:div w:id="115156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294026947">
      <w:bodyDiv w:val="1"/>
      <w:marLeft w:val="0"/>
      <w:marRight w:val="0"/>
      <w:marTop w:val="0"/>
      <w:marBottom w:val="0"/>
      <w:divBdr>
        <w:top w:val="none" w:sz="0" w:space="0" w:color="auto"/>
        <w:left w:val="none" w:sz="0" w:space="0" w:color="auto"/>
        <w:bottom w:val="none" w:sz="0" w:space="0" w:color="auto"/>
        <w:right w:val="none" w:sz="0" w:space="0" w:color="auto"/>
      </w:divBdr>
    </w:div>
    <w:div w:id="306937730">
      <w:bodyDiv w:val="1"/>
      <w:marLeft w:val="0"/>
      <w:marRight w:val="0"/>
      <w:marTop w:val="0"/>
      <w:marBottom w:val="0"/>
      <w:divBdr>
        <w:top w:val="none" w:sz="0" w:space="0" w:color="auto"/>
        <w:left w:val="none" w:sz="0" w:space="0" w:color="auto"/>
        <w:bottom w:val="none" w:sz="0" w:space="0" w:color="auto"/>
        <w:right w:val="none" w:sz="0" w:space="0" w:color="auto"/>
      </w:divBdr>
      <w:divsChild>
        <w:div w:id="1848399208">
          <w:marLeft w:val="0"/>
          <w:marRight w:val="0"/>
          <w:marTop w:val="0"/>
          <w:marBottom w:val="0"/>
          <w:divBdr>
            <w:top w:val="none" w:sz="0" w:space="0" w:color="auto"/>
            <w:left w:val="none" w:sz="0" w:space="0" w:color="auto"/>
            <w:bottom w:val="none" w:sz="0" w:space="0" w:color="auto"/>
            <w:right w:val="none" w:sz="0" w:space="0" w:color="auto"/>
          </w:divBdr>
          <w:divsChild>
            <w:div w:id="491023651">
              <w:marLeft w:val="0"/>
              <w:marRight w:val="0"/>
              <w:marTop w:val="0"/>
              <w:marBottom w:val="0"/>
              <w:divBdr>
                <w:top w:val="none" w:sz="0" w:space="0" w:color="auto"/>
                <w:left w:val="none" w:sz="0" w:space="0" w:color="auto"/>
                <w:bottom w:val="none" w:sz="0" w:space="0" w:color="auto"/>
                <w:right w:val="none" w:sz="0" w:space="0" w:color="auto"/>
              </w:divBdr>
              <w:divsChild>
                <w:div w:id="34235009">
                  <w:marLeft w:val="0"/>
                  <w:marRight w:val="0"/>
                  <w:marTop w:val="0"/>
                  <w:marBottom w:val="0"/>
                  <w:divBdr>
                    <w:top w:val="none" w:sz="0" w:space="0" w:color="auto"/>
                    <w:left w:val="none" w:sz="0" w:space="0" w:color="auto"/>
                    <w:bottom w:val="none" w:sz="0" w:space="0" w:color="auto"/>
                    <w:right w:val="none" w:sz="0" w:space="0" w:color="auto"/>
                  </w:divBdr>
                  <w:divsChild>
                    <w:div w:id="1817182802">
                      <w:marLeft w:val="0"/>
                      <w:marRight w:val="0"/>
                      <w:marTop w:val="0"/>
                      <w:marBottom w:val="0"/>
                      <w:divBdr>
                        <w:top w:val="none" w:sz="0" w:space="0" w:color="auto"/>
                        <w:left w:val="none" w:sz="0" w:space="0" w:color="auto"/>
                        <w:bottom w:val="none" w:sz="0" w:space="0" w:color="auto"/>
                        <w:right w:val="none" w:sz="0" w:space="0" w:color="auto"/>
                      </w:divBdr>
                    </w:div>
                  </w:divsChild>
                </w:div>
                <w:div w:id="1657417053">
                  <w:marLeft w:val="0"/>
                  <w:marRight w:val="0"/>
                  <w:marTop w:val="0"/>
                  <w:marBottom w:val="0"/>
                  <w:divBdr>
                    <w:top w:val="none" w:sz="0" w:space="0" w:color="auto"/>
                    <w:left w:val="none" w:sz="0" w:space="0" w:color="auto"/>
                    <w:bottom w:val="none" w:sz="0" w:space="0" w:color="auto"/>
                    <w:right w:val="none" w:sz="0" w:space="0" w:color="auto"/>
                  </w:divBdr>
                  <w:divsChild>
                    <w:div w:id="692418167">
                      <w:marLeft w:val="0"/>
                      <w:marRight w:val="0"/>
                      <w:marTop w:val="0"/>
                      <w:marBottom w:val="0"/>
                      <w:divBdr>
                        <w:top w:val="none" w:sz="0" w:space="0" w:color="auto"/>
                        <w:left w:val="none" w:sz="0" w:space="0" w:color="auto"/>
                        <w:bottom w:val="none" w:sz="0" w:space="0" w:color="auto"/>
                        <w:right w:val="none" w:sz="0" w:space="0" w:color="auto"/>
                      </w:divBdr>
                      <w:divsChild>
                        <w:div w:id="510729556">
                          <w:marLeft w:val="0"/>
                          <w:marRight w:val="0"/>
                          <w:marTop w:val="0"/>
                          <w:marBottom w:val="0"/>
                          <w:divBdr>
                            <w:top w:val="none" w:sz="0" w:space="0" w:color="auto"/>
                            <w:left w:val="none" w:sz="0" w:space="0" w:color="auto"/>
                            <w:bottom w:val="none" w:sz="0" w:space="0" w:color="auto"/>
                            <w:right w:val="none" w:sz="0" w:space="0" w:color="auto"/>
                          </w:divBdr>
                          <w:divsChild>
                            <w:div w:id="19842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23780541">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296583">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394662579">
      <w:bodyDiv w:val="1"/>
      <w:marLeft w:val="0"/>
      <w:marRight w:val="0"/>
      <w:marTop w:val="0"/>
      <w:marBottom w:val="0"/>
      <w:divBdr>
        <w:top w:val="none" w:sz="0" w:space="0" w:color="auto"/>
        <w:left w:val="none" w:sz="0" w:space="0" w:color="auto"/>
        <w:bottom w:val="none" w:sz="0" w:space="0" w:color="auto"/>
        <w:right w:val="none" w:sz="0" w:space="0" w:color="auto"/>
      </w:divBdr>
    </w:div>
    <w:div w:id="395789117">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2789114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62042198">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3591452">
      <w:bodyDiv w:val="1"/>
      <w:marLeft w:val="0"/>
      <w:marRight w:val="0"/>
      <w:marTop w:val="0"/>
      <w:marBottom w:val="0"/>
      <w:divBdr>
        <w:top w:val="none" w:sz="0" w:space="0" w:color="auto"/>
        <w:left w:val="none" w:sz="0" w:space="0" w:color="auto"/>
        <w:bottom w:val="none" w:sz="0" w:space="0" w:color="auto"/>
        <w:right w:val="none" w:sz="0" w:space="0" w:color="auto"/>
      </w:divBdr>
      <w:divsChild>
        <w:div w:id="890923693">
          <w:marLeft w:val="0"/>
          <w:marRight w:val="0"/>
          <w:marTop w:val="0"/>
          <w:marBottom w:val="0"/>
          <w:divBdr>
            <w:top w:val="none" w:sz="0" w:space="0" w:color="auto"/>
            <w:left w:val="none" w:sz="0" w:space="0" w:color="auto"/>
            <w:bottom w:val="none" w:sz="0" w:space="0" w:color="auto"/>
            <w:right w:val="none" w:sz="0" w:space="0" w:color="auto"/>
          </w:divBdr>
          <w:divsChild>
            <w:div w:id="1103768614">
              <w:marLeft w:val="0"/>
              <w:marRight w:val="0"/>
              <w:marTop w:val="0"/>
              <w:marBottom w:val="0"/>
              <w:divBdr>
                <w:top w:val="none" w:sz="0" w:space="0" w:color="auto"/>
                <w:left w:val="none" w:sz="0" w:space="0" w:color="auto"/>
                <w:bottom w:val="none" w:sz="0" w:space="0" w:color="auto"/>
                <w:right w:val="none" w:sz="0" w:space="0" w:color="auto"/>
              </w:divBdr>
              <w:divsChild>
                <w:div w:id="232357051">
                  <w:marLeft w:val="0"/>
                  <w:marRight w:val="0"/>
                  <w:marTop w:val="0"/>
                  <w:marBottom w:val="0"/>
                  <w:divBdr>
                    <w:top w:val="none" w:sz="0" w:space="0" w:color="auto"/>
                    <w:left w:val="none" w:sz="0" w:space="0" w:color="auto"/>
                    <w:bottom w:val="none" w:sz="0" w:space="0" w:color="auto"/>
                    <w:right w:val="none" w:sz="0" w:space="0" w:color="auto"/>
                  </w:divBdr>
                  <w:divsChild>
                    <w:div w:id="1374958055">
                      <w:marLeft w:val="0"/>
                      <w:marRight w:val="0"/>
                      <w:marTop w:val="0"/>
                      <w:marBottom w:val="0"/>
                      <w:divBdr>
                        <w:top w:val="none" w:sz="0" w:space="0" w:color="auto"/>
                        <w:left w:val="none" w:sz="0" w:space="0" w:color="auto"/>
                        <w:bottom w:val="none" w:sz="0" w:space="0" w:color="auto"/>
                        <w:right w:val="none" w:sz="0" w:space="0" w:color="auto"/>
                      </w:divBdr>
                    </w:div>
                  </w:divsChild>
                </w:div>
                <w:div w:id="1560284016">
                  <w:marLeft w:val="0"/>
                  <w:marRight w:val="0"/>
                  <w:marTop w:val="0"/>
                  <w:marBottom w:val="0"/>
                  <w:divBdr>
                    <w:top w:val="none" w:sz="0" w:space="0" w:color="auto"/>
                    <w:left w:val="none" w:sz="0" w:space="0" w:color="auto"/>
                    <w:bottom w:val="none" w:sz="0" w:space="0" w:color="auto"/>
                    <w:right w:val="none" w:sz="0" w:space="0" w:color="auto"/>
                  </w:divBdr>
                  <w:divsChild>
                    <w:div w:id="1539009206">
                      <w:marLeft w:val="0"/>
                      <w:marRight w:val="0"/>
                      <w:marTop w:val="0"/>
                      <w:marBottom w:val="0"/>
                      <w:divBdr>
                        <w:top w:val="none" w:sz="0" w:space="0" w:color="auto"/>
                        <w:left w:val="none" w:sz="0" w:space="0" w:color="auto"/>
                        <w:bottom w:val="none" w:sz="0" w:space="0" w:color="auto"/>
                        <w:right w:val="none" w:sz="0" w:space="0" w:color="auto"/>
                      </w:divBdr>
                      <w:divsChild>
                        <w:div w:id="898857298">
                          <w:marLeft w:val="0"/>
                          <w:marRight w:val="0"/>
                          <w:marTop w:val="0"/>
                          <w:marBottom w:val="0"/>
                          <w:divBdr>
                            <w:top w:val="none" w:sz="0" w:space="0" w:color="auto"/>
                            <w:left w:val="none" w:sz="0" w:space="0" w:color="auto"/>
                            <w:bottom w:val="none" w:sz="0" w:space="0" w:color="auto"/>
                            <w:right w:val="none" w:sz="0" w:space="0" w:color="auto"/>
                          </w:divBdr>
                          <w:divsChild>
                            <w:div w:id="18367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454091">
      <w:bodyDiv w:val="1"/>
      <w:marLeft w:val="0"/>
      <w:marRight w:val="0"/>
      <w:marTop w:val="0"/>
      <w:marBottom w:val="0"/>
      <w:divBdr>
        <w:top w:val="none" w:sz="0" w:space="0" w:color="auto"/>
        <w:left w:val="none" w:sz="0" w:space="0" w:color="auto"/>
        <w:bottom w:val="none" w:sz="0" w:space="0" w:color="auto"/>
        <w:right w:val="none" w:sz="0" w:space="0" w:color="auto"/>
      </w:divBdr>
    </w:div>
    <w:div w:id="507794395">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2107692">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27066677">
      <w:bodyDiv w:val="1"/>
      <w:marLeft w:val="0"/>
      <w:marRight w:val="0"/>
      <w:marTop w:val="0"/>
      <w:marBottom w:val="0"/>
      <w:divBdr>
        <w:top w:val="none" w:sz="0" w:space="0" w:color="auto"/>
        <w:left w:val="none" w:sz="0" w:space="0" w:color="auto"/>
        <w:bottom w:val="none" w:sz="0" w:space="0" w:color="auto"/>
        <w:right w:val="none" w:sz="0" w:space="0" w:color="auto"/>
      </w:divBdr>
    </w:div>
    <w:div w:id="530536294">
      <w:bodyDiv w:val="1"/>
      <w:marLeft w:val="0"/>
      <w:marRight w:val="0"/>
      <w:marTop w:val="0"/>
      <w:marBottom w:val="0"/>
      <w:divBdr>
        <w:top w:val="none" w:sz="0" w:space="0" w:color="auto"/>
        <w:left w:val="none" w:sz="0" w:space="0" w:color="auto"/>
        <w:bottom w:val="none" w:sz="0" w:space="0" w:color="auto"/>
        <w:right w:val="none" w:sz="0" w:space="0" w:color="auto"/>
      </w:divBdr>
    </w:div>
    <w:div w:id="541594737">
      <w:bodyDiv w:val="1"/>
      <w:marLeft w:val="0"/>
      <w:marRight w:val="0"/>
      <w:marTop w:val="0"/>
      <w:marBottom w:val="0"/>
      <w:divBdr>
        <w:top w:val="none" w:sz="0" w:space="0" w:color="auto"/>
        <w:left w:val="none" w:sz="0" w:space="0" w:color="auto"/>
        <w:bottom w:val="none" w:sz="0" w:space="0" w:color="auto"/>
        <w:right w:val="none" w:sz="0" w:space="0" w:color="auto"/>
      </w:divBdr>
    </w:div>
    <w:div w:id="554899351">
      <w:bodyDiv w:val="1"/>
      <w:marLeft w:val="0"/>
      <w:marRight w:val="0"/>
      <w:marTop w:val="0"/>
      <w:marBottom w:val="0"/>
      <w:divBdr>
        <w:top w:val="none" w:sz="0" w:space="0" w:color="auto"/>
        <w:left w:val="none" w:sz="0" w:space="0" w:color="auto"/>
        <w:bottom w:val="none" w:sz="0" w:space="0" w:color="auto"/>
        <w:right w:val="none" w:sz="0" w:space="0" w:color="auto"/>
      </w:divBdr>
    </w:div>
    <w:div w:id="564025705">
      <w:bodyDiv w:val="1"/>
      <w:marLeft w:val="0"/>
      <w:marRight w:val="0"/>
      <w:marTop w:val="0"/>
      <w:marBottom w:val="0"/>
      <w:divBdr>
        <w:top w:val="none" w:sz="0" w:space="0" w:color="auto"/>
        <w:left w:val="none" w:sz="0" w:space="0" w:color="auto"/>
        <w:bottom w:val="none" w:sz="0" w:space="0" w:color="auto"/>
        <w:right w:val="none" w:sz="0" w:space="0" w:color="auto"/>
      </w:divBdr>
    </w:div>
    <w:div w:id="569120286">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08958">
      <w:bodyDiv w:val="1"/>
      <w:marLeft w:val="0"/>
      <w:marRight w:val="0"/>
      <w:marTop w:val="0"/>
      <w:marBottom w:val="0"/>
      <w:divBdr>
        <w:top w:val="none" w:sz="0" w:space="0" w:color="auto"/>
        <w:left w:val="none" w:sz="0" w:space="0" w:color="auto"/>
        <w:bottom w:val="none" w:sz="0" w:space="0" w:color="auto"/>
        <w:right w:val="none" w:sz="0" w:space="0" w:color="auto"/>
      </w:divBdr>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07198883">
      <w:bodyDiv w:val="1"/>
      <w:marLeft w:val="0"/>
      <w:marRight w:val="0"/>
      <w:marTop w:val="0"/>
      <w:marBottom w:val="0"/>
      <w:divBdr>
        <w:top w:val="none" w:sz="0" w:space="0" w:color="auto"/>
        <w:left w:val="none" w:sz="0" w:space="0" w:color="auto"/>
        <w:bottom w:val="none" w:sz="0" w:space="0" w:color="auto"/>
        <w:right w:val="none" w:sz="0" w:space="0" w:color="auto"/>
      </w:divBdr>
      <w:divsChild>
        <w:div w:id="562718862">
          <w:marLeft w:val="0"/>
          <w:marRight w:val="0"/>
          <w:marTop w:val="0"/>
          <w:marBottom w:val="0"/>
          <w:divBdr>
            <w:top w:val="none" w:sz="0" w:space="0" w:color="auto"/>
            <w:left w:val="none" w:sz="0" w:space="0" w:color="auto"/>
            <w:bottom w:val="none" w:sz="0" w:space="0" w:color="auto"/>
            <w:right w:val="none" w:sz="0" w:space="0" w:color="auto"/>
          </w:divBdr>
          <w:divsChild>
            <w:div w:id="1663007436">
              <w:marLeft w:val="0"/>
              <w:marRight w:val="0"/>
              <w:marTop w:val="0"/>
              <w:marBottom w:val="0"/>
              <w:divBdr>
                <w:top w:val="none" w:sz="0" w:space="0" w:color="auto"/>
                <w:left w:val="none" w:sz="0" w:space="0" w:color="auto"/>
                <w:bottom w:val="none" w:sz="0" w:space="0" w:color="auto"/>
                <w:right w:val="none" w:sz="0" w:space="0" w:color="auto"/>
              </w:divBdr>
              <w:divsChild>
                <w:div w:id="444270450">
                  <w:marLeft w:val="0"/>
                  <w:marRight w:val="0"/>
                  <w:marTop w:val="0"/>
                  <w:marBottom w:val="0"/>
                  <w:divBdr>
                    <w:top w:val="none" w:sz="0" w:space="0" w:color="auto"/>
                    <w:left w:val="none" w:sz="0" w:space="0" w:color="auto"/>
                    <w:bottom w:val="none" w:sz="0" w:space="0" w:color="auto"/>
                    <w:right w:val="none" w:sz="0" w:space="0" w:color="auto"/>
                  </w:divBdr>
                  <w:divsChild>
                    <w:div w:id="438179378">
                      <w:marLeft w:val="0"/>
                      <w:marRight w:val="0"/>
                      <w:marTop w:val="0"/>
                      <w:marBottom w:val="0"/>
                      <w:divBdr>
                        <w:top w:val="none" w:sz="0" w:space="0" w:color="auto"/>
                        <w:left w:val="none" w:sz="0" w:space="0" w:color="auto"/>
                        <w:bottom w:val="none" w:sz="0" w:space="0" w:color="auto"/>
                        <w:right w:val="none" w:sz="0" w:space="0" w:color="auto"/>
                      </w:divBdr>
                      <w:divsChild>
                        <w:div w:id="1271277825">
                          <w:marLeft w:val="0"/>
                          <w:marRight w:val="0"/>
                          <w:marTop w:val="0"/>
                          <w:marBottom w:val="0"/>
                          <w:divBdr>
                            <w:top w:val="none" w:sz="0" w:space="0" w:color="auto"/>
                            <w:left w:val="none" w:sz="0" w:space="0" w:color="auto"/>
                            <w:bottom w:val="none" w:sz="0" w:space="0" w:color="auto"/>
                            <w:right w:val="none" w:sz="0" w:space="0" w:color="auto"/>
                          </w:divBdr>
                          <w:divsChild>
                            <w:div w:id="20427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1419">
                  <w:marLeft w:val="0"/>
                  <w:marRight w:val="0"/>
                  <w:marTop w:val="0"/>
                  <w:marBottom w:val="0"/>
                  <w:divBdr>
                    <w:top w:val="none" w:sz="0" w:space="0" w:color="auto"/>
                    <w:left w:val="none" w:sz="0" w:space="0" w:color="auto"/>
                    <w:bottom w:val="none" w:sz="0" w:space="0" w:color="auto"/>
                    <w:right w:val="none" w:sz="0" w:space="0" w:color="auto"/>
                  </w:divBdr>
                  <w:divsChild>
                    <w:div w:id="61402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6465944">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3169224">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82964281">
      <w:bodyDiv w:val="1"/>
      <w:marLeft w:val="0"/>
      <w:marRight w:val="0"/>
      <w:marTop w:val="0"/>
      <w:marBottom w:val="0"/>
      <w:divBdr>
        <w:top w:val="none" w:sz="0" w:space="0" w:color="auto"/>
        <w:left w:val="none" w:sz="0" w:space="0" w:color="auto"/>
        <w:bottom w:val="none" w:sz="0" w:space="0" w:color="auto"/>
        <w:right w:val="none" w:sz="0" w:space="0" w:color="auto"/>
      </w:divBdr>
      <w:divsChild>
        <w:div w:id="502280337">
          <w:marLeft w:val="0"/>
          <w:marRight w:val="0"/>
          <w:marTop w:val="0"/>
          <w:marBottom w:val="0"/>
          <w:divBdr>
            <w:top w:val="none" w:sz="0" w:space="0" w:color="auto"/>
            <w:left w:val="none" w:sz="0" w:space="0" w:color="auto"/>
            <w:bottom w:val="none" w:sz="0" w:space="0" w:color="auto"/>
            <w:right w:val="none" w:sz="0" w:space="0" w:color="auto"/>
          </w:divBdr>
          <w:divsChild>
            <w:div w:id="1295404078">
              <w:marLeft w:val="0"/>
              <w:marRight w:val="0"/>
              <w:marTop w:val="0"/>
              <w:marBottom w:val="0"/>
              <w:divBdr>
                <w:top w:val="none" w:sz="0" w:space="0" w:color="auto"/>
                <w:left w:val="none" w:sz="0" w:space="0" w:color="auto"/>
                <w:bottom w:val="none" w:sz="0" w:space="0" w:color="auto"/>
                <w:right w:val="none" w:sz="0" w:space="0" w:color="auto"/>
              </w:divBdr>
              <w:divsChild>
                <w:div w:id="445587483">
                  <w:marLeft w:val="0"/>
                  <w:marRight w:val="0"/>
                  <w:marTop w:val="0"/>
                  <w:marBottom w:val="0"/>
                  <w:divBdr>
                    <w:top w:val="none" w:sz="0" w:space="0" w:color="auto"/>
                    <w:left w:val="none" w:sz="0" w:space="0" w:color="auto"/>
                    <w:bottom w:val="none" w:sz="0" w:space="0" w:color="auto"/>
                    <w:right w:val="none" w:sz="0" w:space="0" w:color="auto"/>
                  </w:divBdr>
                  <w:divsChild>
                    <w:div w:id="1155806426">
                      <w:marLeft w:val="0"/>
                      <w:marRight w:val="0"/>
                      <w:marTop w:val="0"/>
                      <w:marBottom w:val="0"/>
                      <w:divBdr>
                        <w:top w:val="none" w:sz="0" w:space="0" w:color="auto"/>
                        <w:left w:val="none" w:sz="0" w:space="0" w:color="auto"/>
                        <w:bottom w:val="none" w:sz="0" w:space="0" w:color="auto"/>
                        <w:right w:val="none" w:sz="0" w:space="0" w:color="auto"/>
                      </w:divBdr>
                    </w:div>
                  </w:divsChild>
                </w:div>
                <w:div w:id="880243185">
                  <w:marLeft w:val="0"/>
                  <w:marRight w:val="0"/>
                  <w:marTop w:val="0"/>
                  <w:marBottom w:val="0"/>
                  <w:divBdr>
                    <w:top w:val="none" w:sz="0" w:space="0" w:color="auto"/>
                    <w:left w:val="none" w:sz="0" w:space="0" w:color="auto"/>
                    <w:bottom w:val="none" w:sz="0" w:space="0" w:color="auto"/>
                    <w:right w:val="none" w:sz="0" w:space="0" w:color="auto"/>
                  </w:divBdr>
                  <w:divsChild>
                    <w:div w:id="377513309">
                      <w:marLeft w:val="0"/>
                      <w:marRight w:val="0"/>
                      <w:marTop w:val="0"/>
                      <w:marBottom w:val="0"/>
                      <w:divBdr>
                        <w:top w:val="none" w:sz="0" w:space="0" w:color="auto"/>
                        <w:left w:val="none" w:sz="0" w:space="0" w:color="auto"/>
                        <w:bottom w:val="none" w:sz="0" w:space="0" w:color="auto"/>
                        <w:right w:val="none" w:sz="0" w:space="0" w:color="auto"/>
                      </w:divBdr>
                      <w:divsChild>
                        <w:div w:id="182594567">
                          <w:marLeft w:val="0"/>
                          <w:marRight w:val="0"/>
                          <w:marTop w:val="0"/>
                          <w:marBottom w:val="0"/>
                          <w:divBdr>
                            <w:top w:val="none" w:sz="0" w:space="0" w:color="auto"/>
                            <w:left w:val="none" w:sz="0" w:space="0" w:color="auto"/>
                            <w:bottom w:val="none" w:sz="0" w:space="0" w:color="auto"/>
                            <w:right w:val="none" w:sz="0" w:space="0" w:color="auto"/>
                          </w:divBdr>
                          <w:divsChild>
                            <w:div w:id="755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159289">
      <w:bodyDiv w:val="1"/>
      <w:marLeft w:val="0"/>
      <w:marRight w:val="0"/>
      <w:marTop w:val="0"/>
      <w:marBottom w:val="0"/>
      <w:divBdr>
        <w:top w:val="none" w:sz="0" w:space="0" w:color="auto"/>
        <w:left w:val="none" w:sz="0" w:space="0" w:color="auto"/>
        <w:bottom w:val="none" w:sz="0" w:space="0" w:color="auto"/>
        <w:right w:val="none" w:sz="0" w:space="0" w:color="auto"/>
      </w:divBdr>
      <w:divsChild>
        <w:div w:id="189955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796485089">
      <w:bodyDiv w:val="1"/>
      <w:marLeft w:val="0"/>
      <w:marRight w:val="0"/>
      <w:marTop w:val="0"/>
      <w:marBottom w:val="0"/>
      <w:divBdr>
        <w:top w:val="none" w:sz="0" w:space="0" w:color="auto"/>
        <w:left w:val="none" w:sz="0" w:space="0" w:color="auto"/>
        <w:bottom w:val="none" w:sz="0" w:space="0" w:color="auto"/>
        <w:right w:val="none" w:sz="0" w:space="0" w:color="auto"/>
      </w:divBdr>
      <w:divsChild>
        <w:div w:id="547689748">
          <w:marLeft w:val="0"/>
          <w:marRight w:val="0"/>
          <w:marTop w:val="0"/>
          <w:marBottom w:val="0"/>
          <w:divBdr>
            <w:top w:val="none" w:sz="0" w:space="0" w:color="auto"/>
            <w:left w:val="none" w:sz="0" w:space="0" w:color="auto"/>
            <w:bottom w:val="none" w:sz="0" w:space="0" w:color="auto"/>
            <w:right w:val="none" w:sz="0" w:space="0" w:color="auto"/>
          </w:divBdr>
          <w:divsChild>
            <w:div w:id="1391074554">
              <w:marLeft w:val="0"/>
              <w:marRight w:val="0"/>
              <w:marTop w:val="0"/>
              <w:marBottom w:val="0"/>
              <w:divBdr>
                <w:top w:val="none" w:sz="0" w:space="0" w:color="auto"/>
                <w:left w:val="none" w:sz="0" w:space="0" w:color="auto"/>
                <w:bottom w:val="none" w:sz="0" w:space="0" w:color="auto"/>
                <w:right w:val="none" w:sz="0" w:space="0" w:color="auto"/>
              </w:divBdr>
              <w:divsChild>
                <w:div w:id="2018801384">
                  <w:marLeft w:val="0"/>
                  <w:marRight w:val="0"/>
                  <w:marTop w:val="0"/>
                  <w:marBottom w:val="0"/>
                  <w:divBdr>
                    <w:top w:val="none" w:sz="0" w:space="0" w:color="auto"/>
                    <w:left w:val="none" w:sz="0" w:space="0" w:color="auto"/>
                    <w:bottom w:val="none" w:sz="0" w:space="0" w:color="auto"/>
                    <w:right w:val="none" w:sz="0" w:space="0" w:color="auto"/>
                  </w:divBdr>
                  <w:divsChild>
                    <w:div w:id="8219051">
                      <w:marLeft w:val="0"/>
                      <w:marRight w:val="0"/>
                      <w:marTop w:val="0"/>
                      <w:marBottom w:val="0"/>
                      <w:divBdr>
                        <w:top w:val="none" w:sz="0" w:space="0" w:color="auto"/>
                        <w:left w:val="none" w:sz="0" w:space="0" w:color="auto"/>
                        <w:bottom w:val="none" w:sz="0" w:space="0" w:color="auto"/>
                        <w:right w:val="none" w:sz="0" w:space="0" w:color="auto"/>
                      </w:divBdr>
                    </w:div>
                  </w:divsChild>
                </w:div>
                <w:div w:id="2122259328">
                  <w:marLeft w:val="0"/>
                  <w:marRight w:val="0"/>
                  <w:marTop w:val="0"/>
                  <w:marBottom w:val="0"/>
                  <w:divBdr>
                    <w:top w:val="none" w:sz="0" w:space="0" w:color="auto"/>
                    <w:left w:val="none" w:sz="0" w:space="0" w:color="auto"/>
                    <w:bottom w:val="none" w:sz="0" w:space="0" w:color="auto"/>
                    <w:right w:val="none" w:sz="0" w:space="0" w:color="auto"/>
                  </w:divBdr>
                  <w:divsChild>
                    <w:div w:id="1992901964">
                      <w:marLeft w:val="0"/>
                      <w:marRight w:val="0"/>
                      <w:marTop w:val="0"/>
                      <w:marBottom w:val="0"/>
                      <w:divBdr>
                        <w:top w:val="none" w:sz="0" w:space="0" w:color="auto"/>
                        <w:left w:val="none" w:sz="0" w:space="0" w:color="auto"/>
                        <w:bottom w:val="none" w:sz="0" w:space="0" w:color="auto"/>
                        <w:right w:val="none" w:sz="0" w:space="0" w:color="auto"/>
                      </w:divBdr>
                      <w:divsChild>
                        <w:div w:id="351029920">
                          <w:marLeft w:val="0"/>
                          <w:marRight w:val="0"/>
                          <w:marTop w:val="0"/>
                          <w:marBottom w:val="0"/>
                          <w:divBdr>
                            <w:top w:val="none" w:sz="0" w:space="0" w:color="auto"/>
                            <w:left w:val="none" w:sz="0" w:space="0" w:color="auto"/>
                            <w:bottom w:val="none" w:sz="0" w:space="0" w:color="auto"/>
                            <w:right w:val="none" w:sz="0" w:space="0" w:color="auto"/>
                          </w:divBdr>
                          <w:divsChild>
                            <w:div w:id="14066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37888295">
      <w:bodyDiv w:val="1"/>
      <w:marLeft w:val="0"/>
      <w:marRight w:val="0"/>
      <w:marTop w:val="0"/>
      <w:marBottom w:val="0"/>
      <w:divBdr>
        <w:top w:val="none" w:sz="0" w:space="0" w:color="auto"/>
        <w:left w:val="none" w:sz="0" w:space="0" w:color="auto"/>
        <w:bottom w:val="none" w:sz="0" w:space="0" w:color="auto"/>
        <w:right w:val="none" w:sz="0" w:space="0" w:color="auto"/>
      </w:divBdr>
    </w:div>
    <w:div w:id="849027745">
      <w:bodyDiv w:val="1"/>
      <w:marLeft w:val="0"/>
      <w:marRight w:val="0"/>
      <w:marTop w:val="0"/>
      <w:marBottom w:val="0"/>
      <w:divBdr>
        <w:top w:val="none" w:sz="0" w:space="0" w:color="auto"/>
        <w:left w:val="none" w:sz="0" w:space="0" w:color="auto"/>
        <w:bottom w:val="none" w:sz="0" w:space="0" w:color="auto"/>
        <w:right w:val="none" w:sz="0" w:space="0" w:color="auto"/>
      </w:divBdr>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04070547">
      <w:bodyDiv w:val="1"/>
      <w:marLeft w:val="0"/>
      <w:marRight w:val="0"/>
      <w:marTop w:val="0"/>
      <w:marBottom w:val="0"/>
      <w:divBdr>
        <w:top w:val="none" w:sz="0" w:space="0" w:color="auto"/>
        <w:left w:val="none" w:sz="0" w:space="0" w:color="auto"/>
        <w:bottom w:val="none" w:sz="0" w:space="0" w:color="auto"/>
        <w:right w:val="none" w:sz="0" w:space="0" w:color="auto"/>
      </w:divBdr>
      <w:divsChild>
        <w:div w:id="1257061522">
          <w:marLeft w:val="0"/>
          <w:marRight w:val="0"/>
          <w:marTop w:val="0"/>
          <w:marBottom w:val="0"/>
          <w:divBdr>
            <w:top w:val="none" w:sz="0" w:space="0" w:color="auto"/>
            <w:left w:val="none" w:sz="0" w:space="0" w:color="auto"/>
            <w:bottom w:val="none" w:sz="0" w:space="0" w:color="auto"/>
            <w:right w:val="none" w:sz="0" w:space="0" w:color="auto"/>
          </w:divBdr>
          <w:divsChild>
            <w:div w:id="761419347">
              <w:marLeft w:val="0"/>
              <w:marRight w:val="0"/>
              <w:marTop w:val="0"/>
              <w:marBottom w:val="0"/>
              <w:divBdr>
                <w:top w:val="none" w:sz="0" w:space="0" w:color="auto"/>
                <w:left w:val="none" w:sz="0" w:space="0" w:color="auto"/>
                <w:bottom w:val="none" w:sz="0" w:space="0" w:color="auto"/>
                <w:right w:val="none" w:sz="0" w:space="0" w:color="auto"/>
              </w:divBdr>
              <w:divsChild>
                <w:div w:id="1849169758">
                  <w:marLeft w:val="0"/>
                  <w:marRight w:val="0"/>
                  <w:marTop w:val="0"/>
                  <w:marBottom w:val="0"/>
                  <w:divBdr>
                    <w:top w:val="none" w:sz="0" w:space="0" w:color="auto"/>
                    <w:left w:val="none" w:sz="0" w:space="0" w:color="auto"/>
                    <w:bottom w:val="none" w:sz="0" w:space="0" w:color="auto"/>
                    <w:right w:val="none" w:sz="0" w:space="0" w:color="auto"/>
                  </w:divBdr>
                  <w:divsChild>
                    <w:div w:id="1742563672">
                      <w:marLeft w:val="0"/>
                      <w:marRight w:val="0"/>
                      <w:marTop w:val="0"/>
                      <w:marBottom w:val="0"/>
                      <w:divBdr>
                        <w:top w:val="none" w:sz="0" w:space="0" w:color="auto"/>
                        <w:left w:val="none" w:sz="0" w:space="0" w:color="auto"/>
                        <w:bottom w:val="none" w:sz="0" w:space="0" w:color="auto"/>
                        <w:right w:val="none" w:sz="0" w:space="0" w:color="auto"/>
                      </w:divBdr>
                      <w:divsChild>
                        <w:div w:id="556938530">
                          <w:marLeft w:val="0"/>
                          <w:marRight w:val="0"/>
                          <w:marTop w:val="0"/>
                          <w:marBottom w:val="0"/>
                          <w:divBdr>
                            <w:top w:val="none" w:sz="0" w:space="0" w:color="auto"/>
                            <w:left w:val="none" w:sz="0" w:space="0" w:color="auto"/>
                            <w:bottom w:val="none" w:sz="0" w:space="0" w:color="auto"/>
                            <w:right w:val="none" w:sz="0" w:space="0" w:color="auto"/>
                          </w:divBdr>
                          <w:divsChild>
                            <w:div w:id="13891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49536">
                  <w:marLeft w:val="0"/>
                  <w:marRight w:val="0"/>
                  <w:marTop w:val="0"/>
                  <w:marBottom w:val="0"/>
                  <w:divBdr>
                    <w:top w:val="none" w:sz="0" w:space="0" w:color="auto"/>
                    <w:left w:val="none" w:sz="0" w:space="0" w:color="auto"/>
                    <w:bottom w:val="none" w:sz="0" w:space="0" w:color="auto"/>
                    <w:right w:val="none" w:sz="0" w:space="0" w:color="auto"/>
                  </w:divBdr>
                  <w:divsChild>
                    <w:div w:id="204205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7972">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81808291">
      <w:bodyDiv w:val="1"/>
      <w:marLeft w:val="0"/>
      <w:marRight w:val="0"/>
      <w:marTop w:val="0"/>
      <w:marBottom w:val="0"/>
      <w:divBdr>
        <w:top w:val="none" w:sz="0" w:space="0" w:color="auto"/>
        <w:left w:val="none" w:sz="0" w:space="0" w:color="auto"/>
        <w:bottom w:val="none" w:sz="0" w:space="0" w:color="auto"/>
        <w:right w:val="none" w:sz="0" w:space="0" w:color="auto"/>
      </w:divBdr>
    </w:div>
    <w:div w:id="985666116">
      <w:bodyDiv w:val="1"/>
      <w:marLeft w:val="0"/>
      <w:marRight w:val="0"/>
      <w:marTop w:val="0"/>
      <w:marBottom w:val="0"/>
      <w:divBdr>
        <w:top w:val="none" w:sz="0" w:space="0" w:color="auto"/>
        <w:left w:val="none" w:sz="0" w:space="0" w:color="auto"/>
        <w:bottom w:val="none" w:sz="0" w:space="0" w:color="auto"/>
        <w:right w:val="none" w:sz="0" w:space="0" w:color="auto"/>
      </w:divBdr>
    </w:div>
    <w:div w:id="995887489">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16006407">
      <w:bodyDiv w:val="1"/>
      <w:marLeft w:val="0"/>
      <w:marRight w:val="0"/>
      <w:marTop w:val="0"/>
      <w:marBottom w:val="0"/>
      <w:divBdr>
        <w:top w:val="none" w:sz="0" w:space="0" w:color="auto"/>
        <w:left w:val="none" w:sz="0" w:space="0" w:color="auto"/>
        <w:bottom w:val="none" w:sz="0" w:space="0" w:color="auto"/>
        <w:right w:val="none" w:sz="0" w:space="0" w:color="auto"/>
      </w:divBdr>
      <w:divsChild>
        <w:div w:id="2145735874">
          <w:marLeft w:val="0"/>
          <w:marRight w:val="0"/>
          <w:marTop w:val="0"/>
          <w:marBottom w:val="0"/>
          <w:divBdr>
            <w:top w:val="none" w:sz="0" w:space="0" w:color="auto"/>
            <w:left w:val="none" w:sz="0" w:space="0" w:color="auto"/>
            <w:bottom w:val="none" w:sz="0" w:space="0" w:color="auto"/>
            <w:right w:val="none" w:sz="0" w:space="0" w:color="auto"/>
          </w:divBdr>
          <w:divsChild>
            <w:div w:id="738751346">
              <w:marLeft w:val="0"/>
              <w:marRight w:val="0"/>
              <w:marTop w:val="0"/>
              <w:marBottom w:val="0"/>
              <w:divBdr>
                <w:top w:val="none" w:sz="0" w:space="0" w:color="auto"/>
                <w:left w:val="none" w:sz="0" w:space="0" w:color="auto"/>
                <w:bottom w:val="none" w:sz="0" w:space="0" w:color="auto"/>
                <w:right w:val="none" w:sz="0" w:space="0" w:color="auto"/>
              </w:divBdr>
              <w:divsChild>
                <w:div w:id="234897063">
                  <w:marLeft w:val="0"/>
                  <w:marRight w:val="0"/>
                  <w:marTop w:val="0"/>
                  <w:marBottom w:val="0"/>
                  <w:divBdr>
                    <w:top w:val="none" w:sz="0" w:space="0" w:color="auto"/>
                    <w:left w:val="none" w:sz="0" w:space="0" w:color="auto"/>
                    <w:bottom w:val="none" w:sz="0" w:space="0" w:color="auto"/>
                    <w:right w:val="none" w:sz="0" w:space="0" w:color="auto"/>
                  </w:divBdr>
                  <w:divsChild>
                    <w:div w:id="581184192">
                      <w:marLeft w:val="0"/>
                      <w:marRight w:val="0"/>
                      <w:marTop w:val="0"/>
                      <w:marBottom w:val="0"/>
                      <w:divBdr>
                        <w:top w:val="none" w:sz="0" w:space="0" w:color="auto"/>
                        <w:left w:val="none" w:sz="0" w:space="0" w:color="auto"/>
                        <w:bottom w:val="none" w:sz="0" w:space="0" w:color="auto"/>
                        <w:right w:val="none" w:sz="0" w:space="0" w:color="auto"/>
                      </w:divBdr>
                      <w:divsChild>
                        <w:div w:id="1723747671">
                          <w:marLeft w:val="0"/>
                          <w:marRight w:val="0"/>
                          <w:marTop w:val="0"/>
                          <w:marBottom w:val="0"/>
                          <w:divBdr>
                            <w:top w:val="none" w:sz="0" w:space="0" w:color="auto"/>
                            <w:left w:val="none" w:sz="0" w:space="0" w:color="auto"/>
                            <w:bottom w:val="none" w:sz="0" w:space="0" w:color="auto"/>
                            <w:right w:val="none" w:sz="0" w:space="0" w:color="auto"/>
                          </w:divBdr>
                          <w:divsChild>
                            <w:div w:id="21332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82239">
                  <w:marLeft w:val="0"/>
                  <w:marRight w:val="0"/>
                  <w:marTop w:val="0"/>
                  <w:marBottom w:val="0"/>
                  <w:divBdr>
                    <w:top w:val="none" w:sz="0" w:space="0" w:color="auto"/>
                    <w:left w:val="none" w:sz="0" w:space="0" w:color="auto"/>
                    <w:bottom w:val="none" w:sz="0" w:space="0" w:color="auto"/>
                    <w:right w:val="none" w:sz="0" w:space="0" w:color="auto"/>
                  </w:divBdr>
                  <w:divsChild>
                    <w:div w:id="9404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76962497">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41519395">
      <w:bodyDiv w:val="1"/>
      <w:marLeft w:val="0"/>
      <w:marRight w:val="0"/>
      <w:marTop w:val="0"/>
      <w:marBottom w:val="0"/>
      <w:divBdr>
        <w:top w:val="none" w:sz="0" w:space="0" w:color="auto"/>
        <w:left w:val="none" w:sz="0" w:space="0" w:color="auto"/>
        <w:bottom w:val="none" w:sz="0" w:space="0" w:color="auto"/>
        <w:right w:val="none" w:sz="0" w:space="0" w:color="auto"/>
      </w:divBdr>
    </w:div>
    <w:div w:id="1260799352">
      <w:bodyDiv w:val="1"/>
      <w:marLeft w:val="0"/>
      <w:marRight w:val="0"/>
      <w:marTop w:val="0"/>
      <w:marBottom w:val="0"/>
      <w:divBdr>
        <w:top w:val="none" w:sz="0" w:space="0" w:color="auto"/>
        <w:left w:val="none" w:sz="0" w:space="0" w:color="auto"/>
        <w:bottom w:val="none" w:sz="0" w:space="0" w:color="auto"/>
        <w:right w:val="none" w:sz="0" w:space="0" w:color="auto"/>
      </w:divBdr>
      <w:divsChild>
        <w:div w:id="814294601">
          <w:marLeft w:val="0"/>
          <w:marRight w:val="0"/>
          <w:marTop w:val="0"/>
          <w:marBottom w:val="0"/>
          <w:divBdr>
            <w:top w:val="none" w:sz="0" w:space="0" w:color="auto"/>
            <w:left w:val="none" w:sz="0" w:space="0" w:color="auto"/>
            <w:bottom w:val="none" w:sz="0" w:space="0" w:color="auto"/>
            <w:right w:val="none" w:sz="0" w:space="0" w:color="auto"/>
          </w:divBdr>
          <w:divsChild>
            <w:div w:id="910316454">
              <w:marLeft w:val="0"/>
              <w:marRight w:val="0"/>
              <w:marTop w:val="0"/>
              <w:marBottom w:val="0"/>
              <w:divBdr>
                <w:top w:val="none" w:sz="0" w:space="0" w:color="auto"/>
                <w:left w:val="none" w:sz="0" w:space="0" w:color="auto"/>
                <w:bottom w:val="none" w:sz="0" w:space="0" w:color="auto"/>
                <w:right w:val="none" w:sz="0" w:space="0" w:color="auto"/>
              </w:divBdr>
              <w:divsChild>
                <w:div w:id="1674335853">
                  <w:marLeft w:val="0"/>
                  <w:marRight w:val="0"/>
                  <w:marTop w:val="0"/>
                  <w:marBottom w:val="0"/>
                  <w:divBdr>
                    <w:top w:val="none" w:sz="0" w:space="0" w:color="auto"/>
                    <w:left w:val="none" w:sz="0" w:space="0" w:color="auto"/>
                    <w:bottom w:val="none" w:sz="0" w:space="0" w:color="auto"/>
                    <w:right w:val="none" w:sz="0" w:space="0" w:color="auto"/>
                  </w:divBdr>
                  <w:divsChild>
                    <w:div w:id="1360159850">
                      <w:marLeft w:val="0"/>
                      <w:marRight w:val="0"/>
                      <w:marTop w:val="0"/>
                      <w:marBottom w:val="0"/>
                      <w:divBdr>
                        <w:top w:val="none" w:sz="0" w:space="0" w:color="auto"/>
                        <w:left w:val="none" w:sz="0" w:space="0" w:color="auto"/>
                        <w:bottom w:val="none" w:sz="0" w:space="0" w:color="auto"/>
                        <w:right w:val="none" w:sz="0" w:space="0" w:color="auto"/>
                      </w:divBdr>
                      <w:divsChild>
                        <w:div w:id="1879538729">
                          <w:marLeft w:val="0"/>
                          <w:marRight w:val="0"/>
                          <w:marTop w:val="0"/>
                          <w:marBottom w:val="0"/>
                          <w:divBdr>
                            <w:top w:val="none" w:sz="0" w:space="0" w:color="auto"/>
                            <w:left w:val="none" w:sz="0" w:space="0" w:color="auto"/>
                            <w:bottom w:val="none" w:sz="0" w:space="0" w:color="auto"/>
                            <w:right w:val="none" w:sz="0" w:space="0" w:color="auto"/>
                          </w:divBdr>
                          <w:divsChild>
                            <w:div w:id="17462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486141">
                  <w:marLeft w:val="0"/>
                  <w:marRight w:val="0"/>
                  <w:marTop w:val="0"/>
                  <w:marBottom w:val="0"/>
                  <w:divBdr>
                    <w:top w:val="none" w:sz="0" w:space="0" w:color="auto"/>
                    <w:left w:val="none" w:sz="0" w:space="0" w:color="auto"/>
                    <w:bottom w:val="none" w:sz="0" w:space="0" w:color="auto"/>
                    <w:right w:val="none" w:sz="0" w:space="0" w:color="auto"/>
                  </w:divBdr>
                  <w:divsChild>
                    <w:div w:id="81749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84773642">
      <w:bodyDiv w:val="1"/>
      <w:marLeft w:val="0"/>
      <w:marRight w:val="0"/>
      <w:marTop w:val="0"/>
      <w:marBottom w:val="0"/>
      <w:divBdr>
        <w:top w:val="none" w:sz="0" w:space="0" w:color="auto"/>
        <w:left w:val="none" w:sz="0" w:space="0" w:color="auto"/>
        <w:bottom w:val="none" w:sz="0" w:space="0" w:color="auto"/>
        <w:right w:val="none" w:sz="0" w:space="0" w:color="auto"/>
      </w:divBdr>
      <w:divsChild>
        <w:div w:id="398862958">
          <w:marLeft w:val="0"/>
          <w:marRight w:val="0"/>
          <w:marTop w:val="0"/>
          <w:marBottom w:val="0"/>
          <w:divBdr>
            <w:top w:val="none" w:sz="0" w:space="0" w:color="auto"/>
            <w:left w:val="none" w:sz="0" w:space="0" w:color="auto"/>
            <w:bottom w:val="none" w:sz="0" w:space="0" w:color="auto"/>
            <w:right w:val="none" w:sz="0" w:space="0" w:color="auto"/>
          </w:divBdr>
          <w:divsChild>
            <w:div w:id="452788872">
              <w:marLeft w:val="0"/>
              <w:marRight w:val="0"/>
              <w:marTop w:val="0"/>
              <w:marBottom w:val="0"/>
              <w:divBdr>
                <w:top w:val="none" w:sz="0" w:space="0" w:color="auto"/>
                <w:left w:val="none" w:sz="0" w:space="0" w:color="auto"/>
                <w:bottom w:val="none" w:sz="0" w:space="0" w:color="auto"/>
                <w:right w:val="none" w:sz="0" w:space="0" w:color="auto"/>
              </w:divBdr>
              <w:divsChild>
                <w:div w:id="1860698295">
                  <w:marLeft w:val="0"/>
                  <w:marRight w:val="0"/>
                  <w:marTop w:val="0"/>
                  <w:marBottom w:val="0"/>
                  <w:divBdr>
                    <w:top w:val="none" w:sz="0" w:space="0" w:color="auto"/>
                    <w:left w:val="none" w:sz="0" w:space="0" w:color="auto"/>
                    <w:bottom w:val="none" w:sz="0" w:space="0" w:color="auto"/>
                    <w:right w:val="none" w:sz="0" w:space="0" w:color="auto"/>
                  </w:divBdr>
                  <w:divsChild>
                    <w:div w:id="956566134">
                      <w:marLeft w:val="0"/>
                      <w:marRight w:val="0"/>
                      <w:marTop w:val="0"/>
                      <w:marBottom w:val="0"/>
                      <w:divBdr>
                        <w:top w:val="none" w:sz="0" w:space="0" w:color="auto"/>
                        <w:left w:val="none" w:sz="0" w:space="0" w:color="auto"/>
                        <w:bottom w:val="none" w:sz="0" w:space="0" w:color="auto"/>
                        <w:right w:val="none" w:sz="0" w:space="0" w:color="auto"/>
                      </w:divBdr>
                      <w:divsChild>
                        <w:div w:id="1944537268">
                          <w:marLeft w:val="0"/>
                          <w:marRight w:val="0"/>
                          <w:marTop w:val="0"/>
                          <w:marBottom w:val="0"/>
                          <w:divBdr>
                            <w:top w:val="none" w:sz="0" w:space="0" w:color="auto"/>
                            <w:left w:val="none" w:sz="0" w:space="0" w:color="auto"/>
                            <w:bottom w:val="none" w:sz="0" w:space="0" w:color="auto"/>
                            <w:right w:val="none" w:sz="0" w:space="0" w:color="auto"/>
                          </w:divBdr>
                          <w:divsChild>
                            <w:div w:id="8481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6640">
                  <w:marLeft w:val="0"/>
                  <w:marRight w:val="0"/>
                  <w:marTop w:val="0"/>
                  <w:marBottom w:val="0"/>
                  <w:divBdr>
                    <w:top w:val="none" w:sz="0" w:space="0" w:color="auto"/>
                    <w:left w:val="none" w:sz="0" w:space="0" w:color="auto"/>
                    <w:bottom w:val="none" w:sz="0" w:space="0" w:color="auto"/>
                    <w:right w:val="none" w:sz="0" w:space="0" w:color="auto"/>
                  </w:divBdr>
                  <w:divsChild>
                    <w:div w:id="18069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31174780">
      <w:bodyDiv w:val="1"/>
      <w:marLeft w:val="0"/>
      <w:marRight w:val="0"/>
      <w:marTop w:val="0"/>
      <w:marBottom w:val="0"/>
      <w:divBdr>
        <w:top w:val="none" w:sz="0" w:space="0" w:color="auto"/>
        <w:left w:val="none" w:sz="0" w:space="0" w:color="auto"/>
        <w:bottom w:val="none" w:sz="0" w:space="0" w:color="auto"/>
        <w:right w:val="none" w:sz="0" w:space="0" w:color="auto"/>
      </w:divBdr>
      <w:divsChild>
        <w:div w:id="94060582">
          <w:blockQuote w:val="1"/>
          <w:marLeft w:val="720"/>
          <w:marRight w:val="720"/>
          <w:marTop w:val="100"/>
          <w:marBottom w:val="100"/>
          <w:divBdr>
            <w:top w:val="none" w:sz="0" w:space="0" w:color="auto"/>
            <w:left w:val="none" w:sz="0" w:space="0" w:color="auto"/>
            <w:bottom w:val="none" w:sz="0" w:space="0" w:color="auto"/>
            <w:right w:val="none" w:sz="0" w:space="0" w:color="auto"/>
          </w:divBdr>
        </w:div>
        <w:div w:id="37188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12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222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73000471">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073065">
      <w:bodyDiv w:val="1"/>
      <w:marLeft w:val="0"/>
      <w:marRight w:val="0"/>
      <w:marTop w:val="0"/>
      <w:marBottom w:val="0"/>
      <w:divBdr>
        <w:top w:val="none" w:sz="0" w:space="0" w:color="auto"/>
        <w:left w:val="none" w:sz="0" w:space="0" w:color="auto"/>
        <w:bottom w:val="none" w:sz="0" w:space="0" w:color="auto"/>
        <w:right w:val="none" w:sz="0" w:space="0" w:color="auto"/>
      </w:divBdr>
      <w:divsChild>
        <w:div w:id="484391662">
          <w:marLeft w:val="0"/>
          <w:marRight w:val="0"/>
          <w:marTop w:val="0"/>
          <w:marBottom w:val="0"/>
          <w:divBdr>
            <w:top w:val="none" w:sz="0" w:space="0" w:color="auto"/>
            <w:left w:val="none" w:sz="0" w:space="0" w:color="auto"/>
            <w:bottom w:val="none" w:sz="0" w:space="0" w:color="auto"/>
            <w:right w:val="none" w:sz="0" w:space="0" w:color="auto"/>
          </w:divBdr>
          <w:divsChild>
            <w:div w:id="591856547">
              <w:marLeft w:val="0"/>
              <w:marRight w:val="0"/>
              <w:marTop w:val="0"/>
              <w:marBottom w:val="0"/>
              <w:divBdr>
                <w:top w:val="none" w:sz="0" w:space="0" w:color="auto"/>
                <w:left w:val="none" w:sz="0" w:space="0" w:color="auto"/>
                <w:bottom w:val="none" w:sz="0" w:space="0" w:color="auto"/>
                <w:right w:val="none" w:sz="0" w:space="0" w:color="auto"/>
              </w:divBdr>
              <w:divsChild>
                <w:div w:id="26108242">
                  <w:marLeft w:val="0"/>
                  <w:marRight w:val="0"/>
                  <w:marTop w:val="0"/>
                  <w:marBottom w:val="0"/>
                  <w:divBdr>
                    <w:top w:val="none" w:sz="0" w:space="0" w:color="auto"/>
                    <w:left w:val="none" w:sz="0" w:space="0" w:color="auto"/>
                    <w:bottom w:val="none" w:sz="0" w:space="0" w:color="auto"/>
                    <w:right w:val="none" w:sz="0" w:space="0" w:color="auto"/>
                  </w:divBdr>
                  <w:divsChild>
                    <w:div w:id="872301176">
                      <w:marLeft w:val="0"/>
                      <w:marRight w:val="0"/>
                      <w:marTop w:val="0"/>
                      <w:marBottom w:val="0"/>
                      <w:divBdr>
                        <w:top w:val="none" w:sz="0" w:space="0" w:color="auto"/>
                        <w:left w:val="none" w:sz="0" w:space="0" w:color="auto"/>
                        <w:bottom w:val="none" w:sz="0" w:space="0" w:color="auto"/>
                        <w:right w:val="none" w:sz="0" w:space="0" w:color="auto"/>
                      </w:divBdr>
                      <w:divsChild>
                        <w:div w:id="785387492">
                          <w:marLeft w:val="0"/>
                          <w:marRight w:val="0"/>
                          <w:marTop w:val="0"/>
                          <w:marBottom w:val="0"/>
                          <w:divBdr>
                            <w:top w:val="none" w:sz="0" w:space="0" w:color="auto"/>
                            <w:left w:val="none" w:sz="0" w:space="0" w:color="auto"/>
                            <w:bottom w:val="none" w:sz="0" w:space="0" w:color="auto"/>
                            <w:right w:val="none" w:sz="0" w:space="0" w:color="auto"/>
                          </w:divBdr>
                          <w:divsChild>
                            <w:div w:id="169896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866">
                  <w:marLeft w:val="0"/>
                  <w:marRight w:val="0"/>
                  <w:marTop w:val="0"/>
                  <w:marBottom w:val="0"/>
                  <w:divBdr>
                    <w:top w:val="none" w:sz="0" w:space="0" w:color="auto"/>
                    <w:left w:val="none" w:sz="0" w:space="0" w:color="auto"/>
                    <w:bottom w:val="none" w:sz="0" w:space="0" w:color="auto"/>
                    <w:right w:val="none" w:sz="0" w:space="0" w:color="auto"/>
                  </w:divBdr>
                  <w:divsChild>
                    <w:div w:id="4823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741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054">
          <w:marLeft w:val="0"/>
          <w:marRight w:val="0"/>
          <w:marTop w:val="0"/>
          <w:marBottom w:val="0"/>
          <w:divBdr>
            <w:top w:val="none" w:sz="0" w:space="0" w:color="auto"/>
            <w:left w:val="none" w:sz="0" w:space="0" w:color="auto"/>
            <w:bottom w:val="none" w:sz="0" w:space="0" w:color="auto"/>
            <w:right w:val="none" w:sz="0" w:space="0" w:color="auto"/>
          </w:divBdr>
          <w:divsChild>
            <w:div w:id="2073774873">
              <w:marLeft w:val="0"/>
              <w:marRight w:val="0"/>
              <w:marTop w:val="0"/>
              <w:marBottom w:val="0"/>
              <w:divBdr>
                <w:top w:val="none" w:sz="0" w:space="0" w:color="auto"/>
                <w:left w:val="none" w:sz="0" w:space="0" w:color="auto"/>
                <w:bottom w:val="none" w:sz="0" w:space="0" w:color="auto"/>
                <w:right w:val="none" w:sz="0" w:space="0" w:color="auto"/>
              </w:divBdr>
              <w:divsChild>
                <w:div w:id="1103651632">
                  <w:marLeft w:val="0"/>
                  <w:marRight w:val="0"/>
                  <w:marTop w:val="0"/>
                  <w:marBottom w:val="0"/>
                  <w:divBdr>
                    <w:top w:val="none" w:sz="0" w:space="0" w:color="auto"/>
                    <w:left w:val="none" w:sz="0" w:space="0" w:color="auto"/>
                    <w:bottom w:val="none" w:sz="0" w:space="0" w:color="auto"/>
                    <w:right w:val="none" w:sz="0" w:space="0" w:color="auto"/>
                  </w:divBdr>
                  <w:divsChild>
                    <w:div w:id="1191921060">
                      <w:marLeft w:val="0"/>
                      <w:marRight w:val="0"/>
                      <w:marTop w:val="0"/>
                      <w:marBottom w:val="0"/>
                      <w:divBdr>
                        <w:top w:val="none" w:sz="0" w:space="0" w:color="auto"/>
                        <w:left w:val="none" w:sz="0" w:space="0" w:color="auto"/>
                        <w:bottom w:val="none" w:sz="0" w:space="0" w:color="auto"/>
                        <w:right w:val="none" w:sz="0" w:space="0" w:color="auto"/>
                      </w:divBdr>
                      <w:divsChild>
                        <w:div w:id="1977562831">
                          <w:marLeft w:val="0"/>
                          <w:marRight w:val="0"/>
                          <w:marTop w:val="0"/>
                          <w:marBottom w:val="0"/>
                          <w:divBdr>
                            <w:top w:val="none" w:sz="0" w:space="0" w:color="auto"/>
                            <w:left w:val="none" w:sz="0" w:space="0" w:color="auto"/>
                            <w:bottom w:val="none" w:sz="0" w:space="0" w:color="auto"/>
                            <w:right w:val="none" w:sz="0" w:space="0" w:color="auto"/>
                          </w:divBdr>
                          <w:divsChild>
                            <w:div w:id="11576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80295">
                  <w:marLeft w:val="0"/>
                  <w:marRight w:val="0"/>
                  <w:marTop w:val="0"/>
                  <w:marBottom w:val="0"/>
                  <w:divBdr>
                    <w:top w:val="none" w:sz="0" w:space="0" w:color="auto"/>
                    <w:left w:val="none" w:sz="0" w:space="0" w:color="auto"/>
                    <w:bottom w:val="none" w:sz="0" w:space="0" w:color="auto"/>
                    <w:right w:val="none" w:sz="0" w:space="0" w:color="auto"/>
                  </w:divBdr>
                  <w:divsChild>
                    <w:div w:id="13370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39450404">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67704369">
      <w:bodyDiv w:val="1"/>
      <w:marLeft w:val="0"/>
      <w:marRight w:val="0"/>
      <w:marTop w:val="0"/>
      <w:marBottom w:val="0"/>
      <w:divBdr>
        <w:top w:val="none" w:sz="0" w:space="0" w:color="auto"/>
        <w:left w:val="none" w:sz="0" w:space="0" w:color="auto"/>
        <w:bottom w:val="none" w:sz="0" w:space="0" w:color="auto"/>
        <w:right w:val="none" w:sz="0" w:space="0" w:color="auto"/>
      </w:divBdr>
      <w:divsChild>
        <w:div w:id="1628048714">
          <w:marLeft w:val="0"/>
          <w:marRight w:val="0"/>
          <w:marTop w:val="0"/>
          <w:marBottom w:val="0"/>
          <w:divBdr>
            <w:top w:val="none" w:sz="0" w:space="0" w:color="auto"/>
            <w:left w:val="none" w:sz="0" w:space="0" w:color="auto"/>
            <w:bottom w:val="none" w:sz="0" w:space="0" w:color="auto"/>
            <w:right w:val="none" w:sz="0" w:space="0" w:color="auto"/>
          </w:divBdr>
          <w:divsChild>
            <w:div w:id="1400982359">
              <w:marLeft w:val="0"/>
              <w:marRight w:val="0"/>
              <w:marTop w:val="0"/>
              <w:marBottom w:val="0"/>
              <w:divBdr>
                <w:top w:val="none" w:sz="0" w:space="0" w:color="auto"/>
                <w:left w:val="none" w:sz="0" w:space="0" w:color="auto"/>
                <w:bottom w:val="none" w:sz="0" w:space="0" w:color="auto"/>
                <w:right w:val="none" w:sz="0" w:space="0" w:color="auto"/>
              </w:divBdr>
              <w:divsChild>
                <w:div w:id="403338547">
                  <w:marLeft w:val="0"/>
                  <w:marRight w:val="0"/>
                  <w:marTop w:val="0"/>
                  <w:marBottom w:val="0"/>
                  <w:divBdr>
                    <w:top w:val="none" w:sz="0" w:space="0" w:color="auto"/>
                    <w:left w:val="none" w:sz="0" w:space="0" w:color="auto"/>
                    <w:bottom w:val="none" w:sz="0" w:space="0" w:color="auto"/>
                    <w:right w:val="none" w:sz="0" w:space="0" w:color="auto"/>
                  </w:divBdr>
                  <w:divsChild>
                    <w:div w:id="610862454">
                      <w:marLeft w:val="0"/>
                      <w:marRight w:val="0"/>
                      <w:marTop w:val="0"/>
                      <w:marBottom w:val="0"/>
                      <w:divBdr>
                        <w:top w:val="none" w:sz="0" w:space="0" w:color="auto"/>
                        <w:left w:val="none" w:sz="0" w:space="0" w:color="auto"/>
                        <w:bottom w:val="none" w:sz="0" w:space="0" w:color="auto"/>
                        <w:right w:val="none" w:sz="0" w:space="0" w:color="auto"/>
                      </w:divBdr>
                    </w:div>
                  </w:divsChild>
                </w:div>
                <w:div w:id="1779257878">
                  <w:marLeft w:val="0"/>
                  <w:marRight w:val="0"/>
                  <w:marTop w:val="0"/>
                  <w:marBottom w:val="0"/>
                  <w:divBdr>
                    <w:top w:val="none" w:sz="0" w:space="0" w:color="auto"/>
                    <w:left w:val="none" w:sz="0" w:space="0" w:color="auto"/>
                    <w:bottom w:val="none" w:sz="0" w:space="0" w:color="auto"/>
                    <w:right w:val="none" w:sz="0" w:space="0" w:color="auto"/>
                  </w:divBdr>
                  <w:divsChild>
                    <w:div w:id="307057189">
                      <w:marLeft w:val="0"/>
                      <w:marRight w:val="0"/>
                      <w:marTop w:val="0"/>
                      <w:marBottom w:val="0"/>
                      <w:divBdr>
                        <w:top w:val="none" w:sz="0" w:space="0" w:color="auto"/>
                        <w:left w:val="none" w:sz="0" w:space="0" w:color="auto"/>
                        <w:bottom w:val="none" w:sz="0" w:space="0" w:color="auto"/>
                        <w:right w:val="none" w:sz="0" w:space="0" w:color="auto"/>
                      </w:divBdr>
                      <w:divsChild>
                        <w:div w:id="1719864271">
                          <w:marLeft w:val="0"/>
                          <w:marRight w:val="0"/>
                          <w:marTop w:val="0"/>
                          <w:marBottom w:val="0"/>
                          <w:divBdr>
                            <w:top w:val="none" w:sz="0" w:space="0" w:color="auto"/>
                            <w:left w:val="none" w:sz="0" w:space="0" w:color="auto"/>
                            <w:bottom w:val="none" w:sz="0" w:space="0" w:color="auto"/>
                            <w:right w:val="none" w:sz="0" w:space="0" w:color="auto"/>
                          </w:divBdr>
                          <w:divsChild>
                            <w:div w:id="21431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510295947">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3054534">
      <w:bodyDiv w:val="1"/>
      <w:marLeft w:val="0"/>
      <w:marRight w:val="0"/>
      <w:marTop w:val="0"/>
      <w:marBottom w:val="0"/>
      <w:divBdr>
        <w:top w:val="none" w:sz="0" w:space="0" w:color="auto"/>
        <w:left w:val="none" w:sz="0" w:space="0" w:color="auto"/>
        <w:bottom w:val="none" w:sz="0" w:space="0" w:color="auto"/>
        <w:right w:val="none" w:sz="0" w:space="0" w:color="auto"/>
      </w:divBdr>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599170312">
      <w:bodyDiv w:val="1"/>
      <w:marLeft w:val="0"/>
      <w:marRight w:val="0"/>
      <w:marTop w:val="0"/>
      <w:marBottom w:val="0"/>
      <w:divBdr>
        <w:top w:val="none" w:sz="0" w:space="0" w:color="auto"/>
        <w:left w:val="none" w:sz="0" w:space="0" w:color="auto"/>
        <w:bottom w:val="none" w:sz="0" w:space="0" w:color="auto"/>
        <w:right w:val="none" w:sz="0" w:space="0" w:color="auto"/>
      </w:divBdr>
      <w:divsChild>
        <w:div w:id="670373999">
          <w:marLeft w:val="0"/>
          <w:marRight w:val="0"/>
          <w:marTop w:val="0"/>
          <w:marBottom w:val="0"/>
          <w:divBdr>
            <w:top w:val="none" w:sz="0" w:space="0" w:color="auto"/>
            <w:left w:val="none" w:sz="0" w:space="0" w:color="auto"/>
            <w:bottom w:val="none" w:sz="0" w:space="0" w:color="auto"/>
            <w:right w:val="none" w:sz="0" w:space="0" w:color="auto"/>
          </w:divBdr>
          <w:divsChild>
            <w:div w:id="1558472992">
              <w:marLeft w:val="0"/>
              <w:marRight w:val="0"/>
              <w:marTop w:val="0"/>
              <w:marBottom w:val="0"/>
              <w:divBdr>
                <w:top w:val="none" w:sz="0" w:space="0" w:color="auto"/>
                <w:left w:val="none" w:sz="0" w:space="0" w:color="auto"/>
                <w:bottom w:val="none" w:sz="0" w:space="0" w:color="auto"/>
                <w:right w:val="none" w:sz="0" w:space="0" w:color="auto"/>
              </w:divBdr>
              <w:divsChild>
                <w:div w:id="99955709">
                  <w:marLeft w:val="0"/>
                  <w:marRight w:val="0"/>
                  <w:marTop w:val="0"/>
                  <w:marBottom w:val="0"/>
                  <w:divBdr>
                    <w:top w:val="none" w:sz="0" w:space="0" w:color="auto"/>
                    <w:left w:val="none" w:sz="0" w:space="0" w:color="auto"/>
                    <w:bottom w:val="none" w:sz="0" w:space="0" w:color="auto"/>
                    <w:right w:val="none" w:sz="0" w:space="0" w:color="auto"/>
                  </w:divBdr>
                  <w:divsChild>
                    <w:div w:id="1282027967">
                      <w:marLeft w:val="0"/>
                      <w:marRight w:val="0"/>
                      <w:marTop w:val="0"/>
                      <w:marBottom w:val="0"/>
                      <w:divBdr>
                        <w:top w:val="none" w:sz="0" w:space="0" w:color="auto"/>
                        <w:left w:val="none" w:sz="0" w:space="0" w:color="auto"/>
                        <w:bottom w:val="none" w:sz="0" w:space="0" w:color="auto"/>
                        <w:right w:val="none" w:sz="0" w:space="0" w:color="auto"/>
                      </w:divBdr>
                      <w:divsChild>
                        <w:div w:id="1881933860">
                          <w:marLeft w:val="0"/>
                          <w:marRight w:val="0"/>
                          <w:marTop w:val="0"/>
                          <w:marBottom w:val="0"/>
                          <w:divBdr>
                            <w:top w:val="none" w:sz="0" w:space="0" w:color="auto"/>
                            <w:left w:val="none" w:sz="0" w:space="0" w:color="auto"/>
                            <w:bottom w:val="none" w:sz="0" w:space="0" w:color="auto"/>
                            <w:right w:val="none" w:sz="0" w:space="0" w:color="auto"/>
                          </w:divBdr>
                          <w:divsChild>
                            <w:div w:id="1746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3599">
                  <w:marLeft w:val="0"/>
                  <w:marRight w:val="0"/>
                  <w:marTop w:val="0"/>
                  <w:marBottom w:val="0"/>
                  <w:divBdr>
                    <w:top w:val="none" w:sz="0" w:space="0" w:color="auto"/>
                    <w:left w:val="none" w:sz="0" w:space="0" w:color="auto"/>
                    <w:bottom w:val="none" w:sz="0" w:space="0" w:color="auto"/>
                    <w:right w:val="none" w:sz="0" w:space="0" w:color="auto"/>
                  </w:divBdr>
                  <w:divsChild>
                    <w:div w:id="3636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16981790">
      <w:bodyDiv w:val="1"/>
      <w:marLeft w:val="0"/>
      <w:marRight w:val="0"/>
      <w:marTop w:val="0"/>
      <w:marBottom w:val="0"/>
      <w:divBdr>
        <w:top w:val="none" w:sz="0" w:space="0" w:color="auto"/>
        <w:left w:val="none" w:sz="0" w:space="0" w:color="auto"/>
        <w:bottom w:val="none" w:sz="0" w:space="0" w:color="auto"/>
        <w:right w:val="none" w:sz="0" w:space="0" w:color="auto"/>
      </w:divBdr>
    </w:div>
    <w:div w:id="1666933759">
      <w:bodyDiv w:val="1"/>
      <w:marLeft w:val="0"/>
      <w:marRight w:val="0"/>
      <w:marTop w:val="0"/>
      <w:marBottom w:val="0"/>
      <w:divBdr>
        <w:top w:val="none" w:sz="0" w:space="0" w:color="auto"/>
        <w:left w:val="none" w:sz="0" w:space="0" w:color="auto"/>
        <w:bottom w:val="none" w:sz="0" w:space="0" w:color="auto"/>
        <w:right w:val="none" w:sz="0" w:space="0" w:color="auto"/>
      </w:divBdr>
    </w:div>
    <w:div w:id="1670057234">
      <w:bodyDiv w:val="1"/>
      <w:marLeft w:val="0"/>
      <w:marRight w:val="0"/>
      <w:marTop w:val="0"/>
      <w:marBottom w:val="0"/>
      <w:divBdr>
        <w:top w:val="none" w:sz="0" w:space="0" w:color="auto"/>
        <w:left w:val="none" w:sz="0" w:space="0" w:color="auto"/>
        <w:bottom w:val="none" w:sz="0" w:space="0" w:color="auto"/>
        <w:right w:val="none" w:sz="0" w:space="0" w:color="auto"/>
      </w:divBdr>
    </w:div>
    <w:div w:id="1676415628">
      <w:bodyDiv w:val="1"/>
      <w:marLeft w:val="0"/>
      <w:marRight w:val="0"/>
      <w:marTop w:val="0"/>
      <w:marBottom w:val="0"/>
      <w:divBdr>
        <w:top w:val="none" w:sz="0" w:space="0" w:color="auto"/>
        <w:left w:val="none" w:sz="0" w:space="0" w:color="auto"/>
        <w:bottom w:val="none" w:sz="0" w:space="0" w:color="auto"/>
        <w:right w:val="none" w:sz="0" w:space="0" w:color="auto"/>
      </w:divBdr>
      <w:divsChild>
        <w:div w:id="547031714">
          <w:marLeft w:val="0"/>
          <w:marRight w:val="0"/>
          <w:marTop w:val="0"/>
          <w:marBottom w:val="0"/>
          <w:divBdr>
            <w:top w:val="none" w:sz="0" w:space="0" w:color="auto"/>
            <w:left w:val="none" w:sz="0" w:space="0" w:color="auto"/>
            <w:bottom w:val="none" w:sz="0" w:space="0" w:color="auto"/>
            <w:right w:val="none" w:sz="0" w:space="0" w:color="auto"/>
          </w:divBdr>
          <w:divsChild>
            <w:div w:id="1794056485">
              <w:marLeft w:val="0"/>
              <w:marRight w:val="0"/>
              <w:marTop w:val="0"/>
              <w:marBottom w:val="0"/>
              <w:divBdr>
                <w:top w:val="none" w:sz="0" w:space="0" w:color="auto"/>
                <w:left w:val="none" w:sz="0" w:space="0" w:color="auto"/>
                <w:bottom w:val="none" w:sz="0" w:space="0" w:color="auto"/>
                <w:right w:val="none" w:sz="0" w:space="0" w:color="auto"/>
              </w:divBdr>
              <w:divsChild>
                <w:div w:id="918565175">
                  <w:marLeft w:val="0"/>
                  <w:marRight w:val="0"/>
                  <w:marTop w:val="0"/>
                  <w:marBottom w:val="0"/>
                  <w:divBdr>
                    <w:top w:val="none" w:sz="0" w:space="0" w:color="auto"/>
                    <w:left w:val="none" w:sz="0" w:space="0" w:color="auto"/>
                    <w:bottom w:val="none" w:sz="0" w:space="0" w:color="auto"/>
                    <w:right w:val="none" w:sz="0" w:space="0" w:color="auto"/>
                  </w:divBdr>
                  <w:divsChild>
                    <w:div w:id="445739744">
                      <w:marLeft w:val="0"/>
                      <w:marRight w:val="0"/>
                      <w:marTop w:val="0"/>
                      <w:marBottom w:val="0"/>
                      <w:divBdr>
                        <w:top w:val="none" w:sz="0" w:space="0" w:color="auto"/>
                        <w:left w:val="none" w:sz="0" w:space="0" w:color="auto"/>
                        <w:bottom w:val="none" w:sz="0" w:space="0" w:color="auto"/>
                        <w:right w:val="none" w:sz="0" w:space="0" w:color="auto"/>
                      </w:divBdr>
                      <w:divsChild>
                        <w:div w:id="1020399571">
                          <w:marLeft w:val="0"/>
                          <w:marRight w:val="0"/>
                          <w:marTop w:val="0"/>
                          <w:marBottom w:val="0"/>
                          <w:divBdr>
                            <w:top w:val="none" w:sz="0" w:space="0" w:color="auto"/>
                            <w:left w:val="none" w:sz="0" w:space="0" w:color="auto"/>
                            <w:bottom w:val="none" w:sz="0" w:space="0" w:color="auto"/>
                            <w:right w:val="none" w:sz="0" w:space="0" w:color="auto"/>
                          </w:divBdr>
                          <w:divsChild>
                            <w:div w:id="49966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464598">
                  <w:marLeft w:val="0"/>
                  <w:marRight w:val="0"/>
                  <w:marTop w:val="0"/>
                  <w:marBottom w:val="0"/>
                  <w:divBdr>
                    <w:top w:val="none" w:sz="0" w:space="0" w:color="auto"/>
                    <w:left w:val="none" w:sz="0" w:space="0" w:color="auto"/>
                    <w:bottom w:val="none" w:sz="0" w:space="0" w:color="auto"/>
                    <w:right w:val="none" w:sz="0" w:space="0" w:color="auto"/>
                  </w:divBdr>
                  <w:divsChild>
                    <w:div w:id="546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743749">
      <w:bodyDiv w:val="1"/>
      <w:marLeft w:val="0"/>
      <w:marRight w:val="0"/>
      <w:marTop w:val="0"/>
      <w:marBottom w:val="0"/>
      <w:divBdr>
        <w:top w:val="none" w:sz="0" w:space="0" w:color="auto"/>
        <w:left w:val="none" w:sz="0" w:space="0" w:color="auto"/>
        <w:bottom w:val="none" w:sz="0" w:space="0" w:color="auto"/>
        <w:right w:val="none" w:sz="0" w:space="0" w:color="auto"/>
      </w:divBdr>
    </w:div>
    <w:div w:id="1688018306">
      <w:bodyDiv w:val="1"/>
      <w:marLeft w:val="0"/>
      <w:marRight w:val="0"/>
      <w:marTop w:val="0"/>
      <w:marBottom w:val="0"/>
      <w:divBdr>
        <w:top w:val="none" w:sz="0" w:space="0" w:color="auto"/>
        <w:left w:val="none" w:sz="0" w:space="0" w:color="auto"/>
        <w:bottom w:val="none" w:sz="0" w:space="0" w:color="auto"/>
        <w:right w:val="none" w:sz="0" w:space="0" w:color="auto"/>
      </w:divBdr>
      <w:divsChild>
        <w:div w:id="30103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07557820">
      <w:bodyDiv w:val="1"/>
      <w:marLeft w:val="0"/>
      <w:marRight w:val="0"/>
      <w:marTop w:val="0"/>
      <w:marBottom w:val="0"/>
      <w:divBdr>
        <w:top w:val="none" w:sz="0" w:space="0" w:color="auto"/>
        <w:left w:val="none" w:sz="0" w:space="0" w:color="auto"/>
        <w:bottom w:val="none" w:sz="0" w:space="0" w:color="auto"/>
        <w:right w:val="none" w:sz="0" w:space="0" w:color="auto"/>
      </w:divBdr>
      <w:divsChild>
        <w:div w:id="1833912451">
          <w:marLeft w:val="0"/>
          <w:marRight w:val="0"/>
          <w:marTop w:val="0"/>
          <w:marBottom w:val="0"/>
          <w:divBdr>
            <w:top w:val="none" w:sz="0" w:space="0" w:color="auto"/>
            <w:left w:val="none" w:sz="0" w:space="0" w:color="auto"/>
            <w:bottom w:val="none" w:sz="0" w:space="0" w:color="auto"/>
            <w:right w:val="none" w:sz="0" w:space="0" w:color="auto"/>
          </w:divBdr>
          <w:divsChild>
            <w:div w:id="567544542">
              <w:marLeft w:val="0"/>
              <w:marRight w:val="0"/>
              <w:marTop w:val="0"/>
              <w:marBottom w:val="0"/>
              <w:divBdr>
                <w:top w:val="none" w:sz="0" w:space="0" w:color="auto"/>
                <w:left w:val="none" w:sz="0" w:space="0" w:color="auto"/>
                <w:bottom w:val="none" w:sz="0" w:space="0" w:color="auto"/>
                <w:right w:val="none" w:sz="0" w:space="0" w:color="auto"/>
              </w:divBdr>
              <w:divsChild>
                <w:div w:id="1680694090">
                  <w:marLeft w:val="0"/>
                  <w:marRight w:val="0"/>
                  <w:marTop w:val="0"/>
                  <w:marBottom w:val="0"/>
                  <w:divBdr>
                    <w:top w:val="none" w:sz="0" w:space="0" w:color="auto"/>
                    <w:left w:val="none" w:sz="0" w:space="0" w:color="auto"/>
                    <w:bottom w:val="none" w:sz="0" w:space="0" w:color="auto"/>
                    <w:right w:val="none" w:sz="0" w:space="0" w:color="auto"/>
                  </w:divBdr>
                  <w:divsChild>
                    <w:div w:id="530261064">
                      <w:marLeft w:val="0"/>
                      <w:marRight w:val="0"/>
                      <w:marTop w:val="0"/>
                      <w:marBottom w:val="0"/>
                      <w:divBdr>
                        <w:top w:val="none" w:sz="0" w:space="0" w:color="auto"/>
                        <w:left w:val="none" w:sz="0" w:space="0" w:color="auto"/>
                        <w:bottom w:val="none" w:sz="0" w:space="0" w:color="auto"/>
                        <w:right w:val="none" w:sz="0" w:space="0" w:color="auto"/>
                      </w:divBdr>
                      <w:divsChild>
                        <w:div w:id="1750157094">
                          <w:marLeft w:val="0"/>
                          <w:marRight w:val="0"/>
                          <w:marTop w:val="0"/>
                          <w:marBottom w:val="0"/>
                          <w:divBdr>
                            <w:top w:val="none" w:sz="0" w:space="0" w:color="auto"/>
                            <w:left w:val="none" w:sz="0" w:space="0" w:color="auto"/>
                            <w:bottom w:val="none" w:sz="0" w:space="0" w:color="auto"/>
                            <w:right w:val="none" w:sz="0" w:space="0" w:color="auto"/>
                          </w:divBdr>
                          <w:divsChild>
                            <w:div w:id="184944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5884">
                  <w:marLeft w:val="0"/>
                  <w:marRight w:val="0"/>
                  <w:marTop w:val="0"/>
                  <w:marBottom w:val="0"/>
                  <w:divBdr>
                    <w:top w:val="none" w:sz="0" w:space="0" w:color="auto"/>
                    <w:left w:val="none" w:sz="0" w:space="0" w:color="auto"/>
                    <w:bottom w:val="none" w:sz="0" w:space="0" w:color="auto"/>
                    <w:right w:val="none" w:sz="0" w:space="0" w:color="auto"/>
                  </w:divBdr>
                  <w:divsChild>
                    <w:div w:id="9651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30301921">
      <w:bodyDiv w:val="1"/>
      <w:marLeft w:val="0"/>
      <w:marRight w:val="0"/>
      <w:marTop w:val="0"/>
      <w:marBottom w:val="0"/>
      <w:divBdr>
        <w:top w:val="none" w:sz="0" w:space="0" w:color="auto"/>
        <w:left w:val="none" w:sz="0" w:space="0" w:color="auto"/>
        <w:bottom w:val="none" w:sz="0" w:space="0" w:color="auto"/>
        <w:right w:val="none" w:sz="0" w:space="0" w:color="auto"/>
      </w:divBdr>
    </w:div>
    <w:div w:id="174333331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783837415">
      <w:bodyDiv w:val="1"/>
      <w:marLeft w:val="0"/>
      <w:marRight w:val="0"/>
      <w:marTop w:val="0"/>
      <w:marBottom w:val="0"/>
      <w:divBdr>
        <w:top w:val="none" w:sz="0" w:space="0" w:color="auto"/>
        <w:left w:val="none" w:sz="0" w:space="0" w:color="auto"/>
        <w:bottom w:val="none" w:sz="0" w:space="0" w:color="auto"/>
        <w:right w:val="none" w:sz="0" w:space="0" w:color="auto"/>
      </w:divBdr>
    </w:div>
    <w:div w:id="1785995459">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17454988">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41698193">
      <w:bodyDiv w:val="1"/>
      <w:marLeft w:val="0"/>
      <w:marRight w:val="0"/>
      <w:marTop w:val="0"/>
      <w:marBottom w:val="0"/>
      <w:divBdr>
        <w:top w:val="none" w:sz="0" w:space="0" w:color="auto"/>
        <w:left w:val="none" w:sz="0" w:space="0" w:color="auto"/>
        <w:bottom w:val="none" w:sz="0" w:space="0" w:color="auto"/>
        <w:right w:val="none" w:sz="0" w:space="0" w:color="auto"/>
      </w:divBdr>
    </w:div>
    <w:div w:id="1868906843">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48154765">
      <w:bodyDiv w:val="1"/>
      <w:marLeft w:val="0"/>
      <w:marRight w:val="0"/>
      <w:marTop w:val="0"/>
      <w:marBottom w:val="0"/>
      <w:divBdr>
        <w:top w:val="none" w:sz="0" w:space="0" w:color="auto"/>
        <w:left w:val="none" w:sz="0" w:space="0" w:color="auto"/>
        <w:bottom w:val="none" w:sz="0" w:space="0" w:color="auto"/>
        <w:right w:val="none" w:sz="0" w:space="0" w:color="auto"/>
      </w:divBdr>
      <w:divsChild>
        <w:div w:id="1867058437">
          <w:marLeft w:val="0"/>
          <w:marRight w:val="0"/>
          <w:marTop w:val="0"/>
          <w:marBottom w:val="0"/>
          <w:divBdr>
            <w:top w:val="none" w:sz="0" w:space="0" w:color="auto"/>
            <w:left w:val="none" w:sz="0" w:space="0" w:color="auto"/>
            <w:bottom w:val="none" w:sz="0" w:space="0" w:color="auto"/>
            <w:right w:val="none" w:sz="0" w:space="0" w:color="auto"/>
          </w:divBdr>
          <w:divsChild>
            <w:div w:id="2095779133">
              <w:marLeft w:val="0"/>
              <w:marRight w:val="0"/>
              <w:marTop w:val="0"/>
              <w:marBottom w:val="0"/>
              <w:divBdr>
                <w:top w:val="none" w:sz="0" w:space="0" w:color="auto"/>
                <w:left w:val="none" w:sz="0" w:space="0" w:color="auto"/>
                <w:bottom w:val="none" w:sz="0" w:space="0" w:color="auto"/>
                <w:right w:val="none" w:sz="0" w:space="0" w:color="auto"/>
              </w:divBdr>
              <w:divsChild>
                <w:div w:id="873616340">
                  <w:marLeft w:val="0"/>
                  <w:marRight w:val="0"/>
                  <w:marTop w:val="0"/>
                  <w:marBottom w:val="0"/>
                  <w:divBdr>
                    <w:top w:val="none" w:sz="0" w:space="0" w:color="auto"/>
                    <w:left w:val="none" w:sz="0" w:space="0" w:color="auto"/>
                    <w:bottom w:val="none" w:sz="0" w:space="0" w:color="auto"/>
                    <w:right w:val="none" w:sz="0" w:space="0" w:color="auto"/>
                  </w:divBdr>
                  <w:divsChild>
                    <w:div w:id="1475103387">
                      <w:marLeft w:val="0"/>
                      <w:marRight w:val="0"/>
                      <w:marTop w:val="0"/>
                      <w:marBottom w:val="0"/>
                      <w:divBdr>
                        <w:top w:val="none" w:sz="0" w:space="0" w:color="auto"/>
                        <w:left w:val="none" w:sz="0" w:space="0" w:color="auto"/>
                        <w:bottom w:val="none" w:sz="0" w:space="0" w:color="auto"/>
                        <w:right w:val="none" w:sz="0" w:space="0" w:color="auto"/>
                      </w:divBdr>
                    </w:div>
                  </w:divsChild>
                </w:div>
                <w:div w:id="975600814">
                  <w:marLeft w:val="0"/>
                  <w:marRight w:val="0"/>
                  <w:marTop w:val="0"/>
                  <w:marBottom w:val="0"/>
                  <w:divBdr>
                    <w:top w:val="none" w:sz="0" w:space="0" w:color="auto"/>
                    <w:left w:val="none" w:sz="0" w:space="0" w:color="auto"/>
                    <w:bottom w:val="none" w:sz="0" w:space="0" w:color="auto"/>
                    <w:right w:val="none" w:sz="0" w:space="0" w:color="auto"/>
                  </w:divBdr>
                  <w:divsChild>
                    <w:div w:id="2108622720">
                      <w:marLeft w:val="0"/>
                      <w:marRight w:val="0"/>
                      <w:marTop w:val="0"/>
                      <w:marBottom w:val="0"/>
                      <w:divBdr>
                        <w:top w:val="none" w:sz="0" w:space="0" w:color="auto"/>
                        <w:left w:val="none" w:sz="0" w:space="0" w:color="auto"/>
                        <w:bottom w:val="none" w:sz="0" w:space="0" w:color="auto"/>
                        <w:right w:val="none" w:sz="0" w:space="0" w:color="auto"/>
                      </w:divBdr>
                      <w:divsChild>
                        <w:div w:id="682822223">
                          <w:marLeft w:val="0"/>
                          <w:marRight w:val="0"/>
                          <w:marTop w:val="0"/>
                          <w:marBottom w:val="0"/>
                          <w:divBdr>
                            <w:top w:val="none" w:sz="0" w:space="0" w:color="auto"/>
                            <w:left w:val="none" w:sz="0" w:space="0" w:color="auto"/>
                            <w:bottom w:val="none" w:sz="0" w:space="0" w:color="auto"/>
                            <w:right w:val="none" w:sz="0" w:space="0" w:color="auto"/>
                          </w:divBdr>
                          <w:divsChild>
                            <w:div w:id="6462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0865076">
      <w:bodyDiv w:val="1"/>
      <w:marLeft w:val="0"/>
      <w:marRight w:val="0"/>
      <w:marTop w:val="0"/>
      <w:marBottom w:val="0"/>
      <w:divBdr>
        <w:top w:val="none" w:sz="0" w:space="0" w:color="auto"/>
        <w:left w:val="none" w:sz="0" w:space="0" w:color="auto"/>
        <w:bottom w:val="none" w:sz="0" w:space="0" w:color="auto"/>
        <w:right w:val="none" w:sz="0" w:space="0" w:color="auto"/>
      </w:divBdr>
    </w:div>
    <w:div w:id="1976182868">
      <w:bodyDiv w:val="1"/>
      <w:marLeft w:val="0"/>
      <w:marRight w:val="0"/>
      <w:marTop w:val="0"/>
      <w:marBottom w:val="0"/>
      <w:divBdr>
        <w:top w:val="none" w:sz="0" w:space="0" w:color="auto"/>
        <w:left w:val="none" w:sz="0" w:space="0" w:color="auto"/>
        <w:bottom w:val="none" w:sz="0" w:space="0" w:color="auto"/>
        <w:right w:val="none" w:sz="0" w:space="0" w:color="auto"/>
      </w:divBdr>
      <w:divsChild>
        <w:div w:id="828325859">
          <w:marLeft w:val="0"/>
          <w:marRight w:val="0"/>
          <w:marTop w:val="0"/>
          <w:marBottom w:val="0"/>
          <w:divBdr>
            <w:top w:val="none" w:sz="0" w:space="0" w:color="auto"/>
            <w:left w:val="none" w:sz="0" w:space="0" w:color="auto"/>
            <w:bottom w:val="none" w:sz="0" w:space="0" w:color="auto"/>
            <w:right w:val="none" w:sz="0" w:space="0" w:color="auto"/>
          </w:divBdr>
          <w:divsChild>
            <w:div w:id="1247768135">
              <w:marLeft w:val="0"/>
              <w:marRight w:val="0"/>
              <w:marTop w:val="0"/>
              <w:marBottom w:val="0"/>
              <w:divBdr>
                <w:top w:val="none" w:sz="0" w:space="0" w:color="auto"/>
                <w:left w:val="none" w:sz="0" w:space="0" w:color="auto"/>
                <w:bottom w:val="none" w:sz="0" w:space="0" w:color="auto"/>
                <w:right w:val="none" w:sz="0" w:space="0" w:color="auto"/>
              </w:divBdr>
              <w:divsChild>
                <w:div w:id="777455049">
                  <w:marLeft w:val="0"/>
                  <w:marRight w:val="0"/>
                  <w:marTop w:val="0"/>
                  <w:marBottom w:val="0"/>
                  <w:divBdr>
                    <w:top w:val="none" w:sz="0" w:space="0" w:color="auto"/>
                    <w:left w:val="none" w:sz="0" w:space="0" w:color="auto"/>
                    <w:bottom w:val="none" w:sz="0" w:space="0" w:color="auto"/>
                    <w:right w:val="none" w:sz="0" w:space="0" w:color="auto"/>
                  </w:divBdr>
                  <w:divsChild>
                    <w:div w:id="577136708">
                      <w:marLeft w:val="0"/>
                      <w:marRight w:val="0"/>
                      <w:marTop w:val="0"/>
                      <w:marBottom w:val="0"/>
                      <w:divBdr>
                        <w:top w:val="none" w:sz="0" w:space="0" w:color="auto"/>
                        <w:left w:val="none" w:sz="0" w:space="0" w:color="auto"/>
                        <w:bottom w:val="none" w:sz="0" w:space="0" w:color="auto"/>
                        <w:right w:val="none" w:sz="0" w:space="0" w:color="auto"/>
                      </w:divBdr>
                      <w:divsChild>
                        <w:div w:id="205610508">
                          <w:marLeft w:val="0"/>
                          <w:marRight w:val="0"/>
                          <w:marTop w:val="0"/>
                          <w:marBottom w:val="0"/>
                          <w:divBdr>
                            <w:top w:val="none" w:sz="0" w:space="0" w:color="auto"/>
                            <w:left w:val="none" w:sz="0" w:space="0" w:color="auto"/>
                            <w:bottom w:val="none" w:sz="0" w:space="0" w:color="auto"/>
                            <w:right w:val="none" w:sz="0" w:space="0" w:color="auto"/>
                          </w:divBdr>
                          <w:divsChild>
                            <w:div w:id="9375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77423">
                  <w:marLeft w:val="0"/>
                  <w:marRight w:val="0"/>
                  <w:marTop w:val="0"/>
                  <w:marBottom w:val="0"/>
                  <w:divBdr>
                    <w:top w:val="none" w:sz="0" w:space="0" w:color="auto"/>
                    <w:left w:val="none" w:sz="0" w:space="0" w:color="auto"/>
                    <w:bottom w:val="none" w:sz="0" w:space="0" w:color="auto"/>
                    <w:right w:val="none" w:sz="0" w:space="0" w:color="auto"/>
                  </w:divBdr>
                  <w:divsChild>
                    <w:div w:id="172074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832263">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89430808">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2004964017">
      <w:bodyDiv w:val="1"/>
      <w:marLeft w:val="0"/>
      <w:marRight w:val="0"/>
      <w:marTop w:val="0"/>
      <w:marBottom w:val="0"/>
      <w:divBdr>
        <w:top w:val="none" w:sz="0" w:space="0" w:color="auto"/>
        <w:left w:val="none" w:sz="0" w:space="0" w:color="auto"/>
        <w:bottom w:val="none" w:sz="0" w:space="0" w:color="auto"/>
        <w:right w:val="none" w:sz="0" w:space="0" w:color="auto"/>
      </w:divBdr>
    </w:div>
    <w:div w:id="2006207897">
      <w:bodyDiv w:val="1"/>
      <w:marLeft w:val="0"/>
      <w:marRight w:val="0"/>
      <w:marTop w:val="0"/>
      <w:marBottom w:val="0"/>
      <w:divBdr>
        <w:top w:val="none" w:sz="0" w:space="0" w:color="auto"/>
        <w:left w:val="none" w:sz="0" w:space="0" w:color="auto"/>
        <w:bottom w:val="none" w:sz="0" w:space="0" w:color="auto"/>
        <w:right w:val="none" w:sz="0" w:space="0" w:color="auto"/>
      </w:divBdr>
      <w:divsChild>
        <w:div w:id="29452889">
          <w:marLeft w:val="0"/>
          <w:marRight w:val="0"/>
          <w:marTop w:val="0"/>
          <w:marBottom w:val="0"/>
          <w:divBdr>
            <w:top w:val="none" w:sz="0" w:space="0" w:color="auto"/>
            <w:left w:val="none" w:sz="0" w:space="0" w:color="auto"/>
            <w:bottom w:val="none" w:sz="0" w:space="0" w:color="auto"/>
            <w:right w:val="none" w:sz="0" w:space="0" w:color="auto"/>
          </w:divBdr>
          <w:divsChild>
            <w:div w:id="1550723355">
              <w:marLeft w:val="0"/>
              <w:marRight w:val="0"/>
              <w:marTop w:val="0"/>
              <w:marBottom w:val="0"/>
              <w:divBdr>
                <w:top w:val="none" w:sz="0" w:space="0" w:color="auto"/>
                <w:left w:val="none" w:sz="0" w:space="0" w:color="auto"/>
                <w:bottom w:val="none" w:sz="0" w:space="0" w:color="auto"/>
                <w:right w:val="none" w:sz="0" w:space="0" w:color="auto"/>
              </w:divBdr>
              <w:divsChild>
                <w:div w:id="1656374526">
                  <w:marLeft w:val="0"/>
                  <w:marRight w:val="0"/>
                  <w:marTop w:val="0"/>
                  <w:marBottom w:val="0"/>
                  <w:divBdr>
                    <w:top w:val="none" w:sz="0" w:space="0" w:color="auto"/>
                    <w:left w:val="none" w:sz="0" w:space="0" w:color="auto"/>
                    <w:bottom w:val="none" w:sz="0" w:space="0" w:color="auto"/>
                    <w:right w:val="none" w:sz="0" w:space="0" w:color="auto"/>
                  </w:divBdr>
                  <w:divsChild>
                    <w:div w:id="1030254455">
                      <w:marLeft w:val="0"/>
                      <w:marRight w:val="0"/>
                      <w:marTop w:val="0"/>
                      <w:marBottom w:val="0"/>
                      <w:divBdr>
                        <w:top w:val="none" w:sz="0" w:space="0" w:color="auto"/>
                        <w:left w:val="none" w:sz="0" w:space="0" w:color="auto"/>
                        <w:bottom w:val="none" w:sz="0" w:space="0" w:color="auto"/>
                        <w:right w:val="none" w:sz="0" w:space="0" w:color="auto"/>
                      </w:divBdr>
                      <w:divsChild>
                        <w:div w:id="1986275542">
                          <w:marLeft w:val="0"/>
                          <w:marRight w:val="0"/>
                          <w:marTop w:val="0"/>
                          <w:marBottom w:val="0"/>
                          <w:divBdr>
                            <w:top w:val="none" w:sz="0" w:space="0" w:color="auto"/>
                            <w:left w:val="none" w:sz="0" w:space="0" w:color="auto"/>
                            <w:bottom w:val="none" w:sz="0" w:space="0" w:color="auto"/>
                            <w:right w:val="none" w:sz="0" w:space="0" w:color="auto"/>
                          </w:divBdr>
                          <w:divsChild>
                            <w:div w:id="132139553">
                              <w:marLeft w:val="0"/>
                              <w:marRight w:val="0"/>
                              <w:marTop w:val="0"/>
                              <w:marBottom w:val="0"/>
                              <w:divBdr>
                                <w:top w:val="none" w:sz="0" w:space="0" w:color="auto"/>
                                <w:left w:val="none" w:sz="0" w:space="0" w:color="auto"/>
                                <w:bottom w:val="none" w:sz="0" w:space="0" w:color="auto"/>
                                <w:right w:val="none" w:sz="0" w:space="0" w:color="auto"/>
                              </w:divBdr>
                              <w:divsChild>
                                <w:div w:id="670721341">
                                  <w:marLeft w:val="0"/>
                                  <w:marRight w:val="0"/>
                                  <w:marTop w:val="0"/>
                                  <w:marBottom w:val="0"/>
                                  <w:divBdr>
                                    <w:top w:val="none" w:sz="0" w:space="0" w:color="auto"/>
                                    <w:left w:val="none" w:sz="0" w:space="0" w:color="auto"/>
                                    <w:bottom w:val="none" w:sz="0" w:space="0" w:color="auto"/>
                                    <w:right w:val="none" w:sz="0" w:space="0" w:color="auto"/>
                                  </w:divBdr>
                                  <w:divsChild>
                                    <w:div w:id="832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681874">
      <w:bodyDiv w:val="1"/>
      <w:marLeft w:val="0"/>
      <w:marRight w:val="0"/>
      <w:marTop w:val="0"/>
      <w:marBottom w:val="0"/>
      <w:divBdr>
        <w:top w:val="none" w:sz="0" w:space="0" w:color="auto"/>
        <w:left w:val="none" w:sz="0" w:space="0" w:color="auto"/>
        <w:bottom w:val="none" w:sz="0" w:space="0" w:color="auto"/>
        <w:right w:val="none" w:sz="0" w:space="0" w:color="auto"/>
      </w:divBdr>
    </w:div>
    <w:div w:id="2035105819">
      <w:bodyDiv w:val="1"/>
      <w:marLeft w:val="0"/>
      <w:marRight w:val="0"/>
      <w:marTop w:val="0"/>
      <w:marBottom w:val="0"/>
      <w:divBdr>
        <w:top w:val="none" w:sz="0" w:space="0" w:color="auto"/>
        <w:left w:val="none" w:sz="0" w:space="0" w:color="auto"/>
        <w:bottom w:val="none" w:sz="0" w:space="0" w:color="auto"/>
        <w:right w:val="none" w:sz="0" w:space="0" w:color="auto"/>
      </w:divBdr>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47485857">
      <w:bodyDiv w:val="1"/>
      <w:marLeft w:val="0"/>
      <w:marRight w:val="0"/>
      <w:marTop w:val="0"/>
      <w:marBottom w:val="0"/>
      <w:divBdr>
        <w:top w:val="none" w:sz="0" w:space="0" w:color="auto"/>
        <w:left w:val="none" w:sz="0" w:space="0" w:color="auto"/>
        <w:bottom w:val="none" w:sz="0" w:space="0" w:color="auto"/>
        <w:right w:val="none" w:sz="0" w:space="0" w:color="auto"/>
      </w:divBdr>
      <w:divsChild>
        <w:div w:id="1017534930">
          <w:marLeft w:val="0"/>
          <w:marRight w:val="0"/>
          <w:marTop w:val="0"/>
          <w:marBottom w:val="0"/>
          <w:divBdr>
            <w:top w:val="none" w:sz="0" w:space="0" w:color="auto"/>
            <w:left w:val="none" w:sz="0" w:space="0" w:color="auto"/>
            <w:bottom w:val="none" w:sz="0" w:space="0" w:color="auto"/>
            <w:right w:val="none" w:sz="0" w:space="0" w:color="auto"/>
          </w:divBdr>
          <w:divsChild>
            <w:div w:id="279150279">
              <w:marLeft w:val="0"/>
              <w:marRight w:val="0"/>
              <w:marTop w:val="0"/>
              <w:marBottom w:val="0"/>
              <w:divBdr>
                <w:top w:val="none" w:sz="0" w:space="0" w:color="auto"/>
                <w:left w:val="none" w:sz="0" w:space="0" w:color="auto"/>
                <w:bottom w:val="none" w:sz="0" w:space="0" w:color="auto"/>
                <w:right w:val="none" w:sz="0" w:space="0" w:color="auto"/>
              </w:divBdr>
              <w:divsChild>
                <w:div w:id="945424448">
                  <w:marLeft w:val="0"/>
                  <w:marRight w:val="0"/>
                  <w:marTop w:val="0"/>
                  <w:marBottom w:val="0"/>
                  <w:divBdr>
                    <w:top w:val="none" w:sz="0" w:space="0" w:color="auto"/>
                    <w:left w:val="none" w:sz="0" w:space="0" w:color="auto"/>
                    <w:bottom w:val="none" w:sz="0" w:space="0" w:color="auto"/>
                    <w:right w:val="none" w:sz="0" w:space="0" w:color="auto"/>
                  </w:divBdr>
                  <w:divsChild>
                    <w:div w:id="539048255">
                      <w:marLeft w:val="0"/>
                      <w:marRight w:val="0"/>
                      <w:marTop w:val="0"/>
                      <w:marBottom w:val="0"/>
                      <w:divBdr>
                        <w:top w:val="none" w:sz="0" w:space="0" w:color="auto"/>
                        <w:left w:val="none" w:sz="0" w:space="0" w:color="auto"/>
                        <w:bottom w:val="none" w:sz="0" w:space="0" w:color="auto"/>
                        <w:right w:val="none" w:sz="0" w:space="0" w:color="auto"/>
                      </w:divBdr>
                    </w:div>
                  </w:divsChild>
                </w:div>
                <w:div w:id="1373966525">
                  <w:marLeft w:val="0"/>
                  <w:marRight w:val="0"/>
                  <w:marTop w:val="0"/>
                  <w:marBottom w:val="0"/>
                  <w:divBdr>
                    <w:top w:val="none" w:sz="0" w:space="0" w:color="auto"/>
                    <w:left w:val="none" w:sz="0" w:space="0" w:color="auto"/>
                    <w:bottom w:val="none" w:sz="0" w:space="0" w:color="auto"/>
                    <w:right w:val="none" w:sz="0" w:space="0" w:color="auto"/>
                  </w:divBdr>
                  <w:divsChild>
                    <w:div w:id="1156842321">
                      <w:marLeft w:val="0"/>
                      <w:marRight w:val="0"/>
                      <w:marTop w:val="0"/>
                      <w:marBottom w:val="0"/>
                      <w:divBdr>
                        <w:top w:val="none" w:sz="0" w:space="0" w:color="auto"/>
                        <w:left w:val="none" w:sz="0" w:space="0" w:color="auto"/>
                        <w:bottom w:val="none" w:sz="0" w:space="0" w:color="auto"/>
                        <w:right w:val="none" w:sz="0" w:space="0" w:color="auto"/>
                      </w:divBdr>
                      <w:divsChild>
                        <w:div w:id="281499175">
                          <w:marLeft w:val="0"/>
                          <w:marRight w:val="0"/>
                          <w:marTop w:val="0"/>
                          <w:marBottom w:val="0"/>
                          <w:divBdr>
                            <w:top w:val="none" w:sz="0" w:space="0" w:color="auto"/>
                            <w:left w:val="none" w:sz="0" w:space="0" w:color="auto"/>
                            <w:bottom w:val="none" w:sz="0" w:space="0" w:color="auto"/>
                            <w:right w:val="none" w:sz="0" w:space="0" w:color="auto"/>
                          </w:divBdr>
                          <w:divsChild>
                            <w:div w:id="1943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725712">
      <w:bodyDiv w:val="1"/>
      <w:marLeft w:val="0"/>
      <w:marRight w:val="0"/>
      <w:marTop w:val="0"/>
      <w:marBottom w:val="0"/>
      <w:divBdr>
        <w:top w:val="none" w:sz="0" w:space="0" w:color="auto"/>
        <w:left w:val="none" w:sz="0" w:space="0" w:color="auto"/>
        <w:bottom w:val="none" w:sz="0" w:space="0" w:color="auto"/>
        <w:right w:val="none" w:sz="0" w:space="0" w:color="auto"/>
      </w:divBdr>
    </w:div>
    <w:div w:id="2062895404">
      <w:bodyDiv w:val="1"/>
      <w:marLeft w:val="0"/>
      <w:marRight w:val="0"/>
      <w:marTop w:val="0"/>
      <w:marBottom w:val="0"/>
      <w:divBdr>
        <w:top w:val="none" w:sz="0" w:space="0" w:color="auto"/>
        <w:left w:val="none" w:sz="0" w:space="0" w:color="auto"/>
        <w:bottom w:val="none" w:sz="0" w:space="0" w:color="auto"/>
        <w:right w:val="none" w:sz="0" w:space="0" w:color="auto"/>
      </w:divBdr>
      <w:divsChild>
        <w:div w:id="613446594">
          <w:marLeft w:val="0"/>
          <w:marRight w:val="0"/>
          <w:marTop w:val="0"/>
          <w:marBottom w:val="0"/>
          <w:divBdr>
            <w:top w:val="none" w:sz="0" w:space="0" w:color="auto"/>
            <w:left w:val="none" w:sz="0" w:space="0" w:color="auto"/>
            <w:bottom w:val="none" w:sz="0" w:space="0" w:color="auto"/>
            <w:right w:val="none" w:sz="0" w:space="0" w:color="auto"/>
          </w:divBdr>
          <w:divsChild>
            <w:div w:id="1387409149">
              <w:marLeft w:val="0"/>
              <w:marRight w:val="0"/>
              <w:marTop w:val="0"/>
              <w:marBottom w:val="0"/>
              <w:divBdr>
                <w:top w:val="none" w:sz="0" w:space="0" w:color="auto"/>
                <w:left w:val="none" w:sz="0" w:space="0" w:color="auto"/>
                <w:bottom w:val="none" w:sz="0" w:space="0" w:color="auto"/>
                <w:right w:val="none" w:sz="0" w:space="0" w:color="auto"/>
              </w:divBdr>
              <w:divsChild>
                <w:div w:id="504250898">
                  <w:marLeft w:val="0"/>
                  <w:marRight w:val="0"/>
                  <w:marTop w:val="0"/>
                  <w:marBottom w:val="0"/>
                  <w:divBdr>
                    <w:top w:val="none" w:sz="0" w:space="0" w:color="auto"/>
                    <w:left w:val="none" w:sz="0" w:space="0" w:color="auto"/>
                    <w:bottom w:val="none" w:sz="0" w:space="0" w:color="auto"/>
                    <w:right w:val="none" w:sz="0" w:space="0" w:color="auto"/>
                  </w:divBdr>
                  <w:divsChild>
                    <w:div w:id="581529378">
                      <w:marLeft w:val="0"/>
                      <w:marRight w:val="0"/>
                      <w:marTop w:val="0"/>
                      <w:marBottom w:val="0"/>
                      <w:divBdr>
                        <w:top w:val="none" w:sz="0" w:space="0" w:color="auto"/>
                        <w:left w:val="none" w:sz="0" w:space="0" w:color="auto"/>
                        <w:bottom w:val="none" w:sz="0" w:space="0" w:color="auto"/>
                        <w:right w:val="none" w:sz="0" w:space="0" w:color="auto"/>
                      </w:divBdr>
                    </w:div>
                  </w:divsChild>
                </w:div>
                <w:div w:id="1524858659">
                  <w:marLeft w:val="0"/>
                  <w:marRight w:val="0"/>
                  <w:marTop w:val="0"/>
                  <w:marBottom w:val="0"/>
                  <w:divBdr>
                    <w:top w:val="none" w:sz="0" w:space="0" w:color="auto"/>
                    <w:left w:val="none" w:sz="0" w:space="0" w:color="auto"/>
                    <w:bottom w:val="none" w:sz="0" w:space="0" w:color="auto"/>
                    <w:right w:val="none" w:sz="0" w:space="0" w:color="auto"/>
                  </w:divBdr>
                  <w:divsChild>
                    <w:div w:id="544954276">
                      <w:marLeft w:val="0"/>
                      <w:marRight w:val="0"/>
                      <w:marTop w:val="0"/>
                      <w:marBottom w:val="0"/>
                      <w:divBdr>
                        <w:top w:val="none" w:sz="0" w:space="0" w:color="auto"/>
                        <w:left w:val="none" w:sz="0" w:space="0" w:color="auto"/>
                        <w:bottom w:val="none" w:sz="0" w:space="0" w:color="auto"/>
                        <w:right w:val="none" w:sz="0" w:space="0" w:color="auto"/>
                      </w:divBdr>
                      <w:divsChild>
                        <w:div w:id="819493283">
                          <w:marLeft w:val="0"/>
                          <w:marRight w:val="0"/>
                          <w:marTop w:val="0"/>
                          <w:marBottom w:val="0"/>
                          <w:divBdr>
                            <w:top w:val="none" w:sz="0" w:space="0" w:color="auto"/>
                            <w:left w:val="none" w:sz="0" w:space="0" w:color="auto"/>
                            <w:bottom w:val="none" w:sz="0" w:space="0" w:color="auto"/>
                            <w:right w:val="none" w:sz="0" w:space="0" w:color="auto"/>
                          </w:divBdr>
                          <w:divsChild>
                            <w:div w:id="609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1245561">
      <w:bodyDiv w:val="1"/>
      <w:marLeft w:val="0"/>
      <w:marRight w:val="0"/>
      <w:marTop w:val="0"/>
      <w:marBottom w:val="0"/>
      <w:divBdr>
        <w:top w:val="none" w:sz="0" w:space="0" w:color="auto"/>
        <w:left w:val="none" w:sz="0" w:space="0" w:color="auto"/>
        <w:bottom w:val="none" w:sz="0" w:space="0" w:color="auto"/>
        <w:right w:val="none" w:sz="0" w:space="0" w:color="auto"/>
      </w:divBdr>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5606/ijemr.v4i2.361" TargetMode="External"/><Relationship Id="rId18" Type="http://schemas.openxmlformats.org/officeDocument/2006/relationships/hyperlink" Target="https://doi.org/10.1111/jan.16599" TargetMode="External"/><Relationship Id="rId26" Type="http://schemas.openxmlformats.org/officeDocument/2006/relationships/hyperlink" Target="https://doi.org/10.5267/j.msl.2020.9.016" TargetMode="External"/><Relationship Id="rId21" Type="http://schemas.openxmlformats.org/officeDocument/2006/relationships/hyperlink" Target="https://doi.org/10.1177/001316447003000308"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oi.org/10.1371/journal.pone.0335430" TargetMode="External"/><Relationship Id="rId17" Type="http://schemas.openxmlformats.org/officeDocument/2006/relationships/hyperlink" Target="https://doi.org/10.1108/JSMA-01-2019-0012" TargetMode="External"/><Relationship Id="rId25" Type="http://schemas.openxmlformats.org/officeDocument/2006/relationships/hyperlink" Target="https://doi.org/10.55606/ijemr.v4i2.444"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390/ijerph18084390" TargetMode="External"/><Relationship Id="rId20" Type="http://schemas.openxmlformats.org/officeDocument/2006/relationships/hyperlink" Target="https://doi.org/10.25215/1302.056" TargetMode="External"/><Relationship Id="rId29" Type="http://schemas.openxmlformats.org/officeDocument/2006/relationships/hyperlink" Target="https://doi.org/10.1002/pits.2285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4018/ejbmr.2021.6.3.849" TargetMode="External"/><Relationship Id="rId24" Type="http://schemas.openxmlformats.org/officeDocument/2006/relationships/hyperlink" Target="https://doi.org/10.2991/aebmr.k.210928.016"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390/admsci15100377" TargetMode="External"/><Relationship Id="rId23" Type="http://schemas.openxmlformats.org/officeDocument/2006/relationships/hyperlink" Target="https://doi.org/10.3390/jcm9041007" TargetMode="External"/><Relationship Id="rId28" Type="http://schemas.openxmlformats.org/officeDocument/2006/relationships/hyperlink" Target="https://doi.org/10.1016/j.cedpsych.2021.102030" TargetMode="External"/><Relationship Id="rId36"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https://doi.org/10.15516/cje.v22i0.3851" TargetMode="External"/><Relationship Id="rId31" Type="http://schemas.openxmlformats.org/officeDocument/2006/relationships/hyperlink" Target="https://doi.org/10.3389/fpsyg.2024.135103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108/PIJPSM-05-2024-0084" TargetMode="External"/><Relationship Id="rId22" Type="http://schemas.openxmlformats.org/officeDocument/2006/relationships/hyperlink" Target="https://doi.org/10.3389/fped.2021.722356" TargetMode="External"/><Relationship Id="rId27" Type="http://schemas.openxmlformats.org/officeDocument/2006/relationships/hyperlink" Target="https://doi.org/10.37380/jisib.v12i1.912" TargetMode="External"/><Relationship Id="rId30" Type="http://schemas.openxmlformats.org/officeDocument/2006/relationships/hyperlink" Target="https://doi.org/10.1080/13548506.2020.1778750" TargetMode="External"/><Relationship Id="rId35" Type="http://schemas.openxmlformats.org/officeDocument/2006/relationships/header" Target="header3.xml"/><Relationship Id="rId8" Type="http://schemas.openxmlformats.org/officeDocument/2006/relationships/image" Target="media/image1.jpeg"/><Relationship Id="rId3" Type="http://schemas.openxmlformats.org/officeDocument/2006/relationships/styles" Target="styles.xml"/></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07552-8C4A-4375-BF2C-A28ADF016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72</Pages>
  <Words>13941</Words>
  <Characters>79470</Characters>
  <Application>Microsoft Office Word</Application>
  <DocSecurity>0</DocSecurity>
  <Lines>662</Lines>
  <Paragraphs>186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سامي معتوق بن سامي ولى</cp:lastModifiedBy>
  <cp:revision>2</cp:revision>
  <cp:lastPrinted>2025-11-13T15:38:00Z</cp:lastPrinted>
  <dcterms:created xsi:type="dcterms:W3CDTF">2026-04-04T16:20:00Z</dcterms:created>
  <dcterms:modified xsi:type="dcterms:W3CDTF">2026-04-04T16:20:00Z</dcterms:modified>
</cp:coreProperties>
</file>