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0C51E" w14:textId="77777777" w:rsidR="00AD39F3" w:rsidRDefault="00AD39F3" w:rsidP="00AD39F3">
      <w:pPr>
        <w:bidi/>
        <w:spacing w:line="240" w:lineRule="auto"/>
        <w:ind w:hanging="283"/>
        <w:jc w:val="both"/>
        <w:rPr>
          <w:rFonts w:ascii="ae_Cortoba" w:hAnsi="ae_Cortoba" w:cs="ae_Cortoba"/>
          <w:b/>
          <w:bCs/>
          <w:color w:val="8496B0" w:themeColor="text2" w:themeTint="99"/>
          <w:sz w:val="40"/>
          <w:szCs w:val="40"/>
        </w:rPr>
      </w:pPr>
    </w:p>
    <w:p w14:paraId="4896FAAC" w14:textId="77777777" w:rsidR="00AD39F3" w:rsidRDefault="00AD39F3" w:rsidP="00AD39F3">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7D7553FE" wp14:editId="1924324F">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31B6C1A" w14:textId="77777777" w:rsidR="00AD39F3" w:rsidRDefault="00AD39F3" w:rsidP="00AD39F3">
      <w:pPr>
        <w:bidi/>
        <w:spacing w:line="240" w:lineRule="auto"/>
        <w:jc w:val="both"/>
        <w:rPr>
          <w:rFonts w:ascii="Calibri" w:hAnsi="Calibri" w:cs="Calibri"/>
          <w:b/>
          <w:bCs/>
          <w:color w:val="8496B0" w:themeColor="text2" w:themeTint="99"/>
          <w:sz w:val="40"/>
          <w:szCs w:val="40"/>
          <w:rtl/>
        </w:rPr>
      </w:pPr>
    </w:p>
    <w:p w14:paraId="2E0F168F" w14:textId="77777777" w:rsidR="00AD39F3" w:rsidRDefault="00AD39F3" w:rsidP="00AD39F3">
      <w:pPr>
        <w:pStyle w:val="NormalWeb"/>
        <w:bidi/>
        <w:spacing w:after="0"/>
        <w:ind w:right="-270"/>
        <w:rPr>
          <w:rFonts w:ascii="Arial" w:hAnsi="Arial" w:cs="Arial"/>
          <w:b/>
          <w:bCs/>
          <w:color w:val="0000FF"/>
          <w:sz w:val="32"/>
          <w:szCs w:val="32"/>
        </w:rPr>
      </w:pPr>
    </w:p>
    <w:p w14:paraId="13E1421F" w14:textId="77777777" w:rsidR="00AD39F3" w:rsidRPr="00395E1F" w:rsidRDefault="00AD39F3" w:rsidP="00AD39F3">
      <w:pPr>
        <w:bidi/>
        <w:jc w:val="center"/>
        <w:rPr>
          <w:rFonts w:ascii="Arial" w:hAnsi="Arial" w:cs="Akhbar MT"/>
          <w:b/>
          <w:bCs/>
          <w:sz w:val="44"/>
          <w:szCs w:val="44"/>
          <w:rtl/>
        </w:rPr>
      </w:pPr>
    </w:p>
    <w:p w14:paraId="43B24E64" w14:textId="77777777" w:rsidR="00AD39F3" w:rsidRPr="00BE609B" w:rsidRDefault="00AD39F3" w:rsidP="00AD39F3">
      <w:pPr>
        <w:bidi/>
        <w:jc w:val="center"/>
        <w:rPr>
          <w:rFonts w:ascii="Arial" w:hAnsi="Arial" w:cs="Monotype Koufi"/>
          <w:b/>
          <w:bCs/>
          <w:sz w:val="44"/>
          <w:szCs w:val="44"/>
          <w:rtl/>
        </w:rPr>
      </w:pPr>
      <w:r>
        <w:rPr>
          <w:rFonts w:ascii="Arial" w:hAnsi="Arial" w:cs="Monotype Koufi" w:hint="cs"/>
          <w:b/>
          <w:bCs/>
          <w:sz w:val="44"/>
          <w:szCs w:val="44"/>
          <w:rtl/>
        </w:rPr>
        <w:t xml:space="preserve">بحث علمي </w:t>
      </w:r>
      <w:r w:rsidRPr="007A31DC">
        <w:rPr>
          <w:rFonts w:ascii="Arial" w:hAnsi="Arial" w:cs="Arial" w:hint="cs"/>
          <w:b/>
          <w:bCs/>
          <w:sz w:val="44"/>
          <w:szCs w:val="44"/>
          <w:rtl/>
        </w:rPr>
        <w:t>لتسجيل درجة الدكتوراه</w:t>
      </w:r>
    </w:p>
    <w:p w14:paraId="2A7635D6" w14:textId="77777777" w:rsidR="00AD39F3" w:rsidRDefault="00AD39F3" w:rsidP="00AD39F3">
      <w:pPr>
        <w:pStyle w:val="NormalWeb"/>
        <w:bidi/>
        <w:spacing w:after="0"/>
        <w:ind w:right="-270"/>
        <w:jc w:val="both"/>
        <w:rPr>
          <w:rFonts w:ascii="Arial" w:hAnsi="Arial" w:cs="Arial"/>
          <w:b/>
          <w:bCs/>
          <w:color w:val="0000FF"/>
          <w:sz w:val="32"/>
          <w:szCs w:val="32"/>
          <w:rtl/>
          <w:lang w:bidi="ar-JO"/>
        </w:rPr>
      </w:pPr>
    </w:p>
    <w:p w14:paraId="13FC0E9D" w14:textId="77777777" w:rsidR="00AD39F3" w:rsidRPr="004C1AE1" w:rsidRDefault="00AD39F3" w:rsidP="00AD39F3">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47C95588" w14:textId="77777777" w:rsidR="00AD39F3" w:rsidRPr="004A45AD" w:rsidRDefault="00AD39F3" w:rsidP="00AD39F3">
      <w:pPr>
        <w:spacing w:line="480" w:lineRule="auto"/>
        <w:ind w:left="534" w:hanging="340"/>
        <w:jc w:val="right"/>
        <w:rPr>
          <w:rFonts w:asciiTheme="minorBidi" w:eastAsia="Times New Roman" w:hAnsiTheme="minorBidi"/>
          <w:b/>
          <w:bCs/>
          <w:color w:val="0070C0"/>
          <w:sz w:val="28"/>
          <w:szCs w:val="28"/>
          <w:rtl/>
        </w:rPr>
      </w:pPr>
      <w:r w:rsidRPr="004A45AD">
        <w:rPr>
          <w:rFonts w:asciiTheme="minorBidi" w:eastAsia="Times New Roman" w:hAnsiTheme="minorBidi"/>
          <w:b/>
          <w:bCs/>
          <w:color w:val="0070C0"/>
          <w:sz w:val="28"/>
          <w:szCs w:val="28"/>
          <w:rtl/>
        </w:rPr>
        <w:t>أثر تطبيق مبادئ الاستدامة على أداء المشاريع الإنشائية: دراسة تطبيقية على الشركات الإنشائية السعودية</w:t>
      </w:r>
    </w:p>
    <w:p w14:paraId="11E31A9A" w14:textId="77777777" w:rsidR="00AD39F3" w:rsidRPr="004C1AE1" w:rsidRDefault="00AD39F3" w:rsidP="00AD39F3">
      <w:pPr>
        <w:spacing w:line="360" w:lineRule="auto"/>
        <w:ind w:left="534" w:hanging="340"/>
        <w:jc w:val="right"/>
        <w:rPr>
          <w:rFonts w:ascii="Arial" w:hAnsi="Arial" w:cs="Arial"/>
          <w:noProof/>
          <w:sz w:val="20"/>
          <w:szCs w:val="20"/>
          <w:rtl/>
        </w:rPr>
      </w:pPr>
    </w:p>
    <w:p w14:paraId="50803167" w14:textId="77777777" w:rsidR="00AD39F3" w:rsidRPr="004C1AE1" w:rsidRDefault="00AD39F3" w:rsidP="00AD39F3">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60F423BE" w14:textId="77777777" w:rsidR="00AD39F3" w:rsidRPr="0021489E" w:rsidRDefault="00AD39F3" w:rsidP="00AD39F3">
      <w:pPr>
        <w:pStyle w:val="NormalWeb"/>
        <w:bidi/>
        <w:spacing w:after="0" w:line="480" w:lineRule="auto"/>
        <w:ind w:right="-270"/>
        <w:jc w:val="right"/>
        <w:rPr>
          <w:rFonts w:ascii="Traditional Arabic" w:hAnsi="Traditional Arabic" w:cs="Traditional Arabic"/>
          <w:b/>
          <w:bCs/>
          <w:color w:val="0070C0"/>
          <w:sz w:val="28"/>
          <w:szCs w:val="28"/>
          <w:rtl/>
        </w:rPr>
      </w:pPr>
      <w:r w:rsidRPr="004A45AD">
        <w:rPr>
          <w:rFonts w:ascii="Traditional Arabic" w:hAnsi="Traditional Arabic" w:cs="Traditional Arabic"/>
          <w:b/>
          <w:bCs/>
          <w:color w:val="0070C0"/>
          <w:sz w:val="28"/>
          <w:szCs w:val="28"/>
        </w:rPr>
        <w:t>The Impact of Applying Sustainability Principles on Construction Project Performance: An Applied Study of Saudi Construction Companies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AD39F3" w14:paraId="3EE67700" w14:textId="77777777" w:rsidTr="000516D5">
        <w:tc>
          <w:tcPr>
            <w:tcW w:w="1763" w:type="dxa"/>
          </w:tcPr>
          <w:p w14:paraId="110C1C5F" w14:textId="77777777" w:rsidR="00AD39F3" w:rsidRPr="004B484B" w:rsidRDefault="00AD39F3" w:rsidP="000516D5">
            <w:pPr>
              <w:pStyle w:val="NormalWeb"/>
              <w:bidi/>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Pr="004B484B">
              <w:rPr>
                <w:rFonts w:ascii="Sakkal Majalla" w:hAnsi="Sakkal Majalla" w:cs="Sakkal Majalla" w:hint="cs"/>
                <w:b/>
                <w:bCs/>
                <w:color w:val="000000" w:themeColor="text1"/>
                <w:sz w:val="36"/>
                <w:szCs w:val="36"/>
                <w:rtl/>
              </w:rPr>
              <w:t>اسم الباحث</w:t>
            </w:r>
          </w:p>
        </w:tc>
        <w:tc>
          <w:tcPr>
            <w:tcW w:w="252" w:type="dxa"/>
          </w:tcPr>
          <w:p w14:paraId="18A93504" w14:textId="77777777" w:rsidR="00AD39F3" w:rsidRPr="004B484B" w:rsidRDefault="00AD39F3" w:rsidP="000516D5">
            <w:pPr>
              <w:pStyle w:val="NormalWeb"/>
              <w:bidi/>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2E639F63" w14:textId="77777777" w:rsidR="00AD39F3" w:rsidRDefault="00AD39F3" w:rsidP="000516D5">
            <w:pPr>
              <w:pStyle w:val="NormalWeb"/>
              <w:bidi/>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عبدالله عايد الحربي</w:t>
            </w:r>
          </w:p>
        </w:tc>
      </w:tr>
      <w:tr w:rsidR="00AD39F3" w14:paraId="3698078B" w14:textId="77777777" w:rsidTr="000516D5">
        <w:tc>
          <w:tcPr>
            <w:tcW w:w="1763" w:type="dxa"/>
          </w:tcPr>
          <w:p w14:paraId="2A701344" w14:textId="77777777" w:rsidR="00AD39F3" w:rsidRPr="004B484B" w:rsidRDefault="00AD39F3" w:rsidP="000516D5">
            <w:pPr>
              <w:pStyle w:val="NormalWeb"/>
              <w:bidi/>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289FF07F" w14:textId="77777777" w:rsidR="00AD39F3" w:rsidRPr="004B484B" w:rsidRDefault="00AD39F3" w:rsidP="000516D5">
            <w:pPr>
              <w:pStyle w:val="NormalWeb"/>
              <w:bidi/>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1AD9F4FB" w14:textId="77777777" w:rsidR="00AD39F3" w:rsidRDefault="00AD39F3" w:rsidP="000516D5">
            <w:pPr>
              <w:pStyle w:val="NormalWeb"/>
              <w:bidi/>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241002419</w:t>
            </w:r>
          </w:p>
        </w:tc>
      </w:tr>
      <w:tr w:rsidR="00AD39F3" w14:paraId="1DC71820" w14:textId="77777777" w:rsidTr="000516D5">
        <w:tc>
          <w:tcPr>
            <w:tcW w:w="1763" w:type="dxa"/>
          </w:tcPr>
          <w:p w14:paraId="0166287B" w14:textId="77777777" w:rsidR="00AD39F3" w:rsidRPr="004B484B" w:rsidRDefault="00AD39F3" w:rsidP="000516D5">
            <w:pPr>
              <w:pStyle w:val="NormalWeb"/>
              <w:bidi/>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الكلية                    </w:t>
            </w:r>
          </w:p>
        </w:tc>
        <w:tc>
          <w:tcPr>
            <w:tcW w:w="252" w:type="dxa"/>
          </w:tcPr>
          <w:p w14:paraId="472BA703" w14:textId="77777777" w:rsidR="00AD39F3" w:rsidRPr="004B484B" w:rsidRDefault="00AD39F3" w:rsidP="000516D5">
            <w:pPr>
              <w:pStyle w:val="NormalWeb"/>
              <w:bidi/>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70B2FDFF" w14:textId="77777777" w:rsidR="00AD39F3" w:rsidRDefault="00AD39F3" w:rsidP="000516D5">
            <w:pPr>
              <w:pStyle w:val="NormalWeb"/>
              <w:bidi/>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AD39F3" w14:paraId="7163E6F5" w14:textId="77777777" w:rsidTr="000516D5">
        <w:tc>
          <w:tcPr>
            <w:tcW w:w="1763" w:type="dxa"/>
          </w:tcPr>
          <w:p w14:paraId="79F53A18" w14:textId="77777777" w:rsidR="00AD39F3" w:rsidRPr="004B484B" w:rsidRDefault="00AD39F3" w:rsidP="000516D5">
            <w:pPr>
              <w:pStyle w:val="NormalWeb"/>
              <w:bidi/>
              <w:ind w:right="-270"/>
              <w:rPr>
                <w:rFonts w:ascii="Sakkal Majalla" w:hAnsi="Sakkal Majalla" w:cs="Sakkal Majalla"/>
                <w:b/>
                <w:bCs/>
                <w:color w:val="000000" w:themeColor="text1"/>
                <w:sz w:val="36"/>
                <w:szCs w:val="36"/>
                <w:rtl/>
              </w:rPr>
            </w:pPr>
          </w:p>
        </w:tc>
        <w:tc>
          <w:tcPr>
            <w:tcW w:w="252" w:type="dxa"/>
          </w:tcPr>
          <w:p w14:paraId="4FC2ACF2" w14:textId="77777777" w:rsidR="00AD39F3" w:rsidRPr="004B484B" w:rsidRDefault="00AD39F3" w:rsidP="000516D5">
            <w:pPr>
              <w:pStyle w:val="NormalWeb"/>
              <w:bidi/>
              <w:ind w:right="-270"/>
              <w:rPr>
                <w:rFonts w:ascii="Sakkal Majalla" w:hAnsi="Sakkal Majalla" w:cs="Sakkal Majalla"/>
                <w:b/>
                <w:bCs/>
                <w:color w:val="000000" w:themeColor="text1"/>
                <w:sz w:val="36"/>
                <w:szCs w:val="36"/>
                <w:rtl/>
              </w:rPr>
            </w:pPr>
          </w:p>
        </w:tc>
        <w:tc>
          <w:tcPr>
            <w:tcW w:w="5778" w:type="dxa"/>
          </w:tcPr>
          <w:p w14:paraId="7A718E10" w14:textId="77777777" w:rsidR="00AD39F3" w:rsidRDefault="00AD39F3" w:rsidP="000516D5">
            <w:pPr>
              <w:pStyle w:val="NormalWeb"/>
              <w:bidi/>
              <w:ind w:right="-270"/>
              <w:rPr>
                <w:rFonts w:ascii="Sakkal Majalla" w:hAnsi="Sakkal Majalla" w:cs="Sakkal Majalla"/>
                <w:b/>
                <w:bCs/>
                <w:color w:val="0000FF"/>
                <w:sz w:val="36"/>
                <w:szCs w:val="36"/>
                <w:rtl/>
              </w:rPr>
            </w:pPr>
          </w:p>
        </w:tc>
      </w:tr>
    </w:tbl>
    <w:p w14:paraId="20A03B9E" w14:textId="77777777" w:rsidR="00AD39F3" w:rsidRDefault="00AD39F3" w:rsidP="00AD39F3">
      <w:pPr>
        <w:pStyle w:val="NormalWeb"/>
        <w:bidi/>
        <w:spacing w:after="0"/>
        <w:ind w:right="-270"/>
        <w:jc w:val="both"/>
        <w:rPr>
          <w:rFonts w:ascii="Sakkal Majalla" w:hAnsi="Sakkal Majalla" w:cs="Sakkal Majalla"/>
          <w:b/>
          <w:bCs/>
          <w:color w:val="0000FF"/>
          <w:sz w:val="36"/>
          <w:szCs w:val="36"/>
          <w:rtl/>
        </w:rPr>
      </w:pPr>
    </w:p>
    <w:p w14:paraId="3E1BE48E" w14:textId="77777777" w:rsidR="00AD39F3" w:rsidRPr="004C1AE1" w:rsidRDefault="00AD39F3" w:rsidP="00AD39F3">
      <w:pPr>
        <w:spacing w:line="240" w:lineRule="auto"/>
        <w:rPr>
          <w:rFonts w:ascii="Arial" w:hAnsi="Arial" w:cs="Arial"/>
          <w:noProof/>
          <w:rtl/>
          <w:lang w:bidi="ar-JO"/>
        </w:rPr>
      </w:pPr>
    </w:p>
    <w:p w14:paraId="4F1BF25A" w14:textId="77777777" w:rsidR="00AD39F3" w:rsidRDefault="00AD39F3" w:rsidP="00AD39F3">
      <w:pPr>
        <w:jc w:val="center"/>
        <w:rPr>
          <w:rFonts w:ascii="Calibri" w:hAnsi="Calibri" w:cs="Calibri"/>
          <w:b/>
          <w:bCs/>
          <w:color w:val="FF0000"/>
          <w:sz w:val="28"/>
          <w:szCs w:val="28"/>
        </w:rPr>
      </w:pPr>
      <w:r w:rsidRPr="00883E09">
        <w:rPr>
          <w:rFonts w:ascii="Calibri" w:hAnsi="Calibri" w:cs="Calibri" w:hint="cs"/>
          <w:b/>
          <w:bCs/>
          <w:color w:val="8496B0" w:themeColor="text2" w:themeTint="99"/>
          <w:sz w:val="28"/>
          <w:szCs w:val="28"/>
          <w:rtl/>
        </w:rPr>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46</w:t>
      </w:r>
      <w:r w:rsidRPr="00444B1D">
        <w:rPr>
          <w:rFonts w:ascii="Calibri" w:hAnsi="Calibri" w:cs="Calibri" w:hint="cs"/>
          <w:b/>
          <w:bCs/>
          <w:color w:val="FF0000"/>
          <w:sz w:val="28"/>
          <w:szCs w:val="28"/>
          <w:rtl/>
        </w:rPr>
        <w:t>ه          -  20</w:t>
      </w:r>
      <w:r>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م</w:t>
      </w:r>
      <w:r w:rsidRPr="00444B1D">
        <w:rPr>
          <w:rFonts w:ascii="Calibri" w:hAnsi="Calibri" w:cs="Calibri"/>
          <w:b/>
          <w:bCs/>
          <w:color w:val="FF0000"/>
          <w:sz w:val="28"/>
          <w:szCs w:val="28"/>
          <w:rtl/>
        </w:rPr>
        <w:br/>
      </w:r>
    </w:p>
    <w:p w14:paraId="69C16351" w14:textId="77777777" w:rsidR="00AD39F3" w:rsidRPr="008A450E" w:rsidRDefault="00AD39F3" w:rsidP="00AD39F3">
      <w:pPr>
        <w:bidi/>
        <w:spacing w:after="200" w:line="480" w:lineRule="auto"/>
        <w:rPr>
          <w:rFonts w:ascii="Traditional Arabic" w:hAnsi="Traditional Arabic" w:cs="Traditional Arabic"/>
          <w:sz w:val="28"/>
          <w:szCs w:val="28"/>
          <w:rtl/>
        </w:rPr>
      </w:pPr>
    </w:p>
    <w:p w14:paraId="3B0C0DD1" w14:textId="77777777" w:rsidR="00AD39F3" w:rsidRDefault="00AD39F3" w:rsidP="00AD39F3">
      <w:pPr>
        <w:bidi/>
        <w:spacing w:after="200" w:line="480" w:lineRule="auto"/>
        <w:rPr>
          <w:rFonts w:ascii="Traditional Arabic" w:hAnsi="Traditional Arabic" w:cs="Traditional Arabic"/>
          <w:b/>
          <w:bCs/>
          <w:sz w:val="28"/>
          <w:szCs w:val="28"/>
          <w:u w:val="single"/>
          <w:rtl/>
        </w:rPr>
      </w:pPr>
    </w:p>
    <w:p w14:paraId="587ADA46" w14:textId="77777777" w:rsidR="00AD39F3" w:rsidRDefault="00AD39F3" w:rsidP="00AD39F3">
      <w:pPr>
        <w:bidi/>
        <w:spacing w:after="200" w:line="480" w:lineRule="auto"/>
        <w:rPr>
          <w:rFonts w:ascii="Traditional Arabic" w:hAnsi="Traditional Arabic" w:cs="Traditional Arabic"/>
          <w:b/>
          <w:bCs/>
          <w:sz w:val="28"/>
          <w:szCs w:val="28"/>
          <w:u w:val="single"/>
          <w:rtl/>
        </w:rPr>
      </w:pPr>
    </w:p>
    <w:p w14:paraId="094106EE" w14:textId="77777777" w:rsidR="00AD39F3" w:rsidRDefault="00AD39F3" w:rsidP="00AD39F3">
      <w:pPr>
        <w:bidi/>
        <w:spacing w:after="200" w:line="480" w:lineRule="auto"/>
        <w:rPr>
          <w:rFonts w:ascii="Traditional Arabic" w:hAnsi="Traditional Arabic" w:cs="Traditional Arabic"/>
          <w:b/>
          <w:bCs/>
          <w:sz w:val="28"/>
          <w:szCs w:val="28"/>
          <w:u w:val="single"/>
        </w:rPr>
      </w:pPr>
    </w:p>
    <w:p w14:paraId="1EB38174" w14:textId="77777777" w:rsidR="00AD39F3" w:rsidRDefault="00AD39F3" w:rsidP="00AD39F3">
      <w:pPr>
        <w:bidi/>
        <w:spacing w:after="200" w:line="480" w:lineRule="auto"/>
        <w:rPr>
          <w:rFonts w:ascii="Traditional Arabic" w:hAnsi="Traditional Arabic" w:cs="Traditional Arabic"/>
          <w:b/>
          <w:bCs/>
          <w:sz w:val="28"/>
          <w:szCs w:val="28"/>
          <w:u w:val="single"/>
        </w:rPr>
      </w:pPr>
    </w:p>
    <w:p w14:paraId="6EABCDBD" w14:textId="4965B374" w:rsidR="00AD39F3" w:rsidRDefault="00AD39F3" w:rsidP="00AD39F3">
      <w:pPr>
        <w:bidi/>
        <w:spacing w:line="480" w:lineRule="auto"/>
        <w:jc w:val="center"/>
        <w:rPr>
          <w:rFonts w:ascii="Traditional Arabic" w:hAnsi="Traditional Arabic" w:cs="Traditional Arabic"/>
          <w:b/>
          <w:bCs/>
          <w:sz w:val="40"/>
          <w:szCs w:val="40"/>
          <w:u w:val="single"/>
          <w:rtl/>
        </w:rPr>
      </w:pPr>
      <w:r w:rsidRPr="002C0601">
        <w:rPr>
          <w:rFonts w:ascii="Traditional Arabic" w:hAnsi="Traditional Arabic" w:cs="Traditional Arabic" w:hint="cs"/>
          <w:b/>
          <w:bCs/>
          <w:sz w:val="140"/>
          <w:szCs w:val="140"/>
          <w:rtl/>
        </w:rPr>
        <w:t>الفصل ال</w:t>
      </w:r>
      <w:r>
        <w:rPr>
          <w:rFonts w:ascii="Traditional Arabic" w:hAnsi="Traditional Arabic" w:cs="Traditional Arabic" w:hint="cs"/>
          <w:b/>
          <w:bCs/>
          <w:sz w:val="140"/>
          <w:szCs w:val="140"/>
          <w:rtl/>
        </w:rPr>
        <w:t>ثاني</w:t>
      </w:r>
    </w:p>
    <w:p w14:paraId="36719787" w14:textId="77777777" w:rsidR="00AD39F3" w:rsidRDefault="00AD39F3" w:rsidP="00AD39F3">
      <w:pPr>
        <w:bidi/>
        <w:spacing w:line="480" w:lineRule="auto"/>
        <w:jc w:val="center"/>
        <w:rPr>
          <w:rFonts w:ascii="Traditional Arabic" w:hAnsi="Traditional Arabic" w:cs="Traditional Arabic"/>
          <w:b/>
          <w:bCs/>
          <w:sz w:val="40"/>
          <w:szCs w:val="40"/>
          <w:u w:val="single"/>
          <w:rtl/>
        </w:rPr>
      </w:pPr>
    </w:p>
    <w:p w14:paraId="5CE550D6" w14:textId="77777777" w:rsidR="00AD39F3" w:rsidRDefault="00AD39F3" w:rsidP="002A374C">
      <w:pPr>
        <w:bidi/>
        <w:spacing w:line="480" w:lineRule="auto"/>
        <w:rPr>
          <w:rFonts w:ascii="Traditional Arabic" w:hAnsi="Traditional Arabic" w:cs="Traditional Arabic"/>
          <w:b/>
          <w:bCs/>
          <w:sz w:val="40"/>
          <w:szCs w:val="40"/>
          <w:u w:val="single"/>
          <w:rtl/>
        </w:rPr>
      </w:pPr>
    </w:p>
    <w:p w14:paraId="4ECE967A" w14:textId="1ED1B8D0" w:rsidR="00270DA0" w:rsidRDefault="00476D33" w:rsidP="00AD39F3">
      <w:pPr>
        <w:bidi/>
        <w:spacing w:line="480" w:lineRule="auto"/>
        <w:jc w:val="center"/>
        <w:rPr>
          <w:rFonts w:ascii="Traditional Arabic" w:hAnsi="Traditional Arabic" w:cs="Traditional Arabic"/>
          <w:b/>
          <w:bCs/>
          <w:sz w:val="40"/>
          <w:szCs w:val="40"/>
          <w:u w:val="single"/>
          <w:rtl/>
        </w:rPr>
      </w:pPr>
      <w:r w:rsidRPr="00476D33">
        <w:rPr>
          <w:rFonts w:ascii="Traditional Arabic" w:hAnsi="Traditional Arabic" w:cs="Traditional Arabic" w:hint="cs"/>
          <w:b/>
          <w:bCs/>
          <w:sz w:val="40"/>
          <w:szCs w:val="40"/>
          <w:u w:val="single"/>
          <w:rtl/>
        </w:rPr>
        <w:lastRenderedPageBreak/>
        <w:t xml:space="preserve">الفصل الثاني: </w:t>
      </w:r>
      <w:r w:rsidR="00270DA0" w:rsidRPr="00476D33">
        <w:rPr>
          <w:rFonts w:ascii="Traditional Arabic" w:hAnsi="Traditional Arabic" w:cs="Traditional Arabic" w:hint="cs"/>
          <w:b/>
          <w:bCs/>
          <w:sz w:val="40"/>
          <w:szCs w:val="40"/>
          <w:u w:val="single"/>
          <w:rtl/>
        </w:rPr>
        <w:t>الجانب النظري</w:t>
      </w:r>
    </w:p>
    <w:p w14:paraId="2CB6022A" w14:textId="7FC3971A" w:rsidR="004D61FE" w:rsidRPr="004D61FE" w:rsidRDefault="004D61FE" w:rsidP="002D62DA">
      <w:pPr>
        <w:bidi/>
        <w:spacing w:line="480" w:lineRule="auto"/>
        <w:jc w:val="both"/>
        <w:rPr>
          <w:rFonts w:ascii="Traditional Arabic" w:hAnsi="Traditional Arabic" w:cs="Traditional Arabic"/>
          <w:sz w:val="28"/>
          <w:szCs w:val="28"/>
        </w:rPr>
      </w:pPr>
      <w:r w:rsidRPr="004D61FE">
        <w:rPr>
          <w:rFonts w:ascii="Traditional Arabic" w:hAnsi="Traditional Arabic" w:cs="Traditional Arabic"/>
          <w:sz w:val="28"/>
          <w:szCs w:val="28"/>
          <w:rtl/>
        </w:rPr>
        <w:t>يعد الإطار النظري أحد المرتكزات الأساسية في البحوث العلمية، إذ يُوفر الخلفية المفاهيمية والمنهجية التي يتم من خلالها فهم المشكلة البحثية وتحليلها. وفي سياق هذا البحث، الذي يتناول "أثر تطبيق مبادئ الاستدامة على أداء المشاريع الإنشائية في المملكة العربية السعودية"، يُشكل هذا الفصل منطلقًا لفهم الأبعاد النظرية ذات الصلة، وبناء العلاقات بين مفاهيم الاستدامة، وجودة الأداء، والمؤشرات التي تحكم نجاح أو فشل المشاريع</w:t>
      </w:r>
      <w:r w:rsidRPr="004D61FE">
        <w:rPr>
          <w:rFonts w:ascii="Traditional Arabic" w:hAnsi="Traditional Arabic" w:cs="Traditional Arabic"/>
          <w:sz w:val="28"/>
          <w:szCs w:val="28"/>
        </w:rPr>
        <w:t>.</w:t>
      </w:r>
    </w:p>
    <w:p w14:paraId="5D7DDA3A" w14:textId="77777777" w:rsidR="004D61FE" w:rsidRPr="004D61FE" w:rsidRDefault="004D61FE" w:rsidP="002D62DA">
      <w:pPr>
        <w:bidi/>
        <w:spacing w:line="480" w:lineRule="auto"/>
        <w:jc w:val="both"/>
        <w:rPr>
          <w:rFonts w:ascii="Traditional Arabic" w:hAnsi="Traditional Arabic" w:cs="Traditional Arabic"/>
          <w:sz w:val="28"/>
          <w:szCs w:val="28"/>
        </w:rPr>
      </w:pPr>
      <w:r w:rsidRPr="004D61FE">
        <w:rPr>
          <w:rFonts w:ascii="Traditional Arabic" w:hAnsi="Traditional Arabic" w:cs="Traditional Arabic"/>
          <w:sz w:val="28"/>
          <w:szCs w:val="28"/>
          <w:rtl/>
        </w:rPr>
        <w:t>لقد أصبحت الاستدامة محورًا رئيسيًا في صناعة التشييد والبناء، مع تصاعد التحديات البيئية والاجتماعية والاقتصادية، التي تفرض على المشاريع الإنشائية الالتزام بأطر جديدة من التفكير والتخطيط والتنفيذ. فالمشاريع لم تعد تُقيم فقط من خلال قدرتها على تسليم منتج نهائي، بل أيضًا من خلال مدى التزامها باستخدام الموارد بكفاءة، وتحقيق التوازن بين الجدوى الاقتصادية وحماية البيئة ورفاهية المجتمعات. وهو ما يتوافق مع رؤية المملكة العربية السعودية 2030 التي جعلت من الاستدامة هدفًا استراتيجيًا عابرًا للقطاعات</w:t>
      </w:r>
      <w:r w:rsidRPr="004D61FE">
        <w:rPr>
          <w:rFonts w:ascii="Traditional Arabic" w:hAnsi="Traditional Arabic" w:cs="Traditional Arabic"/>
          <w:sz w:val="28"/>
          <w:szCs w:val="28"/>
        </w:rPr>
        <w:t>.</w:t>
      </w:r>
    </w:p>
    <w:p w14:paraId="19F4BDE6" w14:textId="17328803" w:rsidR="004D61FE" w:rsidRPr="004D61FE" w:rsidRDefault="004D61FE" w:rsidP="002D62DA">
      <w:pPr>
        <w:bidi/>
        <w:spacing w:line="480" w:lineRule="auto"/>
        <w:jc w:val="both"/>
        <w:rPr>
          <w:rFonts w:ascii="Traditional Arabic" w:hAnsi="Traditional Arabic" w:cs="Traditional Arabic"/>
          <w:sz w:val="28"/>
          <w:szCs w:val="28"/>
          <w:rtl/>
        </w:rPr>
      </w:pPr>
      <w:r w:rsidRPr="004D61FE">
        <w:rPr>
          <w:rFonts w:ascii="Traditional Arabic" w:hAnsi="Traditional Arabic" w:cs="Traditional Arabic"/>
          <w:sz w:val="28"/>
          <w:szCs w:val="28"/>
          <w:rtl/>
        </w:rPr>
        <w:t>ينقسم هذا الفصل إلى عدة محاور تتناول أولًا: المفهوم العام للاستدامة في المشاريع الإنشائية، وأبعادها البيئية والاقتصادية والاجتماعية. ثم ينتقل إلى تعريف أداء المشاريع ومؤشرات قياسه، مثل التكلفة، الوقت، الجودة، السلامة، ورضا العملاء. بعد ذلك، يستعرض الفصل العلاقة بين ممارسات الاستدامة وأداء المشاريع من حيث الكفاءة التشغيلية، التكاليف طويلة المدى، السمعة التنافسية، والامتثال للأنظمة البيئية، بالاستناد إلى مجموعة من الدراسات الحديثة والتجارب الواقعية في السياق السعودي. ويُختتم الفصل بمراجعة نقدية للدراسات السابقة، وتحديد الفجوة المعرفية التي يسعى هذا البحث إلى معالجتها</w:t>
      </w:r>
      <w:r w:rsidRPr="004D61FE">
        <w:rPr>
          <w:rFonts w:ascii="Traditional Arabic" w:hAnsi="Traditional Arabic" w:cs="Traditional Arabic"/>
          <w:sz w:val="28"/>
          <w:szCs w:val="28"/>
        </w:rPr>
        <w:t>.</w:t>
      </w:r>
    </w:p>
    <w:p w14:paraId="76B07A2F" w14:textId="45F73454" w:rsidR="008E6B0A" w:rsidRPr="004D61FE" w:rsidRDefault="008E6B0A" w:rsidP="006337C0">
      <w:pPr>
        <w:pStyle w:val="ListParagraph"/>
        <w:numPr>
          <w:ilvl w:val="0"/>
          <w:numId w:val="12"/>
        </w:numPr>
        <w:bidi/>
        <w:spacing w:line="480" w:lineRule="auto"/>
        <w:rPr>
          <w:rFonts w:ascii="Traditional Arabic" w:hAnsi="Traditional Arabic" w:cs="Traditional Arabic"/>
          <w:b/>
          <w:bCs/>
          <w:sz w:val="28"/>
          <w:szCs w:val="28"/>
        </w:rPr>
      </w:pPr>
      <w:r w:rsidRPr="004D61FE">
        <w:rPr>
          <w:rFonts w:ascii="Traditional Arabic" w:hAnsi="Traditional Arabic" w:cs="Traditional Arabic" w:hint="cs"/>
          <w:b/>
          <w:bCs/>
          <w:sz w:val="28"/>
          <w:szCs w:val="28"/>
          <w:rtl/>
        </w:rPr>
        <w:lastRenderedPageBreak/>
        <w:t xml:space="preserve"> </w:t>
      </w:r>
      <w:r w:rsidRPr="004D61FE">
        <w:rPr>
          <w:rFonts w:ascii="Traditional Arabic" w:hAnsi="Traditional Arabic" w:cs="Traditional Arabic"/>
          <w:b/>
          <w:bCs/>
          <w:sz w:val="28"/>
          <w:szCs w:val="28"/>
          <w:rtl/>
        </w:rPr>
        <w:t>مفهوم الاستدامة في المشاريع الإنشائية</w:t>
      </w:r>
    </w:p>
    <w:p w14:paraId="6B4C5149" w14:textId="5543BA52"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ت</w:t>
      </w:r>
      <w:r w:rsidR="00146D14">
        <w:rPr>
          <w:rFonts w:ascii="Traditional Arabic" w:hAnsi="Traditional Arabic" w:cs="Traditional Arabic" w:hint="cs"/>
          <w:sz w:val="28"/>
          <w:szCs w:val="28"/>
          <w:rtl/>
        </w:rPr>
        <w:t>ع</w:t>
      </w:r>
      <w:r w:rsidRPr="008E6B0A">
        <w:rPr>
          <w:rFonts w:ascii="Traditional Arabic" w:hAnsi="Traditional Arabic" w:cs="Traditional Arabic"/>
          <w:sz w:val="28"/>
          <w:szCs w:val="28"/>
          <w:rtl/>
        </w:rPr>
        <w:t>د الاستدامة من المفاهيم المركزية في علوم التخطيط والتنمية المعاصرة، إذ تهدف إلى إيجاد توازن بين التقدم الاقتصادي، والحفاظ على البيئة، وتحقيق رفاه اجتماعي عادل. في السياق الإنشائي، تكتسب الاستدامة بعدًا عمليًا يتجاوز المفهوم النظري، حيث تتجسد في مجموعة من السياسات والممارسات التي تراعي استمرارية الموارد البيئية، وتحقيق كفاءة اقتصادية، وتعزيز العدالة المجتمعية عبر مختلف مراحل دورة حياة المشروع. ويُعرّف مفهوم الاستدامة في المشاريع الإنشائية على أنه نهج متكامل يُعنى بإدارة الموارد الطبيعية والمالية والبشرية بطريقة تحافظ على البيئة، وتُحقق الكفاءة، وتُلبي حاجات المجتمع الحالي دون المساس بحقوق الأجيال القادمة في ذات الموارد (الحسن والفارسي، 2025)</w:t>
      </w:r>
      <w:r w:rsidRPr="008E6B0A">
        <w:rPr>
          <w:rFonts w:ascii="Traditional Arabic" w:hAnsi="Traditional Arabic" w:cs="Traditional Arabic"/>
          <w:sz w:val="28"/>
          <w:szCs w:val="28"/>
        </w:rPr>
        <w:t>.</w:t>
      </w:r>
    </w:p>
    <w:p w14:paraId="69D7533B"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تعكس الاستدامة الإنشائية التزامًا طويل الأمد من قبل الجهات المنفذة والمشرفة، لا يقتصر فقط على جودة المنتج النهائي، بل يشمل أثر المشروع في كل مراحله على المحيط الطبيعي والاجتماعي. وقد أشار تقرير وزارة الاقتصاد والتخطيط السعودية (2018) إلى أن المملكة تدمج أهداف التنمية المستدامة في سياساتها العامة من خلال رؤية 2030، والتي تهدف إلى تحفيز النمو الاقتصادي المستدام، وتحسين كفاءة الطاقة، وتعزيز التنمية الاجتماعية، وهو ما يُعد ترجمة عملية لمبادئ الاستدامة في المشاريع</w:t>
      </w:r>
      <w:r w:rsidRPr="008E6B0A">
        <w:rPr>
          <w:rFonts w:ascii="Traditional Arabic" w:hAnsi="Traditional Arabic" w:cs="Traditional Arabic"/>
          <w:sz w:val="28"/>
          <w:szCs w:val="28"/>
        </w:rPr>
        <w:t>.</w:t>
      </w:r>
    </w:p>
    <w:p w14:paraId="04A0E610" w14:textId="77777777" w:rsidR="008E6B0A" w:rsidRDefault="008E6B0A" w:rsidP="002D62DA">
      <w:pPr>
        <w:bidi/>
        <w:spacing w:line="480" w:lineRule="auto"/>
        <w:jc w:val="both"/>
        <w:rPr>
          <w:rFonts w:ascii="Traditional Arabic" w:hAnsi="Traditional Arabic" w:cs="Traditional Arabic"/>
          <w:sz w:val="28"/>
          <w:szCs w:val="28"/>
          <w:rtl/>
        </w:rPr>
      </w:pPr>
      <w:r w:rsidRPr="008E6B0A">
        <w:rPr>
          <w:rFonts w:ascii="Traditional Arabic" w:hAnsi="Traditional Arabic" w:cs="Traditional Arabic"/>
          <w:sz w:val="28"/>
          <w:szCs w:val="28"/>
          <w:rtl/>
        </w:rPr>
        <w:t>في هذا السياق، تبرز أبعاد الاستدامة الثلاثة، وهي البيئة، والاقتصاد، والمجتمع، كمكونات أساسية يقتضي تفعيلها بشكل متوازن لتحقيق استدامة حقيقية في المشاريع الإنشائية</w:t>
      </w:r>
      <w:r w:rsidRPr="008E6B0A">
        <w:rPr>
          <w:rFonts w:ascii="Traditional Arabic" w:hAnsi="Traditional Arabic" w:cs="Traditional Arabic"/>
          <w:sz w:val="28"/>
          <w:szCs w:val="28"/>
        </w:rPr>
        <w:t>.</w:t>
      </w:r>
    </w:p>
    <w:p w14:paraId="6481DC65" w14:textId="77777777" w:rsidR="00A03BD5" w:rsidRPr="008E6B0A" w:rsidRDefault="00A03BD5" w:rsidP="002D62DA">
      <w:pPr>
        <w:bidi/>
        <w:spacing w:line="480" w:lineRule="auto"/>
        <w:jc w:val="both"/>
        <w:rPr>
          <w:rFonts w:ascii="Traditional Arabic" w:hAnsi="Traditional Arabic" w:cs="Traditional Arabic"/>
          <w:sz w:val="28"/>
          <w:szCs w:val="28"/>
        </w:rPr>
      </w:pPr>
    </w:p>
    <w:p w14:paraId="2BA6AF4F" w14:textId="2B4548BF" w:rsidR="008E6B0A" w:rsidRPr="008E6B0A" w:rsidRDefault="008E6B0A" w:rsidP="002D62DA">
      <w:pPr>
        <w:pStyle w:val="ListParagraph"/>
        <w:numPr>
          <w:ilvl w:val="0"/>
          <w:numId w:val="11"/>
        </w:numPr>
        <w:bidi/>
        <w:spacing w:line="480" w:lineRule="auto"/>
        <w:jc w:val="both"/>
        <w:rPr>
          <w:rFonts w:ascii="Traditional Arabic" w:hAnsi="Traditional Arabic" w:cs="Traditional Arabic"/>
          <w:b/>
          <w:bCs/>
          <w:sz w:val="28"/>
          <w:szCs w:val="28"/>
        </w:rPr>
      </w:pPr>
      <w:r w:rsidRPr="008E6B0A">
        <w:rPr>
          <w:rFonts w:ascii="Traditional Arabic" w:hAnsi="Traditional Arabic" w:cs="Traditional Arabic"/>
          <w:b/>
          <w:bCs/>
          <w:sz w:val="28"/>
          <w:szCs w:val="28"/>
          <w:rtl/>
        </w:rPr>
        <w:lastRenderedPageBreak/>
        <w:t>البعد البيئي للاستدامة</w:t>
      </w:r>
    </w:p>
    <w:p w14:paraId="34A025B8"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يمثل البعد البيئي الركيزة الأولى التي تنطلق منها فلسفة الاستدامة، لا سيما في قطاع البناء الذي يُعد من أكبر المساهمين في استنزاف الموارد الطبيعية وانبعاثات الكربون على مستوى العالم. ويشمل هذا البعد الاستخدام الرشيد للموارد مثل المياه والطاقة، واعتماد تقنيات البناء الأخضر، وإدارة النفايات بكفاءة. وقد بيّنت دراسة الحسن والفارسي (2025) أن تأخير المشاريع يؤدي إلى تفاقم الأثر البيئي من خلال استنزاف إضافي للموارد وارتفاع الانبعاثات الكربونية الناتجة عن التمديد غير المخطط لفترة التنفيذ، مما يجعل دمج البعد البيئي في التخطيط أمراً بالغ الأهمية</w:t>
      </w:r>
      <w:r w:rsidRPr="008E6B0A">
        <w:rPr>
          <w:rFonts w:ascii="Traditional Arabic" w:hAnsi="Traditional Arabic" w:cs="Traditional Arabic"/>
          <w:sz w:val="28"/>
          <w:szCs w:val="28"/>
        </w:rPr>
        <w:t>.</w:t>
      </w:r>
    </w:p>
    <w:p w14:paraId="7ED3CA46"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وفي هذا الإطار، أكدت دراسة البقعي والهزايمة (2023) أن الممارسات الصديقة للبيئة، مثل تقليل استخدام الورق واعتماد أنظمة لترشيد استهلاك الماء والكهرباء، تُسهم بفاعلية في خفض البصمة البيئية للمشاريع. كما أن الاعتماد على الطاقة المتجددة، مثل الطاقة الشمسية وطاقة الرياح، وتطبيق مبادئ إعادة التدوير عبر شركات مثل "سرك"، يمثلان ممارسات فعالة لتحقيق أهداف هذا البعد. وقد بيّنت البيانات الواردة في الدراسة أن 64% من مؤشرات التنمية البيئية المستدامة في أمانة جدة تعود إلى ممارسات الإدارة الخضراء</w:t>
      </w:r>
      <w:r w:rsidRPr="008E6B0A">
        <w:rPr>
          <w:rFonts w:ascii="Traditional Arabic" w:hAnsi="Traditional Arabic" w:cs="Traditional Arabic"/>
          <w:sz w:val="28"/>
          <w:szCs w:val="28"/>
        </w:rPr>
        <w:t>.</w:t>
      </w:r>
    </w:p>
    <w:p w14:paraId="1E03D5BE" w14:textId="77777777" w:rsidR="008E6B0A" w:rsidRDefault="008E6B0A" w:rsidP="002D62DA">
      <w:pPr>
        <w:bidi/>
        <w:spacing w:line="480" w:lineRule="auto"/>
        <w:jc w:val="both"/>
        <w:rPr>
          <w:rFonts w:ascii="Traditional Arabic" w:hAnsi="Traditional Arabic" w:cs="Traditional Arabic"/>
          <w:sz w:val="28"/>
          <w:szCs w:val="28"/>
          <w:rtl/>
        </w:rPr>
      </w:pPr>
      <w:r w:rsidRPr="008E6B0A">
        <w:rPr>
          <w:rFonts w:ascii="Traditional Arabic" w:hAnsi="Traditional Arabic" w:cs="Traditional Arabic"/>
          <w:sz w:val="28"/>
          <w:szCs w:val="28"/>
          <w:rtl/>
        </w:rPr>
        <w:t>أما على مستوى السياسات الوطنية، فقد أشار تقرير وزارة الاقتصاد والتخطيط السعودية (2018) إلى برامج ومبادرات مثل "السعودية الخضراء" و"البرنامج الوطني للطاقة المتجددة" الذي يستهدف إنتاج 9.5 جيجاواط من الطاقة المتجددة، كمؤشرات واضحة على التوجه الجاد لتعزيز البعد البيئي للاستدامة في المشاريع الكبرى</w:t>
      </w:r>
      <w:r w:rsidRPr="008E6B0A">
        <w:rPr>
          <w:rFonts w:ascii="Traditional Arabic" w:hAnsi="Traditional Arabic" w:cs="Traditional Arabic"/>
          <w:sz w:val="28"/>
          <w:szCs w:val="28"/>
        </w:rPr>
        <w:t>.</w:t>
      </w:r>
    </w:p>
    <w:p w14:paraId="0CE3EF3D" w14:textId="77777777" w:rsidR="00A03BD5" w:rsidRPr="008E6B0A" w:rsidRDefault="00A03BD5" w:rsidP="002D62DA">
      <w:pPr>
        <w:bidi/>
        <w:spacing w:line="480" w:lineRule="auto"/>
        <w:jc w:val="both"/>
        <w:rPr>
          <w:rFonts w:ascii="Traditional Arabic" w:hAnsi="Traditional Arabic" w:cs="Traditional Arabic"/>
          <w:sz w:val="28"/>
          <w:szCs w:val="28"/>
        </w:rPr>
      </w:pPr>
    </w:p>
    <w:p w14:paraId="142BACAC" w14:textId="77777777" w:rsidR="008E6B0A" w:rsidRPr="008E6B0A" w:rsidRDefault="008E6B0A" w:rsidP="002D62DA">
      <w:pPr>
        <w:pStyle w:val="ListParagraph"/>
        <w:numPr>
          <w:ilvl w:val="0"/>
          <w:numId w:val="11"/>
        </w:numPr>
        <w:bidi/>
        <w:spacing w:line="480" w:lineRule="auto"/>
        <w:jc w:val="both"/>
        <w:rPr>
          <w:rFonts w:ascii="Traditional Arabic" w:hAnsi="Traditional Arabic" w:cs="Traditional Arabic"/>
          <w:b/>
          <w:bCs/>
          <w:sz w:val="28"/>
          <w:szCs w:val="28"/>
        </w:rPr>
      </w:pPr>
      <w:r w:rsidRPr="008E6B0A">
        <w:rPr>
          <w:rFonts w:ascii="Traditional Arabic" w:hAnsi="Traditional Arabic" w:cs="Traditional Arabic"/>
          <w:b/>
          <w:bCs/>
          <w:sz w:val="28"/>
          <w:szCs w:val="28"/>
          <w:rtl/>
        </w:rPr>
        <w:lastRenderedPageBreak/>
        <w:t>البعد الاقتصادي للاستدامة</w:t>
      </w:r>
    </w:p>
    <w:p w14:paraId="6A8C035F"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يرتبط البعد الاقتصادي بالجدوى المالية للمشروعات، ليس فقط في ضوء تكلفتها الأولية، بل أيضًا من خلال النظر إلى الأثر الاقتصادي طويل الأجل المترتب على استهلاك الموارد، وإدارة التشغيل، والصيانة، والتفاعل مع السوق. في دراسة الحسن والفارسي (2025)، يتضح أن تأخير تنفيذ المشاريع لا يؤدي فقط إلى ارتفاع تكاليف العمالة والمواد، بل يؤثر أيضًا سلبًا على جاذبية المشاريع للمستثمرين بسبب انخفاض الكفاءة المالية. ومن هنا، تظهر الحاجة لتبني خطط استدامة اقتصادية تراعي تقليل الهدر وزيادة كفاءة الموارد، ما يؤدي إلى تعزيز العوائد وتقليل المخاطر المالية</w:t>
      </w:r>
      <w:r w:rsidRPr="008E6B0A">
        <w:rPr>
          <w:rFonts w:ascii="Traditional Arabic" w:hAnsi="Traditional Arabic" w:cs="Traditional Arabic"/>
          <w:sz w:val="28"/>
          <w:szCs w:val="28"/>
        </w:rPr>
        <w:t>.</w:t>
      </w:r>
    </w:p>
    <w:p w14:paraId="186A38E4"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تذهب دراسة البقعي والهزايمة (2023) إلى ما هو أبعد من ذلك، إذ تعتبر أن تبني الإدارة الخضراء يساهم في تعزيز السمعة التنافسية للشركات، وبالتالي زيادة القدرة على جذب استثمارات مستقبلية. كما تشير إلى أن تبني استراتيجيات استدامة يمكن أن يوفر مخصصات مالية من خلال تقليل استهلاك الطاقة، وإعادة تدوير الموارد، وهو ما يدعم تحقيق النمو الاقتصادي دون المساس بالبيئة. كذلك، يعكس تقرير وزارة الاقتصاد والتخطيط (2018) حرص المملكة على تنويع مصادر الدخل وزيادة مساهمة القطاع الخاص إلى 65% من الناتج المحلي كأحد أهداف الاستدامة الاقتصادية</w:t>
      </w:r>
      <w:r w:rsidRPr="008E6B0A">
        <w:rPr>
          <w:rFonts w:ascii="Traditional Arabic" w:hAnsi="Traditional Arabic" w:cs="Traditional Arabic"/>
          <w:sz w:val="28"/>
          <w:szCs w:val="28"/>
        </w:rPr>
        <w:t>.</w:t>
      </w:r>
    </w:p>
    <w:p w14:paraId="3E155374" w14:textId="77777777" w:rsidR="008E6B0A" w:rsidRDefault="008E6B0A" w:rsidP="002D62DA">
      <w:pPr>
        <w:bidi/>
        <w:spacing w:line="480" w:lineRule="auto"/>
        <w:jc w:val="both"/>
        <w:rPr>
          <w:rFonts w:ascii="Traditional Arabic" w:hAnsi="Traditional Arabic" w:cs="Traditional Arabic"/>
          <w:sz w:val="28"/>
          <w:szCs w:val="28"/>
          <w:rtl/>
        </w:rPr>
      </w:pPr>
      <w:r w:rsidRPr="008E6B0A">
        <w:rPr>
          <w:rFonts w:ascii="Traditional Arabic" w:hAnsi="Traditional Arabic" w:cs="Traditional Arabic"/>
          <w:sz w:val="28"/>
          <w:szCs w:val="28"/>
          <w:rtl/>
        </w:rPr>
        <w:t>وفي دراسة العابد وآخرين (2022)، يتضح أن اعتماد تقنيات مثل نظم المعلومات الجغرافية</w:t>
      </w:r>
      <w:r w:rsidRPr="008E6B0A">
        <w:rPr>
          <w:rFonts w:ascii="Traditional Arabic" w:hAnsi="Traditional Arabic" w:cs="Traditional Arabic"/>
          <w:sz w:val="28"/>
          <w:szCs w:val="28"/>
        </w:rPr>
        <w:t xml:space="preserve"> (GIS) </w:t>
      </w:r>
      <w:r w:rsidRPr="008E6B0A">
        <w:rPr>
          <w:rFonts w:ascii="Traditional Arabic" w:hAnsi="Traditional Arabic" w:cs="Traditional Arabic"/>
          <w:sz w:val="28"/>
          <w:szCs w:val="28"/>
          <w:rtl/>
        </w:rPr>
        <w:t>واستخدام الطاقة الشمسية في المشاريع السكنية يعزز كفاءة استخدام الموارد، ويقلل من التكاليف التشغيلية، الأمر الذي يُعد تجسيدًا عمليًا لمبادئ الاستدامة الاقتصادية في البيئة العمرانية السعودية</w:t>
      </w:r>
      <w:r w:rsidRPr="008E6B0A">
        <w:rPr>
          <w:rFonts w:ascii="Traditional Arabic" w:hAnsi="Traditional Arabic" w:cs="Traditional Arabic"/>
          <w:sz w:val="28"/>
          <w:szCs w:val="28"/>
        </w:rPr>
        <w:t>.</w:t>
      </w:r>
    </w:p>
    <w:p w14:paraId="6AB23AFE" w14:textId="77777777" w:rsidR="00A03BD5" w:rsidRPr="008E6B0A" w:rsidRDefault="00A03BD5" w:rsidP="002D62DA">
      <w:pPr>
        <w:bidi/>
        <w:spacing w:line="480" w:lineRule="auto"/>
        <w:jc w:val="both"/>
        <w:rPr>
          <w:rFonts w:ascii="Traditional Arabic" w:hAnsi="Traditional Arabic" w:cs="Traditional Arabic"/>
          <w:sz w:val="28"/>
          <w:szCs w:val="28"/>
        </w:rPr>
      </w:pPr>
    </w:p>
    <w:p w14:paraId="532F4DB3" w14:textId="77777777" w:rsidR="008E6B0A" w:rsidRPr="008E6B0A" w:rsidRDefault="008E6B0A" w:rsidP="002D62DA">
      <w:pPr>
        <w:pStyle w:val="ListParagraph"/>
        <w:numPr>
          <w:ilvl w:val="0"/>
          <w:numId w:val="11"/>
        </w:numPr>
        <w:bidi/>
        <w:spacing w:line="480" w:lineRule="auto"/>
        <w:jc w:val="both"/>
        <w:rPr>
          <w:rFonts w:ascii="Traditional Arabic" w:hAnsi="Traditional Arabic" w:cs="Traditional Arabic"/>
          <w:b/>
          <w:bCs/>
          <w:sz w:val="28"/>
          <w:szCs w:val="28"/>
        </w:rPr>
      </w:pPr>
      <w:r w:rsidRPr="008E6B0A">
        <w:rPr>
          <w:rFonts w:ascii="Traditional Arabic" w:hAnsi="Traditional Arabic" w:cs="Traditional Arabic"/>
          <w:b/>
          <w:bCs/>
          <w:sz w:val="28"/>
          <w:szCs w:val="28"/>
          <w:rtl/>
        </w:rPr>
        <w:lastRenderedPageBreak/>
        <w:t>البعد الاجتماعي للاستدامة</w:t>
      </w:r>
    </w:p>
    <w:p w14:paraId="58C4AD95"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يُعد البعد الاجتماعي في مشاريع البناء من أكثر الأبعاد ارتباطًا بالنتائج الإنسانية للمشروع، حيث يعكس مدى مساهمة المشروع في تحسين جودة الحياة للمجتمعات المستفيدة. وقد أظهرت دراسة الحسن والفارسي (2025) أن التأخر في تسليم المشاريع يؤدي إلى تعطيل تقديم خدمات حيوية مثل المدارس والمراكز الصحية، مما يؤثر مباشرة على التنمية الاجتماعية في المناطق المستهدفة</w:t>
      </w:r>
      <w:r w:rsidRPr="008E6B0A">
        <w:rPr>
          <w:rFonts w:ascii="Traditional Arabic" w:hAnsi="Traditional Arabic" w:cs="Traditional Arabic"/>
          <w:sz w:val="28"/>
          <w:szCs w:val="28"/>
        </w:rPr>
        <w:t>.</w:t>
      </w:r>
    </w:p>
    <w:p w14:paraId="0C441A01"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ويتناول البقعي والهزايمة (2023) هذا البعد من خلال تحليل مبادرات المسؤولية الاجتماعية الخضراء، مثل حملات تنظيف البيئة وزراعة الأشجار، باعتبارها الأداة الأكثر تأثيرًا في تعزيز العلاقة بين الشركة والمجتمع. وتُظهر الدراسة أن هذه المبادرات لا تقتصر على تحسين الصورة العامة للمؤسسات، بل تسهم بشكل ملموس في تحقيق العدالة البيئية والاجتماعية. وتشير البيانات إلى أن المسؤولية الاجتماعية الخضراء كانت البعد الأكثر تأثيرًا في تحقيق الاستدامة، بمعامل انحدار بلغ 0.28، وعلاقة ارتباطية بلغت 0.80 بين تطبيق الإدارة الخضراء وتحقيق التنمية البيئية المستدامة</w:t>
      </w:r>
      <w:r w:rsidRPr="008E6B0A">
        <w:rPr>
          <w:rFonts w:ascii="Traditional Arabic" w:hAnsi="Traditional Arabic" w:cs="Traditional Arabic"/>
          <w:sz w:val="28"/>
          <w:szCs w:val="28"/>
        </w:rPr>
        <w:t>.</w:t>
      </w:r>
    </w:p>
    <w:p w14:paraId="2BA648EB" w14:textId="77777777" w:rsidR="008E6B0A" w:rsidRDefault="008E6B0A" w:rsidP="002D62DA">
      <w:pPr>
        <w:bidi/>
        <w:spacing w:line="480" w:lineRule="auto"/>
        <w:jc w:val="both"/>
        <w:rPr>
          <w:rFonts w:ascii="Traditional Arabic" w:hAnsi="Traditional Arabic" w:cs="Traditional Arabic"/>
          <w:sz w:val="28"/>
          <w:szCs w:val="28"/>
          <w:rtl/>
        </w:rPr>
      </w:pPr>
      <w:r w:rsidRPr="008E6B0A">
        <w:rPr>
          <w:rFonts w:ascii="Traditional Arabic" w:hAnsi="Traditional Arabic" w:cs="Traditional Arabic"/>
          <w:sz w:val="28"/>
          <w:szCs w:val="28"/>
          <w:rtl/>
        </w:rPr>
        <w:t>أما في سياق تقرير المملكة (2018)، فقد برزت الجهود الاجتماعية في مبادرات مثل "برنامج حساب المواطن"، وبرامج تمكين المرأة، وتحسين الخدمات الصحية والتعليمية، كترجمة للبعد الاجتماعي في الاستدامة على مستوى السياسات الحكومية. وتُعد هذه المبادرات امتدادًا طبيعيًا لاستدامة المشاريع الإنشائية التي تُسهم في تطوير البنية التحتية والخدمات المجتمعية، بما ينعكس إيجابيًا على مؤشرات جودة الحياة</w:t>
      </w:r>
      <w:r w:rsidRPr="008E6B0A">
        <w:rPr>
          <w:rFonts w:ascii="Traditional Arabic" w:hAnsi="Traditional Arabic" w:cs="Traditional Arabic"/>
          <w:sz w:val="28"/>
          <w:szCs w:val="28"/>
        </w:rPr>
        <w:t>.</w:t>
      </w:r>
    </w:p>
    <w:p w14:paraId="2F01B432" w14:textId="77777777" w:rsidR="00A03BD5" w:rsidRPr="008E6B0A" w:rsidRDefault="00A03BD5" w:rsidP="00A03BD5">
      <w:pPr>
        <w:bidi/>
        <w:spacing w:line="480" w:lineRule="auto"/>
        <w:rPr>
          <w:rFonts w:ascii="Traditional Arabic" w:hAnsi="Traditional Arabic" w:cs="Traditional Arabic"/>
          <w:sz w:val="28"/>
          <w:szCs w:val="28"/>
        </w:rPr>
      </w:pPr>
    </w:p>
    <w:p w14:paraId="25482DD3" w14:textId="6CF9B0E9" w:rsidR="008E6B0A" w:rsidRPr="008E6B0A" w:rsidRDefault="00334D72" w:rsidP="006337C0">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1-1 </w:t>
      </w:r>
      <w:r w:rsidR="004D61FE">
        <w:rPr>
          <w:rFonts w:ascii="Traditional Arabic" w:hAnsi="Traditional Arabic" w:cs="Traditional Arabic" w:hint="cs"/>
          <w:b/>
          <w:bCs/>
          <w:sz w:val="28"/>
          <w:szCs w:val="28"/>
          <w:rtl/>
        </w:rPr>
        <w:t xml:space="preserve"> </w:t>
      </w:r>
      <w:r w:rsidR="008E6B0A" w:rsidRPr="008E6B0A">
        <w:rPr>
          <w:rFonts w:ascii="Traditional Arabic" w:hAnsi="Traditional Arabic" w:cs="Traditional Arabic"/>
          <w:b/>
          <w:bCs/>
          <w:sz w:val="28"/>
          <w:szCs w:val="28"/>
          <w:rtl/>
        </w:rPr>
        <w:t>معايير الاستدامة في القطاع الإنشائي</w:t>
      </w:r>
    </w:p>
    <w:p w14:paraId="5D12B1F2"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لضمان تحقيق الاستدامة وفق أسس علمية قابلة للقياس، تم تطوير عدد من الأنظمة والمعايير المعتمدة دوليًا ومحليًا لتقييم مدى التزام المشاريع بالمبادئ المستدامة. من أبرز هذه المعايير، نظام</w:t>
      </w:r>
      <w:r w:rsidRPr="008E6B0A">
        <w:rPr>
          <w:rFonts w:ascii="Traditional Arabic" w:hAnsi="Traditional Arabic" w:cs="Traditional Arabic"/>
          <w:sz w:val="28"/>
          <w:szCs w:val="28"/>
        </w:rPr>
        <w:t xml:space="preserve"> LEED </w:t>
      </w:r>
      <w:r w:rsidRPr="008E6B0A">
        <w:rPr>
          <w:rFonts w:ascii="Traditional Arabic" w:hAnsi="Traditional Arabic" w:cs="Traditional Arabic"/>
          <w:sz w:val="28"/>
          <w:szCs w:val="28"/>
          <w:rtl/>
        </w:rPr>
        <w:t>الأمريكي الذي يُعد من أشهر أنظمة تقييم المباني الخضراء عالميًا، ويركز على عناصر مثل كفاءة الطاقة، وجودة الهواء، واستخدام المواد المحلية الصديقة للبيئة. كما يُعتبر نظام</w:t>
      </w:r>
      <w:r w:rsidRPr="008E6B0A">
        <w:rPr>
          <w:rFonts w:ascii="Traditional Arabic" w:hAnsi="Traditional Arabic" w:cs="Traditional Arabic"/>
          <w:sz w:val="28"/>
          <w:szCs w:val="28"/>
        </w:rPr>
        <w:t xml:space="preserve"> BREEAM </w:t>
      </w:r>
      <w:r w:rsidRPr="008E6B0A">
        <w:rPr>
          <w:rFonts w:ascii="Traditional Arabic" w:hAnsi="Traditional Arabic" w:cs="Traditional Arabic"/>
          <w:sz w:val="28"/>
          <w:szCs w:val="28"/>
          <w:rtl/>
        </w:rPr>
        <w:t>البريطاني من أبرز المعايير المستخدمة في أوروبا والشرق الأوسط، ويعتمد في تقييمه على عناصر تشمل إدارة المياه، واستخدام الطاقة المتجددة، وتقليل الانبعاثات</w:t>
      </w:r>
      <w:r w:rsidRPr="008E6B0A">
        <w:rPr>
          <w:rFonts w:ascii="Traditional Arabic" w:hAnsi="Traditional Arabic" w:cs="Traditional Arabic"/>
          <w:sz w:val="28"/>
          <w:szCs w:val="28"/>
        </w:rPr>
        <w:t>.</w:t>
      </w:r>
    </w:p>
    <w:p w14:paraId="314176E5"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وقد أظهرت الدراسات مثل الحسن والفارسي (2025) أن الالتزام بمعايير مثل</w:t>
      </w:r>
      <w:r w:rsidRPr="008E6B0A">
        <w:rPr>
          <w:rFonts w:ascii="Traditional Arabic" w:hAnsi="Traditional Arabic" w:cs="Traditional Arabic"/>
          <w:sz w:val="28"/>
          <w:szCs w:val="28"/>
        </w:rPr>
        <w:t xml:space="preserve"> LEED </w:t>
      </w:r>
      <w:r w:rsidRPr="008E6B0A">
        <w:rPr>
          <w:rFonts w:ascii="Traditional Arabic" w:hAnsi="Traditional Arabic" w:cs="Traditional Arabic"/>
          <w:sz w:val="28"/>
          <w:szCs w:val="28"/>
          <w:rtl/>
        </w:rPr>
        <w:t>يُسهم في تعزيز كفاءة المشروع، وتقليل الهدر، وتحسين صورة الشركة المنفذة، مما ينعكس إيجابيًا على أدائها في السوق. كما تشير دراسة العابد وآخرون (2022) إلى أن غياب تطبيق هذه المعايير في حي الشرائع بمكة المكرمة أدى إلى تدهور بيئي ملحوظ، تجلى في ارتفاع استهلاك الطاقة وسوء إدارة المياه، وتراكم النفايات، ما يدل على أهمية هذه المعايير في ضمان بيئة عمرانية مستدامة</w:t>
      </w:r>
      <w:r w:rsidRPr="008E6B0A">
        <w:rPr>
          <w:rFonts w:ascii="Traditional Arabic" w:hAnsi="Traditional Arabic" w:cs="Traditional Arabic"/>
          <w:sz w:val="28"/>
          <w:szCs w:val="28"/>
        </w:rPr>
        <w:t>.</w:t>
      </w:r>
    </w:p>
    <w:p w14:paraId="377AEAD6" w14:textId="77777777" w:rsidR="008E6B0A" w:rsidRDefault="008E6B0A" w:rsidP="002D62DA">
      <w:pPr>
        <w:bidi/>
        <w:spacing w:line="480" w:lineRule="auto"/>
        <w:jc w:val="both"/>
        <w:rPr>
          <w:rFonts w:ascii="Traditional Arabic" w:hAnsi="Traditional Arabic" w:cs="Traditional Arabic"/>
          <w:sz w:val="28"/>
          <w:szCs w:val="28"/>
          <w:rtl/>
        </w:rPr>
      </w:pPr>
      <w:r w:rsidRPr="008E6B0A">
        <w:rPr>
          <w:rFonts w:ascii="Traditional Arabic" w:hAnsi="Traditional Arabic" w:cs="Traditional Arabic"/>
          <w:sz w:val="28"/>
          <w:szCs w:val="28"/>
          <w:rtl/>
        </w:rPr>
        <w:t>على المستوى المحلي، طورت المملكة العربية السعودية "كود البناء السعودي" الذي يتضمن معايير خاصة بالعزل الحراري، وكفاءة الطاقة، واستخدام المواد المستدامة، وذلك تماشيًا مع مبادرات رؤية 2030. كما أشارت دراسة البقعي والهزايمة (2023) إلى أن أمانة جدة تطبق مؤشرات محلية للاستدامة البيئية تشمل زيادة الغطاء النباتي، ووضع ضوابط لحماية الموارد الطبيعية، وفرض غرامات على المخالفات البيئية، وهي ممارسات تعكس اتجاهًا حقيقيًا نحو تفعيل الاستدامة في قطاع البناء المحلي</w:t>
      </w:r>
      <w:r w:rsidRPr="008E6B0A">
        <w:rPr>
          <w:rFonts w:ascii="Traditional Arabic" w:hAnsi="Traditional Arabic" w:cs="Traditional Arabic"/>
          <w:sz w:val="28"/>
          <w:szCs w:val="28"/>
        </w:rPr>
        <w:t>.</w:t>
      </w:r>
    </w:p>
    <w:p w14:paraId="6B37357E" w14:textId="77777777" w:rsidR="00A03BD5" w:rsidRPr="008E6B0A" w:rsidRDefault="00A03BD5" w:rsidP="002D62DA">
      <w:pPr>
        <w:bidi/>
        <w:spacing w:line="480" w:lineRule="auto"/>
        <w:jc w:val="both"/>
        <w:rPr>
          <w:rFonts w:ascii="Traditional Arabic" w:hAnsi="Traditional Arabic" w:cs="Traditional Arabic"/>
          <w:sz w:val="28"/>
          <w:szCs w:val="28"/>
        </w:rPr>
      </w:pPr>
    </w:p>
    <w:p w14:paraId="018FDDB3" w14:textId="4E1BE099" w:rsidR="008E6B0A" w:rsidRPr="008E6B0A" w:rsidRDefault="00334D72" w:rsidP="002D62DA">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1-2  </w:t>
      </w:r>
      <w:r w:rsidR="008E6B0A" w:rsidRPr="008E6B0A">
        <w:rPr>
          <w:rFonts w:ascii="Traditional Arabic" w:hAnsi="Traditional Arabic" w:cs="Traditional Arabic"/>
          <w:b/>
          <w:bCs/>
          <w:sz w:val="28"/>
          <w:szCs w:val="28"/>
          <w:rtl/>
        </w:rPr>
        <w:t>أثر تبني مفهوم الاستدامة على أداء المشاريع</w:t>
      </w:r>
    </w:p>
    <w:p w14:paraId="0738DA39"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تتفق جميع الدراسات التي تمت مراجعتها على أن دمج الاستدامة في المشاريع الإنشائية يُفضي إلى تحسينات ملموسة في الأداء العام للمشاريع، سواء من حيث الكفاءة، أو الجدوى الاقتصادية، أو التأثير المجتمعي. وقد بيّنت دراسة الحسن والفارسي (2025) أن تبني مبادئ الاستدامة في التخطيط والتنفيذ يساعد في تقليل التأخير، وتحسين الجدوى الاقتصادية، وتقليل الآثار البيئية السلبية. كما أكدت دراسة العابد وآخرون (2022) أن غياب هذه المبادئ يؤدي إلى مشاكل كبيرة في البيئة الحضرية مثل تدهور جودة الهواء، وضعف النقل العام، وارتفاع التكاليف التشغيلية</w:t>
      </w:r>
      <w:r w:rsidRPr="008E6B0A">
        <w:rPr>
          <w:rFonts w:ascii="Traditional Arabic" w:hAnsi="Traditional Arabic" w:cs="Traditional Arabic"/>
          <w:sz w:val="28"/>
          <w:szCs w:val="28"/>
        </w:rPr>
        <w:t>.</w:t>
      </w:r>
    </w:p>
    <w:p w14:paraId="2B18670B" w14:textId="77777777" w:rsidR="008E6B0A" w:rsidRPr="008E6B0A" w:rsidRDefault="008E6B0A" w:rsidP="002D62DA">
      <w:pPr>
        <w:bidi/>
        <w:spacing w:line="480" w:lineRule="auto"/>
        <w:jc w:val="both"/>
        <w:rPr>
          <w:rFonts w:ascii="Traditional Arabic" w:hAnsi="Traditional Arabic" w:cs="Traditional Arabic"/>
          <w:sz w:val="28"/>
          <w:szCs w:val="28"/>
        </w:rPr>
      </w:pPr>
      <w:r w:rsidRPr="008E6B0A">
        <w:rPr>
          <w:rFonts w:ascii="Traditional Arabic" w:hAnsi="Traditional Arabic" w:cs="Traditional Arabic"/>
          <w:sz w:val="28"/>
          <w:szCs w:val="28"/>
          <w:rtl/>
        </w:rPr>
        <w:t>وتؤكد الدراسات مجتمعة أن الاستدامة لم تعد خيارًا ترفيهيًا، بل أصبحت ضرورة استراتيجية تؤثر مباشرة في جودة التنفيذ، ورضا العملاء، واستمرارية الموارد، وقوة الاقتصاد الوطني. ويُعد ذلك انسجامًا مع التوجه العالمي والمحلي لتعزيز الاستدامة في مختلف القطاعات، وعلى رأسها قطاع البناء والتشييد</w:t>
      </w:r>
      <w:r w:rsidRPr="008E6B0A">
        <w:rPr>
          <w:rFonts w:ascii="Traditional Arabic" w:hAnsi="Traditional Arabic" w:cs="Traditional Arabic"/>
          <w:sz w:val="28"/>
          <w:szCs w:val="28"/>
        </w:rPr>
        <w:t>.</w:t>
      </w:r>
    </w:p>
    <w:p w14:paraId="2F4E7FC4" w14:textId="38322528" w:rsidR="009E5536" w:rsidRPr="004D61FE" w:rsidRDefault="009E5536" w:rsidP="002D62DA">
      <w:pPr>
        <w:pStyle w:val="ListParagraph"/>
        <w:numPr>
          <w:ilvl w:val="0"/>
          <w:numId w:val="12"/>
        </w:numPr>
        <w:bidi/>
        <w:spacing w:line="480" w:lineRule="auto"/>
        <w:jc w:val="both"/>
        <w:rPr>
          <w:rFonts w:ascii="Traditional Arabic" w:hAnsi="Traditional Arabic" w:cs="Traditional Arabic"/>
          <w:b/>
          <w:bCs/>
          <w:sz w:val="28"/>
          <w:szCs w:val="28"/>
        </w:rPr>
      </w:pPr>
      <w:r w:rsidRPr="004D61FE">
        <w:rPr>
          <w:rFonts w:ascii="Traditional Arabic" w:hAnsi="Traditional Arabic" w:cs="Traditional Arabic" w:hint="cs"/>
          <w:sz w:val="28"/>
          <w:szCs w:val="28"/>
          <w:rtl/>
        </w:rPr>
        <w:t xml:space="preserve"> </w:t>
      </w:r>
      <w:r w:rsidRPr="004D61FE">
        <w:rPr>
          <w:rFonts w:ascii="Traditional Arabic" w:hAnsi="Traditional Arabic" w:cs="Traditional Arabic"/>
          <w:b/>
          <w:bCs/>
          <w:sz w:val="28"/>
          <w:szCs w:val="28"/>
          <w:rtl/>
        </w:rPr>
        <w:t>أداء المشاريع الإنشائية ومؤشرات قياس الأداء</w:t>
      </w:r>
    </w:p>
    <w:p w14:paraId="718843C3" w14:textId="77777777" w:rsidR="009E5536" w:rsidRPr="009E5536" w:rsidRDefault="009E5536" w:rsidP="002D62DA">
      <w:pPr>
        <w:bidi/>
        <w:spacing w:line="480" w:lineRule="auto"/>
        <w:jc w:val="both"/>
        <w:rPr>
          <w:rFonts w:ascii="Traditional Arabic" w:hAnsi="Traditional Arabic" w:cs="Traditional Arabic"/>
          <w:sz w:val="28"/>
          <w:szCs w:val="28"/>
        </w:rPr>
      </w:pPr>
      <w:r w:rsidRPr="009E5536">
        <w:rPr>
          <w:rFonts w:ascii="Traditional Arabic" w:hAnsi="Traditional Arabic" w:cs="Traditional Arabic"/>
          <w:sz w:val="28"/>
          <w:szCs w:val="28"/>
          <w:rtl/>
        </w:rPr>
        <w:t>يمثل أداء المشاريع الإنشائية إحدى الركائز الأساسية في تقييم نجاح القطاع الإنشائي وقدرته على مواكبة متطلبات التنمية المستدامة، خصوصًا في الدول التي تشهد تحولات عمرانية واقتصادية متسارعة مثل المملكة العربية السعودية. ويُعرّف أداء المشاريع بأنه مدى تحقيق المشروع لأهدافه المحددة ضمن محاور رئيسية تشمل التكلفة، الوقت، الجودة، السلامة، ورضا العملاء. وتشير الدراسات إلى أن هذه الأبعاد مجتمعة تُستخدم كمؤشرات أداء رئيسية</w:t>
      </w:r>
      <w:r w:rsidRPr="009E5536">
        <w:rPr>
          <w:rFonts w:ascii="Traditional Arabic" w:hAnsi="Traditional Arabic" w:cs="Traditional Arabic"/>
          <w:sz w:val="28"/>
          <w:szCs w:val="28"/>
        </w:rPr>
        <w:t xml:space="preserve"> (Key Performance Indicators - KPIs) </w:t>
      </w:r>
      <w:r w:rsidRPr="009E5536">
        <w:rPr>
          <w:rFonts w:ascii="Traditional Arabic" w:hAnsi="Traditional Arabic" w:cs="Traditional Arabic"/>
          <w:sz w:val="28"/>
          <w:szCs w:val="28"/>
          <w:rtl/>
        </w:rPr>
        <w:t>يتم من خلالها قياس كفاءة المشروع ومدى مطابقته للمعايير المستهدفة</w:t>
      </w:r>
      <w:r w:rsidRPr="009E5536">
        <w:rPr>
          <w:rFonts w:ascii="Traditional Arabic" w:hAnsi="Traditional Arabic" w:cs="Traditional Arabic"/>
          <w:sz w:val="28"/>
          <w:szCs w:val="28"/>
        </w:rPr>
        <w:t xml:space="preserve"> (Almahmoud et al., 2012).</w:t>
      </w:r>
    </w:p>
    <w:p w14:paraId="139C8D93" w14:textId="77777777" w:rsidR="009E5536" w:rsidRPr="009E5536" w:rsidRDefault="009E5536" w:rsidP="002D62DA">
      <w:pPr>
        <w:bidi/>
        <w:spacing w:line="480" w:lineRule="auto"/>
        <w:jc w:val="both"/>
        <w:rPr>
          <w:rFonts w:ascii="Traditional Arabic" w:hAnsi="Traditional Arabic" w:cs="Traditional Arabic"/>
          <w:sz w:val="28"/>
          <w:szCs w:val="28"/>
        </w:rPr>
      </w:pPr>
      <w:r w:rsidRPr="009E5536">
        <w:rPr>
          <w:rFonts w:ascii="Traditional Arabic" w:hAnsi="Traditional Arabic" w:cs="Traditional Arabic"/>
          <w:sz w:val="28"/>
          <w:szCs w:val="28"/>
          <w:rtl/>
        </w:rPr>
        <w:lastRenderedPageBreak/>
        <w:t>أوضحت دراسة</w:t>
      </w:r>
      <w:r w:rsidRPr="009E5536">
        <w:rPr>
          <w:rFonts w:ascii="Traditional Arabic" w:hAnsi="Traditional Arabic" w:cs="Traditional Arabic"/>
          <w:sz w:val="28"/>
          <w:szCs w:val="28"/>
        </w:rPr>
        <w:t xml:space="preserve"> Almahmoud et al. (2012) </w:t>
      </w:r>
      <w:r w:rsidRPr="009E5536">
        <w:rPr>
          <w:rFonts w:ascii="Traditional Arabic" w:hAnsi="Traditional Arabic" w:cs="Traditional Arabic"/>
          <w:sz w:val="28"/>
          <w:szCs w:val="28"/>
          <w:rtl/>
        </w:rPr>
        <w:t>أن عملية تقييم الأداء لا تتعلق فقط بالمخرجات النهائية، بل تشمل كذلك تحليل العوامل التنظيمية والتشغيلية المؤثرة، مثل نضج الممارسات الإدارية وكفاءة فرق العمل. وهذا التوجه يُسهم في تقديم صورة أكثر شمولًا حول الحالة الصحية للمشروع، حيث يرتبط كل مؤشر من مؤشرات الأداء بعوامل تمكينية مثل التنظيم، التواصل، وإدارة الجودة</w:t>
      </w:r>
      <w:r w:rsidRPr="009E5536">
        <w:rPr>
          <w:rFonts w:ascii="Traditional Arabic" w:hAnsi="Traditional Arabic" w:cs="Traditional Arabic"/>
          <w:sz w:val="28"/>
          <w:szCs w:val="28"/>
        </w:rPr>
        <w:t>.</w:t>
      </w:r>
    </w:p>
    <w:p w14:paraId="77EFEC15" w14:textId="77777777" w:rsidR="009E5536" w:rsidRPr="009E5536" w:rsidRDefault="009E5536" w:rsidP="002D62DA">
      <w:pPr>
        <w:bidi/>
        <w:spacing w:line="480" w:lineRule="auto"/>
        <w:jc w:val="both"/>
        <w:rPr>
          <w:rFonts w:ascii="Traditional Arabic" w:hAnsi="Traditional Arabic" w:cs="Traditional Arabic"/>
          <w:sz w:val="28"/>
          <w:szCs w:val="28"/>
        </w:rPr>
      </w:pPr>
      <w:r w:rsidRPr="009E5536">
        <w:rPr>
          <w:rFonts w:ascii="Traditional Arabic" w:hAnsi="Traditional Arabic" w:cs="Traditional Arabic"/>
          <w:sz w:val="28"/>
          <w:szCs w:val="28"/>
          <w:rtl/>
        </w:rPr>
        <w:t>تشير الدراسات التطبيقية الحديثة إلى أن الأداء في المشاريع السعودية يعاني من تباين واضح في تحقيق المؤشرات المستهدفة، لا سيما في مشاريع المقاولات والبنية التحتية. ففي دراسة</w:t>
      </w:r>
      <w:r w:rsidRPr="009E5536">
        <w:rPr>
          <w:rFonts w:ascii="Traditional Arabic" w:hAnsi="Traditional Arabic" w:cs="Traditional Arabic"/>
          <w:sz w:val="28"/>
          <w:szCs w:val="28"/>
        </w:rPr>
        <w:t xml:space="preserve"> Alfalah et al. (2024)</w:t>
      </w:r>
      <w:r w:rsidRPr="009E5536">
        <w:rPr>
          <w:rFonts w:ascii="Traditional Arabic" w:hAnsi="Traditional Arabic" w:cs="Traditional Arabic"/>
          <w:sz w:val="28"/>
          <w:szCs w:val="28"/>
          <w:rtl/>
        </w:rPr>
        <w:t>، وُجد أن ما يقارب 60% من المشاريع تتأخر عن الجدول الزمني المخطط، في حين يتجاوز كثير منها الميزانية المحددة، الأمر الذي يعكس تحديات جوهرية في التخطيط، والمتابعة، واختيار المقاولين. وقد أظهرت الدراسة أيضًا أن غياب نماذج تقييم معيارية يساهم في تكرار حالات التأخر وضعف الجودة، مما يجعل تطوير أدوات قياس الأداء ضرورة ملحة لتحسين القطاع</w:t>
      </w:r>
      <w:r w:rsidRPr="009E5536">
        <w:rPr>
          <w:rFonts w:ascii="Traditional Arabic" w:hAnsi="Traditional Arabic" w:cs="Traditional Arabic"/>
          <w:sz w:val="28"/>
          <w:szCs w:val="28"/>
        </w:rPr>
        <w:t>.</w:t>
      </w:r>
    </w:p>
    <w:p w14:paraId="4A40DDDC"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وفي السياق نفسه، أكدت دراسة</w:t>
      </w:r>
      <w:r w:rsidRPr="00146D14">
        <w:rPr>
          <w:rFonts w:ascii="Traditional Arabic" w:hAnsi="Traditional Arabic" w:cs="Traditional Arabic"/>
          <w:sz w:val="28"/>
          <w:szCs w:val="28"/>
        </w:rPr>
        <w:t xml:space="preserve"> Alazmi et al. (2025) </w:t>
      </w:r>
      <w:r w:rsidRPr="00146D14">
        <w:rPr>
          <w:rFonts w:ascii="Traditional Arabic" w:hAnsi="Traditional Arabic" w:cs="Traditional Arabic"/>
          <w:sz w:val="28"/>
          <w:szCs w:val="28"/>
          <w:rtl/>
        </w:rPr>
        <w:t>أن التحديات البيئية مثل ضعف إدارة النفايات في المشاريع الإنشائية السعودية تؤثر سلبًا على الأداء العام، حيث يؤدي سوء التخطيط والتنسيق بين الأطراف المختلفة إلى زيادة نسب الهدر، وارتفاع التكاليف، وتأخر التسليم، ما يُبرز العلاقة الوثيقة بين كفاءة العمليات التشغيلية ومستوى الأداء الكلي للمشروع</w:t>
      </w:r>
      <w:r w:rsidRPr="00146D14">
        <w:rPr>
          <w:rFonts w:ascii="Traditional Arabic" w:hAnsi="Traditional Arabic" w:cs="Traditional Arabic"/>
          <w:sz w:val="28"/>
          <w:szCs w:val="28"/>
        </w:rPr>
        <w:t>.</w:t>
      </w:r>
    </w:p>
    <w:p w14:paraId="358C210E"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من بين أبرز مؤشرات الأداء المستخدمة في المشاريع الإنشائية، تأتي تكلفة المشروع كعنصر أولي لقياس مدى نجاح المشروع في الالتزام بالميزانية المحددة. وتُقاس الكفاءة في هذا البُعد من خلال مقارنة التكلفة الفعلية بالتكلفة المخططة، مع تحليل أسباب الانحرافات إن وجدت. وقد أشار</w:t>
      </w:r>
      <w:r w:rsidRPr="00146D14">
        <w:rPr>
          <w:rFonts w:ascii="Traditional Arabic" w:hAnsi="Traditional Arabic" w:cs="Traditional Arabic"/>
          <w:sz w:val="28"/>
          <w:szCs w:val="28"/>
        </w:rPr>
        <w:t xml:space="preserve"> Almahmoud et al. (2012) </w:t>
      </w:r>
      <w:r w:rsidRPr="00146D14">
        <w:rPr>
          <w:rFonts w:ascii="Traditional Arabic" w:hAnsi="Traditional Arabic" w:cs="Traditional Arabic"/>
          <w:sz w:val="28"/>
          <w:szCs w:val="28"/>
          <w:rtl/>
        </w:rPr>
        <w:t xml:space="preserve">إلى أن تجاوز التكلفة عادة ما يكون ناتجًا عن ضعف التخطيط المالي، أو </w:t>
      </w:r>
      <w:r w:rsidRPr="00146D14">
        <w:rPr>
          <w:rFonts w:ascii="Traditional Arabic" w:hAnsi="Traditional Arabic" w:cs="Traditional Arabic"/>
          <w:sz w:val="28"/>
          <w:szCs w:val="28"/>
          <w:rtl/>
        </w:rPr>
        <w:lastRenderedPageBreak/>
        <w:t>سوء إدارة الموارد، أو تغييرات متكررة في نطاق العمل. كما أن إعادة العمل بسبب أخطاء في التنفيذ أو التصميم يؤدي إلى زيادة المصروفات بما يتجاوز التقديرات الأولية</w:t>
      </w:r>
      <w:r w:rsidRPr="00146D14">
        <w:rPr>
          <w:rFonts w:ascii="Traditional Arabic" w:hAnsi="Traditional Arabic" w:cs="Traditional Arabic"/>
          <w:sz w:val="28"/>
          <w:szCs w:val="28"/>
        </w:rPr>
        <w:t>.</w:t>
      </w:r>
    </w:p>
    <w:p w14:paraId="5BDCF1A6"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أما الوقت، فهو يُعد من أكثر مؤشرات الأداء حساسية وتأثيرًا على رضا العملاء ومخرجات المشروع. وقد أظهرت دراسة</w:t>
      </w:r>
      <w:r w:rsidRPr="00146D14">
        <w:rPr>
          <w:rFonts w:ascii="Traditional Arabic" w:hAnsi="Traditional Arabic" w:cs="Traditional Arabic"/>
          <w:sz w:val="28"/>
          <w:szCs w:val="28"/>
        </w:rPr>
        <w:t xml:space="preserve"> Alfalah et al. (2024) </w:t>
      </w:r>
      <w:r w:rsidRPr="00146D14">
        <w:rPr>
          <w:rFonts w:ascii="Traditional Arabic" w:hAnsi="Traditional Arabic" w:cs="Traditional Arabic"/>
          <w:sz w:val="28"/>
          <w:szCs w:val="28"/>
          <w:rtl/>
        </w:rPr>
        <w:t>أن مؤشرات مثل وقت الإنجاز الفعلي، ووقت إعادة العمل، ووقت الاستجابة للحوادث تمثل معايير حاسمة في تقييم كفاءة المقاولين. وتُعد التأخيرات الناتجة عن التغيرات التصميمية، أو ضعف التنسيق، أو ظروف الموقع غير المتوقعة من أكثر الأسباب شيوعًا في انخفاض الأداء الزمني للمشروعات. وبيّن الباحثون أن تطوير نموذج تقييم يعتمد على أوزان نسبية لمؤشرات الوقت، كما تم باستخدام منهجية</w:t>
      </w:r>
      <w:r w:rsidRPr="00146D14">
        <w:rPr>
          <w:rFonts w:ascii="Traditional Arabic" w:hAnsi="Traditional Arabic" w:cs="Traditional Arabic"/>
          <w:sz w:val="28"/>
          <w:szCs w:val="28"/>
        </w:rPr>
        <w:t xml:space="preserve"> AHP</w:t>
      </w:r>
      <w:r w:rsidRPr="00146D14">
        <w:rPr>
          <w:rFonts w:ascii="Traditional Arabic" w:hAnsi="Traditional Arabic" w:cs="Traditional Arabic"/>
          <w:sz w:val="28"/>
          <w:szCs w:val="28"/>
          <w:rtl/>
        </w:rPr>
        <w:t>، يمكن أن يُساعد في اختيار المقاولين الأكفأ والأكثر التزامًا</w:t>
      </w:r>
      <w:r w:rsidRPr="00146D14">
        <w:rPr>
          <w:rFonts w:ascii="Traditional Arabic" w:hAnsi="Traditional Arabic" w:cs="Traditional Arabic"/>
          <w:sz w:val="28"/>
          <w:szCs w:val="28"/>
        </w:rPr>
        <w:t>.</w:t>
      </w:r>
    </w:p>
    <w:p w14:paraId="462F45CC"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تُعد الجودة مؤشرًا رئيسيًا ينعكس مباشرة على مدى مطابقة المنتج النهائي للمواصفات الفنية والمعايير المعتمدة. وتُقاس الجودة من خلال عدة مؤشرات فرعية منها معدل العيوب، وعدد مرات إعادة العمل، ونتائج الفحوصات الميدانية. كما تشمل جودة التنفيذ، وجودة المستندات الفنية، ومستوى إنتاجية العمالة. وأشارت</w:t>
      </w:r>
      <w:r w:rsidRPr="00146D14">
        <w:rPr>
          <w:rFonts w:ascii="Traditional Arabic" w:hAnsi="Traditional Arabic" w:cs="Traditional Arabic"/>
          <w:sz w:val="28"/>
          <w:szCs w:val="28"/>
        </w:rPr>
        <w:t xml:space="preserve"> Almahmoud et al. (2012) </w:t>
      </w:r>
      <w:r w:rsidRPr="00146D14">
        <w:rPr>
          <w:rFonts w:ascii="Traditional Arabic" w:hAnsi="Traditional Arabic" w:cs="Traditional Arabic"/>
          <w:sz w:val="28"/>
          <w:szCs w:val="28"/>
          <w:rtl/>
        </w:rPr>
        <w:t>إلى أن ضعف الجودة يؤدي إلى سلسلة من التكاليف الخفية مثل إصلاح العيوب، والتأخير، وانخفاض رضا العميل، ما يجعل من إدارة الجودة عنصرًا أساسيًا في أي إطار تقييم للأداء</w:t>
      </w:r>
      <w:r w:rsidRPr="00146D14">
        <w:rPr>
          <w:rFonts w:ascii="Traditional Arabic" w:hAnsi="Traditional Arabic" w:cs="Traditional Arabic"/>
          <w:sz w:val="28"/>
          <w:szCs w:val="28"/>
        </w:rPr>
        <w:t>.</w:t>
      </w:r>
    </w:p>
    <w:p w14:paraId="1E956A72"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لا يقل مؤشر السلامة أهمية عن المؤشرات السابقة، حيث يمثل عنصرًا حاسمًا في بيئة العمل الإنشائية نظرًا لطبيعة المخاطر المرتبطة بها. ويُقاس هذا المؤشر من خلال معدل الحوادث، وعدد الإصابات أو الوفيات، والامتثال لمعايير الصحة والسلامة، ومدى فعالية إدارة المخاطر. وبينت دراسة</w:t>
      </w:r>
      <w:r w:rsidRPr="00146D14">
        <w:rPr>
          <w:rFonts w:ascii="Traditional Arabic" w:hAnsi="Traditional Arabic" w:cs="Traditional Arabic"/>
          <w:sz w:val="28"/>
          <w:szCs w:val="28"/>
        </w:rPr>
        <w:t xml:space="preserve"> Alfalah et al. (2024) </w:t>
      </w:r>
      <w:r w:rsidRPr="00146D14">
        <w:rPr>
          <w:rFonts w:ascii="Traditional Arabic" w:hAnsi="Traditional Arabic" w:cs="Traditional Arabic"/>
          <w:sz w:val="28"/>
          <w:szCs w:val="28"/>
          <w:rtl/>
        </w:rPr>
        <w:t xml:space="preserve">أن المشاريع التي تُسجل مستويات سلامة مرتفعة تنعكس عليها نتائج إيجابية في </w:t>
      </w:r>
      <w:r w:rsidRPr="00146D14">
        <w:rPr>
          <w:rFonts w:ascii="Traditional Arabic" w:hAnsi="Traditional Arabic" w:cs="Traditional Arabic"/>
          <w:sz w:val="28"/>
          <w:szCs w:val="28"/>
          <w:rtl/>
        </w:rPr>
        <w:lastRenderedPageBreak/>
        <w:t>الجوانب الإنتاجية والمالية، كما أنها تعزز من سمعة المقاول وثقة الجهات المالكة. فيما توضح</w:t>
      </w:r>
      <w:r w:rsidRPr="00146D14">
        <w:rPr>
          <w:rFonts w:ascii="Traditional Arabic" w:hAnsi="Traditional Arabic" w:cs="Traditional Arabic"/>
          <w:sz w:val="28"/>
          <w:szCs w:val="28"/>
        </w:rPr>
        <w:t xml:space="preserve"> Almahmoud et al. (2012) </w:t>
      </w:r>
      <w:r w:rsidRPr="00146D14">
        <w:rPr>
          <w:rFonts w:ascii="Traditional Arabic" w:hAnsi="Traditional Arabic" w:cs="Traditional Arabic"/>
          <w:sz w:val="28"/>
          <w:szCs w:val="28"/>
          <w:rtl/>
        </w:rPr>
        <w:t>أن إدارة السلامة ترتبط أيضًا بالاستدامة الاجتماعية، من خلال الحفاظ على صحة العاملين وتقليل التعرض للمخاطر البيئية</w:t>
      </w:r>
      <w:r w:rsidRPr="00146D14">
        <w:rPr>
          <w:rFonts w:ascii="Traditional Arabic" w:hAnsi="Traditional Arabic" w:cs="Traditional Arabic"/>
          <w:sz w:val="28"/>
          <w:szCs w:val="28"/>
        </w:rPr>
        <w:t>.</w:t>
      </w:r>
    </w:p>
    <w:p w14:paraId="652147E4"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ويأتي رضا العملاء كمؤشر تجميعي يعكس مدى تطابق المنتج مع توقعات العميل سواء من حيث الجودة، أو الوقت، أو التكلفة. وتُقاس هذه الرضا من خلال ملاحظات العملاء، واستبيانات ما بعد التسليم، ودرجة التواصل والاستجابة مع العملاء خلال مراحل المشروع. وقد وجدت دراسة</w:t>
      </w:r>
      <w:r w:rsidRPr="00146D14">
        <w:rPr>
          <w:rFonts w:ascii="Traditional Arabic" w:hAnsi="Traditional Arabic" w:cs="Traditional Arabic"/>
          <w:sz w:val="28"/>
          <w:szCs w:val="28"/>
        </w:rPr>
        <w:t xml:space="preserve"> Alfalah et al. (2024) </w:t>
      </w:r>
      <w:r w:rsidRPr="00146D14">
        <w:rPr>
          <w:rFonts w:ascii="Traditional Arabic" w:hAnsi="Traditional Arabic" w:cs="Traditional Arabic"/>
          <w:sz w:val="28"/>
          <w:szCs w:val="28"/>
          <w:rtl/>
        </w:rPr>
        <w:t>أن رضا العميل يتأثر بشكل مباشر بجودة التركيب، وحسن التواصل، ومرونة التعامل مع التعديلات، ما يعكس أهمية البُعد الإنساني في علاقة المقاول بالمالك</w:t>
      </w:r>
      <w:r w:rsidRPr="00146D14">
        <w:rPr>
          <w:rFonts w:ascii="Traditional Arabic" w:hAnsi="Traditional Arabic" w:cs="Traditional Arabic"/>
          <w:sz w:val="28"/>
          <w:szCs w:val="28"/>
        </w:rPr>
        <w:t>.</w:t>
      </w:r>
    </w:p>
    <w:p w14:paraId="48CFE3AC"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وتجدر الإشارة إلى أن أداء المشروع لا يُقاس فقط عبر المؤشرات الكمية، بل إن الأداء المستدام أصبح يُدمج اليوم كمفهوم عابر لكل المؤشرات التقليدية. إذ أظهرت دراسة</w:t>
      </w:r>
      <w:r w:rsidRPr="00146D14">
        <w:rPr>
          <w:rFonts w:ascii="Traditional Arabic" w:hAnsi="Traditional Arabic" w:cs="Traditional Arabic"/>
          <w:sz w:val="28"/>
          <w:szCs w:val="28"/>
        </w:rPr>
        <w:t xml:space="preserve"> Alazmi et al. (2025) </w:t>
      </w:r>
      <w:r w:rsidRPr="00146D14">
        <w:rPr>
          <w:rFonts w:ascii="Traditional Arabic" w:hAnsi="Traditional Arabic" w:cs="Traditional Arabic"/>
          <w:sz w:val="28"/>
          <w:szCs w:val="28"/>
          <w:rtl/>
        </w:rPr>
        <w:t>أن تبني ممارسات الاستدامة في إدارة النفايات يمكن أن يحسّن الأداء المالي والزمني والجودة معًا، حيث يساعد تقليل الأنشطة غير ذات القيمة، وإعادة تدوير المواد، وتبني البناء الهزيل في خفض التكاليف وتحسين الكفاءة. على سبيل المثال، استخدام مواد معاد تدويرها أو التربة الزائدة في عمليات البناء يمكن أن يقلل من استهلاك الموارد الطبيعية، ويسرع تنفيذ الأعمال، ويقلل من النفايات، ما ينعكس على التكلفة والوقت والجودة في آن واحد</w:t>
      </w:r>
      <w:r w:rsidRPr="00146D14">
        <w:rPr>
          <w:rFonts w:ascii="Traditional Arabic" w:hAnsi="Traditional Arabic" w:cs="Traditional Arabic"/>
          <w:sz w:val="28"/>
          <w:szCs w:val="28"/>
        </w:rPr>
        <w:t>.</w:t>
      </w:r>
    </w:p>
    <w:p w14:paraId="6A5E2243"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كما يُسهم رفع وعي العاملين وتدريبهم على ممارسات الاستدامة البيئية في تحسين جودة التنفيذ، وتقليل الأخطاء، وتحقيق بيئة عمل أكثر أمانًا. وبينت الدراسة أن وجود إطار عمل متكامل يجمع بين البناء الهزيل ونظم الإدارة البيئية يُعد أحد الوسائل الأكثر فاعلية لتعزيز الأداء الإنشائي، إلا أن التطبيق يواجه تحديات كبيرة تتعلق بنقص المعرفة، ومقاومة التغيير، والتكلفة الأولية المرتفعة</w:t>
      </w:r>
      <w:r w:rsidRPr="00146D14">
        <w:rPr>
          <w:rFonts w:ascii="Traditional Arabic" w:hAnsi="Traditional Arabic" w:cs="Traditional Arabic"/>
          <w:sz w:val="28"/>
          <w:szCs w:val="28"/>
        </w:rPr>
        <w:t xml:space="preserve"> (Alazmi et al., 2025).</w:t>
      </w:r>
    </w:p>
    <w:p w14:paraId="385549F2" w14:textId="19E06CCB"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lastRenderedPageBreak/>
        <w:t>وفي ضوء ذلك، يصبح واضحًا أن قياس أداء المشاريع لا يمكن أن يقتصر على مؤشرات منفصلة، بل ينبغي أن يتم من خلال نماذج تقييم شاملة تدمج بين الأبعاد الفنية، والمالية، والبيئية، والاجتماعية. وتوصي الدراسات التي أجريت في السعودية بضرورة تبني نماذج تقييم مثل</w:t>
      </w:r>
      <w:r w:rsidRPr="00146D14">
        <w:rPr>
          <w:rFonts w:ascii="Traditional Arabic" w:hAnsi="Traditional Arabic" w:cs="Traditional Arabic"/>
          <w:sz w:val="28"/>
          <w:szCs w:val="28"/>
        </w:rPr>
        <w:t xml:space="preserve"> AHP </w:t>
      </w:r>
      <w:r w:rsidRPr="00146D14">
        <w:rPr>
          <w:rFonts w:ascii="Traditional Arabic" w:hAnsi="Traditional Arabic" w:cs="Traditional Arabic"/>
          <w:sz w:val="28"/>
          <w:szCs w:val="28"/>
          <w:rtl/>
        </w:rPr>
        <w:t>أو نماذج قائمة على</w:t>
      </w:r>
      <w:r w:rsidRPr="00146D14">
        <w:rPr>
          <w:rFonts w:ascii="Traditional Arabic" w:hAnsi="Traditional Arabic" w:cs="Traditional Arabic"/>
          <w:sz w:val="28"/>
          <w:szCs w:val="28"/>
        </w:rPr>
        <w:t xml:space="preserve"> MCDM (Multiple Criteria Decision Making) </w:t>
      </w:r>
      <w:r w:rsidRPr="00146D14">
        <w:rPr>
          <w:rFonts w:ascii="Traditional Arabic" w:hAnsi="Traditional Arabic" w:cs="Traditional Arabic"/>
          <w:sz w:val="28"/>
          <w:szCs w:val="28"/>
          <w:rtl/>
        </w:rPr>
        <w:t>لتحليل الأداء بطريقة مرجحة وشاملة</w:t>
      </w:r>
      <w:r w:rsidRPr="00146D14">
        <w:rPr>
          <w:rFonts w:ascii="Traditional Arabic" w:hAnsi="Traditional Arabic" w:cs="Traditional Arabic"/>
          <w:sz w:val="28"/>
          <w:szCs w:val="28"/>
        </w:rPr>
        <w:t xml:space="preserve"> (Alfalah et al., 2024). </w:t>
      </w:r>
      <w:r w:rsidRPr="00146D14">
        <w:rPr>
          <w:rFonts w:ascii="Traditional Arabic" w:hAnsi="Traditional Arabic" w:cs="Traditional Arabic"/>
          <w:sz w:val="28"/>
          <w:szCs w:val="28"/>
          <w:rtl/>
        </w:rPr>
        <w:t>كما يُوصى بتطوير أنظمة رقمية قادرة على تتبع مؤشرات الأداء الفعلية في الزمن الحقيقي، مما يساعد في اتخاذ قرارات استباقية، ويعزز من قدرة الفرق على معالجة الانحرافات في وقت مبكر</w:t>
      </w:r>
      <w:r w:rsidRPr="00146D14">
        <w:rPr>
          <w:rFonts w:ascii="Traditional Arabic" w:hAnsi="Traditional Arabic" w:cs="Traditional Arabic"/>
          <w:sz w:val="28"/>
          <w:szCs w:val="28"/>
        </w:rPr>
        <w:t>.</w:t>
      </w:r>
    </w:p>
    <w:p w14:paraId="3B028814" w14:textId="77777777" w:rsidR="009E5536" w:rsidRPr="00146D14" w:rsidRDefault="009E5536" w:rsidP="002D62DA">
      <w:pPr>
        <w:bidi/>
        <w:spacing w:line="480" w:lineRule="auto"/>
        <w:jc w:val="both"/>
        <w:rPr>
          <w:rFonts w:ascii="Traditional Arabic" w:hAnsi="Traditional Arabic" w:cs="Traditional Arabic"/>
          <w:sz w:val="28"/>
          <w:szCs w:val="28"/>
        </w:rPr>
      </w:pPr>
      <w:r w:rsidRPr="00146D14">
        <w:rPr>
          <w:rFonts w:ascii="Traditional Arabic" w:hAnsi="Traditional Arabic" w:cs="Traditional Arabic"/>
          <w:sz w:val="28"/>
          <w:szCs w:val="28"/>
          <w:rtl/>
        </w:rPr>
        <w:t>وعلى الرغم من أن الدراسة التي أجراها</w:t>
      </w:r>
      <w:r w:rsidRPr="00146D14">
        <w:rPr>
          <w:rFonts w:ascii="Traditional Arabic" w:hAnsi="Traditional Arabic" w:cs="Traditional Arabic"/>
          <w:sz w:val="28"/>
          <w:szCs w:val="28"/>
        </w:rPr>
        <w:t xml:space="preserve"> Almahmoud et al. (2012) </w:t>
      </w:r>
      <w:r w:rsidRPr="00146D14">
        <w:rPr>
          <w:rFonts w:ascii="Traditional Arabic" w:hAnsi="Traditional Arabic" w:cs="Traditional Arabic"/>
          <w:sz w:val="28"/>
          <w:szCs w:val="28"/>
          <w:rtl/>
        </w:rPr>
        <w:t>لم تتناول موضوع الاستدامة بشكل مباشر، إلا أنها ربطت بين الأداء الفعلي وعوامل داخلية مثل جودة الإدارة، والتنظيم، والتخطيط، وهي عوامل ترتبط بشكل غير مباشر بمفاهيم الاستدامة. حيث أوضحت الدراسة أن جودة المستندات والتواصل والقيادة داخل المشروع تُسهم بشكل جوهري في تحسين الأداء عبر تقليل الحاجة إلى إعادة العمل، وتحسين التخطيط، وتقليل الهدر</w:t>
      </w:r>
      <w:r w:rsidRPr="00146D14">
        <w:rPr>
          <w:rFonts w:ascii="Traditional Arabic" w:hAnsi="Traditional Arabic" w:cs="Traditional Arabic"/>
          <w:sz w:val="28"/>
          <w:szCs w:val="28"/>
        </w:rPr>
        <w:t>.</w:t>
      </w:r>
    </w:p>
    <w:p w14:paraId="29BB4432" w14:textId="77777777" w:rsidR="00A03BD5" w:rsidRDefault="00A03BD5" w:rsidP="002D62DA">
      <w:pPr>
        <w:bidi/>
        <w:spacing w:line="480" w:lineRule="auto"/>
        <w:jc w:val="both"/>
        <w:rPr>
          <w:rFonts w:ascii="Traditional Arabic" w:hAnsi="Traditional Arabic" w:cs="Traditional Arabic"/>
          <w:sz w:val="28"/>
          <w:szCs w:val="28"/>
        </w:rPr>
      </w:pPr>
    </w:p>
    <w:p w14:paraId="543C1C11" w14:textId="77777777" w:rsidR="00146D14" w:rsidRDefault="00146D14" w:rsidP="00146D14">
      <w:pPr>
        <w:bidi/>
        <w:spacing w:line="480" w:lineRule="auto"/>
        <w:rPr>
          <w:rFonts w:ascii="Traditional Arabic" w:hAnsi="Traditional Arabic" w:cs="Traditional Arabic"/>
          <w:sz w:val="28"/>
          <w:szCs w:val="28"/>
        </w:rPr>
      </w:pPr>
    </w:p>
    <w:p w14:paraId="20205B35" w14:textId="77777777" w:rsidR="00146D14" w:rsidRDefault="00146D14" w:rsidP="00146D14">
      <w:pPr>
        <w:bidi/>
        <w:spacing w:line="480" w:lineRule="auto"/>
        <w:rPr>
          <w:rFonts w:ascii="Traditional Arabic" w:hAnsi="Traditional Arabic" w:cs="Traditional Arabic"/>
          <w:sz w:val="28"/>
          <w:szCs w:val="28"/>
        </w:rPr>
      </w:pPr>
    </w:p>
    <w:p w14:paraId="6618CA1A" w14:textId="77777777" w:rsidR="00146D14" w:rsidRPr="00146D14" w:rsidRDefault="00146D14" w:rsidP="00146D14">
      <w:pPr>
        <w:bidi/>
        <w:spacing w:line="480" w:lineRule="auto"/>
        <w:rPr>
          <w:rFonts w:ascii="Traditional Arabic" w:hAnsi="Traditional Arabic" w:cs="Traditional Arabic"/>
          <w:sz w:val="28"/>
          <w:szCs w:val="28"/>
          <w:rtl/>
        </w:rPr>
      </w:pPr>
    </w:p>
    <w:p w14:paraId="32902FA8" w14:textId="77777777" w:rsidR="00A03BD5" w:rsidRPr="00146D14" w:rsidRDefault="00A03BD5" w:rsidP="00A03BD5">
      <w:pPr>
        <w:bidi/>
        <w:spacing w:line="480" w:lineRule="auto"/>
        <w:rPr>
          <w:rFonts w:ascii="Traditional Arabic" w:hAnsi="Traditional Arabic" w:cs="Traditional Arabic"/>
          <w:sz w:val="28"/>
          <w:szCs w:val="28"/>
        </w:rPr>
      </w:pPr>
    </w:p>
    <w:p w14:paraId="49536F26" w14:textId="0A541D95" w:rsidR="00BB2147" w:rsidRPr="004D61FE" w:rsidRDefault="00BB2147" w:rsidP="006337C0">
      <w:pPr>
        <w:pStyle w:val="ListParagraph"/>
        <w:numPr>
          <w:ilvl w:val="0"/>
          <w:numId w:val="12"/>
        </w:numPr>
        <w:bidi/>
        <w:spacing w:line="480" w:lineRule="auto"/>
        <w:rPr>
          <w:rFonts w:ascii="Traditional Arabic" w:hAnsi="Traditional Arabic" w:cs="Traditional Arabic"/>
          <w:b/>
          <w:bCs/>
          <w:sz w:val="28"/>
          <w:szCs w:val="28"/>
        </w:rPr>
      </w:pPr>
      <w:r w:rsidRPr="004D61FE">
        <w:rPr>
          <w:rFonts w:ascii="Traditional Arabic" w:hAnsi="Traditional Arabic" w:cs="Traditional Arabic" w:hint="cs"/>
          <w:sz w:val="28"/>
          <w:szCs w:val="28"/>
          <w:rtl/>
        </w:rPr>
        <w:lastRenderedPageBreak/>
        <w:t xml:space="preserve"> </w:t>
      </w:r>
      <w:r w:rsidRPr="004D61FE">
        <w:rPr>
          <w:rFonts w:ascii="Traditional Arabic" w:hAnsi="Traditional Arabic" w:cs="Traditional Arabic"/>
          <w:b/>
          <w:bCs/>
          <w:sz w:val="28"/>
          <w:szCs w:val="28"/>
          <w:rtl/>
        </w:rPr>
        <w:t>العلاقة بين الاستدامة وأداء المشاريع الإنشائية</w:t>
      </w:r>
    </w:p>
    <w:p w14:paraId="20DBE05F" w14:textId="1E463B24" w:rsidR="00BB2147" w:rsidRPr="00BB2147" w:rsidRDefault="002A374C" w:rsidP="006337C0">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t>3-1</w:t>
      </w:r>
      <w:r w:rsidR="004D61FE">
        <w:rPr>
          <w:rFonts w:ascii="Traditional Arabic" w:hAnsi="Traditional Arabic" w:cs="Traditional Arabic" w:hint="cs"/>
          <w:b/>
          <w:bCs/>
          <w:sz w:val="28"/>
          <w:szCs w:val="28"/>
          <w:rtl/>
        </w:rPr>
        <w:t xml:space="preserve"> </w:t>
      </w:r>
      <w:r w:rsidR="00BB2147" w:rsidRPr="00BB2147">
        <w:rPr>
          <w:rFonts w:ascii="Traditional Arabic" w:hAnsi="Traditional Arabic" w:cs="Traditional Arabic"/>
          <w:b/>
          <w:bCs/>
          <w:sz w:val="28"/>
          <w:szCs w:val="28"/>
          <w:rtl/>
        </w:rPr>
        <w:t>تأثير ممارسات الاستدامة على الكفاءة التشغيلية والتكاليف طويلة المدى</w:t>
      </w:r>
    </w:p>
    <w:p w14:paraId="2E3B4EA4" w14:textId="600E4373"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يعد دمج مبادئ الاستدامة في المشاريع الإنشائية خيارًا استراتيجيًا ينعكس على الأداء العام لتلك المشاريع، لا سيما في البيئات التي تواجه تحديات في استهلاك الموارد، وارتفاع التكاليف، وضغط المتطلبات البيئية والتنظيمية كما هو الحال في المملكة العربية السعودية. ويتركز هذا التأثير في محورين أساسيين: الكفاءة التشغيلية والتكاليف طويلة المدى. إذ تشير الأدبيات الحديثة إلى أن تطبيق ممارسات الاستدامة يسهم في تحقيق الاستخدام الأمثل للموارد، وتحسين الأداء الوظيفي، وتخفيض الفاقد، ما ينعكس إيجابيًا على كفاءة المشروع ومردوديته المالية بمرور الزمن</w:t>
      </w:r>
      <w:r w:rsidRPr="00BB2147">
        <w:rPr>
          <w:rFonts w:ascii="Traditional Arabic" w:hAnsi="Traditional Arabic" w:cs="Traditional Arabic"/>
          <w:sz w:val="28"/>
          <w:szCs w:val="28"/>
        </w:rPr>
        <w:t>.</w:t>
      </w:r>
    </w:p>
    <w:p w14:paraId="3444B0E9"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توضح دراسة الحسن (2025) أن المشاريع التي تطبق معايير الاستدامة تتمتع بكفاءة تشغيلية أعلى، وذلك نتيجة تحسين استخدام الموارد وتطبيق نظم إدارية دقيقة مثل إدارة الجودة الشاملة. فقد بيّنت الدراسة أن استخدام أدوات مثل برامج مراقبة الجودة والتكنولوجيا الحديثة يسهم في تقليل الأخطاء في التنفيذ، وتحسين التنسيق بين فرق العمل، مما يرفع من الإنتاجية ويقلل من الحاجة لإعادة العمل. وبذلك، فإن الاستدامة لا تقتصر فقط على البعد البيئي بل ترتبط ارتباطًا وثيقًا بجودة الأداء التشغيلي</w:t>
      </w:r>
      <w:r w:rsidRPr="00BB2147">
        <w:rPr>
          <w:rFonts w:ascii="Traditional Arabic" w:hAnsi="Traditional Arabic" w:cs="Traditional Arabic"/>
          <w:sz w:val="28"/>
          <w:szCs w:val="28"/>
        </w:rPr>
        <w:t>.</w:t>
      </w:r>
    </w:p>
    <w:p w14:paraId="4A43B17C"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ويؤكد</w:t>
      </w:r>
      <w:r w:rsidRPr="00BB2147">
        <w:rPr>
          <w:rFonts w:ascii="Traditional Arabic" w:hAnsi="Traditional Arabic" w:cs="Traditional Arabic"/>
          <w:sz w:val="28"/>
          <w:szCs w:val="28"/>
        </w:rPr>
        <w:t xml:space="preserve"> Alghuried (2025) </w:t>
      </w:r>
      <w:r w:rsidRPr="00BB2147">
        <w:rPr>
          <w:rFonts w:ascii="Traditional Arabic" w:hAnsi="Traditional Arabic" w:cs="Traditional Arabic"/>
          <w:sz w:val="28"/>
          <w:szCs w:val="28"/>
          <w:rtl/>
        </w:rPr>
        <w:t>أن التخطيط الاستراتيجي يمثل أحد أهم عوامل النجاح الحرجة في إدارة المشاريع المستدامة في السعودية. حيث يُسهم هذا النوع من التخطيط في تقليل الهدر وتعظيم استخدام الموارد، بما في ذلك الموارد البشرية والمالية والمادية، ما يحسن من الكفاءة التشغيلية ويزيد من استقرار سير العمل. ويُظهر البحث أن استخدام التقنيات الحديثة، مثل نظم إدارة المشروع الرقمية، يمكن أن يُعزز من مستويات الأداء ويقلل من الأنشطة غير الضرورية، الأمر الذي يترجم مباشرة في تحسين الكفاءة التشغيلية</w:t>
      </w:r>
      <w:r w:rsidRPr="00BB2147">
        <w:rPr>
          <w:rFonts w:ascii="Traditional Arabic" w:hAnsi="Traditional Arabic" w:cs="Traditional Arabic"/>
          <w:sz w:val="28"/>
          <w:szCs w:val="28"/>
        </w:rPr>
        <w:t>.</w:t>
      </w:r>
    </w:p>
    <w:p w14:paraId="21FCCFE5"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lastRenderedPageBreak/>
        <w:t>كما أوضحت دراسة</w:t>
      </w:r>
      <w:r w:rsidRPr="00BB2147">
        <w:rPr>
          <w:rFonts w:ascii="Traditional Arabic" w:hAnsi="Traditional Arabic" w:cs="Traditional Arabic"/>
          <w:sz w:val="28"/>
          <w:szCs w:val="28"/>
        </w:rPr>
        <w:t xml:space="preserve"> Al-Yami (2008) </w:t>
      </w:r>
      <w:r w:rsidRPr="00BB2147">
        <w:rPr>
          <w:rFonts w:ascii="Traditional Arabic" w:hAnsi="Traditional Arabic" w:cs="Traditional Arabic"/>
          <w:sz w:val="28"/>
          <w:szCs w:val="28"/>
          <w:rtl/>
        </w:rPr>
        <w:t>أن الكفاءة التشغيلية تتعزز عندما يتم تطبيق مبادئ الاستدامة في مراحل مبكرة من المشروع، لاسيما خلال مرحلة التخطيط الاستراتيجي أو ما يُعرف بالإحاطة الاستراتيجية. واستعرض الباحث من خلال دراسة حالة مشروع مركز الأمير سلمان الاجتماعي للمسنين كيف ساهم استخدام تقنيات إدارة القيمة والبناء المستدام في إعادة تقييم اختيارات التصميم، واستخدام المساحات بفعالية، وتحديد مواد بناء عالية الكفاءة، مما أدى إلى نتائج تشغيلية أفضل دون تجاوز الميزانية</w:t>
      </w:r>
      <w:r w:rsidRPr="00BB2147">
        <w:rPr>
          <w:rFonts w:ascii="Traditional Arabic" w:hAnsi="Traditional Arabic" w:cs="Traditional Arabic"/>
          <w:sz w:val="28"/>
          <w:szCs w:val="28"/>
        </w:rPr>
        <w:t>.</w:t>
      </w:r>
    </w:p>
    <w:p w14:paraId="7AC0429A"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إضافةً إلى ذلك، فإن الكفاءة التشغيلية ترتبط بشكل مباشر بمدى قدرة المشروع على إدارة النفايات، وهو ما أكدت عليه دراسة الحسن (2025)، حيث بيّنت أن تقليل النفايات خلال مراحل المشروع يحسن من العمليات اليومية، ويقلل من تكلفة التخلص من المخلفات، ويخلق بيئة عمل منظمة وآمنة. وقد أشار الباحث إلى أن تطبيق معايير الاستدامة ساعد المشاريع على تقليل التلوث البيئي الناتج عن العمليات التشغيلية، إلى جانب تقليص زمن توقف العمل الناتج عن المشكلات البيئية أو الانقطاعات الناتجة عن إدارة غير فعالة للمواد</w:t>
      </w:r>
      <w:r w:rsidRPr="00BB2147">
        <w:rPr>
          <w:rFonts w:ascii="Traditional Arabic" w:hAnsi="Traditional Arabic" w:cs="Traditional Arabic"/>
          <w:sz w:val="28"/>
          <w:szCs w:val="28"/>
        </w:rPr>
        <w:t>.</w:t>
      </w:r>
    </w:p>
    <w:p w14:paraId="3CC819E9"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وتبرز أهمية ممارسات الاستدامة كذلك من خلال دورها في تحفيز ثقافة تنظيمية إيجابية داخل المؤسسة. حيث بين</w:t>
      </w:r>
      <w:r w:rsidRPr="00BB2147">
        <w:rPr>
          <w:rFonts w:ascii="Traditional Arabic" w:hAnsi="Traditional Arabic" w:cs="Traditional Arabic"/>
          <w:sz w:val="28"/>
          <w:szCs w:val="28"/>
        </w:rPr>
        <w:t xml:space="preserve"> Alghuried (2025) </w:t>
      </w:r>
      <w:r w:rsidRPr="00BB2147">
        <w:rPr>
          <w:rFonts w:ascii="Traditional Arabic" w:hAnsi="Traditional Arabic" w:cs="Traditional Arabic"/>
          <w:sz w:val="28"/>
          <w:szCs w:val="28"/>
          <w:rtl/>
        </w:rPr>
        <w:t>أن تبني ثقافة تدعم مبادئ الاستدامة يشجع التعاون بين أصحاب المصلحة، ويعزز من روح الفريق، ويرفع من التزام العاملين بالمشروع، وهو ما ينعكس على سلاسة العمليات وفعالية التنفيذ. ويُعد هذا البعد الثقافي والتعاوني ضروريًا في المشاريع المعقدة التي تتطلب تنسيقًا عاليًا بين أطراف متعددة مثل المقاولين والاستشاريين والموردين</w:t>
      </w:r>
      <w:r w:rsidRPr="00BB2147">
        <w:rPr>
          <w:rFonts w:ascii="Traditional Arabic" w:hAnsi="Traditional Arabic" w:cs="Traditional Arabic"/>
          <w:sz w:val="28"/>
          <w:szCs w:val="28"/>
        </w:rPr>
        <w:t>.</w:t>
      </w:r>
    </w:p>
    <w:p w14:paraId="6396E52C"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 xml:space="preserve">من جهة أخرى، يظهر تأثير ممارسات الاستدامة بوضوح في جانب التكاليف طويلة المدى. فعلى الرغم من أن بعض تطبيقات الاستدامة تتطلب استثمارات أولية مرتفعة، فإن تلك التكاليف تُعد استثمارًا يعود بعوائد ملموسة على المدى البعيد. فقد أكدت </w:t>
      </w:r>
      <w:r w:rsidRPr="00BB2147">
        <w:rPr>
          <w:rFonts w:ascii="Traditional Arabic" w:hAnsi="Traditional Arabic" w:cs="Traditional Arabic"/>
          <w:sz w:val="28"/>
          <w:szCs w:val="28"/>
          <w:rtl/>
        </w:rPr>
        <w:lastRenderedPageBreak/>
        <w:t>دراسة</w:t>
      </w:r>
      <w:r w:rsidRPr="00BB2147">
        <w:rPr>
          <w:rFonts w:ascii="Traditional Arabic" w:hAnsi="Traditional Arabic" w:cs="Traditional Arabic"/>
          <w:sz w:val="28"/>
          <w:szCs w:val="28"/>
        </w:rPr>
        <w:t xml:space="preserve"> Al-Yami (2008) </w:t>
      </w:r>
      <w:r w:rsidRPr="00BB2147">
        <w:rPr>
          <w:rFonts w:ascii="Traditional Arabic" w:hAnsi="Traditional Arabic" w:cs="Traditional Arabic"/>
          <w:sz w:val="28"/>
          <w:szCs w:val="28"/>
          <w:rtl/>
        </w:rPr>
        <w:t>أن استخدام تقنيات البناء المستدام والمواد المعمرة يساهم في تقليل التكاليف التشغيلية والصيانة لاحقًا، وهو ما تحقق فعليًا في مشروع مركز الأمير سلمان، حيث نجح الفريق في تجاوز عقبة ارتفاع التكلفة الأولية من خلال إيجاد بدائل عالية الكفاءة وغير مكلفة على المدى الطويل</w:t>
      </w:r>
      <w:r w:rsidRPr="00BB2147">
        <w:rPr>
          <w:rFonts w:ascii="Traditional Arabic" w:hAnsi="Traditional Arabic" w:cs="Traditional Arabic"/>
          <w:sz w:val="28"/>
          <w:szCs w:val="28"/>
        </w:rPr>
        <w:t>.</w:t>
      </w:r>
    </w:p>
    <w:p w14:paraId="2EE2A78C"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وتشير نتائج دراسة</w:t>
      </w:r>
      <w:r w:rsidRPr="00BB2147">
        <w:rPr>
          <w:rFonts w:ascii="Traditional Arabic" w:hAnsi="Traditional Arabic" w:cs="Traditional Arabic"/>
          <w:sz w:val="28"/>
          <w:szCs w:val="28"/>
        </w:rPr>
        <w:t xml:space="preserve"> Alghuried (2025) </w:t>
      </w:r>
      <w:r w:rsidRPr="00BB2147">
        <w:rPr>
          <w:rFonts w:ascii="Traditional Arabic" w:hAnsi="Traditional Arabic" w:cs="Traditional Arabic"/>
          <w:sz w:val="28"/>
          <w:szCs w:val="28"/>
          <w:rtl/>
        </w:rPr>
        <w:t>إلى أن من بين أبرز فوائد الاستدامة على مستوى التكاليف هي تقليل استهلاك الطاقة والموارد، مثل المياه والوقود، إلى جانب إدارة فعالة للنفايات. ويضيف الباحث أن إعادة تدوير مخلفات البناء والهدم لا تقلل فقط من كلفة التخلص منها، بل تخلق أيضًا قيمة مضافة للمشروع من خلال إعادة استخدامها في أعمال أخرى داخل نفس المشروع، مما يرفع من الكفاءة الاقتصادية ويعزز من الالتزام البيئي</w:t>
      </w:r>
      <w:r w:rsidRPr="00BB2147">
        <w:rPr>
          <w:rFonts w:ascii="Traditional Arabic" w:hAnsi="Traditional Arabic" w:cs="Traditional Arabic"/>
          <w:sz w:val="28"/>
          <w:szCs w:val="28"/>
        </w:rPr>
        <w:t>.</w:t>
      </w:r>
    </w:p>
    <w:p w14:paraId="4842622D"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كما أشار الحسن (2025) إلى أن المشاريع المستدامة تتميز بقدرتها على تقليل التكاليف الناتجة عن المشكلات القانونية والفنية، مثل مخالفات قوانين السلامة أو مخالفات بيئية. إذ أوضحت الدراسة أن الالتزام بمعايير السلامة البيئية يقلل من المخاطر المحتملة، وبالتالي يقلل من نفقات التأمين والغرامات والتأخيرات الناتجة عن تعطيل الأعمال. وهذا ما يجعل ممارسات الاستدامة وسيلة للوقاية من التكاليف غير المباشرة والتي قد لا تكون واضحة في المراحل الأولى للمشروع</w:t>
      </w:r>
      <w:r w:rsidRPr="00BB2147">
        <w:rPr>
          <w:rFonts w:ascii="Traditional Arabic" w:hAnsi="Traditional Arabic" w:cs="Traditional Arabic"/>
          <w:sz w:val="28"/>
          <w:szCs w:val="28"/>
        </w:rPr>
        <w:t>.</w:t>
      </w:r>
    </w:p>
    <w:p w14:paraId="35BD3AA8"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وفي جانب آخر، فإن استخدام المواد المحلية منخفضة الانبعاثات والتي تتماشى مع معايير كفاءة الطاقة يسهم بشكل مباشر في تقليل كلفة التشغيل. وتدعم نتائج</w:t>
      </w:r>
      <w:r w:rsidRPr="00BB2147">
        <w:rPr>
          <w:rFonts w:ascii="Traditional Arabic" w:hAnsi="Traditional Arabic" w:cs="Traditional Arabic"/>
          <w:sz w:val="28"/>
          <w:szCs w:val="28"/>
        </w:rPr>
        <w:t xml:space="preserve"> Al-Yami (2008) </w:t>
      </w:r>
      <w:r w:rsidRPr="00BB2147">
        <w:rPr>
          <w:rFonts w:ascii="Traditional Arabic" w:hAnsi="Traditional Arabic" w:cs="Traditional Arabic"/>
          <w:sz w:val="28"/>
          <w:szCs w:val="28"/>
          <w:rtl/>
        </w:rPr>
        <w:t>هذا التوجه، حيث بينت أن تبني نهج البناء القائم على القيمة والفعالية البيئية ساعد المشروع في اختيار مواد بناء أقل تكلفة من حيث الصيانة والاستهلاك، وأطول عمرًا من البدائل التقليدية، ما أدى إلى تقليص النفقات طويلة الأجل من دون الإضرار بالجودة أو المظهر الجمالي للمبنى</w:t>
      </w:r>
      <w:r w:rsidRPr="00BB2147">
        <w:rPr>
          <w:rFonts w:ascii="Traditional Arabic" w:hAnsi="Traditional Arabic" w:cs="Traditional Arabic"/>
          <w:sz w:val="28"/>
          <w:szCs w:val="28"/>
        </w:rPr>
        <w:t>.</w:t>
      </w:r>
    </w:p>
    <w:p w14:paraId="377FFE7F"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lastRenderedPageBreak/>
        <w:t>وتشير الدراسات إلى أن التكاليف طويلة المدى يمكن احتسابها بدقة عبر مفهوم "تكلفة دورة الحياة الكاملة</w:t>
      </w:r>
      <w:r w:rsidRPr="00BB2147">
        <w:rPr>
          <w:rFonts w:ascii="Traditional Arabic" w:hAnsi="Traditional Arabic" w:cs="Traditional Arabic"/>
          <w:sz w:val="28"/>
          <w:szCs w:val="28"/>
        </w:rPr>
        <w:t>" (Whole Life Cycle Costing – WLCC)</w:t>
      </w:r>
      <w:r w:rsidRPr="00BB2147">
        <w:rPr>
          <w:rFonts w:ascii="Traditional Arabic" w:hAnsi="Traditional Arabic" w:cs="Traditional Arabic"/>
          <w:sz w:val="28"/>
          <w:szCs w:val="28"/>
          <w:rtl/>
        </w:rPr>
        <w:t>، وهو أسلوب يُشجع عليه في المشاريع المستدامة باعتباره يعكس التكاليف الفعلية للمشروع وليس فقط التكاليف الإنشائية. ويعتمد هذا المنهج على تقييم جميع مراحل حياة المشروع، من التشييد إلى التشغيل إلى الصيانة، وحتى التفكيك في بعض الحالات. ووفقًا لـ</w:t>
      </w:r>
      <w:r w:rsidRPr="00BB2147">
        <w:rPr>
          <w:rFonts w:ascii="Traditional Arabic" w:hAnsi="Traditional Arabic" w:cs="Traditional Arabic"/>
          <w:sz w:val="28"/>
          <w:szCs w:val="28"/>
        </w:rPr>
        <w:t xml:space="preserve"> Al-Yami (2008)</w:t>
      </w:r>
      <w:r w:rsidRPr="00BB2147">
        <w:rPr>
          <w:rFonts w:ascii="Traditional Arabic" w:hAnsi="Traditional Arabic" w:cs="Traditional Arabic"/>
          <w:sz w:val="28"/>
          <w:szCs w:val="28"/>
          <w:rtl/>
        </w:rPr>
        <w:t>، فإن استخدام هذا النموذج في مشروع مركز الأمير سلمان ساعد على اتخاذ قرارات أكثر حكمة في اختيار البدائل التقنية والإنشائية التي أثبتت فاعليتها على المدى البعيد</w:t>
      </w:r>
      <w:r w:rsidRPr="00BB2147">
        <w:rPr>
          <w:rFonts w:ascii="Traditional Arabic" w:hAnsi="Traditional Arabic" w:cs="Traditional Arabic"/>
          <w:sz w:val="28"/>
          <w:szCs w:val="28"/>
        </w:rPr>
        <w:t>.</w:t>
      </w:r>
    </w:p>
    <w:p w14:paraId="44532235" w14:textId="77777777"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وعلى الرغم من كل هذه المزايا، تؤكد الدراسات أن تطبيق ممارسات الاستدامة لا يخلو من التحديات. فقد حدد</w:t>
      </w:r>
      <w:r w:rsidRPr="00BB2147">
        <w:rPr>
          <w:rFonts w:ascii="Traditional Arabic" w:hAnsi="Traditional Arabic" w:cs="Traditional Arabic"/>
          <w:sz w:val="28"/>
          <w:szCs w:val="28"/>
        </w:rPr>
        <w:t xml:space="preserve"> Al-Yami (2008) </w:t>
      </w:r>
      <w:r w:rsidRPr="00BB2147">
        <w:rPr>
          <w:rFonts w:ascii="Traditional Arabic" w:hAnsi="Traditional Arabic" w:cs="Traditional Arabic"/>
          <w:sz w:val="28"/>
          <w:szCs w:val="28"/>
          <w:rtl/>
        </w:rPr>
        <w:t>عدة معوقات أبرزها مقاومة التغيير الناتجة عن التكاليف الأولية المرتفعة، ونقص الخبرات المتخصصة في مجال الاستدامة، وغياب اللوائح الملزمة على مستوى وطني. ومع ذلك، تشير الدراسة إلى أن استخدام أدوات مثل إدارة القيمة</w:t>
      </w:r>
      <w:r w:rsidRPr="00BB2147">
        <w:rPr>
          <w:rFonts w:ascii="Traditional Arabic" w:hAnsi="Traditional Arabic" w:cs="Traditional Arabic"/>
          <w:sz w:val="28"/>
          <w:szCs w:val="28"/>
        </w:rPr>
        <w:t xml:space="preserve"> (VM) </w:t>
      </w:r>
      <w:r w:rsidRPr="00BB2147">
        <w:rPr>
          <w:rFonts w:ascii="Traditional Arabic" w:hAnsi="Traditional Arabic" w:cs="Traditional Arabic"/>
          <w:sz w:val="28"/>
          <w:szCs w:val="28"/>
          <w:rtl/>
        </w:rPr>
        <w:t>يوفر وسيلة منهجية يمكن أن توازن بين المتطلبات الاقتصادية والبيئية والاجتماعية، من خلال إشراك أصحاب المصلحة، وتحسين جودة القرار، وتحقيق تكامل بين الأهداف</w:t>
      </w:r>
      <w:r w:rsidRPr="00BB2147">
        <w:rPr>
          <w:rFonts w:ascii="Traditional Arabic" w:hAnsi="Traditional Arabic" w:cs="Traditional Arabic"/>
          <w:sz w:val="28"/>
          <w:szCs w:val="28"/>
        </w:rPr>
        <w:t>.</w:t>
      </w:r>
    </w:p>
    <w:p w14:paraId="44541D73" w14:textId="31BC4FBA" w:rsidR="00BB2147" w:rsidRPr="00BB2147"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t>وت</w:t>
      </w:r>
      <w:r w:rsidR="00146D14">
        <w:rPr>
          <w:rFonts w:ascii="Traditional Arabic" w:hAnsi="Traditional Arabic" w:cs="Traditional Arabic" w:hint="cs"/>
          <w:sz w:val="28"/>
          <w:szCs w:val="28"/>
          <w:rtl/>
        </w:rPr>
        <w:t>ؤ</w:t>
      </w:r>
      <w:r w:rsidRPr="00BB2147">
        <w:rPr>
          <w:rFonts w:ascii="Traditional Arabic" w:hAnsi="Traditional Arabic" w:cs="Traditional Arabic"/>
          <w:sz w:val="28"/>
          <w:szCs w:val="28"/>
          <w:rtl/>
        </w:rPr>
        <w:t>كد نتائج</w:t>
      </w:r>
      <w:r w:rsidRPr="00BB2147">
        <w:rPr>
          <w:rFonts w:ascii="Traditional Arabic" w:hAnsi="Traditional Arabic" w:cs="Traditional Arabic"/>
          <w:sz w:val="28"/>
          <w:szCs w:val="28"/>
        </w:rPr>
        <w:t xml:space="preserve"> Alghuried (2025) </w:t>
      </w:r>
      <w:r w:rsidRPr="00BB2147">
        <w:rPr>
          <w:rFonts w:ascii="Traditional Arabic" w:hAnsi="Traditional Arabic" w:cs="Traditional Arabic"/>
          <w:sz w:val="28"/>
          <w:szCs w:val="28"/>
          <w:rtl/>
        </w:rPr>
        <w:t>على أن من بين العوامل الأساسية التي تساعد على تجاوز هذه التحديات وجود قيادة فعالة، وخطط استراتيجية واضحة، ومدير مشروع كفء يمتلك القدرة على التوفيق بين متطلبات الجودة، والميزانية، والزمن، والاستدامة. كما تبرز أهمية الامتثال للتشريعات واللوائح التنظيمية، والتي تُمثل إطارًا يوفر الحماية القانونية ويقلل من المخاطر التي قد تؤثر على التكاليف مستقبلاً</w:t>
      </w:r>
      <w:r w:rsidRPr="00BB2147">
        <w:rPr>
          <w:rFonts w:ascii="Traditional Arabic" w:hAnsi="Traditional Arabic" w:cs="Traditional Arabic"/>
          <w:sz w:val="28"/>
          <w:szCs w:val="28"/>
        </w:rPr>
        <w:t>.</w:t>
      </w:r>
    </w:p>
    <w:p w14:paraId="5BE60B17" w14:textId="0898958A" w:rsidR="000525B1" w:rsidRPr="00270DA0" w:rsidRDefault="00BB2147" w:rsidP="006337C0">
      <w:pPr>
        <w:bidi/>
        <w:spacing w:line="480" w:lineRule="auto"/>
        <w:rPr>
          <w:rFonts w:ascii="Traditional Arabic" w:hAnsi="Traditional Arabic" w:cs="Traditional Arabic"/>
          <w:sz w:val="28"/>
          <w:szCs w:val="28"/>
        </w:rPr>
      </w:pPr>
      <w:r w:rsidRPr="00BB2147">
        <w:rPr>
          <w:rFonts w:ascii="Traditional Arabic" w:hAnsi="Traditional Arabic" w:cs="Traditional Arabic"/>
          <w:sz w:val="28"/>
          <w:szCs w:val="28"/>
          <w:rtl/>
        </w:rPr>
        <w:lastRenderedPageBreak/>
        <w:t>إن تكامل الاستدامة مع نظم إدارة المشاريع في السعودية لم يعد رفاهية، بل بات ضرورة تحتمها الضغوط البيئية والاقتصادية والتنظيمية. ولذلك، توصي الأدبيات بضرورة تبني سياسات حكومية داعمة، وتشجيع المشاريع النموذجية التي تثبت بالأرقام جدوى الاستدامة، بالإضافة إلى تطوير برامج تدريب مهني للعاملين في قطاع البناء تمكنهم من فهم آليات تطبيق الاستدامة ومفاهيمها العملية</w:t>
      </w:r>
      <w:r w:rsidRPr="00BB2147">
        <w:rPr>
          <w:rFonts w:ascii="Traditional Arabic" w:hAnsi="Traditional Arabic" w:cs="Traditional Arabic"/>
          <w:sz w:val="28"/>
          <w:szCs w:val="28"/>
        </w:rPr>
        <w:t>.</w:t>
      </w:r>
    </w:p>
    <w:p w14:paraId="2F4042F1" w14:textId="1920B6AB" w:rsidR="004D61FE" w:rsidRPr="004D61FE" w:rsidRDefault="002A374C" w:rsidP="006337C0">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t>3-2</w:t>
      </w:r>
      <w:r w:rsidR="004D61FE">
        <w:rPr>
          <w:rFonts w:ascii="Traditional Arabic" w:hAnsi="Traditional Arabic" w:cs="Traditional Arabic" w:hint="cs"/>
          <w:b/>
          <w:bCs/>
          <w:sz w:val="28"/>
          <w:szCs w:val="28"/>
          <w:rtl/>
        </w:rPr>
        <w:t xml:space="preserve"> </w:t>
      </w:r>
      <w:r w:rsidR="004D61FE" w:rsidRPr="004D61FE">
        <w:rPr>
          <w:rFonts w:ascii="Traditional Arabic" w:hAnsi="Traditional Arabic" w:cs="Traditional Arabic"/>
          <w:b/>
          <w:bCs/>
          <w:sz w:val="28"/>
          <w:szCs w:val="28"/>
          <w:rtl/>
        </w:rPr>
        <w:t>تأثير ممارسات الاستدامة على السمعة التنافسية والامتثال للأنظمة البيئية</w:t>
      </w:r>
    </w:p>
    <w:p w14:paraId="4F54EC25"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تمثل الاستدامة في المشاريع الإنشائية نقلة نوعية في المفهوم التقليدي للبناء، حيث لم تعد المشاريع تُقيّم فقط من منظور الجدوى الاقتصادية أو الكفاءة التشغيلية، بل أصبحت تخضع لمعايير أشمل تدمج الأداء البيئي والاجتماعي مع جودة التنفيذ والتكلفة. وفي هذا الإطار، تلعب ممارسات الاستدامة دورًا جوهريًا في تحسين السمعة التنافسية للشركات الإنشائية، وتعزيز امتثالها للأنظمة البيئية، وهو ما يُعد عنصرًا حاسمًا في السياق السعودي، الذي يشهد تحولًا متسارعًا نحو التنمية المستدامة تماشيًا مع رؤية المملكة 2030</w:t>
      </w:r>
      <w:r w:rsidRPr="004D61FE">
        <w:rPr>
          <w:rFonts w:ascii="Traditional Arabic" w:hAnsi="Traditional Arabic" w:cs="Traditional Arabic"/>
          <w:sz w:val="28"/>
          <w:szCs w:val="28"/>
        </w:rPr>
        <w:t>.</w:t>
      </w:r>
    </w:p>
    <w:p w14:paraId="07F4240E"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تُظهر دراسة</w:t>
      </w:r>
      <w:r w:rsidRPr="004D61FE">
        <w:rPr>
          <w:rFonts w:ascii="Traditional Arabic" w:hAnsi="Traditional Arabic" w:cs="Traditional Arabic"/>
          <w:sz w:val="28"/>
          <w:szCs w:val="28"/>
        </w:rPr>
        <w:t xml:space="preserve"> Al-Otaibi et al. (2025) </w:t>
      </w:r>
      <w:r w:rsidRPr="004D61FE">
        <w:rPr>
          <w:rFonts w:ascii="Traditional Arabic" w:hAnsi="Traditional Arabic" w:cs="Traditional Arabic"/>
          <w:sz w:val="28"/>
          <w:szCs w:val="28"/>
          <w:rtl/>
        </w:rPr>
        <w:t>أن تبني استراتيجيات مستدامة في المشاريع الإنشائية يسهم في تقليل الهدر، وتحسين إدارة الموارد، ورفع كفاءة التصميم والتنفيذ، مما يعكس صورة إيجابية للشركات أمام العملاء والمستثمرين. وتُعد هذه العوامل من أبرز المحددات التي تؤثر في السمعة التنافسية للمؤسسات، خاصة في سوق تشهد فيه المشاريع الكبرى تنافسًا عاليًا بين الشركات المحلية والعالمية. وتشير الدراسة إلى أن استخدام أدوات متقدمة مثل نمذجة معلومات البناء</w:t>
      </w:r>
      <w:r w:rsidRPr="004D61FE">
        <w:rPr>
          <w:rFonts w:ascii="Traditional Arabic" w:hAnsi="Traditional Arabic" w:cs="Traditional Arabic"/>
          <w:sz w:val="28"/>
          <w:szCs w:val="28"/>
        </w:rPr>
        <w:t xml:space="preserve"> (BIM) </w:t>
      </w:r>
      <w:r w:rsidRPr="004D61FE">
        <w:rPr>
          <w:rFonts w:ascii="Traditional Arabic" w:hAnsi="Traditional Arabic" w:cs="Traditional Arabic"/>
          <w:sz w:val="28"/>
          <w:szCs w:val="28"/>
          <w:rtl/>
        </w:rPr>
        <w:t>والتحول الرقمي يقللان من الأخطاء التصميمية</w:t>
      </w:r>
      <w:r w:rsidRPr="004D61FE">
        <w:rPr>
          <w:rFonts w:ascii="Traditional Arabic" w:hAnsi="Traditional Arabic" w:cs="Traditional Arabic"/>
          <w:sz w:val="28"/>
          <w:szCs w:val="28"/>
        </w:rPr>
        <w:t xml:space="preserve"> (RII = 0.792)</w:t>
      </w:r>
      <w:r w:rsidRPr="004D61FE">
        <w:rPr>
          <w:rFonts w:ascii="Traditional Arabic" w:hAnsi="Traditional Arabic" w:cs="Traditional Arabic"/>
          <w:sz w:val="28"/>
          <w:szCs w:val="28"/>
          <w:rtl/>
        </w:rPr>
        <w:t>، ويُعززان الشفافية، وهو ما يُعد من عناصر الجذب المهمة لأصحاب المصلحة</w:t>
      </w:r>
      <w:r w:rsidRPr="004D61FE">
        <w:rPr>
          <w:rFonts w:ascii="Traditional Arabic" w:hAnsi="Traditional Arabic" w:cs="Traditional Arabic"/>
          <w:sz w:val="28"/>
          <w:szCs w:val="28"/>
        </w:rPr>
        <w:t>.</w:t>
      </w:r>
    </w:p>
    <w:p w14:paraId="3C17F40B"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في ذات السياق، تؤكد دراسة</w:t>
      </w:r>
      <w:r w:rsidRPr="004D61FE">
        <w:rPr>
          <w:rFonts w:ascii="Traditional Arabic" w:hAnsi="Traditional Arabic" w:cs="Traditional Arabic"/>
          <w:sz w:val="28"/>
          <w:szCs w:val="28"/>
        </w:rPr>
        <w:t xml:space="preserve"> Shaawat et al. (2023) </w:t>
      </w:r>
      <w:r w:rsidRPr="004D61FE">
        <w:rPr>
          <w:rFonts w:ascii="Traditional Arabic" w:hAnsi="Traditional Arabic" w:cs="Traditional Arabic"/>
          <w:sz w:val="28"/>
          <w:szCs w:val="28"/>
          <w:rtl/>
        </w:rPr>
        <w:t xml:space="preserve">أن تحسين جودة أعمال البناء عبر الالتزام بممارسات الاستدامة يزيد من رضا العملاء، ويعزز الثقة بين الشركات والملاك، وهو ما يُعد من أهم عناصر بناء السمعة في السوق. وقد طورت الدراسة "مؤشر </w:t>
      </w:r>
      <w:r w:rsidRPr="004D61FE">
        <w:rPr>
          <w:rFonts w:ascii="Traditional Arabic" w:hAnsi="Traditional Arabic" w:cs="Traditional Arabic"/>
          <w:sz w:val="28"/>
          <w:szCs w:val="28"/>
          <w:rtl/>
        </w:rPr>
        <w:lastRenderedPageBreak/>
        <w:t>جودة الأداء</w:t>
      </w:r>
      <w:r w:rsidRPr="004D61FE">
        <w:rPr>
          <w:rFonts w:ascii="Traditional Arabic" w:hAnsi="Traditional Arabic" w:cs="Traditional Arabic"/>
          <w:sz w:val="28"/>
          <w:szCs w:val="28"/>
        </w:rPr>
        <w:t xml:space="preserve">" (PQI) </w:t>
      </w:r>
      <w:r w:rsidRPr="004D61FE">
        <w:rPr>
          <w:rFonts w:ascii="Traditional Arabic" w:hAnsi="Traditional Arabic" w:cs="Traditional Arabic"/>
          <w:sz w:val="28"/>
          <w:szCs w:val="28"/>
          <w:rtl/>
        </w:rPr>
        <w:t>الذي يقيس الأداء المهني للمقاولين في المشاريع المستدامة، ووجدت أن جودة التنفيذ تُعد العامل الأكثر تأثيرًا بنسبة 43%. وتؤكد الدراسة أن الشركات التي تلتزم بمعايير الجودة مثل</w:t>
      </w:r>
      <w:r w:rsidRPr="004D61FE">
        <w:rPr>
          <w:rFonts w:ascii="Traditional Arabic" w:hAnsi="Traditional Arabic" w:cs="Traditional Arabic"/>
          <w:sz w:val="28"/>
          <w:szCs w:val="28"/>
        </w:rPr>
        <w:t xml:space="preserve"> ISO 9000</w:t>
      </w:r>
      <w:r w:rsidRPr="004D61FE">
        <w:rPr>
          <w:rFonts w:ascii="Traditional Arabic" w:hAnsi="Traditional Arabic" w:cs="Traditional Arabic"/>
          <w:sz w:val="28"/>
          <w:szCs w:val="28"/>
          <w:rtl/>
        </w:rPr>
        <w:t>، وتمارس ضوابط دقيقة خلال كل مراحل المشروع، تُحقق معدلات أعلى من رضا العملاء، وبالتالي تتمتع بسمعة تنافسية أقوى</w:t>
      </w:r>
      <w:r w:rsidRPr="004D61FE">
        <w:rPr>
          <w:rFonts w:ascii="Traditional Arabic" w:hAnsi="Traditional Arabic" w:cs="Traditional Arabic"/>
          <w:sz w:val="28"/>
          <w:szCs w:val="28"/>
        </w:rPr>
        <w:t>.</w:t>
      </w:r>
    </w:p>
    <w:p w14:paraId="7DFA245B" w14:textId="204B68E4"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ويبرز</w:t>
      </w:r>
      <w:r w:rsidRPr="004D61FE">
        <w:rPr>
          <w:rFonts w:ascii="Traditional Arabic" w:hAnsi="Traditional Arabic" w:cs="Traditional Arabic"/>
          <w:sz w:val="28"/>
          <w:szCs w:val="28"/>
        </w:rPr>
        <w:t xml:space="preserve"> Alghuried (2023) </w:t>
      </w:r>
      <w:r w:rsidRPr="004D61FE">
        <w:rPr>
          <w:rFonts w:ascii="Traditional Arabic" w:hAnsi="Traditional Arabic" w:cs="Traditional Arabic"/>
          <w:sz w:val="28"/>
          <w:szCs w:val="28"/>
          <w:rtl/>
        </w:rPr>
        <w:t>أن تبني تقنيات الاستدامة مثل</w:t>
      </w:r>
      <w:r w:rsidRPr="004D61FE">
        <w:rPr>
          <w:rFonts w:ascii="Traditional Arabic" w:hAnsi="Traditional Arabic" w:cs="Traditional Arabic"/>
          <w:sz w:val="28"/>
          <w:szCs w:val="28"/>
        </w:rPr>
        <w:t xml:space="preserve"> BIM </w:t>
      </w:r>
      <w:r w:rsidRPr="004D61FE">
        <w:rPr>
          <w:rFonts w:ascii="Traditional Arabic" w:hAnsi="Traditional Arabic" w:cs="Traditional Arabic"/>
          <w:sz w:val="28"/>
          <w:szCs w:val="28"/>
          <w:rtl/>
        </w:rPr>
        <w:t>يعزز العلامة التجارية للشركات الإنشائية من خلال تحسين التصميم الأخضر</w:t>
      </w:r>
      <w:r w:rsidRPr="004D61FE">
        <w:rPr>
          <w:rFonts w:ascii="Traditional Arabic" w:hAnsi="Traditional Arabic" w:cs="Traditional Arabic"/>
          <w:sz w:val="28"/>
          <w:szCs w:val="28"/>
        </w:rPr>
        <w:t xml:space="preserve"> (RII = 0.786)</w:t>
      </w:r>
      <w:r w:rsidRPr="004D61FE">
        <w:rPr>
          <w:rFonts w:ascii="Traditional Arabic" w:hAnsi="Traditional Arabic" w:cs="Traditional Arabic"/>
          <w:sz w:val="28"/>
          <w:szCs w:val="28"/>
          <w:rtl/>
        </w:rPr>
        <w:t>، وتحقيق كفاءة أكبر في دورة حياة المبنى. كما يشير إلى أن الاستخدام الفعال لهذه التقنيات يُساعد الشركات على تمييز نفسها في السوق من خلال تقديم مشاريع ذات عمر افتراضي أطول، واستهلاك طاقة أقل، وانبعاثات كربونية أقل، مما يجعلها أكثر جذبًا للمستثمرين والحكومات التي تُشجع المباني المستدامة</w:t>
      </w:r>
      <w:r w:rsidRPr="004D61FE">
        <w:rPr>
          <w:rFonts w:ascii="Traditional Arabic" w:hAnsi="Traditional Arabic" w:cs="Traditional Arabic"/>
          <w:sz w:val="28"/>
          <w:szCs w:val="28"/>
        </w:rPr>
        <w:t>.</w:t>
      </w:r>
    </w:p>
    <w:p w14:paraId="0051B983"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تتجسد العلاقة بين ممارسات الاستدامة والسمعة التنافسية أيضًا في التوافق مع التوجهات العالمية المتزايدة نحو الاستدامة. إذ أصبحت المؤسسات التمويلية والمستثمرون يبحثون عن مشاريع لا تحقق العوائد المالية فحسب، بل تُراعي أيضًا التأثير البيئي والاجتماعي. وفي هذا الإطار، يُصبح التزام الشركات بالممارسات المستدامة، مثل تقليل الانبعاثات، وإعادة التدوير، واستخدام المواد منخفضة التأثير البيئي، من العوامل التي تعزز صورتها أمام الشركاء الدوليين</w:t>
      </w:r>
      <w:r w:rsidRPr="004D61FE">
        <w:rPr>
          <w:rFonts w:ascii="Traditional Arabic" w:hAnsi="Traditional Arabic" w:cs="Traditional Arabic"/>
          <w:sz w:val="28"/>
          <w:szCs w:val="28"/>
        </w:rPr>
        <w:t>.</w:t>
      </w:r>
    </w:p>
    <w:p w14:paraId="5A469335"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وتوضح نتائج</w:t>
      </w:r>
      <w:r w:rsidRPr="004D61FE">
        <w:rPr>
          <w:rFonts w:ascii="Traditional Arabic" w:hAnsi="Traditional Arabic" w:cs="Traditional Arabic"/>
          <w:sz w:val="28"/>
          <w:szCs w:val="28"/>
        </w:rPr>
        <w:t xml:space="preserve"> Al-Otaibi et al. (2025) </w:t>
      </w:r>
      <w:r w:rsidRPr="004D61FE">
        <w:rPr>
          <w:rFonts w:ascii="Traditional Arabic" w:hAnsi="Traditional Arabic" w:cs="Traditional Arabic"/>
          <w:sz w:val="28"/>
          <w:szCs w:val="28"/>
          <w:rtl/>
        </w:rPr>
        <w:t>أن أحد التحديات التي تؤثر في السمعة التنافسية للشركات الإنشائية في السعودية هو سوء التواصل بين أصحاب المصلحة</w:t>
      </w:r>
      <w:r w:rsidRPr="004D61FE">
        <w:rPr>
          <w:rFonts w:ascii="Traditional Arabic" w:hAnsi="Traditional Arabic" w:cs="Traditional Arabic"/>
          <w:sz w:val="28"/>
          <w:szCs w:val="28"/>
        </w:rPr>
        <w:t xml:space="preserve"> (RII = 0.831)</w:t>
      </w:r>
      <w:r w:rsidRPr="004D61FE">
        <w:rPr>
          <w:rFonts w:ascii="Traditional Arabic" w:hAnsi="Traditional Arabic" w:cs="Traditional Arabic"/>
          <w:sz w:val="28"/>
          <w:szCs w:val="28"/>
          <w:rtl/>
        </w:rPr>
        <w:t>، وتجاوز التكاليف والجداول الزمنية</w:t>
      </w:r>
      <w:r w:rsidRPr="004D61FE">
        <w:rPr>
          <w:rFonts w:ascii="Traditional Arabic" w:hAnsi="Traditional Arabic" w:cs="Traditional Arabic"/>
          <w:sz w:val="28"/>
          <w:szCs w:val="28"/>
        </w:rPr>
        <w:t xml:space="preserve"> (RII = 0.806). </w:t>
      </w:r>
      <w:r w:rsidRPr="004D61FE">
        <w:rPr>
          <w:rFonts w:ascii="Traditional Arabic" w:hAnsi="Traditional Arabic" w:cs="Traditional Arabic"/>
          <w:sz w:val="28"/>
          <w:szCs w:val="28"/>
          <w:rtl/>
        </w:rPr>
        <w:t>وتوصي الدراسة بأن تبني تقنيات البناء الذكي والممارسات المستدامة يُمكن أن يُقلل من هذه المشكلات، من خلال تحسين التنسيق، وتخفيض الفاقد، والامتثال للمعايير، وهو ما ينعكس إيجابيًا على صورة الشركة في السوق</w:t>
      </w:r>
      <w:r w:rsidRPr="004D61FE">
        <w:rPr>
          <w:rFonts w:ascii="Traditional Arabic" w:hAnsi="Traditional Arabic" w:cs="Traditional Arabic"/>
          <w:sz w:val="28"/>
          <w:szCs w:val="28"/>
        </w:rPr>
        <w:t>.</w:t>
      </w:r>
    </w:p>
    <w:p w14:paraId="608A3012"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lastRenderedPageBreak/>
        <w:t>من جانب آخر، يرتبط الامتثال للأنظمة البيئية ارتباطًا وثيقًا بممارسات الاستدامة، حيث إن تبني المعايير الخضراء والأنظمة الإدارية الصارمة يُعد الوسيلة الأمثل لضمان التوافق مع القوانين التنظيمية المحلية والدولية. ويؤكد</w:t>
      </w:r>
      <w:r w:rsidRPr="004D61FE">
        <w:rPr>
          <w:rFonts w:ascii="Traditional Arabic" w:hAnsi="Traditional Arabic" w:cs="Traditional Arabic"/>
          <w:sz w:val="28"/>
          <w:szCs w:val="28"/>
        </w:rPr>
        <w:t xml:space="preserve"> Shaawat et al. (2023) </w:t>
      </w:r>
      <w:r w:rsidRPr="004D61FE">
        <w:rPr>
          <w:rFonts w:ascii="Traditional Arabic" w:hAnsi="Traditional Arabic" w:cs="Traditional Arabic"/>
          <w:sz w:val="28"/>
          <w:szCs w:val="28"/>
          <w:rtl/>
        </w:rPr>
        <w:t>أن تنفيذ أنظمة الجودة مثل</w:t>
      </w:r>
      <w:r w:rsidRPr="004D61FE">
        <w:rPr>
          <w:rFonts w:ascii="Traditional Arabic" w:hAnsi="Traditional Arabic" w:cs="Traditional Arabic"/>
          <w:sz w:val="28"/>
          <w:szCs w:val="28"/>
        </w:rPr>
        <w:t xml:space="preserve"> ISO 9000 </w:t>
      </w:r>
      <w:r w:rsidRPr="004D61FE">
        <w:rPr>
          <w:rFonts w:ascii="Traditional Arabic" w:hAnsi="Traditional Arabic" w:cs="Traditional Arabic"/>
          <w:sz w:val="28"/>
          <w:szCs w:val="28"/>
          <w:rtl/>
        </w:rPr>
        <w:t>يُوحّد الإجراءات الداخلية للشركات، ويُقلل من التكرار في الانتهاكات البيئية، مما يؤدي إلى تحقيق الامتثال البيئي بطريقة منظمة وفعالة. وتُظهر نتائج الدراسة أن اعتماد خطط فحص واختبار دقيقة</w:t>
      </w:r>
      <w:r w:rsidRPr="004D61FE">
        <w:rPr>
          <w:rFonts w:ascii="Traditional Arabic" w:hAnsi="Traditional Arabic" w:cs="Traditional Arabic"/>
          <w:sz w:val="28"/>
          <w:szCs w:val="28"/>
        </w:rPr>
        <w:t xml:space="preserve"> (ITP) </w:t>
      </w:r>
      <w:r w:rsidRPr="004D61FE">
        <w:rPr>
          <w:rFonts w:ascii="Traditional Arabic" w:hAnsi="Traditional Arabic" w:cs="Traditional Arabic"/>
          <w:sz w:val="28"/>
          <w:szCs w:val="28"/>
          <w:rtl/>
        </w:rPr>
        <w:t>وتجنب تكرار المخالفات</w:t>
      </w:r>
      <w:r w:rsidRPr="004D61FE">
        <w:rPr>
          <w:rFonts w:ascii="Traditional Arabic" w:hAnsi="Traditional Arabic" w:cs="Traditional Arabic"/>
          <w:sz w:val="28"/>
          <w:szCs w:val="28"/>
        </w:rPr>
        <w:t xml:space="preserve"> (RV) </w:t>
      </w:r>
      <w:r w:rsidRPr="004D61FE">
        <w:rPr>
          <w:rFonts w:ascii="Traditional Arabic" w:hAnsi="Traditional Arabic" w:cs="Traditional Arabic"/>
          <w:sz w:val="28"/>
          <w:szCs w:val="28"/>
          <w:rtl/>
        </w:rPr>
        <w:t>يسهم في تحسين الانضباط البيئي داخل مواقع العمل</w:t>
      </w:r>
      <w:r w:rsidRPr="004D61FE">
        <w:rPr>
          <w:rFonts w:ascii="Traditional Arabic" w:hAnsi="Traditional Arabic" w:cs="Traditional Arabic"/>
          <w:sz w:val="28"/>
          <w:szCs w:val="28"/>
        </w:rPr>
        <w:t>.</w:t>
      </w:r>
    </w:p>
    <w:p w14:paraId="30630645"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كما تُشير دراسة</w:t>
      </w:r>
      <w:r w:rsidRPr="004D61FE">
        <w:rPr>
          <w:rFonts w:ascii="Traditional Arabic" w:hAnsi="Traditional Arabic" w:cs="Traditional Arabic"/>
          <w:sz w:val="28"/>
          <w:szCs w:val="28"/>
        </w:rPr>
        <w:t xml:space="preserve"> Alghuried (2023) </w:t>
      </w:r>
      <w:r w:rsidRPr="004D61FE">
        <w:rPr>
          <w:rFonts w:ascii="Traditional Arabic" w:hAnsi="Traditional Arabic" w:cs="Traditional Arabic"/>
          <w:sz w:val="28"/>
          <w:szCs w:val="28"/>
          <w:rtl/>
        </w:rPr>
        <w:t>إلى أن استخدام نمذجة معلومات البناء في محاكاة أداء الطاقة، والتحكم في استهلاكها، يُعد من أبرز الأدوات التي تُمكن الشركات من الالتزام بالمعايير البيئية المعتمدة مثل</w:t>
      </w:r>
      <w:r w:rsidRPr="004D61FE">
        <w:rPr>
          <w:rFonts w:ascii="Traditional Arabic" w:hAnsi="Traditional Arabic" w:cs="Traditional Arabic"/>
          <w:sz w:val="28"/>
          <w:szCs w:val="28"/>
        </w:rPr>
        <w:t xml:space="preserve"> LEED. </w:t>
      </w:r>
      <w:r w:rsidRPr="004D61FE">
        <w:rPr>
          <w:rFonts w:ascii="Traditional Arabic" w:hAnsi="Traditional Arabic" w:cs="Traditional Arabic"/>
          <w:sz w:val="28"/>
          <w:szCs w:val="28"/>
          <w:rtl/>
        </w:rPr>
        <w:t>وتُظهر الدراسة أن التحكم في استهلاك الطاقة</w:t>
      </w:r>
      <w:r w:rsidRPr="004D61FE">
        <w:rPr>
          <w:rFonts w:ascii="Traditional Arabic" w:hAnsi="Traditional Arabic" w:cs="Traditional Arabic"/>
          <w:sz w:val="28"/>
          <w:szCs w:val="28"/>
        </w:rPr>
        <w:t xml:space="preserve"> (RII = 0.767) </w:t>
      </w:r>
      <w:r w:rsidRPr="004D61FE">
        <w:rPr>
          <w:rFonts w:ascii="Traditional Arabic" w:hAnsi="Traditional Arabic" w:cs="Traditional Arabic"/>
          <w:sz w:val="28"/>
          <w:szCs w:val="28"/>
          <w:rtl/>
        </w:rPr>
        <w:t>وإدارة الموارد بكفاءة</w:t>
      </w:r>
      <w:r w:rsidRPr="004D61FE">
        <w:rPr>
          <w:rFonts w:ascii="Traditional Arabic" w:hAnsi="Traditional Arabic" w:cs="Traditional Arabic"/>
          <w:sz w:val="28"/>
          <w:szCs w:val="28"/>
        </w:rPr>
        <w:t xml:space="preserve"> (RII = 0.761) </w:t>
      </w:r>
      <w:r w:rsidRPr="004D61FE">
        <w:rPr>
          <w:rFonts w:ascii="Traditional Arabic" w:hAnsi="Traditional Arabic" w:cs="Traditional Arabic"/>
          <w:sz w:val="28"/>
          <w:szCs w:val="28"/>
          <w:rtl/>
        </w:rPr>
        <w:t>يُسهمان في خفض الانبعاثات وتطبيق التشريعات البيئية بفعالية. كما أن محاكاة دورة الحياة الحرارية والإضاءة في المباني تساعد في اتخاذ قرارات تصميم مستدامة من البداية، مما يقلل من المخالفات البيئية لاحقًا ويُعزز الامتثال</w:t>
      </w:r>
      <w:r w:rsidRPr="004D61FE">
        <w:rPr>
          <w:rFonts w:ascii="Traditional Arabic" w:hAnsi="Traditional Arabic" w:cs="Traditional Arabic"/>
          <w:sz w:val="28"/>
          <w:szCs w:val="28"/>
        </w:rPr>
        <w:t>.</w:t>
      </w:r>
    </w:p>
    <w:p w14:paraId="61F455D6"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ويُشير</w:t>
      </w:r>
      <w:r w:rsidRPr="004D61FE">
        <w:rPr>
          <w:rFonts w:ascii="Traditional Arabic" w:hAnsi="Traditional Arabic" w:cs="Traditional Arabic"/>
          <w:sz w:val="28"/>
          <w:szCs w:val="28"/>
        </w:rPr>
        <w:t xml:space="preserve"> Al-Otaibi et al. (2025) </w:t>
      </w:r>
      <w:r w:rsidRPr="004D61FE">
        <w:rPr>
          <w:rFonts w:ascii="Traditional Arabic" w:hAnsi="Traditional Arabic" w:cs="Traditional Arabic"/>
          <w:sz w:val="28"/>
          <w:szCs w:val="28"/>
          <w:rtl/>
        </w:rPr>
        <w:t>إلى أن اللوائح البيئية في السعودية تُعد من العوامل المؤثرة على أداء المشاريع</w:t>
      </w:r>
      <w:r w:rsidRPr="004D61FE">
        <w:rPr>
          <w:rFonts w:ascii="Traditional Arabic" w:hAnsi="Traditional Arabic" w:cs="Traditional Arabic"/>
          <w:sz w:val="28"/>
          <w:szCs w:val="28"/>
        </w:rPr>
        <w:t xml:space="preserve"> (RII = 0.680)</w:t>
      </w:r>
      <w:r w:rsidRPr="004D61FE">
        <w:rPr>
          <w:rFonts w:ascii="Traditional Arabic" w:hAnsi="Traditional Arabic" w:cs="Traditional Arabic"/>
          <w:sz w:val="28"/>
          <w:szCs w:val="28"/>
          <w:rtl/>
        </w:rPr>
        <w:t>، حيث يُمكن أن يؤدي عدم الالتزام بها إلى تأخيرات وتكاليف إضافية. ولذلك، فإن تحسين عمليات المراقبة والتقييم</w:t>
      </w:r>
      <w:r w:rsidRPr="004D61FE">
        <w:rPr>
          <w:rFonts w:ascii="Traditional Arabic" w:hAnsi="Traditional Arabic" w:cs="Traditional Arabic"/>
          <w:sz w:val="28"/>
          <w:szCs w:val="28"/>
        </w:rPr>
        <w:t xml:space="preserve"> (RII = 0.786) </w:t>
      </w:r>
      <w:r w:rsidRPr="004D61FE">
        <w:rPr>
          <w:rFonts w:ascii="Traditional Arabic" w:hAnsi="Traditional Arabic" w:cs="Traditional Arabic"/>
          <w:sz w:val="28"/>
          <w:szCs w:val="28"/>
          <w:rtl/>
        </w:rPr>
        <w:t>عبر أنظمة رقابة فعالة وتدريب العمالة على الممارسات المستدامة يُعد شرطًا رئيسيًا للامتثال البيئي الناجح. كما توصي الدراسة بضرورة تطوير تشريعات أكثر وضوحًا لفرض الالتزام بالمعايير البيئية، خاصة في المشاريع الضخمة التي تُمولها الدولة</w:t>
      </w:r>
      <w:r w:rsidRPr="004D61FE">
        <w:rPr>
          <w:rFonts w:ascii="Traditional Arabic" w:hAnsi="Traditional Arabic" w:cs="Traditional Arabic"/>
          <w:sz w:val="28"/>
          <w:szCs w:val="28"/>
        </w:rPr>
        <w:t>.</w:t>
      </w:r>
    </w:p>
    <w:p w14:paraId="758DEB99"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lastRenderedPageBreak/>
        <w:t>وتضيف</w:t>
      </w:r>
      <w:r w:rsidRPr="004D61FE">
        <w:rPr>
          <w:rFonts w:ascii="Traditional Arabic" w:hAnsi="Traditional Arabic" w:cs="Traditional Arabic"/>
          <w:sz w:val="28"/>
          <w:szCs w:val="28"/>
        </w:rPr>
        <w:t xml:space="preserve"> Shaawat et al. (2023) </w:t>
      </w:r>
      <w:r w:rsidRPr="004D61FE">
        <w:rPr>
          <w:rFonts w:ascii="Traditional Arabic" w:hAnsi="Traditional Arabic" w:cs="Traditional Arabic"/>
          <w:sz w:val="28"/>
          <w:szCs w:val="28"/>
          <w:rtl/>
        </w:rPr>
        <w:t>أن جودة البناء تؤثر بشكل غير مباشر على الامتثال البيئي، إذ إن المشاريع التي تُنفذ بجودة عالية تقل فيها الحاجة لإعادة العمل، مما يقلل من استهلاك المواد والطاقة، ويُخفض من الانبعاثات الكربونية الناتجة عن عمليات التصحيح. كما تُسهم المستندات الدقيقة والتخطيط الجيد في منع الأخطاء التي قد تؤدي إلى تجاوزات بيئية. ويُعزز ذلك من قدرة الشركات على تلبية المتطلبات التنظيمية دون الحاجة لإجراءات تصحيحية مكلفة أو تأخير في التنفيذ</w:t>
      </w:r>
      <w:r w:rsidRPr="004D61FE">
        <w:rPr>
          <w:rFonts w:ascii="Traditional Arabic" w:hAnsi="Traditional Arabic" w:cs="Traditional Arabic"/>
          <w:sz w:val="28"/>
          <w:szCs w:val="28"/>
        </w:rPr>
        <w:t>.</w:t>
      </w:r>
    </w:p>
    <w:p w14:paraId="60944C42" w14:textId="1E3E8439"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ومع ذلك، تواجه الشركات تحديات عدّة في تحقيق التوازن بين الاستدامة والامتثال البيئي، خاصة في ظل وجود عوائق هيكلية ومؤسسية. وقد حدد</w:t>
      </w:r>
      <w:r w:rsidRPr="004D61FE">
        <w:rPr>
          <w:rFonts w:ascii="Traditional Arabic" w:hAnsi="Traditional Arabic" w:cs="Traditional Arabic"/>
          <w:sz w:val="28"/>
          <w:szCs w:val="28"/>
        </w:rPr>
        <w:t xml:space="preserve"> Alghuried (2023) </w:t>
      </w:r>
      <w:r w:rsidRPr="004D61FE">
        <w:rPr>
          <w:rFonts w:ascii="Traditional Arabic" w:hAnsi="Traditional Arabic" w:cs="Traditional Arabic"/>
          <w:sz w:val="28"/>
          <w:szCs w:val="28"/>
          <w:rtl/>
        </w:rPr>
        <w:t>ثلاثة عوائق رئيسية في هذا السياق: ارتفاع التكلفة</w:t>
      </w:r>
      <w:r w:rsidRPr="004D61FE">
        <w:rPr>
          <w:rFonts w:ascii="Traditional Arabic" w:hAnsi="Traditional Arabic" w:cs="Traditional Arabic"/>
          <w:sz w:val="28"/>
          <w:szCs w:val="28"/>
        </w:rPr>
        <w:t xml:space="preserve"> (RII = 0.720)</w:t>
      </w:r>
      <w:r w:rsidRPr="004D61FE">
        <w:rPr>
          <w:rFonts w:ascii="Traditional Arabic" w:hAnsi="Traditional Arabic" w:cs="Traditional Arabic"/>
          <w:sz w:val="28"/>
          <w:szCs w:val="28"/>
          <w:rtl/>
        </w:rPr>
        <w:t>، ونقص الكوادر المؤهلة</w:t>
      </w:r>
      <w:r w:rsidRPr="004D61FE">
        <w:rPr>
          <w:rFonts w:ascii="Traditional Arabic" w:hAnsi="Traditional Arabic" w:cs="Traditional Arabic"/>
          <w:sz w:val="28"/>
          <w:szCs w:val="28"/>
        </w:rPr>
        <w:t xml:space="preserve"> (RII = 0.708)</w:t>
      </w:r>
      <w:r w:rsidRPr="004D61FE">
        <w:rPr>
          <w:rFonts w:ascii="Traditional Arabic" w:hAnsi="Traditional Arabic" w:cs="Traditional Arabic"/>
          <w:sz w:val="28"/>
          <w:szCs w:val="28"/>
          <w:rtl/>
        </w:rPr>
        <w:t>، وغياب إطار قانوني واضح</w:t>
      </w:r>
      <w:r w:rsidRPr="004D61FE">
        <w:rPr>
          <w:rFonts w:ascii="Traditional Arabic" w:hAnsi="Traditional Arabic" w:cs="Traditional Arabic"/>
          <w:sz w:val="28"/>
          <w:szCs w:val="28"/>
        </w:rPr>
        <w:t xml:space="preserve"> (RII = 0.704). </w:t>
      </w:r>
      <w:r w:rsidRPr="004D61FE">
        <w:rPr>
          <w:rFonts w:ascii="Traditional Arabic" w:hAnsi="Traditional Arabic" w:cs="Traditional Arabic"/>
          <w:sz w:val="28"/>
          <w:szCs w:val="28"/>
          <w:rtl/>
        </w:rPr>
        <w:t>وتُبرز هذه المعوقات الحاجة إلى تدخل حكومي فعال، عبر تقديم حوافز مالية، وتطوير الأطر القانونية، ودعم برامج التدريب المهني، لتسهيل التحول نحو مشاريع أكثر استدامة وامتثالًا</w:t>
      </w:r>
      <w:r w:rsidRPr="004D61FE">
        <w:rPr>
          <w:rFonts w:ascii="Traditional Arabic" w:hAnsi="Traditional Arabic" w:cs="Traditional Arabic"/>
          <w:sz w:val="28"/>
          <w:szCs w:val="28"/>
        </w:rPr>
        <w:t>.</w:t>
      </w:r>
    </w:p>
    <w:p w14:paraId="343E6D99" w14:textId="77777777" w:rsidR="004D61FE" w:rsidRPr="004D61FE" w:rsidRDefault="004D61FE" w:rsidP="006337C0">
      <w:pPr>
        <w:bidi/>
        <w:spacing w:line="480" w:lineRule="auto"/>
        <w:rPr>
          <w:rFonts w:ascii="Traditional Arabic" w:hAnsi="Traditional Arabic" w:cs="Traditional Arabic"/>
          <w:sz w:val="28"/>
          <w:szCs w:val="28"/>
        </w:rPr>
      </w:pPr>
      <w:r w:rsidRPr="004D61FE">
        <w:rPr>
          <w:rFonts w:ascii="Traditional Arabic" w:hAnsi="Traditional Arabic" w:cs="Traditional Arabic"/>
          <w:sz w:val="28"/>
          <w:szCs w:val="28"/>
          <w:rtl/>
        </w:rPr>
        <w:t>وفي ظل هذه التحديات، تظهر توصيات الأدبيات بأهمية العمل على عدة مستويات. على مستوى التعليم، توصي الدراسات بدمج مفاهيم الاستدامة في المناهج الأكاديمية، وتأهيل الكوادر الهندسية والإدارية للتعامل مع متطلبات المشاريع الخضراء. وعلى مستوى السياسات، يُوصى بوضع أنظمة تصنيف للمشاريع وفق مستويات الاستدامة، وتخفيض الضرائب على المشاريع التي تحقق مؤشرات أداء بيئي مرتفعة. أما على مستوى الممارسة، فيجب أن تسعى الشركات لتبني مؤشرات تقييم جديدة مثل</w:t>
      </w:r>
      <w:r w:rsidRPr="004D61FE">
        <w:rPr>
          <w:rFonts w:ascii="Traditional Arabic" w:hAnsi="Traditional Arabic" w:cs="Traditional Arabic"/>
          <w:sz w:val="28"/>
          <w:szCs w:val="28"/>
        </w:rPr>
        <w:t xml:space="preserve"> "PQI" </w:t>
      </w:r>
      <w:r w:rsidRPr="004D61FE">
        <w:rPr>
          <w:rFonts w:ascii="Traditional Arabic" w:hAnsi="Traditional Arabic" w:cs="Traditional Arabic"/>
          <w:sz w:val="28"/>
          <w:szCs w:val="28"/>
          <w:rtl/>
        </w:rPr>
        <w:t>الذي يُراعي الأبعاد البيئية، إلى جانب مؤشرات التكلفة والوقت والجودة</w:t>
      </w:r>
      <w:r w:rsidRPr="004D61FE">
        <w:rPr>
          <w:rFonts w:ascii="Traditional Arabic" w:hAnsi="Traditional Arabic" w:cs="Traditional Arabic"/>
          <w:sz w:val="28"/>
          <w:szCs w:val="28"/>
        </w:rPr>
        <w:t>.</w:t>
      </w:r>
    </w:p>
    <w:p w14:paraId="107FBF75" w14:textId="77777777" w:rsidR="00146D14" w:rsidRDefault="00146D14" w:rsidP="00146D14">
      <w:pPr>
        <w:pStyle w:val="ListParagraph"/>
        <w:bidi/>
        <w:spacing w:after="200" w:line="480" w:lineRule="auto"/>
        <w:rPr>
          <w:rFonts w:ascii="Traditional Arabic" w:hAnsi="Traditional Arabic" w:cs="Traditional Arabic"/>
          <w:b/>
          <w:bCs/>
          <w:sz w:val="28"/>
          <w:szCs w:val="28"/>
        </w:rPr>
      </w:pPr>
    </w:p>
    <w:p w14:paraId="70CFA9B3" w14:textId="0803AFE6" w:rsidR="004D61FE" w:rsidRPr="004D61FE" w:rsidRDefault="004D61FE" w:rsidP="00146D14">
      <w:pPr>
        <w:pStyle w:val="ListParagraph"/>
        <w:numPr>
          <w:ilvl w:val="0"/>
          <w:numId w:val="12"/>
        </w:numPr>
        <w:bidi/>
        <w:spacing w:after="200" w:line="480" w:lineRule="auto"/>
        <w:rPr>
          <w:rFonts w:ascii="Traditional Arabic" w:hAnsi="Traditional Arabic" w:cs="Traditional Arabic"/>
          <w:b/>
          <w:bCs/>
          <w:sz w:val="28"/>
          <w:szCs w:val="28"/>
        </w:rPr>
      </w:pPr>
      <w:r w:rsidRPr="004D61FE">
        <w:rPr>
          <w:rFonts w:ascii="Traditional Arabic" w:hAnsi="Traditional Arabic" w:cs="Traditional Arabic"/>
          <w:b/>
          <w:bCs/>
          <w:sz w:val="28"/>
          <w:szCs w:val="28"/>
          <w:rtl/>
        </w:rPr>
        <w:lastRenderedPageBreak/>
        <w:t>الدراسات السابقة</w:t>
      </w:r>
    </w:p>
    <w:p w14:paraId="3FF585F8" w14:textId="4A66F931" w:rsidR="004D61FE" w:rsidRPr="002A374C" w:rsidRDefault="004D61FE" w:rsidP="002A374C">
      <w:pPr>
        <w:pStyle w:val="ListParagraph"/>
        <w:numPr>
          <w:ilvl w:val="1"/>
          <w:numId w:val="19"/>
        </w:numPr>
        <w:bidi/>
        <w:spacing w:after="200" w:line="480" w:lineRule="auto"/>
        <w:rPr>
          <w:rFonts w:ascii="Traditional Arabic" w:hAnsi="Traditional Arabic" w:cs="Traditional Arabic"/>
          <w:b/>
          <w:bCs/>
          <w:sz w:val="28"/>
          <w:szCs w:val="28"/>
        </w:rPr>
      </w:pPr>
      <w:r w:rsidRPr="002A374C">
        <w:rPr>
          <w:rFonts w:ascii="Traditional Arabic" w:hAnsi="Traditional Arabic" w:cs="Traditional Arabic"/>
          <w:b/>
          <w:bCs/>
          <w:sz w:val="28"/>
          <w:szCs w:val="28"/>
          <w:rtl/>
        </w:rPr>
        <w:t>دراسات تناولت الاستدامة في المشاريع الإنشائية</w:t>
      </w:r>
    </w:p>
    <w:p w14:paraId="6C083D9E" w14:textId="77777777" w:rsidR="0022494E" w:rsidRPr="002D62DA" w:rsidRDefault="0022494E" w:rsidP="002D62DA">
      <w:pPr>
        <w:bidi/>
        <w:spacing w:line="480" w:lineRule="auto"/>
        <w:jc w:val="both"/>
        <w:rPr>
          <w:rFonts w:ascii="Traditional Arabic" w:hAnsi="Traditional Arabic" w:cs="Traditional Arabic"/>
          <w:sz w:val="28"/>
          <w:szCs w:val="28"/>
        </w:rPr>
      </w:pPr>
      <w:r w:rsidRPr="002D62DA">
        <w:rPr>
          <w:rFonts w:ascii="Traditional Arabic" w:hAnsi="Traditional Arabic" w:cs="Traditional Arabic"/>
          <w:sz w:val="28"/>
          <w:szCs w:val="28"/>
          <w:rtl/>
        </w:rPr>
        <w:t>أصبح موضوع الاستدامة في المشاريع الإنشائية من الموضوعات البحثية الأساسية التي حظيت باهتمام واسع من الباحثين والأكاديميين، نظراً لأهمية قطاع التشييد في تحقيق أهداف التنمية المستدامة وتقليل الآثار البيئية الناتجة عن الأنشطة الإنشائية. في هذا القسم، سيتم استعراض أبرز الدراسات التي تناولت هذا المجال، مع توضيح الأطر النظرية والمنهجية التي اعتمدتها، وكذلك الأدوات المستخدمة وأهم النتائج التي توصلت إليها</w:t>
      </w:r>
      <w:r w:rsidRPr="002D62DA">
        <w:rPr>
          <w:rFonts w:ascii="Traditional Arabic" w:hAnsi="Traditional Arabic" w:cs="Traditional Arabic"/>
          <w:sz w:val="28"/>
          <w:szCs w:val="28"/>
        </w:rPr>
        <w:t>.</w:t>
      </w:r>
    </w:p>
    <w:p w14:paraId="6CE2688F" w14:textId="0672A7E9" w:rsidR="00D432D9" w:rsidRPr="002D62DA" w:rsidRDefault="00D432D9" w:rsidP="002D62DA">
      <w:pPr>
        <w:bidi/>
        <w:spacing w:line="480" w:lineRule="auto"/>
        <w:jc w:val="both"/>
        <w:rPr>
          <w:rFonts w:ascii="Traditional Arabic" w:hAnsi="Traditional Arabic" w:cs="Traditional Arabic"/>
          <w:sz w:val="28"/>
          <w:szCs w:val="28"/>
        </w:rPr>
      </w:pPr>
      <w:r w:rsidRPr="002D62DA">
        <w:rPr>
          <w:rFonts w:ascii="Traditional Arabic" w:hAnsi="Traditional Arabic" w:cs="Traditional Arabic"/>
          <w:sz w:val="28"/>
          <w:szCs w:val="28"/>
          <w:rtl/>
        </w:rPr>
        <w:t xml:space="preserve">قدم </w:t>
      </w:r>
      <w:r w:rsidRPr="002D62DA">
        <w:rPr>
          <w:rFonts w:ascii="Traditional Arabic" w:hAnsi="Traditional Arabic" w:cs="Traditional Arabic"/>
          <w:sz w:val="28"/>
          <w:szCs w:val="28"/>
        </w:rPr>
        <w:t>Campbell</w:t>
      </w:r>
      <w:r w:rsidR="00A03BD5" w:rsidRPr="002D62DA">
        <w:rPr>
          <w:rFonts w:ascii="Traditional Arabic" w:hAnsi="Traditional Arabic" w:cs="Traditional Arabic"/>
          <w:sz w:val="28"/>
          <w:szCs w:val="28"/>
        </w:rPr>
        <w:t xml:space="preserve"> et al</w:t>
      </w:r>
      <w:r w:rsidRPr="002D62DA">
        <w:rPr>
          <w:rFonts w:ascii="Traditional Arabic" w:hAnsi="Traditional Arabic" w:cs="Traditional Arabic"/>
          <w:sz w:val="28"/>
          <w:szCs w:val="28"/>
        </w:rPr>
        <w:t xml:space="preserve">. (2021) </w:t>
      </w:r>
      <w:r w:rsidRPr="002D62DA">
        <w:rPr>
          <w:rFonts w:ascii="Traditional Arabic" w:hAnsi="Traditional Arabic" w:cs="Traditional Arabic"/>
          <w:sz w:val="28"/>
          <w:szCs w:val="28"/>
          <w:rtl/>
        </w:rPr>
        <w:t>دراسة استهدفت تقديم مراجعة منهجية شاملة للأدبيات العلمية المتعلقة بالاستدامة في المشاريع الإنشائية، بهدف تحديد المفاهيم البحثية الرئيسة في هذا المجال وتوضيح التوجهات المستقبلية للدراسات. اعتمد الباحثون على منهج المراجعة المنهجية للأدبيات باستخدام أداتين تحليليتين</w:t>
      </w:r>
      <w:r w:rsidRPr="002D62DA">
        <w:rPr>
          <w:rFonts w:ascii="Traditional Arabic" w:hAnsi="Traditional Arabic" w:cs="Traditional Arabic"/>
          <w:sz w:val="28"/>
          <w:szCs w:val="28"/>
        </w:rPr>
        <w:t xml:space="preserve">: BibExcel </w:t>
      </w:r>
      <w:r w:rsidRPr="002D62DA">
        <w:rPr>
          <w:rFonts w:ascii="Traditional Arabic" w:hAnsi="Traditional Arabic" w:cs="Traditional Arabic"/>
          <w:sz w:val="28"/>
          <w:szCs w:val="28"/>
          <w:rtl/>
        </w:rPr>
        <w:t>لتحليل المؤشرات الببليومترية، و</w:t>
      </w:r>
      <w:r w:rsidRPr="002D62DA">
        <w:rPr>
          <w:rFonts w:ascii="Traditional Arabic" w:hAnsi="Traditional Arabic" w:cs="Traditional Arabic"/>
          <w:sz w:val="28"/>
          <w:szCs w:val="28"/>
        </w:rPr>
        <w:t xml:space="preserve">Gephi </w:t>
      </w:r>
      <w:r w:rsidRPr="002D62DA">
        <w:rPr>
          <w:rFonts w:ascii="Traditional Arabic" w:hAnsi="Traditional Arabic" w:cs="Traditional Arabic"/>
          <w:sz w:val="28"/>
          <w:szCs w:val="28"/>
          <w:rtl/>
        </w:rPr>
        <w:t>لتصور شبكة العلاقات بين المفاهيم والمواضيع البحثية، حيث تم بناء شبكتين: شبكة توازي تركيز البحوث</w:t>
      </w:r>
      <w:r w:rsidRPr="002D62DA">
        <w:rPr>
          <w:rFonts w:ascii="Traditional Arabic" w:hAnsi="Traditional Arabic" w:cs="Traditional Arabic"/>
          <w:sz w:val="28"/>
          <w:szCs w:val="28"/>
        </w:rPr>
        <w:t xml:space="preserve"> (Research Focus Parallelship Network) </w:t>
      </w:r>
      <w:r w:rsidRPr="002D62DA">
        <w:rPr>
          <w:rFonts w:ascii="Traditional Arabic" w:hAnsi="Traditional Arabic" w:cs="Traditional Arabic"/>
          <w:sz w:val="28"/>
          <w:szCs w:val="28"/>
          <w:rtl/>
        </w:rPr>
        <w:t>وشبكة التشارك في تكرار الكلمات المفتاحية</w:t>
      </w:r>
      <w:r w:rsidRPr="002D62DA">
        <w:rPr>
          <w:rFonts w:ascii="Traditional Arabic" w:hAnsi="Traditional Arabic" w:cs="Traditional Arabic"/>
          <w:sz w:val="28"/>
          <w:szCs w:val="28"/>
        </w:rPr>
        <w:t xml:space="preserve"> (Keyword Co-occurrence Network). </w:t>
      </w:r>
      <w:r w:rsidRPr="002D62DA">
        <w:rPr>
          <w:rFonts w:ascii="Traditional Arabic" w:hAnsi="Traditional Arabic" w:cs="Traditional Arabic"/>
          <w:sz w:val="28"/>
          <w:szCs w:val="28"/>
          <w:rtl/>
        </w:rPr>
        <w:t>أظهرت نتائج الدراسة أن الأدبيات تنقسم إلى ثلاثة محاور أساسية: تقييم الاستدامة في المشاريع، إدارة المشاريع لتحقيق الاستدامة، والمحركات والدوافع لتبني البناء المستدام، مؤكدة ضرورة دمج الاستدامة منذ مرحلة التصميم وحتى التنفيذ والمتابعة. أوصت الدراسة باستخدام أساليب إحصائية ونماذج كمية مثل النمذجة بالمعادلات الهيكلية</w:t>
      </w:r>
      <w:r w:rsidRPr="002D62DA">
        <w:rPr>
          <w:rFonts w:ascii="Traditional Arabic" w:hAnsi="Traditional Arabic" w:cs="Traditional Arabic"/>
          <w:sz w:val="28"/>
          <w:szCs w:val="28"/>
        </w:rPr>
        <w:t xml:space="preserve"> (SEM) </w:t>
      </w:r>
      <w:r w:rsidRPr="002D62DA">
        <w:rPr>
          <w:rFonts w:ascii="Traditional Arabic" w:hAnsi="Traditional Arabic" w:cs="Traditional Arabic"/>
          <w:sz w:val="28"/>
          <w:szCs w:val="28"/>
          <w:rtl/>
        </w:rPr>
        <w:t>وطرق اتخاذ القرار الضبابية لدراسة القضايا المرتبطة بالاستدامة بشكل أعمق، وساهمت في تحديد الثغرات البحثية التي يمكن أن توجه الدراسات المستقبلية نحو التكامل بين إدارة المشاريع ومعايير الاستدامة</w:t>
      </w:r>
      <w:r w:rsidRPr="002D62DA">
        <w:rPr>
          <w:rFonts w:ascii="Traditional Arabic" w:hAnsi="Traditional Arabic" w:cs="Traditional Arabic"/>
          <w:sz w:val="28"/>
          <w:szCs w:val="28"/>
        </w:rPr>
        <w:t>.</w:t>
      </w:r>
    </w:p>
    <w:p w14:paraId="44D2152F" w14:textId="141A8A30" w:rsidR="00D432D9" w:rsidRPr="002D62DA" w:rsidRDefault="00D432D9" w:rsidP="002D62DA">
      <w:pPr>
        <w:bidi/>
        <w:spacing w:line="480" w:lineRule="auto"/>
        <w:jc w:val="both"/>
        <w:rPr>
          <w:rFonts w:ascii="Traditional Arabic" w:hAnsi="Traditional Arabic" w:cs="Traditional Arabic"/>
          <w:sz w:val="28"/>
          <w:szCs w:val="28"/>
        </w:rPr>
      </w:pPr>
      <w:r w:rsidRPr="002D62DA">
        <w:rPr>
          <w:rFonts w:ascii="Traditional Arabic" w:hAnsi="Traditional Arabic" w:cs="Traditional Arabic"/>
          <w:sz w:val="28"/>
          <w:szCs w:val="28"/>
          <w:rtl/>
        </w:rPr>
        <w:lastRenderedPageBreak/>
        <w:t xml:space="preserve">أما في نفس العام، أجرى </w:t>
      </w:r>
      <w:r w:rsidR="00146D14" w:rsidRPr="002D62DA">
        <w:rPr>
          <w:rFonts w:ascii="Traditional Arabic" w:hAnsi="Traditional Arabic" w:cs="Traditional Arabic"/>
          <w:sz w:val="28"/>
          <w:szCs w:val="28"/>
          <w:lang w:bidi="ar-EG"/>
        </w:rPr>
        <w:t>Qazi</w:t>
      </w:r>
      <w:r w:rsidR="00146D14" w:rsidRPr="002D62DA">
        <w:rPr>
          <w:rFonts w:ascii="Traditional Arabic" w:hAnsi="Traditional Arabic" w:cs="Traditional Arabic"/>
          <w:sz w:val="28"/>
          <w:szCs w:val="28"/>
        </w:rPr>
        <w:t xml:space="preserve"> </w:t>
      </w:r>
      <w:r w:rsidR="00A03BD5" w:rsidRPr="002D62DA">
        <w:rPr>
          <w:rFonts w:ascii="Traditional Arabic" w:hAnsi="Traditional Arabic" w:cs="Traditional Arabic"/>
          <w:sz w:val="28"/>
          <w:szCs w:val="28"/>
        </w:rPr>
        <w:t>et al.</w:t>
      </w:r>
      <w:r w:rsidRPr="002D62DA">
        <w:rPr>
          <w:rFonts w:ascii="Traditional Arabic" w:hAnsi="Traditional Arabic" w:cs="Traditional Arabic"/>
          <w:sz w:val="28"/>
          <w:szCs w:val="28"/>
        </w:rPr>
        <w:t xml:space="preserve">(2021) </w:t>
      </w:r>
      <w:r w:rsidRPr="002D62DA">
        <w:rPr>
          <w:rFonts w:ascii="Traditional Arabic" w:hAnsi="Traditional Arabic" w:cs="Traditional Arabic"/>
          <w:sz w:val="28"/>
          <w:szCs w:val="28"/>
          <w:rtl/>
        </w:rPr>
        <w:t>دراسة هدفت إلى تطوير إطار جديد لتحديد أولويات المخاطر المرتبطة بالاستدامة في المشاريع الإنشائية من خلال استخدام محاكاة مونتي كارلو ودمج بيانات مصفوفة المخاطر. اعتمدت الدراسة على تحليل تجريبي باستخدام بيانات حقيقية من مشاريع مكتملة في الإمارات العربية المتحدة لتطوير طريقة تقييم المخاطر غير المتوقعة</w:t>
      </w:r>
      <w:r w:rsidRPr="002D62DA">
        <w:rPr>
          <w:rFonts w:ascii="Traditional Arabic" w:hAnsi="Traditional Arabic" w:cs="Traditional Arabic"/>
          <w:sz w:val="28"/>
          <w:szCs w:val="28"/>
        </w:rPr>
        <w:t xml:space="preserve"> (Tail Risks) </w:t>
      </w:r>
      <w:r w:rsidRPr="002D62DA">
        <w:rPr>
          <w:rFonts w:ascii="Traditional Arabic" w:hAnsi="Traditional Arabic" w:cs="Traditional Arabic"/>
          <w:sz w:val="28"/>
          <w:szCs w:val="28"/>
          <w:rtl/>
        </w:rPr>
        <w:t>التي غالبًا ما يتم تجاهلها في الأساليب التقليدية. كشفت النتائج أن الطرق التقليدية تتجاهل المخاطر ذات الاحتمالية المنخفضة والأثر العالي مثل ضعف إنتاجية العمالة، الجداول الزمنية الضيقة، وضعف تعريف نطاق العمل في المشاريع المستدامة، بينما الإطار المقترح يعالج هذه الفجوات. وأوصت الدراسة الشركات بتبني طرق تقييم متقدمة تأخذ في الحسبان الطبيعة المعقدة وغير المؤكدة للمخاطر المرتبطة بالاستدامة، وأكدت إمكانية تعميم الإطار المقترح في المشاريع الدولية لتحسين الأداء المستدام وتقليل الخسائر المحتملة</w:t>
      </w:r>
      <w:r w:rsidRPr="002D62DA">
        <w:rPr>
          <w:rFonts w:ascii="Traditional Arabic" w:hAnsi="Traditional Arabic" w:cs="Traditional Arabic"/>
          <w:sz w:val="28"/>
          <w:szCs w:val="28"/>
        </w:rPr>
        <w:t>.</w:t>
      </w:r>
    </w:p>
    <w:p w14:paraId="4A8380D1" w14:textId="59340BEF" w:rsidR="00D432D9" w:rsidRPr="002D62DA" w:rsidRDefault="00D432D9" w:rsidP="002D62DA">
      <w:pPr>
        <w:bidi/>
        <w:spacing w:line="480" w:lineRule="auto"/>
        <w:jc w:val="both"/>
        <w:rPr>
          <w:rFonts w:ascii="Traditional Arabic" w:hAnsi="Traditional Arabic" w:cs="Traditional Arabic"/>
          <w:sz w:val="28"/>
          <w:szCs w:val="28"/>
        </w:rPr>
      </w:pPr>
      <w:r w:rsidRPr="002D62DA">
        <w:rPr>
          <w:rFonts w:ascii="Traditional Arabic" w:hAnsi="Traditional Arabic" w:cs="Traditional Arabic"/>
          <w:sz w:val="28"/>
          <w:szCs w:val="28"/>
          <w:rtl/>
        </w:rPr>
        <w:t xml:space="preserve">وفي عام 2022، قدم </w:t>
      </w:r>
      <w:r w:rsidR="00146D14" w:rsidRPr="002D62DA">
        <w:rPr>
          <w:rFonts w:ascii="Traditional Arabic" w:hAnsi="Traditional Arabic" w:cs="Traditional Arabic"/>
          <w:sz w:val="28"/>
          <w:szCs w:val="28"/>
        </w:rPr>
        <w:t>Rajabi</w:t>
      </w:r>
      <w:r w:rsidRPr="002D62DA">
        <w:rPr>
          <w:rFonts w:ascii="Traditional Arabic" w:hAnsi="Traditional Arabic" w:cs="Traditional Arabic"/>
          <w:sz w:val="28"/>
          <w:szCs w:val="28"/>
        </w:rPr>
        <w:t xml:space="preserve"> </w:t>
      </w:r>
      <w:r w:rsidR="00A03BD5" w:rsidRPr="002D62DA">
        <w:rPr>
          <w:rFonts w:ascii="Traditional Arabic" w:hAnsi="Traditional Arabic" w:cs="Traditional Arabic"/>
          <w:sz w:val="28"/>
          <w:szCs w:val="28"/>
        </w:rPr>
        <w:t>et al</w:t>
      </w:r>
      <w:r w:rsidRPr="002D62DA">
        <w:rPr>
          <w:rFonts w:ascii="Traditional Arabic" w:hAnsi="Traditional Arabic" w:cs="Traditional Arabic"/>
          <w:sz w:val="28"/>
          <w:szCs w:val="28"/>
        </w:rPr>
        <w:t xml:space="preserve"> </w:t>
      </w:r>
      <w:r w:rsidRPr="002D62DA">
        <w:rPr>
          <w:rFonts w:ascii="Traditional Arabic" w:hAnsi="Traditional Arabic" w:cs="Traditional Arabic"/>
          <w:sz w:val="28"/>
          <w:szCs w:val="28"/>
          <w:rtl/>
        </w:rPr>
        <w:t>دراسة هدفت إلى تحديد وتقييم مؤشرات الأداء الرئيسية</w:t>
      </w:r>
      <w:r w:rsidRPr="002D62DA">
        <w:rPr>
          <w:rFonts w:ascii="Traditional Arabic" w:hAnsi="Traditional Arabic" w:cs="Traditional Arabic"/>
          <w:sz w:val="28"/>
          <w:szCs w:val="28"/>
        </w:rPr>
        <w:t xml:space="preserve"> (KPIs) </w:t>
      </w:r>
      <w:r w:rsidRPr="002D62DA">
        <w:rPr>
          <w:rFonts w:ascii="Traditional Arabic" w:hAnsi="Traditional Arabic" w:cs="Traditional Arabic"/>
          <w:sz w:val="28"/>
          <w:szCs w:val="28"/>
          <w:rtl/>
        </w:rPr>
        <w:t>لمراقبة الأداء المستدام لمشاريع البناء خلال مرحلة التنفيذ، وهي مرحلة مهمة غالبًا ما تهمل في دراسات الاستدامة. اعتمدت الدراسة منهجًا كميًا بدأ بمراجعة الأدبيات لتحديد 22 مؤشرًا للاستدامة مصنفة إلى مؤشرات بيئية واجتماعية اقتصادية، وتم استخدام أداة التحليل الهرمي التحليلي</w:t>
      </w:r>
      <w:r w:rsidRPr="002D62DA">
        <w:rPr>
          <w:rFonts w:ascii="Traditional Arabic" w:hAnsi="Traditional Arabic" w:cs="Traditional Arabic"/>
          <w:sz w:val="28"/>
          <w:szCs w:val="28"/>
        </w:rPr>
        <w:t xml:space="preserve"> (AHP) </w:t>
      </w:r>
      <w:r w:rsidRPr="002D62DA">
        <w:rPr>
          <w:rFonts w:ascii="Traditional Arabic" w:hAnsi="Traditional Arabic" w:cs="Traditional Arabic"/>
          <w:sz w:val="28"/>
          <w:szCs w:val="28"/>
          <w:rtl/>
        </w:rPr>
        <w:t>عبر استبيان شمل 31 مختصًا بقطاع البناء في الإمارات، مع تحليل البيانات باستخدام المقارنات الزوجية لتحديد الأهمية النسبية لكل مؤشر. أظهرت النتائج أن مؤشر استخدام الطاقة المتجددة جاء في المرتبة الأولى بالمجموعة البيئية بوزن 0.164، بينما جاء مؤشر سلامة مواقع العمل أولًا بالمجموعة الاجتماعية الاقتصادية بوزن 0.093. أبرزت الدراسة أهمية هذه المؤشرات كأدلة عملية تساعد المقاولين في اختيار المؤشرات الأنسب لمشاريعهم لضمان مراقبة الأداء البيئي والاجتماعي طوال فترة التنفيذ</w:t>
      </w:r>
      <w:r w:rsidRPr="002D62DA">
        <w:rPr>
          <w:rFonts w:ascii="Traditional Arabic" w:hAnsi="Traditional Arabic" w:cs="Traditional Arabic"/>
          <w:sz w:val="28"/>
          <w:szCs w:val="28"/>
        </w:rPr>
        <w:t>.</w:t>
      </w:r>
    </w:p>
    <w:p w14:paraId="661226A9" w14:textId="60EE7775" w:rsidR="00146D14" w:rsidRPr="002D62DA" w:rsidRDefault="00D432D9" w:rsidP="002D62DA">
      <w:pPr>
        <w:bidi/>
        <w:spacing w:line="480" w:lineRule="auto"/>
        <w:jc w:val="both"/>
        <w:rPr>
          <w:rFonts w:ascii="Traditional Arabic" w:hAnsi="Traditional Arabic" w:cs="Traditional Arabic"/>
          <w:sz w:val="28"/>
          <w:szCs w:val="28"/>
        </w:rPr>
      </w:pPr>
      <w:r w:rsidRPr="002D62DA">
        <w:rPr>
          <w:rFonts w:ascii="Traditional Arabic" w:hAnsi="Traditional Arabic" w:cs="Traditional Arabic"/>
          <w:sz w:val="28"/>
          <w:szCs w:val="28"/>
          <w:rtl/>
        </w:rPr>
        <w:lastRenderedPageBreak/>
        <w:t xml:space="preserve">أما أحدث الدراسات، فهي دراسة </w:t>
      </w:r>
      <w:r w:rsidR="00146D14" w:rsidRPr="002D62DA">
        <w:rPr>
          <w:rFonts w:ascii="Traditional Arabic" w:hAnsi="Traditional Arabic" w:cs="Traditional Arabic"/>
          <w:sz w:val="28"/>
          <w:szCs w:val="28"/>
        </w:rPr>
        <w:t>salah</w:t>
      </w:r>
      <w:r w:rsidRPr="002D62DA">
        <w:rPr>
          <w:rFonts w:ascii="Traditional Arabic" w:hAnsi="Traditional Arabic" w:cs="Traditional Arabic"/>
          <w:sz w:val="28"/>
          <w:szCs w:val="28"/>
        </w:rPr>
        <w:t xml:space="preserve"> </w:t>
      </w:r>
      <w:r w:rsidR="00A03BD5" w:rsidRPr="002D62DA">
        <w:rPr>
          <w:rFonts w:ascii="Traditional Arabic" w:hAnsi="Traditional Arabic" w:cs="Traditional Arabic"/>
          <w:sz w:val="28"/>
          <w:szCs w:val="28"/>
        </w:rPr>
        <w:t>et al.</w:t>
      </w:r>
      <w:r w:rsidRPr="002D62DA">
        <w:rPr>
          <w:rFonts w:ascii="Traditional Arabic" w:hAnsi="Traditional Arabic" w:cs="Traditional Arabic"/>
          <w:sz w:val="28"/>
          <w:szCs w:val="28"/>
        </w:rPr>
        <w:t xml:space="preserve"> (2023) </w:t>
      </w:r>
      <w:r w:rsidRPr="002D62DA">
        <w:rPr>
          <w:rFonts w:ascii="Traditional Arabic" w:hAnsi="Traditional Arabic" w:cs="Traditional Arabic"/>
          <w:sz w:val="28"/>
          <w:szCs w:val="28"/>
          <w:rtl/>
        </w:rPr>
        <w:t>والتي ركزت على تقديم إطار عملي لتقييم استدامة المشاريع الإنشائية، مع توضيح دور قطاع الإنشاءات في التلوث البيئي حيث يساهم بحوالي 25% من تلوث الهواء، 40% من تلوث المياه، و50% من النفايات المدفونة. من الناحية المنهجية، اعتمد الباحثون على تقنيات اتخاذ القرار متعددة المعايير</w:t>
      </w:r>
      <w:r w:rsidRPr="002D62DA">
        <w:rPr>
          <w:rFonts w:ascii="Traditional Arabic" w:hAnsi="Traditional Arabic" w:cs="Traditional Arabic"/>
          <w:sz w:val="28"/>
          <w:szCs w:val="28"/>
        </w:rPr>
        <w:t xml:space="preserve"> (MCDM) </w:t>
      </w:r>
      <w:r w:rsidRPr="002D62DA">
        <w:rPr>
          <w:rFonts w:ascii="Traditional Arabic" w:hAnsi="Traditional Arabic" w:cs="Traditional Arabic"/>
          <w:sz w:val="28"/>
          <w:szCs w:val="28"/>
          <w:rtl/>
        </w:rPr>
        <w:t xml:space="preserve">مثل </w:t>
      </w:r>
      <w:r w:rsidRPr="002D62DA">
        <w:rPr>
          <w:rFonts w:ascii="Traditional Arabic" w:hAnsi="Traditional Arabic" w:cs="Traditional Arabic"/>
          <w:sz w:val="28"/>
          <w:szCs w:val="28"/>
        </w:rPr>
        <w:t xml:space="preserve">Shannon Entropy </w:t>
      </w:r>
      <w:r w:rsidRPr="002D62DA">
        <w:rPr>
          <w:rFonts w:ascii="Traditional Arabic" w:hAnsi="Traditional Arabic" w:cs="Traditional Arabic"/>
          <w:sz w:val="28"/>
          <w:szCs w:val="28"/>
          <w:rtl/>
        </w:rPr>
        <w:t>و</w:t>
      </w:r>
      <w:r w:rsidRPr="002D62DA">
        <w:rPr>
          <w:rFonts w:ascii="Traditional Arabic" w:hAnsi="Traditional Arabic" w:cs="Traditional Arabic"/>
          <w:sz w:val="28"/>
          <w:szCs w:val="28"/>
        </w:rPr>
        <w:t xml:space="preserve">CRITIC </w:t>
      </w:r>
      <w:r w:rsidRPr="002D62DA">
        <w:rPr>
          <w:rFonts w:ascii="Traditional Arabic" w:hAnsi="Traditional Arabic" w:cs="Traditional Arabic"/>
          <w:sz w:val="28"/>
          <w:szCs w:val="28"/>
          <w:rtl/>
        </w:rPr>
        <w:t xml:space="preserve">لتحديد الأوزان النسبية لعوامل الاستدامة، كما استخدموا </w:t>
      </w:r>
      <w:r w:rsidRPr="002D62DA">
        <w:rPr>
          <w:rFonts w:ascii="Traditional Arabic" w:hAnsi="Traditional Arabic" w:cs="Traditional Arabic"/>
          <w:sz w:val="28"/>
          <w:szCs w:val="28"/>
        </w:rPr>
        <w:t xml:space="preserve">Hierarchical Evidential Reasoning </w:t>
      </w:r>
      <w:r w:rsidRPr="002D62DA">
        <w:rPr>
          <w:rFonts w:ascii="Traditional Arabic" w:hAnsi="Traditional Arabic" w:cs="Traditional Arabic"/>
          <w:sz w:val="28"/>
          <w:szCs w:val="28"/>
          <w:rtl/>
        </w:rPr>
        <w:t>لتجميع العوامل المختلفة بناءً على الأوزان والأثر. للتحقق من صلاحية الإطار المقترح، طُبق على ثلاث دراسات حالة لمشاريع تطوير جديدة، وأجري التحقق بمشاركة خبراء في المجال. أوضحت النتائج أن الفروق في الأوزان النسبية غير جوهرية إحصائيًا، مما يعكس دقة الأوزان المستخرجة، كما أكد الخبراء إمكانية تطبيق الإطار على نطاق واسع لتقييم الاستدامة بالمشاريع، بما يعزز التزام المقاولين والمطورين بمسؤوليتهم الاجتماعية وتحسين جودة قطاع البناء</w:t>
      </w:r>
      <w:r w:rsidRPr="002D62DA">
        <w:rPr>
          <w:rFonts w:ascii="Traditional Arabic" w:hAnsi="Traditional Arabic" w:cs="Traditional Arabic"/>
          <w:sz w:val="28"/>
          <w:szCs w:val="28"/>
        </w:rPr>
        <w:t>.</w:t>
      </w:r>
    </w:p>
    <w:p w14:paraId="070CC79E" w14:textId="5D13E503" w:rsidR="004D61FE" w:rsidRPr="002A374C" w:rsidRDefault="004D61FE" w:rsidP="002A374C">
      <w:pPr>
        <w:pStyle w:val="ListParagraph"/>
        <w:numPr>
          <w:ilvl w:val="1"/>
          <w:numId w:val="19"/>
        </w:numPr>
        <w:bidi/>
        <w:spacing w:line="480" w:lineRule="auto"/>
        <w:rPr>
          <w:rFonts w:ascii="Traditional Arabic" w:hAnsi="Traditional Arabic" w:cs="Traditional Arabic"/>
          <w:b/>
          <w:bCs/>
          <w:sz w:val="28"/>
          <w:szCs w:val="28"/>
          <w:rtl/>
        </w:rPr>
      </w:pPr>
      <w:r w:rsidRPr="002A374C">
        <w:rPr>
          <w:rFonts w:ascii="Traditional Arabic" w:hAnsi="Traditional Arabic" w:cs="Traditional Arabic"/>
          <w:b/>
          <w:bCs/>
          <w:sz w:val="28"/>
          <w:szCs w:val="28"/>
          <w:rtl/>
        </w:rPr>
        <w:t>دراسات تناولت أداء المشاريع الإنشائية</w:t>
      </w:r>
    </w:p>
    <w:p w14:paraId="4DC11340" w14:textId="3769B65F" w:rsidR="006337C0" w:rsidRPr="002D62DA" w:rsidRDefault="006337C0" w:rsidP="002D62DA">
      <w:pPr>
        <w:bidi/>
        <w:spacing w:line="480" w:lineRule="auto"/>
        <w:jc w:val="both"/>
        <w:rPr>
          <w:rFonts w:ascii="Traditional Arabic" w:hAnsi="Traditional Arabic" w:cs="Traditional Arabic"/>
          <w:sz w:val="28"/>
          <w:szCs w:val="28"/>
          <w:rtl/>
        </w:rPr>
      </w:pPr>
      <w:r w:rsidRPr="002D62DA">
        <w:rPr>
          <w:rFonts w:ascii="Traditional Arabic" w:hAnsi="Traditional Arabic" w:cs="Traditional Arabic"/>
          <w:sz w:val="28"/>
          <w:szCs w:val="28"/>
          <w:rtl/>
        </w:rPr>
        <w:t>قدم</w:t>
      </w:r>
      <w:r w:rsidRPr="002D62DA">
        <w:rPr>
          <w:rFonts w:ascii="Traditional Arabic" w:hAnsi="Traditional Arabic" w:cs="Traditional Arabic"/>
          <w:sz w:val="28"/>
          <w:szCs w:val="28"/>
        </w:rPr>
        <w:t xml:space="preserve"> </w:t>
      </w:r>
      <w:r w:rsidR="00146D14" w:rsidRPr="002D62DA">
        <w:rPr>
          <w:rFonts w:ascii="Traditional Arabic" w:hAnsi="Traditional Arabic" w:cs="Traditional Arabic"/>
          <w:sz w:val="28"/>
          <w:szCs w:val="28"/>
          <w:lang w:bidi="ar-EG"/>
        </w:rPr>
        <w:t>Unegbu</w:t>
      </w:r>
      <w:r w:rsidR="00146D14" w:rsidRPr="002D62DA">
        <w:rPr>
          <w:rFonts w:ascii="Traditional Arabic" w:hAnsi="Traditional Arabic" w:cs="Traditional Arabic"/>
          <w:sz w:val="28"/>
          <w:szCs w:val="28"/>
        </w:rPr>
        <w:t xml:space="preserve"> </w:t>
      </w:r>
      <w:r w:rsidR="00A03BD5" w:rsidRPr="002D62DA">
        <w:rPr>
          <w:rFonts w:ascii="Traditional Arabic" w:hAnsi="Traditional Arabic" w:cs="Traditional Arabic"/>
          <w:sz w:val="28"/>
          <w:szCs w:val="28"/>
        </w:rPr>
        <w:t>et al.</w:t>
      </w:r>
      <w:r w:rsidRPr="002D62DA">
        <w:rPr>
          <w:rFonts w:ascii="Traditional Arabic" w:hAnsi="Traditional Arabic" w:cs="Traditional Arabic"/>
          <w:sz w:val="28"/>
          <w:szCs w:val="28"/>
        </w:rPr>
        <w:t xml:space="preserve"> (2022) </w:t>
      </w:r>
      <w:r w:rsidRPr="002D62DA">
        <w:rPr>
          <w:rFonts w:ascii="Traditional Arabic" w:hAnsi="Traditional Arabic" w:cs="Traditional Arabic"/>
          <w:sz w:val="28"/>
          <w:szCs w:val="28"/>
          <w:rtl/>
        </w:rPr>
        <w:t>دراسة بهدف استكشاف العلاقة بين مقاييس أداء المشاريع وممارسات إدارة المشاريع في قطاع البناء النيجيري. استخدم الباحثون المنهج الكمي مع استبيان كأداة رئيسية لجمع البيانات المتعلقة بتسعة عشر مقياسًا للأداء وثلاثة وخمسين ممارسة إدارية، حيث وُزع الاستبيان على 250 مقاولًا واستشاريًا وعميلاً في عشر شركات بناء، وتم تحليل البيانات باستخدام</w:t>
      </w:r>
      <w:r w:rsidRPr="002D62DA">
        <w:rPr>
          <w:rFonts w:ascii="Traditional Arabic" w:hAnsi="Traditional Arabic" w:cs="Traditional Arabic"/>
          <w:sz w:val="28"/>
          <w:szCs w:val="28"/>
        </w:rPr>
        <w:t xml:space="preserve"> SPSS </w:t>
      </w:r>
      <w:r w:rsidRPr="002D62DA">
        <w:rPr>
          <w:rFonts w:ascii="Traditional Arabic" w:hAnsi="Traditional Arabic" w:cs="Traditional Arabic"/>
          <w:sz w:val="28"/>
          <w:szCs w:val="28"/>
          <w:rtl/>
        </w:rPr>
        <w:t>ولاحقًا</w:t>
      </w:r>
      <w:r w:rsidRPr="002D62DA">
        <w:rPr>
          <w:rFonts w:ascii="Traditional Arabic" w:hAnsi="Traditional Arabic" w:cs="Traditional Arabic"/>
          <w:sz w:val="28"/>
          <w:szCs w:val="28"/>
        </w:rPr>
        <w:t xml:space="preserve"> LISREL </w:t>
      </w:r>
      <w:r w:rsidRPr="002D62DA">
        <w:rPr>
          <w:rFonts w:ascii="Traditional Arabic" w:hAnsi="Traditional Arabic" w:cs="Traditional Arabic"/>
          <w:sz w:val="28"/>
          <w:szCs w:val="28"/>
          <w:rtl/>
        </w:rPr>
        <w:t>لتطبيق النمذجة بالمعادلات الهيكلية</w:t>
      </w:r>
      <w:r w:rsidRPr="002D62DA">
        <w:rPr>
          <w:rFonts w:ascii="Traditional Arabic" w:hAnsi="Traditional Arabic" w:cs="Traditional Arabic"/>
          <w:sz w:val="28"/>
          <w:szCs w:val="28"/>
        </w:rPr>
        <w:t xml:space="preserve"> (SEM). </w:t>
      </w:r>
      <w:r w:rsidRPr="002D62DA">
        <w:rPr>
          <w:rFonts w:ascii="Traditional Arabic" w:hAnsi="Traditional Arabic" w:cs="Traditional Arabic"/>
          <w:sz w:val="28"/>
          <w:szCs w:val="28"/>
          <w:rtl/>
        </w:rPr>
        <w:t xml:space="preserve">أظهرت النتائج أن أقوى العلاقات كانت بين رضا العملاء ونجاح المشروع، تليها العلاقة بين الأداء العام للمشروع ونجاحه، وكذلك بين إدارة أصحاب المصلحة ونجاح المشروع، وأكدت </w:t>
      </w:r>
      <w:r w:rsidRPr="002D62DA">
        <w:rPr>
          <w:rFonts w:ascii="Traditional Arabic" w:hAnsi="Traditional Arabic" w:cs="Traditional Arabic"/>
          <w:sz w:val="28"/>
          <w:szCs w:val="28"/>
          <w:rtl/>
        </w:rPr>
        <w:lastRenderedPageBreak/>
        <w:t>الدراسة صحة 14 فرضية من أصل 20 فرضية اختبارية، مع تحديد علاقات إضافية ساعدت في تحسين ملاءمة النموذج المستخدم، مما يوضح أهمية الدمج بين مقاييس الأداء والممارسات الإدارية لتحقيق نجاح المشاريع</w:t>
      </w:r>
      <w:r w:rsidRPr="002D62DA">
        <w:rPr>
          <w:rFonts w:ascii="Traditional Arabic" w:hAnsi="Traditional Arabic" w:cs="Traditional Arabic"/>
          <w:sz w:val="28"/>
          <w:szCs w:val="28"/>
        </w:rPr>
        <w:t>.</w:t>
      </w:r>
    </w:p>
    <w:p w14:paraId="0A5D2A63" w14:textId="1773DF52" w:rsidR="006337C0" w:rsidRPr="002D62DA" w:rsidRDefault="006337C0" w:rsidP="002D62DA">
      <w:pPr>
        <w:bidi/>
        <w:spacing w:line="480" w:lineRule="auto"/>
        <w:jc w:val="both"/>
        <w:rPr>
          <w:rFonts w:ascii="Traditional Arabic" w:hAnsi="Traditional Arabic" w:cs="Traditional Arabic"/>
          <w:sz w:val="28"/>
          <w:szCs w:val="28"/>
          <w:rtl/>
        </w:rPr>
      </w:pPr>
      <w:r w:rsidRPr="002D62DA">
        <w:rPr>
          <w:rFonts w:ascii="Traditional Arabic" w:hAnsi="Traditional Arabic" w:cs="Traditional Arabic"/>
          <w:sz w:val="28"/>
          <w:szCs w:val="28"/>
          <w:rtl/>
        </w:rPr>
        <w:t>في دراسة حديثة، تناول</w:t>
      </w:r>
      <w:r w:rsidRPr="002D62DA">
        <w:rPr>
          <w:rFonts w:ascii="Traditional Arabic" w:hAnsi="Traditional Arabic" w:cs="Traditional Arabic"/>
          <w:sz w:val="28"/>
          <w:szCs w:val="28"/>
        </w:rPr>
        <w:t xml:space="preserve"> Alshihri</w:t>
      </w:r>
      <w:r w:rsidR="00A03BD5" w:rsidRPr="002D62DA">
        <w:rPr>
          <w:rFonts w:ascii="Traditional Arabic" w:hAnsi="Traditional Arabic" w:cs="Traditional Arabic"/>
          <w:sz w:val="28"/>
          <w:szCs w:val="28"/>
        </w:rPr>
        <w:t xml:space="preserve"> et al.</w:t>
      </w:r>
      <w:r w:rsidRPr="002D62DA">
        <w:rPr>
          <w:rFonts w:ascii="Traditional Arabic" w:hAnsi="Traditional Arabic" w:cs="Traditional Arabic"/>
          <w:sz w:val="28"/>
          <w:szCs w:val="28"/>
        </w:rPr>
        <w:t xml:space="preserve"> (2022) </w:t>
      </w:r>
      <w:r w:rsidRPr="002D62DA">
        <w:rPr>
          <w:rFonts w:ascii="Traditional Arabic" w:hAnsi="Traditional Arabic" w:cs="Traditional Arabic"/>
          <w:sz w:val="28"/>
          <w:szCs w:val="28"/>
          <w:rtl/>
        </w:rPr>
        <w:t xml:space="preserve"> </w:t>
      </w:r>
      <w:r w:rsidR="002D62DA" w:rsidRPr="002D62DA">
        <w:rPr>
          <w:rFonts w:ascii="Traditional Arabic" w:hAnsi="Traditional Arabic" w:cs="Traditional Arabic" w:hint="cs"/>
          <w:sz w:val="28"/>
          <w:szCs w:val="28"/>
          <w:rtl/>
        </w:rPr>
        <w:t xml:space="preserve">دراسة </w:t>
      </w:r>
      <w:r w:rsidRPr="002D62DA">
        <w:rPr>
          <w:rFonts w:ascii="Traditional Arabic" w:hAnsi="Traditional Arabic" w:cs="Traditional Arabic"/>
          <w:sz w:val="28"/>
          <w:szCs w:val="28"/>
          <w:rtl/>
        </w:rPr>
        <w:t>هدفت الدراسة إلى تحديد عوامل المخاطر التي تؤدي إلى تأخير إنجاز مشاريع البناء الحكومية وتجاوز التكاليف في السعودية، لا سيما في ظل التوسع الكبير في المشاريع ضمن رؤية 2030. استخدم الباحثون المنهج الكمي عبر استبيان وزع على 200 خبير ومهني في القطاع، مع تحليل النتائج باستخدام مؤشر الأهمية النسبية</w:t>
      </w:r>
      <w:r w:rsidRPr="002D62DA">
        <w:rPr>
          <w:rFonts w:ascii="Traditional Arabic" w:hAnsi="Traditional Arabic" w:cs="Traditional Arabic"/>
          <w:sz w:val="28"/>
          <w:szCs w:val="28"/>
        </w:rPr>
        <w:t xml:space="preserve"> (RII) </w:t>
      </w:r>
      <w:r w:rsidRPr="002D62DA">
        <w:rPr>
          <w:rFonts w:ascii="Traditional Arabic" w:hAnsi="Traditional Arabic" w:cs="Traditional Arabic"/>
          <w:sz w:val="28"/>
          <w:szCs w:val="28"/>
          <w:rtl/>
        </w:rPr>
        <w:t>لتحديد أكثر المخاطر تأثيرًا. أظهرت النتائج أن الصعوبات المالية للمقاولين، وتأخر الملاك في سداد المستحقات، وترسية العقود على أقل الأسعار، والأوامر التغييرية أثناء التنفيذ، وضعف تخطيط المشاريع، ونقص العمالة، وسوء الإدارة الميدانية تعد من أبرز العوامل التي تؤدي إلى التأخير وتجاوز التكاليف. أوصت الدراسة بضرورة إدارة هذه المخاطر بفعالية لضمان تحقيق التنمية المستدامة وتقليل التأخيرات في المشاريع الحكومية</w:t>
      </w:r>
      <w:r w:rsidRPr="002D62DA">
        <w:rPr>
          <w:rFonts w:ascii="Traditional Arabic" w:hAnsi="Traditional Arabic" w:cs="Traditional Arabic"/>
          <w:sz w:val="28"/>
          <w:szCs w:val="28"/>
        </w:rPr>
        <w:t>.</w:t>
      </w:r>
    </w:p>
    <w:p w14:paraId="4B1B3C89" w14:textId="534AFCAB" w:rsidR="006337C0" w:rsidRPr="002D62DA" w:rsidRDefault="006337C0" w:rsidP="002D62DA">
      <w:pPr>
        <w:bidi/>
        <w:spacing w:line="480" w:lineRule="auto"/>
        <w:jc w:val="both"/>
        <w:rPr>
          <w:rFonts w:ascii="Traditional Arabic" w:hAnsi="Traditional Arabic" w:cs="Traditional Arabic"/>
          <w:sz w:val="28"/>
          <w:szCs w:val="28"/>
          <w:rtl/>
        </w:rPr>
      </w:pPr>
      <w:r w:rsidRPr="002D62DA">
        <w:rPr>
          <w:rFonts w:ascii="Traditional Arabic" w:hAnsi="Traditional Arabic" w:cs="Traditional Arabic"/>
          <w:sz w:val="28"/>
          <w:szCs w:val="28"/>
          <w:rtl/>
        </w:rPr>
        <w:t>كما استعرض</w:t>
      </w:r>
      <w:r w:rsidRPr="002D62DA">
        <w:rPr>
          <w:rFonts w:ascii="Traditional Arabic" w:hAnsi="Traditional Arabic" w:cs="Traditional Arabic"/>
          <w:sz w:val="28"/>
          <w:szCs w:val="28"/>
        </w:rPr>
        <w:t xml:space="preserve"> Alajmi &amp; Memon (2022) </w:t>
      </w:r>
      <w:r w:rsidRPr="002D62DA">
        <w:rPr>
          <w:rFonts w:ascii="Traditional Arabic" w:hAnsi="Traditional Arabic" w:cs="Traditional Arabic"/>
          <w:sz w:val="28"/>
          <w:szCs w:val="28"/>
          <w:rtl/>
        </w:rPr>
        <w:t>في دراستهما</w:t>
      </w:r>
      <w:r w:rsidRPr="002D62DA">
        <w:rPr>
          <w:rFonts w:ascii="Traditional Arabic" w:hAnsi="Traditional Arabic" w:cs="Traditional Arabic"/>
          <w:sz w:val="28"/>
          <w:szCs w:val="28"/>
        </w:rPr>
        <w:t xml:space="preserve"> </w:t>
      </w:r>
      <w:r w:rsidRPr="002D62DA">
        <w:rPr>
          <w:rFonts w:ascii="Traditional Arabic" w:hAnsi="Traditional Arabic" w:cs="Traditional Arabic"/>
          <w:sz w:val="28"/>
          <w:szCs w:val="28"/>
          <w:rtl/>
        </w:rPr>
        <w:t>العوامل المؤثرة في تأخيرات مشاريع البناء في المملكة العربية السعودية من خلال مراجعة شاملة للأدبيات والدراسات السابقة. هدفت الدراسة إلى تجميع وفهم الأسباب الجوهرية للتأخيرات التي يعاني منها القطاع في المملكة، خاصة في ظل التغيرات التي شهدها القطاع خلال العقود الثلاثة الماضية. توصلت الدراسة إلى أن الأسباب الأكثر شيوعًا تشمل ضعف التخطيط، المشكلات الإدارية، صعوبة التمويل، نقص الخبرات، وسوء الاتصال بين الأطراف المختلفة في المشروع. وأوصت الدراسة بأن يتبنى أصحاب المصلحة في قطاع البناء استراتيجيات وقائية واضحة وخطط اتصال فعالة للحد من هذه التأخيرات وتخفيف آثارها على المشاريع</w:t>
      </w:r>
      <w:r w:rsidRPr="002D62DA">
        <w:rPr>
          <w:rFonts w:ascii="Traditional Arabic" w:hAnsi="Traditional Arabic" w:cs="Traditional Arabic"/>
          <w:sz w:val="28"/>
          <w:szCs w:val="28"/>
        </w:rPr>
        <w:t>.</w:t>
      </w:r>
    </w:p>
    <w:p w14:paraId="6D6642ED" w14:textId="5128EA3F" w:rsidR="004D61FE" w:rsidRPr="002D62DA" w:rsidRDefault="006337C0" w:rsidP="002D62DA">
      <w:pPr>
        <w:bidi/>
        <w:spacing w:line="480" w:lineRule="auto"/>
        <w:jc w:val="both"/>
        <w:rPr>
          <w:rFonts w:ascii="Traditional Arabic" w:hAnsi="Traditional Arabic" w:cs="Traditional Arabic"/>
          <w:sz w:val="28"/>
          <w:szCs w:val="28"/>
          <w:rtl/>
        </w:rPr>
      </w:pPr>
      <w:r w:rsidRPr="002D62DA">
        <w:rPr>
          <w:rFonts w:ascii="Traditional Arabic" w:hAnsi="Traditional Arabic" w:cs="Traditional Arabic"/>
          <w:sz w:val="28"/>
          <w:szCs w:val="28"/>
          <w:rtl/>
        </w:rPr>
        <w:lastRenderedPageBreak/>
        <w:t xml:space="preserve">وفي دراسة ميدانية تطبيقية حديثة، قدم </w:t>
      </w:r>
      <w:r w:rsidRPr="002D62DA">
        <w:rPr>
          <w:rFonts w:ascii="Traditional Arabic" w:hAnsi="Traditional Arabic" w:cs="Traditional Arabic"/>
          <w:sz w:val="28"/>
          <w:szCs w:val="28"/>
        </w:rPr>
        <w:t>Asiri &amp; Al Mazhar</w:t>
      </w:r>
      <w:r w:rsidRPr="002D62DA">
        <w:rPr>
          <w:rFonts w:ascii="Traditional Arabic" w:hAnsi="Traditional Arabic" w:cs="Traditional Arabic"/>
          <w:sz w:val="28"/>
          <w:szCs w:val="28"/>
          <w:rtl/>
        </w:rPr>
        <w:t xml:space="preserve"> (2025)</w:t>
      </w:r>
      <w:r w:rsidR="002D62DA" w:rsidRPr="002D62DA">
        <w:rPr>
          <w:rFonts w:ascii="Traditional Arabic" w:hAnsi="Traditional Arabic" w:cs="Traditional Arabic" w:hint="cs"/>
          <w:sz w:val="28"/>
          <w:szCs w:val="28"/>
          <w:rtl/>
        </w:rPr>
        <w:t>دراسة</w:t>
      </w:r>
      <w:r w:rsidRPr="002D62DA">
        <w:rPr>
          <w:rFonts w:ascii="Traditional Arabic" w:hAnsi="Traditional Arabic" w:cs="Traditional Arabic"/>
          <w:sz w:val="28"/>
          <w:szCs w:val="28"/>
          <w:rtl/>
        </w:rPr>
        <w:t xml:space="preserve"> استهدفت تحديد وتقييم مؤشرات الأداء الرئيسية (</w:t>
      </w:r>
      <w:r w:rsidRPr="002D62DA">
        <w:rPr>
          <w:rFonts w:ascii="Traditional Arabic" w:hAnsi="Traditional Arabic" w:cs="Traditional Arabic"/>
          <w:sz w:val="28"/>
          <w:szCs w:val="28"/>
        </w:rPr>
        <w:t>KPIs</w:t>
      </w:r>
      <w:r w:rsidRPr="002D62DA">
        <w:rPr>
          <w:rFonts w:ascii="Traditional Arabic" w:hAnsi="Traditional Arabic" w:cs="Traditional Arabic"/>
          <w:sz w:val="28"/>
          <w:szCs w:val="28"/>
          <w:rtl/>
        </w:rPr>
        <w:t xml:space="preserve">) لمراقبة أداء المشاريع الإنشائية في منطقة عسير بالسعودية. اعتمد الباحثان على المنهج التحليلي من خلال مراجعة الأدبيات وتحليل الدراسات السابقة، إلى جانب إجراء مسوحات لقياس وعي الأطراف المختلفة باستخدام مؤشرات الأداء، كما أجريت مقابلات مع قيادات شركات ومهندسي مشاريع لتعميق الفهم حول أهم المؤشرات المستخدمة. توصلت الدراسة إلى تحديد وتصنيف 18 مؤشر أداء رئيسي تسهم في متابعة الأداء بشكل فعال، مع تقديم توصيات عملية لتحسين تطبيق هذه المؤشرات بما يعزز دقة القياس وسهولة التفسير للأطراف المعنية. وأكدت الدراسة أهمية الاعتماد على </w:t>
      </w:r>
      <w:r w:rsidRPr="002D62DA">
        <w:rPr>
          <w:rFonts w:ascii="Traditional Arabic" w:hAnsi="Traditional Arabic" w:cs="Traditional Arabic"/>
          <w:sz w:val="28"/>
          <w:szCs w:val="28"/>
        </w:rPr>
        <w:t>KPIs</w:t>
      </w:r>
      <w:r w:rsidRPr="002D62DA">
        <w:rPr>
          <w:rFonts w:ascii="Traditional Arabic" w:hAnsi="Traditional Arabic" w:cs="Traditional Arabic"/>
          <w:sz w:val="28"/>
          <w:szCs w:val="28"/>
          <w:rtl/>
        </w:rPr>
        <w:t xml:space="preserve"> كوسيلة لتعزيز قرارات الإدارة وتحسين مراقبة الأداء في المشاريع الإنشائية في السعودية.</w:t>
      </w:r>
    </w:p>
    <w:p w14:paraId="6FBB7267" w14:textId="05560263" w:rsidR="004D61FE" w:rsidRPr="004D61FE" w:rsidRDefault="004D61FE" w:rsidP="002A374C">
      <w:pPr>
        <w:pStyle w:val="ListParagraph"/>
        <w:numPr>
          <w:ilvl w:val="1"/>
          <w:numId w:val="19"/>
        </w:numPr>
        <w:bidi/>
        <w:spacing w:line="480" w:lineRule="auto"/>
        <w:rPr>
          <w:rFonts w:ascii="Traditional Arabic" w:hAnsi="Traditional Arabic" w:cs="Traditional Arabic"/>
          <w:sz w:val="28"/>
          <w:szCs w:val="28"/>
        </w:rPr>
      </w:pPr>
      <w:r w:rsidRPr="008C12F2">
        <w:rPr>
          <w:rFonts w:ascii="Traditional Arabic" w:hAnsi="Traditional Arabic" w:cs="Traditional Arabic"/>
          <w:b/>
          <w:bCs/>
          <w:sz w:val="28"/>
          <w:szCs w:val="28"/>
          <w:rtl/>
        </w:rPr>
        <w:t>دراسات تناولت العلاقة بين الاستدامة والأداء</w:t>
      </w:r>
    </w:p>
    <w:p w14:paraId="25DCF6D3" w14:textId="29AF5352" w:rsidR="00D432D9" w:rsidRPr="00A03BD5" w:rsidRDefault="00D432D9" w:rsidP="002D62DA">
      <w:pPr>
        <w:bidi/>
        <w:spacing w:line="480" w:lineRule="auto"/>
        <w:jc w:val="both"/>
        <w:rPr>
          <w:rFonts w:ascii="Traditional Arabic" w:hAnsi="Traditional Arabic" w:cs="Traditional Arabic"/>
          <w:sz w:val="28"/>
          <w:szCs w:val="28"/>
          <w:lang w:bidi="ar-EG"/>
        </w:rPr>
      </w:pPr>
      <w:r w:rsidRPr="00A03BD5">
        <w:rPr>
          <w:rFonts w:ascii="Traditional Arabic" w:hAnsi="Traditional Arabic" w:cs="Traditional Arabic"/>
          <w:sz w:val="28"/>
          <w:szCs w:val="28"/>
          <w:rtl/>
        </w:rPr>
        <w:t>قدم</w:t>
      </w:r>
      <w:r w:rsidRPr="00A03BD5">
        <w:rPr>
          <w:rFonts w:ascii="Traditional Arabic" w:hAnsi="Traditional Arabic" w:cs="Traditional Arabic"/>
          <w:sz w:val="28"/>
          <w:szCs w:val="28"/>
          <w:lang w:bidi="ar-EG"/>
        </w:rPr>
        <w:t xml:space="preserve"> Jamoussi</w:t>
      </w:r>
      <w:r w:rsidR="00A03BD5" w:rsidRPr="00A03BD5">
        <w:rPr>
          <w:rFonts w:ascii="Traditional Arabic" w:hAnsi="Traditional Arabic" w:cs="Traditional Arabic"/>
          <w:sz w:val="28"/>
          <w:szCs w:val="28"/>
          <w:lang w:bidi="ar-EG"/>
        </w:rPr>
        <w:t xml:space="preserve"> et al.</w:t>
      </w:r>
      <w:r w:rsidRPr="00A03BD5">
        <w:rPr>
          <w:rFonts w:ascii="Traditional Arabic" w:hAnsi="Traditional Arabic" w:cs="Traditional Arabic"/>
          <w:sz w:val="28"/>
          <w:szCs w:val="28"/>
          <w:lang w:bidi="ar-EG"/>
        </w:rPr>
        <w:t xml:space="preserve"> (2022) </w:t>
      </w:r>
      <w:r w:rsidRPr="00A03BD5">
        <w:rPr>
          <w:rFonts w:ascii="Traditional Arabic" w:hAnsi="Traditional Arabic" w:cs="Traditional Arabic"/>
          <w:sz w:val="28"/>
          <w:szCs w:val="28"/>
          <w:rtl/>
        </w:rPr>
        <w:t>دراسة هدفت إلى تقييم الأنظمة والمعايير الحالية الخاصة بالمباني المستدامة في المملكة العربية السعودية مع استكشاف اتجاهات التطوير المستقبلية. اعتمدت الدراسة على مراجعة نقدية للأدبيات الأكاديمية المتعلقة بالمعايير والأكواد وشهادات الاستدامة وأساليب التقييم المستخدمة في السعودية، بما في ذلك تقييم ممارسات الاستدامة بشكل عام، وتحليل استراتيجيات الاستدامة في المباني وتقييم نظم الشهادات، إضافة إلى تناول تقييم المباني الصحية المستدامة وتقنيات التقييم باستخدام نماذج دورة الحياة</w:t>
      </w:r>
      <w:r w:rsidRPr="00A03BD5">
        <w:rPr>
          <w:rFonts w:ascii="Traditional Arabic" w:hAnsi="Traditional Arabic" w:cs="Traditional Arabic"/>
          <w:sz w:val="28"/>
          <w:szCs w:val="28"/>
          <w:lang w:bidi="ar-EG"/>
        </w:rPr>
        <w:t xml:space="preserve"> (LCA) </w:t>
      </w:r>
      <w:r w:rsidRPr="00A03BD5">
        <w:rPr>
          <w:rFonts w:ascii="Traditional Arabic" w:hAnsi="Traditional Arabic" w:cs="Traditional Arabic"/>
          <w:sz w:val="28"/>
          <w:szCs w:val="28"/>
          <w:rtl/>
        </w:rPr>
        <w:t>ونمذجة معلومات البناء</w:t>
      </w:r>
      <w:r w:rsidRPr="00A03BD5">
        <w:rPr>
          <w:rFonts w:ascii="Traditional Arabic" w:hAnsi="Traditional Arabic" w:cs="Traditional Arabic"/>
          <w:sz w:val="28"/>
          <w:szCs w:val="28"/>
          <w:lang w:bidi="ar-EG"/>
        </w:rPr>
        <w:t xml:space="preserve"> (BIM). </w:t>
      </w:r>
      <w:r w:rsidRPr="00A03BD5">
        <w:rPr>
          <w:rFonts w:ascii="Traditional Arabic" w:hAnsi="Traditional Arabic" w:cs="Traditional Arabic"/>
          <w:sz w:val="28"/>
          <w:szCs w:val="28"/>
          <w:rtl/>
        </w:rPr>
        <w:t>أوضحت النتائج أهمية تطوير نظام شهادات محلية يتوافق مع السياق المحلي ويتبنى التوجهات الحديثة، مؤكدةً على أن الممارسات المستدامة في البناء تلعب دورًا حاسمًا في تحسين الأداء البيئي والاقتصادي للمشاريع الإنشائية</w:t>
      </w:r>
      <w:r w:rsidRPr="00A03BD5">
        <w:rPr>
          <w:rFonts w:ascii="Traditional Arabic" w:hAnsi="Traditional Arabic" w:cs="Traditional Arabic"/>
          <w:sz w:val="28"/>
          <w:szCs w:val="28"/>
          <w:lang w:bidi="ar-EG"/>
        </w:rPr>
        <w:t>.</w:t>
      </w:r>
    </w:p>
    <w:p w14:paraId="28F5C064" w14:textId="5BDAD105" w:rsidR="00D432D9" w:rsidRDefault="00D432D9" w:rsidP="002D62DA">
      <w:pPr>
        <w:bidi/>
        <w:spacing w:line="480" w:lineRule="auto"/>
        <w:jc w:val="both"/>
        <w:rPr>
          <w:rFonts w:ascii="Traditional Arabic" w:hAnsi="Traditional Arabic" w:cs="Traditional Arabic"/>
          <w:sz w:val="28"/>
          <w:szCs w:val="28"/>
          <w:rtl/>
          <w:lang w:bidi="ar-EG"/>
        </w:rPr>
      </w:pPr>
      <w:r w:rsidRPr="00D432D9">
        <w:rPr>
          <w:rFonts w:ascii="Traditional Arabic" w:hAnsi="Traditional Arabic" w:cs="Traditional Arabic"/>
          <w:sz w:val="28"/>
          <w:szCs w:val="28"/>
          <w:rtl/>
        </w:rPr>
        <w:lastRenderedPageBreak/>
        <w:t>أما</w:t>
      </w:r>
      <w:r w:rsidRPr="00D432D9">
        <w:rPr>
          <w:rFonts w:ascii="Traditional Arabic" w:hAnsi="Traditional Arabic" w:cs="Traditional Arabic"/>
          <w:sz w:val="28"/>
          <w:szCs w:val="28"/>
          <w:lang w:bidi="ar-EG"/>
        </w:rPr>
        <w:t xml:space="preserve"> Azmi</w:t>
      </w:r>
      <w:r w:rsidR="00A03BD5">
        <w:rPr>
          <w:rFonts w:ascii="Traditional Arabic" w:hAnsi="Traditional Arabic" w:cs="Traditional Arabic"/>
          <w:sz w:val="28"/>
          <w:szCs w:val="28"/>
          <w:lang w:bidi="ar-EG"/>
        </w:rPr>
        <w:t xml:space="preserve"> et al.</w:t>
      </w:r>
      <w:r w:rsidRPr="00D432D9">
        <w:rPr>
          <w:rFonts w:ascii="Traditional Arabic" w:hAnsi="Traditional Arabic" w:cs="Traditional Arabic"/>
          <w:sz w:val="28"/>
          <w:szCs w:val="28"/>
          <w:lang w:bidi="ar-EG"/>
        </w:rPr>
        <w:t xml:space="preserve"> (2022) </w:t>
      </w:r>
      <w:r w:rsidRPr="00D432D9">
        <w:rPr>
          <w:rFonts w:ascii="Traditional Arabic" w:hAnsi="Traditional Arabic" w:cs="Traditional Arabic"/>
          <w:sz w:val="28"/>
          <w:szCs w:val="28"/>
          <w:rtl/>
        </w:rPr>
        <w:t>فقد تناولوا إمكانيات استخدام تقنية البلوك تشين لتعزيز استدامة ومرونة سلسلة الإمداد في قطاع البناء بالمملكة العربية السعودية. استخدمت الدراسة المنهج المزدوج الكمي والكيفي من خلال استبيان إلكتروني وزع على 300 موظف في كبرى شركات إنتاج الخرسانة في السعودية، حيث استجاب 120 مشاركًا، إلى جانب مقابلات شبه منظمة مع خبراء في التمويل وتقنية المعلومات وسلسلة الإمداد. أظهرت النتائج انخفاض مستوى الوعي بتقنية البلوك تشين في القطاع الإنشائي السعودي، حيث لم يعمل 90% من المستجيبين مع هذه التقنية، رغم الإمكانيات العالية التي توفرها هذه التقنية لتحسين تتبع المواد، مراقبة الجودة، والشفافية في سلسلة الإمداد بما يعزز الأداء المستدام للمشاريع، وأوصت الدراسة بدمج تقنيات البلوك تشين مع نمذجة معلومات البناء</w:t>
      </w:r>
      <w:r w:rsidRPr="00D432D9">
        <w:rPr>
          <w:rFonts w:ascii="Traditional Arabic" w:hAnsi="Traditional Arabic" w:cs="Traditional Arabic"/>
          <w:sz w:val="28"/>
          <w:szCs w:val="28"/>
          <w:lang w:bidi="ar-EG"/>
        </w:rPr>
        <w:t xml:space="preserve"> (BIM) </w:t>
      </w:r>
      <w:r w:rsidRPr="00D432D9">
        <w:rPr>
          <w:rFonts w:ascii="Traditional Arabic" w:hAnsi="Traditional Arabic" w:cs="Traditional Arabic"/>
          <w:sz w:val="28"/>
          <w:szCs w:val="28"/>
          <w:rtl/>
        </w:rPr>
        <w:t>لتحقيق تحسن ملموس في استدامة المشاريع</w:t>
      </w:r>
      <w:r w:rsidRPr="00D432D9">
        <w:rPr>
          <w:rFonts w:ascii="Traditional Arabic" w:hAnsi="Traditional Arabic" w:cs="Traditional Arabic"/>
          <w:sz w:val="28"/>
          <w:szCs w:val="28"/>
          <w:lang w:bidi="ar-EG"/>
        </w:rPr>
        <w:t>.</w:t>
      </w:r>
    </w:p>
    <w:p w14:paraId="411356C6" w14:textId="145A6D87" w:rsidR="002D62DA" w:rsidRPr="002D62DA" w:rsidRDefault="002D62DA" w:rsidP="002D62DA">
      <w:pPr>
        <w:bidi/>
        <w:spacing w:line="480" w:lineRule="auto"/>
        <w:jc w:val="both"/>
        <w:rPr>
          <w:rFonts w:ascii="Traditional Arabic" w:hAnsi="Traditional Arabic" w:cs="Traditional Arabic"/>
          <w:sz w:val="28"/>
          <w:szCs w:val="28"/>
          <w:lang w:bidi="ar-EG"/>
        </w:rPr>
      </w:pPr>
      <w:r w:rsidRPr="00D432D9">
        <w:rPr>
          <w:rFonts w:ascii="Traditional Arabic" w:hAnsi="Traditional Arabic" w:cs="Traditional Arabic"/>
          <w:sz w:val="28"/>
          <w:szCs w:val="28"/>
          <w:rtl/>
        </w:rPr>
        <w:t>كما قدم</w:t>
      </w:r>
      <w:r w:rsidRPr="00D432D9">
        <w:rPr>
          <w:rFonts w:ascii="Traditional Arabic" w:hAnsi="Traditional Arabic" w:cs="Traditional Arabic"/>
          <w:sz w:val="28"/>
          <w:szCs w:val="28"/>
          <w:lang w:bidi="ar-EG"/>
        </w:rPr>
        <w:t xml:space="preserve"> Shaawat</w:t>
      </w:r>
      <w:r>
        <w:rPr>
          <w:rFonts w:ascii="Traditional Arabic" w:hAnsi="Traditional Arabic" w:cs="Traditional Arabic"/>
          <w:sz w:val="28"/>
          <w:szCs w:val="28"/>
          <w:lang w:bidi="ar-EG"/>
        </w:rPr>
        <w:t xml:space="preserve"> et al.</w:t>
      </w:r>
      <w:r w:rsidRPr="00D432D9">
        <w:rPr>
          <w:rFonts w:ascii="Traditional Arabic" w:hAnsi="Traditional Arabic" w:cs="Traditional Arabic"/>
          <w:sz w:val="28"/>
          <w:szCs w:val="28"/>
          <w:lang w:bidi="ar-EG"/>
        </w:rPr>
        <w:t xml:space="preserve"> (2023) </w:t>
      </w:r>
      <w:r w:rsidRPr="00D432D9">
        <w:rPr>
          <w:rFonts w:ascii="Traditional Arabic" w:hAnsi="Traditional Arabic" w:cs="Traditional Arabic"/>
          <w:sz w:val="28"/>
          <w:szCs w:val="28"/>
          <w:rtl/>
        </w:rPr>
        <w:t>دراسة طورت مؤشرًا لقياس جودة الأداء المهني للمقاولين في المشاريع الإنشائية المستدامة بالمملكة العربية السعودية. استخدمت الدراسة طريقة التحليل الهرمي</w:t>
      </w:r>
      <w:r w:rsidRPr="00D432D9">
        <w:rPr>
          <w:rFonts w:ascii="Traditional Arabic" w:hAnsi="Traditional Arabic" w:cs="Traditional Arabic"/>
          <w:sz w:val="28"/>
          <w:szCs w:val="28"/>
          <w:lang w:bidi="ar-EG"/>
        </w:rPr>
        <w:t xml:space="preserve"> (AHP) </w:t>
      </w:r>
      <w:r w:rsidRPr="00D432D9">
        <w:rPr>
          <w:rFonts w:ascii="Traditional Arabic" w:hAnsi="Traditional Arabic" w:cs="Traditional Arabic"/>
          <w:sz w:val="28"/>
          <w:szCs w:val="28"/>
          <w:rtl/>
        </w:rPr>
        <w:t>لتحديد العوامل والمؤشرات الرئيسية التي تؤثر على أداء المقاولين المستدام، بما في ذلك جودة تقديم الوثائق</w:t>
      </w:r>
      <w:r w:rsidRPr="00D432D9">
        <w:rPr>
          <w:rFonts w:ascii="Traditional Arabic" w:hAnsi="Traditional Arabic" w:cs="Traditional Arabic"/>
          <w:sz w:val="28"/>
          <w:szCs w:val="28"/>
          <w:lang w:bidi="ar-EG"/>
        </w:rPr>
        <w:t xml:space="preserve"> (QDS)</w:t>
      </w:r>
      <w:r w:rsidRPr="00D432D9">
        <w:rPr>
          <w:rFonts w:ascii="Traditional Arabic" w:hAnsi="Traditional Arabic" w:cs="Traditional Arabic"/>
          <w:sz w:val="28"/>
          <w:szCs w:val="28"/>
          <w:rtl/>
        </w:rPr>
        <w:t>، جودة نظام الجودة</w:t>
      </w:r>
      <w:r w:rsidRPr="00D432D9">
        <w:rPr>
          <w:rFonts w:ascii="Traditional Arabic" w:hAnsi="Traditional Arabic" w:cs="Traditional Arabic"/>
          <w:sz w:val="28"/>
          <w:szCs w:val="28"/>
          <w:lang w:bidi="ar-EG"/>
        </w:rPr>
        <w:t xml:space="preserve"> (QSI)</w:t>
      </w:r>
      <w:r w:rsidRPr="00D432D9">
        <w:rPr>
          <w:rFonts w:ascii="Traditional Arabic" w:hAnsi="Traditional Arabic" w:cs="Traditional Arabic"/>
          <w:sz w:val="28"/>
          <w:szCs w:val="28"/>
          <w:rtl/>
        </w:rPr>
        <w:t>، وجودة الأعمال المنفذة</w:t>
      </w:r>
      <w:r w:rsidRPr="00D432D9">
        <w:rPr>
          <w:rFonts w:ascii="Traditional Arabic" w:hAnsi="Traditional Arabic" w:cs="Traditional Arabic"/>
          <w:sz w:val="28"/>
          <w:szCs w:val="28"/>
          <w:lang w:bidi="ar-EG"/>
        </w:rPr>
        <w:t xml:space="preserve"> (QCW). </w:t>
      </w:r>
      <w:r w:rsidRPr="00D432D9">
        <w:rPr>
          <w:rFonts w:ascii="Traditional Arabic" w:hAnsi="Traditional Arabic" w:cs="Traditional Arabic"/>
          <w:sz w:val="28"/>
          <w:szCs w:val="28"/>
          <w:rtl/>
        </w:rPr>
        <w:t>تم تطوير إطار عمل باستخدام طريقة المقارنة الزوجية بين العوامل، حيث أظهرت النتائج أن تطبيق المحاسبة الدقيقة ومراعاة العوامل التي قد تعيق استدامة المشاريع يساهم في تحسين جودة الأداء، وتم تطوير مؤشر جودة الأداء</w:t>
      </w:r>
      <w:r w:rsidRPr="00D432D9">
        <w:rPr>
          <w:rFonts w:ascii="Traditional Arabic" w:hAnsi="Traditional Arabic" w:cs="Traditional Arabic"/>
          <w:sz w:val="28"/>
          <w:szCs w:val="28"/>
          <w:lang w:bidi="ar-EG"/>
        </w:rPr>
        <w:t xml:space="preserve"> (PQI) </w:t>
      </w:r>
      <w:r w:rsidRPr="00D432D9">
        <w:rPr>
          <w:rFonts w:ascii="Traditional Arabic" w:hAnsi="Traditional Arabic" w:cs="Traditional Arabic"/>
          <w:sz w:val="28"/>
          <w:szCs w:val="28"/>
          <w:rtl/>
        </w:rPr>
        <w:t>كمعيار مرجعي يساعد مديري المشاريع والملاك في تحسين الأداء المستدام للمقاولين وضمان تحقيق نتائج عالية الجودة في المشاريع المستقبلية</w:t>
      </w:r>
      <w:r w:rsidRPr="00D432D9">
        <w:rPr>
          <w:rFonts w:ascii="Traditional Arabic" w:hAnsi="Traditional Arabic" w:cs="Traditional Arabic"/>
          <w:sz w:val="28"/>
          <w:szCs w:val="28"/>
          <w:lang w:bidi="ar-EG"/>
        </w:rPr>
        <w:t>.</w:t>
      </w:r>
    </w:p>
    <w:p w14:paraId="76E27798" w14:textId="749194F7" w:rsidR="00D432D9" w:rsidRPr="00D432D9" w:rsidRDefault="00D432D9" w:rsidP="002D62DA">
      <w:pPr>
        <w:bidi/>
        <w:spacing w:line="480" w:lineRule="auto"/>
        <w:jc w:val="both"/>
        <w:rPr>
          <w:rFonts w:ascii="Traditional Arabic" w:hAnsi="Traditional Arabic" w:cs="Traditional Arabic"/>
          <w:sz w:val="28"/>
          <w:szCs w:val="28"/>
          <w:lang w:bidi="ar-EG"/>
        </w:rPr>
      </w:pPr>
      <w:r w:rsidRPr="00D432D9">
        <w:rPr>
          <w:rFonts w:ascii="Traditional Arabic" w:hAnsi="Traditional Arabic" w:cs="Traditional Arabic"/>
          <w:sz w:val="28"/>
          <w:szCs w:val="28"/>
          <w:rtl/>
        </w:rPr>
        <w:t>وفي دراسة تطبيقية مقارنة حديثة، قدم</w:t>
      </w:r>
      <w:r w:rsidRPr="00D432D9">
        <w:rPr>
          <w:rFonts w:ascii="Traditional Arabic" w:hAnsi="Traditional Arabic" w:cs="Traditional Arabic"/>
          <w:sz w:val="28"/>
          <w:szCs w:val="28"/>
          <w:lang w:bidi="ar-EG"/>
        </w:rPr>
        <w:t xml:space="preserve"> Al-Otaibi</w:t>
      </w:r>
      <w:r w:rsidR="00A03BD5">
        <w:rPr>
          <w:rFonts w:ascii="Traditional Arabic" w:hAnsi="Traditional Arabic" w:cs="Traditional Arabic"/>
          <w:sz w:val="28"/>
          <w:szCs w:val="28"/>
          <w:lang w:bidi="ar-EG"/>
        </w:rPr>
        <w:t xml:space="preserve"> et al.</w:t>
      </w:r>
      <w:r w:rsidRPr="00D432D9">
        <w:rPr>
          <w:rFonts w:ascii="Traditional Arabic" w:hAnsi="Traditional Arabic" w:cs="Traditional Arabic"/>
          <w:sz w:val="28"/>
          <w:szCs w:val="28"/>
          <w:lang w:bidi="ar-EG"/>
        </w:rPr>
        <w:t xml:space="preserve"> (2025) </w:t>
      </w:r>
      <w:r w:rsidRPr="00D432D9">
        <w:rPr>
          <w:rFonts w:ascii="Traditional Arabic" w:hAnsi="Traditional Arabic" w:cs="Traditional Arabic"/>
          <w:sz w:val="28"/>
          <w:szCs w:val="28"/>
          <w:rtl/>
        </w:rPr>
        <w:t xml:space="preserve">دراسة بهدف تحديد وتحليل المعوقات التي تؤثر على أداء المشاريع الإنشائية المستدامة في الدول النامية، مع التركيز على السعودية وغانا كنموذجين. اعتمدت الدراسة على مراجعة الأدبيات </w:t>
      </w:r>
      <w:r w:rsidRPr="00D432D9">
        <w:rPr>
          <w:rFonts w:ascii="Traditional Arabic" w:hAnsi="Traditional Arabic" w:cs="Traditional Arabic"/>
          <w:sz w:val="28"/>
          <w:szCs w:val="28"/>
          <w:rtl/>
        </w:rPr>
        <w:lastRenderedPageBreak/>
        <w:t>والمقابلات مع الخبراء لتحديد 14 عائقًا رئيسيًا للأداء، تلاها استخدام استبيان ميداني وتحليل مؤشر الأهمية النسبية</w:t>
      </w:r>
      <w:r w:rsidRPr="00D432D9">
        <w:rPr>
          <w:rFonts w:ascii="Traditional Arabic" w:hAnsi="Traditional Arabic" w:cs="Traditional Arabic"/>
          <w:sz w:val="28"/>
          <w:szCs w:val="28"/>
          <w:lang w:bidi="ar-EG"/>
        </w:rPr>
        <w:t xml:space="preserve"> (RII) </w:t>
      </w:r>
      <w:r w:rsidRPr="00D432D9">
        <w:rPr>
          <w:rFonts w:ascii="Traditional Arabic" w:hAnsi="Traditional Arabic" w:cs="Traditional Arabic"/>
          <w:sz w:val="28"/>
          <w:szCs w:val="28"/>
          <w:rtl/>
        </w:rPr>
        <w:t>وتحليل ارتباط سبيرمان لقياس العلاقات بين العوائق. أظهرت النتائج أن ضعف الاتصال، قيود التكلفة والجدول الزمني، وضعف آليات المتابعة والتقييم تعد من أهم العوائق المؤثرة على الأداء المستدام للمشاريع، حيث أكدت الدراسة أهمية تفعيل دور الأطر التنظيمية والتخطيط المالي وتطوير القدرات الفنية للتغلب على هذه العوائق، بما يعزز تنفيذ مشاريع مستدامة تتماشى مع أهداف التنمية المستدامة</w:t>
      </w:r>
      <w:r w:rsidRPr="00D432D9">
        <w:rPr>
          <w:rFonts w:ascii="Traditional Arabic" w:hAnsi="Traditional Arabic" w:cs="Traditional Arabic"/>
          <w:sz w:val="28"/>
          <w:szCs w:val="28"/>
          <w:lang w:bidi="ar-EG"/>
        </w:rPr>
        <w:t>.</w:t>
      </w:r>
    </w:p>
    <w:p w14:paraId="7E686210" w14:textId="77777777" w:rsidR="00D432D9" w:rsidRPr="00D432D9" w:rsidRDefault="00D432D9" w:rsidP="00D432D9">
      <w:pPr>
        <w:bidi/>
        <w:spacing w:line="480" w:lineRule="auto"/>
        <w:rPr>
          <w:rFonts w:ascii="Traditional Arabic" w:hAnsi="Traditional Arabic" w:cs="Traditional Arabic"/>
          <w:b/>
          <w:bCs/>
          <w:sz w:val="28"/>
          <w:szCs w:val="28"/>
          <w:lang w:bidi="ar-EG"/>
        </w:rPr>
      </w:pPr>
      <w:r w:rsidRPr="00D432D9">
        <w:rPr>
          <w:rFonts w:ascii="Traditional Arabic" w:hAnsi="Traditional Arabic" w:cs="Traditional Arabic"/>
          <w:b/>
          <w:bCs/>
          <w:sz w:val="28"/>
          <w:szCs w:val="28"/>
          <w:rtl/>
        </w:rPr>
        <w:t>التعليق على الدراسات السابقة والفجوة البحثية</w:t>
      </w:r>
    </w:p>
    <w:p w14:paraId="0586F96D" w14:textId="23AEFFA7" w:rsidR="00D432D9" w:rsidRPr="000843FE" w:rsidRDefault="00D432D9" w:rsidP="002D62DA">
      <w:pPr>
        <w:bidi/>
        <w:spacing w:line="480" w:lineRule="auto"/>
        <w:jc w:val="both"/>
        <w:rPr>
          <w:rFonts w:ascii="Traditional Arabic" w:hAnsi="Traditional Arabic" w:cs="Traditional Arabic"/>
          <w:sz w:val="28"/>
          <w:szCs w:val="28"/>
          <w:lang w:bidi="ar-EG"/>
        </w:rPr>
      </w:pPr>
      <w:r w:rsidRPr="000843FE">
        <w:rPr>
          <w:rFonts w:ascii="Traditional Arabic" w:hAnsi="Traditional Arabic" w:cs="Traditional Arabic"/>
          <w:sz w:val="28"/>
          <w:szCs w:val="28"/>
          <w:rtl/>
        </w:rPr>
        <w:t xml:space="preserve">يتضح من استعراض الدراسات السابقة أن موضوع الاستدامة في المشاريع الإنشائية قد حظي باهتمام بحثي متزايد في السنوات الأخيرة، حيث ركزت بعض الدراسات مثل دراسة </w:t>
      </w:r>
      <w:r w:rsidRPr="000843FE">
        <w:rPr>
          <w:rFonts w:ascii="Traditional Arabic" w:hAnsi="Traditional Arabic" w:cs="Traditional Arabic"/>
          <w:sz w:val="28"/>
          <w:szCs w:val="28"/>
          <w:lang w:bidi="ar-EG"/>
        </w:rPr>
        <w:t xml:space="preserve">Jamoussi et al. (2022) </w:t>
      </w:r>
      <w:r w:rsidRPr="000843FE">
        <w:rPr>
          <w:rFonts w:ascii="Traditional Arabic" w:hAnsi="Traditional Arabic" w:cs="Traditional Arabic"/>
          <w:sz w:val="28"/>
          <w:szCs w:val="28"/>
          <w:rtl/>
        </w:rPr>
        <w:t>على تقديم مراجعات منهجية للأدبيات وتحليل الأطر النظرية والمعايير المتعلقة بالاستدامة في قطاع البناء، مسلطة الضوء على أهمية دمج مبادئ الاستدامة في مراحل المشروع المختلفة لضمان تحسين الأداء البيئي والاقتصادي والاجتماعي. ورغم أهمية هذه الدراسات في إغناء الإطار النظري، إلا أنها بقيت في الإطار النظري دون تقديم بيانات ميدانية كافية مرتبطة بالسياق السعودي</w:t>
      </w:r>
      <w:r w:rsidRPr="000843FE">
        <w:rPr>
          <w:rFonts w:ascii="Traditional Arabic" w:hAnsi="Traditional Arabic" w:cs="Traditional Arabic"/>
          <w:sz w:val="28"/>
          <w:szCs w:val="28"/>
          <w:lang w:bidi="ar-EG"/>
        </w:rPr>
        <w:t>.</w:t>
      </w:r>
    </w:p>
    <w:p w14:paraId="261B7695" w14:textId="77777777" w:rsidR="00D432D9" w:rsidRPr="000843FE" w:rsidRDefault="00D432D9" w:rsidP="002D62DA">
      <w:pPr>
        <w:bidi/>
        <w:spacing w:line="480" w:lineRule="auto"/>
        <w:jc w:val="both"/>
        <w:rPr>
          <w:rFonts w:ascii="Traditional Arabic" w:hAnsi="Traditional Arabic" w:cs="Traditional Arabic"/>
          <w:sz w:val="28"/>
          <w:szCs w:val="28"/>
          <w:lang w:bidi="ar-EG"/>
        </w:rPr>
      </w:pPr>
      <w:r w:rsidRPr="000843FE">
        <w:rPr>
          <w:rFonts w:ascii="Traditional Arabic" w:hAnsi="Traditional Arabic" w:cs="Traditional Arabic"/>
          <w:sz w:val="28"/>
          <w:szCs w:val="28"/>
          <w:rtl/>
        </w:rPr>
        <w:t xml:space="preserve">كما تناولت دراسات أخرى مثل </w:t>
      </w:r>
      <w:r w:rsidRPr="000843FE">
        <w:rPr>
          <w:rFonts w:ascii="Traditional Arabic" w:hAnsi="Traditional Arabic" w:cs="Traditional Arabic"/>
          <w:sz w:val="28"/>
          <w:szCs w:val="28"/>
          <w:lang w:bidi="ar-EG"/>
        </w:rPr>
        <w:t xml:space="preserve">Rajabi et al. (2022) </w:t>
      </w:r>
      <w:r w:rsidRPr="000843FE">
        <w:rPr>
          <w:rFonts w:ascii="Traditional Arabic" w:hAnsi="Traditional Arabic" w:cs="Traditional Arabic"/>
          <w:sz w:val="28"/>
          <w:szCs w:val="28"/>
          <w:rtl/>
        </w:rPr>
        <w:t>و</w:t>
      </w:r>
      <w:r w:rsidRPr="000843FE">
        <w:rPr>
          <w:rFonts w:ascii="Traditional Arabic" w:hAnsi="Traditional Arabic" w:cs="Traditional Arabic"/>
          <w:sz w:val="28"/>
          <w:szCs w:val="28"/>
          <w:lang w:bidi="ar-EG"/>
        </w:rPr>
        <w:t xml:space="preserve">Shaawat et al. (2023) </w:t>
      </w:r>
      <w:r w:rsidRPr="000843FE">
        <w:rPr>
          <w:rFonts w:ascii="Traditional Arabic" w:hAnsi="Traditional Arabic" w:cs="Traditional Arabic"/>
          <w:sz w:val="28"/>
          <w:szCs w:val="28"/>
          <w:rtl/>
        </w:rPr>
        <w:t>تطوير مؤشرات أداء رئيسية لقياس الاستدامة، واستخدمت أساليب تحليل كمي مثل التحليل الهرمي التحليلي</w:t>
      </w:r>
      <w:r w:rsidRPr="000843FE">
        <w:rPr>
          <w:rFonts w:ascii="Traditional Arabic" w:hAnsi="Traditional Arabic" w:cs="Traditional Arabic"/>
          <w:sz w:val="28"/>
          <w:szCs w:val="28"/>
          <w:lang w:bidi="ar-EG"/>
        </w:rPr>
        <w:t xml:space="preserve"> (AHP) </w:t>
      </w:r>
      <w:r w:rsidRPr="000843FE">
        <w:rPr>
          <w:rFonts w:ascii="Traditional Arabic" w:hAnsi="Traditional Arabic" w:cs="Traditional Arabic"/>
          <w:sz w:val="28"/>
          <w:szCs w:val="28"/>
          <w:rtl/>
        </w:rPr>
        <w:t>والنمذجة بالمعادلات الهيكلية</w:t>
      </w:r>
      <w:r w:rsidRPr="000843FE">
        <w:rPr>
          <w:rFonts w:ascii="Traditional Arabic" w:hAnsi="Traditional Arabic" w:cs="Traditional Arabic"/>
          <w:sz w:val="28"/>
          <w:szCs w:val="28"/>
          <w:lang w:bidi="ar-EG"/>
        </w:rPr>
        <w:t xml:space="preserve"> (SEM) </w:t>
      </w:r>
      <w:r w:rsidRPr="000843FE">
        <w:rPr>
          <w:rFonts w:ascii="Traditional Arabic" w:hAnsi="Traditional Arabic" w:cs="Traditional Arabic"/>
          <w:sz w:val="28"/>
          <w:szCs w:val="28"/>
          <w:rtl/>
        </w:rPr>
        <w:t>لتقييم هذه المؤشرات وربطها بأداء المشاريع. وقد ساهمت هذه الدراسات في إثراء الفهم التطبيقي للعلاقة بين الاستدامة والأداء، لكنها غالبًا ما ركزت على مؤشرات محددة دون تقديم إطار شامل يربط بين أبعاد الأداء المختلفة مثل الجودة، التكلفة، الوقت، ورضا العملاء في سياق الاستدامة، وهو ما يحد من إمكانية تطبيقها بشكل عملي في إدارة المشاريع بالسوق السعودي</w:t>
      </w:r>
      <w:r w:rsidRPr="000843FE">
        <w:rPr>
          <w:rFonts w:ascii="Traditional Arabic" w:hAnsi="Traditional Arabic" w:cs="Traditional Arabic"/>
          <w:sz w:val="28"/>
          <w:szCs w:val="28"/>
          <w:lang w:bidi="ar-EG"/>
        </w:rPr>
        <w:t>.</w:t>
      </w:r>
    </w:p>
    <w:p w14:paraId="06A0FD83" w14:textId="0CBAFBB3" w:rsidR="00D432D9" w:rsidRPr="000843FE" w:rsidRDefault="00D432D9" w:rsidP="002D62DA">
      <w:pPr>
        <w:bidi/>
        <w:spacing w:line="480" w:lineRule="auto"/>
        <w:jc w:val="both"/>
        <w:rPr>
          <w:rFonts w:ascii="Traditional Arabic" w:hAnsi="Traditional Arabic" w:cs="Traditional Arabic"/>
          <w:sz w:val="28"/>
          <w:szCs w:val="28"/>
          <w:lang w:bidi="ar-EG"/>
        </w:rPr>
      </w:pPr>
      <w:r w:rsidRPr="000843FE">
        <w:rPr>
          <w:rFonts w:ascii="Traditional Arabic" w:hAnsi="Traditional Arabic" w:cs="Traditional Arabic"/>
          <w:sz w:val="28"/>
          <w:szCs w:val="28"/>
          <w:rtl/>
        </w:rPr>
        <w:lastRenderedPageBreak/>
        <w:t xml:space="preserve">من جانب آخر، ركزت بعض الدراسات مثل </w:t>
      </w:r>
      <w:r w:rsidRPr="000843FE">
        <w:rPr>
          <w:rFonts w:ascii="Traditional Arabic" w:hAnsi="Traditional Arabic" w:cs="Traditional Arabic"/>
          <w:sz w:val="28"/>
          <w:szCs w:val="28"/>
          <w:lang w:bidi="ar-EG"/>
        </w:rPr>
        <w:t xml:space="preserve">Unegbu et al. (2022) </w:t>
      </w:r>
      <w:r w:rsidRPr="000843FE">
        <w:rPr>
          <w:rFonts w:ascii="Traditional Arabic" w:hAnsi="Traditional Arabic" w:cs="Traditional Arabic"/>
          <w:sz w:val="28"/>
          <w:szCs w:val="28"/>
          <w:rtl/>
        </w:rPr>
        <w:t>و</w:t>
      </w:r>
      <w:r w:rsidRPr="000843FE">
        <w:rPr>
          <w:rFonts w:ascii="Traditional Arabic" w:hAnsi="Traditional Arabic" w:cs="Traditional Arabic"/>
          <w:sz w:val="28"/>
          <w:szCs w:val="28"/>
          <w:lang w:bidi="ar-EG"/>
        </w:rPr>
        <w:t xml:space="preserve">Alshihri et al. (2022) </w:t>
      </w:r>
      <w:r w:rsidR="000843FE" w:rsidRPr="000843FE">
        <w:rPr>
          <w:rFonts w:ascii="Traditional Arabic" w:hAnsi="Traditional Arabic" w:cs="Traditional Arabic" w:hint="cs"/>
          <w:sz w:val="28"/>
          <w:szCs w:val="28"/>
          <w:rtl/>
        </w:rPr>
        <w:t xml:space="preserve"> </w:t>
      </w:r>
      <w:r w:rsidRPr="000843FE">
        <w:rPr>
          <w:rFonts w:ascii="Traditional Arabic" w:hAnsi="Traditional Arabic" w:cs="Traditional Arabic"/>
          <w:sz w:val="28"/>
          <w:szCs w:val="28"/>
          <w:lang w:bidi="ar-EG"/>
        </w:rPr>
        <w:t xml:space="preserve">Alajmi &amp; Memon (2022) </w:t>
      </w:r>
      <w:r w:rsidRPr="000843FE">
        <w:rPr>
          <w:rFonts w:ascii="Traditional Arabic" w:hAnsi="Traditional Arabic" w:cs="Traditional Arabic"/>
          <w:sz w:val="28"/>
          <w:szCs w:val="28"/>
          <w:rtl/>
        </w:rPr>
        <w:t>على دراسة أداء المشاريع الإنشائية في ضوء عوامل مثل المخاطر والتأخيرات ومعوقات التنفيذ، حيث أوضحت هذه الدراسات العلاقة بين الممارسات الإدارية والأداء، وأبرزت أهمية التخطيط الجيد وإدارة المخاطر لتحقيق النجاح في المشاريع، لكنها لم تربط هذه الجوانب بممارسات الاستدامة بشكل مباشر، كما أن بعضها كان محدودًا في نطاق جغرافي لا يعكس خصوصية السوق السعودي أو متطلبات رؤية المملكة 2030</w:t>
      </w:r>
      <w:r w:rsidRPr="000843FE">
        <w:rPr>
          <w:rFonts w:ascii="Traditional Arabic" w:hAnsi="Traditional Arabic" w:cs="Traditional Arabic"/>
          <w:sz w:val="28"/>
          <w:szCs w:val="28"/>
          <w:lang w:bidi="ar-EG"/>
        </w:rPr>
        <w:t>.</w:t>
      </w:r>
    </w:p>
    <w:p w14:paraId="692A33B9" w14:textId="77777777" w:rsidR="00D432D9" w:rsidRPr="000843FE" w:rsidRDefault="00D432D9" w:rsidP="002D62DA">
      <w:pPr>
        <w:bidi/>
        <w:spacing w:line="480" w:lineRule="auto"/>
        <w:jc w:val="both"/>
        <w:rPr>
          <w:rFonts w:ascii="Traditional Arabic" w:hAnsi="Traditional Arabic" w:cs="Traditional Arabic"/>
          <w:sz w:val="28"/>
          <w:szCs w:val="28"/>
          <w:lang w:bidi="ar-EG"/>
        </w:rPr>
      </w:pPr>
      <w:r w:rsidRPr="000843FE">
        <w:rPr>
          <w:rFonts w:ascii="Traditional Arabic" w:hAnsi="Traditional Arabic" w:cs="Traditional Arabic"/>
          <w:sz w:val="28"/>
          <w:szCs w:val="28"/>
          <w:rtl/>
        </w:rPr>
        <w:t xml:space="preserve">أما الدراسات التي حاولت الربط بين الاستدامة والأداء في المشاريع، مثل </w:t>
      </w:r>
      <w:r w:rsidRPr="000843FE">
        <w:rPr>
          <w:rFonts w:ascii="Traditional Arabic" w:hAnsi="Traditional Arabic" w:cs="Traditional Arabic"/>
          <w:sz w:val="28"/>
          <w:szCs w:val="28"/>
          <w:lang w:bidi="ar-EG"/>
        </w:rPr>
        <w:t xml:space="preserve">Al-Otaibi et al. (2025) </w:t>
      </w:r>
      <w:r w:rsidRPr="000843FE">
        <w:rPr>
          <w:rFonts w:ascii="Traditional Arabic" w:hAnsi="Traditional Arabic" w:cs="Traditional Arabic"/>
          <w:sz w:val="28"/>
          <w:szCs w:val="28"/>
          <w:rtl/>
        </w:rPr>
        <w:t>و</w:t>
      </w:r>
      <w:r w:rsidRPr="000843FE">
        <w:rPr>
          <w:rFonts w:ascii="Traditional Arabic" w:hAnsi="Traditional Arabic" w:cs="Traditional Arabic"/>
          <w:sz w:val="28"/>
          <w:szCs w:val="28"/>
          <w:lang w:bidi="ar-EG"/>
        </w:rPr>
        <w:t>Azmi et al. (2022)</w:t>
      </w:r>
      <w:r w:rsidRPr="000843FE">
        <w:rPr>
          <w:rFonts w:ascii="Traditional Arabic" w:hAnsi="Traditional Arabic" w:cs="Traditional Arabic"/>
          <w:sz w:val="28"/>
          <w:szCs w:val="28"/>
          <w:rtl/>
        </w:rPr>
        <w:t>، فقد تناولت موضوعات مهمة مثل تأثير استخدام تقنيات حديثة كـ</w:t>
      </w:r>
      <w:r w:rsidRPr="000843FE">
        <w:rPr>
          <w:rFonts w:ascii="Traditional Arabic" w:hAnsi="Traditional Arabic" w:cs="Traditional Arabic"/>
          <w:sz w:val="28"/>
          <w:szCs w:val="28"/>
          <w:lang w:bidi="ar-EG"/>
        </w:rPr>
        <w:t xml:space="preserve"> Blockchain </w:t>
      </w:r>
      <w:r w:rsidRPr="000843FE">
        <w:rPr>
          <w:rFonts w:ascii="Traditional Arabic" w:hAnsi="Traditional Arabic" w:cs="Traditional Arabic"/>
          <w:sz w:val="28"/>
          <w:szCs w:val="28"/>
          <w:rtl/>
        </w:rPr>
        <w:t>و</w:t>
      </w:r>
      <w:r w:rsidRPr="000843FE">
        <w:rPr>
          <w:rFonts w:ascii="Traditional Arabic" w:hAnsi="Traditional Arabic" w:cs="Traditional Arabic"/>
          <w:sz w:val="28"/>
          <w:szCs w:val="28"/>
          <w:lang w:bidi="ar-EG"/>
        </w:rPr>
        <w:t xml:space="preserve">BIM </w:t>
      </w:r>
      <w:r w:rsidRPr="000843FE">
        <w:rPr>
          <w:rFonts w:ascii="Traditional Arabic" w:hAnsi="Traditional Arabic" w:cs="Traditional Arabic"/>
          <w:sz w:val="28"/>
          <w:szCs w:val="28"/>
          <w:rtl/>
        </w:rPr>
        <w:t>على استدامة المشاريع، وكذلك تحليل المعوقات التي تحد من الأداء المستدام في المشاريع الإنشائية في الدول النامية ومنها السعودية. وعلى الرغم من أهميتها، إلا أن هذه الدراسات غالبًا ما ركزت على زاوية معينة مثل التكنولوجيا أو المعوقات التنظيمية دون دراسة العلاقة التكاملية بين تطبيق مبادئ الاستدامة بجوانبها المختلفة (البيئية، الاقتصادية، الاجتماعية) وتأثيرها على مؤشرات الأداء في المشاريع الإنشائية</w:t>
      </w:r>
      <w:r w:rsidRPr="000843FE">
        <w:rPr>
          <w:rFonts w:ascii="Traditional Arabic" w:hAnsi="Traditional Arabic" w:cs="Traditional Arabic"/>
          <w:sz w:val="28"/>
          <w:szCs w:val="28"/>
          <w:lang w:bidi="ar-EG"/>
        </w:rPr>
        <w:t>.</w:t>
      </w:r>
    </w:p>
    <w:p w14:paraId="130F35B3" w14:textId="77777777" w:rsidR="00D432D9" w:rsidRPr="00D432D9" w:rsidRDefault="00D432D9" w:rsidP="00D432D9">
      <w:pPr>
        <w:bidi/>
        <w:spacing w:line="480" w:lineRule="auto"/>
        <w:rPr>
          <w:rFonts w:ascii="Traditional Arabic" w:hAnsi="Traditional Arabic" w:cs="Traditional Arabic"/>
          <w:b/>
          <w:bCs/>
          <w:sz w:val="28"/>
          <w:szCs w:val="28"/>
          <w:lang w:bidi="ar-EG"/>
        </w:rPr>
      </w:pPr>
      <w:r w:rsidRPr="00D432D9">
        <w:rPr>
          <w:rFonts w:ascii="Traditional Arabic" w:hAnsi="Traditional Arabic" w:cs="Traditional Arabic"/>
          <w:b/>
          <w:bCs/>
          <w:sz w:val="28"/>
          <w:szCs w:val="28"/>
          <w:rtl/>
        </w:rPr>
        <w:t>الفجوة البحثية</w:t>
      </w:r>
    </w:p>
    <w:p w14:paraId="115D7DF4" w14:textId="73206998" w:rsidR="00D432D9" w:rsidRPr="00D432D9" w:rsidRDefault="00D432D9" w:rsidP="00D432D9">
      <w:pPr>
        <w:pStyle w:val="ListParagraph"/>
        <w:numPr>
          <w:ilvl w:val="0"/>
          <w:numId w:val="11"/>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b/>
          <w:bCs/>
          <w:sz w:val="28"/>
          <w:szCs w:val="28"/>
          <w:rtl/>
        </w:rPr>
        <w:t>قلة الدراسات الميدانية في السياق السعودي</w:t>
      </w:r>
      <w:r w:rsidRPr="00D432D9">
        <w:rPr>
          <w:rFonts w:ascii="Traditional Arabic" w:hAnsi="Traditional Arabic" w:cs="Traditional Arabic"/>
          <w:sz w:val="28"/>
          <w:szCs w:val="28"/>
          <w:rtl/>
        </w:rPr>
        <w:t xml:space="preserve"> التي تربط بين تطبيق مبادئ الاستدامة وأداء المشاريع الإنشائية بأبعاده الأربعة (الجودة، التكلفة، الوقت، رضا العملاء) باستخدام بيانات مباشرة من المشاريع والشركات العاملة في السوق السعودي، بما يعزز مواءمة النتائج مع احتياجات رؤية المملكة 2030</w:t>
      </w:r>
      <w:r w:rsidRPr="00D432D9">
        <w:rPr>
          <w:rFonts w:ascii="Traditional Arabic" w:hAnsi="Traditional Arabic" w:cs="Traditional Arabic"/>
          <w:sz w:val="28"/>
          <w:szCs w:val="28"/>
          <w:lang w:bidi="ar-EG"/>
        </w:rPr>
        <w:t>.</w:t>
      </w:r>
    </w:p>
    <w:p w14:paraId="4AB5B8A8" w14:textId="5D4277BF" w:rsidR="00D432D9" w:rsidRPr="00D432D9" w:rsidRDefault="00D432D9" w:rsidP="00D432D9">
      <w:pPr>
        <w:pStyle w:val="ListParagraph"/>
        <w:numPr>
          <w:ilvl w:val="0"/>
          <w:numId w:val="11"/>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b/>
          <w:bCs/>
          <w:sz w:val="28"/>
          <w:szCs w:val="28"/>
          <w:rtl/>
        </w:rPr>
        <w:lastRenderedPageBreak/>
        <w:t>غياب الدراسات التي تقدم إطارًا قياسًا شاملًا</w:t>
      </w:r>
      <w:r w:rsidRPr="00D432D9">
        <w:rPr>
          <w:rFonts w:ascii="Traditional Arabic" w:hAnsi="Traditional Arabic" w:cs="Traditional Arabic"/>
          <w:sz w:val="28"/>
          <w:szCs w:val="28"/>
          <w:rtl/>
        </w:rPr>
        <w:t xml:space="preserve"> يجمع بين مؤشرات الأداء الرئيسية وممارسات الاستدامة في المشاريع، بشكل يساعد الشركات على تقييم الأثر الحقيقي لممارسات الاستدامة على الأداء التشغيلي والمالي والإداري للمشاريع</w:t>
      </w:r>
      <w:r w:rsidRPr="00D432D9">
        <w:rPr>
          <w:rFonts w:ascii="Traditional Arabic" w:hAnsi="Traditional Arabic" w:cs="Traditional Arabic"/>
          <w:sz w:val="28"/>
          <w:szCs w:val="28"/>
          <w:lang w:bidi="ar-EG"/>
        </w:rPr>
        <w:t>.</w:t>
      </w:r>
    </w:p>
    <w:p w14:paraId="3879D5A8" w14:textId="21D0E0B8" w:rsidR="00D432D9" w:rsidRPr="00D432D9" w:rsidRDefault="00D432D9" w:rsidP="00D432D9">
      <w:pPr>
        <w:pStyle w:val="ListParagraph"/>
        <w:numPr>
          <w:ilvl w:val="0"/>
          <w:numId w:val="11"/>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b/>
          <w:bCs/>
          <w:sz w:val="28"/>
          <w:szCs w:val="28"/>
          <w:rtl/>
        </w:rPr>
        <w:t>قلة التركيز على الدور الوسيط للعوامل البيئية والتنظيمية</w:t>
      </w:r>
      <w:r w:rsidRPr="00D432D9">
        <w:rPr>
          <w:rFonts w:ascii="Traditional Arabic" w:hAnsi="Traditional Arabic" w:cs="Traditional Arabic"/>
          <w:sz w:val="28"/>
          <w:szCs w:val="28"/>
          <w:rtl/>
        </w:rPr>
        <w:t xml:space="preserve"> (مثل السياسات الحكومية، حجم المشروع، مستوى وعي العاملين بالاستدامة) في العلاقة بين تطبيق مبادئ الاستدامة والأداء في المشاريع الإنشائية، رغم أهمية هذه العوامل في تحديد نجاح تنفيذ ممارسات الاستدامة على أرض الواقع</w:t>
      </w:r>
      <w:r w:rsidRPr="00D432D9">
        <w:rPr>
          <w:rFonts w:ascii="Traditional Arabic" w:hAnsi="Traditional Arabic" w:cs="Traditional Arabic"/>
          <w:sz w:val="28"/>
          <w:szCs w:val="28"/>
          <w:lang w:bidi="ar-EG"/>
        </w:rPr>
        <w:t>.</w:t>
      </w:r>
    </w:p>
    <w:p w14:paraId="35065297" w14:textId="6549C63D" w:rsidR="00D432D9" w:rsidRPr="00D432D9" w:rsidRDefault="00D432D9" w:rsidP="00D432D9">
      <w:pPr>
        <w:pStyle w:val="ListParagraph"/>
        <w:numPr>
          <w:ilvl w:val="0"/>
          <w:numId w:val="11"/>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b/>
          <w:bCs/>
          <w:sz w:val="28"/>
          <w:szCs w:val="28"/>
          <w:rtl/>
        </w:rPr>
        <w:t>ندرة الدراسات التي تقدم توصيات عملية وقابلة للتطبيق</w:t>
      </w:r>
      <w:r w:rsidRPr="00D432D9">
        <w:rPr>
          <w:rFonts w:ascii="Traditional Arabic" w:hAnsi="Traditional Arabic" w:cs="Traditional Arabic"/>
          <w:sz w:val="28"/>
          <w:szCs w:val="28"/>
          <w:rtl/>
        </w:rPr>
        <w:t xml:space="preserve"> تساعد الشركات الإنشائية على تبني ممارسات الاستدامة بشكل يعزز الأداء، مع تقديم أدوات قابلة للقياس لدعم عمليات المتابعة والتحسين المستمر في المشاريع</w:t>
      </w:r>
      <w:r w:rsidRPr="00D432D9">
        <w:rPr>
          <w:rFonts w:ascii="Traditional Arabic" w:hAnsi="Traditional Arabic" w:cs="Traditional Arabic"/>
          <w:sz w:val="28"/>
          <w:szCs w:val="28"/>
          <w:lang w:bidi="ar-EG"/>
        </w:rPr>
        <w:t>.</w:t>
      </w:r>
    </w:p>
    <w:p w14:paraId="5CD9FB9D" w14:textId="17767066" w:rsidR="004D61FE" w:rsidRPr="00D432D9" w:rsidRDefault="004D61FE" w:rsidP="006337C0">
      <w:pPr>
        <w:bidi/>
        <w:spacing w:line="480" w:lineRule="auto"/>
        <w:rPr>
          <w:rFonts w:ascii="Traditional Arabic" w:hAnsi="Traditional Arabic" w:cs="Traditional Arabic"/>
          <w:sz w:val="28"/>
          <w:szCs w:val="28"/>
          <w:rtl/>
          <w:lang w:bidi="ar-EG"/>
        </w:rPr>
      </w:pPr>
    </w:p>
    <w:p w14:paraId="1720ED6A" w14:textId="77777777" w:rsidR="00D432D9" w:rsidRDefault="00D432D9" w:rsidP="00D432D9">
      <w:pPr>
        <w:bidi/>
        <w:spacing w:line="480" w:lineRule="auto"/>
        <w:rPr>
          <w:rFonts w:ascii="Traditional Arabic" w:hAnsi="Traditional Arabic" w:cs="Traditional Arabic"/>
          <w:sz w:val="28"/>
          <w:szCs w:val="28"/>
          <w:lang w:bidi="ar-EG"/>
        </w:rPr>
      </w:pPr>
    </w:p>
    <w:p w14:paraId="5BC06A87" w14:textId="77777777" w:rsidR="00146D14" w:rsidRDefault="00146D14" w:rsidP="00146D14">
      <w:pPr>
        <w:bidi/>
        <w:spacing w:line="480" w:lineRule="auto"/>
        <w:rPr>
          <w:rFonts w:ascii="Traditional Arabic" w:hAnsi="Traditional Arabic" w:cs="Traditional Arabic"/>
          <w:sz w:val="28"/>
          <w:szCs w:val="28"/>
          <w:rtl/>
          <w:lang w:bidi="ar-EG"/>
        </w:rPr>
      </w:pPr>
    </w:p>
    <w:p w14:paraId="6DF45C2B" w14:textId="77777777" w:rsidR="002D62DA" w:rsidRDefault="002D62DA" w:rsidP="002D62DA">
      <w:pPr>
        <w:bidi/>
        <w:spacing w:line="480" w:lineRule="auto"/>
        <w:rPr>
          <w:rFonts w:ascii="Traditional Arabic" w:hAnsi="Traditional Arabic" w:cs="Traditional Arabic"/>
          <w:sz w:val="28"/>
          <w:szCs w:val="28"/>
          <w:rtl/>
          <w:lang w:bidi="ar-EG"/>
        </w:rPr>
      </w:pPr>
    </w:p>
    <w:p w14:paraId="356032AD" w14:textId="77777777" w:rsidR="002D62DA" w:rsidRDefault="002D62DA" w:rsidP="002D62DA">
      <w:pPr>
        <w:bidi/>
        <w:spacing w:line="480" w:lineRule="auto"/>
        <w:rPr>
          <w:rFonts w:ascii="Traditional Arabic" w:hAnsi="Traditional Arabic" w:cs="Traditional Arabic"/>
          <w:sz w:val="28"/>
          <w:szCs w:val="28"/>
          <w:rtl/>
          <w:lang w:bidi="ar-EG"/>
        </w:rPr>
      </w:pPr>
    </w:p>
    <w:p w14:paraId="72AE1D27" w14:textId="77777777" w:rsidR="002D62DA" w:rsidRDefault="002D62DA" w:rsidP="002D62DA">
      <w:pPr>
        <w:bidi/>
        <w:spacing w:line="480" w:lineRule="auto"/>
        <w:rPr>
          <w:rFonts w:ascii="Traditional Arabic" w:hAnsi="Traditional Arabic" w:cs="Traditional Arabic"/>
          <w:sz w:val="28"/>
          <w:szCs w:val="28"/>
          <w:rtl/>
          <w:lang w:bidi="ar-EG"/>
        </w:rPr>
      </w:pPr>
    </w:p>
    <w:p w14:paraId="7560B3D8" w14:textId="77777777" w:rsidR="002D62DA" w:rsidRDefault="002D62DA" w:rsidP="002D62DA">
      <w:pPr>
        <w:bidi/>
        <w:spacing w:line="480" w:lineRule="auto"/>
        <w:rPr>
          <w:rFonts w:ascii="Traditional Arabic" w:hAnsi="Traditional Arabic" w:cs="Traditional Arabic"/>
          <w:sz w:val="28"/>
          <w:szCs w:val="28"/>
          <w:rtl/>
          <w:lang w:bidi="ar-EG"/>
        </w:rPr>
      </w:pPr>
    </w:p>
    <w:p w14:paraId="7D914AB3" w14:textId="32D34B02" w:rsidR="00D432D9" w:rsidRDefault="00D432D9" w:rsidP="00D432D9">
      <w:pPr>
        <w:bidi/>
        <w:spacing w:line="480" w:lineRule="auto"/>
        <w:rPr>
          <w:rFonts w:ascii="Traditional Arabic" w:hAnsi="Traditional Arabic" w:cs="Traditional Arabic"/>
          <w:b/>
          <w:bCs/>
          <w:sz w:val="28"/>
          <w:szCs w:val="28"/>
          <w:rtl/>
          <w:lang w:bidi="ar-EG"/>
        </w:rPr>
      </w:pPr>
      <w:r w:rsidRPr="00D432D9">
        <w:rPr>
          <w:rFonts w:ascii="Traditional Arabic" w:hAnsi="Traditional Arabic" w:cs="Traditional Arabic" w:hint="cs"/>
          <w:b/>
          <w:bCs/>
          <w:sz w:val="28"/>
          <w:szCs w:val="28"/>
          <w:rtl/>
          <w:lang w:bidi="ar-EG"/>
        </w:rPr>
        <w:lastRenderedPageBreak/>
        <w:t>المراجع</w:t>
      </w:r>
    </w:p>
    <w:p w14:paraId="7D053F39" w14:textId="2DA5696B" w:rsidR="00D432D9" w:rsidRPr="00D432D9" w:rsidRDefault="00D432D9" w:rsidP="00D432D9">
      <w:pPr>
        <w:bidi/>
        <w:spacing w:line="480" w:lineRule="auto"/>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المراجع العربية</w:t>
      </w:r>
    </w:p>
    <w:p w14:paraId="21EBE06A" w14:textId="77777777" w:rsidR="00762E11" w:rsidRPr="00D432D9" w:rsidRDefault="00762E11" w:rsidP="00D432D9">
      <w:pPr>
        <w:pStyle w:val="ListParagraph"/>
        <w:numPr>
          <w:ilvl w:val="0"/>
          <w:numId w:val="18"/>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sz w:val="28"/>
          <w:szCs w:val="28"/>
          <w:rtl/>
        </w:rPr>
        <w:t>البقعي، ل. ب. ف.، و الهزايمة، أ. ب. ص. (2023). أثر تطبيق الإدارة الخضراء على تحقيق التنمية البيئية المستدامة</w:t>
      </w:r>
      <w:r w:rsidRPr="00D432D9">
        <w:rPr>
          <w:rFonts w:ascii="Traditional Arabic" w:hAnsi="Traditional Arabic" w:cs="Traditional Arabic"/>
          <w:sz w:val="28"/>
          <w:szCs w:val="28"/>
          <w:lang w:bidi="ar-EG"/>
        </w:rPr>
        <w:t xml:space="preserve">. </w:t>
      </w:r>
      <w:r w:rsidRPr="00D432D9">
        <w:rPr>
          <w:rFonts w:ascii="Traditional Arabic" w:hAnsi="Traditional Arabic" w:cs="Traditional Arabic"/>
          <w:i/>
          <w:iCs/>
          <w:sz w:val="28"/>
          <w:szCs w:val="28"/>
          <w:rtl/>
        </w:rPr>
        <w:t>المجلة الأكاديمية للأبحاث والنشر العلمي، الإصدار الثامن والأربعون</w:t>
      </w:r>
      <w:r w:rsidRPr="00D432D9">
        <w:rPr>
          <w:rFonts w:ascii="Traditional Arabic" w:hAnsi="Traditional Arabic" w:cs="Traditional Arabic"/>
          <w:i/>
          <w:iCs/>
          <w:sz w:val="28"/>
          <w:szCs w:val="28"/>
          <w:lang w:bidi="ar-EG"/>
        </w:rPr>
        <w:t>.</w:t>
      </w:r>
      <w:r w:rsidRPr="00D432D9">
        <w:rPr>
          <w:rFonts w:ascii="Traditional Arabic" w:hAnsi="Traditional Arabic" w:cs="Traditional Arabic"/>
          <w:sz w:val="28"/>
          <w:szCs w:val="28"/>
          <w:lang w:bidi="ar-EG"/>
        </w:rPr>
        <w:t xml:space="preserve"> https://doi.org/10.52132/Ajrsp/v4.48.3</w:t>
      </w:r>
    </w:p>
    <w:p w14:paraId="710D184C" w14:textId="77777777" w:rsidR="00762E11" w:rsidRDefault="00762E11" w:rsidP="00D432D9">
      <w:pPr>
        <w:pStyle w:val="ListParagraph"/>
        <w:numPr>
          <w:ilvl w:val="0"/>
          <w:numId w:val="18"/>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sz w:val="28"/>
          <w:szCs w:val="28"/>
          <w:rtl/>
        </w:rPr>
        <w:t>الحسن، ع. م. ع. (2025). دور إدارة الجودة في تحسين واستدامة المشاريع الإنشائية (دراسة حالة دولة الكويت)</w:t>
      </w:r>
      <w:r w:rsidRPr="00D432D9">
        <w:rPr>
          <w:rFonts w:ascii="Traditional Arabic" w:hAnsi="Traditional Arabic" w:cs="Traditional Arabic"/>
          <w:sz w:val="28"/>
          <w:szCs w:val="28"/>
          <w:lang w:bidi="ar-EG"/>
        </w:rPr>
        <w:t xml:space="preserve">. </w:t>
      </w:r>
      <w:r w:rsidRPr="00D432D9">
        <w:rPr>
          <w:rFonts w:ascii="Traditional Arabic" w:hAnsi="Traditional Arabic" w:cs="Traditional Arabic"/>
          <w:i/>
          <w:iCs/>
          <w:sz w:val="28"/>
          <w:szCs w:val="28"/>
          <w:lang w:bidi="ar-EG"/>
        </w:rPr>
        <w:t>Arab Journal for Scientific Publishing</w:t>
      </w:r>
      <w:r w:rsidRPr="00D432D9">
        <w:rPr>
          <w:rFonts w:ascii="Traditional Arabic" w:hAnsi="Traditional Arabic" w:cs="Traditional Arabic"/>
          <w:i/>
          <w:iCs/>
          <w:sz w:val="28"/>
          <w:szCs w:val="28"/>
          <w:rtl/>
        </w:rPr>
        <w:t>، 8</w:t>
      </w:r>
      <w:r w:rsidRPr="00D432D9">
        <w:rPr>
          <w:rFonts w:ascii="Traditional Arabic" w:hAnsi="Traditional Arabic" w:cs="Traditional Arabic"/>
          <w:sz w:val="28"/>
          <w:szCs w:val="28"/>
          <w:lang w:bidi="ar-EG"/>
        </w:rPr>
        <w:t>(67)</w:t>
      </w:r>
      <w:r w:rsidRPr="00D432D9">
        <w:rPr>
          <w:rFonts w:ascii="Traditional Arabic" w:hAnsi="Traditional Arabic" w:cs="Traditional Arabic"/>
          <w:sz w:val="28"/>
          <w:szCs w:val="28"/>
          <w:rtl/>
        </w:rPr>
        <w:t>، 376</w:t>
      </w:r>
      <w:r w:rsidRPr="00D432D9">
        <w:rPr>
          <w:rFonts w:ascii="Traditional Arabic" w:hAnsi="Traditional Arabic" w:cs="Traditional Arabic"/>
          <w:sz w:val="28"/>
          <w:szCs w:val="28"/>
          <w:lang w:bidi="ar-EG"/>
        </w:rPr>
        <w:t>–391.</w:t>
      </w:r>
    </w:p>
    <w:p w14:paraId="1E6A1AFD" w14:textId="77777777" w:rsidR="00762E11" w:rsidRPr="00D432D9" w:rsidRDefault="00762E11" w:rsidP="00D432D9">
      <w:pPr>
        <w:pStyle w:val="ListParagraph"/>
        <w:numPr>
          <w:ilvl w:val="0"/>
          <w:numId w:val="18"/>
        </w:numPr>
        <w:bidi/>
        <w:spacing w:line="480" w:lineRule="auto"/>
        <w:rPr>
          <w:rFonts w:ascii="Traditional Arabic" w:hAnsi="Traditional Arabic" w:cs="Traditional Arabic"/>
          <w:sz w:val="28"/>
          <w:szCs w:val="28"/>
          <w:lang w:bidi="ar-EG"/>
        </w:rPr>
      </w:pPr>
      <w:r w:rsidRPr="00D432D9">
        <w:rPr>
          <w:rFonts w:ascii="Traditional Arabic" w:hAnsi="Traditional Arabic" w:cs="Traditional Arabic"/>
          <w:sz w:val="28"/>
          <w:szCs w:val="28"/>
          <w:rtl/>
        </w:rPr>
        <w:t>الحسن، ع. م. ع.، و الفارسي، ح. ن. ح. (2025). تأثير تأخير المشاريع الإنشائية على التنمية المستدامة في الكويت: بحث تحليلي متعدد الأبعاد</w:t>
      </w:r>
      <w:r w:rsidRPr="00D432D9">
        <w:rPr>
          <w:rFonts w:ascii="Traditional Arabic" w:hAnsi="Traditional Arabic" w:cs="Traditional Arabic"/>
          <w:sz w:val="28"/>
          <w:szCs w:val="28"/>
          <w:lang w:bidi="ar-EG"/>
        </w:rPr>
        <w:t xml:space="preserve">. </w:t>
      </w:r>
      <w:r w:rsidRPr="00D432D9">
        <w:rPr>
          <w:rFonts w:ascii="Traditional Arabic" w:hAnsi="Traditional Arabic" w:cs="Traditional Arabic"/>
          <w:i/>
          <w:iCs/>
          <w:sz w:val="28"/>
          <w:szCs w:val="28"/>
          <w:rtl/>
        </w:rPr>
        <w:t>المجلة العربية للنشر العلمي، 2</w:t>
      </w:r>
      <w:r w:rsidRPr="00D432D9">
        <w:rPr>
          <w:rFonts w:ascii="Traditional Arabic" w:hAnsi="Traditional Arabic" w:cs="Traditional Arabic"/>
          <w:sz w:val="28"/>
          <w:szCs w:val="28"/>
          <w:lang w:bidi="ar-EG"/>
        </w:rPr>
        <w:t>(9)</w:t>
      </w:r>
      <w:r w:rsidRPr="00D432D9">
        <w:rPr>
          <w:rFonts w:ascii="Traditional Arabic" w:hAnsi="Traditional Arabic" w:cs="Traditional Arabic"/>
          <w:sz w:val="28"/>
          <w:szCs w:val="28"/>
          <w:rtl/>
        </w:rPr>
        <w:t>، 591</w:t>
      </w:r>
      <w:r w:rsidRPr="00D432D9">
        <w:rPr>
          <w:rFonts w:ascii="Traditional Arabic" w:hAnsi="Traditional Arabic" w:cs="Traditional Arabic"/>
          <w:sz w:val="28"/>
          <w:szCs w:val="28"/>
          <w:lang w:bidi="ar-EG"/>
        </w:rPr>
        <w:t>–607.</w:t>
      </w:r>
    </w:p>
    <w:p w14:paraId="679A2DA8" w14:textId="77777777" w:rsidR="00762E11" w:rsidRPr="00D432D9" w:rsidRDefault="00762E11" w:rsidP="00D432D9">
      <w:pPr>
        <w:pStyle w:val="ListParagraph"/>
        <w:numPr>
          <w:ilvl w:val="0"/>
          <w:numId w:val="18"/>
        </w:numPr>
        <w:bidi/>
        <w:spacing w:line="480" w:lineRule="auto"/>
        <w:rPr>
          <w:rFonts w:ascii="Traditional Arabic" w:hAnsi="Traditional Arabic" w:cs="Traditional Arabic"/>
          <w:sz w:val="28"/>
          <w:szCs w:val="28"/>
          <w:rtl/>
          <w:lang w:bidi="ar-EG"/>
        </w:rPr>
      </w:pPr>
      <w:r w:rsidRPr="00D432D9">
        <w:rPr>
          <w:rFonts w:ascii="Traditional Arabic" w:hAnsi="Traditional Arabic" w:cs="Traditional Arabic"/>
          <w:sz w:val="28"/>
          <w:szCs w:val="28"/>
          <w:rtl/>
        </w:rPr>
        <w:t xml:space="preserve">العابد، ع. م.، الزامل، و. س.، و المالكي، ع. م. (2022). تطبيق مبادئ الاستدامة البيئية في الأحياء السكنية القائمة في مكة المكرمة: حي الشرائع كنموذج. في </w:t>
      </w:r>
      <w:r w:rsidRPr="00D432D9">
        <w:rPr>
          <w:rFonts w:ascii="Traditional Arabic" w:hAnsi="Traditional Arabic" w:cs="Traditional Arabic"/>
          <w:i/>
          <w:iCs/>
          <w:sz w:val="28"/>
          <w:szCs w:val="28"/>
          <w:rtl/>
        </w:rPr>
        <w:t>أعمال المؤتمر الدولي جبري تونس (الندوة الدولية للمدن الذكية والتخطيط العمراني)</w:t>
      </w:r>
      <w:r w:rsidRPr="00D432D9">
        <w:rPr>
          <w:rFonts w:ascii="Traditional Arabic" w:hAnsi="Traditional Arabic" w:cs="Traditional Arabic"/>
          <w:sz w:val="28"/>
          <w:szCs w:val="28"/>
          <w:rtl/>
        </w:rPr>
        <w:t xml:space="preserve"> (ص. 1–17). تونس: الجمعية التونسية للإعلام الجغرافي الرقمي</w:t>
      </w:r>
      <w:r w:rsidRPr="00D432D9">
        <w:rPr>
          <w:rFonts w:ascii="Traditional Arabic" w:hAnsi="Traditional Arabic" w:cs="Traditional Arabic"/>
          <w:sz w:val="28"/>
          <w:szCs w:val="28"/>
          <w:lang w:bidi="ar-EG"/>
        </w:rPr>
        <w:t>.</w:t>
      </w:r>
    </w:p>
    <w:p w14:paraId="618B07A0" w14:textId="77777777" w:rsidR="00A03BD5" w:rsidRDefault="00A03BD5" w:rsidP="00A03BD5">
      <w:pPr>
        <w:bidi/>
        <w:spacing w:line="480" w:lineRule="auto"/>
        <w:rPr>
          <w:rFonts w:ascii="Traditional Arabic" w:hAnsi="Traditional Arabic" w:cs="Traditional Arabic"/>
          <w:sz w:val="28"/>
          <w:szCs w:val="28"/>
          <w:lang w:bidi="ar-EG"/>
        </w:rPr>
      </w:pPr>
    </w:p>
    <w:p w14:paraId="671EF7AF" w14:textId="77777777" w:rsidR="00A03BD5" w:rsidRPr="00A03BD5" w:rsidRDefault="00A03BD5" w:rsidP="00A03BD5">
      <w:pPr>
        <w:bidi/>
        <w:spacing w:line="480" w:lineRule="auto"/>
        <w:rPr>
          <w:rFonts w:ascii="Traditional Arabic" w:hAnsi="Traditional Arabic" w:cs="Traditional Arabic"/>
          <w:sz w:val="28"/>
          <w:szCs w:val="28"/>
          <w:lang w:bidi="ar-EG"/>
        </w:rPr>
      </w:pPr>
    </w:p>
    <w:p w14:paraId="6178CB22" w14:textId="24A1DF1A" w:rsidR="000843FE" w:rsidRPr="00270DA0" w:rsidRDefault="00D432D9" w:rsidP="000843FE">
      <w:pPr>
        <w:bidi/>
        <w:spacing w:line="480" w:lineRule="auto"/>
        <w:rPr>
          <w:rFonts w:ascii="Traditional Arabic" w:hAnsi="Traditional Arabic" w:cs="Traditional Arabic"/>
          <w:sz w:val="28"/>
          <w:szCs w:val="28"/>
          <w:lang w:bidi="ar-EG"/>
        </w:rPr>
      </w:pPr>
      <w:r>
        <w:rPr>
          <w:rFonts w:ascii="Traditional Arabic" w:hAnsi="Traditional Arabic" w:cs="Traditional Arabic" w:hint="cs"/>
          <w:b/>
          <w:bCs/>
          <w:sz w:val="28"/>
          <w:szCs w:val="28"/>
          <w:rtl/>
        </w:rPr>
        <w:lastRenderedPageBreak/>
        <w:t>المراجع الانجليزية</w:t>
      </w:r>
    </w:p>
    <w:p w14:paraId="7215C50B" w14:textId="77777777" w:rsidR="000843FE" w:rsidRPr="006337C0" w:rsidRDefault="000843FE" w:rsidP="000843FE">
      <w:pPr>
        <w:numPr>
          <w:ilvl w:val="0"/>
          <w:numId w:val="13"/>
        </w:numPr>
        <w:spacing w:line="480" w:lineRule="auto"/>
        <w:jc w:val="both"/>
        <w:rPr>
          <w:rFonts w:ascii="Traditional Arabic" w:hAnsi="Traditional Arabic" w:cs="Traditional Arabic"/>
          <w:sz w:val="28"/>
          <w:szCs w:val="28"/>
          <w:lang w:bidi="ar-EG"/>
        </w:rPr>
      </w:pPr>
      <w:r w:rsidRPr="006337C0">
        <w:rPr>
          <w:rFonts w:ascii="Traditional Arabic" w:hAnsi="Traditional Arabic" w:cs="Traditional Arabic"/>
          <w:sz w:val="28"/>
          <w:szCs w:val="28"/>
          <w:lang w:bidi="ar-EG"/>
        </w:rPr>
        <w:t xml:space="preserve">Alajmi, A. M., &amp; Ahmed Memon, Z. (2022). A Review on Significant Factors Causing Delays in Saudi Arabia Construction Projects. </w:t>
      </w:r>
      <w:r w:rsidRPr="006337C0">
        <w:rPr>
          <w:rFonts w:ascii="Traditional Arabic" w:hAnsi="Traditional Arabic" w:cs="Traditional Arabic"/>
          <w:i/>
          <w:iCs/>
          <w:sz w:val="28"/>
          <w:szCs w:val="28"/>
          <w:lang w:bidi="ar-EG"/>
        </w:rPr>
        <w:t>Smart Cities, 5</w:t>
      </w:r>
      <w:r w:rsidRPr="006337C0">
        <w:rPr>
          <w:rFonts w:ascii="Traditional Arabic" w:hAnsi="Traditional Arabic" w:cs="Traditional Arabic"/>
          <w:sz w:val="28"/>
          <w:szCs w:val="28"/>
          <w:lang w:bidi="ar-EG"/>
        </w:rPr>
        <w:t xml:space="preserve">(4), 1465-1487. </w:t>
      </w:r>
      <w:hyperlink r:id="rId8" w:tgtFrame="_new" w:history="1">
        <w:r w:rsidRPr="006337C0">
          <w:rPr>
            <w:rStyle w:val="Hyperlink"/>
            <w:rFonts w:ascii="Traditional Arabic" w:hAnsi="Traditional Arabic" w:cs="Traditional Arabic"/>
            <w:sz w:val="28"/>
            <w:szCs w:val="28"/>
            <w:lang w:bidi="ar-EG"/>
          </w:rPr>
          <w:t>https://doi.org/10.3390/smartcities5040075</w:t>
        </w:r>
      </w:hyperlink>
    </w:p>
    <w:p w14:paraId="48353433" w14:textId="77777777" w:rsidR="000843FE" w:rsidRPr="00D432D9" w:rsidRDefault="000843FE" w:rsidP="000843FE">
      <w:pPr>
        <w:pStyle w:val="ListParagraph"/>
        <w:numPr>
          <w:ilvl w:val="0"/>
          <w:numId w:val="15"/>
        </w:numPr>
        <w:spacing w:line="480" w:lineRule="auto"/>
        <w:jc w:val="both"/>
        <w:rPr>
          <w:rFonts w:ascii="Traditional Arabic" w:hAnsi="Traditional Arabic" w:cs="Traditional Arabic"/>
          <w:sz w:val="28"/>
          <w:szCs w:val="28"/>
          <w:rtl/>
          <w:lang w:bidi="ar-EG"/>
        </w:rPr>
      </w:pPr>
      <w:r w:rsidRPr="00D432D9">
        <w:rPr>
          <w:rFonts w:ascii="Traditional Arabic" w:hAnsi="Traditional Arabic" w:cs="Traditional Arabic"/>
          <w:sz w:val="28"/>
          <w:szCs w:val="28"/>
          <w:lang w:bidi="ar-EG"/>
        </w:rPr>
        <w:t xml:space="preserve">Alazmi, S., Abdelmegid, M., Sarhan, S., Poshdar, M., Gonzalez, V., &amp; Bidhendi, A. (2025). An integrated framework to improve waste management practices and environmental awareness in the Saudi construction industry. Cleaner Waste Systems, 10, 100195. </w:t>
      </w:r>
      <w:hyperlink r:id="rId9" w:history="1">
        <w:r w:rsidRPr="00D432D9">
          <w:rPr>
            <w:rStyle w:val="Hyperlink"/>
            <w:rFonts w:ascii="Traditional Arabic" w:hAnsi="Traditional Arabic" w:cs="Traditional Arabic"/>
            <w:sz w:val="28"/>
            <w:szCs w:val="28"/>
            <w:lang w:bidi="ar-EG"/>
          </w:rPr>
          <w:t>https://doi.org/10.1016/j.chwas.2024.100195</w:t>
        </w:r>
      </w:hyperlink>
    </w:p>
    <w:p w14:paraId="3C207673" w14:textId="77777777" w:rsidR="000843FE" w:rsidRPr="00D432D9" w:rsidRDefault="000843FE" w:rsidP="000843FE">
      <w:pPr>
        <w:pStyle w:val="ListParagraph"/>
        <w:numPr>
          <w:ilvl w:val="0"/>
          <w:numId w:val="15"/>
        </w:numPr>
        <w:spacing w:line="480" w:lineRule="auto"/>
        <w:jc w:val="both"/>
        <w:rPr>
          <w:rFonts w:ascii="Traditional Arabic" w:hAnsi="Traditional Arabic" w:cs="Traditional Arabic"/>
          <w:sz w:val="28"/>
          <w:szCs w:val="28"/>
          <w:rtl/>
          <w:lang w:bidi="ar-EG"/>
        </w:rPr>
      </w:pPr>
      <w:r w:rsidRPr="00D432D9">
        <w:rPr>
          <w:rFonts w:ascii="Traditional Arabic" w:hAnsi="Traditional Arabic" w:cs="Traditional Arabic"/>
          <w:sz w:val="28"/>
          <w:szCs w:val="28"/>
          <w:lang w:bidi="ar-EG"/>
        </w:rPr>
        <w:t xml:space="preserve">Alfalah, G., Aldajani, S., Elshaboury, N., Al-Sakkaf, A., &amp; Alshamrani, O. (2024). Development of a Performance Assessment Model for Contractors in Saudi Arabian Construction Projects. Advances in Civil Engineering, 2024, 1–17. </w:t>
      </w:r>
      <w:hyperlink r:id="rId10" w:history="1">
        <w:r w:rsidRPr="00D432D9">
          <w:rPr>
            <w:rStyle w:val="Hyperlink"/>
            <w:rFonts w:ascii="Traditional Arabic" w:hAnsi="Traditional Arabic" w:cs="Traditional Arabic"/>
            <w:sz w:val="28"/>
            <w:szCs w:val="28"/>
            <w:lang w:bidi="ar-EG"/>
          </w:rPr>
          <w:t>https://doi.org/10.1155/2024/8780539</w:t>
        </w:r>
      </w:hyperlink>
    </w:p>
    <w:p w14:paraId="1219FE01" w14:textId="77777777" w:rsidR="000843FE" w:rsidRDefault="000843FE" w:rsidP="000843FE">
      <w:pPr>
        <w:numPr>
          <w:ilvl w:val="0"/>
          <w:numId w:val="15"/>
        </w:numPr>
        <w:spacing w:line="480" w:lineRule="auto"/>
        <w:jc w:val="both"/>
        <w:rPr>
          <w:rFonts w:ascii="Traditional Arabic" w:hAnsi="Traditional Arabic" w:cs="Traditional Arabic"/>
          <w:sz w:val="28"/>
          <w:szCs w:val="28"/>
          <w:lang w:bidi="ar-EG"/>
        </w:rPr>
      </w:pPr>
      <w:r w:rsidRPr="00270DA0">
        <w:rPr>
          <w:rFonts w:ascii="Traditional Arabic" w:hAnsi="Traditional Arabic" w:cs="Traditional Arabic"/>
          <w:sz w:val="28"/>
          <w:szCs w:val="28"/>
          <w:lang w:bidi="ar-EG"/>
        </w:rPr>
        <w:lastRenderedPageBreak/>
        <w:t xml:space="preserve">Alghuried, A. (2023). Measuring the Benefits and Barriers of the Implementation of BIM in Sustainable Practice in the Construction Industry of Saudi Arabia. </w:t>
      </w:r>
      <w:r w:rsidRPr="00270DA0">
        <w:rPr>
          <w:rFonts w:ascii="Traditional Arabic" w:hAnsi="Traditional Arabic" w:cs="Traditional Arabic"/>
          <w:i/>
          <w:iCs/>
          <w:sz w:val="28"/>
          <w:szCs w:val="28"/>
          <w:lang w:bidi="ar-EG"/>
        </w:rPr>
        <w:t>Sustainability, 15</w:t>
      </w:r>
      <w:r w:rsidRPr="00270DA0">
        <w:rPr>
          <w:rFonts w:ascii="Traditional Arabic" w:hAnsi="Traditional Arabic" w:cs="Traditional Arabic"/>
          <w:sz w:val="28"/>
          <w:szCs w:val="28"/>
          <w:lang w:bidi="ar-EG"/>
        </w:rPr>
        <w:t xml:space="preserve">(19), 14323. </w:t>
      </w:r>
    </w:p>
    <w:p w14:paraId="1FBA0961" w14:textId="16B1E727" w:rsidR="000843FE" w:rsidRDefault="000843FE" w:rsidP="000843FE">
      <w:pPr>
        <w:numPr>
          <w:ilvl w:val="0"/>
          <w:numId w:val="13"/>
        </w:numPr>
        <w:spacing w:line="480" w:lineRule="auto"/>
        <w:jc w:val="both"/>
        <w:rPr>
          <w:rFonts w:ascii="Traditional Arabic" w:hAnsi="Traditional Arabic" w:cs="Traditional Arabic"/>
          <w:sz w:val="28"/>
          <w:szCs w:val="28"/>
          <w:lang w:bidi="ar-EG"/>
        </w:rPr>
      </w:pPr>
      <w:r w:rsidRPr="00270DA0">
        <w:rPr>
          <w:rFonts w:ascii="Traditional Arabic" w:hAnsi="Traditional Arabic" w:cs="Traditional Arabic"/>
          <w:sz w:val="28"/>
          <w:szCs w:val="28"/>
          <w:lang w:bidi="ar-EG"/>
        </w:rPr>
        <w:t xml:space="preserve">Alghuried, A. (2025). Assessing the critical success factors for the sustainable construction project management of Saudi Arabia. </w:t>
      </w:r>
      <w:r w:rsidRPr="00270DA0">
        <w:rPr>
          <w:rFonts w:ascii="Traditional Arabic" w:hAnsi="Traditional Arabic" w:cs="Traditional Arabic"/>
          <w:i/>
          <w:iCs/>
          <w:sz w:val="28"/>
          <w:szCs w:val="28"/>
          <w:lang w:bidi="ar-EG"/>
        </w:rPr>
        <w:t>Journal of Asian Architecture and Building Engineering</w:t>
      </w:r>
      <w:r w:rsidRPr="00270DA0">
        <w:rPr>
          <w:rFonts w:ascii="Traditional Arabic" w:hAnsi="Traditional Arabic" w:cs="Traditional Arabic"/>
          <w:sz w:val="28"/>
          <w:szCs w:val="28"/>
          <w:lang w:bidi="ar-EG"/>
        </w:rPr>
        <w:t xml:space="preserve">. </w:t>
      </w:r>
      <w:hyperlink r:id="rId11" w:history="1">
        <w:r w:rsidRPr="00D71969">
          <w:rPr>
            <w:rStyle w:val="Hyperlink"/>
            <w:rFonts w:ascii="Traditional Arabic" w:hAnsi="Traditional Arabic" w:cs="Traditional Arabic"/>
            <w:sz w:val="28"/>
            <w:szCs w:val="28"/>
            <w:lang w:bidi="ar-EG"/>
          </w:rPr>
          <w:t>https://doi.org/10.1080/13467581.2025.2454616</w:t>
        </w:r>
      </w:hyperlink>
    </w:p>
    <w:p w14:paraId="3F068DC7" w14:textId="77777777" w:rsidR="000843FE" w:rsidRPr="00D432D9" w:rsidRDefault="000843FE" w:rsidP="000843FE">
      <w:pPr>
        <w:pStyle w:val="ListParagraph"/>
        <w:numPr>
          <w:ilvl w:val="0"/>
          <w:numId w:val="15"/>
        </w:numPr>
        <w:spacing w:line="480" w:lineRule="auto"/>
        <w:jc w:val="both"/>
        <w:rPr>
          <w:rFonts w:ascii="Traditional Arabic" w:hAnsi="Traditional Arabic" w:cs="Traditional Arabic"/>
          <w:sz w:val="28"/>
          <w:szCs w:val="28"/>
          <w:rtl/>
          <w:lang w:bidi="ar-EG"/>
        </w:rPr>
      </w:pPr>
      <w:r w:rsidRPr="00D432D9">
        <w:rPr>
          <w:rFonts w:ascii="Traditional Arabic" w:hAnsi="Traditional Arabic" w:cs="Traditional Arabic"/>
          <w:sz w:val="28"/>
          <w:szCs w:val="28"/>
          <w:lang w:bidi="ar-EG"/>
        </w:rPr>
        <w:t xml:space="preserve">Almahmoud, E. S., Doloi, H. K., &amp; Panuwatwanich, K. (2012). Linking project health to project performance indicators: Multiple case studies of construction projects in Saudi Arabia. International Journal of Project Management, 30(3), 296-307. </w:t>
      </w:r>
      <w:hyperlink r:id="rId12" w:history="1">
        <w:r w:rsidRPr="00D432D9">
          <w:rPr>
            <w:rStyle w:val="Hyperlink"/>
            <w:rFonts w:ascii="Traditional Arabic" w:hAnsi="Traditional Arabic" w:cs="Traditional Arabic"/>
            <w:sz w:val="28"/>
            <w:szCs w:val="28"/>
            <w:lang w:bidi="ar-EG"/>
          </w:rPr>
          <w:t>https://doi.org/10.1016/j.ijproman.2011.07.001</w:t>
        </w:r>
      </w:hyperlink>
    </w:p>
    <w:p w14:paraId="7979E654" w14:textId="77777777" w:rsidR="000843FE" w:rsidRPr="00270DA0" w:rsidRDefault="000843FE" w:rsidP="000843FE">
      <w:pPr>
        <w:numPr>
          <w:ilvl w:val="0"/>
          <w:numId w:val="15"/>
        </w:numPr>
        <w:spacing w:line="480" w:lineRule="auto"/>
        <w:jc w:val="both"/>
        <w:rPr>
          <w:rFonts w:ascii="Traditional Arabic" w:hAnsi="Traditional Arabic" w:cs="Traditional Arabic"/>
          <w:sz w:val="28"/>
          <w:szCs w:val="28"/>
          <w:lang w:bidi="ar-EG"/>
        </w:rPr>
      </w:pPr>
      <w:r w:rsidRPr="00270DA0">
        <w:rPr>
          <w:rFonts w:ascii="Traditional Arabic" w:hAnsi="Traditional Arabic" w:cs="Traditional Arabic"/>
          <w:sz w:val="28"/>
          <w:szCs w:val="28"/>
          <w:lang w:bidi="ar-EG"/>
        </w:rPr>
        <w:t xml:space="preserve">Al-Otaibi, A., Bowan, P. A., Alabdullatief, A., Albaiz, M., &amp; Salah, M. (2025). Barriers to Sustainable Building Project Performance in Developing Countries: A Case of Ghana and the Kingdom of Saudi Arabia. </w:t>
      </w:r>
      <w:r w:rsidRPr="00270DA0">
        <w:rPr>
          <w:rFonts w:ascii="Traditional Arabic" w:hAnsi="Traditional Arabic" w:cs="Traditional Arabic"/>
          <w:i/>
          <w:iCs/>
          <w:sz w:val="28"/>
          <w:szCs w:val="28"/>
          <w:lang w:bidi="ar-EG"/>
        </w:rPr>
        <w:t>Sustainability, 17</w:t>
      </w:r>
      <w:r w:rsidRPr="00270DA0">
        <w:rPr>
          <w:rFonts w:ascii="Traditional Arabic" w:hAnsi="Traditional Arabic" w:cs="Traditional Arabic"/>
          <w:sz w:val="28"/>
          <w:szCs w:val="28"/>
          <w:lang w:bidi="ar-EG"/>
        </w:rPr>
        <w:t xml:space="preserve">(8), 3539. </w:t>
      </w:r>
      <w:hyperlink r:id="rId13" w:tgtFrame="_new" w:history="1">
        <w:r w:rsidRPr="00270DA0">
          <w:rPr>
            <w:rStyle w:val="Hyperlink"/>
            <w:rFonts w:ascii="Traditional Arabic" w:hAnsi="Traditional Arabic" w:cs="Traditional Arabic"/>
            <w:sz w:val="28"/>
            <w:szCs w:val="28"/>
            <w:lang w:bidi="ar-EG"/>
          </w:rPr>
          <w:t>https://doi.org/10.3390/su17083539</w:t>
        </w:r>
      </w:hyperlink>
    </w:p>
    <w:p w14:paraId="548618F4" w14:textId="77777777" w:rsidR="000843FE" w:rsidRPr="006337C0" w:rsidRDefault="000843FE" w:rsidP="000843FE">
      <w:pPr>
        <w:numPr>
          <w:ilvl w:val="0"/>
          <w:numId w:val="13"/>
        </w:numPr>
        <w:spacing w:line="480" w:lineRule="auto"/>
        <w:jc w:val="both"/>
        <w:rPr>
          <w:rFonts w:ascii="Traditional Arabic" w:hAnsi="Traditional Arabic" w:cs="Traditional Arabic"/>
          <w:sz w:val="28"/>
          <w:szCs w:val="28"/>
          <w:lang w:bidi="ar-EG"/>
        </w:rPr>
      </w:pPr>
      <w:r w:rsidRPr="006337C0">
        <w:rPr>
          <w:rFonts w:ascii="Traditional Arabic" w:hAnsi="Traditional Arabic" w:cs="Traditional Arabic"/>
          <w:sz w:val="28"/>
          <w:szCs w:val="28"/>
          <w:lang w:bidi="ar-EG"/>
        </w:rPr>
        <w:lastRenderedPageBreak/>
        <w:t xml:space="preserve">Alshihri, S., Al-Gahtani, K., &amp; Almohsen, A. (2022). Risk Factors That Lead to Time and Cost Overruns of Building Projects in Saudi Arabia. </w:t>
      </w:r>
      <w:r w:rsidRPr="006337C0">
        <w:rPr>
          <w:rFonts w:ascii="Traditional Arabic" w:hAnsi="Traditional Arabic" w:cs="Traditional Arabic"/>
          <w:i/>
          <w:iCs/>
          <w:sz w:val="28"/>
          <w:szCs w:val="28"/>
          <w:lang w:bidi="ar-EG"/>
        </w:rPr>
        <w:t>Buildings, 12</w:t>
      </w:r>
      <w:r w:rsidRPr="006337C0">
        <w:rPr>
          <w:rFonts w:ascii="Traditional Arabic" w:hAnsi="Traditional Arabic" w:cs="Traditional Arabic"/>
          <w:sz w:val="28"/>
          <w:szCs w:val="28"/>
          <w:lang w:bidi="ar-EG"/>
        </w:rPr>
        <w:t xml:space="preserve">(7), 902. </w:t>
      </w:r>
      <w:hyperlink r:id="rId14" w:tgtFrame="_new" w:history="1">
        <w:r w:rsidRPr="006337C0">
          <w:rPr>
            <w:rStyle w:val="Hyperlink"/>
            <w:rFonts w:ascii="Traditional Arabic" w:hAnsi="Traditional Arabic" w:cs="Traditional Arabic"/>
            <w:sz w:val="28"/>
            <w:szCs w:val="28"/>
            <w:lang w:bidi="ar-EG"/>
          </w:rPr>
          <w:t>https://doi.org/10.3390/buildings12070902</w:t>
        </w:r>
      </w:hyperlink>
    </w:p>
    <w:p w14:paraId="37782CF8" w14:textId="77777777" w:rsidR="000843FE" w:rsidRPr="00270DA0" w:rsidRDefault="000843FE" w:rsidP="000843FE">
      <w:pPr>
        <w:numPr>
          <w:ilvl w:val="0"/>
          <w:numId w:val="13"/>
        </w:numPr>
        <w:spacing w:line="480" w:lineRule="auto"/>
        <w:jc w:val="both"/>
        <w:rPr>
          <w:rFonts w:ascii="Traditional Arabic" w:hAnsi="Traditional Arabic" w:cs="Traditional Arabic"/>
          <w:sz w:val="28"/>
          <w:szCs w:val="28"/>
          <w:lang w:bidi="ar-EG"/>
        </w:rPr>
      </w:pPr>
      <w:r w:rsidRPr="00270DA0">
        <w:rPr>
          <w:rFonts w:ascii="Traditional Arabic" w:hAnsi="Traditional Arabic" w:cs="Traditional Arabic"/>
          <w:sz w:val="28"/>
          <w:szCs w:val="28"/>
          <w:lang w:bidi="ar-EG"/>
        </w:rPr>
        <w:t xml:space="preserve">Al-Yami, A. M. H. (2008). </w:t>
      </w:r>
      <w:r w:rsidRPr="00270DA0">
        <w:rPr>
          <w:rFonts w:ascii="Traditional Arabic" w:hAnsi="Traditional Arabic" w:cs="Traditional Arabic"/>
          <w:i/>
          <w:iCs/>
          <w:sz w:val="28"/>
          <w:szCs w:val="28"/>
          <w:lang w:bidi="ar-EG"/>
        </w:rPr>
        <w:t>An Integrated Approach to Value Management and Sustainable Construction during Strategic Briefing in Saudi Construction Projects</w:t>
      </w:r>
      <w:r w:rsidRPr="00270DA0">
        <w:rPr>
          <w:rFonts w:ascii="Traditional Arabic" w:hAnsi="Traditional Arabic" w:cs="Traditional Arabic"/>
          <w:sz w:val="28"/>
          <w:szCs w:val="28"/>
          <w:lang w:bidi="ar-EG"/>
        </w:rPr>
        <w:t xml:space="preserve"> (Doctoral thesis, Loughborough University).</w:t>
      </w:r>
    </w:p>
    <w:p w14:paraId="18620841" w14:textId="77777777" w:rsidR="000843FE" w:rsidRPr="006337C0" w:rsidRDefault="000843FE" w:rsidP="000843FE">
      <w:pPr>
        <w:numPr>
          <w:ilvl w:val="0"/>
          <w:numId w:val="13"/>
        </w:numPr>
        <w:spacing w:line="480" w:lineRule="auto"/>
        <w:jc w:val="both"/>
        <w:rPr>
          <w:rFonts w:ascii="Traditional Arabic" w:hAnsi="Traditional Arabic" w:cs="Traditional Arabic"/>
          <w:sz w:val="28"/>
          <w:szCs w:val="28"/>
          <w:lang w:bidi="ar-EG"/>
        </w:rPr>
      </w:pPr>
      <w:r w:rsidRPr="006337C0">
        <w:rPr>
          <w:rFonts w:ascii="Traditional Arabic" w:hAnsi="Traditional Arabic" w:cs="Traditional Arabic"/>
          <w:sz w:val="28"/>
          <w:szCs w:val="28"/>
          <w:lang w:bidi="ar-EG"/>
        </w:rPr>
        <w:t xml:space="preserve">Asiri, A. N. M., &amp; Al Mazhar, M. K. (2025). Optimizing Construction Project Performance In Asir, Saudi Arabia: A KPI Perspective. </w:t>
      </w:r>
      <w:r w:rsidRPr="006337C0">
        <w:rPr>
          <w:rFonts w:ascii="Traditional Arabic" w:hAnsi="Traditional Arabic" w:cs="Traditional Arabic"/>
          <w:i/>
          <w:iCs/>
          <w:sz w:val="28"/>
          <w:szCs w:val="28"/>
          <w:lang w:bidi="ar-EG"/>
        </w:rPr>
        <w:t>Metallurgical and Materials Engineering</w:t>
      </w:r>
      <w:r w:rsidRPr="006337C0">
        <w:rPr>
          <w:rFonts w:ascii="Traditional Arabic" w:hAnsi="Traditional Arabic" w:cs="Traditional Arabic"/>
          <w:sz w:val="28"/>
          <w:szCs w:val="28"/>
          <w:lang w:bidi="ar-EG"/>
        </w:rPr>
        <w:t xml:space="preserve">, 430-445. </w:t>
      </w:r>
      <w:hyperlink r:id="rId15" w:tgtFrame="_new" w:history="1">
        <w:r w:rsidRPr="006337C0">
          <w:rPr>
            <w:rStyle w:val="Hyperlink"/>
            <w:rFonts w:ascii="Traditional Arabic" w:hAnsi="Traditional Arabic" w:cs="Traditional Arabic"/>
            <w:sz w:val="28"/>
            <w:szCs w:val="28"/>
            <w:lang w:bidi="ar-EG"/>
          </w:rPr>
          <w:t>https://doi.org/10.63278/mme.vi.1598</w:t>
        </w:r>
      </w:hyperlink>
    </w:p>
    <w:p w14:paraId="03E35725" w14:textId="77777777" w:rsidR="000843FE" w:rsidRPr="008472C6" w:rsidRDefault="000843FE" w:rsidP="000843FE">
      <w:pPr>
        <w:numPr>
          <w:ilvl w:val="0"/>
          <w:numId w:val="13"/>
        </w:numPr>
        <w:spacing w:line="480" w:lineRule="auto"/>
        <w:jc w:val="both"/>
        <w:rPr>
          <w:rFonts w:ascii="Traditional Arabic" w:hAnsi="Traditional Arabic" w:cs="Traditional Arabic"/>
          <w:sz w:val="28"/>
          <w:szCs w:val="28"/>
          <w:lang w:bidi="ar-EG"/>
        </w:rPr>
      </w:pPr>
      <w:r w:rsidRPr="008472C6">
        <w:rPr>
          <w:rFonts w:ascii="Traditional Arabic" w:hAnsi="Traditional Arabic" w:cs="Traditional Arabic"/>
          <w:sz w:val="28"/>
          <w:szCs w:val="28"/>
          <w:lang w:bidi="ar-EG"/>
        </w:rPr>
        <w:t xml:space="preserve">Azmi, N. A., Sweis, G., Sweis, R., &amp; Sammour, F. (2022). Exploring Implementation of Blockchain for the Supply Chain Resilience and Sustainability of the Construction Industry in Saudi Arabia. </w:t>
      </w:r>
      <w:r w:rsidRPr="008472C6">
        <w:rPr>
          <w:rFonts w:ascii="Traditional Arabic" w:hAnsi="Traditional Arabic" w:cs="Traditional Arabic"/>
          <w:i/>
          <w:iCs/>
          <w:sz w:val="28"/>
          <w:szCs w:val="28"/>
          <w:lang w:bidi="ar-EG"/>
        </w:rPr>
        <w:t>Sustainability, 14</w:t>
      </w:r>
      <w:r w:rsidRPr="008472C6">
        <w:rPr>
          <w:rFonts w:ascii="Traditional Arabic" w:hAnsi="Traditional Arabic" w:cs="Traditional Arabic"/>
          <w:sz w:val="28"/>
          <w:szCs w:val="28"/>
          <w:lang w:bidi="ar-EG"/>
        </w:rPr>
        <w:t xml:space="preserve">(11), 6427. </w:t>
      </w:r>
      <w:hyperlink r:id="rId16" w:tgtFrame="_new" w:history="1">
        <w:r w:rsidRPr="008472C6">
          <w:rPr>
            <w:rStyle w:val="Hyperlink"/>
            <w:rFonts w:ascii="Traditional Arabic" w:hAnsi="Traditional Arabic" w:cs="Traditional Arabic"/>
            <w:sz w:val="28"/>
            <w:szCs w:val="28"/>
            <w:lang w:bidi="ar-EG"/>
          </w:rPr>
          <w:t>https://doi.org/10.3390/su14116427</w:t>
        </w:r>
      </w:hyperlink>
    </w:p>
    <w:p w14:paraId="4392DC64" w14:textId="77777777" w:rsidR="000843FE" w:rsidRPr="008472C6" w:rsidRDefault="000843FE" w:rsidP="000843FE">
      <w:pPr>
        <w:numPr>
          <w:ilvl w:val="0"/>
          <w:numId w:val="13"/>
        </w:numPr>
        <w:spacing w:line="480" w:lineRule="auto"/>
        <w:jc w:val="both"/>
        <w:rPr>
          <w:rFonts w:ascii="Traditional Arabic" w:hAnsi="Traditional Arabic" w:cs="Traditional Arabic"/>
          <w:sz w:val="28"/>
          <w:szCs w:val="28"/>
          <w:lang w:bidi="ar-EG"/>
        </w:rPr>
      </w:pPr>
      <w:r w:rsidRPr="008472C6">
        <w:rPr>
          <w:rFonts w:ascii="Traditional Arabic" w:hAnsi="Traditional Arabic" w:cs="Traditional Arabic"/>
          <w:sz w:val="28"/>
          <w:szCs w:val="28"/>
          <w:lang w:bidi="ar-EG"/>
        </w:rPr>
        <w:t xml:space="preserve">Jamoussi, B., Abu-Rizaiza, A., &amp; AL-Haij, A. (2022). Sustainable Building Standards, Codes and Certification Systems: The Status Quo and Future </w:t>
      </w:r>
      <w:r w:rsidRPr="008472C6">
        <w:rPr>
          <w:rFonts w:ascii="Traditional Arabic" w:hAnsi="Traditional Arabic" w:cs="Traditional Arabic"/>
          <w:sz w:val="28"/>
          <w:szCs w:val="28"/>
          <w:lang w:bidi="ar-EG"/>
        </w:rPr>
        <w:lastRenderedPageBreak/>
        <w:t xml:space="preserve">Directions in Saudi Arabia. </w:t>
      </w:r>
      <w:r w:rsidRPr="008472C6">
        <w:rPr>
          <w:rFonts w:ascii="Traditional Arabic" w:hAnsi="Traditional Arabic" w:cs="Traditional Arabic"/>
          <w:i/>
          <w:iCs/>
          <w:sz w:val="28"/>
          <w:szCs w:val="28"/>
          <w:lang w:bidi="ar-EG"/>
        </w:rPr>
        <w:t>Sustainability, 14</w:t>
      </w:r>
      <w:r w:rsidRPr="008472C6">
        <w:rPr>
          <w:rFonts w:ascii="Traditional Arabic" w:hAnsi="Traditional Arabic" w:cs="Traditional Arabic"/>
          <w:sz w:val="28"/>
          <w:szCs w:val="28"/>
          <w:lang w:bidi="ar-EG"/>
        </w:rPr>
        <w:t xml:space="preserve">(16), 10314. </w:t>
      </w:r>
      <w:hyperlink r:id="rId17" w:tgtFrame="_new" w:history="1">
        <w:r w:rsidRPr="008472C6">
          <w:rPr>
            <w:rStyle w:val="Hyperlink"/>
            <w:rFonts w:ascii="Traditional Arabic" w:hAnsi="Traditional Arabic" w:cs="Traditional Arabic"/>
            <w:sz w:val="28"/>
            <w:szCs w:val="28"/>
            <w:lang w:bidi="ar-EG"/>
          </w:rPr>
          <w:t>https://doi.org/10.3390/su141610314</w:t>
        </w:r>
      </w:hyperlink>
    </w:p>
    <w:p w14:paraId="7022BB2D" w14:textId="77777777" w:rsidR="009A2D06" w:rsidRPr="009A2D06" w:rsidRDefault="000843FE" w:rsidP="009A2D06">
      <w:pPr>
        <w:pStyle w:val="ListParagraph"/>
        <w:numPr>
          <w:ilvl w:val="0"/>
          <w:numId w:val="13"/>
        </w:numPr>
        <w:spacing w:line="480" w:lineRule="auto"/>
        <w:jc w:val="both"/>
        <w:rPr>
          <w:rFonts w:ascii="Traditional Arabic" w:hAnsi="Traditional Arabic" w:cs="Traditional Arabic"/>
          <w:sz w:val="28"/>
          <w:szCs w:val="28"/>
          <w:lang w:bidi="ar-EG"/>
        </w:rPr>
      </w:pPr>
      <w:r w:rsidRPr="009A2D06">
        <w:rPr>
          <w:rFonts w:ascii="Traditional Arabic" w:hAnsi="Traditional Arabic" w:cs="Traditional Arabic"/>
          <w:sz w:val="28"/>
          <w:szCs w:val="28"/>
          <w:lang w:bidi="ar-EG"/>
        </w:rPr>
        <w:t xml:space="preserve">Kingdom of Saudi Arabia. (2018). </w:t>
      </w:r>
      <w:r w:rsidRPr="009A2D06">
        <w:rPr>
          <w:rFonts w:ascii="Traditional Arabic" w:hAnsi="Traditional Arabic" w:cs="Traditional Arabic"/>
          <w:i/>
          <w:iCs/>
          <w:sz w:val="28"/>
          <w:szCs w:val="28"/>
          <w:lang w:bidi="ar-EG"/>
        </w:rPr>
        <w:t>Voluntary National Review 2018: Towards a Sustainable Kingdom of Saudi Arabia.</w:t>
      </w:r>
      <w:r w:rsidRPr="009A2D06">
        <w:rPr>
          <w:rFonts w:ascii="Traditional Arabic" w:hAnsi="Traditional Arabic" w:cs="Traditional Arabic"/>
          <w:sz w:val="28"/>
          <w:szCs w:val="28"/>
          <w:lang w:bidi="ar-EG"/>
        </w:rPr>
        <w:t xml:space="preserve"> Ministry of Economy and Planning. </w:t>
      </w:r>
      <w:hyperlink r:id="rId18" w:history="1">
        <w:r w:rsidR="009A2D06" w:rsidRPr="009A2D06">
          <w:rPr>
            <w:rStyle w:val="Hyperlink"/>
          </w:rPr>
          <w:t>Voluntary National Review (VNR) for Saudi Arabia | United Nations Development Programme</w:t>
        </w:r>
      </w:hyperlink>
      <w:r w:rsidR="009A2D06" w:rsidRPr="009A2D06">
        <w:t xml:space="preserve"> </w:t>
      </w:r>
    </w:p>
    <w:p w14:paraId="6FD26C07" w14:textId="2C2A5C46" w:rsidR="000843FE" w:rsidRPr="009A2D06" w:rsidRDefault="000843FE" w:rsidP="009A2D06">
      <w:pPr>
        <w:pStyle w:val="ListParagraph"/>
        <w:numPr>
          <w:ilvl w:val="0"/>
          <w:numId w:val="13"/>
        </w:numPr>
        <w:spacing w:line="480" w:lineRule="auto"/>
        <w:jc w:val="both"/>
        <w:rPr>
          <w:rFonts w:ascii="Traditional Arabic" w:hAnsi="Traditional Arabic" w:cs="Traditional Arabic"/>
          <w:sz w:val="28"/>
          <w:szCs w:val="28"/>
          <w:lang w:bidi="ar-EG"/>
        </w:rPr>
      </w:pPr>
      <w:r w:rsidRPr="009A2D06">
        <w:rPr>
          <w:rFonts w:ascii="Traditional Arabic" w:hAnsi="Traditional Arabic" w:cs="Traditional Arabic"/>
          <w:sz w:val="28"/>
          <w:szCs w:val="28"/>
          <w:lang w:bidi="ar-EG"/>
        </w:rPr>
        <w:t xml:space="preserve">Qazi, A., Shamayleh, A., El-Sayegh, S., &amp; Formaneck, S. (2021). Prioritizing risks in sustainable construction projects using a risk matrix-based Monte Carlo Simulation approach. </w:t>
      </w:r>
      <w:r w:rsidRPr="009A2D06">
        <w:rPr>
          <w:rFonts w:ascii="Traditional Arabic" w:hAnsi="Traditional Arabic" w:cs="Traditional Arabic"/>
          <w:i/>
          <w:iCs/>
          <w:sz w:val="28"/>
          <w:szCs w:val="28"/>
          <w:lang w:bidi="ar-EG"/>
        </w:rPr>
        <w:t>Sustainable Cities and Society</w:t>
      </w:r>
      <w:r w:rsidRPr="009A2D06">
        <w:rPr>
          <w:rFonts w:ascii="Traditional Arabic" w:hAnsi="Traditional Arabic" w:cs="Traditional Arabic"/>
          <w:sz w:val="28"/>
          <w:szCs w:val="28"/>
          <w:lang w:bidi="ar-EG"/>
        </w:rPr>
        <w:t xml:space="preserve">, 65, 102576. </w:t>
      </w:r>
      <w:hyperlink r:id="rId19" w:tgtFrame="_new" w:history="1">
        <w:r w:rsidRPr="009A2D06">
          <w:rPr>
            <w:rStyle w:val="Hyperlink"/>
            <w:rFonts w:ascii="Traditional Arabic" w:hAnsi="Traditional Arabic" w:cs="Traditional Arabic"/>
            <w:sz w:val="28"/>
            <w:szCs w:val="28"/>
            <w:lang w:bidi="ar-EG"/>
          </w:rPr>
          <w:t>https://doi.org/10.1016/j.scs.2020.102576</w:t>
        </w:r>
      </w:hyperlink>
    </w:p>
    <w:p w14:paraId="76874778" w14:textId="77777777" w:rsidR="000843FE" w:rsidRPr="0022494E" w:rsidRDefault="000843FE" w:rsidP="000843FE">
      <w:pPr>
        <w:numPr>
          <w:ilvl w:val="0"/>
          <w:numId w:val="13"/>
        </w:numPr>
        <w:spacing w:line="480" w:lineRule="auto"/>
        <w:jc w:val="both"/>
        <w:rPr>
          <w:rFonts w:ascii="Traditional Arabic" w:hAnsi="Traditional Arabic" w:cs="Traditional Arabic"/>
          <w:sz w:val="28"/>
          <w:szCs w:val="28"/>
          <w:lang w:bidi="ar-EG"/>
        </w:rPr>
      </w:pPr>
      <w:r w:rsidRPr="0022494E">
        <w:rPr>
          <w:rFonts w:ascii="Traditional Arabic" w:hAnsi="Traditional Arabic" w:cs="Traditional Arabic"/>
          <w:sz w:val="28"/>
          <w:szCs w:val="28"/>
          <w:lang w:bidi="ar-EG"/>
        </w:rPr>
        <w:t xml:space="preserve">Rajabi, S., El-Sayegh, S., &amp; Romdhane, L. (2022). Identification and assessment of sustainability performance indicators for construction projects. </w:t>
      </w:r>
      <w:r w:rsidRPr="0022494E">
        <w:rPr>
          <w:rFonts w:ascii="Traditional Arabic" w:hAnsi="Traditional Arabic" w:cs="Traditional Arabic"/>
          <w:i/>
          <w:iCs/>
          <w:sz w:val="28"/>
          <w:szCs w:val="28"/>
          <w:lang w:bidi="ar-EG"/>
        </w:rPr>
        <w:t>Environmental and Sustainability Indicators</w:t>
      </w:r>
      <w:r w:rsidRPr="0022494E">
        <w:rPr>
          <w:rFonts w:ascii="Traditional Arabic" w:hAnsi="Traditional Arabic" w:cs="Traditional Arabic"/>
          <w:sz w:val="28"/>
          <w:szCs w:val="28"/>
          <w:lang w:bidi="ar-EG"/>
        </w:rPr>
        <w:t xml:space="preserve">, 15, 100193. </w:t>
      </w:r>
      <w:hyperlink r:id="rId20" w:tgtFrame="_new" w:history="1">
        <w:r w:rsidRPr="0022494E">
          <w:rPr>
            <w:rStyle w:val="Hyperlink"/>
            <w:rFonts w:ascii="Traditional Arabic" w:hAnsi="Traditional Arabic" w:cs="Traditional Arabic"/>
            <w:sz w:val="28"/>
            <w:szCs w:val="28"/>
            <w:lang w:bidi="ar-EG"/>
          </w:rPr>
          <w:t>https://doi.org/10.1016/j.indic.2022.100193</w:t>
        </w:r>
      </w:hyperlink>
    </w:p>
    <w:p w14:paraId="3ECDBB68" w14:textId="77777777" w:rsidR="000843FE" w:rsidRPr="0022494E" w:rsidRDefault="000843FE" w:rsidP="000843FE">
      <w:pPr>
        <w:numPr>
          <w:ilvl w:val="0"/>
          <w:numId w:val="13"/>
        </w:numPr>
        <w:spacing w:line="480" w:lineRule="auto"/>
        <w:jc w:val="both"/>
        <w:rPr>
          <w:rFonts w:ascii="Traditional Arabic" w:hAnsi="Traditional Arabic" w:cs="Traditional Arabic"/>
          <w:sz w:val="28"/>
          <w:szCs w:val="28"/>
          <w:lang w:bidi="ar-EG"/>
        </w:rPr>
      </w:pPr>
      <w:r w:rsidRPr="0022494E">
        <w:rPr>
          <w:rFonts w:ascii="Traditional Arabic" w:hAnsi="Traditional Arabic" w:cs="Traditional Arabic"/>
          <w:sz w:val="28"/>
          <w:szCs w:val="28"/>
          <w:lang w:bidi="ar-EG"/>
        </w:rPr>
        <w:lastRenderedPageBreak/>
        <w:t xml:space="preserve">Salah, M., Elmasry, M., Mashhour, I. M., &amp; Amer, N. (2023). A framework for assessing sustainability of construction projects. </w:t>
      </w:r>
      <w:r w:rsidRPr="0022494E">
        <w:rPr>
          <w:rFonts w:ascii="Traditional Arabic" w:hAnsi="Traditional Arabic" w:cs="Traditional Arabic"/>
          <w:i/>
          <w:iCs/>
          <w:sz w:val="28"/>
          <w:szCs w:val="28"/>
          <w:lang w:bidi="ar-EG"/>
        </w:rPr>
        <w:t>Cleaner Engineering and Technology</w:t>
      </w:r>
      <w:r w:rsidRPr="0022494E">
        <w:rPr>
          <w:rFonts w:ascii="Traditional Arabic" w:hAnsi="Traditional Arabic" w:cs="Traditional Arabic"/>
          <w:sz w:val="28"/>
          <w:szCs w:val="28"/>
          <w:lang w:bidi="ar-EG"/>
        </w:rPr>
        <w:t xml:space="preserve">, 13, 100626. </w:t>
      </w:r>
      <w:hyperlink r:id="rId21" w:tgtFrame="_new" w:history="1">
        <w:r w:rsidRPr="0022494E">
          <w:rPr>
            <w:rStyle w:val="Hyperlink"/>
            <w:rFonts w:ascii="Traditional Arabic" w:hAnsi="Traditional Arabic" w:cs="Traditional Arabic"/>
            <w:sz w:val="28"/>
            <w:szCs w:val="28"/>
            <w:lang w:bidi="ar-EG"/>
          </w:rPr>
          <w:t>https://doi.org/10.1016/j.clet.2023.100626</w:t>
        </w:r>
      </w:hyperlink>
    </w:p>
    <w:p w14:paraId="759B6583" w14:textId="77777777" w:rsidR="000843FE" w:rsidRPr="008472C6" w:rsidRDefault="000843FE" w:rsidP="000843FE">
      <w:pPr>
        <w:numPr>
          <w:ilvl w:val="0"/>
          <w:numId w:val="13"/>
        </w:numPr>
        <w:spacing w:line="480" w:lineRule="auto"/>
        <w:jc w:val="both"/>
        <w:rPr>
          <w:rFonts w:ascii="Traditional Arabic" w:hAnsi="Traditional Arabic" w:cs="Traditional Arabic"/>
          <w:sz w:val="28"/>
          <w:szCs w:val="28"/>
          <w:lang w:bidi="ar-EG"/>
        </w:rPr>
      </w:pPr>
      <w:r w:rsidRPr="008472C6">
        <w:rPr>
          <w:rFonts w:ascii="Traditional Arabic" w:hAnsi="Traditional Arabic" w:cs="Traditional Arabic"/>
          <w:sz w:val="28"/>
          <w:szCs w:val="28"/>
          <w:lang w:bidi="ar-EG"/>
        </w:rPr>
        <w:t xml:space="preserve">Shaawat, M. E., Alqahtani, S. M. S., Qasem, A., Jamil, R., Almohassen, A. S., &amp; Bongwirnso, U. M. (2023). A Performance Quality Index to Assess Professional Conduct of Contractors at Sustainable Construction Projects in Saudi Arabia. </w:t>
      </w:r>
      <w:r w:rsidRPr="008472C6">
        <w:rPr>
          <w:rFonts w:ascii="Traditional Arabic" w:hAnsi="Traditional Arabic" w:cs="Traditional Arabic"/>
          <w:i/>
          <w:iCs/>
          <w:sz w:val="28"/>
          <w:szCs w:val="28"/>
          <w:lang w:bidi="ar-EG"/>
        </w:rPr>
        <w:t>Sustainability, 15</w:t>
      </w:r>
      <w:r w:rsidRPr="008472C6">
        <w:rPr>
          <w:rFonts w:ascii="Traditional Arabic" w:hAnsi="Traditional Arabic" w:cs="Traditional Arabic"/>
          <w:sz w:val="28"/>
          <w:szCs w:val="28"/>
          <w:lang w:bidi="ar-EG"/>
        </w:rPr>
        <w:t xml:space="preserve">(9), 7500. </w:t>
      </w:r>
      <w:hyperlink r:id="rId22" w:tgtFrame="_new" w:history="1">
        <w:r w:rsidRPr="008472C6">
          <w:rPr>
            <w:rStyle w:val="Hyperlink"/>
            <w:rFonts w:ascii="Traditional Arabic" w:hAnsi="Traditional Arabic" w:cs="Traditional Arabic"/>
            <w:sz w:val="28"/>
            <w:szCs w:val="28"/>
            <w:lang w:bidi="ar-EG"/>
          </w:rPr>
          <w:t>https://doi.org/10.3390/su15097500</w:t>
        </w:r>
      </w:hyperlink>
    </w:p>
    <w:p w14:paraId="65923F89" w14:textId="77777777" w:rsidR="000843FE" w:rsidRPr="006337C0" w:rsidRDefault="000843FE" w:rsidP="000843FE">
      <w:pPr>
        <w:numPr>
          <w:ilvl w:val="0"/>
          <w:numId w:val="13"/>
        </w:numPr>
        <w:spacing w:line="480" w:lineRule="auto"/>
        <w:jc w:val="both"/>
        <w:rPr>
          <w:rFonts w:ascii="Traditional Arabic" w:hAnsi="Traditional Arabic" w:cs="Traditional Arabic"/>
          <w:sz w:val="28"/>
          <w:szCs w:val="28"/>
          <w:lang w:bidi="ar-EG"/>
        </w:rPr>
      </w:pPr>
      <w:r w:rsidRPr="006337C0">
        <w:rPr>
          <w:rFonts w:ascii="Traditional Arabic" w:hAnsi="Traditional Arabic" w:cs="Traditional Arabic"/>
          <w:sz w:val="28"/>
          <w:szCs w:val="28"/>
          <w:lang w:bidi="ar-EG"/>
        </w:rPr>
        <w:t xml:space="preserve">Unegbu, H. C. O., Yawas, D. S., &amp; Dan-asabe, B. (2022). An investigation of the relationship between project performance measures and project management practices of construction projects for the construction industry in Nigeria. </w:t>
      </w:r>
      <w:r w:rsidRPr="006337C0">
        <w:rPr>
          <w:rFonts w:ascii="Traditional Arabic" w:hAnsi="Traditional Arabic" w:cs="Traditional Arabic"/>
          <w:i/>
          <w:iCs/>
          <w:sz w:val="28"/>
          <w:szCs w:val="28"/>
          <w:lang w:bidi="ar-EG"/>
        </w:rPr>
        <w:t>Journal of King Saud University - Engineering Sciences, 34</w:t>
      </w:r>
      <w:r w:rsidRPr="006337C0">
        <w:rPr>
          <w:rFonts w:ascii="Traditional Arabic" w:hAnsi="Traditional Arabic" w:cs="Traditional Arabic"/>
          <w:sz w:val="28"/>
          <w:szCs w:val="28"/>
          <w:lang w:bidi="ar-EG"/>
        </w:rPr>
        <w:t xml:space="preserve">(4), 240-249. </w:t>
      </w:r>
      <w:hyperlink r:id="rId23" w:tgtFrame="_new" w:history="1">
        <w:r w:rsidRPr="006337C0">
          <w:rPr>
            <w:rStyle w:val="Hyperlink"/>
            <w:rFonts w:ascii="Traditional Arabic" w:hAnsi="Traditional Arabic" w:cs="Traditional Arabic"/>
            <w:sz w:val="28"/>
            <w:szCs w:val="28"/>
            <w:lang w:bidi="ar-EG"/>
          </w:rPr>
          <w:t>https://doi.org/10.1016/j.jksues.2020.10.001</w:t>
        </w:r>
      </w:hyperlink>
    </w:p>
    <w:sectPr w:rsidR="000843FE" w:rsidRPr="006337C0" w:rsidSect="00E07BBC">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770FD" w14:textId="77777777" w:rsidR="002E63F1" w:rsidRDefault="002E63F1" w:rsidP="00E07BBC">
      <w:pPr>
        <w:spacing w:after="0" w:line="240" w:lineRule="auto"/>
      </w:pPr>
      <w:r>
        <w:separator/>
      </w:r>
    </w:p>
  </w:endnote>
  <w:endnote w:type="continuationSeparator" w:id="0">
    <w:p w14:paraId="40AA3C48" w14:textId="77777777" w:rsidR="002E63F1" w:rsidRDefault="002E63F1" w:rsidP="00E07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7513008"/>
      <w:docPartObj>
        <w:docPartGallery w:val="Page Numbers (Bottom of Page)"/>
        <w:docPartUnique/>
      </w:docPartObj>
    </w:sdtPr>
    <w:sdtEndPr>
      <w:rPr>
        <w:noProof/>
      </w:rPr>
    </w:sdtEndPr>
    <w:sdtContent>
      <w:p w14:paraId="2AC02B8A" w14:textId="3F19191B" w:rsidR="00E07BBC" w:rsidRDefault="00E07B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F14924" w14:textId="77777777" w:rsidR="00E07BBC" w:rsidRDefault="00E07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462DD" w14:textId="77777777" w:rsidR="002E63F1" w:rsidRDefault="002E63F1" w:rsidP="00E07BBC">
      <w:pPr>
        <w:spacing w:after="0" w:line="240" w:lineRule="auto"/>
      </w:pPr>
      <w:r>
        <w:separator/>
      </w:r>
    </w:p>
  </w:footnote>
  <w:footnote w:type="continuationSeparator" w:id="0">
    <w:p w14:paraId="1FDB163A" w14:textId="77777777" w:rsidR="002E63F1" w:rsidRDefault="002E63F1" w:rsidP="00E07B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551F9"/>
    <w:multiLevelType w:val="multilevel"/>
    <w:tmpl w:val="1888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FB265E"/>
    <w:multiLevelType w:val="hybridMultilevel"/>
    <w:tmpl w:val="22F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1F69D2"/>
    <w:multiLevelType w:val="multilevel"/>
    <w:tmpl w:val="B832D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F0044"/>
    <w:multiLevelType w:val="multilevel"/>
    <w:tmpl w:val="DDEC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B6524"/>
    <w:multiLevelType w:val="multilevel"/>
    <w:tmpl w:val="A7C6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7B2C56"/>
    <w:multiLevelType w:val="multilevel"/>
    <w:tmpl w:val="4E84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06262"/>
    <w:multiLevelType w:val="multilevel"/>
    <w:tmpl w:val="17AA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9621ED"/>
    <w:multiLevelType w:val="multilevel"/>
    <w:tmpl w:val="6158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452E31"/>
    <w:multiLevelType w:val="multilevel"/>
    <w:tmpl w:val="6FB6323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9" w15:restartNumberingAfterBreak="0">
    <w:nsid w:val="41CA2091"/>
    <w:multiLevelType w:val="multilevel"/>
    <w:tmpl w:val="15AC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166AB9"/>
    <w:multiLevelType w:val="multilevel"/>
    <w:tmpl w:val="F02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E15872"/>
    <w:multiLevelType w:val="multilevel"/>
    <w:tmpl w:val="AFF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A014C0"/>
    <w:multiLevelType w:val="multilevel"/>
    <w:tmpl w:val="7A02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F216F9"/>
    <w:multiLevelType w:val="multilevel"/>
    <w:tmpl w:val="1F60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91581E"/>
    <w:multiLevelType w:val="multilevel"/>
    <w:tmpl w:val="8FE8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864005"/>
    <w:multiLevelType w:val="multilevel"/>
    <w:tmpl w:val="7162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CA2485"/>
    <w:multiLevelType w:val="hybridMultilevel"/>
    <w:tmpl w:val="C0F88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C55D79"/>
    <w:multiLevelType w:val="multilevel"/>
    <w:tmpl w:val="0EB0E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8" w15:restartNumberingAfterBreak="0">
    <w:nsid w:val="7E1664E4"/>
    <w:multiLevelType w:val="multilevel"/>
    <w:tmpl w:val="96D8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8395">
    <w:abstractNumId w:val="11"/>
  </w:num>
  <w:num w:numId="2" w16cid:durableId="301036729">
    <w:abstractNumId w:val="0"/>
  </w:num>
  <w:num w:numId="3" w16cid:durableId="1143500114">
    <w:abstractNumId w:val="3"/>
  </w:num>
  <w:num w:numId="4" w16cid:durableId="1929579228">
    <w:abstractNumId w:val="2"/>
  </w:num>
  <w:num w:numId="5" w16cid:durableId="1216431513">
    <w:abstractNumId w:val="15"/>
  </w:num>
  <w:num w:numId="6" w16cid:durableId="1546989389">
    <w:abstractNumId w:val="9"/>
  </w:num>
  <w:num w:numId="7" w16cid:durableId="1509297735">
    <w:abstractNumId w:val="14"/>
  </w:num>
  <w:num w:numId="8" w16cid:durableId="271940834">
    <w:abstractNumId w:val="18"/>
  </w:num>
  <w:num w:numId="9" w16cid:durableId="2103837216">
    <w:abstractNumId w:val="7"/>
  </w:num>
  <w:num w:numId="10" w16cid:durableId="140970090">
    <w:abstractNumId w:val="6"/>
  </w:num>
  <w:num w:numId="11" w16cid:durableId="1738014972">
    <w:abstractNumId w:val="16"/>
  </w:num>
  <w:num w:numId="12" w16cid:durableId="1366709679">
    <w:abstractNumId w:val="17"/>
  </w:num>
  <w:num w:numId="13" w16cid:durableId="923369447">
    <w:abstractNumId w:val="4"/>
  </w:num>
  <w:num w:numId="14" w16cid:durableId="2146852859">
    <w:abstractNumId w:val="13"/>
  </w:num>
  <w:num w:numId="15" w16cid:durableId="15664211">
    <w:abstractNumId w:val="10"/>
  </w:num>
  <w:num w:numId="16" w16cid:durableId="1245409242">
    <w:abstractNumId w:val="12"/>
  </w:num>
  <w:num w:numId="17" w16cid:durableId="1288898986">
    <w:abstractNumId w:val="5"/>
  </w:num>
  <w:num w:numId="18" w16cid:durableId="1985893321">
    <w:abstractNumId w:val="1"/>
  </w:num>
  <w:num w:numId="19" w16cid:durableId="5022794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5B1"/>
    <w:rsid w:val="000525B1"/>
    <w:rsid w:val="000843FE"/>
    <w:rsid w:val="00146D14"/>
    <w:rsid w:val="00150072"/>
    <w:rsid w:val="0022494E"/>
    <w:rsid w:val="00242F8C"/>
    <w:rsid w:val="00270DA0"/>
    <w:rsid w:val="002A374C"/>
    <w:rsid w:val="002D62DA"/>
    <w:rsid w:val="002E63F1"/>
    <w:rsid w:val="00334D72"/>
    <w:rsid w:val="004022E2"/>
    <w:rsid w:val="00476D33"/>
    <w:rsid w:val="004D61FE"/>
    <w:rsid w:val="00597CD5"/>
    <w:rsid w:val="006337C0"/>
    <w:rsid w:val="00756261"/>
    <w:rsid w:val="00762E11"/>
    <w:rsid w:val="008472C6"/>
    <w:rsid w:val="008E6B0A"/>
    <w:rsid w:val="009A2D06"/>
    <w:rsid w:val="009E5536"/>
    <w:rsid w:val="00A03BD5"/>
    <w:rsid w:val="00AB5030"/>
    <w:rsid w:val="00AD39F3"/>
    <w:rsid w:val="00AF2DF2"/>
    <w:rsid w:val="00B70995"/>
    <w:rsid w:val="00BB2147"/>
    <w:rsid w:val="00D2781C"/>
    <w:rsid w:val="00D432D9"/>
    <w:rsid w:val="00E07B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ABBDEB"/>
  <w15:chartTrackingRefBased/>
  <w15:docId w15:val="{D3807CCD-7003-4040-8157-970EAFE96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5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25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25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25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25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25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5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5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5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5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25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25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25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25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25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5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5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5B1"/>
    <w:rPr>
      <w:rFonts w:eastAsiaTheme="majorEastAsia" w:cstheme="majorBidi"/>
      <w:color w:val="272727" w:themeColor="text1" w:themeTint="D8"/>
    </w:rPr>
  </w:style>
  <w:style w:type="paragraph" w:styleId="Title">
    <w:name w:val="Title"/>
    <w:basedOn w:val="Normal"/>
    <w:next w:val="Normal"/>
    <w:link w:val="TitleChar"/>
    <w:uiPriority w:val="10"/>
    <w:qFormat/>
    <w:rsid w:val="000525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5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5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5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5B1"/>
    <w:pPr>
      <w:spacing w:before="160"/>
      <w:jc w:val="center"/>
    </w:pPr>
    <w:rPr>
      <w:i/>
      <w:iCs/>
      <w:color w:val="404040" w:themeColor="text1" w:themeTint="BF"/>
    </w:rPr>
  </w:style>
  <w:style w:type="character" w:customStyle="1" w:styleId="QuoteChar">
    <w:name w:val="Quote Char"/>
    <w:basedOn w:val="DefaultParagraphFont"/>
    <w:link w:val="Quote"/>
    <w:uiPriority w:val="29"/>
    <w:rsid w:val="000525B1"/>
    <w:rPr>
      <w:i/>
      <w:iCs/>
      <w:color w:val="404040" w:themeColor="text1" w:themeTint="BF"/>
    </w:rPr>
  </w:style>
  <w:style w:type="paragraph" w:styleId="ListParagraph">
    <w:name w:val="List Paragraph"/>
    <w:basedOn w:val="Normal"/>
    <w:uiPriority w:val="34"/>
    <w:qFormat/>
    <w:rsid w:val="000525B1"/>
    <w:pPr>
      <w:ind w:left="720"/>
      <w:contextualSpacing/>
    </w:pPr>
  </w:style>
  <w:style w:type="character" w:styleId="IntenseEmphasis">
    <w:name w:val="Intense Emphasis"/>
    <w:basedOn w:val="DefaultParagraphFont"/>
    <w:uiPriority w:val="21"/>
    <w:qFormat/>
    <w:rsid w:val="000525B1"/>
    <w:rPr>
      <w:i/>
      <w:iCs/>
      <w:color w:val="2F5496" w:themeColor="accent1" w:themeShade="BF"/>
    </w:rPr>
  </w:style>
  <w:style w:type="paragraph" w:styleId="IntenseQuote">
    <w:name w:val="Intense Quote"/>
    <w:basedOn w:val="Normal"/>
    <w:next w:val="Normal"/>
    <w:link w:val="IntenseQuoteChar"/>
    <w:uiPriority w:val="30"/>
    <w:qFormat/>
    <w:rsid w:val="000525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25B1"/>
    <w:rPr>
      <w:i/>
      <w:iCs/>
      <w:color w:val="2F5496" w:themeColor="accent1" w:themeShade="BF"/>
    </w:rPr>
  </w:style>
  <w:style w:type="character" w:styleId="IntenseReference">
    <w:name w:val="Intense Reference"/>
    <w:basedOn w:val="DefaultParagraphFont"/>
    <w:uiPriority w:val="32"/>
    <w:qFormat/>
    <w:rsid w:val="000525B1"/>
    <w:rPr>
      <w:b/>
      <w:bCs/>
      <w:smallCaps/>
      <w:color w:val="2F5496" w:themeColor="accent1" w:themeShade="BF"/>
      <w:spacing w:val="5"/>
    </w:rPr>
  </w:style>
  <w:style w:type="character" w:styleId="Hyperlink">
    <w:name w:val="Hyperlink"/>
    <w:basedOn w:val="DefaultParagraphFont"/>
    <w:uiPriority w:val="99"/>
    <w:unhideWhenUsed/>
    <w:rsid w:val="004D61FE"/>
    <w:rPr>
      <w:color w:val="0563C1" w:themeColor="hyperlink"/>
      <w:u w:val="single"/>
    </w:rPr>
  </w:style>
  <w:style w:type="character" w:styleId="UnresolvedMention">
    <w:name w:val="Unresolved Mention"/>
    <w:basedOn w:val="DefaultParagraphFont"/>
    <w:uiPriority w:val="99"/>
    <w:semiHidden/>
    <w:unhideWhenUsed/>
    <w:rsid w:val="004D61FE"/>
    <w:rPr>
      <w:color w:val="605E5C"/>
      <w:shd w:val="clear" w:color="auto" w:fill="E1DFDD"/>
    </w:rPr>
  </w:style>
  <w:style w:type="paragraph" w:styleId="NormalWeb">
    <w:name w:val="Normal (Web)"/>
    <w:basedOn w:val="Normal"/>
    <w:uiPriority w:val="99"/>
    <w:unhideWhenUsed/>
    <w:rsid w:val="0022494E"/>
    <w:rPr>
      <w:rFonts w:ascii="Times New Roman" w:hAnsi="Times New Roman" w:cs="Times New Roman"/>
    </w:rPr>
  </w:style>
  <w:style w:type="paragraph" w:styleId="Header">
    <w:name w:val="header"/>
    <w:basedOn w:val="Normal"/>
    <w:link w:val="HeaderChar"/>
    <w:uiPriority w:val="99"/>
    <w:unhideWhenUsed/>
    <w:rsid w:val="00E07B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7BBC"/>
  </w:style>
  <w:style w:type="paragraph" w:styleId="Footer">
    <w:name w:val="footer"/>
    <w:basedOn w:val="Normal"/>
    <w:link w:val="FooterChar"/>
    <w:uiPriority w:val="99"/>
    <w:unhideWhenUsed/>
    <w:rsid w:val="00E07B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7BBC"/>
  </w:style>
  <w:style w:type="character" w:styleId="FollowedHyperlink">
    <w:name w:val="FollowedHyperlink"/>
    <w:basedOn w:val="DefaultParagraphFont"/>
    <w:uiPriority w:val="99"/>
    <w:semiHidden/>
    <w:unhideWhenUsed/>
    <w:rsid w:val="00146D14"/>
    <w:rPr>
      <w:color w:val="954F72" w:themeColor="followedHyperlink"/>
      <w:u w:val="single"/>
    </w:rPr>
  </w:style>
  <w:style w:type="table" w:styleId="TableGrid">
    <w:name w:val="Table Grid"/>
    <w:basedOn w:val="TableNormal"/>
    <w:uiPriority w:val="39"/>
    <w:rsid w:val="00AD39F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D39F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D39F3"/>
    <w:pPr>
      <w:spacing w:after="100" w:line="259" w:lineRule="auto"/>
    </w:pPr>
    <w:rPr>
      <w:kern w:val="0"/>
      <w:sz w:val="22"/>
      <w:szCs w:val="22"/>
      <w14:ligatures w14:val="none"/>
    </w:rPr>
  </w:style>
  <w:style w:type="paragraph" w:styleId="TOC3">
    <w:name w:val="toc 3"/>
    <w:basedOn w:val="Normal"/>
    <w:next w:val="Normal"/>
    <w:autoRedefine/>
    <w:uiPriority w:val="39"/>
    <w:unhideWhenUsed/>
    <w:rsid w:val="00AD39F3"/>
    <w:pPr>
      <w:spacing w:after="100" w:line="259" w:lineRule="auto"/>
      <w:ind w:left="440"/>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7275">
      <w:bodyDiv w:val="1"/>
      <w:marLeft w:val="0"/>
      <w:marRight w:val="0"/>
      <w:marTop w:val="0"/>
      <w:marBottom w:val="0"/>
      <w:divBdr>
        <w:top w:val="none" w:sz="0" w:space="0" w:color="auto"/>
        <w:left w:val="none" w:sz="0" w:space="0" w:color="auto"/>
        <w:bottom w:val="none" w:sz="0" w:space="0" w:color="auto"/>
        <w:right w:val="none" w:sz="0" w:space="0" w:color="auto"/>
      </w:divBdr>
    </w:div>
    <w:div w:id="82339920">
      <w:bodyDiv w:val="1"/>
      <w:marLeft w:val="0"/>
      <w:marRight w:val="0"/>
      <w:marTop w:val="0"/>
      <w:marBottom w:val="0"/>
      <w:divBdr>
        <w:top w:val="none" w:sz="0" w:space="0" w:color="auto"/>
        <w:left w:val="none" w:sz="0" w:space="0" w:color="auto"/>
        <w:bottom w:val="none" w:sz="0" w:space="0" w:color="auto"/>
        <w:right w:val="none" w:sz="0" w:space="0" w:color="auto"/>
      </w:divBdr>
    </w:div>
    <w:div w:id="197474254">
      <w:bodyDiv w:val="1"/>
      <w:marLeft w:val="0"/>
      <w:marRight w:val="0"/>
      <w:marTop w:val="0"/>
      <w:marBottom w:val="0"/>
      <w:divBdr>
        <w:top w:val="none" w:sz="0" w:space="0" w:color="auto"/>
        <w:left w:val="none" w:sz="0" w:space="0" w:color="auto"/>
        <w:bottom w:val="none" w:sz="0" w:space="0" w:color="auto"/>
        <w:right w:val="none" w:sz="0" w:space="0" w:color="auto"/>
      </w:divBdr>
    </w:div>
    <w:div w:id="282613866">
      <w:bodyDiv w:val="1"/>
      <w:marLeft w:val="0"/>
      <w:marRight w:val="0"/>
      <w:marTop w:val="0"/>
      <w:marBottom w:val="0"/>
      <w:divBdr>
        <w:top w:val="none" w:sz="0" w:space="0" w:color="auto"/>
        <w:left w:val="none" w:sz="0" w:space="0" w:color="auto"/>
        <w:bottom w:val="none" w:sz="0" w:space="0" w:color="auto"/>
        <w:right w:val="none" w:sz="0" w:space="0" w:color="auto"/>
      </w:divBdr>
    </w:div>
    <w:div w:id="288049657">
      <w:bodyDiv w:val="1"/>
      <w:marLeft w:val="0"/>
      <w:marRight w:val="0"/>
      <w:marTop w:val="0"/>
      <w:marBottom w:val="0"/>
      <w:divBdr>
        <w:top w:val="none" w:sz="0" w:space="0" w:color="auto"/>
        <w:left w:val="none" w:sz="0" w:space="0" w:color="auto"/>
        <w:bottom w:val="none" w:sz="0" w:space="0" w:color="auto"/>
        <w:right w:val="none" w:sz="0" w:space="0" w:color="auto"/>
      </w:divBdr>
    </w:div>
    <w:div w:id="309989207">
      <w:bodyDiv w:val="1"/>
      <w:marLeft w:val="0"/>
      <w:marRight w:val="0"/>
      <w:marTop w:val="0"/>
      <w:marBottom w:val="0"/>
      <w:divBdr>
        <w:top w:val="none" w:sz="0" w:space="0" w:color="auto"/>
        <w:left w:val="none" w:sz="0" w:space="0" w:color="auto"/>
        <w:bottom w:val="none" w:sz="0" w:space="0" w:color="auto"/>
        <w:right w:val="none" w:sz="0" w:space="0" w:color="auto"/>
      </w:divBdr>
    </w:div>
    <w:div w:id="336690682">
      <w:bodyDiv w:val="1"/>
      <w:marLeft w:val="0"/>
      <w:marRight w:val="0"/>
      <w:marTop w:val="0"/>
      <w:marBottom w:val="0"/>
      <w:divBdr>
        <w:top w:val="none" w:sz="0" w:space="0" w:color="auto"/>
        <w:left w:val="none" w:sz="0" w:space="0" w:color="auto"/>
        <w:bottom w:val="none" w:sz="0" w:space="0" w:color="auto"/>
        <w:right w:val="none" w:sz="0" w:space="0" w:color="auto"/>
      </w:divBdr>
    </w:div>
    <w:div w:id="409621332">
      <w:bodyDiv w:val="1"/>
      <w:marLeft w:val="0"/>
      <w:marRight w:val="0"/>
      <w:marTop w:val="0"/>
      <w:marBottom w:val="0"/>
      <w:divBdr>
        <w:top w:val="none" w:sz="0" w:space="0" w:color="auto"/>
        <w:left w:val="none" w:sz="0" w:space="0" w:color="auto"/>
        <w:bottom w:val="none" w:sz="0" w:space="0" w:color="auto"/>
        <w:right w:val="none" w:sz="0" w:space="0" w:color="auto"/>
      </w:divBdr>
    </w:div>
    <w:div w:id="425930465">
      <w:bodyDiv w:val="1"/>
      <w:marLeft w:val="0"/>
      <w:marRight w:val="0"/>
      <w:marTop w:val="0"/>
      <w:marBottom w:val="0"/>
      <w:divBdr>
        <w:top w:val="none" w:sz="0" w:space="0" w:color="auto"/>
        <w:left w:val="none" w:sz="0" w:space="0" w:color="auto"/>
        <w:bottom w:val="none" w:sz="0" w:space="0" w:color="auto"/>
        <w:right w:val="none" w:sz="0" w:space="0" w:color="auto"/>
      </w:divBdr>
    </w:div>
    <w:div w:id="472913951">
      <w:bodyDiv w:val="1"/>
      <w:marLeft w:val="0"/>
      <w:marRight w:val="0"/>
      <w:marTop w:val="0"/>
      <w:marBottom w:val="0"/>
      <w:divBdr>
        <w:top w:val="none" w:sz="0" w:space="0" w:color="auto"/>
        <w:left w:val="none" w:sz="0" w:space="0" w:color="auto"/>
        <w:bottom w:val="none" w:sz="0" w:space="0" w:color="auto"/>
        <w:right w:val="none" w:sz="0" w:space="0" w:color="auto"/>
      </w:divBdr>
    </w:div>
    <w:div w:id="584188079">
      <w:bodyDiv w:val="1"/>
      <w:marLeft w:val="0"/>
      <w:marRight w:val="0"/>
      <w:marTop w:val="0"/>
      <w:marBottom w:val="0"/>
      <w:divBdr>
        <w:top w:val="none" w:sz="0" w:space="0" w:color="auto"/>
        <w:left w:val="none" w:sz="0" w:space="0" w:color="auto"/>
        <w:bottom w:val="none" w:sz="0" w:space="0" w:color="auto"/>
        <w:right w:val="none" w:sz="0" w:space="0" w:color="auto"/>
      </w:divBdr>
    </w:div>
    <w:div w:id="648244488">
      <w:bodyDiv w:val="1"/>
      <w:marLeft w:val="0"/>
      <w:marRight w:val="0"/>
      <w:marTop w:val="0"/>
      <w:marBottom w:val="0"/>
      <w:divBdr>
        <w:top w:val="none" w:sz="0" w:space="0" w:color="auto"/>
        <w:left w:val="none" w:sz="0" w:space="0" w:color="auto"/>
        <w:bottom w:val="none" w:sz="0" w:space="0" w:color="auto"/>
        <w:right w:val="none" w:sz="0" w:space="0" w:color="auto"/>
      </w:divBdr>
    </w:div>
    <w:div w:id="675691916">
      <w:bodyDiv w:val="1"/>
      <w:marLeft w:val="0"/>
      <w:marRight w:val="0"/>
      <w:marTop w:val="0"/>
      <w:marBottom w:val="0"/>
      <w:divBdr>
        <w:top w:val="none" w:sz="0" w:space="0" w:color="auto"/>
        <w:left w:val="none" w:sz="0" w:space="0" w:color="auto"/>
        <w:bottom w:val="none" w:sz="0" w:space="0" w:color="auto"/>
        <w:right w:val="none" w:sz="0" w:space="0" w:color="auto"/>
      </w:divBdr>
    </w:div>
    <w:div w:id="708607593">
      <w:bodyDiv w:val="1"/>
      <w:marLeft w:val="0"/>
      <w:marRight w:val="0"/>
      <w:marTop w:val="0"/>
      <w:marBottom w:val="0"/>
      <w:divBdr>
        <w:top w:val="none" w:sz="0" w:space="0" w:color="auto"/>
        <w:left w:val="none" w:sz="0" w:space="0" w:color="auto"/>
        <w:bottom w:val="none" w:sz="0" w:space="0" w:color="auto"/>
        <w:right w:val="none" w:sz="0" w:space="0" w:color="auto"/>
      </w:divBdr>
    </w:div>
    <w:div w:id="818813275">
      <w:bodyDiv w:val="1"/>
      <w:marLeft w:val="0"/>
      <w:marRight w:val="0"/>
      <w:marTop w:val="0"/>
      <w:marBottom w:val="0"/>
      <w:divBdr>
        <w:top w:val="none" w:sz="0" w:space="0" w:color="auto"/>
        <w:left w:val="none" w:sz="0" w:space="0" w:color="auto"/>
        <w:bottom w:val="none" w:sz="0" w:space="0" w:color="auto"/>
        <w:right w:val="none" w:sz="0" w:space="0" w:color="auto"/>
      </w:divBdr>
    </w:div>
    <w:div w:id="831215221">
      <w:bodyDiv w:val="1"/>
      <w:marLeft w:val="0"/>
      <w:marRight w:val="0"/>
      <w:marTop w:val="0"/>
      <w:marBottom w:val="0"/>
      <w:divBdr>
        <w:top w:val="none" w:sz="0" w:space="0" w:color="auto"/>
        <w:left w:val="none" w:sz="0" w:space="0" w:color="auto"/>
        <w:bottom w:val="none" w:sz="0" w:space="0" w:color="auto"/>
        <w:right w:val="none" w:sz="0" w:space="0" w:color="auto"/>
      </w:divBdr>
    </w:div>
    <w:div w:id="939751158">
      <w:bodyDiv w:val="1"/>
      <w:marLeft w:val="0"/>
      <w:marRight w:val="0"/>
      <w:marTop w:val="0"/>
      <w:marBottom w:val="0"/>
      <w:divBdr>
        <w:top w:val="none" w:sz="0" w:space="0" w:color="auto"/>
        <w:left w:val="none" w:sz="0" w:space="0" w:color="auto"/>
        <w:bottom w:val="none" w:sz="0" w:space="0" w:color="auto"/>
        <w:right w:val="none" w:sz="0" w:space="0" w:color="auto"/>
      </w:divBdr>
    </w:div>
    <w:div w:id="967006737">
      <w:bodyDiv w:val="1"/>
      <w:marLeft w:val="0"/>
      <w:marRight w:val="0"/>
      <w:marTop w:val="0"/>
      <w:marBottom w:val="0"/>
      <w:divBdr>
        <w:top w:val="none" w:sz="0" w:space="0" w:color="auto"/>
        <w:left w:val="none" w:sz="0" w:space="0" w:color="auto"/>
        <w:bottom w:val="none" w:sz="0" w:space="0" w:color="auto"/>
        <w:right w:val="none" w:sz="0" w:space="0" w:color="auto"/>
      </w:divBdr>
    </w:div>
    <w:div w:id="1166938468">
      <w:bodyDiv w:val="1"/>
      <w:marLeft w:val="0"/>
      <w:marRight w:val="0"/>
      <w:marTop w:val="0"/>
      <w:marBottom w:val="0"/>
      <w:divBdr>
        <w:top w:val="none" w:sz="0" w:space="0" w:color="auto"/>
        <w:left w:val="none" w:sz="0" w:space="0" w:color="auto"/>
        <w:bottom w:val="none" w:sz="0" w:space="0" w:color="auto"/>
        <w:right w:val="none" w:sz="0" w:space="0" w:color="auto"/>
      </w:divBdr>
    </w:div>
    <w:div w:id="1331906377">
      <w:bodyDiv w:val="1"/>
      <w:marLeft w:val="0"/>
      <w:marRight w:val="0"/>
      <w:marTop w:val="0"/>
      <w:marBottom w:val="0"/>
      <w:divBdr>
        <w:top w:val="none" w:sz="0" w:space="0" w:color="auto"/>
        <w:left w:val="none" w:sz="0" w:space="0" w:color="auto"/>
        <w:bottom w:val="none" w:sz="0" w:space="0" w:color="auto"/>
        <w:right w:val="none" w:sz="0" w:space="0" w:color="auto"/>
      </w:divBdr>
    </w:div>
    <w:div w:id="1348023838">
      <w:bodyDiv w:val="1"/>
      <w:marLeft w:val="0"/>
      <w:marRight w:val="0"/>
      <w:marTop w:val="0"/>
      <w:marBottom w:val="0"/>
      <w:divBdr>
        <w:top w:val="none" w:sz="0" w:space="0" w:color="auto"/>
        <w:left w:val="none" w:sz="0" w:space="0" w:color="auto"/>
        <w:bottom w:val="none" w:sz="0" w:space="0" w:color="auto"/>
        <w:right w:val="none" w:sz="0" w:space="0" w:color="auto"/>
      </w:divBdr>
    </w:div>
    <w:div w:id="1349024665">
      <w:bodyDiv w:val="1"/>
      <w:marLeft w:val="0"/>
      <w:marRight w:val="0"/>
      <w:marTop w:val="0"/>
      <w:marBottom w:val="0"/>
      <w:divBdr>
        <w:top w:val="none" w:sz="0" w:space="0" w:color="auto"/>
        <w:left w:val="none" w:sz="0" w:space="0" w:color="auto"/>
        <w:bottom w:val="none" w:sz="0" w:space="0" w:color="auto"/>
        <w:right w:val="none" w:sz="0" w:space="0" w:color="auto"/>
      </w:divBdr>
    </w:div>
    <w:div w:id="1351301235">
      <w:bodyDiv w:val="1"/>
      <w:marLeft w:val="0"/>
      <w:marRight w:val="0"/>
      <w:marTop w:val="0"/>
      <w:marBottom w:val="0"/>
      <w:divBdr>
        <w:top w:val="none" w:sz="0" w:space="0" w:color="auto"/>
        <w:left w:val="none" w:sz="0" w:space="0" w:color="auto"/>
        <w:bottom w:val="none" w:sz="0" w:space="0" w:color="auto"/>
        <w:right w:val="none" w:sz="0" w:space="0" w:color="auto"/>
      </w:divBdr>
    </w:div>
    <w:div w:id="1475831914">
      <w:bodyDiv w:val="1"/>
      <w:marLeft w:val="0"/>
      <w:marRight w:val="0"/>
      <w:marTop w:val="0"/>
      <w:marBottom w:val="0"/>
      <w:divBdr>
        <w:top w:val="none" w:sz="0" w:space="0" w:color="auto"/>
        <w:left w:val="none" w:sz="0" w:space="0" w:color="auto"/>
        <w:bottom w:val="none" w:sz="0" w:space="0" w:color="auto"/>
        <w:right w:val="none" w:sz="0" w:space="0" w:color="auto"/>
      </w:divBdr>
    </w:div>
    <w:div w:id="1479416814">
      <w:bodyDiv w:val="1"/>
      <w:marLeft w:val="0"/>
      <w:marRight w:val="0"/>
      <w:marTop w:val="0"/>
      <w:marBottom w:val="0"/>
      <w:divBdr>
        <w:top w:val="none" w:sz="0" w:space="0" w:color="auto"/>
        <w:left w:val="none" w:sz="0" w:space="0" w:color="auto"/>
        <w:bottom w:val="none" w:sz="0" w:space="0" w:color="auto"/>
        <w:right w:val="none" w:sz="0" w:space="0" w:color="auto"/>
      </w:divBdr>
    </w:div>
    <w:div w:id="1520120583">
      <w:bodyDiv w:val="1"/>
      <w:marLeft w:val="0"/>
      <w:marRight w:val="0"/>
      <w:marTop w:val="0"/>
      <w:marBottom w:val="0"/>
      <w:divBdr>
        <w:top w:val="none" w:sz="0" w:space="0" w:color="auto"/>
        <w:left w:val="none" w:sz="0" w:space="0" w:color="auto"/>
        <w:bottom w:val="none" w:sz="0" w:space="0" w:color="auto"/>
        <w:right w:val="none" w:sz="0" w:space="0" w:color="auto"/>
      </w:divBdr>
    </w:div>
    <w:div w:id="1560480648">
      <w:bodyDiv w:val="1"/>
      <w:marLeft w:val="0"/>
      <w:marRight w:val="0"/>
      <w:marTop w:val="0"/>
      <w:marBottom w:val="0"/>
      <w:divBdr>
        <w:top w:val="none" w:sz="0" w:space="0" w:color="auto"/>
        <w:left w:val="none" w:sz="0" w:space="0" w:color="auto"/>
        <w:bottom w:val="none" w:sz="0" w:space="0" w:color="auto"/>
        <w:right w:val="none" w:sz="0" w:space="0" w:color="auto"/>
      </w:divBdr>
    </w:div>
    <w:div w:id="1581134548">
      <w:bodyDiv w:val="1"/>
      <w:marLeft w:val="0"/>
      <w:marRight w:val="0"/>
      <w:marTop w:val="0"/>
      <w:marBottom w:val="0"/>
      <w:divBdr>
        <w:top w:val="none" w:sz="0" w:space="0" w:color="auto"/>
        <w:left w:val="none" w:sz="0" w:space="0" w:color="auto"/>
        <w:bottom w:val="none" w:sz="0" w:space="0" w:color="auto"/>
        <w:right w:val="none" w:sz="0" w:space="0" w:color="auto"/>
      </w:divBdr>
    </w:div>
    <w:div w:id="1642343196">
      <w:bodyDiv w:val="1"/>
      <w:marLeft w:val="0"/>
      <w:marRight w:val="0"/>
      <w:marTop w:val="0"/>
      <w:marBottom w:val="0"/>
      <w:divBdr>
        <w:top w:val="none" w:sz="0" w:space="0" w:color="auto"/>
        <w:left w:val="none" w:sz="0" w:space="0" w:color="auto"/>
        <w:bottom w:val="none" w:sz="0" w:space="0" w:color="auto"/>
        <w:right w:val="none" w:sz="0" w:space="0" w:color="auto"/>
      </w:divBdr>
    </w:div>
    <w:div w:id="1734161994">
      <w:bodyDiv w:val="1"/>
      <w:marLeft w:val="0"/>
      <w:marRight w:val="0"/>
      <w:marTop w:val="0"/>
      <w:marBottom w:val="0"/>
      <w:divBdr>
        <w:top w:val="none" w:sz="0" w:space="0" w:color="auto"/>
        <w:left w:val="none" w:sz="0" w:space="0" w:color="auto"/>
        <w:bottom w:val="none" w:sz="0" w:space="0" w:color="auto"/>
        <w:right w:val="none" w:sz="0" w:space="0" w:color="auto"/>
      </w:divBdr>
    </w:div>
    <w:div w:id="1785736074">
      <w:bodyDiv w:val="1"/>
      <w:marLeft w:val="0"/>
      <w:marRight w:val="0"/>
      <w:marTop w:val="0"/>
      <w:marBottom w:val="0"/>
      <w:divBdr>
        <w:top w:val="none" w:sz="0" w:space="0" w:color="auto"/>
        <w:left w:val="none" w:sz="0" w:space="0" w:color="auto"/>
        <w:bottom w:val="none" w:sz="0" w:space="0" w:color="auto"/>
        <w:right w:val="none" w:sz="0" w:space="0" w:color="auto"/>
      </w:divBdr>
    </w:div>
    <w:div w:id="1793550466">
      <w:bodyDiv w:val="1"/>
      <w:marLeft w:val="0"/>
      <w:marRight w:val="0"/>
      <w:marTop w:val="0"/>
      <w:marBottom w:val="0"/>
      <w:divBdr>
        <w:top w:val="none" w:sz="0" w:space="0" w:color="auto"/>
        <w:left w:val="none" w:sz="0" w:space="0" w:color="auto"/>
        <w:bottom w:val="none" w:sz="0" w:space="0" w:color="auto"/>
        <w:right w:val="none" w:sz="0" w:space="0" w:color="auto"/>
      </w:divBdr>
    </w:div>
    <w:div w:id="1807040009">
      <w:bodyDiv w:val="1"/>
      <w:marLeft w:val="0"/>
      <w:marRight w:val="0"/>
      <w:marTop w:val="0"/>
      <w:marBottom w:val="0"/>
      <w:divBdr>
        <w:top w:val="none" w:sz="0" w:space="0" w:color="auto"/>
        <w:left w:val="none" w:sz="0" w:space="0" w:color="auto"/>
        <w:bottom w:val="none" w:sz="0" w:space="0" w:color="auto"/>
        <w:right w:val="none" w:sz="0" w:space="0" w:color="auto"/>
      </w:divBdr>
    </w:div>
    <w:div w:id="1877809797">
      <w:bodyDiv w:val="1"/>
      <w:marLeft w:val="0"/>
      <w:marRight w:val="0"/>
      <w:marTop w:val="0"/>
      <w:marBottom w:val="0"/>
      <w:divBdr>
        <w:top w:val="none" w:sz="0" w:space="0" w:color="auto"/>
        <w:left w:val="none" w:sz="0" w:space="0" w:color="auto"/>
        <w:bottom w:val="none" w:sz="0" w:space="0" w:color="auto"/>
        <w:right w:val="none" w:sz="0" w:space="0" w:color="auto"/>
      </w:divBdr>
    </w:div>
    <w:div w:id="1956205202">
      <w:bodyDiv w:val="1"/>
      <w:marLeft w:val="0"/>
      <w:marRight w:val="0"/>
      <w:marTop w:val="0"/>
      <w:marBottom w:val="0"/>
      <w:divBdr>
        <w:top w:val="none" w:sz="0" w:space="0" w:color="auto"/>
        <w:left w:val="none" w:sz="0" w:space="0" w:color="auto"/>
        <w:bottom w:val="none" w:sz="0" w:space="0" w:color="auto"/>
        <w:right w:val="none" w:sz="0" w:space="0" w:color="auto"/>
      </w:divBdr>
    </w:div>
    <w:div w:id="2000108040">
      <w:bodyDiv w:val="1"/>
      <w:marLeft w:val="0"/>
      <w:marRight w:val="0"/>
      <w:marTop w:val="0"/>
      <w:marBottom w:val="0"/>
      <w:divBdr>
        <w:top w:val="none" w:sz="0" w:space="0" w:color="auto"/>
        <w:left w:val="none" w:sz="0" w:space="0" w:color="auto"/>
        <w:bottom w:val="none" w:sz="0" w:space="0" w:color="auto"/>
        <w:right w:val="none" w:sz="0" w:space="0" w:color="auto"/>
      </w:divBdr>
    </w:div>
    <w:div w:id="2005745261">
      <w:bodyDiv w:val="1"/>
      <w:marLeft w:val="0"/>
      <w:marRight w:val="0"/>
      <w:marTop w:val="0"/>
      <w:marBottom w:val="0"/>
      <w:divBdr>
        <w:top w:val="none" w:sz="0" w:space="0" w:color="auto"/>
        <w:left w:val="none" w:sz="0" w:space="0" w:color="auto"/>
        <w:bottom w:val="none" w:sz="0" w:space="0" w:color="auto"/>
        <w:right w:val="none" w:sz="0" w:space="0" w:color="auto"/>
      </w:divBdr>
    </w:div>
    <w:div w:id="2006087412">
      <w:bodyDiv w:val="1"/>
      <w:marLeft w:val="0"/>
      <w:marRight w:val="0"/>
      <w:marTop w:val="0"/>
      <w:marBottom w:val="0"/>
      <w:divBdr>
        <w:top w:val="none" w:sz="0" w:space="0" w:color="auto"/>
        <w:left w:val="none" w:sz="0" w:space="0" w:color="auto"/>
        <w:bottom w:val="none" w:sz="0" w:space="0" w:color="auto"/>
        <w:right w:val="none" w:sz="0" w:space="0" w:color="auto"/>
      </w:divBdr>
    </w:div>
    <w:div w:id="2009824047">
      <w:bodyDiv w:val="1"/>
      <w:marLeft w:val="0"/>
      <w:marRight w:val="0"/>
      <w:marTop w:val="0"/>
      <w:marBottom w:val="0"/>
      <w:divBdr>
        <w:top w:val="none" w:sz="0" w:space="0" w:color="auto"/>
        <w:left w:val="none" w:sz="0" w:space="0" w:color="auto"/>
        <w:bottom w:val="none" w:sz="0" w:space="0" w:color="auto"/>
        <w:right w:val="none" w:sz="0" w:space="0" w:color="auto"/>
      </w:divBdr>
    </w:div>
    <w:div w:id="2010909245">
      <w:bodyDiv w:val="1"/>
      <w:marLeft w:val="0"/>
      <w:marRight w:val="0"/>
      <w:marTop w:val="0"/>
      <w:marBottom w:val="0"/>
      <w:divBdr>
        <w:top w:val="none" w:sz="0" w:space="0" w:color="auto"/>
        <w:left w:val="none" w:sz="0" w:space="0" w:color="auto"/>
        <w:bottom w:val="none" w:sz="0" w:space="0" w:color="auto"/>
        <w:right w:val="none" w:sz="0" w:space="0" w:color="auto"/>
      </w:divBdr>
    </w:div>
    <w:div w:id="2059665789">
      <w:bodyDiv w:val="1"/>
      <w:marLeft w:val="0"/>
      <w:marRight w:val="0"/>
      <w:marTop w:val="0"/>
      <w:marBottom w:val="0"/>
      <w:divBdr>
        <w:top w:val="none" w:sz="0" w:space="0" w:color="auto"/>
        <w:left w:val="none" w:sz="0" w:space="0" w:color="auto"/>
        <w:bottom w:val="none" w:sz="0" w:space="0" w:color="auto"/>
        <w:right w:val="none" w:sz="0" w:space="0" w:color="auto"/>
      </w:divBdr>
    </w:div>
    <w:div w:id="212777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martcities5040075" TargetMode="External"/><Relationship Id="rId13" Type="http://schemas.openxmlformats.org/officeDocument/2006/relationships/hyperlink" Target="https://doi.org/10.3390/su17083539" TargetMode="External"/><Relationship Id="rId18" Type="http://schemas.openxmlformats.org/officeDocument/2006/relationships/hyperlink" Target="https://www.undp.org/saudi-arabia/publications/voluntary-national-review-vnr-saudi-arabi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clet.2023.100626" TargetMode="External"/><Relationship Id="rId7" Type="http://schemas.openxmlformats.org/officeDocument/2006/relationships/image" Target="media/image1.png"/><Relationship Id="rId12" Type="http://schemas.openxmlformats.org/officeDocument/2006/relationships/hyperlink" Target="https://doi.org/10.1016/j.ijproman.2011.07.001" TargetMode="External"/><Relationship Id="rId17" Type="http://schemas.openxmlformats.org/officeDocument/2006/relationships/hyperlink" Target="https://doi.org/10.3390/su14161031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390/su14116427" TargetMode="External"/><Relationship Id="rId20" Type="http://schemas.openxmlformats.org/officeDocument/2006/relationships/hyperlink" Target="https://doi.org/10.1016/j.indic.2022.10019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3467581.2025.2454616"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63278/mme.vi.1598" TargetMode="External"/><Relationship Id="rId23" Type="http://schemas.openxmlformats.org/officeDocument/2006/relationships/hyperlink" Target="https://doi.org/10.1016/j.jksues.2020.10.001" TargetMode="External"/><Relationship Id="rId10" Type="http://schemas.openxmlformats.org/officeDocument/2006/relationships/hyperlink" Target="https://doi.org/10.1155/2024/8780539" TargetMode="External"/><Relationship Id="rId19" Type="http://schemas.openxmlformats.org/officeDocument/2006/relationships/hyperlink" Target="https://doi.org/10.1016/j.scs.2020.102576" TargetMode="External"/><Relationship Id="rId4" Type="http://schemas.openxmlformats.org/officeDocument/2006/relationships/webSettings" Target="webSettings.xml"/><Relationship Id="rId9" Type="http://schemas.openxmlformats.org/officeDocument/2006/relationships/hyperlink" Target="https://doi.org/10.1016/j.chwas.2024.100195" TargetMode="External"/><Relationship Id="rId14" Type="http://schemas.openxmlformats.org/officeDocument/2006/relationships/hyperlink" Target="https://doi.org/10.3390/buildings12070902" TargetMode="External"/><Relationship Id="rId22" Type="http://schemas.openxmlformats.org/officeDocument/2006/relationships/hyperlink" Target="https://doi.org/10.3390/su15097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36</Pages>
  <Words>7266</Words>
  <Characters>40617</Characters>
  <Application>Microsoft Office Word</Application>
  <DocSecurity>0</DocSecurity>
  <Lines>564</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Abdullah Alharbi</cp:lastModifiedBy>
  <cp:revision>24</cp:revision>
  <cp:lastPrinted>2025-11-07T00:46:00Z</cp:lastPrinted>
  <dcterms:created xsi:type="dcterms:W3CDTF">2025-07-12T14:56:00Z</dcterms:created>
  <dcterms:modified xsi:type="dcterms:W3CDTF">2025-11-07T23:49:00Z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a30ffac6-4f88-415a-9b5a-775fcd6a9173</vt:lpwstr>
  </property>
</Properties>
</file>