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1E547" w14:textId="181911E8" w:rsidR="00CC628F" w:rsidRDefault="00CC628F" w:rsidP="00CC628F">
      <w:pPr>
        <w:rPr>
          <w:rFonts w:ascii="Simplified Arabic" w:hAnsi="Simplified Arabic" w:cs="Simplified Arabic"/>
          <w:b/>
          <w:bCs/>
          <w:sz w:val="28"/>
          <w:szCs w:val="28"/>
          <w:rtl/>
          <w:lang w:bidi="ar-EG"/>
        </w:rPr>
      </w:pPr>
      <w:bookmarkStart w:id="0" w:name="_Hlk172555450"/>
      <w:bookmarkEnd w:id="0"/>
      <w:r w:rsidRPr="00D57711">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C114800" wp14:editId="6CCF9DA9">
            <wp:simplePos x="0" y="0"/>
            <wp:positionH relativeFrom="margin">
              <wp:posOffset>-314325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hint="cs"/>
          <w:b/>
          <w:bCs/>
          <w:sz w:val="28"/>
          <w:szCs w:val="28"/>
          <w:rtl/>
          <w:lang w:bidi="ar-EG"/>
        </w:rPr>
        <w:t xml:space="preserve">   </w:t>
      </w:r>
      <w:r w:rsidRPr="00D57711">
        <w:rPr>
          <w:rFonts w:ascii="Simplified Arabic" w:hAnsi="Simplified Arabic" w:cs="Simplified Arabic"/>
          <w:b/>
          <w:bCs/>
          <w:sz w:val="28"/>
          <w:szCs w:val="28"/>
          <w:rtl/>
          <w:lang w:bidi="ar-EG"/>
        </w:rPr>
        <w:t xml:space="preserve"> جامعة ميدأوشن</w:t>
      </w:r>
    </w:p>
    <w:p w14:paraId="6995965A" w14:textId="77777777" w:rsidR="00CC628F" w:rsidRPr="00D57711" w:rsidRDefault="00CC628F" w:rsidP="00CC628F">
      <w:pPr>
        <w:rPr>
          <w:rFonts w:ascii="Simplified Arabic" w:hAnsi="Simplified Arabic" w:cs="Simplified Arabic"/>
          <w:b/>
          <w:bCs/>
          <w:sz w:val="28"/>
          <w:szCs w:val="28"/>
          <w:rtl/>
          <w:lang w:bidi="ar-EG"/>
        </w:rPr>
      </w:pPr>
      <w:r w:rsidRPr="00D57711">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 xml:space="preserve">     </w:t>
      </w:r>
      <w:r w:rsidRPr="00D57711">
        <w:rPr>
          <w:rFonts w:ascii="Simplified Arabic" w:hAnsi="Simplified Arabic" w:cs="Simplified Arabic"/>
          <w:b/>
          <w:bCs/>
          <w:sz w:val="28"/>
          <w:szCs w:val="28"/>
          <w:rtl/>
          <w:lang w:bidi="ar-EG"/>
        </w:rPr>
        <w:t xml:space="preserve">كلية الإدارة </w:t>
      </w:r>
    </w:p>
    <w:p w14:paraId="2AB5F86D" w14:textId="77777777" w:rsidR="00CC628F" w:rsidRPr="00D57711" w:rsidRDefault="00CC628F" w:rsidP="00CC628F">
      <w:pPr>
        <w:rPr>
          <w:rFonts w:ascii="Simplified Arabic" w:hAnsi="Simplified Arabic" w:cs="Simplified Arabic"/>
          <w:sz w:val="28"/>
          <w:szCs w:val="28"/>
          <w:rtl/>
          <w:lang w:bidi="ar-EG"/>
        </w:rPr>
      </w:pPr>
      <w:r w:rsidRPr="00D57711">
        <w:rPr>
          <w:rFonts w:ascii="Simplified Arabic" w:hAnsi="Simplified Arabic" w:cs="Simplified Arabic"/>
          <w:b/>
          <w:bCs/>
          <w:sz w:val="28"/>
          <w:szCs w:val="28"/>
          <w:rtl/>
          <w:lang w:bidi="ar-EG"/>
        </w:rPr>
        <w:t>قسم / تخصص إدارة أعمال</w:t>
      </w:r>
    </w:p>
    <w:p w14:paraId="3178B312" w14:textId="77777777" w:rsidR="00CC628F" w:rsidRDefault="00CC628F" w:rsidP="00CC628F">
      <w:pPr>
        <w:rPr>
          <w:rFonts w:ascii="Sakkal Majalla" w:hAnsi="Sakkal Majalla" w:cs="Sakkal Majalla"/>
          <w:sz w:val="28"/>
          <w:szCs w:val="28"/>
          <w:rtl/>
          <w:lang w:bidi="ar-EG"/>
        </w:rPr>
      </w:pPr>
    </w:p>
    <w:p w14:paraId="7E7A7B66" w14:textId="77777777" w:rsidR="00CC628F" w:rsidRPr="009125CE" w:rsidRDefault="00CC628F" w:rsidP="00CC628F">
      <w:pPr>
        <w:rPr>
          <w:rFonts w:ascii="Sakkal Majalla" w:hAnsi="Sakkal Majalla" w:cs="Sakkal Majalla"/>
          <w:sz w:val="28"/>
          <w:szCs w:val="28"/>
          <w:rtl/>
          <w:lang w:bidi="ar-EG"/>
        </w:rPr>
      </w:pPr>
    </w:p>
    <w:p w14:paraId="3BDCEB4C" w14:textId="77777777" w:rsidR="00CC628F" w:rsidRPr="00D57711" w:rsidRDefault="00CC628F" w:rsidP="00CC628F">
      <w:pPr>
        <w:spacing w:line="360" w:lineRule="auto"/>
        <w:jc w:val="center"/>
        <w:rPr>
          <w:rFonts w:ascii="Simplified Arabic" w:hAnsi="Simplified Arabic" w:cs="Simplified Arabic"/>
          <w:b/>
          <w:bCs/>
          <w:sz w:val="28"/>
          <w:szCs w:val="28"/>
          <w:rtl/>
          <w:lang w:bidi="ar-EG"/>
        </w:rPr>
      </w:pPr>
      <w:r w:rsidRPr="00D57711">
        <w:rPr>
          <w:rFonts w:ascii="Simplified Arabic" w:hAnsi="Simplified Arabic" w:cs="Simplified Arabic"/>
          <w:b/>
          <w:bCs/>
          <w:sz w:val="28"/>
          <w:szCs w:val="28"/>
          <w:rtl/>
          <w:lang w:bidi="ar-EG"/>
        </w:rPr>
        <w:t xml:space="preserve">العنوان باللغة العربية </w:t>
      </w:r>
    </w:p>
    <w:p w14:paraId="774A6359" w14:textId="01F3E3D5" w:rsidR="00CC628F" w:rsidRDefault="00CC628F" w:rsidP="00CC628F">
      <w:pPr>
        <w:jc w:val="center"/>
        <w:rPr>
          <w:rFonts w:ascii="Simplified Arabic" w:hAnsi="Simplified Arabic" w:cs="Simplified Arabic"/>
          <w:sz w:val="40"/>
          <w:szCs w:val="40"/>
          <w:rtl/>
          <w:lang w:bidi="ar-EG"/>
        </w:rPr>
      </w:pPr>
      <w:r w:rsidRPr="009A7ACA">
        <w:rPr>
          <w:rFonts w:ascii="Simplified Arabic" w:hAnsi="Simplified Arabic" w:cs="Simplified Arabic"/>
          <w:sz w:val="40"/>
          <w:szCs w:val="40"/>
          <w:rtl/>
          <w:lang w:bidi="ar-EG"/>
        </w:rPr>
        <w:t>استراتيجيات إدارة التغيير في المؤسسات الحكومية السعودية: دراسة تحليلية لجهود التحول الوطني لتحقيق رؤية 2030</w:t>
      </w:r>
    </w:p>
    <w:p w14:paraId="0D95081E" w14:textId="77777777" w:rsidR="00CC628F" w:rsidRPr="00CC628F" w:rsidRDefault="00CC628F" w:rsidP="00CC628F">
      <w:pPr>
        <w:jc w:val="center"/>
        <w:rPr>
          <w:rFonts w:ascii="Simplified Arabic" w:hAnsi="Simplified Arabic" w:cs="Simplified Arabic"/>
          <w:sz w:val="40"/>
          <w:szCs w:val="40"/>
          <w:rtl/>
          <w:lang w:bidi="ar-EG"/>
        </w:rPr>
      </w:pPr>
    </w:p>
    <w:p w14:paraId="7BD24597" w14:textId="35DA69DF" w:rsidR="00CC628F" w:rsidRPr="00D57711" w:rsidRDefault="00CC628F" w:rsidP="00CC628F">
      <w:pPr>
        <w:jc w:val="center"/>
        <w:rPr>
          <w:rFonts w:ascii="Simplified Arabic" w:hAnsi="Simplified Arabic" w:cs="Simplified Arabic" w:hint="cs"/>
          <w:b/>
          <w:bCs/>
          <w:sz w:val="28"/>
          <w:szCs w:val="28"/>
          <w:rtl/>
        </w:rPr>
      </w:pPr>
      <w:r w:rsidRPr="00D57711">
        <w:rPr>
          <w:rFonts w:ascii="Simplified Arabic" w:hAnsi="Simplified Arabic" w:cs="Simplified Arabic"/>
          <w:b/>
          <w:bCs/>
          <w:sz w:val="28"/>
          <w:szCs w:val="28"/>
          <w:rtl/>
          <w:lang w:bidi="ar-EG"/>
        </w:rPr>
        <w:t xml:space="preserve">إعداد الطالب/ </w:t>
      </w:r>
      <w:r w:rsidR="00C60FE7">
        <w:rPr>
          <w:rFonts w:ascii="Simplified Arabic" w:hAnsi="Simplified Arabic" w:cs="Simplified Arabic" w:hint="cs"/>
          <w:b/>
          <w:bCs/>
          <w:sz w:val="28"/>
          <w:szCs w:val="28"/>
          <w:rtl/>
        </w:rPr>
        <w:t>عبدالاله بن ناجي اليماني</w:t>
      </w:r>
    </w:p>
    <w:p w14:paraId="4CC4A039" w14:textId="70F419C6" w:rsidR="00CC628F" w:rsidRDefault="00C60FE7" w:rsidP="00C60F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24</w:t>
      </w:r>
      <w:r w:rsidR="00BA4BF1">
        <w:rPr>
          <w:rFonts w:ascii="Simplified Arabic" w:hAnsi="Simplified Arabic" w:cs="Simplified Arabic" w:hint="cs"/>
          <w:b/>
          <w:bCs/>
          <w:sz w:val="28"/>
          <w:szCs w:val="28"/>
          <w:rtl/>
          <w:lang w:bidi="ar-EG"/>
        </w:rPr>
        <w:t>1001226</w:t>
      </w:r>
    </w:p>
    <w:p w14:paraId="2E4399FA" w14:textId="77777777" w:rsidR="00CC628F" w:rsidRPr="00D57711" w:rsidRDefault="00CC628F" w:rsidP="00CC628F">
      <w:pPr>
        <w:rPr>
          <w:rFonts w:ascii="Simplified Arabic" w:hAnsi="Simplified Arabic" w:cs="Simplified Arabic"/>
          <w:b/>
          <w:bCs/>
          <w:sz w:val="28"/>
          <w:szCs w:val="28"/>
          <w:rtl/>
          <w:lang w:bidi="ar-EG"/>
        </w:rPr>
      </w:pPr>
    </w:p>
    <w:p w14:paraId="7276DB8B" w14:textId="77777777" w:rsidR="00CC628F" w:rsidRPr="00D57711" w:rsidRDefault="00CC628F" w:rsidP="00CC628F">
      <w:pPr>
        <w:rPr>
          <w:rFonts w:ascii="Simplified Arabic" w:hAnsi="Simplified Arabic" w:cs="Simplified Arabic"/>
          <w:b/>
          <w:bCs/>
          <w:sz w:val="28"/>
          <w:szCs w:val="28"/>
          <w:rtl/>
          <w:lang w:bidi="ar-EG"/>
        </w:rPr>
      </w:pPr>
    </w:p>
    <w:p w14:paraId="54D14786" w14:textId="20BC4F9E" w:rsidR="00CC628F" w:rsidRPr="00D57711" w:rsidRDefault="00CC628F" w:rsidP="00CC628F">
      <w:pPr>
        <w:jc w:val="center"/>
        <w:rPr>
          <w:rFonts w:ascii="Simplified Arabic" w:hAnsi="Simplified Arabic" w:cs="Simplified Arabic"/>
          <w:b/>
          <w:bCs/>
          <w:sz w:val="28"/>
          <w:szCs w:val="28"/>
          <w:rtl/>
          <w:lang w:bidi="ar-EG"/>
        </w:rPr>
      </w:pPr>
      <w:r w:rsidRPr="00D57711">
        <w:rPr>
          <w:rFonts w:ascii="Simplified Arabic" w:hAnsi="Simplified Arabic" w:cs="Simplified Arabic"/>
          <w:b/>
          <w:bCs/>
          <w:sz w:val="28"/>
          <w:szCs w:val="28"/>
          <w:rtl/>
          <w:lang w:bidi="ar-EG"/>
        </w:rPr>
        <w:t>إشراف/</w:t>
      </w:r>
      <w:r w:rsidR="00B719BB">
        <w:rPr>
          <w:rFonts w:ascii="Simplified Arabic" w:hAnsi="Simplified Arabic" w:cs="Simplified Arabic" w:hint="cs"/>
          <w:b/>
          <w:bCs/>
          <w:sz w:val="28"/>
          <w:szCs w:val="28"/>
          <w:rtl/>
          <w:lang w:bidi="ar-EG"/>
        </w:rPr>
        <w:t xml:space="preserve"> د. أسماء أبو عنزة</w:t>
      </w:r>
    </w:p>
    <w:p w14:paraId="7BB1CC66" w14:textId="77777777" w:rsidR="00CC628F" w:rsidRPr="00D57711" w:rsidRDefault="00CC628F" w:rsidP="00CC628F">
      <w:pPr>
        <w:rPr>
          <w:rFonts w:ascii="Simplified Arabic" w:hAnsi="Simplified Arabic" w:cs="Simplified Arabic"/>
          <w:b/>
          <w:bCs/>
          <w:sz w:val="28"/>
          <w:szCs w:val="28"/>
          <w:rtl/>
          <w:lang w:bidi="ar-EG"/>
        </w:rPr>
      </w:pPr>
    </w:p>
    <w:p w14:paraId="6EFB5465" w14:textId="77777777" w:rsidR="00CC628F" w:rsidRDefault="00CC628F" w:rsidP="00CC628F">
      <w:pPr>
        <w:rPr>
          <w:rFonts w:ascii="Simplified Arabic" w:hAnsi="Simplified Arabic" w:cs="Simplified Arabic"/>
          <w:b/>
          <w:bCs/>
          <w:sz w:val="28"/>
          <w:szCs w:val="28"/>
          <w:rtl/>
          <w:lang w:bidi="ar-EG"/>
        </w:rPr>
      </w:pPr>
    </w:p>
    <w:p w14:paraId="3AE1A3E6" w14:textId="77777777" w:rsidR="00CC628F" w:rsidRPr="00D57711" w:rsidRDefault="00CC628F" w:rsidP="00CC628F">
      <w:pPr>
        <w:rPr>
          <w:rFonts w:ascii="Simplified Arabic" w:hAnsi="Simplified Arabic" w:cs="Simplified Arabic"/>
          <w:b/>
          <w:bCs/>
          <w:sz w:val="28"/>
          <w:szCs w:val="28"/>
          <w:rtl/>
          <w:lang w:bidi="ar-EG"/>
        </w:rPr>
      </w:pPr>
    </w:p>
    <w:p w14:paraId="7D59761C" w14:textId="77777777" w:rsidR="00CC628F" w:rsidRPr="00D57711" w:rsidRDefault="00CC628F" w:rsidP="00CC628F">
      <w:pPr>
        <w:jc w:val="center"/>
        <w:rPr>
          <w:rFonts w:ascii="Simplified Arabic" w:hAnsi="Simplified Arabic" w:cs="Simplified Arabic"/>
          <w:b/>
          <w:bCs/>
          <w:sz w:val="28"/>
          <w:szCs w:val="28"/>
          <w:rtl/>
          <w:lang w:bidi="ar-EG"/>
        </w:rPr>
      </w:pPr>
      <w:r w:rsidRPr="00D57711">
        <w:rPr>
          <w:rFonts w:ascii="Simplified Arabic" w:hAnsi="Simplified Arabic" w:cs="Simplified Arabic"/>
          <w:b/>
          <w:bCs/>
          <w:sz w:val="28"/>
          <w:szCs w:val="28"/>
          <w:rtl/>
          <w:lang w:bidi="ar-EG"/>
        </w:rPr>
        <w:t>العام الدراسي:</w:t>
      </w:r>
    </w:p>
    <w:p w14:paraId="4BF64350" w14:textId="29651319" w:rsidR="00E7685E" w:rsidRDefault="00CC628F" w:rsidP="00CC628F">
      <w:pPr>
        <w:jc w:val="center"/>
        <w:rPr>
          <w:rFonts w:ascii="Simplified Arabic" w:hAnsi="Simplified Arabic" w:cs="Simplified Arabic"/>
          <w:b/>
          <w:bCs/>
          <w:sz w:val="28"/>
          <w:szCs w:val="28"/>
          <w:rtl/>
          <w:lang w:bidi="ar-EG"/>
        </w:rPr>
      </w:pPr>
      <w:r w:rsidRPr="00D57711">
        <w:rPr>
          <w:rFonts w:ascii="Simplified Arabic" w:hAnsi="Simplified Arabic" w:cs="Simplified Arabic"/>
          <w:b/>
          <w:bCs/>
          <w:sz w:val="28"/>
          <w:szCs w:val="28"/>
          <w:rtl/>
          <w:lang w:bidi="ar-EG"/>
        </w:rPr>
        <w:t>2024</w:t>
      </w:r>
    </w:p>
    <w:p w14:paraId="6A6BCEDB" w14:textId="77777777" w:rsidR="00CC628F" w:rsidRDefault="00CC628F" w:rsidP="00CC628F">
      <w:pPr>
        <w:jc w:val="center"/>
        <w:rPr>
          <w:rFonts w:ascii="Simplified Arabic" w:hAnsi="Simplified Arabic" w:cs="Simplified Arabic"/>
          <w:b/>
          <w:bCs/>
          <w:sz w:val="28"/>
          <w:szCs w:val="28"/>
          <w:rtl/>
          <w:lang w:bidi="ar-EG"/>
        </w:rPr>
      </w:pPr>
    </w:p>
    <w:p w14:paraId="1A657101" w14:textId="77777777" w:rsidR="00CC628F" w:rsidRDefault="00CC628F" w:rsidP="00CC628F">
      <w:pPr>
        <w:jc w:val="center"/>
        <w:rPr>
          <w:rFonts w:ascii="Simplified Arabic" w:hAnsi="Simplified Arabic" w:cs="Simplified Arabic"/>
          <w:b/>
          <w:bCs/>
          <w:sz w:val="28"/>
          <w:szCs w:val="28"/>
          <w:rtl/>
          <w:lang w:bidi="ar-EG"/>
        </w:rPr>
      </w:pPr>
    </w:p>
    <w:p w14:paraId="422A9363" w14:textId="77777777" w:rsidR="00CC628F" w:rsidRDefault="00CC628F" w:rsidP="00CC628F">
      <w:pPr>
        <w:jc w:val="center"/>
        <w:rPr>
          <w:rFonts w:ascii="Simplified Arabic" w:hAnsi="Simplified Arabic" w:cs="Simplified Arabic"/>
          <w:b/>
          <w:bCs/>
          <w:sz w:val="28"/>
          <w:szCs w:val="28"/>
          <w:rtl/>
          <w:lang w:bidi="ar-EG"/>
        </w:rPr>
      </w:pPr>
    </w:p>
    <w:p w14:paraId="31092D4C" w14:textId="77777777" w:rsidR="00CC628F" w:rsidRDefault="00CC628F" w:rsidP="00CC628F">
      <w:pPr>
        <w:jc w:val="center"/>
        <w:rPr>
          <w:rFonts w:ascii="Simplified Arabic" w:hAnsi="Simplified Arabic" w:cs="Simplified Arabic"/>
          <w:b/>
          <w:bCs/>
          <w:sz w:val="28"/>
          <w:szCs w:val="28"/>
          <w:rtl/>
          <w:lang w:bidi="ar-EG"/>
        </w:rPr>
      </w:pPr>
    </w:p>
    <w:p w14:paraId="6A2E768D" w14:textId="77777777" w:rsidR="00CC628F" w:rsidRDefault="00CC628F" w:rsidP="00CC628F">
      <w:pPr>
        <w:jc w:val="center"/>
        <w:rPr>
          <w:rFonts w:ascii="Simplified Arabic" w:hAnsi="Simplified Arabic" w:cs="Simplified Arabic"/>
          <w:b/>
          <w:bCs/>
          <w:sz w:val="28"/>
          <w:szCs w:val="28"/>
          <w:rtl/>
          <w:lang w:bidi="ar-EG"/>
        </w:rPr>
      </w:pPr>
    </w:p>
    <w:p w14:paraId="421EEE43" w14:textId="77777777" w:rsidR="00CC628F" w:rsidRDefault="00CC628F" w:rsidP="00CC628F">
      <w:pPr>
        <w:jc w:val="center"/>
        <w:rPr>
          <w:rFonts w:ascii="Simplified Arabic" w:hAnsi="Simplified Arabic" w:cs="Simplified Arabic"/>
          <w:b/>
          <w:bCs/>
          <w:sz w:val="28"/>
          <w:szCs w:val="28"/>
          <w:rtl/>
          <w:lang w:bidi="ar-EG"/>
        </w:rPr>
      </w:pPr>
    </w:p>
    <w:p w14:paraId="738BA0D7" w14:textId="77777777" w:rsidR="00CC628F" w:rsidRDefault="00CC628F" w:rsidP="00CC628F">
      <w:pPr>
        <w:jc w:val="center"/>
        <w:rPr>
          <w:rFonts w:ascii="Simplified Arabic" w:hAnsi="Simplified Arabic" w:cs="Simplified Arabic"/>
          <w:b/>
          <w:bCs/>
          <w:sz w:val="28"/>
          <w:szCs w:val="28"/>
          <w:rtl/>
          <w:lang w:bidi="ar-EG"/>
        </w:rPr>
      </w:pPr>
    </w:p>
    <w:p w14:paraId="6601E6CE" w14:textId="77777777" w:rsidR="00CC628F" w:rsidRPr="008845D9" w:rsidRDefault="00CC628F" w:rsidP="00CC628F">
      <w:pPr>
        <w:pStyle w:val="1"/>
        <w:jc w:val="center"/>
        <w:rPr>
          <w:rFonts w:ascii="Simplified Arabic" w:hAnsi="Simplified Arabic" w:cs="Simplified Arabic"/>
          <w:b/>
          <w:bCs/>
          <w:color w:val="000000" w:themeColor="text1"/>
          <w:rtl/>
        </w:rPr>
      </w:pPr>
      <w:bookmarkStart w:id="1" w:name="_Toc172397775"/>
      <w:bookmarkStart w:id="2" w:name="_Toc172746088"/>
      <w:bookmarkStart w:id="3" w:name="_Toc173711454"/>
      <w:r w:rsidRPr="008845D9">
        <w:rPr>
          <w:rFonts w:ascii="Simplified Arabic" w:hAnsi="Simplified Arabic" w:cs="Simplified Arabic"/>
          <w:b/>
          <w:bCs/>
          <w:color w:val="000000" w:themeColor="text1"/>
          <w:rtl/>
        </w:rPr>
        <w:t>الفصل الأول</w:t>
      </w:r>
      <w:bookmarkEnd w:id="1"/>
      <w:bookmarkEnd w:id="2"/>
      <w:bookmarkEnd w:id="3"/>
    </w:p>
    <w:p w14:paraId="72005668" w14:textId="77777777" w:rsidR="00CC628F" w:rsidRDefault="00CC628F" w:rsidP="00CC628F">
      <w:pPr>
        <w:rPr>
          <w:rFonts w:ascii="Sakkal Majalla" w:hAnsi="Sakkal Majalla" w:cs="Sakkal Majalla"/>
          <w:sz w:val="28"/>
          <w:szCs w:val="28"/>
          <w:u w:val="single"/>
          <w:rtl/>
        </w:rPr>
      </w:pPr>
    </w:p>
    <w:p w14:paraId="11FFD15D" w14:textId="77777777" w:rsidR="00CC628F" w:rsidRDefault="00CC628F" w:rsidP="00CC628F">
      <w:pPr>
        <w:rPr>
          <w:rFonts w:ascii="Sakkal Majalla" w:hAnsi="Sakkal Majalla" w:cs="Sakkal Majalla"/>
          <w:sz w:val="28"/>
          <w:szCs w:val="28"/>
          <w:u w:val="single"/>
          <w:rtl/>
        </w:rPr>
      </w:pPr>
    </w:p>
    <w:p w14:paraId="1E0FA0BF" w14:textId="77777777" w:rsidR="00CC628F" w:rsidRDefault="00CC628F" w:rsidP="00CC628F">
      <w:pPr>
        <w:rPr>
          <w:rFonts w:ascii="Sakkal Majalla" w:hAnsi="Sakkal Majalla" w:cs="Sakkal Majalla"/>
          <w:sz w:val="28"/>
          <w:szCs w:val="28"/>
          <w:u w:val="single"/>
          <w:rtl/>
        </w:rPr>
      </w:pPr>
    </w:p>
    <w:p w14:paraId="58968F8F" w14:textId="77777777" w:rsidR="00CC628F" w:rsidRDefault="00CC628F" w:rsidP="00CC628F">
      <w:pPr>
        <w:rPr>
          <w:rFonts w:ascii="Sakkal Majalla" w:hAnsi="Sakkal Majalla" w:cs="Sakkal Majalla"/>
          <w:sz w:val="28"/>
          <w:szCs w:val="28"/>
          <w:u w:val="single"/>
          <w:rtl/>
        </w:rPr>
      </w:pPr>
    </w:p>
    <w:p w14:paraId="230E486D" w14:textId="77777777" w:rsidR="00CC628F" w:rsidRDefault="00CC628F" w:rsidP="00CC628F">
      <w:pPr>
        <w:rPr>
          <w:rFonts w:ascii="Sakkal Majalla" w:hAnsi="Sakkal Majalla" w:cs="Sakkal Majalla"/>
          <w:sz w:val="28"/>
          <w:szCs w:val="28"/>
          <w:u w:val="single"/>
          <w:rtl/>
        </w:rPr>
      </w:pPr>
    </w:p>
    <w:p w14:paraId="75FD5184" w14:textId="77777777" w:rsidR="00CC628F" w:rsidRDefault="00CC628F" w:rsidP="00CC628F">
      <w:pPr>
        <w:rPr>
          <w:rFonts w:ascii="Sakkal Majalla" w:hAnsi="Sakkal Majalla" w:cs="Sakkal Majalla"/>
          <w:sz w:val="28"/>
          <w:szCs w:val="28"/>
          <w:u w:val="single"/>
          <w:rtl/>
        </w:rPr>
      </w:pPr>
    </w:p>
    <w:p w14:paraId="122D1F94" w14:textId="77777777" w:rsidR="00CC628F" w:rsidRDefault="00CC628F" w:rsidP="00CC628F">
      <w:pPr>
        <w:rPr>
          <w:rFonts w:ascii="Sakkal Majalla" w:hAnsi="Sakkal Majalla" w:cs="Sakkal Majalla"/>
          <w:sz w:val="28"/>
          <w:szCs w:val="28"/>
          <w:u w:val="single"/>
          <w:rtl/>
        </w:rPr>
      </w:pPr>
    </w:p>
    <w:p w14:paraId="68213686" w14:textId="77777777" w:rsidR="00CC628F" w:rsidRDefault="00CC628F" w:rsidP="00CC628F">
      <w:pPr>
        <w:rPr>
          <w:rFonts w:ascii="Sakkal Majalla" w:hAnsi="Sakkal Majalla" w:cs="Sakkal Majalla"/>
          <w:sz w:val="28"/>
          <w:szCs w:val="28"/>
          <w:u w:val="single"/>
          <w:rtl/>
        </w:rPr>
      </w:pPr>
    </w:p>
    <w:p w14:paraId="5D3590A3" w14:textId="77777777" w:rsidR="00CC628F" w:rsidRDefault="00CC628F" w:rsidP="00CC628F">
      <w:pPr>
        <w:rPr>
          <w:rFonts w:ascii="Sakkal Majalla" w:hAnsi="Sakkal Majalla" w:cs="Sakkal Majalla"/>
          <w:sz w:val="28"/>
          <w:szCs w:val="28"/>
          <w:u w:val="single"/>
          <w:rtl/>
        </w:rPr>
      </w:pPr>
    </w:p>
    <w:p w14:paraId="6AFAB4DF" w14:textId="77777777" w:rsidR="00CC628F" w:rsidRDefault="00CC628F" w:rsidP="00CC628F">
      <w:pPr>
        <w:rPr>
          <w:rFonts w:ascii="Sakkal Majalla" w:hAnsi="Sakkal Majalla" w:cs="Sakkal Majalla"/>
          <w:sz w:val="28"/>
          <w:szCs w:val="28"/>
          <w:u w:val="single"/>
          <w:rtl/>
        </w:rPr>
      </w:pPr>
    </w:p>
    <w:p w14:paraId="2EF9D24A" w14:textId="77777777" w:rsidR="00CC628F" w:rsidRDefault="00CC628F" w:rsidP="00CC628F">
      <w:pPr>
        <w:rPr>
          <w:rFonts w:ascii="Sakkal Majalla" w:hAnsi="Sakkal Majalla" w:cs="Sakkal Majalla"/>
          <w:sz w:val="28"/>
          <w:szCs w:val="28"/>
          <w:u w:val="single"/>
          <w:rtl/>
        </w:rPr>
      </w:pPr>
    </w:p>
    <w:p w14:paraId="41051D5A" w14:textId="77777777" w:rsidR="00CC628F" w:rsidRPr="008845D9" w:rsidRDefault="00CC628F" w:rsidP="00CC628F">
      <w:pPr>
        <w:pStyle w:val="2"/>
        <w:spacing w:before="0" w:line="276" w:lineRule="auto"/>
        <w:rPr>
          <w:rFonts w:ascii="Simplified Arabic" w:hAnsi="Simplified Arabic" w:cs="Simplified Arabic"/>
          <w:b/>
          <w:bCs/>
          <w:color w:val="000000" w:themeColor="text1"/>
          <w:sz w:val="36"/>
          <w:szCs w:val="36"/>
          <w:rtl/>
        </w:rPr>
      </w:pPr>
      <w:bookmarkStart w:id="4" w:name="_Toc172397776"/>
      <w:bookmarkStart w:id="5" w:name="_Toc172746089"/>
      <w:bookmarkStart w:id="6" w:name="_Toc173711455"/>
      <w:r w:rsidRPr="008845D9">
        <w:rPr>
          <w:rFonts w:ascii="Simplified Arabic" w:hAnsi="Simplified Arabic" w:cs="Simplified Arabic"/>
          <w:b/>
          <w:bCs/>
          <w:color w:val="000000" w:themeColor="text1"/>
          <w:sz w:val="36"/>
          <w:szCs w:val="36"/>
          <w:rtl/>
        </w:rPr>
        <w:lastRenderedPageBreak/>
        <w:t>المقدمة</w:t>
      </w:r>
      <w:bookmarkEnd w:id="4"/>
      <w:bookmarkEnd w:id="5"/>
      <w:bookmarkEnd w:id="6"/>
    </w:p>
    <w:p w14:paraId="7C43CF92" w14:textId="77777777" w:rsidR="00CC628F" w:rsidRDefault="00CC628F" w:rsidP="00CC628F">
      <w:pPr>
        <w:spacing w:line="240" w:lineRule="auto"/>
        <w:ind w:firstLine="732"/>
        <w:jc w:val="both"/>
        <w:rPr>
          <w:rFonts w:ascii="Simplified Arabic" w:hAnsi="Simplified Arabic" w:cs="Simplified Arabic"/>
          <w:sz w:val="28"/>
          <w:szCs w:val="28"/>
          <w:lang w:bidi="ar-EG"/>
        </w:rPr>
      </w:pPr>
      <w:r w:rsidRPr="009A7ACA">
        <w:rPr>
          <w:rFonts w:ascii="Simplified Arabic" w:hAnsi="Simplified Arabic" w:cs="Simplified Arabic"/>
          <w:sz w:val="28"/>
          <w:szCs w:val="28"/>
          <w:rtl/>
          <w:lang w:bidi="ar-EG"/>
        </w:rPr>
        <w:t xml:space="preserve">تشهد المملكة العربية السعودية تحولات جذرية على مختلف الأصعدة الاقتصادية والاجتماعية والسياسية، مدفوعة برؤية 2030 التي تهدف إلى تنويع الاقتصاد وتقليل الاعتماد على النفط، وتعزيز القطاع الخاص، وتحسين جودة الحياة للمواطنين والمقيمين. في هذا السياق، تأتي استراتيجيات إدارة التغيير في المؤسسات الحكومية كعنصر أساسي لتحقيق هذه الأهداف الطموحة. إن إدارة التغيير ليست مجرد عملية </w:t>
      </w:r>
      <w:r w:rsidRPr="009A7ACA">
        <w:rPr>
          <w:rFonts w:ascii="Simplified Arabic" w:hAnsi="Simplified Arabic" w:cs="Simplified Arabic" w:hint="cs"/>
          <w:sz w:val="28"/>
          <w:szCs w:val="28"/>
          <w:rtl/>
          <w:lang w:bidi="ar-EG"/>
        </w:rPr>
        <w:t>تنظيمية</w:t>
      </w:r>
      <w:r w:rsidRPr="009A7ACA">
        <w:rPr>
          <w:rFonts w:ascii="Simplified Arabic" w:hAnsi="Simplified Arabic" w:cs="Simplified Arabic" w:hint="eastAsia"/>
          <w:sz w:val="28"/>
          <w:szCs w:val="28"/>
          <w:rtl/>
          <w:lang w:bidi="ar-EG"/>
        </w:rPr>
        <w:t>،</w:t>
      </w:r>
      <w:r w:rsidRPr="009A7ACA">
        <w:rPr>
          <w:rFonts w:ascii="Simplified Arabic" w:hAnsi="Simplified Arabic" w:cs="Simplified Arabic"/>
          <w:sz w:val="28"/>
          <w:szCs w:val="28"/>
          <w:rtl/>
          <w:lang w:bidi="ar-EG"/>
        </w:rPr>
        <w:t xml:space="preserve"> بل هي منهجية شاملة تهدف إلى توجيه وتنسيق جهود التحول لضمان تحقيق النتائج المرجوة بكفاءة وفعالية</w:t>
      </w:r>
      <w:r w:rsidRPr="009A7ACA">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1550414265"/>
          <w:citation/>
        </w:sdtPr>
        <w:sdtEndPr/>
        <w:sdtContent>
          <w:r w:rsidRPr="009A7ACA">
            <w:rPr>
              <w:rFonts w:ascii="Simplified Arabic" w:hAnsi="Simplified Arabic" w:cs="Simplified Arabic"/>
              <w:sz w:val="28"/>
              <w:szCs w:val="28"/>
              <w:rtl/>
              <w:lang w:bidi="ar-EG"/>
            </w:rPr>
            <w:fldChar w:fldCharType="begin"/>
          </w:r>
          <w:r w:rsidRPr="009A7ACA">
            <w:rPr>
              <w:rFonts w:ascii="Simplified Arabic" w:hAnsi="Simplified Arabic" w:cs="Simplified Arabic"/>
              <w:sz w:val="28"/>
              <w:szCs w:val="28"/>
              <w:rtl/>
              <w:lang w:bidi="ar-EG"/>
            </w:rPr>
            <w:instrText xml:space="preserve"> </w:instrText>
          </w:r>
          <w:r w:rsidRPr="009A7ACA">
            <w:rPr>
              <w:rFonts w:ascii="Simplified Arabic" w:hAnsi="Simplified Arabic" w:cs="Simplified Arabic" w:hint="cs"/>
              <w:sz w:val="28"/>
              <w:szCs w:val="28"/>
              <w:lang w:bidi="ar-EG"/>
            </w:rPr>
            <w:instrText>CITATION</w:instrText>
          </w:r>
          <w:r w:rsidRPr="009A7ACA">
            <w:rPr>
              <w:rFonts w:ascii="Simplified Arabic" w:hAnsi="Simplified Arabic" w:cs="Simplified Arabic" w:hint="cs"/>
              <w:sz w:val="28"/>
              <w:szCs w:val="28"/>
              <w:rtl/>
              <w:lang w:bidi="ar-EG"/>
            </w:rPr>
            <w:instrText xml:space="preserve"> </w:instrText>
          </w:r>
          <w:r w:rsidRPr="009A7ACA">
            <w:rPr>
              <w:rFonts w:ascii="Simplified Arabic" w:hAnsi="Simplified Arabic" w:cs="Simplified Arabic" w:hint="cs"/>
              <w:sz w:val="28"/>
              <w:szCs w:val="28"/>
              <w:lang w:bidi="ar-EG"/>
            </w:rPr>
            <w:instrText>SHA22 \l 3073</w:instrText>
          </w:r>
          <w:r w:rsidRPr="009A7ACA">
            <w:rPr>
              <w:rFonts w:ascii="Simplified Arabic" w:hAnsi="Simplified Arabic" w:cs="Simplified Arabic"/>
              <w:sz w:val="28"/>
              <w:szCs w:val="28"/>
              <w:rtl/>
              <w:lang w:bidi="ar-EG"/>
            </w:rPr>
            <w:instrText xml:space="preserve"> </w:instrText>
          </w:r>
          <w:r w:rsidRPr="009A7ACA">
            <w:rPr>
              <w:rFonts w:ascii="Simplified Arabic" w:hAnsi="Simplified Arabic" w:cs="Simplified Arabic"/>
              <w:sz w:val="28"/>
              <w:szCs w:val="28"/>
              <w:rtl/>
              <w:lang w:bidi="ar-EG"/>
            </w:rPr>
            <w:fldChar w:fldCharType="separate"/>
          </w:r>
          <w:r w:rsidRPr="009A7ACA">
            <w:rPr>
              <w:rFonts w:ascii="Simplified Arabic" w:hAnsi="Simplified Arabic" w:cs="Simplified Arabic" w:hint="cs"/>
              <w:sz w:val="28"/>
              <w:szCs w:val="28"/>
              <w:rtl/>
              <w:lang w:bidi="ar-EG"/>
            </w:rPr>
            <w:t>(</w:t>
          </w:r>
          <w:r w:rsidRPr="009A7ACA">
            <w:rPr>
              <w:rFonts w:ascii="Simplified Arabic" w:hAnsi="Simplified Arabic" w:cs="Simplified Arabic" w:hint="cs"/>
              <w:sz w:val="28"/>
              <w:szCs w:val="28"/>
              <w:lang w:bidi="ar-EG"/>
            </w:rPr>
            <w:t>SHARMA</w:t>
          </w:r>
          <w:r w:rsidRPr="009A7ACA">
            <w:rPr>
              <w:rFonts w:ascii="Simplified Arabic" w:hAnsi="Simplified Arabic" w:cs="Simplified Arabic" w:hint="cs"/>
              <w:sz w:val="28"/>
              <w:szCs w:val="28"/>
              <w:rtl/>
              <w:lang w:bidi="ar-EG"/>
            </w:rPr>
            <w:t>، 2022)</w:t>
          </w:r>
          <w:r w:rsidRPr="009A7ACA">
            <w:rPr>
              <w:rFonts w:ascii="Simplified Arabic" w:hAnsi="Simplified Arabic" w:cs="Simplified Arabic"/>
              <w:sz w:val="28"/>
              <w:szCs w:val="28"/>
              <w:rtl/>
              <w:lang w:bidi="ar-EG"/>
            </w:rPr>
            <w:fldChar w:fldCharType="end"/>
          </w:r>
        </w:sdtContent>
      </w:sdt>
      <w:r w:rsidRPr="009A7ACA">
        <w:rPr>
          <w:rFonts w:ascii="Simplified Arabic" w:hAnsi="Simplified Arabic" w:cs="Simplified Arabic"/>
          <w:sz w:val="28"/>
          <w:szCs w:val="28"/>
          <w:rtl/>
          <w:lang w:bidi="ar-EG"/>
        </w:rPr>
        <w:t>.</w:t>
      </w:r>
    </w:p>
    <w:p w14:paraId="507F17FD" w14:textId="77777777" w:rsidR="00CC628F" w:rsidRDefault="00CC628F" w:rsidP="00CC628F">
      <w:pPr>
        <w:spacing w:line="240" w:lineRule="auto"/>
        <w:ind w:firstLine="732"/>
        <w:jc w:val="both"/>
        <w:rPr>
          <w:rFonts w:ascii="Simplified Arabic" w:hAnsi="Simplified Arabic" w:cs="Simplified Arabic"/>
          <w:sz w:val="28"/>
          <w:szCs w:val="28"/>
          <w:lang w:bidi="ar-EG"/>
        </w:rPr>
      </w:pPr>
      <w:r w:rsidRPr="009A7ACA">
        <w:rPr>
          <w:rFonts w:ascii="Simplified Arabic" w:hAnsi="Simplified Arabic" w:cs="Simplified Arabic"/>
          <w:sz w:val="28"/>
          <w:szCs w:val="28"/>
          <w:rtl/>
          <w:lang w:bidi="ar-EG"/>
        </w:rPr>
        <w:t>تلعب المؤسسات الحكومية السعودية دورًا حيويًا في قيادة هذا التحول الوطني، حيث تحتاج إلى تبني استراتيجيات إدارة التغيير المتقدمة لتعزيز الأداء وتحقيق الاستدامة. تشمل هذه الاستراتيجيات تطوير القدرات المؤسسية، وتحسين البنية التحتية التقنية، وتعزيز الشفافية والمساءلة، بالإضافة إلى تبني الابتكار والتكنولوجيا الحديثة في العمليات الحكومية. تسعى هذه الدراسة إلى تحليل جهود التحول الوطني في سياق رؤية 2030، واستعراض استراتيجيات إدارة التغيير المستخدمة في المؤسسات الحكومية لتحقيق هذا التحول.</w:t>
      </w:r>
    </w:p>
    <w:p w14:paraId="36C819CE" w14:textId="77777777" w:rsidR="00CC628F" w:rsidRDefault="00CC628F" w:rsidP="00CC628F">
      <w:pPr>
        <w:spacing w:line="240" w:lineRule="auto"/>
        <w:ind w:firstLine="732"/>
        <w:jc w:val="both"/>
        <w:rPr>
          <w:rFonts w:ascii="Simplified Arabic" w:hAnsi="Simplified Arabic" w:cs="Simplified Arabic"/>
          <w:sz w:val="28"/>
          <w:szCs w:val="28"/>
          <w:lang w:bidi="ar-EG"/>
        </w:rPr>
      </w:pPr>
      <w:r w:rsidRPr="009A7ACA">
        <w:rPr>
          <w:rFonts w:ascii="Simplified Arabic" w:hAnsi="Simplified Arabic" w:cs="Simplified Arabic"/>
          <w:sz w:val="28"/>
          <w:szCs w:val="28"/>
          <w:rtl/>
          <w:lang w:bidi="ar-EG"/>
        </w:rPr>
        <w:t>تتضمن استراتيجيات إدارة التغيير في المؤسسات الحكومية السعودية عدة محاور رئيسية، منها: تطوير القيادات الحكومية وتمكينها، بناء القدرات البشرية، تعزيز التواصل الداخلي والخارجي، وتبني ثقافة التغيير المستدام. إن القيادة الفعالة تُعتبر حجر الزاوية في إدارة التغيير، حيث يتطلب التحول الناجح وجود قيادات تتمتع برؤية واضحة، وقدرة على تحفيز العاملين، وإدارة التحديات بمرونة. علاوة على ذلك، فإن بناء القدرات البشرية يتطلب استثمارًا كبيرًا في التعليم والتدريب لتزويد الموظفين بالمهارات والمعارف اللازمة لمواجهة التحديات الجديدة</w:t>
      </w:r>
      <w:r w:rsidRPr="009A7ACA">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353318428"/>
          <w:citation/>
        </w:sdtPr>
        <w:sdtEndPr/>
        <w:sdtContent>
          <w:r w:rsidRPr="009A7ACA">
            <w:rPr>
              <w:rFonts w:ascii="Simplified Arabic" w:hAnsi="Simplified Arabic" w:cs="Simplified Arabic"/>
              <w:sz w:val="28"/>
              <w:szCs w:val="28"/>
              <w:rtl/>
              <w:lang w:bidi="ar-EG"/>
            </w:rPr>
            <w:fldChar w:fldCharType="begin"/>
          </w:r>
          <w:r w:rsidRPr="009A7ACA">
            <w:rPr>
              <w:rFonts w:ascii="Simplified Arabic" w:hAnsi="Simplified Arabic" w:cs="Simplified Arabic"/>
              <w:sz w:val="28"/>
              <w:szCs w:val="28"/>
              <w:rtl/>
              <w:lang w:bidi="ar-EG"/>
            </w:rPr>
            <w:instrText xml:space="preserve"> </w:instrText>
          </w:r>
          <w:r w:rsidRPr="009A7ACA">
            <w:rPr>
              <w:rFonts w:ascii="Simplified Arabic" w:hAnsi="Simplified Arabic" w:cs="Simplified Arabic" w:hint="cs"/>
              <w:sz w:val="28"/>
              <w:szCs w:val="28"/>
              <w:lang w:bidi="ar-EG"/>
            </w:rPr>
            <w:instrText>CITATION</w:instrText>
          </w:r>
          <w:r w:rsidRPr="009A7ACA">
            <w:rPr>
              <w:rFonts w:ascii="Simplified Arabic" w:hAnsi="Simplified Arabic" w:cs="Simplified Arabic" w:hint="cs"/>
              <w:sz w:val="28"/>
              <w:szCs w:val="28"/>
              <w:rtl/>
              <w:lang w:bidi="ar-EG"/>
            </w:rPr>
            <w:instrText xml:space="preserve"> </w:instrText>
          </w:r>
          <w:r w:rsidRPr="009A7ACA">
            <w:rPr>
              <w:rFonts w:ascii="Simplified Arabic" w:hAnsi="Simplified Arabic" w:cs="Simplified Arabic" w:hint="cs"/>
              <w:sz w:val="28"/>
              <w:szCs w:val="28"/>
              <w:lang w:bidi="ar-EG"/>
            </w:rPr>
            <w:instrText>Sam24 \l 3073</w:instrText>
          </w:r>
          <w:r w:rsidRPr="009A7ACA">
            <w:rPr>
              <w:rFonts w:ascii="Simplified Arabic" w:hAnsi="Simplified Arabic" w:cs="Simplified Arabic"/>
              <w:sz w:val="28"/>
              <w:szCs w:val="28"/>
              <w:rtl/>
              <w:lang w:bidi="ar-EG"/>
            </w:rPr>
            <w:instrText xml:space="preserve"> </w:instrText>
          </w:r>
          <w:r w:rsidRPr="009A7ACA">
            <w:rPr>
              <w:rFonts w:ascii="Simplified Arabic" w:hAnsi="Simplified Arabic" w:cs="Simplified Arabic"/>
              <w:sz w:val="28"/>
              <w:szCs w:val="28"/>
              <w:rtl/>
              <w:lang w:bidi="ar-EG"/>
            </w:rPr>
            <w:fldChar w:fldCharType="separate"/>
          </w:r>
          <w:r w:rsidRPr="009A7ACA">
            <w:rPr>
              <w:rFonts w:ascii="Simplified Arabic" w:hAnsi="Simplified Arabic" w:cs="Simplified Arabic" w:hint="cs"/>
              <w:sz w:val="28"/>
              <w:szCs w:val="28"/>
              <w:rtl/>
              <w:lang w:bidi="ar-EG"/>
            </w:rPr>
            <w:t>(</w:t>
          </w:r>
          <w:r w:rsidRPr="009A7ACA">
            <w:rPr>
              <w:rFonts w:ascii="Simplified Arabic" w:hAnsi="Simplified Arabic" w:cs="Simplified Arabic" w:hint="cs"/>
              <w:sz w:val="28"/>
              <w:szCs w:val="28"/>
              <w:lang w:bidi="ar-EG"/>
            </w:rPr>
            <w:t>Sayyd</w:t>
          </w:r>
          <w:r w:rsidRPr="009A7ACA">
            <w:rPr>
              <w:rFonts w:ascii="Simplified Arabic" w:hAnsi="Simplified Arabic" w:cs="Simplified Arabic" w:hint="cs"/>
              <w:sz w:val="28"/>
              <w:szCs w:val="28"/>
              <w:rtl/>
              <w:lang w:bidi="ar-EG"/>
            </w:rPr>
            <w:t>، 2024)</w:t>
          </w:r>
          <w:r w:rsidRPr="009A7ACA">
            <w:rPr>
              <w:rFonts w:ascii="Simplified Arabic" w:hAnsi="Simplified Arabic" w:cs="Simplified Arabic"/>
              <w:sz w:val="28"/>
              <w:szCs w:val="28"/>
              <w:rtl/>
              <w:lang w:bidi="ar-EG"/>
            </w:rPr>
            <w:fldChar w:fldCharType="end"/>
          </w:r>
        </w:sdtContent>
      </w:sdt>
      <w:r w:rsidRPr="009A7ACA">
        <w:rPr>
          <w:rFonts w:ascii="Simplified Arabic" w:hAnsi="Simplified Arabic" w:cs="Simplified Arabic"/>
          <w:sz w:val="28"/>
          <w:szCs w:val="28"/>
          <w:rtl/>
          <w:lang w:bidi="ar-EG"/>
        </w:rPr>
        <w:t>.</w:t>
      </w:r>
    </w:p>
    <w:p w14:paraId="3592C5F5" w14:textId="77777777" w:rsidR="00CC628F" w:rsidRDefault="00CC628F" w:rsidP="00CC628F">
      <w:pPr>
        <w:spacing w:line="240" w:lineRule="auto"/>
        <w:ind w:firstLine="732"/>
        <w:jc w:val="both"/>
        <w:rPr>
          <w:rFonts w:ascii="Simplified Arabic" w:hAnsi="Simplified Arabic" w:cs="Simplified Arabic"/>
          <w:sz w:val="28"/>
          <w:szCs w:val="28"/>
          <w:lang w:bidi="ar-EG"/>
        </w:rPr>
      </w:pPr>
      <w:r w:rsidRPr="009A7ACA">
        <w:rPr>
          <w:rFonts w:ascii="Simplified Arabic" w:hAnsi="Simplified Arabic" w:cs="Simplified Arabic"/>
          <w:sz w:val="28"/>
          <w:szCs w:val="28"/>
          <w:rtl/>
          <w:lang w:bidi="ar-EG"/>
        </w:rPr>
        <w:t>يعد تعزيز التواصل الفعّال داخل المؤسسات الحكومية وبينها وبين مختلف أصحاب المصلحة أمرًا ضروريًا لتحقيق التغيير المستدام. يساهم التواصل الشفاف والمفتوح في بناء الثقة وتخفيف مقاومة التغيير، مما يسهل عملية التحول. كما أن تبني ثقافة التغيير المستدام يعزز الابتكار والإبداع، ويشجع الموظفين على تقديم أفضل ما لديهم من أفكار وحلول</w:t>
      </w:r>
      <w:r w:rsidRPr="009A7ACA">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182433978"/>
          <w:citation/>
        </w:sdtPr>
        <w:sdtEndPr/>
        <w:sdtContent>
          <w:r w:rsidRPr="009A7ACA">
            <w:rPr>
              <w:rFonts w:ascii="Simplified Arabic" w:hAnsi="Simplified Arabic" w:cs="Simplified Arabic"/>
              <w:sz w:val="28"/>
              <w:szCs w:val="28"/>
              <w:rtl/>
              <w:lang w:bidi="ar-EG"/>
            </w:rPr>
            <w:fldChar w:fldCharType="begin"/>
          </w:r>
          <w:r w:rsidRPr="009A7ACA">
            <w:rPr>
              <w:rFonts w:ascii="Simplified Arabic" w:hAnsi="Simplified Arabic" w:cs="Simplified Arabic"/>
              <w:sz w:val="28"/>
              <w:szCs w:val="28"/>
              <w:rtl/>
              <w:lang w:bidi="ar-EG"/>
            </w:rPr>
            <w:instrText xml:space="preserve"> </w:instrText>
          </w:r>
          <w:r w:rsidRPr="009A7ACA">
            <w:rPr>
              <w:rFonts w:ascii="Simplified Arabic" w:hAnsi="Simplified Arabic" w:cs="Simplified Arabic" w:hint="cs"/>
              <w:sz w:val="28"/>
              <w:szCs w:val="28"/>
              <w:lang w:bidi="ar-EG"/>
            </w:rPr>
            <w:instrText>CITATION</w:instrText>
          </w:r>
          <w:r w:rsidRPr="009A7ACA">
            <w:rPr>
              <w:rFonts w:ascii="Simplified Arabic" w:hAnsi="Simplified Arabic" w:cs="Simplified Arabic" w:hint="cs"/>
              <w:sz w:val="28"/>
              <w:szCs w:val="28"/>
              <w:rtl/>
              <w:lang w:bidi="ar-EG"/>
            </w:rPr>
            <w:instrText xml:space="preserve"> </w:instrText>
          </w:r>
          <w:r w:rsidRPr="009A7ACA">
            <w:rPr>
              <w:rFonts w:ascii="Simplified Arabic" w:hAnsi="Simplified Arabic" w:cs="Simplified Arabic" w:hint="cs"/>
              <w:sz w:val="28"/>
              <w:szCs w:val="28"/>
              <w:lang w:bidi="ar-EG"/>
            </w:rPr>
            <w:instrText>Alf241 \l 3073</w:instrText>
          </w:r>
          <w:r w:rsidRPr="009A7ACA">
            <w:rPr>
              <w:rFonts w:ascii="Simplified Arabic" w:hAnsi="Simplified Arabic" w:cs="Simplified Arabic"/>
              <w:sz w:val="28"/>
              <w:szCs w:val="28"/>
              <w:rtl/>
              <w:lang w:bidi="ar-EG"/>
            </w:rPr>
            <w:instrText xml:space="preserve"> </w:instrText>
          </w:r>
          <w:r w:rsidRPr="009A7ACA">
            <w:rPr>
              <w:rFonts w:ascii="Simplified Arabic" w:hAnsi="Simplified Arabic" w:cs="Simplified Arabic"/>
              <w:sz w:val="28"/>
              <w:szCs w:val="28"/>
              <w:rtl/>
              <w:lang w:bidi="ar-EG"/>
            </w:rPr>
            <w:fldChar w:fldCharType="separate"/>
          </w:r>
          <w:r w:rsidRPr="009A7ACA">
            <w:rPr>
              <w:rFonts w:ascii="Simplified Arabic" w:hAnsi="Simplified Arabic" w:cs="Simplified Arabic" w:hint="cs"/>
              <w:sz w:val="28"/>
              <w:szCs w:val="28"/>
              <w:rtl/>
              <w:lang w:bidi="ar-EG"/>
            </w:rPr>
            <w:t>(</w:t>
          </w:r>
          <w:r w:rsidRPr="009A7ACA">
            <w:rPr>
              <w:rFonts w:ascii="Simplified Arabic" w:hAnsi="Simplified Arabic" w:cs="Simplified Arabic" w:hint="cs"/>
              <w:sz w:val="28"/>
              <w:szCs w:val="28"/>
              <w:lang w:bidi="ar-EG"/>
            </w:rPr>
            <w:t>Alfozan</w:t>
          </w:r>
          <w:r w:rsidRPr="009A7ACA">
            <w:rPr>
              <w:rFonts w:ascii="Simplified Arabic" w:hAnsi="Simplified Arabic" w:cs="Simplified Arabic" w:hint="cs"/>
              <w:sz w:val="28"/>
              <w:szCs w:val="28"/>
              <w:rtl/>
              <w:lang w:bidi="ar-EG"/>
            </w:rPr>
            <w:t>، 2024)</w:t>
          </w:r>
          <w:r w:rsidRPr="009A7ACA">
            <w:rPr>
              <w:rFonts w:ascii="Simplified Arabic" w:hAnsi="Simplified Arabic" w:cs="Simplified Arabic"/>
              <w:sz w:val="28"/>
              <w:szCs w:val="28"/>
              <w:rtl/>
              <w:lang w:bidi="ar-EG"/>
            </w:rPr>
            <w:fldChar w:fldCharType="end"/>
          </w:r>
        </w:sdtContent>
      </w:sdt>
      <w:r w:rsidRPr="009A7ACA">
        <w:rPr>
          <w:rFonts w:ascii="Simplified Arabic" w:hAnsi="Simplified Arabic" w:cs="Simplified Arabic"/>
          <w:sz w:val="28"/>
          <w:szCs w:val="28"/>
          <w:rtl/>
          <w:lang w:bidi="ar-EG"/>
        </w:rPr>
        <w:t>.</w:t>
      </w:r>
    </w:p>
    <w:p w14:paraId="5AC124D7" w14:textId="77777777" w:rsidR="00CC628F" w:rsidRDefault="00CC628F" w:rsidP="00CC628F">
      <w:pPr>
        <w:spacing w:line="240" w:lineRule="auto"/>
        <w:ind w:firstLine="732"/>
        <w:jc w:val="both"/>
        <w:rPr>
          <w:rFonts w:ascii="Simplified Arabic" w:hAnsi="Simplified Arabic" w:cs="Simplified Arabic"/>
          <w:sz w:val="28"/>
          <w:szCs w:val="28"/>
          <w:lang w:bidi="ar-EG"/>
        </w:rPr>
      </w:pPr>
      <w:r w:rsidRPr="009A7ACA">
        <w:rPr>
          <w:rFonts w:ascii="Simplified Arabic" w:hAnsi="Simplified Arabic" w:cs="Simplified Arabic"/>
          <w:sz w:val="28"/>
          <w:szCs w:val="28"/>
          <w:rtl/>
          <w:lang w:bidi="ar-EG"/>
        </w:rPr>
        <w:t xml:space="preserve">تسعى هذه الدراسة إلى تقديم تحليل شامل لجهود التحول الوطني في المملكة العربية السعودية، من خلال استعراض الاستراتيجيات المختلفة لإدارة التغيير في المؤسسات الحكومية. سنقوم بدراسة الحالات العملية وتقديم أمثلة واقعية عن كيفية تطبيق هذه الاستراتيجيات، بالإضافة إلى تقييم تأثيرها على تحقيق أهداف رؤية </w:t>
      </w:r>
      <w:r w:rsidRPr="009A7ACA">
        <w:rPr>
          <w:rFonts w:ascii="Simplified Arabic" w:hAnsi="Simplified Arabic" w:cs="Simplified Arabic"/>
          <w:sz w:val="28"/>
          <w:szCs w:val="28"/>
          <w:rtl/>
          <w:lang w:bidi="ar-EG"/>
        </w:rPr>
        <w:lastRenderedPageBreak/>
        <w:t>2030. تهدف الدراسة أيضًا إلى تسليط الضوء على التحديات التي تواجهها المؤسسات الحكومية في عملية التغيير، وتقديم توصيات لتحسين فعالية وكفاءة هذه الاستراتيجيات.</w:t>
      </w:r>
    </w:p>
    <w:p w14:paraId="3EAF27F8" w14:textId="77777777" w:rsidR="00CC628F" w:rsidRPr="009A7ACA" w:rsidRDefault="00CC628F" w:rsidP="00CC628F">
      <w:pPr>
        <w:spacing w:line="240" w:lineRule="auto"/>
        <w:ind w:firstLine="732"/>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تأتي أهمية هذه الدراسة من الحاجة الملحة لفهم ديناميكيات التغيير في السياق السعودي، خاصةً في ظل الرؤية الطموحة 2030. إن تحقيق التحول الوطني يتطلب جهودًا متكاملة وتنسيقًا عاليًا بين مختلف القطاعات الحكومية والخاصة، ولذلك فإن استراتيجيات إدارة التغيير الفعالة تُعد أداة حاسمة في تحقيق هذا الهدف الوطني الكبير.</w:t>
      </w:r>
    </w:p>
    <w:p w14:paraId="609D2318" w14:textId="77777777" w:rsidR="00CC628F" w:rsidRPr="008845D9" w:rsidRDefault="00CC628F" w:rsidP="00CC628F">
      <w:pPr>
        <w:spacing w:line="240" w:lineRule="auto"/>
        <w:rPr>
          <w:rFonts w:ascii="Simplified Arabic" w:hAnsi="Simplified Arabic" w:cs="Simplified Arabic"/>
          <w:sz w:val="28"/>
          <w:szCs w:val="28"/>
          <w:rtl/>
          <w:lang w:bidi="ar-EG"/>
        </w:rPr>
      </w:pPr>
    </w:p>
    <w:p w14:paraId="07582CEF" w14:textId="77777777" w:rsidR="00CC628F" w:rsidRPr="008845D9" w:rsidRDefault="00CC628F" w:rsidP="00CC628F">
      <w:pPr>
        <w:pStyle w:val="2"/>
        <w:spacing w:line="240" w:lineRule="auto"/>
        <w:rPr>
          <w:rFonts w:ascii="Simplified Arabic" w:hAnsi="Simplified Arabic" w:cs="Simplified Arabic"/>
          <w:b/>
          <w:bCs/>
          <w:color w:val="000000" w:themeColor="text1"/>
          <w:sz w:val="36"/>
          <w:szCs w:val="36"/>
          <w:rtl/>
        </w:rPr>
      </w:pPr>
      <w:bookmarkStart w:id="7" w:name="_Toc172397777"/>
      <w:bookmarkStart w:id="8" w:name="_Toc172746090"/>
      <w:bookmarkStart w:id="9" w:name="_Toc173711456"/>
      <w:r w:rsidRPr="008845D9">
        <w:rPr>
          <w:rFonts w:ascii="Simplified Arabic" w:hAnsi="Simplified Arabic" w:cs="Simplified Arabic"/>
          <w:b/>
          <w:bCs/>
          <w:color w:val="000000" w:themeColor="text1"/>
          <w:sz w:val="36"/>
          <w:szCs w:val="36"/>
          <w:rtl/>
        </w:rPr>
        <w:t>مشكلة الدراسة</w:t>
      </w:r>
      <w:bookmarkEnd w:id="7"/>
      <w:bookmarkEnd w:id="8"/>
      <w:bookmarkEnd w:id="9"/>
      <w:r w:rsidRPr="008845D9">
        <w:rPr>
          <w:rFonts w:ascii="Simplified Arabic" w:hAnsi="Simplified Arabic" w:cs="Simplified Arabic"/>
          <w:b/>
          <w:bCs/>
          <w:color w:val="000000" w:themeColor="text1"/>
          <w:sz w:val="36"/>
          <w:szCs w:val="36"/>
          <w:rtl/>
        </w:rPr>
        <w:t xml:space="preserve"> </w:t>
      </w:r>
    </w:p>
    <w:p w14:paraId="5CC07ECD" w14:textId="77777777" w:rsidR="00CC628F" w:rsidRPr="009A7ACA" w:rsidRDefault="00CC628F" w:rsidP="00CC628F">
      <w:pPr>
        <w:numPr>
          <w:ilvl w:val="0"/>
          <w:numId w:val="1"/>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تحديات تحقيق رؤية 2030</w:t>
      </w:r>
    </w:p>
    <w:p w14:paraId="5FCD5E3B"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تشكل رؤية 2030 للمملكة العربية السعودية إطارًا طموحًا لتحويل الاقتصاد والمجتمع السعودي. تهدف الرؤية إلى تقليل الاعتماد على النفط، وتنويع مصادر الدخل، وتعزيز الاستدامة الاقتصادية والاجتماعية. ومع ذلك، تواجه المؤسسات الحكومية تحديات كبيرة في تحقيق هذه الأهداف. تشمل هذه التحديات نقص الكفاءات البشرية المؤهلة، المقاومة الداخلية للتغيير، البيروقراطية المعقدة، والقدرة على تبني التكنولوجيا والابتكار.</w:t>
      </w:r>
    </w:p>
    <w:p w14:paraId="64A4DC84" w14:textId="77777777" w:rsidR="00CC628F" w:rsidRPr="009A7ACA" w:rsidRDefault="00CC628F" w:rsidP="00CC628F">
      <w:pPr>
        <w:numPr>
          <w:ilvl w:val="0"/>
          <w:numId w:val="2"/>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نقص الكفاءات البشرية المؤهلة</w:t>
      </w:r>
    </w:p>
    <w:p w14:paraId="23ACA10D"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أحد أبرز التحديات في تنفيذ استراتيجيات إدارة التغيير هو نقص الكفاءات البشرية المؤهلة داخل المؤسسات الحكومية. يتطلب التحول الوطني قدرات ومهارات جديدة تتعلق بإدارة التغيير، القيادة، التحليل الاستراتيجي، والتكنولوجيا الحديثة. ولكن، العديد من المؤسسات تعاني من نقص في التدريب والتطوير المهني الذي يمكن أن يعد الموظفين لهذه الأدوار الجديدة. بالإضافة إلى ذلك، قد يكون هناك مقاومة من قبل الموظفين الحاليين للتغيير في المهام والأدوار، مما يزيد من صعوبة تحقيق التقدم المطلوب.</w:t>
      </w:r>
    </w:p>
    <w:p w14:paraId="30AB352F" w14:textId="77777777" w:rsidR="00CC628F" w:rsidRPr="009A7ACA" w:rsidRDefault="00CC628F" w:rsidP="00CC628F">
      <w:pPr>
        <w:numPr>
          <w:ilvl w:val="0"/>
          <w:numId w:val="2"/>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المقاومة الداخلية للتغيير</w:t>
      </w:r>
    </w:p>
    <w:p w14:paraId="33240E29"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 xml:space="preserve">تشكل المقاومة الداخلية للتغيير عائقًا كبيرًا أمام تنفيذ استراتيجيات إدارة التغيير. يمكن أن تكون هذه المقاومة ناجمة عن الخوف من فقدان الوظائف، التغيير في الأدوار والمسؤوليات، أو القلق من عدم القدرة على التكيف مع الأنظمة والإجراءات الجديدة. تعد إدارة هذه المقاومة والتغلب عليها من أهم التحديات التي تواجه القادة في </w:t>
      </w:r>
      <w:r w:rsidRPr="009A7ACA">
        <w:rPr>
          <w:rFonts w:ascii="Simplified Arabic" w:hAnsi="Simplified Arabic" w:cs="Simplified Arabic"/>
          <w:sz w:val="28"/>
          <w:szCs w:val="28"/>
          <w:rtl/>
          <w:lang w:bidi="ar-EG"/>
        </w:rPr>
        <w:lastRenderedPageBreak/>
        <w:t>المؤسسات الحكومية. تحتاج الاستراتيجيات الفعالة إلى برامج توعية وتدريب، بالإضافة إلى دعم نفسي ومعنوي للموظفين لتمكينهم من تقبل التغيير والمشاركة فيه بنجاح.</w:t>
      </w:r>
    </w:p>
    <w:p w14:paraId="09401CAE" w14:textId="77777777" w:rsidR="00CC628F" w:rsidRPr="009A7ACA" w:rsidRDefault="00CC628F" w:rsidP="00CC628F">
      <w:pPr>
        <w:numPr>
          <w:ilvl w:val="0"/>
          <w:numId w:val="2"/>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البيروقراطية المعقدة</w:t>
      </w:r>
    </w:p>
    <w:p w14:paraId="7B98F442"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البيروقراطية المعقدة تمثل تحديًا كبيرًا آخر أمام جهود التحول الوطني. البيروقراطية تتسم بالعديد من الإجراءات الرسمية والروتينية التي يمكن أن تعرقل الابتكار والتغيير. تتطلب استراتيجيات إدارة التغيير الفعالة تبسيط الإجراءات وتخفيف التعقيدات البيروقراطية لتعزيز المرونة والكفاءة. هذا يشمل تبني أنظمة إدارية حديثة وتقنيات رقمية تساهم في تحسين سير العمل وتسهيل العمليات الإدارية.</w:t>
      </w:r>
    </w:p>
    <w:p w14:paraId="35DF78E5" w14:textId="77777777" w:rsidR="00CC628F" w:rsidRPr="009A7ACA" w:rsidRDefault="00CC628F" w:rsidP="00CC628F">
      <w:pPr>
        <w:numPr>
          <w:ilvl w:val="0"/>
          <w:numId w:val="2"/>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القدرة على تبني التكنولوجيا والابتكار</w:t>
      </w:r>
    </w:p>
    <w:p w14:paraId="592DB8D7"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تحقيق التحول الوطني يتطلب تبني التكنولوجيا والابتكار كجزء أساسي من استراتيجيات إدارة التغيير. ومع ذلك، تواجه المؤسسات الحكومية تحديات في هذا المجال، مثل نقص البنية التحتية التقنية، ونقص المعرفة والخبرة في استخدام التكنولوجيا الحديثة. بالإضافة إلى ذلك، قد يكون هناك تردد في الاستثمار في التكنولوجيا الجديدة بسبب المخاطر المحتملة والتكاليف المرتبطة بها. يتطلب التحول التكنولوجي استثمارات كبيرة في البنية التحتية، بالإضافة إلى تدريب وتطوير الموظفين لتبني واستخدام هذه التقنيات بفعالية.</w:t>
      </w:r>
    </w:p>
    <w:p w14:paraId="4A18ED2B" w14:textId="77777777" w:rsidR="00CC628F" w:rsidRPr="009A7ACA" w:rsidRDefault="00CC628F" w:rsidP="00CC628F">
      <w:pPr>
        <w:numPr>
          <w:ilvl w:val="0"/>
          <w:numId w:val="2"/>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التحديات الثقافية والاجتماعية</w:t>
      </w:r>
    </w:p>
    <w:p w14:paraId="394F5507"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الثقافة التنظيمية والاجتماعية داخل المؤسسات الحكومية يمكن أن تشكل عائقًا أمام تحقيق التحول الوطني. التغيير الثقافي يتطلب وقتًا وجهدًا لتغيير المعتقدات والسلوكيات الراسخة. تعد إدارة التغيير الثقافي من أصعب جوانب التحول، حيث تتطلب تغييرات جوهرية في كيفية تفكير وعمل الموظفين. تحتاج الاستراتيجيات الفعالة إلى التركيز على تعزيز ثقافة الابتكار والتعاون، وتشجيع التفكير الإبداعي والمبادرات الذاتية.</w:t>
      </w:r>
    </w:p>
    <w:p w14:paraId="337DAF2E" w14:textId="77777777" w:rsidR="00CC628F" w:rsidRPr="009A7ACA" w:rsidRDefault="00CC628F" w:rsidP="00CC628F">
      <w:pPr>
        <w:numPr>
          <w:ilvl w:val="0"/>
          <w:numId w:val="2"/>
        </w:numPr>
        <w:spacing w:line="240" w:lineRule="auto"/>
        <w:jc w:val="both"/>
        <w:rPr>
          <w:rFonts w:ascii="Simplified Arabic" w:hAnsi="Simplified Arabic" w:cs="Simplified Arabic"/>
          <w:b/>
          <w:bCs/>
          <w:sz w:val="28"/>
          <w:szCs w:val="28"/>
          <w:rtl/>
          <w:lang w:bidi="ar-EG"/>
        </w:rPr>
      </w:pPr>
      <w:r w:rsidRPr="009A7ACA">
        <w:rPr>
          <w:rFonts w:ascii="Simplified Arabic" w:hAnsi="Simplified Arabic" w:cs="Simplified Arabic"/>
          <w:b/>
          <w:bCs/>
          <w:sz w:val="28"/>
          <w:szCs w:val="28"/>
          <w:rtl/>
          <w:lang w:bidi="ar-EG"/>
        </w:rPr>
        <w:t>الحاجة إلى قيادة فعالة</w:t>
      </w:r>
    </w:p>
    <w:p w14:paraId="77B6560B" w14:textId="77777777" w:rsidR="00CC628F" w:rsidRPr="009A7ACA" w:rsidRDefault="00CC628F" w:rsidP="00CC628F">
      <w:pPr>
        <w:spacing w:line="240" w:lineRule="auto"/>
        <w:jc w:val="both"/>
        <w:rPr>
          <w:rFonts w:ascii="Simplified Arabic" w:hAnsi="Simplified Arabic" w:cs="Simplified Arabic"/>
          <w:sz w:val="28"/>
          <w:szCs w:val="28"/>
          <w:rtl/>
          <w:lang w:bidi="ar-EG"/>
        </w:rPr>
      </w:pPr>
      <w:r w:rsidRPr="009A7ACA">
        <w:rPr>
          <w:rFonts w:ascii="Simplified Arabic" w:hAnsi="Simplified Arabic" w:cs="Simplified Arabic"/>
          <w:sz w:val="28"/>
          <w:szCs w:val="28"/>
          <w:rtl/>
          <w:lang w:bidi="ar-EG"/>
        </w:rPr>
        <w:t xml:space="preserve">تتطلب إدارة التغيير قيادة فعالة تتمتع برؤية واضحة وقدرة على تحفيز الفريق وتوجيهه نحو تحقيق الأهداف المشتركة. القادة يجب أن يكونوا قادرين على التواصل بفعالية، وحل المشكلات بسرعة، واتخاذ القرارات الصعبة. </w:t>
      </w:r>
    </w:p>
    <w:p w14:paraId="290FD823" w14:textId="77777777" w:rsidR="00CC628F" w:rsidRPr="008845D9" w:rsidRDefault="00CC628F" w:rsidP="00CC628F">
      <w:pPr>
        <w:spacing w:line="360" w:lineRule="auto"/>
        <w:rPr>
          <w:rFonts w:ascii="Sakkal Majalla" w:hAnsi="Sakkal Majalla" w:cs="Sakkal Majalla"/>
          <w:b/>
          <w:bCs/>
          <w:sz w:val="28"/>
          <w:szCs w:val="28"/>
          <w:lang w:bidi="ar-EG"/>
        </w:rPr>
      </w:pPr>
    </w:p>
    <w:p w14:paraId="5FE37F2B" w14:textId="77777777" w:rsidR="00CC628F" w:rsidRPr="008845D9" w:rsidRDefault="00CC628F" w:rsidP="00CC628F">
      <w:pPr>
        <w:pStyle w:val="2"/>
        <w:spacing w:line="240" w:lineRule="auto"/>
        <w:rPr>
          <w:rFonts w:ascii="Simplified Arabic" w:hAnsi="Simplified Arabic" w:cs="Simplified Arabic"/>
          <w:b/>
          <w:bCs/>
          <w:color w:val="000000" w:themeColor="text1"/>
          <w:sz w:val="36"/>
          <w:szCs w:val="36"/>
        </w:rPr>
      </w:pPr>
      <w:bookmarkStart w:id="10" w:name="_Toc172397778"/>
      <w:bookmarkStart w:id="11" w:name="_Toc172746091"/>
      <w:bookmarkStart w:id="12" w:name="_Toc173711457"/>
      <w:r w:rsidRPr="008845D9">
        <w:rPr>
          <w:rFonts w:ascii="Simplified Arabic" w:hAnsi="Simplified Arabic" w:cs="Simplified Arabic"/>
          <w:b/>
          <w:bCs/>
          <w:color w:val="000000" w:themeColor="text1"/>
          <w:sz w:val="36"/>
          <w:szCs w:val="36"/>
          <w:rtl/>
        </w:rPr>
        <w:lastRenderedPageBreak/>
        <w:t>أهمية الدراسة</w:t>
      </w:r>
      <w:bookmarkEnd w:id="10"/>
      <w:bookmarkEnd w:id="11"/>
      <w:bookmarkEnd w:id="12"/>
    </w:p>
    <w:p w14:paraId="35928743"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تحقيق الأهداف الاستراتيجية لرؤية 2030</w:t>
      </w:r>
    </w:p>
    <w:p w14:paraId="515BEBBB"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تعد هذه الدراسة ذات أهمية كبيرة لأنها تسلط الضوء على الدور الحاسم الذي تلعبه استراتيجيات إدارة التغيير في تحقيق الأهداف الطموحة لرؤية 2030. المملكة العربية السعودية تسعى إلى تحويل اقتصادها من الاعتماد على النفط إلى اقتصاد متنوع ومستدام، وذلك يتطلب تغييرات جذرية في الهياكل التنظيمية والعمليات داخل المؤسسات الحكومية. من خلال فهم وتطبيق استراتيجيات إدارة التغيير الفعالة، يمكن للمؤسسات الحكومية تحسين كفاءتها، وتعزيز قدرتها على تحقيق الأهداف الاستراتيجية، مثل تنويع الاقتصاد، وتعزيز الابتكار، وخلق فرص عمل جديدة.</w:t>
      </w:r>
    </w:p>
    <w:p w14:paraId="4E6F4F55"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تعزيز الكفاءة والفعالية في المؤسسات الحكومية</w:t>
      </w:r>
    </w:p>
    <w:p w14:paraId="1F434706"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تشير الدراسات إلى أن تبني استراتيجيات إدارة التغيير بشكل فعال يمكن أن يؤدي إلى تحسين كبير في كفاءة وفعالية المؤسسات الحكومية. هذا التحسن يمكن أن يتحقق من خلال تقليل البيروقراطية، وتسريع العمليات الإدارية، وتحسين جودة الخدمات المقدمة للمواطنين. من خلال هذه الدراسة، سيتم تحليل كيفية تطبيق استراتيجيات إدارة التغيير في السياق السعودي، وتقديم توصيات لتحسين الأداء الحكومي. هذه التحسينات ليست فقط ضرورية لتحقيق رؤية 2030، بل تسهم أيضًا في تعزيز الثقة بين الحكومة والمواطنين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617788709"/>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Jal16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754667">
            <w:rPr>
              <w:rFonts w:ascii="Simplified Arabic" w:hAnsi="Simplified Arabic" w:cs="Simplified Arabic" w:hint="cs"/>
              <w:noProof/>
              <w:sz w:val="28"/>
              <w:szCs w:val="28"/>
              <w:rtl/>
              <w:lang w:bidi="ar-EG"/>
            </w:rPr>
            <w:t>(</w:t>
          </w:r>
          <w:r w:rsidRPr="00754667">
            <w:rPr>
              <w:rFonts w:ascii="Simplified Arabic" w:hAnsi="Simplified Arabic" w:cs="Simplified Arabic" w:hint="cs"/>
              <w:noProof/>
              <w:sz w:val="28"/>
              <w:szCs w:val="28"/>
              <w:lang w:bidi="ar-EG"/>
            </w:rPr>
            <w:t>Jalagat</w:t>
          </w:r>
          <w:r w:rsidRPr="00754667">
            <w:rPr>
              <w:rFonts w:ascii="Simplified Arabic" w:hAnsi="Simplified Arabic" w:cs="Simplified Arabic" w:hint="cs"/>
              <w:noProof/>
              <w:sz w:val="28"/>
              <w:szCs w:val="28"/>
              <w:rtl/>
              <w:lang w:bidi="ar-EG"/>
            </w:rPr>
            <w:t>، 2016)</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73086E2B"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دعم الابتكار والتحول الرقمي</w:t>
      </w:r>
    </w:p>
    <w:p w14:paraId="25776248"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تعد الابتكار والتحول الرقمي من الركائز الأساسية لرؤية 2030، وهذه الدراسة تسلط الضوء على كيفية تحقيق ذلك من خلال استراتيجيات إدارة التغيير. التحول الرقمي يتطلب تبني التكنولوجيا الجديدة وتطوير مهارات جديدة بين الموظفين. من خلال دراسة الحالات العملية وتحليل الجهود الحالية، يمكن تحديد العقبات التي تواجه المؤسسات الحكومية في هذا المجال وتقديم حلول لتجاوزها. هذه الدراسة تساهم في توفير إطار عمل يساعد المؤسسات الحكومية على الاستفادة القصوى من التكنولوجيا والابتكار لتحقيق أهدافها.</w:t>
      </w:r>
    </w:p>
    <w:p w14:paraId="700224F7"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تطوير القدرات القيادية والإدارية</w:t>
      </w:r>
    </w:p>
    <w:p w14:paraId="1D511C81"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إحدى الأهداف الرئيسية لهذه الدراسة هي تسليط الضوء على أهمية تطوير القدرات القيادية والإدارية في المؤسسات الحكومية. القيادة الفعالة هي مفتاح نجاح أي عملية تغيير، وتتطلب هذه القيادة مجموعة متنوعة من المهارات، بما في ذلك القدرة على التواصل، وإدارة الصراعات، وتحفيز الفرق، واتخاذ القرارات الصعبة. من خلال هذه الدراسة، سيتم تحليل الممارسات القيادية الحالية وتقديم توصيات لتحسينها. هذا يساهم في إعداد قادة قادرين على قيادة التغيير بنجاح، مما يعزز من قدرة المؤسسات الحكومية على تحقيق أهدافها.</w:t>
      </w:r>
    </w:p>
    <w:p w14:paraId="4BBF559B"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lastRenderedPageBreak/>
        <w:t>تعزيز التعاون بين القطاعين العام والخاص</w:t>
      </w:r>
    </w:p>
    <w:p w14:paraId="064405DC"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تشجع رؤية 2030 على التعاون بين القطاعين العام والخاص لتحقيق التنمية المستدامة. هذه الدراسة تسلط الضوء على كيفية تعزيز هذا التعاون من خلال استراتيجيات إدارة التغيير. التعاون بين القطاعين يمكن أن يؤدي إلى تبادل المعرفة، وتطوير حلول مبتكرة، وتحقيق الكفاءة الاقتصادية. من خلال تحليل الجهود الحالية وتقديم أمثلة ناجحة، يمكن لهذه الدراسة أن تكون دليلاً للمؤسسات الحكومية والخاصة لتعزيز الشراكات الفعالة وتحقيق الأهداف المشتركة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697620394"/>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Mel18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754667">
            <w:rPr>
              <w:rFonts w:ascii="Simplified Arabic" w:hAnsi="Simplified Arabic" w:cs="Simplified Arabic" w:hint="cs"/>
              <w:noProof/>
              <w:sz w:val="28"/>
              <w:szCs w:val="28"/>
              <w:rtl/>
              <w:lang w:bidi="ar-EG"/>
            </w:rPr>
            <w:t>(</w:t>
          </w:r>
          <w:r w:rsidRPr="00754667">
            <w:rPr>
              <w:rFonts w:ascii="Simplified Arabic" w:hAnsi="Simplified Arabic" w:cs="Simplified Arabic" w:hint="cs"/>
              <w:noProof/>
              <w:sz w:val="28"/>
              <w:szCs w:val="28"/>
              <w:lang w:bidi="ar-EG"/>
            </w:rPr>
            <w:t>Melo</w:t>
          </w:r>
          <w:r w:rsidRPr="00754667">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7AA187A2"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تحسين جودة الحياة للمواطنين</w:t>
      </w:r>
    </w:p>
    <w:p w14:paraId="21DD5354"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تهدف رؤية 2030 إلى تحسين جودة الحياة للمواطنين من خلال توفير خدمات حكومية أفضل، وتعزيز فرص العمل، وتحقيق التنمية الاقتصادية والاجتماعية. استراتيجيات إدارة التغيير تلعب دورًا حاسمًا في تحقيق هذه الأهداف. من خلال تحسين الكفاءة والفعالية في المؤسسات الحكومية، يمكن توفير خدمات أفضل للمواطنين بشكل أسرع وأكثر فعالية. هذه الدراسة تساهم في تحقيق هذا الهدف من خلال تقديم توصيات لتحسين الأداء الحكومي وتجاوز العقبات التي تعترض تحقيق التغيير.</w:t>
      </w:r>
    </w:p>
    <w:p w14:paraId="42D2928F" w14:textId="77777777" w:rsidR="00CC628F" w:rsidRPr="009A7ACA" w:rsidRDefault="00CC628F" w:rsidP="00CC628F">
      <w:pPr>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تقديم إطار عمل مرجعي للمؤسسات الأخرى</w:t>
      </w:r>
    </w:p>
    <w:p w14:paraId="234D5802"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تعد هذه الدراسة مرجعًا هامًا ليس فقط للمؤسسات الحكومية في السعودية، بل أيضًا للمؤسسات في الدول الأخرى التي تسعى لتحقيق تحول مماثل. من خلال تقديم تحليل شامل واستعراض أفضل الممارسات، يمكن لهذه الدراسة أن تكون دليلاً للمؤسسات التي تواجه تحديات مشابهة. بالإضافة إلى ذلك، يمكن أن تساهم في تطوير الأدبيات العلمية في مجال إدارة التغيير، مما يساعد الباحثين والممارسين على فهم أفضل للممارسات الفعالة وتحقيق النجاح في تطبيقها</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611721233"/>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Owa23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754667">
            <w:rPr>
              <w:rFonts w:ascii="Simplified Arabic" w:hAnsi="Simplified Arabic" w:cs="Simplified Arabic" w:hint="cs"/>
              <w:noProof/>
              <w:sz w:val="28"/>
              <w:szCs w:val="28"/>
              <w:rtl/>
              <w:lang w:bidi="ar-EG"/>
            </w:rPr>
            <w:t>(</w:t>
          </w:r>
          <w:r w:rsidRPr="00754667">
            <w:rPr>
              <w:rFonts w:ascii="Simplified Arabic" w:hAnsi="Simplified Arabic" w:cs="Simplified Arabic" w:hint="cs"/>
              <w:noProof/>
              <w:sz w:val="28"/>
              <w:szCs w:val="28"/>
              <w:lang w:bidi="ar-EG"/>
            </w:rPr>
            <w:t>Owad</w:t>
          </w:r>
          <w:r w:rsidRPr="00754667">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69361952"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تتجلى أهمية هذه الدراسة في تقديمها لرؤية شاملة وتحليل معمق لاستراتيجيات إدارة التغيير في المؤسسات الحكومية السعودية، وذلك في سياق الجهود الوطنية لتحقيق رؤية 2030. من خلال تقديم توصيات عملية وقابلة للتنفيذ، تسعى هذه الدراسة إلى تعزيز قدرة المؤسسات الحكومية على التكيف مع التحديات المستقبلية وتحقيق الأهداف الاستراتيجية، مما يساهم في بناء مستقبل أكثر ازدهارًا واستدامةً للمملكة.</w:t>
      </w:r>
    </w:p>
    <w:p w14:paraId="5B763B66" w14:textId="77777777" w:rsidR="00CC628F" w:rsidRPr="00CD79DE" w:rsidRDefault="00CC628F" w:rsidP="00CC628F">
      <w:pPr>
        <w:spacing w:line="360" w:lineRule="auto"/>
        <w:rPr>
          <w:rFonts w:ascii="Sakkal Majalla" w:hAnsi="Sakkal Majalla" w:cs="Sakkal Majalla"/>
          <w:sz w:val="28"/>
          <w:szCs w:val="28"/>
        </w:rPr>
      </w:pPr>
    </w:p>
    <w:p w14:paraId="61D1A560" w14:textId="77777777" w:rsidR="00CC628F" w:rsidRPr="008845D9" w:rsidRDefault="00CC628F" w:rsidP="00CC628F">
      <w:pPr>
        <w:pStyle w:val="2"/>
        <w:spacing w:line="240" w:lineRule="auto"/>
        <w:rPr>
          <w:rFonts w:ascii="Simplified Arabic" w:hAnsi="Simplified Arabic" w:cs="Simplified Arabic"/>
          <w:b/>
          <w:bCs/>
          <w:color w:val="000000" w:themeColor="text1"/>
          <w:sz w:val="36"/>
          <w:szCs w:val="36"/>
          <w:rtl/>
        </w:rPr>
      </w:pPr>
      <w:bookmarkStart w:id="13" w:name="_Toc172397779"/>
      <w:bookmarkStart w:id="14" w:name="_Toc172746092"/>
      <w:bookmarkStart w:id="15" w:name="_Toc173711458"/>
      <w:r w:rsidRPr="008845D9">
        <w:rPr>
          <w:rFonts w:ascii="Simplified Arabic" w:hAnsi="Simplified Arabic" w:cs="Simplified Arabic"/>
          <w:b/>
          <w:bCs/>
          <w:color w:val="000000" w:themeColor="text1"/>
          <w:sz w:val="36"/>
          <w:szCs w:val="36"/>
          <w:rtl/>
        </w:rPr>
        <w:t>أهداف الدراسة</w:t>
      </w:r>
      <w:bookmarkEnd w:id="13"/>
      <w:bookmarkEnd w:id="14"/>
      <w:bookmarkEnd w:id="15"/>
    </w:p>
    <w:p w14:paraId="42C22E3D"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تحليل وتقييم استراتيجيات إدارة التغيير الحالية</w:t>
      </w:r>
    </w:p>
    <w:p w14:paraId="2E74B640"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lastRenderedPageBreak/>
        <w:t>يتمثل الهدف الرئيسي لهذه الدراسة في تحليل وتقييم استراتيجيات إدارة التغيير المستخدمة حاليًا في المؤسسات الحكومية السعودية. سيتضمن ذلك مراجعة السياسات والإجراءات الحالية، ودراسة مدى فعاليتها في تحقيق الأهداف المرجوة لرؤية 2030. من خلال تحليل البيانات النوعية والكمية، يمكن لهذه الدراسة تقديم فهم أعمق للتحديات والفرص التي تواجه المؤسسات الحكومية في تطبيق استراتيجيات إدارة التغيير. بالإضافة إلى ذلك، يمكن أن تسلط الضوء على الممارسات الجيدة والدروس المستفادة التي يمكن استخدامها لتوجيه التحسينات المستقبلية.</w:t>
      </w:r>
    </w:p>
    <w:p w14:paraId="4E8071CB"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تطوير إطار عمل استراتيجي لإدارة التغيير</w:t>
      </w:r>
    </w:p>
    <w:p w14:paraId="309A4998"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يهدف هذا البحث إلى تطوير إطار عمل استراتيجي يمكن للمؤسسات الحكومية السعودية اتباعه لتطبيق إدارة التغيير بشكل أكثر فعالية. سيكون هذا الإطار شاملاً ويأخذ في الاعتبار العوامل التنظيمية والثقافية والاقتصادية التي تؤثر على عملية التغيير. من خلال استعراض النظريات والممارسات العالمية في إدارة التغيير وتطبيقها على السياق السعودي، يمكن تطوير نموذج يتناسب مع الاحتياجات الخاصة بالمؤسسات الحكومية في المملكة. هذا الإطار سيساعد على توجيه الجهود وتحقيق التغيير المنشود بطريقة منظمة ومستدامة.</w:t>
      </w:r>
    </w:p>
    <w:p w14:paraId="2A0625AF"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تحديد العوامل المؤثرة على نجاح إدارة التغيي</w:t>
      </w:r>
    </w:p>
    <w:p w14:paraId="48E07FC4"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تركز الدراسة أيضًا على تحديد العوامل الرئيسية التي تؤثر على نجاح استراتيجيات إدارة التغيير في المؤسسات الحكومية السعودية. تشمل هذه العوامل القيادة، الثقافة التنظيمية، الموارد المالية والبشرية، التكنولوجيا، والمشاركة المجتمعية. من خلال تحليل هذه العوامل وتقييم تأثيرها، يمكن للدراسة تقديم توصيات حول كيفية تعزيز هذه العوامل لزيادة فرص نجاح التغيير. كما سيساعد ذلك في توضيح العقبات المحتملة وكيفية التغلب عليها لتحقيق التغيير الفعّال.</w:t>
      </w:r>
    </w:p>
    <w:p w14:paraId="67927032"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تعزيز القدرات القيادية والإدارية</w:t>
      </w:r>
    </w:p>
    <w:p w14:paraId="77E720E0"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أحد الأهداف الأساسية لهذه الدراسة هو تعزيز القدرات القيادية والإدارية في المؤسسات الحكومية السعودية. القيادة الفعالة تلعب دورًا حاسمًا في إدارة التغيير وتوجيه الجهود نحو تحقيق الأهداف الاستراتيجية. من خلال دراسة الممارسات القيادية الحالية وتقديم توصيات لتحسينها، يمكن لهذه الدراسة أن تساهم في تطوير قادة قادرين على قيادة التغيير بفعالية. سيتضمن ذلك تقديم برامج تدريبية وتطويرية تهدف إلى تحسين مهارات القيادة والإدارة، وتعزيز القدرة على التعامل مع التحديات المرتبطة بعملية التغيير.</w:t>
      </w:r>
    </w:p>
    <w:p w14:paraId="78E53519"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تعزيز الابتكار والتحول الرقمي</w:t>
      </w:r>
    </w:p>
    <w:p w14:paraId="0C32E683"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 xml:space="preserve">تركز الدراسة على تعزيز الابتكار والتحول الرقمي كجزء من استراتيجيات إدارة التغيير. التحول الرقمي والابتكار هما عنصران أساسيان لتحقيق رؤية 2030، ولذا من المهم فهم كيفية دمج هذه العناصر في استراتيجيات إدارة </w:t>
      </w:r>
      <w:r w:rsidRPr="009A7ACA">
        <w:rPr>
          <w:rFonts w:ascii="Simplified Arabic" w:hAnsi="Simplified Arabic" w:cs="Simplified Arabic"/>
          <w:sz w:val="28"/>
          <w:szCs w:val="28"/>
          <w:rtl/>
        </w:rPr>
        <w:lastRenderedPageBreak/>
        <w:t>التغيير. تهدف الدراسة إلى تحديد الأدوات والتقنيات التي يمكن استخدامها لتعزيز الابتكار وتبني التحول الرقمي في المؤسسات الحكومية. من خلال ذلك، يمكن تعزيز كفاءة العمليات الحكومية وتحسين جودة الخدمات المقدمة للمواطنين.</w:t>
      </w:r>
    </w:p>
    <w:p w14:paraId="17C1EEC2"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تقييم تأثير التغيير على الأداء المؤسسي</w:t>
      </w:r>
    </w:p>
    <w:p w14:paraId="05F140AD"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تهدف هذه الدراسة إلى تقييم تأثير استراتيجيات إدارة التغيير على الأداء المؤسسي في المؤسسات الحكومية السعودية. سيتضمن ذلك تحليل كيف يمكن للتغيير أن يؤثر على جوانب مختلفة من الأداء، مثل الكفاءة التشغيلية، رضا الموظفين، وجودة الخدمة، والقدرة على الابتكار. من خلال جمع وتحليل البيانات، يمكن للدراسة تقديم رؤية شاملة حول كيفية تحسين الأداء المؤسسي من خلال استراتيجيات إدارة التغيير. سيساعد ذلك في توجيه الجهود نحو تحقيق التغيير الإيجابي والمستدام.</w:t>
      </w:r>
    </w:p>
    <w:p w14:paraId="134AE92B"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دعم السياسات العامة والتحسين المستمر</w:t>
      </w:r>
    </w:p>
    <w:p w14:paraId="3BDFD290"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تهدف الدراسة أيضًا إلى تقديم توصيات لدعم السياسات العامة المتعلقة بإدارة التغيير في المؤسسات الحكومية السعودية. يمكن أن تساعد النتائج والتوصيات المستخلصة من هذه الدراسة في صياغة سياسات أكثر فعالية واستراتيجيات تحكم بعملية التغيير، بما يسهم في التحسين المستمر للأداء الحكومي. بالإضافة إلى ذلك، يمكن أن تسهم في تقديم إرشادات عملية للمؤسسات حول كيفية تنفيذ هذه السياسات بفعالية، مما يعزز من قدرتها على التكيف مع التغيرات والتحديات المستقبلية.</w:t>
      </w:r>
    </w:p>
    <w:p w14:paraId="149DC425" w14:textId="77777777" w:rsidR="00CC628F" w:rsidRPr="009A7AC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تعزيز التعاون بين القطاعين العام والخاص</w:t>
      </w:r>
    </w:p>
    <w:p w14:paraId="037A6D27" w14:textId="77777777" w:rsidR="00CC628F" w:rsidRPr="009A7ACA" w:rsidRDefault="00CC628F" w:rsidP="00CC628F">
      <w:p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من الأهداف الهامة لهذه الدراسة هو تعزيز التعاون بين القطاعين العام والخاص في سياق إدارة التغيير. التعاون بين هذه القطاعات يمكن أن يساهم في تبادل المعرفة والموارد، وتعزيز الابتكار، وتحقيق الأهداف المشتركة. تسعى الدراسة إلى استعراض أمثلة ناجحة للتعاون بين القطاعين وتقديم توصيات لتعزيز هذا التعاون في المملكة العربية السعودية. يمكن أن يكون هذا التعاون أحد المحركات الرئيسية لتحقيق التغيير الفعّال والمستدام.</w:t>
      </w:r>
    </w:p>
    <w:p w14:paraId="0ABA1D01" w14:textId="77777777" w:rsidR="00CC628F" w:rsidRPr="009A7ACA" w:rsidRDefault="00CC628F" w:rsidP="00CC628F">
      <w:p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تجسد هذه الأهداف الرؤية الشاملة لهذه الدراسة في تقديم تحليل معمق واستراتيجيات عملية لتعزيز إدارة التغيير في المؤسسات الحكومية السعودية. من خلال تحقيق هذه الأهداف، يمكن للدراسة أن تسهم في دعم جهود التحول الوطني لتحقيق رؤية 2030، وتعزيز كفاءة وفعالية المؤسسات الحكومية، وتحقيق التنمية المستدامة في المملكة العربية السعودية.</w:t>
      </w:r>
    </w:p>
    <w:p w14:paraId="20F76CCF" w14:textId="77777777" w:rsidR="00CC628F" w:rsidRPr="00BA3789" w:rsidRDefault="00CC628F" w:rsidP="00CC628F">
      <w:pPr>
        <w:spacing w:line="360" w:lineRule="auto"/>
        <w:jc w:val="both"/>
        <w:rPr>
          <w:rFonts w:ascii="Sakkal Majalla" w:hAnsi="Sakkal Majalla" w:cs="Sakkal Majalla"/>
          <w:sz w:val="28"/>
          <w:szCs w:val="28"/>
        </w:rPr>
      </w:pPr>
    </w:p>
    <w:p w14:paraId="4F15F294" w14:textId="77777777" w:rsidR="00CC628F" w:rsidRPr="007302A9" w:rsidRDefault="00CC628F" w:rsidP="00CC628F">
      <w:pPr>
        <w:pStyle w:val="2"/>
        <w:spacing w:line="240" w:lineRule="auto"/>
        <w:rPr>
          <w:rFonts w:ascii="Simplified Arabic" w:hAnsi="Simplified Arabic" w:cs="Simplified Arabic"/>
          <w:b/>
          <w:bCs/>
          <w:color w:val="000000" w:themeColor="text1"/>
          <w:sz w:val="36"/>
          <w:szCs w:val="36"/>
        </w:rPr>
      </w:pPr>
      <w:bookmarkStart w:id="16" w:name="_Toc172397780"/>
      <w:bookmarkStart w:id="17" w:name="_Toc172746093"/>
      <w:bookmarkStart w:id="18" w:name="_Toc173711459"/>
      <w:r w:rsidRPr="007302A9">
        <w:rPr>
          <w:rFonts w:ascii="Simplified Arabic" w:hAnsi="Simplified Arabic" w:cs="Simplified Arabic"/>
          <w:b/>
          <w:bCs/>
          <w:color w:val="000000" w:themeColor="text1"/>
          <w:sz w:val="36"/>
          <w:szCs w:val="36"/>
          <w:rtl/>
        </w:rPr>
        <w:lastRenderedPageBreak/>
        <w:t>تساؤلات الدراسة</w:t>
      </w:r>
      <w:bookmarkEnd w:id="16"/>
      <w:bookmarkEnd w:id="17"/>
      <w:bookmarkEnd w:id="18"/>
    </w:p>
    <w:p w14:paraId="1807E625" w14:textId="77777777" w:rsidR="00CC628F" w:rsidRPr="009A7ACA" w:rsidRDefault="00CC628F" w:rsidP="00CC628F">
      <w:p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السؤال الرئيسي للدراسة</w:t>
      </w:r>
    </w:p>
    <w:p w14:paraId="0214CCC5" w14:textId="77777777" w:rsidR="00CC628F" w:rsidRPr="009A7ACA" w:rsidRDefault="00CC628F" w:rsidP="00CC628F">
      <w:pPr>
        <w:numPr>
          <w:ilvl w:val="0"/>
          <w:numId w:val="4"/>
        </w:num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ما هي استراتيجيات إدارة التغيير الأكثر فعالية التي يمكن تطبيقها في المؤسسات الحكومية السعودية لدعم جهود التحول الوطني وتحقيق أهداف رؤية 2030؟</w:t>
      </w:r>
    </w:p>
    <w:p w14:paraId="7300654C" w14:textId="77777777" w:rsidR="00CC628F" w:rsidRPr="009A7ACA" w:rsidRDefault="00CC628F" w:rsidP="00CC628F">
      <w:p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الأسئلة الفرعية للدراسة</w:t>
      </w:r>
    </w:p>
    <w:p w14:paraId="713B1C9B"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ما هي التحديات الرئيسية التي تواجه المؤسسات الحكومية السعودية في تطبيق استراتيجيات إدارة التغيير؟</w:t>
      </w:r>
    </w:p>
    <w:p w14:paraId="03C54ACB"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كيف يمكن تطوير قدرات القيادة والإدارة لدعم استراتيجيات إدارة التغيير في المؤسسات الحكومية السعودية؟</w:t>
      </w:r>
    </w:p>
    <w:p w14:paraId="42D2F130"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ما هي العوامل المؤثرة على نجاح استراتيجيات إدارة التغيير في السياق السعودي؟</w:t>
      </w:r>
    </w:p>
    <w:p w14:paraId="317B950E"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ما هو دور التحول الرقمي والابتكار في تعزيز استراتيجيات إدارة التغيير في المؤسسات الحكومية؟</w:t>
      </w:r>
    </w:p>
    <w:p w14:paraId="6D121306"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كيف يمكن تعزيز التعاون بين القطاعين العام والخاص لدعم إدارة التغيير في المؤسسات الحكومية السعودية؟</w:t>
      </w:r>
    </w:p>
    <w:p w14:paraId="6970BE52"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ما هو تأثير تطبيق استراتيجيات إدارة التغيير على الأداء المؤسسي في المؤسسات الحكومية السعودية؟</w:t>
      </w:r>
    </w:p>
    <w:p w14:paraId="2542346B"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ما هي أفضل الممارسات العالمية في إدارة التغيير التي يمكن تطبيقها في السياق السعودي؟</w:t>
      </w:r>
    </w:p>
    <w:p w14:paraId="77E1C489"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كيف يمكن مواجهة المقاومة الداخلية للتغيير داخل المؤسسات الحكومية السعودية؟</w:t>
      </w:r>
    </w:p>
    <w:p w14:paraId="2B3DA98B"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ما هي السياسات والإجراءات التي يمكن للحكومة السعودية تبنيها لدعم إدارة التغيير في المؤسسات الحكومية؟</w:t>
      </w:r>
    </w:p>
    <w:p w14:paraId="779DF104" w14:textId="77777777" w:rsidR="00CC628F" w:rsidRPr="009A7ACA" w:rsidRDefault="00CC628F" w:rsidP="00CC628F">
      <w:pPr>
        <w:pStyle w:val="a6"/>
        <w:numPr>
          <w:ilvl w:val="0"/>
          <w:numId w:val="5"/>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كيف يمكن تقييم نجاح استراتيجيات إدارة التغيير في المؤسسات الحكومية السعودية؟</w:t>
      </w:r>
    </w:p>
    <w:p w14:paraId="01341726" w14:textId="77777777" w:rsidR="00CC628F" w:rsidRPr="009A7ACA" w:rsidRDefault="00CC628F" w:rsidP="00CC628F">
      <w:pPr>
        <w:spacing w:line="360" w:lineRule="auto"/>
        <w:jc w:val="both"/>
        <w:rPr>
          <w:rFonts w:ascii="Sakkal Majalla" w:hAnsi="Sakkal Majalla" w:cs="Sakkal Majalla"/>
          <w:sz w:val="28"/>
          <w:szCs w:val="28"/>
          <w:rtl/>
        </w:rPr>
      </w:pPr>
    </w:p>
    <w:p w14:paraId="4668C779" w14:textId="77777777" w:rsidR="00CC628F" w:rsidRPr="007302A9" w:rsidRDefault="00CC628F" w:rsidP="00CC628F">
      <w:pPr>
        <w:pStyle w:val="2"/>
        <w:spacing w:line="276" w:lineRule="auto"/>
        <w:jc w:val="both"/>
        <w:rPr>
          <w:rFonts w:ascii="Simplified Arabic" w:hAnsi="Simplified Arabic" w:cs="Simplified Arabic"/>
          <w:b/>
          <w:bCs/>
          <w:color w:val="000000" w:themeColor="text1"/>
          <w:sz w:val="36"/>
          <w:szCs w:val="36"/>
        </w:rPr>
      </w:pPr>
      <w:bookmarkStart w:id="19" w:name="_Toc172397781"/>
      <w:bookmarkStart w:id="20" w:name="_Toc172746094"/>
      <w:bookmarkStart w:id="21" w:name="_Toc173711460"/>
      <w:r w:rsidRPr="007302A9">
        <w:rPr>
          <w:rFonts w:ascii="Simplified Arabic" w:hAnsi="Simplified Arabic" w:cs="Simplified Arabic"/>
          <w:b/>
          <w:bCs/>
          <w:color w:val="000000" w:themeColor="text1"/>
          <w:sz w:val="36"/>
          <w:szCs w:val="36"/>
          <w:rtl/>
        </w:rPr>
        <w:t>فروض الدراسة</w:t>
      </w:r>
      <w:bookmarkEnd w:id="19"/>
      <w:bookmarkEnd w:id="20"/>
      <w:bookmarkEnd w:id="21"/>
    </w:p>
    <w:p w14:paraId="3CB94F6A" w14:textId="77777777" w:rsidR="00CC628F" w:rsidRPr="009A7ACA" w:rsidRDefault="00CC628F" w:rsidP="00CC628F">
      <w:p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الفرضية الرئيسية للدراسة:</w:t>
      </w:r>
    </w:p>
    <w:p w14:paraId="2C286E60" w14:textId="77777777" w:rsidR="00CC628F" w:rsidRPr="009A7ACA" w:rsidRDefault="00CC628F" w:rsidP="00CC628F">
      <w:pPr>
        <w:numPr>
          <w:ilvl w:val="0"/>
          <w:numId w:val="6"/>
        </w:numPr>
        <w:spacing w:after="0" w:line="240" w:lineRule="auto"/>
        <w:jc w:val="both"/>
        <w:rPr>
          <w:rFonts w:ascii="Simplified Arabic" w:hAnsi="Simplified Arabic" w:cs="Simplified Arabic"/>
          <w:sz w:val="28"/>
          <w:szCs w:val="28"/>
          <w:rtl/>
        </w:rPr>
      </w:pPr>
      <w:r w:rsidRPr="009A7ACA">
        <w:rPr>
          <w:rFonts w:ascii="Simplified Arabic" w:hAnsi="Simplified Arabic" w:cs="Simplified Arabic"/>
          <w:sz w:val="28"/>
          <w:szCs w:val="28"/>
          <w:rtl/>
        </w:rPr>
        <w:t>توجد علاقة ذات دلالة إحصائية عند مستوى معنوية 0.05 بين تطبيق استراتيجيات إدارة التغيير ونجاح جهود التحول الوطني في المؤسسات الحكومية السعودية لتحقيق أهداف رؤية 2030</w:t>
      </w:r>
      <w:r w:rsidRPr="009A7ACA">
        <w:rPr>
          <w:rFonts w:ascii="Simplified Arabic" w:hAnsi="Simplified Arabic" w:cs="Simplified Arabic"/>
          <w:sz w:val="28"/>
          <w:szCs w:val="28"/>
        </w:rPr>
        <w:t>.</w:t>
      </w:r>
    </w:p>
    <w:p w14:paraId="261F1CB0" w14:textId="77777777" w:rsidR="00CC628F" w:rsidRPr="009A7ACA" w:rsidRDefault="00CC628F" w:rsidP="00CC628F">
      <w:pPr>
        <w:spacing w:after="0" w:line="240" w:lineRule="auto"/>
        <w:jc w:val="both"/>
        <w:rPr>
          <w:rFonts w:ascii="Simplified Arabic" w:hAnsi="Simplified Arabic" w:cs="Simplified Arabic"/>
          <w:b/>
          <w:bCs/>
          <w:sz w:val="28"/>
          <w:szCs w:val="28"/>
          <w:rtl/>
        </w:rPr>
      </w:pPr>
      <w:r w:rsidRPr="009A7ACA">
        <w:rPr>
          <w:rFonts w:ascii="Simplified Arabic" w:hAnsi="Simplified Arabic" w:cs="Simplified Arabic"/>
          <w:b/>
          <w:bCs/>
          <w:sz w:val="28"/>
          <w:szCs w:val="28"/>
          <w:rtl/>
        </w:rPr>
        <w:t>الفرضيات الفرعية للدراسة:</w:t>
      </w:r>
    </w:p>
    <w:p w14:paraId="129C4E2D"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lastRenderedPageBreak/>
        <w:t>توجد علاقة ذات دلالة إحصائية عند مستوى معنوية 0.05 بين القيادة الفعالة ونجاح استراتيجيات إدارة التغيير في المؤسسات الحكومية السعودية</w:t>
      </w:r>
      <w:r w:rsidRPr="009A7ACA">
        <w:rPr>
          <w:rFonts w:ascii="Simplified Arabic" w:hAnsi="Simplified Arabic" w:cs="Simplified Arabic"/>
          <w:sz w:val="28"/>
          <w:szCs w:val="28"/>
        </w:rPr>
        <w:t>.</w:t>
      </w:r>
    </w:p>
    <w:p w14:paraId="116FDDB5"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توجد علاقة ذات دلالة إحصائية عند مستوى معنوية 0.05 بين الثقافة التنظيمية وفعالية استراتيجيات إدارة التغيير في المؤسسات الحكومية السعودية</w:t>
      </w:r>
      <w:r w:rsidRPr="009A7ACA">
        <w:rPr>
          <w:rFonts w:ascii="Simplified Arabic" w:hAnsi="Simplified Arabic" w:cs="Simplified Arabic"/>
          <w:sz w:val="28"/>
          <w:szCs w:val="28"/>
        </w:rPr>
        <w:t>.</w:t>
      </w:r>
    </w:p>
    <w:p w14:paraId="0B991591"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توجد علاقة ذات دلالة إحصائية عند مستوى معنوية 0.05 بين استخدام التكنولوجيا والتحول الرقمي ونجاح استراتيجيات إدارة التغيير في المؤسسات الحكومية السعودية</w:t>
      </w:r>
      <w:r w:rsidRPr="009A7ACA">
        <w:rPr>
          <w:rFonts w:ascii="Simplified Arabic" w:hAnsi="Simplified Arabic" w:cs="Simplified Arabic"/>
          <w:sz w:val="28"/>
          <w:szCs w:val="28"/>
        </w:rPr>
        <w:t>.</w:t>
      </w:r>
    </w:p>
    <w:p w14:paraId="0ADD009E"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توجد علاقة ذات دلالة إحصائية عند مستوى معنوية 0.05 بين التدريب والتطوير المستمر للموظفين وفعالية استراتيجيات إدارة التغيير في المؤسسات الحكومية السعودية</w:t>
      </w:r>
      <w:r w:rsidRPr="009A7ACA">
        <w:rPr>
          <w:rFonts w:ascii="Simplified Arabic" w:hAnsi="Simplified Arabic" w:cs="Simplified Arabic"/>
          <w:sz w:val="28"/>
          <w:szCs w:val="28"/>
        </w:rPr>
        <w:t>.</w:t>
      </w:r>
    </w:p>
    <w:p w14:paraId="5B6D75ED"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توجد علاقة ذات دلالة إحصائية عند مستوى معنوية 0.05 بين الموارد المالية والبشرية المتاحة ونجاح استراتيجيات إدارة التغيير في المؤسسات الحكومية السعودية</w:t>
      </w:r>
      <w:r w:rsidRPr="009A7ACA">
        <w:rPr>
          <w:rFonts w:ascii="Simplified Arabic" w:hAnsi="Simplified Arabic" w:cs="Simplified Arabic"/>
          <w:sz w:val="28"/>
          <w:szCs w:val="28"/>
        </w:rPr>
        <w:t>.</w:t>
      </w:r>
    </w:p>
    <w:p w14:paraId="1151FEB6"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توجد علاقة ذات دلالة إحصائية عند مستوى معنوية 0.05 بين مشاركة الموظفين في عملية التغيير ونجاح استراتيجيات إدارة التغيير في المؤسسات الحكومية السعودية</w:t>
      </w:r>
      <w:r w:rsidRPr="009A7ACA">
        <w:rPr>
          <w:rFonts w:ascii="Simplified Arabic" w:hAnsi="Simplified Arabic" w:cs="Simplified Arabic"/>
          <w:sz w:val="28"/>
          <w:szCs w:val="28"/>
        </w:rPr>
        <w:t>.</w:t>
      </w:r>
    </w:p>
    <w:p w14:paraId="11A53807" w14:textId="77777777" w:rsidR="00CC628F" w:rsidRPr="009A7ACA" w:rsidRDefault="00CC628F" w:rsidP="00CC628F">
      <w:pPr>
        <w:numPr>
          <w:ilvl w:val="0"/>
          <w:numId w:val="7"/>
        </w:numPr>
        <w:spacing w:after="0" w:line="240" w:lineRule="auto"/>
        <w:jc w:val="both"/>
        <w:rPr>
          <w:rFonts w:ascii="Simplified Arabic" w:hAnsi="Simplified Arabic" w:cs="Simplified Arabic"/>
          <w:sz w:val="28"/>
          <w:szCs w:val="28"/>
        </w:rPr>
      </w:pPr>
      <w:r w:rsidRPr="009A7ACA">
        <w:rPr>
          <w:rFonts w:ascii="Simplified Arabic" w:hAnsi="Simplified Arabic" w:cs="Simplified Arabic"/>
          <w:sz w:val="28"/>
          <w:szCs w:val="28"/>
          <w:rtl/>
        </w:rPr>
        <w:t>توجد علاقة ذات دلالة إحصائية عند مستوى معنوية 0.05 بين التعاون بين القطاعين العام والخاص ونجاح استراتيجيات إدارة التغيير في المؤسسات الحكومية السعودية</w:t>
      </w:r>
      <w:r w:rsidRPr="009A7ACA">
        <w:rPr>
          <w:rFonts w:ascii="Simplified Arabic" w:hAnsi="Simplified Arabic" w:cs="Simplified Arabic"/>
          <w:sz w:val="28"/>
          <w:szCs w:val="28"/>
        </w:rPr>
        <w:t>.</w:t>
      </w:r>
    </w:p>
    <w:p w14:paraId="0A6328F5" w14:textId="77777777" w:rsidR="00CC628F" w:rsidRPr="009163F4" w:rsidRDefault="00CC628F" w:rsidP="00CC628F">
      <w:pPr>
        <w:spacing w:after="0" w:line="360" w:lineRule="auto"/>
        <w:jc w:val="both"/>
        <w:rPr>
          <w:rFonts w:ascii="Sakkal Majalla" w:hAnsi="Sakkal Majalla" w:cs="Sakkal Majalla"/>
          <w:sz w:val="28"/>
          <w:szCs w:val="28"/>
          <w:rtl/>
        </w:rPr>
      </w:pPr>
    </w:p>
    <w:p w14:paraId="1926EC43" w14:textId="77777777" w:rsidR="00CC628F" w:rsidRDefault="00CC628F" w:rsidP="00CC628F">
      <w:pPr>
        <w:pStyle w:val="2"/>
        <w:spacing w:line="240" w:lineRule="auto"/>
        <w:jc w:val="both"/>
        <w:rPr>
          <w:rFonts w:ascii="Simplified Arabic" w:hAnsi="Simplified Arabic" w:cs="Simplified Arabic"/>
          <w:b/>
          <w:bCs/>
          <w:color w:val="000000" w:themeColor="text1"/>
          <w:sz w:val="36"/>
          <w:szCs w:val="36"/>
        </w:rPr>
      </w:pPr>
      <w:bookmarkStart w:id="22" w:name="_Toc172397782"/>
      <w:bookmarkStart w:id="23" w:name="_Toc172746095"/>
      <w:bookmarkStart w:id="24" w:name="_Toc173711461"/>
      <w:r w:rsidRPr="007302A9">
        <w:rPr>
          <w:rFonts w:ascii="Simplified Arabic" w:hAnsi="Simplified Arabic" w:cs="Simplified Arabic"/>
          <w:b/>
          <w:bCs/>
          <w:color w:val="000000" w:themeColor="text1"/>
          <w:sz w:val="36"/>
          <w:szCs w:val="36"/>
          <w:rtl/>
        </w:rPr>
        <w:t>النظرية العلمية المتبعة لإعداد البحث</w:t>
      </w:r>
      <w:bookmarkEnd w:id="22"/>
      <w:bookmarkEnd w:id="23"/>
      <w:bookmarkEnd w:id="24"/>
    </w:p>
    <w:p w14:paraId="05429518"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في دراسة استراتيجيات إدارة التغيير في المؤسسات الحكومية السعودية: دراسة تحليلية لجهود التحول الوطني لتحقيق رؤية 2030، يتم اتباع نهج علمي متكامل وموسع يستند إلى مجموعة متنوعة من النظريات والمفاهيم الأكاديمية التي تتيح فهماً عميقاً وشاملاً لعملية إدارة التغيير والتحول المؤسسي. هذا النهج يبدأ بتطبيق نظرية التغيير المُخطط (</w:t>
      </w:r>
      <w:r w:rsidRPr="009A7ACA">
        <w:rPr>
          <w:rFonts w:ascii="Simplified Arabic" w:hAnsi="Simplified Arabic" w:cs="Simplified Arabic"/>
          <w:sz w:val="28"/>
          <w:szCs w:val="28"/>
        </w:rPr>
        <w:t>Planned Change Theory</w:t>
      </w:r>
      <w:r w:rsidRPr="009A7ACA">
        <w:rPr>
          <w:rFonts w:ascii="Simplified Arabic" w:hAnsi="Simplified Arabic" w:cs="Simplified Arabic"/>
          <w:sz w:val="28"/>
          <w:szCs w:val="28"/>
          <w:rtl/>
        </w:rPr>
        <w:t>)، التي تعتبر من أكثر النظريات رسوخاً في هذا المجال. تستند هذه النظرية إلى فكرة أن التغيير المنظم والناجح يتطلب تخطيطاً دقيقاً ومسبقاً، حيث يتم تحليل الوضع الحالي للمؤسسات، وتحديد الأهداف المستقبلية، ووضع خطة مفصلة لتحقيق هذه الأهداف. تتضمن هذه العملية مراحل محددة تشمل التشخيص، التخطيط، التنفيذ، والتقييم. كل مرحلة من هذه المراحل تعتبر حاسمة لضمان أن التغيير يحدث بشكل منظم وفعال، مع تقليل المخاطر والتحديات المحتملة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21935458"/>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Isl24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3514B">
            <w:rPr>
              <w:rFonts w:ascii="Simplified Arabic" w:hAnsi="Simplified Arabic" w:cs="Simplified Arabic" w:hint="cs"/>
              <w:noProof/>
              <w:sz w:val="28"/>
              <w:szCs w:val="28"/>
              <w:rtl/>
              <w:lang w:bidi="ar-EG"/>
            </w:rPr>
            <w:t>(</w:t>
          </w:r>
          <w:r w:rsidRPr="0043514B">
            <w:rPr>
              <w:rFonts w:ascii="Simplified Arabic" w:hAnsi="Simplified Arabic" w:cs="Simplified Arabic" w:hint="cs"/>
              <w:noProof/>
              <w:sz w:val="28"/>
              <w:szCs w:val="28"/>
              <w:lang w:bidi="ar-EG"/>
            </w:rPr>
            <w:t>Islam</w:t>
          </w:r>
          <w:r w:rsidRPr="0043514B">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665E6985"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lastRenderedPageBreak/>
        <w:t>يتم استخدام نظرية التغيير التحويلي (</w:t>
      </w:r>
      <w:r w:rsidRPr="009A7ACA">
        <w:rPr>
          <w:rFonts w:ascii="Simplified Arabic" w:hAnsi="Simplified Arabic" w:cs="Simplified Arabic"/>
          <w:sz w:val="28"/>
          <w:szCs w:val="28"/>
        </w:rPr>
        <w:t>Transformational Change Theory</w:t>
      </w:r>
      <w:r w:rsidRPr="009A7ACA">
        <w:rPr>
          <w:rFonts w:ascii="Simplified Arabic" w:hAnsi="Simplified Arabic" w:cs="Simplified Arabic"/>
          <w:sz w:val="28"/>
          <w:szCs w:val="28"/>
          <w:rtl/>
        </w:rPr>
        <w:t>)، التي تركز على إحداث تحول جذري وشامل في ثقافة وهياكل المؤسسات. وفقاً لهذه النظرية، لا يمكن تحقيق التغيير المستدام من خلال تعديلات سطحية فقط، بل يتطلب الأمر تغييراً عميقاً في القيم والممارسات والقيادات. يتم تحليل كيفية تأثير القيادة التحويلية على تعزيز الابتكار والإبداع وتحفيز الموظفين لتحقيق الأهداف المشتركة. القيادة التحويلية تُعتبر محورية في خلق بيئة تنظيمية مشجعة على التغيير، حيث يمكن للقادة الملهمين توجيه الفرق والعمل على تحقيق تحول إيجابي في المؤسسات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59108674"/>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All161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3514B">
            <w:rPr>
              <w:rFonts w:ascii="Simplified Arabic" w:hAnsi="Simplified Arabic" w:cs="Simplified Arabic" w:hint="cs"/>
              <w:noProof/>
              <w:sz w:val="28"/>
              <w:szCs w:val="28"/>
              <w:rtl/>
              <w:lang w:bidi="ar-EG"/>
            </w:rPr>
            <w:t>(</w:t>
          </w:r>
          <w:r w:rsidRPr="0043514B">
            <w:rPr>
              <w:rFonts w:ascii="Simplified Arabic" w:hAnsi="Simplified Arabic" w:cs="Simplified Arabic" w:hint="cs"/>
              <w:noProof/>
              <w:sz w:val="28"/>
              <w:szCs w:val="28"/>
              <w:lang w:bidi="ar-EG"/>
            </w:rPr>
            <w:t>Allen</w:t>
          </w:r>
          <w:r w:rsidRPr="0043514B">
            <w:rPr>
              <w:rFonts w:ascii="Simplified Arabic" w:hAnsi="Simplified Arabic" w:cs="Simplified Arabic" w:hint="cs"/>
              <w:noProof/>
              <w:sz w:val="28"/>
              <w:szCs w:val="28"/>
              <w:rtl/>
              <w:lang w:bidi="ar-EG"/>
            </w:rPr>
            <w:t>، 2016)</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4F030F2C"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كما تلعب نظرية إدارة التغيير (</w:t>
      </w:r>
      <w:r w:rsidRPr="009A7ACA">
        <w:rPr>
          <w:rFonts w:ascii="Simplified Arabic" w:hAnsi="Simplified Arabic" w:cs="Simplified Arabic"/>
          <w:sz w:val="28"/>
          <w:szCs w:val="28"/>
        </w:rPr>
        <w:t>Change Management Theory</w:t>
      </w:r>
      <w:r w:rsidRPr="009A7ACA">
        <w:rPr>
          <w:rFonts w:ascii="Simplified Arabic" w:hAnsi="Simplified Arabic" w:cs="Simplified Arabic"/>
          <w:sz w:val="28"/>
          <w:szCs w:val="28"/>
          <w:rtl/>
        </w:rPr>
        <w:t>) دوراً حيوياً في هذا البحث. هذه النظرية توفر إطاراً شاملاً لتحليل استراتيجيات وأساليب التعامل مع مقاومة التغيير، وهي إحدى أكبر التحديات التي تواجه المؤسسات أثناء تنفيذ التغييرات. تشمل هذه النظرية تحليل العوامل الحاسمة لنجاح التغيير، مثل كيفية تعزيز قبول التغيير وتبنيه من قبل الموظفين. يتم تقييم الأساليب المختلفة التي يمكن استخدامها لتقليل مقاومة التغيير، مثل التواصل الفعال، والتدريب المستمر، والمشاركة الفعالة للموظفين في عملية التغيير</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164664855"/>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Phi22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3514B">
            <w:rPr>
              <w:rFonts w:ascii="Simplified Arabic" w:hAnsi="Simplified Arabic" w:cs="Simplified Arabic" w:hint="cs"/>
              <w:noProof/>
              <w:sz w:val="28"/>
              <w:szCs w:val="28"/>
              <w:rtl/>
              <w:lang w:bidi="ar-EG"/>
            </w:rPr>
            <w:t>(</w:t>
          </w:r>
          <w:r w:rsidRPr="0043514B">
            <w:rPr>
              <w:rFonts w:ascii="Simplified Arabic" w:hAnsi="Simplified Arabic" w:cs="Simplified Arabic" w:hint="cs"/>
              <w:noProof/>
              <w:sz w:val="28"/>
              <w:szCs w:val="28"/>
              <w:lang w:bidi="ar-EG"/>
            </w:rPr>
            <w:t>Phillips</w:t>
          </w:r>
          <w:r w:rsidRPr="0043514B">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4369EE7D"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نظرية التنظيمات المتعلمة (</w:t>
      </w:r>
      <w:r w:rsidRPr="009A7ACA">
        <w:rPr>
          <w:rFonts w:ascii="Simplified Arabic" w:hAnsi="Simplified Arabic" w:cs="Simplified Arabic"/>
          <w:sz w:val="28"/>
          <w:szCs w:val="28"/>
        </w:rPr>
        <w:t>Learning Organizations Theory</w:t>
      </w:r>
      <w:r w:rsidRPr="009A7ACA">
        <w:rPr>
          <w:rFonts w:ascii="Simplified Arabic" w:hAnsi="Simplified Arabic" w:cs="Simplified Arabic"/>
          <w:sz w:val="28"/>
          <w:szCs w:val="28"/>
          <w:rtl/>
        </w:rPr>
        <w:t>) تعتبر من النظريات الهامة الأخرى المستخدمة في هذا البحث. هذه النظرية تركز على تحويل المؤسسات إلى منظمات متعلمة قادرة على التكيف مع التغيرات المستمرة في البيئة المحيطة. يتم ذلك من خلال تعزيز التعلم المستمر وتطوير القدرات التنظيمية. تُعتبر المؤسسات المتعلمة أكثر قدرة على التكيف مع التغيرات البيئية، وتكون أكثر مرونة واستجابة للفرص والتحديات الجديدة. يتم تحليل كيفية بناء ثقافة تنظيمية تدعم التعلم المستمر، وتطوير القدرات المؤسسية بما يعزز الأداء المؤسسي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33820549"/>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Bra18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3514B">
            <w:rPr>
              <w:rFonts w:ascii="Simplified Arabic" w:hAnsi="Simplified Arabic" w:cs="Simplified Arabic" w:hint="cs"/>
              <w:noProof/>
              <w:sz w:val="28"/>
              <w:szCs w:val="28"/>
              <w:rtl/>
              <w:lang w:bidi="ar-EG"/>
            </w:rPr>
            <w:t>(</w:t>
          </w:r>
          <w:r w:rsidRPr="0043514B">
            <w:rPr>
              <w:rFonts w:ascii="Simplified Arabic" w:hAnsi="Simplified Arabic" w:cs="Simplified Arabic" w:hint="cs"/>
              <w:noProof/>
              <w:sz w:val="28"/>
              <w:szCs w:val="28"/>
              <w:lang w:bidi="ar-EG"/>
            </w:rPr>
            <w:t>Bratianu</w:t>
          </w:r>
          <w:r w:rsidRPr="0043514B">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51EF13A4"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منهجية البحث تتبع نهجا نوعيا وكميا لجمع البيانات وتحليلها، مما يتيح فحصًا شاملاً وموثقًا لدور إدارة التغيير في تعزيز فعالية التحول المؤسسي. يتم استخدام أدوات البحث المختلفة مثل المقابلات المتعمقة مع الخبراء في المجال الإداري والحكومي، لجمع رؤى متعمقة حول العمليات والتحديات والفرص التي تواجه المؤسسات الحكومية. يتم أيضًا استخدام الاستبيانات التي تستهدف الموظفين والمسؤولين الحكوميين لتقييم مدى فعالية الاستراتيجيات الحالية في إدارة التغيير والتعرف على احتياجاتهم وتوقعاتهم. بالإضافة إلى ذلك، يتم إجراء تحليل البيانات الكمية لتحديد الاتجاهات والأنماط المتعلقة بالتغيير والتحول المؤسسي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070471272"/>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Gro19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3514B">
            <w:rPr>
              <w:rFonts w:ascii="Simplified Arabic" w:hAnsi="Simplified Arabic" w:cs="Simplified Arabic" w:hint="cs"/>
              <w:noProof/>
              <w:sz w:val="28"/>
              <w:szCs w:val="28"/>
              <w:rtl/>
              <w:lang w:bidi="ar-EG"/>
            </w:rPr>
            <w:t>(</w:t>
          </w:r>
          <w:r w:rsidRPr="0043514B">
            <w:rPr>
              <w:rFonts w:ascii="Simplified Arabic" w:hAnsi="Simplified Arabic" w:cs="Simplified Arabic" w:hint="cs"/>
              <w:noProof/>
              <w:sz w:val="28"/>
              <w:szCs w:val="28"/>
              <w:lang w:bidi="ar-EG"/>
            </w:rPr>
            <w:t>Groenland</w:t>
          </w:r>
          <w:r w:rsidRPr="0043514B">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9A7ACA">
        <w:rPr>
          <w:rFonts w:ascii="Simplified Arabic" w:hAnsi="Simplified Arabic" w:cs="Simplified Arabic"/>
          <w:sz w:val="28"/>
          <w:szCs w:val="28"/>
          <w:rtl/>
        </w:rPr>
        <w:t>.</w:t>
      </w:r>
    </w:p>
    <w:p w14:paraId="5BD15970" w14:textId="77777777" w:rsidR="00CC628F" w:rsidRPr="009A7ACA" w:rsidRDefault="00CC628F" w:rsidP="00CC628F">
      <w:pPr>
        <w:spacing w:line="240" w:lineRule="auto"/>
        <w:ind w:firstLine="732"/>
        <w:jc w:val="both"/>
        <w:rPr>
          <w:rFonts w:ascii="Simplified Arabic" w:hAnsi="Simplified Arabic" w:cs="Simplified Arabic"/>
          <w:sz w:val="28"/>
          <w:szCs w:val="28"/>
          <w:rtl/>
        </w:rPr>
      </w:pPr>
      <w:r w:rsidRPr="009A7ACA">
        <w:rPr>
          <w:rFonts w:ascii="Simplified Arabic" w:hAnsi="Simplified Arabic" w:cs="Simplified Arabic"/>
          <w:sz w:val="28"/>
          <w:szCs w:val="28"/>
          <w:rtl/>
        </w:rPr>
        <w:lastRenderedPageBreak/>
        <w:t>هذا النهج المتكامل يوفر فهما عميقا وشاملا لدور إدارة التغيير في تحقيق التحول المؤسسي في إطار رؤية 2030. يساعد في تقديم توصيات مبنية على أسس علمية لدعم جهود التحول الوطني، وتعزيز قدرة المؤسسات الحكومية على التكيف مع التغيرات وتحقيق التنمية المستدامة. من خلال هذا النهج، يمكن تقديم رؤى وتوصيات قابلة للتنفيذ تعزز من فعالية الاستراتيجيات الحكومية وتدعم تحقيق الأهداف الطموحة لرؤية 2030، مما يساهم في بناء مستقبل أكثر ازدهاراً واستدامة للمملكة.</w:t>
      </w:r>
    </w:p>
    <w:p w14:paraId="0960F5E2" w14:textId="77777777" w:rsidR="00CC628F" w:rsidRPr="009A7ACA" w:rsidRDefault="00CC628F" w:rsidP="00CC628F">
      <w:pPr>
        <w:spacing w:line="240" w:lineRule="auto"/>
        <w:jc w:val="both"/>
        <w:rPr>
          <w:rFonts w:ascii="Simplified Arabic" w:hAnsi="Simplified Arabic" w:cs="Simplified Arabic"/>
          <w:b/>
          <w:bCs/>
          <w:sz w:val="56"/>
          <w:szCs w:val="56"/>
          <w:rtl/>
        </w:rPr>
      </w:pPr>
    </w:p>
    <w:p w14:paraId="67C58A8F" w14:textId="77777777" w:rsidR="00CC628F" w:rsidRPr="007302A9" w:rsidRDefault="00CC628F" w:rsidP="00CC628F">
      <w:pPr>
        <w:jc w:val="both"/>
        <w:rPr>
          <w:rFonts w:ascii="Simplified Arabic" w:hAnsi="Simplified Arabic" w:cs="Simplified Arabic"/>
          <w:b/>
          <w:bCs/>
          <w:sz w:val="48"/>
          <w:szCs w:val="48"/>
          <w:rtl/>
        </w:rPr>
      </w:pPr>
    </w:p>
    <w:p w14:paraId="20617747" w14:textId="77777777" w:rsidR="00CC628F" w:rsidRPr="007302A9" w:rsidRDefault="00CC628F" w:rsidP="00CC628F">
      <w:pPr>
        <w:jc w:val="both"/>
        <w:rPr>
          <w:rFonts w:ascii="Simplified Arabic" w:hAnsi="Simplified Arabic" w:cs="Simplified Arabic"/>
          <w:b/>
          <w:bCs/>
          <w:sz w:val="48"/>
          <w:szCs w:val="48"/>
          <w:rtl/>
        </w:rPr>
      </w:pPr>
    </w:p>
    <w:p w14:paraId="5629A4C6" w14:textId="77777777" w:rsidR="00CC628F" w:rsidRDefault="00CC628F" w:rsidP="00CC628F">
      <w:pPr>
        <w:jc w:val="both"/>
        <w:rPr>
          <w:rFonts w:ascii="Sakkal Majalla" w:hAnsi="Sakkal Majalla" w:cs="Sakkal Majalla"/>
          <w:b/>
          <w:bCs/>
          <w:sz w:val="48"/>
          <w:szCs w:val="48"/>
          <w:rtl/>
        </w:rPr>
      </w:pPr>
    </w:p>
    <w:p w14:paraId="16A332CC" w14:textId="77777777" w:rsidR="00CC628F" w:rsidRDefault="00CC628F" w:rsidP="00CC628F">
      <w:pPr>
        <w:jc w:val="both"/>
        <w:rPr>
          <w:rFonts w:ascii="Sakkal Majalla" w:hAnsi="Sakkal Majalla" w:cs="Sakkal Majalla"/>
          <w:b/>
          <w:bCs/>
          <w:sz w:val="56"/>
          <w:szCs w:val="56"/>
          <w:u w:val="single"/>
          <w:rtl/>
        </w:rPr>
      </w:pPr>
    </w:p>
    <w:p w14:paraId="0DE0810C" w14:textId="77777777" w:rsidR="00CC628F" w:rsidRDefault="00CC628F" w:rsidP="00CC628F">
      <w:pPr>
        <w:jc w:val="both"/>
        <w:rPr>
          <w:rFonts w:ascii="Sakkal Majalla" w:hAnsi="Sakkal Majalla" w:cs="Sakkal Majalla"/>
          <w:b/>
          <w:bCs/>
          <w:sz w:val="56"/>
          <w:szCs w:val="56"/>
          <w:u w:val="single"/>
          <w:rtl/>
        </w:rPr>
      </w:pPr>
    </w:p>
    <w:p w14:paraId="78C36107" w14:textId="77777777" w:rsidR="00CC628F" w:rsidRDefault="00CC628F" w:rsidP="00CC628F">
      <w:pPr>
        <w:rPr>
          <w:rFonts w:ascii="Sakkal Majalla" w:hAnsi="Sakkal Majalla" w:cs="Sakkal Majalla"/>
          <w:b/>
          <w:bCs/>
          <w:sz w:val="56"/>
          <w:szCs w:val="56"/>
          <w:u w:val="single"/>
          <w:rtl/>
        </w:rPr>
      </w:pPr>
    </w:p>
    <w:p w14:paraId="7A6E482B" w14:textId="77777777" w:rsidR="00CC628F" w:rsidRDefault="00CC628F" w:rsidP="00CC628F">
      <w:pPr>
        <w:rPr>
          <w:rFonts w:ascii="Sakkal Majalla" w:hAnsi="Sakkal Majalla" w:cs="Sakkal Majalla"/>
          <w:b/>
          <w:bCs/>
          <w:sz w:val="56"/>
          <w:szCs w:val="56"/>
          <w:u w:val="single"/>
        </w:rPr>
      </w:pPr>
    </w:p>
    <w:p w14:paraId="73D398EC" w14:textId="77777777" w:rsidR="00CC628F" w:rsidRDefault="00CC628F" w:rsidP="00CC628F">
      <w:pPr>
        <w:rPr>
          <w:rFonts w:ascii="Sakkal Majalla" w:hAnsi="Sakkal Majalla" w:cs="Sakkal Majalla"/>
          <w:b/>
          <w:bCs/>
          <w:sz w:val="56"/>
          <w:szCs w:val="56"/>
          <w:u w:val="single"/>
        </w:rPr>
      </w:pPr>
    </w:p>
    <w:p w14:paraId="179E86F4" w14:textId="77777777" w:rsidR="00CC628F" w:rsidRDefault="00CC628F" w:rsidP="00CC628F">
      <w:pPr>
        <w:rPr>
          <w:rFonts w:ascii="Sakkal Majalla" w:hAnsi="Sakkal Majalla" w:cs="Sakkal Majalla"/>
          <w:b/>
          <w:bCs/>
          <w:sz w:val="56"/>
          <w:szCs w:val="56"/>
          <w:u w:val="single"/>
          <w:rtl/>
        </w:rPr>
      </w:pPr>
    </w:p>
    <w:p w14:paraId="75C22919" w14:textId="77777777" w:rsidR="00CC628F" w:rsidRDefault="00CC628F" w:rsidP="00CC628F">
      <w:pPr>
        <w:rPr>
          <w:rFonts w:ascii="Sakkal Majalla" w:hAnsi="Sakkal Majalla" w:cs="Sakkal Majalla"/>
          <w:b/>
          <w:bCs/>
          <w:sz w:val="56"/>
          <w:szCs w:val="56"/>
          <w:u w:val="single"/>
          <w:rtl/>
        </w:rPr>
      </w:pPr>
    </w:p>
    <w:p w14:paraId="4E197A7A" w14:textId="77777777" w:rsidR="00CC628F" w:rsidRDefault="00CC628F" w:rsidP="00CC628F">
      <w:pPr>
        <w:rPr>
          <w:rFonts w:ascii="Sakkal Majalla" w:hAnsi="Sakkal Majalla" w:cs="Sakkal Majalla"/>
          <w:b/>
          <w:bCs/>
          <w:sz w:val="56"/>
          <w:szCs w:val="56"/>
          <w:u w:val="single"/>
          <w:rtl/>
        </w:rPr>
      </w:pPr>
    </w:p>
    <w:p w14:paraId="2A025227" w14:textId="77777777" w:rsidR="00CC628F" w:rsidRDefault="00CC628F" w:rsidP="00CC628F">
      <w:pPr>
        <w:rPr>
          <w:rFonts w:ascii="Sakkal Majalla" w:hAnsi="Sakkal Majalla" w:cs="Sakkal Majalla"/>
          <w:b/>
          <w:bCs/>
          <w:sz w:val="56"/>
          <w:szCs w:val="56"/>
          <w:u w:val="single"/>
        </w:rPr>
      </w:pPr>
    </w:p>
    <w:p w14:paraId="37AC03CD" w14:textId="77777777" w:rsidR="00CC628F" w:rsidRPr="003F027C" w:rsidRDefault="00CC628F" w:rsidP="00CC628F">
      <w:pPr>
        <w:rPr>
          <w:rFonts w:ascii="Sakkal Majalla" w:hAnsi="Sakkal Majalla" w:cs="Sakkal Majalla"/>
          <w:b/>
          <w:bCs/>
          <w:sz w:val="56"/>
          <w:szCs w:val="56"/>
          <w:u w:val="single"/>
          <w:rtl/>
        </w:rPr>
      </w:pPr>
    </w:p>
    <w:p w14:paraId="5D1A9C0C" w14:textId="77777777" w:rsidR="00CC628F" w:rsidRPr="007302A9" w:rsidRDefault="00CC628F" w:rsidP="00CC628F">
      <w:pPr>
        <w:pStyle w:val="1"/>
        <w:jc w:val="center"/>
        <w:rPr>
          <w:rFonts w:ascii="Simplified Arabic" w:hAnsi="Simplified Arabic" w:cs="Simplified Arabic"/>
          <w:b/>
          <w:bCs/>
          <w:color w:val="000000" w:themeColor="text1"/>
          <w:rtl/>
        </w:rPr>
      </w:pPr>
      <w:bookmarkStart w:id="25" w:name="_Toc172397783"/>
      <w:bookmarkStart w:id="26" w:name="_Toc172746096"/>
      <w:bookmarkStart w:id="27" w:name="_Toc173711462"/>
      <w:r w:rsidRPr="007302A9">
        <w:rPr>
          <w:rFonts w:ascii="Simplified Arabic" w:hAnsi="Simplified Arabic" w:cs="Simplified Arabic"/>
          <w:b/>
          <w:bCs/>
          <w:color w:val="000000" w:themeColor="text1"/>
          <w:rtl/>
        </w:rPr>
        <w:t>الفصل الثاني</w:t>
      </w:r>
      <w:bookmarkEnd w:id="25"/>
      <w:bookmarkEnd w:id="26"/>
      <w:bookmarkEnd w:id="27"/>
    </w:p>
    <w:p w14:paraId="60E16AA0" w14:textId="77777777" w:rsidR="00CC628F" w:rsidRPr="007302A9" w:rsidRDefault="00CC628F" w:rsidP="00CC628F">
      <w:pPr>
        <w:pStyle w:val="1"/>
        <w:jc w:val="center"/>
        <w:rPr>
          <w:rFonts w:ascii="Simplified Arabic" w:hAnsi="Simplified Arabic" w:cs="Simplified Arabic"/>
          <w:b/>
          <w:bCs/>
          <w:color w:val="000000" w:themeColor="text1"/>
          <w:rtl/>
        </w:rPr>
      </w:pPr>
      <w:bookmarkStart w:id="28" w:name="_Toc172397784"/>
      <w:bookmarkStart w:id="29" w:name="_Toc172746097"/>
      <w:bookmarkStart w:id="30" w:name="_Toc173711463"/>
      <w:r w:rsidRPr="007302A9">
        <w:rPr>
          <w:rFonts w:ascii="Simplified Arabic" w:hAnsi="Simplified Arabic" w:cs="Simplified Arabic"/>
          <w:b/>
          <w:bCs/>
          <w:color w:val="000000" w:themeColor="text1"/>
          <w:rtl/>
        </w:rPr>
        <w:t>الدراسات السابقة</w:t>
      </w:r>
      <w:bookmarkEnd w:id="28"/>
      <w:bookmarkEnd w:id="29"/>
      <w:bookmarkEnd w:id="30"/>
    </w:p>
    <w:p w14:paraId="42C4560A" w14:textId="77777777" w:rsidR="00CC628F" w:rsidRPr="003B5A4D" w:rsidRDefault="00CC628F" w:rsidP="00CC628F">
      <w:pPr>
        <w:rPr>
          <w:b/>
          <w:bCs/>
          <w:rtl/>
        </w:rPr>
      </w:pPr>
    </w:p>
    <w:p w14:paraId="01259647" w14:textId="77777777" w:rsidR="00CC628F" w:rsidRPr="003B5A4D" w:rsidRDefault="00CC628F" w:rsidP="00CC628F">
      <w:pPr>
        <w:rPr>
          <w:rFonts w:ascii="Sakkal Majalla" w:hAnsi="Sakkal Majalla" w:cs="Sakkal Majalla"/>
          <w:b/>
          <w:bCs/>
          <w:sz w:val="28"/>
          <w:szCs w:val="28"/>
          <w:u w:val="single"/>
          <w:rtl/>
        </w:rPr>
      </w:pPr>
    </w:p>
    <w:p w14:paraId="1A02D0B3" w14:textId="77777777" w:rsidR="00CC628F" w:rsidRPr="003B5A4D" w:rsidRDefault="00CC628F" w:rsidP="00CC628F">
      <w:pPr>
        <w:rPr>
          <w:rFonts w:ascii="Sakkal Majalla" w:hAnsi="Sakkal Majalla" w:cs="Sakkal Majalla"/>
          <w:b/>
          <w:bCs/>
          <w:sz w:val="28"/>
          <w:szCs w:val="28"/>
          <w:u w:val="single"/>
          <w:rtl/>
        </w:rPr>
      </w:pPr>
    </w:p>
    <w:p w14:paraId="790D31A0" w14:textId="77777777" w:rsidR="00CC628F" w:rsidRPr="003B5A4D" w:rsidRDefault="00CC628F" w:rsidP="00CC628F">
      <w:pPr>
        <w:rPr>
          <w:rFonts w:ascii="Sakkal Majalla" w:hAnsi="Sakkal Majalla" w:cs="Sakkal Majalla"/>
          <w:b/>
          <w:bCs/>
          <w:sz w:val="28"/>
          <w:szCs w:val="28"/>
          <w:u w:val="single"/>
          <w:rtl/>
        </w:rPr>
      </w:pPr>
    </w:p>
    <w:p w14:paraId="0A35C139" w14:textId="77777777" w:rsidR="00CC628F" w:rsidRDefault="00CC628F" w:rsidP="00CC628F">
      <w:pPr>
        <w:rPr>
          <w:rFonts w:ascii="Sakkal Majalla" w:hAnsi="Sakkal Majalla" w:cs="Sakkal Majalla"/>
          <w:sz w:val="28"/>
          <w:szCs w:val="28"/>
          <w:u w:val="single"/>
          <w:rtl/>
        </w:rPr>
      </w:pPr>
    </w:p>
    <w:p w14:paraId="4B426DC4" w14:textId="77777777" w:rsidR="00CC628F" w:rsidRDefault="00CC628F" w:rsidP="00CC628F">
      <w:pPr>
        <w:rPr>
          <w:rFonts w:ascii="Sakkal Majalla" w:hAnsi="Sakkal Majalla" w:cs="Sakkal Majalla"/>
          <w:sz w:val="28"/>
          <w:szCs w:val="28"/>
          <w:u w:val="single"/>
          <w:rtl/>
        </w:rPr>
      </w:pPr>
    </w:p>
    <w:p w14:paraId="4E79CBAC" w14:textId="77777777" w:rsidR="00CC628F" w:rsidRDefault="00CC628F" w:rsidP="00CC628F">
      <w:pPr>
        <w:rPr>
          <w:rFonts w:ascii="Sakkal Majalla" w:hAnsi="Sakkal Majalla" w:cs="Sakkal Majalla"/>
          <w:sz w:val="28"/>
          <w:szCs w:val="28"/>
          <w:u w:val="single"/>
          <w:rtl/>
        </w:rPr>
      </w:pPr>
    </w:p>
    <w:p w14:paraId="31876CA9" w14:textId="77777777" w:rsidR="00CC628F" w:rsidRDefault="00CC628F" w:rsidP="00CC628F">
      <w:pPr>
        <w:rPr>
          <w:rFonts w:ascii="Sakkal Majalla" w:hAnsi="Sakkal Majalla" w:cs="Sakkal Majalla"/>
          <w:sz w:val="28"/>
          <w:szCs w:val="28"/>
          <w:u w:val="single"/>
          <w:rtl/>
        </w:rPr>
      </w:pPr>
    </w:p>
    <w:p w14:paraId="33606DCE" w14:textId="77777777" w:rsidR="00CC628F" w:rsidRDefault="00CC628F" w:rsidP="00CC628F">
      <w:pPr>
        <w:rPr>
          <w:rFonts w:ascii="Sakkal Majalla" w:hAnsi="Sakkal Majalla" w:cs="Sakkal Majalla"/>
          <w:sz w:val="28"/>
          <w:szCs w:val="28"/>
          <w:u w:val="single"/>
          <w:rtl/>
        </w:rPr>
      </w:pPr>
    </w:p>
    <w:p w14:paraId="15614C95" w14:textId="77777777" w:rsidR="00CC628F" w:rsidRDefault="00CC628F" w:rsidP="00CC628F">
      <w:pPr>
        <w:rPr>
          <w:rFonts w:ascii="Sakkal Majalla" w:hAnsi="Sakkal Majalla" w:cs="Sakkal Majalla"/>
          <w:sz w:val="28"/>
          <w:szCs w:val="28"/>
          <w:u w:val="single"/>
          <w:rtl/>
        </w:rPr>
      </w:pPr>
    </w:p>
    <w:p w14:paraId="50C3B450" w14:textId="77777777" w:rsidR="00CC628F" w:rsidRDefault="00CC628F" w:rsidP="00CC628F">
      <w:pPr>
        <w:rPr>
          <w:rFonts w:ascii="Sakkal Majalla" w:hAnsi="Sakkal Majalla" w:cs="Sakkal Majalla"/>
          <w:sz w:val="28"/>
          <w:szCs w:val="28"/>
          <w:u w:val="single"/>
          <w:rtl/>
        </w:rPr>
      </w:pPr>
    </w:p>
    <w:p w14:paraId="7EE94623" w14:textId="77777777" w:rsidR="00CC628F" w:rsidRPr="0020271B" w:rsidRDefault="00CC628F" w:rsidP="00CC628F">
      <w:pPr>
        <w:pStyle w:val="2"/>
        <w:spacing w:line="240" w:lineRule="auto"/>
        <w:jc w:val="both"/>
        <w:rPr>
          <w:rFonts w:ascii="Simplified Arabic" w:hAnsi="Simplified Arabic" w:cs="Simplified Arabic"/>
          <w:b/>
          <w:bCs/>
          <w:color w:val="000000" w:themeColor="text1"/>
          <w:sz w:val="36"/>
          <w:szCs w:val="36"/>
          <w:rtl/>
        </w:rPr>
      </w:pPr>
      <w:bookmarkStart w:id="31" w:name="_Toc172397785"/>
      <w:bookmarkStart w:id="32" w:name="_Toc172746098"/>
      <w:bookmarkStart w:id="33" w:name="_Toc173711464"/>
      <w:r w:rsidRPr="0020271B">
        <w:rPr>
          <w:rFonts w:ascii="Simplified Arabic" w:hAnsi="Simplified Arabic" w:cs="Simplified Arabic"/>
          <w:b/>
          <w:bCs/>
          <w:color w:val="000000" w:themeColor="text1"/>
          <w:sz w:val="36"/>
          <w:szCs w:val="36"/>
          <w:rtl/>
        </w:rPr>
        <w:lastRenderedPageBreak/>
        <w:t>مقدمة</w:t>
      </w:r>
      <w:bookmarkEnd w:id="31"/>
      <w:bookmarkEnd w:id="32"/>
      <w:bookmarkEnd w:id="33"/>
    </w:p>
    <w:p w14:paraId="5634AE31"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في إطار دراسة استراتيجيات إدارة التغيير في المؤسسات الحكومية السعودية: دراسة تحليلية لجهود التحول الوطني لتحقيق رؤية 2030، يشكل الفصل الثاني جزءًا حيويًا من الدراسة، حيث يقدم الأساس النظري والمنهجي الذي تعتمد عليه جميع المراحل اللاحقة من البحث. يعتبر هذا الفصل بمثابة العمود الفقري الذي يدعم هيكل الدراسة من خلال تقديم تفسيرات دقيقة ومتعمقة للمتغيرات المؤثرة وكيفية تفاعلها، بالإضافة إلى تحليل شامل للأطر النظرية والدراسات السابقة التي توفر السياق الأكاديمي والعملي اللازمين لفهم موضوع البحث.</w:t>
      </w:r>
    </w:p>
    <w:p w14:paraId="3E0B62D8"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سيبدأ الفصل الثاني بتوضيح شامل للمتغيرات المحورية في الدراسة. سيتم تقديم تفسير دقيق لكيفية تأثير كل من المتغيرات الرئيسية والفرعية على عملية إدارة التغيير في المؤسسات الحكومية السعودية. هذا التفسير سيساعد في تحديد العوامل التي تعزز أو تعوق نجاح التحول المؤسسي ضمن سياق رؤية 2030. على سبيل المثال، سيتم تحليل كيف يمكن للاستراتيجيات المختلفة في إدارة التغيير أن تؤثر على الأداء المؤسسي، وكيف يمكن للقيادة التحويلية أن تحفز الموظفين وتدفع بالتحول الإيجابي داخل المؤسسة. هذا التحليل سيكون مدعومًا بأدلة من الأدبيات الأكاديمية والدراسات السابقة.</w:t>
      </w:r>
    </w:p>
    <w:p w14:paraId="55DBD887"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سيتم استعراض الأطر النظرية التي تشكل الأساس لتحليل وفهم العلاقات بين المتغيرات المختلفة في الدراسة. سيتضمن هذا الجزء من الفصل تحليلًا متعمقًا لنظريات التغيير المخطط والتحويلي وإدارة التغيير. من خلال هذا الاستعراض، سيتم تقديم رؤية شاملة لكيفية تطبيق هذه النظريات في السياق السعودي وكيف يمكن استخدامها لتفسير النتائج المتوقعة. هذا الجزء سيكون ذا أهمية كبيرة لأنه يوفر الإطار النظري الذي سيستند إليه التحليل اللاحق للبيانات والنتائج.</w:t>
      </w:r>
    </w:p>
    <w:p w14:paraId="6E0E87A2"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جزء مهم آخر من الفصل الثاني سيكون مخصصًا لاستعراض الأدبيات والدراسات السابقة المتعلقة بإدارة التغيير في المؤسسات الحكومية. سيتم تحليل الأبحاث السابقة بشكل نقدي لتحديد الفجوات البحثية وتقديم رؤى جديدة تستند إلى هذه الدراسات. من خلال هذا الاستعراض، يمكن للقارئ فهم التطورات الحديثة في مجال إدارة التغيير، وكيفية تطبيق هذه المعارف لتحسين استراتيجيات التغيير في المؤسسات الحكومية السعودية. سيساعد هذا التحليل في وضع الدراسة الحالية ضمن السياق الأوسع للأبحاث الأكاديمية، مما يعزز من مصداقيتها ويسهم في تقديم مساهمات جديدة للمعرفة.</w:t>
      </w:r>
    </w:p>
    <w:p w14:paraId="3E7654D4" w14:textId="77777777" w:rsidR="00CC628F" w:rsidRDefault="00CC628F" w:rsidP="00CC628F">
      <w:pPr>
        <w:spacing w:line="240" w:lineRule="auto"/>
        <w:ind w:firstLine="732"/>
        <w:jc w:val="both"/>
        <w:rPr>
          <w:rFonts w:ascii="Simplified Arabic" w:hAnsi="Simplified Arabic" w:cs="Simplified Arabic"/>
          <w:sz w:val="28"/>
          <w:szCs w:val="28"/>
        </w:rPr>
      </w:pPr>
      <w:r w:rsidRPr="009A7ACA">
        <w:rPr>
          <w:rFonts w:ascii="Simplified Arabic" w:hAnsi="Simplified Arabic" w:cs="Simplified Arabic"/>
          <w:sz w:val="28"/>
          <w:szCs w:val="28"/>
          <w:rtl/>
        </w:rPr>
        <w:t xml:space="preserve">سيقدم الفصل الثاني شرحًا مفصلًا للمنهجيات البحثية التي سيتم استخدامها في الدراسة. سيتم توضيح الأساليب والأدوات البحثية التي تم اختيارها لجمع البيانات، مثل الاستبيانات والمقابلات، وكيفية تصميمها </w:t>
      </w:r>
      <w:r w:rsidRPr="009A7ACA">
        <w:rPr>
          <w:rFonts w:ascii="Simplified Arabic" w:hAnsi="Simplified Arabic" w:cs="Simplified Arabic"/>
          <w:sz w:val="28"/>
          <w:szCs w:val="28"/>
          <w:rtl/>
        </w:rPr>
        <w:lastRenderedPageBreak/>
        <w:t>وتنفيذها بشكل يضمن دقة وموثوقية النتائج. سيتم أيضًا شرح الإجراءات التحليلية التي ستتبع لفحص البيانات وتفسيرها، بما في ذلك الأساليب الإحصائية والنوعية التي سيتم استخدامها لتحليل النتائج. هذا الجزء من الفصل سيكون ضروريًا لضمان أن القارئ يفهم كيفية جمع البيانات وتحليلها بشكل علمي ومنهجي.</w:t>
      </w:r>
    </w:p>
    <w:p w14:paraId="5CA10FF9" w14:textId="77777777" w:rsidR="00CC628F" w:rsidRPr="009A7ACA" w:rsidRDefault="00CC628F" w:rsidP="00CC628F">
      <w:pPr>
        <w:spacing w:line="240" w:lineRule="auto"/>
        <w:ind w:firstLine="732"/>
        <w:jc w:val="both"/>
        <w:rPr>
          <w:rFonts w:ascii="Simplified Arabic" w:hAnsi="Simplified Arabic" w:cs="Simplified Arabic"/>
          <w:sz w:val="28"/>
          <w:szCs w:val="28"/>
          <w:rtl/>
        </w:rPr>
      </w:pPr>
      <w:r w:rsidRPr="009A7ACA">
        <w:rPr>
          <w:rFonts w:ascii="Simplified Arabic" w:hAnsi="Simplified Arabic" w:cs="Simplified Arabic"/>
          <w:sz w:val="28"/>
          <w:szCs w:val="28"/>
          <w:rtl/>
        </w:rPr>
        <w:t>يعد الفصل الثاني من الدراسة خطوة حاسمة في بناء الأساس النظري والمنهجي للبحث. من خلال تقديم تفسير شامل للمتغيرات، واستعراض الأطر النظرية والدراسات السابقة، وشرح المنهجيات البحثية، سيوفر هذا الفصل قاعدة متينة لفهم وتحليل نتائج الدراسة. سيكون هذا الفصل بمثابة دليل يوجه الباحثين والممارسين في مجال إدارة التغيير، مما يمكنهم من تطبيق استراتيجيات فعالة لتحقيق التحول المؤسسي في المؤسسات الحكومية السعودية ودعم تحقيق رؤية 2030. من خلال هذا النهج المتكامل، يمكن تقديم توصيات مبنية على أسس علمية لدعم جهود التحول الوطني وتعزيز فعالية الأداء المؤسسي في المملكة العربية السعودية.</w:t>
      </w:r>
    </w:p>
    <w:p w14:paraId="29EE9DD2" w14:textId="77777777" w:rsidR="00CC628F" w:rsidRDefault="00CC628F" w:rsidP="00CC628F">
      <w:pPr>
        <w:spacing w:line="360" w:lineRule="auto"/>
        <w:jc w:val="both"/>
        <w:rPr>
          <w:rFonts w:ascii="Sakkal Majalla" w:hAnsi="Sakkal Majalla" w:cs="Sakkal Majalla"/>
          <w:sz w:val="28"/>
          <w:szCs w:val="28"/>
          <w:rtl/>
        </w:rPr>
      </w:pPr>
    </w:p>
    <w:p w14:paraId="42295D60" w14:textId="77777777" w:rsidR="00CC628F" w:rsidRDefault="00CC628F" w:rsidP="00CC628F">
      <w:pPr>
        <w:spacing w:line="360" w:lineRule="auto"/>
        <w:jc w:val="both"/>
        <w:rPr>
          <w:rFonts w:ascii="Sakkal Majalla" w:hAnsi="Sakkal Majalla" w:cs="Sakkal Majalla"/>
          <w:sz w:val="28"/>
          <w:szCs w:val="28"/>
          <w:rtl/>
        </w:rPr>
      </w:pPr>
    </w:p>
    <w:p w14:paraId="47F00EC8" w14:textId="77777777" w:rsidR="00CC628F" w:rsidRDefault="00CC628F" w:rsidP="00CC628F">
      <w:pPr>
        <w:spacing w:line="360" w:lineRule="auto"/>
        <w:jc w:val="both"/>
        <w:rPr>
          <w:rFonts w:ascii="Sakkal Majalla" w:hAnsi="Sakkal Majalla" w:cs="Sakkal Majalla"/>
          <w:sz w:val="28"/>
          <w:szCs w:val="28"/>
          <w:rtl/>
        </w:rPr>
      </w:pPr>
    </w:p>
    <w:p w14:paraId="5F73DF81" w14:textId="77777777" w:rsidR="00CC628F" w:rsidRDefault="00CC628F" w:rsidP="00CC628F">
      <w:pPr>
        <w:spacing w:line="360" w:lineRule="auto"/>
        <w:jc w:val="both"/>
        <w:rPr>
          <w:rFonts w:ascii="Sakkal Majalla" w:hAnsi="Sakkal Majalla" w:cs="Sakkal Majalla"/>
          <w:sz w:val="28"/>
          <w:szCs w:val="28"/>
          <w:rtl/>
        </w:rPr>
      </w:pPr>
    </w:p>
    <w:p w14:paraId="7B523153" w14:textId="77777777" w:rsidR="00CC628F" w:rsidRDefault="00CC628F" w:rsidP="00CC628F">
      <w:pPr>
        <w:spacing w:line="360" w:lineRule="auto"/>
        <w:jc w:val="both"/>
        <w:rPr>
          <w:rFonts w:ascii="Sakkal Majalla" w:hAnsi="Sakkal Majalla" w:cs="Sakkal Majalla"/>
          <w:sz w:val="28"/>
          <w:szCs w:val="28"/>
          <w:rtl/>
        </w:rPr>
      </w:pPr>
    </w:p>
    <w:p w14:paraId="1B3B38B6" w14:textId="77777777" w:rsidR="00CC628F" w:rsidRDefault="00CC628F" w:rsidP="00CC628F">
      <w:pPr>
        <w:spacing w:line="360" w:lineRule="auto"/>
        <w:jc w:val="both"/>
        <w:rPr>
          <w:rFonts w:ascii="Sakkal Majalla" w:hAnsi="Sakkal Majalla" w:cs="Sakkal Majalla"/>
          <w:sz w:val="28"/>
          <w:szCs w:val="28"/>
          <w:rtl/>
        </w:rPr>
      </w:pPr>
    </w:p>
    <w:p w14:paraId="49FB65D3" w14:textId="77777777" w:rsidR="00CC628F" w:rsidRDefault="00CC628F" w:rsidP="00CC628F">
      <w:pPr>
        <w:spacing w:line="360" w:lineRule="auto"/>
        <w:jc w:val="both"/>
        <w:rPr>
          <w:rFonts w:ascii="Sakkal Majalla" w:hAnsi="Sakkal Majalla" w:cs="Sakkal Majalla"/>
          <w:sz w:val="28"/>
          <w:szCs w:val="28"/>
        </w:rPr>
      </w:pPr>
    </w:p>
    <w:p w14:paraId="4C7E22F9" w14:textId="77777777" w:rsidR="00CC628F" w:rsidRDefault="00CC628F" w:rsidP="00CC628F">
      <w:pPr>
        <w:spacing w:line="360" w:lineRule="auto"/>
        <w:jc w:val="both"/>
        <w:rPr>
          <w:rFonts w:ascii="Sakkal Majalla" w:hAnsi="Sakkal Majalla" w:cs="Sakkal Majalla"/>
          <w:sz w:val="28"/>
          <w:szCs w:val="28"/>
        </w:rPr>
      </w:pPr>
    </w:p>
    <w:p w14:paraId="1E1083B3" w14:textId="77777777" w:rsidR="00CC628F" w:rsidRDefault="00CC628F" w:rsidP="00CC628F">
      <w:pPr>
        <w:spacing w:line="360" w:lineRule="auto"/>
        <w:jc w:val="both"/>
        <w:rPr>
          <w:rFonts w:ascii="Sakkal Majalla" w:hAnsi="Sakkal Majalla" w:cs="Sakkal Majalla"/>
          <w:sz w:val="28"/>
          <w:szCs w:val="28"/>
        </w:rPr>
      </w:pPr>
    </w:p>
    <w:p w14:paraId="7A992A50" w14:textId="77777777" w:rsidR="00CC628F" w:rsidRDefault="00CC628F" w:rsidP="00CC628F">
      <w:pPr>
        <w:spacing w:line="360" w:lineRule="auto"/>
        <w:jc w:val="both"/>
        <w:rPr>
          <w:rFonts w:ascii="Sakkal Majalla" w:hAnsi="Sakkal Majalla" w:cs="Sakkal Majalla"/>
          <w:sz w:val="28"/>
          <w:szCs w:val="28"/>
        </w:rPr>
      </w:pPr>
    </w:p>
    <w:p w14:paraId="60F9396B" w14:textId="77777777" w:rsidR="00CC628F" w:rsidRDefault="00CC628F" w:rsidP="00CC628F">
      <w:pPr>
        <w:spacing w:line="360" w:lineRule="auto"/>
        <w:jc w:val="both"/>
        <w:rPr>
          <w:rFonts w:ascii="Sakkal Majalla" w:hAnsi="Sakkal Majalla" w:cs="Sakkal Majalla"/>
          <w:sz w:val="28"/>
          <w:szCs w:val="28"/>
          <w:rtl/>
        </w:rPr>
      </w:pPr>
    </w:p>
    <w:p w14:paraId="541CAF89" w14:textId="77777777" w:rsidR="00CC628F" w:rsidRDefault="00CC628F" w:rsidP="00CC628F">
      <w:pPr>
        <w:spacing w:line="360" w:lineRule="auto"/>
        <w:jc w:val="both"/>
        <w:rPr>
          <w:rFonts w:ascii="Sakkal Majalla" w:hAnsi="Sakkal Majalla" w:cs="Sakkal Majalla"/>
          <w:sz w:val="28"/>
          <w:szCs w:val="28"/>
          <w:rtl/>
        </w:rPr>
      </w:pPr>
    </w:p>
    <w:p w14:paraId="6B8709A9" w14:textId="77777777" w:rsidR="00CC628F" w:rsidRPr="0020271B" w:rsidRDefault="00CC628F" w:rsidP="00CC628F">
      <w:pPr>
        <w:pStyle w:val="2"/>
        <w:tabs>
          <w:tab w:val="left" w:pos="2637"/>
        </w:tabs>
        <w:spacing w:line="240" w:lineRule="auto"/>
        <w:jc w:val="both"/>
        <w:rPr>
          <w:rFonts w:ascii="Simplified Arabic" w:hAnsi="Simplified Arabic" w:cs="Simplified Arabic"/>
          <w:b/>
          <w:bCs/>
          <w:color w:val="auto"/>
          <w:sz w:val="36"/>
          <w:szCs w:val="36"/>
          <w:rtl/>
        </w:rPr>
      </w:pPr>
      <w:bookmarkStart w:id="34" w:name="_Toc173711465"/>
      <w:r w:rsidRPr="0020271B">
        <w:rPr>
          <w:rFonts w:ascii="Simplified Arabic" w:hAnsi="Simplified Arabic" w:cs="Simplified Arabic"/>
          <w:b/>
          <w:bCs/>
          <w:color w:val="auto"/>
          <w:sz w:val="36"/>
          <w:szCs w:val="36"/>
          <w:rtl/>
        </w:rPr>
        <w:t>المتغير التابع والمستقل</w:t>
      </w:r>
      <w:bookmarkEnd w:id="34"/>
      <w:r w:rsidRPr="0020271B">
        <w:rPr>
          <w:rFonts w:ascii="Simplified Arabic" w:hAnsi="Simplified Arabic" w:cs="Simplified Arabic"/>
          <w:b/>
          <w:bCs/>
          <w:color w:val="auto"/>
          <w:sz w:val="36"/>
          <w:szCs w:val="36"/>
          <w:rtl/>
        </w:rPr>
        <w:tab/>
      </w:r>
    </w:p>
    <w:p w14:paraId="368A9201" w14:textId="77777777" w:rsidR="00CC628F" w:rsidRPr="00A3643A" w:rsidRDefault="00CC628F" w:rsidP="00CC628F">
      <w:pPr>
        <w:spacing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في إطار دراسة استراتيجيات إدارة التغيير في المؤسسات الحكومية السعودية: دراسة تحليلية لجهود التحول الوطني لتحقيق رؤية 2030، يتناول البحث تحليل العلاقات بين المتغيرات المختلفة وتأثيراتها على نجاح استراتيجيات إدارة التغيير. في هذا السياق، يعتبر فهم العلاقة بين المتغيرات المستقلة والمتغير التابع أمرًا حيويًا لتحديد العوامل التي تساهم في نجاح أو فشل استراتيجيات إدارة التغيير. يشمل ذلك دراسة المتغير التابع، الذي هو استراتيجيات إدارة التغيير، والمتغيرات المستقلة، والتي تتضمن التواصل بوضوح، دعم القيادة، وتحفيز الموظفين.</w:t>
      </w:r>
    </w:p>
    <w:p w14:paraId="7D1002B5" w14:textId="77777777" w:rsidR="00CC628F" w:rsidRPr="00A3643A" w:rsidRDefault="00CC628F" w:rsidP="00CC628F">
      <w:pPr>
        <w:pStyle w:val="a6"/>
        <w:numPr>
          <w:ilvl w:val="0"/>
          <w:numId w:val="8"/>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المتغير التابع:</w:t>
      </w:r>
    </w:p>
    <w:p w14:paraId="6A44CB7E" w14:textId="77777777" w:rsidR="00CC628F" w:rsidRPr="00A3643A" w:rsidRDefault="00CC628F" w:rsidP="00CC628F">
      <w:pPr>
        <w:pStyle w:val="a6"/>
        <w:numPr>
          <w:ilvl w:val="0"/>
          <w:numId w:val="9"/>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استراتيجيات إدارة التغيير</w:t>
      </w:r>
    </w:p>
    <w:p w14:paraId="6C3F96C8" w14:textId="77777777" w:rsidR="00CC628F" w:rsidRPr="00A3643A" w:rsidRDefault="00CC628F" w:rsidP="00CC628F">
      <w:pPr>
        <w:spacing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استراتيجيات إدارة التغيير هي المتغير التابع في هذه الدراسة، حيث يمثل محور التركيز الأساسي الذي يسعى البحث إلى فهم كيف يمكن تحسينه من خلال تحليل العلاقة مع المتغيرات المستقلة. استراتيجيات إدارة التغيير تشمل السياسات والإجراءات التي تتبعها المؤسسات الحكومية للتعامل مع التحولات والتعديلات التنظيمية بهدف تحقيق أهداف رؤية 2030. هذه الاستراتيجيات قد تتضمن خطة التحول الرقمي، تطوير العمليات التنظيمية، أو تغيير الهيكل الإداري بما يتماشى مع أهداف التحول الوطني. تعتبر الاستراتيجيات الفعالة لإدارة التغيير ضرورية لتحقيق النجاح في تنفيذ التعديلات المطلوبة وضمان التكيف السلس مع المتغيرات البيئية والتكنولوجية.</w:t>
      </w:r>
    </w:p>
    <w:p w14:paraId="5E887A14" w14:textId="77777777" w:rsidR="00CC628F" w:rsidRPr="00A3643A" w:rsidRDefault="00CC628F" w:rsidP="00CC628F">
      <w:pPr>
        <w:pStyle w:val="a6"/>
        <w:numPr>
          <w:ilvl w:val="0"/>
          <w:numId w:val="8"/>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المتغيرات المستقلة</w:t>
      </w:r>
    </w:p>
    <w:p w14:paraId="34C0422F" w14:textId="77777777" w:rsidR="00CC628F" w:rsidRPr="00A3643A" w:rsidRDefault="00CC628F" w:rsidP="00CC628F">
      <w:pPr>
        <w:pStyle w:val="a6"/>
        <w:numPr>
          <w:ilvl w:val="0"/>
          <w:numId w:val="9"/>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التواصل بوضوح:</w:t>
      </w:r>
    </w:p>
    <w:p w14:paraId="4EB7D4A6" w14:textId="77777777" w:rsidR="00CC628F" w:rsidRPr="00A3643A" w:rsidRDefault="00CC628F" w:rsidP="00CC628F">
      <w:pPr>
        <w:spacing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   يعتبر التواصل الواضح أحد المتغيرات المستقلة الهامة في إدارة التغيير، حيث يلعب دورًا رئيسيًا في نجاح استراتيجيات التغيير. التواصل الفعال يضمن أن جميع الأطراف المعنية، من القيادات إلى الموظفين، لديهم فهم مشترك لأهداف التغيير، والخطوات التي سيتم اتخاذها، وأسباب هذه التغييرات. التواصل الجيد يساهم في تقليل الشكوك والقلق، ويعزز من الالتزام ويحفز التعاون بين جميع المعنيين. في المؤسسات الحكومية، حيث قد يكون التغيير معقدًا ومتعدد الجوانب، يصبح التواصل الواضح أمرًا حاسمًا لنجاح تنفيذ الاستراتيجيات. يتيح التواصل الفعال للمؤسسات بناء الثقة وتعزيز الشفافية، مما يساهم في تسريع عملية التغيير وتقليل المقاومة.</w:t>
      </w:r>
    </w:p>
    <w:p w14:paraId="7D65BA65" w14:textId="77777777" w:rsidR="00CC628F" w:rsidRPr="00A3643A" w:rsidRDefault="00CC628F" w:rsidP="00CC628F">
      <w:pPr>
        <w:pStyle w:val="a6"/>
        <w:numPr>
          <w:ilvl w:val="0"/>
          <w:numId w:val="9"/>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دعم القيادة:</w:t>
      </w:r>
    </w:p>
    <w:p w14:paraId="42ACA994" w14:textId="77777777" w:rsidR="00CC628F" w:rsidRPr="00A3643A" w:rsidRDefault="00CC628F" w:rsidP="00CC628F">
      <w:pPr>
        <w:spacing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lastRenderedPageBreak/>
        <w:t xml:space="preserve">   دعم القيادة هو متغير مستقل آخر له تأثير بالغ على فعالية استراتيجيات إدارة التغيير. عندما تتبنى القيادة العليا التغيير وتدعمه بشكل فعال، فإنها تلعب دورًا محوريًا في دفع عملية التغيير قدما. دعم القيادة لا يقتصر فقط على توفير الموارد والتمويل اللازم، بل يشمل أيضًا تقديم التوجيه والإلهام للفريق، وتعزيز الثقافة التنظيمية التي تدعم التغيير. القيادة القوية تساعد في تذليل العقبات التي قد تواجه عملية التغيير، وتعزز من الالتزام والاهتمام بين جميع مستويات الإدارة. في المؤسسات الحكومية، التي غالبًا ما تواجه تحديات إدارية معقدة، يكون دعم القيادة حاسمًا لتحقيق تحول فعّال ومستدام.</w:t>
      </w:r>
    </w:p>
    <w:p w14:paraId="74F27A63" w14:textId="77777777" w:rsidR="00CC628F" w:rsidRPr="00A3643A" w:rsidRDefault="00CC628F" w:rsidP="00CC628F">
      <w:pPr>
        <w:pStyle w:val="a6"/>
        <w:numPr>
          <w:ilvl w:val="0"/>
          <w:numId w:val="9"/>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تحفيز الموظفين:</w:t>
      </w:r>
    </w:p>
    <w:p w14:paraId="154E3030" w14:textId="77777777" w:rsidR="00CC628F" w:rsidRPr="00A3643A" w:rsidRDefault="00CC628F" w:rsidP="00CC628F">
      <w:pPr>
        <w:spacing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   تحفيز الموظفين يشكل المتغير المستقل الثالث في الدراسة، وهو عامل أساسي في ضمان نجاح استراتيجيات إدارة التغيير. التحفيز يعزز من التزام الموظفين بالتحولات التنظيمية ويزيد من إنتاجيتهم ورضاهم. يشمل التحفيز تقدير الأداء الجيد، توفير المكافآت، وتعزيز فرص النمو والتطوير المهني. عندما يشعر الموظفون بأنهم جزء من عملية التغيير وأن جهودهم مُقدرة، فإنهم يكونون أكثر استعدادًا لتبني التغييرات والمساهمة بنشاط في تنفيذها. في السياق الحكومي، حيث قد تكون بيئة العمل معقدة ومتنوعة، يصبح تحفيز الموظفين عنصرًا حاسمًا في تجاوز مقاومة التغيير وتحقيق الأهداف الاستراتيجية.</w:t>
      </w:r>
    </w:p>
    <w:p w14:paraId="739B5D9A" w14:textId="77777777" w:rsidR="00CC628F" w:rsidRPr="00A3643A" w:rsidRDefault="00CC628F" w:rsidP="00CC628F">
      <w:pPr>
        <w:pStyle w:val="a6"/>
        <w:numPr>
          <w:ilvl w:val="0"/>
          <w:numId w:val="10"/>
        </w:numPr>
        <w:spacing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التفاعل بين المتغيرات:</w:t>
      </w:r>
    </w:p>
    <w:p w14:paraId="2A62D7AE" w14:textId="7DC3026E" w:rsidR="00CC628F" w:rsidRDefault="00CC628F" w:rsidP="00CC628F">
      <w:pPr>
        <w:spacing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تحليل التفاعل بين المتغيرات المستقلة (التواصل بوضوح، دعم القيادة، وتحفيز الموظفين) والمتغير التابع (استراتيجيات إدارة التغيير) يكشف عن كيف يمكن لكل من هذه العوامل أن يؤثر على نجاح أو فشل استراتيجيات إدارة التغيير. التواصل الجيد، دعم القيادة، وتحفيز الموظفين ليسوا فقط عوامل </w:t>
      </w:r>
      <w:r w:rsidRPr="00A3643A">
        <w:rPr>
          <w:rFonts w:ascii="Simplified Arabic" w:hAnsi="Simplified Arabic" w:cs="Simplified Arabic" w:hint="cs"/>
          <w:sz w:val="28"/>
          <w:szCs w:val="28"/>
          <w:rtl/>
        </w:rPr>
        <w:t>داعمة،</w:t>
      </w:r>
      <w:r w:rsidRPr="00A3643A">
        <w:rPr>
          <w:rFonts w:ascii="Simplified Arabic" w:hAnsi="Simplified Arabic" w:cs="Simplified Arabic"/>
          <w:sz w:val="28"/>
          <w:szCs w:val="28"/>
          <w:rtl/>
        </w:rPr>
        <w:t xml:space="preserve"> بل يشكلون أيضًا عوامل حيوية يمكن أن تحدد فعالية التغيير. على سبيل المثال، بدون دعم القيادة القوي، قد يكون من الصعب تنفيذ التغييرات بنجاح حتى وإن كان هناك تواصل واضح وتحفيز للموظفين. بالمثل، التواصل الفعال دون تحفيز الموظفين قد لا يكون كافيًا لتحقيق نتائج ملموسة في التغيير. لذا، فإن تنسيق هذه العوامل الثلاثة وتكاملها هو ما يحدد نجاح استراتيجيات إدارة التغيير في المؤسسات الحكومية السعودية.</w:t>
      </w:r>
    </w:p>
    <w:p w14:paraId="2CF8F612" w14:textId="77777777" w:rsidR="00CC628F" w:rsidRPr="00A3643A" w:rsidRDefault="00CC628F" w:rsidP="00CC628F">
      <w:pPr>
        <w:spacing w:line="240" w:lineRule="auto"/>
        <w:jc w:val="both"/>
        <w:rPr>
          <w:rFonts w:ascii="Simplified Arabic" w:hAnsi="Simplified Arabic" w:cs="Simplified Arabic"/>
          <w:sz w:val="28"/>
          <w:szCs w:val="28"/>
          <w:rtl/>
        </w:rPr>
      </w:pPr>
    </w:p>
    <w:p w14:paraId="6604CB6E" w14:textId="77777777" w:rsidR="00CC628F" w:rsidRPr="003D406A" w:rsidRDefault="00CC628F" w:rsidP="00CC628F">
      <w:pPr>
        <w:pStyle w:val="2"/>
        <w:spacing w:line="240" w:lineRule="auto"/>
        <w:jc w:val="both"/>
        <w:rPr>
          <w:rFonts w:ascii="Simplified Arabic" w:hAnsi="Simplified Arabic" w:cs="Simplified Arabic"/>
          <w:b/>
          <w:bCs/>
          <w:color w:val="000000" w:themeColor="text1"/>
          <w:sz w:val="36"/>
          <w:szCs w:val="36"/>
          <w:rtl/>
        </w:rPr>
      </w:pPr>
      <w:bookmarkStart w:id="35" w:name="_Toc172397786"/>
      <w:bookmarkStart w:id="36" w:name="_Toc172746099"/>
      <w:bookmarkStart w:id="37" w:name="_Toc173711466"/>
      <w:r w:rsidRPr="003D406A">
        <w:rPr>
          <w:rFonts w:ascii="Simplified Arabic" w:hAnsi="Simplified Arabic" w:cs="Simplified Arabic"/>
          <w:b/>
          <w:bCs/>
          <w:color w:val="000000" w:themeColor="text1"/>
          <w:sz w:val="36"/>
          <w:szCs w:val="36"/>
          <w:rtl/>
        </w:rPr>
        <w:t>الدراسات السابقة</w:t>
      </w:r>
      <w:bookmarkEnd w:id="35"/>
      <w:bookmarkEnd w:id="36"/>
      <w:bookmarkEnd w:id="37"/>
    </w:p>
    <w:p w14:paraId="60FD3252" w14:textId="77777777" w:rsidR="00CC628F" w:rsidRDefault="00CC628F" w:rsidP="00CC628F">
      <w:pPr>
        <w:spacing w:after="0"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أكدت دراسات إدارة التغيير على أهمية استعداد المنظمة للتغيير والتحول وأوصت باستراتيجيات للتأثير على التغيير. إن الاستعداد التنظيمي للتغيير هو نشاط متعدد الأوجه، ومتعدد المستويات، ومتعدد الأبعاد؛ وأهم </w:t>
      </w:r>
      <w:r w:rsidRPr="00A3643A">
        <w:rPr>
          <w:rFonts w:ascii="Simplified Arabic" w:hAnsi="Simplified Arabic" w:cs="Simplified Arabic"/>
          <w:sz w:val="28"/>
          <w:szCs w:val="28"/>
          <w:rtl/>
        </w:rPr>
        <w:lastRenderedPageBreak/>
        <w:t xml:space="preserve">جوانبها هو استعداد أعضاء المنظمة لقبول التغيير وتنفيذه لأن تجاهل العوامل البشرية قد يؤدي إلى المقاومة والفشل. تحاول حكومة المملكة العربية السعودية، من خلال برنامج التحول الوطني 2020، إحداث تغييرات جذرية في هيكل ووظيفة نظام الرعاية الصحية الخاص بها لتحقيق رعاية عالية الجودة وتقديم خدمات فعالة. الهدف من هذه المراجعة هو مناقشة مدى استعداد نظام الرعاية الصحية السعودي للتغيير الذي تنوي المملكة العربية السعودية تنفيذه بحلول عام 2020، بناءً على مراجعة موسعة للتقارير والوثائق والدراسات التجريبية المختلفة في مجال الاستعداد التنظيمي للتغيير. وخلصت الدراسة إلى أنه إذا كان الاستعداد التنظيمي للتغيير مرتفعًا، وكانت الموارد متاحة، وكانت العوامل الظرفية متوافقة، فإن أعضاء المنظمات سيأخذون زمام المبادرة للتغيير، ويبذلون الجهد الأمثل، ويظهرون قدرًا أكبر من التصميم، وينخرطون في المزيد من السلوك التعاوني الذي قد يؤدي إلى التغيير. التنفيذ الكفء والفعال للخطة التحويلية للرعاية الصحية السعودية مع مضاعفات أقل ومقاومة أقل </w:t>
      </w:r>
      <w:sdt>
        <w:sdtPr>
          <w:rPr>
            <w:rFonts w:ascii="Simplified Arabic" w:hAnsi="Simplified Arabic" w:cs="Simplified Arabic"/>
            <w:sz w:val="28"/>
            <w:szCs w:val="28"/>
            <w:rtl/>
          </w:rPr>
          <w:id w:val="1972014655"/>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Alh181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Alharbi</w:t>
          </w:r>
          <w:r w:rsidRPr="00A3643A">
            <w:rPr>
              <w:rFonts w:ascii="Simplified Arabic" w:hAnsi="Simplified Arabic" w:cs="Simplified Arabic"/>
              <w:noProof/>
              <w:sz w:val="28"/>
              <w:szCs w:val="28"/>
              <w:rtl/>
              <w:lang w:bidi="ar-EG"/>
            </w:rPr>
            <w:t>، 2018)</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6C805B30" w14:textId="77777777" w:rsidR="00CC628F" w:rsidRDefault="00CC628F" w:rsidP="00CC628F">
      <w:pPr>
        <w:spacing w:after="0"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ركز دراسة  </w:t>
      </w:r>
      <w:sdt>
        <w:sdtPr>
          <w:rPr>
            <w:rFonts w:ascii="Simplified Arabic" w:hAnsi="Simplified Arabic" w:cs="Simplified Arabic"/>
            <w:sz w:val="28"/>
            <w:szCs w:val="28"/>
            <w:rtl/>
          </w:rPr>
          <w:id w:val="162126174"/>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Mit181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Mitchell</w:t>
          </w:r>
          <w:r w:rsidRPr="00A3643A">
            <w:rPr>
              <w:rFonts w:ascii="Simplified Arabic" w:hAnsi="Simplified Arabic" w:cs="Simplified Arabic"/>
              <w:noProof/>
              <w:sz w:val="28"/>
              <w:szCs w:val="28"/>
              <w:rtl/>
              <w:lang w:bidi="ar-EG"/>
            </w:rPr>
            <w:t>، 2018)</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 xml:space="preserve"> على تحليل برنامج التحول الوطني السعودي 2020 والرؤية السعودية 2030. وشمل التحقيق تحليل وثائق هذه الوثائق من أجل تحديد توجهات المناهج المرتبطة بها ضمن هذه الوثائق لتحديد ما وتسعى المملكة العربية السعودية إلى تحقيق هذه التطلعات وكيفية تصورها من خلال تطوير التعليم. وكشف التحليل أن أهداف وتطلعات المملكة أصبحت أكثر وضوحًا بشكل متزايد مع الاهتمام بالمواءمة بين أهداف التعليم الوطني والتنمية الاقتصادية مع ضمان توافق الممارسات مع المعتقدات الإسلامية. باختصار، كما هو موضح في الوثائق، يكشف التحليل أن ضرورة برنامج التحول الوطني 2020 والرؤية السعودية 2030 هي إنشاء اقتصاد "سعودي" قائم على المعرفة؛ ويُنظر إلى التعليم على أنه وسيلة لتعزيز هذه الضرورة.</w:t>
      </w:r>
    </w:p>
    <w:p w14:paraId="133733C1" w14:textId="36167B09" w:rsidR="00CC628F" w:rsidRDefault="00CC628F" w:rsidP="00CC628F">
      <w:pPr>
        <w:spacing w:after="0"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من المهم بالنسبة للمنظمة أن تستعد للتحول والتغيير، فضلا عن صياغة الاستراتيجيات والخطط لإحداث التغيير. الاستعداد التنظيمي أو الاستعداد للتحول هو نشاط متعدد الأبعاد، ومتعدد المستويات، ومتعدد الأوجه. تحاول حكومة المملكة العربية السعودية من خلال رؤيتها 2030 وبرنامج التحول الوطني 2020 (</w:t>
      </w:r>
      <w:r w:rsidRPr="00A3643A">
        <w:rPr>
          <w:rFonts w:ascii="Simplified Arabic" w:hAnsi="Simplified Arabic" w:cs="Simplified Arabic"/>
          <w:sz w:val="28"/>
          <w:szCs w:val="28"/>
        </w:rPr>
        <w:t>NTP</w:t>
      </w:r>
      <w:r w:rsidRPr="00A3643A">
        <w:rPr>
          <w:rFonts w:ascii="Simplified Arabic" w:hAnsi="Simplified Arabic" w:cs="Simplified Arabic"/>
          <w:sz w:val="28"/>
          <w:szCs w:val="28"/>
          <w:rtl/>
        </w:rPr>
        <w:t xml:space="preserve">) تنفيذ تغييرات جذرية في جميع القطاعات لتعزيز عملية صنع القرار والعمليات التشغيلية. الهدف من هذه الدراسة هو تقديم صورة واضحة عن حالة التحول الرقمي في المملكة العربية السعودية وتحديد المجالات التي ينبغي للحكومة والمنظمات التركيز عليها لتحقيق أهداف التحول الرقمي. وأجرت الدراسة استطلاعًا في سبتمبر 2018 لأكثر من 150 محللًا ومديرًا تنفيذيًا للأعمال من مختلف المنظمات في المملكة العربية السعودية. كما أجرت الدراسة مقابلات مع بائعي التكنولوجيا ومسؤولين حكوميين من وزارة المعلومات والتكنولوجيا ومحللي الأعمال لتحديد المجالات التي يجب على المنظمات والحكومة التركيز عليها لتسهيل </w:t>
      </w:r>
      <w:r w:rsidRPr="00A3643A">
        <w:rPr>
          <w:rFonts w:ascii="Simplified Arabic" w:hAnsi="Simplified Arabic" w:cs="Simplified Arabic"/>
          <w:sz w:val="28"/>
          <w:szCs w:val="28"/>
          <w:rtl/>
        </w:rPr>
        <w:lastRenderedPageBreak/>
        <w:t xml:space="preserve">التحول الرقمي. ومن نتائج البحث، توصلت الدراسة إلى أن المملكة العربية السعودية لا تزال في مرحلة الطفولة أو المرحلة المبكرة من التحول الرقمي وأن معظم المنظمات في البلاد ليست جاهزة للتحول الرقمي. علاوة على ذلك، حددت الدراسة أربع ركائز للاستعداد للتحول الرقمي. وتشمل هذه الركائز تعزيز عقلية الابتكار والتغيير، وبناء الأساس، والاستثمار في الأمن السيبراني، وتعاون المنظمات مع الحكومة وأصحاب المصلحة الآخرين ذوي الصلة </w:t>
      </w:r>
      <w:sdt>
        <w:sdtPr>
          <w:rPr>
            <w:rFonts w:ascii="Simplified Arabic" w:hAnsi="Simplified Arabic" w:cs="Simplified Arabic"/>
            <w:sz w:val="28"/>
            <w:szCs w:val="28"/>
            <w:rtl/>
          </w:rPr>
          <w:id w:val="1273743743"/>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Alh19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Alharbi A.</w:t>
          </w:r>
          <w:r w:rsidRPr="00A3643A">
            <w:rPr>
              <w:rFonts w:ascii="Simplified Arabic" w:hAnsi="Simplified Arabic" w:cs="Simplified Arabic"/>
              <w:noProof/>
              <w:sz w:val="28"/>
              <w:szCs w:val="28"/>
              <w:rtl/>
              <w:lang w:bidi="ar-EG"/>
            </w:rPr>
            <w:t>، 2019)</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47C93B92" w14:textId="77777777" w:rsidR="00CC628F" w:rsidRDefault="00CC628F" w:rsidP="00CC628F">
      <w:pPr>
        <w:spacing w:after="0"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هدفت دراسة </w:t>
      </w:r>
      <w:sdt>
        <w:sdtPr>
          <w:rPr>
            <w:rFonts w:ascii="Simplified Arabic" w:hAnsi="Simplified Arabic" w:cs="Simplified Arabic"/>
            <w:sz w:val="28"/>
            <w:szCs w:val="28"/>
            <w:rtl/>
          </w:rPr>
          <w:id w:val="-1626920591"/>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Mak21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Makhlouf</w:t>
          </w:r>
          <w:r w:rsidRPr="00A3643A">
            <w:rPr>
              <w:rFonts w:ascii="Simplified Arabic" w:hAnsi="Simplified Arabic" w:cs="Simplified Arabic"/>
              <w:noProof/>
              <w:sz w:val="28"/>
              <w:szCs w:val="28"/>
              <w:rtl/>
              <w:lang w:bidi="ar-EG"/>
            </w:rPr>
            <w:t>، 2021)</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إلى التعرف على انفتاح المدارس السعودية على التغيير في ضوء رؤية السعودية 2030. وتحلل الدراسة فروق ذات دلالة إحصائية في تصور انفتاح المدارس السعودية على التغيير لدى المعلمين السعوديين حسب الجنس، والمرحلة التعليمية، ونوع المدرسة. قاموا بالتدريس فيها، وخبرتهم. استخدمنا مقياس توجيه تغيير أعضاء هيئة التدريس (</w:t>
      </w:r>
      <w:r w:rsidRPr="00A3643A">
        <w:rPr>
          <w:rFonts w:ascii="Simplified Arabic" w:hAnsi="Simplified Arabic" w:cs="Simplified Arabic"/>
          <w:sz w:val="28"/>
          <w:szCs w:val="28"/>
        </w:rPr>
        <w:t>FCOS</w:t>
      </w:r>
      <w:r w:rsidRPr="00A3643A">
        <w:rPr>
          <w:rFonts w:ascii="Simplified Arabic" w:hAnsi="Simplified Arabic" w:cs="Simplified Arabic"/>
          <w:sz w:val="28"/>
          <w:szCs w:val="28"/>
          <w:rtl/>
        </w:rPr>
        <w:t>) لتحليل البيانات من 383 معلمًا في 29 مدرسة في المملكة العربية السعودية. أشارت النتائج إلى أن مستويات ممارسة أعضاء هيئة التدريس ومديري المدارس للتغيير مرتفعة. وهذا يعني أن المعلمين السعوديين يتفقون في الغالب على أن مدارسهم مفتوحة للتغيير. وكشفت النتائج أيضًا أنه لم يكن لمتغيري الجنس ونوع المدرسة أي تأثير كبير على تصورات المعلمين السعوديين. بينما أظهرت متغيرات الخبرة والمرحلة التعليمية فروقاً ذات دلالة إحصائية. وتساهم هذه النتائج في فهمنا لتأثيرات الرؤية السعودية 2030 داخل النظام التعليمي.</w:t>
      </w:r>
    </w:p>
    <w:p w14:paraId="0DFF1C52" w14:textId="77777777" w:rsidR="00CC628F" w:rsidRDefault="00CC628F" w:rsidP="00CC628F">
      <w:pPr>
        <w:spacing w:after="0"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احتلت رؤية المملكة العربية السعودية 2030 مركز الصدارة في تطوير قطاع الرعاية الصحية من خلال الخصخصة واعتماد الشراكة بين القطاعين العام والخاص. الهدف من هذه الدراسة هو تقديم لمحة عامة عن تحول الرعاية الصحية في المملكة العربية السعودية منذ إطلاق رؤية 2030 الطموحة، وتحديد القضايا التي تحتاج إلى معالجة والخطوات المتخذة نحو توفير تحول النظم الصحية. استندت مراجعة الأدبيات إلى مراجعة واسعة النطاق للمقالات المنشورة وغير المنشورة، حيث بحثت محركات البحث وقواعد البيانات المختلفة باستخدام الكلمات الرئيسية: "الرعاية الصحية السعودية"، و"تحول الرعاية الصحية"، و"الرؤية السعودية: 2030"، و"الشراكات بين القطاعين العام والخاص" و" "الخصخصة"، بالإضافة إلى البيانات الثانوية المنشورة في التقارير الحكومية والسياسات ووثائق الإستراتيجية الحكومية والبيانات الصحفية ذات الصلة. لا يزال مستقبل الرعاية الصحية، مثل العديد من الاقتصادات النامية الأخرى، يزن سياسات التغطية الشاملة مع احتواء التكاليف، وقد نفذ برنامج التحول الوطني المدفوع بعوامل اجتماعية واقتصادية خطوات استراتيجية لتطوير نظام الرعاية الصحية الخاص الذي يشمل: إنشاء مجموعات صحية، ومركز وطني للخصخصة والشراكة بين القطاعين العام والخاص</w:t>
      </w:r>
      <w:r>
        <w:rPr>
          <w:rFonts w:ascii="Simplified Arabic" w:hAnsi="Simplified Arabic" w:cs="Simplified Arabic" w:hint="cs"/>
          <w:sz w:val="28"/>
          <w:szCs w:val="28"/>
          <w:rtl/>
        </w:rPr>
        <w:t xml:space="preserve"> </w:t>
      </w:r>
      <w:r w:rsidRPr="00A3643A">
        <w:rPr>
          <w:rFonts w:ascii="Simplified Arabic" w:hAnsi="Simplified Arabic" w:cs="Simplified Arabic"/>
          <w:sz w:val="28"/>
          <w:szCs w:val="28"/>
          <w:rtl/>
        </w:rPr>
        <w:t xml:space="preserve">وهو عامل تمكين رسمي لخصخصة جميع القطاعات الحكومية، ويتضمن قانون مشاركة القطاع الخاص الذي تمت الموافقة عليه مؤخرًا العديد من العوامل التمكينية التشريعية المصممة لتعزيز </w:t>
      </w:r>
      <w:r w:rsidRPr="00A3643A">
        <w:rPr>
          <w:rFonts w:ascii="Simplified Arabic" w:hAnsi="Simplified Arabic" w:cs="Simplified Arabic"/>
          <w:sz w:val="28"/>
          <w:szCs w:val="28"/>
          <w:rtl/>
        </w:rPr>
        <w:lastRenderedPageBreak/>
        <w:t xml:space="preserve">ثقة المستثمرين في عملية الخصخصة. على الرغم من أن هذه الدراسة توضح التقدم التشريعي المنهجي لتسهيل عملية التحول في قطاع الرعاية الصحية، إلا أنها تؤيد أيضًا الحذر والبحث في تحديد العوائق التي تحول دون تنفيذ الشراكات بين القطاعين العام والخاص، وتنمية القوى العاملة السعودية، وتنفيذ وظيفة إدارة دورة الإيرادات الفعالة لسداد تكاليف الرعاية الصحية وضمان وصول السكان الضعفاء إلى نوعية جيدة. والرعاية الصحية الثالثية. مع شروع الرعاية الصحية في المملكة العربية السعودية في رحلة التحول التي تواجه تحديات شاقة، ولكن يبدو أن الحكومة قد وضعت خارطة طريق مع الإطار التشريعي؛ ومع ذلك، فمن المهم أن تكون هناك مراقبة مستمرة مع التعديلات مع استمرار هذه العملية المعقدة والمتعددة الأوجه </w:t>
      </w:r>
      <w:sdt>
        <w:sdtPr>
          <w:rPr>
            <w:rFonts w:ascii="Simplified Arabic" w:hAnsi="Simplified Arabic" w:cs="Simplified Arabic"/>
            <w:sz w:val="28"/>
            <w:szCs w:val="28"/>
            <w:rtl/>
          </w:rPr>
          <w:id w:val="-1530021568"/>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Ala223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Alasiri</w:t>
          </w:r>
          <w:r w:rsidRPr="00A3643A">
            <w:rPr>
              <w:rFonts w:ascii="Simplified Arabic" w:hAnsi="Simplified Arabic" w:cs="Simplified Arabic"/>
              <w:noProof/>
              <w:sz w:val="28"/>
              <w:szCs w:val="28"/>
              <w:rtl/>
              <w:lang w:bidi="ar-EG"/>
            </w:rPr>
            <w:t>، 2022)</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0EEE25D2" w14:textId="77777777" w:rsidR="00CC628F" w:rsidRPr="00A3643A" w:rsidRDefault="00CC628F" w:rsidP="00CC628F">
      <w:pPr>
        <w:spacing w:after="0" w:line="240" w:lineRule="auto"/>
        <w:ind w:firstLine="732"/>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وسعت دراسة </w:t>
      </w:r>
      <w:sdt>
        <w:sdtPr>
          <w:rPr>
            <w:rFonts w:ascii="Simplified Arabic" w:hAnsi="Simplified Arabic" w:cs="Simplified Arabic"/>
            <w:sz w:val="28"/>
            <w:szCs w:val="28"/>
            <w:rtl/>
          </w:rPr>
          <w:id w:val="-311555023"/>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ALS19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ALSharari</w:t>
          </w:r>
          <w:r w:rsidRPr="00A3643A">
            <w:rPr>
              <w:rFonts w:ascii="Simplified Arabic" w:hAnsi="Simplified Arabic" w:cs="Simplified Arabic"/>
              <w:noProof/>
              <w:sz w:val="28"/>
              <w:szCs w:val="28"/>
              <w:rtl/>
              <w:lang w:bidi="ar-EG"/>
            </w:rPr>
            <w:t>، 2019)</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 xml:space="preserve">  إلى قياس قدرات الجامعات السعودية وجاهزيتها لتأهيل الخريجين لتحقيق رؤية المملكة 2030 لسد الفجوة بين جاهزية الجامعة والهدف الوطني إن وجد لمساعدة صناع القرار على استكشاف الإنجازات الفعلية مقابل الأهداف الوطنية. ولتقييم الأداء اعتمدت هذه الدراسة مقياس بالدريدج للتميز في التعليم كأداة قياس، وتم تعديله بإضافة متطلبات البحث العلمي والتعاون بين الجامعات والاستثمارات الجامعية كمجال حديث من كيانات المقياس استناداً إلى متطلبات رؤية المملكة 2030. تم إجراء مسح قائم على بالدريج على مجموعة دراسية مكونة من (ن = 540) أكاديمي من جامعة الحدود الشمالية. وبعد إجراء اختبار إحصائي لمؤشر الأهمية النسبية (</w:t>
      </w:r>
      <w:r w:rsidRPr="00A3643A">
        <w:rPr>
          <w:rFonts w:ascii="Simplified Arabic" w:hAnsi="Simplified Arabic" w:cs="Simplified Arabic"/>
          <w:sz w:val="28"/>
          <w:szCs w:val="28"/>
        </w:rPr>
        <w:t>RII</w:t>
      </w:r>
      <w:r w:rsidRPr="00A3643A">
        <w:rPr>
          <w:rFonts w:ascii="Simplified Arabic" w:hAnsi="Simplified Arabic" w:cs="Simplified Arabic"/>
          <w:sz w:val="28"/>
          <w:szCs w:val="28"/>
          <w:rtl/>
        </w:rPr>
        <w:t xml:space="preserve">) وتحليل المسار التعاقدي، كشفت الدراسة أن استعداد الجامعة لإنتاج خريج مؤهل متوسط </w:t>
      </w:r>
      <w:r w:rsidRPr="00A3643A">
        <w:rPr>
          <w:rFonts w:ascii="Times New Roman" w:hAnsi="Times New Roman" w:cs="Times New Roman" w:hint="cs"/>
          <w:sz w:val="28"/>
          <w:szCs w:val="28"/>
          <w:rtl/>
        </w:rPr>
        <w:t>​​</w:t>
      </w:r>
      <w:r w:rsidRPr="00A3643A">
        <w:rPr>
          <w:rFonts w:ascii="Simplified Arabic" w:hAnsi="Simplified Arabic" w:cs="Simplified Arabic"/>
          <w:sz w:val="28"/>
          <w:szCs w:val="28"/>
          <w:rtl/>
        </w:rPr>
        <w:t>نسبيًا، مع انخفاض واضح في استثمارات الجامعة ومستشاري نشر الأبحاث. علاوة على ذلك، هناك علاقة ارتباط قوية بين كيانات القياس المستخدمة في اختبار الجاهزية.</w:t>
      </w:r>
    </w:p>
    <w:p w14:paraId="612DAD52" w14:textId="77777777" w:rsidR="00CC628F" w:rsidRPr="00134251" w:rsidRDefault="00CC628F" w:rsidP="00CC628F">
      <w:pPr>
        <w:spacing w:after="0" w:line="360" w:lineRule="auto"/>
        <w:jc w:val="both"/>
        <w:rPr>
          <w:rFonts w:ascii="Sakkal Majalla" w:hAnsi="Sakkal Majalla" w:cs="Sakkal Majalla"/>
          <w:sz w:val="28"/>
          <w:szCs w:val="28"/>
          <w:rtl/>
        </w:rPr>
      </w:pPr>
    </w:p>
    <w:p w14:paraId="305F204C" w14:textId="77777777" w:rsidR="00CC628F" w:rsidRDefault="00CC628F" w:rsidP="00CC628F">
      <w:pPr>
        <w:pStyle w:val="2"/>
        <w:spacing w:line="240" w:lineRule="auto"/>
        <w:jc w:val="both"/>
        <w:rPr>
          <w:rFonts w:ascii="Simplified Arabic" w:hAnsi="Simplified Arabic" w:cs="Simplified Arabic"/>
          <w:b/>
          <w:bCs/>
          <w:color w:val="000000" w:themeColor="text1"/>
          <w:sz w:val="36"/>
          <w:szCs w:val="36"/>
          <w:rtl/>
        </w:rPr>
      </w:pPr>
      <w:bookmarkStart w:id="38" w:name="_Toc172397787"/>
      <w:bookmarkStart w:id="39" w:name="_Toc172746100"/>
      <w:bookmarkStart w:id="40" w:name="_Toc173711467"/>
      <w:r w:rsidRPr="003D406A">
        <w:rPr>
          <w:rFonts w:ascii="Simplified Arabic" w:hAnsi="Simplified Arabic" w:cs="Simplified Arabic"/>
          <w:b/>
          <w:bCs/>
          <w:color w:val="000000" w:themeColor="text1"/>
          <w:sz w:val="36"/>
          <w:szCs w:val="36"/>
          <w:rtl/>
        </w:rPr>
        <w:t>الإطار النظري</w:t>
      </w:r>
      <w:bookmarkEnd w:id="38"/>
      <w:bookmarkEnd w:id="39"/>
      <w:bookmarkEnd w:id="40"/>
    </w:p>
    <w:p w14:paraId="4C66C09A" w14:textId="77777777" w:rsidR="00CC628F" w:rsidRPr="007A60FF" w:rsidRDefault="00CC628F" w:rsidP="00CC628F">
      <w:pPr>
        <w:spacing w:line="240" w:lineRule="auto"/>
        <w:ind w:firstLine="732"/>
        <w:jc w:val="both"/>
        <w:rPr>
          <w:rFonts w:ascii="Simplified Arabic" w:hAnsi="Simplified Arabic" w:cs="Simplified Arabic"/>
          <w:sz w:val="28"/>
          <w:szCs w:val="28"/>
        </w:rPr>
      </w:pPr>
      <w:r w:rsidRPr="007A60FF">
        <w:rPr>
          <w:rFonts w:ascii="Simplified Arabic" w:hAnsi="Simplified Arabic" w:cs="Simplified Arabic"/>
          <w:sz w:val="28"/>
          <w:szCs w:val="28"/>
          <w:rtl/>
        </w:rPr>
        <w:t>في إطار دراسة</w:t>
      </w:r>
      <w:r>
        <w:rPr>
          <w:rFonts w:ascii="Simplified Arabic" w:hAnsi="Simplified Arabic" w:cs="Simplified Arabic" w:hint="cs"/>
          <w:sz w:val="28"/>
          <w:szCs w:val="28"/>
          <w:rtl/>
        </w:rPr>
        <w:t xml:space="preserve"> </w:t>
      </w:r>
      <w:r w:rsidRPr="007A60FF">
        <w:rPr>
          <w:rFonts w:ascii="Simplified Arabic" w:hAnsi="Simplified Arabic" w:cs="Simplified Arabic"/>
          <w:sz w:val="28"/>
          <w:szCs w:val="28"/>
          <w:rtl/>
        </w:rPr>
        <w:t>استراتيجيات إدارة التغيير في المؤسسات الحكومية السعودية: دراسة تحليلية لجهود التحول الوطني لتحقيق رؤية 2030، يتناول الإطار النظري الدراسة من زوايا متعددة تساهم في فهم كيفية إدارة التغيير بشكل فعّال في المؤسسات الحكومية. يتناول هذا الإطار عدة مفاهيم ونظريات رئيسية تتعلق بإدارة التغيير، وتأثير القيادة، والثقافة التنظيمية، والتحول الرقمي، والمشاركة، ومقاومة التغيير، والسياسات الحكومية، والتعاون بين القطاعين العام والخاص. يُفصّل كل من هذه العناصر في سياقها النظري وتطبيقاتها العملية لضمان توافق استراتيجيات إدارة التغيير مع الأهداف الاستراتيجية لرؤية 2030</w:t>
      </w:r>
      <w:r w:rsidRPr="007A60FF">
        <w:rPr>
          <w:rFonts w:ascii="Simplified Arabic" w:hAnsi="Simplified Arabic" w:cs="Simplified Arabic"/>
          <w:sz w:val="28"/>
          <w:szCs w:val="28"/>
        </w:rPr>
        <w:t>.</w:t>
      </w:r>
    </w:p>
    <w:p w14:paraId="1CF7A83E" w14:textId="77777777" w:rsidR="00CC628F" w:rsidRDefault="00CC628F" w:rsidP="00CC628F">
      <w:pPr>
        <w:jc w:val="both"/>
        <w:rPr>
          <w:rtl/>
        </w:rPr>
      </w:pPr>
    </w:p>
    <w:p w14:paraId="63FE1342" w14:textId="77777777" w:rsidR="00CC628F" w:rsidRDefault="00CC628F" w:rsidP="00CC628F">
      <w:pPr>
        <w:jc w:val="both"/>
        <w:rPr>
          <w:rtl/>
        </w:rPr>
      </w:pPr>
      <w:r>
        <w:object w:dxaOrig="9436" w:dyaOrig="6241" w14:anchorId="1410DD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95.8pt" o:ole="">
            <v:imagedata r:id="rId7" o:title=""/>
          </v:shape>
          <o:OLEObject Type="Embed" ProgID="Visio.Drawing.15" ShapeID="_x0000_i1025" DrawAspect="Content" ObjectID="_1790521219" r:id="rId8"/>
        </w:object>
      </w:r>
    </w:p>
    <w:p w14:paraId="2535C8C8" w14:textId="77777777" w:rsidR="00CC628F" w:rsidRPr="007A60FF" w:rsidRDefault="00CC628F" w:rsidP="00CC628F">
      <w:pPr>
        <w:pStyle w:val="aa"/>
        <w:jc w:val="center"/>
        <w:rPr>
          <w:rtl/>
        </w:rPr>
      </w:pPr>
      <w:bookmarkStart w:id="41" w:name="_Toc17371140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14:paraId="1B647986" w14:textId="77777777" w:rsidR="00CC628F" w:rsidRPr="00A3643A" w:rsidRDefault="00CC628F" w:rsidP="00CC628F">
      <w:pPr>
        <w:pStyle w:val="a6"/>
        <w:numPr>
          <w:ilvl w:val="0"/>
          <w:numId w:val="3"/>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 xml:space="preserve">إدارة التغيير: نظريات </w:t>
      </w:r>
    </w:p>
    <w:p w14:paraId="7896CD7D"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إدارة التغيير هي مجال دراسي واسع يتناول كيفية قيادة وتوجيه التغيير داخل المؤسسات لتحقيق أهداف محددة. تعتبر نظريات إدارة التغيير أطرًا مفاهيمية تساعد على فهم العمليات والأساليب اللازمة لتطبيق التغيير بفعالية. من أبرز هذه النظريات نظرية "كيرت لوين" والتي تعتمد على نموذج "التذويب-التغيير-إعادة التجميد"، حيث يجب على المؤسسات تهيئة بيئة التغيير أولاً، ثم تنفيذ التغييرات المطلوبة، وأخيرًا تثبيت هذه التغييرات لضمان استمراريتها. تطبيق هذا النموذج في المؤسسات الحكومية السعودية يتطلب فهماً عميقاً للثقافة التنظيمية والتحديات الفريدة التي تواجهها </w:t>
      </w:r>
      <w:sdt>
        <w:sdtPr>
          <w:rPr>
            <w:rFonts w:ascii="Simplified Arabic" w:hAnsi="Simplified Arabic" w:cs="Simplified Arabic"/>
            <w:sz w:val="28"/>
            <w:szCs w:val="28"/>
            <w:rtl/>
          </w:rPr>
          <w:id w:val="829870022"/>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Alh182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Alharbi M.</w:t>
          </w:r>
          <w:r w:rsidRPr="00A3643A">
            <w:rPr>
              <w:rFonts w:ascii="Simplified Arabic" w:hAnsi="Simplified Arabic" w:cs="Simplified Arabic"/>
              <w:noProof/>
              <w:sz w:val="28"/>
              <w:szCs w:val="28"/>
              <w:rtl/>
              <w:lang w:bidi="ar-EG"/>
            </w:rPr>
            <w:t>، 2018)</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4C561D02"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نظرية التغيير التنظيمي</w:t>
      </w:r>
    </w:p>
    <w:p w14:paraId="1EA3C572"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نظرية التغيير التنظيمي تعد أساسية لفهم كيفية تنفيذ التحولات داخل المؤسسات الحكومية. تقدم هذه النظرية إطاراً لدراسة كيفية تغيير الهياكل التنظيمية، والثقافات الإدارية، والسياسات، والعمليات لمواكبة التغيرات البيئية والاقتصادية والاجتماعية. تركز نظرية التغيير التنظيمي على كيفية إدارة الأنظمة التنظيمية للتأقلم مع التحديات وتحقيق الأهداف المستقبلية، مثل تلك المتعلقة برؤية 2030.</w:t>
      </w:r>
    </w:p>
    <w:p w14:paraId="0BDA7997"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نظرية القيادة التحويلية</w:t>
      </w:r>
    </w:p>
    <w:p w14:paraId="57773ACB"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lastRenderedPageBreak/>
        <w:t>نظرية القيادة التحويلية تعنى بالأساليب القيادية التي تهدف إلى تغيير الثقافات والتوجهات داخل المؤسسات نحو تحقيق التحولات الإستراتيجية. تركز هذه النظرية على القادة الذين يمتلكون القدرة على إلهام وتحفيز الموظفين للمشاركة الفعالة في عمليات التغيير وتبني الابتكارات التي تدعم تحقيق الأهداف الاستراتيجية للمؤسسة.</w:t>
      </w:r>
    </w:p>
    <w:p w14:paraId="14176CA5"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نظرية إدارة الجودة الشاملة</w:t>
      </w:r>
    </w:p>
    <w:p w14:paraId="61AFA2D2"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تركز نظرية إدارة الجودة الشاملة على تحسين الأداء التنظيمي من خلال التركيز على رضا العملاء وتحسين العمليات وتعزيز الابتكار وتطوير الموارد البشرية. تعتبر هذه النظرية أداة قيمة في دراسة إدارة التغيير في المؤسسات الحكومية حيث تساعد على تعزيز الفعالية والكفاءة في تحقيق أهداف التحول الوطني </w:t>
      </w:r>
      <w:sdt>
        <w:sdtPr>
          <w:rPr>
            <w:rFonts w:ascii="Simplified Arabic" w:hAnsi="Simplified Arabic" w:cs="Simplified Arabic"/>
            <w:sz w:val="28"/>
            <w:szCs w:val="28"/>
            <w:rtl/>
          </w:rPr>
          <w:id w:val="1873184388"/>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Sha241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Shamlan</w:t>
          </w:r>
          <w:r w:rsidRPr="00A3643A">
            <w:rPr>
              <w:rFonts w:ascii="Simplified Arabic" w:hAnsi="Simplified Arabic" w:cs="Simplified Arabic"/>
              <w:noProof/>
              <w:sz w:val="28"/>
              <w:szCs w:val="28"/>
              <w:rtl/>
              <w:lang w:bidi="ar-EG"/>
            </w:rPr>
            <w:t>، 2024)</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2A064AED"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القيادة التحويلية ودورها في إدارة التغيير</w:t>
      </w:r>
    </w:p>
    <w:p w14:paraId="4E752A82"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تلعب القيادة التحويلية دوراً محورياً في إدارة التغيير، حيث تتميز هذه القيادة بالقدرة على إلهام وتحفيز الموظفين لتحقيق أهداف أعلى من المتوقع. القادة التحويليون يمتلكون رؤية واضحة للمستقبل ويستطيعون نقل هذه الرؤية إلى الموظفين بطرق ملهمة، مما يساعد في تقليل المقاومة للتغيير وزيادة التبني الإيجابي للتغييرات المقترحة. في سياق المؤسسات الحكومية السعودية، يكون دور القيادة التحويلية حاسماً في تحقيق أهداف رؤية 2030، من خلال توجيه وتنسيق الجهود وتحفيز الموظفين على المشاركة الفعالة في عملية التغيير </w:t>
      </w:r>
      <w:sdt>
        <w:sdtPr>
          <w:rPr>
            <w:rFonts w:ascii="Simplified Arabic" w:hAnsi="Simplified Arabic" w:cs="Simplified Arabic"/>
            <w:sz w:val="28"/>
            <w:szCs w:val="28"/>
            <w:rtl/>
          </w:rPr>
          <w:id w:val="-1126617215"/>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Joh19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Johani</w:t>
          </w:r>
          <w:r w:rsidRPr="00A3643A">
            <w:rPr>
              <w:rFonts w:ascii="Simplified Arabic" w:hAnsi="Simplified Arabic" w:cs="Simplified Arabic"/>
              <w:noProof/>
              <w:sz w:val="28"/>
              <w:szCs w:val="28"/>
              <w:rtl/>
              <w:lang w:bidi="ar-EG"/>
            </w:rPr>
            <w:t>، 2019)</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7FEC90D8"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مفهوم القيادة التحويلية</w:t>
      </w:r>
    </w:p>
    <w:p w14:paraId="317DA395"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القيادة التحويلية تعني القدرة على تغيير الثقافات التنظيمية والممارسات الإدارية من خلال الإلهام والرؤية الاستراتيجية. يتميز القائد التحويلي بقدرته على تحفيز الموظفين وتحفيزهم للمشاركة الفعالة في عمليات التغيير، وتبني الابتكارات التي تعزز الأداء التنظيمي وتحقق الأهداف الاستراتيجية للمؤسسة. يقود القائد التحويلي التحولات التنظيمية عبر الفعالية الشخصية، والرؤية المستقبلية، والقدرة على التأثير الإيجابي على الآخرين.</w:t>
      </w:r>
    </w:p>
    <w:p w14:paraId="3BF9615F"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أهمية القيادة التحويلية في إدارة التغيير</w:t>
      </w:r>
    </w:p>
    <w:p w14:paraId="691955F9"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التفاعل الإيجابي للموظفين:</w:t>
      </w:r>
    </w:p>
    <w:p w14:paraId="0C0410D8"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القيادة التحويلية تعزز التفاعل الإيجابي بين الموظفين وتشجعهم على المشاركة الفعالة في عمليات التغيير، حيث يتم تحفيزهم لتقديم أفضل ما لديهم وتبني الأفكار الجديدة والمبتكرة.</w:t>
      </w:r>
    </w:p>
    <w:p w14:paraId="1306EAB7"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الابتكار والتكيفية:</w:t>
      </w:r>
    </w:p>
    <w:p w14:paraId="0B672375"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القيادة التحويلية تعزز القدرة على التكيف مع التحديات الجديدة وتشجع على ابتكار حلول جديدة وفعالة لمواجهة التحديات المستقبلية وتحقيق الأهداف الاستراتيجية.</w:t>
      </w:r>
    </w:p>
    <w:p w14:paraId="0EC80318"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lastRenderedPageBreak/>
        <w:t>تحقيق التغيير المستدام:</w:t>
      </w:r>
    </w:p>
    <w:p w14:paraId="2A2B5D0D"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القيادة التحويلية تساعد في تحقيق التغيير المستدام من خلال تغيير الثقافات التنظيمية وتضمين القيم والمبادئ الجديدة في الهوية التنظيمية، مما يساهم في الاستمرارية والنجاح على المدى الطويل.</w:t>
      </w:r>
    </w:p>
    <w:p w14:paraId="5C9D9170"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تطبيق القيادة التحويلية في سياق الحكومات السعودية</w:t>
      </w:r>
    </w:p>
    <w:p w14:paraId="23E16E19"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في سياق الحكومات السعودية، تلعب القيادة التحويلية دوراً حاسماً في تحقيق التحول الوطني نحو رؤية 2030. تتطلب هذه القيادة تبني استراتيجيات واضحة ورؤى استراتيجية ملهمة، والتي تسهم في تحفيز المؤسسات الحكومية لتبني التغييرات الضرورية لتحقيق الأهداف الوطنية </w:t>
      </w:r>
      <w:sdt>
        <w:sdtPr>
          <w:rPr>
            <w:rFonts w:ascii="Simplified Arabic" w:hAnsi="Simplified Arabic" w:cs="Simplified Arabic"/>
            <w:sz w:val="28"/>
            <w:szCs w:val="28"/>
            <w:rtl/>
          </w:rPr>
          <w:id w:val="-1660071230"/>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Ins22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Insights</w:t>
          </w:r>
          <w:r w:rsidRPr="00A3643A">
            <w:rPr>
              <w:rFonts w:ascii="Simplified Arabic" w:hAnsi="Simplified Arabic" w:cs="Simplified Arabic"/>
              <w:noProof/>
              <w:sz w:val="28"/>
              <w:szCs w:val="28"/>
              <w:rtl/>
              <w:lang w:bidi="ar-EG"/>
            </w:rPr>
            <w:t>، 2022)</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1A498AF4"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الثقافة التنظيمية والتغيير</w:t>
      </w:r>
    </w:p>
    <w:p w14:paraId="12646C43"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الثقافة التنظيمية هي مجموعة القيم والمعتقدات والسلوكيات التي تميز مؤسسة معينة. تلعب الثقافة التنظيمية دورًا كبيرًا في نجاح أو فشل جهود إدارة التغيير. في المؤسسات الحكومية السعودية، يمكن للثقافة التنظيمية أن تشكل تحديًا كبيرًا بسبب التقاليد والهيكليات البيروقراطية المتجذرة. لفهم تأثير الثقافة التنظيمية على إدارة التغيير، يمكن الاستفادة من نموذج "شين" للثقافة التنظيمية الذي يحدد ثلاثة مستويات للثقافة: الثقافة السطحية (الأدوات والتكنولوجيات)، القيم المعلنة (القيم والمبادئ)، والافتراضات الأساسية (المعتقدات غير المدركة). هذه المستويات تتفاعل مع بعضها البعض وتؤثر على قدرة المؤسسة على التغيير </w:t>
      </w:r>
      <w:sdt>
        <w:sdtPr>
          <w:rPr>
            <w:rFonts w:ascii="Simplified Arabic" w:hAnsi="Simplified Arabic" w:cs="Simplified Arabic"/>
            <w:sz w:val="28"/>
            <w:szCs w:val="28"/>
            <w:rtl/>
          </w:rPr>
          <w:id w:val="-1421559587"/>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She24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Shehri</w:t>
          </w:r>
          <w:r w:rsidRPr="00A3643A">
            <w:rPr>
              <w:rFonts w:ascii="Simplified Arabic" w:hAnsi="Simplified Arabic" w:cs="Simplified Arabic"/>
              <w:noProof/>
              <w:sz w:val="28"/>
              <w:szCs w:val="28"/>
              <w:rtl/>
              <w:lang w:bidi="ar-EG"/>
            </w:rPr>
            <w:t>، 2024)</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319A13F7"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مفهوم الثقافة التنظيمية</w:t>
      </w:r>
    </w:p>
    <w:p w14:paraId="7EFCCB76"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الثقافة التنظيمية تمثل القيم والمعتقدات والسلوكيات المشتركة التي تميز المؤسسة عن غيرها، وتؤثر في كيفية تفاعل أفرادها وتكاملهم داخل البيئة العملية. تتكون الثقافة التنظيمية من عدة عناصر مثل القيم الأساسية، والعادات، والتقاليد التي توجه سلوك الأفراد والمجموعات داخل المؤسسة.</w:t>
      </w:r>
    </w:p>
    <w:p w14:paraId="43165AD0"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تأثير الثقافة التنظيمية على إدارة التغيير</w:t>
      </w:r>
    </w:p>
    <w:p w14:paraId="4BA6BB99"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التكيف والمرونة:</w:t>
      </w:r>
    </w:p>
    <w:p w14:paraId="5677B4D9"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الثقافة التنظيمية تحدد مدى تكيف المؤسسة مع التغييرات البيئية الخارجية والداخلية. إذا كانت الثقافة تعزز المرونة والتكيف، فإن المؤسسة ستكون أكثر استعداداً لتبني تغييرات جديدة والتكيف معها بسرعة.</w:t>
      </w:r>
    </w:p>
    <w:p w14:paraId="4961C19F"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الاستجابة للتحديات:</w:t>
      </w:r>
    </w:p>
    <w:p w14:paraId="464DD3F7"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ثقافة التنظيم التي تشجع على الابتكار والتجديد تمكن المؤسسة من التعامل مع التحديات بفعالية وابتكار حلول جديدة، مما يعزز من قدرتها على تحقيق الأهداف الاستراتيجية بمرونة.</w:t>
      </w:r>
    </w:p>
    <w:p w14:paraId="32C99774"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تغيير القيم والمعتقدات:</w:t>
      </w:r>
    </w:p>
    <w:p w14:paraId="7AC4061E"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lastRenderedPageBreak/>
        <w:t>تغيير الثقافة التنظيمية يتطلب تغيير القيم والمعتقدات التي تتبناها المؤسسة، وهذا يمثل تحدياً كبيراً نظراً للمقاومة الطبيعية للتغيير داخل الأنظمة التنظيمية المعتمدة على الثقافة.</w:t>
      </w:r>
    </w:p>
    <w:p w14:paraId="4D2BA9F4"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تطبيق الثقافة التنظيمية في سياق الحكومات السعودية</w:t>
      </w:r>
    </w:p>
    <w:p w14:paraId="1F23D5A0"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في حكومات المملكة العربية السعودية، تعد الثقافة التنظيمية عاملاً حاسماً في تحديد قدرة الوزارات والهيئات الحكومية على تنفيذ استراتيجيات التغيير المتعلقة برؤية 2030. إذا كانت الثقافة تعزز الشفافية، والابتكار، والتعاون، فإنها ستسهم في تعزيز القدرة على الابتكار والتكيف مع المتغيرات الاقتصادية والاجتماعية </w:t>
      </w:r>
      <w:sdt>
        <w:sdtPr>
          <w:rPr>
            <w:rFonts w:ascii="Simplified Arabic" w:hAnsi="Simplified Arabic" w:cs="Simplified Arabic"/>
            <w:sz w:val="28"/>
            <w:szCs w:val="28"/>
            <w:rtl/>
          </w:rPr>
          <w:id w:val="727349174"/>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Alk18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Alkhoraif</w:t>
          </w:r>
          <w:r w:rsidRPr="00A3643A">
            <w:rPr>
              <w:rFonts w:ascii="Simplified Arabic" w:hAnsi="Simplified Arabic" w:cs="Simplified Arabic"/>
              <w:noProof/>
              <w:sz w:val="28"/>
              <w:szCs w:val="28"/>
              <w:rtl/>
              <w:lang w:bidi="ar-EG"/>
            </w:rPr>
            <w:t>، 2018)</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3CC728C0"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التحول الرقمي والابتكار</w:t>
      </w:r>
    </w:p>
    <w:p w14:paraId="3F732E7C"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التحول الرقمي والابتكار هما عنصران أساسيان في تحقيق رؤية 2030. التحول الرقمي يتضمن تبني التكنولوجيا الحديثة لتحسين العمليات والخدمات، بينما يشمل الابتكار تطوير طرق جديدة للعمل وحل المشكلات. في سياق إدارة التغيير، يُعد التحول الرقمي أداة قوية لتحفيز وتحقيق التغيير. يمكن تطبيق نظريات مثل "نظرية الابتكار المتقطع" لكلايتون كريستنسن، والتي تركز على كيفية تبني الابتكارات التكنولوجية بشكل يساهم في التغيير التنظيمي. التحول الرقمي يتطلب ليس فقط التكنولوجيا، بل أيضًا تغيير في العقلية والثقافة التنظيمية لدعم الابتكار </w:t>
      </w:r>
      <w:sdt>
        <w:sdtPr>
          <w:rPr>
            <w:rFonts w:ascii="Simplified Arabic" w:hAnsi="Simplified Arabic" w:cs="Simplified Arabic"/>
            <w:sz w:val="28"/>
            <w:szCs w:val="28"/>
            <w:rtl/>
          </w:rPr>
          <w:id w:val="-1285731627"/>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Ase24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Asem</w:t>
          </w:r>
          <w:r w:rsidRPr="00A3643A">
            <w:rPr>
              <w:rFonts w:ascii="Simplified Arabic" w:hAnsi="Simplified Arabic" w:cs="Simplified Arabic"/>
              <w:noProof/>
              <w:sz w:val="28"/>
              <w:szCs w:val="28"/>
              <w:rtl/>
              <w:lang w:bidi="ar-EG"/>
            </w:rPr>
            <w:t>، 2024)</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40CB11A1"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مفهوم التحول الرقمي والابتكار</w:t>
      </w:r>
    </w:p>
    <w:p w14:paraId="49702B60"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التحول الرقمي:</w:t>
      </w:r>
    </w:p>
    <w:p w14:paraId="6F3CCC34"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التحول الرقمي يشير إلى التحول الشامل في استخدام التكنولوجيا الرقمية داخل المؤسسات، بهدف تعزيز الكفاءة، وتحسين الخدمات، وتسريع عمليات الاتخاذ القرارات. يتضمن التحول الرقمي تبني التكنولوجيا مثل الذكاء الاصطناعي، والحوسبة السحابية، والإنترنت من الأشياء، لتحقيق فوائد اقتصادية واجتماعية.</w:t>
      </w:r>
    </w:p>
    <w:p w14:paraId="0A72C7ED"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الابتكار:</w:t>
      </w:r>
    </w:p>
    <w:p w14:paraId="706C8B43"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الابتكار يعني التفكير بشكل جديد وابتكار حلول جديدة للتحديات القائمة، سواء كانت تكنولوجية أو عملية أو استراتيجية، بهدف تحقيق تحسين مستمر وإحداث تغيير إيجابي داخل المؤسسة.</w:t>
      </w:r>
    </w:p>
    <w:p w14:paraId="0F278413"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تأثير التحول الرقمي والابتكار على إدارة التغيير</w:t>
      </w:r>
    </w:p>
    <w:p w14:paraId="7A0294C1"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الكفاءة والفعالية:</w:t>
      </w:r>
    </w:p>
    <w:p w14:paraId="5011B7BC"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بفضل التحول الرقمي، تتمكن المؤسسات من تحسين الكفاءة والفعالية في تقديم الخدمات، وتبسيط العمليات الإدارية، مما يسهم في تحقيق أهداف التحول الوطني بشكل أكثر فعالية وسرعة.</w:t>
      </w:r>
    </w:p>
    <w:p w14:paraId="52C27872"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تحفيز الابتكار والإبداع:</w:t>
      </w:r>
    </w:p>
    <w:p w14:paraId="09937C64"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lastRenderedPageBreak/>
        <w:t>الابتكار يساهم في تحفيز الفرق العاملة على اقتراح حلول جديدة ومبتكرة للتحديات المستقبلية، مما يعزز من قدرة المؤسسات على التكيف مع التغيرات السريعة في البيئة الخارجية.</w:t>
      </w:r>
    </w:p>
    <w:p w14:paraId="7A17CD09"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التحول نحو الحكومة الرقمية:</w:t>
      </w:r>
    </w:p>
    <w:p w14:paraId="7E21C1C2"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التحول الرقمي يسهم في تحقيق الحكومة الرقمية التي توفر الخدمات بشكل أكثر فعالية وشمولية للمواطنين، وتعزز من مشاركتهم في عمليات اتخاذ القرارات العامة.</w:t>
      </w:r>
    </w:p>
    <w:p w14:paraId="70133A77"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تطبيق التحول الرقمي والابتكار في سياق الحكومات السعودية</w:t>
      </w:r>
    </w:p>
    <w:p w14:paraId="2CB6E556"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تطبيق التحول الرقمي والابتكار يعد أحد أساسيات رؤية 2030 في المملكة العربية السعودية، حيث تسعى الحكومة إلى تعزيز البنية التحتية الرقمية وتحفيز القطاع الخاص على المشاركة في هذا التحول. يعد الابتكار في التقنيات الرقمية محوراً رئيسياً لتعزيز التنمية المستدامة وتحقيق التحول الاقتصادي </w:t>
      </w:r>
      <w:sdt>
        <w:sdtPr>
          <w:rPr>
            <w:rFonts w:ascii="Simplified Arabic" w:hAnsi="Simplified Arabic" w:cs="Simplified Arabic"/>
            <w:sz w:val="28"/>
            <w:szCs w:val="28"/>
            <w:rtl/>
          </w:rPr>
          <w:id w:val="1106849501"/>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Aln242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Alnasser</w:t>
          </w:r>
          <w:r w:rsidRPr="00A3643A">
            <w:rPr>
              <w:rFonts w:ascii="Simplified Arabic" w:hAnsi="Simplified Arabic" w:cs="Simplified Arabic"/>
              <w:noProof/>
              <w:sz w:val="28"/>
              <w:szCs w:val="28"/>
              <w:rtl/>
              <w:lang w:bidi="ar-EG"/>
            </w:rPr>
            <w:t>، 2024)</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 xml:space="preserve">. </w:t>
      </w:r>
    </w:p>
    <w:p w14:paraId="7F88E2B0"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المشاركة والتمكين</w:t>
      </w:r>
    </w:p>
    <w:p w14:paraId="416D80F5"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تلعب المشاركة والتمكين دورًا حيويًا في نجاح إدارة التغيير. عندما يُشرك الموظفون في عملية التغيير ويشعرون بأنهم جزء منها، يكونون أكثر استعدادًا لدعم التغييرات وتبنيها. نظرية "مشاركة الموظفين" تؤكد على أهمية إشراك جميع مستويات المؤسسة في عملية التغيير، من خلال توفير الفرص للمشاركة في اتخاذ القرارات وتقديم الأفكار. التمكين يتيح للموظفين الشعور بالملكية والقدرة على التأثير، مما يعزز من التزامهم واندماجهم في جهود التغيير</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72821750"/>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Bah24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3138E7">
            <w:rPr>
              <w:rFonts w:ascii="Simplified Arabic" w:hAnsi="Simplified Arabic" w:cs="Simplified Arabic" w:hint="cs"/>
              <w:noProof/>
              <w:sz w:val="28"/>
              <w:szCs w:val="28"/>
              <w:rtl/>
              <w:lang w:bidi="ar-EG"/>
            </w:rPr>
            <w:t>(</w:t>
          </w:r>
          <w:r w:rsidRPr="003138E7">
            <w:rPr>
              <w:rFonts w:ascii="Simplified Arabic" w:hAnsi="Simplified Arabic" w:cs="Simplified Arabic" w:hint="cs"/>
              <w:noProof/>
              <w:sz w:val="28"/>
              <w:szCs w:val="28"/>
              <w:lang w:bidi="ar-EG"/>
            </w:rPr>
            <w:t>Bah</w:t>
          </w:r>
          <w:r w:rsidRPr="003138E7">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20F91D22"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مفهوم المشاركة والتمكين</w:t>
      </w:r>
    </w:p>
    <w:p w14:paraId="0FDF6AEF"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المشاركة:</w:t>
      </w:r>
    </w:p>
    <w:p w14:paraId="0916148A"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المشاركة تعني إشراك الأفراد والمجتمعات المحلية في عمليات اتخاذ القرارات وتنفيذ السياسات والبرامج التنموية. تُعد المشاركة ضرورية لتعزيز الشفافية والشمولية في عمليات الحكم، ولتعزيز الشراكة بين الحكومة والمواطنين.</w:t>
      </w:r>
    </w:p>
    <w:p w14:paraId="2F1EB113"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التمكين:</w:t>
      </w:r>
    </w:p>
    <w:p w14:paraId="477BEF8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التمكين يشير إلى منح الأفراد والمجتمعات القدرة والموارد اللازمة لاتخاذ القرارات والمشاركة بشكل فعال في العمليات الاجتماعية والاقتصادية والسياسية. يعتبر التمكين عنصراً أساسياً لتحقيق التنمية المستدامة والمشاركة المجتمعية الفعالة.</w:t>
      </w:r>
    </w:p>
    <w:p w14:paraId="78A209A0" w14:textId="77777777" w:rsidR="00CC628F" w:rsidRPr="00A3643A" w:rsidRDefault="00CC628F" w:rsidP="00CC628F">
      <w:pPr>
        <w:pStyle w:val="a6"/>
        <w:numPr>
          <w:ilvl w:val="0"/>
          <w:numId w:val="12"/>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تأثير المشاركة والتمكين على إدارة التغيير</w:t>
      </w:r>
    </w:p>
    <w:p w14:paraId="7B5846AB"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الشفافية والمساءلة:</w:t>
      </w:r>
    </w:p>
    <w:p w14:paraId="049BFE98"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المشاركة المجتمعية والتمكين تعززان الشفافية داخل المؤسسات الحكومية، مما يسهم في تعزيز مستوى المساءلة والمشاركة الفعالة في عمليات التغيير والتنمية.</w:t>
      </w:r>
    </w:p>
    <w:p w14:paraId="6F82B30E"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lastRenderedPageBreak/>
        <w:t>تعزيز الشراكة والتعاون:</w:t>
      </w:r>
    </w:p>
    <w:p w14:paraId="041C15E1"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المشاركة والتمكين يسهمان في تعزيز الشراكة بين الحكومة والمواطنين والقطاع الخاص، مما يعزز من قدرة المؤسسات على التكيف مع التحديات وتنفيذ السياسات بشكل أكثر فعالية.</w:t>
      </w:r>
    </w:p>
    <w:p w14:paraId="447FFA88"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الابتكار والإبداع:</w:t>
      </w:r>
    </w:p>
    <w:p w14:paraId="7CBB0A2B"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المشاركة والتمكين يساهمان في تحفيز الابتكار والإبداع داخل المؤسسات، حيث يتم تعزيز قدرة الفرق العاملة على اقتراح حلول جديدة ومبتكرة للتحديات المعقدة.</w:t>
      </w:r>
    </w:p>
    <w:p w14:paraId="2E8220DD" w14:textId="77777777" w:rsidR="00CC628F" w:rsidRPr="00A3643A" w:rsidRDefault="00CC628F" w:rsidP="00CC628F">
      <w:pPr>
        <w:pStyle w:val="a6"/>
        <w:numPr>
          <w:ilvl w:val="0"/>
          <w:numId w:val="13"/>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تطبيق المشاركة والتمكين في سياق الحكومات السعودية</w:t>
      </w:r>
    </w:p>
    <w:p w14:paraId="513380E5"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تطبيق المشاركة والتمكين يعد أساسياً في سياق رؤية 2030 في المملكة العربية السعودية، حيث تسعى الحكومة إلى تعزيز دور المواطنين والمجتمعات المحلية في صنع القرارات وتنفيذ السياسات العامة. تعتبر استراتيجيات إدارة التغيير التي تأخذ بعين الاعتبار المشاركة والتمكين أدوات رئيسية لتحقيق الأهداف الوطنية وتعزيز الاستدامة.</w:t>
      </w:r>
    </w:p>
    <w:p w14:paraId="3FE4BD63"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مقاومة التغيير: الأسباب والاستراتيجيات</w:t>
      </w:r>
    </w:p>
    <w:p w14:paraId="454263E5" w14:textId="18452502"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مقاومة التغيير هي رد فعل طبيعي يمكن أن يظهر عند محاولة تطبيق تغييرات كبيرة في المؤسسة. أسباب المقاومة يمكن أن تكون متعددة، منها الخوف من المجهول، فقدان الاستقرار، ونقص الثقة في القيادة. لمعالجة هذه المقاومة، يمكن تطبيق استراتيجيات متعددة، مثل "نظرية التغيير المخطط" </w:t>
      </w:r>
      <w:r w:rsidRPr="00A3643A">
        <w:rPr>
          <w:rFonts w:ascii="Simplified Arabic" w:hAnsi="Simplified Arabic" w:cs="Simplified Arabic" w:hint="cs"/>
          <w:sz w:val="28"/>
          <w:szCs w:val="28"/>
          <w:rtl/>
        </w:rPr>
        <w:t xml:space="preserve">لـ </w:t>
      </w:r>
      <w:r w:rsidRPr="00A3643A">
        <w:rPr>
          <w:rFonts w:ascii="Simplified Arabic" w:hAnsi="Simplified Arabic" w:cs="Simplified Arabic" w:hint="eastAsia"/>
          <w:sz w:val="28"/>
          <w:szCs w:val="28"/>
          <w:rtl/>
        </w:rPr>
        <w:t>“</w:t>
      </w:r>
      <w:r w:rsidRPr="00A3643A">
        <w:rPr>
          <w:rFonts w:ascii="Simplified Arabic" w:hAnsi="Simplified Arabic" w:cs="Simplified Arabic"/>
          <w:sz w:val="28"/>
          <w:szCs w:val="28"/>
          <w:rtl/>
        </w:rPr>
        <w:t xml:space="preserve">كيرت لوين" ونموذج "كوتر" لإدارة التغيير، الذي يتكون من ثماني خطوات تشمل خلق الإلحاح، بناء فريق قوي، وضع رؤية واضحة، والتواصل الفعال. في المؤسسات الحكومية السعودية، يمكن أن تكون المقاومة أكثر تعقيداً بسبب الهيكليات التقليدية، مما يتطلب استراتيجيات خاصة ومخصصة للتعامل معها </w:t>
      </w:r>
      <w:sdt>
        <w:sdtPr>
          <w:rPr>
            <w:rFonts w:ascii="Simplified Arabic" w:hAnsi="Simplified Arabic" w:cs="Simplified Arabic"/>
            <w:sz w:val="28"/>
            <w:szCs w:val="28"/>
            <w:rtl/>
          </w:rPr>
          <w:id w:val="146176601"/>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Gkr23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Gkrimpizi</w:t>
          </w:r>
          <w:r w:rsidRPr="00A3643A">
            <w:rPr>
              <w:rFonts w:ascii="Simplified Arabic" w:hAnsi="Simplified Arabic" w:cs="Simplified Arabic"/>
              <w:noProof/>
              <w:sz w:val="28"/>
              <w:szCs w:val="28"/>
              <w:rtl/>
              <w:lang w:bidi="ar-EG"/>
            </w:rPr>
            <w:t>، 2023)</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1EFF155F" w14:textId="77777777" w:rsidR="00CC628F" w:rsidRPr="00A3643A" w:rsidRDefault="00CC628F" w:rsidP="00CC628F">
      <w:pPr>
        <w:pStyle w:val="a6"/>
        <w:numPr>
          <w:ilvl w:val="0"/>
          <w:numId w:val="13"/>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مفهوم مقاومة التغيير</w:t>
      </w:r>
    </w:p>
    <w:p w14:paraId="3AE3946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مقاومة التغيير تعني الرفض أو الاستجابة السلبية التي يظهرها أفراد المؤسسة تجاه التغييرات المقترحة أو المناخ التنظيمي الجديد. قد تتجلى هذه المقاومة في شكل تحفظات شخصية أو جماعية تجاه التغيير، وقد تكون بسبب عدم فهم الأهداف المحتملة للتغيير أو الخوف من الفقدان المحتمل للوظائف أو السلطة.</w:t>
      </w:r>
    </w:p>
    <w:p w14:paraId="47C245A2" w14:textId="77777777" w:rsidR="00CC628F" w:rsidRPr="00A3643A" w:rsidRDefault="00CC628F" w:rsidP="00CC628F">
      <w:pPr>
        <w:pStyle w:val="a6"/>
        <w:numPr>
          <w:ilvl w:val="0"/>
          <w:numId w:val="13"/>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أسباب مقاومة التغيير</w:t>
      </w:r>
    </w:p>
    <w:p w14:paraId="02F6337E"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عدم الوعي والفهم:</w:t>
      </w:r>
    </w:p>
    <w:p w14:paraId="3A2221D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قد يكون عدم الفهم الكافي لأهداف التغيير أو فوائدها الناتجة من العوامل الرئيسية وراء مقاومة التغيير. يجب على القادة التواصل بشكل فعال لتوضيح الفوائد المتوقعة وضرورة التغيير.</w:t>
      </w:r>
    </w:p>
    <w:p w14:paraId="4A7A2B39"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الخوف من التغيير:</w:t>
      </w:r>
    </w:p>
    <w:p w14:paraId="4BD917ED"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lastRenderedPageBreak/>
        <w:t>يمكن أن يشمل الخوف من التغيير مخاوف من فقدان الوظائف، أو التأثير السلبي على المكانة الاجتماعية أو المهنية للأفراد داخل المؤسسة. تحتاج استراتيجيات إدارة التغيير إلى معالجة هذه المخاوف بشكل دقيق ومن خلال حوار مستمر مع الموظفين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89758331"/>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Res201 \l 3073 </w:instrText>
          </w:r>
          <w:r>
            <w:rPr>
              <w:rFonts w:ascii="Simplified Arabic" w:hAnsi="Simplified Arabic" w:cs="Simplified Arabic"/>
              <w:sz w:val="28"/>
              <w:szCs w:val="28"/>
              <w:rtl/>
            </w:rPr>
            <w:fldChar w:fldCharType="separate"/>
          </w:r>
          <w:r w:rsidRPr="003138E7">
            <w:rPr>
              <w:rFonts w:ascii="Simplified Arabic" w:hAnsi="Simplified Arabic" w:cs="Simplified Arabic" w:hint="cs"/>
              <w:noProof/>
              <w:sz w:val="28"/>
              <w:szCs w:val="28"/>
              <w:rtl/>
            </w:rPr>
            <w:t>(</w:t>
          </w:r>
          <w:r w:rsidRPr="003138E7">
            <w:rPr>
              <w:rFonts w:ascii="Simplified Arabic" w:hAnsi="Simplified Arabic" w:cs="Simplified Arabic" w:hint="cs"/>
              <w:noProof/>
              <w:sz w:val="28"/>
              <w:szCs w:val="28"/>
            </w:rPr>
            <w:t>Damawan</w:t>
          </w:r>
          <w:r w:rsidRPr="003138E7">
            <w:rPr>
              <w:rFonts w:ascii="Simplified Arabic" w:hAnsi="Simplified Arabic" w:cs="Simplified Arabic" w:hint="cs"/>
              <w:noProof/>
              <w:sz w:val="28"/>
              <w:szCs w:val="28"/>
              <w:rtl/>
            </w:rPr>
            <w:t>، 2020)</w:t>
          </w:r>
          <w:r>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6277C05A"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عدم الاستعداد:</w:t>
      </w:r>
    </w:p>
    <w:p w14:paraId="271B340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قد يكون العمل بأساليب ومناهج تقليدية أو تقليدية في إدارة التغيير قد يؤدي إلى عدم الاستعداد الكافي لتبني التغييرات الجديدة. يتطلب ذلك توفير التدريب والتعليم المستمر لتجهيز الفرق العاملة بالمهارات اللازمة للتكيف مع التغيير.</w:t>
      </w:r>
    </w:p>
    <w:p w14:paraId="59A8E47C" w14:textId="77777777" w:rsidR="00CC628F" w:rsidRPr="00A3643A" w:rsidRDefault="00CC628F" w:rsidP="00CC628F">
      <w:pPr>
        <w:pStyle w:val="a6"/>
        <w:numPr>
          <w:ilvl w:val="0"/>
          <w:numId w:val="13"/>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استراتيجيات إدارة مقاومة التغيير</w:t>
      </w:r>
    </w:p>
    <w:p w14:paraId="3F525C5D"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توعية وتعليم العاملين:</w:t>
      </w:r>
    </w:p>
    <w:p w14:paraId="55AE242A"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يجب على القادة توفير فرص التوعية والتعليم المستمر للموظفين حول أهمية وفوائد التغيير، وكيفية التأقلم معه بشكل فعال.</w:t>
      </w:r>
    </w:p>
    <w:p w14:paraId="14AE4AEF"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المشاركة والاستشارة:</w:t>
      </w:r>
    </w:p>
    <w:p w14:paraId="7D7D66F9"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يساعد إشراك الموظفين في عمليات اتخاذ القرارات المتعلقة بالتغيير على تقليل مقاومتهم، حيث يشعرون بأن أصواتهم مسموعة وتؤخذ في الاعتبار.</w:t>
      </w:r>
    </w:p>
    <w:p w14:paraId="4EE4487B"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تحفيز الابتكار:</w:t>
      </w:r>
    </w:p>
    <w:p w14:paraId="26BD716C"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تشجيع الابتكار والمبادرة بالمشاركة في تطوير حلول جديدة وإيجاد طرق جديدة لتحقيق أهداف التغيير يمكن أن يساعد في تقبل الموظفين للتغيير.</w:t>
      </w:r>
    </w:p>
    <w:p w14:paraId="4CB514CD"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السياسات والإجراءات الحكومية الداعمة</w:t>
      </w:r>
    </w:p>
    <w:p w14:paraId="59EBCAC5"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تعتبر السياسات والإجراءات الحكومية الداعمة من العوامل الأساسية لنجاح إدارة التغيير في المؤسسات الحكومية. توفر هذه السياسات إطارًا قانونيًا وتنظيميًا يدعم جهود التغيير، ويضمن الالتزام بالأهداف الاستراتيجية لرؤية 2030. يمكن استخدام "نموذج السياسات العامة" لفهم كيفية صياغة وتنفيذ السياسات الفعالة التي تدعم التغيير. السياسات الواضحة والتوجيهات الصارمة تسهم في توفير بيئة منظمة ومستقرة لتطبيق التغييرات، مع مراعاة التحديات التنظيمية والاقتصادية والاجتماعية </w:t>
      </w:r>
      <w:sdt>
        <w:sdtPr>
          <w:rPr>
            <w:rFonts w:ascii="Simplified Arabic" w:hAnsi="Simplified Arabic" w:cs="Simplified Arabic"/>
            <w:sz w:val="28"/>
            <w:szCs w:val="28"/>
            <w:rtl/>
          </w:rPr>
          <w:id w:val="430248746"/>
          <w:citation/>
        </w:sdtPr>
        <w:sdtEndPr/>
        <w:sdtContent>
          <w:r w:rsidRPr="00A3643A">
            <w:rPr>
              <w:rFonts w:ascii="Simplified Arabic" w:hAnsi="Simplified Arabic" w:cs="Simplified Arabic"/>
              <w:sz w:val="28"/>
              <w:szCs w:val="28"/>
              <w:rtl/>
            </w:rPr>
            <w:fldChar w:fldCharType="begin"/>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CITATION</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lang w:bidi="ar-EG"/>
            </w:rPr>
            <w:instrText>Ale211 \l 3073</w:instrText>
          </w:r>
          <w:r w:rsidRPr="00A3643A">
            <w:rPr>
              <w:rFonts w:ascii="Simplified Arabic" w:hAnsi="Simplified Arabic" w:cs="Simplified Arabic"/>
              <w:sz w:val="28"/>
              <w:szCs w:val="28"/>
              <w:rtl/>
              <w:lang w:bidi="ar-EG"/>
            </w:rPr>
            <w:instrText xml:space="preserve"> </w:instrText>
          </w:r>
          <w:r w:rsidRPr="00A3643A">
            <w:rPr>
              <w:rFonts w:ascii="Simplified Arabic" w:hAnsi="Simplified Arabic" w:cs="Simplified Arabic"/>
              <w:sz w:val="28"/>
              <w:szCs w:val="28"/>
              <w:rtl/>
            </w:rPr>
            <w:fldChar w:fldCharType="separate"/>
          </w:r>
          <w:r w:rsidRPr="00A3643A">
            <w:rPr>
              <w:rFonts w:ascii="Simplified Arabic" w:hAnsi="Simplified Arabic" w:cs="Simplified Arabic"/>
              <w:noProof/>
              <w:sz w:val="28"/>
              <w:szCs w:val="28"/>
              <w:rtl/>
              <w:lang w:bidi="ar-EG"/>
            </w:rPr>
            <w:t>(</w:t>
          </w:r>
          <w:r w:rsidRPr="00A3643A">
            <w:rPr>
              <w:rFonts w:ascii="Simplified Arabic" w:hAnsi="Simplified Arabic" w:cs="Simplified Arabic"/>
              <w:noProof/>
              <w:sz w:val="28"/>
              <w:szCs w:val="28"/>
              <w:lang w:bidi="ar-EG"/>
            </w:rPr>
            <w:t>Alenezi</w:t>
          </w:r>
          <w:r w:rsidRPr="00A3643A">
            <w:rPr>
              <w:rFonts w:ascii="Simplified Arabic" w:hAnsi="Simplified Arabic" w:cs="Simplified Arabic"/>
              <w:noProof/>
              <w:sz w:val="28"/>
              <w:szCs w:val="28"/>
              <w:rtl/>
              <w:lang w:bidi="ar-EG"/>
            </w:rPr>
            <w:t>، 2021)</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45CEE0A7" w14:textId="77777777" w:rsidR="00CC628F" w:rsidRPr="00A3643A" w:rsidRDefault="00CC628F" w:rsidP="00CC628F">
      <w:pPr>
        <w:pStyle w:val="a6"/>
        <w:numPr>
          <w:ilvl w:val="0"/>
          <w:numId w:val="14"/>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أهمية السياسات والإجراءات الحكومية الداعمة</w:t>
      </w:r>
    </w:p>
    <w:p w14:paraId="2C8D2E87"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دعم الرؤية الاستراتيجية للدولة</w:t>
      </w:r>
    </w:p>
    <w:p w14:paraId="3F3EABF0"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lastRenderedPageBreak/>
        <w:t>السياسات والإجراءات الحكومية الداعمة تلعب دوراً حاسماً في توجيه وتحفيز المؤسسات الحكومية نحو تحقيق أهداف رؤية 2030. تشمل هذه السياسات استراتيجيات واضحة ومنظومة قوانين وأنظمة تدعم التحول وتعزز الالتزام بأهداف التحول الوطني، مما يخلق بيئة مناسبة لتنفيذ الإصلاحات والتغييرات اللازمة.</w:t>
      </w:r>
    </w:p>
    <w:p w14:paraId="6256E72F"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الشراكات والتعاون بين القطاعين العام والخاص</w:t>
      </w:r>
    </w:p>
    <w:p w14:paraId="3AEFDD7A"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تُعد السياسات الحكومية التي تشجع على الشراكات بين القطاعين العام والخاص جزءًا أساسيًا من دعم استراتيجيات إدارة التغيير. تعزز هذه الشراكات التبادل المعرفي والتقني والموارد اللازمة لتحقيق الابتكار والكفاءة في تنفيذ المشاريع الإستراتيجية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15587189"/>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Aja24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3138E7">
            <w:rPr>
              <w:rFonts w:ascii="Simplified Arabic" w:hAnsi="Simplified Arabic" w:cs="Simplified Arabic" w:hint="cs"/>
              <w:noProof/>
              <w:sz w:val="28"/>
              <w:szCs w:val="28"/>
              <w:rtl/>
              <w:lang w:bidi="ar-EG"/>
            </w:rPr>
            <w:t>(</w:t>
          </w:r>
          <w:r w:rsidRPr="003138E7">
            <w:rPr>
              <w:rFonts w:ascii="Simplified Arabic" w:hAnsi="Simplified Arabic" w:cs="Simplified Arabic" w:hint="cs"/>
              <w:noProof/>
              <w:sz w:val="28"/>
              <w:szCs w:val="28"/>
              <w:lang w:bidi="ar-EG"/>
            </w:rPr>
            <w:t>Ajayi-Nifise</w:t>
          </w:r>
          <w:r w:rsidRPr="003138E7">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1F105E46"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الشفافية والمساءلة</w:t>
      </w:r>
    </w:p>
    <w:p w14:paraId="51FD6BC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السياسات والإجراءات الحكومية الداعمة يجب أن تضمن شفافية العمليات والمساءلة، مما يعزز الثقة بين المواطنين والمؤسسات. تلعب الشفافية دوراً كبيراً في تحقيق النجاح المستدام للتحول الوطني عبر توفير بيئة ملائمة للابتكار والنمو الاقتصادي.</w:t>
      </w:r>
    </w:p>
    <w:p w14:paraId="021DCFE0" w14:textId="77777777" w:rsidR="00CC628F" w:rsidRPr="00A3643A" w:rsidRDefault="00CC628F" w:rsidP="00CC628F">
      <w:pPr>
        <w:pStyle w:val="a6"/>
        <w:numPr>
          <w:ilvl w:val="0"/>
          <w:numId w:val="14"/>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الفوائد المتوقعة من السياسات والإجراءات الحكومية الداعمة</w:t>
      </w:r>
    </w:p>
    <w:p w14:paraId="4CBC7886"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تحفيز الاستثمارات الاستراتيجية</w:t>
      </w:r>
    </w:p>
    <w:p w14:paraId="756896B4"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توفر السياسات الحكومية الداعمة بيئة مستقرة وملائمة للاستثمارات الاستراتيجية، مما يجذب الاستثمارات المحلية والدولية التي تعزز التنمية المستدامة وتعزز قدرة المؤسسات على تحقيق التغييرات المطلوبة.</w:t>
      </w:r>
    </w:p>
    <w:p w14:paraId="486A690F"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الابتكار والبحث والتطوير</w:t>
      </w:r>
    </w:p>
    <w:p w14:paraId="354D2D0E"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تدعم السياسات الحكومية الابتكار والبحث والتطوير، مما يسهم في تطوير حلول جديدة وفعالة للتحديات التي تواجه المؤسسات الحكومية في سبيل تحقيق أهداف رؤية 2030.</w:t>
      </w:r>
    </w:p>
    <w:p w14:paraId="6CC64C4C"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القدرات الإدارية والتنفيذية</w:t>
      </w:r>
    </w:p>
    <w:p w14:paraId="0E69F420"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تدعم السياسات الحكومية الداعمة تطوير القدرات الإدارية والتنفيذية داخل المؤسسات الحكومية، مما يعزز القدرة على إدارة التغييرات بشكل فعال وفعّال.</w:t>
      </w:r>
    </w:p>
    <w:p w14:paraId="11C7347D" w14:textId="77777777" w:rsidR="00CC628F" w:rsidRPr="00A3643A" w:rsidRDefault="00CC628F" w:rsidP="00CC628F">
      <w:pPr>
        <w:pStyle w:val="a6"/>
        <w:numPr>
          <w:ilvl w:val="0"/>
          <w:numId w:val="11"/>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التعاون بين القطاعين العام والخاص</w:t>
      </w:r>
    </w:p>
    <w:p w14:paraId="2235501E"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 xml:space="preserve">التعاون بين القطاعين العام والخاص يمثل أداة فعالة لتعزيز إدارة التغيير في المؤسسات الحكومية. هذا التعاون يمكن أن يوفر موارد إضافية، ونقل المعرفة، ودعم الابتكار. نموذج "الشراكات بين القطاعين" يوفر إطارًا لفهم كيف يمكن تحقيق التعاون المثمر بين القطاعين لتحقيق أهداف التغيير. في السياق السعودي، يمكن للشراكات الناجحة أن تسهم في تحقيق أهداف رؤية 2030 بشكل أسرع وأكثر فعالية، من خلال دمج الخبرات والموارد من كلا الجانبين </w:t>
      </w:r>
      <w:sdt>
        <w:sdtPr>
          <w:rPr>
            <w:rFonts w:ascii="Simplified Arabic" w:hAnsi="Simplified Arabic" w:cs="Simplified Arabic"/>
            <w:sz w:val="28"/>
            <w:szCs w:val="28"/>
            <w:rtl/>
          </w:rPr>
          <w:id w:val="-1031329295"/>
          <w:citation/>
        </w:sdtPr>
        <w:sdtEndPr/>
        <w:sdtContent>
          <w:r w:rsidRPr="00A3643A">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Naj \l 3073 </w:instrText>
          </w:r>
          <w:r w:rsidRPr="00A3643A">
            <w:rPr>
              <w:rFonts w:ascii="Simplified Arabic" w:hAnsi="Simplified Arabic" w:cs="Simplified Arabic"/>
              <w:sz w:val="28"/>
              <w:szCs w:val="28"/>
              <w:rtl/>
            </w:rPr>
            <w:fldChar w:fldCharType="separate"/>
          </w:r>
          <w:r w:rsidRPr="003138E7">
            <w:rPr>
              <w:rFonts w:ascii="Simplified Arabic" w:hAnsi="Simplified Arabic" w:cs="Simplified Arabic" w:hint="cs"/>
              <w:noProof/>
              <w:sz w:val="28"/>
              <w:szCs w:val="28"/>
              <w:rtl/>
            </w:rPr>
            <w:t>(</w:t>
          </w:r>
          <w:r w:rsidRPr="003138E7">
            <w:rPr>
              <w:rFonts w:ascii="Simplified Arabic" w:hAnsi="Simplified Arabic" w:cs="Simplified Arabic" w:hint="cs"/>
              <w:noProof/>
              <w:sz w:val="28"/>
              <w:szCs w:val="28"/>
            </w:rPr>
            <w:t>Najjar</w:t>
          </w:r>
          <w:r w:rsidRPr="003138E7">
            <w:rPr>
              <w:rFonts w:ascii="Simplified Arabic" w:hAnsi="Simplified Arabic" w:cs="Simplified Arabic" w:hint="cs"/>
              <w:noProof/>
              <w:sz w:val="28"/>
              <w:szCs w:val="28"/>
              <w:rtl/>
            </w:rPr>
            <w:t>، 2022)</w:t>
          </w:r>
          <w:r w:rsidRPr="00A3643A">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724F44EB" w14:textId="77777777" w:rsidR="00CC628F" w:rsidRPr="00A3643A" w:rsidRDefault="00CC628F" w:rsidP="00CC628F">
      <w:pPr>
        <w:pStyle w:val="a6"/>
        <w:numPr>
          <w:ilvl w:val="0"/>
          <w:numId w:val="15"/>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lastRenderedPageBreak/>
        <w:t>أهمية التعاون بين القطاعين العام والخاص</w:t>
      </w:r>
    </w:p>
    <w:p w14:paraId="6613EA26"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الكفاءة والفعالية</w:t>
      </w:r>
    </w:p>
    <w:p w14:paraId="250A9A89"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التعاون بين القطاعين العام والخاص يسهم في تعزيز الكفاءة والفعالية في تنفيذ المشاريع الاستراتيجية والتحولات الحكومية. يتيح هذا التعاون استفادة المؤسسات الحكومية من الخبرات والموارد الفنية والتقنية المتاحة في القطاع الخاص، مما يساعد في تحقيق الأهداف بأقل تكلفة وفي أقصر وقت ممكن.</w:t>
      </w:r>
    </w:p>
    <w:p w14:paraId="22D72E5F"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تعزيز الابتكار وتطوير الحلول الجديدة</w:t>
      </w:r>
    </w:p>
    <w:p w14:paraId="341AB99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القطاع الخاص غالباً ما يكون مركزاً للابتكار وتطوير الحلول الجديدة، والتعاون معه يمكن أن يفتح أفاقاً جديدة لتطوير الخدمات والمنتجات التي تلبي احتياجات المجتمع وتدعم أهداف التحول الوطني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74750434"/>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Gcu23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3138E7">
            <w:rPr>
              <w:rFonts w:ascii="Simplified Arabic" w:hAnsi="Simplified Arabic" w:cs="Simplified Arabic" w:hint="cs"/>
              <w:noProof/>
              <w:sz w:val="28"/>
              <w:szCs w:val="28"/>
              <w:rtl/>
              <w:lang w:bidi="ar-EG"/>
            </w:rPr>
            <w:t>(</w:t>
          </w:r>
          <w:r w:rsidRPr="003138E7">
            <w:rPr>
              <w:rFonts w:ascii="Simplified Arabic" w:hAnsi="Simplified Arabic" w:cs="Simplified Arabic" w:hint="cs"/>
              <w:noProof/>
              <w:sz w:val="28"/>
              <w:szCs w:val="28"/>
              <w:lang w:bidi="ar-EG"/>
            </w:rPr>
            <w:t>Gcume</w:t>
          </w:r>
          <w:r w:rsidRPr="003138E7">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A3643A">
        <w:rPr>
          <w:rFonts w:ascii="Simplified Arabic" w:hAnsi="Simplified Arabic" w:cs="Simplified Arabic"/>
          <w:sz w:val="28"/>
          <w:szCs w:val="28"/>
          <w:rtl/>
        </w:rPr>
        <w:t>.</w:t>
      </w:r>
    </w:p>
    <w:p w14:paraId="004FCAB4"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دعم التنمية المستدامة والنمو الاقتصادي</w:t>
      </w:r>
    </w:p>
    <w:p w14:paraId="102008E0"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التعاون بين القطاعين العام والخاص يسهم في دعم التنمية المستدامة والنمو الاقتصادي من خلال تعزيز الاستثمارات في المشاريع الاستراتيجية، وتحفيز الابتكار، وتطوير البنية التحتية، مما يعزز الاقتصاد الوطني ويخلق فرص عمل جديدة.</w:t>
      </w:r>
    </w:p>
    <w:p w14:paraId="380136AB" w14:textId="77777777" w:rsidR="00CC628F" w:rsidRPr="00A3643A" w:rsidRDefault="00CC628F" w:rsidP="00CC628F">
      <w:pPr>
        <w:pStyle w:val="a6"/>
        <w:numPr>
          <w:ilvl w:val="0"/>
          <w:numId w:val="15"/>
        </w:num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مبادئ وأساليب التعاون بين القطاعين العام والخاص</w:t>
      </w:r>
    </w:p>
    <w:p w14:paraId="219B164C"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إطار التشريعات والسياسات الحكومية</w:t>
      </w:r>
    </w:p>
    <w:p w14:paraId="55B314EF"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تعزز السياسات الحكومية والإطارات التشريعية التي تدعم التعاون بين القطاعين العام والخاص، وتوفر الثقة والشفافية اللازمة للشركات الخاصة للمشاركة في المشاريع الحكومية بثقة.</w:t>
      </w:r>
    </w:p>
    <w:p w14:paraId="5236FEEC"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الشراكات الاستراتيجية والاستثمارات المشتركة</w:t>
      </w:r>
    </w:p>
    <w:p w14:paraId="22DE855E" w14:textId="77777777" w:rsidR="00CC628F" w:rsidRPr="00A3643A" w:rsidRDefault="00CC628F" w:rsidP="00CC628F">
      <w:pPr>
        <w:spacing w:after="0" w:line="240" w:lineRule="auto"/>
        <w:jc w:val="both"/>
        <w:rPr>
          <w:rFonts w:ascii="Simplified Arabic" w:hAnsi="Simplified Arabic" w:cs="Simplified Arabic"/>
          <w:sz w:val="28"/>
          <w:szCs w:val="28"/>
          <w:rtl/>
        </w:rPr>
      </w:pPr>
      <w:r w:rsidRPr="00A3643A">
        <w:rPr>
          <w:rFonts w:ascii="Simplified Arabic" w:hAnsi="Simplified Arabic" w:cs="Simplified Arabic"/>
          <w:sz w:val="28"/>
          <w:szCs w:val="28"/>
          <w:rtl/>
        </w:rPr>
        <w:t>تعزز الشراكات الاستراتيجية بين الحكومة والشركات الخاصة من خلال استثمارات مشتركة في المشاريع الكبرى التي تساهم في التنمية الاقتصادية والاجتماعية.</w:t>
      </w:r>
    </w:p>
    <w:p w14:paraId="4DAF34A0" w14:textId="77777777" w:rsidR="00CC628F" w:rsidRPr="00A3643A" w:rsidRDefault="00CC628F" w:rsidP="00CC628F">
      <w:pPr>
        <w:spacing w:after="0" w:line="240" w:lineRule="auto"/>
        <w:jc w:val="both"/>
        <w:rPr>
          <w:rFonts w:ascii="Simplified Arabic" w:hAnsi="Simplified Arabic" w:cs="Simplified Arabic"/>
          <w:b/>
          <w:bCs/>
          <w:sz w:val="28"/>
          <w:szCs w:val="28"/>
          <w:rtl/>
        </w:rPr>
      </w:pPr>
      <w:r w:rsidRPr="00A3643A">
        <w:rPr>
          <w:rFonts w:ascii="Simplified Arabic" w:hAnsi="Simplified Arabic" w:cs="Simplified Arabic"/>
          <w:b/>
          <w:bCs/>
          <w:sz w:val="28"/>
          <w:szCs w:val="28"/>
          <w:rtl/>
        </w:rPr>
        <w:t>بناء القدرات والتنمية المهنية</w:t>
      </w:r>
    </w:p>
    <w:p w14:paraId="31D8919A" w14:textId="66298F57" w:rsidR="00CC628F" w:rsidRDefault="00CC628F" w:rsidP="00CC628F">
      <w:pPr>
        <w:rPr>
          <w:rFonts w:ascii="Simplified Arabic" w:hAnsi="Simplified Arabic" w:cs="Simplified Arabic"/>
          <w:sz w:val="28"/>
          <w:szCs w:val="28"/>
          <w:rtl/>
        </w:rPr>
      </w:pPr>
      <w:r w:rsidRPr="00A3643A">
        <w:rPr>
          <w:rFonts w:ascii="Simplified Arabic" w:hAnsi="Simplified Arabic" w:cs="Simplified Arabic"/>
          <w:sz w:val="28"/>
          <w:szCs w:val="28"/>
          <w:rtl/>
        </w:rPr>
        <w:t>يُعتبر التعاون بين القطاعين العام والخاص فرصة لبناء القدرات وتطوير المهارات المهنية، مما يساهم في تعزيز التنافسية والابتكار في مختلف القطاعات الحكومية.</w:t>
      </w:r>
    </w:p>
    <w:p w14:paraId="636CF277" w14:textId="77777777" w:rsidR="00CC628F" w:rsidRDefault="00CC628F">
      <w:pPr>
        <w:bidi w:val="0"/>
        <w:spacing w:line="278" w:lineRule="auto"/>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color w:val="auto"/>
          <w:sz w:val="22"/>
          <w:szCs w:val="22"/>
          <w:rtl/>
        </w:rPr>
        <w:id w:val="-1386711579"/>
        <w:docPartObj>
          <w:docPartGallery w:val="Bibliographies"/>
          <w:docPartUnique/>
        </w:docPartObj>
      </w:sdtPr>
      <w:sdtEndPr/>
      <w:sdtContent>
        <w:p w14:paraId="4A8FF66B" w14:textId="6D3AF3CB" w:rsidR="00CC628F" w:rsidRDefault="00CC628F">
          <w:pPr>
            <w:pStyle w:val="1"/>
          </w:pPr>
          <w:r>
            <w:t>References</w:t>
          </w:r>
        </w:p>
        <w:sdt>
          <w:sdtPr>
            <w:id w:val="-573587230"/>
            <w:bibliography/>
          </w:sdtPr>
          <w:sdtEndPr>
            <w:rPr>
              <w:rtl/>
            </w:rPr>
          </w:sdtEndPr>
          <w:sdtContent>
            <w:p w14:paraId="653451EE" w14:textId="77777777" w:rsidR="00CC628F" w:rsidRDefault="00CC628F" w:rsidP="00CC628F">
              <w:pPr>
                <w:pStyle w:val="ab"/>
                <w:bidi w:val="0"/>
                <w:ind w:left="720" w:hanging="720"/>
                <w:rPr>
                  <w:noProof/>
                  <w:kern w:val="0"/>
                  <w:sz w:val="24"/>
                  <w:szCs w:val="24"/>
                  <w14:ligatures w14:val="none"/>
                </w:rPr>
              </w:pPr>
              <w:r>
                <w:fldChar w:fldCharType="begin"/>
              </w:r>
              <w:r>
                <w:instrText xml:space="preserve"> BIBLIOGRAPHY </w:instrText>
              </w:r>
              <w:r>
                <w:fldChar w:fldCharType="separate"/>
              </w:r>
              <w:r>
                <w:rPr>
                  <w:noProof/>
                </w:rPr>
                <w:t>Ajayi-Nifise, A. (2024). THE ROLE OF GOVERNMENT POLICY IN FOSTERING ENTREPRENEURSHIP: A USA AND AFRICA REVIEW. Retrieved from https://www.researchgate.net/publication/378302140_THE_ROLE_OF_GOVERNMENT_POLICY_IN_FOSTERING_ENTREPRENEURSHIP_A_USA_AND_AFRICA_REVIEW</w:t>
              </w:r>
            </w:p>
            <w:p w14:paraId="23380D40" w14:textId="77777777" w:rsidR="00CC628F" w:rsidRDefault="00CC628F" w:rsidP="00CC628F">
              <w:pPr>
                <w:pStyle w:val="ab"/>
                <w:bidi w:val="0"/>
                <w:ind w:left="720" w:hanging="720"/>
                <w:rPr>
                  <w:noProof/>
                </w:rPr>
              </w:pPr>
              <w:r>
                <w:rPr>
                  <w:noProof/>
                </w:rPr>
                <w:t>Alasiri, A. A. (2022). Healthcare Transformation in Saudi Arabia: An Overview Since the Launch of Vision 2030. Retrieved from https://journals.sagepub.com/doi/10.1177/11786329221121214</w:t>
              </w:r>
            </w:p>
            <w:p w14:paraId="38611868" w14:textId="77777777" w:rsidR="00CC628F" w:rsidRDefault="00CC628F" w:rsidP="00CC628F">
              <w:pPr>
                <w:pStyle w:val="ab"/>
                <w:bidi w:val="0"/>
                <w:ind w:left="720" w:hanging="720"/>
                <w:rPr>
                  <w:noProof/>
                </w:rPr>
              </w:pPr>
              <w:r>
                <w:rPr>
                  <w:noProof/>
                </w:rPr>
                <w:t>Alenezi, H. (2021). Challenges facing Saudi public sector leaders during change. Retrieved from https://science-gate.com/IJAAS/Articles/2021/2021-8-12/1021833ijaas202112003.pdf</w:t>
              </w:r>
            </w:p>
            <w:p w14:paraId="7FF2248B" w14:textId="77777777" w:rsidR="00CC628F" w:rsidRDefault="00CC628F" w:rsidP="00CC628F">
              <w:pPr>
                <w:pStyle w:val="ab"/>
                <w:bidi w:val="0"/>
                <w:ind w:left="720" w:hanging="720"/>
                <w:rPr>
                  <w:noProof/>
                </w:rPr>
              </w:pPr>
              <w:r>
                <w:rPr>
                  <w:noProof/>
                </w:rPr>
                <w:t>Alfozan, A. A. (2024). Leadership Dynamics in Organizational Change: An In-Depth Exploration of Public and Private Sectors in Saudi Arabia. Retrieved from https://www.researchgate.net/publication/377743040_Leadership_Dynamics_in_Organizational_Change_An_In-Depth_Exploration_of_Public_and_Private_Sectors_in_Saudi_Arabia</w:t>
              </w:r>
            </w:p>
            <w:p w14:paraId="0770F5BD" w14:textId="77777777" w:rsidR="00CC628F" w:rsidRDefault="00CC628F" w:rsidP="00CC628F">
              <w:pPr>
                <w:pStyle w:val="ab"/>
                <w:bidi w:val="0"/>
                <w:ind w:left="720" w:hanging="720"/>
                <w:rPr>
                  <w:noProof/>
                </w:rPr>
              </w:pPr>
              <w:r>
                <w:rPr>
                  <w:noProof/>
                </w:rPr>
                <w:t>Alharbi, A. S. (2019). Assessment of Organizational Digital Transformation in Saudi Arabia. Retrieved from https://ieeexplore.ieee.org/abstract/document/8991307</w:t>
              </w:r>
            </w:p>
            <w:p w14:paraId="13901646" w14:textId="77777777" w:rsidR="00CC628F" w:rsidRDefault="00CC628F" w:rsidP="00CC628F">
              <w:pPr>
                <w:pStyle w:val="ab"/>
                <w:bidi w:val="0"/>
                <w:ind w:left="720" w:hanging="720"/>
                <w:rPr>
                  <w:noProof/>
                </w:rPr>
              </w:pPr>
              <w:r>
                <w:rPr>
                  <w:noProof/>
                </w:rPr>
                <w:t>Alharbi, M. (2018). An investigation of the saudi healthcare system's readiness for change in the light of vision 2030: The role of transformational leadership style. Retrieved from https://www.researchgate.net/publication/324185967_An_investigation_of_the_saudi_healthcare_system's_readiness_for_change_in_the_light_of_vision_2030_The_role_of_transformational_leadership_style</w:t>
              </w:r>
            </w:p>
            <w:p w14:paraId="19B34144" w14:textId="77777777" w:rsidR="00CC628F" w:rsidRDefault="00CC628F" w:rsidP="00CC628F">
              <w:pPr>
                <w:pStyle w:val="ab"/>
                <w:bidi w:val="0"/>
                <w:ind w:left="720" w:hanging="720"/>
                <w:rPr>
                  <w:noProof/>
                </w:rPr>
              </w:pPr>
              <w:r>
                <w:rPr>
                  <w:noProof/>
                </w:rPr>
                <w:t>Alharbi, M. F. (2018). An analysis of the Saudi health-care system’s readiness to change in the context of the Saudi National Health-care Plan in Vision 2030. Retrieved from https://www.ncbi.nlm.nih.gov/pmc/articles/PMC5969787/</w:t>
              </w:r>
            </w:p>
            <w:p w14:paraId="0CDB8C46" w14:textId="77777777" w:rsidR="00CC628F" w:rsidRDefault="00CC628F" w:rsidP="00CC628F">
              <w:pPr>
                <w:pStyle w:val="ab"/>
                <w:bidi w:val="0"/>
                <w:ind w:left="720" w:hanging="720"/>
                <w:rPr>
                  <w:noProof/>
                </w:rPr>
              </w:pPr>
              <w:r>
                <w:rPr>
                  <w:noProof/>
                </w:rPr>
                <w:t>Alkhoraif, A. (2018). Lean implementation within manufacturing SMEs in Saudi Arabia: Organizational culture aspects. Retrieved from https://www.sciencedirect.com/science/article/pii/S1018363918300631</w:t>
              </w:r>
            </w:p>
            <w:p w14:paraId="5DA1003E" w14:textId="77777777" w:rsidR="00CC628F" w:rsidRDefault="00CC628F" w:rsidP="00CC628F">
              <w:pPr>
                <w:pStyle w:val="ab"/>
                <w:bidi w:val="0"/>
                <w:ind w:left="720" w:hanging="720"/>
                <w:rPr>
                  <w:noProof/>
                </w:rPr>
              </w:pPr>
              <w:r>
                <w:rPr>
                  <w:noProof/>
                </w:rPr>
                <w:t>Allen, M. W. (2016). Transformational Organizational Change, Reinforcing Structures, and Formal Communication. Retrieved from https://www.researchgate.net/publication/300642857_Transformational_Organizational_Change_Reinforcing_Structures_and_Formal_Communication</w:t>
              </w:r>
            </w:p>
            <w:p w14:paraId="049327D0" w14:textId="77777777" w:rsidR="00CC628F" w:rsidRDefault="00CC628F" w:rsidP="00CC628F">
              <w:pPr>
                <w:pStyle w:val="ab"/>
                <w:bidi w:val="0"/>
                <w:ind w:left="720" w:hanging="720"/>
                <w:rPr>
                  <w:noProof/>
                </w:rPr>
              </w:pPr>
              <w:r>
                <w:rPr>
                  <w:noProof/>
                </w:rPr>
                <w:t>Alnasser, A. (2024). Navigating Digital Transformation in Alignment with Vision 2030: A Review of Organizational Strategies, Innovations, and Implications in Saudi Arabia. Retrieved from https://www.researchgate.net/publication/378544191_Navigating_Digital_Transformation_in_Alignment_with_Vision_2030_A_Review_of_Organizational_Strategies_Innovations_and_Implications_in_Saudi_Arabia/fulltext/65df35d6e7670d36abe32d22/Navigating-Digital-Tran</w:t>
              </w:r>
            </w:p>
            <w:p w14:paraId="1C6B0F83" w14:textId="77777777" w:rsidR="00CC628F" w:rsidRDefault="00CC628F" w:rsidP="00CC628F">
              <w:pPr>
                <w:pStyle w:val="ab"/>
                <w:bidi w:val="0"/>
                <w:ind w:left="720" w:hanging="720"/>
                <w:rPr>
                  <w:noProof/>
                </w:rPr>
              </w:pPr>
              <w:r>
                <w:rPr>
                  <w:noProof/>
                </w:rPr>
                <w:t xml:space="preserve">ALSharari, M. R. (2019). Evaluating Universities’ Readiness in Qualifying Graduates to Achieve Saudi Vision 2030: A Constructive Analysis of Baldrige Scale. Retrieved from </w:t>
              </w:r>
              <w:r>
                <w:rPr>
                  <w:noProof/>
                </w:rPr>
                <w:lastRenderedPageBreak/>
                <w:t>https://journals.sagepub.com/doi/full/10.1177/0013124519877152?casa_token=2sxto48xJ-0AAAAA%3AMPzxBP0uoBDjQRQ5d8NFDpPn2K8bqdSQnnY4fAfXcQ9P4XWDxxOOQLLb6oNVY01-QXRd_4NnaGDqmA</w:t>
              </w:r>
            </w:p>
            <w:p w14:paraId="523EC9DD" w14:textId="77777777" w:rsidR="00CC628F" w:rsidRDefault="00CC628F" w:rsidP="00CC628F">
              <w:pPr>
                <w:pStyle w:val="ab"/>
                <w:bidi w:val="0"/>
                <w:ind w:left="720" w:hanging="720"/>
                <w:rPr>
                  <w:noProof/>
                </w:rPr>
              </w:pPr>
              <w:r>
                <w:rPr>
                  <w:noProof/>
                </w:rPr>
                <w:t>Asem, A. (2024). Navigating Digital Transformation in Alignment with Vision 2030: A Review of Organizational Strategies, Innovations, and Implications in Saudi Arabia. Retrieved from https://www.researchgate.net/publication/378544191_Navigating_Digital_Transformation_in_Alignment_with_Vision_2030_A_Review_of_Organizational_Strategies_Innovations_and_Implications_in_Saudi_Arabia</w:t>
              </w:r>
            </w:p>
            <w:p w14:paraId="4DD302BE" w14:textId="77777777" w:rsidR="00CC628F" w:rsidRDefault="00CC628F" w:rsidP="00CC628F">
              <w:pPr>
                <w:pStyle w:val="ab"/>
                <w:bidi w:val="0"/>
                <w:ind w:left="720" w:hanging="720"/>
                <w:rPr>
                  <w:noProof/>
                </w:rPr>
              </w:pPr>
              <w:r>
                <w:rPr>
                  <w:noProof/>
                </w:rPr>
                <w:t>Bah, O. P. (2024). Effectiveness of Organizational Change through Employee Involvement: Evidence from Telecommunications and Refinery Companies. Retrieved from https://www.researchgate.net/publication/379103723_Effectiveness_of_Organizational_Change_through_Employee_Involvement_Evidence_from_Telecommunications_and_Refinery_Companies</w:t>
              </w:r>
            </w:p>
            <w:p w14:paraId="331D1C99" w14:textId="77777777" w:rsidR="00CC628F" w:rsidRDefault="00CC628F" w:rsidP="00CC628F">
              <w:pPr>
                <w:pStyle w:val="ab"/>
                <w:bidi w:val="0"/>
                <w:ind w:left="720" w:hanging="720"/>
                <w:rPr>
                  <w:noProof/>
                </w:rPr>
              </w:pPr>
              <w:r>
                <w:rPr>
                  <w:noProof/>
                </w:rPr>
                <w:t>Bratianu, C. (2018). Organizational Learning and the Learning Organization. Retrieved from https://www.researchgate.net/publication/322235340_Organizational_Learning_and_the_Learning_Organization</w:t>
              </w:r>
            </w:p>
            <w:p w14:paraId="7EDEF0CC" w14:textId="77777777" w:rsidR="00CC628F" w:rsidRDefault="00CC628F" w:rsidP="00CC628F">
              <w:pPr>
                <w:pStyle w:val="ab"/>
                <w:bidi w:val="0"/>
                <w:ind w:left="720" w:hanging="720"/>
                <w:rPr>
                  <w:noProof/>
                </w:rPr>
              </w:pPr>
              <w:r>
                <w:rPr>
                  <w:noProof/>
                </w:rPr>
                <w:t>Damawan, A. H. (2020). Resistance to Change: Causes and Strategies as an Organizational Challenge. Retrieved from https://www.researchgate.net/publication/339190336_Resistance_to_Change_Causes_and_Strategies_as_an_Organizational_Challenge</w:t>
              </w:r>
            </w:p>
            <w:p w14:paraId="49C8AC6F" w14:textId="77777777" w:rsidR="00CC628F" w:rsidRDefault="00CC628F" w:rsidP="00CC628F">
              <w:pPr>
                <w:pStyle w:val="ab"/>
                <w:bidi w:val="0"/>
                <w:ind w:left="720" w:hanging="720"/>
                <w:rPr>
                  <w:noProof/>
                </w:rPr>
              </w:pPr>
              <w:r>
                <w:rPr>
                  <w:noProof/>
                </w:rPr>
                <w:t>Gcume, A. (2023). The Effectiveness of Public-Private Partnerships in Supporting SME Development: A Comparative Analysis of Different Partnership Models. Retrieved from https://www.researchgate.net/publication/370953418_The_Effectiveness_of_Public-Private_Partnerships_in_Supporting_SME_Development_A_Comparative_Analysis_of_Different_Partnership_Models</w:t>
              </w:r>
            </w:p>
            <w:p w14:paraId="328BEE93" w14:textId="77777777" w:rsidR="00CC628F" w:rsidRDefault="00CC628F" w:rsidP="00CC628F">
              <w:pPr>
                <w:pStyle w:val="ab"/>
                <w:bidi w:val="0"/>
                <w:ind w:left="720" w:hanging="720"/>
                <w:rPr>
                  <w:noProof/>
                </w:rPr>
              </w:pPr>
              <w:r>
                <w:rPr>
                  <w:noProof/>
                </w:rPr>
                <w:t>Gkrimpizi, T. (2023). Classification of Barriers to Digital Transformation in Higher Education Institutions: Systematic Literature Review. Retrieved from https://www.mdpi.com/2227-7102/13/7/746</w:t>
              </w:r>
            </w:p>
            <w:p w14:paraId="3D4C457C" w14:textId="77777777" w:rsidR="00CC628F" w:rsidRDefault="00CC628F" w:rsidP="00CC628F">
              <w:pPr>
                <w:pStyle w:val="ab"/>
                <w:bidi w:val="0"/>
                <w:ind w:left="720" w:hanging="720"/>
                <w:rPr>
                  <w:noProof/>
                </w:rPr>
              </w:pPr>
              <w:r>
                <w:rPr>
                  <w:noProof/>
                </w:rPr>
                <w:t>Groenland, E. (2019). Qualitative Methodologies and Data Collection Methods: Toward Increased Rigour in Management Research. Retrieved from https://www.researchgate.net/publication/332848503_Qualitative_Methodologies_and_Data_Collection_Methods_Toward_Increased_Rigour_in_Management_Research</w:t>
              </w:r>
            </w:p>
            <w:p w14:paraId="321275D9" w14:textId="77777777" w:rsidR="00CC628F" w:rsidRDefault="00CC628F" w:rsidP="00CC628F">
              <w:pPr>
                <w:pStyle w:val="ab"/>
                <w:bidi w:val="0"/>
                <w:ind w:left="720" w:hanging="720"/>
                <w:rPr>
                  <w:noProof/>
                </w:rPr>
              </w:pPr>
              <w:r>
                <w:rPr>
                  <w:noProof/>
                </w:rPr>
                <w:t>Insights, H. S. (2022). Healthcare Transformation in Saudi Arabia: An Overview Since the Launch of Vision 2030. Retrieved from https://www.ncbi.nlm.nih.gov/pmc/articles/PMC9445529/</w:t>
              </w:r>
            </w:p>
            <w:p w14:paraId="093FCA78" w14:textId="77777777" w:rsidR="00CC628F" w:rsidRDefault="00CC628F" w:rsidP="00CC628F">
              <w:pPr>
                <w:pStyle w:val="ab"/>
                <w:bidi w:val="0"/>
                <w:ind w:left="720" w:hanging="720"/>
                <w:rPr>
                  <w:noProof/>
                </w:rPr>
              </w:pPr>
              <w:r>
                <w:rPr>
                  <w:noProof/>
                </w:rPr>
                <w:t>Islam, M. T. (2024). Sustainable green energy transition in Saudi Arabia: Characterizing policy framework, interrelations and future research directions. Retrieved from https://www.sciencedirect.com/science/article/pii/S2949821X24000668</w:t>
              </w:r>
            </w:p>
            <w:p w14:paraId="6F471FC1" w14:textId="77777777" w:rsidR="00CC628F" w:rsidRDefault="00CC628F" w:rsidP="00CC628F">
              <w:pPr>
                <w:pStyle w:val="ab"/>
                <w:bidi w:val="0"/>
                <w:ind w:left="720" w:hanging="720"/>
                <w:rPr>
                  <w:noProof/>
                </w:rPr>
              </w:pPr>
              <w:r>
                <w:rPr>
                  <w:noProof/>
                </w:rPr>
                <w:lastRenderedPageBreak/>
                <w:t>Jalagat, R. (2016). The Impact of Change and Change Management in Achieving Corporate Goals and Objectives: Organizational Perspective. Retrieved from https://www.researchgate.net/publication/310828676_The_Impact_of_Change_and_Change_Management_in_Achieving_Corporate_Goals_and_Objectives_Organizational_Perspective</w:t>
              </w:r>
            </w:p>
            <w:p w14:paraId="169A17DE" w14:textId="77777777" w:rsidR="00CC628F" w:rsidRDefault="00CC628F" w:rsidP="00CC628F">
              <w:pPr>
                <w:pStyle w:val="ab"/>
                <w:bidi w:val="0"/>
                <w:ind w:left="720" w:hanging="720"/>
                <w:rPr>
                  <w:noProof/>
                </w:rPr>
              </w:pPr>
              <w:r>
                <w:rPr>
                  <w:noProof/>
                </w:rPr>
                <w:t>Johani, Y. S. (2019). Saudi Arabian Secondary School Leaders and Subordinates’ Preparedness for Change into Transformational Leadership: an exploratory study of the teachers’ perceptions. Retrieved from https://jsrep.journals.ekb.eg/article_70198_0342ca6f78cc1c8ed621e3721836d5fb.pdf</w:t>
              </w:r>
            </w:p>
            <w:p w14:paraId="309250BA" w14:textId="77777777" w:rsidR="00CC628F" w:rsidRDefault="00CC628F" w:rsidP="00CC628F">
              <w:pPr>
                <w:pStyle w:val="ab"/>
                <w:bidi w:val="0"/>
                <w:ind w:left="720" w:hanging="720"/>
                <w:rPr>
                  <w:noProof/>
                </w:rPr>
              </w:pPr>
              <w:r>
                <w:rPr>
                  <w:noProof/>
                </w:rPr>
                <w:t>Makhlouf, A. M. (2021). Saudi Schools’ Openness to Change in Light of the 2030 Vision. Retrieved from https://pubs.sciepub.com/education/9/1/6/index.html</w:t>
              </w:r>
            </w:p>
            <w:p w14:paraId="782FC86F" w14:textId="77777777" w:rsidR="00CC628F" w:rsidRDefault="00CC628F" w:rsidP="00CC628F">
              <w:pPr>
                <w:pStyle w:val="ab"/>
                <w:bidi w:val="0"/>
                <w:ind w:left="720" w:hanging="720"/>
                <w:rPr>
                  <w:noProof/>
                </w:rPr>
              </w:pPr>
              <w:r>
                <w:rPr>
                  <w:noProof/>
                </w:rPr>
                <w:t>Melo, V. (2018). Collaborative Efforts for Sustainable Development: Surveying the Literature on Multi-Stakeholder Initiatives to Realize the Sustainable Development Goals. Retrieved from https://www.researchgate.net/publication/328118980_Collaborative_Efforts_for_Sustainable_Development_Surveying_the_Literature_on_Multi-Stakeholder_Initiatives_to_Realize_the_Sustainable_Development_Goals</w:t>
              </w:r>
            </w:p>
            <w:p w14:paraId="5C29347F" w14:textId="77777777" w:rsidR="00CC628F" w:rsidRDefault="00CC628F" w:rsidP="00CC628F">
              <w:pPr>
                <w:pStyle w:val="ab"/>
                <w:bidi w:val="0"/>
                <w:ind w:left="720" w:hanging="720"/>
                <w:rPr>
                  <w:noProof/>
                </w:rPr>
              </w:pPr>
              <w:r>
                <w:rPr>
                  <w:noProof/>
                </w:rPr>
                <w:t>Mitchell, B. (2018). The Kingdom of Saudi Arabia: Achieving the Aspirations of the National Transformation Program 2020 and Saudi Vision 2030 Through Education. Retrieved from https://www.researchgate.net/publication/329887694_The_Kingdom_of_Saudi_Arabia_Achieving_the_Aspirations_of_the_National_Transformation_Program_2020_and_Saudi_Vision_2030_Through_Education</w:t>
              </w:r>
            </w:p>
            <w:p w14:paraId="33CFD4D0" w14:textId="77777777" w:rsidR="00CC628F" w:rsidRDefault="00CC628F" w:rsidP="00CC628F">
              <w:pPr>
                <w:pStyle w:val="ab"/>
                <w:bidi w:val="0"/>
                <w:ind w:left="720" w:hanging="720"/>
                <w:rPr>
                  <w:noProof/>
                </w:rPr>
              </w:pPr>
              <w:r>
                <w:rPr>
                  <w:noProof/>
                </w:rPr>
                <w:t>Najjar, R. A. (2022). Assessing Saudi Arabia’s Vision 2030 progress. Retrieved from https://www.agbi.com/opinion/economy/2023/11/riyadh-al-najjar-assessing-saudi-arabias-vision-2030-progress/?gad_source=1&amp;gclid=CjwKCAjwyo60BhBiEiwAHmVLJW8vuKLaUNy5r5cia48lCvG9bgNqE6tp_Ho6rn8sOagy0vRrPuYxVBoCFi8QAvD_BwE</w:t>
              </w:r>
            </w:p>
            <w:p w14:paraId="4723FFE3" w14:textId="77777777" w:rsidR="00CC628F" w:rsidRDefault="00CC628F" w:rsidP="00CC628F">
              <w:pPr>
                <w:pStyle w:val="ab"/>
                <w:bidi w:val="0"/>
                <w:ind w:left="720" w:hanging="720"/>
                <w:rPr>
                  <w:noProof/>
                </w:rPr>
              </w:pPr>
              <w:r>
                <w:rPr>
                  <w:noProof/>
                </w:rPr>
                <w:t>Owad, A. A. (2023). Integrated Lean Six Sigma and Kotter change management framework for emergency healthcare services in Saudi Arabia. Retrieved from https://www.researchgate.net/publication/376451451_Integrated_Lean_Six_Sigma_and_Kotter_change_management_framework_for_emergency_healthcare_services_in_Saudi_Arabia</w:t>
              </w:r>
            </w:p>
            <w:p w14:paraId="4B1C7684" w14:textId="77777777" w:rsidR="00CC628F" w:rsidRDefault="00CC628F" w:rsidP="00CC628F">
              <w:pPr>
                <w:pStyle w:val="ab"/>
                <w:bidi w:val="0"/>
                <w:ind w:left="720" w:hanging="720"/>
                <w:rPr>
                  <w:noProof/>
                </w:rPr>
              </w:pPr>
              <w:r>
                <w:rPr>
                  <w:noProof/>
                </w:rPr>
                <w:t>Phillips, J. (2022). Change Management: From Theory to Practice. Retrieved from https://www.researchgate.net/publication/363424646_Change_Management_From_Theory_to_Practice</w:t>
              </w:r>
            </w:p>
            <w:p w14:paraId="1DFB71A2" w14:textId="77777777" w:rsidR="00CC628F" w:rsidRDefault="00CC628F" w:rsidP="00CC628F">
              <w:pPr>
                <w:pStyle w:val="ab"/>
                <w:bidi w:val="0"/>
                <w:ind w:left="720" w:hanging="720"/>
                <w:rPr>
                  <w:noProof/>
                </w:rPr>
              </w:pPr>
              <w:r>
                <w:rPr>
                  <w:noProof/>
                </w:rPr>
                <w:t>Sayyd, S. M. (2024). Change management and its relationship to developing sports activities in Saudi universities -Kingdom Vision 2030. Retrieved from https://www.researchgate.net/publication/379036314_Change_management_and_its_relationship_to_developing_sports_activities_in_Saudi_universities_-Kingdom_Vision_2030</w:t>
              </w:r>
            </w:p>
            <w:p w14:paraId="524318DC" w14:textId="77777777" w:rsidR="00CC628F" w:rsidRDefault="00CC628F" w:rsidP="00CC628F">
              <w:pPr>
                <w:pStyle w:val="ab"/>
                <w:bidi w:val="0"/>
                <w:ind w:left="720" w:hanging="720"/>
                <w:rPr>
                  <w:noProof/>
                </w:rPr>
              </w:pPr>
              <w:r>
                <w:rPr>
                  <w:noProof/>
                </w:rPr>
                <w:lastRenderedPageBreak/>
                <w:t>Shamlan, A. E. (2024). Resilient Leadership: A Study Connecting Saudi Vision 2030 and the Higher Education Sector. Retrieved from https://vuir.vu.edu.au/47555/1/AL_SHAMLAN_Abdulrahman-Thesis.pdf</w:t>
              </w:r>
            </w:p>
            <w:p w14:paraId="731D94EC" w14:textId="77777777" w:rsidR="00CC628F" w:rsidRDefault="00CC628F" w:rsidP="00CC628F">
              <w:pPr>
                <w:pStyle w:val="ab"/>
                <w:bidi w:val="0"/>
                <w:ind w:left="720" w:hanging="720"/>
                <w:rPr>
                  <w:noProof/>
                </w:rPr>
              </w:pPr>
              <w:r>
                <w:rPr>
                  <w:noProof/>
                </w:rPr>
                <w:t>SHARMA, A. (2022). Change Management in Societal Transformation: The Case of Saudi Arabia’s ‘Vision 2030’. Retrieved from https://www.orfonline.org/research/change-management-in-societal-transformation</w:t>
              </w:r>
            </w:p>
            <w:p w14:paraId="50E71C3E" w14:textId="77777777" w:rsidR="00CC628F" w:rsidRDefault="00CC628F" w:rsidP="00CC628F">
              <w:pPr>
                <w:pStyle w:val="ab"/>
                <w:bidi w:val="0"/>
                <w:ind w:left="720" w:hanging="720"/>
                <w:rPr>
                  <w:noProof/>
                </w:rPr>
              </w:pPr>
              <w:r>
                <w:rPr>
                  <w:noProof/>
                </w:rPr>
                <w:t>Shehri, M. A. (2024). The Influence of Culture on Organizational Culture: A Saudi Arabia Case Study. Retrieved from https://www.abacademies.org/articles/the-influence-of-culture-on-organizational-culture-saudi-arabia-case-study-16768.html</w:t>
              </w:r>
            </w:p>
            <w:p w14:paraId="0FED3E2A" w14:textId="29A2FFC5" w:rsidR="00CC628F" w:rsidRDefault="00CC628F" w:rsidP="00CC628F">
              <w:r>
                <w:rPr>
                  <w:b/>
                  <w:bCs/>
                  <w:noProof/>
                </w:rPr>
                <w:fldChar w:fldCharType="end"/>
              </w:r>
            </w:p>
          </w:sdtContent>
        </w:sdt>
      </w:sdtContent>
    </w:sdt>
    <w:p w14:paraId="08CAC664" w14:textId="14EBAB99" w:rsidR="00CC628F" w:rsidRDefault="00CC628F">
      <w:pPr>
        <w:bidi w:val="0"/>
        <w:spacing w:line="278"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1A312BD4" w14:textId="77777777" w:rsidR="00CC628F" w:rsidRPr="003138E7" w:rsidRDefault="00CC628F" w:rsidP="00CC628F">
      <w:pPr>
        <w:bidi w:val="0"/>
        <w:spacing w:line="360" w:lineRule="auto"/>
        <w:ind w:left="-360"/>
        <w:rPr>
          <w:rFonts w:asciiTheme="majorBidi" w:hAnsiTheme="majorBidi" w:cstheme="majorBidi"/>
          <w:b/>
          <w:bCs/>
          <w:sz w:val="28"/>
          <w:szCs w:val="28"/>
          <w:u w:val="single"/>
        </w:rPr>
      </w:pPr>
      <w:r w:rsidRPr="003138E7">
        <w:rPr>
          <w:rFonts w:asciiTheme="majorBidi" w:hAnsiTheme="majorBidi" w:cstheme="majorBidi"/>
          <w:b/>
          <w:bCs/>
          <w:noProof/>
          <w:sz w:val="28"/>
          <w:szCs w:val="28"/>
        </w:rPr>
        <w:lastRenderedPageBreak/>
        <w:drawing>
          <wp:anchor distT="0" distB="0" distL="114300" distR="114300" simplePos="0" relativeHeight="251661312" behindDoc="0" locked="0" layoutInCell="1" allowOverlap="1" wp14:anchorId="7150C1E1" wp14:editId="422AC2F5">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138E7">
        <w:rPr>
          <w:rFonts w:asciiTheme="majorBidi" w:hAnsiTheme="majorBidi" w:cstheme="majorBidi"/>
          <w:b/>
          <w:bCs/>
          <w:sz w:val="28"/>
          <w:szCs w:val="28"/>
          <w:u w:val="single"/>
        </w:rPr>
        <w:t xml:space="preserve">Midocean University </w:t>
      </w:r>
    </w:p>
    <w:p w14:paraId="6B6B15C4" w14:textId="77777777" w:rsidR="00CC628F" w:rsidRPr="003138E7" w:rsidRDefault="00CC628F" w:rsidP="00CC628F">
      <w:pPr>
        <w:bidi w:val="0"/>
        <w:spacing w:line="360" w:lineRule="auto"/>
        <w:ind w:left="-360"/>
        <w:rPr>
          <w:rFonts w:asciiTheme="majorBidi" w:hAnsiTheme="majorBidi" w:cstheme="majorBidi"/>
          <w:b/>
          <w:bCs/>
          <w:sz w:val="28"/>
          <w:szCs w:val="28"/>
          <w:u w:val="single"/>
          <w:rtl/>
        </w:rPr>
      </w:pPr>
      <w:r w:rsidRPr="003138E7">
        <w:rPr>
          <w:rFonts w:asciiTheme="majorBidi" w:hAnsiTheme="majorBidi" w:cstheme="majorBidi"/>
          <w:b/>
          <w:bCs/>
          <w:sz w:val="28"/>
          <w:szCs w:val="28"/>
          <w:u w:val="single"/>
        </w:rPr>
        <w:t>College of Management</w:t>
      </w:r>
    </w:p>
    <w:p w14:paraId="062EF16C" w14:textId="77777777" w:rsidR="00CC628F" w:rsidRPr="003138E7" w:rsidRDefault="00CC628F" w:rsidP="00CC628F">
      <w:pPr>
        <w:bidi w:val="0"/>
        <w:spacing w:line="360" w:lineRule="auto"/>
        <w:ind w:left="-360"/>
        <w:rPr>
          <w:rFonts w:asciiTheme="majorBidi" w:hAnsiTheme="majorBidi" w:cstheme="majorBidi"/>
          <w:b/>
          <w:bCs/>
          <w:sz w:val="28"/>
          <w:szCs w:val="28"/>
          <w:u w:val="single"/>
        </w:rPr>
      </w:pPr>
      <w:r w:rsidRPr="003138E7">
        <w:rPr>
          <w:rFonts w:asciiTheme="majorBidi" w:hAnsiTheme="majorBidi" w:cstheme="majorBidi"/>
          <w:b/>
          <w:bCs/>
          <w:sz w:val="28"/>
          <w:szCs w:val="28"/>
          <w:u w:val="single"/>
        </w:rPr>
        <w:t>Department of</w:t>
      </w:r>
      <w:r w:rsidRPr="003138E7">
        <w:rPr>
          <w:rFonts w:asciiTheme="majorBidi" w:hAnsiTheme="majorBidi" w:cstheme="majorBidi"/>
          <w:b/>
          <w:bCs/>
          <w:sz w:val="28"/>
          <w:szCs w:val="28"/>
          <w:u w:val="single"/>
          <w:rtl/>
        </w:rPr>
        <w:t xml:space="preserve"> </w:t>
      </w:r>
      <w:r w:rsidRPr="003138E7">
        <w:rPr>
          <w:rFonts w:asciiTheme="majorBidi" w:hAnsiTheme="majorBidi" w:cstheme="majorBidi"/>
          <w:b/>
          <w:bCs/>
          <w:sz w:val="28"/>
          <w:szCs w:val="28"/>
          <w:u w:val="single"/>
        </w:rPr>
        <w:t>Business Administration</w:t>
      </w:r>
    </w:p>
    <w:p w14:paraId="51F08164" w14:textId="77777777" w:rsidR="00CC628F" w:rsidRPr="009125CE" w:rsidRDefault="00CC628F" w:rsidP="00CC628F">
      <w:pPr>
        <w:bidi w:val="0"/>
        <w:ind w:left="-360"/>
        <w:rPr>
          <w:rFonts w:ascii="Sakkal Majalla" w:hAnsi="Sakkal Majalla" w:cs="Sakkal Majalla"/>
          <w:b/>
          <w:bCs/>
          <w:sz w:val="28"/>
          <w:szCs w:val="28"/>
          <w:u w:val="single"/>
        </w:rPr>
      </w:pPr>
    </w:p>
    <w:p w14:paraId="12A0CC45" w14:textId="77777777" w:rsidR="00CC628F" w:rsidRDefault="00CC628F" w:rsidP="00CC628F">
      <w:pPr>
        <w:tabs>
          <w:tab w:val="left" w:pos="942"/>
        </w:tabs>
        <w:rPr>
          <w:rFonts w:ascii="Sakkal Majalla" w:hAnsi="Sakkal Majalla" w:cs="Sakkal Majalla"/>
          <w:b/>
          <w:bCs/>
          <w:sz w:val="28"/>
          <w:szCs w:val="28"/>
        </w:rPr>
      </w:pPr>
      <w:r w:rsidRPr="009125CE">
        <w:rPr>
          <w:rFonts w:ascii="Sakkal Majalla" w:hAnsi="Sakkal Majalla" w:cs="Sakkal Majalla"/>
          <w:b/>
          <w:bCs/>
          <w:sz w:val="28"/>
          <w:szCs w:val="28"/>
          <w:rtl/>
        </w:rPr>
        <w:tab/>
      </w:r>
    </w:p>
    <w:p w14:paraId="3DC93EF8" w14:textId="77777777" w:rsidR="00CC628F" w:rsidRDefault="00CC628F" w:rsidP="00CC628F">
      <w:pPr>
        <w:tabs>
          <w:tab w:val="left" w:pos="942"/>
        </w:tabs>
        <w:rPr>
          <w:rFonts w:ascii="Sakkal Majalla" w:hAnsi="Sakkal Majalla" w:cs="Sakkal Majalla"/>
          <w:b/>
          <w:bCs/>
          <w:sz w:val="28"/>
          <w:szCs w:val="28"/>
        </w:rPr>
      </w:pPr>
    </w:p>
    <w:p w14:paraId="6C818A01" w14:textId="77777777" w:rsidR="00CC628F" w:rsidRDefault="00CC628F" w:rsidP="00CC628F">
      <w:pPr>
        <w:spacing w:after="0"/>
        <w:rPr>
          <w:rFonts w:ascii="Sakkal Majalla" w:hAnsi="Sakkal Majalla" w:cs="Sakkal Majalla"/>
          <w:sz w:val="28"/>
          <w:szCs w:val="28"/>
          <w:rtl/>
        </w:rPr>
      </w:pPr>
    </w:p>
    <w:p w14:paraId="4098475E" w14:textId="77777777" w:rsidR="00CC628F" w:rsidRPr="003138E7" w:rsidRDefault="00CC628F" w:rsidP="00CC628F">
      <w:pPr>
        <w:tabs>
          <w:tab w:val="left" w:pos="5292"/>
        </w:tabs>
        <w:spacing w:after="0" w:line="480" w:lineRule="auto"/>
        <w:jc w:val="center"/>
        <w:rPr>
          <w:rFonts w:asciiTheme="majorBidi" w:hAnsiTheme="majorBidi" w:cstheme="majorBidi"/>
          <w:b/>
          <w:bCs/>
          <w:sz w:val="28"/>
          <w:szCs w:val="28"/>
        </w:rPr>
      </w:pPr>
      <w:r w:rsidRPr="003138E7">
        <w:rPr>
          <w:rFonts w:asciiTheme="majorBidi" w:hAnsiTheme="majorBidi" w:cstheme="majorBidi"/>
          <w:b/>
          <w:bCs/>
          <w:sz w:val="28"/>
          <w:szCs w:val="28"/>
        </w:rPr>
        <w:t>Title in English</w:t>
      </w:r>
    </w:p>
    <w:p w14:paraId="2CF6B67E" w14:textId="77777777" w:rsidR="00CC628F" w:rsidRDefault="00CC628F" w:rsidP="00CC628F">
      <w:pPr>
        <w:bidi w:val="0"/>
        <w:spacing w:line="360" w:lineRule="auto"/>
        <w:jc w:val="center"/>
        <w:rPr>
          <w:rFonts w:asciiTheme="majorBidi" w:hAnsiTheme="majorBidi" w:cstheme="majorBidi"/>
          <w:sz w:val="32"/>
          <w:szCs w:val="32"/>
          <w:rtl/>
          <w:lang w:bidi="ar-EG"/>
        </w:rPr>
      </w:pPr>
      <w:r w:rsidRPr="003138E7">
        <w:rPr>
          <w:rFonts w:asciiTheme="majorBidi" w:hAnsiTheme="majorBidi" w:cstheme="majorBidi"/>
          <w:sz w:val="32"/>
          <w:szCs w:val="32"/>
          <w:lang w:bidi="ar-EG"/>
        </w:rPr>
        <w:t>Change Management Strategies in Saudi Government Institutions: An Analytical Study of National Transformation Efforts to Achieve Vision 2030</w:t>
      </w:r>
    </w:p>
    <w:p w14:paraId="0FC3D558" w14:textId="77777777" w:rsidR="00CC628F" w:rsidRDefault="00CC628F" w:rsidP="00CC628F">
      <w:pPr>
        <w:bidi w:val="0"/>
        <w:spacing w:line="360" w:lineRule="auto"/>
        <w:jc w:val="center"/>
        <w:rPr>
          <w:rFonts w:ascii="Sakkal Majalla" w:hAnsi="Sakkal Majalla" w:cs="Sakkal Majalla"/>
          <w:sz w:val="28"/>
          <w:szCs w:val="28"/>
        </w:rPr>
      </w:pPr>
    </w:p>
    <w:p w14:paraId="66DC5514" w14:textId="750107FC" w:rsidR="00CC628F" w:rsidRPr="003138E7" w:rsidRDefault="00CC628F" w:rsidP="00CC628F">
      <w:pPr>
        <w:bidi w:val="0"/>
        <w:spacing w:line="360" w:lineRule="auto"/>
        <w:jc w:val="center"/>
        <w:rPr>
          <w:rFonts w:asciiTheme="majorBidi" w:hAnsiTheme="majorBidi" w:cstheme="majorBidi"/>
          <w:b/>
          <w:bCs/>
          <w:sz w:val="28"/>
          <w:szCs w:val="28"/>
        </w:rPr>
      </w:pPr>
      <w:r w:rsidRPr="003138E7">
        <w:rPr>
          <w:rFonts w:asciiTheme="majorBidi" w:hAnsiTheme="majorBidi" w:cstheme="majorBidi"/>
          <w:b/>
          <w:bCs/>
          <w:sz w:val="28"/>
          <w:szCs w:val="28"/>
        </w:rPr>
        <w:t>Prepared by</w:t>
      </w:r>
      <w:r w:rsidRPr="003138E7">
        <w:rPr>
          <w:rFonts w:asciiTheme="majorBidi" w:hAnsiTheme="majorBidi" w:cstheme="majorBidi"/>
          <w:b/>
          <w:bCs/>
          <w:sz w:val="28"/>
          <w:szCs w:val="28"/>
          <w:rtl/>
        </w:rPr>
        <w:t xml:space="preserve">: </w:t>
      </w:r>
      <w:r w:rsidR="00B719BB">
        <w:rPr>
          <w:rFonts w:asciiTheme="majorBidi" w:hAnsiTheme="majorBidi" w:cstheme="majorBidi"/>
          <w:b/>
          <w:bCs/>
          <w:sz w:val="28"/>
          <w:szCs w:val="28"/>
        </w:rPr>
        <w:t xml:space="preserve">Abdulelah Naji </w:t>
      </w:r>
      <w:r w:rsidR="004537F0">
        <w:rPr>
          <w:rFonts w:asciiTheme="majorBidi" w:hAnsiTheme="majorBidi" w:cstheme="majorBidi"/>
          <w:b/>
          <w:bCs/>
          <w:sz w:val="28"/>
          <w:szCs w:val="28"/>
        </w:rPr>
        <w:t>Alyamani</w:t>
      </w:r>
    </w:p>
    <w:p w14:paraId="236C481C" w14:textId="0EB0B011" w:rsidR="00CC628F" w:rsidRPr="003138E7" w:rsidRDefault="004537F0" w:rsidP="004537F0">
      <w:pPr>
        <w:jc w:val="center"/>
        <w:rPr>
          <w:rFonts w:asciiTheme="majorBidi" w:hAnsiTheme="majorBidi" w:cstheme="majorBidi"/>
          <w:b/>
          <w:bCs/>
          <w:sz w:val="28"/>
          <w:szCs w:val="28"/>
          <w:lang w:bidi="ar-EG"/>
        </w:rPr>
      </w:pPr>
      <w:r>
        <w:rPr>
          <w:rFonts w:asciiTheme="majorBidi" w:hAnsiTheme="majorBidi" w:cstheme="majorBidi"/>
          <w:sz w:val="28"/>
          <w:szCs w:val="28"/>
        </w:rPr>
        <w:t>241001226</w:t>
      </w:r>
    </w:p>
    <w:p w14:paraId="0C172ED8" w14:textId="77777777" w:rsidR="00CC628F" w:rsidRPr="003138E7" w:rsidRDefault="00CC628F" w:rsidP="00CC628F">
      <w:pPr>
        <w:jc w:val="center"/>
        <w:rPr>
          <w:rFonts w:asciiTheme="majorBidi" w:hAnsiTheme="majorBidi" w:cstheme="majorBidi"/>
          <w:b/>
          <w:bCs/>
          <w:sz w:val="28"/>
          <w:szCs w:val="28"/>
        </w:rPr>
      </w:pPr>
    </w:p>
    <w:p w14:paraId="706CD1AF" w14:textId="7E1155E4" w:rsidR="00CC628F" w:rsidRPr="003138E7" w:rsidRDefault="00CC628F" w:rsidP="00CC628F">
      <w:pPr>
        <w:jc w:val="center"/>
        <w:rPr>
          <w:rFonts w:asciiTheme="majorBidi" w:hAnsiTheme="majorBidi" w:cstheme="majorBidi"/>
          <w:b/>
          <w:bCs/>
          <w:sz w:val="28"/>
          <w:szCs w:val="28"/>
        </w:rPr>
      </w:pPr>
      <w:r w:rsidRPr="003138E7">
        <w:rPr>
          <w:rFonts w:asciiTheme="majorBidi" w:hAnsiTheme="majorBidi" w:cstheme="majorBidi"/>
          <w:b/>
          <w:bCs/>
          <w:sz w:val="28"/>
          <w:szCs w:val="28"/>
        </w:rPr>
        <w:t>Supervised by:</w:t>
      </w:r>
      <w:r w:rsidR="004537F0">
        <w:rPr>
          <w:rFonts w:asciiTheme="majorBidi" w:hAnsiTheme="majorBidi" w:cstheme="majorBidi"/>
          <w:b/>
          <w:bCs/>
          <w:sz w:val="28"/>
          <w:szCs w:val="28"/>
        </w:rPr>
        <w:t xml:space="preserve"> D. Asma Abuaz</w:t>
      </w:r>
      <w:r w:rsidR="00CB0E53">
        <w:rPr>
          <w:rFonts w:asciiTheme="majorBidi" w:hAnsiTheme="majorBidi" w:cstheme="majorBidi"/>
          <w:b/>
          <w:bCs/>
          <w:sz w:val="28"/>
          <w:szCs w:val="28"/>
        </w:rPr>
        <w:t>eh</w:t>
      </w:r>
    </w:p>
    <w:p w14:paraId="19B50FC7" w14:textId="77777777" w:rsidR="00CC628F" w:rsidRPr="003138E7" w:rsidRDefault="00CC628F" w:rsidP="00CC628F">
      <w:pPr>
        <w:jc w:val="center"/>
        <w:rPr>
          <w:rFonts w:asciiTheme="majorBidi" w:hAnsiTheme="majorBidi" w:cstheme="majorBidi"/>
          <w:b/>
          <w:bCs/>
          <w:sz w:val="28"/>
          <w:szCs w:val="28"/>
        </w:rPr>
      </w:pPr>
    </w:p>
    <w:p w14:paraId="522AF9AB" w14:textId="77777777" w:rsidR="00CC628F" w:rsidRPr="003138E7" w:rsidRDefault="00CC628F" w:rsidP="00CC628F">
      <w:pPr>
        <w:jc w:val="center"/>
        <w:rPr>
          <w:rFonts w:asciiTheme="majorBidi" w:hAnsiTheme="majorBidi" w:cstheme="majorBidi"/>
          <w:b/>
          <w:bCs/>
          <w:sz w:val="28"/>
          <w:szCs w:val="28"/>
        </w:rPr>
      </w:pPr>
    </w:p>
    <w:p w14:paraId="55B8EDAF" w14:textId="77777777" w:rsidR="00CC628F" w:rsidRPr="003138E7" w:rsidRDefault="00CC628F" w:rsidP="00CC628F">
      <w:pPr>
        <w:jc w:val="center"/>
        <w:rPr>
          <w:rFonts w:asciiTheme="majorBidi" w:hAnsiTheme="majorBidi" w:cstheme="majorBidi"/>
          <w:b/>
          <w:bCs/>
          <w:sz w:val="28"/>
          <w:szCs w:val="28"/>
        </w:rPr>
      </w:pPr>
    </w:p>
    <w:p w14:paraId="3283473D" w14:textId="77777777" w:rsidR="00CC628F" w:rsidRPr="009125CE" w:rsidRDefault="00CC628F" w:rsidP="00CC628F">
      <w:pPr>
        <w:jc w:val="center"/>
        <w:rPr>
          <w:rFonts w:ascii="Sakkal Majalla" w:hAnsi="Sakkal Majalla" w:cs="Sakkal Majalla"/>
          <w:b/>
          <w:bCs/>
          <w:sz w:val="28"/>
          <w:szCs w:val="28"/>
        </w:rPr>
      </w:pPr>
      <w:r w:rsidRPr="003138E7">
        <w:rPr>
          <w:rFonts w:asciiTheme="majorBidi" w:hAnsiTheme="majorBidi" w:cstheme="majorBidi"/>
          <w:b/>
          <w:bCs/>
          <w:sz w:val="28"/>
          <w:szCs w:val="28"/>
        </w:rPr>
        <w:t>Year: 2024</w:t>
      </w:r>
    </w:p>
    <w:p w14:paraId="3022C168" w14:textId="77777777" w:rsidR="00CC628F" w:rsidRPr="00CC628F" w:rsidRDefault="00CC628F" w:rsidP="00CC628F">
      <w:pPr>
        <w:rPr>
          <w:rFonts w:ascii="Simplified Arabic" w:hAnsi="Simplified Arabic" w:cs="Simplified Arabic"/>
          <w:b/>
          <w:bCs/>
          <w:sz w:val="28"/>
          <w:szCs w:val="28"/>
          <w:lang w:bidi="ar-EG"/>
        </w:rPr>
      </w:pPr>
    </w:p>
    <w:sectPr w:rsidR="00CC628F" w:rsidRPr="00CC628F" w:rsidSect="00CC628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C3787"/>
    <w:multiLevelType w:val="hybridMultilevel"/>
    <w:tmpl w:val="C2BC3E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F031A"/>
    <w:multiLevelType w:val="multilevel"/>
    <w:tmpl w:val="68CA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225E9"/>
    <w:multiLevelType w:val="hybridMultilevel"/>
    <w:tmpl w:val="EB6E8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4196D"/>
    <w:multiLevelType w:val="multilevel"/>
    <w:tmpl w:val="4E5ECB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351D62"/>
    <w:multiLevelType w:val="hybridMultilevel"/>
    <w:tmpl w:val="6254B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BB20C9"/>
    <w:multiLevelType w:val="hybridMultilevel"/>
    <w:tmpl w:val="62BC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0A6470"/>
    <w:multiLevelType w:val="hybridMultilevel"/>
    <w:tmpl w:val="BEFAFC72"/>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A36634"/>
    <w:multiLevelType w:val="hybridMultilevel"/>
    <w:tmpl w:val="C6BEE3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732305"/>
    <w:multiLevelType w:val="hybridMultilevel"/>
    <w:tmpl w:val="97A2BE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C456E"/>
    <w:multiLevelType w:val="hybridMultilevel"/>
    <w:tmpl w:val="5ED453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55DF1"/>
    <w:multiLevelType w:val="hybridMultilevel"/>
    <w:tmpl w:val="69F40C6A"/>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B517A2"/>
    <w:multiLevelType w:val="hybridMultilevel"/>
    <w:tmpl w:val="0B4CA20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E9008A3"/>
    <w:multiLevelType w:val="hybridMultilevel"/>
    <w:tmpl w:val="F5542C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196014"/>
    <w:multiLevelType w:val="hybridMultilevel"/>
    <w:tmpl w:val="011A94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7418FB"/>
    <w:multiLevelType w:val="hybridMultilevel"/>
    <w:tmpl w:val="836AE1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1408175">
    <w:abstractNumId w:val="11"/>
  </w:num>
  <w:num w:numId="2" w16cid:durableId="228804316">
    <w:abstractNumId w:val="4"/>
  </w:num>
  <w:num w:numId="3" w16cid:durableId="1502308740">
    <w:abstractNumId w:val="7"/>
  </w:num>
  <w:num w:numId="4" w16cid:durableId="378362506">
    <w:abstractNumId w:val="1"/>
  </w:num>
  <w:num w:numId="5" w16cid:durableId="1341590403">
    <w:abstractNumId w:val="10"/>
  </w:num>
  <w:num w:numId="6" w16cid:durableId="1076703496">
    <w:abstractNumId w:val="3"/>
  </w:num>
  <w:num w:numId="7" w16cid:durableId="602570364">
    <w:abstractNumId w:val="6"/>
  </w:num>
  <w:num w:numId="8" w16cid:durableId="632105020">
    <w:abstractNumId w:val="5"/>
  </w:num>
  <w:num w:numId="9" w16cid:durableId="848369106">
    <w:abstractNumId w:val="9"/>
  </w:num>
  <w:num w:numId="10" w16cid:durableId="748044044">
    <w:abstractNumId w:val="12"/>
  </w:num>
  <w:num w:numId="11" w16cid:durableId="1101099848">
    <w:abstractNumId w:val="13"/>
  </w:num>
  <w:num w:numId="12" w16cid:durableId="2081324735">
    <w:abstractNumId w:val="8"/>
  </w:num>
  <w:num w:numId="13" w16cid:durableId="564727991">
    <w:abstractNumId w:val="14"/>
  </w:num>
  <w:num w:numId="14" w16cid:durableId="1931544793">
    <w:abstractNumId w:val="2"/>
  </w:num>
  <w:num w:numId="15" w16cid:durableId="1602685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1CA"/>
    <w:rsid w:val="00001F62"/>
    <w:rsid w:val="002A2BA2"/>
    <w:rsid w:val="002F2AD3"/>
    <w:rsid w:val="004537F0"/>
    <w:rsid w:val="006F0B20"/>
    <w:rsid w:val="00740472"/>
    <w:rsid w:val="008011CA"/>
    <w:rsid w:val="008257D0"/>
    <w:rsid w:val="008B68E8"/>
    <w:rsid w:val="009D3300"/>
    <w:rsid w:val="009D3FFD"/>
    <w:rsid w:val="00A26BFE"/>
    <w:rsid w:val="00A55F75"/>
    <w:rsid w:val="00B719BB"/>
    <w:rsid w:val="00B8048F"/>
    <w:rsid w:val="00B94371"/>
    <w:rsid w:val="00BA4BF1"/>
    <w:rsid w:val="00C075D7"/>
    <w:rsid w:val="00C60FE7"/>
    <w:rsid w:val="00CB0E53"/>
    <w:rsid w:val="00CC628F"/>
    <w:rsid w:val="00E7685E"/>
    <w:rsid w:val="00F13D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E060F1"/>
  <w15:chartTrackingRefBased/>
  <w15:docId w15:val="{A45E3F4A-42D2-42C9-A056-6600CD480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628F"/>
    <w:pPr>
      <w:bidi/>
      <w:spacing w:line="259" w:lineRule="auto"/>
    </w:pPr>
    <w:rPr>
      <w:sz w:val="22"/>
      <w:szCs w:val="22"/>
    </w:rPr>
  </w:style>
  <w:style w:type="paragraph" w:styleId="1">
    <w:name w:val="heading 1"/>
    <w:basedOn w:val="a"/>
    <w:next w:val="a"/>
    <w:link w:val="1Char"/>
    <w:uiPriority w:val="9"/>
    <w:qFormat/>
    <w:rsid w:val="00801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01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011C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011C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011C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011C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011C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011C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011C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011C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011C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011C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011C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011CA"/>
    <w:rPr>
      <w:rFonts w:eastAsiaTheme="majorEastAsia" w:cstheme="majorBidi"/>
      <w:color w:val="0F4761" w:themeColor="accent1" w:themeShade="BF"/>
    </w:rPr>
  </w:style>
  <w:style w:type="character" w:customStyle="1" w:styleId="6Char">
    <w:name w:val="عنوان 6 Char"/>
    <w:basedOn w:val="a0"/>
    <w:link w:val="6"/>
    <w:uiPriority w:val="9"/>
    <w:semiHidden/>
    <w:rsid w:val="008011CA"/>
    <w:rPr>
      <w:rFonts w:eastAsiaTheme="majorEastAsia" w:cstheme="majorBidi"/>
      <w:i/>
      <w:iCs/>
      <w:color w:val="595959" w:themeColor="text1" w:themeTint="A6"/>
    </w:rPr>
  </w:style>
  <w:style w:type="character" w:customStyle="1" w:styleId="7Char">
    <w:name w:val="عنوان 7 Char"/>
    <w:basedOn w:val="a0"/>
    <w:link w:val="7"/>
    <w:uiPriority w:val="9"/>
    <w:semiHidden/>
    <w:rsid w:val="008011CA"/>
    <w:rPr>
      <w:rFonts w:eastAsiaTheme="majorEastAsia" w:cstheme="majorBidi"/>
      <w:color w:val="595959" w:themeColor="text1" w:themeTint="A6"/>
    </w:rPr>
  </w:style>
  <w:style w:type="character" w:customStyle="1" w:styleId="8Char">
    <w:name w:val="عنوان 8 Char"/>
    <w:basedOn w:val="a0"/>
    <w:link w:val="8"/>
    <w:uiPriority w:val="9"/>
    <w:semiHidden/>
    <w:rsid w:val="008011CA"/>
    <w:rPr>
      <w:rFonts w:eastAsiaTheme="majorEastAsia" w:cstheme="majorBidi"/>
      <w:i/>
      <w:iCs/>
      <w:color w:val="272727" w:themeColor="text1" w:themeTint="D8"/>
    </w:rPr>
  </w:style>
  <w:style w:type="character" w:customStyle="1" w:styleId="9Char">
    <w:name w:val="عنوان 9 Char"/>
    <w:basedOn w:val="a0"/>
    <w:link w:val="9"/>
    <w:uiPriority w:val="9"/>
    <w:semiHidden/>
    <w:rsid w:val="008011CA"/>
    <w:rPr>
      <w:rFonts w:eastAsiaTheme="majorEastAsia" w:cstheme="majorBidi"/>
      <w:color w:val="272727" w:themeColor="text1" w:themeTint="D8"/>
    </w:rPr>
  </w:style>
  <w:style w:type="paragraph" w:styleId="a3">
    <w:name w:val="Title"/>
    <w:basedOn w:val="a"/>
    <w:next w:val="a"/>
    <w:link w:val="Char"/>
    <w:uiPriority w:val="10"/>
    <w:qFormat/>
    <w:rsid w:val="00801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011C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011C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011C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011CA"/>
    <w:pPr>
      <w:spacing w:before="160"/>
      <w:jc w:val="center"/>
    </w:pPr>
    <w:rPr>
      <w:i/>
      <w:iCs/>
      <w:color w:val="404040" w:themeColor="text1" w:themeTint="BF"/>
    </w:rPr>
  </w:style>
  <w:style w:type="character" w:customStyle="1" w:styleId="Char1">
    <w:name w:val="اقتباس Char"/>
    <w:basedOn w:val="a0"/>
    <w:link w:val="a5"/>
    <w:uiPriority w:val="29"/>
    <w:rsid w:val="008011CA"/>
    <w:rPr>
      <w:i/>
      <w:iCs/>
      <w:color w:val="404040" w:themeColor="text1" w:themeTint="BF"/>
    </w:rPr>
  </w:style>
  <w:style w:type="paragraph" w:styleId="a6">
    <w:name w:val="List Paragraph"/>
    <w:basedOn w:val="a"/>
    <w:uiPriority w:val="34"/>
    <w:qFormat/>
    <w:rsid w:val="008011CA"/>
    <w:pPr>
      <w:ind w:left="720"/>
      <w:contextualSpacing/>
    </w:pPr>
  </w:style>
  <w:style w:type="character" w:styleId="a7">
    <w:name w:val="Intense Emphasis"/>
    <w:basedOn w:val="a0"/>
    <w:uiPriority w:val="21"/>
    <w:qFormat/>
    <w:rsid w:val="008011CA"/>
    <w:rPr>
      <w:i/>
      <w:iCs/>
      <w:color w:val="0F4761" w:themeColor="accent1" w:themeShade="BF"/>
    </w:rPr>
  </w:style>
  <w:style w:type="paragraph" w:styleId="a8">
    <w:name w:val="Intense Quote"/>
    <w:basedOn w:val="a"/>
    <w:next w:val="a"/>
    <w:link w:val="Char2"/>
    <w:uiPriority w:val="30"/>
    <w:qFormat/>
    <w:rsid w:val="00801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011CA"/>
    <w:rPr>
      <w:i/>
      <w:iCs/>
      <w:color w:val="0F4761" w:themeColor="accent1" w:themeShade="BF"/>
    </w:rPr>
  </w:style>
  <w:style w:type="character" w:styleId="a9">
    <w:name w:val="Intense Reference"/>
    <w:basedOn w:val="a0"/>
    <w:uiPriority w:val="32"/>
    <w:qFormat/>
    <w:rsid w:val="008011CA"/>
    <w:rPr>
      <w:b/>
      <w:bCs/>
      <w:smallCaps/>
      <w:color w:val="0F4761" w:themeColor="accent1" w:themeShade="BF"/>
      <w:spacing w:val="5"/>
    </w:rPr>
  </w:style>
  <w:style w:type="paragraph" w:styleId="aa">
    <w:name w:val="caption"/>
    <w:basedOn w:val="a"/>
    <w:next w:val="a"/>
    <w:uiPriority w:val="35"/>
    <w:unhideWhenUsed/>
    <w:qFormat/>
    <w:rsid w:val="00CC628F"/>
    <w:pPr>
      <w:spacing w:after="200" w:line="240" w:lineRule="auto"/>
    </w:pPr>
    <w:rPr>
      <w:i/>
      <w:iCs/>
      <w:color w:val="0E2841" w:themeColor="text2"/>
      <w:sz w:val="18"/>
      <w:szCs w:val="18"/>
    </w:rPr>
  </w:style>
  <w:style w:type="paragraph" w:styleId="ab">
    <w:name w:val="Bibliography"/>
    <w:basedOn w:val="a"/>
    <w:next w:val="a"/>
    <w:uiPriority w:val="37"/>
    <w:unhideWhenUsed/>
    <w:rsid w:val="00CC6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242053">
      <w:bodyDiv w:val="1"/>
      <w:marLeft w:val="0"/>
      <w:marRight w:val="0"/>
      <w:marTop w:val="0"/>
      <w:marBottom w:val="0"/>
      <w:divBdr>
        <w:top w:val="none" w:sz="0" w:space="0" w:color="auto"/>
        <w:left w:val="none" w:sz="0" w:space="0" w:color="auto"/>
        <w:bottom w:val="none" w:sz="0" w:space="0" w:color="auto"/>
        <w:right w:val="none" w:sz="0" w:space="0" w:color="auto"/>
      </w:divBdr>
    </w:div>
    <w:div w:id="108503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SHA22</b:Tag>
    <b:SourceType>JournalArticle</b:SourceType>
    <b:Guid>{3496F4F9-11E5-4BE1-B329-2DA5F2292CB5}</b:Guid>
    <b:Author>
      <b:Author>
        <b:NameList>
          <b:Person>
            <b:Last>SHARMA</b:Last>
            <b:First>ANIRUDDHA</b:First>
          </b:Person>
        </b:NameList>
      </b:Author>
    </b:Author>
    <b:Title>Change Management in Societal Transformation: The Case of Saudi Arabia’s ‘Vision 2030’</b:Title>
    <b:Year>2022</b:Year>
    <b:URL>https://www.orfonline.org/research/change-management-in-societal-transformation</b:URL>
    <b:RefOrder>1</b:RefOrder>
  </b:Source>
  <b:Source>
    <b:Tag>Sam24</b:Tag>
    <b:SourceType>JournalArticle</b:SourceType>
    <b:Guid>{FCD796D2-C814-4B81-9906-4941966A94F0}</b:Guid>
    <b:Title>Change management and its relationship to developing sports activities in Saudi universities -Kingdom Vision 2030</b:Title>
    <b:Year>2024</b:Year>
    <b:Author>
      <b:Author>
        <b:NameList>
          <b:Person>
            <b:Last>Sayyd</b:Last>
            <b:First>Sameer</b:First>
            <b:Middle>Mohammed</b:Middle>
          </b:Person>
        </b:NameList>
      </b:Author>
    </b:Author>
    <b:URL>https://www.researchgate.net/publication/379036314_Change_management_and_its_relationship_to_developing_sports_activities_in_Saudi_universities_-Kingdom_Vision_2030</b:URL>
    <b:RefOrder>2</b:RefOrder>
  </b:Source>
  <b:Source>
    <b:Tag>Alf241</b:Tag>
    <b:SourceType>JournalArticle</b:SourceType>
    <b:Guid>{AD64186F-A29A-4B46-8CFF-5B5F1173356F}</b:Guid>
    <b:Author>
      <b:Author>
        <b:NameList>
          <b:Person>
            <b:Last>Alfozan</b:Last>
            <b:First>Anas</b:First>
            <b:Middle>Abdullah</b:Middle>
          </b:Person>
        </b:NameList>
      </b:Author>
    </b:Author>
    <b:Title>Leadership Dynamics in Organizational Change: An In-Depth Exploration of Public and Private Sectors in Saudi Arabia</b:Title>
    <b:Year>2024</b:Year>
    <b:URL>https://www.researchgate.net/publication/377743040_Leadership_Dynamics_in_Organizational_Change_An_In-Depth_Exploration_of_Public_and_Private_Sectors_in_Saudi_Arabia</b:URL>
    <b:RefOrder>3</b:RefOrder>
  </b:Source>
  <b:Source>
    <b:Tag>Jal16</b:Tag>
    <b:SourceType>JournalArticle</b:SourceType>
    <b:Guid>{0DD61772-43F9-43AD-9A17-ADC4CC703168}</b:Guid>
    <b:Author>
      <b:Author>
        <b:NameList>
          <b:Person>
            <b:Last>Jalagat</b:Last>
            <b:First>Revenio</b:First>
          </b:Person>
        </b:NameList>
      </b:Author>
    </b:Author>
    <b:Title>The Impact of Change and Change Management in Achieving Corporate Goals and Objectives: Organizational Perspective</b:Title>
    <b:Year>2016</b:Year>
    <b:URL>https://www.researchgate.net/publication/310828676_The_Impact_of_Change_and_Change_Management_in_Achieving_Corporate_Goals_and_Objectives_Organizational_Perspective</b:URL>
    <b:RefOrder>4</b:RefOrder>
  </b:Source>
  <b:Source>
    <b:Tag>Mel18</b:Tag>
    <b:SourceType>JournalArticle</b:SourceType>
    <b:Guid>{24945434-C2B3-47F8-980C-3D7DAF731FF6}</b:Guid>
    <b:Author>
      <b:Author>
        <b:NameList>
          <b:Person>
            <b:Last>Melo</b:Last>
            <b:First>Veriene</b:First>
          </b:Person>
        </b:NameList>
      </b:Author>
    </b:Author>
    <b:Title>Collaborative Efforts for Sustainable Development: Surveying the Literature on Multi-Stakeholder Initiatives to Realize the Sustainable Development Goals</b:Title>
    <b:Year>2018</b:Year>
    <b:URL>https://www.researchgate.net/publication/328118980_Collaborative_Efforts_for_Sustainable_Development_Surveying_the_Literature_on_Multi-Stakeholder_Initiatives_to_Realize_the_Sustainable_Development_Goals</b:URL>
    <b:RefOrder>5</b:RefOrder>
  </b:Source>
  <b:Source>
    <b:Tag>Owa23</b:Tag>
    <b:SourceType>JournalArticle</b:SourceType>
    <b:Guid>{8F597B2F-BC18-4D23-BB93-3C8D3F633EBD}</b:Guid>
    <b:Author>
      <b:Author>
        <b:NameList>
          <b:Person>
            <b:Last>Owad</b:Last>
            <b:First>Ali</b:First>
            <b:Middle>Al</b:Middle>
          </b:Person>
        </b:NameList>
      </b:Author>
    </b:Author>
    <b:Title>Integrated Lean Six Sigma and Kotter change management framework for emergency healthcare services in Saudi Arabia</b:Title>
    <b:Year>2023</b:Year>
    <b:URL>https://www.researchgate.net/publication/376451451_Integrated_Lean_Six_Sigma_and_Kotter_change_management_framework_for_emergency_healthcare_services_in_Saudi_Arabia</b:URL>
    <b:RefOrder>6</b:RefOrder>
  </b:Source>
  <b:Source>
    <b:Tag>Isl24</b:Tag>
    <b:SourceType>JournalArticle</b:SourceType>
    <b:Guid>{54516200-AC29-43B4-898A-939FC42744CE}</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7</b:RefOrder>
  </b:Source>
  <b:Source>
    <b:Tag>All161</b:Tag>
    <b:SourceType>JournalArticle</b:SourceType>
    <b:Guid>{4AEF0336-08AE-430D-91A5-5DA32A765913}</b:Guid>
    <b:Author>
      <b:Author>
        <b:NameList>
          <b:Person>
            <b:Last>Allen</b:Last>
            <b:First>Myria</b:First>
            <b:Middle>Watkins</b:Middle>
          </b:Person>
        </b:NameList>
      </b:Author>
    </b:Author>
    <b:Title>Transformational Organizational Change, Reinforcing Structures, and Formal Communication</b:Title>
    <b:Year>2016</b:Year>
    <b:URL>https://www.researchgate.net/publication/300642857_Transformational_Organizational_Change_Reinforcing_Structures_and_Formal_Communication</b:URL>
    <b:RefOrder>8</b:RefOrder>
  </b:Source>
  <b:Source>
    <b:Tag>Phi22</b:Tag>
    <b:SourceType>JournalArticle</b:SourceType>
    <b:Guid>{6B4968DE-FEDE-4298-A2C4-EF6569C55829}</b:Guid>
    <b:Author>
      <b:Author>
        <b:NameList>
          <b:Person>
            <b:Last>Phillips</b:Last>
            <b:First>Jeffrey</b:First>
          </b:Person>
        </b:NameList>
      </b:Author>
    </b:Author>
    <b:Title>Change Management: From Theory to Practice</b:Title>
    <b:Year>2022</b:Year>
    <b:URL>https://www.researchgate.net/publication/363424646_Change_Management_From_Theory_to_Practice</b:URL>
    <b:RefOrder>9</b:RefOrder>
  </b:Source>
  <b:Source>
    <b:Tag>Bra18</b:Tag>
    <b:SourceType>JournalArticle</b:SourceType>
    <b:Guid>{E05F8DA6-8ECA-4907-A907-AB61EA04E891}</b:Guid>
    <b:Author>
      <b:Author>
        <b:NameList>
          <b:Person>
            <b:Last>Bratianu</b:Last>
            <b:First>Constantin</b:First>
          </b:Person>
        </b:NameList>
      </b:Author>
    </b:Author>
    <b:Title>Organizational Learning and the Learning Organization</b:Title>
    <b:Year>2018</b:Year>
    <b:URL>https://www.researchgate.net/publication/322235340_Organizational_Learning_and_the_Learning_Organization</b:URL>
    <b:RefOrder>10</b:RefOrder>
  </b:Source>
  <b:Source>
    <b:Tag>Gro19</b:Tag>
    <b:SourceType>JournalArticle</b:SourceType>
    <b:Guid>{C06311A0-928C-42E7-AA4B-E581F8F64D15}</b:Guid>
    <b:Author>
      <b:Author>
        <b:NameList>
          <b:Person>
            <b:Last>Groenland</b:Last>
            <b:First>Edward</b:First>
          </b:Person>
        </b:NameList>
      </b:Author>
    </b:Author>
    <b:Title>Qualitative Methodologies and Data Collection Methods: Toward Increased Rigour in Management Research</b:Title>
    <b:Year>2019</b:Year>
    <b:URL>https://www.researchgate.net/publication/332848503_Qualitative_Methodologies_and_Data_Collection_Methods_Toward_Increased_Rigour_in_Management_Research</b:URL>
    <b:RefOrder>11</b:RefOrder>
  </b:Source>
  <b:Source>
    <b:Tag>Alh181</b:Tag>
    <b:SourceType>JournalArticle</b:SourceType>
    <b:Guid>{C4A54309-5DEB-469F-B49A-C642F77F1350}</b:Guid>
    <b:Author>
      <b:Author>
        <b:NameList>
          <b:Person>
            <b:Last>Alharbi</b:Last>
            <b:First>Mohammad</b:First>
            <b:Middle>F.</b:Middle>
          </b:Person>
        </b:NameList>
      </b:Author>
    </b:Author>
    <b:Title>An analysis of the Saudi health-care system’s readiness to change in the context of the Saudi National Health-care Plan in Vision 2030</b:Title>
    <b:Year>2018</b:Year>
    <b:URL>https://www.ncbi.nlm.nih.gov/pmc/articles/PMC5969787/</b:URL>
    <b:RefOrder>12</b:RefOrder>
  </b:Source>
  <b:Source>
    <b:Tag>Mit181</b:Tag>
    <b:SourceType>JournalArticle</b:SourceType>
    <b:Guid>{BE05320B-8E4D-458D-8DF5-3FBB37B1F66A}</b:Guid>
    <b:Author>
      <b:Author>
        <b:NameList>
          <b:Person>
            <b:Last>Mitchell</b:Last>
            <b:First>Brendan</b:First>
          </b:Person>
        </b:NameList>
      </b:Author>
    </b:Author>
    <b:Title>The Kingdom of Saudi Arabia: Achieving the Aspirations of the National Transformation Program 2020 and Saudi Vision 2030 Through Education</b:Title>
    <b:Year>2018</b:Year>
    <b:URL>https://www.researchgate.net/publication/329887694_The_Kingdom_of_Saudi_Arabia_Achieving_the_Aspirations_of_the_National_Transformation_Program_2020_and_Saudi_Vision_2030_Through_Education</b:URL>
    <b:RefOrder>13</b:RefOrder>
  </b:Source>
  <b:Source>
    <b:Tag>Alh19</b:Tag>
    <b:SourceType>JournalArticle</b:SourceType>
    <b:Guid>{1F640B09-4D94-4C43-B0C5-650DFE62FFF4}</b:Guid>
    <b:Author>
      <b:Author>
        <b:NameList>
          <b:Person>
            <b:Last>Alharbi</b:Last>
            <b:First>Awad</b:First>
            <b:Middle>Saleh</b:Middle>
          </b:Person>
        </b:NameList>
      </b:Author>
    </b:Author>
    <b:Title>Assessment of Organizational Digital Transformation in Saudi Arabia</b:Title>
    <b:Year>2019</b:Year>
    <b:URL>https://ieeexplore.ieee.org/abstract/document/8991307</b:URL>
    <b:RefOrder>14</b:RefOrder>
  </b:Source>
  <b:Source>
    <b:Tag>Mak21</b:Tag>
    <b:SourceType>JournalArticle</b:SourceType>
    <b:Guid>{0FEB73E2-D533-4C86-AC27-CA3389F6ABBE}</b:Guid>
    <b:Author>
      <b:Author>
        <b:NameList>
          <b:Person>
            <b:Last>Makhlouf</b:Last>
            <b:First>Asmaa</b:First>
            <b:Middle>Mohamed El Sayed</b:Middle>
          </b:Person>
        </b:NameList>
      </b:Author>
    </b:Author>
    <b:Title>Saudi Schools’ Openness to Change in Light of the 2030 Vision</b:Title>
    <b:Year>2021</b:Year>
    <b:URL>https://pubs.sciepub.com/education/9/1/6/index.html</b:URL>
    <b:RefOrder>15</b:RefOrder>
  </b:Source>
  <b:Source>
    <b:Tag>Ala223</b:Tag>
    <b:SourceType>JournalArticle</b:SourceType>
    <b:Guid>{63ED88F7-D0F0-4188-8ACF-D61259DC8684}</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16</b:RefOrder>
  </b:Source>
  <b:Source>
    <b:Tag>ALS19</b:Tag>
    <b:SourceType>JournalArticle</b:SourceType>
    <b:Guid>{65B4F5C0-F967-4608-8ED4-137460CFBB83}</b:Guid>
    <b:Author>
      <b:Author>
        <b:NameList>
          <b:Person>
            <b:Last>ALSharari</b:Last>
            <b:First>Mufadhi</b:First>
            <b:Middle>Ratyan Mufadhi</b:Middle>
          </b:Person>
        </b:NameList>
      </b:Author>
    </b:Author>
    <b:Title>Evaluating Universities’ Readiness in Qualifying Graduates to Achieve Saudi Vision 2030: A Constructive Analysis of Baldrige Scale</b:Title>
    <b:Year>2019</b:Year>
    <b:URL>https://journals.sagepub.com/doi/full/10.1177/0013124519877152?casa_token=2sxto48xJ-0AAAAA%3AMPzxBP0uoBDjQRQ5d8NFDpPn2K8bqdSQnnY4fAfXcQ9P4XWDxxOOQLLb6oNVY01-QXRd_4NnaGDqmA</b:URL>
    <b:RefOrder>17</b:RefOrder>
  </b:Source>
  <b:Source>
    <b:Tag>Alh182</b:Tag>
    <b:SourceType>JournalArticle</b:SourceType>
    <b:Guid>{622180F6-AFF1-4DB3-9A34-E4B3D4C7410E}</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https://www.researchgate.net/publication/324185967_An_investigation_of_the_saudi_healthcare_system's_readiness_for_change_in_the_light_of_vision_2030_The_role_of_transformational_leadership_style</b:URL>
    <b:RefOrder>18</b:RefOrder>
  </b:Source>
  <b:Source>
    <b:Tag>Sha241</b:Tag>
    <b:SourceType>JournalArticle</b:SourceType>
    <b:Guid>{49728350-D07D-4507-B9F7-31392F7C7A07}</b:Guid>
    <b:Author>
      <b:Author>
        <b:NameList>
          <b:Person>
            <b:Last>Shamlan</b:Last>
            <b:First>Abdulrahman</b:First>
            <b:Middle>Eidhah Al</b:Middle>
          </b:Person>
        </b:NameList>
      </b:Author>
    </b:Author>
    <b:Title>Resilient Leadership: A Study Connecting Saudi Vision 2030 and the Higher Education Sector</b:Title>
    <b:Year>2024</b:Year>
    <b:URL>https://vuir.vu.edu.au/47555/1/AL_SHAMLAN_Abdulrahman-Thesis.pdf</b:URL>
    <b:RefOrder>19</b:RefOrder>
  </b:Source>
  <b:Source>
    <b:Tag>Joh19</b:Tag>
    <b:SourceType>JournalArticle</b:SourceType>
    <b:Guid>{388249EF-1CD7-4517-9906-E0581A26A4F1}</b:Guid>
    <b:Author>
      <b:Author>
        <b:NameList>
          <b:Person>
            <b:Last>Johani</b:Last>
            <b:First>Yaseen</b:First>
            <b:Middle>Salim Al</b:Middle>
          </b:Person>
        </b:NameList>
      </b:Author>
    </b:Author>
    <b:Title>Saudi Arabian Secondary School Leaders and Subordinates’ Preparedness for Change into Transformational Leadership: an exploratory study of the teachers’ perceptions</b:Title>
    <b:Year>2019</b:Year>
    <b:URL>https://jsrep.journals.ekb.eg/article_70198_0342ca6f78cc1c8ed621e3721836d5fb.pdf</b:URL>
    <b:RefOrder>20</b:RefOrder>
  </b:Source>
  <b:Source>
    <b:Tag>Ins22</b:Tag>
    <b:SourceType>JournalArticle</b:SourceType>
    <b:Guid>{9BA92555-5A4A-428D-8055-40740A4D2ACD}</b:Guid>
    <b:Author>
      <b:Author>
        <b:NameList>
          <b:Person>
            <b:Last>Insights</b:Last>
            <b:First>Health</b:First>
            <b:Middle>Serv</b:Middle>
          </b:Person>
        </b:NameList>
      </b:Author>
    </b:Author>
    <b:Title>Healthcare Transformation in Saudi Arabia: An Overview Since the Launch of Vision 2030</b:Title>
    <b:Year>2022</b:Year>
    <b:URL>https://www.ncbi.nlm.nih.gov/pmc/articles/PMC9445529/</b:URL>
    <b:RefOrder>21</b:RefOrder>
  </b:Source>
  <b:Source>
    <b:Tag>She24</b:Tag>
    <b:SourceType>JournalArticle</b:SourceType>
    <b:Guid>{32924292-EB64-4298-B8D7-D811A381F73A}</b:Guid>
    <b:Author>
      <b:Author>
        <b:NameList>
          <b:Person>
            <b:Last>Shehri</b:Last>
            <b:First>Mohammed</b:First>
            <b:Middle>Al</b:Middle>
          </b:Person>
        </b:NameList>
      </b:Author>
    </b:Author>
    <b:Title>The Influence of Culture on Organizational Culture: A Saudi Arabia Case Study</b:Title>
    <b:Year>2024</b:Year>
    <b:URL>https://www.abacademies.org/articles/the-influence-of-culture-on-organizational-culture-saudi-arabia-case-study-16768.html</b:URL>
    <b:RefOrder>22</b:RefOrder>
  </b:Source>
  <b:Source>
    <b:Tag>Alk18</b:Tag>
    <b:SourceType>JournalArticle</b:SourceType>
    <b:Guid>{ED96A32B-053D-4690-B480-C2680C678B3D}</b:Guid>
    <b:Author>
      <b:Author>
        <b:NameList>
          <b:Person>
            <b:Last>Alkhoraif</b:Last>
            <b:First>Abdullah</b:First>
          </b:Person>
        </b:NameList>
      </b:Author>
    </b:Author>
    <b:Title>Lean implementation within manufacturing SMEs in Saudi Arabia: Organizational culture aspects</b:Title>
    <b:Year>2018</b:Year>
    <b:URL>https://www.sciencedirect.com/science/article/pii/S1018363918300631</b:URL>
    <b:RefOrder>23</b:RefOrder>
  </b:Source>
  <b:Source>
    <b:Tag>Ase24</b:Tag>
    <b:SourceType>JournalArticle</b:SourceType>
    <b:Guid>{0D117D6F-56CD-4694-A651-8F6C848C21E3}</b:Guid>
    <b:Author>
      <b:Author>
        <b:NameList>
          <b:Person>
            <b:Last>Asem</b:Last>
            <b:First>Alnasser</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24</b:RefOrder>
  </b:Source>
  <b:Source>
    <b:Tag>Aln242</b:Tag>
    <b:SourceType>JournalArticle</b:SourceType>
    <b:Guid>{DADD5F91-F967-4AD1-9243-D8A852F17F3A}</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https://www.researchgate.net/publication/378544191_Navigating_Digital_Transformation_in_Alignment_with_Vision_2030_A_Review_of_Organizational_Strategies_Innovations_and_Implications_in_Saudi_Arabia/fulltext/65df35d6e7670d36abe32d22/Navigating-Digital-Tran</b:URL>
    <b:RefOrder>25</b:RefOrder>
  </b:Source>
  <b:Source>
    <b:Tag>Bah24</b:Tag>
    <b:SourceType>JournalArticle</b:SourceType>
    <b:Guid>{911B74C4-F259-4C85-85DA-069CFC9F23D7}</b:Guid>
    <b:Author>
      <b:Author>
        <b:NameList>
          <b:Person>
            <b:Last>Bah</b:Last>
            <b:First>Obrey</b:First>
            <b:Middle>Patrick</b:Middle>
          </b:Person>
        </b:NameList>
      </b:Author>
    </b:Author>
    <b:Title>Effectiveness of Organizational Change through Employee Involvement: Evidence from Telecommunications and Refinery Companies</b:Title>
    <b:Year>2024</b:Year>
    <b:URL>https://www.researchgate.net/publication/379103723_Effectiveness_of_Organizational_Change_through_Employee_Involvement_Evidence_from_Telecommunications_and_Refinery_Companies</b:URL>
    <b:RefOrder>26</b:RefOrder>
  </b:Source>
  <b:Source>
    <b:Tag>Gkr23</b:Tag>
    <b:SourceType>JournalArticle</b:SourceType>
    <b:Guid>{48A3DFE6-AFFC-4229-8951-53172012B74E}</b:Guid>
    <b:Author>
      <b:Author>
        <b:NameList>
          <b:Person>
            <b:Last>Gkrimpizi</b:Last>
            <b:First>Thomais</b:First>
          </b:Person>
        </b:NameList>
      </b:Author>
    </b:Author>
    <b:Title>Classification of Barriers to Digital Transformation in Higher Education Institutions: Systematic Literature Review</b:Title>
    <b:Year>2023</b:Year>
    <b:URL>https://www.mdpi.com/2227-7102/13/7/746</b:URL>
    <b:RefOrder>27</b:RefOrder>
  </b:Source>
  <b:Source>
    <b:Tag>Res201</b:Tag>
    <b:SourceType>JournalArticle</b:SourceType>
    <b:Guid>{E88565AD-129C-4A13-A15C-CEF6A2AB509C}</b:Guid>
    <b:Title>Resistance to Change: Causes and Strategies as an Organizational Challenge</b:Title>
    <b:Year>2020</b:Year>
    <b:URL>https://www.researchgate.net/publication/339190336_Resistance_to_Change_Causes_and_Strategies_as_an_Organizational_Challenge</b:URL>
    <b:Author>
      <b:Author>
        <b:NameList>
          <b:Person>
            <b:Last>Damawan</b:Last>
            <b:First>Ahmad</b:First>
            <b:Middle>Hafizh</b:Middle>
          </b:Person>
        </b:NameList>
      </b:Author>
    </b:Author>
    <b:RefOrder>28</b:RefOrder>
  </b:Source>
  <b:Source>
    <b:Tag>Ale211</b:Tag>
    <b:SourceType>JournalArticle</b:SourceType>
    <b:Guid>{CC0438C0-A621-4B16-82B8-899C03352914}</b:Guid>
    <b:Author>
      <b:Author>
        <b:NameList>
          <b:Person>
            <b:Last>Alenezi</b:Last>
            <b:First>Hamood</b:First>
          </b:Person>
        </b:NameList>
      </b:Author>
    </b:Author>
    <b:Title>Challenges facing Saudi public sector leaders during change</b:Title>
    <b:Year>2021</b:Year>
    <b:URL>https://science-gate.com/IJAAS/Articles/2021/2021-8-12/1021833ijaas202112003.pdf</b:URL>
    <b:RefOrder>29</b:RefOrder>
  </b:Source>
  <b:Source>
    <b:Tag>Aja24</b:Tag>
    <b:SourceType>JournalArticle</b:SourceType>
    <b:Guid>{7FE51AB8-C0F1-4E80-96AF-ECC6EF266B5F}</b:Guid>
    <b:Author>
      <b:Author>
        <b:NameList>
          <b:Person>
            <b:Last>Ajayi-Nifise</b:Last>
            <b:First>Adeola</b:First>
          </b:Person>
        </b:NameList>
      </b:Author>
    </b:Author>
    <b:Title>THE ROLE OF GOVERNMENT POLICY IN FOSTERING ENTREPRENEURSHIP: A USA AND AFRICA REVIEW</b:Title>
    <b:Year>2024</b:Year>
    <b:URL>https://www.researchgate.net/publication/378302140_THE_ROLE_OF_GOVERNMENT_POLICY_IN_FOSTERING_ENTREPRENEURSHIP_A_USA_AND_AFRICA_REVIEW</b:URL>
    <b:RefOrder>30</b:RefOrder>
  </b:Source>
  <b:Source>
    <b:Tag>Naj</b:Tag>
    <b:SourceType>JournalArticle</b:SourceType>
    <b:Guid>{7B38AA89-39F6-4549-BCCF-76AB5AE47481}</b:Guid>
    <b:Author>
      <b:Author>
        <b:NameList>
          <b:Person>
            <b:Last>Najjar</b:Last>
            <b:First>Riyadh</b:First>
            <b:Middle>Al</b:Middle>
          </b:Person>
        </b:NameList>
      </b:Author>
    </b:Author>
    <b:Title>Assessing Saudi Arabia’s Vision 2030 progress</b:Title>
    <b:URL>https://www.agbi.com/opinion/economy/2023/11/riyadh-al-najjar-assessing-saudi-arabias-vision-2030-progress/?gad_source=1&amp;gclid=CjwKCAjwyo60BhBiEiwAHmVLJW8vuKLaUNy5r5cia48lCvG9bgNqE6tp_Ho6rn8sOagy0vRrPuYxVBoCFi8QAvD_BwE</b:URL>
    <b:Year>2022</b:Year>
    <b:RefOrder>31</b:RefOrder>
  </b:Source>
  <b:Source>
    <b:Tag>Gcu23</b:Tag>
    <b:SourceType>JournalArticle</b:SourceType>
    <b:Guid>{46F88ABD-7D4E-4576-8C4F-C6EE0DCC397B}</b:Guid>
    <b:Author>
      <b:Author>
        <b:NameList>
          <b:Person>
            <b:Last>Gcume</b:Last>
            <b:First>Andiswa</b:First>
          </b:Person>
        </b:NameList>
      </b:Author>
    </b:Author>
    <b:Title>The Effectiveness of Public-Private Partnerships in Supporting SME Development: A Comparative Analysis of Different Partnership Models</b:Title>
    <b:Year>2023</b:Year>
    <b:URL>https://www.researchgate.net/publication/370953418_The_Effectiveness_of_Public-Private_Partnerships_in_Supporting_SME_Development_A_Comparative_Analysis_of_Different_Partnership_Models</b:URL>
    <b:RefOrder>32</b:RefOrder>
  </b:Source>
</b:Sources>
</file>

<file path=customXml/itemProps1.xml><?xml version="1.0" encoding="utf-8"?>
<ds:datastoreItem xmlns:ds="http://schemas.openxmlformats.org/officeDocument/2006/customXml" ds:itemID="{095DB73A-0E7B-424C-8A2F-F18A7EB48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35</Pages>
  <Words>8883</Words>
  <Characters>50636</Characters>
  <Application>Microsoft Office Word</Application>
  <DocSecurity>0</DocSecurity>
  <Lines>421</Lines>
  <Paragraphs>118</Paragraphs>
  <ScaleCrop>false</ScaleCrop>
  <Company/>
  <LinksUpToDate>false</LinksUpToDate>
  <CharactersWithSpaces>59401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Abdulelah</cp:lastModifiedBy>
  <cp:revision>8</cp:revision>
  <dcterms:created xsi:type="dcterms:W3CDTF">2024-08-05T17:39:00Z</dcterms:created>
  <dcterms:modified xsi:type="dcterms:W3CDTF">2024-10-15T15:14:00Z</dcterms:modified>
</cp:coreProperties>
</file>