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8E1E86E" w:rsidR="009125CE" w:rsidRPr="00E755B4" w:rsidRDefault="00B51676" w:rsidP="00B5167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755B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54D8535">
            <wp:simplePos x="0" y="0"/>
            <wp:positionH relativeFrom="margin">
              <wp:posOffset>179070</wp:posOffset>
            </wp:positionH>
            <wp:positionV relativeFrom="margin">
              <wp:posOffset>-300990</wp:posOffset>
            </wp:positionV>
            <wp:extent cx="1830705" cy="1698999"/>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8999"/>
                    </a:xfrm>
                    <a:prstGeom prst="rect">
                      <a:avLst/>
                    </a:prstGeom>
                  </pic:spPr>
                </pic:pic>
              </a:graphicData>
            </a:graphic>
            <wp14:sizeRelH relativeFrom="margin">
              <wp14:pctWidth>0</wp14:pctWidth>
            </wp14:sizeRelH>
            <wp14:sizeRelV relativeFrom="margin">
              <wp14:pctHeight>0</wp14:pctHeight>
            </wp14:sizeRelV>
          </wp:anchor>
        </w:drawing>
      </w:r>
      <w:r w:rsidR="009125CE" w:rsidRPr="00E755B4">
        <w:rPr>
          <w:rFonts w:ascii="Simplified Arabic" w:hAnsi="Simplified Arabic" w:cs="Simplified Arabic"/>
          <w:b/>
          <w:bCs/>
          <w:color w:val="000000" w:themeColor="text1"/>
          <w:sz w:val="32"/>
          <w:szCs w:val="32"/>
          <w:rtl/>
          <w:lang w:bidi="ar-EG"/>
        </w:rPr>
        <w:t xml:space="preserve">جامعة ميدأوشن </w:t>
      </w:r>
    </w:p>
    <w:p w14:paraId="1E957002" w14:textId="5970D681" w:rsidR="00F546CE" w:rsidRPr="00E755B4" w:rsidRDefault="009125CE" w:rsidP="00B5167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755B4">
        <w:rPr>
          <w:rFonts w:ascii="Simplified Arabic" w:hAnsi="Simplified Arabic" w:cs="Simplified Arabic"/>
          <w:b/>
          <w:bCs/>
          <w:color w:val="000000" w:themeColor="text1"/>
          <w:sz w:val="32"/>
          <w:szCs w:val="32"/>
          <w:lang w:bidi="ar-EG"/>
        </w:rPr>
        <w:t xml:space="preserve">  </w:t>
      </w:r>
      <w:r w:rsidRPr="00E755B4">
        <w:rPr>
          <w:rFonts w:ascii="Simplified Arabic" w:hAnsi="Simplified Arabic" w:cs="Simplified Arabic"/>
          <w:b/>
          <w:bCs/>
          <w:color w:val="000000" w:themeColor="text1"/>
          <w:sz w:val="32"/>
          <w:szCs w:val="32"/>
          <w:rtl/>
          <w:lang w:bidi="ar-EG"/>
        </w:rPr>
        <w:t xml:space="preserve">كلية </w:t>
      </w:r>
      <w:r w:rsidR="008C42C1" w:rsidRPr="00E755B4">
        <w:rPr>
          <w:rFonts w:ascii="Simplified Arabic" w:hAnsi="Simplified Arabic" w:cs="Simplified Arabic"/>
          <w:b/>
          <w:bCs/>
          <w:color w:val="000000" w:themeColor="text1"/>
          <w:sz w:val="32"/>
          <w:szCs w:val="32"/>
          <w:rtl/>
          <w:lang w:bidi="ar-EG"/>
        </w:rPr>
        <w:t>الإدارة</w:t>
      </w:r>
      <w:r w:rsidRPr="00E755B4">
        <w:rPr>
          <w:rFonts w:ascii="Simplified Arabic" w:hAnsi="Simplified Arabic" w:cs="Simplified Arabic"/>
          <w:b/>
          <w:bCs/>
          <w:color w:val="000000" w:themeColor="text1"/>
          <w:sz w:val="32"/>
          <w:szCs w:val="32"/>
          <w:rtl/>
          <w:lang w:bidi="ar-EG"/>
        </w:rPr>
        <w:t xml:space="preserve"> </w:t>
      </w:r>
    </w:p>
    <w:p w14:paraId="5F6542BF" w14:textId="1F823EA7" w:rsidR="009125CE" w:rsidRPr="00E755B4" w:rsidRDefault="00F86421" w:rsidP="00B5167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755B4">
        <w:rPr>
          <w:rFonts w:ascii="Simplified Arabic" w:hAnsi="Simplified Arabic" w:cs="Simplified Arabic"/>
          <w:b/>
          <w:bCs/>
          <w:color w:val="000000" w:themeColor="text1"/>
          <w:sz w:val="32"/>
          <w:szCs w:val="32"/>
          <w:rtl/>
          <w:lang w:bidi="ar-EG"/>
        </w:rPr>
        <w:t xml:space="preserve">ماجستير </w:t>
      </w:r>
      <w:r w:rsidR="00A077DA" w:rsidRPr="00E755B4">
        <w:rPr>
          <w:rFonts w:ascii="Simplified Arabic" w:hAnsi="Simplified Arabic" w:cs="Simplified Arabic"/>
          <w:b/>
          <w:bCs/>
          <w:color w:val="000000" w:themeColor="text1"/>
          <w:sz w:val="32"/>
          <w:szCs w:val="32"/>
          <w:rtl/>
          <w:lang w:bidi="ar-EG"/>
        </w:rPr>
        <w:t xml:space="preserve">إدارة العقارية </w:t>
      </w:r>
      <w:r w:rsidR="001F6202" w:rsidRPr="00E755B4">
        <w:rPr>
          <w:rFonts w:ascii="Simplified Arabic" w:hAnsi="Simplified Arabic" w:cs="Simplified Arabic"/>
          <w:b/>
          <w:bCs/>
          <w:color w:val="000000" w:themeColor="text1"/>
          <w:sz w:val="32"/>
          <w:szCs w:val="32"/>
          <w:rtl/>
          <w:lang w:bidi="ar-EG"/>
        </w:rPr>
        <w:t xml:space="preserve"> </w:t>
      </w:r>
    </w:p>
    <w:p w14:paraId="39FC37D1" w14:textId="77777777" w:rsidR="00B51676" w:rsidRPr="00E755B4" w:rsidRDefault="00B51676" w:rsidP="00B5167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4ED60E" w14:textId="3F2CFED3" w:rsidR="00054375" w:rsidRPr="00E755B4" w:rsidRDefault="003E44EC" w:rsidP="00B51676">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E755B4">
        <w:rPr>
          <w:rFonts w:ascii="Simplified Arabic" w:hAnsi="Simplified Arabic" w:cs="Simplified Arabic"/>
          <w:b/>
          <w:bCs/>
          <w:color w:val="000000" w:themeColor="text1"/>
          <w:sz w:val="40"/>
          <w:szCs w:val="40"/>
          <w:rtl/>
        </w:rPr>
        <w:t>دور الأنظمة والتشريعات الجديدة على تطوير وإدارة العقارات في المناطق العشوائية بمدينة جدة: دراسة تطبيقية لاستكشاف الفرص والبدائل.</w:t>
      </w:r>
    </w:p>
    <w:p w14:paraId="751A7E65" w14:textId="05F724E3" w:rsidR="009125CE" w:rsidRPr="00E755B4" w:rsidRDefault="009125CE" w:rsidP="00B516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755B4">
        <w:rPr>
          <w:rFonts w:ascii="Simplified Arabic" w:hAnsi="Simplified Arabic" w:cs="Simplified Arabic"/>
          <w:b/>
          <w:bCs/>
          <w:color w:val="000000" w:themeColor="text1"/>
          <w:sz w:val="36"/>
          <w:szCs w:val="36"/>
          <w:rtl/>
          <w:lang w:bidi="ar-EG"/>
        </w:rPr>
        <w:t>إعداد الطالب/</w:t>
      </w:r>
    </w:p>
    <w:p w14:paraId="17741E33" w14:textId="1C87BCE0" w:rsidR="009A6DA0" w:rsidRPr="00E755B4" w:rsidRDefault="0099051B" w:rsidP="00B5167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755B4">
        <w:rPr>
          <w:rFonts w:ascii="Simplified Arabic" w:hAnsi="Simplified Arabic" w:cs="Simplified Arabic"/>
          <w:color w:val="000000" w:themeColor="text1"/>
          <w:sz w:val="36"/>
          <w:szCs w:val="36"/>
          <w:rtl/>
        </w:rPr>
        <w:t>يوسـف سعيــد مبــارك الحســـني</w:t>
      </w:r>
    </w:p>
    <w:p w14:paraId="3BC471C1" w14:textId="1BF6269E" w:rsidR="00F600C6" w:rsidRPr="00E755B4" w:rsidRDefault="0099051B" w:rsidP="00B5167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755B4">
        <w:rPr>
          <w:rFonts w:ascii="Simplified Arabic" w:hAnsi="Simplified Arabic" w:cs="Simplified Arabic"/>
          <w:color w:val="000000" w:themeColor="text1"/>
          <w:sz w:val="36"/>
          <w:szCs w:val="36"/>
          <w:rtl/>
        </w:rPr>
        <w:t>253002760</w:t>
      </w:r>
    </w:p>
    <w:tbl>
      <w:tblPr>
        <w:bidiVisual/>
        <w:tblW w:w="0" w:type="auto"/>
        <w:tblLook w:val="04A0" w:firstRow="1" w:lastRow="0" w:firstColumn="1" w:lastColumn="0" w:noHBand="0" w:noVBand="1"/>
      </w:tblPr>
      <w:tblGrid>
        <w:gridCol w:w="4530"/>
        <w:gridCol w:w="4531"/>
      </w:tblGrid>
      <w:tr w:rsidR="00E755B4" w:rsidRPr="00E755B4" w14:paraId="06342E39" w14:textId="77777777" w:rsidTr="00E1049C">
        <w:tc>
          <w:tcPr>
            <w:tcW w:w="4530" w:type="dxa"/>
          </w:tcPr>
          <w:p w14:paraId="3F601751" w14:textId="77777777" w:rsidR="00B51676" w:rsidRPr="00E755B4" w:rsidRDefault="00B51676" w:rsidP="00E1049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755B4">
              <w:rPr>
                <w:rFonts w:ascii="Simplified Arabic" w:hAnsi="Simplified Arabic" w:cs="Simplified Arabic" w:hint="cs"/>
                <w:b/>
                <w:bCs/>
                <w:color w:val="000000" w:themeColor="text1"/>
                <w:sz w:val="36"/>
                <w:szCs w:val="36"/>
                <w:rtl/>
                <w:lang w:bidi="ar-EG"/>
              </w:rPr>
              <w:t>المشرف الرئيسي/</w:t>
            </w:r>
          </w:p>
        </w:tc>
        <w:tc>
          <w:tcPr>
            <w:tcW w:w="4531" w:type="dxa"/>
          </w:tcPr>
          <w:p w14:paraId="646B5F4E" w14:textId="77777777" w:rsidR="00B51676" w:rsidRPr="00E755B4" w:rsidRDefault="00B51676" w:rsidP="00E1049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755B4">
              <w:rPr>
                <w:rFonts w:ascii="Simplified Arabic" w:hAnsi="Simplified Arabic" w:cs="Simplified Arabic" w:hint="cs"/>
                <w:b/>
                <w:bCs/>
                <w:color w:val="000000" w:themeColor="text1"/>
                <w:sz w:val="36"/>
                <w:szCs w:val="36"/>
                <w:rtl/>
                <w:lang w:bidi="ar-EG"/>
              </w:rPr>
              <w:t>المشرف الثاني/</w:t>
            </w:r>
          </w:p>
        </w:tc>
      </w:tr>
      <w:tr w:rsidR="00E755B4" w:rsidRPr="00E755B4" w14:paraId="4609CEE6" w14:textId="77777777" w:rsidTr="00E1049C">
        <w:tc>
          <w:tcPr>
            <w:tcW w:w="4530" w:type="dxa"/>
          </w:tcPr>
          <w:p w14:paraId="1ADDEFFD" w14:textId="77777777" w:rsidR="00B51676" w:rsidRPr="00E755B4" w:rsidRDefault="00B51676" w:rsidP="00E1049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755B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F4C87FD" w14:textId="77777777" w:rsidR="00B51676" w:rsidRPr="00E755B4" w:rsidRDefault="00B51676" w:rsidP="00E1049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755B4">
              <w:rPr>
                <w:rFonts w:ascii="Simplified Arabic" w:eastAsia="Calibri" w:hAnsi="Simplified Arabic" w:cs="Simplified Arabic"/>
                <w:color w:val="000000" w:themeColor="text1"/>
                <w:kern w:val="0"/>
                <w:sz w:val="36"/>
                <w:szCs w:val="36"/>
                <w:rtl/>
                <w:lang w:bidi="ar-EG"/>
                <w14:ligatures w14:val="none"/>
              </w:rPr>
              <w:t>د.فايز جراد</w:t>
            </w:r>
          </w:p>
        </w:tc>
      </w:tr>
    </w:tbl>
    <w:p w14:paraId="01532D2B" w14:textId="77777777" w:rsidR="00B51676" w:rsidRPr="00E755B4" w:rsidRDefault="00B51676" w:rsidP="00B516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755B4">
        <w:rPr>
          <w:rFonts w:ascii="Simplified Arabic" w:hAnsi="Simplified Arabic" w:cs="Simplified Arabic"/>
          <w:b/>
          <w:bCs/>
          <w:color w:val="000000" w:themeColor="text1"/>
          <w:sz w:val="36"/>
          <w:szCs w:val="36"/>
          <w:rtl/>
          <w:lang w:bidi="ar-EG"/>
        </w:rPr>
        <w:t>العام الدراسي:</w:t>
      </w:r>
    </w:p>
    <w:p w14:paraId="18383543" w14:textId="6EF87567" w:rsidR="00B51676" w:rsidRPr="00E755B4" w:rsidRDefault="00B51676" w:rsidP="00B51676">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755B4">
        <w:rPr>
          <w:rFonts w:ascii="Simplified Arabic" w:hAnsi="Simplified Arabic" w:cs="Simplified Arabic" w:hint="cs"/>
          <w:color w:val="000000" w:themeColor="text1"/>
          <w:sz w:val="36"/>
          <w:szCs w:val="36"/>
          <w:rtl/>
          <w:lang w:bidi="ar-EG"/>
        </w:rPr>
        <w:t xml:space="preserve">1448 </w:t>
      </w:r>
      <w:r w:rsidRPr="00E755B4">
        <w:rPr>
          <w:rFonts w:ascii="Simplified Arabic" w:hAnsi="Simplified Arabic" w:cs="Simplified Arabic"/>
          <w:color w:val="000000" w:themeColor="text1"/>
          <w:sz w:val="36"/>
          <w:szCs w:val="36"/>
          <w:rtl/>
          <w:lang w:bidi="ar-EG"/>
        </w:rPr>
        <w:t>–</w:t>
      </w:r>
      <w:r w:rsidRPr="00E755B4">
        <w:rPr>
          <w:rFonts w:ascii="Simplified Arabic" w:hAnsi="Simplified Arabic" w:cs="Simplified Arabic" w:hint="cs"/>
          <w:color w:val="000000" w:themeColor="text1"/>
          <w:sz w:val="36"/>
          <w:szCs w:val="36"/>
          <w:rtl/>
          <w:lang w:bidi="ar-EG"/>
        </w:rPr>
        <w:t xml:space="preserve"> 2026</w:t>
      </w:r>
    </w:p>
    <w:p w14:paraId="623CBAA2" w14:textId="77777777" w:rsidR="00B51676" w:rsidRPr="00E755B4" w:rsidRDefault="00B51676" w:rsidP="00B5167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B51676" w:rsidRPr="00E755B4" w:rsidSect="00B51676">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9F8BA18" w14:textId="16C3835C" w:rsidR="00B51676" w:rsidRPr="00E755B4" w:rsidRDefault="00B51676" w:rsidP="00B51676">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4775767"/>
      <w:r w:rsidRPr="00E755B4">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659330E5" w14:textId="0B9311C6" w:rsidR="00B51676" w:rsidRPr="00E755B4" w:rsidRDefault="00B51676" w:rsidP="00B5167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4775768"/>
      <w:r w:rsidRPr="00E755B4">
        <w:rPr>
          <w:rFonts w:ascii="Simplified Arabic" w:hAnsi="Simplified Arabic" w:cs="Simplified Arabic" w:hint="cs"/>
          <w:b/>
          <w:bCs/>
          <w:color w:val="000000" w:themeColor="text1"/>
          <w:sz w:val="36"/>
          <w:szCs w:val="36"/>
          <w:rtl/>
        </w:rPr>
        <w:t>1.1 المقدمة</w:t>
      </w:r>
      <w:bookmarkEnd w:id="3"/>
    </w:p>
    <w:p w14:paraId="796715E5" w14:textId="781BF0EE" w:rsidR="00A077DA" w:rsidRPr="00E755B4" w:rsidRDefault="00A077DA"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 xml:space="preserve">يشهد العالم تحولات حضرية متسارعة أفرزت تحديات عمرانية غير مسبوقة، لا سيما في الدول النامية والاقتصادات الناشئة التي تشهد معدلات نمو سكاني مرتفعة وهجرة مكثفة نحو المدن الكبرى، مما أدى إلى ظهور مناطق سكنية غير مخططة تفتقر إلى أبسط معايير التنظيم العمراني والخدمات الأساسية، وتُمثل المملكة العربية السعودية إحدى الدول التي شهدت طفرات تنموية متلاحقة انعكست على بنيتها الحضرية، حيث تسارع النمو العمراني في المدن الرئيسية بوتيرة فاقت قدرة أجهزة التخطيط على استيعابها وتنظيمها </w:t>
      </w:r>
      <w:r w:rsidRPr="00E755B4">
        <w:rPr>
          <w:rFonts w:ascii="Simplified Arabic" w:hAnsi="Simplified Arabic" w:cs="Simplified Arabic"/>
          <w:color w:val="000000" w:themeColor="text1"/>
          <w:sz w:val="28"/>
          <w:szCs w:val="28"/>
        </w:rPr>
        <w:t>(Alqahtany &amp; Abubakar, 2024).</w:t>
      </w:r>
    </w:p>
    <w:p w14:paraId="02BFF9F7" w14:textId="62F6DA70" w:rsidR="00A077DA" w:rsidRPr="00E755B4" w:rsidRDefault="00A077DA"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وقد أولت المملكة العربية السعودية اهتمامًا متزايدًا بإصلاح المنظومة التشريعية والتنظيمية للقطاع العقاري بوصفه ركيزة أساسية لتحقيق مستهدفات رؤية 2030 في قطاع الإسكان، فأصدرت حزمة من الأنظمة الجديدة شملت نظام التسجيل العيني للعقار الذي يهدف إلى توثيق الملكيات وتعزيز موثوقية السجل العقاري، ونظام الوساطة العقارية الذي يسعى إلى تنظيم العلاقة بين أطراف السوق، ونظام البيع على الخارطة الذي يُحفّز التطوير العقاري عبر آليات تمويل مبكرة</w:t>
      </w:r>
      <w:r w:rsidRPr="00E755B4">
        <w:rPr>
          <w:rFonts w:ascii="Simplified Arabic" w:hAnsi="Simplified Arabic" w:cs="Simplified Arabic"/>
          <w:color w:val="000000" w:themeColor="text1"/>
          <w:sz w:val="28"/>
          <w:szCs w:val="28"/>
        </w:rPr>
        <w:t xml:space="preserve"> (AlQahtany, 2021). </w:t>
      </w:r>
    </w:p>
    <w:p w14:paraId="19E5314E" w14:textId="77777777" w:rsidR="00A077DA" w:rsidRPr="00E755B4" w:rsidRDefault="00A077DA"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وتبرز مدينة جدة بوصفها أكثر المدن السعودية تأثرًا بظاهرة الاستيطان العشوائي، إذ تضم ما يزيد عن ستين حيًا عشوائيًا تمتد على رقعة جغرافية واسعة من النسيج العمراني للمدينة ويقطنها نسبة كبيرة من سكانها</w:t>
      </w:r>
      <w:r w:rsidRPr="00E755B4">
        <w:rPr>
          <w:rFonts w:ascii="Simplified Arabic" w:hAnsi="Simplified Arabic" w:cs="Simplified Arabic"/>
          <w:color w:val="000000" w:themeColor="text1"/>
          <w:sz w:val="28"/>
          <w:szCs w:val="28"/>
        </w:rPr>
        <w:t xml:space="preserve"> (El-Shorbagy, 2020). </w:t>
      </w:r>
      <w:r w:rsidRPr="00E755B4">
        <w:rPr>
          <w:rFonts w:ascii="Simplified Arabic" w:hAnsi="Simplified Arabic" w:cs="Simplified Arabic"/>
          <w:color w:val="000000" w:themeColor="text1"/>
          <w:sz w:val="28"/>
          <w:szCs w:val="28"/>
          <w:rtl/>
        </w:rPr>
        <w:t>وقد تشكّلت هذه المناطق عبر عقود من النمو غير المنضبط الذي رافق موجات الهجرة الداخلية والخارجية، حيث استقر السكان في أراضٍ غير موثقة الملكية وأقاموا عليها مبانيَ تفتقر إلى اشتراطات البناء والسلامة (الزامل، 2020). وتمثل هذه الأحياء العشوائية بؤرًا عمرانية تتطلب تدخلًا تنمويًا شاملًا يأخذ في الاعتبار الأبعاد العمرانية والاقتصادية والاجتماعية والبيئية، لا سيما في ظل التوجهات الاستراتيجية لمشروع جدة الكبرى الذي يستهدف إعادة تشكيل الهوية الحضرية للمدينة</w:t>
      </w:r>
      <w:r w:rsidRPr="00E755B4">
        <w:rPr>
          <w:rFonts w:ascii="Simplified Arabic" w:hAnsi="Simplified Arabic" w:cs="Simplified Arabic"/>
          <w:color w:val="000000" w:themeColor="text1"/>
          <w:sz w:val="28"/>
          <w:szCs w:val="28"/>
        </w:rPr>
        <w:t xml:space="preserve"> (Baesse, 2024).</w:t>
      </w:r>
    </w:p>
    <w:p w14:paraId="2BA69B0F" w14:textId="77777777" w:rsidR="00A077DA" w:rsidRPr="00E755B4" w:rsidRDefault="00A077DA"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 xml:space="preserve">وانطلاقًا مما سبق تسعى هذه الدراسة إلى استقصاء أثر الأنظمة والتشريعات العقارية الجديدة في المملكة العربية السعودية — بأبعادها المتمثلة في التسجيل العيني والوساطة العقارية والبيع على الخارطة </w:t>
      </w:r>
      <w:r w:rsidRPr="00E755B4">
        <w:rPr>
          <w:rFonts w:ascii="Simplified Arabic" w:hAnsi="Simplified Arabic" w:cs="Simplified Arabic"/>
          <w:color w:val="000000" w:themeColor="text1"/>
          <w:sz w:val="28"/>
          <w:szCs w:val="28"/>
          <w:rtl/>
        </w:rPr>
        <w:lastRenderedPageBreak/>
        <w:t>ورسوم الأراضي البيضاء والتمويل المدعوم — على تطوير وإدارة العقارات في المناطق العشوائية بمدينة جدة، مع استكشاف الفرص والبدائل التي تُتيحها هذه المنظومة التشريعية لتحقيق تحوّل عمراني مستدام يتسق مع مستهدفات رؤية المملكة 2030</w:t>
      </w:r>
      <w:r w:rsidRPr="00E755B4">
        <w:rPr>
          <w:rFonts w:ascii="Simplified Arabic" w:hAnsi="Simplified Arabic" w:cs="Simplified Arabic"/>
          <w:color w:val="000000" w:themeColor="text1"/>
          <w:sz w:val="28"/>
          <w:szCs w:val="28"/>
        </w:rPr>
        <w:t>.</w:t>
      </w:r>
    </w:p>
    <w:p w14:paraId="0C0314F8" w14:textId="385EA4D4" w:rsidR="00B51676" w:rsidRPr="00E755B4" w:rsidRDefault="00B51676" w:rsidP="00B5167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4775769"/>
      <w:bookmarkEnd w:id="0"/>
      <w:bookmarkEnd w:id="1"/>
      <w:r w:rsidRPr="00E755B4">
        <w:rPr>
          <w:rFonts w:ascii="Simplified Arabic" w:hAnsi="Simplified Arabic" w:cs="Simplified Arabic"/>
          <w:b/>
          <w:bCs/>
          <w:color w:val="000000" w:themeColor="text1"/>
          <w:sz w:val="36"/>
          <w:szCs w:val="36"/>
          <w:rtl/>
        </w:rPr>
        <w:t>2.1 مشكلة الدراسة</w:t>
      </w:r>
      <w:bookmarkEnd w:id="5"/>
    </w:p>
    <w:p w14:paraId="32EAE528" w14:textId="77777777" w:rsidR="0085176C" w:rsidRPr="00E755B4" w:rsidRDefault="0085176C"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تُعدّ المناطق العشوائية من أبرز التحديات العمرانية التي تواجه المدن الكبرى في المملكة العربية السعودية، وتبرز مدينة جدة بوصفها النموذج الأكثر حدة لهذه الظاهرة على المستوى الوطني، إذ تحتضن ما يزيد عن ستين حيًا عشوائيًا تمتد على مساحة تتجاوز سبعة وثلاثين كيلومترًا مربعًا، ويقطنها ما يقارب مليونًا ونصف المليون نسمة يُمثلون نحو ثلاثين بالمائة من إجمالي سكان المدينة وفقًا لتقديرات أمانة محافظة جدة</w:t>
      </w:r>
      <w:r w:rsidRPr="00E755B4">
        <w:rPr>
          <w:rFonts w:ascii="Simplified Arabic" w:hAnsi="Simplified Arabic" w:cs="Simplified Arabic"/>
          <w:color w:val="000000" w:themeColor="text1"/>
          <w:sz w:val="28"/>
          <w:szCs w:val="28"/>
        </w:rPr>
        <w:t xml:space="preserve">. </w:t>
      </w:r>
      <w:r w:rsidRPr="00E755B4">
        <w:rPr>
          <w:rFonts w:ascii="Simplified Arabic" w:hAnsi="Simplified Arabic" w:cs="Simplified Arabic"/>
          <w:color w:val="000000" w:themeColor="text1"/>
          <w:sz w:val="28"/>
          <w:szCs w:val="28"/>
          <w:rtl/>
        </w:rPr>
        <w:t>وقد تشكّلت هذه المناطق عبر عقود متتالية من النمو العمراني غير المنضبط الذي رافق الطفرات الاقتصادية المتعاقبة وموجات الهجرة الداخلية والخارجية، حيث استقر السكان في أراضٍ تفتقر إلى صكوك ملكية موثقة وأقاموا عليها مبانيَ مخالفة لأنظمة البناء والتخطيط، مما أفرز نسيجًا عمرانيًا متدهورًا يُعاني من اختلالات بنيوية عميقة تطال كل مناحي الحياة الحضرية</w:t>
      </w:r>
      <w:r w:rsidRPr="00E755B4">
        <w:rPr>
          <w:rFonts w:ascii="Simplified Arabic" w:hAnsi="Simplified Arabic" w:cs="Simplified Arabic"/>
          <w:color w:val="000000" w:themeColor="text1"/>
          <w:sz w:val="28"/>
          <w:szCs w:val="28"/>
        </w:rPr>
        <w:t>.</w:t>
      </w:r>
    </w:p>
    <w:p w14:paraId="5A041D70" w14:textId="34D5538A" w:rsidR="00A077DA" w:rsidRPr="00E755B4" w:rsidRDefault="00A077DA"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وبمراجعة شاملة للدراسات السابقة تتبلور فجوة بحثية واضحة تتمثل في عدة محاور ركّزت الدراسات التشريعية — كدراسات</w:t>
      </w:r>
      <w:r w:rsidRPr="00E755B4">
        <w:rPr>
          <w:rFonts w:ascii="Simplified Arabic" w:hAnsi="Simplified Arabic" w:cs="Simplified Arabic"/>
          <w:color w:val="000000" w:themeColor="text1"/>
          <w:sz w:val="28"/>
          <w:szCs w:val="28"/>
        </w:rPr>
        <w:t xml:space="preserve"> AlQahtany (2021) </w:t>
      </w:r>
      <w:r w:rsidRPr="00E755B4">
        <w:rPr>
          <w:rFonts w:ascii="Simplified Arabic" w:hAnsi="Simplified Arabic" w:cs="Simplified Arabic"/>
          <w:color w:val="000000" w:themeColor="text1"/>
          <w:sz w:val="28"/>
          <w:szCs w:val="28"/>
          <w:rtl/>
        </w:rPr>
        <w:t>و</w:t>
      </w:r>
      <w:r w:rsidRPr="00E755B4">
        <w:rPr>
          <w:rFonts w:ascii="Simplified Arabic" w:hAnsi="Simplified Arabic" w:cs="Simplified Arabic"/>
          <w:color w:val="000000" w:themeColor="text1"/>
          <w:sz w:val="28"/>
          <w:szCs w:val="28"/>
        </w:rPr>
        <w:t xml:space="preserve">Alhajri et al. (2024) </w:t>
      </w:r>
      <w:r w:rsidRPr="00E755B4">
        <w:rPr>
          <w:rFonts w:ascii="Simplified Arabic" w:hAnsi="Simplified Arabic" w:cs="Simplified Arabic"/>
          <w:color w:val="000000" w:themeColor="text1"/>
          <w:sz w:val="28"/>
          <w:szCs w:val="28"/>
          <w:rtl/>
        </w:rPr>
        <w:t>و</w:t>
      </w:r>
      <w:r w:rsidRPr="00E755B4">
        <w:rPr>
          <w:rFonts w:ascii="Simplified Arabic" w:hAnsi="Simplified Arabic" w:cs="Simplified Arabic"/>
          <w:color w:val="000000" w:themeColor="text1"/>
          <w:sz w:val="28"/>
          <w:szCs w:val="28"/>
        </w:rPr>
        <w:t xml:space="preserve">Almohaimeed and Al-Surf (2025) </w:t>
      </w:r>
      <w:r w:rsidRPr="00E755B4">
        <w:rPr>
          <w:rFonts w:ascii="Simplified Arabic" w:hAnsi="Simplified Arabic" w:cs="Simplified Arabic"/>
          <w:color w:val="000000" w:themeColor="text1"/>
          <w:sz w:val="28"/>
          <w:szCs w:val="28"/>
          <w:rtl/>
        </w:rPr>
        <w:t>وحسن</w:t>
      </w:r>
      <w:r w:rsidRPr="00E755B4">
        <w:rPr>
          <w:rFonts w:ascii="Simplified Arabic" w:hAnsi="Simplified Arabic" w:cs="Simplified Arabic"/>
          <w:color w:val="000000" w:themeColor="text1"/>
          <w:sz w:val="28"/>
          <w:szCs w:val="28"/>
        </w:rPr>
        <w:t xml:space="preserve"> (2026) </w:t>
      </w:r>
      <w:r w:rsidRPr="00E755B4">
        <w:rPr>
          <w:rFonts w:ascii="Simplified Arabic" w:hAnsi="Simplified Arabic" w:cs="Simplified Arabic"/>
          <w:color w:val="000000" w:themeColor="text1"/>
          <w:sz w:val="28"/>
          <w:szCs w:val="28"/>
          <w:rtl/>
        </w:rPr>
        <w:t>والمستجدات في تملك العقارات (2023) على تحليل الأنظمة العقارية الجديدة من منظور قانوني وتنظيمي عام دون ربطها بالسياق الخاص للمناطق العشوائية</w:t>
      </w:r>
      <w:r w:rsidRPr="00E755B4">
        <w:rPr>
          <w:rFonts w:ascii="Simplified Arabic" w:hAnsi="Simplified Arabic" w:cs="Simplified Arabic"/>
          <w:color w:val="000000" w:themeColor="text1"/>
          <w:sz w:val="28"/>
          <w:szCs w:val="28"/>
        </w:rPr>
        <w:t xml:space="preserve">. </w:t>
      </w:r>
      <w:r w:rsidRPr="00E755B4">
        <w:rPr>
          <w:rFonts w:ascii="Simplified Arabic" w:hAnsi="Simplified Arabic" w:cs="Simplified Arabic"/>
          <w:color w:val="000000" w:themeColor="text1"/>
          <w:sz w:val="28"/>
          <w:szCs w:val="28"/>
          <w:rtl/>
        </w:rPr>
        <w:t>ومن جهة ثانية، تناولت الدراسات العمرانية  كدراسات</w:t>
      </w:r>
      <w:r w:rsidRPr="00E755B4">
        <w:rPr>
          <w:rFonts w:ascii="Simplified Arabic" w:hAnsi="Simplified Arabic" w:cs="Simplified Arabic"/>
          <w:color w:val="000000" w:themeColor="text1"/>
          <w:sz w:val="28"/>
          <w:szCs w:val="28"/>
        </w:rPr>
        <w:t xml:space="preserve"> El-Shorbagy (2020) </w:t>
      </w:r>
      <w:r w:rsidRPr="00E755B4">
        <w:rPr>
          <w:rFonts w:ascii="Simplified Arabic" w:hAnsi="Simplified Arabic" w:cs="Simplified Arabic"/>
          <w:color w:val="000000" w:themeColor="text1"/>
          <w:sz w:val="28"/>
          <w:szCs w:val="28"/>
          <w:rtl/>
        </w:rPr>
        <w:t>والزامل (2020أ، 2020ب، 2020ج) و</w:t>
      </w:r>
      <w:r w:rsidRPr="00E755B4">
        <w:rPr>
          <w:rFonts w:ascii="Simplified Arabic" w:hAnsi="Simplified Arabic" w:cs="Simplified Arabic"/>
          <w:color w:val="000000" w:themeColor="text1"/>
          <w:sz w:val="28"/>
          <w:szCs w:val="28"/>
        </w:rPr>
        <w:t xml:space="preserve">Alharbi et al. (2023) </w:t>
      </w:r>
      <w:r w:rsidRPr="00E755B4">
        <w:rPr>
          <w:rFonts w:ascii="Simplified Arabic" w:hAnsi="Simplified Arabic" w:cs="Simplified Arabic"/>
          <w:color w:val="000000" w:themeColor="text1"/>
          <w:sz w:val="28"/>
          <w:szCs w:val="28"/>
          <w:rtl/>
        </w:rPr>
        <w:t>و</w:t>
      </w:r>
      <w:r w:rsidRPr="00E755B4">
        <w:rPr>
          <w:rFonts w:ascii="Simplified Arabic" w:hAnsi="Simplified Arabic" w:cs="Simplified Arabic"/>
          <w:color w:val="000000" w:themeColor="text1"/>
          <w:sz w:val="28"/>
          <w:szCs w:val="28"/>
        </w:rPr>
        <w:t xml:space="preserve">Baesse (2024) — </w:t>
      </w:r>
      <w:r w:rsidRPr="00E755B4">
        <w:rPr>
          <w:rFonts w:ascii="Simplified Arabic" w:hAnsi="Simplified Arabic" w:cs="Simplified Arabic"/>
          <w:color w:val="000000" w:themeColor="text1"/>
          <w:sz w:val="28"/>
          <w:szCs w:val="28"/>
          <w:rtl/>
        </w:rPr>
        <w:t xml:space="preserve">واقع المناطق العشوائية من منظور عمراني واجتماعي وبيئي دون قياس الأثر المباشر للتشريعات المستحدثة على مسارات التطوير. ومن جهة ثالثة، لم تتناول أي من الدراسات المتاحة — في حدود علم الباحث — الأثر التكاملي لأبعاد المنظومة التشريعية الخمسة مجتمعة (التسجيل العيني، والوساطة العقارية، والبيع على الخارطة، ورسوم الأراضي البيضاء، والتمويل المدعوم) على تطوير وإدارة العقارات في المناطق العشوائية بمدينة جدة تحديدًا. </w:t>
      </w:r>
    </w:p>
    <w:p w14:paraId="6AEA40BB" w14:textId="304BA83A" w:rsidR="00A077DA" w:rsidRPr="00E755B4" w:rsidRDefault="00A077DA" w:rsidP="00B51676">
      <w:pPr>
        <w:pStyle w:val="NormalWeb"/>
        <w:bidi/>
        <w:spacing w:line="276" w:lineRule="auto"/>
        <w:ind w:firstLine="424"/>
        <w:jc w:val="both"/>
        <w:rPr>
          <w:rFonts w:ascii="Simplified Arabic" w:hAnsi="Simplified Arabic" w:cs="Simplified Arabic"/>
          <w:color w:val="000000" w:themeColor="text1"/>
          <w:sz w:val="28"/>
          <w:szCs w:val="28"/>
        </w:rPr>
      </w:pPr>
      <w:r w:rsidRPr="00E755B4">
        <w:rPr>
          <w:rFonts w:ascii="Simplified Arabic" w:hAnsi="Simplified Arabic" w:cs="Simplified Arabic"/>
          <w:color w:val="000000" w:themeColor="text1"/>
          <w:sz w:val="28"/>
          <w:szCs w:val="28"/>
          <w:rtl/>
        </w:rPr>
        <w:t>ومن هنا تتبلور مشكلة الدراسة في السؤال الرئيسي التالي</w:t>
      </w:r>
      <w:r w:rsidRPr="00E755B4">
        <w:rPr>
          <w:rFonts w:ascii="Simplified Arabic" w:hAnsi="Simplified Arabic" w:cs="Simplified Arabic"/>
          <w:color w:val="000000" w:themeColor="text1"/>
          <w:sz w:val="28"/>
          <w:szCs w:val="28"/>
        </w:rPr>
        <w:t xml:space="preserve">: </w:t>
      </w:r>
      <w:r w:rsidRPr="00E755B4">
        <w:rPr>
          <w:rFonts w:ascii="Simplified Arabic" w:hAnsi="Simplified Arabic" w:cs="Simplified Arabic"/>
          <w:color w:val="000000" w:themeColor="text1"/>
          <w:sz w:val="28"/>
          <w:szCs w:val="28"/>
          <w:rtl/>
        </w:rPr>
        <w:t>ما أثر الأنظمة والتشريعات العقارية الجديدة في المملكة العربية السعودية على تطوير وإدارة العقارات في المناطق العشوائية بمدينة جدة؟</w:t>
      </w:r>
    </w:p>
    <w:p w14:paraId="537DE330" w14:textId="77777777" w:rsidR="00B51676" w:rsidRPr="00E755B4" w:rsidRDefault="00B51676" w:rsidP="00B516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4775770"/>
      <w:r w:rsidRPr="00E755B4">
        <w:rPr>
          <w:rFonts w:ascii="Simplified Arabic" w:eastAsia="Times New Roman" w:hAnsi="Simplified Arabic" w:cs="Simplified Arabic"/>
          <w:b/>
          <w:bCs/>
          <w:color w:val="000000" w:themeColor="text1"/>
          <w:kern w:val="0"/>
          <w:sz w:val="36"/>
          <w:szCs w:val="36"/>
          <w:rtl/>
          <w14:ligatures w14:val="none"/>
        </w:rPr>
        <w:lastRenderedPageBreak/>
        <w:t>3.1 أهمية الدراسة</w:t>
      </w:r>
      <w:bookmarkEnd w:id="6"/>
    </w:p>
    <w:p w14:paraId="6E4503FD" w14:textId="1F818188" w:rsidR="00B51676" w:rsidRPr="00E755B4" w:rsidRDefault="00B51676"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E755B4">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39283DD6" w14:textId="4C6DDF77" w:rsidR="0085176C" w:rsidRPr="00E755B4" w:rsidRDefault="0085176C" w:rsidP="00837CB7">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تسد هذه الدراسة فجوة واضحة في الأدبيات العربية والأجنبية التي تفتقر إلى دراسات تطبيقية تربط بشكل مباشر بين المنظومة التشريعية العقارية المستحدثة في المملكة العربية السعودية وبين واقع تطوير المناطق العشوائية، إذ إن معظم الدراسات السابقة تناولت إما الجانب التشريعي بمعزل عن التطبيق الميداني أو درست العشوائيات من منظور عمراني بحت دون ربطها بالمتغيرات التنظيمية والقانونية</w:t>
      </w:r>
      <w:r w:rsidRPr="00E755B4">
        <w:rPr>
          <w:rFonts w:ascii="Simplified Arabic" w:eastAsia="Times New Roman" w:hAnsi="Simplified Arabic" w:cs="Simplified Arabic"/>
          <w:color w:val="000000" w:themeColor="text1"/>
          <w:kern w:val="0"/>
          <w:sz w:val="28"/>
          <w:szCs w:val="28"/>
          <w14:ligatures w14:val="none"/>
        </w:rPr>
        <w:t>.</w:t>
      </w:r>
    </w:p>
    <w:p w14:paraId="57D915C7" w14:textId="2E22A6E8" w:rsidR="0085176C" w:rsidRPr="00E755B4" w:rsidRDefault="0085176C" w:rsidP="00837CB7">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تجمع الدراسة بين نظريات الحوكمة العقارية ونظريات التنمية الحضرية المستدامة ونظريات حقوق الملكية، وتُسقطها على بيئة عمرانية فريدة تتسم بالتعقيد الاجتماعي والديموغرافي والقانوني كالمناطق العشوائية في جدة، مما يُوفر نموذجًا نظريًا قابلًا للتعميم على سياقات مشابهة</w:t>
      </w:r>
      <w:r w:rsidRPr="00E755B4">
        <w:rPr>
          <w:rFonts w:ascii="Simplified Arabic" w:eastAsia="Times New Roman" w:hAnsi="Simplified Arabic" w:cs="Simplified Arabic"/>
          <w:color w:val="000000" w:themeColor="text1"/>
          <w:kern w:val="0"/>
          <w:sz w:val="28"/>
          <w:szCs w:val="28"/>
          <w14:ligatures w14:val="none"/>
        </w:rPr>
        <w:t>.</w:t>
      </w:r>
    </w:p>
    <w:p w14:paraId="3E2567BB" w14:textId="77777777" w:rsidR="0085176C" w:rsidRPr="00E755B4" w:rsidRDefault="0085176C" w:rsidP="00837CB7">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إثراء أدبيات تقييم السياسات العامة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تتبنى الدراسة منهجية علمية صارمة في قياس الأثر الفعلي للتشريعات على مخرجات التطوير العقاري، مما يُوفر أساسًا منهجيًا يمكن للباحثين اللاحقين البناء عليه وتوسيعه ليشمل مدنًا ومناطق أخرى</w:t>
      </w:r>
      <w:r w:rsidRPr="00E755B4">
        <w:rPr>
          <w:rFonts w:ascii="Simplified Arabic" w:eastAsia="Times New Roman" w:hAnsi="Simplified Arabic" w:cs="Simplified Arabic"/>
          <w:color w:val="000000" w:themeColor="text1"/>
          <w:kern w:val="0"/>
          <w:sz w:val="28"/>
          <w:szCs w:val="28"/>
          <w14:ligatures w14:val="none"/>
        </w:rPr>
        <w:t>.</w:t>
      </w:r>
    </w:p>
    <w:p w14:paraId="3C09551D" w14:textId="5FEFAA6A" w:rsidR="0085176C" w:rsidRPr="00E755B4" w:rsidRDefault="0085176C" w:rsidP="00837CB7">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تُضيف الدراسة بُعدًا معرفيًا جديدًا عبر تحليل العلاقة بين أبعاد المتغير المستقل الخمسة — التسجيل العيني، والوساطة العقارية، والبيع على الخارطة، ورسوم الأراضي البيضاء، والتمويل المدعوم والمتغير التابع بأبعاده المتعددة، وهو ما يُتيح فهمًا أعمق لطبيعة العلاقات السببية والارتباطية في سياق لم يُدرس كفايةً من قبل</w:t>
      </w:r>
      <w:r w:rsidRPr="00E755B4">
        <w:rPr>
          <w:rFonts w:ascii="Simplified Arabic" w:eastAsia="Times New Roman" w:hAnsi="Simplified Arabic" w:cs="Simplified Arabic"/>
          <w:color w:val="000000" w:themeColor="text1"/>
          <w:kern w:val="0"/>
          <w:sz w:val="28"/>
          <w:szCs w:val="28"/>
          <w14:ligatures w14:val="none"/>
        </w:rPr>
        <w:t>.</w:t>
      </w:r>
    </w:p>
    <w:p w14:paraId="4D130DC1" w14:textId="08698EE9" w:rsidR="0085176C" w:rsidRPr="00E755B4" w:rsidRDefault="0085176C" w:rsidP="00837CB7">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تأتي الدراسة في توقيت علمي بالغ الأهمية يتزامن مع مرحلة تحوّل تشريعي غير مسبوقة في القطاع العقاري السعودي، مما يجعل نتائجها بمثابة توثيق أكاديمي يمكن الرجوع إليه مستقبلًا لتقييم مسار الإصلاح التشريعي وقياس أثره على المدى الطويل</w:t>
      </w:r>
      <w:r w:rsidRPr="00E755B4">
        <w:rPr>
          <w:rFonts w:ascii="Simplified Arabic" w:eastAsia="Times New Roman" w:hAnsi="Simplified Arabic" w:cs="Simplified Arabic"/>
          <w:color w:val="000000" w:themeColor="text1"/>
          <w:kern w:val="0"/>
          <w:sz w:val="28"/>
          <w:szCs w:val="28"/>
          <w14:ligatures w14:val="none"/>
        </w:rPr>
        <w:t>.</w:t>
      </w:r>
    </w:p>
    <w:p w14:paraId="3F741D6B" w14:textId="77777777" w:rsidR="0085176C" w:rsidRPr="00E755B4" w:rsidRDefault="0085176C"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4198436"/>
      <w:r w:rsidRPr="00E755B4">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7"/>
    </w:p>
    <w:p w14:paraId="64996736" w14:textId="132E7827" w:rsidR="0085176C" w:rsidRPr="00E755B4" w:rsidRDefault="0085176C" w:rsidP="00837CB7">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تُقدم الدراسة لوزارة الشؤون البلدية والقروية والإسكان والهيئة العامة للعقار وأمانة محافظة جدة تشخيصًا واقعيًا لمواطن القوة والضعف في تطبيق الأنظمة العقارية الجديدة على أرض الواقع في المناطق العشوائية، مما يُمكّنهم من إجراء تعديلات تشريعية ولائحية مبنية على شواهد علمية</w:t>
      </w:r>
      <w:r w:rsidRPr="00E755B4">
        <w:rPr>
          <w:rFonts w:ascii="Simplified Arabic" w:eastAsia="Times New Roman" w:hAnsi="Simplified Arabic" w:cs="Simplified Arabic"/>
          <w:color w:val="000000" w:themeColor="text1"/>
          <w:kern w:val="0"/>
          <w:sz w:val="28"/>
          <w:szCs w:val="28"/>
          <w14:ligatures w14:val="none"/>
        </w:rPr>
        <w:t>.</w:t>
      </w:r>
    </w:p>
    <w:p w14:paraId="6C197E8C" w14:textId="78C430E7" w:rsidR="0085176C" w:rsidRPr="00E755B4" w:rsidRDefault="0085176C" w:rsidP="00837CB7">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تُزوّد الدراسة المطورين العقاريين والمستثمرين بمعلومات تحليلية حول الفرص الاستثمارية الكامنة في مشاريع تطوير المناطق العشوائية بجدة في ظل المحفزات التشريعية الجديدة، وتُحدد لهم المخاطر والتحديات التي ينبغي مراعاتها عند إعداد دراسات الجدوى</w:t>
      </w:r>
      <w:r w:rsidRPr="00E755B4">
        <w:rPr>
          <w:rFonts w:ascii="Simplified Arabic" w:eastAsia="Times New Roman" w:hAnsi="Simplified Arabic" w:cs="Simplified Arabic"/>
          <w:color w:val="000000" w:themeColor="text1"/>
          <w:kern w:val="0"/>
          <w:sz w:val="28"/>
          <w:szCs w:val="28"/>
          <w14:ligatures w14:val="none"/>
        </w:rPr>
        <w:t>.</w:t>
      </w:r>
    </w:p>
    <w:p w14:paraId="2918AB56" w14:textId="19950BBA" w:rsidR="0085176C" w:rsidRPr="00E755B4" w:rsidRDefault="0085176C" w:rsidP="00837CB7">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تُقدم الدراسة إطارًا مقترحًا يمكن أن تستفيد منه الجهات الحكومية في صياغة اشتراطات التطوير التي تضمن حقوق السكان الأصليين في إعادة التوطين أو التعويض العادل أو المشاركة في عوائد التنمية</w:t>
      </w:r>
      <w:r w:rsidRPr="00E755B4">
        <w:rPr>
          <w:rFonts w:ascii="Simplified Arabic" w:eastAsia="Times New Roman" w:hAnsi="Simplified Arabic" w:cs="Simplified Arabic"/>
          <w:color w:val="000000" w:themeColor="text1"/>
          <w:kern w:val="0"/>
          <w:sz w:val="28"/>
          <w:szCs w:val="28"/>
          <w14:ligatures w14:val="none"/>
        </w:rPr>
        <w:t>.</w:t>
      </w:r>
    </w:p>
    <w:p w14:paraId="4FFBDE04" w14:textId="76D8D85B" w:rsidR="0085176C" w:rsidRPr="00E755B4" w:rsidRDefault="0085176C" w:rsidP="00837CB7">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للتنفيذ لتسريع وتيرة تطوير المناطق العشوائية ودمجها في النسيج العمراني المنظم، مما يُسهم بشكل مباشر في رفع نسبة تملك المواطنين السعوديين وزيادة المعروض السكني النظامي تماشيًا مع برنامج الإسكان</w:t>
      </w:r>
      <w:r w:rsidRPr="00E755B4">
        <w:rPr>
          <w:rFonts w:ascii="Simplified Arabic" w:eastAsia="Times New Roman" w:hAnsi="Simplified Arabic" w:cs="Simplified Arabic"/>
          <w:color w:val="000000" w:themeColor="text1"/>
          <w:kern w:val="0"/>
          <w:sz w:val="28"/>
          <w:szCs w:val="28"/>
          <w14:ligatures w14:val="none"/>
        </w:rPr>
        <w:t>.</w:t>
      </w:r>
    </w:p>
    <w:p w14:paraId="42874595" w14:textId="3064C57D" w:rsidR="00B51676"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4775771"/>
      <w:r w:rsidRPr="00E755B4">
        <w:rPr>
          <w:rFonts w:ascii="Simplified Arabic" w:eastAsia="Times New Roman" w:hAnsi="Simplified Arabic" w:cs="Simplified Arabic"/>
          <w:b/>
          <w:bCs/>
          <w:color w:val="000000" w:themeColor="text1"/>
          <w:kern w:val="0"/>
          <w:sz w:val="36"/>
          <w:szCs w:val="36"/>
          <w:rtl/>
          <w14:ligatures w14:val="none"/>
        </w:rPr>
        <w:t>4.1 أهداف الدراسة</w:t>
      </w:r>
      <w:bookmarkEnd w:id="8"/>
    </w:p>
    <w:p w14:paraId="2E37C875"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تهدف هذه الدراسة إلى استقصاء أثر الأنظمة والتشريعات العقارية الجديدة في المملكة العربية السعودية — بأبعادها المتمثلة في نظام التسجيل العيني للعقار، ونظام الوساطة العقارية، ونظام البيع على الخارطة (وافي)، ونظام رسوم الأراضي البيضاء، وأنظمة التمويل العقاري المدعوم — على تطوير وإدارة العقارات في المناطق العشوائية بمدينة جدة، وذلك في ضوء مستهدفات رؤية المملكة 2030 وبرنامج الإسكان المصاحب لها</w:t>
      </w:r>
      <w:r w:rsidRPr="00E755B4">
        <w:rPr>
          <w:rFonts w:ascii="Simplified Arabic" w:eastAsia="Times New Roman" w:hAnsi="Simplified Arabic" w:cs="Simplified Arabic"/>
          <w:color w:val="000000" w:themeColor="text1"/>
          <w:kern w:val="0"/>
          <w:sz w:val="28"/>
          <w:szCs w:val="28"/>
          <w14:ligatures w14:val="none"/>
        </w:rPr>
        <w:t>.</w:t>
      </w:r>
    </w:p>
    <w:p w14:paraId="23E234A8" w14:textId="77777777" w:rsidR="0085176C" w:rsidRPr="00E755B4" w:rsidRDefault="0085176C"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E755B4">
        <w:rPr>
          <w:rFonts w:ascii="Simplified Arabic" w:eastAsia="Times New Roman" w:hAnsi="Simplified Arabic" w:cs="Simplified Arabic"/>
          <w:b/>
          <w:bCs/>
          <w:color w:val="000000" w:themeColor="text1"/>
          <w:kern w:val="0"/>
          <w:sz w:val="28"/>
          <w:szCs w:val="28"/>
          <w14:ligatures w14:val="none"/>
        </w:rPr>
        <w:t>:</w:t>
      </w:r>
    </w:p>
    <w:p w14:paraId="380ADF68" w14:textId="74D2ABFD" w:rsidR="0085176C" w:rsidRPr="00E755B4" w:rsidRDefault="0085176C" w:rsidP="00837CB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الهدف الفرعي الأول</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التعرف على أثر نظام التسجيل العيني للعقار على توثيق الملكيات وتسوية النزاعات العقارية في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14297279" w14:textId="511CF16F" w:rsidR="0085176C" w:rsidRPr="00E755B4" w:rsidRDefault="0085176C" w:rsidP="00837CB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الهدف الفرعي الثاني</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قياس أثر نظام الوساطة العقارية المحدّث على تنظيم سوق العقارات في الأحياء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15194FB2" w14:textId="5E671826" w:rsidR="0085176C" w:rsidRPr="00E755B4" w:rsidRDefault="0085176C" w:rsidP="00837CB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الهدف الفرعي الثالث</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تحليل أثر نظام البيع على الخارطة (وافي) على تحفيز المطورين العقاريين للاستثمار في مشاريع إعادة تطوير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2E2D5065" w14:textId="4695E1F9" w:rsidR="0085176C" w:rsidRPr="00E755B4" w:rsidRDefault="0085176C" w:rsidP="00837CB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755B4">
        <w:rPr>
          <w:rFonts w:ascii="Simplified Arabic" w:eastAsia="Times New Roman" w:hAnsi="Simplified Arabic" w:cs="Simplified Arabic"/>
          <w:color w:val="000000" w:themeColor="text1"/>
          <w:kern w:val="0"/>
          <w:sz w:val="28"/>
          <w:szCs w:val="28"/>
          <w:rtl/>
          <w14:ligatures w14:val="none"/>
        </w:rPr>
        <w:t>الهدف الفرعي الرابع</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استكشاف أثر نظام رسوم الأراضي البيضاء على تقليص ظاهرة الاحتكار العقاري في المناطق المحاذية للأحياء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55EB7391" w14:textId="4D0A9479" w:rsidR="00B51676"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4775772"/>
      <w:r w:rsidRPr="00E755B4">
        <w:rPr>
          <w:rFonts w:ascii="Simplified Arabic" w:eastAsia="Times New Roman" w:hAnsi="Simplified Arabic" w:cs="Simplified Arabic"/>
          <w:b/>
          <w:bCs/>
          <w:color w:val="000000" w:themeColor="text1"/>
          <w:kern w:val="0"/>
          <w:sz w:val="36"/>
          <w:szCs w:val="36"/>
          <w:rtl/>
          <w14:ligatures w14:val="none"/>
        </w:rPr>
        <w:lastRenderedPageBreak/>
        <w:t>5.1 أسئلة الدراسة</w:t>
      </w:r>
      <w:bookmarkEnd w:id="9"/>
    </w:p>
    <w:p w14:paraId="3CD03342" w14:textId="77777777" w:rsidR="0085176C" w:rsidRPr="00E755B4" w:rsidRDefault="0085176C" w:rsidP="00837CB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ما أثر الأنظمة والتشريعات العقارية الجديدة في المملكة العربية السعودية على تطوير وإدارة العقارات في المناطق العشوائية بمدينة جدة؟</w:t>
      </w:r>
    </w:p>
    <w:p w14:paraId="1A4B499D" w14:textId="77777777" w:rsidR="0085176C" w:rsidRPr="00E755B4" w:rsidRDefault="0085176C"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198439"/>
      <w:r w:rsidRPr="00E755B4">
        <w:rPr>
          <w:rFonts w:ascii="Simplified Arabic" w:eastAsia="Times New Roman" w:hAnsi="Simplified Arabic" w:cs="Simplified Arabic"/>
          <w:b/>
          <w:bCs/>
          <w:color w:val="000000" w:themeColor="text1"/>
          <w:kern w:val="0"/>
          <w:sz w:val="32"/>
          <w:szCs w:val="32"/>
          <w:rtl/>
          <w14:ligatures w14:val="none"/>
        </w:rPr>
        <w:t>الأسئلة الفرعية</w:t>
      </w:r>
      <w:bookmarkEnd w:id="10"/>
    </w:p>
    <w:p w14:paraId="5553CF52" w14:textId="77777777" w:rsidR="0085176C" w:rsidRPr="00E755B4" w:rsidRDefault="0085176C" w:rsidP="00837CB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السؤال الفرعي الأول</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ما أثر نظام التسجيل العيني للعقار على توثيق الملكيات وتسوية النزاعات العقارية في المناطق العشوائية بمدينة جدة؟</w:t>
      </w:r>
    </w:p>
    <w:p w14:paraId="0B455AFA" w14:textId="77777777" w:rsidR="0085176C" w:rsidRPr="00E755B4" w:rsidRDefault="0085176C" w:rsidP="00837CB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السؤال الفرعي الثاني</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ما أثر نظام الوساطة العقارية على تنظيم سوق العقارات والحد من الممارسات غير الرسمية في المناطق العشوائية بمدينة جدة؟</w:t>
      </w:r>
    </w:p>
    <w:p w14:paraId="7EBFE8A8" w14:textId="77777777" w:rsidR="0085176C" w:rsidRPr="00E755B4" w:rsidRDefault="0085176C" w:rsidP="00837CB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السؤال الفرعي الثالث</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ما أثر نظام البيع على الخارطة (وافي) على تحفيز الاستثمار العقاري في مشاريع إعادة تطوير المناطق العشوائية بمدينة جدة؟</w:t>
      </w:r>
    </w:p>
    <w:p w14:paraId="500AF6AB" w14:textId="61EA8E2D" w:rsidR="0085176C" w:rsidRPr="00E755B4" w:rsidRDefault="0085176C" w:rsidP="00837CB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755B4">
        <w:rPr>
          <w:rFonts w:ascii="Simplified Arabic" w:eastAsia="Times New Roman" w:hAnsi="Simplified Arabic" w:cs="Simplified Arabic"/>
          <w:color w:val="000000" w:themeColor="text1"/>
          <w:kern w:val="0"/>
          <w:sz w:val="28"/>
          <w:szCs w:val="28"/>
          <w:rtl/>
          <w14:ligatures w14:val="none"/>
        </w:rPr>
        <w:t>السؤال الفرعي الرابع</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ما أثر نظام رسوم الأراضي البيضاء على تقليص الاحتكار العقاري وزيادة المعروض من الأراضي المطوّرة في محيط المناطق العشوائية بمدينة جدة؟</w:t>
      </w:r>
    </w:p>
    <w:p w14:paraId="16349D2C" w14:textId="77777777" w:rsidR="00B51676" w:rsidRPr="00E755B4" w:rsidRDefault="00B51676" w:rsidP="00B516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4775773"/>
      <w:r w:rsidRPr="00E755B4">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74A69CCA" w14:textId="7B7E6FBB" w:rsidR="00B51676" w:rsidRPr="00E755B4" w:rsidRDefault="00B51676"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755B4">
        <w:rPr>
          <w:rFonts w:ascii="Simplified Arabic" w:eastAsia="Times New Roman" w:hAnsi="Simplified Arabic" w:cs="Simplified Arabic"/>
          <w:b/>
          <w:bCs/>
          <w:color w:val="000000" w:themeColor="text1"/>
          <w:kern w:val="0"/>
          <w:sz w:val="32"/>
          <w:szCs w:val="32"/>
          <w:rtl/>
          <w14:ligatures w14:val="none"/>
        </w:rPr>
        <w:t>الفرض الرئيسي</w:t>
      </w:r>
    </w:p>
    <w:p w14:paraId="65087527" w14:textId="77777777" w:rsidR="0085176C" w:rsidRPr="00E755B4" w:rsidRDefault="0085176C" w:rsidP="00837CB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يوجد أثر ذو دلالة إحصائية عند مستوى معنوية </w:t>
      </w:r>
      <w:r w:rsidRPr="00E755B4">
        <w:rPr>
          <w:rFonts w:ascii="Simplified Arabic" w:eastAsia="Times New Roman" w:hAnsi="Simplified Arabic" w:cs="Simplified Arabic"/>
          <w:color w:val="000000" w:themeColor="text1"/>
          <w:kern w:val="0"/>
          <w:sz w:val="28"/>
          <w:szCs w:val="28"/>
          <w14:ligatures w14:val="none"/>
        </w:rPr>
        <w:t>(</w:t>
      </w:r>
      <w:r w:rsidRPr="00E755B4">
        <w:rPr>
          <w:rFonts w:ascii="Cambria" w:eastAsia="Times New Roman" w:hAnsi="Cambria" w:cs="Cambria"/>
          <w:color w:val="000000" w:themeColor="text1"/>
          <w:kern w:val="0"/>
          <w:sz w:val="28"/>
          <w:szCs w:val="28"/>
          <w14:ligatures w14:val="none"/>
        </w:rPr>
        <w:t>α</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Times New Roman" w:eastAsia="Times New Roman" w:hAnsi="Times New Roman" w:cs="Times New Roman"/>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14:ligatures w14:val="none"/>
        </w:rPr>
        <w:t xml:space="preserve"> 0.05) </w:t>
      </w:r>
      <w:r w:rsidRPr="00E755B4">
        <w:rPr>
          <w:rFonts w:ascii="Simplified Arabic" w:eastAsia="Times New Roman" w:hAnsi="Simplified Arabic" w:cs="Simplified Arabic"/>
          <w:color w:val="000000" w:themeColor="text1"/>
          <w:kern w:val="0"/>
          <w:sz w:val="28"/>
          <w:szCs w:val="28"/>
          <w:rtl/>
          <w14:ligatures w14:val="none"/>
        </w:rPr>
        <w:t>للأنظمة والتشريعات العقارية الجديدة بأبعادها المجتمعة على تطوير وإدارة العقارات في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10834BF6" w14:textId="77777777" w:rsidR="0085176C" w:rsidRPr="00E755B4" w:rsidRDefault="0085176C"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4198442"/>
      <w:r w:rsidRPr="00E755B4">
        <w:rPr>
          <w:rFonts w:ascii="Simplified Arabic" w:eastAsia="Times New Roman" w:hAnsi="Simplified Arabic" w:cs="Simplified Arabic"/>
          <w:b/>
          <w:bCs/>
          <w:color w:val="000000" w:themeColor="text1"/>
          <w:kern w:val="0"/>
          <w:sz w:val="32"/>
          <w:szCs w:val="32"/>
          <w:rtl/>
          <w14:ligatures w14:val="none"/>
        </w:rPr>
        <w:t>الفروض الفرعية</w:t>
      </w:r>
      <w:bookmarkEnd w:id="12"/>
    </w:p>
    <w:p w14:paraId="1805DA56" w14:textId="77777777" w:rsidR="0085176C" w:rsidRPr="00E755B4" w:rsidRDefault="0085176C" w:rsidP="00837CB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الفرض الفرعي الأول</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Cambria" w:eastAsia="Times New Roman" w:hAnsi="Cambria" w:cs="Cambria"/>
          <w:color w:val="000000" w:themeColor="text1"/>
          <w:kern w:val="0"/>
          <w:sz w:val="28"/>
          <w:szCs w:val="28"/>
          <w14:ligatures w14:val="none"/>
        </w:rPr>
        <w:t>α</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Times New Roman" w:eastAsia="Times New Roman" w:hAnsi="Times New Roman" w:cs="Times New Roman"/>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14:ligatures w14:val="none"/>
        </w:rPr>
        <w:t xml:space="preserve"> 0.05) </w:t>
      </w:r>
      <w:r w:rsidRPr="00E755B4">
        <w:rPr>
          <w:rFonts w:ascii="Simplified Arabic" w:eastAsia="Times New Roman" w:hAnsi="Simplified Arabic" w:cs="Simplified Arabic"/>
          <w:color w:val="000000" w:themeColor="text1"/>
          <w:kern w:val="0"/>
          <w:sz w:val="28"/>
          <w:szCs w:val="28"/>
          <w:rtl/>
          <w14:ligatures w14:val="none"/>
        </w:rPr>
        <w:t>لنظام التسجيل العيني للعقار على توثيق الملكيات وتسوية النزاعات العقارية في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3395D109" w14:textId="77777777" w:rsidR="0085176C" w:rsidRPr="00E755B4" w:rsidRDefault="0085176C" w:rsidP="00837CB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الفرض الفرعي الثاني</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Cambria" w:eastAsia="Times New Roman" w:hAnsi="Cambria" w:cs="Cambria"/>
          <w:color w:val="000000" w:themeColor="text1"/>
          <w:kern w:val="0"/>
          <w:sz w:val="28"/>
          <w:szCs w:val="28"/>
          <w14:ligatures w14:val="none"/>
        </w:rPr>
        <w:t>α</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Times New Roman" w:eastAsia="Times New Roman" w:hAnsi="Times New Roman" w:cs="Times New Roman"/>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14:ligatures w14:val="none"/>
        </w:rPr>
        <w:t xml:space="preserve"> 0.05) </w:t>
      </w:r>
      <w:r w:rsidRPr="00E755B4">
        <w:rPr>
          <w:rFonts w:ascii="Simplified Arabic" w:eastAsia="Times New Roman" w:hAnsi="Simplified Arabic" w:cs="Simplified Arabic"/>
          <w:color w:val="000000" w:themeColor="text1"/>
          <w:kern w:val="0"/>
          <w:sz w:val="28"/>
          <w:szCs w:val="28"/>
          <w:rtl/>
          <w14:ligatures w14:val="none"/>
        </w:rPr>
        <w:t>لنظام الوساطة العقارية على تنظيم سوق العقارات والحد من الممارسات غير الرسمية في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15811E2A" w14:textId="77777777" w:rsidR="0085176C" w:rsidRPr="00E755B4" w:rsidRDefault="0085176C" w:rsidP="00837CB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الفرض الفرعي الثالث</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Cambria" w:eastAsia="Times New Roman" w:hAnsi="Cambria" w:cs="Cambria"/>
          <w:color w:val="000000" w:themeColor="text1"/>
          <w:kern w:val="0"/>
          <w:sz w:val="28"/>
          <w:szCs w:val="28"/>
          <w14:ligatures w14:val="none"/>
        </w:rPr>
        <w:t>α</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Times New Roman" w:eastAsia="Times New Roman" w:hAnsi="Times New Roman" w:cs="Times New Roman"/>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14:ligatures w14:val="none"/>
        </w:rPr>
        <w:t xml:space="preserve"> 0.05) </w:t>
      </w:r>
      <w:r w:rsidRPr="00E755B4">
        <w:rPr>
          <w:rFonts w:ascii="Simplified Arabic" w:eastAsia="Times New Roman" w:hAnsi="Simplified Arabic" w:cs="Simplified Arabic"/>
          <w:color w:val="000000" w:themeColor="text1"/>
          <w:kern w:val="0"/>
          <w:sz w:val="28"/>
          <w:szCs w:val="28"/>
          <w:rtl/>
          <w14:ligatures w14:val="none"/>
        </w:rPr>
        <w:t>لنظام البيع على الخارطة (وافي) على تحفيز الاستثمار العقاري في مشاريع إعادة تطوير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156EE736" w14:textId="77777777" w:rsidR="0085176C" w:rsidRPr="00E755B4" w:rsidRDefault="0085176C" w:rsidP="00837CB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الفرض الفرعي الرابع</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Cambria" w:eastAsia="Times New Roman" w:hAnsi="Cambria" w:cs="Cambria"/>
          <w:color w:val="000000" w:themeColor="text1"/>
          <w:kern w:val="0"/>
          <w:sz w:val="28"/>
          <w:szCs w:val="28"/>
          <w14:ligatures w14:val="none"/>
        </w:rPr>
        <w:t>α</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Times New Roman" w:eastAsia="Times New Roman" w:hAnsi="Times New Roman" w:cs="Times New Roman"/>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14:ligatures w14:val="none"/>
        </w:rPr>
        <w:t xml:space="preserve"> 0.05) </w:t>
      </w:r>
      <w:r w:rsidRPr="00E755B4">
        <w:rPr>
          <w:rFonts w:ascii="Simplified Arabic" w:eastAsia="Times New Roman" w:hAnsi="Simplified Arabic" w:cs="Simplified Arabic"/>
          <w:color w:val="000000" w:themeColor="text1"/>
          <w:kern w:val="0"/>
          <w:sz w:val="28"/>
          <w:szCs w:val="28"/>
          <w:rtl/>
          <w14:ligatures w14:val="none"/>
        </w:rPr>
        <w:t>لنظام رسوم الأراضي البيضاء على تقليص الاحتكار العقاري وزيادة المعروض من الأراضي المطوّرة في محيط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w:t>
      </w:r>
    </w:p>
    <w:p w14:paraId="16BA7A9C" w14:textId="77777777" w:rsidR="00B51676" w:rsidRPr="00E755B4" w:rsidRDefault="00B51676" w:rsidP="00B516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4775774"/>
      <w:bookmarkEnd w:id="4"/>
      <w:r w:rsidRPr="00E755B4">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3148C359" w14:textId="0AFE79C8" w:rsidR="00B51676" w:rsidRPr="00E755B4" w:rsidRDefault="00B51676"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755B4">
        <w:rPr>
          <w:rFonts w:ascii="Simplified Arabic" w:eastAsia="Times New Roman" w:hAnsi="Simplified Arabic" w:cs="Simplified Arabic"/>
          <w:b/>
          <w:bCs/>
          <w:color w:val="000000" w:themeColor="text1"/>
          <w:kern w:val="0"/>
          <w:sz w:val="32"/>
          <w:szCs w:val="32"/>
          <w:rtl/>
          <w14:ligatures w14:val="none"/>
        </w:rPr>
        <w:t>أولاً: دراسات المتغير المستقل (الأنظمة والتشريعات العقارية الجديدة)</w:t>
      </w:r>
    </w:p>
    <w:p w14:paraId="26381F8B" w14:textId="77777777" w:rsidR="00B51676" w:rsidRPr="00E755B4" w:rsidRDefault="00B51676"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 اليحياء</w:t>
      </w:r>
      <w:r w:rsidRPr="00E755B4">
        <w:rPr>
          <w:rFonts w:ascii="Simplified Arabic" w:eastAsia="Times New Roman" w:hAnsi="Simplified Arabic" w:cs="Simplified Arabic"/>
          <w:b/>
          <w:bCs/>
          <w:color w:val="000000" w:themeColor="text1"/>
          <w:kern w:val="0"/>
          <w:sz w:val="28"/>
          <w:szCs w:val="28"/>
          <w14:ligatures w14:val="none"/>
        </w:rPr>
        <w:t xml:space="preserve"> (2023) </w:t>
      </w:r>
      <w:r w:rsidRPr="00E755B4">
        <w:rPr>
          <w:rFonts w:ascii="Simplified Arabic" w:eastAsia="Times New Roman" w:hAnsi="Simplified Arabic" w:cs="Simplified Arabic"/>
          <w:b/>
          <w:bCs/>
          <w:color w:val="000000" w:themeColor="text1"/>
          <w:kern w:val="0"/>
          <w:sz w:val="28"/>
          <w:szCs w:val="28"/>
          <w:rtl/>
          <w14:ligatures w14:val="none"/>
        </w:rPr>
        <w:t>بعنوان: "المستجدات في تملك العقارات في المملكة العربية السعودية</w:t>
      </w:r>
      <w:r w:rsidRPr="00E755B4">
        <w:rPr>
          <w:rFonts w:ascii="Simplified Arabic" w:eastAsia="Times New Roman" w:hAnsi="Simplified Arabic" w:cs="Simplified Arabic"/>
          <w:b/>
          <w:bCs/>
          <w:color w:val="000000" w:themeColor="text1"/>
          <w:kern w:val="0"/>
          <w:sz w:val="28"/>
          <w:szCs w:val="28"/>
          <w14:ligatures w14:val="none"/>
        </w:rPr>
        <w:t xml:space="preserve">: </w:t>
      </w:r>
      <w:r w:rsidRPr="00E755B4">
        <w:rPr>
          <w:rFonts w:ascii="Simplified Arabic" w:eastAsia="Times New Roman" w:hAnsi="Simplified Arabic" w:cs="Simplified Arabic"/>
          <w:b/>
          <w:bCs/>
          <w:color w:val="000000" w:themeColor="text1"/>
          <w:kern w:val="0"/>
          <w:sz w:val="28"/>
          <w:szCs w:val="28"/>
          <w:rtl/>
          <w14:ligatures w14:val="none"/>
        </w:rPr>
        <w:t>دراسة وصفية تحليلية على ضوء الأحكام النظامية والمبادئ القضائية</w:t>
      </w:r>
      <w:r w:rsidRPr="00E755B4">
        <w:rPr>
          <w:rFonts w:ascii="Simplified Arabic" w:eastAsia="Times New Roman" w:hAnsi="Simplified Arabic" w:cs="Simplified Arabic"/>
          <w:b/>
          <w:bCs/>
          <w:color w:val="000000" w:themeColor="text1"/>
          <w:kern w:val="0"/>
          <w:sz w:val="28"/>
          <w:szCs w:val="28"/>
          <w14:ligatures w14:val="none"/>
        </w:rPr>
        <w:t>"</w:t>
      </w:r>
    </w:p>
    <w:p w14:paraId="521ECFC4" w14:textId="77777777" w:rsidR="00B51676" w:rsidRPr="00E755B4" w:rsidRDefault="00B51676"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المستجدات التشريعية والتنظيمية المتعلقة بتملك العقارات في المملكة العربية السعودية بأبعادها المتمثلة في (الأحكام النظامية الجديدة لتملك العقارات، المبادئ القضائية المستقرة، ضوابط تملك غير السعوديين للعقارات) على منظومة التملك العقاري في المملكة. واستخدمت الدراسة المنهج الوصفي التحليلي المستند إلى تحليل النصوص النظامية والمراسيم الملكية والقرارات الوزارية ذات العلاقة، وتكونت عينة الدراسة من الأنظمة العقارية المستحدثة والأحكام القضائية الصادرة من المحاكم المختصة في المملكة. وتوصلت نتائج الدراسة إلى أن المملكة أجرت إصلاحات جوهرية في منظومة التملك العقاري شملت تحديث نظام التسجيل العيني وتوسيع نطاق السماح لغير السعوديين بالتملك ضمن ضوابط محددة، مما أسهم في تعزيز الاستثمار العقاري وجذب رؤوس الأموال الأجنبية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وأوصت الدراسة بأهمية مواصلة تطوير البنية التشريعية العقارية وتبسيط إجراءات التسجيل والتوثيق لتحقيق مزيد من الشفافية والكفاءة في السوق العقاري السعودي</w:t>
      </w:r>
      <w:r w:rsidRPr="00E755B4">
        <w:rPr>
          <w:rFonts w:ascii="Simplified Arabic" w:eastAsia="Times New Roman" w:hAnsi="Simplified Arabic" w:cs="Simplified Arabic"/>
          <w:color w:val="000000" w:themeColor="text1"/>
          <w:kern w:val="0"/>
          <w:sz w:val="28"/>
          <w:szCs w:val="28"/>
          <w14:ligatures w14:val="none"/>
        </w:rPr>
        <w:t>.</w:t>
      </w:r>
    </w:p>
    <w:p w14:paraId="372D767C"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lastRenderedPageBreak/>
        <w:t>دراسة حسن (2026) بعنوان: "التنظيمات القانونية للمعاملات العقارية التجارية في المملكة العربية السعودية</w:t>
      </w:r>
      <w:r w:rsidRPr="00E755B4">
        <w:rPr>
          <w:rFonts w:ascii="Simplified Arabic" w:eastAsia="Times New Roman" w:hAnsi="Simplified Arabic" w:cs="Simplified Arabic"/>
          <w:b/>
          <w:bCs/>
          <w:color w:val="000000" w:themeColor="text1"/>
          <w:kern w:val="0"/>
          <w:sz w:val="28"/>
          <w:szCs w:val="28"/>
          <w14:ligatures w14:val="none"/>
        </w:rPr>
        <w:t>"</w:t>
      </w:r>
    </w:p>
    <w:p w14:paraId="0BB4FE0A" w14:textId="6374F6CF"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الإطار القانوني المنظم للمعاملات العقارية التجارية في المملكة العربية السعودية بأبعاده المتمثلة في (نظام التسجيل العيني للعقار، المركز القانوني للمالك في الملكية العقارية المشتركة، المسؤولية التعاقدية لأطراف الصفقات العقارية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على واقع السوق العقاري التجاري في المملكة. واستخدمت الدراسة المنهج الوصفي التحليلي القائم على تحليل النصوص النظامية والأحكام القضائية ذات الصلة بالتنظيمات العقارية السعودية، وتكونت عينة الدراسة من مجموعة من الأنظمة واللوائح العقارية السعودية الصادرة حديثاً، إضافة إلى المبادئ القضائية المستقرة في هذا الشأن. وتوصلت نتائج الدراسة إلى أن المملكة العربية السعودية شهدت نقلة نوعية في تنظيم المعاملات العقارية التجارية من خلال صدور نظام التسجيل العيني للعقار الذي عزز من حماية الملكية العقارية وشفافية التعاملات، كما أن نظام الملكية المشتركة وفّر إطاراً قانونياً واضحاً لحقوق الملاك في العقارات المشتركة. وأوصت الدراسة بضرورة تفعيل آليات الرقابة على تطبيق الأنظمة العقارية الجديدة وتعزيز الوعي القانوني لدى المتعاملين في السوق العقاري، فضلاً عن استمرار تطوير التشريعات بما يواكب التحولات الاقتصادية ضمن رؤية المملكة 2030</w:t>
      </w:r>
      <w:r w:rsidRPr="00E755B4">
        <w:rPr>
          <w:rFonts w:ascii="Simplified Arabic" w:eastAsia="Times New Roman" w:hAnsi="Simplified Arabic" w:cs="Simplified Arabic"/>
          <w:color w:val="000000" w:themeColor="text1"/>
          <w:kern w:val="0"/>
          <w:sz w:val="28"/>
          <w:szCs w:val="28"/>
          <w14:ligatures w14:val="none"/>
        </w:rPr>
        <w:t>.</w:t>
      </w:r>
    </w:p>
    <w:p w14:paraId="3ED16B2F" w14:textId="77777777" w:rsidR="00B51676" w:rsidRPr="00E755B4" w:rsidRDefault="00B51676"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AlQahtany &amp; Alhassan (2020)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"Affordable Housing in Saudi Arabia's Vision 2030: New Developments and New Challenges"</w:t>
      </w:r>
    </w:p>
    <w:p w14:paraId="0309CC4F" w14:textId="77777777" w:rsidR="00B51676" w:rsidRPr="00E755B4" w:rsidRDefault="00B51676"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واقع توفير الإسكان الميسر ضمن رؤية المملكة 2030 بأبعاده المتمثلة في (تحديات الإسكان الميسر، دور القطاع الخاص، البرامج الحكومية الجديدة) على منظومة الإسكان في المملكة العربية السعودية. واستخدمت الدراسة المنهج الوصفي التحليلي القائم على القراءة المعمقة لوثائق رؤية 2030 وبرامج الإسكان المرتبطة بها</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وتكونت عينة الدراسة من وثائق رؤية 2030 وبرنامج التحول الوطني 2020 والتقارير الحكومية المتعلقة بقطاع الإسكان. وتوصلت نتائج الدراسة إلى أن رؤية 2030 أحدثت تحولاً جذرياً في دور الحكومة من مزود مباشر للإسكان إلى ممكّن للقطاع الخاص، وأن البرامج الجديدة مثل سكني ووافي حققت نتائج إيجابية لكنها تواجه تحديات تتعلق بارتفاع أسعار الأراضي وتكاليف البناء</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وأوصت الدراسة بضرورة مراجعة برامج الإسكان القائمة وإعادة تقييم تحديات الوصول إلى الإسكان الميسر، مع التركيز على تعزيز الشراكة بين القطاعين العام والخاص</w:t>
      </w:r>
      <w:r w:rsidRPr="00E755B4">
        <w:rPr>
          <w:rFonts w:ascii="Simplified Arabic" w:eastAsia="Times New Roman" w:hAnsi="Simplified Arabic" w:cs="Simplified Arabic"/>
          <w:color w:val="000000" w:themeColor="text1"/>
          <w:kern w:val="0"/>
          <w:sz w:val="28"/>
          <w:szCs w:val="28"/>
          <w14:ligatures w14:val="none"/>
        </w:rPr>
        <w:t>.</w:t>
      </w:r>
    </w:p>
    <w:p w14:paraId="2EC1641A"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lastRenderedPageBreak/>
        <w:t>دراسة</w:t>
      </w:r>
      <w:r w:rsidRPr="00E755B4">
        <w:rPr>
          <w:rFonts w:ascii="Simplified Arabic" w:eastAsia="Times New Roman" w:hAnsi="Simplified Arabic" w:cs="Simplified Arabic"/>
          <w:b/>
          <w:bCs/>
          <w:color w:val="000000" w:themeColor="text1"/>
          <w:kern w:val="0"/>
          <w:sz w:val="28"/>
          <w:szCs w:val="28"/>
          <w14:ligatures w14:val="none"/>
        </w:rPr>
        <w:t xml:space="preserve"> AlQahtany (2021)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"Government Regulation and Financial Support on Housing Delivery: Lessons Learned from the Saudi Experience"</w:t>
      </w:r>
    </w:p>
    <w:p w14:paraId="04F92BC8" w14:textId="2EBCDB9B"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التنظيمات الحكومية والدعم المالي في توصيل الإسكان بأبعاده المتمثلة في (الإطار التنظيمي الحكومي، آليات الدعم المالي، برامج صندوق التنمية العقارية) على قطاع الإسكان في المملكة العربية السعودية. واستخدمت الدراسة المنهج الوصفي التحليلي القائم على أسلوب الدراسة المكتبية ومراجعة الأدبيات وتحليل البيانات الثانوية والوثائق الحكومية، بالإضافة إلى مناقشات مع خبراء مختصين للتحقق من النتائج. وتكونت عينة الدراسة من مجموعة من الوثائق الحكومية والتقارير الرسمية وقواعد البيانات المتعلقة بقطاع الإسكان السعودي. وتوصلت نتائج الدراسة إلى أن الطلب على الإسكان سيستمر في التزايد مع النمو السكاني، وأن المعروض السكني يجب ألا يتوافق مع الطلب فحسب بل يتطور وفقاً للخصائص الاجتماعية والاقتصادية للسكان، كما أن الجهات التنظيمية بحاجة إلى تبسيط وتعزيز اللوائح المتعلقة بتراخيص البناء. وأوصت الدراسة بأن يظل المنظمون يقظين تجاه المخاطر المالية والمحتملة مع تطور سوق الإسكان، مع ضرورة مراجعة البرامج الإسكانية بشكل دوري لضمان فاعليتها</w:t>
      </w:r>
      <w:r w:rsidRPr="00E755B4">
        <w:rPr>
          <w:rFonts w:ascii="Simplified Arabic" w:eastAsia="Times New Roman" w:hAnsi="Simplified Arabic" w:cs="Simplified Arabic"/>
          <w:color w:val="000000" w:themeColor="text1"/>
          <w:kern w:val="0"/>
          <w:sz w:val="28"/>
          <w:szCs w:val="28"/>
          <w14:ligatures w14:val="none"/>
        </w:rPr>
        <w:t>.</w:t>
      </w:r>
    </w:p>
    <w:p w14:paraId="1DBE16AA" w14:textId="77777777" w:rsidR="00B51676" w:rsidRPr="00E755B4" w:rsidRDefault="00B51676"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Alqahtany (2022)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"Housing Challenges and Programs to Enhance Access to Affordable Housing in the Kingdom of Saudi Arabia"</w:t>
      </w:r>
    </w:p>
    <w:p w14:paraId="20783E91" w14:textId="77777777" w:rsidR="00B51676" w:rsidRPr="00E755B4" w:rsidRDefault="00B51676"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تحديات الإسكان والبرامج التمكينية للوصول إلى الإسكان الميسر بأبعادها المتمثلة في </w:t>
      </w:r>
      <w:r w:rsidRPr="00E755B4">
        <w:rPr>
          <w:rFonts w:ascii="Simplified Arabic" w:eastAsia="Times New Roman" w:hAnsi="Simplified Arabic" w:cs="Simplified Arabic"/>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rtl/>
          <w14:ligatures w14:val="none"/>
        </w:rPr>
        <w:t>تحديات القدرة على تحمل التكاليف، البرامج الحكومية التمكينية، فاعلية برامج الدعم) على قطاع الإسكان في المملكة العربية السعودية ضمن رؤية 2030</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واستخدمت الدراسة المنهج الكمي القائم على الاستبانة وتحليل البيانات باستخدام مؤشر الأهمية النسبية</w:t>
      </w:r>
      <w:r w:rsidRPr="00E755B4">
        <w:rPr>
          <w:rFonts w:ascii="Simplified Arabic" w:eastAsia="Times New Roman" w:hAnsi="Simplified Arabic" w:cs="Simplified Arabic"/>
          <w:color w:val="000000" w:themeColor="text1"/>
          <w:kern w:val="0"/>
          <w:sz w:val="28"/>
          <w:szCs w:val="28"/>
          <w14:ligatures w14:val="none"/>
        </w:rPr>
        <w:t xml:space="preserve"> (RII) </w:t>
      </w:r>
      <w:r w:rsidRPr="00E755B4">
        <w:rPr>
          <w:rFonts w:ascii="Simplified Arabic" w:eastAsia="Times New Roman" w:hAnsi="Simplified Arabic" w:cs="Simplified Arabic"/>
          <w:color w:val="000000" w:themeColor="text1"/>
          <w:kern w:val="0"/>
          <w:sz w:val="28"/>
          <w:szCs w:val="28"/>
          <w:rtl/>
          <w14:ligatures w14:val="none"/>
        </w:rPr>
        <w:t>واختبار مربع كاي</w:t>
      </w:r>
      <w:r w:rsidRPr="00E755B4">
        <w:rPr>
          <w:rFonts w:ascii="Simplified Arabic" w:eastAsia="Times New Roman" w:hAnsi="Simplified Arabic" w:cs="Simplified Arabic"/>
          <w:color w:val="000000" w:themeColor="text1"/>
          <w:kern w:val="0"/>
          <w:sz w:val="28"/>
          <w:szCs w:val="28"/>
          <w14:ligatures w14:val="none"/>
        </w:rPr>
        <w:t xml:space="preserve"> (Chi-Square)</w:t>
      </w:r>
      <w:r w:rsidRPr="00E755B4">
        <w:rPr>
          <w:rFonts w:ascii="Simplified Arabic" w:eastAsia="Times New Roman" w:hAnsi="Simplified Arabic" w:cs="Simplified Arabic"/>
          <w:color w:val="000000" w:themeColor="text1"/>
          <w:kern w:val="0"/>
          <w:sz w:val="28"/>
          <w:szCs w:val="28"/>
          <w:rtl/>
          <w14:ligatures w14:val="none"/>
        </w:rPr>
        <w:t>، وتكونت عينة الدراسة من مجموعة من خبراء الإسكان والمختصين في القطاع العقاري السعودي. وتوصلت نتائج الدراسة إلى أن أبرز التحديات تمثلت في ارتفاع أسعار الأراضي السكنية</w:t>
      </w:r>
      <w:r w:rsidRPr="00E755B4">
        <w:rPr>
          <w:rFonts w:ascii="Simplified Arabic" w:eastAsia="Times New Roman" w:hAnsi="Simplified Arabic" w:cs="Simplified Arabic"/>
          <w:color w:val="000000" w:themeColor="text1"/>
          <w:kern w:val="0"/>
          <w:sz w:val="28"/>
          <w:szCs w:val="28"/>
          <w14:ligatures w14:val="none"/>
        </w:rPr>
        <w:t xml:space="preserve"> (RII = 0.89) </w:t>
      </w:r>
      <w:r w:rsidRPr="00E755B4">
        <w:rPr>
          <w:rFonts w:ascii="Simplified Arabic" w:eastAsia="Times New Roman" w:hAnsi="Simplified Arabic" w:cs="Simplified Arabic"/>
          <w:color w:val="000000" w:themeColor="text1"/>
          <w:kern w:val="0"/>
          <w:sz w:val="28"/>
          <w:szCs w:val="28"/>
          <w:rtl/>
          <w14:ligatures w14:val="none"/>
        </w:rPr>
        <w:t>وارتفاع تكاليف البناء</w:t>
      </w:r>
      <w:r w:rsidRPr="00E755B4">
        <w:rPr>
          <w:rFonts w:ascii="Simplified Arabic" w:eastAsia="Times New Roman" w:hAnsi="Simplified Arabic" w:cs="Simplified Arabic"/>
          <w:color w:val="000000" w:themeColor="text1"/>
          <w:kern w:val="0"/>
          <w:sz w:val="28"/>
          <w:szCs w:val="28"/>
          <w14:ligatures w14:val="none"/>
        </w:rPr>
        <w:t xml:space="preserve"> (RII = 0.87) </w:t>
      </w:r>
      <w:r w:rsidRPr="00E755B4">
        <w:rPr>
          <w:rFonts w:ascii="Simplified Arabic" w:eastAsia="Times New Roman" w:hAnsi="Simplified Arabic" w:cs="Simplified Arabic"/>
          <w:color w:val="000000" w:themeColor="text1"/>
          <w:kern w:val="0"/>
          <w:sz w:val="28"/>
          <w:szCs w:val="28"/>
          <w:rtl/>
          <w14:ligatures w14:val="none"/>
        </w:rPr>
        <w:t>ومعدلات التحضر العالية</w:t>
      </w:r>
      <w:r w:rsidRPr="00E755B4">
        <w:rPr>
          <w:rFonts w:ascii="Simplified Arabic" w:eastAsia="Times New Roman" w:hAnsi="Simplified Arabic" w:cs="Simplified Arabic"/>
          <w:color w:val="000000" w:themeColor="text1"/>
          <w:kern w:val="0"/>
          <w:sz w:val="28"/>
          <w:szCs w:val="28"/>
          <w14:ligatures w14:val="none"/>
        </w:rPr>
        <w:t xml:space="preserve"> (RII = 0.76)</w:t>
      </w:r>
      <w:r w:rsidRPr="00E755B4">
        <w:rPr>
          <w:rFonts w:ascii="Simplified Arabic" w:eastAsia="Times New Roman" w:hAnsi="Simplified Arabic" w:cs="Simplified Arabic"/>
          <w:color w:val="000000" w:themeColor="text1"/>
          <w:kern w:val="0"/>
          <w:sz w:val="28"/>
          <w:szCs w:val="28"/>
          <w:rtl/>
          <w14:ligatures w14:val="none"/>
        </w:rPr>
        <w:t>، وأن أكثر البرامج التمكينية فاعلية كان برنامج الإعفاء من ضريبة القيمة المضافة</w:t>
      </w:r>
      <w:r w:rsidRPr="00E755B4">
        <w:rPr>
          <w:rFonts w:ascii="Simplified Arabic" w:eastAsia="Times New Roman" w:hAnsi="Simplified Arabic" w:cs="Simplified Arabic"/>
          <w:color w:val="000000" w:themeColor="text1"/>
          <w:kern w:val="0"/>
          <w:sz w:val="28"/>
          <w:szCs w:val="28"/>
          <w14:ligatures w14:val="none"/>
        </w:rPr>
        <w:t xml:space="preserve"> (RII = 0.82) </w:t>
      </w:r>
      <w:r w:rsidRPr="00E755B4">
        <w:rPr>
          <w:rFonts w:ascii="Simplified Arabic" w:eastAsia="Times New Roman" w:hAnsi="Simplified Arabic" w:cs="Simplified Arabic"/>
          <w:color w:val="000000" w:themeColor="text1"/>
          <w:kern w:val="0"/>
          <w:sz w:val="28"/>
          <w:szCs w:val="28"/>
          <w:rtl/>
          <w14:ligatures w14:val="none"/>
        </w:rPr>
        <w:t>يليه برنامج الإسكان التنموي</w:t>
      </w:r>
      <w:r w:rsidRPr="00E755B4">
        <w:rPr>
          <w:rFonts w:ascii="Simplified Arabic" w:eastAsia="Times New Roman" w:hAnsi="Simplified Arabic" w:cs="Simplified Arabic"/>
          <w:color w:val="000000" w:themeColor="text1"/>
          <w:kern w:val="0"/>
          <w:sz w:val="28"/>
          <w:szCs w:val="28"/>
          <w14:ligatures w14:val="none"/>
        </w:rPr>
        <w:t xml:space="preserve"> (RII = 0.73). </w:t>
      </w:r>
      <w:r w:rsidRPr="00E755B4">
        <w:rPr>
          <w:rFonts w:ascii="Simplified Arabic" w:eastAsia="Times New Roman" w:hAnsi="Simplified Arabic" w:cs="Simplified Arabic"/>
          <w:color w:val="000000" w:themeColor="text1"/>
          <w:kern w:val="0"/>
          <w:sz w:val="28"/>
          <w:szCs w:val="28"/>
          <w:rtl/>
          <w14:ligatures w14:val="none"/>
        </w:rPr>
        <w:t>وأوصت الدراسة بأن تقوم الحكومة بمراجعة بعض هذه البرامج وإعادة تقييم تحديات الوصول إلى الإسكان الميسر مع تطوير آليات جديدة لخفض تكلفة الأراضي والبناء</w:t>
      </w:r>
      <w:r w:rsidRPr="00E755B4">
        <w:rPr>
          <w:rFonts w:ascii="Simplified Arabic" w:eastAsia="Times New Roman" w:hAnsi="Simplified Arabic" w:cs="Simplified Arabic"/>
          <w:color w:val="000000" w:themeColor="text1"/>
          <w:kern w:val="0"/>
          <w:sz w:val="28"/>
          <w:szCs w:val="28"/>
          <w14:ligatures w14:val="none"/>
        </w:rPr>
        <w:t>.</w:t>
      </w:r>
    </w:p>
    <w:p w14:paraId="66115060"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lastRenderedPageBreak/>
        <w:t>دراسة</w:t>
      </w:r>
      <w:r w:rsidRPr="00E755B4">
        <w:rPr>
          <w:rFonts w:ascii="Simplified Arabic" w:eastAsia="Times New Roman" w:hAnsi="Simplified Arabic" w:cs="Simplified Arabic"/>
          <w:b/>
          <w:bCs/>
          <w:color w:val="000000" w:themeColor="text1"/>
          <w:kern w:val="0"/>
          <w:sz w:val="28"/>
          <w:szCs w:val="28"/>
          <w14:ligatures w14:val="none"/>
        </w:rPr>
        <w:t xml:space="preserve"> Alhajri, Jones &amp; Sherif (2024)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"Transformation of the Saudi Housing Sector through an Enabling Approach: A Review"</w:t>
      </w:r>
    </w:p>
    <w:p w14:paraId="1D7F98EB" w14:textId="549BB751"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مدى تطبيق إطار استراتيجيات التمكين في قطاع الإسكان السعودي بأبعاده المتمثلة في (تطوير حقوق الملكية، تطوير التمويل العقاري، ترشيد الدعم، توفير البنية التحتية، تنظيم التطوير العقاري، تنظيم صناعة البناء، الإطار المؤسسي) على تحول قطاع الإسكان في المملكة ضمن رؤية 2030. واستخدمت الدراسة المنهج الوصفي التحليلي القائم على الدراسة المكتبية ومراجعة الأدبيات المنهجية وتحليل المحتوى باستخدام إطار البنك الدولي للتمكين السكني كأداة تحليلية. وتكونت عينة الدراسة من الوثائق والتقارير الحكومية والدراسات الأكاديمية المتعلقة بتحول قطاع الإسكان السعودي. وتوصلت نتائج الدراسة إلى أن المملكة حققت تقدماً ملموساً في عدة أدوات تمكينية خاصة في تطوير حقوق الملكية والتمويل العقاري، حيث ارتفعت نسبة تملك المساكن إلى 62%، إلا أن هناك تحديات مستمرة في مجال القدرة على تحمل التكاليف وإمكانية الوصول للإسكان لذوي الدخل المنخفض. وأوصت الدراسة بضرورة تعزيز مشاركة المجتمع المدني والمنظمات غير الحكومية في منظومة الإسكان، ومراجعة آليات الدعم لضمان وصولها للفئات الأكثر احتياجاً</w:t>
      </w:r>
      <w:r w:rsidRPr="00E755B4">
        <w:rPr>
          <w:rFonts w:ascii="Simplified Arabic" w:eastAsia="Times New Roman" w:hAnsi="Simplified Arabic" w:cs="Simplified Arabic"/>
          <w:color w:val="000000" w:themeColor="text1"/>
          <w:kern w:val="0"/>
          <w:sz w:val="28"/>
          <w:szCs w:val="28"/>
          <w14:ligatures w14:val="none"/>
        </w:rPr>
        <w:t>.</w:t>
      </w:r>
    </w:p>
    <w:p w14:paraId="431A3175"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Almohaimeed &amp; Al-Surf (2025)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"The Investment Perspective of Urban Development Regulations in Saudi Arabia under Vision 2030"</w:t>
      </w:r>
    </w:p>
    <w:p w14:paraId="0D9DC6EF" w14:textId="15C33E21"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تأثير أنظمة التطوير العمراني على قرارات الاستثمار بأبعادها المتمثلة في (التغييرات التنظيمية، بيئة الاستثمار العقاري، جاذبية السوق للشركات متعددة الجنسيات</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 xml:space="preserve">على مشهد الاستثمار العمراني في المملكة العربية السعودية ضمن إطار رؤية </w:t>
      </w:r>
      <w:r w:rsidRPr="00E755B4">
        <w:rPr>
          <w:rFonts w:ascii="Simplified Arabic" w:eastAsia="Times New Roman" w:hAnsi="Simplified Arabic" w:cs="Simplified Arabic"/>
          <w:color w:val="000000" w:themeColor="text1"/>
          <w:kern w:val="0"/>
          <w:sz w:val="28"/>
          <w:szCs w:val="28"/>
          <w14:ligatures w14:val="none"/>
        </w:rPr>
        <w:t xml:space="preserve">2030. </w:t>
      </w:r>
      <w:r w:rsidRPr="00E755B4">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التحليلي القائم على مراجعة وتحليل السياسات التنظيمية والاستثمارية، وتكونت عينة الدراسة من التشريعات والأنظمة العمرانية المستحدثة في المملكة وتقارير الاستثمار الصادرة عن الجهات المعنية. وتوصلت نتائج الدراسة إلى أن التحولات التنظيمية المصاحبة لرؤية </w:t>
      </w:r>
      <w:r w:rsidRPr="00E755B4">
        <w:rPr>
          <w:rFonts w:ascii="Simplified Arabic" w:eastAsia="Times New Roman" w:hAnsi="Simplified Arabic" w:cs="Simplified Arabic"/>
          <w:color w:val="000000" w:themeColor="text1"/>
          <w:kern w:val="0"/>
          <w:sz w:val="28"/>
          <w:szCs w:val="28"/>
          <w14:ligatures w14:val="none"/>
        </w:rPr>
        <w:t xml:space="preserve">2030 </w:t>
      </w:r>
      <w:r w:rsidRPr="00E755B4">
        <w:rPr>
          <w:rFonts w:ascii="Simplified Arabic" w:eastAsia="Times New Roman" w:hAnsi="Simplified Arabic" w:cs="Simplified Arabic"/>
          <w:color w:val="000000" w:themeColor="text1"/>
          <w:kern w:val="0"/>
          <w:sz w:val="28"/>
          <w:szCs w:val="28"/>
          <w:rtl/>
          <w14:ligatures w14:val="none"/>
        </w:rPr>
        <w:t>مهدت الطريق أمام المطورين العقاريين الدوليين وشركات العقارات للدخول إلى السوق السعودي، وأن البيئة التنظيمية الجديدة عززت من شفافية السوق وحماية حقوق المستثمرين. وأوصت الدراسة بضرورة استمرار تطوير الأطر التنظيمية لتكون أكثر مرونة وجاذبية للاستثمارات الأجنبية، مع تعزيز آليات حوكمة القطاع العقاري</w:t>
      </w:r>
      <w:r w:rsidRPr="00E755B4">
        <w:rPr>
          <w:rFonts w:ascii="Simplified Arabic" w:eastAsia="Times New Roman" w:hAnsi="Simplified Arabic" w:cs="Simplified Arabic"/>
          <w:color w:val="000000" w:themeColor="text1"/>
          <w:kern w:val="0"/>
          <w:sz w:val="28"/>
          <w:szCs w:val="28"/>
          <w14:ligatures w14:val="none"/>
        </w:rPr>
        <w:t>.</w:t>
      </w:r>
    </w:p>
    <w:p w14:paraId="74A5389E" w14:textId="1E5AF104" w:rsidR="003E44EC" w:rsidRPr="00E755B4" w:rsidRDefault="003E44EC"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4198445"/>
      <w:r w:rsidRPr="00E755B4">
        <w:rPr>
          <w:rFonts w:ascii="Simplified Arabic" w:eastAsia="Times New Roman" w:hAnsi="Simplified Arabic" w:cs="Simplified Arabic"/>
          <w:b/>
          <w:bCs/>
          <w:color w:val="000000" w:themeColor="text1"/>
          <w:kern w:val="0"/>
          <w:sz w:val="32"/>
          <w:szCs w:val="32"/>
          <w:rtl/>
          <w14:ligatures w14:val="none"/>
        </w:rPr>
        <w:lastRenderedPageBreak/>
        <w:t>ثانياً: دراسات المتغير التابع (تطوير وإدارة العقارات في المناطق العشوائية)</w:t>
      </w:r>
      <w:bookmarkEnd w:id="15"/>
    </w:p>
    <w:p w14:paraId="017A04C8"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 الزامل (2020) بعنوان: "خصائص الانتشار المكاني لمناطق الإسكان العشوائي في مدينة جدة باستخدام نظم المعلومات الجغرافية</w:t>
      </w:r>
      <w:r w:rsidRPr="00E755B4">
        <w:rPr>
          <w:rFonts w:ascii="Simplified Arabic" w:eastAsia="Times New Roman" w:hAnsi="Simplified Arabic" w:cs="Simplified Arabic"/>
          <w:b/>
          <w:bCs/>
          <w:color w:val="000000" w:themeColor="text1"/>
          <w:kern w:val="0"/>
          <w:sz w:val="28"/>
          <w:szCs w:val="28"/>
          <w14:ligatures w14:val="none"/>
        </w:rPr>
        <w:t>"</w:t>
      </w:r>
    </w:p>
    <w:p w14:paraId="07A517FF" w14:textId="35A91732"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خصائص الانتشار المكاني لمناطق الإسكان العشوائي في مدينة جدة بأبعاده المتمثلة في </w:t>
      </w:r>
      <w:r w:rsidRPr="00E755B4">
        <w:rPr>
          <w:rFonts w:ascii="Simplified Arabic" w:eastAsia="Times New Roman" w:hAnsi="Simplified Arabic" w:cs="Simplified Arabic"/>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rtl/>
          <w14:ligatures w14:val="none"/>
        </w:rPr>
        <w:t xml:space="preserve">التوزيع الجغرافي للأحياء العشوائية، كثافة الانتشار المكاني، العوامل المؤثرة في التوسع العشوائي) على الحيز المكاني لمدينة جدة. واستخدمت الدراسة المنهج الوصفي التحليلي القائم على تقنيات نظم المعلومات الجغرافية </w:t>
      </w:r>
      <w:r w:rsidRPr="00E755B4">
        <w:rPr>
          <w:rFonts w:ascii="Simplified Arabic" w:eastAsia="Times New Roman" w:hAnsi="Simplified Arabic" w:cs="Simplified Arabic"/>
          <w:color w:val="000000" w:themeColor="text1"/>
          <w:kern w:val="0"/>
          <w:sz w:val="28"/>
          <w:szCs w:val="28"/>
          <w14:ligatures w14:val="none"/>
        </w:rPr>
        <w:t xml:space="preserve">(GIS) </w:t>
      </w:r>
      <w:r w:rsidRPr="00E755B4">
        <w:rPr>
          <w:rFonts w:ascii="Simplified Arabic" w:eastAsia="Times New Roman" w:hAnsi="Simplified Arabic" w:cs="Simplified Arabic"/>
          <w:color w:val="000000" w:themeColor="text1"/>
          <w:kern w:val="0"/>
          <w:sz w:val="28"/>
          <w:szCs w:val="28"/>
          <w:rtl/>
          <w14:ligatures w14:val="none"/>
        </w:rPr>
        <w:t>لتحليل البيانات المكانية والخرائط الرقمية، وتكونت عينة الدراسة من جميع الأحياء العشوائية المحددة في مدينة جدة بناءً على بيانات أمانة محافظة جدة. وتوصلت نتائج الدراسة إلى أن ظاهرة الانتشار العشوائي في جدة تتركز بشكل رئيسي في المناطق الجنوبية والوسطى من المدينة، وأن هذه المناطق تعاني من كثافة سكانية عالية وضعف في البنية التحتية والخدمات. وأوصت الدراسة بضرورة تبني صانعي القرار استراتيجيات شاملة للحد من توسع المناطق العشوائية مع الاستفادة من تقنيات نظم المعلومات الجغرافية في رسم السياسات التطويرية المستقبلية</w:t>
      </w:r>
      <w:r w:rsidRPr="00E755B4">
        <w:rPr>
          <w:rFonts w:ascii="Simplified Arabic" w:eastAsia="Times New Roman" w:hAnsi="Simplified Arabic" w:cs="Simplified Arabic"/>
          <w:color w:val="000000" w:themeColor="text1"/>
          <w:kern w:val="0"/>
          <w:sz w:val="28"/>
          <w:szCs w:val="28"/>
          <w14:ligatures w14:val="none"/>
        </w:rPr>
        <w:t>.</w:t>
      </w:r>
    </w:p>
    <w:p w14:paraId="639640D7"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 الزامل (2020) بعنوان: "تحديات تطوير المناطق العشوائية الهامشية في منطقة الجوف من واقع العمل البلدي</w:t>
      </w:r>
      <w:r w:rsidRPr="00E755B4">
        <w:rPr>
          <w:rFonts w:ascii="Simplified Arabic" w:eastAsia="Times New Roman" w:hAnsi="Simplified Arabic" w:cs="Simplified Arabic"/>
          <w:b/>
          <w:bCs/>
          <w:color w:val="000000" w:themeColor="text1"/>
          <w:kern w:val="0"/>
          <w:sz w:val="28"/>
          <w:szCs w:val="28"/>
          <w14:ligatures w14:val="none"/>
        </w:rPr>
        <w:t>"</w:t>
      </w:r>
    </w:p>
    <w:p w14:paraId="0BCCA5E1" w14:textId="1675C817"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التي تواجه تطوير المناطق العشوائية الهامشية بأبعادها المتمثلة في (التحديات التخطيطية، التحديات التنظيمية والإدارية، تحديات الملكية والتعويضات) على واقع العمل البلدي في منطقة الجوف بالمملكة العربية السعودية. واستخدمت الدراسة المنهج الوصفي التحليلي القائم على الزيارات الميدانية والمقابلات مع المسؤولين البلديين وتحليل الوثائق الرسمية، وتكونت عينة الدراسة من المسؤولين والعاملين في الأمانات والبلديات بمنطقة الجوف. وتوصلت نتائج الدراسة إلى أن أبرز التحديات تمثلت في غياب الأطر التنظيمية الواضحة للتعامل مع المناطق العشوائية الهامشية، وتعقيد إجراءات الملكية والتعويضات، وضعف التنسيق بين الجهات الحكومية المختلفة. وأوصت الدراسة بأن تكون سياسات تطوير المناطق العشوائية الهامشية مبنية على مبدأ بيع الأراضي الحكومية المستولى عليها بدلاً من إزالتها، مع ضرورة وضع أطر تنظيمية شاملة ومرنة للتعامل مع هذه المناطق</w:t>
      </w:r>
      <w:r w:rsidRPr="00E755B4">
        <w:rPr>
          <w:rFonts w:ascii="Simplified Arabic" w:eastAsia="Times New Roman" w:hAnsi="Simplified Arabic" w:cs="Simplified Arabic"/>
          <w:color w:val="000000" w:themeColor="text1"/>
          <w:kern w:val="0"/>
          <w:sz w:val="28"/>
          <w:szCs w:val="28"/>
          <w14:ligatures w14:val="none"/>
        </w:rPr>
        <w:t>.</w:t>
      </w:r>
    </w:p>
    <w:p w14:paraId="1A198F47" w14:textId="77777777" w:rsidR="003E44EC" w:rsidRPr="00E755B4" w:rsidRDefault="003E44EC" w:rsidP="00837CB7">
      <w:pPr>
        <w:pStyle w:val="ListParagraph"/>
        <w:numPr>
          <w:ilvl w:val="0"/>
          <w:numId w:val="6"/>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lastRenderedPageBreak/>
        <w:t>دراسة الجبوري، ثامر وكريم</w:t>
      </w:r>
      <w:r w:rsidRPr="00E755B4">
        <w:rPr>
          <w:rFonts w:ascii="Simplified Arabic" w:eastAsia="Times New Roman" w:hAnsi="Simplified Arabic" w:cs="Simplified Arabic"/>
          <w:b/>
          <w:bCs/>
          <w:color w:val="000000" w:themeColor="text1"/>
          <w:kern w:val="0"/>
          <w:sz w:val="28"/>
          <w:szCs w:val="28"/>
          <w14:ligatures w14:val="none"/>
        </w:rPr>
        <w:t xml:space="preserve"> (2025) </w:t>
      </w:r>
      <w:r w:rsidRPr="00E755B4">
        <w:rPr>
          <w:rFonts w:ascii="Simplified Arabic" w:eastAsia="Times New Roman" w:hAnsi="Simplified Arabic" w:cs="Simplified Arabic"/>
          <w:b/>
          <w:bCs/>
          <w:color w:val="000000" w:themeColor="text1"/>
          <w:kern w:val="0"/>
          <w:sz w:val="28"/>
          <w:szCs w:val="28"/>
          <w:rtl/>
          <w14:ligatures w14:val="none"/>
        </w:rPr>
        <w:t>بعنوان: "الارتقاء العمراني للمناطق العشوائية وتطويرها إلى بيئة عمرانية مستدامة: منطقة البراكية حالة دراسية</w:t>
      </w:r>
      <w:r w:rsidRPr="00E755B4">
        <w:rPr>
          <w:rFonts w:ascii="Simplified Arabic" w:eastAsia="Times New Roman" w:hAnsi="Simplified Arabic" w:cs="Simplified Arabic"/>
          <w:b/>
          <w:bCs/>
          <w:color w:val="000000" w:themeColor="text1"/>
          <w:kern w:val="0"/>
          <w:sz w:val="28"/>
          <w:szCs w:val="28"/>
          <w14:ligatures w14:val="none"/>
        </w:rPr>
        <w:t>"</w:t>
      </w:r>
    </w:p>
    <w:p w14:paraId="62A95974" w14:textId="2795946E"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كيفية الارتقاء بالبيئة السكنية للمناطق العشوائية وتطويرها إلى بيئة مستدامة بأبعادها المتمثلة في (الواقع العمراني للمناطق العشوائية، سياسات الارتقاء العمراني، آليات التحول نحو الاستدامة) على منطقة البراكية في مدينة الكوفة بالعراق. واستخدمت الدراسة المنهج الوصفي التحليلي مع استخدام بعض الأساليب الإحصائية وأسلوب التحليل الرباعي</w:t>
      </w:r>
      <w:r w:rsidRPr="00E755B4">
        <w:rPr>
          <w:rFonts w:ascii="Simplified Arabic" w:eastAsia="Times New Roman" w:hAnsi="Simplified Arabic" w:cs="Simplified Arabic"/>
          <w:color w:val="000000" w:themeColor="text1"/>
          <w:kern w:val="0"/>
          <w:sz w:val="28"/>
          <w:szCs w:val="28"/>
          <w14:ligatures w14:val="none"/>
        </w:rPr>
        <w:t xml:space="preserve"> (SWOT)</w:t>
      </w:r>
      <w:r w:rsidRPr="00E755B4">
        <w:rPr>
          <w:rFonts w:ascii="Simplified Arabic" w:eastAsia="Times New Roman" w:hAnsi="Simplified Arabic" w:cs="Simplified Arabic"/>
          <w:color w:val="000000" w:themeColor="text1"/>
          <w:kern w:val="0"/>
          <w:sz w:val="28"/>
          <w:szCs w:val="28"/>
          <w:rtl/>
          <w14:ligatures w14:val="none"/>
        </w:rPr>
        <w:t>، وتكونت عينة الدراسة من سكان منطقة البراكية والمسؤولين المحليين في الجهات ذات العلاقة. وتوصلت نتائج الدراسة إلى أن منطقة البراكية منطقة عشوائية بنسبة 90% من مساكنها وتفتقر إلى الخدمات العامة وخدمات البنى التحتية، غير أن السكان استطاعوا توفير الخدمات الضرورية لحاجتهم بجهود ذاتية. وأوصت الدراسة بوضع خطط استراتيجية شاملة للتعامل مع العشوائيات وإفساح المجال للمشاركة الفعالة للمجتمع المحلي من خلال وضع استراتيجية للتنمية المستدامة تراعي الجوانب الاقتصادية والاجتماعية والبيئية</w:t>
      </w:r>
      <w:r w:rsidRPr="00E755B4">
        <w:rPr>
          <w:rFonts w:ascii="Simplified Arabic" w:eastAsia="Times New Roman" w:hAnsi="Simplified Arabic" w:cs="Simplified Arabic"/>
          <w:color w:val="000000" w:themeColor="text1"/>
          <w:kern w:val="0"/>
          <w:sz w:val="28"/>
          <w:szCs w:val="28"/>
          <w14:ligatures w14:val="none"/>
        </w:rPr>
        <w:t>.</w:t>
      </w:r>
    </w:p>
    <w:p w14:paraId="15D9AC55" w14:textId="77777777" w:rsidR="003E44EC" w:rsidRPr="00E755B4" w:rsidRDefault="003E44EC" w:rsidP="00837CB7">
      <w:pPr>
        <w:pStyle w:val="ListParagraph"/>
        <w:numPr>
          <w:ilvl w:val="0"/>
          <w:numId w:val="6"/>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El-Shorbagy (2020)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"Unplanned Settlements in Saudi Arabia: The Case of Al-Sabeel District, Jeddah"</w:t>
      </w:r>
    </w:p>
    <w:p w14:paraId="6A5AAB0A" w14:textId="38BD1D7B"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المشكلات الفيزيائية الأساسية للمناطق المتدهورة في المستوطنات غير المخططة بأبعادها المتمثلة في (حالة المباني، شبكة الشوارع، مشكلات البنية التحتية) على حي السبيل في مدينة جدة بالمملكة العربية السعودية. واستخدمت الدراسة المنهج النوعي القائم على مراجعة الأدبيات والمقابلات الشخصية المباشرة مع السكان والزيارات الميدانية لتوثيق الحالة الفيزيائية للبيئة المبنية، وتكونت عينة الدراسة من 32 مقابلة وجهاً لوجه مع سكان الحي بالإضافة إلى مسح ميداني شمل 40 منزلاً في منطقة دراسة محددة. وتوصلت نتائج الدراسة إلى أن 66% من المباني في حالة فيزيائية سيئة والعديد منها على وشك الانهيار، وأن 56% من المناطق تعاني من تراكم النفايات غير المجمعة، و53% من الأسلاك الكهربائية مكشوفة وتشكل خطراً على السكان، وأن 78% من شبكة الشوارع غير مخططة. وأوصت الدراسة بأهمية تبني مقاربة المشاركة المجتمعية كوسيلة لتحسين البيئة العمرانية بدلاً من نهج الإزالة والإخلاء، مع ضرورة إشراك السكان كأصحاب مصلحة رئيسيين في أي مشروع تطوير مستقبلي</w:t>
      </w:r>
      <w:r w:rsidRPr="00E755B4">
        <w:rPr>
          <w:rFonts w:ascii="Simplified Arabic" w:eastAsia="Times New Roman" w:hAnsi="Simplified Arabic" w:cs="Simplified Arabic"/>
          <w:color w:val="000000" w:themeColor="text1"/>
          <w:kern w:val="0"/>
          <w:sz w:val="28"/>
          <w:szCs w:val="28"/>
          <w14:ligatures w14:val="none"/>
        </w:rPr>
        <w:t>.</w:t>
      </w:r>
    </w:p>
    <w:p w14:paraId="33608283"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lastRenderedPageBreak/>
        <w:t>دراسة</w:t>
      </w:r>
      <w:r w:rsidRPr="00E755B4">
        <w:rPr>
          <w:rFonts w:ascii="Simplified Arabic" w:eastAsia="Times New Roman" w:hAnsi="Simplified Arabic" w:cs="Simplified Arabic"/>
          <w:b/>
          <w:bCs/>
          <w:color w:val="000000" w:themeColor="text1"/>
          <w:kern w:val="0"/>
          <w:sz w:val="28"/>
          <w:szCs w:val="28"/>
          <w14:ligatures w14:val="none"/>
        </w:rPr>
        <w:t xml:space="preserve"> Alharbi, Moustafa, Darwish &amp; Aly (2023)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"Studying the Impact of Urban Management Strategies and Spatiotemporal Dynamics of LULC on Land Surface Temperature and SUHI Formation in Jeddah, Saudi Arabia"</w:t>
      </w:r>
    </w:p>
    <w:p w14:paraId="5DA6E63A" w14:textId="66B9E2DE"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تأثير استراتيجيات الإدارة الحضرية والتغيرات المكانية والزمانية في استخدام الأراضي بأبعادها المتمثلة في (تغيرات الغطاء الأرضي، درجة حرارة سطح الأرض، ظاهرة الجزر الحرارية الحضرية) على مدينة جدة خلال الفترة من 2013 إلى 2022. واستخدمت الدراسة المنهج الكمي التحليلي القائم على تحليل صور الأقمار الصناعية</w:t>
      </w:r>
      <w:r w:rsidRPr="00E755B4">
        <w:rPr>
          <w:rFonts w:ascii="Simplified Arabic" w:eastAsia="Times New Roman" w:hAnsi="Simplified Arabic" w:cs="Simplified Arabic"/>
          <w:color w:val="000000" w:themeColor="text1"/>
          <w:kern w:val="0"/>
          <w:sz w:val="28"/>
          <w:szCs w:val="28"/>
          <w14:ligatures w14:val="none"/>
        </w:rPr>
        <w:t xml:space="preserve"> (Landsat 8) </w:t>
      </w:r>
      <w:r w:rsidRPr="00E755B4">
        <w:rPr>
          <w:rFonts w:ascii="Simplified Arabic" w:eastAsia="Times New Roman" w:hAnsi="Simplified Arabic" w:cs="Simplified Arabic"/>
          <w:color w:val="000000" w:themeColor="text1"/>
          <w:kern w:val="0"/>
          <w:sz w:val="28"/>
          <w:szCs w:val="28"/>
          <w:rtl/>
          <w14:ligatures w14:val="none"/>
        </w:rPr>
        <w:t xml:space="preserve">باستخدام نظم المعلومات الجغرافية ومنصة </w:t>
      </w:r>
      <w:r w:rsidRPr="00E755B4">
        <w:rPr>
          <w:rFonts w:ascii="Simplified Arabic" w:eastAsia="Times New Roman" w:hAnsi="Simplified Arabic" w:cs="Simplified Arabic"/>
          <w:color w:val="000000" w:themeColor="text1"/>
          <w:kern w:val="0"/>
          <w:sz w:val="28"/>
          <w:szCs w:val="28"/>
          <w14:ligatures w14:val="none"/>
        </w:rPr>
        <w:t>Google Earth Engine</w:t>
      </w:r>
      <w:r w:rsidRPr="00E755B4">
        <w:rPr>
          <w:rFonts w:ascii="Simplified Arabic" w:eastAsia="Times New Roman" w:hAnsi="Simplified Arabic" w:cs="Simplified Arabic"/>
          <w:color w:val="000000" w:themeColor="text1"/>
          <w:kern w:val="0"/>
          <w:sz w:val="28"/>
          <w:szCs w:val="28"/>
          <w:rtl/>
          <w14:ligatures w14:val="none"/>
        </w:rPr>
        <w:t>، وتكونت عينة الدراسة من 36 صورة فضائية لمدينة جدة تغطي فترة عشر سنوات. وتوصلت نتائج الدراسة إلى وجود علاقة إيجابية قوية بين كثافة المناطق المبنية ودرجة حرارة سطح الأرض، والأهم أنه في عام 2022 لوحظ الاختفاء الكامل لظاهرة الجزر الحرارية الحضرية بعد إزالة المستوطنات العشوائية القديمة من المدينة (34 حياً بمساحة 37.7 كم²). وأوصت الدراسة بأهمية دمج الاعتبارات البيئية والمناخية في خطط التطوير العمراني المستقبلية، واستخدام تقنيات الاستشعار عن بعد كأداة رئيسية لمتابعة تأثير استراتيجيات التطوير على البيئة الحضرية</w:t>
      </w:r>
      <w:r w:rsidRPr="00E755B4">
        <w:rPr>
          <w:rFonts w:ascii="Simplified Arabic" w:eastAsia="Times New Roman" w:hAnsi="Simplified Arabic" w:cs="Simplified Arabic"/>
          <w:color w:val="000000" w:themeColor="text1"/>
          <w:kern w:val="0"/>
          <w:sz w:val="28"/>
          <w:szCs w:val="28"/>
          <w14:ligatures w14:val="none"/>
        </w:rPr>
        <w:t>.</w:t>
      </w:r>
    </w:p>
    <w:p w14:paraId="66DB1922"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Alzamil (2025)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"Evaluating the Procedural Framework of Informal Settlement Upgrading: Makkah City, Saudi Arabia—Challenges and Lessons for Sustainable Urban Renewal"</w:t>
      </w:r>
    </w:p>
    <w:p w14:paraId="46E95E7D" w14:textId="5A2E6AE2"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الإطار الإجرائي لتطوير المستوطنات العشوائية بأبعاده المتمثلة في (مرحلة التصنيف، مرحلة صياغة السياسات، مرحلة التنفيذ، مرحلة المراقبة والتقييم) على مشروع تأهيل العشوائيات في مدينة مكة المكرمة بالمملكة العربية السعودية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واستخدمت الدراسة المنهج المختلط</w:t>
      </w:r>
      <w:r w:rsidRPr="00E755B4">
        <w:rPr>
          <w:rFonts w:ascii="Simplified Arabic" w:eastAsia="Times New Roman" w:hAnsi="Simplified Arabic" w:cs="Simplified Arabic"/>
          <w:color w:val="000000" w:themeColor="text1"/>
          <w:kern w:val="0"/>
          <w:sz w:val="28"/>
          <w:szCs w:val="28"/>
          <w14:ligatures w14:val="none"/>
        </w:rPr>
        <w:t xml:space="preserve"> (Mixed Methods) </w:t>
      </w:r>
      <w:r w:rsidRPr="00E755B4">
        <w:rPr>
          <w:rFonts w:ascii="Simplified Arabic" w:eastAsia="Times New Roman" w:hAnsi="Simplified Arabic" w:cs="Simplified Arabic"/>
          <w:color w:val="000000" w:themeColor="text1"/>
          <w:kern w:val="0"/>
          <w:sz w:val="28"/>
          <w:szCs w:val="28"/>
          <w:rtl/>
          <w14:ligatures w14:val="none"/>
        </w:rPr>
        <w:t xml:space="preserve">الذي شمل تحليل 25 وثيقة سياسية وملاحظات ميدانية في 10 مناطق عشوائية ومقابلات مع الخبراء والمسؤولين، وتكونت عينة الدراسة من مسؤولي هيئة تطوير منطقة مكة المكرمة وممثلي أمانة العاصمة المقدسة. وتوصلت نتائج الدراسة إلى أن النموذج الإجرائي المطبق يمكّن من تدخلات محلية حساسة للسياق، لكنه يواجه تحديات جوهرية تتمثل في التشتت المؤسسي والتأخير في التنفيذ ومحدودية المشاركة المجتمعية. وأوصت الدراسة بتبني استراتيجية هجينة تجمع بين إعادة التطوير </w:t>
      </w:r>
      <w:r w:rsidRPr="00E755B4">
        <w:rPr>
          <w:rFonts w:ascii="Simplified Arabic" w:eastAsia="Times New Roman" w:hAnsi="Simplified Arabic" w:cs="Simplified Arabic"/>
          <w:color w:val="000000" w:themeColor="text1"/>
          <w:kern w:val="0"/>
          <w:sz w:val="28"/>
          <w:szCs w:val="28"/>
          <w:rtl/>
          <w14:ligatures w14:val="none"/>
        </w:rPr>
        <w:lastRenderedPageBreak/>
        <w:t>الشامل في المناطق عالية الخطورة والتطوير التدريجي في المناطق الأخرى، مع تعزيز آليات التخطيط التشاركي وتنويع مصادر التمويل بما يتوافق مع أهداف رؤية 2030</w:t>
      </w:r>
      <w:r w:rsidRPr="00E755B4">
        <w:rPr>
          <w:rFonts w:ascii="Simplified Arabic" w:eastAsia="Times New Roman" w:hAnsi="Simplified Arabic" w:cs="Simplified Arabic"/>
          <w:color w:val="000000" w:themeColor="text1"/>
          <w:kern w:val="0"/>
          <w:sz w:val="28"/>
          <w:szCs w:val="28"/>
          <w14:ligatures w14:val="none"/>
        </w:rPr>
        <w:t>.</w:t>
      </w:r>
    </w:p>
    <w:p w14:paraId="01DAB0C3"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Baesse (2024)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"Jeddah Strategic Approaches to Sustainable Urban Development and Planning: Aligning Heritage with Vision 2030"</w:t>
      </w:r>
    </w:p>
    <w:p w14:paraId="6D0DE96E" w14:textId="16C0F94A"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هدفت الدراسة إلى التعرف على المقاربات الاستراتيجية للتنمية الحضرية المستدامة في جدة بأبعادها المتمثلة في (أطر الحوكمة والتنظيم، أنماط التحضر واستخدام الأراضي، التحديات الاستراتيجية للتطوير العمراني) على مسار التطوير الحضري لمدينة جدة بالمملكة العربية السعودية. واستخدمت الدراسة المنهج الوصفي التحليلي القائم على تحليل الأطر التخطيطية والحوكمية والمقارنة مع تجارب المدن المشابهة (إسطنبول، القاهرة، سنغافورة)، وتكونت عينة الدراسة من الوثائق التخطيطية الرسمية لمدينة جدة والمخططات الاستراتيجية وتقارير التنمية الحضرية. وتوصلت نتائج الدراسة إلى أن جدة تواجه تحديات حضرية متعددة تشمل التوسع العمراني غير المنضبط والمستوطنات غير المخططة والازدحام المروري، وأن المدينة تحتاج إلى أطر تنظيمية أقوى لحماية تراثها التاريخي مع استيعاب متطلبات التحديث</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وأوصت الدراسة بتبني نهج شامل للتنمية الحضرية يوازن بين النمو الاقتصادي والاستدامة البيئية والشمول الاجتماعي، مع تطوير منظومة نقل عام متكاملة وتعزيز مشاركة المجتمعات المحلية في عملية التخطيط</w:t>
      </w:r>
      <w:r w:rsidRPr="00E755B4">
        <w:rPr>
          <w:rFonts w:ascii="Simplified Arabic" w:eastAsia="Times New Roman" w:hAnsi="Simplified Arabic" w:cs="Simplified Arabic"/>
          <w:color w:val="000000" w:themeColor="text1"/>
          <w:kern w:val="0"/>
          <w:sz w:val="28"/>
          <w:szCs w:val="28"/>
          <w14:ligatures w14:val="none"/>
        </w:rPr>
        <w:t>.</w:t>
      </w:r>
    </w:p>
    <w:p w14:paraId="49C11E77" w14:textId="77777777" w:rsidR="003E44EC" w:rsidRPr="00E755B4" w:rsidRDefault="003E44E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دراسة</w:t>
      </w:r>
      <w:r w:rsidRPr="00E755B4">
        <w:rPr>
          <w:rFonts w:ascii="Simplified Arabic" w:eastAsia="Times New Roman" w:hAnsi="Simplified Arabic" w:cs="Simplified Arabic"/>
          <w:b/>
          <w:bCs/>
          <w:color w:val="000000" w:themeColor="text1"/>
          <w:kern w:val="0"/>
          <w:sz w:val="28"/>
          <w:szCs w:val="28"/>
          <w14:ligatures w14:val="none"/>
        </w:rPr>
        <w:t xml:space="preserve"> Alqahtany &amp; Abubakar (2024) </w:t>
      </w:r>
      <w:r w:rsidRPr="00E755B4">
        <w:rPr>
          <w:rFonts w:ascii="Simplified Arabic" w:eastAsia="Times New Roman" w:hAnsi="Simplified Arabic" w:cs="Simplified Arabic"/>
          <w:b/>
          <w:bCs/>
          <w:color w:val="000000" w:themeColor="text1"/>
          <w:kern w:val="0"/>
          <w:sz w:val="28"/>
          <w:szCs w:val="28"/>
          <w:rtl/>
          <w14:ligatures w14:val="none"/>
        </w:rPr>
        <w:t>بعنوان</w:t>
      </w:r>
      <w:r w:rsidRPr="00E755B4">
        <w:rPr>
          <w:rFonts w:ascii="Simplified Arabic" w:eastAsia="Times New Roman" w:hAnsi="Simplified Arabic" w:cs="Simplified Arabic"/>
          <w:b/>
          <w:bCs/>
          <w:color w:val="000000" w:themeColor="text1"/>
          <w:kern w:val="0"/>
          <w:sz w:val="28"/>
          <w:szCs w:val="28"/>
          <w14:ligatures w14:val="none"/>
        </w:rPr>
        <w:t>: "Can Rapid Urbanization Be Sustainable? The Case of Saudi Arabian Cities"</w:t>
      </w:r>
    </w:p>
    <w:p w14:paraId="10BA9EAA" w14:textId="77777777" w:rsidR="003E44EC" w:rsidRPr="00E755B4" w:rsidRDefault="003E44E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إمكانية تحقيق الاستدامة في ظل التحضر السريع بأبعاده المتمثلة في (التخطيط الحضري، نمو العشوائيات، البنية التحتية للنقل، الاستدامة البيئية) على المدن السعودية الرئيسية. واستخدمت الدراسة المنهج الوصفي التحليلي القائم على مراجعة الأدبيات وتحليل السياسات الحضرية والبيانات الثانوية، وتكونت عينة الدراسة من السياسات والخطط الحضرية للمدن السعودية الكبرى والتقارير الحكومية ذات العلاقة. وتوصلت نتائج الدراسة إلى أن تشوهات التخطيط الحضري في ظل معدلات التحضر غير المسبوقة أنتجت اضطرابات تمثلت في تزايد الفقر ونمو العشوائيات والازدحام المروري وتدهور البيئة، وأن المدن السعودية تحتاج إلى تحول جذري في نماذج التخطيط الحضري. وأوصت الدراسة بضرورة تبني نماذج تخطيط حضري مستدامة تراعي النمو السكاني المتسارع، مع تطوير آليات فعالة للتعامل مع </w:t>
      </w:r>
      <w:r w:rsidRPr="00E755B4">
        <w:rPr>
          <w:rFonts w:ascii="Simplified Arabic" w:eastAsia="Times New Roman" w:hAnsi="Simplified Arabic" w:cs="Simplified Arabic"/>
          <w:color w:val="000000" w:themeColor="text1"/>
          <w:kern w:val="0"/>
          <w:sz w:val="28"/>
          <w:szCs w:val="28"/>
          <w:rtl/>
          <w14:ligatures w14:val="none"/>
        </w:rPr>
        <w:lastRenderedPageBreak/>
        <w:t>المناطق العشوائية ودمجها في النسيج الحضري المنظم، وتعزيز الحوكمة الحضرية لتحقيق أهداف رؤية 2030</w:t>
      </w:r>
      <w:r w:rsidRPr="00E755B4">
        <w:rPr>
          <w:rFonts w:ascii="Simplified Arabic" w:eastAsia="Times New Roman" w:hAnsi="Simplified Arabic" w:cs="Simplified Arabic"/>
          <w:color w:val="000000" w:themeColor="text1"/>
          <w:kern w:val="0"/>
          <w:sz w:val="28"/>
          <w:szCs w:val="28"/>
          <w14:ligatures w14:val="none"/>
        </w:rPr>
        <w:t>.</w:t>
      </w:r>
    </w:p>
    <w:p w14:paraId="0E65AB0C" w14:textId="0E3CCB19" w:rsidR="00B51676" w:rsidRPr="00E755B4" w:rsidRDefault="00B51676" w:rsidP="00B5167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24198447"/>
      <w:bookmarkStart w:id="17" w:name="_Toc169790502"/>
      <w:bookmarkStart w:id="18" w:name="_Toc234775775"/>
      <w:bookmarkEnd w:id="13"/>
      <w:r w:rsidRPr="00E755B4">
        <w:rPr>
          <w:rFonts w:ascii="Simplified Arabic" w:hAnsi="Simplified Arabic" w:cs="Simplified Arabic"/>
          <w:b/>
          <w:bCs/>
          <w:color w:val="000000" w:themeColor="text1"/>
          <w:sz w:val="36"/>
          <w:szCs w:val="36"/>
          <w:rtl/>
        </w:rPr>
        <w:t>8.1 الفجوة البحثية</w:t>
      </w:r>
      <w:bookmarkEnd w:id="18"/>
    </w:p>
    <w:p w14:paraId="29E8DA58" w14:textId="065AEAFD" w:rsidR="00DE3AFC" w:rsidRPr="00E755B4" w:rsidRDefault="00A077DA" w:rsidP="00B51676">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14:ligatures w14:val="none"/>
        </w:rPr>
      </w:pPr>
      <w:r w:rsidRPr="00E755B4">
        <w:rPr>
          <w:rFonts w:ascii="Simplified Arabic" w:hAnsi="Simplified Arabic" w:cs="Simplified Arabic"/>
          <w:color w:val="000000" w:themeColor="text1"/>
          <w:sz w:val="28"/>
          <w:szCs w:val="28"/>
          <w:rtl/>
        </w:rPr>
        <w:t>بمراجعة الدراسات السابقة وتحليلها يتضح أن الأدبيات العربية والأجنبية قد أسهمت في تناول جوانب متعددة من موضوع الدراسة، غير أنها انطوت على فجوة بحثية واضحة تتمثل في عدة أبعاد مترابطة؛ فمن جهة أولى ركّزت الدراسات التشريعية كدراسات</w:t>
      </w:r>
      <w:r w:rsidRPr="00E755B4">
        <w:rPr>
          <w:rFonts w:ascii="Simplified Arabic" w:hAnsi="Simplified Arabic" w:cs="Simplified Arabic"/>
          <w:color w:val="000000" w:themeColor="text1"/>
          <w:sz w:val="28"/>
          <w:szCs w:val="28"/>
        </w:rPr>
        <w:t xml:space="preserve"> AlQahtany (2021) </w:t>
      </w:r>
      <w:r w:rsidRPr="00E755B4">
        <w:rPr>
          <w:rFonts w:ascii="Simplified Arabic" w:hAnsi="Simplified Arabic" w:cs="Simplified Arabic"/>
          <w:color w:val="000000" w:themeColor="text1"/>
          <w:sz w:val="28"/>
          <w:szCs w:val="28"/>
          <w:rtl/>
        </w:rPr>
        <w:t>و</w:t>
      </w:r>
      <w:r w:rsidRPr="00E755B4">
        <w:rPr>
          <w:rFonts w:ascii="Simplified Arabic" w:hAnsi="Simplified Arabic" w:cs="Simplified Arabic"/>
          <w:color w:val="000000" w:themeColor="text1"/>
          <w:sz w:val="28"/>
          <w:szCs w:val="28"/>
        </w:rPr>
        <w:t xml:space="preserve">Alhajri et al. (2024) </w:t>
      </w:r>
      <w:r w:rsidRPr="00E755B4">
        <w:rPr>
          <w:rFonts w:ascii="Simplified Arabic" w:hAnsi="Simplified Arabic" w:cs="Simplified Arabic"/>
          <w:color w:val="000000" w:themeColor="text1"/>
          <w:sz w:val="28"/>
          <w:szCs w:val="28"/>
          <w:rtl/>
        </w:rPr>
        <w:t>و</w:t>
      </w:r>
      <w:r w:rsidRPr="00E755B4">
        <w:rPr>
          <w:rFonts w:ascii="Simplified Arabic" w:hAnsi="Simplified Arabic" w:cs="Simplified Arabic"/>
          <w:color w:val="000000" w:themeColor="text1"/>
          <w:sz w:val="28"/>
          <w:szCs w:val="28"/>
        </w:rPr>
        <w:t xml:space="preserve">Almohaimeed and Al-Surf (2025) </w:t>
      </w:r>
      <w:r w:rsidRPr="00E755B4">
        <w:rPr>
          <w:rFonts w:ascii="Simplified Arabic" w:hAnsi="Simplified Arabic" w:cs="Simplified Arabic"/>
          <w:color w:val="000000" w:themeColor="text1"/>
          <w:sz w:val="28"/>
          <w:szCs w:val="28"/>
          <w:rtl/>
        </w:rPr>
        <w:t>وحسن (2026) والمستجدات في تملك العقارات (2023) على تحليل الأنظمة العقارية الجديدة من منظور قانوني وتنظيمي عام يتصل بقطاع الإسكان ككل دون أن تربطها بالسياق الخاص والمعقد للمناطق العشوائية التي تتسم بخصوصيات عمرانية واجتماعية وقانونية تختلف جوهريًا عن المناطق النظامية، ومن جهة ثانية تناولت الدراسات العمرانية كدراسات</w:t>
      </w:r>
      <w:r w:rsidRPr="00E755B4">
        <w:rPr>
          <w:rFonts w:ascii="Simplified Arabic" w:hAnsi="Simplified Arabic" w:cs="Simplified Arabic"/>
          <w:color w:val="000000" w:themeColor="text1"/>
          <w:sz w:val="28"/>
          <w:szCs w:val="28"/>
        </w:rPr>
        <w:t xml:space="preserve"> El-Shorbagy (2020) </w:t>
      </w:r>
      <w:r w:rsidRPr="00E755B4">
        <w:rPr>
          <w:rFonts w:ascii="Simplified Arabic" w:hAnsi="Simplified Arabic" w:cs="Simplified Arabic"/>
          <w:color w:val="000000" w:themeColor="text1"/>
          <w:sz w:val="28"/>
          <w:szCs w:val="28"/>
          <w:rtl/>
        </w:rPr>
        <w:t>والزامل (2020) و</w:t>
      </w:r>
      <w:r w:rsidRPr="00E755B4">
        <w:rPr>
          <w:rFonts w:ascii="Simplified Arabic" w:hAnsi="Simplified Arabic" w:cs="Simplified Arabic"/>
          <w:color w:val="000000" w:themeColor="text1"/>
          <w:sz w:val="28"/>
          <w:szCs w:val="28"/>
        </w:rPr>
        <w:t xml:space="preserve">Alharbi et al. (2023) </w:t>
      </w:r>
      <w:r w:rsidRPr="00E755B4">
        <w:rPr>
          <w:rFonts w:ascii="Simplified Arabic" w:hAnsi="Simplified Arabic" w:cs="Simplified Arabic"/>
          <w:color w:val="000000" w:themeColor="text1"/>
          <w:sz w:val="28"/>
          <w:szCs w:val="28"/>
          <w:rtl/>
        </w:rPr>
        <w:t>و</w:t>
      </w:r>
      <w:r w:rsidRPr="00E755B4">
        <w:rPr>
          <w:rFonts w:ascii="Simplified Arabic" w:hAnsi="Simplified Arabic" w:cs="Simplified Arabic"/>
          <w:color w:val="000000" w:themeColor="text1"/>
          <w:sz w:val="28"/>
          <w:szCs w:val="28"/>
        </w:rPr>
        <w:t xml:space="preserve">Baesse (2024) </w:t>
      </w:r>
      <w:r w:rsidRPr="00E755B4">
        <w:rPr>
          <w:rFonts w:ascii="Simplified Arabic" w:hAnsi="Simplified Arabic" w:cs="Simplified Arabic"/>
          <w:color w:val="000000" w:themeColor="text1"/>
          <w:sz w:val="28"/>
          <w:szCs w:val="28"/>
          <w:rtl/>
        </w:rPr>
        <w:t>والجبوري وآخرين (2025) واقع المناطق العشوائية من أبعاد عمرانية واجتماعية وبيئية دون أن تقيس الأثر المباشر للتشريعات العقارية المستحدثة على مسارات التطوير والإدارة في تلك المناطق، ومن جهة ثالثة لم تتناول أي من الدراسات المتاحة — في حدود اطلاع الباحث — الأثر التكاملي لأبعاد المنظومة التشريعية الخمسة مجتمعة وهي التسجيل العيني والوساطة العقارية والبيع على الخارطة ورسوم الأراضي البيضاء والتمويل العقاري المدعوم على تطوير وإدارة العقارات في المناطق العشوائية بمدينة جدة تحديدًا بوصفها المدينة السعودية الأكثر تأثرًا بهذه الظاهرة، ومن جهة رابعة افتقرت الدراسات السابقة إلى تقديم إطار تطبيقي متكامل يستكشف الفرص والبدائل التي أتاحتها الإصلاحات التنظيمية مع مراعاة التوازن بين الجدوى الاقتصادية لمشاريع التطوير والعدالة الاجتماعية لسكان تلك المناطق، وهو ما تسعى هذه الدراسة إلى تحقيقه من خلال بناء نموذج بحثي يربط بين الأبعاد التشريعية والعمرانية في إطار منهجي واحد</w:t>
      </w:r>
      <w:r w:rsidRPr="00E755B4">
        <w:rPr>
          <w:rFonts w:ascii="Simplified Arabic" w:hAnsi="Simplified Arabic" w:cs="Simplified Arabic"/>
          <w:color w:val="000000" w:themeColor="text1"/>
          <w:sz w:val="28"/>
          <w:szCs w:val="28"/>
        </w:rPr>
        <w:t>.</w:t>
      </w:r>
      <w:r w:rsidRPr="00E755B4">
        <w:rPr>
          <w:rFonts w:ascii="Simplified Arabic" w:eastAsia="Times New Roman" w:hAnsi="Simplified Arabic" w:cs="Simplified Arabic"/>
          <w:color w:val="000000" w:themeColor="text1"/>
          <w:kern w:val="36"/>
          <w:sz w:val="28"/>
          <w:szCs w:val="28"/>
          <w:rtl/>
          <w14:ligatures w14:val="none"/>
        </w:rPr>
        <w:t xml:space="preserve"> </w:t>
      </w:r>
      <w:r w:rsidR="00DE3AFC" w:rsidRPr="00E755B4">
        <w:rPr>
          <w:rFonts w:ascii="Simplified Arabic" w:eastAsia="Times New Roman" w:hAnsi="Simplified Arabic" w:cs="Simplified Arabic"/>
          <w:color w:val="000000" w:themeColor="text1"/>
          <w:kern w:val="36"/>
          <w:sz w:val="28"/>
          <w:szCs w:val="28"/>
          <w:rtl/>
          <w14:ligatures w14:val="none"/>
        </w:rPr>
        <w:t>المنطلقات النظرية للدراسة</w:t>
      </w:r>
      <w:bookmarkEnd w:id="16"/>
    </w:p>
    <w:p w14:paraId="45BF790A" w14:textId="77777777"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198448"/>
      <w:r w:rsidRPr="00E755B4">
        <w:rPr>
          <w:rFonts w:ascii="Simplified Arabic" w:eastAsia="Times New Roman" w:hAnsi="Simplified Arabic" w:cs="Simplified Arabic"/>
          <w:b/>
          <w:bCs/>
          <w:color w:val="000000" w:themeColor="text1"/>
          <w:kern w:val="0"/>
          <w:sz w:val="32"/>
          <w:szCs w:val="32"/>
          <w:rtl/>
          <w14:ligatures w14:val="none"/>
        </w:rPr>
        <w:t>أولًا: الأنظمة والتشريعات العقارية الجديدة في المملكة العربية السعودية</w:t>
      </w:r>
      <w:bookmarkEnd w:id="19"/>
    </w:p>
    <w:p w14:paraId="5D93499A" w14:textId="77777777"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شهد القطاع العقاري في المملكة العربية السعودية تحولًا تشريعيًا جذريًا في إطار رؤية 2030 التي وضعت قطاع الإسكان ضمن أولوياتها الاستراتيجية بهدف رفع نسبة تملك المواطنين السعوديين للمساكن إلى سبعين بالمائة. وقد تجسد هذا التحول في إصدار منظومة متكاملة من الأنظمة واللوائح التي أعادت </w:t>
      </w:r>
      <w:r w:rsidRPr="00E755B4">
        <w:rPr>
          <w:rFonts w:ascii="Simplified Arabic" w:eastAsia="Times New Roman" w:hAnsi="Simplified Arabic" w:cs="Simplified Arabic"/>
          <w:color w:val="000000" w:themeColor="text1"/>
          <w:kern w:val="0"/>
          <w:sz w:val="28"/>
          <w:szCs w:val="28"/>
          <w:rtl/>
          <w14:ligatures w14:val="none"/>
        </w:rPr>
        <w:lastRenderedPageBreak/>
        <w:t>هيكلة السوق العقاري وأرست قواعد جديدة للحوكمة والشفافية والتنظيم، وذلك بعد عقود اتسم فيها القطاع بمحدودية الإطار القانوني وضعف آليات التوثيق وغياب الرقابة المنهجية على الممارسات العقارية. وقد أكدت الأدبيات أن هذا التحول يُمثل انتقالًا استراتيجيًا من نموذج الدولة المزوّدة للإسكان بشكل مباشر إلى نموذج الدولة الممكّنة التي تُهيئ البيئة التشريعية والتنظيمية والتمويلية ليضطلع القطاع الخاص بالدور الرئيسي في تلبية الطلب السكني المتنامي</w:t>
      </w:r>
      <w:r w:rsidRPr="00E755B4">
        <w:rPr>
          <w:rFonts w:ascii="Simplified Arabic" w:eastAsia="Times New Roman" w:hAnsi="Simplified Arabic" w:cs="Simplified Arabic"/>
          <w:color w:val="000000" w:themeColor="text1"/>
          <w:kern w:val="0"/>
          <w:sz w:val="28"/>
          <w:szCs w:val="28"/>
          <w14:ligatures w14:val="none"/>
        </w:rPr>
        <w:t xml:space="preserve"> (Alhajri et al., 2024).</w:t>
      </w:r>
    </w:p>
    <w:p w14:paraId="767B7208" w14:textId="04284BCD"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0" w:name="_Toc224198449"/>
      <w:r w:rsidRPr="00E755B4">
        <w:rPr>
          <w:rFonts w:ascii="Simplified Arabic" w:eastAsia="Times New Roman" w:hAnsi="Simplified Arabic" w:cs="Simplified Arabic"/>
          <w:b/>
          <w:bCs/>
          <w:color w:val="000000" w:themeColor="text1"/>
          <w:kern w:val="0"/>
          <w:sz w:val="28"/>
          <w:szCs w:val="28"/>
          <w:rtl/>
          <w14:ligatures w14:val="none"/>
        </w:rPr>
        <w:t>نظام التسجيل العيني للعقار</w:t>
      </w:r>
      <w:bookmarkEnd w:id="20"/>
    </w:p>
    <w:p w14:paraId="78D29BFB" w14:textId="77777777"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يُعرَّف نظام التسجيل العيني للعقار بأنه النظام القانوني الذي يقوم على تخصيص صحيفة مستقلة لكل وحدة عقارية في السجل العقاري تُدوَّن فيها جميع البيانات المتعلقة بالعقار من حيث الموقع والمساحة والحدود والحقوق والالتزامات المترتبة عليه، بحيث يكتسب التسجيل حجية مطلقة في مواجهة الكافة. وقد صدر هذا النظام بالمرسوم الملكي رقم (م/6) لعام 1423هـ ثم أُعيد تطويره بالمرسوم الملكي رقم (م/91) لعام 1443هـ ليواكب المتغيرات الجديدة في القطاع العقاري، ويهدف إلى حماية حقوق الملكية وتقليص النزاعات العقارية وتعزيز موثوقية البيانات العقارية بما يُسهم في استقرار السوق وجذب الاستثمارات (حسن، 2026). ويكتسب هذا النظام أهمية خاصة في سياق المناطق العشوائية التي تتسم بغموض الملكيات وتعدد المطالبات وانعدام التوثيق الرسمي</w:t>
      </w:r>
      <w:r w:rsidRPr="00E755B4">
        <w:rPr>
          <w:rFonts w:ascii="Simplified Arabic" w:eastAsia="Times New Roman" w:hAnsi="Simplified Arabic" w:cs="Simplified Arabic"/>
          <w:color w:val="000000" w:themeColor="text1"/>
          <w:kern w:val="0"/>
          <w:sz w:val="28"/>
          <w:szCs w:val="28"/>
          <w14:ligatures w14:val="none"/>
        </w:rPr>
        <w:t>.</w:t>
      </w:r>
    </w:p>
    <w:p w14:paraId="42B6EEC9" w14:textId="18F0A8A1"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4198450"/>
      <w:r w:rsidRPr="00E755B4">
        <w:rPr>
          <w:rFonts w:ascii="Simplified Arabic" w:eastAsia="Times New Roman" w:hAnsi="Simplified Arabic" w:cs="Simplified Arabic"/>
          <w:b/>
          <w:bCs/>
          <w:color w:val="000000" w:themeColor="text1"/>
          <w:kern w:val="0"/>
          <w:sz w:val="28"/>
          <w:szCs w:val="28"/>
          <w:rtl/>
          <w14:ligatures w14:val="none"/>
        </w:rPr>
        <w:t>نظام الوساطة العقارية</w:t>
      </w:r>
      <w:bookmarkEnd w:id="21"/>
    </w:p>
    <w:p w14:paraId="7EF35F92" w14:textId="08C65A0F"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يُعرَّف نظام الوساطة العقارية بأنه الإطار التنظيمي الذي يُحدد الأحكام والشروط والضوابط المنظمة لنشاط الوساطة والتسويق العقاري في المملكة، ويشمل ترخيص الوسطاء وتأهيلهم وتحديد حقوقهم والتزاماتهم وآليات الرقابة والمساءلة. وقد صدر هذا النظام بالمرسوم الملكي رقم (م/130) لعام 1443هـ ليحل محل التنظيمات السابقة المحدودة، ويسعى إلى القضاء على الممارسات العشوائية في السوق العقاري وحماية حقوق المتعاملين وتعزيز الشفافية، وهو ما ينعكس بشكل مباشر على تنظيم التعاملات العقارية في المناطق التي كانت تخضع تاريخيًا لممارسات غير رسمية </w:t>
      </w:r>
    </w:p>
    <w:p w14:paraId="59A659FA" w14:textId="6381E1F5"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4198451"/>
      <w:r w:rsidRPr="00E755B4">
        <w:rPr>
          <w:rFonts w:ascii="Simplified Arabic" w:eastAsia="Times New Roman" w:hAnsi="Simplified Arabic" w:cs="Simplified Arabic"/>
          <w:b/>
          <w:bCs/>
          <w:color w:val="000000" w:themeColor="text1"/>
          <w:kern w:val="0"/>
          <w:sz w:val="28"/>
          <w:szCs w:val="28"/>
          <w:rtl/>
          <w14:ligatures w14:val="none"/>
        </w:rPr>
        <w:t>نظام البيع على الخارطة (وافي)</w:t>
      </w:r>
      <w:bookmarkEnd w:id="22"/>
    </w:p>
    <w:p w14:paraId="5DD6A210" w14:textId="77777777"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يُعرَّف نظام البيع على الخارطة بأنه النظام الذي يُتيح بيع الوحدات العقارية قبل أو أثناء مرحلة التطوير والبناء وفق ضوابط محددة تضمن حقوق المشترين، ويُشرف عليه برنامج وافي التابع للهيئة العامة للعقار. ويهدف هذا النظام إلى تحفيز المطورين العقاريين على الاستثمار في مشاريع التطوير الشامل من خلال توفير آليات تمويل مبكرة تُخفض المخاطر المالية وتُسرّع وتيرة التنفيذ، كما يُوفر حماية قانونية للمشترين عبر اشتراطات حسابات الضمان والتقييم الدوري لنسب الإنجاز. ويُمثل هذا النظام أداة تمويلية محورية في مشاريع تطوير المناطق العشوائية التي تتطلب استثمارات ضخمة ودورات تطوير طويلة</w:t>
      </w:r>
      <w:r w:rsidRPr="00E755B4">
        <w:rPr>
          <w:rFonts w:ascii="Simplified Arabic" w:eastAsia="Times New Roman" w:hAnsi="Simplified Arabic" w:cs="Simplified Arabic"/>
          <w:color w:val="000000" w:themeColor="text1"/>
          <w:kern w:val="0"/>
          <w:sz w:val="28"/>
          <w:szCs w:val="28"/>
          <w14:ligatures w14:val="none"/>
        </w:rPr>
        <w:t xml:space="preserve"> (AlQahtany, 2022).</w:t>
      </w:r>
    </w:p>
    <w:p w14:paraId="0E141C47" w14:textId="3C79B410"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4198452"/>
      <w:r w:rsidRPr="00E755B4">
        <w:rPr>
          <w:rFonts w:ascii="Simplified Arabic" w:eastAsia="Times New Roman" w:hAnsi="Simplified Arabic" w:cs="Simplified Arabic"/>
          <w:b/>
          <w:bCs/>
          <w:color w:val="000000" w:themeColor="text1"/>
          <w:kern w:val="0"/>
          <w:sz w:val="28"/>
          <w:szCs w:val="28"/>
          <w:rtl/>
          <w14:ligatures w14:val="none"/>
        </w:rPr>
        <w:t>نظام رسوم الأراضي البيضاء</w:t>
      </w:r>
      <w:bookmarkEnd w:id="23"/>
    </w:p>
    <w:p w14:paraId="348D88D0" w14:textId="77777777"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يُعرَّف نظام رسوم الأراضي البيضاء بأنه النظام الذي يفرض رسومًا سنوية على الأراضي السكنية والتجارية المطورة الواقعة داخل النطاق العمراني والمملوكة لأشخاص طبيعيين أو اعتباريين التي لم يُستفاد منها، وذلك بنسبة اثنين ونصف بالمائة من قيمتها المقدّرة. وقد صدر هذا النظام بالمرسوم الملكي رقم (م/4) لعام 1437هـ ثم طُوّر بمراحل متعددة ليشمل فئات أوسع من الأراضي، ويهدف إلى مكافحة احتكار الأراضي وزيادة المعروض العقاري وخفض أسعار الأراضي السكنية، مما يُسهم في توفير بدائل سكنية بأسعار معقولة لساكني المناطق العشوائية</w:t>
      </w:r>
      <w:r w:rsidRPr="00E755B4">
        <w:rPr>
          <w:rFonts w:ascii="Simplified Arabic" w:eastAsia="Times New Roman" w:hAnsi="Simplified Arabic" w:cs="Simplified Arabic"/>
          <w:color w:val="000000" w:themeColor="text1"/>
          <w:kern w:val="0"/>
          <w:sz w:val="28"/>
          <w:szCs w:val="28"/>
          <w14:ligatures w14:val="none"/>
        </w:rPr>
        <w:t xml:space="preserve"> (AlQahtany &amp; Alhassan, 2020).</w:t>
      </w:r>
    </w:p>
    <w:p w14:paraId="34C6762B" w14:textId="23FD8FA6"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4" w:name="_Toc224198453"/>
      <w:r w:rsidRPr="00E755B4">
        <w:rPr>
          <w:rFonts w:ascii="Simplified Arabic" w:eastAsia="Times New Roman" w:hAnsi="Simplified Arabic" w:cs="Simplified Arabic"/>
          <w:b/>
          <w:bCs/>
          <w:color w:val="000000" w:themeColor="text1"/>
          <w:kern w:val="0"/>
          <w:sz w:val="28"/>
          <w:szCs w:val="28"/>
          <w:rtl/>
          <w14:ligatures w14:val="none"/>
        </w:rPr>
        <w:t>أنظمة التمويل العقاري المدعوم</w:t>
      </w:r>
      <w:bookmarkEnd w:id="24"/>
    </w:p>
    <w:p w14:paraId="4D6CE2F4" w14:textId="32F4E530"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تُعرَّف أنظمة التمويل العقاري المدعوم بأنها المنظومة التمويلية التي تُقدمها الدولة عبر صندوق التنمية العقارية وبرنامج سكني لتمكين المواطنين من تملك المساكن، وتشمل القروض المدعومة بالكامل أو جزئيًا وبرامج الدعم السكني المتنوعة كالإسكان التنموي والوحدات الجاهزة والبناء الذاتي وبرنامج الأرض والقرض. وقد شهدت هذه المنظومة تطورًا كبيرًا في إطار رؤية 2030 من خلال التحول إلى نموذج الضمانات بدلًا من الإقراض المباشر وتوسيع الشراكات مع القطاع المصرفي الخاص، مما أسهم في رفع معدلات التمويل العقاري بشكل غير مسبوق</w:t>
      </w:r>
      <w:r w:rsidRPr="00E755B4">
        <w:rPr>
          <w:rFonts w:ascii="Simplified Arabic" w:eastAsia="Times New Roman" w:hAnsi="Simplified Arabic" w:cs="Simplified Arabic"/>
          <w:color w:val="000000" w:themeColor="text1"/>
          <w:kern w:val="0"/>
          <w:sz w:val="28"/>
          <w:szCs w:val="28"/>
          <w14:ligatures w14:val="none"/>
        </w:rPr>
        <w:t xml:space="preserve"> (AlQahtany, 2021).</w:t>
      </w:r>
    </w:p>
    <w:p w14:paraId="654B7E55" w14:textId="77777777"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4198454"/>
      <w:r w:rsidRPr="00E755B4">
        <w:rPr>
          <w:rFonts w:ascii="Simplified Arabic" w:eastAsia="Times New Roman" w:hAnsi="Simplified Arabic" w:cs="Simplified Arabic"/>
          <w:b/>
          <w:bCs/>
          <w:color w:val="000000" w:themeColor="text1"/>
          <w:kern w:val="0"/>
          <w:sz w:val="32"/>
          <w:szCs w:val="32"/>
          <w:rtl/>
          <w14:ligatures w14:val="none"/>
        </w:rPr>
        <w:t>ثانيًا: تطوير وإدارة العقارات في المناطق العشوائية</w:t>
      </w:r>
      <w:bookmarkEnd w:id="25"/>
    </w:p>
    <w:p w14:paraId="1C3A7EF6" w14:textId="78093FB8"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6" w:name="_Toc224198455"/>
      <w:r w:rsidRPr="00E755B4">
        <w:rPr>
          <w:rFonts w:ascii="Simplified Arabic" w:eastAsia="Times New Roman" w:hAnsi="Simplified Arabic" w:cs="Simplified Arabic"/>
          <w:b/>
          <w:bCs/>
          <w:color w:val="000000" w:themeColor="text1"/>
          <w:kern w:val="0"/>
          <w:sz w:val="28"/>
          <w:szCs w:val="28"/>
          <w:rtl/>
          <w14:ligatures w14:val="none"/>
        </w:rPr>
        <w:t>مفهوم المناطق العشوائية</w:t>
      </w:r>
      <w:bookmarkEnd w:id="26"/>
    </w:p>
    <w:p w14:paraId="0B25756B" w14:textId="77777777"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تُعرَّف المناطق العشوائية بأنها التجمعات السكنية التي نشأت وتوسعت خارج إطار التخطيط العمراني الرسمي ودون الحصول على تراخيص بناء نظامية، وتتسم بعدم انتظام النسيج العمراني وضيق الشوارع وغياب الفراغات العامة وتدهور المباني وضعف البنية التحتية وعدم توثيق الملكيات. وتُعرف في الأدبيات الأجنبية بمصطلحات متعددة منها</w:t>
      </w:r>
      <w:r w:rsidRPr="00E755B4">
        <w:rPr>
          <w:rFonts w:ascii="Simplified Arabic" w:eastAsia="Times New Roman" w:hAnsi="Simplified Arabic" w:cs="Simplified Arabic"/>
          <w:color w:val="000000" w:themeColor="text1"/>
          <w:kern w:val="0"/>
          <w:sz w:val="28"/>
          <w:szCs w:val="28"/>
          <w14:ligatures w14:val="none"/>
        </w:rPr>
        <w:t xml:space="preserve"> Informal Settlements </w:t>
      </w:r>
      <w:r w:rsidRPr="00E755B4">
        <w:rPr>
          <w:rFonts w:ascii="Simplified Arabic" w:eastAsia="Times New Roman" w:hAnsi="Simplified Arabic" w:cs="Simplified Arabic"/>
          <w:color w:val="000000" w:themeColor="text1"/>
          <w:kern w:val="0"/>
          <w:sz w:val="28"/>
          <w:szCs w:val="28"/>
          <w:rtl/>
          <w14:ligatures w14:val="none"/>
        </w:rPr>
        <w:t>و</w:t>
      </w:r>
      <w:r w:rsidRPr="00E755B4">
        <w:rPr>
          <w:rFonts w:ascii="Simplified Arabic" w:eastAsia="Times New Roman" w:hAnsi="Simplified Arabic" w:cs="Simplified Arabic"/>
          <w:color w:val="000000" w:themeColor="text1"/>
          <w:kern w:val="0"/>
          <w:sz w:val="28"/>
          <w:szCs w:val="28"/>
          <w14:ligatures w14:val="none"/>
        </w:rPr>
        <w:t xml:space="preserve">Unplanned Settlements </w:t>
      </w:r>
      <w:r w:rsidRPr="00E755B4">
        <w:rPr>
          <w:rFonts w:ascii="Simplified Arabic" w:eastAsia="Times New Roman" w:hAnsi="Simplified Arabic" w:cs="Simplified Arabic"/>
          <w:color w:val="000000" w:themeColor="text1"/>
          <w:kern w:val="0"/>
          <w:sz w:val="28"/>
          <w:szCs w:val="28"/>
          <w:rtl/>
          <w14:ligatures w14:val="none"/>
        </w:rPr>
        <w:t>و</w:t>
      </w:r>
      <w:r w:rsidRPr="00E755B4">
        <w:rPr>
          <w:rFonts w:ascii="Simplified Arabic" w:eastAsia="Times New Roman" w:hAnsi="Simplified Arabic" w:cs="Simplified Arabic"/>
          <w:color w:val="000000" w:themeColor="text1"/>
          <w:kern w:val="0"/>
          <w:sz w:val="28"/>
          <w:szCs w:val="28"/>
          <w14:ligatures w14:val="none"/>
        </w:rPr>
        <w:t>Slums</w:t>
      </w:r>
      <w:r w:rsidRPr="00E755B4">
        <w:rPr>
          <w:rFonts w:ascii="Simplified Arabic" w:eastAsia="Times New Roman" w:hAnsi="Simplified Arabic" w:cs="Simplified Arabic"/>
          <w:color w:val="000000" w:themeColor="text1"/>
          <w:kern w:val="0"/>
          <w:sz w:val="28"/>
          <w:szCs w:val="28"/>
          <w:rtl/>
          <w14:ligatures w14:val="none"/>
        </w:rPr>
        <w:t>، وإن كان لكل مصطلح دلالاته الخاصة التي ترتبط بالسياق المحلي ودرجة التدهور العمراني والاجتماعي. وفي السياق السعودي تُشير المناطق العشوائية إلى الأحياء التي نمت بشكل عفوي على أراضٍ حكومية أو خاصة دون تخطيط مسبق، وتضم خليطًا سكانيًا من مواطنين ومقيمين</w:t>
      </w:r>
      <w:r w:rsidRPr="00E755B4">
        <w:rPr>
          <w:rFonts w:ascii="Simplified Arabic" w:eastAsia="Times New Roman" w:hAnsi="Simplified Arabic" w:cs="Simplified Arabic"/>
          <w:color w:val="000000" w:themeColor="text1"/>
          <w:kern w:val="0"/>
          <w:sz w:val="28"/>
          <w:szCs w:val="28"/>
          <w14:ligatures w14:val="none"/>
        </w:rPr>
        <w:t xml:space="preserve"> (El-Shorbagy, 2020).</w:t>
      </w:r>
    </w:p>
    <w:p w14:paraId="37163960" w14:textId="15DE7B85"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7" w:name="_Toc224198456"/>
      <w:r w:rsidRPr="00E755B4">
        <w:rPr>
          <w:rFonts w:ascii="Simplified Arabic" w:eastAsia="Times New Roman" w:hAnsi="Simplified Arabic" w:cs="Simplified Arabic"/>
          <w:b/>
          <w:bCs/>
          <w:color w:val="000000" w:themeColor="text1"/>
          <w:kern w:val="0"/>
          <w:sz w:val="28"/>
          <w:szCs w:val="28"/>
          <w:rtl/>
          <w14:ligatures w14:val="none"/>
        </w:rPr>
        <w:t>مفهوم تطوير وإدارة العقارات في المناطق العشوائية</w:t>
      </w:r>
      <w:bookmarkEnd w:id="27"/>
    </w:p>
    <w:p w14:paraId="2F68808D" w14:textId="7FAE4A50"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يُعرَّف تطوير وإدارة العقارات في المناطق العشوائية بأنه مجموعة العمليات والإجراءات المنهجية التي تستهدف تحويل المناطق العشوائية من واقعها العمراني المتدهور إلى أحياء حضرية منظمة ومستدامة، ويشمل ذلك إعادة التخطيط العمراني وتحسين البنية التحتية وتوثيق الملكيات وتسوية الأوضاع القانونية وتوفير الخدمات الأساسية وجذب الاستثمارات العقارية وإعادة دمج تلك المناطق في النسيج العمراني المنظم للمدينة. وتتراوح استراتيجيات التدخل بين إعادة التطوير الشامل الذي يتضمن الإزالة وإعادة البناء وبين التطوير التدريجي الذي يقوم على التحسين المرحلي مع الحفاظ على النسيج الاجتماعي القائم، وقد أوصت الأدبيات الحديثة باعتماد نهج هجين يجمع بين الاستراتيجيتين وفقًا لخصوصية كل منطقة </w:t>
      </w:r>
      <w:r w:rsidRPr="00E755B4">
        <w:rPr>
          <w:rFonts w:ascii="Simplified Arabic" w:eastAsia="Times New Roman" w:hAnsi="Simplified Arabic" w:cs="Simplified Arabic"/>
          <w:color w:val="000000" w:themeColor="text1"/>
          <w:kern w:val="0"/>
          <w:sz w:val="28"/>
          <w:szCs w:val="28"/>
          <w14:ligatures w14:val="none"/>
        </w:rPr>
        <w:t xml:space="preserve">(Alzamil, 2025). </w:t>
      </w:r>
      <w:r w:rsidRPr="00E755B4">
        <w:rPr>
          <w:rFonts w:ascii="Simplified Arabic" w:eastAsia="Times New Roman" w:hAnsi="Simplified Arabic" w:cs="Simplified Arabic"/>
          <w:color w:val="000000" w:themeColor="text1"/>
          <w:kern w:val="0"/>
          <w:sz w:val="28"/>
          <w:szCs w:val="28"/>
          <w:rtl/>
          <w14:ligatures w14:val="none"/>
        </w:rPr>
        <w:t>وفي مدينة جدة تتولى أمانة المحافظة بالتنسيق مع الهيئة العامة للعقار ووزارة الشؤون البلدية والقروية والإسكان مسؤولية إدارة ملف تطوير الأحياء العشوائية ضمن إطار مشروع جدة الكبرى الذي يستهدف إعادة تشكيل الهوية الحضرية للمدينة بما يتسق مع رؤية 2030</w:t>
      </w:r>
      <w:r w:rsidRPr="00E755B4">
        <w:rPr>
          <w:rFonts w:ascii="Simplified Arabic" w:eastAsia="Times New Roman" w:hAnsi="Simplified Arabic" w:cs="Simplified Arabic"/>
          <w:color w:val="000000" w:themeColor="text1"/>
          <w:kern w:val="0"/>
          <w:sz w:val="28"/>
          <w:szCs w:val="28"/>
          <w14:ligatures w14:val="none"/>
        </w:rPr>
        <w:t xml:space="preserve"> (Baesse, 2024).</w:t>
      </w:r>
    </w:p>
    <w:p w14:paraId="57185B97" w14:textId="77777777" w:rsidR="00A077DA" w:rsidRPr="00E755B4" w:rsidRDefault="00A077DA" w:rsidP="00B516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8" w:name="_Toc224198457"/>
      <w:r w:rsidRPr="00E755B4">
        <w:rPr>
          <w:rFonts w:ascii="Simplified Arabic" w:eastAsia="Times New Roman" w:hAnsi="Simplified Arabic" w:cs="Simplified Arabic"/>
          <w:b/>
          <w:bCs/>
          <w:color w:val="000000" w:themeColor="text1"/>
          <w:kern w:val="0"/>
          <w:sz w:val="32"/>
          <w:szCs w:val="32"/>
          <w:rtl/>
          <w14:ligatures w14:val="none"/>
        </w:rPr>
        <w:t>ثالثًا: العلاقة بين الأنظمة والتشريعات العقارية الجديدة وتطوير المناطق العشوائية</w:t>
      </w:r>
      <w:bookmarkEnd w:id="28"/>
    </w:p>
    <w:p w14:paraId="5C7E9CCD" w14:textId="77777777" w:rsidR="00A077DA" w:rsidRPr="00E755B4" w:rsidRDefault="00A077DA"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تقوم العلاقة النظرية بين المتغيرين على فرضية مؤداها أن الإصلاح التشريعي يُهيئ البيئة القانونية والتنظيمية والتمويلية التي تُمكّن من تطوير المناطق العشوائية وإدارتها بكفاءة، فالتسجيل العيني يحسم إشكالية الملكيات الغامضة، والوساطة العقارية تُنظم التعاملات السوقية، والبيع على الخارطة يوفر آليات تمويل مبتكرة للمطورين، ورسوم الأراضي البيضاء تكسر الاحتكار وتزيد المعروض، والتمويل المدعوم يرفع </w:t>
      </w:r>
      <w:r w:rsidRPr="00E755B4">
        <w:rPr>
          <w:rFonts w:ascii="Simplified Arabic" w:eastAsia="Times New Roman" w:hAnsi="Simplified Arabic" w:cs="Simplified Arabic"/>
          <w:color w:val="000000" w:themeColor="text1"/>
          <w:kern w:val="0"/>
          <w:sz w:val="28"/>
          <w:szCs w:val="28"/>
          <w:rtl/>
          <w14:ligatures w14:val="none"/>
        </w:rPr>
        <w:lastRenderedPageBreak/>
        <w:t>القدرة الشرائية للسكان. وهذا التكامل بين أبعاد المنظومة التشريعية هو ما تسعى هذه الدراسة إلى اختباره ميدانيًا في سياق المناطق العشوائية بمدينة جدة</w:t>
      </w:r>
      <w:r w:rsidRPr="00E755B4">
        <w:rPr>
          <w:rFonts w:ascii="Simplified Arabic" w:eastAsia="Times New Roman" w:hAnsi="Simplified Arabic" w:cs="Simplified Arabic"/>
          <w:color w:val="000000" w:themeColor="text1"/>
          <w:kern w:val="0"/>
          <w:sz w:val="28"/>
          <w:szCs w:val="28"/>
          <w14:ligatures w14:val="none"/>
        </w:rPr>
        <w:t xml:space="preserve"> (Almohaimeed &amp; Al-Surf, 2025).</w:t>
      </w:r>
    </w:p>
    <w:p w14:paraId="0F43C655" w14:textId="7274DCCC" w:rsidR="00B51676"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9" w:name="_Toc169790506"/>
      <w:bookmarkStart w:id="30" w:name="_Toc234775776"/>
      <w:bookmarkEnd w:id="17"/>
      <w:r w:rsidRPr="00E755B4">
        <w:rPr>
          <w:rFonts w:ascii="Simplified Arabic" w:eastAsia="Times New Roman" w:hAnsi="Simplified Arabic" w:cs="Simplified Arabic"/>
          <w:b/>
          <w:bCs/>
          <w:color w:val="000000" w:themeColor="text1"/>
          <w:kern w:val="0"/>
          <w:sz w:val="36"/>
          <w:szCs w:val="36"/>
          <w:rtl/>
          <w14:ligatures w14:val="none"/>
        </w:rPr>
        <w:t>9.1 المنهجية وطرق البحث:</w:t>
      </w:r>
      <w:bookmarkEnd w:id="30"/>
    </w:p>
    <w:p w14:paraId="749B28A9"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ستتبنى هذه الدراسة المنهج الوصفي التحليلي باعتباره المنهج الأكثر ملاءمة لطبيعة الظاهرة المدروسة وأهدافها البحثية، إذ يُتيح هذا المنهج وصف الظاهرة محل الدراسة — المتمثلة في أثر الأنظمة والتشريعات العقارية الجديدة على تطوير وإدارة العقارات في المناطق العشوائية بمدينة جدة — وصفًا دقيقًا وشاملًا، ثم تحليلها تحليلًا كميًا للكشف عن العلاقات الارتباطية والسببية بين متغيراتها المستقلة والتابعة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وسيُمكّن هذا المنهج الباحث من جمع البيانات الأولية من المبحوثين عبر أداة الاستبانة، وتحليلها إحصائيًا للوصول إلى نتائج قابلة للتعميم على مجتمع الدراسة</w:t>
      </w:r>
      <w:r w:rsidRPr="00E755B4">
        <w:rPr>
          <w:rFonts w:ascii="Simplified Arabic" w:eastAsia="Times New Roman" w:hAnsi="Simplified Arabic" w:cs="Simplified Arabic"/>
          <w:color w:val="000000" w:themeColor="text1"/>
          <w:kern w:val="0"/>
          <w:sz w:val="28"/>
          <w:szCs w:val="28"/>
          <w14:ligatures w14:val="none"/>
        </w:rPr>
        <w:t>.</w:t>
      </w:r>
    </w:p>
    <w:p w14:paraId="1B408862" w14:textId="47CEEC82"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وسيجري توظيف هذا المنهج عبر مرحلتين متكاملتين</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مرحلة نظرية تتضمن مراجعة الأدبيات والدراسات السابقة والأنظمة واللوائح العقارية ذات الصلة لبناء الإطار النظري للدراسة، ومرحلة ميدانية تتضمن تصميم أداة الاستبانة وتوزيعها على عينة الدراسة وجمع البيانات وتحليلها باستخدام الأساليب الإحصائية المناسبة، ومن ثم تفسير النتائج وصياغة التوصيات في ضوء الإطار النظري والدراسات السابقة</w:t>
      </w:r>
      <w:r w:rsidRPr="00E755B4">
        <w:rPr>
          <w:rFonts w:ascii="Simplified Arabic" w:eastAsia="Times New Roman" w:hAnsi="Simplified Arabic" w:cs="Simplified Arabic"/>
          <w:color w:val="000000" w:themeColor="text1"/>
          <w:kern w:val="0"/>
          <w:sz w:val="28"/>
          <w:szCs w:val="28"/>
          <w14:ligatures w14:val="none"/>
        </w:rPr>
        <w:t>.</w:t>
      </w:r>
    </w:p>
    <w:p w14:paraId="6F380370" w14:textId="0C169808" w:rsidR="00B51676"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1" w:name="_Toc234775777"/>
      <w:r w:rsidRPr="00E755B4">
        <w:rPr>
          <w:rFonts w:ascii="Simplified Arabic" w:eastAsia="Times New Roman" w:hAnsi="Simplified Arabic" w:cs="Simplified Arabic"/>
          <w:b/>
          <w:bCs/>
          <w:color w:val="000000" w:themeColor="text1"/>
          <w:kern w:val="0"/>
          <w:sz w:val="36"/>
          <w:szCs w:val="36"/>
          <w:rtl/>
          <w14:ligatures w14:val="none"/>
        </w:rPr>
        <w:t>10.1 مجتمع الدراسة وعينتها</w:t>
      </w:r>
      <w:bookmarkEnd w:id="31"/>
    </w:p>
    <w:p w14:paraId="081AC0AE"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سيتكون مجتمع الدراسة من جميع المتخصصين والممارسين والمعنيين بقطاع التطوير العقاري وإدارة المناطق العشوائية بمدينة جدة، ويشمل ذلك العاملين في أمانة محافظة جدة — وتحديدًا الإدارة العامة للتطوير العمراني وإدارة الأحياء العشوائية — والعاملين في فرع الهيئة العامة للعقار بمنطقة مكة المكرمة، والمطورين العقاريين المرخصين من وزارة الشؤون البلدية والقروية والإسكان العاملين في نطاق مدينة جدة والبالغ عددهم نحو 120 مطورًا وفقًا لسجلات برنامج وافي، فضلًا عن المكاتب والشركات العقارية المرخصة بالمدينة والبالغ عددها نحو 3,500 منشأة وفقًا لبيانات الهيئة العامة للعقار، إضافة إلى الأكاديميين المتخصصين في التخطيط العمراني وإدارة العقارات في الجامعات السعودية بمنطقة مكة المكرمة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ويُقدَّر المجتمع الكلي للدراسة بنحو 4,000 فرد</w:t>
      </w:r>
      <w:r w:rsidRPr="00E755B4">
        <w:rPr>
          <w:rFonts w:ascii="Simplified Arabic" w:eastAsia="Times New Roman" w:hAnsi="Simplified Arabic" w:cs="Simplified Arabic"/>
          <w:color w:val="000000" w:themeColor="text1"/>
          <w:kern w:val="0"/>
          <w:sz w:val="28"/>
          <w:szCs w:val="28"/>
          <w14:ligatures w14:val="none"/>
        </w:rPr>
        <w:t>.</w:t>
      </w:r>
    </w:p>
    <w:p w14:paraId="055E92AE"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وستعتمد الدراسة أسلوب العينة العشوائية الطبقية لضمان تمثيل جميع فئات مجتمع الدراسة تمثيلًا متناسبًا، وسيُحدَّد حجم العينة باستخدام معادلة ستيفن ثومبسون عند مستوى ثقة 95% وهامش خطأ 5</w:t>
      </w:r>
      <w:r w:rsidRPr="00E755B4">
        <w:rPr>
          <w:rFonts w:ascii="Simplified Arabic" w:eastAsia="Times New Roman" w:hAnsi="Simplified Arabic" w:cs="Simplified Arabic"/>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rtl/>
          <w14:ligatures w14:val="none"/>
        </w:rPr>
        <w:t>، وبتطبيق المعادلة على مجتمع قوامه 4,000 فرد سيبلغ الحد الأدنى لحجم العينة المطلوب نحو 351 مفردة. وسيسعى الباحث إلى توزيع 400 استبانة لتعويض الفاقد المتوقع في الاستجابة، وستُوزَّع العينة طبقيًا على النحو التالي</w:t>
      </w:r>
      <w:r w:rsidRPr="00E755B4">
        <w:rPr>
          <w:rFonts w:ascii="Simplified Arabic" w:eastAsia="Times New Roman" w:hAnsi="Simplified Arabic" w:cs="Simplified Arabic"/>
          <w:color w:val="000000" w:themeColor="text1"/>
          <w:kern w:val="0"/>
          <w:sz w:val="28"/>
          <w:szCs w:val="28"/>
          <w14:ligatures w14:val="none"/>
        </w:rPr>
        <w:t xml:space="preserve">: 40 </w:t>
      </w:r>
      <w:r w:rsidRPr="00E755B4">
        <w:rPr>
          <w:rFonts w:ascii="Simplified Arabic" w:eastAsia="Times New Roman" w:hAnsi="Simplified Arabic" w:cs="Simplified Arabic"/>
          <w:color w:val="000000" w:themeColor="text1"/>
          <w:kern w:val="0"/>
          <w:sz w:val="28"/>
          <w:szCs w:val="28"/>
          <w:rtl/>
          <w14:ligatures w14:val="none"/>
        </w:rPr>
        <w:t>مفردة من منسوبي أمانة جدة والجهات الحكومية ذات العلاقة، و80 مفردة من المطورين العقاريين المرخصين، و230 مفردة من أصحاب المكاتب والشركات العقارية والوسطاء المرخصين، و50 مفردة من الأكاديميين والخبراء المتخصصين</w:t>
      </w:r>
      <w:r w:rsidRPr="00E755B4">
        <w:rPr>
          <w:rFonts w:ascii="Simplified Arabic" w:eastAsia="Times New Roman" w:hAnsi="Simplified Arabic" w:cs="Simplified Arabic"/>
          <w:color w:val="000000" w:themeColor="text1"/>
          <w:kern w:val="0"/>
          <w:sz w:val="28"/>
          <w:szCs w:val="28"/>
          <w14:ligatures w14:val="none"/>
        </w:rPr>
        <w:t>.</w:t>
      </w:r>
    </w:p>
    <w:p w14:paraId="2FCE6B92" w14:textId="7D1C5CDF" w:rsidR="0085176C"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4198460"/>
      <w:bookmarkStart w:id="33" w:name="_Toc234775778"/>
      <w:r w:rsidRPr="00E755B4">
        <w:rPr>
          <w:rFonts w:ascii="Simplified Arabic" w:eastAsia="Times New Roman" w:hAnsi="Simplified Arabic" w:cs="Simplified Arabic" w:hint="cs"/>
          <w:b/>
          <w:bCs/>
          <w:color w:val="000000" w:themeColor="text1"/>
          <w:kern w:val="0"/>
          <w:sz w:val="36"/>
          <w:szCs w:val="36"/>
          <w:rtl/>
          <w14:ligatures w14:val="none"/>
        </w:rPr>
        <w:t xml:space="preserve">11.1 </w:t>
      </w:r>
      <w:r w:rsidR="0085176C" w:rsidRPr="00E755B4">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2"/>
      <w:bookmarkEnd w:id="33"/>
    </w:p>
    <w:p w14:paraId="1D017D7C"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ستعتمد الدراسة على نوعين من مصادر البيانات</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المصادر الثانوية وتشمل الكتب والمراجع العلمية المتخصصة في إدارة العقارات والتخطيط الحضري، والدوريات والمجلات العلمية المحكمة العربية والأجنبية، والأنظمة واللوائح والقرارات الصادرة عن الهيئة العامة للعقار ووزارة الشؤون البلدية والقروية والإسكان، والتقارير الرسمية وقواعد البيانات الحكومية المتعلقة بالمناطق العشوائية بجدة، والرسائل العلمية والأطروحات الجامعية ذات الصلة. أما المصادر الأولية فستتمثل في البيانات التي سيجمعها الباحث ميدانيًا من خلال أداة الاستبانة المصممة خصيصًا لأغراض هذه الدراسة</w:t>
      </w:r>
      <w:r w:rsidRPr="00E755B4">
        <w:rPr>
          <w:rFonts w:ascii="Simplified Arabic" w:eastAsia="Times New Roman" w:hAnsi="Simplified Arabic" w:cs="Simplified Arabic"/>
          <w:color w:val="000000" w:themeColor="text1"/>
          <w:kern w:val="0"/>
          <w:sz w:val="28"/>
          <w:szCs w:val="28"/>
          <w14:ligatures w14:val="none"/>
        </w:rPr>
        <w:t>.</w:t>
      </w:r>
    </w:p>
    <w:p w14:paraId="3C51B6F9" w14:textId="5F6B472E" w:rsidR="0085176C"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4198461"/>
      <w:bookmarkStart w:id="35" w:name="_Toc234775779"/>
      <w:r w:rsidRPr="00E755B4">
        <w:rPr>
          <w:rFonts w:ascii="Simplified Arabic" w:eastAsia="Times New Roman" w:hAnsi="Simplified Arabic" w:cs="Simplified Arabic" w:hint="cs"/>
          <w:b/>
          <w:bCs/>
          <w:color w:val="000000" w:themeColor="text1"/>
          <w:kern w:val="0"/>
          <w:sz w:val="36"/>
          <w:szCs w:val="36"/>
          <w:rtl/>
          <w14:ligatures w14:val="none"/>
        </w:rPr>
        <w:t xml:space="preserve">12.1 </w:t>
      </w:r>
      <w:r w:rsidR="0085176C" w:rsidRPr="00E755B4">
        <w:rPr>
          <w:rFonts w:ascii="Simplified Arabic" w:eastAsia="Times New Roman" w:hAnsi="Simplified Arabic" w:cs="Simplified Arabic"/>
          <w:b/>
          <w:bCs/>
          <w:color w:val="000000" w:themeColor="text1"/>
          <w:kern w:val="0"/>
          <w:sz w:val="36"/>
          <w:szCs w:val="36"/>
          <w:rtl/>
          <w14:ligatures w14:val="none"/>
        </w:rPr>
        <w:t>أداة الدراسة</w:t>
      </w:r>
      <w:bookmarkEnd w:id="34"/>
      <w:bookmarkEnd w:id="35"/>
    </w:p>
    <w:p w14:paraId="25E54826"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سيعتمد الباحث على الاستبانة بوصفها الأداة الرئيسية لجمع البيانات الأولية، وستُصمَّم وفق مقياس ليكرت الخماسي (موافق بشدة = 5، موافق = 4، محايد = 3، غير موافق = 2، غير موافق بشدة = 1</w:t>
      </w:r>
      <w:r w:rsidRPr="00E755B4">
        <w:rPr>
          <w:rFonts w:ascii="Simplified Arabic" w:eastAsia="Times New Roman" w:hAnsi="Simplified Arabic" w:cs="Simplified Arabic"/>
          <w:color w:val="000000" w:themeColor="text1"/>
          <w:kern w:val="0"/>
          <w:sz w:val="28"/>
          <w:szCs w:val="28"/>
          <w14:ligatures w14:val="none"/>
        </w:rPr>
        <w:t>)</w:t>
      </w:r>
      <w:r w:rsidRPr="00E755B4">
        <w:rPr>
          <w:rFonts w:ascii="Simplified Arabic" w:eastAsia="Times New Roman" w:hAnsi="Simplified Arabic" w:cs="Simplified Arabic"/>
          <w:color w:val="000000" w:themeColor="text1"/>
          <w:kern w:val="0"/>
          <w:sz w:val="28"/>
          <w:szCs w:val="28"/>
          <w:rtl/>
          <w14:ligatures w14:val="none"/>
        </w:rPr>
        <w:t>، وستتكون من ثلاثة أقسام رئيسية على النحو التالي</w:t>
      </w:r>
      <w:r w:rsidRPr="00E755B4">
        <w:rPr>
          <w:rFonts w:ascii="Simplified Arabic" w:eastAsia="Times New Roman" w:hAnsi="Simplified Arabic" w:cs="Simplified Arabic"/>
          <w:color w:val="000000" w:themeColor="text1"/>
          <w:kern w:val="0"/>
          <w:sz w:val="28"/>
          <w:szCs w:val="28"/>
          <w14:ligatures w14:val="none"/>
        </w:rPr>
        <w:t>:</w:t>
      </w:r>
    </w:p>
    <w:p w14:paraId="680D9D8A"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القسم الأول: البيانات الديموغرافية </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ويتضمن بيانات عن النوع الاجتماعي، والعمر، والمؤهل العلمي، وسنوات الخبرة، وطبيعة الجهة التي ينتمي إليها المبحوث</w:t>
      </w:r>
      <w:r w:rsidRPr="00E755B4">
        <w:rPr>
          <w:rFonts w:ascii="Simplified Arabic" w:eastAsia="Times New Roman" w:hAnsi="Simplified Arabic" w:cs="Simplified Arabic"/>
          <w:color w:val="000000" w:themeColor="text1"/>
          <w:kern w:val="0"/>
          <w:sz w:val="28"/>
          <w:szCs w:val="28"/>
          <w14:ligatures w14:val="none"/>
        </w:rPr>
        <w:t>.</w:t>
      </w:r>
    </w:p>
    <w:p w14:paraId="6D6198C3"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القسم الثاني: محاور المتغير المستقل (الأنظمة والتشريعات العقارية الجديدة) </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ويتكون من خمسة محاور فرعية تقيس أبعاد المتغير المستقل، وذلك على النحو التالي</w:t>
      </w:r>
      <w:r w:rsidRPr="00E755B4">
        <w:rPr>
          <w:rFonts w:ascii="Simplified Arabic" w:eastAsia="Times New Roman" w:hAnsi="Simplified Arabic" w:cs="Simplified Arabic"/>
          <w:color w:val="000000" w:themeColor="text1"/>
          <w:kern w:val="0"/>
          <w:sz w:val="28"/>
          <w:szCs w:val="28"/>
          <w14:ligatures w14:val="none"/>
        </w:rPr>
        <w:t>:</w:t>
      </w:r>
    </w:p>
    <w:tbl>
      <w:tblPr>
        <w:tblStyle w:val="GridTable1Light-Accent6"/>
        <w:bidiVisual/>
        <w:tblW w:w="0" w:type="auto"/>
        <w:jc w:val="center"/>
        <w:tblLook w:val="04A0" w:firstRow="1" w:lastRow="0" w:firstColumn="1" w:lastColumn="0" w:noHBand="0" w:noVBand="1"/>
      </w:tblPr>
      <w:tblGrid>
        <w:gridCol w:w="1581"/>
        <w:gridCol w:w="2953"/>
        <w:gridCol w:w="1657"/>
      </w:tblGrid>
      <w:tr w:rsidR="00E755B4" w:rsidRPr="00E755B4" w14:paraId="2FD42B24" w14:textId="77777777" w:rsidTr="00B516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2E64AE" w14:textId="77777777" w:rsidR="0085176C" w:rsidRPr="00E755B4" w:rsidRDefault="0085176C"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المحور</w:t>
            </w:r>
          </w:p>
        </w:tc>
        <w:tc>
          <w:tcPr>
            <w:tcW w:w="0" w:type="auto"/>
            <w:vAlign w:val="center"/>
            <w:hideMark/>
          </w:tcPr>
          <w:p w14:paraId="12D93A29" w14:textId="77777777" w:rsidR="0085176C" w:rsidRPr="00E755B4" w:rsidRDefault="0085176C" w:rsidP="00B5167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البُعد</w:t>
            </w:r>
          </w:p>
        </w:tc>
        <w:tc>
          <w:tcPr>
            <w:tcW w:w="1657" w:type="dxa"/>
            <w:vAlign w:val="center"/>
            <w:hideMark/>
          </w:tcPr>
          <w:p w14:paraId="3298ED4B" w14:textId="77777777" w:rsidR="0085176C" w:rsidRPr="00E755B4" w:rsidRDefault="0085176C" w:rsidP="00B5167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E755B4" w:rsidRPr="00E755B4" w14:paraId="7433C43F" w14:textId="77777777" w:rsidTr="00B516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87D632" w14:textId="77777777" w:rsidR="0085176C" w:rsidRPr="00E755B4" w:rsidRDefault="0085176C"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lastRenderedPageBreak/>
              <w:t>المحور الأول</w:t>
            </w:r>
          </w:p>
        </w:tc>
        <w:tc>
          <w:tcPr>
            <w:tcW w:w="0" w:type="auto"/>
            <w:vAlign w:val="center"/>
            <w:hideMark/>
          </w:tcPr>
          <w:p w14:paraId="6B313F5C"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نظام التسجيل العيني للعقار</w:t>
            </w:r>
          </w:p>
        </w:tc>
        <w:tc>
          <w:tcPr>
            <w:tcW w:w="1657" w:type="dxa"/>
            <w:vAlign w:val="center"/>
            <w:hideMark/>
          </w:tcPr>
          <w:p w14:paraId="5B58AEB9"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14:ligatures w14:val="none"/>
              </w:rPr>
              <w:t xml:space="preserve">4 </w:t>
            </w:r>
            <w:r w:rsidRPr="00E755B4">
              <w:rPr>
                <w:rFonts w:ascii="Simplified Arabic" w:eastAsia="Times New Roman" w:hAnsi="Simplified Arabic" w:cs="Simplified Arabic"/>
                <w:color w:val="000000" w:themeColor="text1"/>
                <w:kern w:val="0"/>
                <w:sz w:val="28"/>
                <w:szCs w:val="28"/>
                <w:rtl/>
                <w14:ligatures w14:val="none"/>
              </w:rPr>
              <w:t>فقرات</w:t>
            </w:r>
          </w:p>
        </w:tc>
      </w:tr>
      <w:tr w:rsidR="00E755B4" w:rsidRPr="00E755B4" w14:paraId="50564D33" w14:textId="77777777" w:rsidTr="00B516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FCAB50" w14:textId="77777777" w:rsidR="0085176C" w:rsidRPr="00E755B4" w:rsidRDefault="0085176C"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المحور الثاني</w:t>
            </w:r>
          </w:p>
        </w:tc>
        <w:tc>
          <w:tcPr>
            <w:tcW w:w="0" w:type="auto"/>
            <w:vAlign w:val="center"/>
            <w:hideMark/>
          </w:tcPr>
          <w:p w14:paraId="7844CA71"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نظام الوساطة العقارية</w:t>
            </w:r>
          </w:p>
        </w:tc>
        <w:tc>
          <w:tcPr>
            <w:tcW w:w="1657" w:type="dxa"/>
            <w:vAlign w:val="center"/>
            <w:hideMark/>
          </w:tcPr>
          <w:p w14:paraId="02173B9B"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14:ligatures w14:val="none"/>
              </w:rPr>
              <w:t xml:space="preserve">4 </w:t>
            </w:r>
            <w:r w:rsidRPr="00E755B4">
              <w:rPr>
                <w:rFonts w:ascii="Simplified Arabic" w:eastAsia="Times New Roman" w:hAnsi="Simplified Arabic" w:cs="Simplified Arabic"/>
                <w:color w:val="000000" w:themeColor="text1"/>
                <w:kern w:val="0"/>
                <w:sz w:val="28"/>
                <w:szCs w:val="28"/>
                <w:rtl/>
                <w14:ligatures w14:val="none"/>
              </w:rPr>
              <w:t>فقرات</w:t>
            </w:r>
          </w:p>
        </w:tc>
      </w:tr>
      <w:tr w:rsidR="00E755B4" w:rsidRPr="00E755B4" w14:paraId="278CED7B" w14:textId="77777777" w:rsidTr="00B516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DC7799" w14:textId="77777777" w:rsidR="0085176C" w:rsidRPr="00E755B4" w:rsidRDefault="0085176C"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المحور الثالث</w:t>
            </w:r>
          </w:p>
        </w:tc>
        <w:tc>
          <w:tcPr>
            <w:tcW w:w="0" w:type="auto"/>
            <w:vAlign w:val="center"/>
            <w:hideMark/>
          </w:tcPr>
          <w:p w14:paraId="39E4D970"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نظام البيع على الخارطة (وافي)</w:t>
            </w:r>
          </w:p>
        </w:tc>
        <w:tc>
          <w:tcPr>
            <w:tcW w:w="1657" w:type="dxa"/>
            <w:vAlign w:val="center"/>
            <w:hideMark/>
          </w:tcPr>
          <w:p w14:paraId="1B7661A6"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14:ligatures w14:val="none"/>
              </w:rPr>
              <w:t xml:space="preserve">4 </w:t>
            </w:r>
            <w:r w:rsidRPr="00E755B4">
              <w:rPr>
                <w:rFonts w:ascii="Simplified Arabic" w:eastAsia="Times New Roman" w:hAnsi="Simplified Arabic" w:cs="Simplified Arabic"/>
                <w:color w:val="000000" w:themeColor="text1"/>
                <w:kern w:val="0"/>
                <w:sz w:val="28"/>
                <w:szCs w:val="28"/>
                <w:rtl/>
                <w14:ligatures w14:val="none"/>
              </w:rPr>
              <w:t>فقرات</w:t>
            </w:r>
          </w:p>
        </w:tc>
      </w:tr>
      <w:tr w:rsidR="00E755B4" w:rsidRPr="00E755B4" w14:paraId="39ED704F" w14:textId="77777777" w:rsidTr="00B516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7F48CB" w14:textId="77777777" w:rsidR="0085176C" w:rsidRPr="00E755B4" w:rsidRDefault="0085176C"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المحور الرابع</w:t>
            </w:r>
          </w:p>
        </w:tc>
        <w:tc>
          <w:tcPr>
            <w:tcW w:w="0" w:type="auto"/>
            <w:vAlign w:val="center"/>
            <w:hideMark/>
          </w:tcPr>
          <w:p w14:paraId="02188E08"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نظام رسوم الأراضي البيضاء</w:t>
            </w:r>
          </w:p>
        </w:tc>
        <w:tc>
          <w:tcPr>
            <w:tcW w:w="1657" w:type="dxa"/>
            <w:vAlign w:val="center"/>
            <w:hideMark/>
          </w:tcPr>
          <w:p w14:paraId="030D8D2C"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14:ligatures w14:val="none"/>
              </w:rPr>
              <w:t xml:space="preserve">4 </w:t>
            </w:r>
            <w:r w:rsidRPr="00E755B4">
              <w:rPr>
                <w:rFonts w:ascii="Simplified Arabic" w:eastAsia="Times New Roman" w:hAnsi="Simplified Arabic" w:cs="Simplified Arabic"/>
                <w:color w:val="000000" w:themeColor="text1"/>
                <w:kern w:val="0"/>
                <w:sz w:val="28"/>
                <w:szCs w:val="28"/>
                <w:rtl/>
                <w14:ligatures w14:val="none"/>
              </w:rPr>
              <w:t>فقرات</w:t>
            </w:r>
          </w:p>
        </w:tc>
      </w:tr>
      <w:tr w:rsidR="00E755B4" w:rsidRPr="00E755B4" w14:paraId="55E8D428" w14:textId="77777777" w:rsidTr="00B516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FA4E53" w14:textId="77777777" w:rsidR="0085176C" w:rsidRPr="00E755B4" w:rsidRDefault="0085176C"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المحور الخامس</w:t>
            </w:r>
          </w:p>
        </w:tc>
        <w:tc>
          <w:tcPr>
            <w:tcW w:w="0" w:type="auto"/>
            <w:vAlign w:val="center"/>
            <w:hideMark/>
          </w:tcPr>
          <w:p w14:paraId="719BB139"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أنظمة التمويل العقاري المدعوم</w:t>
            </w:r>
          </w:p>
        </w:tc>
        <w:tc>
          <w:tcPr>
            <w:tcW w:w="1657" w:type="dxa"/>
            <w:vAlign w:val="center"/>
            <w:hideMark/>
          </w:tcPr>
          <w:p w14:paraId="7CEAC732" w14:textId="77777777" w:rsidR="0085176C" w:rsidRPr="00E755B4" w:rsidRDefault="0085176C"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14:ligatures w14:val="none"/>
              </w:rPr>
              <w:t xml:space="preserve">4 </w:t>
            </w:r>
            <w:r w:rsidRPr="00E755B4">
              <w:rPr>
                <w:rFonts w:ascii="Simplified Arabic" w:eastAsia="Times New Roman" w:hAnsi="Simplified Arabic" w:cs="Simplified Arabic"/>
                <w:color w:val="000000" w:themeColor="text1"/>
                <w:kern w:val="0"/>
                <w:sz w:val="28"/>
                <w:szCs w:val="28"/>
                <w:rtl/>
                <w14:ligatures w14:val="none"/>
              </w:rPr>
              <w:t>فقرات</w:t>
            </w:r>
          </w:p>
        </w:tc>
      </w:tr>
      <w:tr w:rsidR="00E755B4" w:rsidRPr="00E755B4" w14:paraId="54EAFBC7" w14:textId="77777777" w:rsidTr="00B51676">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1057DCE" w14:textId="64319FDE" w:rsidR="00B51676" w:rsidRPr="00E755B4" w:rsidRDefault="00B51676" w:rsidP="00B5167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E755B4">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1657" w:type="dxa"/>
            <w:vAlign w:val="center"/>
            <w:hideMark/>
          </w:tcPr>
          <w:p w14:paraId="0AB82187" w14:textId="77777777" w:rsidR="00B51676" w:rsidRPr="00E755B4" w:rsidRDefault="00B51676" w:rsidP="00B5167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14:ligatures w14:val="none"/>
              </w:rPr>
              <w:t xml:space="preserve">20 </w:t>
            </w:r>
            <w:r w:rsidRPr="00E755B4">
              <w:rPr>
                <w:rFonts w:ascii="Simplified Arabic" w:eastAsia="Times New Roman" w:hAnsi="Simplified Arabic" w:cs="Simplified Arabic"/>
                <w:color w:val="000000" w:themeColor="text1"/>
                <w:kern w:val="0"/>
                <w:sz w:val="28"/>
                <w:szCs w:val="28"/>
                <w:rtl/>
                <w14:ligatures w14:val="none"/>
              </w:rPr>
              <w:t>فقرة</w:t>
            </w:r>
          </w:p>
        </w:tc>
      </w:tr>
    </w:tbl>
    <w:p w14:paraId="55C9E2EC"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(تطوير وإدارة العقارات في المناطق العشوائية بمدينة جدة) </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 xml:space="preserve">وهو محور أحادي يقيس المتغير التابع بشكل شامل ومتكامل، ويتكون من </w:t>
      </w:r>
      <w:r w:rsidRPr="00E755B4">
        <w:rPr>
          <w:rFonts w:ascii="Simplified Arabic" w:eastAsia="Times New Roman" w:hAnsi="Simplified Arabic" w:cs="Simplified Arabic"/>
          <w:color w:val="000000" w:themeColor="text1"/>
          <w:kern w:val="0"/>
          <w:sz w:val="28"/>
          <w:szCs w:val="28"/>
          <w14:ligatures w14:val="none"/>
        </w:rPr>
        <w:t xml:space="preserve">10 </w:t>
      </w:r>
      <w:r w:rsidRPr="00E755B4">
        <w:rPr>
          <w:rFonts w:ascii="Simplified Arabic" w:eastAsia="Times New Roman" w:hAnsi="Simplified Arabic" w:cs="Simplified Arabic"/>
          <w:color w:val="000000" w:themeColor="text1"/>
          <w:kern w:val="0"/>
          <w:sz w:val="28"/>
          <w:szCs w:val="28"/>
          <w:rtl/>
          <w14:ligatures w14:val="none"/>
        </w:rPr>
        <w:t>فقرات تغطي جوانب التطوير العمراني وتحسين البنية التحتية وتنظيم الملكيات وجذب الاستثمارات وتحسين جودة الحياة وإعادة دمج المناطق العشوائية في النسيج العمراني المنظم</w:t>
      </w:r>
      <w:r w:rsidRPr="00E755B4">
        <w:rPr>
          <w:rFonts w:ascii="Simplified Arabic" w:eastAsia="Times New Roman" w:hAnsi="Simplified Arabic" w:cs="Simplified Arabic"/>
          <w:color w:val="000000" w:themeColor="text1"/>
          <w:kern w:val="0"/>
          <w:sz w:val="28"/>
          <w:szCs w:val="28"/>
          <w14:ligatures w14:val="none"/>
        </w:rPr>
        <w:t>.</w:t>
      </w:r>
    </w:p>
    <w:p w14:paraId="2D12B933" w14:textId="23B26269"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E755B4">
        <w:rPr>
          <w:rFonts w:ascii="Simplified Arabic" w:eastAsia="Times New Roman" w:hAnsi="Simplified Arabic" w:cs="Simplified Arabic"/>
          <w:color w:val="000000" w:themeColor="text1"/>
          <w:kern w:val="0"/>
          <w:sz w:val="28"/>
          <w:szCs w:val="28"/>
          <w14:ligatures w14:val="none"/>
        </w:rPr>
        <w:t xml:space="preserve">30 </w:t>
      </w:r>
      <w:r w:rsidRPr="00E755B4">
        <w:rPr>
          <w:rFonts w:ascii="Simplified Arabic" w:eastAsia="Times New Roman" w:hAnsi="Simplified Arabic" w:cs="Simplified Arabic"/>
          <w:color w:val="000000" w:themeColor="text1"/>
          <w:kern w:val="0"/>
          <w:sz w:val="28"/>
          <w:szCs w:val="28"/>
          <w:rtl/>
          <w14:ligatures w14:val="none"/>
        </w:rPr>
        <w:t>فقرة بخلاف البيانات الديموغرافية. وسيتم التحقق من صدق الأداة عبر صدق المحكمين بعرضها على عدد من الأساتذة المتخصصين، وصدق الاتساق الداخلي باستخدام معامل ارتباط بيرسون، كما سيُقاس ثبات الأداة باستخدام معامل ألفا كرونباخ</w:t>
      </w:r>
      <w:r w:rsidRPr="00E755B4">
        <w:rPr>
          <w:rFonts w:ascii="Simplified Arabic" w:eastAsia="Times New Roman" w:hAnsi="Simplified Arabic" w:cs="Simplified Arabic"/>
          <w:color w:val="000000" w:themeColor="text1"/>
          <w:kern w:val="0"/>
          <w:sz w:val="28"/>
          <w:szCs w:val="28"/>
          <w14:ligatures w14:val="none"/>
        </w:rPr>
        <w:t>.</w:t>
      </w:r>
    </w:p>
    <w:p w14:paraId="4257A85A" w14:textId="39371735" w:rsidR="0085176C"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4198462"/>
      <w:bookmarkStart w:id="37" w:name="_Toc234775780"/>
      <w:r w:rsidRPr="00E755B4">
        <w:rPr>
          <w:rFonts w:ascii="Simplified Arabic" w:eastAsia="Times New Roman" w:hAnsi="Simplified Arabic" w:cs="Simplified Arabic" w:hint="cs"/>
          <w:b/>
          <w:bCs/>
          <w:color w:val="000000" w:themeColor="text1"/>
          <w:kern w:val="0"/>
          <w:sz w:val="36"/>
          <w:szCs w:val="36"/>
          <w:rtl/>
          <w14:ligatures w14:val="none"/>
        </w:rPr>
        <w:t xml:space="preserve">13.1 </w:t>
      </w:r>
      <w:r w:rsidR="0085176C" w:rsidRPr="00E755B4">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6"/>
      <w:bookmarkEnd w:id="37"/>
    </w:p>
    <w:p w14:paraId="37E261D5" w14:textId="77777777" w:rsidR="0085176C" w:rsidRPr="00E755B4" w:rsidRDefault="0085176C" w:rsidP="00B516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سيستعين الباحث ببرنامج الحزم الإحصائية للعلوم الاجتماعية</w:t>
      </w:r>
      <w:r w:rsidRPr="00E755B4">
        <w:rPr>
          <w:rFonts w:ascii="Simplified Arabic" w:eastAsia="Times New Roman" w:hAnsi="Simplified Arabic" w:cs="Simplified Arabic"/>
          <w:color w:val="000000" w:themeColor="text1"/>
          <w:kern w:val="0"/>
          <w:sz w:val="28"/>
          <w:szCs w:val="28"/>
          <w14:ligatures w14:val="none"/>
        </w:rPr>
        <w:t xml:space="preserve"> (SPSS) </w:t>
      </w:r>
      <w:r w:rsidRPr="00E755B4">
        <w:rPr>
          <w:rFonts w:ascii="Simplified Arabic" w:eastAsia="Times New Roman" w:hAnsi="Simplified Arabic" w:cs="Simplified Arabic"/>
          <w:color w:val="000000" w:themeColor="text1"/>
          <w:kern w:val="0"/>
          <w:sz w:val="28"/>
          <w:szCs w:val="28"/>
          <w:rtl/>
          <w14:ligatures w14:val="none"/>
        </w:rPr>
        <w:t>في تحليل بيانات الدراسة، وسيتم توظيف الأساليب الإحصائية التالية</w:t>
      </w:r>
      <w:r w:rsidRPr="00E755B4">
        <w:rPr>
          <w:rFonts w:ascii="Simplified Arabic" w:eastAsia="Times New Roman" w:hAnsi="Simplified Arabic" w:cs="Simplified Arabic"/>
          <w:color w:val="000000" w:themeColor="text1"/>
          <w:kern w:val="0"/>
          <w:sz w:val="28"/>
          <w:szCs w:val="28"/>
          <w14:ligatures w14:val="none"/>
        </w:rPr>
        <w:t>:</w:t>
      </w:r>
    </w:p>
    <w:p w14:paraId="02CFF9C1"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وتحديد استجابات المبحوثين على فقرات الاستبانة</w:t>
      </w:r>
      <w:r w:rsidRPr="00E755B4">
        <w:rPr>
          <w:rFonts w:ascii="Simplified Arabic" w:eastAsia="Times New Roman" w:hAnsi="Simplified Arabic" w:cs="Simplified Arabic"/>
          <w:color w:val="000000" w:themeColor="text1"/>
          <w:kern w:val="0"/>
          <w:sz w:val="28"/>
          <w:szCs w:val="28"/>
          <w14:ligatures w14:val="none"/>
        </w:rPr>
        <w:t>.</w:t>
      </w:r>
    </w:p>
    <w:p w14:paraId="7FAD1EA0"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لترتيب فقرات ومحاور الدراسة حسب درجة الموافقة وتحديد مستوى التشتت في الاستجابات</w:t>
      </w:r>
      <w:r w:rsidRPr="00E755B4">
        <w:rPr>
          <w:rFonts w:ascii="Simplified Arabic" w:eastAsia="Times New Roman" w:hAnsi="Simplified Arabic" w:cs="Simplified Arabic"/>
          <w:color w:val="000000" w:themeColor="text1"/>
          <w:kern w:val="0"/>
          <w:sz w:val="28"/>
          <w:szCs w:val="28"/>
          <w14:ligatures w14:val="none"/>
        </w:rPr>
        <w:t>.</w:t>
      </w:r>
    </w:p>
    <w:p w14:paraId="2F7CE534"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معامل ارتباط بيرسون</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العلاقة الارتباطية بين المتغيرات</w:t>
      </w:r>
      <w:r w:rsidRPr="00E755B4">
        <w:rPr>
          <w:rFonts w:ascii="Simplified Arabic" w:eastAsia="Times New Roman" w:hAnsi="Simplified Arabic" w:cs="Simplified Arabic"/>
          <w:color w:val="000000" w:themeColor="text1"/>
          <w:kern w:val="0"/>
          <w:sz w:val="28"/>
          <w:szCs w:val="28"/>
          <w14:ligatures w14:val="none"/>
        </w:rPr>
        <w:t>.</w:t>
      </w:r>
    </w:p>
    <w:p w14:paraId="6571B6DB"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معامل ألفا كرونباخ</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للتحقق من ثبات أداة الدراسة ودرجة اتساقها الداخلي</w:t>
      </w:r>
      <w:r w:rsidRPr="00E755B4">
        <w:rPr>
          <w:rFonts w:ascii="Simplified Arabic" w:eastAsia="Times New Roman" w:hAnsi="Simplified Arabic" w:cs="Simplified Arabic"/>
          <w:color w:val="000000" w:themeColor="text1"/>
          <w:kern w:val="0"/>
          <w:sz w:val="28"/>
          <w:szCs w:val="28"/>
          <w14:ligatures w14:val="none"/>
        </w:rPr>
        <w:t>.</w:t>
      </w:r>
    </w:p>
    <w:p w14:paraId="5680EDE3"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تحليل الانحدار المتعدد</w:t>
      </w:r>
      <w:r w:rsidRPr="00E755B4">
        <w:rPr>
          <w:rFonts w:ascii="Simplified Arabic" w:eastAsia="Times New Roman" w:hAnsi="Simplified Arabic" w:cs="Simplified Arabic"/>
          <w:color w:val="000000" w:themeColor="text1"/>
          <w:kern w:val="0"/>
          <w:sz w:val="28"/>
          <w:szCs w:val="28"/>
          <w14:ligatures w14:val="none"/>
        </w:rPr>
        <w:t xml:space="preserve"> (Multiple Regression): </w:t>
      </w:r>
      <w:r w:rsidRPr="00E755B4">
        <w:rPr>
          <w:rFonts w:ascii="Simplified Arabic" w:eastAsia="Times New Roman" w:hAnsi="Simplified Arabic" w:cs="Simplified Arabic"/>
          <w:color w:val="000000" w:themeColor="text1"/>
          <w:kern w:val="0"/>
          <w:sz w:val="28"/>
          <w:szCs w:val="28"/>
          <w:rtl/>
          <w14:ligatures w14:val="none"/>
        </w:rPr>
        <w:t>لقياس أثر أبعاد المتغير المستقل مجتمعة على المتغير التابع وتحديد القدرة التنبؤية لكل بُعد</w:t>
      </w:r>
      <w:r w:rsidRPr="00E755B4">
        <w:rPr>
          <w:rFonts w:ascii="Simplified Arabic" w:eastAsia="Times New Roman" w:hAnsi="Simplified Arabic" w:cs="Simplified Arabic"/>
          <w:color w:val="000000" w:themeColor="text1"/>
          <w:kern w:val="0"/>
          <w:sz w:val="28"/>
          <w:szCs w:val="28"/>
          <w14:ligatures w14:val="none"/>
        </w:rPr>
        <w:t>.</w:t>
      </w:r>
    </w:p>
    <w:p w14:paraId="2B3300BF"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تحليل الانحدار البسيط</w:t>
      </w:r>
      <w:r w:rsidRPr="00E755B4">
        <w:rPr>
          <w:rFonts w:ascii="Simplified Arabic" w:eastAsia="Times New Roman" w:hAnsi="Simplified Arabic" w:cs="Simplified Arabic"/>
          <w:color w:val="000000" w:themeColor="text1"/>
          <w:kern w:val="0"/>
          <w:sz w:val="28"/>
          <w:szCs w:val="28"/>
          <w14:ligatures w14:val="none"/>
        </w:rPr>
        <w:t xml:space="preserve"> (Simple Regression): </w:t>
      </w:r>
      <w:r w:rsidRPr="00E755B4">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منفردًا على المتغير التابع</w:t>
      </w:r>
      <w:r w:rsidRPr="00E755B4">
        <w:rPr>
          <w:rFonts w:ascii="Simplified Arabic" w:eastAsia="Times New Roman" w:hAnsi="Simplified Arabic" w:cs="Simplified Arabic"/>
          <w:color w:val="000000" w:themeColor="text1"/>
          <w:kern w:val="0"/>
          <w:sz w:val="28"/>
          <w:szCs w:val="28"/>
          <w14:ligatures w14:val="none"/>
        </w:rPr>
        <w:t>.</w:t>
      </w:r>
    </w:p>
    <w:p w14:paraId="5EB06CB6"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E755B4">
        <w:rPr>
          <w:rFonts w:ascii="Simplified Arabic" w:eastAsia="Times New Roman" w:hAnsi="Simplified Arabic" w:cs="Simplified Arabic"/>
          <w:color w:val="000000" w:themeColor="text1"/>
          <w:kern w:val="0"/>
          <w:sz w:val="28"/>
          <w:szCs w:val="28"/>
          <w14:ligatures w14:val="none"/>
        </w:rPr>
        <w:t xml:space="preserve"> (Independent Samples T-Test): </w:t>
      </w:r>
      <w:r w:rsidRPr="00E755B4">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لمتغير النوع الاجتماعي</w:t>
      </w:r>
      <w:r w:rsidRPr="00E755B4">
        <w:rPr>
          <w:rFonts w:ascii="Simplified Arabic" w:eastAsia="Times New Roman" w:hAnsi="Simplified Arabic" w:cs="Simplified Arabic"/>
          <w:color w:val="000000" w:themeColor="text1"/>
          <w:kern w:val="0"/>
          <w:sz w:val="28"/>
          <w:szCs w:val="28"/>
          <w14:ligatures w14:val="none"/>
        </w:rPr>
        <w:t>.</w:t>
      </w:r>
    </w:p>
    <w:p w14:paraId="31476D57" w14:textId="77777777" w:rsidR="0085176C" w:rsidRPr="00E755B4" w:rsidRDefault="0085176C" w:rsidP="00837CB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تحليل التباين الأحادي</w:t>
      </w:r>
      <w:r w:rsidRPr="00E755B4">
        <w:rPr>
          <w:rFonts w:ascii="Simplified Arabic" w:eastAsia="Times New Roman" w:hAnsi="Simplified Arabic" w:cs="Simplified Arabic"/>
          <w:color w:val="000000" w:themeColor="text1"/>
          <w:kern w:val="0"/>
          <w:sz w:val="28"/>
          <w:szCs w:val="28"/>
          <w14:ligatures w14:val="none"/>
        </w:rPr>
        <w:t xml:space="preserve"> (One-Way ANOVA): </w:t>
      </w:r>
      <w:r w:rsidRPr="00E755B4">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متعددة الفئات كالعمر والمؤهل العلمي وسنوات الخبرة وطبيعة الجهة</w:t>
      </w:r>
      <w:r w:rsidRPr="00E755B4">
        <w:rPr>
          <w:rFonts w:ascii="Simplified Arabic" w:eastAsia="Times New Roman" w:hAnsi="Simplified Arabic" w:cs="Simplified Arabic"/>
          <w:color w:val="000000" w:themeColor="text1"/>
          <w:kern w:val="0"/>
          <w:sz w:val="28"/>
          <w:szCs w:val="28"/>
          <w14:ligatures w14:val="none"/>
        </w:rPr>
        <w:t>.</w:t>
      </w:r>
    </w:p>
    <w:p w14:paraId="50811E6D" w14:textId="54343A49" w:rsidR="0085176C" w:rsidRPr="00E755B4" w:rsidRDefault="00B51676" w:rsidP="00B516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4198463"/>
      <w:bookmarkStart w:id="39" w:name="_Toc234775781"/>
      <w:r w:rsidRPr="00E755B4">
        <w:rPr>
          <w:rFonts w:ascii="Simplified Arabic" w:eastAsia="Times New Roman" w:hAnsi="Simplified Arabic" w:cs="Simplified Arabic" w:hint="cs"/>
          <w:b/>
          <w:bCs/>
          <w:color w:val="000000" w:themeColor="text1"/>
          <w:kern w:val="0"/>
          <w:sz w:val="36"/>
          <w:szCs w:val="36"/>
          <w:rtl/>
          <w14:ligatures w14:val="none"/>
        </w:rPr>
        <w:t xml:space="preserve">14.1 </w:t>
      </w:r>
      <w:r w:rsidR="0085176C" w:rsidRPr="00E755B4">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14:paraId="04792254" w14:textId="77777777" w:rsidR="0085176C" w:rsidRPr="00E755B4" w:rsidRDefault="0085176C" w:rsidP="00837CB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الحدود الموضوعية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ستقتصر الدراسة على دراسة أثر الأنظمة والتشريعات العقارية الجديدة — بأبعادها الخمسة: التسجيل العيني للعقار، والوساطة العقارية، والبيع على الخارطة، ورسوم الأراضي البيضاء، والتمويل العقاري المدعوم — على تطوير وإدارة العقارات في المناطق العشوائية</w:t>
      </w:r>
      <w:r w:rsidRPr="00E755B4">
        <w:rPr>
          <w:rFonts w:ascii="Simplified Arabic" w:eastAsia="Times New Roman" w:hAnsi="Simplified Arabic" w:cs="Simplified Arabic"/>
          <w:color w:val="000000" w:themeColor="text1"/>
          <w:kern w:val="0"/>
          <w:sz w:val="28"/>
          <w:szCs w:val="28"/>
          <w14:ligatures w14:val="none"/>
        </w:rPr>
        <w:t>.</w:t>
      </w:r>
    </w:p>
    <w:p w14:paraId="3626A51E" w14:textId="77777777" w:rsidR="0085176C" w:rsidRPr="00E755B4" w:rsidRDefault="0085176C" w:rsidP="00837CB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الحدود المكانية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ستُطبَّق الدراسة على المناطق العشوائية بمدينة جدة بمنطقة مكة المكرمة في المملكة العربية السعودية</w:t>
      </w:r>
      <w:r w:rsidRPr="00E755B4">
        <w:rPr>
          <w:rFonts w:ascii="Simplified Arabic" w:eastAsia="Times New Roman" w:hAnsi="Simplified Arabic" w:cs="Simplified Arabic"/>
          <w:color w:val="000000" w:themeColor="text1"/>
          <w:kern w:val="0"/>
          <w:sz w:val="28"/>
          <w:szCs w:val="28"/>
          <w14:ligatures w14:val="none"/>
        </w:rPr>
        <w:t>.</w:t>
      </w:r>
    </w:p>
    <w:p w14:paraId="03993702" w14:textId="77777777" w:rsidR="0085176C" w:rsidRPr="00E755B4" w:rsidRDefault="0085176C" w:rsidP="00837CB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الحدود الزمانية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سيُجرى الجانب الميداني للدراسة خلال العام الدراسي 1447/1448هـ الموافق 2025/2026م</w:t>
      </w:r>
      <w:r w:rsidRPr="00E755B4">
        <w:rPr>
          <w:rFonts w:ascii="Simplified Arabic" w:eastAsia="Times New Roman" w:hAnsi="Simplified Arabic" w:cs="Simplified Arabic"/>
          <w:color w:val="000000" w:themeColor="text1"/>
          <w:kern w:val="0"/>
          <w:sz w:val="28"/>
          <w:szCs w:val="28"/>
          <w14:ligatures w14:val="none"/>
        </w:rPr>
        <w:t>.</w:t>
      </w:r>
    </w:p>
    <w:p w14:paraId="27E009AA" w14:textId="77777777" w:rsidR="0085176C" w:rsidRPr="00E755B4" w:rsidRDefault="0085176C" w:rsidP="00837CB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الحدود البشرية</w:t>
      </w:r>
      <w:r w:rsidRPr="00E755B4">
        <w:rPr>
          <w:rFonts w:ascii="Simplified Arabic" w:eastAsia="Times New Roman" w:hAnsi="Simplified Arabic" w:cs="Simplified Arabic"/>
          <w:color w:val="000000" w:themeColor="text1"/>
          <w:kern w:val="0"/>
          <w:sz w:val="28"/>
          <w:szCs w:val="28"/>
          <w14:ligatures w14:val="none"/>
        </w:rPr>
        <w:t xml:space="preserve">: </w:t>
      </w:r>
      <w:r w:rsidRPr="00E755B4">
        <w:rPr>
          <w:rFonts w:ascii="Simplified Arabic" w:eastAsia="Times New Roman" w:hAnsi="Simplified Arabic" w:cs="Simplified Arabic"/>
          <w:color w:val="000000" w:themeColor="text1"/>
          <w:kern w:val="0"/>
          <w:sz w:val="28"/>
          <w:szCs w:val="28"/>
          <w:rtl/>
          <w14:ligatures w14:val="none"/>
        </w:rPr>
        <w:t>ستُطبَّق الدراسة على المتخصصين والممارسين في قطاع التطوير العقاري وإدارة المناطق العشوائية بمدينة جدة، ويشملون منسوبي أمانة جدة والهيئة العامة للعقار والمطورين العقاريين والوسطاء والمكاتب العقارية والأكاديميين المتخصصين</w:t>
      </w:r>
      <w:r w:rsidRPr="00E755B4">
        <w:rPr>
          <w:rFonts w:ascii="Simplified Arabic" w:eastAsia="Times New Roman" w:hAnsi="Simplified Arabic" w:cs="Simplified Arabic"/>
          <w:color w:val="000000" w:themeColor="text1"/>
          <w:kern w:val="0"/>
          <w:sz w:val="28"/>
          <w:szCs w:val="28"/>
          <w14:ligatures w14:val="none"/>
        </w:rPr>
        <w:t>.</w:t>
      </w:r>
    </w:p>
    <w:p w14:paraId="45FD59AA" w14:textId="2D197028" w:rsidR="001A2CD7" w:rsidRPr="00E755B4" w:rsidRDefault="00B51676" w:rsidP="00127C3D">
      <w:pPr>
        <w:jc w:val="center"/>
        <w:outlineLvl w:val="0"/>
        <w:rPr>
          <w:rFonts w:ascii="Simplified Arabic" w:eastAsia="Times New Roman" w:hAnsi="Simplified Arabic" w:cs="Simplified Arabic"/>
          <w:b/>
          <w:bCs/>
          <w:color w:val="000000" w:themeColor="text1"/>
          <w:kern w:val="0"/>
          <w:sz w:val="40"/>
          <w:szCs w:val="40"/>
          <w14:ligatures w14:val="none"/>
        </w:rPr>
      </w:pPr>
      <w:r w:rsidRPr="00E755B4">
        <w:rPr>
          <w:rFonts w:ascii="Simplified Arabic" w:eastAsia="Times New Roman" w:hAnsi="Simplified Arabic" w:cs="Simplified Arabic"/>
          <w:b/>
          <w:bCs/>
          <w:color w:val="000000" w:themeColor="text1"/>
          <w:kern w:val="0"/>
          <w:sz w:val="40"/>
          <w:szCs w:val="40"/>
          <w:rtl/>
          <w14:ligatures w14:val="none"/>
        </w:rPr>
        <w:br w:type="page"/>
      </w:r>
      <w:bookmarkStart w:id="40" w:name="_Toc234775782"/>
      <w:r w:rsidRPr="00E755B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1A2CD7" w:rsidRPr="00E755B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14:paraId="236596C4" w14:textId="067C13E3" w:rsidR="001A2CD7" w:rsidRPr="00E755B4" w:rsidRDefault="001A2CD7" w:rsidP="00127C3D">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4775783"/>
      <w:r w:rsidRPr="00E755B4">
        <w:rPr>
          <w:rFonts w:ascii="Simplified Arabic" w:eastAsia="Times New Roman" w:hAnsi="Simplified Arabic" w:cs="Simplified Arabic"/>
          <w:b/>
          <w:bCs/>
          <w:color w:val="000000" w:themeColor="text1"/>
          <w:kern w:val="0"/>
          <w:sz w:val="36"/>
          <w:szCs w:val="36"/>
          <w:rtl/>
          <w14:ligatures w14:val="none"/>
        </w:rPr>
        <w:t>المبحث الأول: الأنظمة والتشريعات العقارية الجديدة</w:t>
      </w:r>
      <w:bookmarkEnd w:id="41"/>
    </w:p>
    <w:p w14:paraId="0B55A609" w14:textId="75B4CA90"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775784"/>
      <w:r w:rsidRPr="00E755B4">
        <w:rPr>
          <w:rFonts w:ascii="Simplified Arabic" w:eastAsia="Times New Roman" w:hAnsi="Simplified Arabic" w:cs="Simplified Arabic" w:hint="cs"/>
          <w:b/>
          <w:bCs/>
          <w:color w:val="000000" w:themeColor="text1"/>
          <w:kern w:val="0"/>
          <w:sz w:val="32"/>
          <w:szCs w:val="32"/>
          <w:rtl/>
          <w14:ligatures w14:val="none"/>
        </w:rPr>
        <w:t xml:space="preserve">1.1.2 </w:t>
      </w:r>
      <w:r w:rsidR="001A2CD7" w:rsidRPr="00E755B4">
        <w:rPr>
          <w:rFonts w:ascii="Simplified Arabic" w:eastAsia="Times New Roman" w:hAnsi="Simplified Arabic" w:cs="Simplified Arabic"/>
          <w:b/>
          <w:bCs/>
          <w:color w:val="000000" w:themeColor="text1"/>
          <w:kern w:val="0"/>
          <w:sz w:val="32"/>
          <w:szCs w:val="32"/>
          <w:rtl/>
          <w14:ligatures w14:val="none"/>
        </w:rPr>
        <w:t>تمهيد</w:t>
      </w:r>
      <w:bookmarkEnd w:id="42"/>
    </w:p>
    <w:p w14:paraId="6FCF700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يشهد القطاع العقاري في المملكة العربية السعودية تحولات هيكلية عميقة أفرزتها منظومة من الأنظمة والتشريعات التي أُعيد صياغتها في ضوء رؤية المملكة 2030، إذ باتت البيئة التشريعية العقارية تمثّل ركيزة جوهرية في إعادة تشكيل السوق العقاري وضبط علاقاته وتنظيم مخرجاته. ولم يعد يُنظر إلى التشريع العقاري بوصفه أداة ضبط قانوني فحسب، بل بوصفه رافعة تنموية واستثمارية تتقاطع فيها الأبعاد الاقتصادية والعمرانية والاجتماعية، وتتشابك في نطاقها المصالح الفردية والاعتبارات العامة. وتنبع أهمية استعراض هذا المتغير من كونه يمثّل المدخل الحاكم لأي محاولة جادة لإعادة تنظيم المناطق العشوائية، لأن هذه المناطق نشأت أصلًا في ظل فراغ تشريعي أو ضعف في التطبيق، ولن تُعالَج إشكالياتها المتراكمة إلا عبر منظومة تشريعية متكاملة تُعيد بناء الثقة في السوق وتُرسّخ مفهوم الملكية المنظمة</w:t>
      </w:r>
      <w:r w:rsidRPr="00E755B4">
        <w:rPr>
          <w:rFonts w:ascii="Simplified Arabic" w:eastAsia="Times New Roman" w:hAnsi="Simplified Arabic" w:cs="Simplified Arabic"/>
          <w:color w:val="000000" w:themeColor="text1"/>
          <w:kern w:val="0"/>
          <w:sz w:val="28"/>
          <w:szCs w:val="28"/>
          <w14:ligatures w14:val="none"/>
        </w:rPr>
        <w:t>.</w:t>
      </w:r>
    </w:p>
    <w:p w14:paraId="04097E5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ويتناول هذا المبحث الأنظمة والتشريعات العقارية الجديدة من زاوية إدارية وتنظيمية، عبر تفكيك المفهوم واستعراض الأهمية والأهداف والأبعاد، مع الوقوف على الاتجاهات الفكرية والمدارس التي تناولت هذا الحقل، وذلك بأسلوب يوازن بين التأصيل النظري والتوظيف التطبيقي في سياق مدينة جدة تحديدًا، بما ينسجم مع طبيعة الدراسة الحالية وتوجهاتها</w:t>
      </w:r>
      <w:r w:rsidRPr="00E755B4">
        <w:rPr>
          <w:rFonts w:ascii="Simplified Arabic" w:eastAsia="Times New Roman" w:hAnsi="Simplified Arabic" w:cs="Simplified Arabic"/>
          <w:color w:val="000000" w:themeColor="text1"/>
          <w:kern w:val="0"/>
          <w:sz w:val="28"/>
          <w:szCs w:val="28"/>
          <w14:ligatures w14:val="none"/>
        </w:rPr>
        <w:t>.</w:t>
      </w:r>
    </w:p>
    <w:p w14:paraId="7B4048EF" w14:textId="3B5528C7"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775785"/>
      <w:r w:rsidRPr="00E755B4">
        <w:rPr>
          <w:rFonts w:ascii="Simplified Arabic" w:eastAsia="Times New Roman" w:hAnsi="Simplified Arabic" w:cs="Simplified Arabic" w:hint="cs"/>
          <w:b/>
          <w:bCs/>
          <w:color w:val="000000" w:themeColor="text1"/>
          <w:kern w:val="0"/>
          <w:sz w:val="32"/>
          <w:szCs w:val="32"/>
          <w:rtl/>
          <w14:ligatures w14:val="none"/>
        </w:rPr>
        <w:t>2.1.2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مفهوم الأنظمة والتشريعات العقارية الجديدة</w:t>
      </w:r>
      <w:bookmarkEnd w:id="43"/>
    </w:p>
    <w:p w14:paraId="6C3AF2A8"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تتعدد المقاربات التي تناولت مفهوم الأنظمة والتشريعات العقارية، وتتباين زوايا النظر إليها بحسب المرجعية الفكرية والحقل المعرفي الذي ينطلق منه كل باحث، غير أن هذه المقاربات تلتقي جميعها عند جوهر مشترك يتمثّل في كون هذه الأنظمة منظومة قواعد ملزمة تحكم العلاقات العقارية وتضبط ممارسات أطرافها. ويذهب اليحياء (2023) إلى أن الأنظمة العقارية الحديثة تمثّل الإطار الحاكم لتملّك العقارات وتنظيم التصرفات الواردة عليها، بما يشمل الأحكام النظامية والمبادئ القضائية التي تُشكّل في مجموعها بنية معيارية متكاملة توجّه سلوك الأفراد والمؤسسات في السوق العقاري</w:t>
      </w:r>
      <w:r w:rsidRPr="00E755B4">
        <w:rPr>
          <w:rFonts w:ascii="Simplified Arabic" w:eastAsia="Times New Roman" w:hAnsi="Simplified Arabic" w:cs="Simplified Arabic"/>
          <w:color w:val="000000" w:themeColor="text1"/>
          <w:kern w:val="0"/>
          <w:sz w:val="28"/>
          <w:szCs w:val="28"/>
          <w14:ligatures w14:val="none"/>
        </w:rPr>
        <w:t>.</w:t>
      </w:r>
    </w:p>
    <w:p w14:paraId="2C7BFE5C"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ويُقارب العتيبي (2024) المفهوم من زاوية أكثر تخصصًا، إذ يعدّ التنظيم القانوني للوحدات العقارية وفرزها وإدارتها مكوّنًا جوهريًا في المنظومة التشريعية، بحيث لا يُنظر إلى التشريع العقاري بوصفه نصوصًا مجردة، بل بوصفه أداة تحفيزية تُهيئ البيئة اللازمة لنشاط التطوير العقاري وتُطلق طاقاته الاستثمارية. ومن جهة مغايرة، يقدّم الجريفاوي (2022) قراءة إجرائية للمفهوم، إذ يربطه بآليات توقيع الأطراف على عقود التصرفات العقارية وما يعتريها من تحديات في ظل المستجدات الطارئة، وهو ما يوسّع دلالة المفهوم لتشمل الجوانب الإجرائية والتقنية التي تُترجم النصوص التشريعية إلى ممارسات فعلية</w:t>
      </w:r>
      <w:r w:rsidRPr="00E755B4">
        <w:rPr>
          <w:rFonts w:ascii="Simplified Arabic" w:eastAsia="Times New Roman" w:hAnsi="Simplified Arabic" w:cs="Simplified Arabic"/>
          <w:color w:val="000000" w:themeColor="text1"/>
          <w:kern w:val="0"/>
          <w:sz w:val="28"/>
          <w:szCs w:val="28"/>
          <w14:ligatures w14:val="none"/>
        </w:rPr>
        <w:t>.</w:t>
      </w:r>
    </w:p>
    <w:p w14:paraId="2BD9D57B"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وفي سياق أكثر شمولًا، تنظر حسن (2026) إلى الأنظمة والتشريعات العقارية بوصفها منظومة تنظيمية تحكم المعاملات العقارية التجارية، وتُشكّل مرجعية أساسية لضبط العلاقات التعاقدية بين الأطراف المختلفة، مع مراعاة خصوصية البيئة السعودية وما تفرضه من اعتبارات شرعية ونظامية. ويتقاطع هذا التوجه مع ما طرحه</w:t>
      </w:r>
      <w:r w:rsidRPr="00E755B4">
        <w:rPr>
          <w:rFonts w:ascii="Simplified Arabic" w:eastAsia="Times New Roman" w:hAnsi="Simplified Arabic" w:cs="Simplified Arabic"/>
          <w:color w:val="000000" w:themeColor="text1"/>
          <w:kern w:val="0"/>
          <w:sz w:val="28"/>
          <w:szCs w:val="28"/>
          <w14:ligatures w14:val="none"/>
        </w:rPr>
        <w:t xml:space="preserve"> Almohaimeed &amp; Al-Surf (2025) </w:t>
      </w:r>
      <w:r w:rsidRPr="00E755B4">
        <w:rPr>
          <w:rFonts w:ascii="Simplified Arabic" w:eastAsia="Times New Roman" w:hAnsi="Simplified Arabic" w:cs="Simplified Arabic"/>
          <w:color w:val="000000" w:themeColor="text1"/>
          <w:kern w:val="0"/>
          <w:sz w:val="28"/>
          <w:szCs w:val="28"/>
          <w:rtl/>
          <w14:ligatures w14:val="none"/>
        </w:rPr>
        <w:t>من قراءة تنمويّة لمفهوم التنظيمات العمرانية والعقارية في المملكة، إذ يُنظر إليها من منظور استثماري بوصفها أدوات لتحفيز رأس المال وتوجيهه نحو مشاريع التنمية العمرانية. أما</w:t>
      </w:r>
      <w:r w:rsidRPr="00E755B4">
        <w:rPr>
          <w:rFonts w:ascii="Simplified Arabic" w:eastAsia="Times New Roman" w:hAnsi="Simplified Arabic" w:cs="Simplified Arabic"/>
          <w:color w:val="000000" w:themeColor="text1"/>
          <w:kern w:val="0"/>
          <w:sz w:val="28"/>
          <w:szCs w:val="28"/>
          <w14:ligatures w14:val="none"/>
        </w:rPr>
        <w:t xml:space="preserve"> Kumar (2024) </w:t>
      </w:r>
      <w:r w:rsidRPr="00E755B4">
        <w:rPr>
          <w:rFonts w:ascii="Simplified Arabic" w:eastAsia="Times New Roman" w:hAnsi="Simplified Arabic" w:cs="Simplified Arabic"/>
          <w:color w:val="000000" w:themeColor="text1"/>
          <w:kern w:val="0"/>
          <w:sz w:val="28"/>
          <w:szCs w:val="28"/>
          <w:rtl/>
          <w14:ligatures w14:val="none"/>
        </w:rPr>
        <w:t>فيتناول المفهوم من زاوية أخلاقية ومهنية، مؤكدًا أن التشريعات العقارية لا تقتصر على القواعد الآمرة والناهية، بل تمتد لتشمل معايير الامتثال والسلوك المهني التي يلتزم بها العاملون في القطاع</w:t>
      </w:r>
      <w:r w:rsidRPr="00E755B4">
        <w:rPr>
          <w:rFonts w:ascii="Simplified Arabic" w:eastAsia="Times New Roman" w:hAnsi="Simplified Arabic" w:cs="Simplified Arabic"/>
          <w:color w:val="000000" w:themeColor="text1"/>
          <w:kern w:val="0"/>
          <w:sz w:val="28"/>
          <w:szCs w:val="28"/>
          <w14:ligatures w14:val="none"/>
        </w:rPr>
        <w:t>.</w:t>
      </w:r>
    </w:p>
    <w:p w14:paraId="5EDFA327"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ويطرح</w:t>
      </w:r>
      <w:r w:rsidRPr="00E755B4">
        <w:rPr>
          <w:rFonts w:ascii="Simplified Arabic" w:eastAsia="Times New Roman" w:hAnsi="Simplified Arabic" w:cs="Simplified Arabic"/>
          <w:color w:val="000000" w:themeColor="text1"/>
          <w:kern w:val="0"/>
          <w:sz w:val="28"/>
          <w:szCs w:val="28"/>
          <w14:ligatures w14:val="none"/>
        </w:rPr>
        <w:t xml:space="preserve"> Budkowski et al. (2025) </w:t>
      </w:r>
      <w:r w:rsidRPr="00E755B4">
        <w:rPr>
          <w:rFonts w:ascii="Simplified Arabic" w:eastAsia="Times New Roman" w:hAnsi="Simplified Arabic" w:cs="Simplified Arabic"/>
          <w:color w:val="000000" w:themeColor="text1"/>
          <w:kern w:val="0"/>
          <w:sz w:val="28"/>
          <w:szCs w:val="28"/>
          <w:rtl/>
          <w14:ligatures w14:val="none"/>
        </w:rPr>
        <w:t>رؤية بنيوية للمفهوم، إذ يعدّون تنظيم الوضع القانوني للعقار مسألة مركّبة تتشعّب فيها الإشكاليات القانونية والإدارية، وتتطلب معالجة متعددة الأبعاد. في حين يُقدّم</w:t>
      </w:r>
      <w:r w:rsidRPr="00E755B4">
        <w:rPr>
          <w:rFonts w:ascii="Simplified Arabic" w:eastAsia="Times New Roman" w:hAnsi="Simplified Arabic" w:cs="Simplified Arabic"/>
          <w:color w:val="000000" w:themeColor="text1"/>
          <w:kern w:val="0"/>
          <w:sz w:val="28"/>
          <w:szCs w:val="28"/>
          <w14:ligatures w14:val="none"/>
        </w:rPr>
        <w:t xml:space="preserve"> Vaghela et al. (2025) </w:t>
      </w:r>
      <w:r w:rsidRPr="00E755B4">
        <w:rPr>
          <w:rFonts w:ascii="Simplified Arabic" w:eastAsia="Times New Roman" w:hAnsi="Simplified Arabic" w:cs="Simplified Arabic"/>
          <w:color w:val="000000" w:themeColor="text1"/>
          <w:kern w:val="0"/>
          <w:sz w:val="28"/>
          <w:szCs w:val="28"/>
          <w:rtl/>
          <w14:ligatures w14:val="none"/>
        </w:rPr>
        <w:t>قراءة تطبيقية للمفهوم من خلال قوانين تنظيم القطاع العقاري وتطويره، بحيث يُنظر إلى التشريع بوصفه أداة إصلاحية تُعيد هيكلة صناعة التشييد والتطوير وتضبط سلوك الفاعلين فيها</w:t>
      </w:r>
      <w:r w:rsidRPr="00E755B4">
        <w:rPr>
          <w:rFonts w:ascii="Simplified Arabic" w:eastAsia="Times New Roman" w:hAnsi="Simplified Arabic" w:cs="Simplified Arabic"/>
          <w:color w:val="000000" w:themeColor="text1"/>
          <w:kern w:val="0"/>
          <w:sz w:val="28"/>
          <w:szCs w:val="28"/>
          <w14:ligatures w14:val="none"/>
        </w:rPr>
        <w:t>.</w:t>
      </w:r>
    </w:p>
    <w:p w14:paraId="4482F658"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وبناءً على ما تقدّم، يمكن القول إن الأنظمة والتشريعات العقارية الجديدة تُمثّل منظومة معيارية إدارية متكاملة تجمع بين النصوص القانونية والإجراءات التنفيذية والأدوات الرقابية، وتهدف إلى ضبط السوق العقاري وتنظيم علاقاته وتحفيز استثماراته، مع مراعاة الأبعاد الاجتماعية والعمرانية في البيئات الحضرية المستهدفة. ويرى الباحث أن هذه الأنظمة تُشكّل في مجموعها بنية مؤسسية تعمل على تحويل الممارسات العقارية من الطابع غير الرسمي إلى الطابع المنظم، وتُعيد تعريف العلاقة بين المُلاك والمطورين والوسطاء والجهات التنظيمية، بما يُتيح بناء سوق عقاري شفاف ومستدام يُسهم في معالجة التشوّهات الحضرية ومنها ظاهرة المناطق العشوائية</w:t>
      </w:r>
      <w:r w:rsidRPr="00E755B4">
        <w:rPr>
          <w:rFonts w:ascii="Simplified Arabic" w:eastAsia="Times New Roman" w:hAnsi="Simplified Arabic" w:cs="Simplified Arabic"/>
          <w:color w:val="000000" w:themeColor="text1"/>
          <w:kern w:val="0"/>
          <w:sz w:val="28"/>
          <w:szCs w:val="28"/>
          <w14:ligatures w14:val="none"/>
        </w:rPr>
        <w:t>.</w:t>
      </w:r>
    </w:p>
    <w:p w14:paraId="6F316C60" w14:textId="7D05DF9A"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4775786"/>
      <w:r w:rsidRPr="00E755B4">
        <w:rPr>
          <w:rFonts w:ascii="Simplified Arabic" w:eastAsia="Times New Roman" w:hAnsi="Simplified Arabic" w:cs="Simplified Arabic" w:hint="cs"/>
          <w:b/>
          <w:bCs/>
          <w:color w:val="000000" w:themeColor="text1"/>
          <w:kern w:val="0"/>
          <w:sz w:val="32"/>
          <w:szCs w:val="32"/>
          <w:rtl/>
          <w14:ligatures w14:val="none"/>
        </w:rPr>
        <w:lastRenderedPageBreak/>
        <w:t>3.1.2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أهمية الأنظمة والتشريعات العقارية الجديدة</w:t>
      </w:r>
      <w:bookmarkEnd w:id="44"/>
    </w:p>
    <w:p w14:paraId="561799FB"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تنبع أهمية الأنظمة والتشريعات العقارية الجديدة من كونها تُشكّل البنية التحتية غير المرئية التي يقوم عليها السوق العقاري بأكمله، إذ لا يمكن تصوّر قطاع عقاري منتج ومستدام في غياب منظومة تشريعية متينة تضبط علاقاته وتحمي حقوق أطرافه وتُوجّه استثماراته نحو الأولويات التنموية. وتتضاعف هذه الأهمية في السياق السعودي في ضوء التحولات المتسارعة التي يشهدها القطاع، والتحديات المتراكمة في المناطق الحضرية، وعلى رأسها إشكاليات المناطق العشوائية التي تستلزم استجابة تشريعية شاملة</w:t>
      </w:r>
      <w:r w:rsidRPr="00E755B4">
        <w:rPr>
          <w:rFonts w:ascii="Simplified Arabic" w:eastAsia="Times New Roman" w:hAnsi="Simplified Arabic" w:cs="Simplified Arabic"/>
          <w:color w:val="000000" w:themeColor="text1"/>
          <w:kern w:val="0"/>
          <w:sz w:val="28"/>
          <w:szCs w:val="28"/>
          <w14:ligatures w14:val="none"/>
        </w:rPr>
        <w:t>.</w:t>
      </w:r>
    </w:p>
    <w:p w14:paraId="627B1CCE"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ويشير</w:t>
      </w:r>
      <w:r w:rsidRPr="00E755B4">
        <w:rPr>
          <w:rFonts w:ascii="Simplified Arabic" w:eastAsia="Times New Roman" w:hAnsi="Simplified Arabic" w:cs="Simplified Arabic"/>
          <w:color w:val="000000" w:themeColor="text1"/>
          <w:kern w:val="0"/>
          <w:sz w:val="28"/>
          <w:szCs w:val="28"/>
          <w14:ligatures w14:val="none"/>
        </w:rPr>
        <w:t xml:space="preserve"> AlQahtany (2021) </w:t>
      </w:r>
      <w:r w:rsidRPr="00E755B4">
        <w:rPr>
          <w:rFonts w:ascii="Simplified Arabic" w:eastAsia="Times New Roman" w:hAnsi="Simplified Arabic" w:cs="Simplified Arabic"/>
          <w:color w:val="000000" w:themeColor="text1"/>
          <w:kern w:val="0"/>
          <w:sz w:val="28"/>
          <w:szCs w:val="28"/>
          <w:rtl/>
          <w14:ligatures w14:val="none"/>
        </w:rPr>
        <w:t>إلى أن أهمية التنظيم الحكومي والدعم المالي في قطاع الإسكان تتجلى في عدة جوانب، أولها أن هذه الأنظمة تُوفّر إطارًا مؤسسيًا يضمن استمرارية تدفق الوحدات السكنية إلى السوق ويُقلّل من الاختلالات الهيكلية، وثانيها أنها تُتيح توجيه الدعم الحكومي بكفاءة نحو الفئات المستهدفة بما يُعزّز العدالة في الوصول إلى المسكن، وثالثها أنها تُرسّخ الثقة بين الأطراف الفاعلة في السوق عبر ضمان الشفافية والمساءلة، ورابعها أنها تُسهم في استقرار الأسعار وضبط تقلباتها من خلال أدوات تنظيمية متعددة</w:t>
      </w:r>
      <w:r w:rsidRPr="00E755B4">
        <w:rPr>
          <w:rFonts w:ascii="Simplified Arabic" w:eastAsia="Times New Roman" w:hAnsi="Simplified Arabic" w:cs="Simplified Arabic"/>
          <w:color w:val="000000" w:themeColor="text1"/>
          <w:kern w:val="0"/>
          <w:sz w:val="28"/>
          <w:szCs w:val="28"/>
          <w14:ligatures w14:val="none"/>
        </w:rPr>
        <w:t>.</w:t>
      </w:r>
    </w:p>
    <w:p w14:paraId="280CF6E2"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ويُبرز</w:t>
      </w:r>
      <w:r w:rsidRPr="00E755B4">
        <w:rPr>
          <w:rFonts w:ascii="Simplified Arabic" w:eastAsia="Times New Roman" w:hAnsi="Simplified Arabic" w:cs="Simplified Arabic"/>
          <w:color w:val="000000" w:themeColor="text1"/>
          <w:kern w:val="0"/>
          <w:sz w:val="28"/>
          <w:szCs w:val="28"/>
          <w14:ligatures w14:val="none"/>
        </w:rPr>
        <w:t xml:space="preserve"> Alhajri et al. (2024) </w:t>
      </w:r>
      <w:r w:rsidRPr="00E755B4">
        <w:rPr>
          <w:rFonts w:ascii="Simplified Arabic" w:eastAsia="Times New Roman" w:hAnsi="Simplified Arabic" w:cs="Simplified Arabic"/>
          <w:color w:val="000000" w:themeColor="text1"/>
          <w:kern w:val="0"/>
          <w:sz w:val="28"/>
          <w:szCs w:val="28"/>
          <w:rtl/>
          <w14:ligatures w14:val="none"/>
        </w:rPr>
        <w:t>أن أهمية الأنظمة العقارية تتضح في كونها تُتيح الانتقال من المقاربات التوجيهية المركزية إلى المقاربات التمكينية التي تُشرك القطاع الخاص والمجتمع المحلي في صياغة الحلول السكنية، وهو ما يُعزّز كفاءة تخصيص الموارد ويُوسّع قاعدة المستفيدين ويُنوّع مصادر التمويل والتنفيذ. ويضيف</w:t>
      </w:r>
      <w:r w:rsidRPr="00E755B4">
        <w:rPr>
          <w:rFonts w:ascii="Simplified Arabic" w:eastAsia="Times New Roman" w:hAnsi="Simplified Arabic" w:cs="Simplified Arabic"/>
          <w:color w:val="000000" w:themeColor="text1"/>
          <w:kern w:val="0"/>
          <w:sz w:val="28"/>
          <w:szCs w:val="28"/>
          <w14:ligatures w14:val="none"/>
        </w:rPr>
        <w:t xml:space="preserve"> AlQahtany &amp; Alhassan (2020) </w:t>
      </w:r>
      <w:r w:rsidRPr="00E755B4">
        <w:rPr>
          <w:rFonts w:ascii="Simplified Arabic" w:eastAsia="Times New Roman" w:hAnsi="Simplified Arabic" w:cs="Simplified Arabic"/>
          <w:color w:val="000000" w:themeColor="text1"/>
          <w:kern w:val="0"/>
          <w:sz w:val="28"/>
          <w:szCs w:val="28"/>
          <w:rtl/>
          <w14:ligatures w14:val="none"/>
        </w:rPr>
        <w:t>أن أهمية هذه الأنظمة تكمن في ارتباطها العضوي بمستهدفات رؤية 2030، إذ تُشكّل الأداة التنفيذية التي تُترجم الطموحات الاستراتيجية إلى واقع ملموس على الأرض، سواء فيما يتصل برفع نسب التملّك أو تنويع المنتجات العقارية أو تحسين جودة الحياة في المدن السعودية</w:t>
      </w:r>
      <w:r w:rsidRPr="00E755B4">
        <w:rPr>
          <w:rFonts w:ascii="Simplified Arabic" w:eastAsia="Times New Roman" w:hAnsi="Simplified Arabic" w:cs="Simplified Arabic"/>
          <w:color w:val="000000" w:themeColor="text1"/>
          <w:kern w:val="0"/>
          <w:sz w:val="28"/>
          <w:szCs w:val="28"/>
          <w14:ligatures w14:val="none"/>
        </w:rPr>
        <w:t>.</w:t>
      </w:r>
    </w:p>
    <w:p w14:paraId="14681319"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ويرى</w:t>
      </w:r>
      <w:r w:rsidRPr="00E755B4">
        <w:rPr>
          <w:rFonts w:ascii="Simplified Arabic" w:eastAsia="Times New Roman" w:hAnsi="Simplified Arabic" w:cs="Simplified Arabic"/>
          <w:color w:val="000000" w:themeColor="text1"/>
          <w:kern w:val="0"/>
          <w:sz w:val="28"/>
          <w:szCs w:val="28"/>
          <w14:ligatures w14:val="none"/>
        </w:rPr>
        <w:t xml:space="preserve"> Eng (2023) </w:t>
      </w:r>
      <w:r w:rsidRPr="00E755B4">
        <w:rPr>
          <w:rFonts w:ascii="Simplified Arabic" w:eastAsia="Times New Roman" w:hAnsi="Simplified Arabic" w:cs="Simplified Arabic"/>
          <w:color w:val="000000" w:themeColor="text1"/>
          <w:kern w:val="0"/>
          <w:sz w:val="28"/>
          <w:szCs w:val="28"/>
          <w:rtl/>
          <w14:ligatures w14:val="none"/>
        </w:rPr>
        <w:t>أن أهمية التنظيم العقاري تتجسّد في كونه يُشكّل مرجعية استراتيجية لإدارة العقارات في العقد القادم، إذ يُتيح مواكبة التحولات التكنولوجية والاقتصادية والبيئية التي تُعيد تشكيل صناعة العقار عالميًا، ويُساعد المؤسسات على بناء ميزات تنافسية مستدامة. ويؤكد</w:t>
      </w:r>
      <w:r w:rsidRPr="00E755B4">
        <w:rPr>
          <w:rFonts w:ascii="Simplified Arabic" w:eastAsia="Times New Roman" w:hAnsi="Simplified Arabic" w:cs="Simplified Arabic"/>
          <w:color w:val="000000" w:themeColor="text1"/>
          <w:kern w:val="0"/>
          <w:sz w:val="28"/>
          <w:szCs w:val="28"/>
          <w14:ligatures w14:val="none"/>
        </w:rPr>
        <w:t xml:space="preserve"> Wanxin (2023) </w:t>
      </w:r>
      <w:r w:rsidRPr="00E755B4">
        <w:rPr>
          <w:rFonts w:ascii="Simplified Arabic" w:eastAsia="Times New Roman" w:hAnsi="Simplified Arabic" w:cs="Simplified Arabic"/>
          <w:color w:val="000000" w:themeColor="text1"/>
          <w:kern w:val="0"/>
          <w:sz w:val="28"/>
          <w:szCs w:val="28"/>
          <w:rtl/>
          <w14:ligatures w14:val="none"/>
        </w:rPr>
        <w:t>أن أهمية الأنظمة العقارية الحديثة تتضح في تمكينها من تبنّي مفاهيم ومبادئ إدارة العمليات في المؤسسات العقارية، بما يُحسّن كفاءة الأداء ويُرشّد استخدام الموارد ويُعزّز قدرة المؤسسات على الاستجابة لمتغيرات السوق</w:t>
      </w:r>
      <w:r w:rsidRPr="00E755B4">
        <w:rPr>
          <w:rFonts w:ascii="Simplified Arabic" w:eastAsia="Times New Roman" w:hAnsi="Simplified Arabic" w:cs="Simplified Arabic"/>
          <w:color w:val="000000" w:themeColor="text1"/>
          <w:kern w:val="0"/>
          <w:sz w:val="28"/>
          <w:szCs w:val="28"/>
          <w14:ligatures w14:val="none"/>
        </w:rPr>
        <w:t>.</w:t>
      </w:r>
    </w:p>
    <w:p w14:paraId="77B15522"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ومن زاوية تنموية، يشير</w:t>
      </w:r>
      <w:r w:rsidRPr="00E755B4">
        <w:rPr>
          <w:rFonts w:ascii="Simplified Arabic" w:eastAsia="Times New Roman" w:hAnsi="Simplified Arabic" w:cs="Simplified Arabic"/>
          <w:color w:val="000000" w:themeColor="text1"/>
          <w:kern w:val="0"/>
          <w:sz w:val="28"/>
          <w:szCs w:val="28"/>
          <w14:ligatures w14:val="none"/>
        </w:rPr>
        <w:t xml:space="preserve"> Alqahtany &amp; Abubakar (2024) </w:t>
      </w:r>
      <w:r w:rsidRPr="00E755B4">
        <w:rPr>
          <w:rFonts w:ascii="Simplified Arabic" w:eastAsia="Times New Roman" w:hAnsi="Simplified Arabic" w:cs="Simplified Arabic"/>
          <w:color w:val="000000" w:themeColor="text1"/>
          <w:kern w:val="0"/>
          <w:sz w:val="28"/>
          <w:szCs w:val="28"/>
          <w:rtl/>
          <w14:ligatures w14:val="none"/>
        </w:rPr>
        <w:t>إلى أن أهمية الأنظمة والتشريعات تكمن في كونها الآلية الوحيدة القادرة على تحويل التوسّع الحضري السريع من ظاهرة مثيرة للقلق إلى مسار تنموي مستدام، وذلك عبر ضبط أنماط استخدام الأراضي وتوجيه الاستثمارات نحو مناطق الأولوية وربط التخطيط العمراني بالاعتبارات البيئية. ويُقدّم</w:t>
      </w:r>
      <w:r w:rsidRPr="00E755B4">
        <w:rPr>
          <w:rFonts w:ascii="Simplified Arabic" w:eastAsia="Times New Roman" w:hAnsi="Simplified Arabic" w:cs="Simplified Arabic"/>
          <w:color w:val="000000" w:themeColor="text1"/>
          <w:kern w:val="0"/>
          <w:sz w:val="28"/>
          <w:szCs w:val="28"/>
          <w14:ligatures w14:val="none"/>
        </w:rPr>
        <w:t xml:space="preserve"> Baesse (2024) </w:t>
      </w:r>
      <w:r w:rsidRPr="00E755B4">
        <w:rPr>
          <w:rFonts w:ascii="Simplified Arabic" w:eastAsia="Times New Roman" w:hAnsi="Simplified Arabic" w:cs="Simplified Arabic"/>
          <w:color w:val="000000" w:themeColor="text1"/>
          <w:kern w:val="0"/>
          <w:sz w:val="28"/>
          <w:szCs w:val="28"/>
          <w:rtl/>
          <w14:ligatures w14:val="none"/>
        </w:rPr>
        <w:t>قراءة مماثلة لأهمية هذه الأنظمة في السياق المحلي لمدينة جدة، إذ تُتيح تبنّي مقاربات استراتيجية للتنمية العمرانية المستدامة تُعالج التحديات المتراكمة وتُهيّئ البيئة المناسبة لجذب الاستثمارات</w:t>
      </w:r>
      <w:r w:rsidRPr="00E755B4">
        <w:rPr>
          <w:rFonts w:ascii="Simplified Arabic" w:eastAsia="Times New Roman" w:hAnsi="Simplified Arabic" w:cs="Simplified Arabic"/>
          <w:color w:val="000000" w:themeColor="text1"/>
          <w:kern w:val="0"/>
          <w:sz w:val="28"/>
          <w:szCs w:val="28"/>
          <w14:ligatures w14:val="none"/>
        </w:rPr>
        <w:t>.</w:t>
      </w:r>
    </w:p>
    <w:p w14:paraId="691BFC40"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ويرى الباحث أن أهمية الأنظمة والتشريعات العقارية الجديدة تتجاوز البعد التنظيمي المباشر لتشمل الأبعاد الاقتصادية والاجتماعية والعمرانية، وتُشكّل حجر الزاوية في أي مشروع جاد لإعادة تأهيل المناطق العشوائية، إذ يستحيل إدماج هذه المناطق في النسيج الحضري المنظم دون توفير المظلة التشريعية الملائمة التي تُشرعن المعالجات وتضمن استدامتها</w:t>
      </w:r>
      <w:r w:rsidRPr="00E755B4">
        <w:rPr>
          <w:rFonts w:ascii="Simplified Arabic" w:eastAsia="Times New Roman" w:hAnsi="Simplified Arabic" w:cs="Simplified Arabic"/>
          <w:color w:val="000000" w:themeColor="text1"/>
          <w:kern w:val="0"/>
          <w:sz w:val="28"/>
          <w:szCs w:val="28"/>
          <w14:ligatures w14:val="none"/>
        </w:rPr>
        <w:t>.</w:t>
      </w:r>
    </w:p>
    <w:p w14:paraId="71A909AD" w14:textId="38966579"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4775787"/>
      <w:r w:rsidRPr="00E755B4">
        <w:rPr>
          <w:rFonts w:ascii="Simplified Arabic" w:eastAsia="Times New Roman" w:hAnsi="Simplified Arabic" w:cs="Simplified Arabic" w:hint="cs"/>
          <w:b/>
          <w:bCs/>
          <w:color w:val="000000" w:themeColor="text1"/>
          <w:kern w:val="0"/>
          <w:sz w:val="32"/>
          <w:szCs w:val="32"/>
          <w:rtl/>
          <w14:ligatures w14:val="none"/>
        </w:rPr>
        <w:t>4.1.2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أهداف الأنظمة والتشريعات العقارية الجديدة</w:t>
      </w:r>
      <w:bookmarkEnd w:id="45"/>
    </w:p>
    <w:p w14:paraId="7CE5174C"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تتباين أهداف الأنظمة والتشريعات العقارية بحسب زوايا المعالجة التي يتبنّاها الباحثون، وتتوزّع هذه الأهداف بين ما هو تنظيمي مباشر وما هو تنموي بعيد المدى. ويطرح العتيبي (2024) جملة من الأهداف التي يسعى التنظيم القانوني لملكية الوحدات العقارية إلى تحقيقها، من أبرزها تحفيز أنشطة التطوير العقاري عبر توضيح حدود الملكية وتيسير إجراءات الفرز والإدارة، وتوفير إطار قانوني للعلاقات المتشابكة بين ملّاك الوحدات المتعددة، وضمان استدامة إدارة المشاريع العقارية بعد اكتمال بنائها وتسليمها، فضلًا عن تعزيز جاذبية القطاع لرأس المال الوطني والأجنبي</w:t>
      </w:r>
      <w:r w:rsidRPr="00E755B4">
        <w:rPr>
          <w:rFonts w:ascii="Simplified Arabic" w:eastAsia="Times New Roman" w:hAnsi="Simplified Arabic" w:cs="Simplified Arabic"/>
          <w:color w:val="000000" w:themeColor="text1"/>
          <w:kern w:val="0"/>
          <w:sz w:val="28"/>
          <w:szCs w:val="28"/>
          <w14:ligatures w14:val="none"/>
        </w:rPr>
        <w:t>.</w:t>
      </w:r>
    </w:p>
    <w:p w14:paraId="7BBBBCB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ويستعرض</w:t>
      </w:r>
      <w:r w:rsidRPr="00E755B4">
        <w:rPr>
          <w:rFonts w:ascii="Simplified Arabic" w:eastAsia="Times New Roman" w:hAnsi="Simplified Arabic" w:cs="Simplified Arabic"/>
          <w:color w:val="000000" w:themeColor="text1"/>
          <w:kern w:val="0"/>
          <w:sz w:val="28"/>
          <w:szCs w:val="28"/>
          <w14:ligatures w14:val="none"/>
        </w:rPr>
        <w:t xml:space="preserve"> Rosynskyi (2023) </w:t>
      </w:r>
      <w:r w:rsidRPr="00E755B4">
        <w:rPr>
          <w:rFonts w:ascii="Simplified Arabic" w:eastAsia="Times New Roman" w:hAnsi="Simplified Arabic" w:cs="Simplified Arabic"/>
          <w:color w:val="000000" w:themeColor="text1"/>
          <w:kern w:val="0"/>
          <w:sz w:val="28"/>
          <w:szCs w:val="28"/>
          <w:rtl/>
          <w14:ligatures w14:val="none"/>
        </w:rPr>
        <w:t>أهدافًا ذات طابع اقتصادي وإداري، تتضمّن تنمية الإمكانات الاقتصادية لشركات التطوير العقاري عبر توظيف تقنيات الأتمتة والذكاء الاصطناعي، ورفع كفاءة العمليات الإدارية، وتعزيز قدرة المؤسسات على التنبؤ بمتغيرات السوق والاستجابة لها، وبناء نماذج أعمال مرنة وقابلة للتوسّع. ويُضيف</w:t>
      </w:r>
      <w:r w:rsidRPr="00E755B4">
        <w:rPr>
          <w:rFonts w:ascii="Simplified Arabic" w:eastAsia="Times New Roman" w:hAnsi="Simplified Arabic" w:cs="Simplified Arabic"/>
          <w:color w:val="000000" w:themeColor="text1"/>
          <w:kern w:val="0"/>
          <w:sz w:val="28"/>
          <w:szCs w:val="28"/>
          <w14:ligatures w14:val="none"/>
        </w:rPr>
        <w:t xml:space="preserve"> Kumar (2024) </w:t>
      </w:r>
      <w:r w:rsidRPr="00E755B4">
        <w:rPr>
          <w:rFonts w:ascii="Simplified Arabic" w:eastAsia="Times New Roman" w:hAnsi="Simplified Arabic" w:cs="Simplified Arabic"/>
          <w:color w:val="000000" w:themeColor="text1"/>
          <w:kern w:val="0"/>
          <w:sz w:val="28"/>
          <w:szCs w:val="28"/>
          <w:rtl/>
          <w14:ligatures w14:val="none"/>
        </w:rPr>
        <w:t>أهدافًا ذات طابع أخلاقي ومهني، من بينها ترسيخ ثقافة الامتثال والالتزام بالمعايير المهنية في القطاع العقاري، وحماية الأطراف الأضعف في العلاقات التعاقدية، وبناء بيئة قانونية تحمي المستثمرين والمستهلكين على حدٍّ سواء</w:t>
      </w:r>
      <w:r w:rsidRPr="00E755B4">
        <w:rPr>
          <w:rFonts w:ascii="Simplified Arabic" w:eastAsia="Times New Roman" w:hAnsi="Simplified Arabic" w:cs="Simplified Arabic"/>
          <w:color w:val="000000" w:themeColor="text1"/>
          <w:kern w:val="0"/>
          <w:sz w:val="28"/>
          <w:szCs w:val="28"/>
          <w14:ligatures w14:val="none"/>
        </w:rPr>
        <w:t>.</w:t>
      </w:r>
    </w:p>
    <w:p w14:paraId="6C4386EE"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ويطرح</w:t>
      </w:r>
      <w:r w:rsidRPr="00E755B4">
        <w:rPr>
          <w:rFonts w:ascii="Simplified Arabic" w:eastAsia="Times New Roman" w:hAnsi="Simplified Arabic" w:cs="Simplified Arabic"/>
          <w:color w:val="000000" w:themeColor="text1"/>
          <w:kern w:val="0"/>
          <w:sz w:val="28"/>
          <w:szCs w:val="28"/>
          <w14:ligatures w14:val="none"/>
        </w:rPr>
        <w:t xml:space="preserve"> El-Shorbagy (2020) </w:t>
      </w:r>
      <w:r w:rsidRPr="00E755B4">
        <w:rPr>
          <w:rFonts w:ascii="Simplified Arabic" w:eastAsia="Times New Roman" w:hAnsi="Simplified Arabic" w:cs="Simplified Arabic"/>
          <w:color w:val="000000" w:themeColor="text1"/>
          <w:kern w:val="0"/>
          <w:sz w:val="28"/>
          <w:szCs w:val="28"/>
          <w:rtl/>
          <w14:ligatures w14:val="none"/>
        </w:rPr>
        <w:t>أهدافًا مرتبطة بمعالجة إشكاليات المستوطنات غير المخططة، من أبرزها إعادة إدماج هذه المستوطنات في النسيج الحضري المنظم عبر أطر تشريعية تُعالج الأوضاع القائمة وتُنظّم الملكيات وتُشرعن التصرفات، ورفع جودة البيئة العمرانية في هذه المستوطنات، وحماية سكانها من مخاطر التهميش والإقصاء الحضري. وفي السياق ذاته، يستعرض</w:t>
      </w:r>
      <w:r w:rsidRPr="00E755B4">
        <w:rPr>
          <w:rFonts w:ascii="Simplified Arabic" w:eastAsia="Times New Roman" w:hAnsi="Simplified Arabic" w:cs="Simplified Arabic"/>
          <w:color w:val="000000" w:themeColor="text1"/>
          <w:kern w:val="0"/>
          <w:sz w:val="28"/>
          <w:szCs w:val="28"/>
          <w14:ligatures w14:val="none"/>
        </w:rPr>
        <w:t xml:space="preserve"> Alzamil (2025) </w:t>
      </w:r>
      <w:r w:rsidRPr="00E755B4">
        <w:rPr>
          <w:rFonts w:ascii="Simplified Arabic" w:eastAsia="Times New Roman" w:hAnsi="Simplified Arabic" w:cs="Simplified Arabic"/>
          <w:color w:val="000000" w:themeColor="text1"/>
          <w:kern w:val="0"/>
          <w:sz w:val="28"/>
          <w:szCs w:val="28"/>
          <w:rtl/>
          <w14:ligatures w14:val="none"/>
        </w:rPr>
        <w:t>أهدافًا إجرائية تتصل بترقية المناطق العشوائية، تتضمّن بناء إطار إجرائي متكامل لمشاريع الترقية، وضمان الاستدامة الاجتماعية والاقتصادية للمعالجات، والاستفادة من الدروس المستخلصة من التجارب السابقة في صياغة السياسات المستقبلية</w:t>
      </w:r>
      <w:r w:rsidRPr="00E755B4">
        <w:rPr>
          <w:rFonts w:ascii="Simplified Arabic" w:eastAsia="Times New Roman" w:hAnsi="Simplified Arabic" w:cs="Simplified Arabic"/>
          <w:color w:val="000000" w:themeColor="text1"/>
          <w:kern w:val="0"/>
          <w:sz w:val="28"/>
          <w:szCs w:val="28"/>
          <w14:ligatures w14:val="none"/>
        </w:rPr>
        <w:t>.</w:t>
      </w:r>
    </w:p>
    <w:p w14:paraId="759C3931"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ويقدّم الزامل (2020ج) أهدافًا مرتبطة بسياسات التأهيل العمراني، منها تحسين الخدمات والمرافق في الأحياء المستهدفة، وتنظيم استخدامات الأراضي، ومعالجة الإشكاليات القانونية المتصلة بالملكية، وإشراك السكان في صياغة الحلول وتنفيذها. ويُبرز الجبوري وآخرون (2025) أهدافًا مماثلة تتصل بالارتقاء العمراني وتحويل المناطق العشوائية إلى بيئة عمرانية مستدامة، مع التركيز على أبعاد التنمية المستدامة الثلاثة الاقتصادية والاجتماعية والبيئية. وتُضيف عبد الحميد (2024) أهدافًا تتصل بتحسين جودة الحياة في المدن السعودية عبر السياسات العمرانية، بما يشمل تعزيز الاندماج الاجتماعي وتحسين الوصول إلى الخدمات ورفع مستوى الرضا السكاني</w:t>
      </w:r>
      <w:r w:rsidRPr="00E755B4">
        <w:rPr>
          <w:rFonts w:ascii="Simplified Arabic" w:eastAsia="Times New Roman" w:hAnsi="Simplified Arabic" w:cs="Simplified Arabic"/>
          <w:color w:val="000000" w:themeColor="text1"/>
          <w:kern w:val="0"/>
          <w:sz w:val="28"/>
          <w:szCs w:val="28"/>
          <w14:ligatures w14:val="none"/>
        </w:rPr>
        <w:t>.</w:t>
      </w:r>
    </w:p>
    <w:p w14:paraId="054AF9D3"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ومن منظور شامل، يمكن القول إن أهداف الأنظمة والتشريعات العقارية الجديدة تتكامل في اتجاه بناء سوق عقاري منظم وشفاف ومستدام، يُلبّي احتياجات المجتمع ويُحفّز الاستثمار ويُعالج التشوّهات الحضرية، ويرى الباحث أن هذه الأهداف لا يمكن تحقيقها بمعزل بعضها عن بعض، إذ تتشابك فيما بينها وتتغذّى من بعضها البعض، وأن نجاح المنظومة التشريعية يُقاس بمدى قدرتها على تحقيق التوازن بين هذه الأهداف المتعددة في آنٍ واحد</w:t>
      </w:r>
      <w:r w:rsidRPr="00E755B4">
        <w:rPr>
          <w:rFonts w:ascii="Simplified Arabic" w:eastAsia="Times New Roman" w:hAnsi="Simplified Arabic" w:cs="Simplified Arabic"/>
          <w:color w:val="000000" w:themeColor="text1"/>
          <w:kern w:val="0"/>
          <w:sz w:val="28"/>
          <w:szCs w:val="28"/>
          <w14:ligatures w14:val="none"/>
        </w:rPr>
        <w:t>.</w:t>
      </w:r>
    </w:p>
    <w:p w14:paraId="285ED238" w14:textId="15E66A21"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4775788"/>
      <w:r w:rsidRPr="00E755B4">
        <w:rPr>
          <w:rFonts w:ascii="Simplified Arabic" w:eastAsia="Times New Roman" w:hAnsi="Simplified Arabic" w:cs="Simplified Arabic" w:hint="cs"/>
          <w:b/>
          <w:bCs/>
          <w:color w:val="000000" w:themeColor="text1"/>
          <w:kern w:val="0"/>
          <w:sz w:val="32"/>
          <w:szCs w:val="32"/>
          <w:rtl/>
          <w14:ligatures w14:val="none"/>
        </w:rPr>
        <w:t>5.1.2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أبعاد الأنظمة والتشريعات العقارية الجديدة</w:t>
      </w:r>
      <w:bookmarkEnd w:id="46"/>
    </w:p>
    <w:p w14:paraId="58B37B85"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تم تحديد أبعاد المتغير المستقل بناءً على دراسة اليحياء (2023) التي تناولت المستجدات في تملّك العقارات في المملكة العربية السعودية في ضوء الأحكام النظامية والمبادئ القضائية، ودراسة العتيبي (2024) التي عالجت التنظيم القانوني لملكية الوحدات العقارية وإدارتها، ودراسة حسن (2026) التي استعرضت التنظيمات القانونية للمعاملات العقارية التجارية، ودراسة</w:t>
      </w:r>
      <w:r w:rsidRPr="00E755B4">
        <w:rPr>
          <w:rFonts w:ascii="Simplified Arabic" w:eastAsia="Times New Roman" w:hAnsi="Simplified Arabic" w:cs="Simplified Arabic"/>
          <w:color w:val="000000" w:themeColor="text1"/>
          <w:kern w:val="0"/>
          <w:sz w:val="28"/>
          <w:szCs w:val="28"/>
          <w14:ligatures w14:val="none"/>
        </w:rPr>
        <w:t xml:space="preserve"> AlQahtany (2022) </w:t>
      </w:r>
      <w:r w:rsidRPr="00E755B4">
        <w:rPr>
          <w:rFonts w:ascii="Simplified Arabic" w:eastAsia="Times New Roman" w:hAnsi="Simplified Arabic" w:cs="Simplified Arabic"/>
          <w:color w:val="000000" w:themeColor="text1"/>
          <w:kern w:val="0"/>
          <w:sz w:val="28"/>
          <w:szCs w:val="28"/>
          <w:rtl/>
          <w14:ligatures w14:val="none"/>
        </w:rPr>
        <w:t xml:space="preserve">التي تناولت </w:t>
      </w:r>
      <w:r w:rsidRPr="00E755B4">
        <w:rPr>
          <w:rFonts w:ascii="Simplified Arabic" w:eastAsia="Times New Roman" w:hAnsi="Simplified Arabic" w:cs="Simplified Arabic"/>
          <w:color w:val="000000" w:themeColor="text1"/>
          <w:kern w:val="0"/>
          <w:sz w:val="28"/>
          <w:szCs w:val="28"/>
          <w:rtl/>
          <w14:ligatures w14:val="none"/>
        </w:rPr>
        <w:lastRenderedPageBreak/>
        <w:t>التحديات والبرامج المتصلة بالوصول إلى الإسكان الميسور. وقد أفضى التحليل المتكامل لهذه المرجعيات إلى تحديد خمسة أبعاد رئيسية تُشكّل في مجموعها البنية التشريعية الحاكمة للقطاع العقاري السعودي المعاصر</w:t>
      </w:r>
      <w:r w:rsidRPr="00E755B4">
        <w:rPr>
          <w:rFonts w:ascii="Simplified Arabic" w:eastAsia="Times New Roman" w:hAnsi="Simplified Arabic" w:cs="Simplified Arabic"/>
          <w:color w:val="000000" w:themeColor="text1"/>
          <w:kern w:val="0"/>
          <w:sz w:val="28"/>
          <w:szCs w:val="28"/>
          <w14:ligatures w14:val="none"/>
        </w:rPr>
        <w:t>.</w:t>
      </w:r>
    </w:p>
    <w:p w14:paraId="78967A99" w14:textId="2A241E09"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نظام التسجيل العيني للعقار</w:t>
      </w:r>
    </w:p>
    <w:p w14:paraId="3FEA4541"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يُمثّل نظام التسجيل العيني للعقار نقلة نوعية في منظومة التوثيق العقاري، إذ يقوم على مبدأ توثيق العقار ذاته لا الأشخاص المتصرّفين فيه، بحيث يُصبح لكل عقار سجل مستقل يُدوَّن فيه كل ما يطرأ عليه من تصرفات وحقوق وأعباء. ويتناول اليحياء (2023) هذا النظام من زاوية الأحكام النظامية والمبادئ القضائية التي تحكمه، مُبرزًا كيف أعاد تشكيل مفهوم الملكية العقارية في المملكة، ونقلها من التوثيق الشخصي إلى التوثيق العيني الذي يُوفّر حماية أعلى للحقوق ويُقلّل من النزاعات. ويتقاطع هذا الطرح مع ما يعرضه</w:t>
      </w:r>
      <w:r w:rsidRPr="00E755B4">
        <w:rPr>
          <w:rFonts w:ascii="Simplified Arabic" w:eastAsia="Times New Roman" w:hAnsi="Simplified Arabic" w:cs="Simplified Arabic"/>
          <w:color w:val="000000" w:themeColor="text1"/>
          <w:kern w:val="0"/>
          <w:sz w:val="28"/>
          <w:szCs w:val="28"/>
          <w14:ligatures w14:val="none"/>
        </w:rPr>
        <w:t xml:space="preserve"> Budkowski et al. (2025) </w:t>
      </w:r>
      <w:r w:rsidRPr="00E755B4">
        <w:rPr>
          <w:rFonts w:ascii="Simplified Arabic" w:eastAsia="Times New Roman" w:hAnsi="Simplified Arabic" w:cs="Simplified Arabic"/>
          <w:color w:val="000000" w:themeColor="text1"/>
          <w:kern w:val="0"/>
          <w:sz w:val="28"/>
          <w:szCs w:val="28"/>
          <w:rtl/>
          <w14:ligatures w14:val="none"/>
        </w:rPr>
        <w:t>من قراءة لإشكاليات تنظيم الوضع القانوني للعقار، إذ يُشكّل التسجيل العيني الأداة المركزية في معالجة الغموض القانوني وضمان استقرار المراكز القانونية للملاك. وتتّضح أهمية هذا البُعد في سياق المناطق العشوائية بشكل خاص، إذ تُعاني هذه المناطق من غياب التوثيق الرسمي وتشابك الحقوق، وهو ما يجعل التسجيل العيني مدخلًا لا غنى عنه لأي مشروع إعادة تأهيل جاد</w:t>
      </w:r>
      <w:r w:rsidRPr="00E755B4">
        <w:rPr>
          <w:rFonts w:ascii="Simplified Arabic" w:eastAsia="Times New Roman" w:hAnsi="Simplified Arabic" w:cs="Simplified Arabic"/>
          <w:color w:val="000000" w:themeColor="text1"/>
          <w:kern w:val="0"/>
          <w:sz w:val="28"/>
          <w:szCs w:val="28"/>
          <w14:ligatures w14:val="none"/>
        </w:rPr>
        <w:t>.</w:t>
      </w:r>
    </w:p>
    <w:p w14:paraId="196FAA41" w14:textId="46A0FB70"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نظام الوساطة العقارية</w:t>
      </w:r>
    </w:p>
    <w:p w14:paraId="6BE338B5"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يستهدف نظام الوساطة العقارية ضبط ممارسات الوسطاء ومكاتب العقار وتنظيم علاقاتهم بالأطراف المتعاملة، عبر اشتراط الترخيص المهني وتحديد الالتزامات والحقوق ووضع معايير للمساءلة. وتُقدّم حسن (2026) قراءة قانونية للتنظيمات الحاكمة للمعاملات العقارية التجارية، بما يشمل الإطار الحاكم لنشاط الوساطة بوصفه أحد أهم المعاملات العقارية التجارية شيوعًا. ويُكمل هذا الطرح ما يعرضه</w:t>
      </w:r>
      <w:r w:rsidRPr="00E755B4">
        <w:rPr>
          <w:rFonts w:ascii="Simplified Arabic" w:eastAsia="Times New Roman" w:hAnsi="Simplified Arabic" w:cs="Simplified Arabic"/>
          <w:color w:val="000000" w:themeColor="text1"/>
          <w:kern w:val="0"/>
          <w:sz w:val="28"/>
          <w:szCs w:val="28"/>
          <w14:ligatures w14:val="none"/>
        </w:rPr>
        <w:t xml:space="preserve"> Kumar (2024) </w:t>
      </w:r>
      <w:r w:rsidRPr="00E755B4">
        <w:rPr>
          <w:rFonts w:ascii="Simplified Arabic" w:eastAsia="Times New Roman" w:hAnsi="Simplified Arabic" w:cs="Simplified Arabic"/>
          <w:color w:val="000000" w:themeColor="text1"/>
          <w:kern w:val="0"/>
          <w:sz w:val="28"/>
          <w:szCs w:val="28"/>
          <w:rtl/>
          <w14:ligatures w14:val="none"/>
        </w:rPr>
        <w:t>من رؤية للدور النقدي للممارسين القانونيين في تعزيز الامتثال والمعايير الأخلاقية في القطاع العقاري، وهو ما يمتد بطبيعته إلى نشاط الوساطة الذي يُشكّل الواجهة الأكثر تماسًا مع المستهلكين. ويكتسب هذا البُعد أهمية خاصة في المناطق العشوائية التي تشيع فيها الممارسات غير الرسمية والوساطات غير المرخصة، مما يُعرّض المتعاملين لمخاطر متعددة ويُعرقل تنظيم السوق</w:t>
      </w:r>
      <w:r w:rsidRPr="00E755B4">
        <w:rPr>
          <w:rFonts w:ascii="Simplified Arabic" w:eastAsia="Times New Roman" w:hAnsi="Simplified Arabic" w:cs="Simplified Arabic"/>
          <w:color w:val="000000" w:themeColor="text1"/>
          <w:kern w:val="0"/>
          <w:sz w:val="28"/>
          <w:szCs w:val="28"/>
          <w14:ligatures w14:val="none"/>
        </w:rPr>
        <w:t>.</w:t>
      </w:r>
    </w:p>
    <w:p w14:paraId="07036155" w14:textId="61A22BC1"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نظام البيع على الخارطة (وافي)</w:t>
      </w:r>
    </w:p>
    <w:p w14:paraId="27B9AACF"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يُتيح نظام البيع على الخارطة تسويق الوحدات العقارية قبل اكتمال بنائها ضمن ضوابط تنظيمية تحمي المشترين وتضمن التزام المطورين، عبر آليات الحسابات الضامنة والإفصاح والرقابة على مراحل التنفيذ. ويتناول العتيبي (2024) هذا النظام من زاوية دوره في تحفيز أنشطة التطوير العقاري، إذ يُوفّر للمطوّرين مصدرًا للتمويل التشغيلي ويُتيح للمشترين الوصول إلى وحدات بأسعار تفضيلية، مع ضمانات قانونية تحمي أموالهم. ويُقارب</w:t>
      </w:r>
      <w:r w:rsidRPr="00E755B4">
        <w:rPr>
          <w:rFonts w:ascii="Simplified Arabic" w:eastAsia="Times New Roman" w:hAnsi="Simplified Arabic" w:cs="Simplified Arabic"/>
          <w:color w:val="000000" w:themeColor="text1"/>
          <w:kern w:val="0"/>
          <w:sz w:val="28"/>
          <w:szCs w:val="28"/>
          <w14:ligatures w14:val="none"/>
        </w:rPr>
        <w:t xml:space="preserve"> Vaghela et al. (2025) </w:t>
      </w:r>
      <w:r w:rsidRPr="00E755B4">
        <w:rPr>
          <w:rFonts w:ascii="Simplified Arabic" w:eastAsia="Times New Roman" w:hAnsi="Simplified Arabic" w:cs="Simplified Arabic"/>
          <w:color w:val="000000" w:themeColor="text1"/>
          <w:kern w:val="0"/>
          <w:sz w:val="28"/>
          <w:szCs w:val="28"/>
          <w:rtl/>
          <w14:ligatures w14:val="none"/>
        </w:rPr>
        <w:t>هذا النوع من التنظيمات من زاوية أثرها على صناعة التشييد، مُبرزين كيف تُعيد قوانين تنظيم القطاع العقاري تشكيل ممارسات المطورين وعلاقاتهم بالمستهلكين. ويتصل هذا البُعد بمعالجة المناطق العشوائية عبر تمكين المطورين من إطلاق مشاريع إعادة التطوير بتمويل مبكر يُخفّف الأعباء الرأسمالية ويُسرّع من وتيرة التنفيذ</w:t>
      </w:r>
      <w:r w:rsidRPr="00E755B4">
        <w:rPr>
          <w:rFonts w:ascii="Simplified Arabic" w:eastAsia="Times New Roman" w:hAnsi="Simplified Arabic" w:cs="Simplified Arabic"/>
          <w:color w:val="000000" w:themeColor="text1"/>
          <w:kern w:val="0"/>
          <w:sz w:val="28"/>
          <w:szCs w:val="28"/>
          <w14:ligatures w14:val="none"/>
        </w:rPr>
        <w:t>.</w:t>
      </w:r>
    </w:p>
    <w:p w14:paraId="18DA9221" w14:textId="25756C86"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نظام رسوم الأراضي البيضاء</w:t>
      </w:r>
    </w:p>
    <w:p w14:paraId="1424C80B"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يستهدف نظام رسوم الأراضي البيضاء الحدّ من ظاهرة اكتناز الأراضي الصالحة للتطوير داخل النطاقات العمرانية، عبر فرض رسوم مالية على الأراضي غير المطوّرة، بما يُحفّز مُلاكها على تطويرها أو طرحها في السوق. ويستعرض</w:t>
      </w:r>
      <w:r w:rsidRPr="00E755B4">
        <w:rPr>
          <w:rFonts w:ascii="Simplified Arabic" w:eastAsia="Times New Roman" w:hAnsi="Simplified Arabic" w:cs="Simplified Arabic"/>
          <w:color w:val="000000" w:themeColor="text1"/>
          <w:kern w:val="0"/>
          <w:sz w:val="28"/>
          <w:szCs w:val="28"/>
          <w14:ligatures w14:val="none"/>
        </w:rPr>
        <w:t xml:space="preserve"> AlQahtany (2022) </w:t>
      </w:r>
      <w:r w:rsidRPr="00E755B4">
        <w:rPr>
          <w:rFonts w:ascii="Simplified Arabic" w:eastAsia="Times New Roman" w:hAnsi="Simplified Arabic" w:cs="Simplified Arabic"/>
          <w:color w:val="000000" w:themeColor="text1"/>
          <w:kern w:val="0"/>
          <w:sz w:val="28"/>
          <w:szCs w:val="28"/>
          <w:rtl/>
          <w14:ligatures w14:val="none"/>
        </w:rPr>
        <w:t>هذا النظام في سياق البرامج المصمّمة لتعزيز الوصول إلى الإسكان الميسور، بوصفه أداة سياسية تهدف إلى زيادة المعروض من الأراضي المطوّرة وضبط أسعارها. ويُكمل</w:t>
      </w:r>
      <w:r w:rsidRPr="00E755B4">
        <w:rPr>
          <w:rFonts w:ascii="Simplified Arabic" w:eastAsia="Times New Roman" w:hAnsi="Simplified Arabic" w:cs="Simplified Arabic"/>
          <w:color w:val="000000" w:themeColor="text1"/>
          <w:kern w:val="0"/>
          <w:sz w:val="28"/>
          <w:szCs w:val="28"/>
          <w14:ligatures w14:val="none"/>
        </w:rPr>
        <w:t xml:space="preserve"> Alqahtany &amp; Abubakar (2024) </w:t>
      </w:r>
      <w:r w:rsidRPr="00E755B4">
        <w:rPr>
          <w:rFonts w:ascii="Simplified Arabic" w:eastAsia="Times New Roman" w:hAnsi="Simplified Arabic" w:cs="Simplified Arabic"/>
          <w:color w:val="000000" w:themeColor="text1"/>
          <w:kern w:val="0"/>
          <w:sz w:val="28"/>
          <w:szCs w:val="28"/>
          <w:rtl/>
          <w14:ligatures w14:val="none"/>
        </w:rPr>
        <w:t>هذه القراءة من زاوية استدامة التوسّع الحضري، إذ يُشكّل هذا النظام آلية لضبط أنماط استخدام الأراضي وتوجيهها نحو الاستخدامات المنتجة. ويتصل هذا البُعد ارتباطًا وثيقًا بالمناطق العشوائية، إذ إن كثيرًا منها يقع في محيطه أراضٍ بيضاء مُحتكرة، ويُشكّل تحفيز تطويرها مدخلًا لإعادة هيكلة المحيط العمراني للمناطق العشوائية وتوفير بدائل سكنية لسكانها</w:t>
      </w:r>
      <w:r w:rsidRPr="00E755B4">
        <w:rPr>
          <w:rFonts w:ascii="Simplified Arabic" w:eastAsia="Times New Roman" w:hAnsi="Simplified Arabic" w:cs="Simplified Arabic"/>
          <w:color w:val="000000" w:themeColor="text1"/>
          <w:kern w:val="0"/>
          <w:sz w:val="28"/>
          <w:szCs w:val="28"/>
          <w14:ligatures w14:val="none"/>
        </w:rPr>
        <w:t>.</w:t>
      </w:r>
    </w:p>
    <w:p w14:paraId="621B0F7B" w14:textId="1976D9BD"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أنظمة التمويل العقاري المدعوم</w:t>
      </w:r>
    </w:p>
    <w:p w14:paraId="432DD872"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تُشكّل أنظمة التمويل العقاري المدعوم الرافعة المالية الأساسية للسوق العقاري، إذ تُتيح للمواطنين الوصول إلى المسكن عبر منتجات تمويلية مدعومة حكوميًا، وتضمن استقرار السيولة في السوق واستمرارية تدفّق الطلب. ويعرض</w:t>
      </w:r>
      <w:r w:rsidRPr="00E755B4">
        <w:rPr>
          <w:rFonts w:ascii="Simplified Arabic" w:eastAsia="Times New Roman" w:hAnsi="Simplified Arabic" w:cs="Simplified Arabic"/>
          <w:color w:val="000000" w:themeColor="text1"/>
          <w:kern w:val="0"/>
          <w:sz w:val="28"/>
          <w:szCs w:val="28"/>
          <w14:ligatures w14:val="none"/>
        </w:rPr>
        <w:t xml:space="preserve"> Alhajri et al. (2024) </w:t>
      </w:r>
      <w:r w:rsidRPr="00E755B4">
        <w:rPr>
          <w:rFonts w:ascii="Simplified Arabic" w:eastAsia="Times New Roman" w:hAnsi="Simplified Arabic" w:cs="Simplified Arabic"/>
          <w:color w:val="000000" w:themeColor="text1"/>
          <w:kern w:val="0"/>
          <w:sz w:val="28"/>
          <w:szCs w:val="28"/>
          <w:rtl/>
          <w14:ligatures w14:val="none"/>
        </w:rPr>
        <w:t>المقاربة التمكينية لقطاع الإسكان السعودي التي تُشكّل أنظمة التمويل المدعوم أحد أبرز أدواتها، إذ تنقل الدولة من دور المُنتج المباشر للسكن إلى دور المُيسّر والمُمكِّن للقطاع الخاص. ويُبرز</w:t>
      </w:r>
      <w:r w:rsidRPr="00E755B4">
        <w:rPr>
          <w:rFonts w:ascii="Simplified Arabic" w:eastAsia="Times New Roman" w:hAnsi="Simplified Arabic" w:cs="Simplified Arabic"/>
          <w:color w:val="000000" w:themeColor="text1"/>
          <w:kern w:val="0"/>
          <w:sz w:val="28"/>
          <w:szCs w:val="28"/>
          <w14:ligatures w14:val="none"/>
        </w:rPr>
        <w:t xml:space="preserve"> AlQahtany &amp; Alhassan (2020) </w:t>
      </w:r>
      <w:r w:rsidRPr="00E755B4">
        <w:rPr>
          <w:rFonts w:ascii="Simplified Arabic" w:eastAsia="Times New Roman" w:hAnsi="Simplified Arabic" w:cs="Simplified Arabic"/>
          <w:color w:val="000000" w:themeColor="text1"/>
          <w:kern w:val="0"/>
          <w:sz w:val="28"/>
          <w:szCs w:val="28"/>
          <w:rtl/>
          <w14:ligatures w14:val="none"/>
        </w:rPr>
        <w:t xml:space="preserve">الدور المحوري لهذه الأنظمة في تحقيق مستهدفات الإسكان الميسور ضمن رؤية 2030، بوصفها الأداة الأكثر تأثيرًا في رفع نسب التملّك </w:t>
      </w:r>
      <w:r w:rsidRPr="00E755B4">
        <w:rPr>
          <w:rFonts w:ascii="Simplified Arabic" w:eastAsia="Times New Roman" w:hAnsi="Simplified Arabic" w:cs="Simplified Arabic"/>
          <w:color w:val="000000" w:themeColor="text1"/>
          <w:kern w:val="0"/>
          <w:sz w:val="28"/>
          <w:szCs w:val="28"/>
          <w:rtl/>
          <w14:ligatures w14:val="none"/>
        </w:rPr>
        <w:lastRenderedPageBreak/>
        <w:t>بين المواطنين. ويكتسب هذا البُعد أهمية مضاعفة في سياق المناطق العشوائية، إذ يُتيح لسكانها الوصول إلى بدائل سكنية منظمة، ويُوفّر للمطوّرين الطلب المطلوب لجدوى مشاريع إعادة التطوير</w:t>
      </w:r>
      <w:r w:rsidRPr="00E755B4">
        <w:rPr>
          <w:rFonts w:ascii="Simplified Arabic" w:eastAsia="Times New Roman" w:hAnsi="Simplified Arabic" w:cs="Simplified Arabic"/>
          <w:color w:val="000000" w:themeColor="text1"/>
          <w:kern w:val="0"/>
          <w:sz w:val="28"/>
          <w:szCs w:val="28"/>
          <w14:ligatures w14:val="none"/>
        </w:rPr>
        <w:t>.</w:t>
      </w:r>
    </w:p>
    <w:p w14:paraId="50D5636E" w14:textId="08EDE43A"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4775789"/>
      <w:r w:rsidRPr="00E755B4">
        <w:rPr>
          <w:rFonts w:ascii="Simplified Arabic" w:eastAsia="Times New Roman" w:hAnsi="Simplified Arabic" w:cs="Simplified Arabic" w:hint="cs"/>
          <w:b/>
          <w:bCs/>
          <w:color w:val="000000" w:themeColor="text1"/>
          <w:kern w:val="0"/>
          <w:sz w:val="32"/>
          <w:szCs w:val="32"/>
          <w:rtl/>
          <w14:ligatures w14:val="none"/>
        </w:rPr>
        <w:t>6.1.2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التوجهات النظرية في دراسة الأنظمة والتشريعات العقارية</w:t>
      </w:r>
      <w:bookmarkEnd w:id="47"/>
    </w:p>
    <w:p w14:paraId="255460E2"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تتوزّع الدراسات التي تناولت الأنظمة والتشريعات العقارية بين عدة توجهات نظرية، يُشكّل كل منها زاوية معالجة مميّزة تُضيف بُعدًا معرفيًا للحقل. ويبرز التوجه القانوني التنظيمي الذي يُعنى بتحليل النصوص التشريعية والمبادئ القضائية، ومنه ما قدّمه الجريفاوي (2022) في معالجته للحلول العملية لتوقيع الأطراف عن بُعد على عقود التصرفات العقارية، إذ ركّز على البُعد الإجرائي والتقني للتشريع العقاري في بيئات استثنائية، مُتّخذًا من إمارة أبوظبي ميدانًا للتطبيق، ومُوظّفًا متغيرات تتصل بأشكال التوقيع الإلكتروني وحجّيته القانونية. ويُفيد هذا التوجه الدراسة الحالية في فهم كيفية تكييف النصوص التشريعية مع المستجدات التقنية والظروف الطارئة</w:t>
      </w:r>
      <w:r w:rsidRPr="00E755B4">
        <w:rPr>
          <w:rFonts w:ascii="Simplified Arabic" w:eastAsia="Times New Roman" w:hAnsi="Simplified Arabic" w:cs="Simplified Arabic"/>
          <w:color w:val="000000" w:themeColor="text1"/>
          <w:kern w:val="0"/>
          <w:sz w:val="28"/>
          <w:szCs w:val="28"/>
          <w14:ligatures w14:val="none"/>
        </w:rPr>
        <w:t>.</w:t>
      </w:r>
    </w:p>
    <w:p w14:paraId="3115837D"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ويظهر التوجه التنموي الاستثماري الذي يُقارب الأنظمة العقارية من زاوية دورها في تحفيز الاستثمار والتنمية، ومنه ما طرحه</w:t>
      </w:r>
      <w:r w:rsidRPr="00E755B4">
        <w:rPr>
          <w:rFonts w:ascii="Simplified Arabic" w:eastAsia="Times New Roman" w:hAnsi="Simplified Arabic" w:cs="Simplified Arabic"/>
          <w:color w:val="000000" w:themeColor="text1"/>
          <w:kern w:val="0"/>
          <w:sz w:val="28"/>
          <w:szCs w:val="28"/>
          <w14:ligatures w14:val="none"/>
        </w:rPr>
        <w:t xml:space="preserve"> Almohaimeed &amp; Al-Surf (2025) </w:t>
      </w:r>
      <w:r w:rsidRPr="00E755B4">
        <w:rPr>
          <w:rFonts w:ascii="Simplified Arabic" w:eastAsia="Times New Roman" w:hAnsi="Simplified Arabic" w:cs="Simplified Arabic"/>
          <w:color w:val="000000" w:themeColor="text1"/>
          <w:kern w:val="0"/>
          <w:sz w:val="28"/>
          <w:szCs w:val="28"/>
          <w:rtl/>
          <w14:ligatures w14:val="none"/>
        </w:rPr>
        <w:t>من قراءة استثمارية لتنظيمات التطوير العمراني في المملكة، معتمدين على منظور يربط بين البنية التنظيمية وقرارات المستثمرين، ومُوظّفين مؤشرات تتصل ببيئة الأعمال العقارية. ويُثري هذا التوجه الدراسة الحالية بمدخل يُبرز البُعد الاقتصادي للتشريع ودوره في تشكيل قرارات الاستثمار في مشاريع إعادة تطوير المناطق العشوائية</w:t>
      </w:r>
      <w:r w:rsidRPr="00E755B4">
        <w:rPr>
          <w:rFonts w:ascii="Simplified Arabic" w:eastAsia="Times New Roman" w:hAnsi="Simplified Arabic" w:cs="Simplified Arabic"/>
          <w:color w:val="000000" w:themeColor="text1"/>
          <w:kern w:val="0"/>
          <w:sz w:val="28"/>
          <w:szCs w:val="28"/>
          <w14:ligatures w14:val="none"/>
        </w:rPr>
        <w:t>.</w:t>
      </w:r>
    </w:p>
    <w:p w14:paraId="21620D88"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ويتضح كذلك التوجه الإداري التشغيلي الذي يهتم بأثر الأنظمة على الممارسات الإدارية داخل المؤسسات العقارية، وقد عالجه</w:t>
      </w:r>
      <w:r w:rsidRPr="00E755B4">
        <w:rPr>
          <w:rFonts w:ascii="Simplified Arabic" w:eastAsia="Times New Roman" w:hAnsi="Simplified Arabic" w:cs="Simplified Arabic"/>
          <w:color w:val="000000" w:themeColor="text1"/>
          <w:kern w:val="0"/>
          <w:sz w:val="28"/>
          <w:szCs w:val="28"/>
          <w14:ligatures w14:val="none"/>
        </w:rPr>
        <w:t xml:space="preserve"> Wanxin (2023) </w:t>
      </w:r>
      <w:r w:rsidRPr="00E755B4">
        <w:rPr>
          <w:rFonts w:ascii="Simplified Arabic" w:eastAsia="Times New Roman" w:hAnsi="Simplified Arabic" w:cs="Simplified Arabic"/>
          <w:color w:val="000000" w:themeColor="text1"/>
          <w:kern w:val="0"/>
          <w:sz w:val="28"/>
          <w:szCs w:val="28"/>
          <w:rtl/>
          <w14:ligatures w14:val="none"/>
        </w:rPr>
        <w:t>من خلال تناول المفاهيم والمبادئ الحديثة لإدارة العمليات في المؤسسات العقارية، معتمدًا على إطار إدارة العمليات، ومُقدّمًا مؤشرات تتصل بكفاءة العمليات وجودتها. ويرتبط بهذا التوجه ما طرحه</w:t>
      </w:r>
      <w:r w:rsidRPr="00E755B4">
        <w:rPr>
          <w:rFonts w:ascii="Simplified Arabic" w:eastAsia="Times New Roman" w:hAnsi="Simplified Arabic" w:cs="Simplified Arabic"/>
          <w:color w:val="000000" w:themeColor="text1"/>
          <w:kern w:val="0"/>
          <w:sz w:val="28"/>
          <w:szCs w:val="28"/>
          <w14:ligatures w14:val="none"/>
        </w:rPr>
        <w:t xml:space="preserve"> Rosynskyi (2023) </w:t>
      </w:r>
      <w:r w:rsidRPr="00E755B4">
        <w:rPr>
          <w:rFonts w:ascii="Simplified Arabic" w:eastAsia="Times New Roman" w:hAnsi="Simplified Arabic" w:cs="Simplified Arabic"/>
          <w:color w:val="000000" w:themeColor="text1"/>
          <w:kern w:val="0"/>
          <w:sz w:val="28"/>
          <w:szCs w:val="28"/>
          <w:rtl/>
          <w14:ligatures w14:val="none"/>
        </w:rPr>
        <w:t>من قراءة تكنولوجية تُبرز دور الأتمتة والذكاء الاصطناعي في نمو الإمكانات الاقتصادية لشركات التطوير العقاري، مُوظّفًا متغيرات تتصل بمستوى تبنّي التقنيات ونضجها. ويُتيح هذا التوجه للدراسة الحالية استيعاب البُعد الإداري التشغيلي في تفاعل المطورين مع الأنظمة التشريعية</w:t>
      </w:r>
      <w:r w:rsidRPr="00E755B4">
        <w:rPr>
          <w:rFonts w:ascii="Simplified Arabic" w:eastAsia="Times New Roman" w:hAnsi="Simplified Arabic" w:cs="Simplified Arabic"/>
          <w:color w:val="000000" w:themeColor="text1"/>
          <w:kern w:val="0"/>
          <w:sz w:val="28"/>
          <w:szCs w:val="28"/>
          <w14:ligatures w14:val="none"/>
        </w:rPr>
        <w:t>.</w:t>
      </w:r>
    </w:p>
    <w:p w14:paraId="49ADD9F2"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ويلوح أيضًا التوجه الحضري التخطيطي الذي يُقارب التشريعات العقارية من زاوية ارتباطها بالتخطيط العمراني وإدارة الأراضي، ومن نماذجه ما قدّمه</w:t>
      </w:r>
      <w:r w:rsidRPr="00E755B4">
        <w:rPr>
          <w:rFonts w:ascii="Simplified Arabic" w:eastAsia="Times New Roman" w:hAnsi="Simplified Arabic" w:cs="Simplified Arabic"/>
          <w:color w:val="000000" w:themeColor="text1"/>
          <w:kern w:val="0"/>
          <w:sz w:val="28"/>
          <w:szCs w:val="28"/>
          <w14:ligatures w14:val="none"/>
        </w:rPr>
        <w:t xml:space="preserve"> Baesse (2024) </w:t>
      </w:r>
      <w:r w:rsidRPr="00E755B4">
        <w:rPr>
          <w:rFonts w:ascii="Simplified Arabic" w:eastAsia="Times New Roman" w:hAnsi="Simplified Arabic" w:cs="Simplified Arabic"/>
          <w:color w:val="000000" w:themeColor="text1"/>
          <w:kern w:val="0"/>
          <w:sz w:val="28"/>
          <w:szCs w:val="28"/>
          <w:rtl/>
          <w14:ligatures w14:val="none"/>
        </w:rPr>
        <w:t xml:space="preserve">في معالجته للمقاربات الاستراتيجية </w:t>
      </w:r>
      <w:r w:rsidRPr="00E755B4">
        <w:rPr>
          <w:rFonts w:ascii="Simplified Arabic" w:eastAsia="Times New Roman" w:hAnsi="Simplified Arabic" w:cs="Simplified Arabic"/>
          <w:color w:val="000000" w:themeColor="text1"/>
          <w:kern w:val="0"/>
          <w:sz w:val="28"/>
          <w:szCs w:val="28"/>
          <w:rtl/>
          <w14:ligatures w14:val="none"/>
        </w:rPr>
        <w:lastRenderedPageBreak/>
        <w:t>للتنمية الحضرية المستدامة في مدينة جدة، مُعتمدًا على منظور التنمية المستدامة، ومُوظّفًا مؤشرات تتصل بجودة البيئة العمرانية. ويرتبط بهذا التوجه ما قدّمه</w:t>
      </w:r>
      <w:r w:rsidRPr="00E755B4">
        <w:rPr>
          <w:rFonts w:ascii="Simplified Arabic" w:eastAsia="Times New Roman" w:hAnsi="Simplified Arabic" w:cs="Simplified Arabic"/>
          <w:color w:val="000000" w:themeColor="text1"/>
          <w:kern w:val="0"/>
          <w:sz w:val="28"/>
          <w:szCs w:val="28"/>
          <w14:ligatures w14:val="none"/>
        </w:rPr>
        <w:t xml:space="preserve"> Alharbi et al. (2023) </w:t>
      </w:r>
      <w:r w:rsidRPr="00E755B4">
        <w:rPr>
          <w:rFonts w:ascii="Simplified Arabic" w:eastAsia="Times New Roman" w:hAnsi="Simplified Arabic" w:cs="Simplified Arabic"/>
          <w:color w:val="000000" w:themeColor="text1"/>
          <w:kern w:val="0"/>
          <w:sz w:val="28"/>
          <w:szCs w:val="28"/>
          <w:rtl/>
          <w14:ligatures w14:val="none"/>
        </w:rPr>
        <w:t>في دراسته لأثر استراتيجيات الإدارة الحضرية على استخدامات الأراضي والغطاء الأرضي وظاهرة الجزر الحرارية الحضرية في جدة، مُوظّفًا أدوات الاستشعار عن بُعد ومؤشرات الحرارة الحضرية. ويُثري هذا التوجه الدراسة الحالية بربط التشريع بالنتائج العمرانية والبيئية المترتبة على تطبيقه</w:t>
      </w:r>
      <w:r w:rsidRPr="00E755B4">
        <w:rPr>
          <w:rFonts w:ascii="Simplified Arabic" w:eastAsia="Times New Roman" w:hAnsi="Simplified Arabic" w:cs="Simplified Arabic"/>
          <w:color w:val="000000" w:themeColor="text1"/>
          <w:kern w:val="0"/>
          <w:sz w:val="28"/>
          <w:szCs w:val="28"/>
          <w14:ligatures w14:val="none"/>
        </w:rPr>
        <w:t>.</w:t>
      </w:r>
    </w:p>
    <w:p w14:paraId="6BAF41A8" w14:textId="2EDE7C2D" w:rsidR="001A2CD7" w:rsidRPr="00E755B4" w:rsidRDefault="00127C3D" w:rsidP="00127C3D">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E755B4">
        <w:rPr>
          <w:rFonts w:ascii="Simplified Arabic" w:eastAsia="Times New Roman" w:hAnsi="Simplified Arabic" w:cs="Simplified Arabic"/>
          <w:b/>
          <w:bCs/>
          <w:color w:val="000000" w:themeColor="text1"/>
          <w:kern w:val="0"/>
          <w:sz w:val="36"/>
          <w:szCs w:val="36"/>
          <w14:ligatures w14:val="none"/>
        </w:rPr>
        <w:br w:type="page"/>
      </w:r>
      <w:bookmarkStart w:id="48" w:name="_Toc234775790"/>
      <w:r w:rsidR="001A2CD7" w:rsidRPr="00E755B4">
        <w:rPr>
          <w:rFonts w:ascii="Simplified Arabic" w:eastAsia="Times New Roman" w:hAnsi="Simplified Arabic" w:cs="Simplified Arabic"/>
          <w:b/>
          <w:bCs/>
          <w:color w:val="000000" w:themeColor="text1"/>
          <w:kern w:val="0"/>
          <w:sz w:val="36"/>
          <w:szCs w:val="36"/>
          <w:rtl/>
          <w14:ligatures w14:val="none"/>
        </w:rPr>
        <w:lastRenderedPageBreak/>
        <w:t>المبحث الثاني: تطوير وإدارة العقارات في المناطق العشوائية بمدينة جدة</w:t>
      </w:r>
      <w:bookmarkEnd w:id="48"/>
    </w:p>
    <w:p w14:paraId="3D76C49D" w14:textId="6906FB4C"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lang w:bidi="ar-EG"/>
          <w14:ligatures w14:val="none"/>
        </w:rPr>
      </w:pPr>
      <w:bookmarkStart w:id="49" w:name="_Toc234775791"/>
      <w:r w:rsidRPr="00E755B4">
        <w:rPr>
          <w:rFonts w:ascii="Simplified Arabic" w:eastAsia="Times New Roman" w:hAnsi="Simplified Arabic" w:cs="Simplified Arabic" w:hint="cs"/>
          <w:b/>
          <w:bCs/>
          <w:color w:val="000000" w:themeColor="text1"/>
          <w:kern w:val="0"/>
          <w:sz w:val="32"/>
          <w:szCs w:val="32"/>
          <w:rtl/>
          <w14:ligatures w14:val="none"/>
        </w:rPr>
        <w:t xml:space="preserve">1.2.2 </w:t>
      </w:r>
      <w:r w:rsidR="001A2CD7" w:rsidRPr="00E755B4">
        <w:rPr>
          <w:rFonts w:ascii="Simplified Arabic" w:eastAsia="Times New Roman" w:hAnsi="Simplified Arabic" w:cs="Simplified Arabic"/>
          <w:b/>
          <w:bCs/>
          <w:color w:val="000000" w:themeColor="text1"/>
          <w:kern w:val="0"/>
          <w:sz w:val="32"/>
          <w:szCs w:val="32"/>
          <w:rtl/>
          <w14:ligatures w14:val="none"/>
        </w:rPr>
        <w:t>تمهيد</w:t>
      </w:r>
      <w:bookmarkEnd w:id="49"/>
    </w:p>
    <w:p w14:paraId="10619B2C"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يُشكّل تطوير وإدارة العقارات في المناطق العشوائية أحد أعقد التحديات التي تواجه صانعي القرار الحضري في المدن السعودية، ولا سيما في مدينة جدة التي تتّسم بخصوصية ديموغرافية واقتصادية وعمرانية جعلت من ظاهرة الأحياء العشوائية سمة بارزة في نسيجها الحضري. ولم تعد معالجة هذه المناطق تُختزل في المقاربات التقليدية القائمة على الإزالة أو التجميل، بل باتت تتّجه نحو مقاربات متكاملة تجمع بين إعادة التطوير العمراني وتنظيم الملكيات وتحسين البنية التحتية وجذب الاستثمارات وتحسين جودة الحياة، بحيث تُصبح هذه المناطق جزءًا فاعلًا من النسيج الحضري المنظم لا جيوبًا مهمّشة على أطرافه</w:t>
      </w:r>
      <w:r w:rsidRPr="00E755B4">
        <w:rPr>
          <w:rFonts w:ascii="Simplified Arabic" w:eastAsia="Times New Roman" w:hAnsi="Simplified Arabic" w:cs="Simplified Arabic"/>
          <w:color w:val="000000" w:themeColor="text1"/>
          <w:kern w:val="0"/>
          <w:sz w:val="28"/>
          <w:szCs w:val="28"/>
          <w14:ligatures w14:val="none"/>
        </w:rPr>
        <w:t>.</w:t>
      </w:r>
    </w:p>
    <w:p w14:paraId="0B8A9C30"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ويتناول هذا المبحث المتغير التابع من منظور إدارة الأعمال العقارية، عبر تفكيك مفهوم تطوير وإدارة العقارات في المناطق العشوائية، واستعراض أهميته وأهدافه وأبعاده، وربطه بالسياق المحلي لمدينة جدة، مع الإفادة من التوجهات النظرية التي تناولت هذا الحقل. ويحرص العرض على إبراز الطابع المتعدد الأبعاد لهذه العملية، وعلى ربطها بالمنظومة التشريعية التي جرى تناولها في المبحث الأول، بما يُهيّئ الأرضية النظرية اللازمة للجانب التطبيقي من الدراسة</w:t>
      </w:r>
      <w:r w:rsidRPr="00E755B4">
        <w:rPr>
          <w:rFonts w:ascii="Simplified Arabic" w:eastAsia="Times New Roman" w:hAnsi="Simplified Arabic" w:cs="Simplified Arabic"/>
          <w:color w:val="000000" w:themeColor="text1"/>
          <w:kern w:val="0"/>
          <w:sz w:val="28"/>
          <w:szCs w:val="28"/>
          <w14:ligatures w14:val="none"/>
        </w:rPr>
        <w:t>.</w:t>
      </w:r>
    </w:p>
    <w:p w14:paraId="5F968F90" w14:textId="6A31688E"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775792"/>
      <w:r w:rsidRPr="00E755B4">
        <w:rPr>
          <w:rFonts w:ascii="Simplified Arabic" w:eastAsia="Times New Roman" w:hAnsi="Simplified Arabic" w:cs="Simplified Arabic" w:hint="cs"/>
          <w:b/>
          <w:bCs/>
          <w:color w:val="000000" w:themeColor="text1"/>
          <w:kern w:val="0"/>
          <w:sz w:val="32"/>
          <w:szCs w:val="32"/>
          <w:rtl/>
          <w14:ligatures w14:val="none"/>
        </w:rPr>
        <w:t>2.2.2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مفهوم تطوير وإدارة العقارات في المناطق العشوائية</w:t>
      </w:r>
      <w:bookmarkEnd w:id="50"/>
    </w:p>
    <w:p w14:paraId="2E0E7502"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يتشكّل مفهوم تطوير وإدارة العقارات في المناطق العشوائية عند تقاطع عدة حقول معرفية، تشمل التخطيط العمراني وإدارة العقارات والسياسات العامة والتنمية المستدامة، وتتباين مقاربات الباحثين لهذا المفهوم بحسب الحقل الذي ينطلقون منه والزاوية التي يُركّزون عليها. ويُقدّم الزامل (2020أ) مقاربة مكانية للمفهوم، إذ ينظر إلى تطوير المناطق العشوائية من خلال تحليل خصائص انتشارها المكاني باستخدام نظم المعلومات الجغرافية، بحيث يُصبح التطوير عملية مبنية على تشخيص دقيق للبيئة العمرانية القائمة وتحديد أنماط انتشار الظاهرة داخل المدينة</w:t>
      </w:r>
      <w:r w:rsidRPr="00E755B4">
        <w:rPr>
          <w:rFonts w:ascii="Simplified Arabic" w:eastAsia="Times New Roman" w:hAnsi="Simplified Arabic" w:cs="Simplified Arabic"/>
          <w:color w:val="000000" w:themeColor="text1"/>
          <w:kern w:val="0"/>
          <w:sz w:val="28"/>
          <w:szCs w:val="28"/>
          <w14:ligatures w14:val="none"/>
        </w:rPr>
        <w:t>.</w:t>
      </w:r>
    </w:p>
    <w:p w14:paraId="7BABA491"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ويطرح الزامل (2020ب) في موضع آخر مقاربة تنموية للمفهوم، تنظر إلى تطوير المناطق العشوائية الهامشية بوصفه عملية معقّدة تنطوي على تحديات متعددة الأبعاد تتصل بالبنية التحتية والخدمات والملكيات والاندماج الاجتماعي. أما الجبوري وآخرون (2025) فيُقدّمون مقاربة مستدامة تنظر إلى تطوير المناطق </w:t>
      </w:r>
      <w:r w:rsidRPr="00E755B4">
        <w:rPr>
          <w:rFonts w:ascii="Simplified Arabic" w:eastAsia="Times New Roman" w:hAnsi="Simplified Arabic" w:cs="Simplified Arabic"/>
          <w:color w:val="000000" w:themeColor="text1"/>
          <w:kern w:val="0"/>
          <w:sz w:val="28"/>
          <w:szCs w:val="28"/>
          <w:rtl/>
          <w14:ligatures w14:val="none"/>
        </w:rPr>
        <w:lastRenderedPageBreak/>
        <w:t>العشوائية بوصفه ارتقاءً عمرانيًا يُحوّلها إلى بيئة عمرانية مستدامة، بحيث يُدمج التطوير أبعاد الاستدامة الاقتصادية والاجتماعية والبيئية في منظومة متكاملة</w:t>
      </w:r>
      <w:r w:rsidRPr="00E755B4">
        <w:rPr>
          <w:rFonts w:ascii="Simplified Arabic" w:eastAsia="Times New Roman" w:hAnsi="Simplified Arabic" w:cs="Simplified Arabic"/>
          <w:color w:val="000000" w:themeColor="text1"/>
          <w:kern w:val="0"/>
          <w:sz w:val="28"/>
          <w:szCs w:val="28"/>
          <w14:ligatures w14:val="none"/>
        </w:rPr>
        <w:t>.</w:t>
      </w:r>
    </w:p>
    <w:p w14:paraId="02D53C8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ويعرض</w:t>
      </w:r>
      <w:r w:rsidRPr="00E755B4">
        <w:rPr>
          <w:rFonts w:ascii="Simplified Arabic" w:eastAsia="Times New Roman" w:hAnsi="Simplified Arabic" w:cs="Simplified Arabic"/>
          <w:color w:val="000000" w:themeColor="text1"/>
          <w:kern w:val="0"/>
          <w:sz w:val="28"/>
          <w:szCs w:val="28"/>
          <w14:ligatures w14:val="none"/>
        </w:rPr>
        <w:t xml:space="preserve"> El-Shorbagy (2020) </w:t>
      </w:r>
      <w:r w:rsidRPr="00E755B4">
        <w:rPr>
          <w:rFonts w:ascii="Simplified Arabic" w:eastAsia="Times New Roman" w:hAnsi="Simplified Arabic" w:cs="Simplified Arabic"/>
          <w:color w:val="000000" w:themeColor="text1"/>
          <w:kern w:val="0"/>
          <w:sz w:val="28"/>
          <w:szCs w:val="28"/>
          <w:rtl/>
          <w14:ligatures w14:val="none"/>
        </w:rPr>
        <w:t>قراءة إشكالية للمفهوم من خلال دراسته لحي السبيل بمدينة جدة، إذ يُنظر إلى تطوير المستوطنات غير المخططة بوصفه استجابة لإشكاليات هيكلية تتصل بالتخطيط والإدارة الحضرية، وتتطلّب معالجة شاملة لا تقتصر على المظاهر العمرانية بل تمتدّ إلى الأسباب البنيوية للظاهرة. ويُوسّع</w:t>
      </w:r>
      <w:r w:rsidRPr="00E755B4">
        <w:rPr>
          <w:rFonts w:ascii="Simplified Arabic" w:eastAsia="Times New Roman" w:hAnsi="Simplified Arabic" w:cs="Simplified Arabic"/>
          <w:color w:val="000000" w:themeColor="text1"/>
          <w:kern w:val="0"/>
          <w:sz w:val="28"/>
          <w:szCs w:val="28"/>
          <w14:ligatures w14:val="none"/>
        </w:rPr>
        <w:t xml:space="preserve"> Alzamil (2025) </w:t>
      </w:r>
      <w:r w:rsidRPr="00E755B4">
        <w:rPr>
          <w:rFonts w:ascii="Simplified Arabic" w:eastAsia="Times New Roman" w:hAnsi="Simplified Arabic" w:cs="Simplified Arabic"/>
          <w:color w:val="000000" w:themeColor="text1"/>
          <w:kern w:val="0"/>
          <w:sz w:val="28"/>
          <w:szCs w:val="28"/>
          <w:rtl/>
          <w14:ligatures w14:val="none"/>
        </w:rPr>
        <w:t>هذا المنظور من خلال تقييم الإطار الإجرائي لترقية المستوطنات غير الرسمية في مكة المكرمة، إذ يُصبح المفهوم مرتبطًا بالإجراءات المؤسسية التي تحكم عملية الترقية والتحديات التي تواجهها والدروس المستفادة منها</w:t>
      </w:r>
      <w:r w:rsidRPr="00E755B4">
        <w:rPr>
          <w:rFonts w:ascii="Simplified Arabic" w:eastAsia="Times New Roman" w:hAnsi="Simplified Arabic" w:cs="Simplified Arabic"/>
          <w:color w:val="000000" w:themeColor="text1"/>
          <w:kern w:val="0"/>
          <w:sz w:val="28"/>
          <w:szCs w:val="28"/>
          <w14:ligatures w14:val="none"/>
        </w:rPr>
        <w:t>.</w:t>
      </w:r>
    </w:p>
    <w:p w14:paraId="497F9F3F"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ومن منظور تسييري تشغيلي، يُقدّم</w:t>
      </w:r>
      <w:r w:rsidRPr="00E755B4">
        <w:rPr>
          <w:rFonts w:ascii="Simplified Arabic" w:eastAsia="Times New Roman" w:hAnsi="Simplified Arabic" w:cs="Simplified Arabic"/>
          <w:color w:val="000000" w:themeColor="text1"/>
          <w:kern w:val="0"/>
          <w:sz w:val="28"/>
          <w:szCs w:val="28"/>
          <w14:ligatures w14:val="none"/>
        </w:rPr>
        <w:t xml:space="preserve"> Eng (2023) </w:t>
      </w:r>
      <w:r w:rsidRPr="00E755B4">
        <w:rPr>
          <w:rFonts w:ascii="Simplified Arabic" w:eastAsia="Times New Roman" w:hAnsi="Simplified Arabic" w:cs="Simplified Arabic"/>
          <w:color w:val="000000" w:themeColor="text1"/>
          <w:kern w:val="0"/>
          <w:sz w:val="28"/>
          <w:szCs w:val="28"/>
          <w:rtl/>
          <w14:ligatures w14:val="none"/>
        </w:rPr>
        <w:t>قراءة لإدارة العقارات واستراتيجياتها في العقد القادم، تنظر إلى إدارة العقار بوصفها عملية استراتيجية تُوظّف الأدوات الإدارية الحديثة لتحقيق قيمة مستدامة، وهو ما يمتد بطبيعته إلى إدارة العقارات في المناطق العشوائية بعد إعادة تطويرها. ويُكمل</w:t>
      </w:r>
      <w:r w:rsidRPr="00E755B4">
        <w:rPr>
          <w:rFonts w:ascii="Simplified Arabic" w:eastAsia="Times New Roman" w:hAnsi="Simplified Arabic" w:cs="Simplified Arabic"/>
          <w:color w:val="000000" w:themeColor="text1"/>
          <w:kern w:val="0"/>
          <w:sz w:val="28"/>
          <w:szCs w:val="28"/>
          <w14:ligatures w14:val="none"/>
        </w:rPr>
        <w:t xml:space="preserve"> Wanxin (2023) </w:t>
      </w:r>
      <w:r w:rsidRPr="00E755B4">
        <w:rPr>
          <w:rFonts w:ascii="Simplified Arabic" w:eastAsia="Times New Roman" w:hAnsi="Simplified Arabic" w:cs="Simplified Arabic"/>
          <w:color w:val="000000" w:themeColor="text1"/>
          <w:kern w:val="0"/>
          <w:sz w:val="28"/>
          <w:szCs w:val="28"/>
          <w:rtl/>
          <w14:ligatures w14:val="none"/>
        </w:rPr>
        <w:t>هذا المنظور بتقديم قراءة لإدارة العمليات في المؤسسات العقارية، تُبرز الجانب التشغيلي لإدارة العقار وارتباطه بالكفاءة والفاعلية</w:t>
      </w:r>
      <w:r w:rsidRPr="00E755B4">
        <w:rPr>
          <w:rFonts w:ascii="Simplified Arabic" w:eastAsia="Times New Roman" w:hAnsi="Simplified Arabic" w:cs="Simplified Arabic"/>
          <w:color w:val="000000" w:themeColor="text1"/>
          <w:kern w:val="0"/>
          <w:sz w:val="28"/>
          <w:szCs w:val="28"/>
          <w14:ligatures w14:val="none"/>
        </w:rPr>
        <w:t>.</w:t>
      </w:r>
    </w:p>
    <w:p w14:paraId="400D0111"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ومن زاوية أخرى، تُقدّم عبد الحميد (2024) قراءة تربط بين السياسات العمرانية وتطوير الأحياء العشوائية وجودة الحياة، بحيث يُنظر إلى التطوير بوصفه أداة سياسية تُوظّف لتحسين نوعية حياة السكان في المدن السعودية. ويُقدّم</w:t>
      </w:r>
      <w:r w:rsidRPr="00E755B4">
        <w:rPr>
          <w:rFonts w:ascii="Simplified Arabic" w:eastAsia="Times New Roman" w:hAnsi="Simplified Arabic" w:cs="Simplified Arabic"/>
          <w:color w:val="000000" w:themeColor="text1"/>
          <w:kern w:val="0"/>
          <w:sz w:val="28"/>
          <w:szCs w:val="28"/>
          <w14:ligatures w14:val="none"/>
        </w:rPr>
        <w:t xml:space="preserve"> Alharbi et al. (2023) </w:t>
      </w:r>
      <w:r w:rsidRPr="00E755B4">
        <w:rPr>
          <w:rFonts w:ascii="Simplified Arabic" w:eastAsia="Times New Roman" w:hAnsi="Simplified Arabic" w:cs="Simplified Arabic"/>
          <w:color w:val="000000" w:themeColor="text1"/>
          <w:kern w:val="0"/>
          <w:sz w:val="28"/>
          <w:szCs w:val="28"/>
          <w:rtl/>
          <w14:ligatures w14:val="none"/>
        </w:rPr>
        <w:t>قراءة بيئية للمفهوم، إذ يربطون استراتيجيات الإدارة الحضرية بأنماط استخدام الأراضي والظواهر البيئية الحضرية، بما يُوسّع دلالة التطوير لتشمل الاعتبارات المناخية والبيئية</w:t>
      </w:r>
      <w:r w:rsidRPr="00E755B4">
        <w:rPr>
          <w:rFonts w:ascii="Simplified Arabic" w:eastAsia="Times New Roman" w:hAnsi="Simplified Arabic" w:cs="Simplified Arabic"/>
          <w:color w:val="000000" w:themeColor="text1"/>
          <w:kern w:val="0"/>
          <w:sz w:val="28"/>
          <w:szCs w:val="28"/>
          <w14:ligatures w14:val="none"/>
        </w:rPr>
        <w:t>.</w:t>
      </w:r>
    </w:p>
    <w:p w14:paraId="4DEEB71A"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وبناءً على تعدد هذه المقاربات، يمكن تعريف تطوير وإدارة العقارات في المناطق العشوائية بوصفه عملية إدارية متكاملة تجمع بين التدخّل العمراني والتنظيم القانوني للملكيات وتوظيف الأدوات الاستثمارية والتشغيلية، بهدف إعادة إدماج هذه المناطق في النسيج الحضري المنظم وتحويلها إلى بيئات عمرانية مستدامة تُلبّي احتياجات سكانها وتُسهم في التنمية الاقتصادية والاجتماعية للمدينة. ويرى الباحث أن هذا المفهوم لا يقتصر على البُعد المادي المتمثّل في الإنشاءات والبنية التحتية، بل يمتد ليشمل الأبعاد المؤسسية </w:t>
      </w:r>
      <w:r w:rsidRPr="00E755B4">
        <w:rPr>
          <w:rFonts w:ascii="Simplified Arabic" w:eastAsia="Times New Roman" w:hAnsi="Simplified Arabic" w:cs="Simplified Arabic"/>
          <w:color w:val="000000" w:themeColor="text1"/>
          <w:kern w:val="0"/>
          <w:sz w:val="28"/>
          <w:szCs w:val="28"/>
          <w:rtl/>
          <w14:ligatures w14:val="none"/>
        </w:rPr>
        <w:lastRenderedPageBreak/>
        <w:t>والقانونية والاقتصادية والاجتماعية، وأن نجاح التطوير يُقاس بقدرته على تحقيق التوازن بين هذه الأبعاد جميعًا، وبمدى استدامة النتائج المتحققة على المدى الطويل</w:t>
      </w:r>
      <w:r w:rsidRPr="00E755B4">
        <w:rPr>
          <w:rFonts w:ascii="Simplified Arabic" w:eastAsia="Times New Roman" w:hAnsi="Simplified Arabic" w:cs="Simplified Arabic"/>
          <w:color w:val="000000" w:themeColor="text1"/>
          <w:kern w:val="0"/>
          <w:sz w:val="28"/>
          <w:szCs w:val="28"/>
          <w14:ligatures w14:val="none"/>
        </w:rPr>
        <w:t>.</w:t>
      </w:r>
    </w:p>
    <w:p w14:paraId="59F336B0" w14:textId="58ACE537"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775793"/>
      <w:r w:rsidRPr="00E755B4">
        <w:rPr>
          <w:rFonts w:ascii="Simplified Arabic" w:eastAsia="Times New Roman" w:hAnsi="Simplified Arabic" w:cs="Simplified Arabic" w:hint="cs"/>
          <w:b/>
          <w:bCs/>
          <w:color w:val="000000" w:themeColor="text1"/>
          <w:kern w:val="0"/>
          <w:sz w:val="32"/>
          <w:szCs w:val="32"/>
          <w:rtl/>
          <w14:ligatures w14:val="none"/>
        </w:rPr>
        <w:t>3.2.2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أهمية تطوير وإدارة العقارات في المناطق العشوائية</w:t>
      </w:r>
      <w:bookmarkEnd w:id="51"/>
    </w:p>
    <w:p w14:paraId="6285DA6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تنبع أهمية تطوير وإدارة العقارات في المناطق العشوائية من كونها تُشكّل مدخلًا مركزيًا لمعالجة التشوّهات الحضرية التي تعاني منها المدن السعودية عامة ومدينة جدة خاصة، إذ تُمثّل هذه المناطق ضغطًا متواصلًا على البنية التحتية والخدمات، وتُشكّل بيئة خصبة للإشكاليات الاجتماعية والأمنية، وتُعرقل جهود التنمية الحضرية المستدامة. وتزداد هذه الأهمية في ضوء توجّهات رؤية 2030 نحو رفع جودة الحياة في المدن السعودية وتحقيق التنمية العمرانية المستدامة</w:t>
      </w:r>
      <w:r w:rsidRPr="00E755B4">
        <w:rPr>
          <w:rFonts w:ascii="Simplified Arabic" w:eastAsia="Times New Roman" w:hAnsi="Simplified Arabic" w:cs="Simplified Arabic"/>
          <w:color w:val="000000" w:themeColor="text1"/>
          <w:kern w:val="0"/>
          <w:sz w:val="28"/>
          <w:szCs w:val="28"/>
          <w14:ligatures w14:val="none"/>
        </w:rPr>
        <w:t>.</w:t>
      </w:r>
    </w:p>
    <w:p w14:paraId="44185A70"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ويشير الزامل (2020ب) إلى أن أهمية تطوير المناطق العشوائية تتجلى في عدة محاور، أولها أن هذه المناطق تُشكّل تحديات هيكلية تتطلب استجابة مؤسسية شاملة، وثانيها أن تجاهلها يُفاقم من كلفة معالجتها مستقبلًا، وثالثها أن تطويرها يُتيح استعادة قيمة اقتصادية كامنة في مواقعها الحضرية، ورابعها أن معالجتها ترتبط ارتباطًا وثيقًا بتحقيق العدالة الحضرية والاندماج الاجتماعي</w:t>
      </w:r>
      <w:r w:rsidRPr="00E755B4">
        <w:rPr>
          <w:rFonts w:ascii="Simplified Arabic" w:eastAsia="Times New Roman" w:hAnsi="Simplified Arabic" w:cs="Simplified Arabic"/>
          <w:color w:val="000000" w:themeColor="text1"/>
          <w:kern w:val="0"/>
          <w:sz w:val="28"/>
          <w:szCs w:val="28"/>
          <w14:ligatures w14:val="none"/>
        </w:rPr>
        <w:t>.</w:t>
      </w:r>
    </w:p>
    <w:p w14:paraId="75525D4A"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ويُبرز الزامل (2020ج) أن أهمية تطوير هذه المناطق تكمن في كونها تفتح المجال أمام تطبيق سياسات تأهيل متعددة الأدوات تُوائم بين الاعتبارات المكانية والاجتماعية والقانونية، مما يُتيح للمخطّطين وصنّاع القرار الحضري الاختيار من بين بدائل متعددة بحسب طبيعة كل حي وخصوصيته. وتُضيف عبد الحميد (2024) أن أهمية التطوير تتّضح في ارتباطه بجودة الحياة الحضرية، إذ يُسهم في تحسين بيئة السكن ورفع مستوى الخدمات وتعزيز الشعور بالانتماء الحضري، وهي عناصر جوهرية في مفهوم جودة الحياة الحديث</w:t>
      </w:r>
      <w:r w:rsidRPr="00E755B4">
        <w:rPr>
          <w:rFonts w:ascii="Simplified Arabic" w:eastAsia="Times New Roman" w:hAnsi="Simplified Arabic" w:cs="Simplified Arabic"/>
          <w:color w:val="000000" w:themeColor="text1"/>
          <w:kern w:val="0"/>
          <w:sz w:val="28"/>
          <w:szCs w:val="28"/>
          <w14:ligatures w14:val="none"/>
        </w:rPr>
        <w:t>.</w:t>
      </w:r>
    </w:p>
    <w:p w14:paraId="73D1E195"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ويُقدّم</w:t>
      </w:r>
      <w:r w:rsidRPr="00E755B4">
        <w:rPr>
          <w:rFonts w:ascii="Simplified Arabic" w:eastAsia="Times New Roman" w:hAnsi="Simplified Arabic" w:cs="Simplified Arabic"/>
          <w:color w:val="000000" w:themeColor="text1"/>
          <w:kern w:val="0"/>
          <w:sz w:val="28"/>
          <w:szCs w:val="28"/>
          <w14:ligatures w14:val="none"/>
        </w:rPr>
        <w:t xml:space="preserve"> Baesse (2024) </w:t>
      </w:r>
      <w:r w:rsidRPr="00E755B4">
        <w:rPr>
          <w:rFonts w:ascii="Simplified Arabic" w:eastAsia="Times New Roman" w:hAnsi="Simplified Arabic" w:cs="Simplified Arabic"/>
          <w:color w:val="000000" w:themeColor="text1"/>
          <w:kern w:val="0"/>
          <w:sz w:val="28"/>
          <w:szCs w:val="28"/>
          <w:rtl/>
          <w14:ligatures w14:val="none"/>
        </w:rPr>
        <w:t>قراءة استراتيجية لأهمية تطوير هذه المناطق في السياق المحلي لمدينة جدة، إذ يُشكّل التطوير رافعة للتنمية الحضرية المستدامة في المدينة، ويُتيح تجاوز الإرث العمراني المتراكم نحو نموذج حضري أكثر تنظيمًا واستدامة. ويُكمل</w:t>
      </w:r>
      <w:r w:rsidRPr="00E755B4">
        <w:rPr>
          <w:rFonts w:ascii="Simplified Arabic" w:eastAsia="Times New Roman" w:hAnsi="Simplified Arabic" w:cs="Simplified Arabic"/>
          <w:color w:val="000000" w:themeColor="text1"/>
          <w:kern w:val="0"/>
          <w:sz w:val="28"/>
          <w:szCs w:val="28"/>
          <w14:ligatures w14:val="none"/>
        </w:rPr>
        <w:t xml:space="preserve"> Alharbi et al. (2023) </w:t>
      </w:r>
      <w:r w:rsidRPr="00E755B4">
        <w:rPr>
          <w:rFonts w:ascii="Simplified Arabic" w:eastAsia="Times New Roman" w:hAnsi="Simplified Arabic" w:cs="Simplified Arabic"/>
          <w:color w:val="000000" w:themeColor="text1"/>
          <w:kern w:val="0"/>
          <w:sz w:val="28"/>
          <w:szCs w:val="28"/>
          <w:rtl/>
          <w14:ligatures w14:val="none"/>
        </w:rPr>
        <w:t>هذه القراءة من زاوية بيئية، إذ إن تطوير المناطق العشوائية يُسهم في معالجة إشكاليات استخدامات الأراضي والغطاء الأرضي وظاهرة الجزر الحرارية الحضرية التي تعاني منها جدة بشكل خاص</w:t>
      </w:r>
      <w:r w:rsidRPr="00E755B4">
        <w:rPr>
          <w:rFonts w:ascii="Simplified Arabic" w:eastAsia="Times New Roman" w:hAnsi="Simplified Arabic" w:cs="Simplified Arabic"/>
          <w:color w:val="000000" w:themeColor="text1"/>
          <w:kern w:val="0"/>
          <w:sz w:val="28"/>
          <w:szCs w:val="28"/>
          <w14:ligatures w14:val="none"/>
        </w:rPr>
        <w:t>.</w:t>
      </w:r>
    </w:p>
    <w:p w14:paraId="55C7FB27"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ومن منظور تنموي أشمل، يشير</w:t>
      </w:r>
      <w:r w:rsidRPr="00E755B4">
        <w:rPr>
          <w:rFonts w:ascii="Simplified Arabic" w:eastAsia="Times New Roman" w:hAnsi="Simplified Arabic" w:cs="Simplified Arabic"/>
          <w:color w:val="000000" w:themeColor="text1"/>
          <w:kern w:val="0"/>
          <w:sz w:val="28"/>
          <w:szCs w:val="28"/>
          <w14:ligatures w14:val="none"/>
        </w:rPr>
        <w:t xml:space="preserve"> Alqahtany &amp; Abubakar (2024) </w:t>
      </w:r>
      <w:r w:rsidRPr="00E755B4">
        <w:rPr>
          <w:rFonts w:ascii="Simplified Arabic" w:eastAsia="Times New Roman" w:hAnsi="Simplified Arabic" w:cs="Simplified Arabic"/>
          <w:color w:val="000000" w:themeColor="text1"/>
          <w:kern w:val="0"/>
          <w:sz w:val="28"/>
          <w:szCs w:val="28"/>
          <w:rtl/>
          <w14:ligatures w14:val="none"/>
        </w:rPr>
        <w:t>إلى أن أهمية تطوير المناطق العشوائية تكمن في كونها الاختبار الحقيقي لقدرة المدن السعودية على تحويل التوسّع الحضري السريع إلى مسار مستدام، إذ إن استمرار هذه المناطق دون معالجة يُقوّض أي جهود للاستدامة الحضرية. ويُبرز</w:t>
      </w:r>
      <w:r w:rsidRPr="00E755B4">
        <w:rPr>
          <w:rFonts w:ascii="Simplified Arabic" w:eastAsia="Times New Roman" w:hAnsi="Simplified Arabic" w:cs="Simplified Arabic"/>
          <w:color w:val="000000" w:themeColor="text1"/>
          <w:kern w:val="0"/>
          <w:sz w:val="28"/>
          <w:szCs w:val="28"/>
          <w14:ligatures w14:val="none"/>
        </w:rPr>
        <w:t xml:space="preserve"> AlQahtany (2022) </w:t>
      </w:r>
      <w:r w:rsidRPr="00E755B4">
        <w:rPr>
          <w:rFonts w:ascii="Simplified Arabic" w:eastAsia="Times New Roman" w:hAnsi="Simplified Arabic" w:cs="Simplified Arabic"/>
          <w:color w:val="000000" w:themeColor="text1"/>
          <w:kern w:val="0"/>
          <w:sz w:val="28"/>
          <w:szCs w:val="28"/>
          <w:rtl/>
          <w14:ligatures w14:val="none"/>
        </w:rPr>
        <w:t>أهمية أخرى تتصل بالوصول إلى الإسكان الميسور، إذ إن معالجة المناطق العشوائية تُتيح توفير بدائل سكنية منظمة لسكانها ولغيرهم من الفئات المستهدفة ببرامج الإسكان</w:t>
      </w:r>
      <w:r w:rsidRPr="00E755B4">
        <w:rPr>
          <w:rFonts w:ascii="Simplified Arabic" w:eastAsia="Times New Roman" w:hAnsi="Simplified Arabic" w:cs="Simplified Arabic"/>
          <w:color w:val="000000" w:themeColor="text1"/>
          <w:kern w:val="0"/>
          <w:sz w:val="28"/>
          <w:szCs w:val="28"/>
          <w14:ligatures w14:val="none"/>
        </w:rPr>
        <w:t>.</w:t>
      </w:r>
    </w:p>
    <w:p w14:paraId="73FAE1E7"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ومن منظور استثماري، يُشير</w:t>
      </w:r>
      <w:r w:rsidRPr="00E755B4">
        <w:rPr>
          <w:rFonts w:ascii="Simplified Arabic" w:eastAsia="Times New Roman" w:hAnsi="Simplified Arabic" w:cs="Simplified Arabic"/>
          <w:color w:val="000000" w:themeColor="text1"/>
          <w:kern w:val="0"/>
          <w:sz w:val="28"/>
          <w:szCs w:val="28"/>
          <w14:ligatures w14:val="none"/>
        </w:rPr>
        <w:t xml:space="preserve"> Almohaimeed &amp; Al-Surf (2025) </w:t>
      </w:r>
      <w:r w:rsidRPr="00E755B4">
        <w:rPr>
          <w:rFonts w:ascii="Simplified Arabic" w:eastAsia="Times New Roman" w:hAnsi="Simplified Arabic" w:cs="Simplified Arabic"/>
          <w:color w:val="000000" w:themeColor="text1"/>
          <w:kern w:val="0"/>
          <w:sz w:val="28"/>
          <w:szCs w:val="28"/>
          <w:rtl/>
          <w14:ligatures w14:val="none"/>
        </w:rPr>
        <w:t>إلى أن أهمية تطوير المناطق العشوائية تكمن في كونها تفتح المجال أمام استثمارات ضخمة في مواقع حضرية متميّزة، إذ إن كثيرًا من هذه المناطق يقع في مواقع مركزية ذات قيمة اقتصادية عالية، وتحويلها إلى مشاريع تطوير عقاري يُتيح استعادة هذه القيمة وإعادة توزيعها. ويرى الباحث أن أهمية تطوير وإدارة العقارات في المناطق العشوائية تتقاطع فيها الأبعاد الاقتصادية والاجتماعية والعمرانية والبيئية، وأن نجاح هذه العملية يُعتبر مؤشرًا مركزيًا على نضج المنظومة الحضرية في المملكة وقدرتها على تحقيق مستهدفات التنمية المستدامة</w:t>
      </w:r>
      <w:r w:rsidRPr="00E755B4">
        <w:rPr>
          <w:rFonts w:ascii="Simplified Arabic" w:eastAsia="Times New Roman" w:hAnsi="Simplified Arabic" w:cs="Simplified Arabic"/>
          <w:color w:val="000000" w:themeColor="text1"/>
          <w:kern w:val="0"/>
          <w:sz w:val="28"/>
          <w:szCs w:val="28"/>
          <w14:ligatures w14:val="none"/>
        </w:rPr>
        <w:t>.</w:t>
      </w:r>
    </w:p>
    <w:p w14:paraId="7AB959D8" w14:textId="324324A2"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775794"/>
      <w:r w:rsidRPr="00E755B4">
        <w:rPr>
          <w:rFonts w:ascii="Simplified Arabic" w:eastAsia="Times New Roman" w:hAnsi="Simplified Arabic" w:cs="Simplified Arabic" w:hint="cs"/>
          <w:b/>
          <w:bCs/>
          <w:color w:val="000000" w:themeColor="text1"/>
          <w:kern w:val="0"/>
          <w:sz w:val="32"/>
          <w:szCs w:val="32"/>
          <w:rtl/>
          <w14:ligatures w14:val="none"/>
        </w:rPr>
        <w:t>4.2.2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أهداف تطوير وإدارة العقارات في المناطق العشوائية</w:t>
      </w:r>
      <w:bookmarkEnd w:id="52"/>
    </w:p>
    <w:p w14:paraId="33B8A848"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تتّجه أهداف تطوير وإدارة العقارات في المناطق العشوائية نحو مجموعة من الغايات المتكاملة التي تُغطّي أبعادًا مختلفة من العملية التنموية. ويعرض الجبوري وآخرون (2025) جملة من الأهداف تتصل بالارتقاء العمراني للمناطق العشوائية، من أبرزها تحويل هذه المناطق إلى بيئة عمرانية مستدامة تُوائم بين الاعتبارات الاقتصادية والاجتماعية والبيئية، وإعادة تأهيل النسيج العمراني وفق معايير التخطيط الحديثة، وتوفير الخدمات والمرافق الضرورية لسكان هذه المناطق، وتحسين الصورة الحضرية للمدينة بمجملها</w:t>
      </w:r>
      <w:r w:rsidRPr="00E755B4">
        <w:rPr>
          <w:rFonts w:ascii="Simplified Arabic" w:eastAsia="Times New Roman" w:hAnsi="Simplified Arabic" w:cs="Simplified Arabic"/>
          <w:color w:val="000000" w:themeColor="text1"/>
          <w:kern w:val="0"/>
          <w:sz w:val="28"/>
          <w:szCs w:val="28"/>
          <w14:ligatures w14:val="none"/>
        </w:rPr>
        <w:t>.</w:t>
      </w:r>
    </w:p>
    <w:p w14:paraId="4E1CB2E3"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ويُقدّم الزامل (2020أ) أهدافًا مرتبطة بالتشخيص المكاني للظاهرة، تتضمّن فهم أنماط الانتشار المكاني للمناطق العشوائية، وتحديد الأولويات في التدخّل بناءً على معايير موضوعية، وربط استراتيجيات التطوير بالسياق المكاني لكل منطقة، وبناء قواعد بيانات جغرافية تدعم عمليات التخطيط والمتابعة. ويُبرز الزامل (2020ج) أهدافًا مرتبطة بسياسات التأهيل، منها تنظيم الملكيات وحلّ الإشكاليات القانونية، وتحسين البنية التحتية، وإعادة تخطيط استخدامات الأراضي، ودمج السكان في عملية التطوير</w:t>
      </w:r>
      <w:r w:rsidRPr="00E755B4">
        <w:rPr>
          <w:rFonts w:ascii="Simplified Arabic" w:eastAsia="Times New Roman" w:hAnsi="Simplified Arabic" w:cs="Simplified Arabic"/>
          <w:color w:val="000000" w:themeColor="text1"/>
          <w:kern w:val="0"/>
          <w:sz w:val="28"/>
          <w:szCs w:val="28"/>
          <w14:ligatures w14:val="none"/>
        </w:rPr>
        <w:t>.</w:t>
      </w:r>
    </w:p>
    <w:p w14:paraId="3E079B69"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وتُضيف عبد الحميد (2024) أهدافًا تتصل بجودة الحياة، من بينها تحسين نوعية البيئة السكنية، وتعزيز الوصول إلى الخدمات الصحية والتعليمية والترفيهية، ورفع مستوى الأمان الحضري، وتقوية الروابط </w:t>
      </w:r>
      <w:r w:rsidRPr="00E755B4">
        <w:rPr>
          <w:rFonts w:ascii="Simplified Arabic" w:eastAsia="Times New Roman" w:hAnsi="Simplified Arabic" w:cs="Simplified Arabic"/>
          <w:color w:val="000000" w:themeColor="text1"/>
          <w:kern w:val="0"/>
          <w:sz w:val="28"/>
          <w:szCs w:val="28"/>
          <w:rtl/>
          <w14:ligatures w14:val="none"/>
        </w:rPr>
        <w:lastRenderedPageBreak/>
        <w:t>الاجتماعية داخل الحي. ويعرض</w:t>
      </w:r>
      <w:r w:rsidRPr="00E755B4">
        <w:rPr>
          <w:rFonts w:ascii="Simplified Arabic" w:eastAsia="Times New Roman" w:hAnsi="Simplified Arabic" w:cs="Simplified Arabic"/>
          <w:color w:val="000000" w:themeColor="text1"/>
          <w:kern w:val="0"/>
          <w:sz w:val="28"/>
          <w:szCs w:val="28"/>
          <w14:ligatures w14:val="none"/>
        </w:rPr>
        <w:t xml:space="preserve"> Alzamil (2025) </w:t>
      </w:r>
      <w:r w:rsidRPr="00E755B4">
        <w:rPr>
          <w:rFonts w:ascii="Simplified Arabic" w:eastAsia="Times New Roman" w:hAnsi="Simplified Arabic" w:cs="Simplified Arabic"/>
          <w:color w:val="000000" w:themeColor="text1"/>
          <w:kern w:val="0"/>
          <w:sz w:val="28"/>
          <w:szCs w:val="28"/>
          <w:rtl/>
          <w14:ligatures w14:val="none"/>
        </w:rPr>
        <w:t>أهدافًا إجرائية تتصل بترقية المستوطنات، منها بناء إطار مؤسسي متكامل للترقية، وضمان مشاركة الأطراف المعنية، وتوفير آليات للمتابعة والتقييم، والاستفادة من الدروس المستخلصة</w:t>
      </w:r>
      <w:r w:rsidRPr="00E755B4">
        <w:rPr>
          <w:rFonts w:ascii="Simplified Arabic" w:eastAsia="Times New Roman" w:hAnsi="Simplified Arabic" w:cs="Simplified Arabic"/>
          <w:color w:val="000000" w:themeColor="text1"/>
          <w:kern w:val="0"/>
          <w:sz w:val="28"/>
          <w:szCs w:val="28"/>
          <w14:ligatures w14:val="none"/>
        </w:rPr>
        <w:t>.</w:t>
      </w:r>
    </w:p>
    <w:p w14:paraId="44E1E908"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ومن منظور استثماري، يعرض</w:t>
      </w:r>
      <w:r w:rsidRPr="00E755B4">
        <w:rPr>
          <w:rFonts w:ascii="Simplified Arabic" w:eastAsia="Times New Roman" w:hAnsi="Simplified Arabic" w:cs="Simplified Arabic"/>
          <w:color w:val="000000" w:themeColor="text1"/>
          <w:kern w:val="0"/>
          <w:sz w:val="28"/>
          <w:szCs w:val="28"/>
          <w14:ligatures w14:val="none"/>
        </w:rPr>
        <w:t xml:space="preserve"> Alhajri et al. (2024) </w:t>
      </w:r>
      <w:r w:rsidRPr="00E755B4">
        <w:rPr>
          <w:rFonts w:ascii="Simplified Arabic" w:eastAsia="Times New Roman" w:hAnsi="Simplified Arabic" w:cs="Simplified Arabic"/>
          <w:color w:val="000000" w:themeColor="text1"/>
          <w:kern w:val="0"/>
          <w:sz w:val="28"/>
          <w:szCs w:val="28"/>
          <w:rtl/>
          <w14:ligatures w14:val="none"/>
        </w:rPr>
        <w:t>أهدافًا مرتبطة بالمقاربة التمكينية لقطاع الإسكان، تشمل جذب استثمارات القطاع الخاص إلى مشاريع إعادة التطوير، وتنويع مصادر تمويل هذه المشاريع، وبناء شراكات فاعلة بين القطاعين العام والخاص، وضمان استدامة النموذج الاقتصادي للتطوير. ويُكمل</w:t>
      </w:r>
      <w:r w:rsidRPr="00E755B4">
        <w:rPr>
          <w:rFonts w:ascii="Simplified Arabic" w:eastAsia="Times New Roman" w:hAnsi="Simplified Arabic" w:cs="Simplified Arabic"/>
          <w:color w:val="000000" w:themeColor="text1"/>
          <w:kern w:val="0"/>
          <w:sz w:val="28"/>
          <w:szCs w:val="28"/>
          <w14:ligatures w14:val="none"/>
        </w:rPr>
        <w:t xml:space="preserve"> AlQahtany (2021) </w:t>
      </w:r>
      <w:r w:rsidRPr="00E755B4">
        <w:rPr>
          <w:rFonts w:ascii="Simplified Arabic" w:eastAsia="Times New Roman" w:hAnsi="Simplified Arabic" w:cs="Simplified Arabic"/>
          <w:color w:val="000000" w:themeColor="text1"/>
          <w:kern w:val="0"/>
          <w:sz w:val="28"/>
          <w:szCs w:val="28"/>
          <w:rtl/>
          <w14:ligatures w14:val="none"/>
        </w:rPr>
        <w:t>هذه الأهداف بأخرى تتصل بالتنظيم الحكومي والدعم المالي، منها ضمان استمرارية تدفق التمويل لمشاريع التطوير، وتوجيه الدعم نحو الفئات المستهدفة، وضبط تكاليف التطوير لضمان جدواه</w:t>
      </w:r>
      <w:r w:rsidRPr="00E755B4">
        <w:rPr>
          <w:rFonts w:ascii="Simplified Arabic" w:eastAsia="Times New Roman" w:hAnsi="Simplified Arabic" w:cs="Simplified Arabic"/>
          <w:color w:val="000000" w:themeColor="text1"/>
          <w:kern w:val="0"/>
          <w:sz w:val="28"/>
          <w:szCs w:val="28"/>
          <w14:ligatures w14:val="none"/>
        </w:rPr>
        <w:t>.</w:t>
      </w:r>
    </w:p>
    <w:p w14:paraId="29B5A23D"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وتظهر أهداف أخرى مرتبطة بالبعد التشغيلي لإدارة العقارات بعد التطوير، إذ يعرض</w:t>
      </w:r>
      <w:r w:rsidRPr="00E755B4">
        <w:rPr>
          <w:rFonts w:ascii="Simplified Arabic" w:eastAsia="Times New Roman" w:hAnsi="Simplified Arabic" w:cs="Simplified Arabic"/>
          <w:color w:val="000000" w:themeColor="text1"/>
          <w:kern w:val="0"/>
          <w:sz w:val="28"/>
          <w:szCs w:val="28"/>
          <w14:ligatures w14:val="none"/>
        </w:rPr>
        <w:t xml:space="preserve"> Rosynskyi (2023) </w:t>
      </w:r>
      <w:r w:rsidRPr="00E755B4">
        <w:rPr>
          <w:rFonts w:ascii="Simplified Arabic" w:eastAsia="Times New Roman" w:hAnsi="Simplified Arabic" w:cs="Simplified Arabic"/>
          <w:color w:val="000000" w:themeColor="text1"/>
          <w:kern w:val="0"/>
          <w:sz w:val="28"/>
          <w:szCs w:val="28"/>
          <w:rtl/>
          <w14:ligatures w14:val="none"/>
        </w:rPr>
        <w:t>أهدافًا تتصل بتنمية الإمكانات الاقتصادية لشركات التطوير، منها توظيف تقنيات الأتمتة والذكاء الاصطناعي، ورفع كفاءة إدارة المشاريع، وبناء قدرات المؤسسات على النمو المستدام. ويُضيف</w:t>
      </w:r>
      <w:r w:rsidRPr="00E755B4">
        <w:rPr>
          <w:rFonts w:ascii="Simplified Arabic" w:eastAsia="Times New Roman" w:hAnsi="Simplified Arabic" w:cs="Simplified Arabic"/>
          <w:color w:val="000000" w:themeColor="text1"/>
          <w:kern w:val="0"/>
          <w:sz w:val="28"/>
          <w:szCs w:val="28"/>
          <w14:ligatures w14:val="none"/>
        </w:rPr>
        <w:t xml:space="preserve"> Eng (2023) </w:t>
      </w:r>
      <w:r w:rsidRPr="00E755B4">
        <w:rPr>
          <w:rFonts w:ascii="Simplified Arabic" w:eastAsia="Times New Roman" w:hAnsi="Simplified Arabic" w:cs="Simplified Arabic"/>
          <w:color w:val="000000" w:themeColor="text1"/>
          <w:kern w:val="0"/>
          <w:sz w:val="28"/>
          <w:szCs w:val="28"/>
          <w:rtl/>
          <w14:ligatures w14:val="none"/>
        </w:rPr>
        <w:t>أهدافًا استراتيجية لإدارة العقارات، تشمل تبنّي مقاربات استراتيجية طويلة المدى، والاستجابة للتحولات في بيئة الأعمال، وبناء ميزات تنافسية مستدامة. ويرى الباحث أن هذه الأهداف تتكامل فيما بينها لتُشكّل منظومة متماسكة، تنطلق من التشخيص المكاني وتنتهي بالإدارة التشغيلية المستدامة، وأن معالجة المناطق العشوائية تستلزم مقاربة تُوازن بين هذه الأهداف جميعًا دون تغليب بعضها على بعض</w:t>
      </w:r>
      <w:r w:rsidRPr="00E755B4">
        <w:rPr>
          <w:rFonts w:ascii="Simplified Arabic" w:eastAsia="Times New Roman" w:hAnsi="Simplified Arabic" w:cs="Simplified Arabic"/>
          <w:color w:val="000000" w:themeColor="text1"/>
          <w:kern w:val="0"/>
          <w:sz w:val="28"/>
          <w:szCs w:val="28"/>
          <w14:ligatures w14:val="none"/>
        </w:rPr>
        <w:t>.</w:t>
      </w:r>
    </w:p>
    <w:p w14:paraId="381DB8D4" w14:textId="54563EFB"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775795"/>
      <w:r w:rsidRPr="00E755B4">
        <w:rPr>
          <w:rFonts w:ascii="Simplified Arabic" w:eastAsia="Times New Roman" w:hAnsi="Simplified Arabic" w:cs="Simplified Arabic" w:hint="cs"/>
          <w:b/>
          <w:bCs/>
          <w:color w:val="000000" w:themeColor="text1"/>
          <w:kern w:val="0"/>
          <w:sz w:val="32"/>
          <w:szCs w:val="32"/>
          <w:rtl/>
          <w14:ligatures w14:val="none"/>
        </w:rPr>
        <w:t>5.2.2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أبعاد تطوير وإدارة العقارات في المناطق العشوائية</w:t>
      </w:r>
      <w:bookmarkEnd w:id="53"/>
    </w:p>
    <w:p w14:paraId="67487F78"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تم تحديد أبعاد المتغير التابع بناءً على دراسة الجبوري وآخرون (2025) التي تناولت الارتقاء العمراني للمناطق العشوائية وتطويرها إلى بيئة عمرانية مستدامة، ودراسة عبد الحميد (2024) التي عالجت السياسات العمرانية وأثرها على تطوير الأحياء العشوائية وجودة الحياة، ودراسة الزامل (2020ج) التي تناولت سياسات تأهيل المناطق العشوائية، ودراسة</w:t>
      </w:r>
      <w:r w:rsidRPr="00E755B4">
        <w:rPr>
          <w:rFonts w:ascii="Simplified Arabic" w:eastAsia="Times New Roman" w:hAnsi="Simplified Arabic" w:cs="Simplified Arabic"/>
          <w:color w:val="000000" w:themeColor="text1"/>
          <w:kern w:val="0"/>
          <w:sz w:val="28"/>
          <w:szCs w:val="28"/>
          <w14:ligatures w14:val="none"/>
        </w:rPr>
        <w:t xml:space="preserve"> Alzamil (2025) </w:t>
      </w:r>
      <w:r w:rsidRPr="00E755B4">
        <w:rPr>
          <w:rFonts w:ascii="Simplified Arabic" w:eastAsia="Times New Roman" w:hAnsi="Simplified Arabic" w:cs="Simplified Arabic"/>
          <w:color w:val="000000" w:themeColor="text1"/>
          <w:kern w:val="0"/>
          <w:sz w:val="28"/>
          <w:szCs w:val="28"/>
          <w:rtl/>
          <w14:ligatures w14:val="none"/>
        </w:rPr>
        <w:t>التي قيّمت الإطار الإجرائي لترقية المستوطنات غير الرسمية، ودراسة</w:t>
      </w:r>
      <w:r w:rsidRPr="00E755B4">
        <w:rPr>
          <w:rFonts w:ascii="Simplified Arabic" w:eastAsia="Times New Roman" w:hAnsi="Simplified Arabic" w:cs="Simplified Arabic"/>
          <w:color w:val="000000" w:themeColor="text1"/>
          <w:kern w:val="0"/>
          <w:sz w:val="28"/>
          <w:szCs w:val="28"/>
          <w14:ligatures w14:val="none"/>
        </w:rPr>
        <w:t xml:space="preserve"> Alhajri et al. (2024) </w:t>
      </w:r>
      <w:r w:rsidRPr="00E755B4">
        <w:rPr>
          <w:rFonts w:ascii="Simplified Arabic" w:eastAsia="Times New Roman" w:hAnsi="Simplified Arabic" w:cs="Simplified Arabic"/>
          <w:color w:val="000000" w:themeColor="text1"/>
          <w:kern w:val="0"/>
          <w:sz w:val="28"/>
          <w:szCs w:val="28"/>
          <w:rtl/>
          <w14:ligatures w14:val="none"/>
        </w:rPr>
        <w:t>التي عرضت المقاربة التمكينية لقطاع الإسكان. وقد أفرز التحليل المتكامل لهذه المرجعيات جملة من الأبعاد المتشابكة التي تُشكّل في مجموعها البنية المفاهيمية لعملية تطوير وإدارة العقارات في المناطق العشوائية</w:t>
      </w:r>
      <w:r w:rsidRPr="00E755B4">
        <w:rPr>
          <w:rFonts w:ascii="Simplified Arabic" w:eastAsia="Times New Roman" w:hAnsi="Simplified Arabic" w:cs="Simplified Arabic"/>
          <w:color w:val="000000" w:themeColor="text1"/>
          <w:kern w:val="0"/>
          <w:sz w:val="28"/>
          <w:szCs w:val="28"/>
          <w14:ligatures w14:val="none"/>
        </w:rPr>
        <w:t>.</w:t>
      </w:r>
    </w:p>
    <w:p w14:paraId="634F125B" w14:textId="4F228868"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lastRenderedPageBreak/>
        <w:t>البُعد العمراني والتخطيطي</w:t>
      </w:r>
    </w:p>
    <w:p w14:paraId="6B801F3F"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بإعادة تخطيط النسيج العمراني للمناطق العشوائية وفق معايير حديثة، بما يشمل إعادة تنظيم الشوارع والممرات والفراغات العامة، وتحديد استخدامات الأراضي، وضبط الكثافات البنائية، ومعالجة الإشكاليات المتصلة بالكتلة العمرانية القائمة. ويُبرز الجبوري وآخرون (2025) أن الارتقاء العمراني يُشكّل ركيزة أساسية في تحويل المناطق العشوائية إلى بيئة مستدامة، إذ لا يمكن تحقيق التطوير دون إعادة صياغة النسيج العمراني بشكل يُوائم بين احترام الواقع القائم والانفتاح على متطلبات المستقبل. ويُكمل</w:t>
      </w:r>
      <w:r w:rsidRPr="00E755B4">
        <w:rPr>
          <w:rFonts w:ascii="Simplified Arabic" w:eastAsia="Times New Roman" w:hAnsi="Simplified Arabic" w:cs="Simplified Arabic"/>
          <w:color w:val="000000" w:themeColor="text1"/>
          <w:kern w:val="0"/>
          <w:sz w:val="28"/>
          <w:szCs w:val="28"/>
          <w14:ligatures w14:val="none"/>
        </w:rPr>
        <w:t xml:space="preserve"> Baesse (2024) </w:t>
      </w:r>
      <w:r w:rsidRPr="00E755B4">
        <w:rPr>
          <w:rFonts w:ascii="Simplified Arabic" w:eastAsia="Times New Roman" w:hAnsi="Simplified Arabic" w:cs="Simplified Arabic"/>
          <w:color w:val="000000" w:themeColor="text1"/>
          <w:kern w:val="0"/>
          <w:sz w:val="28"/>
          <w:szCs w:val="28"/>
          <w:rtl/>
          <w14:ligatures w14:val="none"/>
        </w:rPr>
        <w:t>هذا التوجه بربطه بالمقاربات الاستراتيجية للتنمية الحضرية المستدامة في جدة، بحيث يُصبح البُعد العمراني جزءًا من رؤية استراتيجية شاملة لتطوير المدينة</w:t>
      </w:r>
      <w:r w:rsidRPr="00E755B4">
        <w:rPr>
          <w:rFonts w:ascii="Simplified Arabic" w:eastAsia="Times New Roman" w:hAnsi="Simplified Arabic" w:cs="Simplified Arabic"/>
          <w:color w:val="000000" w:themeColor="text1"/>
          <w:kern w:val="0"/>
          <w:sz w:val="28"/>
          <w:szCs w:val="28"/>
          <w14:ligatures w14:val="none"/>
        </w:rPr>
        <w:t>.</w:t>
      </w:r>
    </w:p>
    <w:p w14:paraId="2D3BAD32" w14:textId="7AD7D811"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التنظيمي القانوني للملكيات</w:t>
      </w:r>
    </w:p>
    <w:p w14:paraId="65703400"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بمعالجة الإشكاليات القانونية المتراكمة في المناطق العشوائية، من تشابك في الملكيات وغياب للتوثيق الرسمي وانتشار للتصرفات غير النظامية، عبر توظيف الأدوات التشريعية المتاحة لإعادة تنظيم الملكيات وتصفية النزاعات. ويُبرز اليحياء (2023) دور المستجدات النظامية في تملّك العقارات في معالجة هذه الإشكاليات، إذ يُوفّر التسجيل العيني والأدوات القانونية المرتبطة به آليات لإعادة تنظيم المراكز القانونية للمُلاك. ويُقدّم العتيبي (2024) قراءة مكمّلة تتصل بالتنظيم القانوني لملكية الوحدات وفرزها وإدارتها، بما يُتيح معالجة إشكاليات التعدد في الملكية الشائعة في هذه المناطق</w:t>
      </w:r>
      <w:r w:rsidRPr="00E755B4">
        <w:rPr>
          <w:rFonts w:ascii="Simplified Arabic" w:eastAsia="Times New Roman" w:hAnsi="Simplified Arabic" w:cs="Simplified Arabic"/>
          <w:color w:val="000000" w:themeColor="text1"/>
          <w:kern w:val="0"/>
          <w:sz w:val="28"/>
          <w:szCs w:val="28"/>
          <w14:ligatures w14:val="none"/>
        </w:rPr>
        <w:t>.</w:t>
      </w:r>
    </w:p>
    <w:p w14:paraId="1C87BFDD" w14:textId="08A57C97"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الاستثماري وجذب رأس المال</w:t>
      </w:r>
    </w:p>
    <w:p w14:paraId="1ED84F4A"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بتحفيز الاستثمار في مشاريع إعادة تطوير المناطق العشوائية، عبر توفير بيئة استثمارية جاذبة وأدوات تمويلية متنوعة وشراكات فاعلة بين القطاعين العام والخاص. ويُقدّم</w:t>
      </w:r>
      <w:r w:rsidRPr="00E755B4">
        <w:rPr>
          <w:rFonts w:ascii="Simplified Arabic" w:eastAsia="Times New Roman" w:hAnsi="Simplified Arabic" w:cs="Simplified Arabic"/>
          <w:color w:val="000000" w:themeColor="text1"/>
          <w:kern w:val="0"/>
          <w:sz w:val="28"/>
          <w:szCs w:val="28"/>
          <w14:ligatures w14:val="none"/>
        </w:rPr>
        <w:t xml:space="preserve"> Alhajri et al. (2024) </w:t>
      </w:r>
      <w:r w:rsidRPr="00E755B4">
        <w:rPr>
          <w:rFonts w:ascii="Simplified Arabic" w:eastAsia="Times New Roman" w:hAnsi="Simplified Arabic" w:cs="Simplified Arabic"/>
          <w:color w:val="000000" w:themeColor="text1"/>
          <w:kern w:val="0"/>
          <w:sz w:val="28"/>
          <w:szCs w:val="28"/>
          <w:rtl/>
          <w14:ligatures w14:val="none"/>
        </w:rPr>
        <w:t>قراءة تمكينية لهذا البُعد تُبرز دور التمكين في جذب استثمارات القطاع الخاص إلى قطاع الإسكان. ويُكمل</w:t>
      </w:r>
      <w:r w:rsidRPr="00E755B4">
        <w:rPr>
          <w:rFonts w:ascii="Simplified Arabic" w:eastAsia="Times New Roman" w:hAnsi="Simplified Arabic" w:cs="Simplified Arabic"/>
          <w:color w:val="000000" w:themeColor="text1"/>
          <w:kern w:val="0"/>
          <w:sz w:val="28"/>
          <w:szCs w:val="28"/>
          <w14:ligatures w14:val="none"/>
        </w:rPr>
        <w:t xml:space="preserve"> Almohaimeed &amp; Al-Surf (2025) </w:t>
      </w:r>
      <w:r w:rsidRPr="00E755B4">
        <w:rPr>
          <w:rFonts w:ascii="Simplified Arabic" w:eastAsia="Times New Roman" w:hAnsi="Simplified Arabic" w:cs="Simplified Arabic"/>
          <w:color w:val="000000" w:themeColor="text1"/>
          <w:kern w:val="0"/>
          <w:sz w:val="28"/>
          <w:szCs w:val="28"/>
          <w:rtl/>
          <w14:ligatures w14:val="none"/>
        </w:rPr>
        <w:t>هذه القراءة من زاوية تنظيمات التطوير العمراني ودورها في تحفيز الاستثمار. ويُضيف</w:t>
      </w:r>
      <w:r w:rsidRPr="00E755B4">
        <w:rPr>
          <w:rFonts w:ascii="Simplified Arabic" w:eastAsia="Times New Roman" w:hAnsi="Simplified Arabic" w:cs="Simplified Arabic"/>
          <w:color w:val="000000" w:themeColor="text1"/>
          <w:kern w:val="0"/>
          <w:sz w:val="28"/>
          <w:szCs w:val="28"/>
          <w14:ligatures w14:val="none"/>
        </w:rPr>
        <w:t xml:space="preserve"> Vaghela et al. (2025) </w:t>
      </w:r>
      <w:r w:rsidRPr="00E755B4">
        <w:rPr>
          <w:rFonts w:ascii="Simplified Arabic" w:eastAsia="Times New Roman" w:hAnsi="Simplified Arabic" w:cs="Simplified Arabic"/>
          <w:color w:val="000000" w:themeColor="text1"/>
          <w:kern w:val="0"/>
          <w:sz w:val="28"/>
          <w:szCs w:val="28"/>
          <w:rtl/>
          <w14:ligatures w14:val="none"/>
        </w:rPr>
        <w:t>بُعدًا تنظيميًا مرتبطًا بأثر قوانين تنظيم القطاع العقاري على صناعة التشييد وقرارات الاستثمار</w:t>
      </w:r>
      <w:r w:rsidRPr="00E755B4">
        <w:rPr>
          <w:rFonts w:ascii="Simplified Arabic" w:eastAsia="Times New Roman" w:hAnsi="Simplified Arabic" w:cs="Simplified Arabic"/>
          <w:color w:val="000000" w:themeColor="text1"/>
          <w:kern w:val="0"/>
          <w:sz w:val="28"/>
          <w:szCs w:val="28"/>
          <w14:ligatures w14:val="none"/>
        </w:rPr>
        <w:t>.</w:t>
      </w:r>
    </w:p>
    <w:p w14:paraId="6B6680BA" w14:textId="4FA96BDF"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التمويلي والدعم الحكومي</w:t>
      </w:r>
    </w:p>
    <w:p w14:paraId="56655E4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يتصل هذا البُعد بتوفير التمويل اللازم لمشاريع إعادة التطوير سواء من مصادر حكومية أو خاصة، وضمان استدامة تدفق هذا التمويل، وتوجيهه نحو الأولويات المحددة. ويعرض</w:t>
      </w:r>
      <w:r w:rsidRPr="00E755B4">
        <w:rPr>
          <w:rFonts w:ascii="Simplified Arabic" w:eastAsia="Times New Roman" w:hAnsi="Simplified Arabic" w:cs="Simplified Arabic"/>
          <w:color w:val="000000" w:themeColor="text1"/>
          <w:kern w:val="0"/>
          <w:sz w:val="28"/>
          <w:szCs w:val="28"/>
          <w14:ligatures w14:val="none"/>
        </w:rPr>
        <w:t xml:space="preserve"> AlQahtany (2021) </w:t>
      </w:r>
      <w:r w:rsidRPr="00E755B4">
        <w:rPr>
          <w:rFonts w:ascii="Simplified Arabic" w:eastAsia="Times New Roman" w:hAnsi="Simplified Arabic" w:cs="Simplified Arabic"/>
          <w:color w:val="000000" w:themeColor="text1"/>
          <w:kern w:val="0"/>
          <w:sz w:val="28"/>
          <w:szCs w:val="28"/>
          <w:rtl/>
          <w14:ligatures w14:val="none"/>
        </w:rPr>
        <w:t>دور التنظيم الحكومي والدعم المالي في توفير الحلول السكنية، بما يمتد إلى مشاريع إعادة تطوير المناطق العشوائية. ويُكمل</w:t>
      </w:r>
      <w:r w:rsidRPr="00E755B4">
        <w:rPr>
          <w:rFonts w:ascii="Simplified Arabic" w:eastAsia="Times New Roman" w:hAnsi="Simplified Arabic" w:cs="Simplified Arabic"/>
          <w:color w:val="000000" w:themeColor="text1"/>
          <w:kern w:val="0"/>
          <w:sz w:val="28"/>
          <w:szCs w:val="28"/>
          <w14:ligatures w14:val="none"/>
        </w:rPr>
        <w:t xml:space="preserve"> AlQahtany &amp; Alhassan (2020) </w:t>
      </w:r>
      <w:r w:rsidRPr="00E755B4">
        <w:rPr>
          <w:rFonts w:ascii="Simplified Arabic" w:eastAsia="Times New Roman" w:hAnsi="Simplified Arabic" w:cs="Simplified Arabic"/>
          <w:color w:val="000000" w:themeColor="text1"/>
          <w:kern w:val="0"/>
          <w:sz w:val="28"/>
          <w:szCs w:val="28"/>
          <w:rtl/>
          <w14:ligatures w14:val="none"/>
        </w:rPr>
        <w:t>هذه القراءة بربطها بمستهدفات الإسكان الميسور ضمن رؤية 2030</w:t>
      </w:r>
      <w:r w:rsidRPr="00E755B4">
        <w:rPr>
          <w:rFonts w:ascii="Simplified Arabic" w:eastAsia="Times New Roman" w:hAnsi="Simplified Arabic" w:cs="Simplified Arabic"/>
          <w:color w:val="000000" w:themeColor="text1"/>
          <w:kern w:val="0"/>
          <w:sz w:val="28"/>
          <w:szCs w:val="28"/>
          <w14:ligatures w14:val="none"/>
        </w:rPr>
        <w:t>.</w:t>
      </w:r>
    </w:p>
    <w:p w14:paraId="09DE8344" w14:textId="6EBCB0E0"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الخدمي والبنية التحتية</w:t>
      </w:r>
    </w:p>
    <w:p w14:paraId="385E8765"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بتحسين البنية التحتية والخدمات الأساسية في المناطق العشوائية، من شبكات مياه وصرف وكهرباء واتصالات وطرق، إلى جانب المرافق الخدمية كالمدارس والمراكز الصحية والمساحات الخضراء. ويُبرز الزامل (2020ب) هذا البُعد بوصفه أحد أبرز التحديات في تطوير المناطق العشوائية الهامشية، إذ إن غياب البنية التحتية الملائمة يُشكّل عائقًا مركزيًا أمام أي جهود تطوير جادة</w:t>
      </w:r>
      <w:r w:rsidRPr="00E755B4">
        <w:rPr>
          <w:rFonts w:ascii="Simplified Arabic" w:eastAsia="Times New Roman" w:hAnsi="Simplified Arabic" w:cs="Simplified Arabic"/>
          <w:color w:val="000000" w:themeColor="text1"/>
          <w:kern w:val="0"/>
          <w:sz w:val="28"/>
          <w:szCs w:val="28"/>
          <w14:ligatures w14:val="none"/>
        </w:rPr>
        <w:t>.</w:t>
      </w:r>
    </w:p>
    <w:p w14:paraId="1D7CF04E" w14:textId="57DA74EA"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الاجتماعي وجودة الحياة</w:t>
      </w:r>
    </w:p>
    <w:p w14:paraId="5D1BA62B"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بتحسين نوعية حياة سكان المناطق العشوائية، وتعزيز اندماجهم في النسيج الحضري المنظم، وحمايتهم من مخاطر الإقصاء والتهجير، وضمان مشاركتهم في عملية التطوير. وتُبرز عبد الحميد (2024) هذا البُعد من خلال ربط السياسات العمرانية بجودة الحياة في المدن السعودية، بحيث يُصبح تحسين نوعية الحياة معيارًا مركزيًا لتقييم نجاح مشاريع التطوير</w:t>
      </w:r>
      <w:r w:rsidRPr="00E755B4">
        <w:rPr>
          <w:rFonts w:ascii="Simplified Arabic" w:eastAsia="Times New Roman" w:hAnsi="Simplified Arabic" w:cs="Simplified Arabic"/>
          <w:color w:val="000000" w:themeColor="text1"/>
          <w:kern w:val="0"/>
          <w:sz w:val="28"/>
          <w:szCs w:val="28"/>
          <w14:ligatures w14:val="none"/>
        </w:rPr>
        <w:t>.</w:t>
      </w:r>
    </w:p>
    <w:p w14:paraId="08C2A48E" w14:textId="0D44ECFE"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البيئي والاستدامة</w:t>
      </w:r>
    </w:p>
    <w:p w14:paraId="2E2F8266"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بمراعاة الاعتبارات البيئية في مشاريع إعادة التطوير، من ترشيد استخدام الموارد وتقليل البصمة الكربونية إلى معالجة إشكاليات التلوث والحرارة الحضرية. ويُقدّم</w:t>
      </w:r>
      <w:r w:rsidRPr="00E755B4">
        <w:rPr>
          <w:rFonts w:ascii="Simplified Arabic" w:eastAsia="Times New Roman" w:hAnsi="Simplified Arabic" w:cs="Simplified Arabic"/>
          <w:color w:val="000000" w:themeColor="text1"/>
          <w:kern w:val="0"/>
          <w:sz w:val="28"/>
          <w:szCs w:val="28"/>
          <w14:ligatures w14:val="none"/>
        </w:rPr>
        <w:t xml:space="preserve"> Alharbi et al. (2023) </w:t>
      </w:r>
      <w:r w:rsidRPr="00E755B4">
        <w:rPr>
          <w:rFonts w:ascii="Simplified Arabic" w:eastAsia="Times New Roman" w:hAnsi="Simplified Arabic" w:cs="Simplified Arabic"/>
          <w:color w:val="000000" w:themeColor="text1"/>
          <w:kern w:val="0"/>
          <w:sz w:val="28"/>
          <w:szCs w:val="28"/>
          <w:rtl/>
          <w14:ligatures w14:val="none"/>
        </w:rPr>
        <w:t>قراءة بيئية تربط بين استراتيجيات الإدارة الحضرية وأنماط استخدام الأراضي والظواهر البيئية في جدة، مما يُبرز ضرورة إدماج البُعد البيئي في تخطيط مشاريع التطوير</w:t>
      </w:r>
      <w:r w:rsidRPr="00E755B4">
        <w:rPr>
          <w:rFonts w:ascii="Simplified Arabic" w:eastAsia="Times New Roman" w:hAnsi="Simplified Arabic" w:cs="Simplified Arabic"/>
          <w:color w:val="000000" w:themeColor="text1"/>
          <w:kern w:val="0"/>
          <w:sz w:val="28"/>
          <w:szCs w:val="28"/>
          <w14:ligatures w14:val="none"/>
        </w:rPr>
        <w:t>.</w:t>
      </w:r>
    </w:p>
    <w:p w14:paraId="6FAA6056" w14:textId="284477A9"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الإجرائي والمؤسسي</w:t>
      </w:r>
    </w:p>
    <w:p w14:paraId="763EC8E9"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lastRenderedPageBreak/>
        <w:t>يتصل هذا البُعد بالإجراءات المؤسسية التي تحكم مشاريع إعادة التطوير، من صياغة السياسات إلى التنفيذ والمتابعة والتقييم. ويُبرز</w:t>
      </w:r>
      <w:r w:rsidRPr="00E755B4">
        <w:rPr>
          <w:rFonts w:ascii="Simplified Arabic" w:eastAsia="Times New Roman" w:hAnsi="Simplified Arabic" w:cs="Simplified Arabic"/>
          <w:color w:val="000000" w:themeColor="text1"/>
          <w:kern w:val="0"/>
          <w:sz w:val="28"/>
          <w:szCs w:val="28"/>
          <w14:ligatures w14:val="none"/>
        </w:rPr>
        <w:t xml:space="preserve"> Alzamil (2025) </w:t>
      </w:r>
      <w:r w:rsidRPr="00E755B4">
        <w:rPr>
          <w:rFonts w:ascii="Simplified Arabic" w:eastAsia="Times New Roman" w:hAnsi="Simplified Arabic" w:cs="Simplified Arabic"/>
          <w:color w:val="000000" w:themeColor="text1"/>
          <w:kern w:val="0"/>
          <w:sz w:val="28"/>
          <w:szCs w:val="28"/>
          <w:rtl/>
          <w14:ligatures w14:val="none"/>
        </w:rPr>
        <w:t>هذا البُعد من خلال تقييمه للإطار الإجرائي لترقية المستوطنات غير الرسمية، مُوضّحًا أن نجاح مشاريع الترقية يعتمد على متانة الإطار الإجرائي المؤسسي الذي يحكمها</w:t>
      </w:r>
      <w:r w:rsidRPr="00E755B4">
        <w:rPr>
          <w:rFonts w:ascii="Simplified Arabic" w:eastAsia="Times New Roman" w:hAnsi="Simplified Arabic" w:cs="Simplified Arabic"/>
          <w:color w:val="000000" w:themeColor="text1"/>
          <w:kern w:val="0"/>
          <w:sz w:val="28"/>
          <w:szCs w:val="28"/>
          <w14:ligatures w14:val="none"/>
        </w:rPr>
        <w:t>.</w:t>
      </w:r>
    </w:p>
    <w:p w14:paraId="61AE94A5" w14:textId="19102195"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التشغيلي والإداري</w:t>
      </w:r>
    </w:p>
    <w:p w14:paraId="01895D7B"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بإدارة العقارات بعد إعادة تطويرها، وضمان استدامة الأداء التشغيلي، والحفاظ على القيمة العقارية على المدى الطويل. ويُقدّم</w:t>
      </w:r>
      <w:r w:rsidRPr="00E755B4">
        <w:rPr>
          <w:rFonts w:ascii="Simplified Arabic" w:eastAsia="Times New Roman" w:hAnsi="Simplified Arabic" w:cs="Simplified Arabic"/>
          <w:color w:val="000000" w:themeColor="text1"/>
          <w:kern w:val="0"/>
          <w:sz w:val="28"/>
          <w:szCs w:val="28"/>
          <w14:ligatures w14:val="none"/>
        </w:rPr>
        <w:t xml:space="preserve"> Eng (2023) </w:t>
      </w:r>
      <w:r w:rsidRPr="00E755B4">
        <w:rPr>
          <w:rFonts w:ascii="Simplified Arabic" w:eastAsia="Times New Roman" w:hAnsi="Simplified Arabic" w:cs="Simplified Arabic"/>
          <w:color w:val="000000" w:themeColor="text1"/>
          <w:kern w:val="0"/>
          <w:sz w:val="28"/>
          <w:szCs w:val="28"/>
          <w:rtl/>
          <w14:ligatures w14:val="none"/>
        </w:rPr>
        <w:t>قراءة استراتيجية لهذا البُعد تتصل بإدارة العقارات في العقد القادم. ويُكمل</w:t>
      </w:r>
      <w:r w:rsidRPr="00E755B4">
        <w:rPr>
          <w:rFonts w:ascii="Simplified Arabic" w:eastAsia="Times New Roman" w:hAnsi="Simplified Arabic" w:cs="Simplified Arabic"/>
          <w:color w:val="000000" w:themeColor="text1"/>
          <w:kern w:val="0"/>
          <w:sz w:val="28"/>
          <w:szCs w:val="28"/>
          <w14:ligatures w14:val="none"/>
        </w:rPr>
        <w:t xml:space="preserve"> Wanxin (2023) </w:t>
      </w:r>
      <w:r w:rsidRPr="00E755B4">
        <w:rPr>
          <w:rFonts w:ascii="Simplified Arabic" w:eastAsia="Times New Roman" w:hAnsi="Simplified Arabic" w:cs="Simplified Arabic"/>
          <w:color w:val="000000" w:themeColor="text1"/>
          <w:kern w:val="0"/>
          <w:sz w:val="28"/>
          <w:szCs w:val="28"/>
          <w:rtl/>
          <w14:ligatures w14:val="none"/>
        </w:rPr>
        <w:t>هذه القراءة بتناوله لمفاهيم ومبادئ إدارة العمليات في المؤسسات العقارية. ويُضيف</w:t>
      </w:r>
      <w:r w:rsidRPr="00E755B4">
        <w:rPr>
          <w:rFonts w:ascii="Simplified Arabic" w:eastAsia="Times New Roman" w:hAnsi="Simplified Arabic" w:cs="Simplified Arabic"/>
          <w:color w:val="000000" w:themeColor="text1"/>
          <w:kern w:val="0"/>
          <w:sz w:val="28"/>
          <w:szCs w:val="28"/>
          <w14:ligatures w14:val="none"/>
        </w:rPr>
        <w:t xml:space="preserve"> Rosynskyi (2023) </w:t>
      </w:r>
      <w:r w:rsidRPr="00E755B4">
        <w:rPr>
          <w:rFonts w:ascii="Simplified Arabic" w:eastAsia="Times New Roman" w:hAnsi="Simplified Arabic" w:cs="Simplified Arabic"/>
          <w:color w:val="000000" w:themeColor="text1"/>
          <w:kern w:val="0"/>
          <w:sz w:val="28"/>
          <w:szCs w:val="28"/>
          <w:rtl/>
          <w14:ligatures w14:val="none"/>
        </w:rPr>
        <w:t>بُعدًا تكنولوجيًا يتصل بتوظيف الأتمتة والذكاء الاصطناعي في إدارة الشركات العقارية</w:t>
      </w:r>
      <w:r w:rsidRPr="00E755B4">
        <w:rPr>
          <w:rFonts w:ascii="Simplified Arabic" w:eastAsia="Times New Roman" w:hAnsi="Simplified Arabic" w:cs="Simplified Arabic"/>
          <w:color w:val="000000" w:themeColor="text1"/>
          <w:kern w:val="0"/>
          <w:sz w:val="28"/>
          <w:szCs w:val="28"/>
          <w14:ligatures w14:val="none"/>
        </w:rPr>
        <w:t>.</w:t>
      </w:r>
    </w:p>
    <w:p w14:paraId="0DD3DB81" w14:textId="1AE5225B" w:rsidR="001A2CD7" w:rsidRPr="00E755B4" w:rsidRDefault="001A2CD7" w:rsidP="00837CB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755B4">
        <w:rPr>
          <w:rFonts w:ascii="Simplified Arabic" w:eastAsia="Times New Roman" w:hAnsi="Simplified Arabic" w:cs="Simplified Arabic"/>
          <w:b/>
          <w:bCs/>
          <w:color w:val="000000" w:themeColor="text1"/>
          <w:kern w:val="0"/>
          <w:sz w:val="28"/>
          <w:szCs w:val="28"/>
          <w:rtl/>
          <w14:ligatures w14:val="none"/>
        </w:rPr>
        <w:t>البُعد المكاني والتشخيصي</w:t>
      </w:r>
    </w:p>
    <w:p w14:paraId="1398909A"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يتصل هذا البُعد بالتشخيص المكاني للمناطق العشوائية وتحديد أنماط انتشارها وخصائصها المكانية، بما يُشكّل قاعدة معلوماتية لعمليات التخطيط والتدخّل. ويُبرز الزامل (2020أ) هذا البُعد من خلال توظيفه لنظم المعلومات الجغرافية في تحليل خصائص الانتشار المكاني للإسكان العشوائي</w:t>
      </w:r>
      <w:r w:rsidRPr="00E755B4">
        <w:rPr>
          <w:rFonts w:ascii="Simplified Arabic" w:eastAsia="Times New Roman" w:hAnsi="Simplified Arabic" w:cs="Simplified Arabic"/>
          <w:color w:val="000000" w:themeColor="text1"/>
          <w:kern w:val="0"/>
          <w:sz w:val="28"/>
          <w:szCs w:val="28"/>
          <w14:ligatures w14:val="none"/>
        </w:rPr>
        <w:t>.</w:t>
      </w:r>
    </w:p>
    <w:p w14:paraId="5EF00D6B" w14:textId="0E3BBB5A" w:rsidR="001A2CD7" w:rsidRPr="00E755B4" w:rsidRDefault="00127C3D" w:rsidP="00127C3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775796"/>
      <w:r w:rsidRPr="00E755B4">
        <w:rPr>
          <w:rFonts w:ascii="Simplified Arabic" w:eastAsia="Times New Roman" w:hAnsi="Simplified Arabic" w:cs="Simplified Arabic" w:hint="cs"/>
          <w:b/>
          <w:bCs/>
          <w:color w:val="000000" w:themeColor="text1"/>
          <w:kern w:val="0"/>
          <w:sz w:val="32"/>
          <w:szCs w:val="32"/>
          <w:rtl/>
          <w14:ligatures w14:val="none"/>
        </w:rPr>
        <w:t>6.2.2</w:t>
      </w:r>
      <w:r w:rsidR="001A2CD7" w:rsidRPr="00E755B4">
        <w:rPr>
          <w:rFonts w:ascii="Simplified Arabic" w:eastAsia="Times New Roman" w:hAnsi="Simplified Arabic" w:cs="Simplified Arabic"/>
          <w:b/>
          <w:bCs/>
          <w:color w:val="000000" w:themeColor="text1"/>
          <w:kern w:val="0"/>
          <w:sz w:val="32"/>
          <w:szCs w:val="32"/>
          <w:rtl/>
          <w14:ligatures w14:val="none"/>
        </w:rPr>
        <w:t xml:space="preserve"> الاتجاهات النظرية في دراسة تطوير وإدارة العقارات في المناطق العشوائية</w:t>
      </w:r>
      <w:bookmarkEnd w:id="54"/>
    </w:p>
    <w:p w14:paraId="3A3F9D2C"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تتوزّع الاتجاهات النظرية التي تناولت تطوير وإدارة العقارات في المناطق العشوائية بين عدة مدارس فكرية، يُقدّم كل منها زاوية معالجة مميّزة تُثري الحقل المعرفي. ويظهر الاتجاه المكاني التحليلي الذي يعتمد أدوات نظم المعلومات الجغرافية والاستشعار عن بُعد في تشخيص الظاهرة، وقد قدّمه الزامل (2020أ) في دراسته لخصائص الانتشار المكاني للإسكان العشوائي في جدة، مُعتمدًا على منظور تحليلي مكاني، ومُوظّفًا مؤشرات تتصل بالكثافة والامتداد والتوزيع، وهو ما يُفيد الدراسة الحالية في فهم البُعد المكاني للمناطق العشوائية في جدة</w:t>
      </w:r>
      <w:r w:rsidRPr="00E755B4">
        <w:rPr>
          <w:rFonts w:ascii="Simplified Arabic" w:eastAsia="Times New Roman" w:hAnsi="Simplified Arabic" w:cs="Simplified Arabic"/>
          <w:color w:val="000000" w:themeColor="text1"/>
          <w:kern w:val="0"/>
          <w:sz w:val="28"/>
          <w:szCs w:val="28"/>
          <w14:ligatures w14:val="none"/>
        </w:rPr>
        <w:t>.</w:t>
      </w:r>
    </w:p>
    <w:p w14:paraId="357D744E"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 xml:space="preserve">ويبرز الاتجاه السياسي التنموي الذي يُقارب الظاهرة من زاوية السياسات العامة، وقد عرضه الزامل (2020ج) في تناوله لسياسات تأهيل المناطق العشوائية في عرعر، مُعتمدًا على منظور السياسات </w:t>
      </w:r>
      <w:r w:rsidRPr="00E755B4">
        <w:rPr>
          <w:rFonts w:ascii="Simplified Arabic" w:eastAsia="Times New Roman" w:hAnsi="Simplified Arabic" w:cs="Simplified Arabic"/>
          <w:color w:val="000000" w:themeColor="text1"/>
          <w:kern w:val="0"/>
          <w:sz w:val="28"/>
          <w:szCs w:val="28"/>
          <w:rtl/>
          <w14:ligatures w14:val="none"/>
        </w:rPr>
        <w:lastRenderedPageBreak/>
        <w:t>الحضرية، ومُوظّفًا متغيرات تتصل بأدوات السياسة وآليات تنفيذها، ويُقدّم هذا الاتجاه للدراسة الحالية إطارًا لفهم دور السياسات في معالجة الظاهرة في جدة. ويرتبط بهذا الاتجاه ما طرحته عبد الحميد (2024) من قراءة تربط السياسات العمرانية بجودة الحياة، مُعتمدة على منظور جودة الحياة الحضرية، ومُوظّفة مؤشرات تتصل بمكوّناتها المختلفة</w:t>
      </w:r>
      <w:r w:rsidRPr="00E755B4">
        <w:rPr>
          <w:rFonts w:ascii="Simplified Arabic" w:eastAsia="Times New Roman" w:hAnsi="Simplified Arabic" w:cs="Simplified Arabic"/>
          <w:color w:val="000000" w:themeColor="text1"/>
          <w:kern w:val="0"/>
          <w:sz w:val="28"/>
          <w:szCs w:val="28"/>
          <w14:ligatures w14:val="none"/>
        </w:rPr>
        <w:t>.</w:t>
      </w:r>
    </w:p>
    <w:p w14:paraId="28E3AD94"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ويلوح الاتجاه المستدام الذي يُدمج أبعاد الاستدامة في معالجة الظاهرة، وقد قدّمه الجبوري وآخرون (2025) في تناولهم للارتقاء العمراني نحو بيئة مستدامة، مُعتمدين على منظور التنمية المستدامة، ومُوظّفين مؤشرات تُغطّي الأبعاد الاقتصادية والاجتماعية والبيئية. ويرتبط بهذا الاتجاه ما قدّمه</w:t>
      </w:r>
      <w:r w:rsidRPr="00E755B4">
        <w:rPr>
          <w:rFonts w:ascii="Simplified Arabic" w:eastAsia="Times New Roman" w:hAnsi="Simplified Arabic" w:cs="Simplified Arabic"/>
          <w:color w:val="000000" w:themeColor="text1"/>
          <w:kern w:val="0"/>
          <w:sz w:val="28"/>
          <w:szCs w:val="28"/>
          <w14:ligatures w14:val="none"/>
        </w:rPr>
        <w:t xml:space="preserve"> Alqahtany &amp; Abubakar (2024) </w:t>
      </w:r>
      <w:r w:rsidRPr="00E755B4">
        <w:rPr>
          <w:rFonts w:ascii="Simplified Arabic" w:eastAsia="Times New Roman" w:hAnsi="Simplified Arabic" w:cs="Simplified Arabic"/>
          <w:color w:val="000000" w:themeColor="text1"/>
          <w:kern w:val="0"/>
          <w:sz w:val="28"/>
          <w:szCs w:val="28"/>
          <w:rtl/>
          <w14:ligatures w14:val="none"/>
        </w:rPr>
        <w:t>من قراءة لاستدامة التوسّع الحضري في المدن السعودية، مُوظّفًا مؤشرات تتصل بأنماط التوسّع وآثاره</w:t>
      </w:r>
      <w:r w:rsidRPr="00E755B4">
        <w:rPr>
          <w:rFonts w:ascii="Simplified Arabic" w:eastAsia="Times New Roman" w:hAnsi="Simplified Arabic" w:cs="Simplified Arabic"/>
          <w:color w:val="000000" w:themeColor="text1"/>
          <w:kern w:val="0"/>
          <w:sz w:val="28"/>
          <w:szCs w:val="28"/>
          <w14:ligatures w14:val="none"/>
        </w:rPr>
        <w:t>.</w:t>
      </w:r>
    </w:p>
    <w:p w14:paraId="4186C70E"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ويظهر الاتجاه الإشكالي البنيوي الذي يُقارب الظاهرة من زاوية أسبابها الهيكلية، وقد قدّمه</w:t>
      </w:r>
      <w:r w:rsidRPr="00E755B4">
        <w:rPr>
          <w:rFonts w:ascii="Simplified Arabic" w:eastAsia="Times New Roman" w:hAnsi="Simplified Arabic" w:cs="Simplified Arabic"/>
          <w:color w:val="000000" w:themeColor="text1"/>
          <w:kern w:val="0"/>
          <w:sz w:val="28"/>
          <w:szCs w:val="28"/>
          <w14:ligatures w14:val="none"/>
        </w:rPr>
        <w:t xml:space="preserve"> El-Shorbagy (2020) </w:t>
      </w:r>
      <w:r w:rsidRPr="00E755B4">
        <w:rPr>
          <w:rFonts w:ascii="Simplified Arabic" w:eastAsia="Times New Roman" w:hAnsi="Simplified Arabic" w:cs="Simplified Arabic"/>
          <w:color w:val="000000" w:themeColor="text1"/>
          <w:kern w:val="0"/>
          <w:sz w:val="28"/>
          <w:szCs w:val="28"/>
          <w:rtl/>
          <w14:ligatures w14:val="none"/>
        </w:rPr>
        <w:t>في دراسته لحي السبيل بجدة، مُعتمدًا على منظور نقدي، ومُوظّفًا متغيرات تتصل بأسباب نشأة المستوطنات غير المخططة وخصائصها. ويرتبط بهذا الاتجاه ما قدّمه</w:t>
      </w:r>
      <w:r w:rsidRPr="00E755B4">
        <w:rPr>
          <w:rFonts w:ascii="Simplified Arabic" w:eastAsia="Times New Roman" w:hAnsi="Simplified Arabic" w:cs="Simplified Arabic"/>
          <w:color w:val="000000" w:themeColor="text1"/>
          <w:kern w:val="0"/>
          <w:sz w:val="28"/>
          <w:szCs w:val="28"/>
          <w14:ligatures w14:val="none"/>
        </w:rPr>
        <w:t xml:space="preserve"> Alzamil (2025) </w:t>
      </w:r>
      <w:r w:rsidRPr="00E755B4">
        <w:rPr>
          <w:rFonts w:ascii="Simplified Arabic" w:eastAsia="Times New Roman" w:hAnsi="Simplified Arabic" w:cs="Simplified Arabic"/>
          <w:color w:val="000000" w:themeColor="text1"/>
          <w:kern w:val="0"/>
          <w:sz w:val="28"/>
          <w:szCs w:val="28"/>
          <w:rtl/>
          <w14:ligatures w14:val="none"/>
        </w:rPr>
        <w:t>من قراءة للإطار الإجرائي لترقية المستوطنات في مكة، مُعتمدًا على منظور تقييمي، ومُوظّفًا مؤشرات تتصل بمكوّنات الإطار الإجرائي</w:t>
      </w:r>
      <w:r w:rsidRPr="00E755B4">
        <w:rPr>
          <w:rFonts w:ascii="Simplified Arabic" w:eastAsia="Times New Roman" w:hAnsi="Simplified Arabic" w:cs="Simplified Arabic"/>
          <w:color w:val="000000" w:themeColor="text1"/>
          <w:kern w:val="0"/>
          <w:sz w:val="28"/>
          <w:szCs w:val="28"/>
          <w14:ligatures w14:val="none"/>
        </w:rPr>
        <w:t>.</w:t>
      </w:r>
    </w:p>
    <w:p w14:paraId="6A8F3814"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ويتضح الاتجاه التمكيني الاستثماري الذي يُقارب الظاهرة من زاوية إشراك القطاع الخاص، وقد قدّمه</w:t>
      </w:r>
      <w:r w:rsidRPr="00E755B4">
        <w:rPr>
          <w:rFonts w:ascii="Simplified Arabic" w:eastAsia="Times New Roman" w:hAnsi="Simplified Arabic" w:cs="Simplified Arabic"/>
          <w:color w:val="000000" w:themeColor="text1"/>
          <w:kern w:val="0"/>
          <w:sz w:val="28"/>
          <w:szCs w:val="28"/>
          <w14:ligatures w14:val="none"/>
        </w:rPr>
        <w:t xml:space="preserve"> Alhajri et al. (2024) </w:t>
      </w:r>
      <w:r w:rsidRPr="00E755B4">
        <w:rPr>
          <w:rFonts w:ascii="Simplified Arabic" w:eastAsia="Times New Roman" w:hAnsi="Simplified Arabic" w:cs="Simplified Arabic"/>
          <w:color w:val="000000" w:themeColor="text1"/>
          <w:kern w:val="0"/>
          <w:sz w:val="28"/>
          <w:szCs w:val="28"/>
          <w:rtl/>
          <w14:ligatures w14:val="none"/>
        </w:rPr>
        <w:t>في تناوله لتحوّل قطاع الإسكان السعودي عبر المقاربة التمكينية، مُعتمدًا على منظور التمكين، ومُوظّفًا متغيرات تتصل بأدوات التمكين ومخرجاته. ويرتبط بهذا الاتجاه ما قدّمه</w:t>
      </w:r>
      <w:r w:rsidRPr="00E755B4">
        <w:rPr>
          <w:rFonts w:ascii="Simplified Arabic" w:eastAsia="Times New Roman" w:hAnsi="Simplified Arabic" w:cs="Simplified Arabic"/>
          <w:color w:val="000000" w:themeColor="text1"/>
          <w:kern w:val="0"/>
          <w:sz w:val="28"/>
          <w:szCs w:val="28"/>
          <w14:ligatures w14:val="none"/>
        </w:rPr>
        <w:t xml:space="preserve"> AlQahtany (2022) </w:t>
      </w:r>
      <w:r w:rsidRPr="00E755B4">
        <w:rPr>
          <w:rFonts w:ascii="Simplified Arabic" w:eastAsia="Times New Roman" w:hAnsi="Simplified Arabic" w:cs="Simplified Arabic"/>
          <w:color w:val="000000" w:themeColor="text1"/>
          <w:kern w:val="0"/>
          <w:sz w:val="28"/>
          <w:szCs w:val="28"/>
          <w:rtl/>
          <w14:ligatures w14:val="none"/>
        </w:rPr>
        <w:t>من قراءة للتحديات والبرامج المتصلة بالإسكان الميسور، مُعتمدًا على منظور الوصول إلى السكن، ومُوظّفًا مؤشرات تتصل بميسورية السكن</w:t>
      </w:r>
      <w:r w:rsidRPr="00E755B4">
        <w:rPr>
          <w:rFonts w:ascii="Simplified Arabic" w:eastAsia="Times New Roman" w:hAnsi="Simplified Arabic" w:cs="Simplified Arabic"/>
          <w:color w:val="000000" w:themeColor="text1"/>
          <w:kern w:val="0"/>
          <w:sz w:val="28"/>
          <w:szCs w:val="28"/>
          <w14:ligatures w14:val="none"/>
        </w:rPr>
        <w:t>.</w:t>
      </w:r>
    </w:p>
    <w:p w14:paraId="136748DC"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ويبرز الاتجاه الإداري الاستراتيجي الذي يُقارب إدارة العقارات من زاوية استراتيجية، وقد قدّمه</w:t>
      </w:r>
      <w:r w:rsidRPr="00E755B4">
        <w:rPr>
          <w:rFonts w:ascii="Simplified Arabic" w:eastAsia="Times New Roman" w:hAnsi="Simplified Arabic" w:cs="Simplified Arabic"/>
          <w:color w:val="000000" w:themeColor="text1"/>
          <w:kern w:val="0"/>
          <w:sz w:val="28"/>
          <w:szCs w:val="28"/>
          <w14:ligatures w14:val="none"/>
        </w:rPr>
        <w:t xml:space="preserve"> Eng (2023) </w:t>
      </w:r>
      <w:r w:rsidRPr="00E755B4">
        <w:rPr>
          <w:rFonts w:ascii="Simplified Arabic" w:eastAsia="Times New Roman" w:hAnsi="Simplified Arabic" w:cs="Simplified Arabic"/>
          <w:color w:val="000000" w:themeColor="text1"/>
          <w:kern w:val="0"/>
          <w:sz w:val="28"/>
          <w:szCs w:val="28"/>
          <w:rtl/>
          <w14:ligatures w14:val="none"/>
        </w:rPr>
        <w:t>في تناوله لاستراتيجيات إدارة العقارات في العقد القادم، مُعتمدًا على منظور الإدارة الاستراتيجية، ومُوظّفًا متغيرات تتصل بالتوجهات المستقبلية للقطاع. ويرتبط بهذا الاتجاه ما قدّمه</w:t>
      </w:r>
      <w:r w:rsidRPr="00E755B4">
        <w:rPr>
          <w:rFonts w:ascii="Simplified Arabic" w:eastAsia="Times New Roman" w:hAnsi="Simplified Arabic" w:cs="Simplified Arabic"/>
          <w:color w:val="000000" w:themeColor="text1"/>
          <w:kern w:val="0"/>
          <w:sz w:val="28"/>
          <w:szCs w:val="28"/>
          <w14:ligatures w14:val="none"/>
        </w:rPr>
        <w:t xml:space="preserve"> Wanxin (2023) </w:t>
      </w:r>
      <w:r w:rsidRPr="00E755B4">
        <w:rPr>
          <w:rFonts w:ascii="Simplified Arabic" w:eastAsia="Times New Roman" w:hAnsi="Simplified Arabic" w:cs="Simplified Arabic"/>
          <w:color w:val="000000" w:themeColor="text1"/>
          <w:kern w:val="0"/>
          <w:sz w:val="28"/>
          <w:szCs w:val="28"/>
          <w:rtl/>
          <w14:ligatures w14:val="none"/>
        </w:rPr>
        <w:t>من قراءة لإدارة العمليات في المؤسسات العقارية، مُعتمدًا على منظور إدارة العمليات، ومُوظّفًا مؤشرات تتصل بالكفاءة التشغيلية. ويُكمل</w:t>
      </w:r>
      <w:r w:rsidRPr="00E755B4">
        <w:rPr>
          <w:rFonts w:ascii="Simplified Arabic" w:eastAsia="Times New Roman" w:hAnsi="Simplified Arabic" w:cs="Simplified Arabic"/>
          <w:color w:val="000000" w:themeColor="text1"/>
          <w:kern w:val="0"/>
          <w:sz w:val="28"/>
          <w:szCs w:val="28"/>
          <w14:ligatures w14:val="none"/>
        </w:rPr>
        <w:t xml:space="preserve"> Rosynskyi (2023) </w:t>
      </w:r>
      <w:r w:rsidRPr="00E755B4">
        <w:rPr>
          <w:rFonts w:ascii="Simplified Arabic" w:eastAsia="Times New Roman" w:hAnsi="Simplified Arabic" w:cs="Simplified Arabic"/>
          <w:color w:val="000000" w:themeColor="text1"/>
          <w:kern w:val="0"/>
          <w:sz w:val="28"/>
          <w:szCs w:val="28"/>
          <w:rtl/>
          <w14:ligatures w14:val="none"/>
        </w:rPr>
        <w:t xml:space="preserve">هذه المقاربة ببُعد </w:t>
      </w:r>
      <w:r w:rsidRPr="00E755B4">
        <w:rPr>
          <w:rFonts w:ascii="Simplified Arabic" w:eastAsia="Times New Roman" w:hAnsi="Simplified Arabic" w:cs="Simplified Arabic"/>
          <w:color w:val="000000" w:themeColor="text1"/>
          <w:kern w:val="0"/>
          <w:sz w:val="28"/>
          <w:szCs w:val="28"/>
          <w:rtl/>
          <w14:ligatures w14:val="none"/>
        </w:rPr>
        <w:lastRenderedPageBreak/>
        <w:t>تكنولوجي يتصل بتوظيف الأتمتة والذكاء الاصطناعي في إدارة شركات التطوير العقاري، مُعتمدًا على منظور التحوّل الرقمي، ومُوظّفًا مؤشرات تتصل بنضج التبنّي التقني</w:t>
      </w:r>
      <w:r w:rsidRPr="00E755B4">
        <w:rPr>
          <w:rFonts w:ascii="Simplified Arabic" w:eastAsia="Times New Roman" w:hAnsi="Simplified Arabic" w:cs="Simplified Arabic"/>
          <w:color w:val="000000" w:themeColor="text1"/>
          <w:kern w:val="0"/>
          <w:sz w:val="28"/>
          <w:szCs w:val="28"/>
          <w14:ligatures w14:val="none"/>
        </w:rPr>
        <w:t>.</w:t>
      </w:r>
    </w:p>
    <w:p w14:paraId="7C62E17B"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ويظهر الاتجاه القانوني التنظيمي الذي يُقارب الظاهرة من زاوية الأطر التشريعية، وقد قدّمته حسن (2026) في تناولها للتنظيمات القانونية للمعاملات العقارية التجارية، مُعتمدة على منظور قانوني، ومُوظّفة متغيرات تتصل بالأدوات التنظيمية. ويرتبط بهذا الاتجاه ما قدّمه</w:t>
      </w:r>
      <w:r w:rsidRPr="00E755B4">
        <w:rPr>
          <w:rFonts w:ascii="Simplified Arabic" w:eastAsia="Times New Roman" w:hAnsi="Simplified Arabic" w:cs="Simplified Arabic"/>
          <w:color w:val="000000" w:themeColor="text1"/>
          <w:kern w:val="0"/>
          <w:sz w:val="28"/>
          <w:szCs w:val="28"/>
          <w14:ligatures w14:val="none"/>
        </w:rPr>
        <w:t xml:space="preserve"> Budkowski et al. (2025) </w:t>
      </w:r>
      <w:r w:rsidRPr="00E755B4">
        <w:rPr>
          <w:rFonts w:ascii="Simplified Arabic" w:eastAsia="Times New Roman" w:hAnsi="Simplified Arabic" w:cs="Simplified Arabic"/>
          <w:color w:val="000000" w:themeColor="text1"/>
          <w:kern w:val="0"/>
          <w:sz w:val="28"/>
          <w:szCs w:val="28"/>
          <w:rtl/>
          <w14:ligatures w14:val="none"/>
        </w:rPr>
        <w:t>من قراءة لإشكاليات تنظيم الوضع القانوني للعقار، مُعتمدين على منظور تحليلي قانوني. ويُكمل</w:t>
      </w:r>
      <w:r w:rsidRPr="00E755B4">
        <w:rPr>
          <w:rFonts w:ascii="Simplified Arabic" w:eastAsia="Times New Roman" w:hAnsi="Simplified Arabic" w:cs="Simplified Arabic"/>
          <w:color w:val="000000" w:themeColor="text1"/>
          <w:kern w:val="0"/>
          <w:sz w:val="28"/>
          <w:szCs w:val="28"/>
          <w14:ligatures w14:val="none"/>
        </w:rPr>
        <w:t xml:space="preserve"> Kumar (2024) </w:t>
      </w:r>
      <w:r w:rsidRPr="00E755B4">
        <w:rPr>
          <w:rFonts w:ascii="Simplified Arabic" w:eastAsia="Times New Roman" w:hAnsi="Simplified Arabic" w:cs="Simplified Arabic"/>
          <w:color w:val="000000" w:themeColor="text1"/>
          <w:kern w:val="0"/>
          <w:sz w:val="28"/>
          <w:szCs w:val="28"/>
          <w:rtl/>
          <w14:ligatures w14:val="none"/>
        </w:rPr>
        <w:t>هذه المقاربة ببُعد أخلاقي يتصل بدور الممارسين القانونيين في تعزيز الامتثال والمعايير الأخلاقية في القطاع</w:t>
      </w:r>
      <w:r w:rsidRPr="00E755B4">
        <w:rPr>
          <w:rFonts w:ascii="Simplified Arabic" w:eastAsia="Times New Roman" w:hAnsi="Simplified Arabic" w:cs="Simplified Arabic"/>
          <w:color w:val="000000" w:themeColor="text1"/>
          <w:kern w:val="0"/>
          <w:sz w:val="28"/>
          <w:szCs w:val="28"/>
          <w14:ligatures w14:val="none"/>
        </w:rPr>
        <w:t>.</w:t>
      </w:r>
    </w:p>
    <w:p w14:paraId="78712969" w14:textId="77777777" w:rsidR="001A2CD7" w:rsidRPr="00E755B4" w:rsidRDefault="001A2CD7" w:rsidP="00127C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755B4">
        <w:rPr>
          <w:rFonts w:ascii="Simplified Arabic" w:eastAsia="Times New Roman" w:hAnsi="Simplified Arabic" w:cs="Simplified Arabic"/>
          <w:color w:val="000000" w:themeColor="text1"/>
          <w:kern w:val="0"/>
          <w:sz w:val="28"/>
          <w:szCs w:val="28"/>
          <w:rtl/>
          <w14:ligatures w14:val="none"/>
        </w:rPr>
        <w:t>ويُثري تعدد هذه الاتجاهات الإطار النظري للدراسة الحالية، إذ يُتيح مقاربة المتغير التابع من زوايا متكاملة تجمع بين البُعد المكاني والسياسي والمستدام والإشكالي والتمكيني والإداري والقانوني، بما يُوفّر أرضية معرفية غنية لفهم عملية تطوير وإدارة العقارات في المناطق العشوائية بمدينة جدة، وربطها بالمنظومة التشريعية المتناولة في المبحث الأول</w:t>
      </w:r>
      <w:r w:rsidRPr="00E755B4">
        <w:rPr>
          <w:rFonts w:ascii="Simplified Arabic" w:eastAsia="Times New Roman" w:hAnsi="Simplified Arabic" w:cs="Simplified Arabic"/>
          <w:color w:val="000000" w:themeColor="text1"/>
          <w:kern w:val="0"/>
          <w:sz w:val="28"/>
          <w:szCs w:val="28"/>
          <w14:ligatures w14:val="none"/>
        </w:rPr>
        <w:t>.</w:t>
      </w:r>
    </w:p>
    <w:p w14:paraId="580E9146" w14:textId="0D0B1DF8" w:rsidR="00FE440D" w:rsidRPr="00E755B4" w:rsidRDefault="00127C3D" w:rsidP="00D72629">
      <w:pPr>
        <w:jc w:val="center"/>
        <w:outlineLvl w:val="0"/>
        <w:rPr>
          <w:rFonts w:ascii="Simplified Arabic" w:hAnsi="Simplified Arabic" w:cs="Simplified Arabic"/>
          <w:b/>
          <w:bCs/>
          <w:color w:val="000000" w:themeColor="text1"/>
          <w:szCs w:val="28"/>
          <w:rtl/>
        </w:rPr>
        <w:sectPr w:rsidR="00FE440D" w:rsidRPr="00E755B4" w:rsidSect="00B51676">
          <w:footerReference w:type="default" r:id="rId10"/>
          <w:pgSz w:w="11906" w:h="16838" w:code="9"/>
          <w:pgMar w:top="1134" w:right="1701" w:bottom="1134" w:left="1134" w:header="720" w:footer="720" w:gutter="0"/>
          <w:pgNumType w:start="1"/>
          <w:cols w:space="708"/>
          <w:bidi/>
          <w:rtlGutter/>
          <w:docGrid w:linePitch="360"/>
        </w:sectPr>
      </w:pPr>
      <w:r w:rsidRPr="00E755B4">
        <w:rPr>
          <w:rFonts w:ascii="Simplified Arabic" w:eastAsia="Times New Roman" w:hAnsi="Simplified Arabic" w:cs="Simplified Arabic"/>
          <w:b/>
          <w:bCs/>
          <w:color w:val="000000" w:themeColor="text1"/>
          <w:kern w:val="0"/>
          <w:sz w:val="40"/>
          <w:szCs w:val="40"/>
          <w:rtl/>
          <w14:ligatures w14:val="none"/>
        </w:rPr>
        <w:br w:type="page"/>
      </w:r>
      <w:bookmarkStart w:id="55" w:name="_GoBack"/>
      <w:bookmarkEnd w:id="29"/>
      <w:bookmarkEnd w:id="55"/>
    </w:p>
    <w:p w14:paraId="29D4231B" w14:textId="71AF7253" w:rsidR="0081623B" w:rsidRPr="00E755B4" w:rsidRDefault="00E27D3B" w:rsidP="00B5167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755B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E9B4B80">
            <wp:simplePos x="0" y="0"/>
            <wp:positionH relativeFrom="column">
              <wp:posOffset>4080510</wp:posOffset>
            </wp:positionH>
            <wp:positionV relativeFrom="paragraph">
              <wp:posOffset>0</wp:posOffset>
            </wp:positionV>
            <wp:extent cx="1560195" cy="1444625"/>
            <wp:effectExtent l="0" t="0" r="1905" b="3175"/>
            <wp:wrapTight wrapText="bothSides">
              <wp:wrapPolygon edited="0">
                <wp:start x="0" y="0"/>
                <wp:lineTo x="0" y="21363"/>
                <wp:lineTo x="21363" y="21363"/>
                <wp:lineTo x="2136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195" cy="1444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755B4">
        <w:rPr>
          <w:rFonts w:asciiTheme="majorBidi" w:eastAsia="Calibri" w:hAnsiTheme="majorBidi" w:cstheme="majorBidi"/>
          <w:b/>
          <w:bCs/>
          <w:color w:val="000000" w:themeColor="text1"/>
          <w:kern w:val="0"/>
          <w:sz w:val="32"/>
          <w:szCs w:val="32"/>
          <w:lang w:bidi="ar-EG"/>
          <w14:ligatures w14:val="none"/>
        </w:rPr>
        <w:t>Mid</w:t>
      </w:r>
      <w:r w:rsidR="000D353F" w:rsidRPr="00E755B4">
        <w:rPr>
          <w:rFonts w:asciiTheme="majorBidi" w:eastAsia="Calibri" w:hAnsiTheme="majorBidi" w:cstheme="majorBidi"/>
          <w:b/>
          <w:bCs/>
          <w:color w:val="000000" w:themeColor="text1"/>
          <w:kern w:val="0"/>
          <w:sz w:val="32"/>
          <w:szCs w:val="32"/>
          <w:lang w:bidi="ar-EG"/>
          <w14:ligatures w14:val="none"/>
        </w:rPr>
        <w:t xml:space="preserve"> </w:t>
      </w:r>
      <w:r w:rsidR="0081623B" w:rsidRPr="00E755B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E755B4" w:rsidRDefault="0081623B" w:rsidP="00B5167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E755B4">
        <w:rPr>
          <w:rFonts w:asciiTheme="majorBidi" w:eastAsia="Calibri" w:hAnsiTheme="majorBidi" w:cstheme="majorBidi"/>
          <w:b/>
          <w:bCs/>
          <w:color w:val="000000" w:themeColor="text1"/>
          <w:kern w:val="0"/>
          <w:sz w:val="32"/>
          <w:szCs w:val="32"/>
          <w:lang w:bidi="ar-EG"/>
          <w14:ligatures w14:val="none"/>
        </w:rPr>
        <w:t>College of Management</w:t>
      </w:r>
    </w:p>
    <w:p w14:paraId="7FBA12DE" w14:textId="4BDCA438" w:rsidR="001F6202" w:rsidRPr="00E755B4" w:rsidRDefault="00A077DA" w:rsidP="00B5167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E755B4">
        <w:rPr>
          <w:rFonts w:asciiTheme="majorBidi" w:eastAsia="Calibri" w:hAnsiTheme="majorBidi" w:cstheme="majorBidi"/>
          <w:b/>
          <w:bCs/>
          <w:color w:val="000000" w:themeColor="text1"/>
          <w:kern w:val="0"/>
          <w:sz w:val="32"/>
          <w:szCs w:val="32"/>
          <w:lang w:bidi="ar-EG"/>
          <w14:ligatures w14:val="none"/>
        </w:rPr>
        <w:t>Master of Real Estate Management</w:t>
      </w:r>
    </w:p>
    <w:p w14:paraId="6C1C120D" w14:textId="77777777" w:rsidR="00A077DA" w:rsidRPr="00E755B4" w:rsidRDefault="00A077DA" w:rsidP="00B516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14:ligatures w14:val="none"/>
        </w:rPr>
      </w:pPr>
    </w:p>
    <w:p w14:paraId="3964860A" w14:textId="77777777" w:rsidR="003E44EC" w:rsidRPr="00E755B4" w:rsidRDefault="003E44EC" w:rsidP="00FE440D">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E755B4">
        <w:rPr>
          <w:rFonts w:asciiTheme="majorBidi" w:eastAsia="Calibri" w:hAnsiTheme="majorBidi" w:cstheme="majorBidi"/>
          <w:b/>
          <w:bCs/>
          <w:color w:val="000000" w:themeColor="text1"/>
          <w:kern w:val="0"/>
          <w:sz w:val="40"/>
          <w:szCs w:val="40"/>
          <w:lang w:bidi="ar-EG"/>
          <w14:ligatures w14:val="none"/>
        </w:rPr>
        <w:t>The Role of New Regulations and Legislation in the Development and Management of Real Estate in Informal Settlements in Jeddah: An Applied Study to Explore Opportunities and Alternatives</w:t>
      </w:r>
    </w:p>
    <w:p w14:paraId="2432CF79" w14:textId="77777777" w:rsidR="00FE440D" w:rsidRPr="00E755B4" w:rsidRDefault="00FE440D" w:rsidP="00FE440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72DA72E" w:rsidR="000D353F" w:rsidRPr="00E755B4" w:rsidRDefault="000D353F" w:rsidP="00FE440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E755B4">
        <w:rPr>
          <w:rFonts w:asciiTheme="majorBidi" w:eastAsia="Calibri" w:hAnsiTheme="majorBidi" w:cstheme="majorBidi"/>
          <w:b/>
          <w:bCs/>
          <w:color w:val="000000" w:themeColor="text1"/>
          <w:kern w:val="0"/>
          <w:sz w:val="36"/>
          <w:szCs w:val="36"/>
          <w:lang w:bidi="ar-EG"/>
          <w14:ligatures w14:val="none"/>
        </w:rPr>
        <w:t>Prepared by:</w:t>
      </w:r>
    </w:p>
    <w:p w14:paraId="3ABFC35D" w14:textId="77777777" w:rsidR="00FE440D" w:rsidRPr="00E755B4" w:rsidRDefault="00FE440D" w:rsidP="00FE440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69B6917D" w14:textId="77777777" w:rsidR="00FE440D" w:rsidRPr="00E755B4" w:rsidRDefault="00FE440D" w:rsidP="00FE440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E755B4" w:rsidRPr="00E755B4" w14:paraId="1223E0CA" w14:textId="77777777" w:rsidTr="00E1049C">
        <w:tc>
          <w:tcPr>
            <w:tcW w:w="4530" w:type="dxa"/>
          </w:tcPr>
          <w:p w14:paraId="1E9F3C96" w14:textId="77777777" w:rsidR="00FE440D" w:rsidRPr="00E755B4" w:rsidRDefault="00FE440D" w:rsidP="00E1049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755B4">
              <w:rPr>
                <w:rFonts w:asciiTheme="majorBidi" w:eastAsia="Calibri" w:hAnsiTheme="majorBidi" w:cstheme="majorBidi"/>
                <w:b/>
                <w:bCs/>
                <w:color w:val="000000" w:themeColor="text1"/>
                <w:kern w:val="0"/>
                <w:sz w:val="36"/>
                <w:szCs w:val="36"/>
                <w:lang w:bidi="ar-EG"/>
                <w14:ligatures w14:val="none"/>
              </w:rPr>
              <w:t>Main supervisor</w:t>
            </w:r>
            <w:r w:rsidRPr="00E755B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DE415C4" w14:textId="77777777" w:rsidR="00FE440D" w:rsidRPr="00E755B4" w:rsidRDefault="00FE440D" w:rsidP="00E1049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755B4">
              <w:rPr>
                <w:rFonts w:asciiTheme="majorBidi" w:eastAsia="Calibri" w:hAnsiTheme="majorBidi" w:cstheme="majorBidi"/>
                <w:b/>
                <w:bCs/>
                <w:color w:val="000000" w:themeColor="text1"/>
                <w:kern w:val="0"/>
                <w:sz w:val="36"/>
                <w:szCs w:val="36"/>
                <w:lang w:bidi="ar-EG"/>
                <w14:ligatures w14:val="none"/>
              </w:rPr>
              <w:t>Second supervisor</w:t>
            </w:r>
            <w:r w:rsidRPr="00E755B4">
              <w:rPr>
                <w:rFonts w:asciiTheme="majorBidi" w:eastAsia="Calibri" w:hAnsiTheme="majorBidi" w:cstheme="majorBidi"/>
                <w:b/>
                <w:bCs/>
                <w:color w:val="000000" w:themeColor="text1"/>
                <w:kern w:val="0"/>
                <w:sz w:val="36"/>
                <w:szCs w:val="36"/>
                <w:rtl/>
                <w:lang w:bidi="ar-EG"/>
                <w14:ligatures w14:val="none"/>
              </w:rPr>
              <w:t>/</w:t>
            </w:r>
          </w:p>
        </w:tc>
      </w:tr>
      <w:tr w:rsidR="00E755B4" w:rsidRPr="00E755B4" w14:paraId="171E4811" w14:textId="77777777" w:rsidTr="00E1049C">
        <w:tc>
          <w:tcPr>
            <w:tcW w:w="4530" w:type="dxa"/>
          </w:tcPr>
          <w:p w14:paraId="05735E08" w14:textId="77777777" w:rsidR="00FE440D" w:rsidRPr="00E755B4" w:rsidRDefault="00FE440D" w:rsidP="00E1049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755B4">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5EB18AC" w14:textId="77777777" w:rsidR="00FE440D" w:rsidRPr="00E755B4" w:rsidRDefault="00FE440D" w:rsidP="00E1049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755B4">
              <w:rPr>
                <w:rFonts w:asciiTheme="majorBidi" w:eastAsia="Calibri" w:hAnsiTheme="majorBidi" w:cstheme="majorBidi"/>
                <w:color w:val="000000" w:themeColor="text1"/>
                <w:kern w:val="0"/>
                <w:sz w:val="36"/>
                <w:szCs w:val="36"/>
                <w:lang w:bidi="ar-EG"/>
                <w14:ligatures w14:val="none"/>
              </w:rPr>
              <w:t>Dr. Fayez Jarad</w:t>
            </w:r>
          </w:p>
        </w:tc>
      </w:tr>
    </w:tbl>
    <w:p w14:paraId="7FBF75E2" w14:textId="77777777" w:rsidR="00FE440D" w:rsidRPr="00E755B4" w:rsidRDefault="00FE440D" w:rsidP="00FE440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F1A6AC4" w14:textId="77777777" w:rsidR="00FE440D" w:rsidRPr="00E755B4" w:rsidRDefault="00FE440D" w:rsidP="00FE440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E755B4">
        <w:rPr>
          <w:rFonts w:asciiTheme="majorBidi" w:eastAsia="Calibri" w:hAnsiTheme="majorBidi" w:cstheme="majorBidi"/>
          <w:color w:val="000000" w:themeColor="text1"/>
          <w:kern w:val="0"/>
          <w:sz w:val="36"/>
          <w:szCs w:val="36"/>
          <w:rtl/>
          <w:lang w:bidi="ar-EG"/>
          <w14:ligatures w14:val="none"/>
        </w:rPr>
        <w:t>1448 – 2026</w:t>
      </w:r>
    </w:p>
    <w:p w14:paraId="1BF845EC" w14:textId="77777777" w:rsidR="00FE440D" w:rsidRPr="00E755B4" w:rsidRDefault="00FE440D" w:rsidP="00FE440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FCB161B" w:rsidR="00646233" w:rsidRPr="00E755B4" w:rsidRDefault="00646233" w:rsidP="00B516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E755B4" w:rsidRDefault="00E27D3B" w:rsidP="00B5167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7FED040" w:rsidR="009125CE" w:rsidRPr="00E755B4" w:rsidRDefault="009125CE" w:rsidP="00B51676">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E755B4" w:rsidSect="00B51676">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E500D" w14:textId="77777777" w:rsidR="00837CB7" w:rsidRDefault="00837CB7" w:rsidP="009125CE">
      <w:pPr>
        <w:spacing w:after="0" w:line="240" w:lineRule="auto"/>
      </w:pPr>
      <w:r>
        <w:separator/>
      </w:r>
    </w:p>
  </w:endnote>
  <w:endnote w:type="continuationSeparator" w:id="0">
    <w:p w14:paraId="336BF39C" w14:textId="77777777" w:rsidR="00837CB7" w:rsidRDefault="00837CB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39383293"/>
      <w:docPartObj>
        <w:docPartGallery w:val="Page Numbers (Bottom of Page)"/>
        <w:docPartUnique/>
      </w:docPartObj>
    </w:sdtPr>
    <w:sdtEndPr>
      <w:rPr>
        <w:rFonts w:ascii="Simplified Arabic" w:hAnsi="Simplified Arabic" w:cs="Simplified Arabic"/>
        <w:b/>
        <w:bCs/>
        <w:noProof/>
        <w:sz w:val="24"/>
        <w:szCs w:val="24"/>
      </w:rPr>
    </w:sdtEndPr>
    <w:sdtContent>
      <w:p w14:paraId="68217D72" w14:textId="70117EB0" w:rsidR="00B51676" w:rsidRDefault="00B51676">
        <w:pPr>
          <w:pStyle w:val="Footer"/>
          <w:jc w:val="center"/>
        </w:pPr>
      </w:p>
      <w:p w14:paraId="13047AE1" w14:textId="4CFFAF86" w:rsidR="00C83C91" w:rsidRPr="00B51676" w:rsidRDefault="00B51676" w:rsidP="00B51676">
        <w:pPr>
          <w:pStyle w:val="Footer"/>
          <w:tabs>
            <w:tab w:val="left" w:pos="4067"/>
            <w:tab w:val="center" w:pos="4535"/>
          </w:tabs>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3197309"/>
      <w:docPartObj>
        <w:docPartGallery w:val="Page Numbers (Bottom of Page)"/>
        <w:docPartUnique/>
      </w:docPartObj>
    </w:sdtPr>
    <w:sdtEndPr>
      <w:rPr>
        <w:rFonts w:ascii="Simplified Arabic" w:hAnsi="Simplified Arabic" w:cs="Simplified Arabic"/>
        <w:b/>
        <w:bCs/>
        <w:noProof/>
        <w:sz w:val="24"/>
        <w:szCs w:val="24"/>
      </w:rPr>
    </w:sdtEndPr>
    <w:sdtContent>
      <w:p w14:paraId="46628F31" w14:textId="77777777" w:rsidR="00B51676" w:rsidRDefault="00B51676">
        <w:pPr>
          <w:pStyle w:val="Footer"/>
          <w:jc w:val="center"/>
        </w:pPr>
        <w:r>
          <w:rPr>
            <w:noProof/>
          </w:rPr>
          <mc:AlternateContent>
            <mc:Choice Requires="wps">
              <w:drawing>
                <wp:inline distT="0" distB="0" distL="0" distR="0" wp14:anchorId="2B7F592E" wp14:editId="4F8CFA8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1D2D3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E1C3739" w14:textId="77777777" w:rsidR="00B51676" w:rsidRPr="00B51676" w:rsidRDefault="00B51676" w:rsidP="00B51676">
        <w:pPr>
          <w:pStyle w:val="Footer"/>
          <w:tabs>
            <w:tab w:val="left" w:pos="4067"/>
            <w:tab w:val="center" w:pos="4535"/>
          </w:tabs>
          <w:rPr>
            <w:rFonts w:ascii="Simplified Arabic" w:hAnsi="Simplified Arabic" w:cs="Simplified Arabic"/>
            <w:b/>
            <w:bCs/>
            <w:sz w:val="24"/>
            <w:szCs w:val="24"/>
          </w:rPr>
        </w:pPr>
        <w:r w:rsidRPr="00B51676">
          <w:rPr>
            <w:rFonts w:ascii="Simplified Arabic" w:hAnsi="Simplified Arabic" w:cs="Simplified Arabic"/>
            <w:b/>
            <w:bCs/>
            <w:sz w:val="24"/>
            <w:szCs w:val="24"/>
          </w:rPr>
          <w:tab/>
        </w:r>
        <w:r w:rsidRPr="00B51676">
          <w:rPr>
            <w:rFonts w:ascii="Simplified Arabic" w:hAnsi="Simplified Arabic" w:cs="Simplified Arabic"/>
            <w:b/>
            <w:bCs/>
            <w:sz w:val="24"/>
            <w:szCs w:val="24"/>
          </w:rPr>
          <w:tab/>
        </w:r>
        <w:r w:rsidRPr="00B51676">
          <w:rPr>
            <w:rFonts w:ascii="Simplified Arabic" w:hAnsi="Simplified Arabic" w:cs="Simplified Arabic"/>
            <w:b/>
            <w:bCs/>
            <w:sz w:val="24"/>
            <w:szCs w:val="24"/>
          </w:rPr>
          <w:tab/>
        </w:r>
        <w:r w:rsidRPr="00B51676">
          <w:rPr>
            <w:rFonts w:ascii="Simplified Arabic" w:hAnsi="Simplified Arabic" w:cs="Simplified Arabic"/>
            <w:b/>
            <w:bCs/>
            <w:sz w:val="24"/>
            <w:szCs w:val="24"/>
          </w:rPr>
          <w:fldChar w:fldCharType="begin"/>
        </w:r>
        <w:r w:rsidRPr="00B51676">
          <w:rPr>
            <w:rFonts w:ascii="Simplified Arabic" w:hAnsi="Simplified Arabic" w:cs="Simplified Arabic"/>
            <w:b/>
            <w:bCs/>
            <w:sz w:val="24"/>
            <w:szCs w:val="24"/>
          </w:rPr>
          <w:instrText xml:space="preserve"> PAGE    \* MERGEFORMAT </w:instrText>
        </w:r>
        <w:r w:rsidRPr="00B51676">
          <w:rPr>
            <w:rFonts w:ascii="Simplified Arabic" w:hAnsi="Simplified Arabic" w:cs="Simplified Arabic"/>
            <w:b/>
            <w:bCs/>
            <w:sz w:val="24"/>
            <w:szCs w:val="24"/>
          </w:rPr>
          <w:fldChar w:fldCharType="separate"/>
        </w:r>
        <w:r w:rsidR="00D72629">
          <w:rPr>
            <w:rFonts w:ascii="Simplified Arabic" w:hAnsi="Simplified Arabic" w:cs="Simplified Arabic"/>
            <w:b/>
            <w:bCs/>
            <w:noProof/>
            <w:sz w:val="24"/>
            <w:szCs w:val="24"/>
            <w:rtl/>
          </w:rPr>
          <w:t>40</w:t>
        </w:r>
        <w:r w:rsidRPr="00B51676">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5555B" w14:textId="3021078B" w:rsidR="00FE440D" w:rsidRPr="00B51676" w:rsidRDefault="00FE440D" w:rsidP="00FE440D">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FBFD5" w14:textId="77777777" w:rsidR="00837CB7" w:rsidRDefault="00837CB7" w:rsidP="009125CE">
      <w:pPr>
        <w:spacing w:after="0" w:line="240" w:lineRule="auto"/>
      </w:pPr>
      <w:r>
        <w:separator/>
      </w:r>
    </w:p>
  </w:footnote>
  <w:footnote w:type="continuationSeparator" w:id="0">
    <w:p w14:paraId="1637B6C7" w14:textId="77777777" w:rsidR="00837CB7" w:rsidRDefault="00837CB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9447B"/>
    <w:multiLevelType w:val="hybridMultilevel"/>
    <w:tmpl w:val="BCB4B5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8DA6CD2"/>
    <w:multiLevelType w:val="hybridMultilevel"/>
    <w:tmpl w:val="0290AF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A95CD2"/>
    <w:multiLevelType w:val="hybridMultilevel"/>
    <w:tmpl w:val="579437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813943"/>
    <w:multiLevelType w:val="hybridMultilevel"/>
    <w:tmpl w:val="164CB1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B50E55"/>
    <w:multiLevelType w:val="hybridMultilevel"/>
    <w:tmpl w:val="EE1654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2983B1E"/>
    <w:multiLevelType w:val="hybridMultilevel"/>
    <w:tmpl w:val="D2B625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5235EB"/>
    <w:multiLevelType w:val="hybridMultilevel"/>
    <w:tmpl w:val="5E86D4C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FAD572B"/>
    <w:multiLevelType w:val="hybridMultilevel"/>
    <w:tmpl w:val="9D88DB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7"/>
  </w:num>
  <w:num w:numId="5">
    <w:abstractNumId w:val="3"/>
  </w:num>
  <w:num w:numId="6">
    <w:abstractNumId w:val="5"/>
  </w:num>
  <w:num w:numId="7">
    <w:abstractNumId w:val="6"/>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63D5"/>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27C3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2CD7"/>
    <w:rsid w:val="001A41B9"/>
    <w:rsid w:val="001A5094"/>
    <w:rsid w:val="001B0D06"/>
    <w:rsid w:val="001B12B3"/>
    <w:rsid w:val="001B6D18"/>
    <w:rsid w:val="001B7151"/>
    <w:rsid w:val="001C2162"/>
    <w:rsid w:val="001C42F9"/>
    <w:rsid w:val="001D4406"/>
    <w:rsid w:val="001E7B16"/>
    <w:rsid w:val="001F0034"/>
    <w:rsid w:val="001F159D"/>
    <w:rsid w:val="001F46A5"/>
    <w:rsid w:val="001F6202"/>
    <w:rsid w:val="0020539A"/>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B17"/>
    <w:rsid w:val="002E36BC"/>
    <w:rsid w:val="002E4629"/>
    <w:rsid w:val="002F5FA3"/>
    <w:rsid w:val="00301731"/>
    <w:rsid w:val="00303BF8"/>
    <w:rsid w:val="00304304"/>
    <w:rsid w:val="0031075C"/>
    <w:rsid w:val="00310B47"/>
    <w:rsid w:val="00311651"/>
    <w:rsid w:val="00315D0C"/>
    <w:rsid w:val="00323FD3"/>
    <w:rsid w:val="00333A26"/>
    <w:rsid w:val="0033775D"/>
    <w:rsid w:val="00341365"/>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37EF"/>
    <w:rsid w:val="003D5D45"/>
    <w:rsid w:val="003D6376"/>
    <w:rsid w:val="003D7804"/>
    <w:rsid w:val="003E29FB"/>
    <w:rsid w:val="003E3EBB"/>
    <w:rsid w:val="003E44EC"/>
    <w:rsid w:val="003E7CB6"/>
    <w:rsid w:val="00401DBE"/>
    <w:rsid w:val="00402123"/>
    <w:rsid w:val="00403383"/>
    <w:rsid w:val="004130C0"/>
    <w:rsid w:val="00413CBD"/>
    <w:rsid w:val="00413DF8"/>
    <w:rsid w:val="00413F36"/>
    <w:rsid w:val="004163C7"/>
    <w:rsid w:val="004215C5"/>
    <w:rsid w:val="004260FE"/>
    <w:rsid w:val="00433033"/>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755B"/>
    <w:rsid w:val="004D1DC4"/>
    <w:rsid w:val="004D23E7"/>
    <w:rsid w:val="004D6581"/>
    <w:rsid w:val="004D6B08"/>
    <w:rsid w:val="004E439C"/>
    <w:rsid w:val="004F1444"/>
    <w:rsid w:val="004F1F43"/>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54F"/>
    <w:rsid w:val="00557A05"/>
    <w:rsid w:val="00557B85"/>
    <w:rsid w:val="00560B59"/>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04EA0"/>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234F"/>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CB7"/>
    <w:rsid w:val="0084024D"/>
    <w:rsid w:val="00850760"/>
    <w:rsid w:val="0085176C"/>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87620"/>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3F35"/>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561B"/>
    <w:rsid w:val="00937CA3"/>
    <w:rsid w:val="00951F48"/>
    <w:rsid w:val="0096099D"/>
    <w:rsid w:val="009638CB"/>
    <w:rsid w:val="00963C6C"/>
    <w:rsid w:val="00964E82"/>
    <w:rsid w:val="00970F41"/>
    <w:rsid w:val="0097383F"/>
    <w:rsid w:val="009760DA"/>
    <w:rsid w:val="00976DC2"/>
    <w:rsid w:val="00980234"/>
    <w:rsid w:val="00985B71"/>
    <w:rsid w:val="0098768E"/>
    <w:rsid w:val="0099051B"/>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077DA"/>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39E0"/>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1676"/>
    <w:rsid w:val="00B5443B"/>
    <w:rsid w:val="00B570EB"/>
    <w:rsid w:val="00B57582"/>
    <w:rsid w:val="00B63B0F"/>
    <w:rsid w:val="00B653F7"/>
    <w:rsid w:val="00B67F94"/>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072"/>
    <w:rsid w:val="00C20A1C"/>
    <w:rsid w:val="00C23616"/>
    <w:rsid w:val="00C23A70"/>
    <w:rsid w:val="00C25F1C"/>
    <w:rsid w:val="00C32E49"/>
    <w:rsid w:val="00C35B07"/>
    <w:rsid w:val="00C35BBA"/>
    <w:rsid w:val="00C42520"/>
    <w:rsid w:val="00C42851"/>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490C"/>
    <w:rsid w:val="00D72629"/>
    <w:rsid w:val="00D86584"/>
    <w:rsid w:val="00D92BC0"/>
    <w:rsid w:val="00D92F77"/>
    <w:rsid w:val="00D965B5"/>
    <w:rsid w:val="00DA0EBA"/>
    <w:rsid w:val="00DA1C1B"/>
    <w:rsid w:val="00DA2252"/>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5B4"/>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D7435"/>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57126"/>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66BE"/>
    <w:rsid w:val="00FD7B84"/>
    <w:rsid w:val="00FE0443"/>
    <w:rsid w:val="00FE1E71"/>
    <w:rsid w:val="00FE22A8"/>
    <w:rsid w:val="00FE440D"/>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604EA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6">
    <w:name w:val="Grid Table 1 Light Accent 6"/>
    <w:basedOn w:val="TableNormal"/>
    <w:uiPriority w:val="46"/>
    <w:rsid w:val="00B51676"/>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PlainTable5">
    <w:name w:val="Plain Table 5"/>
    <w:basedOn w:val="TableNormal"/>
    <w:uiPriority w:val="45"/>
    <w:rsid w:val="004F1F43"/>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FE440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FE440D"/>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3232433">
      <w:bodyDiv w:val="1"/>
      <w:marLeft w:val="0"/>
      <w:marRight w:val="0"/>
      <w:marTop w:val="0"/>
      <w:marBottom w:val="0"/>
      <w:divBdr>
        <w:top w:val="none" w:sz="0" w:space="0" w:color="auto"/>
        <w:left w:val="none" w:sz="0" w:space="0" w:color="auto"/>
        <w:bottom w:val="none" w:sz="0" w:space="0" w:color="auto"/>
        <w:right w:val="none" w:sz="0" w:space="0" w:color="auto"/>
      </w:divBdr>
    </w:div>
    <w:div w:id="44916487">
      <w:bodyDiv w:val="1"/>
      <w:marLeft w:val="0"/>
      <w:marRight w:val="0"/>
      <w:marTop w:val="0"/>
      <w:marBottom w:val="0"/>
      <w:divBdr>
        <w:top w:val="none" w:sz="0" w:space="0" w:color="auto"/>
        <w:left w:val="none" w:sz="0" w:space="0" w:color="auto"/>
        <w:bottom w:val="none" w:sz="0" w:space="0" w:color="auto"/>
        <w:right w:val="none" w:sz="0" w:space="0" w:color="auto"/>
      </w:divBdr>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3866344">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396566">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32586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9257545">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02946979">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127221">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3770308">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232567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9534394">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2176956">
      <w:bodyDiv w:val="1"/>
      <w:marLeft w:val="0"/>
      <w:marRight w:val="0"/>
      <w:marTop w:val="0"/>
      <w:marBottom w:val="0"/>
      <w:divBdr>
        <w:top w:val="none" w:sz="0" w:space="0" w:color="auto"/>
        <w:left w:val="none" w:sz="0" w:space="0" w:color="auto"/>
        <w:bottom w:val="none" w:sz="0" w:space="0" w:color="auto"/>
        <w:right w:val="none" w:sz="0" w:space="0" w:color="auto"/>
      </w:divBdr>
      <w:divsChild>
        <w:div w:id="907959604">
          <w:marLeft w:val="0"/>
          <w:marRight w:val="0"/>
          <w:marTop w:val="0"/>
          <w:marBottom w:val="0"/>
          <w:divBdr>
            <w:top w:val="none" w:sz="0" w:space="0" w:color="auto"/>
            <w:left w:val="none" w:sz="0" w:space="0" w:color="auto"/>
            <w:bottom w:val="none" w:sz="0" w:space="0" w:color="auto"/>
            <w:right w:val="none" w:sz="0" w:space="0" w:color="auto"/>
          </w:divBdr>
        </w:div>
      </w:divsChild>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534479">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19186">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388654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012561">
      <w:bodyDiv w:val="1"/>
      <w:marLeft w:val="0"/>
      <w:marRight w:val="0"/>
      <w:marTop w:val="0"/>
      <w:marBottom w:val="0"/>
      <w:divBdr>
        <w:top w:val="none" w:sz="0" w:space="0" w:color="auto"/>
        <w:left w:val="none" w:sz="0" w:space="0" w:color="auto"/>
        <w:bottom w:val="none" w:sz="0" w:space="0" w:color="auto"/>
        <w:right w:val="none" w:sz="0" w:space="0" w:color="auto"/>
      </w:divBdr>
    </w:div>
    <w:div w:id="1904674777">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220128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8A5AEB-CF66-4866-94CA-8FABA4745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11074</Words>
  <Characters>63123</Characters>
  <Application>Microsoft Office Word</Application>
  <DocSecurity>0</DocSecurity>
  <Lines>526</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2026-07-12T16:18:00Z</cp:lastPrinted>
  <dcterms:created xsi:type="dcterms:W3CDTF">2026-07-12T16:17:00Z</dcterms:created>
  <dcterms:modified xsi:type="dcterms:W3CDTF">2026-07-12T16:18:00Z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